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D085" w14:textId="77777777" w:rsidR="00B304F4" w:rsidRDefault="00B304F4" w:rsidP="00CD7E61"/>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216A50" w:rsidRPr="00216A50" w14:paraId="20DE4D6C" w14:textId="77777777" w:rsidTr="00BE3FD8">
        <w:trPr>
          <w:trHeight w:val="1681"/>
          <w:jc w:val="center"/>
        </w:trPr>
        <w:tc>
          <w:tcPr>
            <w:tcW w:w="4358" w:type="dxa"/>
            <w:hideMark/>
          </w:tcPr>
          <w:p w14:paraId="76D08CFF" w14:textId="77777777" w:rsidR="00216A50" w:rsidRPr="00216A50" w:rsidRDefault="00216A50" w:rsidP="00216A50">
            <w:pPr>
              <w:spacing w:after="0" w:line="276" w:lineRule="auto"/>
              <w:rPr>
                <w:rFonts w:ascii="Arial Black" w:eastAsia="Times New Roman" w:hAnsi="Arial Black" w:cs="Times New Roman"/>
                <w:b/>
                <w:sz w:val="16"/>
                <w:szCs w:val="16"/>
              </w:rPr>
            </w:pPr>
            <w:r w:rsidRPr="00216A50">
              <w:rPr>
                <w:rFonts w:ascii="Arial Black" w:eastAsia="Times New Roman" w:hAnsi="Arial Black" w:cs="Times New Roman"/>
                <w:sz w:val="16"/>
                <w:szCs w:val="16"/>
              </w:rPr>
              <w:fldChar w:fldCharType="begin"/>
            </w:r>
            <w:r w:rsidRPr="00216A50">
              <w:rPr>
                <w:rFonts w:ascii="Arial Black" w:eastAsia="Times New Roman" w:hAnsi="Arial Black" w:cs="Times New Roman"/>
                <w:sz w:val="16"/>
                <w:szCs w:val="16"/>
              </w:rPr>
              <w:instrText>PRIVATE</w:instrText>
            </w:r>
            <w:r w:rsidRPr="00216A50">
              <w:rPr>
                <w:rFonts w:ascii="Arial Black" w:eastAsia="Times New Roman" w:hAnsi="Arial Black" w:cs="Times New Roman"/>
                <w:sz w:val="16"/>
                <w:szCs w:val="16"/>
              </w:rPr>
              <w:fldChar w:fldCharType="end"/>
            </w:r>
            <w:r w:rsidRPr="00216A50">
              <w:rPr>
                <w:rFonts w:ascii="Arial Black" w:eastAsia="Times New Roman" w:hAnsi="Arial Black" w:cs="Times New Roman"/>
                <w:b/>
                <w:sz w:val="16"/>
                <w:szCs w:val="16"/>
              </w:rPr>
              <w:t>COMMISSIONERS:</w:t>
            </w:r>
          </w:p>
          <w:p w14:paraId="39BDFAF0" w14:textId="77777777" w:rsidR="00216A50" w:rsidRPr="00216A50" w:rsidRDefault="00216A50" w:rsidP="00216A50">
            <w:pPr>
              <w:spacing w:after="0" w:line="276" w:lineRule="auto"/>
              <w:rPr>
                <w:rFonts w:ascii="Arial Black" w:eastAsia="Times New Roman" w:hAnsi="Arial Black" w:cs="Times New Roman"/>
                <w:b/>
                <w:sz w:val="16"/>
                <w:szCs w:val="16"/>
              </w:rPr>
            </w:pPr>
          </w:p>
          <w:p w14:paraId="48509D08" w14:textId="77777777" w:rsidR="00216A50" w:rsidRPr="00216A50" w:rsidRDefault="00216A50" w:rsidP="00216A50">
            <w:pPr>
              <w:spacing w:after="0" w:line="276" w:lineRule="auto"/>
              <w:rPr>
                <w:rFonts w:ascii="Arial Black" w:eastAsia="Times New Roman" w:hAnsi="Arial Black" w:cs="Times New Roman"/>
                <w:b/>
                <w:sz w:val="16"/>
                <w:szCs w:val="16"/>
              </w:rPr>
            </w:pPr>
            <w:r w:rsidRPr="00216A50">
              <w:rPr>
                <w:rFonts w:ascii="Arial Black" w:eastAsia="Times New Roman" w:hAnsi="Arial Black" w:cs="Times New Roman"/>
                <w:b/>
                <w:sz w:val="16"/>
                <w:szCs w:val="16"/>
              </w:rPr>
              <w:t xml:space="preserve">TRICIA PRIDEMORE, Chairman </w:t>
            </w:r>
          </w:p>
          <w:p w14:paraId="57A51F8F" w14:textId="77777777" w:rsidR="00216A50" w:rsidRPr="00216A50" w:rsidRDefault="00216A50" w:rsidP="00216A50">
            <w:pPr>
              <w:spacing w:after="0" w:line="276" w:lineRule="auto"/>
              <w:rPr>
                <w:rFonts w:ascii="Arial Black" w:eastAsia="Times New Roman" w:hAnsi="Arial Black" w:cs="Times New Roman"/>
                <w:b/>
                <w:sz w:val="16"/>
                <w:szCs w:val="16"/>
              </w:rPr>
            </w:pPr>
            <w:r w:rsidRPr="00216A50">
              <w:rPr>
                <w:rFonts w:ascii="Arial Black" w:eastAsia="Times New Roman" w:hAnsi="Arial Black" w:cs="Times New Roman"/>
                <w:b/>
                <w:sz w:val="16"/>
                <w:szCs w:val="16"/>
              </w:rPr>
              <w:t>TIM G. ECHOLS, Vice-Chairman</w:t>
            </w:r>
          </w:p>
          <w:p w14:paraId="74B8A11D" w14:textId="77777777" w:rsidR="00216A50" w:rsidRPr="00216A50" w:rsidRDefault="00216A50" w:rsidP="00216A50">
            <w:pPr>
              <w:spacing w:after="0" w:line="276" w:lineRule="auto"/>
              <w:rPr>
                <w:rFonts w:ascii="Arial Black" w:eastAsia="Times New Roman" w:hAnsi="Arial Black" w:cs="Times New Roman"/>
                <w:b/>
                <w:sz w:val="16"/>
                <w:szCs w:val="16"/>
              </w:rPr>
            </w:pPr>
            <w:r w:rsidRPr="00216A50">
              <w:rPr>
                <w:rFonts w:ascii="Arial Black" w:eastAsia="Times New Roman" w:hAnsi="Arial Black" w:cs="Times New Roman"/>
                <w:b/>
                <w:sz w:val="16"/>
                <w:szCs w:val="16"/>
              </w:rPr>
              <w:t xml:space="preserve">FITZ JOHNSON </w:t>
            </w:r>
          </w:p>
          <w:p w14:paraId="6A09D283" w14:textId="77777777" w:rsidR="00216A50" w:rsidRPr="00216A50" w:rsidRDefault="00216A50" w:rsidP="00216A50">
            <w:pPr>
              <w:spacing w:after="0" w:line="276" w:lineRule="auto"/>
              <w:rPr>
                <w:rFonts w:ascii="Times New Roman" w:eastAsia="Times New Roman" w:hAnsi="Times New Roman" w:cs="Times New Roman"/>
                <w:sz w:val="24"/>
                <w:szCs w:val="24"/>
              </w:rPr>
            </w:pPr>
            <w:r w:rsidRPr="00216A50">
              <w:rPr>
                <w:rFonts w:ascii="Arial Black" w:eastAsia="Times New Roman" w:hAnsi="Arial Black" w:cs="Times New Roman"/>
                <w:b/>
                <w:sz w:val="16"/>
                <w:szCs w:val="16"/>
              </w:rPr>
              <w:t xml:space="preserve">LAUREN “BUBBA” </w:t>
            </w:r>
            <w:proofErr w:type="spellStart"/>
            <w:r w:rsidRPr="00216A50">
              <w:rPr>
                <w:rFonts w:ascii="Arial Black" w:eastAsia="Times New Roman" w:hAnsi="Arial Black" w:cs="Times New Roman"/>
                <w:b/>
                <w:sz w:val="16"/>
                <w:szCs w:val="16"/>
              </w:rPr>
              <w:t>McDONALD</w:t>
            </w:r>
            <w:proofErr w:type="spellEnd"/>
            <w:r w:rsidRPr="00216A50">
              <w:rPr>
                <w:rFonts w:ascii="Arial Black" w:eastAsia="Times New Roman" w:hAnsi="Arial Black" w:cs="Times New Roman"/>
                <w:b/>
                <w:sz w:val="16"/>
                <w:szCs w:val="16"/>
              </w:rPr>
              <w:t xml:space="preserve">                                  </w:t>
            </w:r>
            <w:r w:rsidRPr="00216A50">
              <w:rPr>
                <w:rFonts w:ascii="Arial Black" w:eastAsia="Times New Roman" w:hAnsi="Arial Black" w:cs="Times New Roman"/>
                <w:b/>
                <w:sz w:val="16"/>
                <w:szCs w:val="16"/>
              </w:rPr>
              <w:br/>
              <w:t xml:space="preserve">JASON SHAW                          </w:t>
            </w:r>
            <w:r w:rsidRPr="00216A50">
              <w:rPr>
                <w:rFonts w:ascii="Arial Black" w:eastAsia="Times New Roman" w:hAnsi="Arial Black" w:cs="Times New Roman"/>
                <w:b/>
                <w:sz w:val="16"/>
                <w:szCs w:val="16"/>
              </w:rPr>
              <w:br/>
            </w:r>
          </w:p>
        </w:tc>
        <w:tc>
          <w:tcPr>
            <w:tcW w:w="2970" w:type="dxa"/>
            <w:hideMark/>
          </w:tcPr>
          <w:p w14:paraId="15DDEAE5" w14:textId="77777777" w:rsidR="00216A50" w:rsidRPr="00216A50" w:rsidRDefault="00216A50" w:rsidP="00216A50">
            <w:pPr>
              <w:spacing w:after="0" w:line="276" w:lineRule="auto"/>
              <w:jc w:val="center"/>
              <w:rPr>
                <w:rFonts w:ascii="Times New Roman" w:eastAsia="Times New Roman" w:hAnsi="Times New Roman" w:cs="Times New Roman"/>
                <w:sz w:val="24"/>
                <w:szCs w:val="24"/>
              </w:rPr>
            </w:pPr>
            <w:r w:rsidRPr="00216A50">
              <w:rPr>
                <w:rFonts w:ascii="Times New Roman" w:eastAsia="Times New Roman" w:hAnsi="Times New Roman" w:cs="Times New Roman"/>
                <w:noProof/>
                <w:sz w:val="24"/>
                <w:szCs w:val="24"/>
              </w:rPr>
              <w:drawing>
                <wp:inline distT="0" distB="0" distL="0" distR="0" wp14:anchorId="221836A8" wp14:editId="15F59091">
                  <wp:extent cx="1200150" cy="1143000"/>
                  <wp:effectExtent l="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tc>
        <w:tc>
          <w:tcPr>
            <w:tcW w:w="3728" w:type="dxa"/>
            <w:hideMark/>
          </w:tcPr>
          <w:p w14:paraId="7D891DF7" w14:textId="77777777" w:rsidR="00216A50" w:rsidRPr="00216A50" w:rsidRDefault="00216A50" w:rsidP="00216A50">
            <w:pPr>
              <w:spacing w:after="0" w:line="276" w:lineRule="auto"/>
              <w:jc w:val="right"/>
              <w:rPr>
                <w:rFonts w:ascii="Arial Black" w:eastAsia="Times New Roman" w:hAnsi="Arial Black" w:cs="Times New Roman"/>
                <w:b/>
                <w:sz w:val="16"/>
                <w:szCs w:val="16"/>
              </w:rPr>
            </w:pPr>
          </w:p>
          <w:p w14:paraId="104F9793" w14:textId="77777777" w:rsidR="00216A50" w:rsidRPr="00216A50" w:rsidRDefault="00216A50" w:rsidP="00216A50">
            <w:pPr>
              <w:spacing w:after="0" w:line="276" w:lineRule="auto"/>
              <w:jc w:val="right"/>
              <w:rPr>
                <w:rFonts w:ascii="Arial Black" w:eastAsia="Times New Roman" w:hAnsi="Arial Black" w:cs="Times New Roman"/>
                <w:b/>
                <w:sz w:val="16"/>
                <w:szCs w:val="16"/>
              </w:rPr>
            </w:pPr>
          </w:p>
          <w:p w14:paraId="5876AC35" w14:textId="77777777" w:rsidR="00216A50" w:rsidRPr="00216A50" w:rsidRDefault="00216A50" w:rsidP="00216A50">
            <w:pPr>
              <w:spacing w:after="0" w:line="276" w:lineRule="auto"/>
              <w:jc w:val="right"/>
              <w:rPr>
                <w:rFonts w:ascii="Arial Black" w:eastAsia="Times New Roman" w:hAnsi="Arial Black" w:cs="Times New Roman"/>
                <w:b/>
                <w:sz w:val="16"/>
                <w:szCs w:val="16"/>
              </w:rPr>
            </w:pPr>
            <w:r w:rsidRPr="00216A50">
              <w:rPr>
                <w:rFonts w:ascii="Arial Black" w:eastAsia="Times New Roman" w:hAnsi="Arial Black" w:cs="Times New Roman"/>
                <w:b/>
                <w:sz w:val="16"/>
                <w:szCs w:val="16"/>
              </w:rPr>
              <w:t xml:space="preserve">REECE </w:t>
            </w:r>
            <w:proofErr w:type="spellStart"/>
            <w:r w:rsidRPr="00216A50">
              <w:rPr>
                <w:rFonts w:ascii="Arial Black" w:eastAsia="Times New Roman" w:hAnsi="Arial Black" w:cs="Times New Roman"/>
                <w:b/>
                <w:sz w:val="16"/>
                <w:szCs w:val="16"/>
              </w:rPr>
              <w:t>McALISTER</w:t>
            </w:r>
            <w:proofErr w:type="spellEnd"/>
            <w:r w:rsidRPr="00216A50">
              <w:rPr>
                <w:rFonts w:ascii="Arial Black" w:eastAsia="Times New Roman" w:hAnsi="Arial Black" w:cs="Times New Roman"/>
                <w:b/>
                <w:sz w:val="16"/>
                <w:szCs w:val="16"/>
              </w:rPr>
              <w:t> </w:t>
            </w:r>
          </w:p>
          <w:p w14:paraId="5BB943DF" w14:textId="77777777" w:rsidR="00216A50" w:rsidRPr="00216A50" w:rsidRDefault="00216A50" w:rsidP="00216A50">
            <w:pPr>
              <w:spacing w:after="0" w:line="276" w:lineRule="auto"/>
              <w:jc w:val="right"/>
              <w:rPr>
                <w:rFonts w:ascii="Arial Black" w:eastAsia="Times New Roman" w:hAnsi="Arial Black" w:cs="Times New Roman"/>
                <w:b/>
                <w:sz w:val="16"/>
                <w:szCs w:val="16"/>
              </w:rPr>
            </w:pPr>
            <w:r w:rsidRPr="00216A50">
              <w:rPr>
                <w:rFonts w:ascii="Arial Black" w:eastAsia="Times New Roman" w:hAnsi="Arial Black" w:cs="Times New Roman"/>
                <w:b/>
                <w:sz w:val="16"/>
                <w:szCs w:val="16"/>
              </w:rPr>
              <w:t>EXECUTIVE DIRECTOR</w:t>
            </w:r>
          </w:p>
          <w:p w14:paraId="6D6D9AF3" w14:textId="77777777" w:rsidR="00216A50" w:rsidRPr="00216A50" w:rsidRDefault="00216A50" w:rsidP="00216A50">
            <w:pPr>
              <w:spacing w:after="0" w:line="276" w:lineRule="auto"/>
              <w:jc w:val="right"/>
              <w:rPr>
                <w:rFonts w:ascii="Arial Black" w:eastAsia="Times New Roman" w:hAnsi="Arial Black" w:cs="Times New Roman"/>
                <w:sz w:val="16"/>
                <w:szCs w:val="16"/>
              </w:rPr>
            </w:pPr>
            <w:r w:rsidRPr="00216A50">
              <w:rPr>
                <w:rFonts w:ascii="Arial Black" w:eastAsia="Times New Roman" w:hAnsi="Arial Black" w:cs="Times New Roman"/>
                <w:b/>
                <w:sz w:val="16"/>
                <w:szCs w:val="16"/>
              </w:rPr>
              <w:t xml:space="preserve"> </w:t>
            </w:r>
            <w:r w:rsidRPr="00216A50">
              <w:rPr>
                <w:rFonts w:ascii="Arial Black" w:eastAsia="Times New Roman" w:hAnsi="Arial Black" w:cs="Times New Roman"/>
                <w:b/>
                <w:sz w:val="16"/>
                <w:szCs w:val="16"/>
              </w:rPr>
              <w:br/>
              <w:t>SALLIE TANNER</w:t>
            </w:r>
            <w:r w:rsidRPr="00216A50">
              <w:rPr>
                <w:rFonts w:ascii="Arial Black" w:eastAsia="Times New Roman" w:hAnsi="Arial Black" w:cs="Times New Roman"/>
                <w:b/>
                <w:sz w:val="16"/>
                <w:szCs w:val="16"/>
              </w:rPr>
              <w:br/>
              <w:t>EXECUTIVE SECRETARY</w:t>
            </w:r>
          </w:p>
        </w:tc>
      </w:tr>
      <w:tr w:rsidR="00216A50" w:rsidRPr="00216A50" w14:paraId="2033942B" w14:textId="77777777" w:rsidTr="00BE3FD8">
        <w:trPr>
          <w:trHeight w:val="772"/>
          <w:jc w:val="center"/>
        </w:trPr>
        <w:tc>
          <w:tcPr>
            <w:tcW w:w="11056" w:type="dxa"/>
            <w:gridSpan w:val="3"/>
            <w:hideMark/>
          </w:tcPr>
          <w:p w14:paraId="0B4CE681" w14:textId="77777777" w:rsidR="00216A50" w:rsidRPr="00216A50" w:rsidRDefault="00216A50" w:rsidP="00216A50">
            <w:pPr>
              <w:keepNext/>
              <w:widowControl w:val="0"/>
              <w:tabs>
                <w:tab w:val="center" w:pos="4680"/>
              </w:tabs>
              <w:autoSpaceDE w:val="0"/>
              <w:autoSpaceDN w:val="0"/>
              <w:adjustRightInd w:val="0"/>
              <w:spacing w:after="0" w:line="276" w:lineRule="auto"/>
              <w:jc w:val="center"/>
              <w:outlineLvl w:val="0"/>
              <w:rPr>
                <w:rFonts w:ascii="Old English Text MT" w:eastAsia="Times New Roman" w:hAnsi="Old English Text MT" w:cs="Times New Roman"/>
                <w:sz w:val="42"/>
                <w:szCs w:val="24"/>
              </w:rPr>
            </w:pPr>
            <w:smartTag w:uri="urn:schemas-microsoft-com:office:smarttags" w:element="country-region">
              <w:smartTag w:uri="urn:schemas-microsoft-com:office:smarttags" w:element="place">
                <w:r w:rsidRPr="00216A50">
                  <w:rPr>
                    <w:rFonts w:ascii="Old English Text MT" w:eastAsia="Times New Roman" w:hAnsi="Old English Text MT" w:cs="Times New Roman"/>
                    <w:sz w:val="42"/>
                    <w:szCs w:val="24"/>
                  </w:rPr>
                  <w:t>Georgia</w:t>
                </w:r>
              </w:smartTag>
            </w:smartTag>
            <w:r w:rsidRPr="00216A50">
              <w:rPr>
                <w:rFonts w:ascii="Old English Text MT" w:eastAsia="Times New Roman" w:hAnsi="Old English Text MT" w:cs="Times New Roman"/>
                <w:sz w:val="42"/>
                <w:szCs w:val="24"/>
              </w:rPr>
              <w:t xml:space="preserve"> Public Service Commission</w:t>
            </w:r>
          </w:p>
        </w:tc>
      </w:tr>
      <w:tr w:rsidR="00216A50" w:rsidRPr="00216A50" w14:paraId="38DCA243" w14:textId="77777777" w:rsidTr="00BE3FD8">
        <w:trPr>
          <w:jc w:val="center"/>
        </w:trPr>
        <w:tc>
          <w:tcPr>
            <w:tcW w:w="4358" w:type="dxa"/>
            <w:hideMark/>
          </w:tcPr>
          <w:p w14:paraId="75C7FD06" w14:textId="77777777" w:rsidR="00216A50" w:rsidRPr="00216A50" w:rsidRDefault="00216A50" w:rsidP="00216A50">
            <w:pPr>
              <w:spacing w:after="0" w:line="276" w:lineRule="auto"/>
              <w:rPr>
                <w:rFonts w:ascii="Times New Roman" w:eastAsia="Times New Roman" w:hAnsi="Times New Roman" w:cs="Arial"/>
                <w:b/>
                <w:bCs/>
                <w:sz w:val="17"/>
                <w:szCs w:val="17"/>
              </w:rPr>
            </w:pPr>
            <w:r w:rsidRPr="00216A50">
              <w:rPr>
                <w:rFonts w:ascii="Times New Roman" w:eastAsia="Times New Roman" w:hAnsi="Times New Roman" w:cs="Arial"/>
                <w:b/>
                <w:bCs/>
                <w:sz w:val="17"/>
                <w:szCs w:val="17"/>
              </w:rPr>
              <w:t xml:space="preserve">(404) 656-4501  </w:t>
            </w:r>
          </w:p>
          <w:p w14:paraId="1442D35B" w14:textId="77777777" w:rsidR="00216A50" w:rsidRPr="00216A50" w:rsidRDefault="00216A50" w:rsidP="00216A50">
            <w:pPr>
              <w:spacing w:after="0" w:line="276" w:lineRule="auto"/>
              <w:rPr>
                <w:rFonts w:ascii="Times New Roman" w:eastAsia="Times New Roman" w:hAnsi="Times New Roman" w:cs="Arial"/>
                <w:b/>
                <w:bCs/>
                <w:sz w:val="24"/>
                <w:szCs w:val="24"/>
              </w:rPr>
            </w:pPr>
            <w:r w:rsidRPr="00216A50">
              <w:rPr>
                <w:rFonts w:ascii="Times New Roman" w:eastAsia="Times New Roman" w:hAnsi="Times New Roman" w:cs="Arial"/>
                <w:b/>
                <w:bCs/>
                <w:sz w:val="17"/>
                <w:szCs w:val="17"/>
              </w:rPr>
              <w:t>(800) 282-5813</w:t>
            </w:r>
          </w:p>
        </w:tc>
        <w:tc>
          <w:tcPr>
            <w:tcW w:w="2970" w:type="dxa"/>
            <w:hideMark/>
          </w:tcPr>
          <w:p w14:paraId="62B30D6B" w14:textId="77777777" w:rsidR="00216A50" w:rsidRPr="00216A50" w:rsidRDefault="00216A50" w:rsidP="00216A50">
            <w:pPr>
              <w:spacing w:after="0" w:line="276" w:lineRule="auto"/>
              <w:jc w:val="center"/>
              <w:rPr>
                <w:rFonts w:ascii="Times New Roman" w:eastAsia="Times New Roman" w:hAnsi="Times New Roman" w:cs="Arial"/>
                <w:b/>
                <w:sz w:val="17"/>
                <w:szCs w:val="17"/>
              </w:rPr>
            </w:pPr>
            <w:r w:rsidRPr="00216A50">
              <w:rPr>
                <w:rFonts w:ascii="Times New Roman" w:eastAsia="Times New Roman" w:hAnsi="Times New Roman" w:cs="Arial"/>
                <w:b/>
                <w:sz w:val="17"/>
                <w:szCs w:val="17"/>
              </w:rPr>
              <w:t>244 WASHINGTON STREET, SW</w:t>
            </w:r>
            <w:r w:rsidRPr="00216A50">
              <w:rPr>
                <w:rFonts w:ascii="Times New Roman" w:eastAsia="Times New Roman" w:hAnsi="Times New Roman" w:cs="Arial"/>
                <w:b/>
                <w:sz w:val="17"/>
                <w:szCs w:val="17"/>
              </w:rPr>
              <w:br/>
            </w:r>
            <w:smartTag w:uri="urn:schemas-microsoft-com:office:smarttags" w:element="City">
              <w:r w:rsidRPr="00216A50">
                <w:rPr>
                  <w:rFonts w:ascii="Times New Roman" w:eastAsia="Times New Roman" w:hAnsi="Times New Roman" w:cs="Arial"/>
                  <w:b/>
                  <w:sz w:val="17"/>
                  <w:szCs w:val="17"/>
                </w:rPr>
                <w:t>ATLANTA</w:t>
              </w:r>
            </w:smartTag>
            <w:r w:rsidRPr="00216A50">
              <w:rPr>
                <w:rFonts w:ascii="Times New Roman" w:eastAsia="Times New Roman" w:hAnsi="Times New Roman" w:cs="Arial"/>
                <w:b/>
                <w:sz w:val="17"/>
                <w:szCs w:val="17"/>
              </w:rPr>
              <w:t xml:space="preserve">, </w:t>
            </w:r>
            <w:smartTag w:uri="urn:schemas-microsoft-com:office:smarttags" w:element="country-region">
              <w:r w:rsidRPr="00216A50">
                <w:rPr>
                  <w:rFonts w:ascii="Times New Roman" w:eastAsia="Times New Roman" w:hAnsi="Times New Roman" w:cs="Arial"/>
                  <w:b/>
                  <w:sz w:val="17"/>
                  <w:szCs w:val="17"/>
                </w:rPr>
                <w:t>GEORGIA</w:t>
              </w:r>
            </w:smartTag>
            <w:r w:rsidRPr="00216A50">
              <w:rPr>
                <w:rFonts w:ascii="Times New Roman" w:eastAsia="Times New Roman" w:hAnsi="Times New Roman" w:cs="Arial"/>
                <w:b/>
                <w:sz w:val="17"/>
                <w:szCs w:val="17"/>
              </w:rPr>
              <w:t xml:space="preserve"> 30334-5701</w:t>
            </w:r>
          </w:p>
        </w:tc>
        <w:tc>
          <w:tcPr>
            <w:tcW w:w="3728" w:type="dxa"/>
            <w:hideMark/>
          </w:tcPr>
          <w:p w14:paraId="0A16A707" w14:textId="77777777" w:rsidR="00216A50" w:rsidRPr="00216A50" w:rsidRDefault="00216A50" w:rsidP="00216A50">
            <w:pPr>
              <w:spacing w:after="0" w:line="276" w:lineRule="auto"/>
              <w:jc w:val="right"/>
              <w:rPr>
                <w:rFonts w:ascii="Times New Roman" w:eastAsia="Times New Roman" w:hAnsi="Times New Roman" w:cs="Arial"/>
                <w:b/>
                <w:bCs/>
                <w:sz w:val="17"/>
                <w:szCs w:val="17"/>
              </w:rPr>
            </w:pPr>
            <w:r w:rsidRPr="00216A50">
              <w:rPr>
                <w:rFonts w:ascii="Times New Roman" w:eastAsia="Times New Roman" w:hAnsi="Times New Roman" w:cs="Arial"/>
                <w:b/>
                <w:bCs/>
                <w:sz w:val="17"/>
                <w:szCs w:val="17"/>
              </w:rPr>
              <w:t xml:space="preserve">FAX: (404) 656-2341                   </w:t>
            </w:r>
          </w:p>
          <w:p w14:paraId="22127343" w14:textId="77777777" w:rsidR="00216A50" w:rsidRPr="00216A50" w:rsidRDefault="00216A50" w:rsidP="00216A50">
            <w:pPr>
              <w:spacing w:after="0" w:line="276" w:lineRule="auto"/>
              <w:jc w:val="right"/>
              <w:rPr>
                <w:rFonts w:ascii="Times New Roman" w:eastAsia="Times New Roman" w:hAnsi="Times New Roman" w:cs="Arial"/>
                <w:b/>
                <w:bCs/>
                <w:sz w:val="24"/>
                <w:szCs w:val="24"/>
              </w:rPr>
            </w:pPr>
            <w:r w:rsidRPr="00216A50">
              <w:rPr>
                <w:rFonts w:ascii="Times New Roman" w:eastAsia="Times New Roman" w:hAnsi="Times New Roman" w:cs="Arial"/>
                <w:b/>
                <w:bCs/>
                <w:sz w:val="17"/>
                <w:szCs w:val="17"/>
              </w:rPr>
              <w:t>psc.ga.gov</w:t>
            </w:r>
          </w:p>
        </w:tc>
      </w:tr>
      <w:tr w:rsidR="00216A50" w:rsidRPr="00216A50" w14:paraId="0D578B59" w14:textId="77777777" w:rsidTr="00BE3FD8">
        <w:trPr>
          <w:jc w:val="center"/>
        </w:trPr>
        <w:tc>
          <w:tcPr>
            <w:tcW w:w="4358" w:type="dxa"/>
          </w:tcPr>
          <w:p w14:paraId="0349C4C7" w14:textId="77777777" w:rsidR="00216A50" w:rsidRPr="00216A50" w:rsidRDefault="00216A50" w:rsidP="00216A50">
            <w:pPr>
              <w:spacing w:after="0" w:line="276" w:lineRule="auto"/>
              <w:rPr>
                <w:rFonts w:ascii="Times New Roman" w:eastAsia="Times New Roman" w:hAnsi="Times New Roman" w:cs="Arial"/>
                <w:b/>
                <w:bCs/>
                <w:sz w:val="17"/>
                <w:szCs w:val="17"/>
              </w:rPr>
            </w:pPr>
          </w:p>
        </w:tc>
        <w:tc>
          <w:tcPr>
            <w:tcW w:w="2970" w:type="dxa"/>
          </w:tcPr>
          <w:p w14:paraId="400EB101" w14:textId="77777777" w:rsidR="00216A50" w:rsidRPr="00216A50" w:rsidRDefault="00216A50" w:rsidP="00216A50">
            <w:pPr>
              <w:spacing w:after="0" w:line="276" w:lineRule="auto"/>
              <w:jc w:val="center"/>
              <w:rPr>
                <w:rFonts w:ascii="Times New Roman" w:eastAsia="Times New Roman" w:hAnsi="Times New Roman" w:cs="Arial"/>
                <w:b/>
                <w:sz w:val="17"/>
                <w:szCs w:val="17"/>
              </w:rPr>
            </w:pPr>
          </w:p>
        </w:tc>
        <w:tc>
          <w:tcPr>
            <w:tcW w:w="3728" w:type="dxa"/>
          </w:tcPr>
          <w:p w14:paraId="0EA93B60" w14:textId="77777777" w:rsidR="00216A50" w:rsidRPr="00216A50" w:rsidRDefault="00216A50" w:rsidP="00216A50">
            <w:pPr>
              <w:spacing w:after="0" w:line="276" w:lineRule="auto"/>
              <w:jc w:val="right"/>
              <w:rPr>
                <w:rFonts w:ascii="Times New Roman" w:eastAsia="Times New Roman" w:hAnsi="Times New Roman" w:cs="Arial"/>
                <w:b/>
                <w:bCs/>
                <w:sz w:val="17"/>
                <w:szCs w:val="17"/>
              </w:rPr>
            </w:pPr>
          </w:p>
        </w:tc>
      </w:tr>
    </w:tbl>
    <w:p w14:paraId="72899505" w14:textId="77777777" w:rsidR="00216A50" w:rsidRPr="00216A50" w:rsidRDefault="00216A50" w:rsidP="00216A50">
      <w:pPr>
        <w:spacing w:after="0" w:line="240" w:lineRule="auto"/>
        <w:rPr>
          <w:rFonts w:ascii="Times New Roman" w:eastAsia="Times New Roman" w:hAnsi="Times New Roman" w:cs="Times New Roman"/>
          <w:color w:val="FF0000"/>
          <w:sz w:val="24"/>
          <w:szCs w:val="24"/>
        </w:rPr>
      </w:pPr>
    </w:p>
    <w:p w14:paraId="2326C9CB" w14:textId="77777777" w:rsidR="00216A50" w:rsidRPr="00216A50" w:rsidRDefault="00216A50" w:rsidP="00216A50">
      <w:pPr>
        <w:keepNext/>
        <w:widowControl w:val="0"/>
        <w:tabs>
          <w:tab w:val="center" w:pos="4680"/>
        </w:tabs>
        <w:autoSpaceDE w:val="0"/>
        <w:autoSpaceDN w:val="0"/>
        <w:adjustRightInd w:val="0"/>
        <w:spacing w:after="0" w:line="240" w:lineRule="auto"/>
        <w:jc w:val="center"/>
        <w:outlineLvl w:val="0"/>
        <w:rPr>
          <w:rFonts w:ascii="Times New Roman" w:eastAsia="Times New Roman" w:hAnsi="Times New Roman" w:cs="Times New Roman"/>
          <w:sz w:val="24"/>
          <w:szCs w:val="24"/>
        </w:rPr>
      </w:pPr>
    </w:p>
    <w:p w14:paraId="21743C31" w14:textId="77777777" w:rsidR="00BF1C2B" w:rsidRPr="00F55215" w:rsidRDefault="00BF1C2B" w:rsidP="0098302D">
      <w:pPr>
        <w:spacing w:after="0" w:line="240" w:lineRule="auto"/>
        <w:rPr>
          <w:rFonts w:ascii="Times New Roman" w:hAnsi="Times New Roman" w:cs="Times New Roman"/>
          <w:sz w:val="24"/>
          <w:szCs w:val="24"/>
        </w:rPr>
      </w:pPr>
      <w:r w:rsidRPr="0023419F">
        <w:rPr>
          <w:rFonts w:ascii="Times New Roman" w:hAnsi="Times New Roman" w:cs="Times New Roman"/>
          <w:b/>
          <w:sz w:val="24"/>
          <w:szCs w:val="24"/>
        </w:rPr>
        <w:t xml:space="preserve">SAWNEE ELECTRIC MEMBERSHIP </w:t>
      </w:r>
      <w:r w:rsidRPr="0023419F">
        <w:rPr>
          <w:rFonts w:ascii="Times New Roman" w:hAnsi="Times New Roman" w:cs="Times New Roman"/>
          <w:b/>
          <w:sz w:val="24"/>
          <w:szCs w:val="24"/>
        </w:rPr>
        <w:tab/>
      </w:r>
      <w:r w:rsidRPr="00F55215">
        <w:rPr>
          <w:rFonts w:ascii="Times New Roman" w:hAnsi="Times New Roman" w:cs="Times New Roman"/>
          <w:sz w:val="24"/>
          <w:szCs w:val="24"/>
        </w:rPr>
        <w:t>)</w:t>
      </w:r>
    </w:p>
    <w:p w14:paraId="0335F8A0" w14:textId="77777777" w:rsidR="0098302D" w:rsidRDefault="00BF1C2B" w:rsidP="0098302D">
      <w:pPr>
        <w:spacing w:after="0" w:line="240" w:lineRule="auto"/>
        <w:rPr>
          <w:rFonts w:ascii="Times New Roman" w:hAnsi="Times New Roman" w:cs="Times New Roman"/>
          <w:sz w:val="24"/>
          <w:szCs w:val="24"/>
        </w:rPr>
      </w:pPr>
      <w:r w:rsidRPr="0023419F">
        <w:rPr>
          <w:rFonts w:ascii="Times New Roman" w:hAnsi="Times New Roman" w:cs="Times New Roman"/>
          <w:b/>
          <w:sz w:val="24"/>
          <w:szCs w:val="24"/>
        </w:rPr>
        <w:t>CORPORATION</w:t>
      </w:r>
      <w:r w:rsidRPr="00BF1C2B">
        <w:rPr>
          <w:rFonts w:ascii="Times New Roman" w:hAnsi="Times New Roman" w:cs="Times New Roman"/>
          <w:sz w:val="24"/>
          <w:szCs w:val="24"/>
        </w:rPr>
        <w:t>,</w:t>
      </w:r>
      <w:r w:rsidR="0098302D">
        <w:rPr>
          <w:rFonts w:ascii="Times New Roman" w:hAnsi="Times New Roman" w:cs="Times New Roman"/>
          <w:sz w:val="24"/>
          <w:szCs w:val="24"/>
        </w:rPr>
        <w:tab/>
      </w:r>
      <w:r w:rsidR="0098302D">
        <w:rPr>
          <w:rFonts w:ascii="Times New Roman" w:hAnsi="Times New Roman" w:cs="Times New Roman"/>
          <w:sz w:val="24"/>
          <w:szCs w:val="24"/>
        </w:rPr>
        <w:tab/>
      </w:r>
      <w:r w:rsidR="0098302D">
        <w:rPr>
          <w:rFonts w:ascii="Times New Roman" w:hAnsi="Times New Roman" w:cs="Times New Roman"/>
          <w:sz w:val="24"/>
          <w:szCs w:val="24"/>
        </w:rPr>
        <w:tab/>
      </w:r>
      <w:r w:rsidR="0098302D">
        <w:rPr>
          <w:rFonts w:ascii="Times New Roman" w:hAnsi="Times New Roman" w:cs="Times New Roman"/>
          <w:sz w:val="24"/>
          <w:szCs w:val="24"/>
        </w:rPr>
        <w:tab/>
        <w:t>)</w:t>
      </w:r>
    </w:p>
    <w:p w14:paraId="488FB6EA" w14:textId="77777777" w:rsidR="00BF1C2B" w:rsidRPr="00BF1C2B" w:rsidRDefault="0098302D" w:rsidP="0098302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A1FAE">
        <w:rPr>
          <w:rFonts w:ascii="Times New Roman" w:hAnsi="Times New Roman" w:cs="Times New Roman"/>
          <w:sz w:val="24"/>
          <w:szCs w:val="24"/>
        </w:rPr>
        <w:tab/>
      </w:r>
      <w:r w:rsidR="004A1FAE">
        <w:rPr>
          <w:rFonts w:ascii="Times New Roman" w:hAnsi="Times New Roman" w:cs="Times New Roman"/>
          <w:sz w:val="24"/>
          <w:szCs w:val="24"/>
        </w:rPr>
        <w:tab/>
      </w:r>
      <w:r w:rsidR="004A1FAE">
        <w:rPr>
          <w:rFonts w:ascii="Times New Roman" w:hAnsi="Times New Roman" w:cs="Times New Roman"/>
          <w:sz w:val="24"/>
          <w:szCs w:val="24"/>
        </w:rPr>
        <w:tab/>
      </w:r>
      <w:r w:rsidR="00BF1C2B" w:rsidRPr="00BF1C2B">
        <w:rPr>
          <w:rFonts w:ascii="Times New Roman" w:hAnsi="Times New Roman" w:cs="Times New Roman"/>
          <w:sz w:val="24"/>
          <w:szCs w:val="24"/>
        </w:rPr>
        <w:tab/>
        <w:t>)</w:t>
      </w:r>
    </w:p>
    <w:p w14:paraId="4C690FF8" w14:textId="77777777" w:rsidR="00BF1C2B" w:rsidRPr="00BF1C2B" w:rsidRDefault="00BF1C2B" w:rsidP="000D6F6E">
      <w:pPr>
        <w:spacing w:line="240" w:lineRule="auto"/>
        <w:rPr>
          <w:rFonts w:ascii="Times New Roman" w:hAnsi="Times New Roman" w:cs="Times New Roman"/>
          <w:sz w:val="24"/>
          <w:szCs w:val="24"/>
        </w:rPr>
      </w:pPr>
      <w:r w:rsidRPr="00BF1C2B">
        <w:rPr>
          <w:rFonts w:ascii="Times New Roman" w:hAnsi="Times New Roman" w:cs="Times New Roman"/>
          <w:sz w:val="24"/>
          <w:szCs w:val="24"/>
        </w:rPr>
        <w:t>Petitioner,</w:t>
      </w:r>
      <w:r w:rsidR="00DE4603">
        <w:rPr>
          <w:rFonts w:ascii="Times New Roman" w:hAnsi="Times New Roman" w:cs="Times New Roman"/>
          <w:sz w:val="24"/>
          <w:szCs w:val="24"/>
        </w:rPr>
        <w:tab/>
      </w:r>
      <w:r w:rsidR="00DE4603">
        <w:rPr>
          <w:rFonts w:ascii="Times New Roman" w:hAnsi="Times New Roman" w:cs="Times New Roman"/>
          <w:sz w:val="24"/>
          <w:szCs w:val="24"/>
        </w:rPr>
        <w:tab/>
      </w:r>
      <w:r w:rsidR="00DE4603">
        <w:rPr>
          <w:rFonts w:ascii="Times New Roman" w:hAnsi="Times New Roman" w:cs="Times New Roman"/>
          <w:sz w:val="24"/>
          <w:szCs w:val="24"/>
        </w:rPr>
        <w:tab/>
      </w:r>
      <w:r w:rsidR="00DE4603">
        <w:rPr>
          <w:rFonts w:ascii="Times New Roman" w:hAnsi="Times New Roman" w:cs="Times New Roman"/>
          <w:sz w:val="24"/>
          <w:szCs w:val="24"/>
        </w:rPr>
        <w:tab/>
      </w:r>
      <w:r w:rsidRPr="00BF1C2B">
        <w:rPr>
          <w:rFonts w:ascii="Times New Roman" w:hAnsi="Times New Roman" w:cs="Times New Roman"/>
          <w:sz w:val="24"/>
          <w:szCs w:val="24"/>
        </w:rPr>
        <w:tab/>
        <w:t>)</w:t>
      </w:r>
    </w:p>
    <w:p w14:paraId="75966938" w14:textId="77777777" w:rsidR="00BF1C2B" w:rsidRPr="0023419F" w:rsidRDefault="00BF1C2B" w:rsidP="000D6F6E">
      <w:pPr>
        <w:spacing w:line="240" w:lineRule="auto"/>
        <w:rPr>
          <w:rFonts w:ascii="Times New Roman" w:hAnsi="Times New Roman" w:cs="Times New Roman"/>
          <w:b/>
          <w:sz w:val="24"/>
          <w:szCs w:val="24"/>
        </w:rPr>
      </w:pPr>
      <w:r w:rsidRPr="00BF1C2B">
        <w:rPr>
          <w:rFonts w:ascii="Times New Roman" w:hAnsi="Times New Roman" w:cs="Times New Roman"/>
          <w:sz w:val="24"/>
          <w:szCs w:val="24"/>
        </w:rPr>
        <w:t>v.</w:t>
      </w:r>
      <w:r w:rsidRPr="00BF1C2B">
        <w:rPr>
          <w:rFonts w:ascii="Times New Roman" w:hAnsi="Times New Roman" w:cs="Times New Roman"/>
          <w:sz w:val="24"/>
          <w:szCs w:val="24"/>
        </w:rPr>
        <w:tab/>
      </w:r>
      <w:r w:rsidR="00DE4603">
        <w:rPr>
          <w:rFonts w:ascii="Times New Roman" w:hAnsi="Times New Roman" w:cs="Times New Roman"/>
          <w:sz w:val="24"/>
          <w:szCs w:val="24"/>
        </w:rPr>
        <w:tab/>
      </w:r>
      <w:r w:rsidR="00DE4603">
        <w:rPr>
          <w:rFonts w:ascii="Times New Roman" w:hAnsi="Times New Roman" w:cs="Times New Roman"/>
          <w:sz w:val="24"/>
          <w:szCs w:val="24"/>
        </w:rPr>
        <w:tab/>
      </w:r>
      <w:r w:rsidR="00DE4603">
        <w:rPr>
          <w:rFonts w:ascii="Times New Roman" w:hAnsi="Times New Roman" w:cs="Times New Roman"/>
          <w:sz w:val="24"/>
          <w:szCs w:val="24"/>
        </w:rPr>
        <w:tab/>
      </w:r>
      <w:r w:rsidR="00DE4603">
        <w:rPr>
          <w:rFonts w:ascii="Times New Roman" w:hAnsi="Times New Roman" w:cs="Times New Roman"/>
          <w:sz w:val="24"/>
          <w:szCs w:val="24"/>
        </w:rPr>
        <w:tab/>
      </w:r>
      <w:r w:rsidR="00DE4603">
        <w:rPr>
          <w:rFonts w:ascii="Times New Roman" w:hAnsi="Times New Roman" w:cs="Times New Roman"/>
          <w:sz w:val="24"/>
          <w:szCs w:val="24"/>
        </w:rPr>
        <w:tab/>
      </w:r>
      <w:r w:rsidRPr="00BF1C2B">
        <w:rPr>
          <w:rFonts w:ascii="Times New Roman" w:hAnsi="Times New Roman" w:cs="Times New Roman"/>
          <w:sz w:val="24"/>
          <w:szCs w:val="24"/>
        </w:rPr>
        <w:t>)</w:t>
      </w:r>
      <w:r w:rsidRPr="00BF1C2B">
        <w:rPr>
          <w:rFonts w:ascii="Times New Roman" w:hAnsi="Times New Roman" w:cs="Times New Roman"/>
          <w:sz w:val="24"/>
          <w:szCs w:val="24"/>
        </w:rPr>
        <w:tab/>
      </w:r>
      <w:r w:rsidRPr="00BF1C2B">
        <w:rPr>
          <w:rFonts w:ascii="Times New Roman" w:hAnsi="Times New Roman" w:cs="Times New Roman"/>
          <w:sz w:val="24"/>
          <w:szCs w:val="24"/>
        </w:rPr>
        <w:tab/>
      </w:r>
      <w:r w:rsidRPr="0023419F">
        <w:rPr>
          <w:rFonts w:ascii="Times New Roman" w:hAnsi="Times New Roman" w:cs="Times New Roman"/>
          <w:b/>
          <w:sz w:val="24"/>
          <w:szCs w:val="24"/>
        </w:rPr>
        <w:t>Docket No. 43899</w:t>
      </w:r>
    </w:p>
    <w:p w14:paraId="264F782A" w14:textId="77777777" w:rsidR="00BF1C2B" w:rsidRPr="00BF1C2B" w:rsidRDefault="000D6F6E" w:rsidP="000D6F6E">
      <w:pPr>
        <w:spacing w:line="240" w:lineRule="auto"/>
        <w:rPr>
          <w:rFonts w:ascii="Times New Roman" w:hAnsi="Times New Roman" w:cs="Times New Roman"/>
          <w:sz w:val="24"/>
          <w:szCs w:val="24"/>
        </w:rPr>
      </w:pPr>
      <w:r w:rsidRPr="00F55215">
        <w:rPr>
          <w:rFonts w:ascii="Times New Roman" w:hAnsi="Times New Roman" w:cs="Times New Roman"/>
          <w:b/>
          <w:sz w:val="24"/>
          <w:szCs w:val="24"/>
        </w:rPr>
        <w:t>G</w:t>
      </w:r>
      <w:r w:rsidR="00BF1C2B" w:rsidRPr="00F55215">
        <w:rPr>
          <w:rFonts w:ascii="Times New Roman" w:hAnsi="Times New Roman" w:cs="Times New Roman"/>
          <w:b/>
          <w:sz w:val="24"/>
          <w:szCs w:val="24"/>
        </w:rPr>
        <w:t>EORGIA POWER COMPANY</w:t>
      </w:r>
      <w:r w:rsidR="006C0682" w:rsidRPr="00F55215">
        <w:rPr>
          <w:rFonts w:ascii="Times New Roman" w:hAnsi="Times New Roman" w:cs="Times New Roman"/>
          <w:b/>
          <w:sz w:val="24"/>
          <w:szCs w:val="24"/>
        </w:rPr>
        <w:t>,</w:t>
      </w:r>
      <w:r w:rsidR="00EA5067">
        <w:rPr>
          <w:rFonts w:ascii="Times New Roman" w:hAnsi="Times New Roman" w:cs="Times New Roman"/>
          <w:sz w:val="24"/>
          <w:szCs w:val="24"/>
        </w:rPr>
        <w:tab/>
      </w:r>
      <w:r w:rsidR="00BF1C2B" w:rsidRPr="00BF1C2B">
        <w:rPr>
          <w:rFonts w:ascii="Times New Roman" w:hAnsi="Times New Roman" w:cs="Times New Roman"/>
          <w:sz w:val="24"/>
          <w:szCs w:val="24"/>
        </w:rPr>
        <w:tab/>
        <w:t>)</w:t>
      </w:r>
    </w:p>
    <w:p w14:paraId="51C1AF9C" w14:textId="77777777" w:rsidR="00BF1C2B" w:rsidRPr="00BF1C2B" w:rsidRDefault="00BF1C2B" w:rsidP="000D6F6E">
      <w:pPr>
        <w:spacing w:line="240" w:lineRule="auto"/>
        <w:rPr>
          <w:rFonts w:ascii="Times New Roman" w:hAnsi="Times New Roman" w:cs="Times New Roman"/>
          <w:sz w:val="24"/>
          <w:szCs w:val="24"/>
        </w:rPr>
      </w:pPr>
      <w:r w:rsidRPr="00BF1C2B">
        <w:rPr>
          <w:rFonts w:ascii="Times New Roman" w:hAnsi="Times New Roman" w:cs="Times New Roman"/>
          <w:sz w:val="24"/>
          <w:szCs w:val="24"/>
        </w:rPr>
        <w:t>Respondent</w:t>
      </w:r>
      <w:r w:rsidR="00CE21FF">
        <w:rPr>
          <w:rFonts w:ascii="Times New Roman" w:hAnsi="Times New Roman" w:cs="Times New Roman"/>
          <w:sz w:val="24"/>
          <w:szCs w:val="24"/>
        </w:rPr>
        <w:t>,</w:t>
      </w:r>
      <w:r w:rsidR="00EA5067">
        <w:rPr>
          <w:rFonts w:ascii="Times New Roman" w:hAnsi="Times New Roman" w:cs="Times New Roman"/>
          <w:sz w:val="24"/>
          <w:szCs w:val="24"/>
        </w:rPr>
        <w:tab/>
      </w:r>
      <w:r w:rsidR="00EA5067">
        <w:rPr>
          <w:rFonts w:ascii="Times New Roman" w:hAnsi="Times New Roman" w:cs="Times New Roman"/>
          <w:sz w:val="24"/>
          <w:szCs w:val="24"/>
        </w:rPr>
        <w:tab/>
      </w:r>
      <w:r w:rsidR="00EA5067">
        <w:rPr>
          <w:rFonts w:ascii="Times New Roman" w:hAnsi="Times New Roman" w:cs="Times New Roman"/>
          <w:sz w:val="24"/>
          <w:szCs w:val="24"/>
        </w:rPr>
        <w:tab/>
      </w:r>
      <w:r w:rsidR="00EA5067">
        <w:rPr>
          <w:rFonts w:ascii="Times New Roman" w:hAnsi="Times New Roman" w:cs="Times New Roman"/>
          <w:sz w:val="24"/>
          <w:szCs w:val="24"/>
        </w:rPr>
        <w:tab/>
      </w:r>
      <w:r w:rsidRPr="00BF1C2B">
        <w:rPr>
          <w:rFonts w:ascii="Times New Roman" w:hAnsi="Times New Roman" w:cs="Times New Roman"/>
          <w:sz w:val="24"/>
          <w:szCs w:val="24"/>
        </w:rPr>
        <w:tab/>
        <w:t>)</w:t>
      </w:r>
    </w:p>
    <w:p w14:paraId="0E7AD109" w14:textId="77777777" w:rsidR="00B304F4" w:rsidRDefault="00B304F4" w:rsidP="000D6F6E">
      <w:pPr>
        <w:spacing w:line="240" w:lineRule="auto"/>
        <w:rPr>
          <w:rFonts w:ascii="Times New Roman" w:hAnsi="Times New Roman" w:cs="Times New Roman"/>
          <w:sz w:val="24"/>
          <w:szCs w:val="24"/>
        </w:rPr>
      </w:pPr>
    </w:p>
    <w:p w14:paraId="18B20630" w14:textId="77777777" w:rsidR="009343A0" w:rsidRDefault="000D6F6E" w:rsidP="000D6F6E">
      <w:pPr>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INITIAL DECISION</w:t>
      </w:r>
    </w:p>
    <w:p w14:paraId="00A41098" w14:textId="77777777" w:rsidR="009343A0" w:rsidRDefault="00A06144" w:rsidP="00A06144">
      <w:pPr>
        <w:rPr>
          <w:rFonts w:ascii="Times New Roman" w:hAnsi="Times New Roman" w:cs="Times New Roman"/>
          <w:b/>
          <w:sz w:val="24"/>
          <w:szCs w:val="24"/>
        </w:rPr>
      </w:pPr>
      <w:r>
        <w:rPr>
          <w:rFonts w:ascii="Times New Roman" w:hAnsi="Times New Roman" w:cs="Times New Roman"/>
          <w:b/>
          <w:sz w:val="24"/>
          <w:szCs w:val="24"/>
        </w:rPr>
        <w:t>APPEARANCES;</w:t>
      </w:r>
    </w:p>
    <w:p w14:paraId="311D50B1" w14:textId="77777777" w:rsidR="00A06144" w:rsidRDefault="00A06144" w:rsidP="00BD0FAE">
      <w:pPr>
        <w:spacing w:line="240" w:lineRule="auto"/>
        <w:rPr>
          <w:rFonts w:ascii="Times New Roman" w:hAnsi="Times New Roman" w:cs="Times New Roman"/>
          <w:b/>
          <w:sz w:val="24"/>
          <w:szCs w:val="24"/>
        </w:rPr>
      </w:pPr>
      <w:r>
        <w:rPr>
          <w:rFonts w:ascii="Times New Roman" w:hAnsi="Times New Roman" w:cs="Times New Roman"/>
          <w:b/>
          <w:sz w:val="24"/>
          <w:szCs w:val="24"/>
        </w:rPr>
        <w:tab/>
        <w:t xml:space="preserve">On behalf of </w:t>
      </w:r>
      <w:proofErr w:type="spellStart"/>
      <w:r>
        <w:rPr>
          <w:rFonts w:ascii="Times New Roman" w:hAnsi="Times New Roman" w:cs="Times New Roman"/>
          <w:b/>
          <w:sz w:val="24"/>
          <w:szCs w:val="24"/>
        </w:rPr>
        <w:t>Sawnee</w:t>
      </w:r>
      <w:proofErr w:type="spellEnd"/>
      <w:r w:rsidR="00BD0FAE">
        <w:rPr>
          <w:rFonts w:ascii="Times New Roman" w:hAnsi="Times New Roman" w:cs="Times New Roman"/>
          <w:b/>
          <w:sz w:val="24"/>
          <w:szCs w:val="24"/>
        </w:rPr>
        <w:t xml:space="preserve"> Electric Membership Corporation</w:t>
      </w:r>
      <w:r>
        <w:rPr>
          <w:rFonts w:ascii="Times New Roman" w:hAnsi="Times New Roman" w:cs="Times New Roman"/>
          <w:b/>
          <w:sz w:val="24"/>
          <w:szCs w:val="24"/>
        </w:rPr>
        <w:t>:</w:t>
      </w:r>
    </w:p>
    <w:p w14:paraId="4CAD55FE" w14:textId="77777777" w:rsidR="00A06144" w:rsidRDefault="00A06144" w:rsidP="003D1F35">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BD0FAE">
        <w:rPr>
          <w:rFonts w:ascii="Times New Roman" w:hAnsi="Times New Roman" w:cs="Times New Roman"/>
          <w:sz w:val="24"/>
          <w:szCs w:val="24"/>
        </w:rPr>
        <w:t>James Orr, Esq.</w:t>
      </w:r>
    </w:p>
    <w:p w14:paraId="30C8BF63" w14:textId="77777777" w:rsidR="003D1F35" w:rsidRDefault="003D1F35" w:rsidP="003D1F3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Lee </w:t>
      </w:r>
      <w:proofErr w:type="spellStart"/>
      <w:r>
        <w:rPr>
          <w:rFonts w:ascii="Times New Roman" w:hAnsi="Times New Roman" w:cs="Times New Roman"/>
          <w:sz w:val="24"/>
          <w:szCs w:val="24"/>
        </w:rPr>
        <w:t>Peifer</w:t>
      </w:r>
      <w:proofErr w:type="spellEnd"/>
      <w:r>
        <w:rPr>
          <w:rFonts w:ascii="Times New Roman" w:hAnsi="Times New Roman" w:cs="Times New Roman"/>
          <w:sz w:val="24"/>
          <w:szCs w:val="24"/>
        </w:rPr>
        <w:t>, Esq.</w:t>
      </w:r>
    </w:p>
    <w:p w14:paraId="20630D7C" w14:textId="77777777" w:rsidR="003D1F35" w:rsidRDefault="003D1F35" w:rsidP="003D1F35">
      <w:pPr>
        <w:spacing w:after="0" w:line="240" w:lineRule="auto"/>
        <w:rPr>
          <w:rFonts w:ascii="Times New Roman" w:hAnsi="Times New Roman" w:cs="Times New Roman"/>
          <w:sz w:val="24"/>
          <w:szCs w:val="24"/>
        </w:rPr>
      </w:pPr>
    </w:p>
    <w:p w14:paraId="130923B1" w14:textId="77777777" w:rsidR="00BD0FAE" w:rsidRDefault="00BD0FAE" w:rsidP="00BD0FAE">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On behalf of Georgia Power Company:</w:t>
      </w:r>
    </w:p>
    <w:p w14:paraId="60AB0861" w14:textId="77777777" w:rsidR="0035081A" w:rsidRDefault="0035081A" w:rsidP="005E6780">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Steve </w:t>
      </w:r>
      <w:r w:rsidR="005E6780">
        <w:rPr>
          <w:rFonts w:ascii="Times New Roman" w:hAnsi="Times New Roman" w:cs="Times New Roman"/>
          <w:sz w:val="24"/>
          <w:szCs w:val="24"/>
        </w:rPr>
        <w:t>J. Hewitson, Esq.</w:t>
      </w:r>
    </w:p>
    <w:p w14:paraId="1C6D4B3B" w14:textId="77777777" w:rsidR="008C6013" w:rsidRDefault="005E6780" w:rsidP="005E6780">
      <w:pPr>
        <w:spacing w:after="0" w:line="240" w:lineRule="auto"/>
        <w:rPr>
          <w:rFonts w:ascii="Times New Roman" w:hAnsi="Times New Roman" w:cs="Times New Roman"/>
          <w:sz w:val="24"/>
          <w:szCs w:val="24"/>
        </w:rPr>
      </w:pPr>
      <w:r>
        <w:rPr>
          <w:rFonts w:ascii="Times New Roman" w:hAnsi="Times New Roman" w:cs="Times New Roman"/>
          <w:sz w:val="24"/>
          <w:szCs w:val="24"/>
        </w:rPr>
        <w:tab/>
        <w:t>Allison W. Pryor, Esq.</w:t>
      </w:r>
    </w:p>
    <w:p w14:paraId="27EBCFAE" w14:textId="77777777" w:rsidR="008C6013" w:rsidRDefault="008C6013" w:rsidP="005E6780">
      <w:pPr>
        <w:spacing w:after="0" w:line="240" w:lineRule="auto"/>
        <w:rPr>
          <w:rFonts w:ascii="Times New Roman" w:hAnsi="Times New Roman" w:cs="Times New Roman"/>
          <w:sz w:val="24"/>
          <w:szCs w:val="24"/>
        </w:rPr>
      </w:pPr>
    </w:p>
    <w:p w14:paraId="1C8B175C" w14:textId="77777777" w:rsidR="008C6013" w:rsidRDefault="008C6013" w:rsidP="005E678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On behalf of Tesla:</w:t>
      </w:r>
    </w:p>
    <w:p w14:paraId="1F0BF366" w14:textId="77777777" w:rsidR="008C6013" w:rsidRDefault="008C6013" w:rsidP="005E6780">
      <w:pPr>
        <w:spacing w:after="0" w:line="240" w:lineRule="auto"/>
        <w:rPr>
          <w:rFonts w:ascii="Times New Roman" w:hAnsi="Times New Roman" w:cs="Times New Roman"/>
          <w:b/>
          <w:sz w:val="24"/>
          <w:szCs w:val="24"/>
        </w:rPr>
      </w:pPr>
    </w:p>
    <w:p w14:paraId="288554C4" w14:textId="77777777" w:rsidR="008C6013" w:rsidRDefault="008C6013" w:rsidP="005E6780">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B51A58">
        <w:rPr>
          <w:rFonts w:ascii="Times New Roman" w:hAnsi="Times New Roman" w:cs="Times New Roman"/>
          <w:sz w:val="24"/>
          <w:szCs w:val="24"/>
        </w:rPr>
        <w:t>B</w:t>
      </w:r>
      <w:r w:rsidR="003D4442">
        <w:rPr>
          <w:rFonts w:ascii="Times New Roman" w:hAnsi="Times New Roman" w:cs="Times New Roman"/>
          <w:sz w:val="24"/>
          <w:szCs w:val="24"/>
        </w:rPr>
        <w:t>ernice I.</w:t>
      </w:r>
      <w:r w:rsidR="00B51A58">
        <w:rPr>
          <w:rFonts w:ascii="Times New Roman" w:hAnsi="Times New Roman" w:cs="Times New Roman"/>
          <w:sz w:val="24"/>
          <w:szCs w:val="24"/>
        </w:rPr>
        <w:t xml:space="preserve"> Corman, Esq.</w:t>
      </w:r>
    </w:p>
    <w:p w14:paraId="1E11AC56" w14:textId="77777777" w:rsidR="00B51A58" w:rsidRDefault="00B51A58" w:rsidP="005E6780">
      <w:pPr>
        <w:spacing w:after="0" w:line="240" w:lineRule="auto"/>
        <w:rPr>
          <w:rFonts w:ascii="Times New Roman" w:hAnsi="Times New Roman" w:cs="Times New Roman"/>
          <w:sz w:val="24"/>
          <w:szCs w:val="24"/>
        </w:rPr>
      </w:pPr>
    </w:p>
    <w:p w14:paraId="270D1D82" w14:textId="77777777" w:rsidR="00B51A58" w:rsidRDefault="00B51A58" w:rsidP="005E6780">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B51A58">
        <w:rPr>
          <w:rFonts w:ascii="Times New Roman" w:hAnsi="Times New Roman" w:cs="Times New Roman"/>
          <w:b/>
          <w:sz w:val="24"/>
          <w:szCs w:val="24"/>
        </w:rPr>
        <w:t>On behalf of Electrify America</w:t>
      </w:r>
      <w:r>
        <w:rPr>
          <w:rFonts w:ascii="Times New Roman" w:hAnsi="Times New Roman" w:cs="Times New Roman"/>
          <w:b/>
          <w:sz w:val="24"/>
          <w:szCs w:val="24"/>
        </w:rPr>
        <w:t>:</w:t>
      </w:r>
    </w:p>
    <w:p w14:paraId="3D31DBE5" w14:textId="77777777" w:rsidR="00B51A58" w:rsidRDefault="00B51A58" w:rsidP="005E6780">
      <w:pPr>
        <w:spacing w:after="0" w:line="240" w:lineRule="auto"/>
        <w:rPr>
          <w:rFonts w:ascii="Times New Roman" w:hAnsi="Times New Roman" w:cs="Times New Roman"/>
          <w:sz w:val="24"/>
          <w:szCs w:val="24"/>
        </w:rPr>
      </w:pPr>
    </w:p>
    <w:p w14:paraId="3CCDA799" w14:textId="77777777" w:rsidR="00B51A58" w:rsidRDefault="00B51A58" w:rsidP="005E678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3B1C">
        <w:rPr>
          <w:rFonts w:ascii="Times New Roman" w:hAnsi="Times New Roman" w:cs="Times New Roman"/>
          <w:sz w:val="24"/>
          <w:szCs w:val="24"/>
        </w:rPr>
        <w:t>Robert S. Highsmith, Jr., Esq.</w:t>
      </w:r>
    </w:p>
    <w:p w14:paraId="38A37665" w14:textId="77777777" w:rsidR="00AC71E0" w:rsidRDefault="00AC71E0" w:rsidP="005E6780">
      <w:pPr>
        <w:spacing w:after="0" w:line="240" w:lineRule="auto"/>
        <w:rPr>
          <w:rFonts w:ascii="Times New Roman" w:hAnsi="Times New Roman" w:cs="Times New Roman"/>
          <w:sz w:val="24"/>
          <w:szCs w:val="24"/>
        </w:rPr>
      </w:pPr>
      <w:r>
        <w:rPr>
          <w:rFonts w:ascii="Times New Roman" w:hAnsi="Times New Roman" w:cs="Times New Roman"/>
          <w:sz w:val="24"/>
          <w:szCs w:val="24"/>
        </w:rPr>
        <w:tab/>
        <w:t>Graham T. Coates</w:t>
      </w:r>
      <w:r w:rsidR="005514A9">
        <w:rPr>
          <w:rFonts w:ascii="Times New Roman" w:hAnsi="Times New Roman" w:cs="Times New Roman"/>
          <w:sz w:val="24"/>
          <w:szCs w:val="24"/>
        </w:rPr>
        <w:t>, Esq.</w:t>
      </w:r>
    </w:p>
    <w:p w14:paraId="7201C40D" w14:textId="77777777" w:rsidR="005F03EC" w:rsidRDefault="005F03EC" w:rsidP="005E6780">
      <w:pPr>
        <w:spacing w:after="0" w:line="240" w:lineRule="auto"/>
        <w:rPr>
          <w:rFonts w:ascii="Times New Roman" w:hAnsi="Times New Roman" w:cs="Times New Roman"/>
          <w:sz w:val="24"/>
          <w:szCs w:val="24"/>
        </w:rPr>
      </w:pPr>
    </w:p>
    <w:p w14:paraId="48CB0BE0" w14:textId="77777777" w:rsidR="00A33B1C" w:rsidRDefault="00A33B1C" w:rsidP="005E6780">
      <w:pPr>
        <w:spacing w:after="0" w:line="240" w:lineRule="auto"/>
        <w:rPr>
          <w:rFonts w:ascii="Times New Roman" w:hAnsi="Times New Roman" w:cs="Times New Roman"/>
          <w:sz w:val="24"/>
          <w:szCs w:val="24"/>
        </w:rPr>
      </w:pPr>
    </w:p>
    <w:p w14:paraId="3093729B" w14:textId="77777777" w:rsidR="0064137F" w:rsidRDefault="001B44C2" w:rsidP="0064137F">
      <w:pPr>
        <w:pStyle w:val="ListParagraph"/>
        <w:numPr>
          <w:ilvl w:val="0"/>
          <w:numId w:val="1"/>
        </w:numPr>
        <w:spacing w:after="0" w:line="240" w:lineRule="auto"/>
        <w:rPr>
          <w:rFonts w:ascii="Times New Roman" w:hAnsi="Times New Roman" w:cs="Times New Roman"/>
          <w:b/>
          <w:sz w:val="24"/>
          <w:szCs w:val="24"/>
          <w:u w:val="single"/>
        </w:rPr>
      </w:pPr>
      <w:r w:rsidRPr="001B44C2">
        <w:rPr>
          <w:rFonts w:ascii="Times New Roman" w:hAnsi="Times New Roman" w:cs="Times New Roman"/>
          <w:b/>
          <w:sz w:val="24"/>
          <w:szCs w:val="24"/>
          <w:u w:val="single"/>
        </w:rPr>
        <w:t>Statement of Proceedings</w:t>
      </w:r>
    </w:p>
    <w:p w14:paraId="23A0832B" w14:textId="77777777" w:rsidR="0064137F" w:rsidRDefault="0064137F" w:rsidP="0064137F">
      <w:pPr>
        <w:spacing w:after="0" w:line="240" w:lineRule="auto"/>
        <w:rPr>
          <w:rFonts w:ascii="Times New Roman" w:hAnsi="Times New Roman" w:cs="Times New Roman"/>
          <w:sz w:val="24"/>
          <w:szCs w:val="24"/>
        </w:rPr>
      </w:pPr>
    </w:p>
    <w:p w14:paraId="5FD4E0CF" w14:textId="77777777" w:rsidR="004011FC" w:rsidRPr="001E2C14" w:rsidRDefault="00C92B6B" w:rsidP="00CF6472">
      <w:pPr>
        <w:spacing w:after="0" w:line="240" w:lineRule="auto"/>
        <w:ind w:firstLine="360"/>
        <w:jc w:val="both"/>
        <w:rPr>
          <w:rFonts w:ascii="Times New Roman" w:hAnsi="Times New Roman" w:cs="Times New Roman"/>
          <w:sz w:val="24"/>
          <w:szCs w:val="24"/>
        </w:rPr>
      </w:pPr>
      <w:r w:rsidRPr="001E2C14">
        <w:rPr>
          <w:rFonts w:ascii="Times New Roman" w:hAnsi="Times New Roman" w:cs="Times New Roman"/>
          <w:sz w:val="24"/>
          <w:szCs w:val="24"/>
        </w:rPr>
        <w:t xml:space="preserve">This proceeding was initiated by </w:t>
      </w:r>
      <w:proofErr w:type="spellStart"/>
      <w:r w:rsidRPr="001E2C14">
        <w:rPr>
          <w:rFonts w:ascii="Times New Roman" w:hAnsi="Times New Roman" w:cs="Times New Roman"/>
          <w:sz w:val="24"/>
          <w:szCs w:val="24"/>
        </w:rPr>
        <w:t>S</w:t>
      </w:r>
      <w:r w:rsidR="0098302D" w:rsidRPr="001E2C14">
        <w:rPr>
          <w:rFonts w:ascii="Times New Roman" w:hAnsi="Times New Roman" w:cs="Times New Roman"/>
          <w:sz w:val="24"/>
          <w:szCs w:val="24"/>
        </w:rPr>
        <w:t>awnee</w:t>
      </w:r>
      <w:proofErr w:type="spellEnd"/>
      <w:r w:rsidR="0098302D" w:rsidRPr="001E2C14">
        <w:rPr>
          <w:rFonts w:ascii="Times New Roman" w:hAnsi="Times New Roman" w:cs="Times New Roman"/>
          <w:sz w:val="24"/>
          <w:szCs w:val="24"/>
        </w:rPr>
        <w:t xml:space="preserve"> Electric Membership Corporation (“</w:t>
      </w:r>
      <w:proofErr w:type="spellStart"/>
      <w:r w:rsidR="0098302D" w:rsidRPr="001E2C14">
        <w:rPr>
          <w:rFonts w:ascii="Times New Roman" w:hAnsi="Times New Roman" w:cs="Times New Roman"/>
          <w:sz w:val="24"/>
          <w:szCs w:val="24"/>
        </w:rPr>
        <w:t>Sawnee</w:t>
      </w:r>
      <w:proofErr w:type="spellEnd"/>
      <w:r w:rsidR="0098302D" w:rsidRPr="001E2C14">
        <w:rPr>
          <w:rFonts w:ascii="Times New Roman" w:hAnsi="Times New Roman" w:cs="Times New Roman"/>
          <w:sz w:val="24"/>
          <w:szCs w:val="24"/>
        </w:rPr>
        <w:t>”)</w:t>
      </w:r>
      <w:r w:rsidR="001D7FB4" w:rsidRPr="001E2C14">
        <w:rPr>
          <w:rFonts w:ascii="Times New Roman" w:hAnsi="Times New Roman" w:cs="Times New Roman"/>
          <w:sz w:val="24"/>
          <w:szCs w:val="24"/>
        </w:rPr>
        <w:t xml:space="preserve"> </w:t>
      </w:r>
      <w:r w:rsidR="0098302D" w:rsidRPr="001E2C14">
        <w:rPr>
          <w:rFonts w:ascii="Times New Roman" w:hAnsi="Times New Roman" w:cs="Times New Roman"/>
          <w:sz w:val="24"/>
          <w:szCs w:val="24"/>
        </w:rPr>
        <w:t xml:space="preserve">upon </w:t>
      </w:r>
      <w:r w:rsidR="00903E8C" w:rsidRPr="001E2C14">
        <w:rPr>
          <w:rFonts w:ascii="Times New Roman" w:hAnsi="Times New Roman" w:cs="Times New Roman"/>
          <w:sz w:val="24"/>
          <w:szCs w:val="24"/>
        </w:rPr>
        <w:t>its</w:t>
      </w:r>
      <w:r w:rsidR="0064137F" w:rsidRPr="001E2C14">
        <w:rPr>
          <w:rFonts w:ascii="Times New Roman" w:hAnsi="Times New Roman" w:cs="Times New Roman"/>
          <w:sz w:val="24"/>
          <w:szCs w:val="24"/>
        </w:rPr>
        <w:t xml:space="preserve"> submission</w:t>
      </w:r>
      <w:r w:rsidR="00E25CA9" w:rsidRPr="001E2C14">
        <w:rPr>
          <w:rFonts w:ascii="Times New Roman" w:hAnsi="Times New Roman" w:cs="Times New Roman"/>
          <w:sz w:val="24"/>
          <w:szCs w:val="24"/>
        </w:rPr>
        <w:t>, on May 21, 2021,</w:t>
      </w:r>
      <w:r w:rsidR="0064137F" w:rsidRPr="001E2C14">
        <w:rPr>
          <w:rFonts w:ascii="Times New Roman" w:hAnsi="Times New Roman" w:cs="Times New Roman"/>
          <w:sz w:val="24"/>
          <w:szCs w:val="24"/>
        </w:rPr>
        <w:t xml:space="preserve"> </w:t>
      </w:r>
      <w:r w:rsidR="00CD7DE3" w:rsidRPr="001E2C14">
        <w:rPr>
          <w:rFonts w:ascii="Times New Roman" w:hAnsi="Times New Roman" w:cs="Times New Roman"/>
          <w:sz w:val="24"/>
          <w:szCs w:val="24"/>
        </w:rPr>
        <w:t xml:space="preserve">to the Georgia Public Service Commission (“Commission”) </w:t>
      </w:r>
      <w:r w:rsidR="0064137F" w:rsidRPr="001E2C14">
        <w:rPr>
          <w:rFonts w:ascii="Times New Roman" w:hAnsi="Times New Roman" w:cs="Times New Roman"/>
          <w:sz w:val="24"/>
          <w:szCs w:val="24"/>
        </w:rPr>
        <w:t xml:space="preserve">of </w:t>
      </w:r>
      <w:r w:rsidR="00CE21FF">
        <w:rPr>
          <w:rFonts w:ascii="Times New Roman" w:hAnsi="Times New Roman" w:cs="Times New Roman"/>
          <w:sz w:val="24"/>
          <w:szCs w:val="24"/>
        </w:rPr>
        <w:t xml:space="preserve">the </w:t>
      </w:r>
      <w:r w:rsidR="0064137F" w:rsidRPr="001E2C14">
        <w:rPr>
          <w:rFonts w:ascii="Times New Roman" w:hAnsi="Times New Roman" w:cs="Times New Roman"/>
          <w:sz w:val="24"/>
          <w:szCs w:val="24"/>
        </w:rPr>
        <w:t>Petition</w:t>
      </w:r>
      <w:r w:rsidR="00553D98" w:rsidRPr="001E2C14">
        <w:rPr>
          <w:rFonts w:ascii="Times New Roman" w:hAnsi="Times New Roman" w:cs="Times New Roman"/>
          <w:sz w:val="24"/>
          <w:szCs w:val="24"/>
        </w:rPr>
        <w:t xml:space="preserve"> </w:t>
      </w:r>
      <w:r w:rsidR="006C0682" w:rsidRPr="001E2C14">
        <w:rPr>
          <w:rFonts w:ascii="Times New Roman" w:hAnsi="Times New Roman" w:cs="Times New Roman"/>
          <w:sz w:val="24"/>
          <w:szCs w:val="24"/>
        </w:rPr>
        <w:t>o</w:t>
      </w:r>
      <w:r w:rsidR="00553D98" w:rsidRPr="001E2C14">
        <w:rPr>
          <w:rFonts w:ascii="Times New Roman" w:hAnsi="Times New Roman" w:cs="Times New Roman"/>
          <w:sz w:val="24"/>
          <w:szCs w:val="24"/>
        </w:rPr>
        <w:t xml:space="preserve">f </w:t>
      </w:r>
      <w:proofErr w:type="spellStart"/>
      <w:r w:rsidR="00553D98" w:rsidRPr="001E2C14">
        <w:rPr>
          <w:rFonts w:ascii="Times New Roman" w:hAnsi="Times New Roman" w:cs="Times New Roman"/>
          <w:sz w:val="24"/>
          <w:szCs w:val="24"/>
        </w:rPr>
        <w:t>Sawnee</w:t>
      </w:r>
      <w:proofErr w:type="spellEnd"/>
      <w:r w:rsidR="00553D98" w:rsidRPr="001E2C14">
        <w:rPr>
          <w:rFonts w:ascii="Times New Roman" w:hAnsi="Times New Roman" w:cs="Times New Roman"/>
          <w:sz w:val="24"/>
          <w:szCs w:val="24"/>
        </w:rPr>
        <w:t xml:space="preserve"> EMC (“Petition”)</w:t>
      </w:r>
      <w:r w:rsidR="00EE3BB3" w:rsidRPr="001E2C14">
        <w:rPr>
          <w:rFonts w:ascii="Times New Roman" w:hAnsi="Times New Roman" w:cs="Times New Roman"/>
          <w:sz w:val="24"/>
          <w:szCs w:val="24"/>
        </w:rPr>
        <w:t xml:space="preserve">. </w:t>
      </w:r>
      <w:r w:rsidR="00FF2F40" w:rsidRPr="001E2C14">
        <w:rPr>
          <w:rFonts w:ascii="Times New Roman" w:hAnsi="Times New Roman" w:cs="Times New Roman"/>
          <w:sz w:val="24"/>
          <w:szCs w:val="24"/>
        </w:rPr>
        <w:t xml:space="preserve">The Petition </w:t>
      </w:r>
      <w:r w:rsidR="00E25CA9" w:rsidRPr="001E2C14">
        <w:rPr>
          <w:rFonts w:ascii="Times New Roman" w:hAnsi="Times New Roman" w:cs="Times New Roman"/>
          <w:sz w:val="24"/>
          <w:szCs w:val="24"/>
        </w:rPr>
        <w:t>alleg</w:t>
      </w:r>
      <w:r w:rsidR="00FF2F40" w:rsidRPr="001E2C14">
        <w:rPr>
          <w:rFonts w:ascii="Times New Roman" w:hAnsi="Times New Roman" w:cs="Times New Roman"/>
          <w:sz w:val="24"/>
          <w:szCs w:val="24"/>
        </w:rPr>
        <w:t>e</w:t>
      </w:r>
      <w:r w:rsidR="00BF2CDA" w:rsidRPr="001E2C14">
        <w:rPr>
          <w:rFonts w:ascii="Times New Roman" w:hAnsi="Times New Roman" w:cs="Times New Roman"/>
          <w:sz w:val="24"/>
          <w:szCs w:val="24"/>
        </w:rPr>
        <w:t>d</w:t>
      </w:r>
      <w:r w:rsidR="00FF2F40" w:rsidRPr="001E2C14">
        <w:rPr>
          <w:rFonts w:ascii="Times New Roman" w:hAnsi="Times New Roman" w:cs="Times New Roman"/>
          <w:sz w:val="24"/>
          <w:szCs w:val="24"/>
        </w:rPr>
        <w:t xml:space="preserve"> that</w:t>
      </w:r>
      <w:r w:rsidR="00E25CA9" w:rsidRPr="001E2C14">
        <w:rPr>
          <w:rFonts w:ascii="Times New Roman" w:hAnsi="Times New Roman" w:cs="Times New Roman"/>
          <w:sz w:val="24"/>
          <w:szCs w:val="24"/>
        </w:rPr>
        <w:t xml:space="preserve"> </w:t>
      </w:r>
      <w:r w:rsidR="00D1420B" w:rsidRPr="001E2C14">
        <w:rPr>
          <w:rFonts w:ascii="Times New Roman" w:hAnsi="Times New Roman" w:cs="Times New Roman"/>
          <w:sz w:val="24"/>
          <w:szCs w:val="24"/>
        </w:rPr>
        <w:t xml:space="preserve">the </w:t>
      </w:r>
      <w:r w:rsidR="00EE3BB3" w:rsidRPr="001E2C14">
        <w:rPr>
          <w:rFonts w:ascii="Times New Roman" w:hAnsi="Times New Roman" w:cs="Times New Roman"/>
          <w:sz w:val="24"/>
          <w:szCs w:val="24"/>
        </w:rPr>
        <w:t xml:space="preserve">Georgia Power </w:t>
      </w:r>
      <w:r w:rsidR="00D1420B" w:rsidRPr="001E2C14">
        <w:rPr>
          <w:rFonts w:ascii="Times New Roman" w:hAnsi="Times New Roman" w:cs="Times New Roman"/>
          <w:sz w:val="24"/>
          <w:szCs w:val="24"/>
        </w:rPr>
        <w:t>Company</w:t>
      </w:r>
      <w:r w:rsidR="00EE3BB3" w:rsidRPr="001E2C14">
        <w:rPr>
          <w:rFonts w:ascii="Times New Roman" w:hAnsi="Times New Roman" w:cs="Times New Roman"/>
          <w:sz w:val="24"/>
          <w:szCs w:val="24"/>
        </w:rPr>
        <w:t xml:space="preserve"> (“Georgia Power”)</w:t>
      </w:r>
      <w:r w:rsidR="00D1420B" w:rsidRPr="001E2C14">
        <w:rPr>
          <w:rFonts w:ascii="Times New Roman" w:hAnsi="Times New Roman" w:cs="Times New Roman"/>
          <w:sz w:val="24"/>
          <w:szCs w:val="24"/>
        </w:rPr>
        <w:t xml:space="preserve"> violated</w:t>
      </w:r>
      <w:r w:rsidR="00E25CA9" w:rsidRPr="001E2C14">
        <w:rPr>
          <w:rFonts w:ascii="Times New Roman" w:hAnsi="Times New Roman" w:cs="Times New Roman"/>
          <w:sz w:val="24"/>
          <w:szCs w:val="24"/>
        </w:rPr>
        <w:t xml:space="preserve"> the </w:t>
      </w:r>
      <w:r w:rsidR="00D1420B" w:rsidRPr="001E2C14">
        <w:rPr>
          <w:rFonts w:ascii="Times New Roman" w:hAnsi="Times New Roman" w:cs="Times New Roman"/>
          <w:sz w:val="24"/>
          <w:szCs w:val="24"/>
        </w:rPr>
        <w:t xml:space="preserve">Georgia Territorial </w:t>
      </w:r>
      <w:r w:rsidR="006C0682" w:rsidRPr="001E2C14">
        <w:rPr>
          <w:rFonts w:ascii="Times New Roman" w:hAnsi="Times New Roman" w:cs="Times New Roman"/>
          <w:sz w:val="24"/>
          <w:szCs w:val="24"/>
        </w:rPr>
        <w:t>Electric</w:t>
      </w:r>
      <w:r w:rsidR="00D1420B" w:rsidRPr="001E2C14">
        <w:rPr>
          <w:rFonts w:ascii="Times New Roman" w:hAnsi="Times New Roman" w:cs="Times New Roman"/>
          <w:sz w:val="24"/>
          <w:szCs w:val="24"/>
        </w:rPr>
        <w:t xml:space="preserve"> Service Act </w:t>
      </w:r>
      <w:r w:rsidR="007C1F41" w:rsidRPr="001E2C14">
        <w:rPr>
          <w:rFonts w:ascii="Times New Roman" w:hAnsi="Times New Roman" w:cs="Times New Roman"/>
          <w:sz w:val="24"/>
          <w:szCs w:val="24"/>
        </w:rPr>
        <w:t>(</w:t>
      </w:r>
      <w:r w:rsidR="0070796E" w:rsidRPr="001E2C14">
        <w:rPr>
          <w:rFonts w:ascii="Times New Roman" w:hAnsi="Times New Roman" w:cs="Times New Roman"/>
          <w:sz w:val="24"/>
          <w:szCs w:val="24"/>
        </w:rPr>
        <w:t>“</w:t>
      </w:r>
      <w:r w:rsidR="007C1F41" w:rsidRPr="001E2C14">
        <w:rPr>
          <w:rFonts w:ascii="Times New Roman" w:hAnsi="Times New Roman" w:cs="Times New Roman"/>
          <w:sz w:val="24"/>
          <w:szCs w:val="24"/>
        </w:rPr>
        <w:t>the</w:t>
      </w:r>
      <w:r w:rsidR="0047321F" w:rsidRPr="001E2C14">
        <w:rPr>
          <w:rFonts w:ascii="Times New Roman" w:hAnsi="Times New Roman" w:cs="Times New Roman"/>
          <w:sz w:val="24"/>
          <w:szCs w:val="24"/>
        </w:rPr>
        <w:t xml:space="preserve"> </w:t>
      </w:r>
      <w:r w:rsidR="00356D65" w:rsidRPr="001E2C14">
        <w:rPr>
          <w:rFonts w:ascii="Times New Roman" w:hAnsi="Times New Roman" w:cs="Times New Roman"/>
          <w:sz w:val="24"/>
          <w:szCs w:val="24"/>
        </w:rPr>
        <w:t>Act</w:t>
      </w:r>
      <w:r w:rsidR="00D1420B" w:rsidRPr="001E2C14">
        <w:rPr>
          <w:rFonts w:ascii="Times New Roman" w:hAnsi="Times New Roman" w:cs="Times New Roman"/>
          <w:sz w:val="24"/>
          <w:szCs w:val="24"/>
        </w:rPr>
        <w:t xml:space="preserve">”) by installing four electric vehicle </w:t>
      </w:r>
      <w:r w:rsidR="000A0430" w:rsidRPr="001E2C14">
        <w:rPr>
          <w:rFonts w:ascii="Times New Roman" w:hAnsi="Times New Roman" w:cs="Times New Roman"/>
          <w:sz w:val="24"/>
          <w:szCs w:val="24"/>
        </w:rPr>
        <w:t>(“EV”)</w:t>
      </w:r>
      <w:r w:rsidR="000F296C" w:rsidRPr="001E2C14">
        <w:rPr>
          <w:rFonts w:ascii="Times New Roman" w:hAnsi="Times New Roman" w:cs="Times New Roman"/>
          <w:sz w:val="24"/>
          <w:szCs w:val="24"/>
        </w:rPr>
        <w:t xml:space="preserve"> </w:t>
      </w:r>
      <w:r w:rsidR="00D1420B" w:rsidRPr="001E2C14">
        <w:rPr>
          <w:rFonts w:ascii="Times New Roman" w:hAnsi="Times New Roman" w:cs="Times New Roman"/>
          <w:sz w:val="24"/>
          <w:szCs w:val="24"/>
        </w:rPr>
        <w:t>chargers at</w:t>
      </w:r>
      <w:r w:rsidR="00FF2F40" w:rsidRPr="001E2C14">
        <w:rPr>
          <w:rFonts w:ascii="Times New Roman" w:hAnsi="Times New Roman" w:cs="Times New Roman"/>
          <w:sz w:val="24"/>
          <w:szCs w:val="24"/>
        </w:rPr>
        <w:t xml:space="preserve"> Johns Creek</w:t>
      </w:r>
      <w:r w:rsidR="0032204F" w:rsidRPr="001E2C14">
        <w:rPr>
          <w:rFonts w:ascii="Times New Roman" w:hAnsi="Times New Roman" w:cs="Times New Roman"/>
          <w:sz w:val="24"/>
          <w:szCs w:val="24"/>
        </w:rPr>
        <w:t xml:space="preserve"> Town Center Shopping Mall located in </w:t>
      </w:r>
      <w:proofErr w:type="spellStart"/>
      <w:r w:rsidR="0032204F" w:rsidRPr="001E2C14">
        <w:rPr>
          <w:rFonts w:ascii="Times New Roman" w:hAnsi="Times New Roman" w:cs="Times New Roman"/>
          <w:sz w:val="24"/>
          <w:szCs w:val="24"/>
        </w:rPr>
        <w:t>Sawnee</w:t>
      </w:r>
      <w:proofErr w:type="spellEnd"/>
      <w:r w:rsidR="0032204F" w:rsidRPr="001E2C14">
        <w:rPr>
          <w:rFonts w:ascii="Times New Roman" w:hAnsi="Times New Roman" w:cs="Times New Roman"/>
          <w:sz w:val="24"/>
          <w:szCs w:val="24"/>
        </w:rPr>
        <w:t>,</w:t>
      </w:r>
      <w:r w:rsidR="0047321F" w:rsidRPr="001E2C14">
        <w:rPr>
          <w:rFonts w:ascii="Times New Roman" w:hAnsi="Times New Roman" w:cs="Times New Roman"/>
          <w:sz w:val="24"/>
          <w:szCs w:val="24"/>
        </w:rPr>
        <w:t xml:space="preserve"> </w:t>
      </w:r>
      <w:r w:rsidR="0032204F" w:rsidRPr="001E2C14">
        <w:rPr>
          <w:rFonts w:ascii="Times New Roman" w:hAnsi="Times New Roman" w:cs="Times New Roman"/>
          <w:sz w:val="24"/>
          <w:szCs w:val="24"/>
        </w:rPr>
        <w:t>Georgia</w:t>
      </w:r>
      <w:r w:rsidR="0087793A" w:rsidRPr="001E2C14">
        <w:rPr>
          <w:rFonts w:ascii="Times New Roman" w:hAnsi="Times New Roman" w:cs="Times New Roman"/>
          <w:sz w:val="24"/>
          <w:szCs w:val="24"/>
        </w:rPr>
        <w:t>.</w:t>
      </w:r>
    </w:p>
    <w:p w14:paraId="04C15D63" w14:textId="77777777" w:rsidR="00A021FE" w:rsidRPr="001E2C14" w:rsidRDefault="00A021FE" w:rsidP="00CF6472">
      <w:pPr>
        <w:spacing w:after="0" w:line="240" w:lineRule="auto"/>
        <w:jc w:val="both"/>
        <w:rPr>
          <w:rFonts w:ascii="Times New Roman" w:hAnsi="Times New Roman" w:cs="Times New Roman"/>
          <w:sz w:val="24"/>
          <w:szCs w:val="24"/>
        </w:rPr>
      </w:pPr>
    </w:p>
    <w:p w14:paraId="09285FEE" w14:textId="77777777" w:rsidR="000F296C" w:rsidRPr="001E2C14" w:rsidRDefault="000E12D4" w:rsidP="00CF6472">
      <w:pPr>
        <w:spacing w:line="240" w:lineRule="auto"/>
        <w:ind w:firstLine="720"/>
        <w:jc w:val="both"/>
        <w:rPr>
          <w:rFonts w:ascii="Times New Roman" w:hAnsi="Times New Roman" w:cs="Times New Roman"/>
          <w:sz w:val="24"/>
          <w:szCs w:val="24"/>
        </w:rPr>
      </w:pP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requested the Commission</w:t>
      </w:r>
      <w:r w:rsidR="00356D65" w:rsidRPr="001E2C14">
        <w:rPr>
          <w:rFonts w:ascii="Times New Roman" w:hAnsi="Times New Roman" w:cs="Times New Roman"/>
          <w:sz w:val="24"/>
          <w:szCs w:val="24"/>
        </w:rPr>
        <w:t>:</w:t>
      </w:r>
      <w:r w:rsidRPr="001E2C14">
        <w:rPr>
          <w:rFonts w:ascii="Times New Roman" w:hAnsi="Times New Roman" w:cs="Times New Roman"/>
          <w:sz w:val="24"/>
          <w:szCs w:val="24"/>
        </w:rPr>
        <w:t xml:space="preserve"> find and determine that Georgia Power is in violation of the provisions of the Territorial Act by providing electric service to the chargers;</w:t>
      </w:r>
      <w:r w:rsidR="00356D65" w:rsidRPr="001E2C14">
        <w:rPr>
          <w:rFonts w:ascii="Times New Roman" w:hAnsi="Times New Roman" w:cs="Times New Roman"/>
          <w:sz w:val="24"/>
          <w:szCs w:val="24"/>
        </w:rPr>
        <w:t xml:space="preserve"> </w:t>
      </w:r>
      <w:r w:rsidRPr="001E2C14">
        <w:rPr>
          <w:rFonts w:ascii="Times New Roman" w:hAnsi="Times New Roman" w:cs="Times New Roman"/>
          <w:sz w:val="24"/>
          <w:szCs w:val="24"/>
        </w:rPr>
        <w:t xml:space="preserve"> </w:t>
      </w:r>
      <w:r w:rsidR="00356D65" w:rsidRPr="001E2C14">
        <w:rPr>
          <w:rFonts w:ascii="Times New Roman" w:hAnsi="Times New Roman" w:cs="Times New Roman"/>
          <w:sz w:val="24"/>
          <w:szCs w:val="24"/>
        </w:rPr>
        <w:t xml:space="preserve">find and determine </w:t>
      </w:r>
      <w:r w:rsidRPr="001E2C14">
        <w:rPr>
          <w:rFonts w:ascii="Times New Roman" w:hAnsi="Times New Roman" w:cs="Times New Roman"/>
          <w:sz w:val="24"/>
          <w:szCs w:val="24"/>
        </w:rPr>
        <w:t xml:space="preserve">that </w:t>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EMC is the sole lawful supplier of electric service to the chargers; </w:t>
      </w:r>
      <w:r w:rsidR="00356D65" w:rsidRPr="001E2C14">
        <w:rPr>
          <w:rFonts w:ascii="Times New Roman" w:hAnsi="Times New Roman" w:cs="Times New Roman"/>
          <w:sz w:val="24"/>
          <w:szCs w:val="24"/>
        </w:rPr>
        <w:t>O</w:t>
      </w:r>
      <w:r w:rsidRPr="001E2C14">
        <w:rPr>
          <w:rFonts w:ascii="Times New Roman" w:hAnsi="Times New Roman" w:cs="Times New Roman"/>
          <w:sz w:val="24"/>
          <w:szCs w:val="24"/>
        </w:rPr>
        <w:t xml:space="preserve">rder Georgia Power immediately to cease and desist from furnishing electric service to the chargers; </w:t>
      </w:r>
      <w:r w:rsidR="00356D65" w:rsidRPr="001E2C14">
        <w:rPr>
          <w:rFonts w:ascii="Times New Roman" w:hAnsi="Times New Roman" w:cs="Times New Roman"/>
          <w:sz w:val="24"/>
          <w:szCs w:val="24"/>
        </w:rPr>
        <w:t xml:space="preserve">and </w:t>
      </w:r>
      <w:r w:rsidRPr="001E2C14">
        <w:rPr>
          <w:rFonts w:ascii="Times New Roman" w:hAnsi="Times New Roman" w:cs="Times New Roman"/>
          <w:sz w:val="24"/>
          <w:szCs w:val="24"/>
        </w:rPr>
        <w:t xml:space="preserve">Order Georgia Power to disconnect the electric service provided by it to the chargers and transfer such service to </w:t>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EMC</w:t>
      </w:r>
      <w:r w:rsidR="00356D65" w:rsidRPr="001E2C14">
        <w:rPr>
          <w:rFonts w:ascii="Times New Roman" w:hAnsi="Times New Roman" w:cs="Times New Roman"/>
          <w:sz w:val="24"/>
          <w:szCs w:val="24"/>
        </w:rPr>
        <w:t>.</w:t>
      </w:r>
      <w:r w:rsidR="00E21172" w:rsidRPr="001E2C14">
        <w:rPr>
          <w:rStyle w:val="FootnoteReference"/>
          <w:rFonts w:ascii="Times New Roman" w:hAnsi="Times New Roman" w:cs="Times New Roman"/>
          <w:sz w:val="24"/>
          <w:szCs w:val="24"/>
        </w:rPr>
        <w:footnoteReference w:id="1"/>
      </w:r>
    </w:p>
    <w:p w14:paraId="6CF4F371" w14:textId="77777777" w:rsidR="000F296C" w:rsidRPr="001E2C14" w:rsidRDefault="00790113"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 xml:space="preserve">On June 21, 2021, </w:t>
      </w:r>
      <w:r w:rsidR="000F296C" w:rsidRPr="001E2C14">
        <w:rPr>
          <w:rFonts w:ascii="Times New Roman" w:hAnsi="Times New Roman" w:cs="Times New Roman"/>
          <w:sz w:val="24"/>
          <w:szCs w:val="24"/>
        </w:rPr>
        <w:t>Georgia Power denied the allegations</w:t>
      </w:r>
      <w:r w:rsidR="00084E17" w:rsidRPr="001E2C14">
        <w:rPr>
          <w:rFonts w:ascii="Times New Roman" w:hAnsi="Times New Roman" w:cs="Times New Roman"/>
          <w:sz w:val="24"/>
          <w:szCs w:val="24"/>
        </w:rPr>
        <w:t xml:space="preserve"> claiming that t</w:t>
      </w:r>
      <w:r w:rsidR="000F296C" w:rsidRPr="001E2C14">
        <w:rPr>
          <w:rFonts w:ascii="Times New Roman" w:hAnsi="Times New Roman" w:cs="Times New Roman"/>
          <w:sz w:val="24"/>
          <w:szCs w:val="24"/>
        </w:rPr>
        <w:t xml:space="preserve">he Premises satisfies the requirements of O.C.G.A. § 46-3-8(a) and qualifies for customer choice under the Territorial Act. </w:t>
      </w:r>
      <w:r w:rsidR="004561EB" w:rsidRPr="001E2C14">
        <w:rPr>
          <w:rFonts w:ascii="Times New Roman" w:hAnsi="Times New Roman" w:cs="Times New Roman"/>
          <w:sz w:val="24"/>
          <w:szCs w:val="24"/>
        </w:rPr>
        <w:t xml:space="preserve">The Company </w:t>
      </w:r>
      <w:r w:rsidR="00185D30" w:rsidRPr="001E2C14">
        <w:rPr>
          <w:rFonts w:ascii="Times New Roman" w:hAnsi="Times New Roman" w:cs="Times New Roman"/>
          <w:sz w:val="24"/>
          <w:szCs w:val="24"/>
        </w:rPr>
        <w:t>stated, n</w:t>
      </w:r>
      <w:r w:rsidR="000F296C" w:rsidRPr="001E2C14">
        <w:rPr>
          <w:rFonts w:ascii="Times New Roman" w:hAnsi="Times New Roman" w:cs="Times New Roman"/>
          <w:sz w:val="24"/>
          <w:szCs w:val="24"/>
        </w:rPr>
        <w:t>otwithstanding the service territory assignments provided for by the Act</w:t>
      </w:r>
      <w:r w:rsidR="0070796E" w:rsidRPr="001E2C14">
        <w:rPr>
          <w:rFonts w:ascii="Times New Roman" w:hAnsi="Times New Roman" w:cs="Times New Roman"/>
          <w:sz w:val="24"/>
          <w:szCs w:val="24"/>
        </w:rPr>
        <w:t>,</w:t>
      </w:r>
      <w:r w:rsidR="000F296C" w:rsidRPr="001E2C14">
        <w:rPr>
          <w:rFonts w:ascii="Times New Roman" w:hAnsi="Times New Roman" w:cs="Times New Roman"/>
          <w:sz w:val="24"/>
          <w:szCs w:val="24"/>
        </w:rPr>
        <w:t xml:space="preserve"> O.C.G.A.§46-3-8(a)</w:t>
      </w:r>
      <w:r w:rsidR="00EA2896" w:rsidRPr="001E2C14">
        <w:rPr>
          <w:rFonts w:ascii="Times New Roman" w:hAnsi="Times New Roman" w:cs="Times New Roman"/>
          <w:sz w:val="24"/>
          <w:szCs w:val="24"/>
        </w:rPr>
        <w:t xml:space="preserve"> </w:t>
      </w:r>
      <w:r w:rsidR="000F296C" w:rsidRPr="001E2C14">
        <w:rPr>
          <w:rFonts w:ascii="Times New Roman" w:hAnsi="Times New Roman" w:cs="Times New Roman"/>
          <w:sz w:val="24"/>
          <w:szCs w:val="24"/>
        </w:rPr>
        <w:t>permits any electric supplier to serve one or more new premises, if the premises (</w:t>
      </w:r>
      <w:proofErr w:type="spellStart"/>
      <w:r w:rsidR="000F296C" w:rsidRPr="001E2C14">
        <w:rPr>
          <w:rFonts w:ascii="Times New Roman" w:hAnsi="Times New Roman" w:cs="Times New Roman"/>
          <w:sz w:val="24"/>
          <w:szCs w:val="24"/>
        </w:rPr>
        <w:t>i</w:t>
      </w:r>
      <w:proofErr w:type="spellEnd"/>
      <w:r w:rsidR="000F296C" w:rsidRPr="001E2C14">
        <w:rPr>
          <w:rFonts w:ascii="Times New Roman" w:hAnsi="Times New Roman" w:cs="Times New Roman"/>
          <w:sz w:val="24"/>
          <w:szCs w:val="24"/>
        </w:rPr>
        <w:t xml:space="preserve">) is utilized by one consumer; (ii) has single-metered connected service; (iii) has a connected load which, at the time of initial full operation of the premises, is 900 kilowatts or greater; and (iv) is located outside the limits of a municipality. </w:t>
      </w:r>
    </w:p>
    <w:p w14:paraId="0C2C28EB" w14:textId="77777777" w:rsidR="000F296C" w:rsidRPr="001E2C14" w:rsidRDefault="00A73374"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Georgia Power contend</w:t>
      </w:r>
      <w:r w:rsidR="00E21171" w:rsidRPr="001E2C14">
        <w:rPr>
          <w:rFonts w:ascii="Times New Roman" w:hAnsi="Times New Roman" w:cs="Times New Roman"/>
          <w:sz w:val="24"/>
          <w:szCs w:val="24"/>
        </w:rPr>
        <w:t>ed</w:t>
      </w:r>
      <w:r w:rsidRPr="001E2C14">
        <w:rPr>
          <w:rFonts w:ascii="Times New Roman" w:hAnsi="Times New Roman" w:cs="Times New Roman"/>
          <w:sz w:val="24"/>
          <w:szCs w:val="24"/>
        </w:rPr>
        <w:t xml:space="preserve"> that e</w:t>
      </w:r>
      <w:r w:rsidR="000F296C" w:rsidRPr="001E2C14">
        <w:rPr>
          <w:rFonts w:ascii="Times New Roman" w:hAnsi="Times New Roman" w:cs="Times New Roman"/>
          <w:sz w:val="24"/>
          <w:szCs w:val="24"/>
        </w:rPr>
        <w:t xml:space="preserve">ach of these criteria is met. </w:t>
      </w:r>
      <w:r w:rsidR="00E21171" w:rsidRPr="001E2C14">
        <w:rPr>
          <w:rFonts w:ascii="Times New Roman" w:hAnsi="Times New Roman" w:cs="Times New Roman"/>
          <w:sz w:val="24"/>
          <w:szCs w:val="24"/>
        </w:rPr>
        <w:t>“</w:t>
      </w:r>
      <w:r w:rsidR="000F296C" w:rsidRPr="001E2C14">
        <w:rPr>
          <w:rFonts w:ascii="Times New Roman" w:hAnsi="Times New Roman" w:cs="Times New Roman"/>
          <w:sz w:val="24"/>
          <w:szCs w:val="24"/>
        </w:rPr>
        <w:t>Georgia Power is only serving one consumer, Electrify America, at a single Premises located outside the limits of a municipality, and the Premises has single-metered connected service.</w:t>
      </w:r>
      <w:r w:rsidR="00666AB2" w:rsidRPr="001E2C14">
        <w:rPr>
          <w:rFonts w:ascii="Times New Roman" w:hAnsi="Times New Roman" w:cs="Times New Roman"/>
          <w:sz w:val="24"/>
          <w:szCs w:val="24"/>
        </w:rPr>
        <w:t>”</w:t>
      </w:r>
      <w:r w:rsidR="000F296C" w:rsidRPr="001E2C14">
        <w:rPr>
          <w:rFonts w:ascii="Times New Roman" w:hAnsi="Times New Roman" w:cs="Times New Roman"/>
          <w:sz w:val="24"/>
          <w:szCs w:val="24"/>
        </w:rPr>
        <w:t xml:space="preserve"> The </w:t>
      </w:r>
      <w:r w:rsidR="00D9433E" w:rsidRPr="001E2C14">
        <w:rPr>
          <w:rFonts w:ascii="Times New Roman" w:hAnsi="Times New Roman" w:cs="Times New Roman"/>
          <w:sz w:val="24"/>
          <w:szCs w:val="24"/>
        </w:rPr>
        <w:t xml:space="preserve">Company asserted that the </w:t>
      </w:r>
      <w:r w:rsidR="000F296C" w:rsidRPr="001E2C14">
        <w:rPr>
          <w:rFonts w:ascii="Times New Roman" w:hAnsi="Times New Roman" w:cs="Times New Roman"/>
          <w:sz w:val="24"/>
          <w:szCs w:val="24"/>
        </w:rPr>
        <w:t xml:space="preserve">connected load of the Premises at the time of initial full operation </w:t>
      </w:r>
      <w:r w:rsidR="00D9433E" w:rsidRPr="001E2C14">
        <w:rPr>
          <w:rFonts w:ascii="Times New Roman" w:hAnsi="Times New Roman" w:cs="Times New Roman"/>
          <w:sz w:val="24"/>
          <w:szCs w:val="24"/>
        </w:rPr>
        <w:t>was</w:t>
      </w:r>
      <w:r w:rsidR="000F296C" w:rsidRPr="001E2C14">
        <w:rPr>
          <w:rFonts w:ascii="Times New Roman" w:hAnsi="Times New Roman" w:cs="Times New Roman"/>
          <w:sz w:val="24"/>
          <w:szCs w:val="24"/>
        </w:rPr>
        <w:t xml:space="preserve"> greater than 900 kW</w:t>
      </w:r>
      <w:r w:rsidR="00666AB2" w:rsidRPr="001E2C14">
        <w:rPr>
          <w:rFonts w:ascii="Times New Roman" w:hAnsi="Times New Roman" w:cs="Times New Roman"/>
          <w:sz w:val="24"/>
          <w:szCs w:val="24"/>
        </w:rPr>
        <w:t xml:space="preserve"> and that</w:t>
      </w:r>
      <w:r w:rsidR="000F296C" w:rsidRPr="001E2C14">
        <w:rPr>
          <w:rFonts w:ascii="Times New Roman" w:hAnsi="Times New Roman" w:cs="Times New Roman"/>
          <w:sz w:val="24"/>
          <w:szCs w:val="24"/>
        </w:rPr>
        <w:t xml:space="preserve"> </w:t>
      </w:r>
      <w:r w:rsidR="00666AB2" w:rsidRPr="001E2C14">
        <w:rPr>
          <w:rFonts w:ascii="Times New Roman" w:hAnsi="Times New Roman" w:cs="Times New Roman"/>
          <w:sz w:val="24"/>
          <w:szCs w:val="24"/>
        </w:rPr>
        <w:t>t</w:t>
      </w:r>
      <w:r w:rsidR="000F296C" w:rsidRPr="001E2C14">
        <w:rPr>
          <w:rFonts w:ascii="Times New Roman" w:hAnsi="Times New Roman" w:cs="Times New Roman"/>
          <w:sz w:val="24"/>
          <w:szCs w:val="24"/>
        </w:rPr>
        <w:t>he Premises consists of two 350 kW chargers and two 150 kW chargers, which are designed as an array, and the combined nameplate capacity of the four chargers together is 1,000 kW</w:t>
      </w:r>
      <w:r w:rsidR="00D9433E" w:rsidRPr="001E2C14">
        <w:rPr>
          <w:rFonts w:ascii="Times New Roman" w:hAnsi="Times New Roman" w:cs="Times New Roman"/>
          <w:sz w:val="24"/>
          <w:szCs w:val="24"/>
        </w:rPr>
        <w:t>.</w:t>
      </w:r>
      <w:r w:rsidR="00D34F76" w:rsidRPr="001E2C14">
        <w:rPr>
          <w:rStyle w:val="FootnoteReference"/>
          <w:rFonts w:ascii="Times New Roman" w:hAnsi="Times New Roman" w:cs="Times New Roman"/>
          <w:sz w:val="24"/>
          <w:szCs w:val="24"/>
        </w:rPr>
        <w:footnoteReference w:id="2"/>
      </w:r>
      <w:r w:rsidR="000F296C" w:rsidRPr="001E2C14">
        <w:rPr>
          <w:rFonts w:ascii="Times New Roman" w:hAnsi="Times New Roman" w:cs="Times New Roman"/>
          <w:sz w:val="24"/>
          <w:szCs w:val="24"/>
        </w:rPr>
        <w:t xml:space="preserve"> </w:t>
      </w:r>
    </w:p>
    <w:p w14:paraId="152A8462" w14:textId="77777777" w:rsidR="00356D65" w:rsidRPr="001E2C14" w:rsidRDefault="00790D83"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On June</w:t>
      </w:r>
      <w:r w:rsidR="003C0F01" w:rsidRPr="001E2C14">
        <w:rPr>
          <w:rFonts w:ascii="Times New Roman" w:hAnsi="Times New Roman" w:cs="Times New Roman"/>
          <w:sz w:val="24"/>
          <w:szCs w:val="24"/>
        </w:rPr>
        <w:t xml:space="preserve"> 7, 2021, this matter was assigned to a Hearing Officer</w:t>
      </w:r>
      <w:r w:rsidR="00A009B5" w:rsidRPr="001E2C14">
        <w:rPr>
          <w:rFonts w:ascii="Times New Roman" w:hAnsi="Times New Roman" w:cs="Times New Roman"/>
          <w:sz w:val="24"/>
          <w:szCs w:val="24"/>
        </w:rPr>
        <w:t xml:space="preserve"> in accordance with O.C.G.A</w:t>
      </w:r>
      <w:r w:rsidR="00767F01" w:rsidRPr="001E2C14">
        <w:rPr>
          <w:rFonts w:ascii="Times New Roman" w:hAnsi="Times New Roman" w:cs="Times New Roman"/>
          <w:sz w:val="24"/>
          <w:szCs w:val="24"/>
        </w:rPr>
        <w:t xml:space="preserve"> </w:t>
      </w:r>
      <w:r w:rsidR="005768A1" w:rsidRPr="001E2C14">
        <w:rPr>
          <w:rFonts w:ascii="Times New Roman" w:hAnsi="Times New Roman" w:cs="Times New Roman"/>
          <w:sz w:val="24"/>
          <w:szCs w:val="24"/>
        </w:rPr>
        <w:t xml:space="preserve">§ 50-13-13(5). </w:t>
      </w:r>
      <w:r w:rsidR="003C0F01" w:rsidRPr="001E2C14">
        <w:rPr>
          <w:rFonts w:ascii="Times New Roman" w:hAnsi="Times New Roman" w:cs="Times New Roman"/>
          <w:sz w:val="24"/>
          <w:szCs w:val="24"/>
        </w:rPr>
        <w:t>A Notice and Procedural and Scheduling</w:t>
      </w:r>
      <w:r w:rsidR="003C0F01" w:rsidRPr="00A27004">
        <w:rPr>
          <w:rFonts w:ascii="Times New Roman" w:hAnsi="Times New Roman" w:cs="Times New Roman"/>
          <w:sz w:val="28"/>
          <w:szCs w:val="28"/>
        </w:rPr>
        <w:t xml:space="preserve"> </w:t>
      </w:r>
      <w:r w:rsidR="003C0F01" w:rsidRPr="001E2C14">
        <w:rPr>
          <w:rFonts w:ascii="Times New Roman" w:hAnsi="Times New Roman" w:cs="Times New Roman"/>
          <w:sz w:val="24"/>
          <w:szCs w:val="24"/>
        </w:rPr>
        <w:t xml:space="preserve">Order was issued on </w:t>
      </w:r>
      <w:r w:rsidR="00E02D31" w:rsidRPr="001E2C14">
        <w:rPr>
          <w:rFonts w:ascii="Times New Roman" w:hAnsi="Times New Roman" w:cs="Times New Roman"/>
          <w:sz w:val="24"/>
          <w:szCs w:val="24"/>
        </w:rPr>
        <w:t>June 27,</w:t>
      </w:r>
      <w:r w:rsidR="007F3F4B" w:rsidRPr="001E2C14">
        <w:rPr>
          <w:rFonts w:ascii="Times New Roman" w:hAnsi="Times New Roman" w:cs="Times New Roman"/>
          <w:sz w:val="24"/>
          <w:szCs w:val="24"/>
        </w:rPr>
        <w:t xml:space="preserve"> 2</w:t>
      </w:r>
      <w:r w:rsidR="003C0F01" w:rsidRPr="001E2C14">
        <w:rPr>
          <w:rFonts w:ascii="Times New Roman" w:hAnsi="Times New Roman" w:cs="Times New Roman"/>
          <w:sz w:val="24"/>
          <w:szCs w:val="24"/>
        </w:rPr>
        <w:t xml:space="preserve">021 setting </w:t>
      </w:r>
      <w:r w:rsidR="007F3F4B" w:rsidRPr="001E2C14">
        <w:rPr>
          <w:rFonts w:ascii="Times New Roman" w:hAnsi="Times New Roman" w:cs="Times New Roman"/>
          <w:sz w:val="24"/>
          <w:szCs w:val="24"/>
        </w:rPr>
        <w:t xml:space="preserve">out the rights of the parties and scheduling </w:t>
      </w:r>
      <w:r w:rsidR="003C0F01" w:rsidRPr="001E2C14">
        <w:rPr>
          <w:rFonts w:ascii="Times New Roman" w:hAnsi="Times New Roman" w:cs="Times New Roman"/>
          <w:sz w:val="24"/>
          <w:szCs w:val="24"/>
        </w:rPr>
        <w:t xml:space="preserve">the hearing date for </w:t>
      </w:r>
      <w:r w:rsidR="00E02D31" w:rsidRPr="001E2C14">
        <w:rPr>
          <w:rFonts w:ascii="Times New Roman" w:hAnsi="Times New Roman" w:cs="Times New Roman"/>
          <w:sz w:val="24"/>
          <w:szCs w:val="24"/>
        </w:rPr>
        <w:t>November 19, 2021.</w:t>
      </w:r>
    </w:p>
    <w:p w14:paraId="1B25623F" w14:textId="4F866382" w:rsidR="00C56B6C" w:rsidRDefault="00C56B6C"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Petitions for Intervention were filed by Tesla, Inc. (“Tesla”) and Electrify America, LLC (“Electrify America”)</w:t>
      </w:r>
      <w:r w:rsidR="003F451E" w:rsidRPr="001E2C14">
        <w:rPr>
          <w:rFonts w:ascii="Times New Roman" w:hAnsi="Times New Roman" w:cs="Times New Roman"/>
          <w:sz w:val="24"/>
          <w:szCs w:val="24"/>
        </w:rPr>
        <w:t xml:space="preserve"> on August</w:t>
      </w:r>
      <w:r w:rsidR="000C41C8" w:rsidRPr="001E2C14">
        <w:rPr>
          <w:rFonts w:ascii="Times New Roman" w:hAnsi="Times New Roman" w:cs="Times New Roman"/>
          <w:sz w:val="24"/>
          <w:szCs w:val="24"/>
        </w:rPr>
        <w:t xml:space="preserve"> 25</w:t>
      </w:r>
      <w:r w:rsidR="00F1504A" w:rsidRPr="001E2C14">
        <w:rPr>
          <w:rFonts w:ascii="Times New Roman" w:hAnsi="Times New Roman" w:cs="Times New Roman"/>
          <w:sz w:val="24"/>
          <w:szCs w:val="24"/>
          <w:vertAlign w:val="superscript"/>
        </w:rPr>
        <w:t>th</w:t>
      </w:r>
      <w:r w:rsidR="00F1504A" w:rsidRPr="001E2C14">
        <w:rPr>
          <w:rFonts w:ascii="Times New Roman" w:hAnsi="Times New Roman" w:cs="Times New Roman"/>
          <w:sz w:val="24"/>
          <w:szCs w:val="24"/>
        </w:rPr>
        <w:t>,</w:t>
      </w:r>
      <w:r w:rsidR="000C41C8" w:rsidRPr="001E2C14">
        <w:rPr>
          <w:rFonts w:ascii="Times New Roman" w:hAnsi="Times New Roman" w:cs="Times New Roman"/>
          <w:sz w:val="24"/>
          <w:szCs w:val="24"/>
        </w:rPr>
        <w:t xml:space="preserve"> and 26</w:t>
      </w:r>
      <w:r w:rsidR="000C41C8" w:rsidRPr="001E2C14">
        <w:rPr>
          <w:rFonts w:ascii="Times New Roman" w:hAnsi="Times New Roman" w:cs="Times New Roman"/>
          <w:sz w:val="24"/>
          <w:szCs w:val="24"/>
          <w:vertAlign w:val="superscript"/>
        </w:rPr>
        <w:t>th</w:t>
      </w:r>
      <w:r w:rsidR="000C41C8" w:rsidRPr="001E2C14">
        <w:rPr>
          <w:rFonts w:ascii="Times New Roman" w:hAnsi="Times New Roman" w:cs="Times New Roman"/>
          <w:sz w:val="24"/>
          <w:szCs w:val="24"/>
        </w:rPr>
        <w:t>, 2021</w:t>
      </w:r>
      <w:r w:rsidR="0062111C" w:rsidRPr="001E2C14">
        <w:rPr>
          <w:rFonts w:ascii="Times New Roman" w:hAnsi="Times New Roman" w:cs="Times New Roman"/>
          <w:sz w:val="24"/>
          <w:szCs w:val="24"/>
        </w:rPr>
        <w:t xml:space="preserve"> respectively</w:t>
      </w:r>
      <w:r w:rsidR="000C41C8" w:rsidRPr="001E2C14">
        <w:rPr>
          <w:rFonts w:ascii="Times New Roman" w:hAnsi="Times New Roman" w:cs="Times New Roman"/>
          <w:sz w:val="24"/>
          <w:szCs w:val="24"/>
        </w:rPr>
        <w:t>.</w:t>
      </w:r>
      <w:r w:rsidRPr="001E2C14">
        <w:rPr>
          <w:rFonts w:ascii="Times New Roman" w:hAnsi="Times New Roman" w:cs="Times New Roman"/>
          <w:sz w:val="24"/>
          <w:szCs w:val="24"/>
        </w:rPr>
        <w:t xml:space="preserve"> Race Petroleum, Inc.</w:t>
      </w:r>
      <w:r w:rsidR="007441C0" w:rsidRPr="001E2C14">
        <w:rPr>
          <w:rFonts w:ascii="Times New Roman" w:hAnsi="Times New Roman" w:cs="Times New Roman"/>
          <w:sz w:val="24"/>
          <w:szCs w:val="24"/>
        </w:rPr>
        <w:t xml:space="preserve"> (“</w:t>
      </w:r>
      <w:proofErr w:type="spellStart"/>
      <w:r w:rsidR="007441C0" w:rsidRPr="001E2C14">
        <w:rPr>
          <w:rFonts w:ascii="Times New Roman" w:hAnsi="Times New Roman" w:cs="Times New Roman"/>
          <w:sz w:val="24"/>
          <w:szCs w:val="24"/>
        </w:rPr>
        <w:t>Racetrac</w:t>
      </w:r>
      <w:proofErr w:type="spellEnd"/>
      <w:r w:rsidR="00FD27C0" w:rsidRPr="001E2C14">
        <w:rPr>
          <w:rFonts w:ascii="Times New Roman" w:hAnsi="Times New Roman" w:cs="Times New Roman"/>
          <w:sz w:val="24"/>
          <w:szCs w:val="24"/>
        </w:rPr>
        <w:t xml:space="preserve">”) </w:t>
      </w:r>
      <w:r w:rsidR="00325865" w:rsidRPr="001E2C14">
        <w:rPr>
          <w:rFonts w:ascii="Times New Roman" w:hAnsi="Times New Roman" w:cs="Times New Roman"/>
          <w:sz w:val="24"/>
          <w:szCs w:val="24"/>
        </w:rPr>
        <w:t xml:space="preserve">submitted </w:t>
      </w:r>
      <w:r w:rsidR="00FA6E99" w:rsidRPr="001E2C14">
        <w:rPr>
          <w:rFonts w:ascii="Times New Roman" w:hAnsi="Times New Roman" w:cs="Times New Roman"/>
          <w:sz w:val="24"/>
          <w:szCs w:val="24"/>
        </w:rPr>
        <w:t>two</w:t>
      </w:r>
      <w:r w:rsidR="00325865" w:rsidRPr="001E2C14">
        <w:rPr>
          <w:rFonts w:ascii="Times New Roman" w:hAnsi="Times New Roman" w:cs="Times New Roman"/>
          <w:sz w:val="24"/>
          <w:szCs w:val="24"/>
        </w:rPr>
        <w:t xml:space="preserve"> Petition</w:t>
      </w:r>
      <w:r w:rsidR="000C41C8" w:rsidRPr="001E2C14">
        <w:rPr>
          <w:rFonts w:ascii="Times New Roman" w:hAnsi="Times New Roman" w:cs="Times New Roman"/>
          <w:sz w:val="24"/>
          <w:szCs w:val="24"/>
        </w:rPr>
        <w:t>s</w:t>
      </w:r>
      <w:r w:rsidR="00325865" w:rsidRPr="001E2C14">
        <w:rPr>
          <w:rFonts w:ascii="Times New Roman" w:hAnsi="Times New Roman" w:cs="Times New Roman"/>
          <w:sz w:val="24"/>
          <w:szCs w:val="24"/>
        </w:rPr>
        <w:t xml:space="preserve"> for </w:t>
      </w:r>
      <w:r w:rsidR="008E2953" w:rsidRPr="001E2C14">
        <w:rPr>
          <w:rFonts w:ascii="Times New Roman" w:hAnsi="Times New Roman" w:cs="Times New Roman"/>
          <w:sz w:val="24"/>
          <w:szCs w:val="24"/>
        </w:rPr>
        <w:t>Intervention on September 23, 2010 and November 4, 2021.</w:t>
      </w:r>
      <w:r w:rsidR="00325865" w:rsidRPr="001E2C14">
        <w:rPr>
          <w:rFonts w:ascii="Times New Roman" w:hAnsi="Times New Roman" w:cs="Times New Roman"/>
          <w:sz w:val="24"/>
          <w:szCs w:val="24"/>
        </w:rPr>
        <w:t xml:space="preserve"> </w:t>
      </w:r>
      <w:proofErr w:type="spellStart"/>
      <w:r w:rsidR="00325865" w:rsidRPr="001E2C14">
        <w:rPr>
          <w:rFonts w:ascii="Times New Roman" w:hAnsi="Times New Roman" w:cs="Times New Roman"/>
          <w:sz w:val="24"/>
          <w:szCs w:val="24"/>
        </w:rPr>
        <w:t>Sawnee</w:t>
      </w:r>
      <w:proofErr w:type="spellEnd"/>
      <w:r w:rsidR="00325865" w:rsidRPr="001E2C14">
        <w:rPr>
          <w:rFonts w:ascii="Times New Roman" w:hAnsi="Times New Roman" w:cs="Times New Roman"/>
          <w:sz w:val="24"/>
          <w:szCs w:val="24"/>
        </w:rPr>
        <w:t xml:space="preserve"> </w:t>
      </w:r>
      <w:r w:rsidR="007441C0" w:rsidRPr="001E2C14">
        <w:rPr>
          <w:rFonts w:ascii="Times New Roman" w:hAnsi="Times New Roman" w:cs="Times New Roman"/>
          <w:sz w:val="24"/>
          <w:szCs w:val="24"/>
        </w:rPr>
        <w:t>filed an Objection</w:t>
      </w:r>
      <w:r w:rsidR="00DE1A0D" w:rsidRPr="001E2C14">
        <w:rPr>
          <w:rFonts w:ascii="Times New Roman" w:hAnsi="Times New Roman" w:cs="Times New Roman"/>
          <w:sz w:val="24"/>
          <w:szCs w:val="24"/>
        </w:rPr>
        <w:t>s</w:t>
      </w:r>
      <w:r w:rsidR="007441C0" w:rsidRPr="001E2C14">
        <w:rPr>
          <w:rFonts w:ascii="Times New Roman" w:hAnsi="Times New Roman" w:cs="Times New Roman"/>
          <w:sz w:val="24"/>
          <w:szCs w:val="24"/>
        </w:rPr>
        <w:t xml:space="preserve"> to the </w:t>
      </w:r>
      <w:r w:rsidR="00DE1A0D" w:rsidRPr="001E2C14">
        <w:rPr>
          <w:rFonts w:ascii="Times New Roman" w:hAnsi="Times New Roman" w:cs="Times New Roman"/>
          <w:sz w:val="24"/>
          <w:szCs w:val="24"/>
        </w:rPr>
        <w:t>I</w:t>
      </w:r>
      <w:r w:rsidR="007441C0" w:rsidRPr="001E2C14">
        <w:rPr>
          <w:rFonts w:ascii="Times New Roman" w:hAnsi="Times New Roman" w:cs="Times New Roman"/>
          <w:sz w:val="24"/>
          <w:szCs w:val="24"/>
        </w:rPr>
        <w:t>ntervention</w:t>
      </w:r>
      <w:r w:rsidR="00FA6E99" w:rsidRPr="001E2C14">
        <w:rPr>
          <w:rFonts w:ascii="Times New Roman" w:hAnsi="Times New Roman" w:cs="Times New Roman"/>
          <w:sz w:val="24"/>
          <w:szCs w:val="24"/>
        </w:rPr>
        <w:t>.</w:t>
      </w:r>
      <w:r w:rsidR="008E2953" w:rsidRPr="001E2C14">
        <w:rPr>
          <w:rFonts w:ascii="Times New Roman" w:hAnsi="Times New Roman" w:cs="Times New Roman"/>
          <w:sz w:val="24"/>
          <w:szCs w:val="24"/>
        </w:rPr>
        <w:t xml:space="preserve"> Race Trac</w:t>
      </w:r>
      <w:r w:rsidR="000C41C8" w:rsidRPr="001E2C14">
        <w:rPr>
          <w:rFonts w:ascii="Times New Roman" w:hAnsi="Times New Roman" w:cs="Times New Roman"/>
          <w:sz w:val="24"/>
          <w:szCs w:val="24"/>
        </w:rPr>
        <w:t xml:space="preserve"> later withdrew its </w:t>
      </w:r>
      <w:r w:rsidR="00DE1A0D" w:rsidRPr="001E2C14">
        <w:rPr>
          <w:rFonts w:ascii="Times New Roman" w:hAnsi="Times New Roman" w:cs="Times New Roman"/>
          <w:sz w:val="24"/>
          <w:szCs w:val="24"/>
        </w:rPr>
        <w:t>Petition</w:t>
      </w:r>
      <w:r w:rsidR="00021F65" w:rsidRPr="001E2C14">
        <w:rPr>
          <w:rFonts w:ascii="Times New Roman" w:hAnsi="Times New Roman" w:cs="Times New Roman"/>
          <w:sz w:val="24"/>
          <w:szCs w:val="24"/>
        </w:rPr>
        <w:t>s</w:t>
      </w:r>
      <w:r w:rsidR="003F451E" w:rsidRPr="001E2C14">
        <w:rPr>
          <w:rFonts w:ascii="Times New Roman" w:hAnsi="Times New Roman" w:cs="Times New Roman"/>
          <w:sz w:val="24"/>
          <w:szCs w:val="24"/>
        </w:rPr>
        <w:t xml:space="preserve"> on January 19, 2022.</w:t>
      </w:r>
    </w:p>
    <w:p w14:paraId="71A460D1" w14:textId="77777777" w:rsidR="00CF6472" w:rsidRPr="001E2C14" w:rsidRDefault="00CF6472" w:rsidP="00CF6472">
      <w:pPr>
        <w:spacing w:line="240" w:lineRule="auto"/>
        <w:ind w:firstLine="720"/>
        <w:jc w:val="both"/>
        <w:rPr>
          <w:rFonts w:ascii="Times New Roman" w:hAnsi="Times New Roman" w:cs="Times New Roman"/>
          <w:sz w:val="24"/>
          <w:szCs w:val="24"/>
        </w:rPr>
      </w:pPr>
    </w:p>
    <w:p w14:paraId="0436B8AC" w14:textId="77777777" w:rsidR="00FE4FA6" w:rsidRPr="001E2C14" w:rsidRDefault="003C0E38"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lastRenderedPageBreak/>
        <w:t>All parties filed Direct Testimony on September 9, 2021</w:t>
      </w:r>
      <w:r w:rsidR="0095294C" w:rsidRPr="001E2C14">
        <w:rPr>
          <w:rFonts w:ascii="Times New Roman" w:hAnsi="Times New Roman" w:cs="Times New Roman"/>
          <w:sz w:val="24"/>
          <w:szCs w:val="24"/>
        </w:rPr>
        <w:t>:</w:t>
      </w:r>
      <w:r w:rsidR="00813512" w:rsidRPr="001E2C14">
        <w:rPr>
          <w:rFonts w:ascii="Times New Roman" w:hAnsi="Times New Roman" w:cs="Times New Roman"/>
          <w:sz w:val="24"/>
          <w:szCs w:val="24"/>
        </w:rPr>
        <w:t xml:space="preserve"> </w:t>
      </w:r>
      <w:proofErr w:type="spellStart"/>
      <w:r w:rsidR="00813512" w:rsidRPr="001E2C14">
        <w:rPr>
          <w:rFonts w:ascii="Times New Roman" w:hAnsi="Times New Roman" w:cs="Times New Roman"/>
          <w:sz w:val="24"/>
          <w:szCs w:val="24"/>
        </w:rPr>
        <w:t>Sawnee</w:t>
      </w:r>
      <w:proofErr w:type="spellEnd"/>
      <w:r w:rsidR="00813512" w:rsidRPr="001E2C14">
        <w:rPr>
          <w:rFonts w:ascii="Times New Roman" w:hAnsi="Times New Roman" w:cs="Times New Roman"/>
          <w:sz w:val="24"/>
          <w:szCs w:val="24"/>
        </w:rPr>
        <w:t xml:space="preserve"> s</w:t>
      </w:r>
      <w:r w:rsidR="00F32D53">
        <w:rPr>
          <w:rFonts w:ascii="Times New Roman" w:hAnsi="Times New Roman" w:cs="Times New Roman"/>
          <w:sz w:val="24"/>
          <w:szCs w:val="24"/>
        </w:rPr>
        <w:t>ubmitted</w:t>
      </w:r>
      <w:r w:rsidR="00FE4FA6" w:rsidRPr="001E2C14">
        <w:rPr>
          <w:rFonts w:ascii="Times New Roman" w:hAnsi="Times New Roman" w:cs="Times New Roman"/>
          <w:sz w:val="24"/>
          <w:szCs w:val="24"/>
        </w:rPr>
        <w:t xml:space="preserve"> the testimony of Mr. Blake House, Vice President of Member Services for </w:t>
      </w:r>
      <w:proofErr w:type="spellStart"/>
      <w:r w:rsidR="00FE4FA6" w:rsidRPr="001E2C14">
        <w:rPr>
          <w:rFonts w:ascii="Times New Roman" w:hAnsi="Times New Roman" w:cs="Times New Roman"/>
          <w:sz w:val="24"/>
          <w:szCs w:val="24"/>
        </w:rPr>
        <w:t>Sawnee</w:t>
      </w:r>
      <w:proofErr w:type="spellEnd"/>
      <w:r w:rsidR="00FE4FA6" w:rsidRPr="001E2C14">
        <w:rPr>
          <w:rFonts w:ascii="Times New Roman" w:hAnsi="Times New Roman" w:cs="Times New Roman"/>
          <w:sz w:val="24"/>
          <w:szCs w:val="24"/>
        </w:rPr>
        <w:t xml:space="preserve"> EMC and Mr. Kevin Mara, a utility engineer and consultant who is the Executive Vice President of GDS Associates</w:t>
      </w:r>
      <w:r w:rsidR="0095294C" w:rsidRPr="001E2C14">
        <w:rPr>
          <w:rFonts w:ascii="Times New Roman" w:hAnsi="Times New Roman" w:cs="Times New Roman"/>
          <w:sz w:val="24"/>
          <w:szCs w:val="24"/>
        </w:rPr>
        <w:t>;</w:t>
      </w:r>
      <w:r w:rsidR="00FE4FA6" w:rsidRPr="001E2C14">
        <w:rPr>
          <w:rFonts w:ascii="Times New Roman" w:hAnsi="Times New Roman" w:cs="Times New Roman"/>
          <w:sz w:val="24"/>
          <w:szCs w:val="24"/>
        </w:rPr>
        <w:t xml:space="preserve"> Georgia Power presented the testimony of Ms. Stephanie M. </w:t>
      </w:r>
      <w:proofErr w:type="spellStart"/>
      <w:r w:rsidR="00FE4FA6" w:rsidRPr="001E2C14">
        <w:rPr>
          <w:rFonts w:ascii="Times New Roman" w:hAnsi="Times New Roman" w:cs="Times New Roman"/>
          <w:sz w:val="24"/>
          <w:szCs w:val="24"/>
        </w:rPr>
        <w:t>Gossman</w:t>
      </w:r>
      <w:proofErr w:type="spellEnd"/>
      <w:r w:rsidR="00FE4FA6" w:rsidRPr="001E2C14">
        <w:rPr>
          <w:rFonts w:ascii="Times New Roman" w:hAnsi="Times New Roman" w:cs="Times New Roman"/>
          <w:sz w:val="24"/>
          <w:szCs w:val="24"/>
        </w:rPr>
        <w:t>, Electric Transportation Manager for Georgia Power</w:t>
      </w:r>
      <w:r w:rsidR="0095294C" w:rsidRPr="001E2C14">
        <w:rPr>
          <w:rFonts w:ascii="Times New Roman" w:hAnsi="Times New Roman" w:cs="Times New Roman"/>
          <w:sz w:val="24"/>
          <w:szCs w:val="24"/>
        </w:rPr>
        <w:t>,</w:t>
      </w:r>
      <w:r w:rsidR="00FE4FA6" w:rsidRPr="001E2C14">
        <w:rPr>
          <w:rFonts w:ascii="Times New Roman" w:hAnsi="Times New Roman" w:cs="Times New Roman"/>
          <w:sz w:val="24"/>
          <w:szCs w:val="24"/>
        </w:rPr>
        <w:t xml:space="preserve"> Mr. Harold V. Gresham, Interconnection Planning Supervisor for Georgia Power and Dr. John H. Matthews, President and Principal Investigator for an electrical engineering consulting firm John Matthews and Associates, Inc.</w:t>
      </w:r>
      <w:r w:rsidR="0095294C" w:rsidRPr="001E2C14">
        <w:rPr>
          <w:rFonts w:ascii="Times New Roman" w:hAnsi="Times New Roman" w:cs="Times New Roman"/>
          <w:sz w:val="24"/>
          <w:szCs w:val="24"/>
        </w:rPr>
        <w:t>;</w:t>
      </w:r>
      <w:r w:rsidR="00FE4FA6" w:rsidRPr="001E2C14">
        <w:rPr>
          <w:rFonts w:ascii="Times New Roman" w:hAnsi="Times New Roman" w:cs="Times New Roman"/>
          <w:sz w:val="24"/>
          <w:szCs w:val="24"/>
        </w:rPr>
        <w:t xml:space="preserve"> Electrify America presented the testimony of Jigar J. Shah, Manager for</w:t>
      </w:r>
      <w:r w:rsidR="00F50297" w:rsidRPr="001E2C14">
        <w:rPr>
          <w:rFonts w:ascii="Times New Roman" w:hAnsi="Times New Roman" w:cs="Times New Roman"/>
          <w:sz w:val="24"/>
          <w:szCs w:val="24"/>
        </w:rPr>
        <w:t xml:space="preserve"> </w:t>
      </w:r>
      <w:r w:rsidR="00FE4FA6" w:rsidRPr="001E2C14">
        <w:rPr>
          <w:rFonts w:ascii="Times New Roman" w:hAnsi="Times New Roman" w:cs="Times New Roman"/>
          <w:sz w:val="24"/>
          <w:szCs w:val="24"/>
        </w:rPr>
        <w:t>Distributed Energy and Grid Services for Electrify America</w:t>
      </w:r>
      <w:r w:rsidR="00515B38" w:rsidRPr="001E2C14">
        <w:rPr>
          <w:rFonts w:ascii="Times New Roman" w:hAnsi="Times New Roman" w:cs="Times New Roman"/>
          <w:sz w:val="24"/>
          <w:szCs w:val="24"/>
        </w:rPr>
        <w:t>; and</w:t>
      </w:r>
      <w:r w:rsidR="00FE4FA6" w:rsidRPr="001E2C14">
        <w:rPr>
          <w:rFonts w:ascii="Times New Roman" w:hAnsi="Times New Roman" w:cs="Times New Roman"/>
          <w:sz w:val="24"/>
          <w:szCs w:val="24"/>
        </w:rPr>
        <w:t xml:space="preserve"> Tesla</w:t>
      </w:r>
      <w:r w:rsidR="009127FC" w:rsidRPr="001E2C14">
        <w:rPr>
          <w:rFonts w:ascii="Times New Roman" w:hAnsi="Times New Roman" w:cs="Times New Roman"/>
          <w:sz w:val="24"/>
          <w:szCs w:val="24"/>
        </w:rPr>
        <w:t xml:space="preserve"> sponsored</w:t>
      </w:r>
      <w:r w:rsidR="00FE4FA6" w:rsidRPr="001E2C14">
        <w:rPr>
          <w:rFonts w:ascii="Times New Roman" w:hAnsi="Times New Roman" w:cs="Times New Roman"/>
          <w:sz w:val="24"/>
          <w:szCs w:val="24"/>
        </w:rPr>
        <w:t xml:space="preserve"> the testimony of Patrick Bean, Global Charging and Energy Policy Lead for Tesla.</w:t>
      </w:r>
    </w:p>
    <w:p w14:paraId="42575149" w14:textId="77777777" w:rsidR="004D72EB" w:rsidRPr="001E2C14" w:rsidRDefault="00CF00E8"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On November, 19, 2021, the parties submitted their Rebuttal</w:t>
      </w:r>
      <w:r w:rsidR="00637244" w:rsidRPr="001E2C14">
        <w:rPr>
          <w:rFonts w:ascii="Times New Roman" w:hAnsi="Times New Roman" w:cs="Times New Roman"/>
          <w:sz w:val="24"/>
          <w:szCs w:val="24"/>
        </w:rPr>
        <w:t xml:space="preserve"> </w:t>
      </w:r>
      <w:r w:rsidR="0049444F" w:rsidRPr="001E2C14">
        <w:rPr>
          <w:rFonts w:ascii="Times New Roman" w:hAnsi="Times New Roman" w:cs="Times New Roman"/>
          <w:sz w:val="24"/>
          <w:szCs w:val="24"/>
        </w:rPr>
        <w:t>Testimon</w:t>
      </w:r>
      <w:r w:rsidR="00895324" w:rsidRPr="001E2C14">
        <w:rPr>
          <w:rFonts w:ascii="Times New Roman" w:hAnsi="Times New Roman" w:cs="Times New Roman"/>
          <w:sz w:val="24"/>
          <w:szCs w:val="24"/>
        </w:rPr>
        <w:t>y</w:t>
      </w:r>
      <w:r w:rsidR="00E76179" w:rsidRPr="001E2C14">
        <w:rPr>
          <w:rFonts w:ascii="Times New Roman" w:hAnsi="Times New Roman" w:cs="Times New Roman"/>
          <w:sz w:val="24"/>
          <w:szCs w:val="24"/>
        </w:rPr>
        <w:t>:</w:t>
      </w:r>
      <w:r w:rsidR="00895324" w:rsidRPr="001E2C14">
        <w:rPr>
          <w:rFonts w:ascii="Times New Roman" w:hAnsi="Times New Roman" w:cs="Times New Roman"/>
          <w:sz w:val="24"/>
          <w:szCs w:val="24"/>
        </w:rPr>
        <w:t xml:space="preserve"> </w:t>
      </w:r>
      <w:proofErr w:type="spellStart"/>
      <w:r w:rsidR="00895324" w:rsidRPr="001E2C14">
        <w:rPr>
          <w:rFonts w:ascii="Times New Roman" w:hAnsi="Times New Roman" w:cs="Times New Roman"/>
          <w:sz w:val="24"/>
          <w:szCs w:val="24"/>
        </w:rPr>
        <w:t>Sawnee</w:t>
      </w:r>
      <w:proofErr w:type="spellEnd"/>
      <w:r w:rsidR="00895324" w:rsidRPr="001E2C14">
        <w:rPr>
          <w:rFonts w:ascii="Times New Roman" w:hAnsi="Times New Roman" w:cs="Times New Roman"/>
          <w:sz w:val="24"/>
          <w:szCs w:val="24"/>
        </w:rPr>
        <w:t xml:space="preserve"> </w:t>
      </w:r>
      <w:r w:rsidR="00E76179" w:rsidRPr="001E2C14">
        <w:rPr>
          <w:rFonts w:ascii="Times New Roman" w:hAnsi="Times New Roman" w:cs="Times New Roman"/>
          <w:sz w:val="24"/>
          <w:szCs w:val="24"/>
        </w:rPr>
        <w:t xml:space="preserve">presented Rebuttal Testimony of its previous Witnesses </w:t>
      </w:r>
      <w:r w:rsidR="00976ABB" w:rsidRPr="001E2C14">
        <w:rPr>
          <w:rFonts w:ascii="Times New Roman" w:hAnsi="Times New Roman" w:cs="Times New Roman"/>
          <w:sz w:val="24"/>
          <w:szCs w:val="24"/>
        </w:rPr>
        <w:t>Mr</w:t>
      </w:r>
      <w:r w:rsidR="004D72EB" w:rsidRPr="001E2C14">
        <w:rPr>
          <w:rFonts w:ascii="Times New Roman" w:hAnsi="Times New Roman" w:cs="Times New Roman"/>
          <w:sz w:val="24"/>
          <w:szCs w:val="24"/>
        </w:rPr>
        <w:t xml:space="preserve">. </w:t>
      </w:r>
      <w:r w:rsidR="00E76179" w:rsidRPr="001E2C14">
        <w:rPr>
          <w:rFonts w:ascii="Times New Roman" w:hAnsi="Times New Roman" w:cs="Times New Roman"/>
          <w:sz w:val="24"/>
          <w:szCs w:val="24"/>
        </w:rPr>
        <w:t xml:space="preserve">House and </w:t>
      </w:r>
      <w:proofErr w:type="spellStart"/>
      <w:r w:rsidR="004D72EB" w:rsidRPr="001E2C14">
        <w:rPr>
          <w:rFonts w:ascii="Times New Roman" w:hAnsi="Times New Roman" w:cs="Times New Roman"/>
          <w:sz w:val="24"/>
          <w:szCs w:val="24"/>
        </w:rPr>
        <w:t>Mr.</w:t>
      </w:r>
      <w:r w:rsidR="00E76179" w:rsidRPr="001E2C14">
        <w:rPr>
          <w:rFonts w:ascii="Times New Roman" w:hAnsi="Times New Roman" w:cs="Times New Roman"/>
          <w:sz w:val="24"/>
          <w:szCs w:val="24"/>
        </w:rPr>
        <w:t>Mar</w:t>
      </w:r>
      <w:r w:rsidR="0028430E" w:rsidRPr="001E2C14">
        <w:rPr>
          <w:rFonts w:ascii="Times New Roman" w:hAnsi="Times New Roman" w:cs="Times New Roman"/>
          <w:sz w:val="24"/>
          <w:szCs w:val="24"/>
        </w:rPr>
        <w:t>a</w:t>
      </w:r>
      <w:proofErr w:type="spellEnd"/>
      <w:r w:rsidR="0028430E" w:rsidRPr="001E2C14">
        <w:rPr>
          <w:rFonts w:ascii="Times New Roman" w:hAnsi="Times New Roman" w:cs="Times New Roman"/>
          <w:sz w:val="24"/>
          <w:szCs w:val="24"/>
        </w:rPr>
        <w:t>;</w:t>
      </w:r>
      <w:r w:rsidR="00E76179" w:rsidRPr="001E2C14">
        <w:rPr>
          <w:rFonts w:ascii="Times New Roman" w:hAnsi="Times New Roman" w:cs="Times New Roman"/>
          <w:sz w:val="24"/>
          <w:szCs w:val="24"/>
        </w:rPr>
        <w:t xml:space="preserve"> Georgia Power file</w:t>
      </w:r>
      <w:r w:rsidR="0028430E" w:rsidRPr="001E2C14">
        <w:rPr>
          <w:rFonts w:ascii="Times New Roman" w:hAnsi="Times New Roman" w:cs="Times New Roman"/>
          <w:sz w:val="24"/>
          <w:szCs w:val="24"/>
        </w:rPr>
        <w:t xml:space="preserve">d </w:t>
      </w:r>
      <w:r w:rsidR="00E76179" w:rsidRPr="001E2C14">
        <w:rPr>
          <w:rFonts w:ascii="Times New Roman" w:hAnsi="Times New Roman" w:cs="Times New Roman"/>
          <w:sz w:val="24"/>
          <w:szCs w:val="24"/>
        </w:rPr>
        <w:t xml:space="preserve">Rebuttal Testimony of </w:t>
      </w:r>
      <w:r w:rsidR="004D72EB" w:rsidRPr="001E2C14">
        <w:rPr>
          <w:rFonts w:ascii="Times New Roman" w:hAnsi="Times New Roman" w:cs="Times New Roman"/>
          <w:sz w:val="24"/>
          <w:szCs w:val="24"/>
        </w:rPr>
        <w:t xml:space="preserve">Mr. </w:t>
      </w:r>
      <w:r w:rsidR="00E76179" w:rsidRPr="001E2C14">
        <w:rPr>
          <w:rFonts w:ascii="Times New Roman" w:hAnsi="Times New Roman" w:cs="Times New Roman"/>
          <w:sz w:val="24"/>
          <w:szCs w:val="24"/>
        </w:rPr>
        <w:t xml:space="preserve">Gresham and </w:t>
      </w:r>
      <w:r w:rsidR="004D72EB" w:rsidRPr="001E2C14">
        <w:rPr>
          <w:rFonts w:ascii="Times New Roman" w:hAnsi="Times New Roman" w:cs="Times New Roman"/>
          <w:sz w:val="24"/>
          <w:szCs w:val="24"/>
        </w:rPr>
        <w:t xml:space="preserve">Mr. </w:t>
      </w:r>
      <w:r w:rsidR="00E76179" w:rsidRPr="001E2C14">
        <w:rPr>
          <w:rFonts w:ascii="Times New Roman" w:hAnsi="Times New Roman" w:cs="Times New Roman"/>
          <w:sz w:val="24"/>
          <w:szCs w:val="24"/>
        </w:rPr>
        <w:t>Mathews</w:t>
      </w:r>
      <w:r w:rsidR="0028430E" w:rsidRPr="001E2C14">
        <w:rPr>
          <w:rFonts w:ascii="Times New Roman" w:hAnsi="Times New Roman" w:cs="Times New Roman"/>
          <w:sz w:val="24"/>
          <w:szCs w:val="24"/>
        </w:rPr>
        <w:t>; Electrify America submitted Rebuttal Testimony of Witness Shay;</w:t>
      </w:r>
      <w:r w:rsidR="003277BE" w:rsidRPr="001E2C14">
        <w:rPr>
          <w:rFonts w:ascii="Times New Roman" w:hAnsi="Times New Roman" w:cs="Times New Roman"/>
          <w:sz w:val="24"/>
          <w:szCs w:val="24"/>
        </w:rPr>
        <w:t xml:space="preserve"> and</w:t>
      </w:r>
      <w:r w:rsidR="0028430E" w:rsidRPr="001E2C14">
        <w:rPr>
          <w:rFonts w:ascii="Times New Roman" w:hAnsi="Times New Roman" w:cs="Times New Roman"/>
          <w:sz w:val="24"/>
          <w:szCs w:val="24"/>
        </w:rPr>
        <w:t xml:space="preserve"> Tesla sponsored</w:t>
      </w:r>
      <w:r w:rsidR="004D72EB" w:rsidRPr="001E2C14">
        <w:rPr>
          <w:rFonts w:ascii="Times New Roman" w:hAnsi="Times New Roman" w:cs="Times New Roman"/>
          <w:sz w:val="24"/>
          <w:szCs w:val="24"/>
        </w:rPr>
        <w:t xml:space="preserve"> the Rebuttal of </w:t>
      </w:r>
      <w:r w:rsidR="0028430E" w:rsidRPr="001E2C14">
        <w:rPr>
          <w:rFonts w:ascii="Times New Roman" w:hAnsi="Times New Roman" w:cs="Times New Roman"/>
          <w:sz w:val="24"/>
          <w:szCs w:val="24"/>
        </w:rPr>
        <w:t>its</w:t>
      </w:r>
      <w:r w:rsidR="00976ABB" w:rsidRPr="001E2C14">
        <w:rPr>
          <w:rFonts w:ascii="Times New Roman" w:hAnsi="Times New Roman" w:cs="Times New Roman"/>
          <w:sz w:val="24"/>
          <w:szCs w:val="24"/>
        </w:rPr>
        <w:t xml:space="preserve">’ </w:t>
      </w:r>
      <w:r w:rsidR="004D72EB" w:rsidRPr="001E2C14">
        <w:rPr>
          <w:rFonts w:ascii="Times New Roman" w:hAnsi="Times New Roman" w:cs="Times New Roman"/>
          <w:sz w:val="24"/>
          <w:szCs w:val="24"/>
        </w:rPr>
        <w:t>Direct Witness</w:t>
      </w:r>
      <w:r w:rsidR="00976ABB" w:rsidRPr="001E2C14">
        <w:rPr>
          <w:rFonts w:ascii="Times New Roman" w:hAnsi="Times New Roman" w:cs="Times New Roman"/>
          <w:sz w:val="24"/>
          <w:szCs w:val="24"/>
        </w:rPr>
        <w:t xml:space="preserve"> Mr. Bean.</w:t>
      </w:r>
    </w:p>
    <w:p w14:paraId="2AD63D34" w14:textId="77777777" w:rsidR="003C0E38" w:rsidRPr="001E2C14" w:rsidRDefault="004D72EB"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A</w:t>
      </w:r>
      <w:r w:rsidR="00CF00E8" w:rsidRPr="001E2C14">
        <w:rPr>
          <w:rFonts w:ascii="Times New Roman" w:hAnsi="Times New Roman" w:cs="Times New Roman"/>
          <w:sz w:val="24"/>
          <w:szCs w:val="24"/>
        </w:rPr>
        <w:t xml:space="preserve">t the request of </w:t>
      </w:r>
      <w:proofErr w:type="spellStart"/>
      <w:r w:rsidR="00CF00E8" w:rsidRPr="001E2C14">
        <w:rPr>
          <w:rFonts w:ascii="Times New Roman" w:hAnsi="Times New Roman" w:cs="Times New Roman"/>
          <w:sz w:val="24"/>
          <w:szCs w:val="24"/>
        </w:rPr>
        <w:t>Sawnee</w:t>
      </w:r>
      <w:proofErr w:type="spellEnd"/>
      <w:r w:rsidR="00CF00E8" w:rsidRPr="001E2C14">
        <w:rPr>
          <w:rFonts w:ascii="Times New Roman" w:hAnsi="Times New Roman" w:cs="Times New Roman"/>
          <w:sz w:val="24"/>
          <w:szCs w:val="24"/>
        </w:rPr>
        <w:t xml:space="preserve"> and Georgia Power, a Revised Hearing and Scheduling Order was issued</w:t>
      </w:r>
      <w:r w:rsidR="003277BE" w:rsidRPr="001E2C14">
        <w:rPr>
          <w:rFonts w:ascii="Times New Roman" w:hAnsi="Times New Roman" w:cs="Times New Roman"/>
          <w:sz w:val="24"/>
          <w:szCs w:val="24"/>
        </w:rPr>
        <w:t xml:space="preserve"> </w:t>
      </w:r>
      <w:r w:rsidR="00A06BF8" w:rsidRPr="001E2C14">
        <w:rPr>
          <w:rFonts w:ascii="Times New Roman" w:hAnsi="Times New Roman" w:cs="Times New Roman"/>
          <w:sz w:val="24"/>
          <w:szCs w:val="24"/>
        </w:rPr>
        <w:t xml:space="preserve">on November, 19, 2021 </w:t>
      </w:r>
      <w:r w:rsidR="003277BE" w:rsidRPr="001E2C14">
        <w:rPr>
          <w:rFonts w:ascii="Times New Roman" w:hAnsi="Times New Roman" w:cs="Times New Roman"/>
          <w:sz w:val="24"/>
          <w:szCs w:val="24"/>
        </w:rPr>
        <w:t>setting the hear</w:t>
      </w:r>
      <w:r w:rsidR="003945A7" w:rsidRPr="001E2C14">
        <w:rPr>
          <w:rFonts w:ascii="Times New Roman" w:hAnsi="Times New Roman" w:cs="Times New Roman"/>
          <w:sz w:val="24"/>
          <w:szCs w:val="24"/>
        </w:rPr>
        <w:t>ing</w:t>
      </w:r>
      <w:r w:rsidR="003277BE" w:rsidRPr="001E2C14">
        <w:rPr>
          <w:rFonts w:ascii="Times New Roman" w:hAnsi="Times New Roman" w:cs="Times New Roman"/>
          <w:sz w:val="24"/>
          <w:szCs w:val="24"/>
        </w:rPr>
        <w:t xml:space="preserve"> date for January 21, 2022</w:t>
      </w:r>
      <w:r w:rsidRPr="001E2C14">
        <w:rPr>
          <w:rFonts w:ascii="Times New Roman" w:hAnsi="Times New Roman" w:cs="Times New Roman"/>
          <w:sz w:val="24"/>
          <w:szCs w:val="24"/>
        </w:rPr>
        <w:t>.</w:t>
      </w:r>
    </w:p>
    <w:p w14:paraId="77F6CC01" w14:textId="77777777" w:rsidR="008523F2" w:rsidRPr="001E2C14" w:rsidRDefault="00284059" w:rsidP="00CF6472">
      <w:pPr>
        <w:spacing w:line="240" w:lineRule="auto"/>
        <w:ind w:firstLine="720"/>
        <w:jc w:val="both"/>
        <w:rPr>
          <w:rFonts w:ascii="Times New Roman" w:hAnsi="Times New Roman" w:cs="Times New Roman"/>
          <w:sz w:val="24"/>
          <w:szCs w:val="24"/>
          <w:u w:val="single"/>
        </w:rPr>
      </w:pPr>
      <w:r w:rsidRPr="001E2C14">
        <w:rPr>
          <w:rFonts w:ascii="Times New Roman" w:hAnsi="Times New Roman" w:cs="Times New Roman"/>
          <w:sz w:val="24"/>
          <w:szCs w:val="24"/>
        </w:rPr>
        <w:t>Following these filings</w:t>
      </w:r>
      <w:r w:rsidR="007D4B4B" w:rsidRPr="001E2C14">
        <w:rPr>
          <w:rFonts w:ascii="Times New Roman" w:hAnsi="Times New Roman" w:cs="Times New Roman"/>
          <w:sz w:val="24"/>
          <w:szCs w:val="24"/>
        </w:rPr>
        <w:t>:</w:t>
      </w:r>
      <w:r w:rsidRPr="001E2C14">
        <w:rPr>
          <w:rFonts w:ascii="Times New Roman" w:hAnsi="Times New Roman" w:cs="Times New Roman"/>
          <w:sz w:val="24"/>
          <w:szCs w:val="24"/>
        </w:rPr>
        <w:t xml:space="preserve"> Georgia Power submitted</w:t>
      </w:r>
      <w:r w:rsidR="0049444F" w:rsidRPr="001E2C14">
        <w:rPr>
          <w:rFonts w:ascii="Times New Roman" w:hAnsi="Times New Roman" w:cs="Times New Roman"/>
          <w:sz w:val="24"/>
          <w:szCs w:val="24"/>
        </w:rPr>
        <w:t xml:space="preserve"> Objections to Certain Testimony </w:t>
      </w:r>
      <w:proofErr w:type="spellStart"/>
      <w:r w:rsidR="0049444F" w:rsidRPr="001E2C14">
        <w:rPr>
          <w:rFonts w:ascii="Times New Roman" w:hAnsi="Times New Roman" w:cs="Times New Roman"/>
          <w:sz w:val="24"/>
          <w:szCs w:val="24"/>
        </w:rPr>
        <w:t>Prefiled</w:t>
      </w:r>
      <w:proofErr w:type="spellEnd"/>
      <w:r w:rsidR="0049444F" w:rsidRPr="001E2C14">
        <w:rPr>
          <w:rFonts w:ascii="Times New Roman" w:hAnsi="Times New Roman" w:cs="Times New Roman"/>
          <w:sz w:val="24"/>
          <w:szCs w:val="24"/>
        </w:rPr>
        <w:t xml:space="preserve"> by </w:t>
      </w:r>
      <w:proofErr w:type="spellStart"/>
      <w:r w:rsidR="0049444F" w:rsidRPr="001E2C14">
        <w:rPr>
          <w:rFonts w:ascii="Times New Roman" w:hAnsi="Times New Roman" w:cs="Times New Roman"/>
          <w:sz w:val="24"/>
          <w:szCs w:val="24"/>
        </w:rPr>
        <w:t>Sawnee</w:t>
      </w:r>
      <w:proofErr w:type="spellEnd"/>
      <w:r w:rsidR="0049444F" w:rsidRPr="001E2C14">
        <w:rPr>
          <w:rFonts w:ascii="Times New Roman" w:hAnsi="Times New Roman" w:cs="Times New Roman"/>
          <w:sz w:val="24"/>
          <w:szCs w:val="24"/>
        </w:rPr>
        <w:t xml:space="preserve"> EMC</w:t>
      </w:r>
      <w:r w:rsidR="00B9135E" w:rsidRPr="001E2C14">
        <w:rPr>
          <w:rFonts w:ascii="Times New Roman" w:hAnsi="Times New Roman" w:cs="Times New Roman"/>
          <w:sz w:val="24"/>
          <w:szCs w:val="24"/>
        </w:rPr>
        <w:t>;</w:t>
      </w:r>
      <w:r w:rsidR="0049444F" w:rsidRPr="001E2C14">
        <w:rPr>
          <w:rFonts w:ascii="Times New Roman" w:hAnsi="Times New Roman" w:cs="Times New Roman"/>
          <w:sz w:val="24"/>
          <w:szCs w:val="24"/>
        </w:rPr>
        <w:t xml:space="preserve"> </w:t>
      </w:r>
      <w:proofErr w:type="spellStart"/>
      <w:r w:rsidR="0049444F" w:rsidRPr="001E2C14">
        <w:rPr>
          <w:rFonts w:ascii="Times New Roman" w:hAnsi="Times New Roman" w:cs="Times New Roman"/>
          <w:sz w:val="24"/>
          <w:szCs w:val="24"/>
        </w:rPr>
        <w:t>Sawnee</w:t>
      </w:r>
      <w:proofErr w:type="spellEnd"/>
      <w:r w:rsidR="001E7FF9" w:rsidRPr="001E2C14">
        <w:rPr>
          <w:rFonts w:ascii="Times New Roman" w:hAnsi="Times New Roman" w:cs="Times New Roman"/>
          <w:sz w:val="24"/>
          <w:szCs w:val="24"/>
        </w:rPr>
        <w:t xml:space="preserve"> filed </w:t>
      </w:r>
      <w:r w:rsidR="00BE31A8" w:rsidRPr="001E2C14">
        <w:rPr>
          <w:rFonts w:ascii="Times New Roman" w:hAnsi="Times New Roman" w:cs="Times New Roman"/>
          <w:sz w:val="24"/>
          <w:szCs w:val="24"/>
        </w:rPr>
        <w:t>O</w:t>
      </w:r>
      <w:r w:rsidR="001E7FF9" w:rsidRPr="001E2C14">
        <w:rPr>
          <w:rFonts w:ascii="Times New Roman" w:hAnsi="Times New Roman" w:cs="Times New Roman"/>
          <w:sz w:val="24"/>
          <w:szCs w:val="24"/>
        </w:rPr>
        <w:t>bjections</w:t>
      </w:r>
      <w:r w:rsidR="0049444F" w:rsidRPr="001E2C14">
        <w:rPr>
          <w:rFonts w:ascii="Times New Roman" w:hAnsi="Times New Roman" w:cs="Times New Roman"/>
          <w:sz w:val="24"/>
          <w:szCs w:val="24"/>
        </w:rPr>
        <w:t xml:space="preserve"> to the </w:t>
      </w:r>
      <w:proofErr w:type="spellStart"/>
      <w:r w:rsidR="00BE31A8" w:rsidRPr="001E2C14">
        <w:rPr>
          <w:rFonts w:ascii="Times New Roman" w:hAnsi="Times New Roman" w:cs="Times New Roman"/>
          <w:sz w:val="24"/>
          <w:szCs w:val="24"/>
        </w:rPr>
        <w:t>P</w:t>
      </w:r>
      <w:r w:rsidR="0049444F" w:rsidRPr="001E2C14">
        <w:rPr>
          <w:rFonts w:ascii="Times New Roman" w:hAnsi="Times New Roman" w:cs="Times New Roman"/>
          <w:sz w:val="24"/>
          <w:szCs w:val="24"/>
        </w:rPr>
        <w:t>refiled</w:t>
      </w:r>
      <w:proofErr w:type="spellEnd"/>
      <w:r w:rsidR="0049444F" w:rsidRPr="001E2C14">
        <w:rPr>
          <w:rFonts w:ascii="Times New Roman" w:hAnsi="Times New Roman" w:cs="Times New Roman"/>
          <w:sz w:val="24"/>
          <w:szCs w:val="24"/>
        </w:rPr>
        <w:t xml:space="preserve"> </w:t>
      </w:r>
      <w:r w:rsidR="00BE31A8" w:rsidRPr="001E2C14">
        <w:rPr>
          <w:rFonts w:ascii="Times New Roman" w:hAnsi="Times New Roman" w:cs="Times New Roman"/>
          <w:sz w:val="24"/>
          <w:szCs w:val="24"/>
        </w:rPr>
        <w:t>T</w:t>
      </w:r>
      <w:r w:rsidR="0049444F" w:rsidRPr="001E2C14">
        <w:rPr>
          <w:rFonts w:ascii="Times New Roman" w:hAnsi="Times New Roman" w:cs="Times New Roman"/>
          <w:sz w:val="24"/>
          <w:szCs w:val="24"/>
        </w:rPr>
        <w:t xml:space="preserve">estimony of </w:t>
      </w:r>
      <w:r w:rsidR="00BE31A8" w:rsidRPr="001E2C14">
        <w:rPr>
          <w:rFonts w:ascii="Times New Roman" w:hAnsi="Times New Roman" w:cs="Times New Roman"/>
          <w:sz w:val="24"/>
          <w:szCs w:val="24"/>
        </w:rPr>
        <w:t>(</w:t>
      </w:r>
      <w:r w:rsidR="0049444F" w:rsidRPr="001E2C14">
        <w:rPr>
          <w:rFonts w:ascii="Times New Roman" w:hAnsi="Times New Roman" w:cs="Times New Roman"/>
          <w:sz w:val="24"/>
          <w:szCs w:val="24"/>
        </w:rPr>
        <w:t>Electrify America’s witness</w:t>
      </w:r>
      <w:r w:rsidR="00BE31A8" w:rsidRPr="001E2C14">
        <w:rPr>
          <w:rFonts w:ascii="Times New Roman" w:hAnsi="Times New Roman" w:cs="Times New Roman"/>
          <w:sz w:val="24"/>
          <w:szCs w:val="24"/>
        </w:rPr>
        <w:t>)</w:t>
      </w:r>
      <w:r w:rsidR="0049444F" w:rsidRPr="001E2C14">
        <w:rPr>
          <w:rFonts w:ascii="Times New Roman" w:hAnsi="Times New Roman" w:cs="Times New Roman"/>
          <w:sz w:val="24"/>
          <w:szCs w:val="24"/>
        </w:rPr>
        <w:t xml:space="preserve"> Jigar</w:t>
      </w:r>
      <w:r w:rsidR="001E7FF9" w:rsidRPr="001E2C14">
        <w:rPr>
          <w:rFonts w:ascii="Times New Roman" w:hAnsi="Times New Roman" w:cs="Times New Roman"/>
          <w:sz w:val="24"/>
          <w:szCs w:val="24"/>
        </w:rPr>
        <w:t xml:space="preserve"> Shah, a </w:t>
      </w:r>
      <w:r w:rsidR="00330C01" w:rsidRPr="001E2C14">
        <w:rPr>
          <w:rFonts w:ascii="Times New Roman" w:hAnsi="Times New Roman" w:cs="Times New Roman"/>
          <w:sz w:val="24"/>
          <w:szCs w:val="24"/>
        </w:rPr>
        <w:t>R</w:t>
      </w:r>
      <w:r w:rsidR="001E7FF9" w:rsidRPr="001E2C14">
        <w:rPr>
          <w:rFonts w:ascii="Times New Roman" w:hAnsi="Times New Roman" w:cs="Times New Roman"/>
          <w:sz w:val="24"/>
          <w:szCs w:val="24"/>
        </w:rPr>
        <w:t xml:space="preserve">esponse to Georgia Power’s </w:t>
      </w:r>
      <w:r w:rsidR="00BE31A8" w:rsidRPr="001E2C14">
        <w:rPr>
          <w:rFonts w:ascii="Times New Roman" w:hAnsi="Times New Roman" w:cs="Times New Roman"/>
          <w:sz w:val="24"/>
          <w:szCs w:val="24"/>
        </w:rPr>
        <w:t>M</w:t>
      </w:r>
      <w:r w:rsidR="001E7FF9" w:rsidRPr="001E2C14">
        <w:rPr>
          <w:rFonts w:ascii="Times New Roman" w:hAnsi="Times New Roman" w:cs="Times New Roman"/>
          <w:sz w:val="24"/>
          <w:szCs w:val="24"/>
        </w:rPr>
        <w:t xml:space="preserve">otion to </w:t>
      </w:r>
      <w:r w:rsidR="00BE31A8" w:rsidRPr="001E2C14">
        <w:rPr>
          <w:rFonts w:ascii="Times New Roman" w:hAnsi="Times New Roman" w:cs="Times New Roman"/>
          <w:sz w:val="24"/>
          <w:szCs w:val="24"/>
        </w:rPr>
        <w:t>S</w:t>
      </w:r>
      <w:r w:rsidR="001E7FF9" w:rsidRPr="001E2C14">
        <w:rPr>
          <w:rFonts w:ascii="Times New Roman" w:hAnsi="Times New Roman" w:cs="Times New Roman"/>
          <w:sz w:val="24"/>
          <w:szCs w:val="24"/>
        </w:rPr>
        <w:t xml:space="preserve">trike and a </w:t>
      </w:r>
      <w:r w:rsidR="00BE31A8" w:rsidRPr="001E2C14">
        <w:rPr>
          <w:rFonts w:ascii="Times New Roman" w:hAnsi="Times New Roman" w:cs="Times New Roman"/>
          <w:sz w:val="24"/>
          <w:szCs w:val="24"/>
        </w:rPr>
        <w:t>M</w:t>
      </w:r>
      <w:r w:rsidR="001E7FF9" w:rsidRPr="001E2C14">
        <w:rPr>
          <w:rFonts w:ascii="Times New Roman" w:hAnsi="Times New Roman" w:cs="Times New Roman"/>
          <w:sz w:val="24"/>
          <w:szCs w:val="24"/>
        </w:rPr>
        <w:t xml:space="preserve">emo in </w:t>
      </w:r>
      <w:r w:rsidR="00BE31A8" w:rsidRPr="001E2C14">
        <w:rPr>
          <w:rFonts w:ascii="Times New Roman" w:hAnsi="Times New Roman" w:cs="Times New Roman"/>
          <w:sz w:val="24"/>
          <w:szCs w:val="24"/>
        </w:rPr>
        <w:t>S</w:t>
      </w:r>
      <w:r w:rsidR="001E7FF9" w:rsidRPr="001E2C14">
        <w:rPr>
          <w:rFonts w:ascii="Times New Roman" w:hAnsi="Times New Roman" w:cs="Times New Roman"/>
          <w:sz w:val="24"/>
          <w:szCs w:val="24"/>
        </w:rPr>
        <w:t xml:space="preserve">upport of </w:t>
      </w:r>
      <w:r w:rsidR="00BE31A8" w:rsidRPr="001E2C14">
        <w:rPr>
          <w:rFonts w:ascii="Times New Roman" w:hAnsi="Times New Roman" w:cs="Times New Roman"/>
          <w:sz w:val="24"/>
          <w:szCs w:val="24"/>
        </w:rPr>
        <w:t>O</w:t>
      </w:r>
      <w:r w:rsidR="001E7FF9" w:rsidRPr="001E2C14">
        <w:rPr>
          <w:rFonts w:ascii="Times New Roman" w:hAnsi="Times New Roman" w:cs="Times New Roman"/>
          <w:sz w:val="24"/>
          <w:szCs w:val="24"/>
        </w:rPr>
        <w:t>bjections to Testimony</w:t>
      </w:r>
      <w:r w:rsidR="008523F2" w:rsidRPr="001E2C14">
        <w:rPr>
          <w:rFonts w:ascii="Times New Roman" w:hAnsi="Times New Roman" w:cs="Times New Roman"/>
          <w:sz w:val="24"/>
          <w:szCs w:val="24"/>
        </w:rPr>
        <w:t xml:space="preserve">; </w:t>
      </w:r>
      <w:r w:rsidR="002117FB" w:rsidRPr="001E2C14">
        <w:rPr>
          <w:rFonts w:ascii="Times New Roman" w:hAnsi="Times New Roman" w:cs="Times New Roman"/>
          <w:sz w:val="24"/>
          <w:szCs w:val="24"/>
        </w:rPr>
        <w:t>and Electrify</w:t>
      </w:r>
      <w:r w:rsidR="00FD1A74" w:rsidRPr="001E2C14">
        <w:rPr>
          <w:rFonts w:ascii="Times New Roman" w:hAnsi="Times New Roman" w:cs="Times New Roman"/>
          <w:sz w:val="24"/>
          <w:szCs w:val="24"/>
        </w:rPr>
        <w:t xml:space="preserve"> America </w:t>
      </w:r>
      <w:r w:rsidR="008523F2" w:rsidRPr="001E2C14">
        <w:rPr>
          <w:rFonts w:ascii="Times New Roman" w:hAnsi="Times New Roman" w:cs="Times New Roman"/>
          <w:sz w:val="24"/>
          <w:szCs w:val="24"/>
        </w:rPr>
        <w:t xml:space="preserve">filed an Opposition to </w:t>
      </w:r>
      <w:proofErr w:type="spellStart"/>
      <w:r w:rsidR="008523F2" w:rsidRPr="001E2C14">
        <w:rPr>
          <w:rFonts w:ascii="Times New Roman" w:hAnsi="Times New Roman" w:cs="Times New Roman"/>
          <w:sz w:val="24"/>
          <w:szCs w:val="24"/>
        </w:rPr>
        <w:t>Sawnee</w:t>
      </w:r>
      <w:proofErr w:type="spellEnd"/>
      <w:r w:rsidR="008523F2" w:rsidRPr="001E2C14">
        <w:rPr>
          <w:rFonts w:ascii="Times New Roman" w:hAnsi="Times New Roman" w:cs="Times New Roman"/>
          <w:sz w:val="24"/>
          <w:szCs w:val="24"/>
        </w:rPr>
        <w:t xml:space="preserve"> EMC’s Objections to the Pre-Filed Direct Testimony of Jigar J.</w:t>
      </w:r>
      <w:r w:rsidR="002117FB" w:rsidRPr="001E2C14">
        <w:rPr>
          <w:rFonts w:ascii="Times New Roman" w:hAnsi="Times New Roman" w:cs="Times New Roman"/>
          <w:sz w:val="24"/>
          <w:szCs w:val="24"/>
        </w:rPr>
        <w:t xml:space="preserve"> Shah.</w:t>
      </w:r>
    </w:p>
    <w:p w14:paraId="51FD3394" w14:textId="5BAACE31" w:rsidR="002B3A0B" w:rsidRPr="001E2C14" w:rsidRDefault="00790113"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U</w:t>
      </w:r>
      <w:r w:rsidR="002B3A0B" w:rsidRPr="001E2C14">
        <w:rPr>
          <w:rFonts w:ascii="Times New Roman" w:hAnsi="Times New Roman" w:cs="Times New Roman"/>
          <w:sz w:val="24"/>
          <w:szCs w:val="24"/>
        </w:rPr>
        <w:t xml:space="preserve">nder </w:t>
      </w:r>
      <w:r w:rsidR="00BC084A">
        <w:rPr>
          <w:rFonts w:ascii="Times New Roman" w:hAnsi="Times New Roman" w:cs="Times New Roman"/>
          <w:sz w:val="24"/>
          <w:szCs w:val="24"/>
        </w:rPr>
        <w:t xml:space="preserve">the </w:t>
      </w:r>
      <w:r w:rsidR="002B3A0B" w:rsidRPr="001E2C14">
        <w:rPr>
          <w:rFonts w:ascii="Times New Roman" w:hAnsi="Times New Roman" w:cs="Times New Roman"/>
          <w:sz w:val="24"/>
          <w:szCs w:val="24"/>
        </w:rPr>
        <w:t xml:space="preserve">Georgia </w:t>
      </w:r>
      <w:r w:rsidR="00BC084A">
        <w:rPr>
          <w:rFonts w:ascii="Times New Roman" w:hAnsi="Times New Roman" w:cs="Times New Roman"/>
          <w:sz w:val="24"/>
          <w:szCs w:val="24"/>
        </w:rPr>
        <w:t>Administrative Procedures Act</w:t>
      </w:r>
      <w:r w:rsidR="002B3A0B" w:rsidRPr="001E2C14">
        <w:rPr>
          <w:rFonts w:ascii="Times New Roman" w:hAnsi="Times New Roman" w:cs="Times New Roman"/>
          <w:sz w:val="24"/>
          <w:szCs w:val="24"/>
        </w:rPr>
        <w:t>,</w:t>
      </w:r>
      <w:r w:rsidR="00BC084A">
        <w:rPr>
          <w:rFonts w:ascii="Times New Roman" w:hAnsi="Times New Roman" w:cs="Times New Roman"/>
          <w:sz w:val="24"/>
          <w:szCs w:val="24"/>
        </w:rPr>
        <w:t xml:space="preserve"> the rules of evidence as applied in the trial of civil nonjury cases in superior courts shall be followed, but evidence not admissible thereunder may be admitted if it is of the type commonly relied upon by reasonable prudent men in the conduct of their affairs.  </w:t>
      </w:r>
      <w:r w:rsidR="002B3A0B" w:rsidRPr="001E2C14">
        <w:rPr>
          <w:rFonts w:ascii="Times New Roman" w:hAnsi="Times New Roman" w:cs="Times New Roman"/>
          <w:sz w:val="24"/>
          <w:szCs w:val="24"/>
        </w:rPr>
        <w:t xml:space="preserve"> </w:t>
      </w:r>
      <w:r w:rsidR="00BC084A">
        <w:rPr>
          <w:rFonts w:ascii="Times New Roman" w:hAnsi="Times New Roman" w:cs="Times New Roman"/>
          <w:sz w:val="24"/>
          <w:szCs w:val="24"/>
        </w:rPr>
        <w:t>O.C.G.A. § 50-13-15(1).</w:t>
      </w:r>
      <w:r w:rsidR="00BC084A" w:rsidRPr="001E2C14">
        <w:rPr>
          <w:rFonts w:ascii="Times New Roman" w:hAnsi="Times New Roman" w:cs="Times New Roman"/>
          <w:sz w:val="24"/>
          <w:szCs w:val="24"/>
        </w:rPr>
        <w:t xml:space="preserve"> </w:t>
      </w:r>
      <w:r w:rsidR="00BC084A">
        <w:rPr>
          <w:rFonts w:ascii="Times New Roman" w:hAnsi="Times New Roman" w:cs="Times New Roman"/>
          <w:sz w:val="24"/>
          <w:szCs w:val="24"/>
        </w:rPr>
        <w:t>E</w:t>
      </w:r>
      <w:r w:rsidR="002B3A0B" w:rsidRPr="001E2C14">
        <w:rPr>
          <w:rFonts w:ascii="Times New Roman" w:hAnsi="Times New Roman" w:cs="Times New Roman"/>
          <w:sz w:val="24"/>
          <w:szCs w:val="24"/>
        </w:rPr>
        <w:t xml:space="preserve">videntiary issues before the Commission are </w:t>
      </w:r>
      <w:r w:rsidR="00BC084A">
        <w:rPr>
          <w:rFonts w:ascii="Times New Roman" w:hAnsi="Times New Roman" w:cs="Times New Roman"/>
          <w:sz w:val="24"/>
          <w:szCs w:val="24"/>
        </w:rPr>
        <w:t xml:space="preserve">also </w:t>
      </w:r>
      <w:r w:rsidR="002B3A0B" w:rsidRPr="001E2C14">
        <w:rPr>
          <w:rFonts w:ascii="Times New Roman" w:hAnsi="Times New Roman" w:cs="Times New Roman"/>
          <w:sz w:val="24"/>
          <w:szCs w:val="24"/>
        </w:rPr>
        <w:t xml:space="preserve">governed by </w:t>
      </w:r>
      <w:bookmarkStart w:id="0" w:name="OLE_LINK2"/>
      <w:r w:rsidR="002B3A0B" w:rsidRPr="001E2C14">
        <w:rPr>
          <w:rFonts w:ascii="Times New Roman" w:hAnsi="Times New Roman" w:cs="Times New Roman"/>
          <w:sz w:val="24"/>
          <w:szCs w:val="24"/>
        </w:rPr>
        <w:t>O.C.G.A. § 46-2-51</w:t>
      </w:r>
      <w:bookmarkEnd w:id="0"/>
      <w:r w:rsidR="002B3A0B" w:rsidRPr="001E2C14">
        <w:rPr>
          <w:rFonts w:ascii="Times New Roman" w:hAnsi="Times New Roman" w:cs="Times New Roman"/>
          <w:sz w:val="24"/>
          <w:szCs w:val="24"/>
        </w:rPr>
        <w:t xml:space="preserve"> which provides that “the Commission shall not be bound by the strict technical rules of pleading and evidence but may exercise such discretion as will facilitate its efforts to ascertain the facts bearing upon the right and justice of the matters before it.”</w:t>
      </w:r>
      <w:r w:rsidR="009915D2" w:rsidRPr="001E2C14">
        <w:rPr>
          <w:rStyle w:val="FootnoteReference"/>
          <w:rFonts w:ascii="Times New Roman" w:hAnsi="Times New Roman" w:cs="Times New Roman"/>
          <w:sz w:val="24"/>
          <w:szCs w:val="24"/>
        </w:rPr>
        <w:footnoteReference w:id="3"/>
      </w:r>
      <w:r w:rsidR="002B3A0B" w:rsidRPr="001E2C14">
        <w:rPr>
          <w:rFonts w:ascii="Times New Roman" w:hAnsi="Times New Roman" w:cs="Times New Roman"/>
          <w:sz w:val="24"/>
          <w:szCs w:val="24"/>
        </w:rPr>
        <w:t xml:space="preserve"> Confronted with objections to testimony or evidence, the Commission has always erred on the side of admissibility. This preference towards flexibility and admissibility has been further confirmed by the Georgia Supreme Court, which has explained:</w:t>
      </w:r>
    </w:p>
    <w:p w14:paraId="79B0A049" w14:textId="77777777" w:rsidR="002B3A0B" w:rsidRPr="001E2C14" w:rsidRDefault="002B3A0B" w:rsidP="00CF6472">
      <w:pPr>
        <w:spacing w:line="240" w:lineRule="auto"/>
        <w:ind w:left="720"/>
        <w:jc w:val="both"/>
        <w:rPr>
          <w:rFonts w:ascii="Times New Roman" w:hAnsi="Times New Roman" w:cs="Times New Roman"/>
          <w:sz w:val="24"/>
          <w:szCs w:val="24"/>
        </w:rPr>
      </w:pPr>
      <w:r w:rsidRPr="001E2C14">
        <w:rPr>
          <w:rFonts w:ascii="Times New Roman" w:hAnsi="Times New Roman" w:cs="Times New Roman"/>
          <w:i/>
          <w:sz w:val="24"/>
          <w:szCs w:val="24"/>
        </w:rPr>
        <w:t>[T]he Commission is not bound by the strict technical rules of pleading and evidence. It</w:t>
      </w:r>
      <w:r w:rsidR="00FD0620" w:rsidRPr="001E2C14">
        <w:rPr>
          <w:rFonts w:ascii="Times New Roman" w:hAnsi="Times New Roman" w:cs="Times New Roman"/>
          <w:i/>
          <w:sz w:val="24"/>
          <w:szCs w:val="24"/>
        </w:rPr>
        <w:t xml:space="preserve"> </w:t>
      </w:r>
      <w:r w:rsidRPr="001E2C14">
        <w:rPr>
          <w:rFonts w:ascii="Times New Roman" w:hAnsi="Times New Roman" w:cs="Times New Roman"/>
          <w:i/>
          <w:sz w:val="24"/>
          <w:szCs w:val="24"/>
        </w:rPr>
        <w:t xml:space="preserve">has been recognized by this court and by the courts of other jurisdictions that an administrative body such as the Public Service Commission may, in matters which come before it for determination, perform quasi-judicial functions as well as quasi-legislative functions . . . . The Commission is authorized by statute to adopt rules of evidence and procedure in carrying out its duties in the administration of Chapter 68 of the Code, and is not bound by strict rules of evidence in conducting its hearings. [citations omitted].  Similar statutes of other jurisdictions with respect to administrative agencies have been considered by the courts, and it has been generally held that the strict rules of evidence </w:t>
      </w:r>
      <w:r w:rsidRPr="001E2C14">
        <w:rPr>
          <w:rFonts w:ascii="Times New Roman" w:hAnsi="Times New Roman" w:cs="Times New Roman"/>
          <w:i/>
          <w:sz w:val="24"/>
          <w:szCs w:val="24"/>
        </w:rPr>
        <w:lastRenderedPageBreak/>
        <w:t>applicable in jury-trial cases are not applicable before quasi-legislative agencies. [citations omitted].</w:t>
      </w:r>
      <w:r w:rsidR="00790113" w:rsidRPr="001E2C14">
        <w:rPr>
          <w:rStyle w:val="FootnoteReference"/>
          <w:rFonts w:ascii="Times New Roman" w:hAnsi="Times New Roman" w:cs="Times New Roman"/>
          <w:i/>
          <w:sz w:val="24"/>
          <w:szCs w:val="24"/>
        </w:rPr>
        <w:footnoteReference w:id="4"/>
      </w:r>
      <w:r w:rsidRPr="001E2C14">
        <w:rPr>
          <w:rFonts w:ascii="Times New Roman" w:hAnsi="Times New Roman" w:cs="Times New Roman"/>
          <w:i/>
          <w:sz w:val="24"/>
          <w:szCs w:val="24"/>
        </w:rPr>
        <w:t xml:space="preserve">  </w:t>
      </w:r>
    </w:p>
    <w:p w14:paraId="08020377" w14:textId="6903C693" w:rsidR="001A3C50" w:rsidRPr="001E2C14" w:rsidRDefault="00355D39" w:rsidP="00CF647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Georgia P</w:t>
      </w:r>
      <w:r w:rsidR="00726B68">
        <w:rPr>
          <w:rFonts w:ascii="Times New Roman" w:hAnsi="Times New Roman" w:cs="Times New Roman"/>
          <w:sz w:val="24"/>
          <w:szCs w:val="24"/>
        </w:rPr>
        <w:t>ower objected to certain</w:t>
      </w:r>
      <w:r w:rsidR="00663540">
        <w:rPr>
          <w:rFonts w:ascii="Times New Roman" w:hAnsi="Times New Roman" w:cs="Times New Roman"/>
          <w:sz w:val="24"/>
          <w:szCs w:val="24"/>
        </w:rPr>
        <w:t xml:space="preserve"> </w:t>
      </w:r>
      <w:proofErr w:type="spellStart"/>
      <w:r w:rsidR="00663540">
        <w:rPr>
          <w:rFonts w:ascii="Times New Roman" w:hAnsi="Times New Roman" w:cs="Times New Roman"/>
          <w:sz w:val="24"/>
          <w:szCs w:val="24"/>
        </w:rPr>
        <w:t>Sawnee</w:t>
      </w:r>
      <w:proofErr w:type="spellEnd"/>
      <w:r w:rsidR="00663540">
        <w:rPr>
          <w:rFonts w:ascii="Times New Roman" w:hAnsi="Times New Roman" w:cs="Times New Roman"/>
          <w:sz w:val="24"/>
          <w:szCs w:val="24"/>
        </w:rPr>
        <w:t xml:space="preserve"> </w:t>
      </w:r>
      <w:r w:rsidR="00726B68">
        <w:rPr>
          <w:rFonts w:ascii="Times New Roman" w:hAnsi="Times New Roman" w:cs="Times New Roman"/>
          <w:sz w:val="24"/>
          <w:szCs w:val="24"/>
        </w:rPr>
        <w:t xml:space="preserve">testimony regarding projected metered demand and </w:t>
      </w:r>
      <w:r w:rsidR="00663540">
        <w:rPr>
          <w:rFonts w:ascii="Times New Roman" w:hAnsi="Times New Roman" w:cs="Times New Roman"/>
          <w:sz w:val="24"/>
          <w:szCs w:val="24"/>
        </w:rPr>
        <w:t xml:space="preserve">transformer size as irrelevant to determining a </w:t>
      </w:r>
      <w:r w:rsidR="0099756F">
        <w:rPr>
          <w:rFonts w:ascii="Times New Roman" w:hAnsi="Times New Roman" w:cs="Times New Roman"/>
          <w:sz w:val="24"/>
          <w:szCs w:val="24"/>
        </w:rPr>
        <w:t>customer’s</w:t>
      </w:r>
      <w:r w:rsidR="00663540">
        <w:rPr>
          <w:rFonts w:ascii="Times New Roman" w:hAnsi="Times New Roman" w:cs="Times New Roman"/>
          <w:sz w:val="24"/>
          <w:szCs w:val="24"/>
        </w:rPr>
        <w:t xml:space="preserve"> eligibility for the large load exception. </w:t>
      </w:r>
      <w:proofErr w:type="spellStart"/>
      <w:r w:rsidR="00663540">
        <w:rPr>
          <w:rFonts w:ascii="Times New Roman" w:hAnsi="Times New Roman" w:cs="Times New Roman"/>
          <w:sz w:val="24"/>
          <w:szCs w:val="24"/>
        </w:rPr>
        <w:t>Sawnee</w:t>
      </w:r>
      <w:proofErr w:type="spellEnd"/>
      <w:r w:rsidR="00663540">
        <w:rPr>
          <w:rFonts w:ascii="Times New Roman" w:hAnsi="Times New Roman" w:cs="Times New Roman"/>
          <w:sz w:val="24"/>
          <w:szCs w:val="24"/>
        </w:rPr>
        <w:t xml:space="preserve"> filed an Objection to</w:t>
      </w:r>
      <w:r w:rsidR="00E64A5C">
        <w:rPr>
          <w:rFonts w:ascii="Times New Roman" w:hAnsi="Times New Roman" w:cs="Times New Roman"/>
          <w:sz w:val="24"/>
          <w:szCs w:val="24"/>
        </w:rPr>
        <w:t xml:space="preserve"> portions of</w:t>
      </w:r>
      <w:r w:rsidR="00663540">
        <w:rPr>
          <w:rFonts w:ascii="Times New Roman" w:hAnsi="Times New Roman" w:cs="Times New Roman"/>
          <w:sz w:val="24"/>
          <w:szCs w:val="24"/>
        </w:rPr>
        <w:t xml:space="preserve"> Electrify America’s </w:t>
      </w:r>
      <w:r w:rsidR="00E64A5C">
        <w:rPr>
          <w:rFonts w:ascii="Times New Roman" w:hAnsi="Times New Roman" w:cs="Times New Roman"/>
          <w:sz w:val="24"/>
          <w:szCs w:val="24"/>
        </w:rPr>
        <w:t>testimony containing</w:t>
      </w:r>
      <w:r w:rsidR="00663540">
        <w:rPr>
          <w:rFonts w:ascii="Times New Roman" w:hAnsi="Times New Roman" w:cs="Times New Roman"/>
          <w:sz w:val="24"/>
          <w:szCs w:val="24"/>
        </w:rPr>
        <w:t xml:space="preserve"> </w:t>
      </w:r>
      <w:r w:rsidR="00E2451D">
        <w:rPr>
          <w:rFonts w:ascii="Times New Roman" w:hAnsi="Times New Roman" w:cs="Times New Roman"/>
          <w:sz w:val="24"/>
          <w:szCs w:val="24"/>
        </w:rPr>
        <w:t xml:space="preserve">what it claimed to be unnecessary </w:t>
      </w:r>
      <w:r w:rsidR="00396FAC">
        <w:rPr>
          <w:rFonts w:ascii="Times New Roman" w:hAnsi="Times New Roman" w:cs="Times New Roman"/>
          <w:sz w:val="24"/>
          <w:szCs w:val="24"/>
        </w:rPr>
        <w:t xml:space="preserve">information </w:t>
      </w:r>
      <w:proofErr w:type="gramStart"/>
      <w:r w:rsidR="00396FAC">
        <w:rPr>
          <w:rFonts w:ascii="Times New Roman" w:hAnsi="Times New Roman" w:cs="Times New Roman"/>
          <w:sz w:val="24"/>
          <w:szCs w:val="24"/>
        </w:rPr>
        <w:t xml:space="preserve">regarding </w:t>
      </w:r>
      <w:r w:rsidR="00396FAC" w:rsidRPr="00396FAC">
        <w:rPr>
          <w:rFonts w:ascii="Times New Roman" w:hAnsi="Times New Roman" w:cs="Times New Roman"/>
          <w:sz w:val="24"/>
          <w:szCs w:val="24"/>
        </w:rPr>
        <w:t xml:space="preserve"> Electrify</w:t>
      </w:r>
      <w:proofErr w:type="gramEnd"/>
      <w:r w:rsidR="00396FAC" w:rsidRPr="00396FAC">
        <w:rPr>
          <w:rFonts w:ascii="Times New Roman" w:hAnsi="Times New Roman" w:cs="Times New Roman"/>
          <w:sz w:val="24"/>
          <w:szCs w:val="24"/>
        </w:rPr>
        <w:t xml:space="preserve"> America’s investment strategy, business plan, profitability</w:t>
      </w:r>
      <w:r w:rsidR="00396FAC">
        <w:rPr>
          <w:rFonts w:ascii="Times New Roman" w:hAnsi="Times New Roman" w:cs="Times New Roman"/>
          <w:sz w:val="24"/>
          <w:szCs w:val="24"/>
        </w:rPr>
        <w:t xml:space="preserve">. </w:t>
      </w:r>
      <w:r w:rsidR="001A3C50" w:rsidRPr="001E2C14">
        <w:rPr>
          <w:rFonts w:ascii="Times New Roman" w:hAnsi="Times New Roman" w:cs="Times New Roman"/>
          <w:sz w:val="24"/>
          <w:szCs w:val="24"/>
        </w:rPr>
        <w:t xml:space="preserve">After </w:t>
      </w:r>
      <w:r w:rsidR="00396FAC">
        <w:rPr>
          <w:rFonts w:ascii="Times New Roman" w:hAnsi="Times New Roman" w:cs="Times New Roman"/>
          <w:sz w:val="24"/>
          <w:szCs w:val="24"/>
        </w:rPr>
        <w:t xml:space="preserve">hearing </w:t>
      </w:r>
      <w:r w:rsidR="001A3C50" w:rsidRPr="001E2C14">
        <w:rPr>
          <w:rFonts w:ascii="Times New Roman" w:hAnsi="Times New Roman" w:cs="Times New Roman"/>
          <w:sz w:val="24"/>
          <w:szCs w:val="24"/>
        </w:rPr>
        <w:t>arguments from the parties, the Objections were denied. The Hearing Officer has the discretion to consider materials outside the strict rules of evidence in Administrative Proceedings and may determine the appropriate probative weight to give that testimony. Furthermore, in the event a Petition for Review is granted, it is imperative that the full Commission have the entire record and all unabridged filings, testimony and exhibits available to it.</w:t>
      </w:r>
    </w:p>
    <w:p w14:paraId="504B91EB" w14:textId="77777777" w:rsidR="00A76167" w:rsidRPr="001E2C14" w:rsidRDefault="00C0737E" w:rsidP="00CF6472">
      <w:pPr>
        <w:spacing w:line="240"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A Request for Issuance of Subpoena</w:t>
      </w:r>
      <w:r w:rsidR="00F402D0" w:rsidRPr="001E2C14">
        <w:rPr>
          <w:rFonts w:ascii="Times New Roman" w:hAnsi="Times New Roman" w:cs="Times New Roman"/>
          <w:sz w:val="24"/>
          <w:szCs w:val="24"/>
        </w:rPr>
        <w:t xml:space="preserve"> to Georgia Power</w:t>
      </w:r>
      <w:r w:rsidRPr="001E2C14">
        <w:rPr>
          <w:rFonts w:ascii="Times New Roman" w:hAnsi="Times New Roman" w:cs="Times New Roman"/>
          <w:sz w:val="24"/>
          <w:szCs w:val="24"/>
        </w:rPr>
        <w:t xml:space="preserve"> was filed by </w:t>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on January 7, 2022</w:t>
      </w:r>
      <w:r w:rsidR="008B4D1B" w:rsidRPr="001E2C14">
        <w:rPr>
          <w:rFonts w:ascii="Times New Roman" w:hAnsi="Times New Roman" w:cs="Times New Roman"/>
          <w:sz w:val="24"/>
          <w:szCs w:val="24"/>
        </w:rPr>
        <w:t xml:space="preserve">. </w:t>
      </w:r>
      <w:r w:rsidR="002C7C43" w:rsidRPr="001E2C14">
        <w:rPr>
          <w:rFonts w:ascii="Times New Roman" w:hAnsi="Times New Roman" w:cs="Times New Roman"/>
          <w:sz w:val="24"/>
          <w:szCs w:val="24"/>
        </w:rPr>
        <w:t>Georgia Power filed an Objection to the Issuance of Subp</w:t>
      </w:r>
      <w:r w:rsidR="008B4029" w:rsidRPr="001E2C14">
        <w:rPr>
          <w:rFonts w:ascii="Times New Roman" w:hAnsi="Times New Roman" w:cs="Times New Roman"/>
          <w:sz w:val="24"/>
          <w:szCs w:val="24"/>
        </w:rPr>
        <w:t>oena</w:t>
      </w:r>
      <w:r w:rsidR="00E13C15" w:rsidRPr="001E2C14">
        <w:rPr>
          <w:rFonts w:ascii="Times New Roman" w:hAnsi="Times New Roman" w:cs="Times New Roman"/>
          <w:sz w:val="24"/>
          <w:szCs w:val="24"/>
        </w:rPr>
        <w:t xml:space="preserve"> and Requested an Issuance of Subpoena </w:t>
      </w:r>
      <w:r w:rsidR="00D43D60" w:rsidRPr="001E2C14">
        <w:rPr>
          <w:rFonts w:ascii="Times New Roman" w:hAnsi="Times New Roman" w:cs="Times New Roman"/>
          <w:sz w:val="24"/>
          <w:szCs w:val="24"/>
        </w:rPr>
        <w:t xml:space="preserve">to </w:t>
      </w:r>
      <w:proofErr w:type="spellStart"/>
      <w:r w:rsidR="00D43D60" w:rsidRPr="001E2C14">
        <w:rPr>
          <w:rFonts w:ascii="Times New Roman" w:hAnsi="Times New Roman" w:cs="Times New Roman"/>
          <w:sz w:val="24"/>
          <w:szCs w:val="24"/>
        </w:rPr>
        <w:t>Sawnee</w:t>
      </w:r>
      <w:proofErr w:type="spellEnd"/>
      <w:r w:rsidR="00D43D60" w:rsidRPr="001E2C14">
        <w:rPr>
          <w:rFonts w:ascii="Times New Roman" w:hAnsi="Times New Roman" w:cs="Times New Roman"/>
          <w:sz w:val="24"/>
          <w:szCs w:val="24"/>
        </w:rPr>
        <w:t xml:space="preserve"> </w:t>
      </w:r>
      <w:r w:rsidR="00E13C15" w:rsidRPr="001E2C14">
        <w:rPr>
          <w:rFonts w:ascii="Times New Roman" w:hAnsi="Times New Roman" w:cs="Times New Roman"/>
          <w:sz w:val="24"/>
          <w:szCs w:val="24"/>
        </w:rPr>
        <w:t>on January 11, 2022</w:t>
      </w:r>
      <w:r w:rsidR="008B4D1B" w:rsidRPr="001E2C14">
        <w:rPr>
          <w:rFonts w:ascii="Times New Roman" w:hAnsi="Times New Roman" w:cs="Times New Roman"/>
          <w:sz w:val="24"/>
          <w:szCs w:val="24"/>
        </w:rPr>
        <w:t>.</w:t>
      </w:r>
    </w:p>
    <w:p w14:paraId="7E29CC38" w14:textId="48F3A196" w:rsidR="005E445A" w:rsidRPr="001E2C14" w:rsidRDefault="00217709" w:rsidP="00CF6472">
      <w:pPr>
        <w:spacing w:line="240" w:lineRule="auto"/>
        <w:ind w:firstLine="360"/>
        <w:jc w:val="both"/>
        <w:rPr>
          <w:rFonts w:ascii="Times New Roman" w:hAnsi="Times New Roman" w:cs="Times New Roman"/>
          <w:sz w:val="24"/>
          <w:szCs w:val="24"/>
        </w:rPr>
      </w:pPr>
      <w:r w:rsidRPr="001E2C14">
        <w:rPr>
          <w:rFonts w:ascii="Times New Roman" w:hAnsi="Times New Roman" w:cs="Times New Roman"/>
          <w:sz w:val="24"/>
          <w:szCs w:val="24"/>
        </w:rPr>
        <w:t xml:space="preserve">Subpoenas </w:t>
      </w:r>
      <w:r w:rsidR="00124823" w:rsidRPr="001E2C14">
        <w:rPr>
          <w:rFonts w:ascii="Times New Roman" w:hAnsi="Times New Roman" w:cs="Times New Roman"/>
          <w:sz w:val="24"/>
          <w:szCs w:val="24"/>
        </w:rPr>
        <w:t>w</w:t>
      </w:r>
      <w:r w:rsidR="00947672" w:rsidRPr="001E2C14">
        <w:rPr>
          <w:rFonts w:ascii="Times New Roman" w:hAnsi="Times New Roman" w:cs="Times New Roman"/>
          <w:sz w:val="24"/>
          <w:szCs w:val="24"/>
        </w:rPr>
        <w:t>ere</w:t>
      </w:r>
      <w:r w:rsidR="00124823" w:rsidRPr="001E2C14">
        <w:rPr>
          <w:rFonts w:ascii="Times New Roman" w:hAnsi="Times New Roman" w:cs="Times New Roman"/>
          <w:sz w:val="24"/>
          <w:szCs w:val="24"/>
        </w:rPr>
        <w:t xml:space="preserve"> </w:t>
      </w:r>
      <w:r w:rsidRPr="001E2C14">
        <w:rPr>
          <w:rFonts w:ascii="Times New Roman" w:hAnsi="Times New Roman" w:cs="Times New Roman"/>
          <w:sz w:val="24"/>
          <w:szCs w:val="24"/>
        </w:rPr>
        <w:t>issued</w:t>
      </w:r>
      <w:r w:rsidR="00BA44FC" w:rsidRPr="001E2C14">
        <w:rPr>
          <w:rFonts w:ascii="Times New Roman" w:hAnsi="Times New Roman" w:cs="Times New Roman"/>
          <w:sz w:val="24"/>
          <w:szCs w:val="24"/>
        </w:rPr>
        <w:t xml:space="preserve"> by the Hearing Officer</w:t>
      </w:r>
      <w:r w:rsidRPr="001E2C14">
        <w:rPr>
          <w:rFonts w:ascii="Times New Roman" w:hAnsi="Times New Roman" w:cs="Times New Roman"/>
          <w:sz w:val="24"/>
          <w:szCs w:val="24"/>
        </w:rPr>
        <w:t xml:space="preserve"> to Georgia Power </w:t>
      </w:r>
      <w:r w:rsidR="00947672" w:rsidRPr="001E2C14">
        <w:rPr>
          <w:rFonts w:ascii="Times New Roman" w:hAnsi="Times New Roman" w:cs="Times New Roman"/>
          <w:sz w:val="24"/>
          <w:szCs w:val="24"/>
        </w:rPr>
        <w:t xml:space="preserve">and Electrify </w:t>
      </w:r>
      <w:r w:rsidR="00CF14CD" w:rsidRPr="001E2C14">
        <w:rPr>
          <w:rFonts w:ascii="Times New Roman" w:hAnsi="Times New Roman" w:cs="Times New Roman"/>
          <w:sz w:val="24"/>
          <w:szCs w:val="24"/>
        </w:rPr>
        <w:t>America</w:t>
      </w:r>
      <w:r w:rsidRPr="001E2C14">
        <w:rPr>
          <w:rFonts w:ascii="Times New Roman" w:hAnsi="Times New Roman" w:cs="Times New Roman"/>
          <w:sz w:val="24"/>
          <w:szCs w:val="24"/>
        </w:rPr>
        <w:t xml:space="preserve"> </w:t>
      </w:r>
      <w:r w:rsidR="006255F3">
        <w:rPr>
          <w:rFonts w:ascii="Times New Roman" w:hAnsi="Times New Roman" w:cs="Times New Roman"/>
          <w:sz w:val="24"/>
          <w:szCs w:val="24"/>
        </w:rPr>
        <w:t xml:space="preserve">on </w:t>
      </w:r>
      <w:bookmarkStart w:id="3" w:name="_GoBack"/>
      <w:bookmarkEnd w:id="3"/>
      <w:r w:rsidRPr="001E2C14">
        <w:rPr>
          <w:rFonts w:ascii="Times New Roman" w:hAnsi="Times New Roman" w:cs="Times New Roman"/>
          <w:sz w:val="24"/>
          <w:szCs w:val="24"/>
        </w:rPr>
        <w:t>January</w:t>
      </w:r>
      <w:r w:rsidR="00790113" w:rsidRPr="001E2C14">
        <w:rPr>
          <w:rFonts w:ascii="Times New Roman" w:hAnsi="Times New Roman" w:cs="Times New Roman"/>
          <w:sz w:val="24"/>
          <w:szCs w:val="24"/>
        </w:rPr>
        <w:t xml:space="preserve"> </w:t>
      </w:r>
      <w:r w:rsidRPr="001E2C14">
        <w:rPr>
          <w:rFonts w:ascii="Times New Roman" w:hAnsi="Times New Roman" w:cs="Times New Roman"/>
          <w:sz w:val="24"/>
          <w:szCs w:val="24"/>
        </w:rPr>
        <w:t>11, 2022.</w:t>
      </w:r>
      <w:r w:rsidR="00CA54EE" w:rsidRPr="001E2C14">
        <w:rPr>
          <w:rFonts w:ascii="Times New Roman" w:hAnsi="Times New Roman" w:cs="Times New Roman"/>
          <w:sz w:val="24"/>
          <w:szCs w:val="24"/>
        </w:rPr>
        <w:t xml:space="preserve"> </w:t>
      </w:r>
      <w:r w:rsidR="002D59E0" w:rsidRPr="001E2C14">
        <w:rPr>
          <w:rFonts w:ascii="Times New Roman" w:hAnsi="Times New Roman" w:cs="Times New Roman"/>
          <w:sz w:val="24"/>
          <w:szCs w:val="24"/>
        </w:rPr>
        <w:t xml:space="preserve">A Subpoena to </w:t>
      </w:r>
      <w:proofErr w:type="spellStart"/>
      <w:r w:rsidR="002D59E0" w:rsidRPr="001E2C14">
        <w:rPr>
          <w:rFonts w:ascii="Times New Roman" w:hAnsi="Times New Roman" w:cs="Times New Roman"/>
          <w:sz w:val="24"/>
          <w:szCs w:val="24"/>
        </w:rPr>
        <w:t>Sawnee</w:t>
      </w:r>
      <w:proofErr w:type="spellEnd"/>
      <w:r w:rsidR="002D59E0" w:rsidRPr="001E2C14">
        <w:rPr>
          <w:rFonts w:ascii="Times New Roman" w:hAnsi="Times New Roman" w:cs="Times New Roman"/>
          <w:sz w:val="24"/>
          <w:szCs w:val="24"/>
        </w:rPr>
        <w:t xml:space="preserve"> was issued on January 12, 2022. </w:t>
      </w:r>
      <w:r w:rsidR="00AA0555" w:rsidRPr="001E2C14">
        <w:rPr>
          <w:rFonts w:ascii="Times New Roman" w:hAnsi="Times New Roman" w:cs="Times New Roman"/>
          <w:sz w:val="24"/>
          <w:szCs w:val="24"/>
        </w:rPr>
        <w:t xml:space="preserve"> Electrify America filled an Opposition to </w:t>
      </w:r>
      <w:proofErr w:type="spellStart"/>
      <w:r w:rsidR="00AA0555" w:rsidRPr="001E2C14">
        <w:rPr>
          <w:rFonts w:ascii="Times New Roman" w:hAnsi="Times New Roman" w:cs="Times New Roman"/>
          <w:sz w:val="24"/>
          <w:szCs w:val="24"/>
        </w:rPr>
        <w:t>Sawnee’s</w:t>
      </w:r>
      <w:proofErr w:type="spellEnd"/>
      <w:r w:rsidR="00AA0555" w:rsidRPr="001E2C14">
        <w:rPr>
          <w:rFonts w:ascii="Times New Roman" w:hAnsi="Times New Roman" w:cs="Times New Roman"/>
          <w:sz w:val="24"/>
          <w:szCs w:val="24"/>
        </w:rPr>
        <w:t xml:space="preserve"> Objection to the </w:t>
      </w:r>
      <w:proofErr w:type="spellStart"/>
      <w:r w:rsidR="00AA0555" w:rsidRPr="001E2C14">
        <w:rPr>
          <w:rFonts w:ascii="Times New Roman" w:hAnsi="Times New Roman" w:cs="Times New Roman"/>
          <w:sz w:val="24"/>
          <w:szCs w:val="24"/>
        </w:rPr>
        <w:t>Prefiled</w:t>
      </w:r>
      <w:proofErr w:type="spellEnd"/>
      <w:r w:rsidR="00AA0555" w:rsidRPr="001E2C14">
        <w:rPr>
          <w:rFonts w:ascii="Times New Roman" w:hAnsi="Times New Roman" w:cs="Times New Roman"/>
          <w:sz w:val="24"/>
          <w:szCs w:val="24"/>
        </w:rPr>
        <w:t xml:space="preserve"> Testimony of Jigar Shah and </w:t>
      </w:r>
      <w:r w:rsidR="00443B28" w:rsidRPr="001E2C14">
        <w:rPr>
          <w:rFonts w:ascii="Times New Roman" w:hAnsi="Times New Roman" w:cs="Times New Roman"/>
          <w:sz w:val="24"/>
          <w:szCs w:val="24"/>
        </w:rPr>
        <w:t xml:space="preserve">a </w:t>
      </w:r>
      <w:r w:rsidR="00AA0555" w:rsidRPr="001E2C14">
        <w:rPr>
          <w:rFonts w:ascii="Times New Roman" w:hAnsi="Times New Roman" w:cs="Times New Roman"/>
          <w:sz w:val="24"/>
          <w:szCs w:val="24"/>
        </w:rPr>
        <w:t>Letter to Support of Georgia Power’s Request for Issuance of Subpoena</w:t>
      </w:r>
      <w:r w:rsidR="00CE32FE" w:rsidRPr="001E2C14">
        <w:rPr>
          <w:rFonts w:ascii="Times New Roman" w:hAnsi="Times New Roman" w:cs="Times New Roman"/>
          <w:sz w:val="24"/>
          <w:szCs w:val="24"/>
        </w:rPr>
        <w:t xml:space="preserve"> on January 14, 2022</w:t>
      </w:r>
      <w:r w:rsidR="00E6330F" w:rsidRPr="001E2C14">
        <w:rPr>
          <w:rFonts w:ascii="Times New Roman" w:hAnsi="Times New Roman" w:cs="Times New Roman"/>
          <w:sz w:val="24"/>
          <w:szCs w:val="24"/>
        </w:rPr>
        <w:t>.</w:t>
      </w:r>
    </w:p>
    <w:p w14:paraId="248C771B" w14:textId="77777777" w:rsidR="005E445A" w:rsidRPr="001E2C14" w:rsidRDefault="005E445A" w:rsidP="00CF6472">
      <w:pPr>
        <w:spacing w:line="240" w:lineRule="auto"/>
        <w:ind w:firstLine="360"/>
        <w:jc w:val="both"/>
        <w:rPr>
          <w:rFonts w:ascii="Times New Roman" w:hAnsi="Times New Roman" w:cs="Times New Roman"/>
          <w:sz w:val="24"/>
          <w:szCs w:val="24"/>
        </w:rPr>
      </w:pPr>
      <w:r w:rsidRPr="001E2C14">
        <w:rPr>
          <w:rFonts w:ascii="Times New Roman" w:hAnsi="Times New Roman" w:cs="Times New Roman"/>
          <w:sz w:val="24"/>
          <w:szCs w:val="24"/>
        </w:rPr>
        <w:t>At the conclusion of the hearing on January 21, 2011,</w:t>
      </w:r>
      <w:r w:rsidR="00F44E9C" w:rsidRPr="001E2C14">
        <w:rPr>
          <w:rFonts w:ascii="Times New Roman" w:hAnsi="Times New Roman" w:cs="Times New Roman"/>
          <w:sz w:val="24"/>
          <w:szCs w:val="24"/>
        </w:rPr>
        <w:t xml:space="preserve"> </w:t>
      </w:r>
      <w:r w:rsidR="00925D15" w:rsidRPr="001E2C14">
        <w:rPr>
          <w:rFonts w:ascii="Times New Roman" w:hAnsi="Times New Roman" w:cs="Times New Roman"/>
          <w:sz w:val="24"/>
          <w:szCs w:val="24"/>
        </w:rPr>
        <w:t>E</w:t>
      </w:r>
      <w:r w:rsidRPr="001E2C14">
        <w:rPr>
          <w:rFonts w:ascii="Times New Roman" w:hAnsi="Times New Roman" w:cs="Times New Roman"/>
          <w:sz w:val="24"/>
          <w:szCs w:val="24"/>
        </w:rPr>
        <w:t xml:space="preserve">xhibits were tendered and admitted into evidence. </w:t>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introduced SEMC Exhibits 1-10. Georgia Power </w:t>
      </w:r>
      <w:r w:rsidR="00790113" w:rsidRPr="001E2C14">
        <w:rPr>
          <w:rFonts w:ascii="Times New Roman" w:hAnsi="Times New Roman" w:cs="Times New Roman"/>
          <w:sz w:val="24"/>
          <w:szCs w:val="24"/>
        </w:rPr>
        <w:t>proffered</w:t>
      </w:r>
      <w:r w:rsidRPr="001E2C14">
        <w:rPr>
          <w:rFonts w:ascii="Times New Roman" w:hAnsi="Times New Roman" w:cs="Times New Roman"/>
          <w:sz w:val="24"/>
          <w:szCs w:val="24"/>
        </w:rPr>
        <w:t xml:space="preserve"> Exhibits GPC 1-2. Electrify America introduced Exhibit JS-1</w:t>
      </w:r>
      <w:r w:rsidR="00790113" w:rsidRPr="001E2C14">
        <w:rPr>
          <w:rFonts w:ascii="Times New Roman" w:hAnsi="Times New Roman" w:cs="Times New Roman"/>
          <w:sz w:val="24"/>
          <w:szCs w:val="24"/>
        </w:rPr>
        <w:t xml:space="preserve"> and Tesla submitted Exhibit 1.</w:t>
      </w:r>
      <w:r w:rsidRPr="001E2C14">
        <w:rPr>
          <w:rFonts w:ascii="Times New Roman" w:hAnsi="Times New Roman" w:cs="Times New Roman"/>
          <w:sz w:val="24"/>
          <w:szCs w:val="24"/>
        </w:rPr>
        <w:t xml:space="preserve"> The parties later </w:t>
      </w:r>
      <w:r w:rsidR="000F7686">
        <w:rPr>
          <w:rFonts w:ascii="Times New Roman" w:hAnsi="Times New Roman" w:cs="Times New Roman"/>
          <w:sz w:val="24"/>
          <w:szCs w:val="24"/>
        </w:rPr>
        <w:t>fil</w:t>
      </w:r>
      <w:r w:rsidRPr="001E2C14">
        <w:rPr>
          <w:rFonts w:ascii="Times New Roman" w:hAnsi="Times New Roman" w:cs="Times New Roman"/>
          <w:sz w:val="24"/>
          <w:szCs w:val="24"/>
        </w:rPr>
        <w:t xml:space="preserve">ed </w:t>
      </w:r>
      <w:r w:rsidR="00925D15" w:rsidRPr="001E2C14">
        <w:rPr>
          <w:rFonts w:ascii="Times New Roman" w:hAnsi="Times New Roman" w:cs="Times New Roman"/>
          <w:sz w:val="24"/>
          <w:szCs w:val="24"/>
        </w:rPr>
        <w:t>P</w:t>
      </w:r>
      <w:r w:rsidRPr="001E2C14">
        <w:rPr>
          <w:rFonts w:ascii="Times New Roman" w:hAnsi="Times New Roman" w:cs="Times New Roman"/>
          <w:sz w:val="24"/>
          <w:szCs w:val="24"/>
        </w:rPr>
        <w:t>ost-</w:t>
      </w:r>
      <w:r w:rsidR="00925D15" w:rsidRPr="001E2C14">
        <w:rPr>
          <w:rFonts w:ascii="Times New Roman" w:hAnsi="Times New Roman" w:cs="Times New Roman"/>
          <w:sz w:val="24"/>
          <w:szCs w:val="24"/>
        </w:rPr>
        <w:t>H</w:t>
      </w:r>
      <w:r w:rsidRPr="001E2C14">
        <w:rPr>
          <w:rFonts w:ascii="Times New Roman" w:hAnsi="Times New Roman" w:cs="Times New Roman"/>
          <w:sz w:val="24"/>
          <w:szCs w:val="24"/>
        </w:rPr>
        <w:t>earing</w:t>
      </w:r>
      <w:r w:rsidR="00925D15" w:rsidRPr="001E2C14">
        <w:rPr>
          <w:rFonts w:ascii="Times New Roman" w:hAnsi="Times New Roman" w:cs="Times New Roman"/>
          <w:sz w:val="24"/>
          <w:szCs w:val="24"/>
        </w:rPr>
        <w:t xml:space="preserve"> Briefs </w:t>
      </w:r>
      <w:r w:rsidR="007241C6" w:rsidRPr="001E2C14">
        <w:rPr>
          <w:rFonts w:ascii="Times New Roman" w:hAnsi="Times New Roman" w:cs="Times New Roman"/>
          <w:sz w:val="24"/>
          <w:szCs w:val="24"/>
        </w:rPr>
        <w:t xml:space="preserve">and </w:t>
      </w:r>
      <w:r w:rsidR="00303107" w:rsidRPr="001E2C14">
        <w:rPr>
          <w:rFonts w:ascii="Times New Roman" w:hAnsi="Times New Roman" w:cs="Times New Roman"/>
          <w:sz w:val="24"/>
          <w:szCs w:val="24"/>
        </w:rPr>
        <w:t xml:space="preserve">answers to questions posed by the Hearing Office </w:t>
      </w:r>
      <w:r w:rsidR="00925D15" w:rsidRPr="001E2C14">
        <w:rPr>
          <w:rFonts w:ascii="Times New Roman" w:hAnsi="Times New Roman" w:cs="Times New Roman"/>
          <w:sz w:val="24"/>
          <w:szCs w:val="24"/>
        </w:rPr>
        <w:t>on March</w:t>
      </w:r>
      <w:r w:rsidR="00C10021" w:rsidRPr="001E2C14">
        <w:rPr>
          <w:rFonts w:ascii="Times New Roman" w:hAnsi="Times New Roman" w:cs="Times New Roman"/>
          <w:sz w:val="24"/>
          <w:szCs w:val="24"/>
        </w:rPr>
        <w:t xml:space="preserve"> </w:t>
      </w:r>
      <w:r w:rsidR="00925D15" w:rsidRPr="001E2C14">
        <w:rPr>
          <w:rFonts w:ascii="Times New Roman" w:hAnsi="Times New Roman" w:cs="Times New Roman"/>
          <w:sz w:val="24"/>
          <w:szCs w:val="24"/>
        </w:rPr>
        <w:t>18, 2022</w:t>
      </w:r>
      <w:r w:rsidR="00303107" w:rsidRPr="001E2C14">
        <w:rPr>
          <w:rFonts w:ascii="Times New Roman" w:hAnsi="Times New Roman" w:cs="Times New Roman"/>
          <w:sz w:val="24"/>
          <w:szCs w:val="24"/>
        </w:rPr>
        <w:t>.</w:t>
      </w:r>
      <w:r w:rsidRPr="001E2C14">
        <w:rPr>
          <w:rFonts w:ascii="Times New Roman" w:hAnsi="Times New Roman" w:cs="Times New Roman"/>
          <w:sz w:val="24"/>
          <w:szCs w:val="24"/>
        </w:rPr>
        <w:t xml:space="preserve"> </w:t>
      </w:r>
      <w:r w:rsidR="00925D15" w:rsidRPr="001E2C14">
        <w:rPr>
          <w:rFonts w:ascii="Times New Roman" w:hAnsi="Times New Roman" w:cs="Times New Roman"/>
          <w:sz w:val="24"/>
          <w:szCs w:val="24"/>
        </w:rPr>
        <w:t>Reply B</w:t>
      </w:r>
      <w:r w:rsidRPr="001E2C14">
        <w:rPr>
          <w:rFonts w:ascii="Times New Roman" w:hAnsi="Times New Roman" w:cs="Times New Roman"/>
          <w:sz w:val="24"/>
          <w:szCs w:val="24"/>
        </w:rPr>
        <w:t>riefs</w:t>
      </w:r>
      <w:r w:rsidR="00303107" w:rsidRPr="001E2C14">
        <w:rPr>
          <w:rFonts w:ascii="Times New Roman" w:hAnsi="Times New Roman" w:cs="Times New Roman"/>
          <w:sz w:val="24"/>
          <w:szCs w:val="24"/>
        </w:rPr>
        <w:t xml:space="preserve"> were submitted</w:t>
      </w:r>
      <w:r w:rsidR="00925D15" w:rsidRPr="001E2C14">
        <w:rPr>
          <w:rFonts w:ascii="Times New Roman" w:hAnsi="Times New Roman" w:cs="Times New Roman"/>
          <w:sz w:val="24"/>
          <w:szCs w:val="24"/>
        </w:rPr>
        <w:t xml:space="preserve"> on April 8, 2022.</w:t>
      </w:r>
    </w:p>
    <w:p w14:paraId="3BC21CE7" w14:textId="77777777" w:rsidR="001E3FF8" w:rsidRPr="001E2C14" w:rsidRDefault="005D756A" w:rsidP="00CF6472">
      <w:pPr>
        <w:spacing w:line="240" w:lineRule="auto"/>
        <w:ind w:firstLine="360"/>
        <w:jc w:val="both"/>
        <w:rPr>
          <w:rFonts w:ascii="Times New Roman" w:hAnsi="Times New Roman" w:cs="Times New Roman"/>
          <w:sz w:val="24"/>
          <w:szCs w:val="24"/>
        </w:rPr>
      </w:pPr>
      <w:r w:rsidRPr="001E2C14">
        <w:rPr>
          <w:rFonts w:ascii="Times New Roman" w:hAnsi="Times New Roman" w:cs="Times New Roman"/>
          <w:sz w:val="24"/>
          <w:szCs w:val="24"/>
        </w:rPr>
        <w:t xml:space="preserve">In rendering this </w:t>
      </w:r>
      <w:r w:rsidR="00585EE1" w:rsidRPr="001E2C14">
        <w:rPr>
          <w:rFonts w:ascii="Times New Roman" w:hAnsi="Times New Roman" w:cs="Times New Roman"/>
          <w:sz w:val="24"/>
          <w:szCs w:val="24"/>
        </w:rPr>
        <w:t>decision,</w:t>
      </w:r>
      <w:r w:rsidRPr="001E2C14">
        <w:rPr>
          <w:rFonts w:ascii="Times New Roman" w:hAnsi="Times New Roman" w:cs="Times New Roman"/>
          <w:sz w:val="24"/>
          <w:szCs w:val="24"/>
        </w:rPr>
        <w:t xml:space="preserve"> the Hearing Officer has carefully considered the Briefs of the parties, has read the transcript and </w:t>
      </w:r>
      <w:r w:rsidR="009915D2" w:rsidRPr="001E2C14">
        <w:rPr>
          <w:rFonts w:ascii="Times New Roman" w:hAnsi="Times New Roman" w:cs="Times New Roman"/>
          <w:sz w:val="24"/>
          <w:szCs w:val="24"/>
        </w:rPr>
        <w:t>examined</w:t>
      </w:r>
      <w:r w:rsidRPr="001E2C14">
        <w:rPr>
          <w:rFonts w:ascii="Times New Roman" w:hAnsi="Times New Roman" w:cs="Times New Roman"/>
          <w:sz w:val="24"/>
          <w:szCs w:val="24"/>
        </w:rPr>
        <w:t xml:space="preserve"> each of the exhibits. Based upon this review of the evidence and arguments of the parties, the Hearing Officer concludes that </w:t>
      </w:r>
      <w:r w:rsidR="00116AAD" w:rsidRPr="001E2C14">
        <w:rPr>
          <w:rFonts w:ascii="Times New Roman" w:hAnsi="Times New Roman" w:cs="Times New Roman"/>
          <w:sz w:val="24"/>
          <w:szCs w:val="24"/>
        </w:rPr>
        <w:t xml:space="preserve">Georgia Power has met its burden of proof to demonstrate </w:t>
      </w:r>
      <w:r w:rsidR="004356F9" w:rsidRPr="001E2C14">
        <w:rPr>
          <w:rFonts w:ascii="Times New Roman" w:hAnsi="Times New Roman" w:cs="Times New Roman"/>
          <w:sz w:val="24"/>
          <w:szCs w:val="24"/>
        </w:rPr>
        <w:t>it is serving one consumer</w:t>
      </w:r>
      <w:r w:rsidR="003E44A8" w:rsidRPr="001E2C14">
        <w:rPr>
          <w:rFonts w:ascii="Times New Roman" w:hAnsi="Times New Roman" w:cs="Times New Roman"/>
          <w:sz w:val="24"/>
          <w:szCs w:val="24"/>
        </w:rPr>
        <w:t xml:space="preserve"> and </w:t>
      </w:r>
      <w:r w:rsidR="00116AAD" w:rsidRPr="001E2C14">
        <w:rPr>
          <w:rFonts w:ascii="Times New Roman" w:hAnsi="Times New Roman" w:cs="Times New Roman"/>
          <w:sz w:val="24"/>
          <w:szCs w:val="24"/>
        </w:rPr>
        <w:t xml:space="preserve">that the connected load of Electrify America EV facility </w:t>
      </w:r>
      <w:r w:rsidR="00790113" w:rsidRPr="001E2C14">
        <w:rPr>
          <w:rFonts w:ascii="Times New Roman" w:hAnsi="Times New Roman" w:cs="Times New Roman"/>
          <w:sz w:val="24"/>
          <w:szCs w:val="24"/>
        </w:rPr>
        <w:t>is</w:t>
      </w:r>
      <w:r w:rsidR="00116AAD" w:rsidRPr="001E2C14">
        <w:rPr>
          <w:rFonts w:ascii="Times New Roman" w:hAnsi="Times New Roman" w:cs="Times New Roman"/>
          <w:sz w:val="24"/>
          <w:szCs w:val="24"/>
        </w:rPr>
        <w:t xml:space="preserve"> 900 kW or greater</w:t>
      </w:r>
      <w:r w:rsidR="00790113" w:rsidRPr="001E2C14">
        <w:rPr>
          <w:rFonts w:ascii="Times New Roman" w:hAnsi="Times New Roman" w:cs="Times New Roman"/>
          <w:sz w:val="24"/>
          <w:szCs w:val="24"/>
        </w:rPr>
        <w:t xml:space="preserve"> at initial full operation</w:t>
      </w:r>
      <w:r w:rsidR="009915D2" w:rsidRPr="001E2C14">
        <w:rPr>
          <w:rFonts w:ascii="Times New Roman" w:hAnsi="Times New Roman" w:cs="Times New Roman"/>
          <w:sz w:val="24"/>
          <w:szCs w:val="24"/>
        </w:rPr>
        <w:t xml:space="preserve"> at the Premises</w:t>
      </w:r>
      <w:r w:rsidR="00DF1560" w:rsidRPr="001E2C14">
        <w:rPr>
          <w:rFonts w:ascii="Times New Roman" w:hAnsi="Times New Roman" w:cs="Times New Roman"/>
          <w:sz w:val="24"/>
          <w:szCs w:val="24"/>
        </w:rPr>
        <w:t xml:space="preserve">. For the reasons discussed below, the Petition of </w:t>
      </w:r>
      <w:proofErr w:type="spellStart"/>
      <w:r w:rsidR="00DF1560" w:rsidRPr="001E2C14">
        <w:rPr>
          <w:rFonts w:ascii="Times New Roman" w:hAnsi="Times New Roman" w:cs="Times New Roman"/>
          <w:sz w:val="24"/>
          <w:szCs w:val="24"/>
        </w:rPr>
        <w:t>Sawnee</w:t>
      </w:r>
      <w:proofErr w:type="spellEnd"/>
      <w:r w:rsidR="00DF1560" w:rsidRPr="001E2C14">
        <w:rPr>
          <w:rFonts w:ascii="Times New Roman" w:hAnsi="Times New Roman" w:cs="Times New Roman"/>
          <w:sz w:val="24"/>
          <w:szCs w:val="24"/>
        </w:rPr>
        <w:t xml:space="preserve"> is </w:t>
      </w:r>
      <w:r w:rsidR="005A4588" w:rsidRPr="001E2C14">
        <w:rPr>
          <w:rFonts w:ascii="Times New Roman" w:hAnsi="Times New Roman" w:cs="Times New Roman"/>
          <w:sz w:val="24"/>
          <w:szCs w:val="24"/>
        </w:rPr>
        <w:t>denied.</w:t>
      </w:r>
    </w:p>
    <w:p w14:paraId="20DB9872" w14:textId="77777777" w:rsidR="00B81662" w:rsidRPr="001E2C14" w:rsidRDefault="001B44C2" w:rsidP="0087793A">
      <w:pPr>
        <w:pStyle w:val="ListParagraph"/>
        <w:numPr>
          <w:ilvl w:val="0"/>
          <w:numId w:val="1"/>
        </w:numPr>
        <w:spacing w:after="0" w:line="240" w:lineRule="auto"/>
        <w:rPr>
          <w:rFonts w:ascii="Times New Roman" w:hAnsi="Times New Roman" w:cs="Times New Roman"/>
          <w:b/>
          <w:sz w:val="24"/>
          <w:szCs w:val="24"/>
        </w:rPr>
      </w:pPr>
      <w:r w:rsidRPr="001E2C14">
        <w:rPr>
          <w:rFonts w:ascii="Times New Roman" w:hAnsi="Times New Roman" w:cs="Times New Roman"/>
          <w:b/>
          <w:sz w:val="24"/>
          <w:szCs w:val="24"/>
          <w:u w:val="single"/>
        </w:rPr>
        <w:t>Matter at Issue</w:t>
      </w:r>
    </w:p>
    <w:p w14:paraId="23740EAE" w14:textId="36E01D48" w:rsidR="007C14CF" w:rsidRDefault="007C14CF" w:rsidP="00CF6472">
      <w:pPr>
        <w:widowControl w:val="0"/>
        <w:autoSpaceDE w:val="0"/>
        <w:autoSpaceDN w:val="0"/>
        <w:spacing w:before="138" w:after="0" w:line="240" w:lineRule="auto"/>
        <w:ind w:firstLine="373"/>
        <w:jc w:val="both"/>
        <w:rPr>
          <w:rFonts w:ascii="Times New Roman" w:eastAsia="Times New Roman" w:hAnsi="Times New Roman" w:cs="Times New Roman"/>
          <w:color w:val="464646"/>
          <w:w w:val="115"/>
          <w:sz w:val="24"/>
          <w:szCs w:val="24"/>
        </w:rPr>
      </w:pPr>
      <w:r w:rsidRPr="001E2C14">
        <w:rPr>
          <w:rFonts w:ascii="Times New Roman" w:eastAsia="Times New Roman" w:hAnsi="Times New Roman" w:cs="Times New Roman"/>
          <w:color w:val="464646"/>
          <w:w w:val="110"/>
          <w:sz w:val="24"/>
          <w:szCs w:val="24"/>
        </w:rPr>
        <w:t>Whether</w:t>
      </w:r>
      <w:r w:rsidRPr="001E2C14">
        <w:rPr>
          <w:rFonts w:ascii="Times New Roman" w:eastAsia="Times New Roman" w:hAnsi="Times New Roman" w:cs="Times New Roman"/>
          <w:color w:val="464646"/>
          <w:spacing w:val="32"/>
          <w:w w:val="110"/>
          <w:sz w:val="24"/>
          <w:szCs w:val="24"/>
        </w:rPr>
        <w:t xml:space="preserve"> </w:t>
      </w:r>
      <w:r w:rsidRPr="001E2C14">
        <w:rPr>
          <w:rFonts w:ascii="Times New Roman" w:eastAsia="Times New Roman" w:hAnsi="Times New Roman" w:cs="Times New Roman"/>
          <w:color w:val="464646"/>
          <w:w w:val="110"/>
          <w:sz w:val="24"/>
          <w:szCs w:val="24"/>
        </w:rPr>
        <w:t>Georgia</w:t>
      </w:r>
      <w:r w:rsidRPr="001E2C14">
        <w:rPr>
          <w:rFonts w:ascii="Times New Roman" w:eastAsia="Times New Roman" w:hAnsi="Times New Roman" w:cs="Times New Roman"/>
          <w:color w:val="464646"/>
          <w:spacing w:val="6"/>
          <w:w w:val="110"/>
          <w:sz w:val="24"/>
          <w:szCs w:val="24"/>
        </w:rPr>
        <w:t xml:space="preserve"> </w:t>
      </w:r>
      <w:r w:rsidRPr="001E2C14">
        <w:rPr>
          <w:rFonts w:ascii="Times New Roman" w:eastAsia="Times New Roman" w:hAnsi="Times New Roman" w:cs="Times New Roman"/>
          <w:color w:val="464646"/>
          <w:w w:val="110"/>
          <w:sz w:val="24"/>
          <w:szCs w:val="24"/>
        </w:rPr>
        <w:t>Power</w:t>
      </w:r>
      <w:r w:rsidRPr="001E2C14">
        <w:rPr>
          <w:rFonts w:ascii="Times New Roman" w:eastAsia="Times New Roman" w:hAnsi="Times New Roman" w:cs="Times New Roman"/>
          <w:color w:val="464646"/>
          <w:spacing w:val="6"/>
          <w:w w:val="110"/>
          <w:sz w:val="24"/>
          <w:szCs w:val="24"/>
        </w:rPr>
        <w:t xml:space="preserve"> </w:t>
      </w:r>
      <w:r w:rsidRPr="001E2C14">
        <w:rPr>
          <w:rFonts w:ascii="Times New Roman" w:eastAsia="Times New Roman" w:hAnsi="Times New Roman" w:cs="Times New Roman"/>
          <w:color w:val="363636"/>
          <w:w w:val="110"/>
          <w:sz w:val="24"/>
          <w:szCs w:val="24"/>
        </w:rPr>
        <w:t>has</w:t>
      </w:r>
      <w:r w:rsidRPr="001E2C14">
        <w:rPr>
          <w:rFonts w:ascii="Times New Roman" w:eastAsia="Times New Roman" w:hAnsi="Times New Roman" w:cs="Times New Roman"/>
          <w:color w:val="363636"/>
          <w:spacing w:val="3"/>
          <w:w w:val="110"/>
          <w:sz w:val="24"/>
          <w:szCs w:val="24"/>
        </w:rPr>
        <w:t xml:space="preserve"> </w:t>
      </w:r>
      <w:r w:rsidRPr="001E2C14">
        <w:rPr>
          <w:rFonts w:ascii="Times New Roman" w:eastAsia="Times New Roman" w:hAnsi="Times New Roman" w:cs="Times New Roman"/>
          <w:color w:val="363636"/>
          <w:w w:val="110"/>
          <w:sz w:val="24"/>
          <w:szCs w:val="24"/>
        </w:rPr>
        <w:t>the</w:t>
      </w:r>
      <w:r w:rsidRPr="001E2C14">
        <w:rPr>
          <w:rFonts w:ascii="Times New Roman" w:eastAsia="Times New Roman" w:hAnsi="Times New Roman" w:cs="Times New Roman"/>
          <w:color w:val="363636"/>
          <w:spacing w:val="32"/>
          <w:w w:val="110"/>
          <w:sz w:val="24"/>
          <w:szCs w:val="24"/>
        </w:rPr>
        <w:t xml:space="preserve"> </w:t>
      </w:r>
      <w:r w:rsidRPr="001E2C14">
        <w:rPr>
          <w:rFonts w:ascii="Times New Roman" w:eastAsia="Times New Roman" w:hAnsi="Times New Roman" w:cs="Times New Roman"/>
          <w:color w:val="363636"/>
          <w:w w:val="110"/>
          <w:sz w:val="24"/>
          <w:szCs w:val="24"/>
        </w:rPr>
        <w:t>right,</w:t>
      </w:r>
      <w:r w:rsidRPr="001E2C14">
        <w:rPr>
          <w:rFonts w:ascii="Times New Roman" w:eastAsia="Times New Roman" w:hAnsi="Times New Roman" w:cs="Times New Roman"/>
          <w:color w:val="363636"/>
          <w:spacing w:val="7"/>
          <w:w w:val="110"/>
          <w:sz w:val="24"/>
          <w:szCs w:val="24"/>
        </w:rPr>
        <w:t xml:space="preserve"> </w:t>
      </w:r>
      <w:r w:rsidRPr="001E2C14">
        <w:rPr>
          <w:rFonts w:ascii="Times New Roman" w:eastAsia="Times New Roman" w:hAnsi="Times New Roman" w:cs="Times New Roman"/>
          <w:color w:val="363636"/>
          <w:w w:val="110"/>
          <w:sz w:val="24"/>
          <w:szCs w:val="24"/>
        </w:rPr>
        <w:t>unde</w:t>
      </w:r>
      <w:r w:rsidRPr="001E2C14">
        <w:rPr>
          <w:rFonts w:ascii="Times New Roman" w:eastAsia="Times New Roman" w:hAnsi="Times New Roman" w:cs="Times New Roman"/>
          <w:color w:val="575657"/>
          <w:w w:val="110"/>
          <w:sz w:val="24"/>
          <w:szCs w:val="24"/>
        </w:rPr>
        <w:t>r</w:t>
      </w:r>
      <w:r w:rsidRPr="001E2C14">
        <w:rPr>
          <w:rFonts w:ascii="Times New Roman" w:eastAsia="Times New Roman" w:hAnsi="Times New Roman" w:cs="Times New Roman"/>
          <w:color w:val="575657"/>
          <w:spacing w:val="27"/>
          <w:w w:val="110"/>
          <w:sz w:val="24"/>
          <w:szCs w:val="24"/>
        </w:rPr>
        <w:t xml:space="preserve"> </w:t>
      </w:r>
      <w:r w:rsidRPr="001E2C14">
        <w:rPr>
          <w:rFonts w:ascii="Times New Roman" w:eastAsia="Times New Roman" w:hAnsi="Times New Roman" w:cs="Times New Roman"/>
          <w:color w:val="464646"/>
          <w:w w:val="110"/>
          <w:sz w:val="24"/>
          <w:szCs w:val="24"/>
        </w:rPr>
        <w:t>O.C.G.A.</w:t>
      </w:r>
      <w:r w:rsidRPr="001E2C14">
        <w:rPr>
          <w:rFonts w:ascii="Times New Roman" w:eastAsia="Times New Roman" w:hAnsi="Times New Roman" w:cs="Times New Roman"/>
          <w:color w:val="575657"/>
          <w:w w:val="110"/>
          <w:sz w:val="24"/>
          <w:szCs w:val="24"/>
        </w:rPr>
        <w:t xml:space="preserve">§ </w:t>
      </w:r>
      <w:r w:rsidRPr="001E2C14">
        <w:rPr>
          <w:rFonts w:ascii="Times New Roman" w:eastAsia="Times New Roman" w:hAnsi="Times New Roman" w:cs="Times New Roman"/>
          <w:color w:val="363636"/>
          <w:w w:val="110"/>
          <w:sz w:val="24"/>
          <w:szCs w:val="24"/>
        </w:rPr>
        <w:t>46-3</w:t>
      </w:r>
      <w:r w:rsidRPr="001E2C14">
        <w:rPr>
          <w:rFonts w:ascii="Times New Roman" w:eastAsia="Times New Roman" w:hAnsi="Times New Roman" w:cs="Times New Roman"/>
          <w:color w:val="575657"/>
          <w:w w:val="110"/>
          <w:sz w:val="24"/>
          <w:szCs w:val="24"/>
        </w:rPr>
        <w:t xml:space="preserve">-8(a), </w:t>
      </w:r>
      <w:r w:rsidRPr="001E2C14">
        <w:rPr>
          <w:rFonts w:ascii="Times New Roman" w:eastAsia="Times New Roman" w:hAnsi="Times New Roman" w:cs="Times New Roman"/>
          <w:color w:val="464646"/>
          <w:w w:val="110"/>
          <w:sz w:val="24"/>
          <w:szCs w:val="24"/>
        </w:rPr>
        <w:t xml:space="preserve">to serve </w:t>
      </w:r>
      <w:r w:rsidRPr="001E2C14">
        <w:rPr>
          <w:rFonts w:ascii="Times New Roman" w:eastAsia="Times New Roman" w:hAnsi="Times New Roman" w:cs="Times New Roman"/>
          <w:color w:val="363636"/>
          <w:w w:val="110"/>
          <w:sz w:val="24"/>
          <w:szCs w:val="24"/>
        </w:rPr>
        <w:t xml:space="preserve">the </w:t>
      </w:r>
      <w:r w:rsidRPr="001E2C14">
        <w:rPr>
          <w:rFonts w:ascii="Times New Roman" w:eastAsia="Times New Roman" w:hAnsi="Times New Roman" w:cs="Times New Roman"/>
          <w:color w:val="464646"/>
          <w:w w:val="110"/>
          <w:sz w:val="24"/>
          <w:szCs w:val="24"/>
        </w:rPr>
        <w:t xml:space="preserve">Premises </w:t>
      </w:r>
      <w:r w:rsidRPr="001E2C14">
        <w:rPr>
          <w:rFonts w:ascii="Times New Roman" w:eastAsia="Times New Roman" w:hAnsi="Times New Roman" w:cs="Times New Roman"/>
          <w:color w:val="363636"/>
          <w:w w:val="110"/>
          <w:sz w:val="24"/>
          <w:szCs w:val="24"/>
        </w:rPr>
        <w:t>located</w:t>
      </w:r>
      <w:r w:rsidRPr="001E2C14">
        <w:rPr>
          <w:rFonts w:ascii="Times New Roman" w:eastAsia="Times New Roman" w:hAnsi="Times New Roman" w:cs="Times New Roman"/>
          <w:color w:val="363636"/>
          <w:spacing w:val="1"/>
          <w:w w:val="110"/>
          <w:sz w:val="24"/>
          <w:szCs w:val="24"/>
        </w:rPr>
        <w:t xml:space="preserve"> </w:t>
      </w:r>
      <w:r w:rsidRPr="001E2C14">
        <w:rPr>
          <w:rFonts w:ascii="Times New Roman" w:eastAsia="Times New Roman" w:hAnsi="Times New Roman" w:cs="Times New Roman"/>
          <w:color w:val="363636"/>
          <w:w w:val="110"/>
          <w:sz w:val="24"/>
          <w:szCs w:val="24"/>
        </w:rPr>
        <w:t xml:space="preserve">in </w:t>
      </w:r>
      <w:r w:rsidRPr="001E2C14">
        <w:rPr>
          <w:rFonts w:ascii="Times New Roman" w:eastAsia="Times New Roman" w:hAnsi="Times New Roman" w:cs="Times New Roman"/>
          <w:color w:val="464646"/>
          <w:w w:val="110"/>
          <w:sz w:val="24"/>
          <w:szCs w:val="24"/>
        </w:rPr>
        <w:t>Johns Creek Town</w:t>
      </w:r>
      <w:r w:rsidRPr="001E2C14">
        <w:rPr>
          <w:rFonts w:ascii="Times New Roman" w:eastAsia="Times New Roman" w:hAnsi="Times New Roman" w:cs="Times New Roman"/>
          <w:color w:val="464646"/>
          <w:spacing w:val="1"/>
          <w:w w:val="110"/>
          <w:sz w:val="24"/>
          <w:szCs w:val="24"/>
        </w:rPr>
        <w:t xml:space="preserve"> </w:t>
      </w:r>
      <w:r w:rsidRPr="001E2C14">
        <w:rPr>
          <w:rFonts w:ascii="Times New Roman" w:eastAsia="Times New Roman" w:hAnsi="Times New Roman" w:cs="Times New Roman"/>
          <w:color w:val="464646"/>
          <w:w w:val="110"/>
          <w:sz w:val="24"/>
          <w:szCs w:val="24"/>
        </w:rPr>
        <w:t xml:space="preserve">Center, </w:t>
      </w:r>
      <w:r w:rsidRPr="001E2C14">
        <w:rPr>
          <w:rFonts w:ascii="Times New Roman" w:eastAsia="Times New Roman" w:hAnsi="Times New Roman" w:cs="Times New Roman"/>
          <w:color w:val="575657"/>
          <w:w w:val="110"/>
          <w:sz w:val="24"/>
          <w:szCs w:val="24"/>
        </w:rPr>
        <w:t>363</w:t>
      </w:r>
      <w:r w:rsidRPr="001E2C14">
        <w:rPr>
          <w:rFonts w:ascii="Times New Roman" w:eastAsia="Times New Roman" w:hAnsi="Times New Roman" w:cs="Times New Roman"/>
          <w:color w:val="363636"/>
          <w:w w:val="110"/>
          <w:sz w:val="24"/>
          <w:szCs w:val="24"/>
        </w:rPr>
        <w:t>0</w:t>
      </w:r>
      <w:r w:rsidRPr="001E2C14">
        <w:rPr>
          <w:rFonts w:ascii="Times New Roman" w:eastAsia="Times New Roman" w:hAnsi="Times New Roman" w:cs="Times New Roman"/>
          <w:color w:val="363636"/>
          <w:spacing w:val="1"/>
          <w:w w:val="110"/>
          <w:sz w:val="24"/>
          <w:szCs w:val="24"/>
        </w:rPr>
        <w:t xml:space="preserve"> </w:t>
      </w:r>
      <w:r w:rsidRPr="001E2C14">
        <w:rPr>
          <w:rFonts w:ascii="Times New Roman" w:eastAsia="Times New Roman" w:hAnsi="Times New Roman" w:cs="Times New Roman"/>
          <w:color w:val="464646"/>
          <w:w w:val="110"/>
          <w:sz w:val="24"/>
          <w:szCs w:val="24"/>
        </w:rPr>
        <w:t>Peachtree</w:t>
      </w:r>
      <w:r w:rsidRPr="001E2C14">
        <w:rPr>
          <w:rFonts w:ascii="Times New Roman" w:eastAsia="Times New Roman" w:hAnsi="Times New Roman" w:cs="Times New Roman"/>
          <w:color w:val="464646"/>
          <w:spacing w:val="1"/>
          <w:w w:val="110"/>
          <w:sz w:val="24"/>
          <w:szCs w:val="24"/>
        </w:rPr>
        <w:t xml:space="preserve"> </w:t>
      </w:r>
      <w:r w:rsidRPr="001E2C14">
        <w:rPr>
          <w:rFonts w:ascii="Times New Roman" w:eastAsia="Times New Roman" w:hAnsi="Times New Roman" w:cs="Times New Roman"/>
          <w:color w:val="464646"/>
          <w:w w:val="110"/>
          <w:sz w:val="24"/>
          <w:szCs w:val="24"/>
        </w:rPr>
        <w:t>Parkway</w:t>
      </w:r>
      <w:r w:rsidRPr="001E2C14">
        <w:rPr>
          <w:rFonts w:ascii="Times New Roman" w:eastAsia="Times New Roman" w:hAnsi="Times New Roman" w:cs="Times New Roman"/>
          <w:color w:val="7C7C7C"/>
          <w:w w:val="110"/>
          <w:sz w:val="24"/>
          <w:szCs w:val="24"/>
        </w:rPr>
        <w:t>,</w:t>
      </w:r>
      <w:r w:rsidRPr="001E2C14">
        <w:rPr>
          <w:rFonts w:ascii="Times New Roman" w:eastAsia="Times New Roman" w:hAnsi="Times New Roman" w:cs="Times New Roman"/>
          <w:color w:val="7C7C7C"/>
          <w:spacing w:val="-55"/>
          <w:w w:val="110"/>
          <w:sz w:val="24"/>
          <w:szCs w:val="24"/>
        </w:rPr>
        <w:t xml:space="preserve"> </w:t>
      </w:r>
      <w:r w:rsidRPr="001E2C14">
        <w:rPr>
          <w:rFonts w:ascii="Times New Roman" w:eastAsia="Times New Roman" w:hAnsi="Times New Roman" w:cs="Times New Roman"/>
          <w:color w:val="464646"/>
          <w:w w:val="115"/>
          <w:sz w:val="24"/>
          <w:szCs w:val="24"/>
        </w:rPr>
        <w:t>Suwanee,</w:t>
      </w:r>
      <w:r w:rsidRPr="001E2C14">
        <w:rPr>
          <w:rFonts w:ascii="Times New Roman" w:eastAsia="Times New Roman" w:hAnsi="Times New Roman" w:cs="Times New Roman"/>
          <w:color w:val="464646"/>
          <w:spacing w:val="6"/>
          <w:w w:val="115"/>
          <w:sz w:val="24"/>
          <w:szCs w:val="24"/>
        </w:rPr>
        <w:t xml:space="preserve"> </w:t>
      </w:r>
      <w:r w:rsidRPr="001E2C14">
        <w:rPr>
          <w:rFonts w:ascii="Times New Roman" w:eastAsia="Times New Roman" w:hAnsi="Times New Roman" w:cs="Times New Roman"/>
          <w:color w:val="464646"/>
          <w:w w:val="115"/>
          <w:sz w:val="24"/>
          <w:szCs w:val="24"/>
        </w:rPr>
        <w:t>Georgia</w:t>
      </w:r>
      <w:r w:rsidRPr="001E2C14">
        <w:rPr>
          <w:rFonts w:ascii="Times New Roman" w:eastAsia="Times New Roman" w:hAnsi="Times New Roman" w:cs="Times New Roman"/>
          <w:color w:val="464646"/>
          <w:spacing w:val="-11"/>
          <w:w w:val="115"/>
          <w:sz w:val="24"/>
          <w:szCs w:val="24"/>
        </w:rPr>
        <w:t xml:space="preserve"> </w:t>
      </w:r>
      <w:r w:rsidRPr="001E2C14">
        <w:rPr>
          <w:rFonts w:ascii="Times New Roman" w:eastAsia="Times New Roman" w:hAnsi="Times New Roman" w:cs="Times New Roman"/>
          <w:color w:val="575657"/>
          <w:w w:val="115"/>
          <w:sz w:val="24"/>
          <w:szCs w:val="24"/>
        </w:rPr>
        <w:t>3</w:t>
      </w:r>
      <w:r w:rsidRPr="001E2C14">
        <w:rPr>
          <w:rFonts w:ascii="Times New Roman" w:eastAsia="Times New Roman" w:hAnsi="Times New Roman" w:cs="Times New Roman"/>
          <w:color w:val="363636"/>
          <w:w w:val="115"/>
          <w:sz w:val="24"/>
          <w:szCs w:val="24"/>
        </w:rPr>
        <w:t>00</w:t>
      </w:r>
      <w:r w:rsidRPr="001E2C14">
        <w:rPr>
          <w:rFonts w:ascii="Times New Roman" w:eastAsia="Times New Roman" w:hAnsi="Times New Roman" w:cs="Times New Roman"/>
          <w:color w:val="575657"/>
          <w:w w:val="115"/>
          <w:sz w:val="24"/>
          <w:szCs w:val="24"/>
        </w:rPr>
        <w:t>2</w:t>
      </w:r>
      <w:r w:rsidRPr="001E2C14">
        <w:rPr>
          <w:rFonts w:ascii="Times New Roman" w:eastAsia="Times New Roman" w:hAnsi="Times New Roman" w:cs="Times New Roman"/>
          <w:color w:val="363636"/>
          <w:w w:val="115"/>
          <w:sz w:val="24"/>
          <w:szCs w:val="24"/>
        </w:rPr>
        <w:t>4</w:t>
      </w:r>
      <w:r w:rsidRPr="001E2C14">
        <w:rPr>
          <w:rFonts w:ascii="Times New Roman" w:eastAsia="Times New Roman" w:hAnsi="Times New Roman" w:cs="Times New Roman"/>
          <w:color w:val="363636"/>
          <w:spacing w:val="16"/>
          <w:w w:val="115"/>
          <w:sz w:val="24"/>
          <w:szCs w:val="24"/>
        </w:rPr>
        <w:t xml:space="preserve"> </w:t>
      </w:r>
      <w:r w:rsidRPr="001E2C14">
        <w:rPr>
          <w:rFonts w:ascii="Times New Roman" w:eastAsia="Times New Roman" w:hAnsi="Times New Roman" w:cs="Times New Roman"/>
          <w:color w:val="464646"/>
          <w:w w:val="115"/>
          <w:sz w:val="24"/>
          <w:szCs w:val="24"/>
        </w:rPr>
        <w:t>(the</w:t>
      </w:r>
      <w:r w:rsidRPr="001E2C14">
        <w:rPr>
          <w:rFonts w:ascii="Times New Roman" w:eastAsia="Times New Roman" w:hAnsi="Times New Roman" w:cs="Times New Roman"/>
          <w:color w:val="464646"/>
          <w:spacing w:val="-19"/>
          <w:w w:val="115"/>
          <w:sz w:val="24"/>
          <w:szCs w:val="24"/>
        </w:rPr>
        <w:t xml:space="preserve"> </w:t>
      </w:r>
      <w:r w:rsidRPr="001E2C14">
        <w:rPr>
          <w:rFonts w:ascii="Times New Roman" w:eastAsia="Times New Roman" w:hAnsi="Times New Roman" w:cs="Times New Roman"/>
          <w:color w:val="464646"/>
          <w:w w:val="115"/>
          <w:sz w:val="24"/>
          <w:szCs w:val="24"/>
        </w:rPr>
        <w:t>"Premises").</w:t>
      </w:r>
    </w:p>
    <w:p w14:paraId="4ED030D1" w14:textId="23ED9DB7" w:rsidR="004265EE" w:rsidRDefault="004265EE" w:rsidP="00CF6472">
      <w:pPr>
        <w:widowControl w:val="0"/>
        <w:autoSpaceDE w:val="0"/>
        <w:autoSpaceDN w:val="0"/>
        <w:spacing w:before="138" w:after="0" w:line="240" w:lineRule="auto"/>
        <w:ind w:firstLine="373"/>
        <w:jc w:val="both"/>
        <w:rPr>
          <w:rFonts w:ascii="Times New Roman" w:eastAsia="Times New Roman" w:hAnsi="Times New Roman" w:cs="Times New Roman"/>
          <w:color w:val="464646"/>
          <w:w w:val="115"/>
          <w:sz w:val="24"/>
          <w:szCs w:val="24"/>
        </w:rPr>
      </w:pPr>
    </w:p>
    <w:p w14:paraId="6DC83C83" w14:textId="77777777" w:rsidR="004265EE" w:rsidRPr="001E2C14" w:rsidRDefault="004265EE" w:rsidP="00CF6472">
      <w:pPr>
        <w:widowControl w:val="0"/>
        <w:autoSpaceDE w:val="0"/>
        <w:autoSpaceDN w:val="0"/>
        <w:spacing w:before="138" w:after="0" w:line="240" w:lineRule="auto"/>
        <w:ind w:firstLine="373"/>
        <w:jc w:val="both"/>
        <w:rPr>
          <w:rFonts w:ascii="Times New Roman" w:eastAsia="Times New Roman" w:hAnsi="Times New Roman" w:cs="Times New Roman"/>
          <w:color w:val="464646"/>
          <w:w w:val="115"/>
          <w:sz w:val="24"/>
          <w:szCs w:val="24"/>
        </w:rPr>
      </w:pPr>
    </w:p>
    <w:p w14:paraId="3663E4B4" w14:textId="77777777" w:rsidR="001B44C2" w:rsidRPr="001E2C14" w:rsidRDefault="001B44C2" w:rsidP="007A5D72">
      <w:pPr>
        <w:pStyle w:val="ListParagraph"/>
        <w:spacing w:line="240" w:lineRule="auto"/>
        <w:rPr>
          <w:rFonts w:ascii="Times New Roman" w:hAnsi="Times New Roman" w:cs="Times New Roman"/>
          <w:b/>
          <w:sz w:val="24"/>
          <w:szCs w:val="24"/>
        </w:rPr>
      </w:pPr>
    </w:p>
    <w:p w14:paraId="3149AFC6" w14:textId="77777777" w:rsidR="001B44C2" w:rsidRPr="001E2C14" w:rsidRDefault="001B44C2" w:rsidP="0087793A">
      <w:pPr>
        <w:pStyle w:val="ListParagraph"/>
        <w:numPr>
          <w:ilvl w:val="0"/>
          <w:numId w:val="1"/>
        </w:numPr>
        <w:spacing w:after="0" w:line="240" w:lineRule="auto"/>
        <w:rPr>
          <w:rFonts w:ascii="Times New Roman" w:hAnsi="Times New Roman" w:cs="Times New Roman"/>
          <w:b/>
          <w:sz w:val="24"/>
          <w:szCs w:val="24"/>
        </w:rPr>
      </w:pPr>
      <w:r w:rsidRPr="001E2C14">
        <w:rPr>
          <w:rFonts w:ascii="Times New Roman" w:hAnsi="Times New Roman" w:cs="Times New Roman"/>
          <w:b/>
          <w:sz w:val="24"/>
          <w:szCs w:val="24"/>
          <w:u w:val="single"/>
        </w:rPr>
        <w:lastRenderedPageBreak/>
        <w:t>Contentions of the Parties</w:t>
      </w:r>
    </w:p>
    <w:p w14:paraId="72E9055C" w14:textId="77777777" w:rsidR="009E4DE3" w:rsidRPr="001E2C14" w:rsidRDefault="009E4DE3" w:rsidP="0087793A">
      <w:pPr>
        <w:pStyle w:val="ListParagraph"/>
        <w:spacing w:after="0" w:line="240" w:lineRule="auto"/>
        <w:ind w:left="1080"/>
        <w:rPr>
          <w:rFonts w:ascii="Times New Roman" w:hAnsi="Times New Roman" w:cs="Times New Roman"/>
          <w:b/>
          <w:sz w:val="24"/>
          <w:szCs w:val="24"/>
        </w:rPr>
      </w:pPr>
    </w:p>
    <w:p w14:paraId="707F90BB" w14:textId="77777777" w:rsidR="00DB2A73" w:rsidRPr="00DB2A73" w:rsidRDefault="00185E76" w:rsidP="00CF6472">
      <w:pPr>
        <w:pStyle w:val="BodyText"/>
        <w:ind w:firstLine="360"/>
        <w:jc w:val="both"/>
        <w:rPr>
          <w:color w:val="262626"/>
          <w:w w:val="110"/>
          <w:sz w:val="24"/>
          <w:szCs w:val="24"/>
        </w:rPr>
      </w:pPr>
      <w:proofErr w:type="spellStart"/>
      <w:r w:rsidRPr="001E2C14">
        <w:rPr>
          <w:color w:val="262626"/>
          <w:w w:val="110"/>
          <w:sz w:val="24"/>
          <w:szCs w:val="24"/>
        </w:rPr>
        <w:t>Sawnee’s</w:t>
      </w:r>
      <w:proofErr w:type="spellEnd"/>
      <w:r w:rsidRPr="001E2C14">
        <w:rPr>
          <w:color w:val="262626"/>
          <w:w w:val="110"/>
          <w:sz w:val="24"/>
          <w:szCs w:val="24"/>
        </w:rPr>
        <w:t xml:space="preserve"> witness </w:t>
      </w:r>
      <w:r w:rsidR="009B4A1F" w:rsidRPr="001E2C14">
        <w:rPr>
          <w:color w:val="262626"/>
          <w:w w:val="110"/>
          <w:sz w:val="24"/>
          <w:szCs w:val="24"/>
        </w:rPr>
        <w:t xml:space="preserve">Mara </w:t>
      </w:r>
      <w:r w:rsidR="00C27D62" w:rsidRPr="001E2C14">
        <w:rPr>
          <w:color w:val="262626"/>
          <w:w w:val="110"/>
          <w:sz w:val="24"/>
          <w:szCs w:val="24"/>
        </w:rPr>
        <w:t>argued</w:t>
      </w:r>
      <w:r w:rsidR="00C2029A" w:rsidRPr="001E2C14">
        <w:rPr>
          <w:color w:val="262626"/>
          <w:w w:val="110"/>
          <w:sz w:val="24"/>
          <w:szCs w:val="24"/>
        </w:rPr>
        <w:t xml:space="preserve"> that</w:t>
      </w:r>
      <w:r w:rsidR="009B4A1F" w:rsidRPr="001E2C14">
        <w:rPr>
          <w:color w:val="262626"/>
          <w:w w:val="110"/>
          <w:sz w:val="24"/>
          <w:szCs w:val="24"/>
        </w:rPr>
        <w:t xml:space="preserve"> the four separate </w:t>
      </w:r>
      <w:r w:rsidR="00C2029A" w:rsidRPr="001E2C14">
        <w:rPr>
          <w:color w:val="262626"/>
          <w:w w:val="110"/>
          <w:sz w:val="24"/>
          <w:szCs w:val="24"/>
        </w:rPr>
        <w:t>c</w:t>
      </w:r>
      <w:r w:rsidR="009B4A1F" w:rsidRPr="001E2C14">
        <w:rPr>
          <w:color w:val="262626"/>
          <w:w w:val="110"/>
          <w:sz w:val="24"/>
          <w:szCs w:val="24"/>
        </w:rPr>
        <w:t xml:space="preserve">hargers or dispensers </w:t>
      </w:r>
      <w:r w:rsidRPr="001E2C14">
        <w:rPr>
          <w:color w:val="262626"/>
          <w:w w:val="110"/>
          <w:sz w:val="24"/>
          <w:szCs w:val="24"/>
        </w:rPr>
        <w:t>convert AC power to DC power</w:t>
      </w:r>
      <w:r w:rsidRPr="001E2C14">
        <w:rPr>
          <w:color w:val="262626"/>
          <w:spacing w:val="-3"/>
          <w:w w:val="110"/>
          <w:sz w:val="24"/>
          <w:szCs w:val="24"/>
        </w:rPr>
        <w:t xml:space="preserve"> </w:t>
      </w:r>
      <w:r w:rsidRPr="001E2C14">
        <w:rPr>
          <w:color w:val="262626"/>
          <w:w w:val="110"/>
          <w:sz w:val="24"/>
          <w:szCs w:val="24"/>
        </w:rPr>
        <w:t xml:space="preserve">for use </w:t>
      </w:r>
      <w:r w:rsidRPr="001E2C14">
        <w:rPr>
          <w:color w:val="151515"/>
          <w:w w:val="110"/>
          <w:sz w:val="24"/>
          <w:szCs w:val="24"/>
        </w:rPr>
        <w:t xml:space="preserve">in </w:t>
      </w:r>
      <w:r w:rsidR="00191BAC" w:rsidRPr="001E2C14">
        <w:rPr>
          <w:color w:val="151515"/>
          <w:w w:val="110"/>
          <w:sz w:val="24"/>
          <w:szCs w:val="24"/>
        </w:rPr>
        <w:t>c</w:t>
      </w:r>
      <w:r w:rsidRPr="001E2C14">
        <w:rPr>
          <w:color w:val="262626"/>
          <w:w w:val="110"/>
          <w:sz w:val="24"/>
          <w:szCs w:val="24"/>
        </w:rPr>
        <w:t xml:space="preserve">harging </w:t>
      </w:r>
      <w:r w:rsidRPr="001E2C14">
        <w:rPr>
          <w:color w:val="3B3B3B"/>
          <w:w w:val="110"/>
          <w:sz w:val="24"/>
          <w:szCs w:val="24"/>
        </w:rPr>
        <w:t xml:space="preserve">the </w:t>
      </w:r>
      <w:r w:rsidRPr="001E2C14">
        <w:rPr>
          <w:color w:val="262626"/>
          <w:w w:val="110"/>
          <w:sz w:val="24"/>
          <w:szCs w:val="24"/>
        </w:rPr>
        <w:t xml:space="preserve">batteries installed </w:t>
      </w:r>
      <w:r w:rsidRPr="001E2C14">
        <w:rPr>
          <w:color w:val="151515"/>
          <w:w w:val="110"/>
          <w:sz w:val="24"/>
          <w:szCs w:val="24"/>
        </w:rPr>
        <w:t xml:space="preserve">in </w:t>
      </w:r>
      <w:r w:rsidRPr="001E2C14">
        <w:rPr>
          <w:color w:val="262626"/>
          <w:w w:val="110"/>
          <w:sz w:val="24"/>
          <w:szCs w:val="24"/>
        </w:rPr>
        <w:t>electric vehicles.</w:t>
      </w:r>
      <w:r w:rsidRPr="001E2C14">
        <w:rPr>
          <w:color w:val="262626"/>
          <w:spacing w:val="-4"/>
          <w:w w:val="110"/>
          <w:sz w:val="24"/>
          <w:szCs w:val="24"/>
        </w:rPr>
        <w:t xml:space="preserve"> </w:t>
      </w:r>
      <w:r w:rsidR="004325F7" w:rsidRPr="001E2C14">
        <w:rPr>
          <w:color w:val="262626"/>
          <w:spacing w:val="-4"/>
          <w:w w:val="110"/>
          <w:sz w:val="24"/>
          <w:szCs w:val="24"/>
        </w:rPr>
        <w:t>“</w:t>
      </w:r>
      <w:r w:rsidRPr="001E2C14">
        <w:rPr>
          <w:color w:val="3B3B3B"/>
          <w:w w:val="110"/>
          <w:sz w:val="24"/>
          <w:szCs w:val="24"/>
        </w:rPr>
        <w:t xml:space="preserve">The </w:t>
      </w:r>
      <w:r w:rsidRPr="001E2C14">
        <w:rPr>
          <w:color w:val="262626"/>
          <w:w w:val="110"/>
          <w:sz w:val="24"/>
          <w:szCs w:val="24"/>
        </w:rPr>
        <w:t xml:space="preserve">main </w:t>
      </w:r>
      <w:r w:rsidRPr="001E2C14">
        <w:rPr>
          <w:color w:val="151515"/>
          <w:w w:val="110"/>
          <w:sz w:val="24"/>
          <w:szCs w:val="24"/>
        </w:rPr>
        <w:t xml:space="preserve">component </w:t>
      </w:r>
      <w:r w:rsidRPr="001E2C14">
        <w:rPr>
          <w:color w:val="262626"/>
          <w:w w:val="110"/>
          <w:sz w:val="24"/>
          <w:szCs w:val="24"/>
        </w:rPr>
        <w:t xml:space="preserve">of such a charger </w:t>
      </w:r>
      <w:r w:rsidRPr="001E2C14">
        <w:rPr>
          <w:color w:val="3B3B3B"/>
          <w:w w:val="110"/>
          <w:sz w:val="24"/>
          <w:szCs w:val="24"/>
        </w:rPr>
        <w:t xml:space="preserve">is </w:t>
      </w:r>
      <w:r w:rsidRPr="001E2C14">
        <w:rPr>
          <w:color w:val="262626"/>
          <w:w w:val="110"/>
          <w:sz w:val="24"/>
          <w:szCs w:val="24"/>
        </w:rPr>
        <w:t xml:space="preserve">the </w:t>
      </w:r>
      <w:r w:rsidRPr="001E2C14">
        <w:rPr>
          <w:color w:val="151515"/>
          <w:w w:val="110"/>
          <w:sz w:val="24"/>
          <w:szCs w:val="24"/>
        </w:rPr>
        <w:t>inverter.</w:t>
      </w:r>
      <w:r w:rsidRPr="001E2C14">
        <w:rPr>
          <w:color w:val="151515"/>
          <w:spacing w:val="-6"/>
          <w:w w:val="110"/>
          <w:sz w:val="24"/>
          <w:szCs w:val="24"/>
        </w:rPr>
        <w:t xml:space="preserve"> </w:t>
      </w:r>
      <w:r w:rsidRPr="001E2C14">
        <w:rPr>
          <w:color w:val="262626"/>
          <w:w w:val="110"/>
          <w:sz w:val="24"/>
          <w:szCs w:val="24"/>
        </w:rPr>
        <w:t>An inverter is</w:t>
      </w:r>
      <w:r w:rsidRPr="001E2C14">
        <w:rPr>
          <w:color w:val="262626"/>
          <w:spacing w:val="-2"/>
          <w:w w:val="110"/>
          <w:sz w:val="24"/>
          <w:szCs w:val="24"/>
        </w:rPr>
        <w:t xml:space="preserve"> </w:t>
      </w:r>
      <w:r w:rsidRPr="001E2C14">
        <w:rPr>
          <w:color w:val="262626"/>
          <w:w w:val="110"/>
          <w:sz w:val="24"/>
          <w:szCs w:val="24"/>
        </w:rPr>
        <w:t>a</w:t>
      </w:r>
      <w:r w:rsidR="00191BAC" w:rsidRPr="001E2C14">
        <w:rPr>
          <w:color w:val="262626"/>
          <w:w w:val="110"/>
          <w:sz w:val="24"/>
          <w:szCs w:val="24"/>
        </w:rPr>
        <w:t xml:space="preserve"> </w:t>
      </w:r>
      <w:r w:rsidRPr="001E2C14">
        <w:rPr>
          <w:color w:val="262626"/>
          <w:w w:val="110"/>
          <w:sz w:val="24"/>
          <w:szCs w:val="24"/>
        </w:rPr>
        <w:t>device</w:t>
      </w:r>
      <w:r w:rsidRPr="001E2C14">
        <w:rPr>
          <w:color w:val="262626"/>
          <w:spacing w:val="-7"/>
          <w:w w:val="110"/>
          <w:sz w:val="24"/>
          <w:szCs w:val="24"/>
        </w:rPr>
        <w:t xml:space="preserve"> </w:t>
      </w:r>
      <w:r w:rsidRPr="001E2C14">
        <w:rPr>
          <w:color w:val="151515"/>
          <w:w w:val="110"/>
          <w:sz w:val="24"/>
          <w:szCs w:val="24"/>
        </w:rPr>
        <w:t>that</w:t>
      </w:r>
      <w:r w:rsidRPr="001E2C14">
        <w:rPr>
          <w:color w:val="151515"/>
          <w:spacing w:val="-6"/>
          <w:w w:val="110"/>
          <w:sz w:val="24"/>
          <w:szCs w:val="24"/>
        </w:rPr>
        <w:t xml:space="preserve"> </w:t>
      </w:r>
      <w:r w:rsidRPr="001E2C14">
        <w:rPr>
          <w:color w:val="262626"/>
          <w:w w:val="110"/>
          <w:sz w:val="24"/>
          <w:szCs w:val="24"/>
        </w:rPr>
        <w:t>can</w:t>
      </w:r>
      <w:r w:rsidRPr="001E2C14">
        <w:rPr>
          <w:color w:val="262626"/>
          <w:spacing w:val="-10"/>
          <w:w w:val="110"/>
          <w:sz w:val="24"/>
          <w:szCs w:val="24"/>
        </w:rPr>
        <w:t xml:space="preserve"> </w:t>
      </w:r>
      <w:r w:rsidRPr="001E2C14">
        <w:rPr>
          <w:color w:val="262626"/>
          <w:w w:val="110"/>
          <w:sz w:val="24"/>
          <w:szCs w:val="24"/>
        </w:rPr>
        <w:t xml:space="preserve">convert alternating </w:t>
      </w:r>
      <w:r w:rsidRPr="001E2C14">
        <w:rPr>
          <w:color w:val="3B3B3B"/>
          <w:w w:val="110"/>
          <w:sz w:val="24"/>
          <w:szCs w:val="24"/>
        </w:rPr>
        <w:t xml:space="preserve">electric </w:t>
      </w:r>
      <w:r w:rsidRPr="001E2C14">
        <w:rPr>
          <w:color w:val="262626"/>
          <w:w w:val="110"/>
          <w:sz w:val="24"/>
          <w:szCs w:val="24"/>
        </w:rPr>
        <w:t>current (AC)</w:t>
      </w:r>
      <w:r w:rsidRPr="001E2C14">
        <w:rPr>
          <w:color w:val="262626"/>
          <w:spacing w:val="-12"/>
          <w:w w:val="110"/>
          <w:sz w:val="24"/>
          <w:szCs w:val="24"/>
        </w:rPr>
        <w:t xml:space="preserve"> </w:t>
      </w:r>
      <w:r w:rsidRPr="001E2C14">
        <w:rPr>
          <w:color w:val="262626"/>
          <w:w w:val="110"/>
          <w:sz w:val="24"/>
          <w:szCs w:val="24"/>
        </w:rPr>
        <w:t>to</w:t>
      </w:r>
      <w:r w:rsidRPr="001E2C14">
        <w:rPr>
          <w:color w:val="262626"/>
          <w:spacing w:val="-8"/>
          <w:w w:val="110"/>
          <w:sz w:val="24"/>
          <w:szCs w:val="24"/>
        </w:rPr>
        <w:t xml:space="preserve"> </w:t>
      </w:r>
      <w:r w:rsidRPr="001E2C14">
        <w:rPr>
          <w:color w:val="262626"/>
          <w:w w:val="110"/>
          <w:sz w:val="24"/>
          <w:szCs w:val="24"/>
        </w:rPr>
        <w:t>direct current (DC).</w:t>
      </w:r>
      <w:r w:rsidRPr="001E2C14">
        <w:rPr>
          <w:color w:val="262626"/>
          <w:spacing w:val="-14"/>
          <w:w w:val="110"/>
          <w:sz w:val="24"/>
          <w:szCs w:val="24"/>
        </w:rPr>
        <w:t xml:space="preserve"> </w:t>
      </w:r>
      <w:r w:rsidRPr="001E2C14">
        <w:rPr>
          <w:color w:val="262626"/>
          <w:w w:val="110"/>
          <w:sz w:val="24"/>
          <w:szCs w:val="24"/>
        </w:rPr>
        <w:t>It</w:t>
      </w:r>
      <w:r w:rsidRPr="001E2C14">
        <w:rPr>
          <w:rFonts w:ascii="Arial"/>
          <w:color w:val="262626"/>
          <w:spacing w:val="40"/>
          <w:w w:val="110"/>
          <w:sz w:val="24"/>
          <w:szCs w:val="24"/>
        </w:rPr>
        <w:t xml:space="preserve"> </w:t>
      </w:r>
      <w:r w:rsidRPr="001E2C14">
        <w:rPr>
          <w:color w:val="262626"/>
          <w:w w:val="110"/>
          <w:sz w:val="24"/>
          <w:szCs w:val="24"/>
        </w:rPr>
        <w:t xml:space="preserve">does so </w:t>
      </w:r>
      <w:r w:rsidRPr="001E2C14">
        <w:rPr>
          <w:color w:val="151515"/>
          <w:w w:val="110"/>
          <w:sz w:val="24"/>
          <w:szCs w:val="24"/>
        </w:rPr>
        <w:t xml:space="preserve">by </w:t>
      </w:r>
      <w:r w:rsidRPr="001E2C14">
        <w:rPr>
          <w:color w:val="262626"/>
          <w:w w:val="110"/>
          <w:sz w:val="24"/>
          <w:szCs w:val="24"/>
        </w:rPr>
        <w:t>changing the sine wave of AC</w:t>
      </w:r>
      <w:r w:rsidRPr="001E2C14">
        <w:rPr>
          <w:color w:val="262626"/>
          <w:spacing w:val="-3"/>
          <w:w w:val="110"/>
          <w:sz w:val="24"/>
          <w:szCs w:val="24"/>
        </w:rPr>
        <w:t xml:space="preserve"> </w:t>
      </w:r>
      <w:r w:rsidRPr="001E2C14">
        <w:rPr>
          <w:color w:val="262626"/>
          <w:w w:val="110"/>
          <w:sz w:val="24"/>
          <w:szCs w:val="24"/>
        </w:rPr>
        <w:t xml:space="preserve">power using a process that </w:t>
      </w:r>
      <w:r w:rsidRPr="001E2C14">
        <w:rPr>
          <w:color w:val="151515"/>
          <w:w w:val="110"/>
          <w:sz w:val="24"/>
          <w:szCs w:val="24"/>
        </w:rPr>
        <w:t xml:space="preserve">includes rectifying </w:t>
      </w:r>
      <w:r w:rsidRPr="001E2C14">
        <w:rPr>
          <w:color w:val="262626"/>
          <w:w w:val="110"/>
          <w:sz w:val="24"/>
          <w:szCs w:val="24"/>
        </w:rPr>
        <w:t xml:space="preserve">the sine wave and smoothing </w:t>
      </w:r>
      <w:r w:rsidRPr="001E2C14">
        <w:rPr>
          <w:color w:val="151515"/>
          <w:w w:val="110"/>
          <w:sz w:val="24"/>
          <w:szCs w:val="24"/>
        </w:rPr>
        <w:t xml:space="preserve">the </w:t>
      </w:r>
      <w:r w:rsidRPr="001E2C14">
        <w:rPr>
          <w:color w:val="262626"/>
          <w:w w:val="110"/>
          <w:sz w:val="24"/>
          <w:szCs w:val="24"/>
        </w:rPr>
        <w:t xml:space="preserve">resultant positive sine waves. </w:t>
      </w:r>
      <w:r w:rsidRPr="001E2C14">
        <w:rPr>
          <w:color w:val="3B3B3B"/>
          <w:w w:val="110"/>
          <w:sz w:val="24"/>
          <w:szCs w:val="24"/>
        </w:rPr>
        <w:t xml:space="preserve">The </w:t>
      </w:r>
      <w:r w:rsidRPr="001E2C14">
        <w:rPr>
          <w:color w:val="151515"/>
          <w:w w:val="110"/>
          <w:sz w:val="24"/>
          <w:szCs w:val="24"/>
        </w:rPr>
        <w:t xml:space="preserve">resulting DC </w:t>
      </w:r>
      <w:r w:rsidRPr="001E2C14">
        <w:rPr>
          <w:color w:val="262626"/>
          <w:w w:val="110"/>
          <w:sz w:val="24"/>
          <w:szCs w:val="24"/>
        </w:rPr>
        <w:t xml:space="preserve">power can be used </w:t>
      </w:r>
      <w:r w:rsidRPr="001E2C14">
        <w:rPr>
          <w:color w:val="151515"/>
          <w:w w:val="110"/>
          <w:sz w:val="24"/>
          <w:szCs w:val="24"/>
        </w:rPr>
        <w:t xml:space="preserve">to </w:t>
      </w:r>
      <w:r w:rsidRPr="001E2C14">
        <w:rPr>
          <w:color w:val="262626"/>
          <w:w w:val="110"/>
          <w:sz w:val="24"/>
          <w:szCs w:val="24"/>
        </w:rPr>
        <w:t>charge a vehicle's battery.</w:t>
      </w:r>
      <w:r w:rsidR="004325F7" w:rsidRPr="001E2C14">
        <w:rPr>
          <w:color w:val="262626"/>
          <w:w w:val="110"/>
          <w:sz w:val="24"/>
          <w:szCs w:val="24"/>
        </w:rPr>
        <w:t>”</w:t>
      </w:r>
      <w:r w:rsidR="004325F7" w:rsidRPr="001E2C14">
        <w:rPr>
          <w:rStyle w:val="FootnoteReference"/>
          <w:color w:val="262626"/>
          <w:w w:val="110"/>
          <w:sz w:val="24"/>
          <w:szCs w:val="24"/>
        </w:rPr>
        <w:footnoteReference w:id="5"/>
      </w:r>
      <w:r w:rsidR="00A70F3F" w:rsidRPr="001E2C14">
        <w:rPr>
          <w:color w:val="262626"/>
          <w:w w:val="110"/>
          <w:sz w:val="24"/>
          <w:szCs w:val="24"/>
        </w:rPr>
        <w:t xml:space="preserve"> </w:t>
      </w:r>
      <w:proofErr w:type="spellStart"/>
      <w:r w:rsidR="00A70F3F" w:rsidRPr="001E2C14">
        <w:rPr>
          <w:color w:val="262626"/>
          <w:w w:val="110"/>
          <w:sz w:val="24"/>
          <w:szCs w:val="24"/>
        </w:rPr>
        <w:t>Sawnee</w:t>
      </w:r>
      <w:proofErr w:type="spellEnd"/>
      <w:r w:rsidR="00A70F3F" w:rsidRPr="001E2C14">
        <w:rPr>
          <w:color w:val="262626"/>
          <w:w w:val="110"/>
          <w:sz w:val="24"/>
          <w:szCs w:val="24"/>
        </w:rPr>
        <w:t xml:space="preserve"> </w:t>
      </w:r>
      <w:r w:rsidR="006A6CE1" w:rsidRPr="001E2C14">
        <w:rPr>
          <w:color w:val="262626"/>
          <w:w w:val="110"/>
          <w:sz w:val="24"/>
          <w:szCs w:val="24"/>
        </w:rPr>
        <w:t>stated that t</w:t>
      </w:r>
      <w:r w:rsidR="00A70F3F" w:rsidRPr="001E2C14">
        <w:rPr>
          <w:color w:val="262626"/>
          <w:w w:val="110"/>
          <w:sz w:val="24"/>
          <w:szCs w:val="24"/>
        </w:rPr>
        <w:t>he inverter is essentially inert unless and until a vehicle pulls up and is connected to the charger. Unless and until a vehicle pulls up and is connected to the charger, the inverter is not converting AC power to DC power.</w:t>
      </w:r>
      <w:r w:rsidR="006A6CE1" w:rsidRPr="001E2C14">
        <w:rPr>
          <w:rStyle w:val="FootnoteReference"/>
          <w:color w:val="262626"/>
          <w:w w:val="110"/>
          <w:sz w:val="24"/>
          <w:szCs w:val="24"/>
        </w:rPr>
        <w:footnoteReference w:id="6"/>
      </w:r>
      <w:r w:rsidR="00DB2A73" w:rsidRPr="00DB2A73">
        <w:rPr>
          <w:color w:val="262626"/>
          <w:w w:val="110"/>
          <w:sz w:val="24"/>
          <w:szCs w:val="24"/>
        </w:rPr>
        <w:t xml:space="preserve"> </w:t>
      </w:r>
      <w:proofErr w:type="spellStart"/>
      <w:r w:rsidR="00DB2A73" w:rsidRPr="00DB2A73">
        <w:rPr>
          <w:color w:val="262626"/>
          <w:w w:val="110"/>
          <w:sz w:val="24"/>
          <w:szCs w:val="24"/>
        </w:rPr>
        <w:t>Sawnee</w:t>
      </w:r>
      <w:proofErr w:type="spellEnd"/>
      <w:r w:rsidR="00DB2A73" w:rsidRPr="00DB2A73">
        <w:rPr>
          <w:color w:val="262626"/>
          <w:w w:val="110"/>
          <w:sz w:val="24"/>
          <w:szCs w:val="24"/>
        </w:rPr>
        <w:t xml:space="preserve"> proffered Exhibit No SEMC. 4, provided by Electrify America, indicating that the projected demand for the charging site is substantially below 900 kw.</w:t>
      </w:r>
      <w:r w:rsidR="00DB2A73" w:rsidRPr="00DB2A73">
        <w:rPr>
          <w:color w:val="262626"/>
          <w:w w:val="110"/>
          <w:sz w:val="24"/>
          <w:szCs w:val="24"/>
          <w:vertAlign w:val="superscript"/>
        </w:rPr>
        <w:footnoteReference w:id="7"/>
      </w:r>
      <w:r w:rsidR="00DB2A73" w:rsidRPr="00DB2A73">
        <w:rPr>
          <w:color w:val="262626"/>
          <w:w w:val="110"/>
          <w:sz w:val="24"/>
          <w:szCs w:val="24"/>
        </w:rPr>
        <w:t xml:space="preserve"> </w:t>
      </w:r>
    </w:p>
    <w:p w14:paraId="68E04EF1" w14:textId="77777777" w:rsidR="00A70F3F" w:rsidRPr="001E2C14" w:rsidRDefault="00A70F3F" w:rsidP="0087793A">
      <w:pPr>
        <w:pStyle w:val="BodyText"/>
        <w:ind w:firstLine="360"/>
        <w:rPr>
          <w:color w:val="262626"/>
          <w:w w:val="110"/>
          <w:sz w:val="24"/>
          <w:szCs w:val="24"/>
        </w:rPr>
      </w:pPr>
    </w:p>
    <w:p w14:paraId="00415AE2" w14:textId="77777777" w:rsidR="008C2BFB" w:rsidRPr="001E2C14" w:rsidRDefault="008C2BFB" w:rsidP="0087793A">
      <w:pPr>
        <w:pStyle w:val="BodyText"/>
        <w:ind w:firstLine="360"/>
        <w:rPr>
          <w:color w:val="262626"/>
          <w:w w:val="110"/>
          <w:sz w:val="24"/>
          <w:szCs w:val="24"/>
        </w:rPr>
      </w:pPr>
    </w:p>
    <w:p w14:paraId="66482FB8" w14:textId="77777777" w:rsidR="008C2BFB" w:rsidRPr="001E2C14" w:rsidRDefault="008C2BFB" w:rsidP="00CF6472">
      <w:pPr>
        <w:pStyle w:val="BodyText"/>
        <w:ind w:firstLine="360"/>
        <w:jc w:val="both"/>
        <w:rPr>
          <w:color w:val="262626"/>
          <w:w w:val="110"/>
          <w:sz w:val="24"/>
          <w:szCs w:val="24"/>
        </w:rPr>
      </w:pPr>
      <w:r w:rsidRPr="001E2C14">
        <w:rPr>
          <w:color w:val="262626"/>
          <w:w w:val="110"/>
          <w:sz w:val="24"/>
          <w:szCs w:val="24"/>
        </w:rPr>
        <w:t xml:space="preserve">Georgia Power’s witness Gresham described the Premises as consisting of an EV charging array, made up of six power cabinets served by Georgia Power that are connected to four EV charging dispensers. Two of the charging dispensers are 175 kW in size (labeled as 150 kW) and two are 350 kW in size. The Company </w:t>
      </w:r>
      <w:r w:rsidR="00AC2ED8" w:rsidRPr="001E2C14">
        <w:rPr>
          <w:color w:val="262626"/>
          <w:w w:val="110"/>
          <w:sz w:val="24"/>
          <w:szCs w:val="24"/>
        </w:rPr>
        <w:t>explain</w:t>
      </w:r>
      <w:r w:rsidR="00C13E6F">
        <w:rPr>
          <w:color w:val="262626"/>
          <w:w w:val="110"/>
          <w:sz w:val="24"/>
          <w:szCs w:val="24"/>
        </w:rPr>
        <w:t>ed</w:t>
      </w:r>
      <w:r w:rsidRPr="001E2C14">
        <w:rPr>
          <w:color w:val="262626"/>
          <w:w w:val="110"/>
          <w:sz w:val="24"/>
          <w:szCs w:val="24"/>
        </w:rPr>
        <w:t xml:space="preserve"> that the charging dispensers are powered by the six power cabinets located on the adjacent equipment pad. Each of the 150 kW dispensers are connected to one power cabinet, whereas each of the 350 kW dispensers are connected to two power cabinets. All six of the power cabinets have the same capacity. Specifically, he </w:t>
      </w:r>
      <w:r w:rsidR="00725F60">
        <w:rPr>
          <w:color w:val="262626"/>
          <w:w w:val="110"/>
          <w:sz w:val="24"/>
          <w:szCs w:val="24"/>
        </w:rPr>
        <w:t>testified</w:t>
      </w:r>
      <w:r w:rsidRPr="001E2C14">
        <w:rPr>
          <w:color w:val="262626"/>
          <w:w w:val="110"/>
          <w:sz w:val="24"/>
          <w:szCs w:val="24"/>
        </w:rPr>
        <w:t xml:space="preserve"> that each power cabinet has an AC-rated input of 190 kW and a DC-rated output of 175 kW, resulting in a total AC connected load of 1,140 kW.</w:t>
      </w:r>
      <w:r w:rsidRPr="001E2C14">
        <w:rPr>
          <w:color w:val="262626"/>
          <w:w w:val="110"/>
          <w:sz w:val="24"/>
          <w:szCs w:val="24"/>
          <w:vertAlign w:val="superscript"/>
        </w:rPr>
        <w:footnoteReference w:id="8"/>
      </w:r>
    </w:p>
    <w:p w14:paraId="7A5B98B5" w14:textId="77777777" w:rsidR="00C27D62" w:rsidRPr="001E2C14" w:rsidRDefault="00C27D62" w:rsidP="00CF6472">
      <w:pPr>
        <w:pStyle w:val="BodyText"/>
        <w:ind w:firstLine="360"/>
        <w:jc w:val="both"/>
        <w:rPr>
          <w:color w:val="262626"/>
          <w:w w:val="110"/>
          <w:sz w:val="24"/>
          <w:szCs w:val="24"/>
        </w:rPr>
      </w:pPr>
    </w:p>
    <w:p w14:paraId="26FE5170" w14:textId="77777777" w:rsidR="008C36DB" w:rsidRPr="001E2C14" w:rsidRDefault="00EC3B8C" w:rsidP="00CF6472">
      <w:pPr>
        <w:spacing w:after="0" w:line="240" w:lineRule="auto"/>
        <w:ind w:firstLine="360"/>
        <w:jc w:val="both"/>
        <w:rPr>
          <w:rFonts w:ascii="Times New Roman" w:hAnsi="Times New Roman" w:cs="Times New Roman"/>
          <w:sz w:val="24"/>
          <w:szCs w:val="24"/>
        </w:rPr>
      </w:pPr>
      <w:r w:rsidRPr="001E2C14">
        <w:rPr>
          <w:rFonts w:ascii="Times New Roman" w:hAnsi="Times New Roman" w:cs="Times New Roman"/>
          <w:sz w:val="24"/>
          <w:szCs w:val="24"/>
        </w:rPr>
        <w:t xml:space="preserve">Georgia Power asserted </w:t>
      </w:r>
      <w:r w:rsidR="008C36DB" w:rsidRPr="001E2C14">
        <w:rPr>
          <w:rFonts w:ascii="Times New Roman" w:hAnsi="Times New Roman" w:cs="Times New Roman"/>
          <w:sz w:val="24"/>
          <w:szCs w:val="24"/>
        </w:rPr>
        <w:t>that the customer’s projected demand does not impact the Company’s calculation of connected load. The Company uses the nameplate capacity of the equipment being served at the premises to determine connected load for purposes of the Territorial Act. M</w:t>
      </w:r>
      <w:r w:rsidR="00FF4D8A" w:rsidRPr="001E2C14">
        <w:rPr>
          <w:rFonts w:ascii="Times New Roman" w:hAnsi="Times New Roman" w:cs="Times New Roman"/>
          <w:sz w:val="24"/>
          <w:szCs w:val="24"/>
        </w:rPr>
        <w:t>r</w:t>
      </w:r>
      <w:r w:rsidR="008C36DB" w:rsidRPr="001E2C14">
        <w:rPr>
          <w:rFonts w:ascii="Times New Roman" w:hAnsi="Times New Roman" w:cs="Times New Roman"/>
          <w:sz w:val="24"/>
          <w:szCs w:val="24"/>
        </w:rPr>
        <w:t xml:space="preserve">. Gresham </w:t>
      </w:r>
      <w:r w:rsidR="0060247F" w:rsidRPr="001E2C14">
        <w:rPr>
          <w:rFonts w:ascii="Times New Roman" w:hAnsi="Times New Roman" w:cs="Times New Roman"/>
          <w:sz w:val="24"/>
          <w:szCs w:val="24"/>
        </w:rPr>
        <w:t>testified that c</w:t>
      </w:r>
      <w:r w:rsidR="008C36DB" w:rsidRPr="001E2C14">
        <w:rPr>
          <w:rFonts w:ascii="Times New Roman" w:hAnsi="Times New Roman" w:cs="Times New Roman"/>
          <w:sz w:val="24"/>
          <w:szCs w:val="24"/>
        </w:rPr>
        <w:t xml:space="preserve">onnected </w:t>
      </w:r>
      <w:r w:rsidR="0060247F" w:rsidRPr="001E2C14">
        <w:rPr>
          <w:rFonts w:ascii="Times New Roman" w:hAnsi="Times New Roman" w:cs="Times New Roman"/>
          <w:sz w:val="24"/>
          <w:szCs w:val="24"/>
        </w:rPr>
        <w:t>l</w:t>
      </w:r>
      <w:r w:rsidR="008C36DB" w:rsidRPr="001E2C14">
        <w:rPr>
          <w:rFonts w:ascii="Times New Roman" w:hAnsi="Times New Roman" w:cs="Times New Roman"/>
          <w:sz w:val="24"/>
          <w:szCs w:val="24"/>
        </w:rPr>
        <w:t xml:space="preserve">oad is not based on a customer’s expected demand, how the customer plans to ultimately use or run the equipment, or the demand of the devices when in use. </w:t>
      </w:r>
      <w:r w:rsidR="0060247F" w:rsidRPr="001E2C14">
        <w:rPr>
          <w:rFonts w:ascii="Times New Roman" w:hAnsi="Times New Roman" w:cs="Times New Roman"/>
          <w:sz w:val="24"/>
          <w:szCs w:val="24"/>
        </w:rPr>
        <w:t xml:space="preserve"> It</w:t>
      </w:r>
      <w:r w:rsidR="008C36DB" w:rsidRPr="001E2C14">
        <w:rPr>
          <w:rFonts w:ascii="Times New Roman" w:hAnsi="Times New Roman" w:cs="Times New Roman"/>
          <w:sz w:val="24"/>
          <w:szCs w:val="24"/>
        </w:rPr>
        <w:t xml:space="preserve"> is based upon the nameplate capacity of the equipment being served at the premises. Therefore,</w:t>
      </w:r>
      <w:r w:rsidR="008875A0" w:rsidRPr="001E2C14">
        <w:rPr>
          <w:rFonts w:ascii="Times New Roman" w:hAnsi="Times New Roman" w:cs="Times New Roman"/>
          <w:sz w:val="24"/>
          <w:szCs w:val="24"/>
        </w:rPr>
        <w:t xml:space="preserve"> Geo</w:t>
      </w:r>
      <w:r w:rsidR="00D70B06" w:rsidRPr="001E2C14">
        <w:rPr>
          <w:rFonts w:ascii="Times New Roman" w:hAnsi="Times New Roman" w:cs="Times New Roman"/>
          <w:sz w:val="24"/>
          <w:szCs w:val="24"/>
        </w:rPr>
        <w:t>rgia Power claim</w:t>
      </w:r>
      <w:r w:rsidR="00FF4D8A" w:rsidRPr="001E2C14">
        <w:rPr>
          <w:rFonts w:ascii="Times New Roman" w:hAnsi="Times New Roman" w:cs="Times New Roman"/>
          <w:sz w:val="24"/>
          <w:szCs w:val="24"/>
        </w:rPr>
        <w:t>ed</w:t>
      </w:r>
      <w:r w:rsidR="00D70B06" w:rsidRPr="001E2C14">
        <w:rPr>
          <w:rFonts w:ascii="Times New Roman" w:hAnsi="Times New Roman" w:cs="Times New Roman"/>
          <w:sz w:val="24"/>
          <w:szCs w:val="24"/>
        </w:rPr>
        <w:t>,</w:t>
      </w:r>
      <w:r w:rsidR="008C36DB" w:rsidRPr="001E2C14">
        <w:rPr>
          <w:rFonts w:ascii="Times New Roman" w:hAnsi="Times New Roman" w:cs="Times New Roman"/>
          <w:sz w:val="24"/>
          <w:szCs w:val="24"/>
        </w:rPr>
        <w:t xml:space="preserve"> the projected monthly peak demand referenced by Witness House is irrelevant to the connected load calculation.</w:t>
      </w:r>
      <w:r w:rsidR="004A0973" w:rsidRPr="001E2C14">
        <w:rPr>
          <w:rStyle w:val="FootnoteReference"/>
          <w:rFonts w:ascii="Times New Roman" w:hAnsi="Times New Roman" w:cs="Times New Roman"/>
          <w:sz w:val="24"/>
          <w:szCs w:val="24"/>
        </w:rPr>
        <w:footnoteReference w:id="9"/>
      </w:r>
      <w:r w:rsidR="008C36DB" w:rsidRPr="001E2C14">
        <w:rPr>
          <w:rFonts w:ascii="Times New Roman" w:hAnsi="Times New Roman" w:cs="Times New Roman"/>
          <w:sz w:val="24"/>
          <w:szCs w:val="24"/>
        </w:rPr>
        <w:t xml:space="preserve"> </w:t>
      </w:r>
    </w:p>
    <w:p w14:paraId="05870EEE" w14:textId="77777777" w:rsidR="00E736BC" w:rsidRPr="001E2C14" w:rsidRDefault="00E736BC" w:rsidP="00CF6472">
      <w:pPr>
        <w:spacing w:after="0" w:line="240" w:lineRule="auto"/>
        <w:ind w:firstLine="360"/>
        <w:jc w:val="both"/>
        <w:rPr>
          <w:rFonts w:ascii="Times New Roman" w:hAnsi="Times New Roman" w:cs="Times New Roman"/>
          <w:sz w:val="24"/>
          <w:szCs w:val="24"/>
        </w:rPr>
      </w:pPr>
    </w:p>
    <w:p w14:paraId="295480C0" w14:textId="77777777" w:rsidR="002560CA" w:rsidRPr="001E2C14" w:rsidRDefault="00AD0892" w:rsidP="009665C2">
      <w:pPr>
        <w:tabs>
          <w:tab w:val="center" w:pos="0"/>
        </w:tabs>
        <w:spacing w:line="240" w:lineRule="auto"/>
        <w:jc w:val="both"/>
        <w:rPr>
          <w:rFonts w:ascii="Times New Roman" w:hAnsi="Times New Roman" w:cs="Times New Roman"/>
          <w:sz w:val="24"/>
          <w:szCs w:val="24"/>
        </w:rPr>
      </w:pPr>
      <w:r w:rsidRPr="001E2C14">
        <w:rPr>
          <w:rFonts w:ascii="Times New Roman" w:hAnsi="Times New Roman" w:cs="Times New Roman"/>
          <w:sz w:val="24"/>
          <w:szCs w:val="24"/>
        </w:rPr>
        <w:tab/>
      </w:r>
      <w:r w:rsidR="00F75F53" w:rsidRPr="001E2C14">
        <w:rPr>
          <w:rFonts w:ascii="Times New Roman" w:hAnsi="Times New Roman" w:cs="Times New Roman"/>
          <w:sz w:val="24"/>
          <w:szCs w:val="24"/>
        </w:rPr>
        <w:t xml:space="preserve">Georgia Power’s </w:t>
      </w:r>
      <w:r w:rsidR="00816FD4" w:rsidRPr="001E2C14">
        <w:rPr>
          <w:rFonts w:ascii="Times New Roman" w:hAnsi="Times New Roman" w:cs="Times New Roman"/>
          <w:sz w:val="24"/>
          <w:szCs w:val="24"/>
        </w:rPr>
        <w:t>W</w:t>
      </w:r>
      <w:r w:rsidR="00F75F53" w:rsidRPr="001E2C14">
        <w:rPr>
          <w:rFonts w:ascii="Times New Roman" w:hAnsi="Times New Roman" w:cs="Times New Roman"/>
          <w:sz w:val="24"/>
          <w:szCs w:val="24"/>
        </w:rPr>
        <w:t>itness</w:t>
      </w:r>
      <w:r w:rsidR="00E33935" w:rsidRPr="001E2C14">
        <w:rPr>
          <w:rFonts w:ascii="Times New Roman" w:hAnsi="Times New Roman" w:cs="Times New Roman"/>
          <w:sz w:val="24"/>
          <w:szCs w:val="24"/>
        </w:rPr>
        <w:t xml:space="preserve"> </w:t>
      </w:r>
      <w:r w:rsidR="003870A2" w:rsidRPr="001E2C14">
        <w:rPr>
          <w:rFonts w:ascii="Times New Roman" w:hAnsi="Times New Roman" w:cs="Times New Roman"/>
          <w:sz w:val="24"/>
          <w:szCs w:val="24"/>
        </w:rPr>
        <w:t xml:space="preserve">Mathews </w:t>
      </w:r>
      <w:r w:rsidR="001C1B46" w:rsidRPr="001E2C14">
        <w:rPr>
          <w:rFonts w:ascii="Times New Roman" w:hAnsi="Times New Roman" w:cs="Times New Roman"/>
          <w:sz w:val="24"/>
          <w:szCs w:val="24"/>
        </w:rPr>
        <w:t>testifie</w:t>
      </w:r>
      <w:r w:rsidR="00932A09" w:rsidRPr="001E2C14">
        <w:rPr>
          <w:rFonts w:ascii="Times New Roman" w:hAnsi="Times New Roman" w:cs="Times New Roman"/>
          <w:sz w:val="24"/>
          <w:szCs w:val="24"/>
        </w:rPr>
        <w:t>d that</w:t>
      </w:r>
      <w:r w:rsidR="008A6958" w:rsidRPr="001E2C14">
        <w:rPr>
          <w:rFonts w:ascii="Times New Roman" w:hAnsi="Times New Roman" w:cs="Times New Roman"/>
          <w:sz w:val="24"/>
          <w:szCs w:val="24"/>
        </w:rPr>
        <w:t xml:space="preserve"> in</w:t>
      </w:r>
      <w:r w:rsidR="00EC6772" w:rsidRPr="001E2C14">
        <w:rPr>
          <w:rFonts w:ascii="Times New Roman" w:hAnsi="Times New Roman" w:cs="Times New Roman"/>
          <w:sz w:val="24"/>
          <w:szCs w:val="24"/>
        </w:rPr>
        <w:t xml:space="preserve"> order </w:t>
      </w:r>
      <w:r w:rsidR="00563A78" w:rsidRPr="001E2C14">
        <w:rPr>
          <w:rFonts w:ascii="Times New Roman" w:hAnsi="Times New Roman" w:cs="Times New Roman"/>
          <w:sz w:val="24"/>
          <w:szCs w:val="24"/>
        </w:rPr>
        <w:t xml:space="preserve">for </w:t>
      </w:r>
      <w:r w:rsidR="005B4927" w:rsidRPr="001E2C14">
        <w:rPr>
          <w:rFonts w:ascii="Times New Roman" w:hAnsi="Times New Roman" w:cs="Times New Roman"/>
          <w:sz w:val="24"/>
          <w:szCs w:val="24"/>
        </w:rPr>
        <w:t>electric service providers to decide whether they</w:t>
      </w:r>
      <w:r w:rsidR="008E528F" w:rsidRPr="001E2C14">
        <w:rPr>
          <w:rFonts w:ascii="Times New Roman" w:hAnsi="Times New Roman" w:cs="Times New Roman"/>
          <w:sz w:val="24"/>
          <w:szCs w:val="24"/>
        </w:rPr>
        <w:t xml:space="preserve"> </w:t>
      </w:r>
      <w:r w:rsidR="005B4927" w:rsidRPr="001E2C14">
        <w:rPr>
          <w:rFonts w:ascii="Times New Roman" w:hAnsi="Times New Roman" w:cs="Times New Roman"/>
          <w:sz w:val="24"/>
          <w:szCs w:val="24"/>
        </w:rPr>
        <w:t>can</w:t>
      </w:r>
      <w:r w:rsidRPr="001E2C14">
        <w:rPr>
          <w:rFonts w:ascii="Times New Roman" w:hAnsi="Times New Roman" w:cs="Times New Roman"/>
          <w:sz w:val="24"/>
          <w:szCs w:val="24"/>
        </w:rPr>
        <w:t xml:space="preserve"> </w:t>
      </w:r>
      <w:r w:rsidR="005B4927" w:rsidRPr="001E2C14">
        <w:rPr>
          <w:rFonts w:ascii="Times New Roman" w:hAnsi="Times New Roman" w:cs="Times New Roman"/>
          <w:sz w:val="24"/>
          <w:szCs w:val="24"/>
        </w:rPr>
        <w:t xml:space="preserve">compete for a given customer it is necessary to determine the connected load. As a result, the actual metered demand cannot be used to determine connected load simply because the building has not yet been constructed. </w:t>
      </w:r>
      <w:r w:rsidR="00563A78" w:rsidRPr="001E2C14">
        <w:rPr>
          <w:rFonts w:ascii="Times New Roman" w:hAnsi="Times New Roman" w:cs="Times New Roman"/>
          <w:sz w:val="24"/>
          <w:szCs w:val="24"/>
        </w:rPr>
        <w:t>He</w:t>
      </w:r>
      <w:r w:rsidR="00BE320B" w:rsidRPr="001E2C14">
        <w:rPr>
          <w:rFonts w:ascii="Times New Roman" w:hAnsi="Times New Roman" w:cs="Times New Roman"/>
          <w:sz w:val="24"/>
          <w:szCs w:val="24"/>
        </w:rPr>
        <w:t xml:space="preserve"> </w:t>
      </w:r>
      <w:r w:rsidR="00C10021" w:rsidRPr="001E2C14">
        <w:rPr>
          <w:rFonts w:ascii="Times New Roman" w:hAnsi="Times New Roman" w:cs="Times New Roman"/>
          <w:sz w:val="24"/>
          <w:szCs w:val="24"/>
        </w:rPr>
        <w:t>claim</w:t>
      </w:r>
      <w:r w:rsidR="00C1713B" w:rsidRPr="001E2C14">
        <w:rPr>
          <w:rFonts w:ascii="Times New Roman" w:hAnsi="Times New Roman" w:cs="Times New Roman"/>
          <w:sz w:val="24"/>
          <w:szCs w:val="24"/>
        </w:rPr>
        <w:t>ed</w:t>
      </w:r>
      <w:r w:rsidR="005B4927" w:rsidRPr="001E2C14">
        <w:rPr>
          <w:rFonts w:ascii="Times New Roman" w:hAnsi="Times New Roman" w:cs="Times New Roman"/>
          <w:sz w:val="24"/>
          <w:szCs w:val="24"/>
        </w:rPr>
        <w:t xml:space="preserve"> the connected load must be determined based upon the building design documents including the electrical, mechanical, and </w:t>
      </w:r>
      <w:r w:rsidR="005B4927" w:rsidRPr="001E2C14">
        <w:rPr>
          <w:rFonts w:ascii="Times New Roman" w:hAnsi="Times New Roman" w:cs="Times New Roman"/>
          <w:sz w:val="24"/>
          <w:szCs w:val="24"/>
        </w:rPr>
        <w:lastRenderedPageBreak/>
        <w:t xml:space="preserve">plumbing plans prepared by the building design engineers. </w:t>
      </w:r>
      <w:r w:rsidR="002F59E7" w:rsidRPr="001E2C14">
        <w:rPr>
          <w:rFonts w:ascii="Times New Roman" w:hAnsi="Times New Roman" w:cs="Times New Roman"/>
          <w:sz w:val="24"/>
          <w:szCs w:val="24"/>
        </w:rPr>
        <w:t xml:space="preserve">Mr. Mathews </w:t>
      </w:r>
      <w:r w:rsidR="00004BFD" w:rsidRPr="001E2C14">
        <w:rPr>
          <w:rFonts w:ascii="Times New Roman" w:hAnsi="Times New Roman" w:cs="Times New Roman"/>
          <w:sz w:val="24"/>
          <w:szCs w:val="24"/>
        </w:rPr>
        <w:t>contended that t</w:t>
      </w:r>
      <w:r w:rsidR="005B4927" w:rsidRPr="001E2C14">
        <w:rPr>
          <w:rFonts w:ascii="Times New Roman" w:hAnsi="Times New Roman" w:cs="Times New Roman"/>
          <w:sz w:val="24"/>
          <w:szCs w:val="24"/>
        </w:rPr>
        <w:t>he use of these design documents has been the cornerstone of such connected load studies. Since the actual load carried by a given item of equipment, for example an electrical motor, is unknown, the manufacturer’s nameplate data, which lists the rated horsepower or input current and voltage, is used to determine the connected load for this piece of equipment. Therefore,</w:t>
      </w:r>
      <w:r w:rsidR="00004BFD" w:rsidRPr="001E2C14">
        <w:rPr>
          <w:rFonts w:ascii="Times New Roman" w:hAnsi="Times New Roman" w:cs="Times New Roman"/>
          <w:sz w:val="24"/>
          <w:szCs w:val="24"/>
        </w:rPr>
        <w:t xml:space="preserve"> Mr.</w:t>
      </w:r>
      <w:r w:rsidR="005B4927" w:rsidRPr="001E2C14">
        <w:rPr>
          <w:rFonts w:ascii="Times New Roman" w:hAnsi="Times New Roman" w:cs="Times New Roman"/>
          <w:sz w:val="24"/>
          <w:szCs w:val="24"/>
        </w:rPr>
        <w:t xml:space="preserve"> </w:t>
      </w:r>
      <w:r w:rsidR="00BE320B" w:rsidRPr="001E2C14">
        <w:rPr>
          <w:rFonts w:ascii="Times New Roman" w:hAnsi="Times New Roman" w:cs="Times New Roman"/>
          <w:sz w:val="24"/>
          <w:szCs w:val="24"/>
        </w:rPr>
        <w:t xml:space="preserve">Mathews </w:t>
      </w:r>
      <w:r w:rsidR="00182B8A" w:rsidRPr="001E2C14">
        <w:rPr>
          <w:rFonts w:ascii="Times New Roman" w:hAnsi="Times New Roman" w:cs="Times New Roman"/>
          <w:sz w:val="24"/>
          <w:szCs w:val="24"/>
        </w:rPr>
        <w:t>argued</w:t>
      </w:r>
      <w:r w:rsidR="00365D49" w:rsidRPr="001E2C14">
        <w:rPr>
          <w:rFonts w:ascii="Times New Roman" w:hAnsi="Times New Roman" w:cs="Times New Roman"/>
          <w:sz w:val="24"/>
          <w:szCs w:val="24"/>
        </w:rPr>
        <w:t>,</w:t>
      </w:r>
      <w:r w:rsidR="009C25DB" w:rsidRPr="001E2C14">
        <w:rPr>
          <w:rFonts w:ascii="Times New Roman" w:hAnsi="Times New Roman" w:cs="Times New Roman"/>
          <w:sz w:val="24"/>
          <w:szCs w:val="24"/>
        </w:rPr>
        <w:t xml:space="preserve"> </w:t>
      </w:r>
      <w:r w:rsidR="005B4927" w:rsidRPr="001E2C14">
        <w:rPr>
          <w:rFonts w:ascii="Times New Roman" w:hAnsi="Times New Roman" w:cs="Times New Roman"/>
          <w:sz w:val="24"/>
          <w:szCs w:val="24"/>
        </w:rPr>
        <w:t>it is appropriate to use the nameplate capacity in determining the connected load for purposes of the Act</w:t>
      </w:r>
      <w:r w:rsidR="001E7531">
        <w:rPr>
          <w:rFonts w:ascii="Times New Roman" w:hAnsi="Times New Roman" w:cs="Times New Roman"/>
          <w:sz w:val="24"/>
          <w:szCs w:val="24"/>
        </w:rPr>
        <w:t>’s</w:t>
      </w:r>
      <w:r w:rsidR="005B4927" w:rsidRPr="001E2C14">
        <w:rPr>
          <w:rFonts w:ascii="Times New Roman" w:hAnsi="Times New Roman" w:cs="Times New Roman"/>
          <w:sz w:val="24"/>
          <w:szCs w:val="24"/>
        </w:rPr>
        <w:t xml:space="preserve"> large load exception. This approach</w:t>
      </w:r>
      <w:r w:rsidR="00563A78" w:rsidRPr="001E2C14">
        <w:rPr>
          <w:rFonts w:ascii="Times New Roman" w:hAnsi="Times New Roman" w:cs="Times New Roman"/>
          <w:sz w:val="24"/>
          <w:szCs w:val="24"/>
        </w:rPr>
        <w:t xml:space="preserve">, </w:t>
      </w:r>
      <w:r w:rsidR="00004BFD" w:rsidRPr="001E2C14">
        <w:rPr>
          <w:rFonts w:ascii="Times New Roman" w:hAnsi="Times New Roman" w:cs="Times New Roman"/>
          <w:sz w:val="24"/>
          <w:szCs w:val="24"/>
        </w:rPr>
        <w:t xml:space="preserve">Mr. </w:t>
      </w:r>
      <w:r w:rsidR="00563A78" w:rsidRPr="001E2C14">
        <w:rPr>
          <w:rFonts w:ascii="Times New Roman" w:hAnsi="Times New Roman" w:cs="Times New Roman"/>
          <w:sz w:val="24"/>
          <w:szCs w:val="24"/>
        </w:rPr>
        <w:t>Mathews claim</w:t>
      </w:r>
      <w:r w:rsidR="00AC2ED8" w:rsidRPr="001E2C14">
        <w:rPr>
          <w:rFonts w:ascii="Times New Roman" w:hAnsi="Times New Roman" w:cs="Times New Roman"/>
          <w:sz w:val="24"/>
          <w:szCs w:val="24"/>
        </w:rPr>
        <w:t>ed</w:t>
      </w:r>
      <w:r w:rsidR="00563A78" w:rsidRPr="001E2C14">
        <w:rPr>
          <w:rFonts w:ascii="Times New Roman" w:hAnsi="Times New Roman" w:cs="Times New Roman"/>
          <w:sz w:val="24"/>
          <w:szCs w:val="24"/>
        </w:rPr>
        <w:t>,</w:t>
      </w:r>
      <w:r w:rsidR="005B4927" w:rsidRPr="001E2C14">
        <w:rPr>
          <w:rFonts w:ascii="Times New Roman" w:hAnsi="Times New Roman" w:cs="Times New Roman"/>
          <w:sz w:val="24"/>
          <w:szCs w:val="24"/>
        </w:rPr>
        <w:t xml:space="preserve"> has been well accepted by the</w:t>
      </w:r>
      <w:r w:rsidR="00C1713B" w:rsidRPr="001E2C14">
        <w:rPr>
          <w:rFonts w:ascii="Times New Roman" w:hAnsi="Times New Roman" w:cs="Times New Roman"/>
          <w:sz w:val="24"/>
          <w:szCs w:val="24"/>
        </w:rPr>
        <w:t xml:space="preserve"> Commission</w:t>
      </w:r>
      <w:r w:rsidR="005B4927" w:rsidRPr="001E2C14">
        <w:rPr>
          <w:rFonts w:ascii="Times New Roman" w:hAnsi="Times New Roman" w:cs="Times New Roman"/>
          <w:sz w:val="24"/>
          <w:szCs w:val="24"/>
        </w:rPr>
        <w:t xml:space="preserve"> for the determination of connected load.</w:t>
      </w:r>
      <w:r w:rsidR="00563A78" w:rsidRPr="001E2C14">
        <w:rPr>
          <w:rStyle w:val="FootnoteReference"/>
          <w:rFonts w:ascii="Times New Roman" w:hAnsi="Times New Roman" w:cs="Times New Roman"/>
          <w:sz w:val="24"/>
          <w:szCs w:val="24"/>
        </w:rPr>
        <w:footnoteReference w:id="10"/>
      </w:r>
    </w:p>
    <w:p w14:paraId="29DC19BF" w14:textId="77777777" w:rsidR="002B3447" w:rsidRPr="001E2C14" w:rsidRDefault="00072591" w:rsidP="00B8366D">
      <w:pPr>
        <w:tabs>
          <w:tab w:val="center" w:pos="0"/>
        </w:tabs>
        <w:spacing w:line="240" w:lineRule="auto"/>
        <w:jc w:val="both"/>
        <w:rPr>
          <w:rFonts w:ascii="Times New Roman" w:hAnsi="Times New Roman" w:cs="Times New Roman"/>
          <w:bCs/>
          <w:sz w:val="24"/>
          <w:szCs w:val="24"/>
        </w:rPr>
      </w:pPr>
      <w:r w:rsidRPr="001E2C14">
        <w:rPr>
          <w:rFonts w:ascii="Times New Roman" w:hAnsi="Times New Roman" w:cs="Times New Roman"/>
          <w:sz w:val="24"/>
          <w:szCs w:val="24"/>
        </w:rPr>
        <w:tab/>
      </w:r>
      <w:r w:rsidR="007A77E1" w:rsidRPr="001E2C14">
        <w:rPr>
          <w:rFonts w:ascii="Times New Roman" w:hAnsi="Times New Roman" w:cs="Times New Roman"/>
          <w:bCs/>
          <w:sz w:val="24"/>
          <w:szCs w:val="24"/>
        </w:rPr>
        <w:t xml:space="preserve">Electrify America Witness Shay </w:t>
      </w:r>
      <w:r w:rsidR="007D63C2" w:rsidRPr="001E2C14">
        <w:rPr>
          <w:rFonts w:ascii="Times New Roman" w:hAnsi="Times New Roman" w:cs="Times New Roman"/>
          <w:bCs/>
          <w:sz w:val="24"/>
          <w:szCs w:val="24"/>
        </w:rPr>
        <w:t>tes</w:t>
      </w:r>
      <w:r w:rsidR="00A275E7" w:rsidRPr="001E2C14">
        <w:rPr>
          <w:rFonts w:ascii="Times New Roman" w:hAnsi="Times New Roman" w:cs="Times New Roman"/>
          <w:bCs/>
          <w:sz w:val="24"/>
          <w:szCs w:val="24"/>
        </w:rPr>
        <w:t>tified that a</w:t>
      </w:r>
      <w:r w:rsidR="002B3447" w:rsidRPr="001E2C14">
        <w:rPr>
          <w:rFonts w:ascii="Times New Roman" w:hAnsi="Times New Roman" w:cs="Times New Roman"/>
          <w:bCs/>
          <w:sz w:val="24"/>
          <w:szCs w:val="24"/>
        </w:rPr>
        <w:t xml:space="preserve">n electric service provider’s connected load calculation is based on the AC-connected load. </w:t>
      </w:r>
      <w:r w:rsidR="00476DEE" w:rsidRPr="001E2C14">
        <w:rPr>
          <w:rFonts w:ascii="Times New Roman" w:hAnsi="Times New Roman" w:cs="Times New Roman"/>
          <w:bCs/>
          <w:sz w:val="24"/>
          <w:szCs w:val="24"/>
        </w:rPr>
        <w:t xml:space="preserve">He claimed that </w:t>
      </w:r>
      <w:r w:rsidR="00776345" w:rsidRPr="001E2C14">
        <w:rPr>
          <w:rFonts w:ascii="Times New Roman" w:hAnsi="Times New Roman" w:cs="Times New Roman"/>
          <w:bCs/>
          <w:sz w:val="24"/>
          <w:szCs w:val="24"/>
        </w:rPr>
        <w:t>t</w:t>
      </w:r>
      <w:r w:rsidR="002B3447" w:rsidRPr="001E2C14">
        <w:rPr>
          <w:rFonts w:ascii="Times New Roman" w:hAnsi="Times New Roman" w:cs="Times New Roman"/>
          <w:bCs/>
          <w:sz w:val="24"/>
          <w:szCs w:val="24"/>
        </w:rPr>
        <w:t>he Premises has 1140 kW (1.14 MW) of AC-connected load, above the 900 kW threshold required to qualify for the large load exception under the Territorial Act.</w:t>
      </w:r>
      <w:r w:rsidR="00A63902">
        <w:rPr>
          <w:rFonts w:ascii="Times New Roman" w:hAnsi="Times New Roman" w:cs="Times New Roman"/>
          <w:bCs/>
          <w:sz w:val="28"/>
          <w:szCs w:val="28"/>
        </w:rPr>
        <w:t xml:space="preserve"> </w:t>
      </w:r>
      <w:r w:rsidR="00A63902" w:rsidRPr="001E2C14">
        <w:rPr>
          <w:rFonts w:ascii="Times New Roman" w:hAnsi="Times New Roman" w:cs="Times New Roman"/>
          <w:bCs/>
          <w:sz w:val="24"/>
          <w:szCs w:val="24"/>
        </w:rPr>
        <w:t>Mr. Shay suggested that m</w:t>
      </w:r>
      <w:r w:rsidR="002B3447" w:rsidRPr="001E2C14">
        <w:rPr>
          <w:rFonts w:ascii="Times New Roman" w:hAnsi="Times New Roman" w:cs="Times New Roman"/>
          <w:bCs/>
          <w:sz w:val="24"/>
          <w:szCs w:val="24"/>
        </w:rPr>
        <w:t>ore than 900 kW of power cabinets were installed at the time of initial full operation and the power electronics contained with them draw above 900 kW AC at any moment depending on the aggregate load at the four DCFC charging ports. The differential</w:t>
      </w:r>
      <w:r w:rsidR="00A63902" w:rsidRPr="001E2C14">
        <w:rPr>
          <w:rFonts w:ascii="Times New Roman" w:hAnsi="Times New Roman" w:cs="Times New Roman"/>
          <w:bCs/>
          <w:sz w:val="24"/>
          <w:szCs w:val="24"/>
        </w:rPr>
        <w:t xml:space="preserve">, he argued, is </w:t>
      </w:r>
      <w:r w:rsidR="002B3447" w:rsidRPr="001E2C14">
        <w:rPr>
          <w:rFonts w:ascii="Times New Roman" w:hAnsi="Times New Roman" w:cs="Times New Roman"/>
          <w:bCs/>
          <w:sz w:val="24"/>
          <w:szCs w:val="24"/>
        </w:rPr>
        <w:t>between the 1.05 MW DCFC charging capacity and the 1.14 MW AC-load is from losses associated with the conversion from alternating current to direct current power to serve the charging ports in addition to ancillary equipment needed to maintain operations, such as networking and customer-facing screens</w:t>
      </w:r>
      <w:r w:rsidR="00920E20" w:rsidRPr="001E2C14">
        <w:rPr>
          <w:rFonts w:ascii="Times New Roman" w:hAnsi="Times New Roman" w:cs="Times New Roman"/>
          <w:bCs/>
          <w:sz w:val="24"/>
          <w:szCs w:val="24"/>
        </w:rPr>
        <w:t xml:space="preserve"> and th</w:t>
      </w:r>
      <w:r w:rsidR="002B3447" w:rsidRPr="001E2C14">
        <w:rPr>
          <w:rFonts w:ascii="Times New Roman" w:hAnsi="Times New Roman" w:cs="Times New Roman"/>
          <w:bCs/>
          <w:sz w:val="24"/>
          <w:szCs w:val="24"/>
        </w:rPr>
        <w:t>e switchgear was also designed to support such a draw at the time of initial full operation of the Premises.</w:t>
      </w:r>
      <w:r w:rsidR="00F25D0F" w:rsidRPr="001E2C14">
        <w:rPr>
          <w:rStyle w:val="FootnoteReference"/>
          <w:rFonts w:ascii="Times New Roman" w:hAnsi="Times New Roman" w:cs="Times New Roman"/>
          <w:bCs/>
          <w:sz w:val="24"/>
          <w:szCs w:val="24"/>
        </w:rPr>
        <w:footnoteReference w:id="11"/>
      </w:r>
    </w:p>
    <w:p w14:paraId="7BD47F9D" w14:textId="5E42767C" w:rsidR="00776345" w:rsidRPr="001E2C14" w:rsidRDefault="00776345" w:rsidP="00585EE1">
      <w:pPr>
        <w:tabs>
          <w:tab w:val="center" w:pos="0"/>
        </w:tabs>
        <w:spacing w:line="240" w:lineRule="auto"/>
        <w:jc w:val="both"/>
        <w:rPr>
          <w:rFonts w:ascii="Times New Roman" w:hAnsi="Times New Roman" w:cs="Times New Roman"/>
          <w:bCs/>
          <w:i/>
          <w:sz w:val="24"/>
          <w:szCs w:val="24"/>
        </w:rPr>
      </w:pPr>
      <w:r w:rsidRPr="001E2C14">
        <w:rPr>
          <w:rFonts w:ascii="Times New Roman" w:hAnsi="Times New Roman" w:cs="Times New Roman"/>
          <w:bCs/>
          <w:sz w:val="24"/>
          <w:szCs w:val="24"/>
        </w:rPr>
        <w:tab/>
        <w:t xml:space="preserve">Mr. Shay took issue with Exhibit SEMC 4 </w:t>
      </w:r>
      <w:r w:rsidR="00D611C2">
        <w:rPr>
          <w:rFonts w:ascii="Times New Roman" w:hAnsi="Times New Roman" w:cs="Times New Roman"/>
          <w:bCs/>
          <w:sz w:val="24"/>
          <w:szCs w:val="24"/>
        </w:rPr>
        <w:t xml:space="preserve">by </w:t>
      </w:r>
      <w:r w:rsidR="00C5783B" w:rsidRPr="001E2C14">
        <w:rPr>
          <w:rFonts w:ascii="Times New Roman" w:hAnsi="Times New Roman" w:cs="Times New Roman"/>
          <w:bCs/>
          <w:sz w:val="24"/>
          <w:szCs w:val="24"/>
        </w:rPr>
        <w:t>reiterat</w:t>
      </w:r>
      <w:r w:rsidR="00D611C2">
        <w:rPr>
          <w:rFonts w:ascii="Times New Roman" w:hAnsi="Times New Roman" w:cs="Times New Roman"/>
          <w:bCs/>
          <w:sz w:val="24"/>
          <w:szCs w:val="24"/>
        </w:rPr>
        <w:t>ing</w:t>
      </w:r>
      <w:r w:rsidR="00C5783B" w:rsidRPr="001E2C14">
        <w:rPr>
          <w:rFonts w:ascii="Times New Roman" w:hAnsi="Times New Roman" w:cs="Times New Roman"/>
          <w:bCs/>
          <w:sz w:val="24"/>
          <w:szCs w:val="24"/>
        </w:rPr>
        <w:t xml:space="preserve"> his claim that </w:t>
      </w:r>
      <w:r w:rsidR="008E6FDE">
        <w:rPr>
          <w:rFonts w:ascii="Times New Roman" w:hAnsi="Times New Roman" w:cs="Times New Roman"/>
          <w:bCs/>
          <w:sz w:val="24"/>
          <w:szCs w:val="24"/>
        </w:rPr>
        <w:t>t</w:t>
      </w:r>
      <w:r w:rsidR="00CC11A8" w:rsidRPr="001E2C14">
        <w:rPr>
          <w:rFonts w:ascii="Times New Roman" w:hAnsi="Times New Roman" w:cs="Times New Roman"/>
          <w:bCs/>
          <w:sz w:val="24"/>
          <w:szCs w:val="24"/>
        </w:rPr>
        <w:t xml:space="preserve">he Act specifically refers to “connected load” for purposes of determining eligibility for the large load exception </w:t>
      </w:r>
      <w:r w:rsidR="004C5A75" w:rsidRPr="001E2C14">
        <w:rPr>
          <w:rFonts w:ascii="Times New Roman" w:hAnsi="Times New Roman" w:cs="Times New Roman"/>
          <w:bCs/>
          <w:sz w:val="24"/>
          <w:szCs w:val="24"/>
        </w:rPr>
        <w:t>and</w:t>
      </w:r>
      <w:r w:rsidR="00CC11A8" w:rsidRPr="001E2C14">
        <w:rPr>
          <w:rFonts w:ascii="Times New Roman" w:hAnsi="Times New Roman" w:cs="Times New Roman"/>
          <w:bCs/>
          <w:sz w:val="24"/>
          <w:szCs w:val="24"/>
        </w:rPr>
        <w:t xml:space="preserve"> does not refer to average metered demand, which is typically less than the aggregate peak connected load of all electrical consuming equipment installed on a customer site. </w:t>
      </w:r>
      <w:r w:rsidR="00ED495F">
        <w:rPr>
          <w:rFonts w:ascii="Times New Roman" w:hAnsi="Times New Roman" w:cs="Times New Roman"/>
          <w:bCs/>
          <w:sz w:val="24"/>
          <w:szCs w:val="24"/>
        </w:rPr>
        <w:t xml:space="preserve">Mr. Shay testified that </w:t>
      </w:r>
      <w:r w:rsidR="00CC11A8" w:rsidRPr="001E2C14">
        <w:rPr>
          <w:rFonts w:ascii="Times New Roman" w:hAnsi="Times New Roman" w:cs="Times New Roman"/>
          <w:bCs/>
          <w:sz w:val="24"/>
          <w:szCs w:val="24"/>
        </w:rPr>
        <w:t>Electrify America has repeatedly used actual maximum connected load as determinative of eligibility under the Act</w:t>
      </w:r>
      <w:r w:rsidR="004C5A75" w:rsidRPr="001E2C14">
        <w:rPr>
          <w:rFonts w:ascii="Times New Roman" w:hAnsi="Times New Roman" w:cs="Times New Roman"/>
          <w:bCs/>
          <w:sz w:val="24"/>
          <w:szCs w:val="24"/>
        </w:rPr>
        <w:t>’s</w:t>
      </w:r>
      <w:r w:rsidR="00CC11A8" w:rsidRPr="001E2C14">
        <w:rPr>
          <w:rFonts w:ascii="Times New Roman" w:hAnsi="Times New Roman" w:cs="Times New Roman"/>
          <w:bCs/>
          <w:sz w:val="24"/>
          <w:szCs w:val="24"/>
        </w:rPr>
        <w:t xml:space="preserve"> large load exception.</w:t>
      </w:r>
      <w:r w:rsidR="00F37172" w:rsidRPr="001E2C14">
        <w:rPr>
          <w:rFonts w:ascii="Times New Roman" w:hAnsi="Times New Roman" w:cs="Times New Roman"/>
          <w:bCs/>
          <w:sz w:val="24"/>
          <w:szCs w:val="24"/>
        </w:rPr>
        <w:t xml:space="preserve"> Mr. Shay </w:t>
      </w:r>
      <w:r w:rsidR="00CF203C" w:rsidRPr="001E2C14">
        <w:rPr>
          <w:rFonts w:ascii="Times New Roman" w:hAnsi="Times New Roman" w:cs="Times New Roman"/>
          <w:bCs/>
          <w:sz w:val="24"/>
          <w:szCs w:val="24"/>
        </w:rPr>
        <w:t>c</w:t>
      </w:r>
      <w:r w:rsidR="00F37172" w:rsidRPr="001E2C14">
        <w:rPr>
          <w:rFonts w:ascii="Times New Roman" w:hAnsi="Times New Roman" w:cs="Times New Roman"/>
          <w:bCs/>
          <w:sz w:val="24"/>
          <w:szCs w:val="24"/>
        </w:rPr>
        <w:t>ontended</w:t>
      </w:r>
      <w:r w:rsidR="00CF203C" w:rsidRPr="001E2C14">
        <w:rPr>
          <w:rFonts w:ascii="Times New Roman" w:hAnsi="Times New Roman" w:cs="Times New Roman"/>
          <w:bCs/>
          <w:sz w:val="24"/>
          <w:szCs w:val="24"/>
        </w:rPr>
        <w:t xml:space="preserve"> that the demand estimates provided in SEMC Exhibit 4 do not reflect the rated capacity of the electrical equipment installed at the Premises and have no relationship to the actual connected load as defined by the Territorial Act.</w:t>
      </w:r>
      <w:r w:rsidR="00CF203C" w:rsidRPr="001E2C14">
        <w:rPr>
          <w:rStyle w:val="FootnoteReference"/>
          <w:rFonts w:ascii="Times New Roman" w:hAnsi="Times New Roman" w:cs="Times New Roman"/>
          <w:bCs/>
          <w:sz w:val="24"/>
          <w:szCs w:val="24"/>
        </w:rPr>
        <w:footnoteReference w:id="12"/>
      </w:r>
      <w:r w:rsidR="004C5A75" w:rsidRPr="001E2C14">
        <w:rPr>
          <w:rFonts w:ascii="Times New Roman" w:hAnsi="Times New Roman" w:cs="Times New Roman"/>
          <w:bCs/>
          <w:sz w:val="24"/>
          <w:szCs w:val="24"/>
        </w:rPr>
        <w:t xml:space="preserve"> The Hearing Officer notes that all parties, including Electrify America, agreed that “connected load” is not defined in the Act.</w:t>
      </w:r>
      <w:r w:rsidR="00681402" w:rsidRPr="001E2C14">
        <w:rPr>
          <w:rFonts w:ascii="Times New Roman" w:hAnsi="Times New Roman" w:cs="Times New Roman"/>
          <w:bCs/>
          <w:sz w:val="24"/>
          <w:szCs w:val="24"/>
        </w:rPr>
        <w:t xml:space="preserve"> </w:t>
      </w:r>
      <w:r w:rsidR="00681402" w:rsidRPr="001E2C14">
        <w:rPr>
          <w:rFonts w:ascii="Times New Roman" w:hAnsi="Times New Roman" w:cs="Times New Roman"/>
          <w:bCs/>
          <w:i/>
          <w:sz w:val="24"/>
          <w:szCs w:val="24"/>
        </w:rPr>
        <w:t>See F</w:t>
      </w:r>
      <w:r w:rsidR="00CF6472">
        <w:rPr>
          <w:rFonts w:ascii="Times New Roman" w:hAnsi="Times New Roman" w:cs="Times New Roman"/>
          <w:bCs/>
          <w:i/>
          <w:sz w:val="24"/>
          <w:szCs w:val="24"/>
        </w:rPr>
        <w:t>ootnote</w:t>
      </w:r>
      <w:r w:rsidR="00681402" w:rsidRPr="001E2C14">
        <w:rPr>
          <w:rFonts w:ascii="Times New Roman" w:hAnsi="Times New Roman" w:cs="Times New Roman"/>
          <w:bCs/>
          <w:i/>
          <w:sz w:val="24"/>
          <w:szCs w:val="24"/>
        </w:rPr>
        <w:t xml:space="preserve"> 2</w:t>
      </w:r>
      <w:r w:rsidR="002276D2">
        <w:rPr>
          <w:rFonts w:ascii="Times New Roman" w:hAnsi="Times New Roman" w:cs="Times New Roman"/>
          <w:bCs/>
          <w:i/>
          <w:sz w:val="24"/>
          <w:szCs w:val="24"/>
        </w:rPr>
        <w:t>3 below, p. 9.</w:t>
      </w:r>
    </w:p>
    <w:p w14:paraId="223091F6" w14:textId="77777777" w:rsidR="009F41F5" w:rsidRPr="001E2C14" w:rsidRDefault="00886246" w:rsidP="007A5504">
      <w:pPr>
        <w:tabs>
          <w:tab w:val="center" w:pos="0"/>
        </w:tabs>
        <w:spacing w:line="240" w:lineRule="auto"/>
        <w:jc w:val="both"/>
        <w:rPr>
          <w:rFonts w:ascii="TimesNewRomanPSMT" w:hAnsi="TimesNewRomanPSMT" w:cs="TimesNewRomanPSMT"/>
          <w:sz w:val="24"/>
          <w:szCs w:val="24"/>
        </w:rPr>
      </w:pPr>
      <w:r w:rsidRPr="001E2C14">
        <w:rPr>
          <w:rFonts w:ascii="Times New Roman" w:hAnsi="Times New Roman" w:cs="Times New Roman"/>
          <w:bCs/>
          <w:sz w:val="24"/>
          <w:szCs w:val="24"/>
        </w:rPr>
        <w:tab/>
      </w:r>
      <w:r w:rsidR="00272AA2" w:rsidRPr="001E2C14">
        <w:rPr>
          <w:rFonts w:ascii="TimesNewRomanPSMT" w:hAnsi="TimesNewRomanPSMT" w:cs="TimesNewRomanPSMT"/>
          <w:sz w:val="24"/>
          <w:szCs w:val="24"/>
        </w:rPr>
        <w:t>Tesla</w:t>
      </w:r>
      <w:r w:rsidR="00D73A1F" w:rsidRPr="001E2C14">
        <w:rPr>
          <w:rFonts w:ascii="TimesNewRomanPSMT" w:hAnsi="TimesNewRomanPSMT" w:cs="TimesNewRomanPSMT"/>
          <w:sz w:val="24"/>
          <w:szCs w:val="24"/>
        </w:rPr>
        <w:t xml:space="preserve"> </w:t>
      </w:r>
      <w:r w:rsidR="0007043F" w:rsidRPr="001E2C14">
        <w:rPr>
          <w:rFonts w:ascii="TimesNewRomanPSMT" w:hAnsi="TimesNewRomanPSMT" w:cs="TimesNewRomanPSMT"/>
          <w:sz w:val="24"/>
          <w:szCs w:val="24"/>
        </w:rPr>
        <w:t>Witness Bean testified</w:t>
      </w:r>
      <w:r w:rsidR="00272AA2" w:rsidRPr="001E2C14">
        <w:rPr>
          <w:rFonts w:ascii="TimesNewRomanPSMT" w:hAnsi="TimesNewRomanPSMT" w:cs="TimesNewRomanPSMT"/>
          <w:sz w:val="24"/>
          <w:szCs w:val="24"/>
        </w:rPr>
        <w:t xml:space="preserve"> that r</w:t>
      </w:r>
      <w:r w:rsidR="00803CED" w:rsidRPr="001E2C14">
        <w:rPr>
          <w:rFonts w:ascii="TimesNewRomanPSMT" w:hAnsi="TimesNewRomanPSMT" w:cs="TimesNewRomanPSMT"/>
          <w:sz w:val="24"/>
          <w:szCs w:val="24"/>
        </w:rPr>
        <w:t>etail electric service is where the electric supplier delivers electricity to the customer of</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record, which occurs at the electric supplier’s meter. The customer of record (in this</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matter, Electrify America) then consumes that electricity or converts it into a good or</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service. DCFC operators take AC electricity from their electric supplier and convert it in</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specialized equipment to DC electricity for storage in electric vehicles.</w:t>
      </w:r>
      <w:r w:rsidR="00B362AA" w:rsidRPr="001E2C14">
        <w:rPr>
          <w:rStyle w:val="FootnoteReference"/>
          <w:rFonts w:ascii="TimesNewRomanPSMT" w:hAnsi="TimesNewRomanPSMT" w:cs="TimesNewRomanPSMT"/>
          <w:sz w:val="24"/>
          <w:szCs w:val="24"/>
        </w:rPr>
        <w:footnoteReference w:id="13"/>
      </w:r>
      <w:r w:rsidR="00803CED" w:rsidRPr="001E2C14">
        <w:rPr>
          <w:rFonts w:ascii="TimesNewRomanPSMT" w:hAnsi="TimesNewRomanPSMT" w:cs="TimesNewRomanPSMT"/>
          <w:sz w:val="24"/>
          <w:szCs w:val="24"/>
        </w:rPr>
        <w:t xml:space="preserve"> </w:t>
      </w:r>
    </w:p>
    <w:p w14:paraId="3C5C61CF" w14:textId="77777777" w:rsidR="00D73A1F" w:rsidRPr="001E2C14" w:rsidRDefault="00D73A1F" w:rsidP="00585EE1">
      <w:pPr>
        <w:autoSpaceDE w:val="0"/>
        <w:autoSpaceDN w:val="0"/>
        <w:adjustRightInd w:val="0"/>
        <w:spacing w:after="0" w:line="240" w:lineRule="auto"/>
        <w:ind w:firstLine="720"/>
        <w:rPr>
          <w:rFonts w:ascii="TimesNewRomanPSMT" w:hAnsi="TimesNewRomanPSMT" w:cs="TimesNewRomanPSMT"/>
          <w:sz w:val="24"/>
          <w:szCs w:val="24"/>
        </w:rPr>
      </w:pPr>
    </w:p>
    <w:p w14:paraId="3F211B11" w14:textId="77777777" w:rsidR="00803CED" w:rsidRPr="001E2C14" w:rsidRDefault="009F41F5" w:rsidP="00CF6472">
      <w:pPr>
        <w:autoSpaceDE w:val="0"/>
        <w:autoSpaceDN w:val="0"/>
        <w:adjustRightInd w:val="0"/>
        <w:spacing w:after="0" w:line="240" w:lineRule="auto"/>
        <w:ind w:firstLine="720"/>
        <w:jc w:val="both"/>
        <w:rPr>
          <w:rFonts w:ascii="TimesNewRomanPSMT" w:hAnsi="TimesNewRomanPSMT" w:cs="TimesNewRomanPSMT"/>
          <w:sz w:val="24"/>
          <w:szCs w:val="24"/>
        </w:rPr>
      </w:pPr>
      <w:r w:rsidRPr="001E2C14">
        <w:rPr>
          <w:rFonts w:ascii="TimesNewRomanPSMT" w:hAnsi="TimesNewRomanPSMT" w:cs="TimesNewRomanPSMT"/>
          <w:sz w:val="24"/>
          <w:szCs w:val="24"/>
        </w:rPr>
        <w:t>Mr. Bean asserted that t</w:t>
      </w:r>
      <w:r w:rsidR="00803CED" w:rsidRPr="001E2C14">
        <w:rPr>
          <w:rFonts w:ascii="TimesNewRomanPSMT" w:hAnsi="TimesNewRomanPSMT" w:cs="TimesNewRomanPSMT"/>
          <w:sz w:val="24"/>
          <w:szCs w:val="24"/>
        </w:rPr>
        <w:t>he</w:t>
      </w:r>
      <w:r w:rsidR="00681402"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Act does not require specific levels of peak demand or electricity usage to</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qualify for the large load exemption.</w:t>
      </w:r>
      <w:r w:rsidR="00E55A09" w:rsidRPr="001E2C14">
        <w:rPr>
          <w:rFonts w:ascii="TimesNewRomanPSMT" w:hAnsi="TimesNewRomanPSMT" w:cs="TimesNewRomanPSMT"/>
          <w:sz w:val="24"/>
          <w:szCs w:val="24"/>
        </w:rPr>
        <w:t xml:space="preserve"> He stated</w:t>
      </w:r>
      <w:r w:rsidR="00803CED" w:rsidRPr="001E2C14">
        <w:rPr>
          <w:rFonts w:ascii="TimesNewRomanPSMT" w:hAnsi="TimesNewRomanPSMT" w:cs="TimesNewRomanPSMT"/>
          <w:sz w:val="24"/>
          <w:szCs w:val="24"/>
        </w:rPr>
        <w:t xml:space="preserve"> O.C.G.A § 46-3-8(a) simply requires new premises</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 xml:space="preserve">utilized by one consumer have a connected load, </w:t>
      </w:r>
      <w:r w:rsidR="005421BA" w:rsidRPr="001E2C14">
        <w:rPr>
          <w:rFonts w:ascii="TimesNewRomanPSMT" w:hAnsi="TimesNewRomanPSMT" w:cs="TimesNewRomanPSMT"/>
          <w:sz w:val="24"/>
          <w:szCs w:val="24"/>
        </w:rPr>
        <w:t xml:space="preserve">which, </w:t>
      </w:r>
      <w:r w:rsidR="005421BA" w:rsidRPr="001E2C14">
        <w:rPr>
          <w:rFonts w:ascii="Times New Roman" w:hAnsi="Times New Roman" w:cs="Times New Roman"/>
          <w:sz w:val="24"/>
          <w:szCs w:val="24"/>
        </w:rPr>
        <w:t>at</w:t>
      </w:r>
      <w:r w:rsidR="00803CED" w:rsidRPr="001E2C14">
        <w:rPr>
          <w:rFonts w:ascii="TimesNewRomanPSMT" w:hAnsi="TimesNewRomanPSMT" w:cs="TimesNewRomanPSMT"/>
          <w:sz w:val="24"/>
          <w:szCs w:val="24"/>
        </w:rPr>
        <w:t xml:space="preserve"> the time of initial full</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operation of the premises, is 900 kilowatts or greater.</w:t>
      </w:r>
      <w:r w:rsidRPr="001E2C14">
        <w:rPr>
          <w:rFonts w:ascii="TimesNewRomanPSMT" w:hAnsi="TimesNewRomanPSMT" w:cs="TimesNewRomanPSMT"/>
          <w:sz w:val="24"/>
          <w:szCs w:val="24"/>
        </w:rPr>
        <w:t xml:space="preserve"> He pointed out that </w:t>
      </w:r>
      <w:r w:rsidR="00803CED" w:rsidRPr="001E2C14">
        <w:rPr>
          <w:rFonts w:ascii="TimesNewRomanPSMT" w:hAnsi="TimesNewRomanPSMT" w:cs="TimesNewRomanPSMT"/>
          <w:sz w:val="24"/>
          <w:szCs w:val="24"/>
        </w:rPr>
        <w:t xml:space="preserve">EVs are </w:t>
      </w:r>
      <w:r w:rsidR="00803CED" w:rsidRPr="001E2C14">
        <w:rPr>
          <w:rFonts w:ascii="TimesNewRomanPSMT" w:hAnsi="TimesNewRomanPSMT" w:cs="TimesNewRomanPSMT"/>
          <w:sz w:val="24"/>
          <w:szCs w:val="24"/>
        </w:rPr>
        <w:lastRenderedPageBreak/>
        <w:t>inherently mobile</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resources that come and go</w:t>
      </w:r>
      <w:r w:rsidRPr="001E2C14">
        <w:rPr>
          <w:rFonts w:ascii="TimesNewRomanPSMT" w:hAnsi="TimesNewRomanPSMT" w:cs="TimesNewRomanPSMT"/>
          <w:sz w:val="24"/>
          <w:szCs w:val="24"/>
        </w:rPr>
        <w:t xml:space="preserve"> and claimed that </w:t>
      </w:r>
      <w:r w:rsidR="004A30CE" w:rsidRPr="001E2C14">
        <w:rPr>
          <w:rFonts w:ascii="TimesNewRomanPSMT" w:hAnsi="TimesNewRomanPSMT" w:cs="TimesNewRomanPSMT"/>
          <w:sz w:val="24"/>
          <w:szCs w:val="24"/>
        </w:rPr>
        <w:t>it</w:t>
      </w:r>
      <w:r w:rsidR="00803CED" w:rsidRPr="001E2C14">
        <w:rPr>
          <w:rFonts w:ascii="TimesNewRomanPSMT" w:hAnsi="TimesNewRomanPSMT" w:cs="TimesNewRomanPSMT"/>
          <w:sz w:val="24"/>
          <w:szCs w:val="24"/>
        </w:rPr>
        <w:t xml:space="preserve"> would be unreasonable and discriminatory to require EVs</w:t>
      </w:r>
      <w:r w:rsidR="00DC215A"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to be connected to a DCFC at initial full operation of the facility in order to qualify for</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 xml:space="preserve">the large load exemption. </w:t>
      </w:r>
      <w:r w:rsidR="00D9028F" w:rsidRPr="001E2C14">
        <w:rPr>
          <w:rFonts w:ascii="TimesNewRomanPSMT" w:hAnsi="TimesNewRomanPSMT" w:cs="TimesNewRomanPSMT"/>
          <w:sz w:val="24"/>
          <w:szCs w:val="24"/>
        </w:rPr>
        <w:t>“</w:t>
      </w:r>
      <w:r w:rsidR="00803CED" w:rsidRPr="001E2C14">
        <w:rPr>
          <w:rFonts w:ascii="TimesNewRomanPSMT" w:hAnsi="TimesNewRomanPSMT" w:cs="TimesNewRomanPSMT"/>
          <w:sz w:val="24"/>
          <w:szCs w:val="24"/>
        </w:rPr>
        <w:t>The DCFC charging equipment is the connected load. DCFC</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charging equipment is installed with the intent of it being used when customer demand</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 xml:space="preserve">appears. </w:t>
      </w:r>
      <w:r w:rsidR="00F111BB" w:rsidRPr="001E2C14">
        <w:rPr>
          <w:rFonts w:ascii="TimesNewRomanPSMT" w:hAnsi="TimesNewRomanPSMT" w:cs="TimesNewRomanPSMT"/>
          <w:sz w:val="24"/>
          <w:szCs w:val="24"/>
        </w:rPr>
        <w:t>T</w:t>
      </w:r>
      <w:r w:rsidR="00803CED" w:rsidRPr="001E2C14">
        <w:rPr>
          <w:rFonts w:ascii="TimesNewRomanPSMT" w:hAnsi="TimesNewRomanPSMT" w:cs="TimesNewRomanPSMT"/>
          <w:sz w:val="24"/>
          <w:szCs w:val="24"/>
        </w:rPr>
        <w:t>his is no different than a factory with 900 kW of connected load. The</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equipment at the factory may not be operational at all times until demand materializes for</w:t>
      </w:r>
      <w:r w:rsidR="0028599D" w:rsidRPr="001E2C14">
        <w:rPr>
          <w:rFonts w:ascii="TimesNewRomanPSMT" w:hAnsi="TimesNewRomanPSMT" w:cs="TimesNewRomanPSMT"/>
          <w:sz w:val="24"/>
          <w:szCs w:val="24"/>
        </w:rPr>
        <w:t xml:space="preserve"> </w:t>
      </w:r>
      <w:r w:rsidR="00803CED" w:rsidRPr="001E2C14">
        <w:rPr>
          <w:rFonts w:ascii="TimesNewRomanPSMT" w:hAnsi="TimesNewRomanPSMT" w:cs="TimesNewRomanPSMT"/>
          <w:sz w:val="24"/>
          <w:szCs w:val="24"/>
        </w:rPr>
        <w:t>the product that the factory produces.</w:t>
      </w:r>
      <w:r w:rsidR="00D9028F" w:rsidRPr="001E2C14">
        <w:rPr>
          <w:rFonts w:ascii="TimesNewRomanPSMT" w:hAnsi="TimesNewRomanPSMT" w:cs="TimesNewRomanPSMT"/>
          <w:sz w:val="24"/>
          <w:szCs w:val="24"/>
        </w:rPr>
        <w:t>”</w:t>
      </w:r>
      <w:r w:rsidR="00E862B5" w:rsidRPr="001E2C14">
        <w:rPr>
          <w:rStyle w:val="FootnoteReference"/>
          <w:rFonts w:ascii="TimesNewRomanPSMT" w:hAnsi="TimesNewRomanPSMT" w:cs="TimesNewRomanPSMT"/>
          <w:sz w:val="24"/>
          <w:szCs w:val="24"/>
        </w:rPr>
        <w:footnoteReference w:id="14"/>
      </w:r>
    </w:p>
    <w:p w14:paraId="74181EFC" w14:textId="77777777" w:rsidR="001B44C2" w:rsidRPr="001E2C14" w:rsidRDefault="001B44C2" w:rsidP="00D703C9">
      <w:pPr>
        <w:spacing w:line="276" w:lineRule="auto"/>
        <w:rPr>
          <w:rFonts w:ascii="Times New Roman" w:hAnsi="Times New Roman" w:cs="Times New Roman"/>
          <w:b/>
          <w:sz w:val="24"/>
          <w:szCs w:val="24"/>
        </w:rPr>
      </w:pPr>
    </w:p>
    <w:p w14:paraId="5C699225" w14:textId="77777777" w:rsidR="001B44C2" w:rsidRPr="001E2C14" w:rsidRDefault="00023792" w:rsidP="00E25CA9">
      <w:pPr>
        <w:pStyle w:val="ListParagraph"/>
        <w:numPr>
          <w:ilvl w:val="0"/>
          <w:numId w:val="1"/>
        </w:numPr>
        <w:spacing w:after="0" w:line="276" w:lineRule="auto"/>
        <w:rPr>
          <w:rFonts w:ascii="Times New Roman" w:hAnsi="Times New Roman" w:cs="Times New Roman"/>
          <w:b/>
          <w:sz w:val="24"/>
          <w:szCs w:val="24"/>
          <w:u w:val="single"/>
        </w:rPr>
      </w:pPr>
      <w:r w:rsidRPr="001E2C14">
        <w:rPr>
          <w:rFonts w:ascii="Times New Roman" w:hAnsi="Times New Roman" w:cs="Times New Roman"/>
          <w:b/>
          <w:sz w:val="24"/>
          <w:szCs w:val="24"/>
          <w:u w:val="single"/>
        </w:rPr>
        <w:t>Findings of Fact</w:t>
      </w:r>
    </w:p>
    <w:p w14:paraId="59188529" w14:textId="77777777" w:rsidR="008E6FDE" w:rsidRDefault="008E6FDE" w:rsidP="00FF4373">
      <w:pPr>
        <w:spacing w:line="240" w:lineRule="auto"/>
        <w:rPr>
          <w:sz w:val="24"/>
          <w:szCs w:val="24"/>
        </w:rPr>
      </w:pPr>
    </w:p>
    <w:p w14:paraId="1CB94911" w14:textId="77777777" w:rsidR="00FC4E56" w:rsidRPr="001E2C14" w:rsidRDefault="00FC4E56" w:rsidP="00CF6472">
      <w:pPr>
        <w:spacing w:line="240" w:lineRule="auto"/>
        <w:jc w:val="both"/>
        <w:rPr>
          <w:rFonts w:ascii="Times New Roman" w:hAnsi="Times New Roman" w:cs="Times New Roman"/>
          <w:sz w:val="24"/>
          <w:szCs w:val="24"/>
        </w:rPr>
      </w:pPr>
      <w:r w:rsidRPr="001E2C14">
        <w:rPr>
          <w:sz w:val="24"/>
          <w:szCs w:val="24"/>
        </w:rPr>
        <w:tab/>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and Georgia Power are “electric suppliers” as defined in the Territorial Act, O.C.G.A. § 46-3-3(3), and, for purposes of this proceeding, are subject to the jurisdiction of the Commission to enforce the provisions of the Act. </w:t>
      </w:r>
    </w:p>
    <w:p w14:paraId="0B34DC7B" w14:textId="77777777" w:rsidR="0096432E" w:rsidRPr="001E2C14" w:rsidRDefault="0096432E" w:rsidP="00CF6472">
      <w:pPr>
        <w:spacing w:after="0" w:line="276"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This dispute concerns four electric vehicle chargers located at Johns Creek Town Center Shopping Mall, 3630 Peachtree Parkway, Suwanee, Georgia 30024</w:t>
      </w:r>
      <w:r w:rsidR="0094779E" w:rsidRPr="001E2C14">
        <w:rPr>
          <w:rFonts w:ascii="Times New Roman" w:hAnsi="Times New Roman" w:cs="Times New Roman"/>
          <w:sz w:val="24"/>
          <w:szCs w:val="24"/>
        </w:rPr>
        <w:t xml:space="preserve"> (the “Premises”).</w:t>
      </w:r>
      <w:r w:rsidR="00DC169F" w:rsidRPr="001E2C14">
        <w:rPr>
          <w:rFonts w:ascii="Times New Roman" w:hAnsi="Times New Roman" w:cs="Times New Roman"/>
          <w:sz w:val="24"/>
          <w:szCs w:val="24"/>
        </w:rPr>
        <w:t xml:space="preserve"> </w:t>
      </w:r>
      <w:r w:rsidRPr="001E2C14">
        <w:rPr>
          <w:rFonts w:ascii="Times New Roman" w:hAnsi="Times New Roman" w:cs="Times New Roman"/>
          <w:sz w:val="24"/>
          <w:szCs w:val="24"/>
        </w:rPr>
        <w:t xml:space="preserve">The chargers are located </w:t>
      </w:r>
      <w:r w:rsidR="00002EE3" w:rsidRPr="001E2C14">
        <w:rPr>
          <w:rFonts w:ascii="Times New Roman" w:hAnsi="Times New Roman" w:cs="Times New Roman"/>
          <w:sz w:val="24"/>
          <w:szCs w:val="24"/>
        </w:rPr>
        <w:t>in unincorporated Forsyth County,</w:t>
      </w:r>
      <w:r w:rsidR="00F21C6C" w:rsidRPr="001E2C14">
        <w:rPr>
          <w:rFonts w:ascii="Times New Roman" w:hAnsi="Times New Roman" w:cs="Times New Roman"/>
          <w:sz w:val="24"/>
          <w:szCs w:val="24"/>
        </w:rPr>
        <w:t xml:space="preserve"> </w:t>
      </w:r>
      <w:r w:rsidRPr="001E2C14">
        <w:rPr>
          <w:rFonts w:ascii="Times New Roman" w:hAnsi="Times New Roman" w:cs="Times New Roman"/>
          <w:sz w:val="24"/>
          <w:szCs w:val="24"/>
        </w:rPr>
        <w:t xml:space="preserve">exclusively in the geographic service area assigned to </w:t>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EMC pursuant to the</w:t>
      </w:r>
      <w:r w:rsidR="000F3992" w:rsidRPr="001E2C14">
        <w:rPr>
          <w:rFonts w:ascii="Times New Roman" w:hAnsi="Times New Roman" w:cs="Times New Roman"/>
          <w:sz w:val="24"/>
          <w:szCs w:val="24"/>
        </w:rPr>
        <w:t xml:space="preserve"> </w:t>
      </w:r>
      <w:r w:rsidRPr="001E2C14">
        <w:rPr>
          <w:rFonts w:ascii="Times New Roman" w:hAnsi="Times New Roman" w:cs="Times New Roman"/>
          <w:sz w:val="24"/>
          <w:szCs w:val="24"/>
        </w:rPr>
        <w:t>Act.</w:t>
      </w:r>
      <w:r w:rsidR="00D04BEC" w:rsidRPr="001E2C14">
        <w:rPr>
          <w:rFonts w:ascii="Times New Roman" w:hAnsi="Times New Roman" w:cs="Times New Roman"/>
          <w:sz w:val="24"/>
          <w:szCs w:val="24"/>
        </w:rPr>
        <w:t xml:space="preserve"> Georgia Power has served the Premises since it opened and began operation in 202</w:t>
      </w:r>
      <w:r w:rsidR="00D97B47" w:rsidRPr="001E2C14">
        <w:rPr>
          <w:rFonts w:ascii="Times New Roman" w:hAnsi="Times New Roman" w:cs="Times New Roman"/>
          <w:sz w:val="24"/>
          <w:szCs w:val="24"/>
        </w:rPr>
        <w:t>1</w:t>
      </w:r>
      <w:r w:rsidR="00D04BEC" w:rsidRPr="001E2C14">
        <w:rPr>
          <w:rFonts w:ascii="Times New Roman" w:hAnsi="Times New Roman" w:cs="Times New Roman"/>
          <w:sz w:val="24"/>
          <w:szCs w:val="24"/>
        </w:rPr>
        <w:t>.</w:t>
      </w:r>
      <w:r w:rsidR="00D04BEC" w:rsidRPr="001E2C14">
        <w:rPr>
          <w:rStyle w:val="FootnoteReference"/>
          <w:rFonts w:ascii="Times New Roman" w:hAnsi="Times New Roman" w:cs="Times New Roman"/>
          <w:sz w:val="24"/>
          <w:szCs w:val="24"/>
        </w:rPr>
        <w:footnoteReference w:id="15"/>
      </w:r>
      <w:r w:rsidRPr="001E2C14">
        <w:rPr>
          <w:rFonts w:ascii="Times New Roman" w:hAnsi="Times New Roman" w:cs="Times New Roman"/>
          <w:sz w:val="24"/>
          <w:szCs w:val="24"/>
        </w:rPr>
        <w:t xml:space="preserve"> </w:t>
      </w:r>
      <w:proofErr w:type="spellStart"/>
      <w:r w:rsidR="00C12984" w:rsidRPr="001E2C14">
        <w:rPr>
          <w:rFonts w:ascii="Times New Roman" w:hAnsi="Times New Roman" w:cs="Times New Roman"/>
          <w:sz w:val="24"/>
          <w:szCs w:val="24"/>
        </w:rPr>
        <w:t>Sawnee</w:t>
      </w:r>
      <w:proofErr w:type="spellEnd"/>
      <w:r w:rsidR="00C12984" w:rsidRPr="001E2C14">
        <w:rPr>
          <w:rFonts w:ascii="Times New Roman" w:hAnsi="Times New Roman" w:cs="Times New Roman"/>
          <w:sz w:val="24"/>
          <w:szCs w:val="24"/>
        </w:rPr>
        <w:t xml:space="preserve"> claim</w:t>
      </w:r>
      <w:r w:rsidR="00E7133E" w:rsidRPr="001E2C14">
        <w:rPr>
          <w:rFonts w:ascii="Times New Roman" w:hAnsi="Times New Roman" w:cs="Times New Roman"/>
          <w:sz w:val="24"/>
          <w:szCs w:val="24"/>
        </w:rPr>
        <w:t>ed</w:t>
      </w:r>
      <w:r w:rsidR="00C12984" w:rsidRPr="001E2C14">
        <w:rPr>
          <w:rFonts w:ascii="Times New Roman" w:hAnsi="Times New Roman" w:cs="Times New Roman"/>
          <w:sz w:val="24"/>
          <w:szCs w:val="24"/>
        </w:rPr>
        <w:t xml:space="preserve"> it has the exclusive right to serve the chargers and that Georgia Power’s provision of service to the chargers is unlawful.</w:t>
      </w:r>
      <w:r w:rsidR="00C12984" w:rsidRPr="001E2C14">
        <w:rPr>
          <w:rStyle w:val="FootnoteReference"/>
          <w:rFonts w:ascii="Times New Roman" w:hAnsi="Times New Roman" w:cs="Times New Roman"/>
          <w:sz w:val="24"/>
          <w:szCs w:val="24"/>
        </w:rPr>
        <w:footnoteReference w:id="16"/>
      </w:r>
      <w:r w:rsidR="00002EE3" w:rsidRPr="001E2C14">
        <w:rPr>
          <w:rFonts w:ascii="Times New Roman" w:hAnsi="Times New Roman" w:cs="Times New Roman"/>
          <w:sz w:val="24"/>
          <w:szCs w:val="24"/>
        </w:rPr>
        <w:t xml:space="preserve"> </w:t>
      </w:r>
    </w:p>
    <w:p w14:paraId="05FB2338" w14:textId="77777777" w:rsidR="00CB7596" w:rsidRPr="001E2C14" w:rsidRDefault="00CB7596" w:rsidP="00CF6472">
      <w:pPr>
        <w:spacing w:after="0" w:line="276" w:lineRule="auto"/>
        <w:ind w:firstLine="720"/>
        <w:jc w:val="both"/>
        <w:rPr>
          <w:rFonts w:ascii="Times New Roman" w:hAnsi="Times New Roman" w:cs="Times New Roman"/>
          <w:sz w:val="24"/>
          <w:szCs w:val="24"/>
        </w:rPr>
      </w:pPr>
    </w:p>
    <w:p w14:paraId="0E82C83B" w14:textId="36C8573A" w:rsidR="00EB38FE" w:rsidRPr="001E2C14" w:rsidRDefault="00A85FB4" w:rsidP="00CF6472">
      <w:pPr>
        <w:spacing w:after="0" w:line="276"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 xml:space="preserve">Georgia Power asserted </w:t>
      </w:r>
      <w:r w:rsidR="00EB38FE" w:rsidRPr="001E2C14">
        <w:rPr>
          <w:rFonts w:ascii="Times New Roman" w:hAnsi="Times New Roman" w:cs="Times New Roman"/>
          <w:sz w:val="24"/>
          <w:szCs w:val="24"/>
        </w:rPr>
        <w:t>“</w:t>
      </w:r>
      <w:r w:rsidRPr="001E2C14">
        <w:rPr>
          <w:rFonts w:ascii="Times New Roman" w:hAnsi="Times New Roman" w:cs="Times New Roman"/>
          <w:sz w:val="24"/>
          <w:szCs w:val="24"/>
        </w:rPr>
        <w:t>[e]</w:t>
      </w:r>
      <w:proofErr w:type="spellStart"/>
      <w:r w:rsidR="00EB38FE" w:rsidRPr="001E2C14">
        <w:rPr>
          <w:rFonts w:ascii="Times New Roman" w:hAnsi="Times New Roman" w:cs="Times New Roman"/>
          <w:sz w:val="24"/>
          <w:szCs w:val="24"/>
        </w:rPr>
        <w:t>ach</w:t>
      </w:r>
      <w:proofErr w:type="spellEnd"/>
      <w:r w:rsidR="00EB38FE" w:rsidRPr="001E2C14">
        <w:rPr>
          <w:rFonts w:ascii="Times New Roman" w:hAnsi="Times New Roman" w:cs="Times New Roman"/>
          <w:sz w:val="24"/>
          <w:szCs w:val="24"/>
        </w:rPr>
        <w:t xml:space="preserve"> of these criteria</w:t>
      </w:r>
      <w:r w:rsidR="00DC2A2B">
        <w:rPr>
          <w:rFonts w:ascii="Times New Roman" w:hAnsi="Times New Roman" w:cs="Times New Roman"/>
          <w:sz w:val="24"/>
          <w:szCs w:val="24"/>
        </w:rPr>
        <w:t xml:space="preserve"> (of the Act’s large load exception)</w:t>
      </w:r>
      <w:r w:rsidR="00EB38FE" w:rsidRPr="001E2C14">
        <w:rPr>
          <w:rFonts w:ascii="Times New Roman" w:hAnsi="Times New Roman" w:cs="Times New Roman"/>
          <w:sz w:val="24"/>
          <w:szCs w:val="24"/>
        </w:rPr>
        <w:t xml:space="preserve"> </w:t>
      </w:r>
      <w:r w:rsidR="00244A7D" w:rsidRPr="001E2C14">
        <w:rPr>
          <w:rFonts w:ascii="Times New Roman" w:hAnsi="Times New Roman" w:cs="Times New Roman"/>
          <w:sz w:val="24"/>
          <w:szCs w:val="24"/>
        </w:rPr>
        <w:t>has been</w:t>
      </w:r>
      <w:r w:rsidR="00EB38FE" w:rsidRPr="001E2C14">
        <w:rPr>
          <w:rFonts w:ascii="Times New Roman" w:hAnsi="Times New Roman" w:cs="Times New Roman"/>
          <w:sz w:val="24"/>
          <w:szCs w:val="24"/>
        </w:rPr>
        <w:t xml:space="preserve"> met</w:t>
      </w:r>
      <w:r w:rsidR="00244A7D" w:rsidRPr="001E2C14">
        <w:rPr>
          <w:rFonts w:ascii="Times New Roman" w:hAnsi="Times New Roman" w:cs="Times New Roman"/>
          <w:sz w:val="24"/>
          <w:szCs w:val="24"/>
        </w:rPr>
        <w:t>,</w:t>
      </w:r>
      <w:r w:rsidR="007E249E" w:rsidRPr="001E2C14">
        <w:rPr>
          <w:rFonts w:ascii="Times New Roman" w:hAnsi="Times New Roman" w:cs="Times New Roman"/>
          <w:sz w:val="24"/>
          <w:szCs w:val="24"/>
        </w:rPr>
        <w:t xml:space="preserve"> </w:t>
      </w:r>
      <w:r w:rsidR="003C6E97" w:rsidRPr="001E2C14">
        <w:rPr>
          <w:rFonts w:ascii="Times New Roman" w:hAnsi="Times New Roman" w:cs="Times New Roman"/>
          <w:sz w:val="24"/>
          <w:szCs w:val="24"/>
        </w:rPr>
        <w:t>arguing</w:t>
      </w:r>
      <w:r w:rsidR="007E249E" w:rsidRPr="001E2C14">
        <w:rPr>
          <w:rFonts w:ascii="Times New Roman" w:hAnsi="Times New Roman" w:cs="Times New Roman"/>
          <w:sz w:val="24"/>
          <w:szCs w:val="24"/>
        </w:rPr>
        <w:t xml:space="preserve"> that it</w:t>
      </w:r>
      <w:r w:rsidR="00EB38FE" w:rsidRPr="001E2C14">
        <w:rPr>
          <w:rFonts w:ascii="Times New Roman" w:hAnsi="Times New Roman" w:cs="Times New Roman"/>
          <w:sz w:val="24"/>
          <w:szCs w:val="24"/>
        </w:rPr>
        <w:t xml:space="preserve"> is only serving one consumer, Electrify America, at a single Premises located outside the limits of a municipality, and the Premises has single-metered connected service. The </w:t>
      </w:r>
      <w:r w:rsidR="007E249E" w:rsidRPr="001E2C14">
        <w:rPr>
          <w:rFonts w:ascii="Times New Roman" w:hAnsi="Times New Roman" w:cs="Times New Roman"/>
          <w:sz w:val="24"/>
          <w:szCs w:val="24"/>
        </w:rPr>
        <w:t xml:space="preserve">Company claimed </w:t>
      </w:r>
      <w:r w:rsidR="00EB38FE" w:rsidRPr="001E2C14">
        <w:rPr>
          <w:rFonts w:ascii="Times New Roman" w:hAnsi="Times New Roman" w:cs="Times New Roman"/>
          <w:sz w:val="24"/>
          <w:szCs w:val="24"/>
        </w:rPr>
        <w:t>connected load of the Premises at the time of initial full operation is greater than 900 kW</w:t>
      </w:r>
      <w:r w:rsidR="00F73A7E" w:rsidRPr="001E2C14">
        <w:rPr>
          <w:rFonts w:ascii="Times New Roman" w:hAnsi="Times New Roman" w:cs="Times New Roman"/>
          <w:sz w:val="24"/>
          <w:szCs w:val="24"/>
        </w:rPr>
        <w:t xml:space="preserve"> because </w:t>
      </w:r>
      <w:r w:rsidR="00E5395B">
        <w:rPr>
          <w:rFonts w:ascii="Times New Roman" w:hAnsi="Times New Roman" w:cs="Times New Roman"/>
          <w:sz w:val="24"/>
          <w:szCs w:val="24"/>
        </w:rPr>
        <w:t>t/</w:t>
      </w:r>
      <w:r w:rsidR="00EB38FE" w:rsidRPr="001E2C14">
        <w:rPr>
          <w:rFonts w:ascii="Times New Roman" w:hAnsi="Times New Roman" w:cs="Times New Roman"/>
          <w:sz w:val="24"/>
          <w:szCs w:val="24"/>
        </w:rPr>
        <w:t>he Premises consists of two 350 kW chargers and two 150 kW chargers, which are designed as an array, and the combined nameplate capacity of the four chargers together is 1,000 kW.</w:t>
      </w:r>
      <w:r w:rsidR="00EB38FE" w:rsidRPr="001E2C14">
        <w:rPr>
          <w:rStyle w:val="FootnoteReference"/>
          <w:rFonts w:ascii="Times New Roman" w:hAnsi="Times New Roman" w:cs="Times New Roman"/>
          <w:sz w:val="24"/>
          <w:szCs w:val="24"/>
        </w:rPr>
        <w:footnoteReference w:id="17"/>
      </w:r>
    </w:p>
    <w:p w14:paraId="4A482B57" w14:textId="77777777" w:rsidR="00976644" w:rsidRPr="001E2C14" w:rsidRDefault="00976644" w:rsidP="00CF6472">
      <w:pPr>
        <w:spacing w:after="0" w:line="276" w:lineRule="auto"/>
        <w:ind w:firstLine="720"/>
        <w:jc w:val="both"/>
        <w:rPr>
          <w:rFonts w:ascii="Times New Roman" w:hAnsi="Times New Roman" w:cs="Times New Roman"/>
          <w:sz w:val="24"/>
          <w:szCs w:val="24"/>
        </w:rPr>
      </w:pPr>
    </w:p>
    <w:p w14:paraId="4DB39361" w14:textId="77777777" w:rsidR="00455496" w:rsidRPr="001E2C14" w:rsidRDefault="00455496" w:rsidP="00CF6472">
      <w:pPr>
        <w:spacing w:after="0" w:line="276"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 xml:space="preserve">On June 1, 2020, Electrify America solicited bids from Georgia Power and </w:t>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for electric service at the Premises. In a series of emails, Electrify America informed both Georgia Power and </w:t>
      </w:r>
      <w:proofErr w:type="spellStart"/>
      <w:r w:rsidRPr="001E2C14">
        <w:rPr>
          <w:rFonts w:ascii="Times New Roman" w:hAnsi="Times New Roman" w:cs="Times New Roman"/>
          <w:sz w:val="24"/>
          <w:szCs w:val="24"/>
        </w:rPr>
        <w:t>Sawnee</w:t>
      </w:r>
      <w:proofErr w:type="spellEnd"/>
      <w:r w:rsidRPr="001E2C14">
        <w:rPr>
          <w:rFonts w:ascii="Times New Roman" w:hAnsi="Times New Roman" w:cs="Times New Roman"/>
          <w:sz w:val="24"/>
          <w:szCs w:val="24"/>
        </w:rPr>
        <w:t xml:space="preserve"> EMC that Electrify America sought bids for an electric vehicle charging station, noting that “[t]he load at the site will be 1,000 kilowatts.</w:t>
      </w:r>
      <w:r w:rsidR="007C6803" w:rsidRPr="001E2C14">
        <w:rPr>
          <w:rFonts w:ascii="Times New Roman" w:hAnsi="Times New Roman" w:cs="Times New Roman"/>
          <w:sz w:val="24"/>
          <w:szCs w:val="24"/>
        </w:rPr>
        <w:t>”</w:t>
      </w:r>
      <w:r w:rsidR="00992429" w:rsidRPr="001E2C14">
        <w:rPr>
          <w:rStyle w:val="FootnoteReference"/>
          <w:rFonts w:ascii="Times New Roman" w:hAnsi="Times New Roman" w:cs="Times New Roman"/>
          <w:sz w:val="24"/>
          <w:szCs w:val="24"/>
        </w:rPr>
        <w:footnoteReference w:id="18"/>
      </w:r>
    </w:p>
    <w:p w14:paraId="7D29C3DB" w14:textId="77777777" w:rsidR="00455496" w:rsidRPr="001E2C14" w:rsidRDefault="00455496" w:rsidP="00CF6472">
      <w:pPr>
        <w:spacing w:after="0" w:line="276" w:lineRule="auto"/>
        <w:ind w:firstLine="720"/>
        <w:jc w:val="both"/>
        <w:rPr>
          <w:rFonts w:ascii="Times New Roman" w:hAnsi="Times New Roman" w:cs="Times New Roman"/>
          <w:sz w:val="24"/>
          <w:szCs w:val="24"/>
        </w:rPr>
      </w:pPr>
      <w:r w:rsidRPr="001E2C14">
        <w:rPr>
          <w:rFonts w:ascii="Times New Roman" w:hAnsi="Times New Roman" w:cs="Times New Roman"/>
          <w:sz w:val="24"/>
          <w:szCs w:val="24"/>
        </w:rPr>
        <w:t>.</w:t>
      </w:r>
    </w:p>
    <w:p w14:paraId="464B9DAC" w14:textId="77777777" w:rsidR="001A5FDA" w:rsidRDefault="00455496" w:rsidP="00CF6472">
      <w:pPr>
        <w:spacing w:after="0" w:line="276" w:lineRule="auto"/>
        <w:ind w:firstLine="720"/>
        <w:jc w:val="both"/>
        <w:rPr>
          <w:rFonts w:ascii="Times New Roman" w:hAnsi="Times New Roman" w:cs="Times New Roman"/>
          <w:sz w:val="24"/>
          <w:szCs w:val="24"/>
        </w:rPr>
      </w:pPr>
      <w:r w:rsidRPr="00455496">
        <w:rPr>
          <w:rFonts w:ascii="Times New Roman" w:hAnsi="Times New Roman" w:cs="Times New Roman"/>
          <w:sz w:val="24"/>
          <w:szCs w:val="24"/>
        </w:rPr>
        <w:lastRenderedPageBreak/>
        <w:t xml:space="preserve">Both Georgia Power and </w:t>
      </w:r>
      <w:proofErr w:type="spellStart"/>
      <w:r w:rsidRPr="00455496">
        <w:rPr>
          <w:rFonts w:ascii="Times New Roman" w:hAnsi="Times New Roman" w:cs="Times New Roman"/>
          <w:sz w:val="24"/>
          <w:szCs w:val="24"/>
        </w:rPr>
        <w:t>Sawnee</w:t>
      </w:r>
      <w:proofErr w:type="spellEnd"/>
      <w:r w:rsidRPr="00455496">
        <w:rPr>
          <w:rFonts w:ascii="Times New Roman" w:hAnsi="Times New Roman" w:cs="Times New Roman"/>
          <w:sz w:val="24"/>
          <w:szCs w:val="24"/>
        </w:rPr>
        <w:t xml:space="preserve"> submitted bids for consideration.</w:t>
      </w:r>
      <w:r w:rsidR="00992429">
        <w:rPr>
          <w:rFonts w:ascii="Times New Roman" w:hAnsi="Times New Roman" w:cs="Times New Roman"/>
          <w:sz w:val="24"/>
          <w:szCs w:val="24"/>
        </w:rPr>
        <w:t xml:space="preserve"> </w:t>
      </w:r>
      <w:proofErr w:type="spellStart"/>
      <w:r w:rsidRPr="00455496">
        <w:rPr>
          <w:rFonts w:ascii="Times New Roman" w:hAnsi="Times New Roman" w:cs="Times New Roman"/>
          <w:sz w:val="24"/>
          <w:szCs w:val="24"/>
        </w:rPr>
        <w:t>Sawnee</w:t>
      </w:r>
      <w:proofErr w:type="spellEnd"/>
      <w:r w:rsidRPr="00455496">
        <w:rPr>
          <w:rFonts w:ascii="Times New Roman" w:hAnsi="Times New Roman" w:cs="Times New Roman"/>
          <w:sz w:val="24"/>
          <w:szCs w:val="24"/>
        </w:rPr>
        <w:t xml:space="preserve"> EMC’s bid offered to serve the Premises using the G23 rate intended for large commercial customers</w:t>
      </w:r>
      <w:r w:rsidR="00992429">
        <w:rPr>
          <w:rFonts w:ascii="Times New Roman" w:hAnsi="Times New Roman" w:cs="Times New Roman"/>
          <w:sz w:val="24"/>
          <w:szCs w:val="24"/>
        </w:rPr>
        <w:t>.</w:t>
      </w:r>
      <w:r w:rsidR="00992429">
        <w:rPr>
          <w:rStyle w:val="FootnoteReference"/>
          <w:rFonts w:ascii="Times New Roman" w:hAnsi="Times New Roman" w:cs="Times New Roman"/>
          <w:sz w:val="24"/>
          <w:szCs w:val="24"/>
        </w:rPr>
        <w:footnoteReference w:id="19"/>
      </w:r>
      <w:r w:rsidRPr="00455496">
        <w:rPr>
          <w:rFonts w:ascii="Times New Roman" w:hAnsi="Times New Roman" w:cs="Times New Roman"/>
          <w:sz w:val="24"/>
          <w:szCs w:val="24"/>
        </w:rPr>
        <w:t xml:space="preserve"> Electrify America selected Georgia Power as the electric supplier for the Premises</w:t>
      </w:r>
      <w:r w:rsidR="008E6FDE">
        <w:rPr>
          <w:rFonts w:ascii="Times New Roman" w:hAnsi="Times New Roman" w:cs="Times New Roman"/>
          <w:sz w:val="24"/>
          <w:szCs w:val="24"/>
        </w:rPr>
        <w:t xml:space="preserve"> under the Act’s large load customer choice exception.</w:t>
      </w:r>
    </w:p>
    <w:p w14:paraId="5DECA5BA" w14:textId="77777777" w:rsidR="00EB14A2" w:rsidRDefault="00EB14A2" w:rsidP="00CF6472">
      <w:pPr>
        <w:spacing w:after="0" w:line="276" w:lineRule="auto"/>
        <w:ind w:firstLine="720"/>
        <w:jc w:val="both"/>
        <w:rPr>
          <w:rFonts w:ascii="Times New Roman" w:hAnsi="Times New Roman" w:cs="Times New Roman"/>
          <w:sz w:val="24"/>
          <w:szCs w:val="24"/>
        </w:rPr>
      </w:pPr>
    </w:p>
    <w:p w14:paraId="5A9EAD08" w14:textId="77777777" w:rsidR="007E536E" w:rsidRPr="007E536E" w:rsidRDefault="007E536E" w:rsidP="00CF6472">
      <w:pPr>
        <w:spacing w:after="0" w:line="276" w:lineRule="auto"/>
        <w:ind w:firstLine="720"/>
        <w:jc w:val="both"/>
        <w:rPr>
          <w:rFonts w:ascii="Times New Roman" w:hAnsi="Times New Roman" w:cs="Times New Roman"/>
          <w:sz w:val="24"/>
          <w:szCs w:val="24"/>
        </w:rPr>
      </w:pPr>
      <w:r w:rsidRPr="007E536E">
        <w:rPr>
          <w:rFonts w:ascii="Times New Roman" w:hAnsi="Times New Roman" w:cs="Times New Roman"/>
          <w:sz w:val="24"/>
          <w:szCs w:val="24"/>
        </w:rPr>
        <w:t xml:space="preserve">The electrical infrastructure installed at the Premises consists of six power cabinets from Signet EV Inc. that have an alternating current (“AC”) rated input of 190 kilowatts (“kW”) each connected to a </w:t>
      </w:r>
      <w:r w:rsidR="001E2C14" w:rsidRPr="007E536E">
        <w:rPr>
          <w:rFonts w:ascii="Times New Roman" w:hAnsi="Times New Roman" w:cs="Times New Roman"/>
          <w:sz w:val="24"/>
          <w:szCs w:val="24"/>
        </w:rPr>
        <w:t>2,000-ampere</w:t>
      </w:r>
      <w:r w:rsidRPr="007E536E">
        <w:rPr>
          <w:rFonts w:ascii="Times New Roman" w:hAnsi="Times New Roman" w:cs="Times New Roman"/>
          <w:sz w:val="24"/>
          <w:szCs w:val="24"/>
        </w:rPr>
        <w:t xml:space="preserve"> switchboard with incoming utility service at 480 volts AC three-phase</w:t>
      </w:r>
      <w:r w:rsidR="00D77B23">
        <w:rPr>
          <w:rFonts w:ascii="Times New Roman" w:hAnsi="Times New Roman" w:cs="Times New Roman"/>
          <w:sz w:val="24"/>
          <w:szCs w:val="24"/>
        </w:rPr>
        <w:t>.</w:t>
      </w:r>
      <w:r w:rsidR="00BD4740">
        <w:rPr>
          <w:rFonts w:ascii="Times New Roman" w:hAnsi="Times New Roman" w:cs="Times New Roman"/>
          <w:sz w:val="24"/>
          <w:szCs w:val="24"/>
        </w:rPr>
        <w:t xml:space="preserve"> </w:t>
      </w:r>
      <w:r w:rsidRPr="007E536E">
        <w:rPr>
          <w:rFonts w:ascii="Times New Roman" w:hAnsi="Times New Roman" w:cs="Times New Roman"/>
          <w:sz w:val="24"/>
          <w:szCs w:val="24"/>
        </w:rPr>
        <w:t>The total aggregate nameplate capacity of the equipment installed on the Premises is 1,140 kW (1.14 megawatts) across the six power cabinets which have been physically installed and operational since the time of initial full operation of the charging station on March 23, 2021. Downstream of the six power cabinets are four customer-facing direct current fast charge (“DCFC”) charging dispensers that are connected to either a single power cabinet or two power cabinets depending upon output rating. A single electric meter measures Electrify America’s electric consumption at the Premises.</w:t>
      </w:r>
      <w:r w:rsidRPr="007E536E">
        <w:rPr>
          <w:rFonts w:ascii="Times New Roman" w:hAnsi="Times New Roman" w:cs="Times New Roman"/>
          <w:sz w:val="24"/>
          <w:szCs w:val="24"/>
          <w:vertAlign w:val="superscript"/>
        </w:rPr>
        <w:footnoteReference w:id="20"/>
      </w:r>
      <w:r w:rsidRPr="007E536E">
        <w:rPr>
          <w:rFonts w:ascii="Times New Roman" w:hAnsi="Times New Roman" w:cs="Times New Roman"/>
          <w:sz w:val="24"/>
          <w:szCs w:val="24"/>
        </w:rPr>
        <w:t xml:space="preserve"> </w:t>
      </w:r>
    </w:p>
    <w:p w14:paraId="1460EB4B" w14:textId="77777777" w:rsidR="00667E96" w:rsidRDefault="00667E96" w:rsidP="00CF6472">
      <w:pPr>
        <w:spacing w:after="0" w:line="276" w:lineRule="auto"/>
        <w:ind w:firstLine="720"/>
        <w:jc w:val="both"/>
        <w:rPr>
          <w:rFonts w:ascii="Times New Roman" w:hAnsi="Times New Roman" w:cs="Times New Roman"/>
          <w:sz w:val="24"/>
          <w:szCs w:val="24"/>
        </w:rPr>
      </w:pPr>
    </w:p>
    <w:p w14:paraId="652F587D" w14:textId="77777777" w:rsidR="00576AB7" w:rsidRDefault="00576AB7" w:rsidP="00CF6472">
      <w:pPr>
        <w:spacing w:after="0" w:line="276" w:lineRule="auto"/>
        <w:ind w:firstLine="720"/>
        <w:jc w:val="both"/>
        <w:rPr>
          <w:rFonts w:ascii="Times New Roman" w:hAnsi="Times New Roman" w:cs="Times New Roman"/>
          <w:sz w:val="24"/>
          <w:szCs w:val="24"/>
        </w:rPr>
      </w:pPr>
      <w:r w:rsidRPr="00576AB7">
        <w:rPr>
          <w:rFonts w:ascii="Times New Roman" w:hAnsi="Times New Roman" w:cs="Times New Roman"/>
          <w:sz w:val="24"/>
          <w:szCs w:val="24"/>
        </w:rPr>
        <w:t xml:space="preserve">This </w:t>
      </w:r>
      <w:r w:rsidR="00976459">
        <w:rPr>
          <w:rFonts w:ascii="Times New Roman" w:hAnsi="Times New Roman" w:cs="Times New Roman"/>
          <w:sz w:val="24"/>
          <w:szCs w:val="24"/>
        </w:rPr>
        <w:t>proceeding</w:t>
      </w:r>
      <w:r w:rsidRPr="00576AB7">
        <w:rPr>
          <w:rFonts w:ascii="Times New Roman" w:hAnsi="Times New Roman" w:cs="Times New Roman"/>
          <w:sz w:val="24"/>
          <w:szCs w:val="24"/>
        </w:rPr>
        <w:t xml:space="preserve"> presents the</w:t>
      </w:r>
      <w:r>
        <w:rPr>
          <w:rFonts w:ascii="Times New Roman" w:hAnsi="Times New Roman" w:cs="Times New Roman"/>
          <w:sz w:val="24"/>
          <w:szCs w:val="24"/>
        </w:rPr>
        <w:t xml:space="preserve"> </w:t>
      </w:r>
      <w:r w:rsidRPr="00576AB7">
        <w:rPr>
          <w:rFonts w:ascii="Times New Roman" w:hAnsi="Times New Roman" w:cs="Times New Roman"/>
          <w:sz w:val="24"/>
          <w:szCs w:val="24"/>
        </w:rPr>
        <w:t xml:space="preserve">Commission with a </w:t>
      </w:r>
      <w:r w:rsidR="00976459">
        <w:rPr>
          <w:rFonts w:ascii="Times New Roman" w:hAnsi="Times New Roman" w:cs="Times New Roman"/>
          <w:sz w:val="24"/>
          <w:szCs w:val="24"/>
        </w:rPr>
        <w:t>case</w:t>
      </w:r>
      <w:r w:rsidRPr="00576AB7">
        <w:rPr>
          <w:rFonts w:ascii="Times New Roman" w:hAnsi="Times New Roman" w:cs="Times New Roman"/>
          <w:sz w:val="24"/>
          <w:szCs w:val="24"/>
        </w:rPr>
        <w:t xml:space="preserve"> of first impression concerning the application of the Territorial Act,</w:t>
      </w:r>
      <w:r>
        <w:rPr>
          <w:rFonts w:ascii="Times New Roman" w:hAnsi="Times New Roman" w:cs="Times New Roman"/>
          <w:sz w:val="24"/>
          <w:szCs w:val="24"/>
        </w:rPr>
        <w:t xml:space="preserve"> </w:t>
      </w:r>
      <w:r w:rsidRPr="00576AB7">
        <w:rPr>
          <w:rFonts w:ascii="Times New Roman" w:hAnsi="Times New Roman" w:cs="Times New Roman"/>
          <w:sz w:val="24"/>
          <w:szCs w:val="24"/>
        </w:rPr>
        <w:t xml:space="preserve">O.C.G.A. §§ 46-3-3 through 46-3-15, in particular, O.C.G.A. § 46-3-8(a), referred to as the “Large Load” or “customer choice” exception to </w:t>
      </w:r>
      <w:r>
        <w:rPr>
          <w:rFonts w:ascii="Times New Roman" w:hAnsi="Times New Roman" w:cs="Times New Roman"/>
          <w:sz w:val="24"/>
          <w:szCs w:val="24"/>
        </w:rPr>
        <w:t>electrical v</w:t>
      </w:r>
      <w:r w:rsidR="006663E5">
        <w:rPr>
          <w:rFonts w:ascii="Times New Roman" w:hAnsi="Times New Roman" w:cs="Times New Roman"/>
          <w:sz w:val="24"/>
          <w:szCs w:val="24"/>
        </w:rPr>
        <w:t>ehicle</w:t>
      </w:r>
      <w:r w:rsidRPr="00576AB7">
        <w:rPr>
          <w:rFonts w:ascii="Times New Roman" w:hAnsi="Times New Roman" w:cs="Times New Roman"/>
          <w:sz w:val="24"/>
          <w:szCs w:val="24"/>
        </w:rPr>
        <w:t xml:space="preserve"> charging station</w:t>
      </w:r>
      <w:r w:rsidR="005B06F6">
        <w:rPr>
          <w:rFonts w:ascii="Times New Roman" w:hAnsi="Times New Roman" w:cs="Times New Roman"/>
          <w:sz w:val="24"/>
          <w:szCs w:val="24"/>
        </w:rPr>
        <w:t>s.</w:t>
      </w:r>
    </w:p>
    <w:p w14:paraId="64628EBF" w14:textId="77777777" w:rsidR="00C16252" w:rsidRDefault="00C16252" w:rsidP="00017079">
      <w:pPr>
        <w:spacing w:after="0" w:line="276" w:lineRule="auto"/>
        <w:rPr>
          <w:rFonts w:ascii="Times New Roman" w:hAnsi="Times New Roman" w:cs="Times New Roman"/>
          <w:sz w:val="24"/>
          <w:szCs w:val="24"/>
        </w:rPr>
      </w:pPr>
    </w:p>
    <w:p w14:paraId="340B1F56" w14:textId="77777777" w:rsidR="00023792" w:rsidRPr="00245852" w:rsidRDefault="00023792" w:rsidP="00E25CA9">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u w:val="single"/>
        </w:rPr>
        <w:t>Conclusions of Law</w:t>
      </w:r>
    </w:p>
    <w:p w14:paraId="29BDF9F0" w14:textId="77777777" w:rsidR="00245852" w:rsidRDefault="00245852" w:rsidP="00245852">
      <w:pPr>
        <w:spacing w:after="0" w:line="276" w:lineRule="auto"/>
        <w:rPr>
          <w:rFonts w:ascii="Times New Roman" w:hAnsi="Times New Roman" w:cs="Times New Roman"/>
          <w:b/>
          <w:sz w:val="24"/>
          <w:szCs w:val="24"/>
        </w:rPr>
      </w:pPr>
    </w:p>
    <w:p w14:paraId="782A41E7" w14:textId="77777777" w:rsidR="00BF3C84" w:rsidRPr="00BF3C84" w:rsidRDefault="00BF3C84" w:rsidP="00CF6472">
      <w:pPr>
        <w:spacing w:after="0" w:line="276" w:lineRule="auto"/>
        <w:ind w:firstLine="360"/>
        <w:jc w:val="both"/>
        <w:rPr>
          <w:rFonts w:ascii="Times New Roman" w:hAnsi="Times New Roman" w:cs="Times New Roman"/>
          <w:sz w:val="24"/>
          <w:szCs w:val="24"/>
        </w:rPr>
      </w:pPr>
      <w:r w:rsidRPr="00BF3C84">
        <w:rPr>
          <w:rFonts w:ascii="Times New Roman" w:hAnsi="Times New Roman" w:cs="Times New Roman"/>
          <w:sz w:val="24"/>
          <w:szCs w:val="24"/>
        </w:rPr>
        <w:t xml:space="preserve">Both </w:t>
      </w:r>
      <w:proofErr w:type="spellStart"/>
      <w:r w:rsidRPr="00BF3C84">
        <w:rPr>
          <w:rFonts w:ascii="Times New Roman" w:hAnsi="Times New Roman" w:cs="Times New Roman"/>
          <w:sz w:val="24"/>
          <w:szCs w:val="24"/>
        </w:rPr>
        <w:t>Sawnee</w:t>
      </w:r>
      <w:proofErr w:type="spellEnd"/>
      <w:r w:rsidRPr="00BF3C84">
        <w:rPr>
          <w:rFonts w:ascii="Times New Roman" w:hAnsi="Times New Roman" w:cs="Times New Roman"/>
          <w:sz w:val="24"/>
          <w:szCs w:val="24"/>
        </w:rPr>
        <w:t xml:space="preserve"> EMC and Georgia Power are electric suppliers subject to the jurisdiction of this Commission for the purposes of enforcing the Territorial Act. The Commission has the statutory authority to hear complaints by one electric supplier against another alleging that the provision of electric service is in violation of the Territorial Act. O.C.G.A. §§ 46-3-12 and 46-3-13.</w:t>
      </w:r>
    </w:p>
    <w:p w14:paraId="082F3355" w14:textId="77777777" w:rsidR="00C21A01" w:rsidRDefault="00C21A01" w:rsidP="00CF6472">
      <w:pPr>
        <w:spacing w:after="0" w:line="276" w:lineRule="auto"/>
        <w:ind w:firstLine="360"/>
        <w:jc w:val="both"/>
        <w:rPr>
          <w:rFonts w:ascii="Times New Roman" w:hAnsi="Times New Roman" w:cs="Times New Roman"/>
          <w:sz w:val="24"/>
          <w:szCs w:val="24"/>
        </w:rPr>
      </w:pPr>
    </w:p>
    <w:p w14:paraId="15D0F376" w14:textId="77777777" w:rsidR="00BF3C84" w:rsidRDefault="00BF3C84" w:rsidP="00CF6472">
      <w:pPr>
        <w:spacing w:after="0" w:line="276" w:lineRule="auto"/>
        <w:ind w:firstLine="360"/>
        <w:jc w:val="both"/>
        <w:rPr>
          <w:rFonts w:ascii="Times New Roman" w:hAnsi="Times New Roman" w:cs="Times New Roman"/>
          <w:sz w:val="24"/>
          <w:szCs w:val="24"/>
        </w:rPr>
      </w:pPr>
      <w:r w:rsidRPr="00BF3C84">
        <w:rPr>
          <w:rFonts w:ascii="Times New Roman" w:hAnsi="Times New Roman" w:cs="Times New Roman"/>
          <w:sz w:val="24"/>
          <w:szCs w:val="24"/>
        </w:rPr>
        <w:t xml:space="preserve">This </w:t>
      </w:r>
      <w:r w:rsidR="00976459">
        <w:rPr>
          <w:rFonts w:ascii="Times New Roman" w:hAnsi="Times New Roman" w:cs="Times New Roman"/>
          <w:sz w:val="24"/>
          <w:szCs w:val="24"/>
        </w:rPr>
        <w:t xml:space="preserve">matter </w:t>
      </w:r>
      <w:r w:rsidR="007C6803">
        <w:rPr>
          <w:rFonts w:ascii="Times New Roman" w:hAnsi="Times New Roman" w:cs="Times New Roman"/>
          <w:sz w:val="24"/>
          <w:szCs w:val="24"/>
        </w:rPr>
        <w:t>was</w:t>
      </w:r>
      <w:r w:rsidRPr="00BF3C84">
        <w:rPr>
          <w:rFonts w:ascii="Times New Roman" w:hAnsi="Times New Roman" w:cs="Times New Roman"/>
          <w:sz w:val="24"/>
          <w:szCs w:val="24"/>
        </w:rPr>
        <w:t xml:space="preserve"> assigned to the Commission’s undersigned Hearing Officer for hearing and initial decision pursuant to the provisions of O.C.G.A. §§ 50-13-13 and 50-13-17. By their agreement to schedule a hearing, counsel for the parties have waived statutory or regulatory deadlines for the rendering of a decision in this case.</w:t>
      </w:r>
    </w:p>
    <w:p w14:paraId="0C18B675" w14:textId="77777777" w:rsidR="00FF172E" w:rsidRDefault="00FF172E" w:rsidP="00CF6472">
      <w:pPr>
        <w:spacing w:after="0" w:line="276" w:lineRule="auto"/>
        <w:ind w:firstLine="360"/>
        <w:jc w:val="both"/>
        <w:rPr>
          <w:rFonts w:ascii="Times New Roman" w:hAnsi="Times New Roman" w:cs="Times New Roman"/>
          <w:sz w:val="24"/>
          <w:szCs w:val="24"/>
        </w:rPr>
      </w:pPr>
    </w:p>
    <w:p w14:paraId="2B1C7003" w14:textId="77777777" w:rsidR="00DE1DB8" w:rsidRPr="00DE1DB8" w:rsidRDefault="00E368E3"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DE1DB8" w:rsidRPr="00DE1DB8">
        <w:rPr>
          <w:rFonts w:ascii="Times New Roman" w:hAnsi="Times New Roman" w:cs="Times New Roman"/>
          <w:sz w:val="24"/>
          <w:szCs w:val="24"/>
        </w:rPr>
        <w:t xml:space="preserve">he Premises </w:t>
      </w:r>
      <w:r>
        <w:rPr>
          <w:rFonts w:ascii="Times New Roman" w:hAnsi="Times New Roman" w:cs="Times New Roman"/>
          <w:sz w:val="24"/>
          <w:szCs w:val="24"/>
        </w:rPr>
        <w:t>at Johns Creek Town Center Shopping Mall,</w:t>
      </w:r>
      <w:r w:rsidR="001052AC">
        <w:rPr>
          <w:rFonts w:ascii="Times New Roman" w:hAnsi="Times New Roman" w:cs="Times New Roman"/>
          <w:sz w:val="24"/>
          <w:szCs w:val="24"/>
        </w:rPr>
        <w:t xml:space="preserve"> </w:t>
      </w:r>
      <w:r>
        <w:rPr>
          <w:rFonts w:ascii="Times New Roman" w:hAnsi="Times New Roman" w:cs="Times New Roman"/>
          <w:sz w:val="24"/>
          <w:szCs w:val="24"/>
        </w:rPr>
        <w:t xml:space="preserve">3630 Peachtree </w:t>
      </w:r>
      <w:r w:rsidR="005B57B5">
        <w:rPr>
          <w:rFonts w:ascii="Times New Roman" w:hAnsi="Times New Roman" w:cs="Times New Roman"/>
          <w:sz w:val="24"/>
          <w:szCs w:val="24"/>
        </w:rPr>
        <w:t>Parkway, Suwanee</w:t>
      </w:r>
      <w:r w:rsidR="00450200">
        <w:rPr>
          <w:rFonts w:ascii="Times New Roman" w:hAnsi="Times New Roman" w:cs="Times New Roman"/>
          <w:sz w:val="24"/>
          <w:szCs w:val="24"/>
        </w:rPr>
        <w:t xml:space="preserve">, Georgia 30024 is located in the geographic service territory assigned to </w:t>
      </w:r>
      <w:proofErr w:type="spellStart"/>
      <w:r w:rsidR="00450200">
        <w:rPr>
          <w:rFonts w:ascii="Times New Roman" w:hAnsi="Times New Roman" w:cs="Times New Roman"/>
          <w:sz w:val="24"/>
          <w:szCs w:val="24"/>
        </w:rPr>
        <w:t>Sawnee</w:t>
      </w:r>
      <w:proofErr w:type="spellEnd"/>
      <w:r w:rsidR="00E77C13">
        <w:rPr>
          <w:rFonts w:ascii="Times New Roman" w:hAnsi="Times New Roman" w:cs="Times New Roman"/>
          <w:sz w:val="24"/>
          <w:szCs w:val="24"/>
        </w:rPr>
        <w:t xml:space="preserve"> pursuant to the Act.</w:t>
      </w:r>
      <w:r w:rsidR="00DE1DB8" w:rsidRPr="00DE1DB8">
        <w:rPr>
          <w:rFonts w:ascii="Times New Roman" w:hAnsi="Times New Roman" w:cs="Times New Roman"/>
          <w:sz w:val="24"/>
          <w:szCs w:val="24"/>
        </w:rPr>
        <w:t xml:space="preserve"> Georgia Power may only serve the Premises pursuant to an exception to </w:t>
      </w:r>
      <w:proofErr w:type="spellStart"/>
      <w:r w:rsidR="00DE1DB8" w:rsidRPr="00DE1DB8">
        <w:rPr>
          <w:rFonts w:ascii="Times New Roman" w:hAnsi="Times New Roman" w:cs="Times New Roman"/>
          <w:sz w:val="24"/>
          <w:szCs w:val="24"/>
        </w:rPr>
        <w:t>Sawnee</w:t>
      </w:r>
      <w:proofErr w:type="spellEnd"/>
      <w:r w:rsidR="00DE1DB8" w:rsidRPr="00DE1DB8">
        <w:rPr>
          <w:rFonts w:ascii="Times New Roman" w:hAnsi="Times New Roman" w:cs="Times New Roman"/>
          <w:sz w:val="24"/>
          <w:szCs w:val="24"/>
        </w:rPr>
        <w:t xml:space="preserve"> EMC’s territorial assignment rights.</w:t>
      </w:r>
    </w:p>
    <w:p w14:paraId="7D01DDD5" w14:textId="77777777" w:rsidR="00DE1DB8" w:rsidRDefault="00DE1DB8" w:rsidP="00CF6472">
      <w:pPr>
        <w:spacing w:after="0" w:line="276" w:lineRule="auto"/>
        <w:jc w:val="both"/>
        <w:rPr>
          <w:rFonts w:ascii="Times New Roman" w:hAnsi="Times New Roman" w:cs="Times New Roman"/>
          <w:sz w:val="24"/>
          <w:szCs w:val="24"/>
        </w:rPr>
      </w:pPr>
    </w:p>
    <w:p w14:paraId="4BA81DCD" w14:textId="77777777" w:rsidR="00EC7A8C" w:rsidRPr="00EC7A8C" w:rsidRDefault="00DE1DB8" w:rsidP="00CF6472">
      <w:pPr>
        <w:spacing w:after="0" w:line="276" w:lineRule="auto"/>
        <w:ind w:firstLine="360"/>
        <w:jc w:val="both"/>
        <w:rPr>
          <w:rFonts w:ascii="Times New Roman" w:hAnsi="Times New Roman" w:cs="Times New Roman"/>
          <w:sz w:val="24"/>
          <w:szCs w:val="24"/>
        </w:rPr>
      </w:pPr>
      <w:r w:rsidRPr="00DE1DB8">
        <w:rPr>
          <w:rFonts w:ascii="Times New Roman" w:hAnsi="Times New Roman" w:cs="Times New Roman"/>
          <w:sz w:val="24"/>
          <w:szCs w:val="24"/>
        </w:rPr>
        <w:t>Georgia Power assert</w:t>
      </w:r>
      <w:r w:rsidR="00B0364F">
        <w:rPr>
          <w:rFonts w:ascii="Times New Roman" w:hAnsi="Times New Roman" w:cs="Times New Roman"/>
          <w:sz w:val="24"/>
          <w:szCs w:val="24"/>
        </w:rPr>
        <w:t>ed</w:t>
      </w:r>
      <w:r w:rsidRPr="00DE1DB8">
        <w:rPr>
          <w:rFonts w:ascii="Times New Roman" w:hAnsi="Times New Roman" w:cs="Times New Roman"/>
          <w:sz w:val="24"/>
          <w:szCs w:val="24"/>
        </w:rPr>
        <w:t xml:space="preserve"> that it has the right to serve the Premises under the large load exception of the Territorial Act, O.C.G.A. § 46-3-8(a).</w:t>
      </w:r>
      <w:r w:rsidR="00FF37DB">
        <w:rPr>
          <w:rFonts w:ascii="Times New Roman" w:hAnsi="Times New Roman" w:cs="Times New Roman"/>
          <w:sz w:val="24"/>
          <w:szCs w:val="24"/>
        </w:rPr>
        <w:t xml:space="preserve"> </w:t>
      </w:r>
      <w:r w:rsidR="00EC7A8C" w:rsidRPr="00EC7A8C">
        <w:rPr>
          <w:rFonts w:ascii="Times New Roman" w:hAnsi="Times New Roman" w:cs="Times New Roman"/>
          <w:sz w:val="24"/>
          <w:szCs w:val="24"/>
        </w:rPr>
        <w:t>Since the Premises is located outside the limits of the municipality,</w:t>
      </w:r>
      <w:r w:rsidR="0041737E">
        <w:rPr>
          <w:rFonts w:ascii="Times New Roman" w:hAnsi="Times New Roman" w:cs="Times New Roman"/>
          <w:sz w:val="24"/>
          <w:szCs w:val="24"/>
        </w:rPr>
        <w:t xml:space="preserve"> serves one consumer and</w:t>
      </w:r>
      <w:r w:rsidR="00EC7A8C" w:rsidRPr="00EC7A8C">
        <w:rPr>
          <w:rFonts w:ascii="Times New Roman" w:hAnsi="Times New Roman" w:cs="Times New Roman"/>
          <w:sz w:val="24"/>
          <w:szCs w:val="24"/>
        </w:rPr>
        <w:t xml:space="preserve"> has a connected load at the time of initial operation of 900 kW or greater, then </w:t>
      </w:r>
      <w:r w:rsidR="0041737E">
        <w:rPr>
          <w:rFonts w:ascii="Times New Roman" w:hAnsi="Times New Roman" w:cs="Times New Roman"/>
          <w:sz w:val="24"/>
          <w:szCs w:val="24"/>
        </w:rPr>
        <w:t xml:space="preserve">that business operation </w:t>
      </w:r>
      <w:r w:rsidR="00EC7A8C" w:rsidRPr="00EC7A8C">
        <w:rPr>
          <w:rFonts w:ascii="Times New Roman" w:hAnsi="Times New Roman" w:cs="Times New Roman"/>
          <w:sz w:val="24"/>
          <w:szCs w:val="24"/>
        </w:rPr>
        <w:t xml:space="preserve">may choose any electric supplier. </w:t>
      </w:r>
    </w:p>
    <w:p w14:paraId="0B8C3132" w14:textId="77777777" w:rsidR="00DE1DB8" w:rsidRDefault="00DE1DB8" w:rsidP="00DE1DB8">
      <w:pPr>
        <w:spacing w:after="0" w:line="276" w:lineRule="auto"/>
        <w:ind w:firstLine="360"/>
        <w:rPr>
          <w:rFonts w:ascii="Times New Roman" w:hAnsi="Times New Roman" w:cs="Times New Roman"/>
          <w:sz w:val="24"/>
          <w:szCs w:val="24"/>
        </w:rPr>
      </w:pPr>
    </w:p>
    <w:p w14:paraId="1C47F7F9" w14:textId="77777777" w:rsidR="00EC7A8C" w:rsidRDefault="00EC7A8C"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Georgia Power seeks the benefit of the statutory exception and therefore</w:t>
      </w:r>
      <w:r w:rsidR="006227F7">
        <w:rPr>
          <w:rFonts w:ascii="Times New Roman" w:hAnsi="Times New Roman" w:cs="Times New Roman"/>
          <w:sz w:val="24"/>
          <w:szCs w:val="24"/>
        </w:rPr>
        <w:t xml:space="preserve"> bears the burden of proving that each of the requirements of the large load customer choice exception</w:t>
      </w:r>
      <w:r w:rsidR="002C24EC">
        <w:rPr>
          <w:rFonts w:ascii="Times New Roman" w:hAnsi="Times New Roman" w:cs="Times New Roman"/>
          <w:sz w:val="24"/>
          <w:szCs w:val="24"/>
        </w:rPr>
        <w:t xml:space="preserve"> have been met.</w:t>
      </w:r>
      <w:r w:rsidR="006227F7">
        <w:rPr>
          <w:rStyle w:val="FootnoteReference"/>
          <w:rFonts w:ascii="Times New Roman" w:hAnsi="Times New Roman" w:cs="Times New Roman"/>
          <w:sz w:val="24"/>
          <w:szCs w:val="24"/>
        </w:rPr>
        <w:footnoteReference w:id="21"/>
      </w:r>
      <w:r w:rsidR="00831788">
        <w:rPr>
          <w:rFonts w:ascii="Times New Roman" w:hAnsi="Times New Roman" w:cs="Times New Roman"/>
          <w:sz w:val="24"/>
          <w:szCs w:val="24"/>
        </w:rPr>
        <w:t xml:space="preserve"> </w:t>
      </w:r>
      <w:r w:rsidR="00543145">
        <w:rPr>
          <w:rFonts w:ascii="Times New Roman" w:hAnsi="Times New Roman" w:cs="Times New Roman"/>
          <w:sz w:val="24"/>
          <w:szCs w:val="24"/>
        </w:rPr>
        <w:t>T</w:t>
      </w:r>
      <w:r w:rsidR="0055763F">
        <w:rPr>
          <w:rFonts w:ascii="Times New Roman" w:hAnsi="Times New Roman" w:cs="Times New Roman"/>
          <w:sz w:val="24"/>
          <w:szCs w:val="24"/>
        </w:rPr>
        <w:t>he Georgia Court of Appeals has held that the large load customer choice provision, being the exception</w:t>
      </w:r>
      <w:r w:rsidR="00045A2C">
        <w:rPr>
          <w:rFonts w:ascii="Times New Roman" w:hAnsi="Times New Roman" w:cs="Times New Roman"/>
          <w:sz w:val="24"/>
          <w:szCs w:val="24"/>
        </w:rPr>
        <w:t xml:space="preserve"> to the general rule of competitive restriction provided for in the Territorial Act, must be strictly construed.</w:t>
      </w:r>
      <w:r w:rsidR="00045A2C">
        <w:rPr>
          <w:rStyle w:val="FootnoteReference"/>
          <w:rFonts w:ascii="Times New Roman" w:hAnsi="Times New Roman" w:cs="Times New Roman"/>
          <w:sz w:val="24"/>
          <w:szCs w:val="24"/>
        </w:rPr>
        <w:footnoteReference w:id="22"/>
      </w:r>
    </w:p>
    <w:p w14:paraId="1000D6C3" w14:textId="77777777" w:rsidR="00635413" w:rsidRDefault="00635413" w:rsidP="00DE1DB8">
      <w:pPr>
        <w:spacing w:after="0" w:line="276" w:lineRule="auto"/>
        <w:ind w:firstLine="360"/>
        <w:rPr>
          <w:rFonts w:ascii="Times New Roman" w:hAnsi="Times New Roman" w:cs="Times New Roman"/>
          <w:sz w:val="24"/>
          <w:szCs w:val="24"/>
        </w:rPr>
      </w:pPr>
    </w:p>
    <w:p w14:paraId="0B3BBF60" w14:textId="77777777" w:rsidR="003D3521" w:rsidRDefault="00635413" w:rsidP="00DE1DB8">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Under the Act the exception for large load customer choice reads:</w:t>
      </w:r>
    </w:p>
    <w:p w14:paraId="0E2972C3" w14:textId="77777777" w:rsidR="00657FED" w:rsidRDefault="00635413" w:rsidP="00DE1DB8">
      <w:pPr>
        <w:spacing w:after="0" w:line="276" w:lineRule="auto"/>
        <w:ind w:firstLine="360"/>
        <w:rPr>
          <w:rFonts w:ascii="Times New Roman" w:hAnsi="Times New Roman" w:cs="Times New Roman"/>
          <w:sz w:val="24"/>
          <w:szCs w:val="24"/>
        </w:rPr>
      </w:pPr>
      <w:r>
        <w:rPr>
          <w:rFonts w:ascii="Times New Roman" w:hAnsi="Times New Roman" w:cs="Times New Roman"/>
          <w:sz w:val="24"/>
          <w:szCs w:val="24"/>
        </w:rPr>
        <w:t xml:space="preserve"> </w:t>
      </w:r>
    </w:p>
    <w:p w14:paraId="67244EBF" w14:textId="77777777" w:rsidR="00ED578E" w:rsidRDefault="00ED578E" w:rsidP="00ED578E">
      <w:pPr>
        <w:spacing w:after="0" w:line="276" w:lineRule="auto"/>
        <w:ind w:firstLine="360"/>
        <w:rPr>
          <w:rFonts w:ascii="Times New Roman" w:hAnsi="Times New Roman" w:cs="Times New Roman"/>
          <w:sz w:val="24"/>
          <w:szCs w:val="24"/>
          <w:u w:val="single"/>
        </w:rPr>
      </w:pPr>
      <w:r w:rsidRPr="004D7C6E">
        <w:rPr>
          <w:rFonts w:ascii="Times New Roman" w:hAnsi="Times New Roman" w:cs="Times New Roman"/>
          <w:sz w:val="24"/>
          <w:szCs w:val="24"/>
          <w:u w:val="single"/>
        </w:rPr>
        <w:t>46-3-8. Exceptions, grandfather rights, and other rights.</w:t>
      </w:r>
    </w:p>
    <w:p w14:paraId="76EDE028" w14:textId="77777777" w:rsidR="00921334" w:rsidRPr="004D7C6E" w:rsidRDefault="00921334" w:rsidP="00ED578E">
      <w:pPr>
        <w:spacing w:after="0" w:line="276" w:lineRule="auto"/>
        <w:ind w:firstLine="360"/>
        <w:rPr>
          <w:rFonts w:ascii="Times New Roman" w:hAnsi="Times New Roman" w:cs="Times New Roman"/>
          <w:sz w:val="24"/>
          <w:szCs w:val="24"/>
          <w:u w:val="single"/>
        </w:rPr>
      </w:pPr>
    </w:p>
    <w:p w14:paraId="1EBD5884" w14:textId="77777777" w:rsidR="00ED578E" w:rsidRPr="008B16D7" w:rsidRDefault="00ED578E" w:rsidP="00CF6472">
      <w:pPr>
        <w:pStyle w:val="ListParagraph"/>
        <w:numPr>
          <w:ilvl w:val="0"/>
          <w:numId w:val="12"/>
        </w:numPr>
        <w:spacing w:after="0" w:line="276" w:lineRule="auto"/>
        <w:jc w:val="both"/>
        <w:rPr>
          <w:rFonts w:ascii="Times New Roman" w:hAnsi="Times New Roman" w:cs="Times New Roman"/>
          <w:sz w:val="24"/>
          <w:szCs w:val="24"/>
        </w:rPr>
      </w:pPr>
      <w:r w:rsidRPr="008B16D7">
        <w:rPr>
          <w:rFonts w:ascii="Times New Roman" w:hAnsi="Times New Roman" w:cs="Times New Roman"/>
          <w:sz w:val="24"/>
          <w:szCs w:val="24"/>
        </w:rPr>
        <w:t xml:space="preserve">Notwithstanding any other provision of this part, but subject to subsections (b) and (c) of this Code section, after March 29, 1973, service to one or more new premises (but if more than one, such premises must be located on the same tract or on contiguous tracts of land), </w:t>
      </w:r>
      <w:r w:rsidRPr="008B16D7">
        <w:rPr>
          <w:rFonts w:ascii="Times New Roman" w:hAnsi="Times New Roman" w:cs="Times New Roman"/>
          <w:sz w:val="24"/>
          <w:szCs w:val="24"/>
          <w:u w:val="single"/>
        </w:rPr>
        <w:t xml:space="preserve">if utilized by one consumer and having single-metered service and a connected load which, at the time of initial full operation of the premises, is 900 kilowatts or greater </w:t>
      </w:r>
      <w:r w:rsidRPr="008B16D7">
        <w:rPr>
          <w:rFonts w:ascii="Times New Roman" w:hAnsi="Times New Roman" w:cs="Times New Roman"/>
          <w:sz w:val="24"/>
          <w:szCs w:val="24"/>
        </w:rPr>
        <w:t>(excluding redundant equipment), may be extended and furnished, if chosen by the consumer</w:t>
      </w:r>
      <w:r w:rsidR="00921334" w:rsidRPr="008B16D7">
        <w:rPr>
          <w:rFonts w:ascii="Times New Roman" w:hAnsi="Times New Roman" w:cs="Times New Roman"/>
          <w:sz w:val="24"/>
          <w:szCs w:val="24"/>
        </w:rPr>
        <w:t>.</w:t>
      </w:r>
      <w:r w:rsidR="00CB454B" w:rsidRPr="008B16D7">
        <w:rPr>
          <w:rFonts w:ascii="Times New Roman" w:hAnsi="Times New Roman" w:cs="Times New Roman"/>
          <w:sz w:val="24"/>
          <w:szCs w:val="24"/>
        </w:rPr>
        <w:t xml:space="preserve"> (emphasis added</w:t>
      </w:r>
      <w:r w:rsidR="00921334" w:rsidRPr="008B16D7">
        <w:rPr>
          <w:rFonts w:ascii="Times New Roman" w:hAnsi="Times New Roman" w:cs="Times New Roman"/>
          <w:sz w:val="24"/>
          <w:szCs w:val="24"/>
        </w:rPr>
        <w:t>).</w:t>
      </w:r>
    </w:p>
    <w:p w14:paraId="60F98EB3" w14:textId="77777777" w:rsidR="00FA1A5B" w:rsidRPr="00FA1A5B" w:rsidRDefault="00FA1A5B" w:rsidP="00FA1A5B">
      <w:pPr>
        <w:spacing w:after="0" w:line="276" w:lineRule="auto"/>
        <w:ind w:firstLine="360"/>
        <w:rPr>
          <w:rFonts w:ascii="Times New Roman" w:hAnsi="Times New Roman" w:cs="Times New Roman"/>
          <w:sz w:val="24"/>
          <w:szCs w:val="24"/>
        </w:rPr>
      </w:pPr>
    </w:p>
    <w:p w14:paraId="60E4658E" w14:textId="77777777" w:rsidR="00FA1A5B" w:rsidRPr="00D24191" w:rsidRDefault="00FA1A5B" w:rsidP="00D24191">
      <w:pPr>
        <w:pStyle w:val="ListParagraph"/>
        <w:numPr>
          <w:ilvl w:val="0"/>
          <w:numId w:val="13"/>
        </w:numPr>
        <w:spacing w:after="0" w:line="276" w:lineRule="auto"/>
        <w:rPr>
          <w:rFonts w:ascii="Times New Roman" w:hAnsi="Times New Roman" w:cs="Times New Roman"/>
          <w:b/>
          <w:sz w:val="24"/>
          <w:szCs w:val="24"/>
          <w:u w:val="single"/>
        </w:rPr>
      </w:pPr>
      <w:r w:rsidRPr="00D24191">
        <w:rPr>
          <w:rFonts w:ascii="Times New Roman" w:hAnsi="Times New Roman" w:cs="Times New Roman"/>
          <w:b/>
          <w:sz w:val="24"/>
          <w:szCs w:val="24"/>
        </w:rPr>
        <w:t>“</w:t>
      </w:r>
      <w:r w:rsidRPr="00D24191">
        <w:rPr>
          <w:rFonts w:ascii="Times New Roman" w:hAnsi="Times New Roman" w:cs="Times New Roman"/>
          <w:b/>
          <w:sz w:val="24"/>
          <w:szCs w:val="24"/>
          <w:u w:val="single"/>
        </w:rPr>
        <w:t>Connected Load” under the Georgia Territorial Act</w:t>
      </w:r>
    </w:p>
    <w:p w14:paraId="3518F472" w14:textId="77777777" w:rsidR="00FA1A5B" w:rsidRPr="00BC312A" w:rsidRDefault="00FA1A5B" w:rsidP="00FA1A5B">
      <w:pPr>
        <w:spacing w:after="0" w:line="276" w:lineRule="auto"/>
        <w:ind w:firstLine="360"/>
        <w:rPr>
          <w:rFonts w:ascii="Times New Roman" w:hAnsi="Times New Roman" w:cs="Times New Roman"/>
          <w:b/>
          <w:sz w:val="24"/>
          <w:szCs w:val="24"/>
        </w:rPr>
      </w:pPr>
    </w:p>
    <w:p w14:paraId="1966768F" w14:textId="77777777" w:rsidR="00FA1A5B" w:rsidRDefault="00FA1A5B" w:rsidP="00CF6472">
      <w:pPr>
        <w:spacing w:after="0" w:line="276" w:lineRule="auto"/>
        <w:ind w:firstLine="360"/>
        <w:jc w:val="both"/>
        <w:rPr>
          <w:rFonts w:ascii="Times New Roman" w:hAnsi="Times New Roman" w:cs="Times New Roman"/>
          <w:sz w:val="24"/>
          <w:szCs w:val="24"/>
        </w:rPr>
      </w:pPr>
      <w:r w:rsidRPr="00FA1A5B">
        <w:rPr>
          <w:rFonts w:ascii="Times New Roman" w:hAnsi="Times New Roman" w:cs="Times New Roman"/>
          <w:sz w:val="24"/>
          <w:szCs w:val="24"/>
        </w:rPr>
        <w:tab/>
        <w:t>In response to</w:t>
      </w:r>
      <w:r w:rsidR="00CD54D2">
        <w:rPr>
          <w:rFonts w:ascii="Times New Roman" w:hAnsi="Times New Roman" w:cs="Times New Roman"/>
          <w:sz w:val="24"/>
          <w:szCs w:val="24"/>
        </w:rPr>
        <w:t xml:space="preserve"> a</w:t>
      </w:r>
      <w:r w:rsidRPr="00FA1A5B">
        <w:rPr>
          <w:rFonts w:ascii="Times New Roman" w:hAnsi="Times New Roman" w:cs="Times New Roman"/>
          <w:sz w:val="24"/>
          <w:szCs w:val="24"/>
        </w:rPr>
        <w:t xml:space="preserve"> series questions posed </w:t>
      </w:r>
      <w:r w:rsidR="00BC312A">
        <w:rPr>
          <w:rFonts w:ascii="Times New Roman" w:hAnsi="Times New Roman" w:cs="Times New Roman"/>
          <w:sz w:val="24"/>
          <w:szCs w:val="24"/>
        </w:rPr>
        <w:t xml:space="preserve">in addition to </w:t>
      </w:r>
      <w:r w:rsidRPr="00FA1A5B">
        <w:rPr>
          <w:rFonts w:ascii="Times New Roman" w:hAnsi="Times New Roman" w:cs="Times New Roman"/>
          <w:sz w:val="24"/>
          <w:szCs w:val="24"/>
        </w:rPr>
        <w:t xml:space="preserve">the Briefing </w:t>
      </w:r>
      <w:r w:rsidR="00BC312A">
        <w:rPr>
          <w:rFonts w:ascii="Times New Roman" w:hAnsi="Times New Roman" w:cs="Times New Roman"/>
          <w:sz w:val="24"/>
          <w:szCs w:val="24"/>
        </w:rPr>
        <w:t>S</w:t>
      </w:r>
      <w:r w:rsidRPr="00FA1A5B">
        <w:rPr>
          <w:rFonts w:ascii="Times New Roman" w:hAnsi="Times New Roman" w:cs="Times New Roman"/>
          <w:sz w:val="24"/>
          <w:szCs w:val="24"/>
        </w:rPr>
        <w:t>chedule, all parties agreed the Territorial Act does not contain a statutory definition of “connected load.”</w:t>
      </w:r>
      <w:r w:rsidRPr="00FA1A5B">
        <w:rPr>
          <w:rFonts w:ascii="Times New Roman" w:hAnsi="Times New Roman" w:cs="Times New Roman"/>
          <w:sz w:val="24"/>
          <w:szCs w:val="24"/>
          <w:vertAlign w:val="superscript"/>
        </w:rPr>
        <w:footnoteReference w:id="23"/>
      </w:r>
    </w:p>
    <w:p w14:paraId="0ADF07D2" w14:textId="77777777" w:rsidR="00205D6D" w:rsidRDefault="00205D6D" w:rsidP="00CF6472">
      <w:pPr>
        <w:spacing w:after="0" w:line="276" w:lineRule="auto"/>
        <w:ind w:firstLine="360"/>
        <w:jc w:val="both"/>
        <w:rPr>
          <w:rFonts w:ascii="Times New Roman" w:hAnsi="Times New Roman" w:cs="Times New Roman"/>
          <w:sz w:val="24"/>
          <w:szCs w:val="24"/>
        </w:rPr>
      </w:pPr>
    </w:p>
    <w:p w14:paraId="293BBBC9" w14:textId="77777777" w:rsidR="00945E5B" w:rsidRPr="00945E5B" w:rsidRDefault="00901099" w:rsidP="00CF6472">
      <w:pPr>
        <w:spacing w:after="0"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Sawnee</w:t>
      </w:r>
      <w:proofErr w:type="spellEnd"/>
      <w:r>
        <w:rPr>
          <w:rFonts w:ascii="Times New Roman" w:hAnsi="Times New Roman" w:cs="Times New Roman"/>
          <w:sz w:val="24"/>
          <w:szCs w:val="24"/>
        </w:rPr>
        <w:t xml:space="preserve"> argued </w:t>
      </w:r>
      <w:r w:rsidRPr="00901099">
        <w:rPr>
          <w:rFonts w:ascii="Times New Roman" w:hAnsi="Times New Roman" w:cs="Times New Roman"/>
          <w:sz w:val="24"/>
          <w:szCs w:val="24"/>
        </w:rPr>
        <w:t xml:space="preserve">that </w:t>
      </w:r>
      <w:r>
        <w:rPr>
          <w:rFonts w:ascii="Times New Roman" w:eastAsia="Calibri" w:hAnsi="Times New Roman" w:cs="Times New Roman"/>
          <w:sz w:val="24"/>
          <w:szCs w:val="24"/>
        </w:rPr>
        <w:t>t</w:t>
      </w:r>
      <w:r w:rsidRPr="00901099">
        <w:rPr>
          <w:rFonts w:ascii="Times New Roman" w:eastAsia="Calibri" w:hAnsi="Times New Roman" w:cs="Times New Roman"/>
          <w:sz w:val="24"/>
          <w:szCs w:val="24"/>
        </w:rPr>
        <w:t>he main component of an electric vehicle charger of the type located on the Premises is a rectifier</w:t>
      </w:r>
      <w:r>
        <w:rPr>
          <w:rFonts w:ascii="Times New Roman" w:eastAsia="Calibri" w:hAnsi="Times New Roman" w:cs="Times New Roman"/>
          <w:sz w:val="24"/>
          <w:szCs w:val="24"/>
        </w:rPr>
        <w:t xml:space="preserve"> and that</w:t>
      </w:r>
      <w:r w:rsidR="004B3B64">
        <w:rPr>
          <w:rFonts w:ascii="Times New Roman" w:eastAsia="Calibri" w:hAnsi="Times New Roman" w:cs="Times New Roman"/>
          <w:sz w:val="24"/>
          <w:szCs w:val="24"/>
        </w:rPr>
        <w:t xml:space="preserve">, </w:t>
      </w:r>
      <w:r w:rsidR="004B3B64" w:rsidRPr="004B3B64">
        <w:rPr>
          <w:rFonts w:ascii="Times New Roman" w:eastAsia="Calibri" w:hAnsi="Times New Roman" w:cs="Times New Roman"/>
          <w:sz w:val="24"/>
          <w:szCs w:val="24"/>
        </w:rPr>
        <w:t>w</w:t>
      </w:r>
      <w:r w:rsidRPr="004B3B64">
        <w:rPr>
          <w:rFonts w:ascii="Times New Roman" w:eastAsia="Calibri" w:hAnsi="Times New Roman" w:cs="Times New Roman"/>
          <w:sz w:val="24"/>
          <w:szCs w:val="24"/>
        </w:rPr>
        <w:t>ith the exception of a limited amount of power used to operate LCD screens etc., the rectifiers operate to change AC power to DC power only if a vehicle owner pulls up and connects his or her vehicle to the charger.</w:t>
      </w:r>
      <w:r w:rsidR="00C2649E">
        <w:rPr>
          <w:rFonts w:ascii="Times New Roman" w:eastAsia="Calibri" w:hAnsi="Times New Roman" w:cs="Times New Roman"/>
          <w:sz w:val="24"/>
          <w:szCs w:val="24"/>
        </w:rPr>
        <w:t xml:space="preserve"> </w:t>
      </w:r>
      <w:proofErr w:type="spellStart"/>
      <w:r w:rsidR="00781498">
        <w:rPr>
          <w:rFonts w:ascii="Times New Roman" w:hAnsi="Times New Roman" w:cs="Times New Roman"/>
          <w:sz w:val="24"/>
          <w:szCs w:val="24"/>
        </w:rPr>
        <w:t>Sawnee</w:t>
      </w:r>
      <w:proofErr w:type="spellEnd"/>
      <w:r w:rsidR="00781498">
        <w:rPr>
          <w:rFonts w:ascii="Times New Roman" w:hAnsi="Times New Roman" w:cs="Times New Roman"/>
          <w:sz w:val="24"/>
          <w:szCs w:val="24"/>
        </w:rPr>
        <w:t xml:space="preserve"> compares rectifiers to electric receptacles and internal customer transformers. </w:t>
      </w:r>
      <w:r w:rsidR="005643F3">
        <w:rPr>
          <w:rFonts w:ascii="Times New Roman" w:hAnsi="Times New Roman" w:cs="Times New Roman"/>
          <w:sz w:val="24"/>
          <w:szCs w:val="24"/>
        </w:rPr>
        <w:t xml:space="preserve">Like receptacles, </w:t>
      </w:r>
      <w:proofErr w:type="spellStart"/>
      <w:r w:rsidR="005643F3">
        <w:rPr>
          <w:rFonts w:ascii="Times New Roman" w:hAnsi="Times New Roman" w:cs="Times New Roman"/>
          <w:sz w:val="24"/>
          <w:szCs w:val="24"/>
        </w:rPr>
        <w:t>Sawnee</w:t>
      </w:r>
      <w:proofErr w:type="spellEnd"/>
      <w:r w:rsidR="005643F3">
        <w:rPr>
          <w:rFonts w:ascii="Times New Roman" w:hAnsi="Times New Roman" w:cs="Times New Roman"/>
          <w:sz w:val="24"/>
          <w:szCs w:val="24"/>
        </w:rPr>
        <w:t xml:space="preserve"> submits,</w:t>
      </w:r>
      <w:r w:rsidR="005643F3" w:rsidRPr="005643F3">
        <w:t xml:space="preserve"> </w:t>
      </w:r>
      <w:r w:rsidR="005643F3" w:rsidRPr="005643F3">
        <w:rPr>
          <w:rFonts w:ascii="Times New Roman" w:hAnsi="Times New Roman" w:cs="Times New Roman"/>
          <w:sz w:val="24"/>
          <w:szCs w:val="24"/>
        </w:rPr>
        <w:t xml:space="preserve">rectifiers do </w:t>
      </w:r>
      <w:r w:rsidR="005643F3" w:rsidRPr="005643F3">
        <w:rPr>
          <w:rFonts w:ascii="Times New Roman" w:hAnsi="Times New Roman" w:cs="Times New Roman"/>
          <w:sz w:val="24"/>
          <w:szCs w:val="24"/>
        </w:rPr>
        <w:lastRenderedPageBreak/>
        <w:t>not consume electricity and are not load. Instead, the consumption of electricity is at the load actually connected, e.g., a battery being charged.</w:t>
      </w:r>
      <w:r w:rsidR="00945E5B">
        <w:rPr>
          <w:rStyle w:val="FootnoteReference"/>
          <w:rFonts w:ascii="Times New Roman" w:hAnsi="Times New Roman" w:cs="Times New Roman"/>
          <w:sz w:val="24"/>
          <w:szCs w:val="24"/>
        </w:rPr>
        <w:footnoteReference w:id="24"/>
      </w:r>
    </w:p>
    <w:p w14:paraId="739FE635" w14:textId="77777777" w:rsidR="00A0485E" w:rsidRDefault="00A0485E" w:rsidP="00CF6472">
      <w:pPr>
        <w:spacing w:after="0" w:line="276" w:lineRule="auto"/>
        <w:ind w:firstLine="360"/>
        <w:jc w:val="both"/>
        <w:rPr>
          <w:rFonts w:ascii="Times New Roman" w:hAnsi="Times New Roman" w:cs="Times New Roman"/>
          <w:sz w:val="24"/>
          <w:szCs w:val="24"/>
        </w:rPr>
      </w:pPr>
    </w:p>
    <w:p w14:paraId="584F7770" w14:textId="77777777" w:rsidR="00267D44" w:rsidRDefault="000E5136" w:rsidP="00CF6472">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Georgia Power </w:t>
      </w:r>
      <w:r w:rsidR="00A809CA">
        <w:rPr>
          <w:rFonts w:ascii="Times New Roman" w:hAnsi="Times New Roman" w:cs="Times New Roman"/>
          <w:sz w:val="24"/>
          <w:szCs w:val="24"/>
        </w:rPr>
        <w:t>c</w:t>
      </w:r>
      <w:r w:rsidR="00267D44">
        <w:rPr>
          <w:rFonts w:ascii="Times New Roman" w:hAnsi="Times New Roman" w:cs="Times New Roman"/>
          <w:sz w:val="24"/>
          <w:szCs w:val="24"/>
        </w:rPr>
        <w:t>ounter</w:t>
      </w:r>
      <w:r w:rsidR="00A809CA">
        <w:rPr>
          <w:rFonts w:ascii="Times New Roman" w:hAnsi="Times New Roman" w:cs="Times New Roman"/>
          <w:sz w:val="24"/>
          <w:szCs w:val="24"/>
        </w:rPr>
        <w:t>ed</w:t>
      </w:r>
      <w:r w:rsidR="002E43B8">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0E5136">
        <w:rPr>
          <w:rFonts w:ascii="Times New Roman" w:hAnsi="Times New Roman" w:cs="Times New Roman"/>
          <w:sz w:val="24"/>
          <w:szCs w:val="24"/>
        </w:rPr>
        <w:t>the rectifiers are hard wired to the premises and convert AC to DC for the purpose of providing fast-charging service to EVs. In doing so,</w:t>
      </w:r>
      <w:r w:rsidR="00401CD4">
        <w:rPr>
          <w:rFonts w:ascii="Times New Roman" w:hAnsi="Times New Roman" w:cs="Times New Roman"/>
          <w:sz w:val="24"/>
          <w:szCs w:val="24"/>
        </w:rPr>
        <w:t xml:space="preserve"> Georgia Power contends,</w:t>
      </w:r>
      <w:r w:rsidRPr="000E5136">
        <w:rPr>
          <w:rFonts w:ascii="Times New Roman" w:hAnsi="Times New Roman" w:cs="Times New Roman"/>
          <w:sz w:val="24"/>
          <w:szCs w:val="24"/>
        </w:rPr>
        <w:t xml:space="preserve"> the charging array entirely consumes the AC electricity to perform the work in converting the power to the DC power necessary to charge the vehicles.</w:t>
      </w:r>
      <w:r>
        <w:rPr>
          <w:rStyle w:val="FootnoteReference"/>
          <w:rFonts w:ascii="Times New Roman" w:hAnsi="Times New Roman" w:cs="Times New Roman"/>
          <w:sz w:val="24"/>
          <w:szCs w:val="24"/>
        </w:rPr>
        <w:footnoteReference w:id="25"/>
      </w:r>
      <w:r w:rsidR="00EB0763">
        <w:rPr>
          <w:rFonts w:ascii="Times New Roman" w:hAnsi="Times New Roman" w:cs="Times New Roman"/>
          <w:sz w:val="24"/>
          <w:szCs w:val="24"/>
        </w:rPr>
        <w:t xml:space="preserve"> </w:t>
      </w:r>
      <w:r w:rsidR="00401CD4">
        <w:rPr>
          <w:rFonts w:ascii="Times New Roman" w:hAnsi="Times New Roman" w:cs="Times New Roman"/>
          <w:sz w:val="24"/>
          <w:szCs w:val="24"/>
        </w:rPr>
        <w:t>It stated that w</w:t>
      </w:r>
      <w:r w:rsidRPr="000E5136">
        <w:rPr>
          <w:rFonts w:ascii="Times New Roman" w:hAnsi="Times New Roman" w:cs="Times New Roman"/>
          <w:sz w:val="24"/>
          <w:szCs w:val="24"/>
        </w:rPr>
        <w:t>ithout the rectifiers performing this crucial service</w:t>
      </w:r>
      <w:r w:rsidR="00EB0763">
        <w:rPr>
          <w:rFonts w:ascii="Times New Roman" w:hAnsi="Times New Roman" w:cs="Times New Roman"/>
          <w:sz w:val="24"/>
          <w:szCs w:val="24"/>
        </w:rPr>
        <w:t xml:space="preserve"> </w:t>
      </w:r>
      <w:r w:rsidRPr="000E5136">
        <w:rPr>
          <w:rFonts w:ascii="Times New Roman" w:hAnsi="Times New Roman" w:cs="Times New Roman"/>
          <w:sz w:val="24"/>
          <w:szCs w:val="24"/>
        </w:rPr>
        <w:t>the EV chargers will be unable to charge an EV, undermining the sole purpose of the Premises.</w:t>
      </w:r>
    </w:p>
    <w:p w14:paraId="7BA5EB03" w14:textId="77777777" w:rsidR="00D43E5E" w:rsidRDefault="00116441" w:rsidP="00CF6472">
      <w:pPr>
        <w:spacing w:line="276" w:lineRule="auto"/>
        <w:ind w:firstLine="360"/>
        <w:jc w:val="both"/>
        <w:rPr>
          <w:rFonts w:ascii="Times New Roman" w:hAnsi="Times New Roman" w:cs="Times New Roman"/>
          <w:sz w:val="24"/>
          <w:szCs w:val="24"/>
        </w:rPr>
      </w:pPr>
      <w:r w:rsidRPr="00116441">
        <w:rPr>
          <w:rFonts w:ascii="Times New Roman" w:hAnsi="Times New Roman" w:cs="Times New Roman"/>
          <w:sz w:val="24"/>
          <w:szCs w:val="24"/>
        </w:rPr>
        <w:t xml:space="preserve">Electrify America opined that its equipment is not “passing-through” general electric service, the product of general electric service is entirely “consumed” by Electrify America. </w:t>
      </w:r>
      <w:r w:rsidR="004A18FE">
        <w:rPr>
          <w:rFonts w:ascii="Times New Roman" w:hAnsi="Times New Roman" w:cs="Times New Roman"/>
          <w:sz w:val="24"/>
          <w:szCs w:val="24"/>
        </w:rPr>
        <w:t>“</w:t>
      </w:r>
      <w:r w:rsidRPr="00116441">
        <w:rPr>
          <w:rFonts w:ascii="Times New Roman" w:hAnsi="Times New Roman" w:cs="Times New Roman"/>
          <w:sz w:val="24"/>
          <w:szCs w:val="24"/>
        </w:rPr>
        <w:t xml:space="preserve">Electrify America consumes this general electric service and creates an entirely new product—EV charging services. This is exemplified by the fact that neither Georgia Power nor </w:t>
      </w:r>
      <w:proofErr w:type="spellStart"/>
      <w:r w:rsidRPr="00116441">
        <w:rPr>
          <w:rFonts w:ascii="Times New Roman" w:hAnsi="Times New Roman" w:cs="Times New Roman"/>
          <w:sz w:val="24"/>
          <w:szCs w:val="24"/>
        </w:rPr>
        <w:t>Sawnee</w:t>
      </w:r>
      <w:proofErr w:type="spellEnd"/>
      <w:r w:rsidRPr="00116441">
        <w:rPr>
          <w:rFonts w:ascii="Times New Roman" w:hAnsi="Times New Roman" w:cs="Times New Roman"/>
          <w:sz w:val="24"/>
          <w:szCs w:val="24"/>
        </w:rPr>
        <w:t xml:space="preserve"> can provide the same EV charging product that Electrify America provides to its customers.</w:t>
      </w:r>
      <w:r w:rsidR="004A18FE">
        <w:rPr>
          <w:rFonts w:ascii="Times New Roman" w:hAnsi="Times New Roman" w:cs="Times New Roman"/>
          <w:sz w:val="24"/>
          <w:szCs w:val="24"/>
        </w:rPr>
        <w:t>”</w:t>
      </w:r>
      <w:r w:rsidRPr="00116441">
        <w:rPr>
          <w:rFonts w:ascii="Times New Roman" w:hAnsi="Times New Roman" w:cs="Times New Roman"/>
          <w:sz w:val="24"/>
          <w:szCs w:val="24"/>
          <w:vertAlign w:val="superscript"/>
        </w:rPr>
        <w:footnoteReference w:id="26"/>
      </w:r>
      <w:r w:rsidRPr="00116441">
        <w:rPr>
          <w:rFonts w:ascii="Times New Roman" w:hAnsi="Times New Roman" w:cs="Times New Roman"/>
          <w:sz w:val="24"/>
          <w:szCs w:val="24"/>
        </w:rPr>
        <w:t xml:space="preserve"> </w:t>
      </w:r>
    </w:p>
    <w:p w14:paraId="2735BE70" w14:textId="782E9703" w:rsidR="001B578D" w:rsidRDefault="00397F29" w:rsidP="00CF6472">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Tesla echoed Georgia Power and Electrify America by stating </w:t>
      </w:r>
      <w:r w:rsidR="008223AF">
        <w:rPr>
          <w:rFonts w:ascii="Times New Roman" w:hAnsi="Times New Roman" w:cs="Times New Roman"/>
          <w:sz w:val="24"/>
          <w:szCs w:val="24"/>
        </w:rPr>
        <w:t xml:space="preserve">that </w:t>
      </w:r>
      <w:r>
        <w:rPr>
          <w:rFonts w:ascii="Times New Roman" w:hAnsi="Times New Roman" w:cs="Times New Roman"/>
          <w:sz w:val="24"/>
          <w:szCs w:val="24"/>
        </w:rPr>
        <w:t>“</w:t>
      </w:r>
      <w:r w:rsidR="008223AF" w:rsidRPr="008223AF">
        <w:rPr>
          <w:rFonts w:ascii="Times New Roman" w:hAnsi="Times New Roman" w:cs="Times New Roman"/>
          <w:sz w:val="24"/>
          <w:szCs w:val="24"/>
        </w:rPr>
        <w:t>the load consumed by the rectifiers involved in the conversion process, which process is essential to EA’s ability to provide charging services, and which services are essential to the very purpose of EA’s premises, are required, by well-settled law, to be included in the premises load count.</w:t>
      </w:r>
      <w:r w:rsidR="008223AF">
        <w:rPr>
          <w:rStyle w:val="FootnoteReference"/>
          <w:rFonts w:ascii="Times New Roman" w:hAnsi="Times New Roman" w:cs="Times New Roman"/>
          <w:sz w:val="24"/>
          <w:szCs w:val="24"/>
        </w:rPr>
        <w:footnoteReference w:id="27"/>
      </w:r>
    </w:p>
    <w:p w14:paraId="53D79B57" w14:textId="77777777" w:rsidR="005878AC" w:rsidRPr="005878AC" w:rsidRDefault="005878AC" w:rsidP="00CF6472">
      <w:pPr>
        <w:spacing w:line="276" w:lineRule="auto"/>
        <w:ind w:firstLine="360"/>
        <w:jc w:val="both"/>
        <w:rPr>
          <w:rFonts w:ascii="Times New Roman" w:hAnsi="Times New Roman" w:cs="Times New Roman"/>
          <w:sz w:val="24"/>
          <w:szCs w:val="24"/>
        </w:rPr>
      </w:pPr>
      <w:proofErr w:type="spellStart"/>
      <w:r w:rsidRPr="005878AC">
        <w:rPr>
          <w:rFonts w:ascii="Times New Roman" w:hAnsi="Times New Roman" w:cs="Times New Roman"/>
          <w:sz w:val="24"/>
          <w:szCs w:val="24"/>
        </w:rPr>
        <w:t>Sawnee</w:t>
      </w:r>
      <w:proofErr w:type="spellEnd"/>
      <w:r w:rsidRPr="005878AC">
        <w:rPr>
          <w:rFonts w:ascii="Times New Roman" w:hAnsi="Times New Roman" w:cs="Times New Roman"/>
          <w:sz w:val="24"/>
          <w:szCs w:val="24"/>
        </w:rPr>
        <w:t xml:space="preserve"> claimed that Georgia Power cannot seek to bolster its load count by relying on the potential load of equipment that might be brought to the site and plugged in downstream of the rectifiers, i.e., the batteries contained in a third party’s electric vehicle. Such load would not be part of the Premises. Instead, electric vehicles “are inherently mobile resources that come and go.”</w:t>
      </w:r>
      <w:r w:rsidR="00C63682">
        <w:rPr>
          <w:rStyle w:val="FootnoteReference"/>
          <w:rFonts w:ascii="Times New Roman" w:hAnsi="Times New Roman" w:cs="Times New Roman"/>
          <w:sz w:val="24"/>
          <w:szCs w:val="24"/>
        </w:rPr>
        <w:footnoteReference w:id="28"/>
      </w:r>
      <w:r w:rsidR="00C63682">
        <w:rPr>
          <w:rFonts w:ascii="Times New Roman" w:hAnsi="Times New Roman" w:cs="Times New Roman"/>
          <w:sz w:val="24"/>
          <w:szCs w:val="24"/>
        </w:rPr>
        <w:t xml:space="preserve">  </w:t>
      </w:r>
      <w:proofErr w:type="spellStart"/>
      <w:r w:rsidR="00C63682">
        <w:rPr>
          <w:rFonts w:ascii="Times New Roman" w:hAnsi="Times New Roman" w:cs="Times New Roman"/>
          <w:sz w:val="24"/>
          <w:szCs w:val="24"/>
        </w:rPr>
        <w:t>Sawnee</w:t>
      </w:r>
      <w:proofErr w:type="spellEnd"/>
      <w:r w:rsidR="00C63682">
        <w:rPr>
          <w:rFonts w:ascii="Times New Roman" w:hAnsi="Times New Roman" w:cs="Times New Roman"/>
          <w:sz w:val="24"/>
          <w:szCs w:val="24"/>
        </w:rPr>
        <w:t xml:space="preserve"> stated that s</w:t>
      </w:r>
      <w:r w:rsidRPr="005878AC">
        <w:rPr>
          <w:rFonts w:ascii="Times New Roman" w:hAnsi="Times New Roman" w:cs="Times New Roman"/>
          <w:sz w:val="24"/>
          <w:szCs w:val="24"/>
        </w:rPr>
        <w:t>uch load—owned and controlled by third parties who might decide to drive to the site and plug in—would not be the load of the “premises.” Instead, it would be third-party load—the connected load of third parties’ off-site equipment, not the connected load of the Premises.</w:t>
      </w:r>
      <w:r w:rsidRPr="005878AC">
        <w:rPr>
          <w:rFonts w:ascii="Times New Roman" w:hAnsi="Times New Roman" w:cs="Times New Roman"/>
          <w:sz w:val="24"/>
          <w:szCs w:val="24"/>
          <w:vertAlign w:val="superscript"/>
        </w:rPr>
        <w:footnoteReference w:id="29"/>
      </w:r>
    </w:p>
    <w:p w14:paraId="116F2B7B" w14:textId="77777777" w:rsidR="005878AC" w:rsidRDefault="005878AC" w:rsidP="00CF6472">
      <w:pPr>
        <w:spacing w:line="276" w:lineRule="auto"/>
        <w:ind w:firstLine="360"/>
        <w:jc w:val="both"/>
        <w:rPr>
          <w:rFonts w:ascii="Times New Roman" w:hAnsi="Times New Roman" w:cs="Times New Roman"/>
          <w:sz w:val="24"/>
          <w:szCs w:val="24"/>
        </w:rPr>
      </w:pPr>
      <w:r w:rsidRPr="005878AC">
        <w:rPr>
          <w:rFonts w:ascii="Times New Roman" w:hAnsi="Times New Roman" w:cs="Times New Roman"/>
          <w:sz w:val="24"/>
          <w:szCs w:val="24"/>
        </w:rPr>
        <w:tab/>
        <w:t>However, as Georgia Power pointed out none of the connected load is contingent upon equipment being brought to the Premises by third parties. Commission precedent has rel</w:t>
      </w:r>
      <w:r w:rsidR="00836E4E">
        <w:rPr>
          <w:rFonts w:ascii="Times New Roman" w:hAnsi="Times New Roman" w:cs="Times New Roman"/>
          <w:sz w:val="24"/>
          <w:szCs w:val="24"/>
        </w:rPr>
        <w:t>ied</w:t>
      </w:r>
      <w:r w:rsidRPr="005878AC">
        <w:rPr>
          <w:rFonts w:ascii="Times New Roman" w:hAnsi="Times New Roman" w:cs="Times New Roman"/>
          <w:sz w:val="24"/>
          <w:szCs w:val="24"/>
        </w:rPr>
        <w:t xml:space="preserve"> on the nameplate capacity of connected equipment to determine connected load. All connected load is contingent </w:t>
      </w:r>
      <w:r w:rsidR="009917EC">
        <w:rPr>
          <w:rFonts w:ascii="Times New Roman" w:hAnsi="Times New Roman" w:cs="Times New Roman"/>
          <w:sz w:val="24"/>
          <w:szCs w:val="24"/>
        </w:rPr>
        <w:t xml:space="preserve">on </w:t>
      </w:r>
      <w:r w:rsidRPr="005878AC">
        <w:rPr>
          <w:rFonts w:ascii="Times New Roman" w:hAnsi="Times New Roman" w:cs="Times New Roman"/>
          <w:sz w:val="24"/>
          <w:szCs w:val="24"/>
        </w:rPr>
        <w:t xml:space="preserve">the equipment operating and the nameplate rating , serving as the connected load test serves to remove the unknown contingency of how frequently and intensively the equipment is used. </w:t>
      </w:r>
    </w:p>
    <w:p w14:paraId="70E3BD1C" w14:textId="727CCDE4" w:rsidR="00BB68A9" w:rsidRDefault="0041524B"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Based on </w:t>
      </w:r>
      <w:proofErr w:type="gramStart"/>
      <w:r>
        <w:rPr>
          <w:rFonts w:ascii="Times New Roman" w:hAnsi="Times New Roman" w:cs="Times New Roman"/>
          <w:sz w:val="24"/>
          <w:szCs w:val="24"/>
        </w:rPr>
        <w:t>the  Commission’s</w:t>
      </w:r>
      <w:proofErr w:type="gramEnd"/>
      <w:r>
        <w:rPr>
          <w:rFonts w:ascii="Times New Roman" w:hAnsi="Times New Roman" w:cs="Times New Roman"/>
          <w:sz w:val="24"/>
          <w:szCs w:val="24"/>
        </w:rPr>
        <w:t xml:space="preserve"> previous rulings, t</w:t>
      </w:r>
      <w:r w:rsidR="00103C69">
        <w:rPr>
          <w:rFonts w:ascii="Times New Roman" w:hAnsi="Times New Roman" w:cs="Times New Roman"/>
          <w:sz w:val="24"/>
          <w:szCs w:val="24"/>
        </w:rPr>
        <w:t>he Territorial Act</w:t>
      </w:r>
      <w:r>
        <w:rPr>
          <w:rFonts w:ascii="Times New Roman" w:hAnsi="Times New Roman" w:cs="Times New Roman"/>
          <w:sz w:val="24"/>
          <w:szCs w:val="24"/>
        </w:rPr>
        <w:t xml:space="preserve"> also</w:t>
      </w:r>
      <w:r w:rsidR="00103C69">
        <w:rPr>
          <w:rFonts w:ascii="Times New Roman" w:hAnsi="Times New Roman" w:cs="Times New Roman"/>
          <w:sz w:val="24"/>
          <w:szCs w:val="24"/>
        </w:rPr>
        <w:t xml:space="preserve"> </w:t>
      </w:r>
      <w:r w:rsidR="00717D47">
        <w:rPr>
          <w:rFonts w:ascii="Times New Roman" w:hAnsi="Times New Roman" w:cs="Times New Roman"/>
          <w:sz w:val="24"/>
          <w:szCs w:val="24"/>
        </w:rPr>
        <w:t>anticipates</w:t>
      </w:r>
      <w:r w:rsidR="00103C69">
        <w:rPr>
          <w:rFonts w:ascii="Times New Roman" w:hAnsi="Times New Roman" w:cs="Times New Roman"/>
          <w:sz w:val="24"/>
          <w:szCs w:val="24"/>
        </w:rPr>
        <w:t xml:space="preserve"> that a determination as to the amount of electric load to be served can be </w:t>
      </w:r>
      <w:r w:rsidR="00077FC6">
        <w:rPr>
          <w:rFonts w:ascii="Times New Roman" w:hAnsi="Times New Roman" w:cs="Times New Roman"/>
          <w:sz w:val="24"/>
          <w:szCs w:val="24"/>
        </w:rPr>
        <w:t>probable</w:t>
      </w:r>
      <w:r w:rsidR="00103C69">
        <w:rPr>
          <w:rFonts w:ascii="Times New Roman" w:hAnsi="Times New Roman" w:cs="Times New Roman"/>
          <w:sz w:val="24"/>
          <w:szCs w:val="24"/>
        </w:rPr>
        <w:t xml:space="preserve"> in nature.</w:t>
      </w:r>
      <w:r w:rsidR="002B13AF">
        <w:rPr>
          <w:rFonts w:ascii="Times New Roman" w:hAnsi="Times New Roman" w:cs="Times New Roman"/>
          <w:sz w:val="24"/>
          <w:szCs w:val="24"/>
        </w:rPr>
        <w:t xml:space="preserve"> </w:t>
      </w:r>
      <w:r w:rsidR="00B2289D">
        <w:rPr>
          <w:rFonts w:ascii="Times New Roman" w:hAnsi="Times New Roman" w:cs="Times New Roman"/>
          <w:sz w:val="24"/>
          <w:szCs w:val="24"/>
        </w:rPr>
        <w:t>In</w:t>
      </w:r>
      <w:r w:rsidR="00B77769">
        <w:rPr>
          <w:rFonts w:ascii="Times New Roman" w:hAnsi="Times New Roman" w:cs="Times New Roman"/>
          <w:sz w:val="24"/>
          <w:szCs w:val="24"/>
        </w:rPr>
        <w:t xml:space="preserve"> </w:t>
      </w:r>
      <w:r w:rsidR="00B2289D" w:rsidRPr="00B2289D">
        <w:rPr>
          <w:rFonts w:ascii="Times New Roman" w:hAnsi="Times New Roman" w:cs="Times New Roman"/>
          <w:i/>
          <w:sz w:val="24"/>
          <w:szCs w:val="24"/>
        </w:rPr>
        <w:t>Douglas County Electric Membership Corporation v. Georgia Power Company,</w:t>
      </w:r>
      <w:r w:rsidR="00B2289D" w:rsidRPr="00B2289D">
        <w:rPr>
          <w:rFonts w:ascii="Times New Roman" w:hAnsi="Times New Roman" w:cs="Times New Roman"/>
          <w:sz w:val="24"/>
          <w:szCs w:val="24"/>
        </w:rPr>
        <w:t xml:space="preserve"> </w:t>
      </w:r>
      <w:proofErr w:type="spellStart"/>
      <w:r w:rsidR="00B2289D" w:rsidRPr="00B2289D">
        <w:rPr>
          <w:rFonts w:ascii="Times New Roman" w:hAnsi="Times New Roman" w:cs="Times New Roman"/>
          <w:sz w:val="24"/>
          <w:szCs w:val="24"/>
        </w:rPr>
        <w:t>Dkt</w:t>
      </w:r>
      <w:proofErr w:type="spellEnd"/>
      <w:r w:rsidR="00B2289D" w:rsidRPr="00B2289D">
        <w:rPr>
          <w:rFonts w:ascii="Times New Roman" w:hAnsi="Times New Roman" w:cs="Times New Roman"/>
          <w:sz w:val="24"/>
          <w:szCs w:val="24"/>
        </w:rPr>
        <w:t>. No. 3686</w:t>
      </w:r>
      <w:r w:rsidR="00B77769">
        <w:rPr>
          <w:rFonts w:ascii="Times New Roman" w:hAnsi="Times New Roman" w:cs="Times New Roman"/>
          <w:sz w:val="24"/>
          <w:szCs w:val="24"/>
        </w:rPr>
        <w:t>,</w:t>
      </w:r>
      <w:r w:rsidR="00B2289D" w:rsidRPr="00B2289D">
        <w:rPr>
          <w:rFonts w:ascii="Times New Roman" w:hAnsi="Times New Roman" w:cs="Times New Roman"/>
          <w:sz w:val="24"/>
          <w:szCs w:val="24"/>
        </w:rPr>
        <w:t xml:space="preserve"> (June 8, 1988)</w:t>
      </w:r>
      <w:r w:rsidR="00B2289D">
        <w:rPr>
          <w:rFonts w:ascii="Times New Roman" w:hAnsi="Times New Roman" w:cs="Times New Roman"/>
          <w:sz w:val="24"/>
          <w:szCs w:val="24"/>
        </w:rPr>
        <w:t xml:space="preserve"> 7, the Commission </w:t>
      </w:r>
      <w:r w:rsidR="002B13AF">
        <w:rPr>
          <w:rFonts w:ascii="Times New Roman" w:hAnsi="Times New Roman" w:cs="Times New Roman"/>
          <w:sz w:val="24"/>
          <w:szCs w:val="24"/>
        </w:rPr>
        <w:t>held</w:t>
      </w:r>
      <w:r w:rsidR="00717D47">
        <w:rPr>
          <w:rFonts w:ascii="Times New Roman" w:hAnsi="Times New Roman" w:cs="Times New Roman"/>
          <w:sz w:val="24"/>
          <w:szCs w:val="24"/>
        </w:rPr>
        <w:t xml:space="preserve"> </w:t>
      </w:r>
      <w:r w:rsidR="002B13AF">
        <w:rPr>
          <w:rFonts w:ascii="Times New Roman" w:hAnsi="Times New Roman" w:cs="Times New Roman"/>
          <w:sz w:val="24"/>
          <w:szCs w:val="24"/>
        </w:rPr>
        <w:t xml:space="preserve"> ”</w:t>
      </w:r>
      <w:r w:rsidR="00BB68A9">
        <w:rPr>
          <w:rFonts w:ascii="Times New Roman" w:hAnsi="Times New Roman" w:cs="Times New Roman"/>
          <w:sz w:val="24"/>
          <w:szCs w:val="24"/>
        </w:rPr>
        <w:t xml:space="preserve">  …</w:t>
      </w:r>
      <w:r w:rsidR="00BB68A9" w:rsidRPr="00BB68A9">
        <w:rPr>
          <w:sz w:val="24"/>
          <w:szCs w:val="24"/>
        </w:rPr>
        <w:t xml:space="preserve"> </w:t>
      </w:r>
      <w:r w:rsidR="00BB68A9" w:rsidRPr="00BB68A9">
        <w:rPr>
          <w:rFonts w:ascii="Times New Roman" w:hAnsi="Times New Roman" w:cs="Times New Roman"/>
          <w:sz w:val="24"/>
          <w:szCs w:val="24"/>
        </w:rPr>
        <w:t>the Territorial Act contemplates that a determination as to the amount of electric load to be served can be prospective in nature. This is, of course, consistent with sound utility engineering practice. Unless a utility can make an estimate of the load to be furnished to a premises, it would n</w:t>
      </w:r>
      <w:r w:rsidR="00F92773">
        <w:rPr>
          <w:rFonts w:ascii="Times New Roman" w:hAnsi="Times New Roman" w:cs="Times New Roman"/>
          <w:sz w:val="24"/>
          <w:szCs w:val="24"/>
        </w:rPr>
        <w:t>o</w:t>
      </w:r>
      <w:r w:rsidR="00BB68A9" w:rsidRPr="00BB68A9">
        <w:rPr>
          <w:rFonts w:ascii="Times New Roman" w:hAnsi="Times New Roman" w:cs="Times New Roman"/>
          <w:sz w:val="24"/>
          <w:szCs w:val="24"/>
        </w:rPr>
        <w:t>t be in a position to determine the size and nature of the electric facilities, including lines, transformers and sub-stations, necessary to serve the new load. Any other construction of the Act would also require a customer to wait until the premises are completed and operational before obtaining electric service. This is clearly an impractical result.</w:t>
      </w:r>
      <w:r w:rsidR="0054764E">
        <w:rPr>
          <w:rFonts w:ascii="Times New Roman" w:hAnsi="Times New Roman" w:cs="Times New Roman"/>
          <w:sz w:val="24"/>
          <w:szCs w:val="24"/>
        </w:rPr>
        <w:t>”</w:t>
      </w:r>
      <w:r w:rsidR="00F92773">
        <w:rPr>
          <w:rStyle w:val="FootnoteReference"/>
          <w:rFonts w:ascii="Times New Roman" w:hAnsi="Times New Roman" w:cs="Times New Roman"/>
          <w:sz w:val="24"/>
          <w:szCs w:val="24"/>
        </w:rPr>
        <w:footnoteReference w:id="30"/>
      </w:r>
    </w:p>
    <w:p w14:paraId="6BDADA8C" w14:textId="77777777" w:rsidR="00833A9D" w:rsidRDefault="00833A9D" w:rsidP="007866C8">
      <w:pPr>
        <w:spacing w:after="0" w:line="276" w:lineRule="auto"/>
        <w:ind w:firstLine="360"/>
        <w:rPr>
          <w:rFonts w:ascii="Times New Roman" w:hAnsi="Times New Roman" w:cs="Times New Roman"/>
          <w:sz w:val="24"/>
          <w:szCs w:val="24"/>
        </w:rPr>
      </w:pPr>
    </w:p>
    <w:p w14:paraId="45FF24F8" w14:textId="77777777" w:rsidR="00105C50" w:rsidRDefault="00833A9D" w:rsidP="00CF6472">
      <w:pPr>
        <w:spacing w:after="0" w:line="276" w:lineRule="auto"/>
        <w:ind w:firstLine="360"/>
        <w:jc w:val="both"/>
        <w:rPr>
          <w:rFonts w:ascii="Times New Roman" w:hAnsi="Times New Roman" w:cs="Times New Roman"/>
          <w:sz w:val="24"/>
          <w:szCs w:val="24"/>
        </w:rPr>
      </w:pPr>
      <w:r w:rsidRPr="00833A9D">
        <w:rPr>
          <w:rFonts w:ascii="Times New Roman" w:hAnsi="Times New Roman" w:cs="Times New Roman"/>
          <w:sz w:val="24"/>
          <w:szCs w:val="24"/>
        </w:rPr>
        <w:t xml:space="preserve">In </w:t>
      </w:r>
      <w:r w:rsidRPr="00833A9D">
        <w:rPr>
          <w:rFonts w:ascii="Times New Roman" w:hAnsi="Times New Roman" w:cs="Times New Roman"/>
          <w:i/>
          <w:iCs/>
          <w:sz w:val="24"/>
          <w:szCs w:val="24"/>
        </w:rPr>
        <w:t xml:space="preserve">Troup Elec. </w:t>
      </w:r>
      <w:proofErr w:type="spellStart"/>
      <w:r w:rsidRPr="00833A9D">
        <w:rPr>
          <w:rFonts w:ascii="Times New Roman" w:hAnsi="Times New Roman" w:cs="Times New Roman"/>
          <w:i/>
          <w:iCs/>
          <w:sz w:val="24"/>
          <w:szCs w:val="24"/>
        </w:rPr>
        <w:t>Mbrshp</w:t>
      </w:r>
      <w:proofErr w:type="spellEnd"/>
      <w:r w:rsidRPr="00833A9D">
        <w:rPr>
          <w:rFonts w:ascii="Times New Roman" w:hAnsi="Times New Roman" w:cs="Times New Roman"/>
          <w:i/>
          <w:iCs/>
          <w:sz w:val="24"/>
          <w:szCs w:val="24"/>
        </w:rPr>
        <w:t>. Corp. v. Ga. Power Co.</w:t>
      </w:r>
      <w:r w:rsidRPr="00833A9D">
        <w:rPr>
          <w:rFonts w:ascii="Times New Roman" w:hAnsi="Times New Roman" w:cs="Times New Roman"/>
          <w:sz w:val="24"/>
          <w:szCs w:val="24"/>
        </w:rPr>
        <w:t>, the Commission sought to calculate the connected load of a newly constructed school to determine whether the facility qualified for the large load exception under the Act. The Commission rejected several methods of calculations</w:t>
      </w:r>
      <w:r w:rsidR="00385C58">
        <w:rPr>
          <w:rFonts w:ascii="Times New Roman" w:hAnsi="Times New Roman" w:cs="Times New Roman"/>
          <w:sz w:val="24"/>
          <w:szCs w:val="24"/>
        </w:rPr>
        <w:t xml:space="preserve"> and found</w:t>
      </w:r>
      <w:r w:rsidR="002100DA" w:rsidRPr="002100DA">
        <w:rPr>
          <w:rFonts w:ascii="Times New Roman" w:hAnsi="Times New Roman" w:cs="Times New Roman"/>
          <w:sz w:val="24"/>
          <w:szCs w:val="24"/>
        </w:rPr>
        <w:t xml:space="preserve"> “[</w:t>
      </w:r>
      <w:proofErr w:type="spellStart"/>
      <w:r w:rsidR="00385C58">
        <w:rPr>
          <w:rFonts w:ascii="Times New Roman" w:hAnsi="Times New Roman" w:cs="Times New Roman"/>
          <w:sz w:val="24"/>
          <w:szCs w:val="24"/>
        </w:rPr>
        <w:t>i</w:t>
      </w:r>
      <w:proofErr w:type="spellEnd"/>
      <w:r w:rsidR="002100DA" w:rsidRPr="002100DA">
        <w:rPr>
          <w:rFonts w:ascii="Times New Roman" w:hAnsi="Times New Roman" w:cs="Times New Roman"/>
          <w:sz w:val="24"/>
          <w:szCs w:val="24"/>
        </w:rPr>
        <w:t xml:space="preserve">]t is not the connected load of the empty structure nor the theoretical load if every receptacle were used. </w:t>
      </w:r>
      <w:r w:rsidR="002100DA" w:rsidRPr="002100DA">
        <w:rPr>
          <w:rFonts w:ascii="Times New Roman" w:hAnsi="Times New Roman" w:cs="Times New Roman"/>
          <w:sz w:val="24"/>
          <w:szCs w:val="24"/>
          <w:u w:val="single"/>
        </w:rPr>
        <w:t>Rather, it is the actual load at the time the premises begin operation. This calculation would include those items that would be plugged into receptacles in the ordinary course of the operations of the entity occupying the premises.</w:t>
      </w:r>
      <w:r w:rsidR="002100DA" w:rsidRPr="002100DA">
        <w:rPr>
          <w:rFonts w:ascii="Times New Roman" w:hAnsi="Times New Roman" w:cs="Times New Roman"/>
          <w:sz w:val="24"/>
          <w:szCs w:val="24"/>
        </w:rPr>
        <w:t>”</w:t>
      </w:r>
      <w:r w:rsidR="002100DA" w:rsidRPr="002100DA">
        <w:rPr>
          <w:rFonts w:ascii="Times New Roman" w:hAnsi="Times New Roman" w:cs="Times New Roman"/>
          <w:sz w:val="24"/>
          <w:szCs w:val="24"/>
          <w:vertAlign w:val="superscript"/>
        </w:rPr>
        <w:footnoteReference w:id="31"/>
      </w:r>
    </w:p>
    <w:p w14:paraId="683A1E86" w14:textId="77777777" w:rsidR="00451B3E" w:rsidRPr="00BB68A9" w:rsidRDefault="00385C58" w:rsidP="00CF6472">
      <w:pPr>
        <w:spacing w:after="0" w:line="276" w:lineRule="auto"/>
        <w:ind w:firstLine="360"/>
        <w:jc w:val="both"/>
        <w:rPr>
          <w:rFonts w:ascii="Times New Roman" w:hAnsi="Times New Roman" w:cs="Times New Roman"/>
          <w:sz w:val="24"/>
          <w:szCs w:val="24"/>
        </w:rPr>
      </w:pPr>
      <w:r w:rsidRPr="00BB68A9">
        <w:rPr>
          <w:rFonts w:ascii="Times New Roman" w:hAnsi="Times New Roman" w:cs="Times New Roman"/>
          <w:sz w:val="24"/>
          <w:szCs w:val="24"/>
        </w:rPr>
        <w:t xml:space="preserve"> </w:t>
      </w:r>
    </w:p>
    <w:p w14:paraId="18B1F21E" w14:textId="5B665D79" w:rsidR="00DF19F2" w:rsidRDefault="00CA193E" w:rsidP="00CF6472">
      <w:pPr>
        <w:spacing w:after="0" w:line="276" w:lineRule="auto"/>
        <w:ind w:firstLine="360"/>
        <w:jc w:val="both"/>
        <w:rPr>
          <w:rFonts w:ascii="Times New Roman" w:hAnsi="Times New Roman" w:cs="Times New Roman"/>
          <w:sz w:val="24"/>
          <w:szCs w:val="24"/>
          <w:u w:val="single"/>
        </w:rPr>
      </w:pPr>
      <w:r>
        <w:rPr>
          <w:rFonts w:ascii="Times New Roman" w:hAnsi="Times New Roman" w:cs="Times New Roman"/>
          <w:sz w:val="24"/>
          <w:szCs w:val="24"/>
        </w:rPr>
        <w:t>However, n</w:t>
      </w:r>
      <w:r w:rsidR="000A3E67">
        <w:rPr>
          <w:rFonts w:ascii="Times New Roman" w:hAnsi="Times New Roman" w:cs="Times New Roman"/>
          <w:sz w:val="24"/>
          <w:szCs w:val="24"/>
        </w:rPr>
        <w:t xml:space="preserve">o need exists for the Commission to determine whether the </w:t>
      </w:r>
      <w:r w:rsidR="00DD650B">
        <w:rPr>
          <w:rFonts w:ascii="Times New Roman" w:hAnsi="Times New Roman" w:cs="Times New Roman"/>
          <w:sz w:val="24"/>
          <w:szCs w:val="24"/>
        </w:rPr>
        <w:t xml:space="preserve">electrical </w:t>
      </w:r>
      <w:r w:rsidR="005E454F">
        <w:rPr>
          <w:rFonts w:ascii="Times New Roman" w:hAnsi="Times New Roman" w:cs="Times New Roman"/>
          <w:sz w:val="24"/>
          <w:szCs w:val="24"/>
        </w:rPr>
        <w:t>equipment,</w:t>
      </w:r>
      <w:r w:rsidR="00F153AD" w:rsidRPr="00BB68A9">
        <w:rPr>
          <w:rFonts w:ascii="Times New Roman" w:hAnsi="Times New Roman" w:cs="Times New Roman"/>
          <w:sz w:val="24"/>
          <w:szCs w:val="24"/>
        </w:rPr>
        <w:t xml:space="preserve"> such as th</w:t>
      </w:r>
      <w:r w:rsidR="00DD650B">
        <w:rPr>
          <w:rFonts w:ascii="Times New Roman" w:hAnsi="Times New Roman" w:cs="Times New Roman"/>
          <w:sz w:val="24"/>
          <w:szCs w:val="24"/>
        </w:rPr>
        <w:t>at</w:t>
      </w:r>
      <w:r w:rsidR="00F153AD" w:rsidRPr="00BB68A9">
        <w:rPr>
          <w:rFonts w:ascii="Times New Roman" w:hAnsi="Times New Roman" w:cs="Times New Roman"/>
          <w:sz w:val="24"/>
          <w:szCs w:val="24"/>
        </w:rPr>
        <w:t xml:space="preserve"> erected at the Premises</w:t>
      </w:r>
      <w:r w:rsidR="0053010B" w:rsidRPr="00BB68A9">
        <w:rPr>
          <w:rFonts w:ascii="Times New Roman" w:hAnsi="Times New Roman" w:cs="Times New Roman"/>
          <w:sz w:val="24"/>
          <w:szCs w:val="24"/>
        </w:rPr>
        <w:t>,</w:t>
      </w:r>
      <w:r w:rsidR="00717413">
        <w:rPr>
          <w:rFonts w:ascii="Times New Roman" w:hAnsi="Times New Roman" w:cs="Times New Roman"/>
          <w:sz w:val="24"/>
          <w:szCs w:val="24"/>
        </w:rPr>
        <w:t xml:space="preserve"> is prospective in nature or whether it</w:t>
      </w:r>
      <w:r w:rsidR="00F153AD" w:rsidRPr="00BB68A9">
        <w:rPr>
          <w:rFonts w:ascii="Times New Roman" w:hAnsi="Times New Roman" w:cs="Times New Roman"/>
          <w:sz w:val="24"/>
          <w:szCs w:val="24"/>
        </w:rPr>
        <w:t xml:space="preserve"> consume</w:t>
      </w:r>
      <w:r w:rsidR="00717413">
        <w:rPr>
          <w:rFonts w:ascii="Times New Roman" w:hAnsi="Times New Roman" w:cs="Times New Roman"/>
          <w:sz w:val="24"/>
          <w:szCs w:val="24"/>
        </w:rPr>
        <w:t>s</w:t>
      </w:r>
      <w:r w:rsidR="00F153AD" w:rsidRPr="00BB68A9">
        <w:rPr>
          <w:rFonts w:ascii="Times New Roman" w:hAnsi="Times New Roman" w:cs="Times New Roman"/>
          <w:sz w:val="24"/>
          <w:szCs w:val="24"/>
        </w:rPr>
        <w:t xml:space="preserve"> </w:t>
      </w:r>
      <w:r w:rsidR="00A30E83">
        <w:rPr>
          <w:rFonts w:ascii="Times New Roman" w:hAnsi="Times New Roman" w:cs="Times New Roman"/>
          <w:sz w:val="24"/>
          <w:szCs w:val="24"/>
        </w:rPr>
        <w:t>or</w:t>
      </w:r>
      <w:r w:rsidR="00F153AD" w:rsidRPr="00BB68A9">
        <w:rPr>
          <w:rFonts w:ascii="Times New Roman" w:hAnsi="Times New Roman" w:cs="Times New Roman"/>
          <w:sz w:val="24"/>
          <w:szCs w:val="24"/>
        </w:rPr>
        <w:t xml:space="preserve"> convert</w:t>
      </w:r>
      <w:r w:rsidR="00717413">
        <w:rPr>
          <w:rFonts w:ascii="Times New Roman" w:hAnsi="Times New Roman" w:cs="Times New Roman"/>
          <w:sz w:val="24"/>
          <w:szCs w:val="24"/>
        </w:rPr>
        <w:t>s</w:t>
      </w:r>
      <w:r w:rsidR="00F153AD" w:rsidRPr="00BB68A9">
        <w:rPr>
          <w:rFonts w:ascii="Times New Roman" w:hAnsi="Times New Roman" w:cs="Times New Roman"/>
          <w:sz w:val="24"/>
          <w:szCs w:val="24"/>
        </w:rPr>
        <w:t xml:space="preserve"> power for</w:t>
      </w:r>
      <w:r w:rsidR="00940623" w:rsidRPr="00BB68A9">
        <w:rPr>
          <w:rFonts w:ascii="Times New Roman" w:hAnsi="Times New Roman" w:cs="Times New Roman"/>
          <w:sz w:val="24"/>
          <w:szCs w:val="24"/>
        </w:rPr>
        <w:t xml:space="preserve"> the</w:t>
      </w:r>
      <w:r w:rsidR="0053010B" w:rsidRPr="00BB68A9">
        <w:rPr>
          <w:rFonts w:ascii="Times New Roman" w:hAnsi="Times New Roman" w:cs="Times New Roman"/>
          <w:sz w:val="24"/>
          <w:szCs w:val="24"/>
        </w:rPr>
        <w:t xml:space="preserve"> appropriate commercial</w:t>
      </w:r>
      <w:r w:rsidR="00F153AD" w:rsidRPr="00BB68A9">
        <w:rPr>
          <w:rFonts w:ascii="Times New Roman" w:hAnsi="Times New Roman" w:cs="Times New Roman"/>
          <w:sz w:val="24"/>
          <w:szCs w:val="24"/>
        </w:rPr>
        <w:t xml:space="preserve"> </w:t>
      </w:r>
      <w:r w:rsidR="00D948DB" w:rsidRPr="00BB68A9">
        <w:rPr>
          <w:rFonts w:ascii="Times New Roman" w:hAnsi="Times New Roman" w:cs="Times New Roman"/>
          <w:sz w:val="24"/>
          <w:szCs w:val="24"/>
        </w:rPr>
        <w:t>processes of</w:t>
      </w:r>
      <w:r w:rsidR="00F153AD" w:rsidRPr="00BB68A9">
        <w:rPr>
          <w:rFonts w:ascii="Times New Roman" w:hAnsi="Times New Roman" w:cs="Times New Roman"/>
          <w:sz w:val="24"/>
          <w:szCs w:val="24"/>
        </w:rPr>
        <w:t xml:space="preserve"> an EV charging station.</w:t>
      </w:r>
      <w:r w:rsidR="00127E7F" w:rsidRPr="00BB68A9">
        <w:rPr>
          <w:rFonts w:ascii="Times New Roman" w:hAnsi="Times New Roman" w:cs="Times New Roman"/>
          <w:sz w:val="24"/>
          <w:szCs w:val="24"/>
        </w:rPr>
        <w:t xml:space="preserve"> </w:t>
      </w:r>
      <w:r w:rsidR="00A30E83">
        <w:rPr>
          <w:rFonts w:ascii="Times New Roman" w:hAnsi="Times New Roman" w:cs="Times New Roman"/>
          <w:sz w:val="24"/>
          <w:szCs w:val="24"/>
        </w:rPr>
        <w:t xml:space="preserve">The power cabinets and charging apparatus </w:t>
      </w:r>
      <w:r w:rsidR="00127E7F" w:rsidRPr="00BB68A9">
        <w:rPr>
          <w:rFonts w:ascii="Times New Roman" w:hAnsi="Times New Roman" w:cs="Times New Roman"/>
          <w:sz w:val="24"/>
          <w:szCs w:val="24"/>
        </w:rPr>
        <w:t xml:space="preserve">are </w:t>
      </w:r>
      <w:r w:rsidR="00E76E81" w:rsidRPr="00BB68A9">
        <w:rPr>
          <w:rFonts w:ascii="Times New Roman" w:hAnsi="Times New Roman" w:cs="Times New Roman"/>
          <w:sz w:val="24"/>
          <w:szCs w:val="24"/>
        </w:rPr>
        <w:t>hard wired</w:t>
      </w:r>
      <w:r w:rsidR="00A30E83">
        <w:rPr>
          <w:rFonts w:ascii="Times New Roman" w:hAnsi="Times New Roman" w:cs="Times New Roman"/>
          <w:sz w:val="24"/>
          <w:szCs w:val="24"/>
        </w:rPr>
        <w:t xml:space="preserve">, have a </w:t>
      </w:r>
      <w:proofErr w:type="gramStart"/>
      <w:r w:rsidR="00A30E83">
        <w:rPr>
          <w:rFonts w:ascii="Times New Roman" w:hAnsi="Times New Roman" w:cs="Times New Roman"/>
          <w:sz w:val="24"/>
          <w:szCs w:val="24"/>
        </w:rPr>
        <w:t>collective nameplate rat</w:t>
      </w:r>
      <w:r w:rsidR="00717413">
        <w:rPr>
          <w:rFonts w:ascii="Times New Roman" w:hAnsi="Times New Roman" w:cs="Times New Roman"/>
          <w:sz w:val="24"/>
          <w:szCs w:val="24"/>
        </w:rPr>
        <w:t>ing</w:t>
      </w:r>
      <w:r w:rsidR="00A30E83">
        <w:rPr>
          <w:rFonts w:ascii="Times New Roman" w:hAnsi="Times New Roman" w:cs="Times New Roman"/>
          <w:sz w:val="24"/>
          <w:szCs w:val="24"/>
        </w:rPr>
        <w:t>s</w:t>
      </w:r>
      <w:proofErr w:type="gramEnd"/>
      <w:r w:rsidR="00A30E83">
        <w:rPr>
          <w:rFonts w:ascii="Times New Roman" w:hAnsi="Times New Roman" w:cs="Times New Roman"/>
          <w:sz w:val="24"/>
          <w:szCs w:val="24"/>
        </w:rPr>
        <w:t xml:space="preserve"> that exceed 900kW</w:t>
      </w:r>
      <w:r w:rsidR="00127E7F" w:rsidRPr="00BB68A9">
        <w:rPr>
          <w:rFonts w:ascii="Times New Roman" w:hAnsi="Times New Roman" w:cs="Times New Roman"/>
          <w:sz w:val="24"/>
          <w:szCs w:val="24"/>
        </w:rPr>
        <w:t xml:space="preserve"> and</w:t>
      </w:r>
      <w:r w:rsidR="00717413">
        <w:rPr>
          <w:rFonts w:ascii="Times New Roman" w:hAnsi="Times New Roman" w:cs="Times New Roman"/>
          <w:sz w:val="24"/>
          <w:szCs w:val="24"/>
        </w:rPr>
        <w:t xml:space="preserve"> are</w:t>
      </w:r>
      <w:r w:rsidR="00A30E83">
        <w:rPr>
          <w:rFonts w:ascii="Times New Roman" w:hAnsi="Times New Roman" w:cs="Times New Roman"/>
          <w:sz w:val="24"/>
          <w:szCs w:val="24"/>
        </w:rPr>
        <w:t xml:space="preserve"> </w:t>
      </w:r>
      <w:r w:rsidR="002A08B1">
        <w:rPr>
          <w:rFonts w:ascii="Times New Roman" w:hAnsi="Times New Roman" w:cs="Times New Roman"/>
          <w:sz w:val="24"/>
          <w:szCs w:val="24"/>
        </w:rPr>
        <w:t>a vital</w:t>
      </w:r>
      <w:r w:rsidR="00DD650B">
        <w:rPr>
          <w:rFonts w:ascii="Times New Roman" w:hAnsi="Times New Roman" w:cs="Times New Roman"/>
          <w:sz w:val="24"/>
          <w:szCs w:val="24"/>
        </w:rPr>
        <w:t xml:space="preserve">, </w:t>
      </w:r>
      <w:r w:rsidR="002100DA">
        <w:rPr>
          <w:rFonts w:ascii="Times New Roman" w:hAnsi="Times New Roman" w:cs="Times New Roman"/>
          <w:sz w:val="24"/>
          <w:szCs w:val="24"/>
        </w:rPr>
        <w:t xml:space="preserve">necessary </w:t>
      </w:r>
      <w:r w:rsidR="002100DA" w:rsidRPr="00BB68A9">
        <w:rPr>
          <w:rFonts w:ascii="Times New Roman" w:hAnsi="Times New Roman" w:cs="Times New Roman"/>
          <w:sz w:val="24"/>
          <w:szCs w:val="24"/>
        </w:rPr>
        <w:t>part</w:t>
      </w:r>
      <w:r w:rsidR="00127E7F" w:rsidRPr="00BB68A9">
        <w:rPr>
          <w:rFonts w:ascii="Times New Roman" w:hAnsi="Times New Roman" w:cs="Times New Roman"/>
          <w:sz w:val="24"/>
          <w:szCs w:val="24"/>
        </w:rPr>
        <w:t xml:space="preserve"> of the initial full operation of the Premises.</w:t>
      </w:r>
      <w:r w:rsidR="005B57B5" w:rsidRPr="00BB68A9">
        <w:rPr>
          <w:rFonts w:ascii="Times New Roman" w:hAnsi="Times New Roman" w:cs="Times New Roman"/>
          <w:sz w:val="24"/>
          <w:szCs w:val="24"/>
        </w:rPr>
        <w:t xml:space="preserve"> </w:t>
      </w:r>
      <w:r w:rsidR="00DD650B">
        <w:rPr>
          <w:rFonts w:ascii="Times New Roman" w:hAnsi="Times New Roman" w:cs="Times New Roman"/>
          <w:sz w:val="24"/>
          <w:szCs w:val="24"/>
        </w:rPr>
        <w:t>Most compelling is t</w:t>
      </w:r>
      <w:r w:rsidR="002F3A1A" w:rsidRPr="00BB68A9">
        <w:rPr>
          <w:rFonts w:ascii="Times New Roman" w:hAnsi="Times New Roman" w:cs="Times New Roman"/>
          <w:sz w:val="24"/>
          <w:szCs w:val="24"/>
        </w:rPr>
        <w:t xml:space="preserve">he Commission </w:t>
      </w:r>
      <w:r w:rsidR="005554F2">
        <w:rPr>
          <w:rFonts w:ascii="Times New Roman" w:hAnsi="Times New Roman" w:cs="Times New Roman"/>
          <w:sz w:val="24"/>
          <w:szCs w:val="24"/>
        </w:rPr>
        <w:t>decision</w:t>
      </w:r>
      <w:r>
        <w:rPr>
          <w:rFonts w:ascii="Times New Roman" w:hAnsi="Times New Roman" w:cs="Times New Roman"/>
          <w:sz w:val="24"/>
          <w:szCs w:val="24"/>
        </w:rPr>
        <w:t xml:space="preserve"> </w:t>
      </w:r>
      <w:r>
        <w:rPr>
          <w:rFonts w:ascii="Times New Roman" w:hAnsi="Times New Roman" w:cs="Times New Roman"/>
          <w:i/>
          <w:sz w:val="24"/>
          <w:szCs w:val="24"/>
        </w:rPr>
        <w:t>Sumter</w:t>
      </w:r>
      <w:r w:rsidR="005554F2">
        <w:rPr>
          <w:rFonts w:ascii="Times New Roman" w:hAnsi="Times New Roman" w:cs="Times New Roman"/>
          <w:sz w:val="24"/>
          <w:szCs w:val="24"/>
        </w:rPr>
        <w:t xml:space="preserve"> which </w:t>
      </w:r>
      <w:r w:rsidR="005B57B5" w:rsidRPr="00BB68A9">
        <w:rPr>
          <w:rFonts w:ascii="Times New Roman" w:hAnsi="Times New Roman" w:cs="Times New Roman"/>
          <w:sz w:val="24"/>
          <w:szCs w:val="24"/>
        </w:rPr>
        <w:t>held</w:t>
      </w:r>
      <w:r w:rsidR="002F3A1A" w:rsidRPr="00BB68A9">
        <w:rPr>
          <w:rFonts w:ascii="Times New Roman" w:hAnsi="Times New Roman" w:cs="Times New Roman"/>
          <w:sz w:val="24"/>
          <w:szCs w:val="24"/>
        </w:rPr>
        <w:t xml:space="preserve"> </w:t>
      </w:r>
      <w:r w:rsidR="002F3A1A" w:rsidRPr="005554F2">
        <w:rPr>
          <w:rFonts w:ascii="Times New Roman" w:hAnsi="Times New Roman" w:cs="Times New Roman"/>
          <w:sz w:val="24"/>
          <w:szCs w:val="24"/>
          <w:u w:val="single"/>
        </w:rPr>
        <w:t>“actual close physical inspection and name-plate data are generally always preferable and usually constitute the best evidence for calculation of connected load.”</w:t>
      </w:r>
      <w:r w:rsidR="00726482" w:rsidRPr="00BB68A9">
        <w:rPr>
          <w:rStyle w:val="FootnoteReference"/>
          <w:rFonts w:ascii="Times New Roman" w:hAnsi="Times New Roman" w:cs="Times New Roman"/>
          <w:sz w:val="24"/>
          <w:szCs w:val="24"/>
        </w:rPr>
        <w:footnoteReference w:id="32"/>
      </w:r>
    </w:p>
    <w:p w14:paraId="7DA230E7" w14:textId="77777777" w:rsidR="00F05A68" w:rsidRDefault="00F05A68" w:rsidP="00CF6472">
      <w:pPr>
        <w:spacing w:after="0" w:line="276" w:lineRule="auto"/>
        <w:ind w:firstLine="360"/>
        <w:jc w:val="both"/>
        <w:rPr>
          <w:rFonts w:ascii="Times New Roman" w:hAnsi="Times New Roman" w:cs="Times New Roman"/>
          <w:sz w:val="24"/>
          <w:szCs w:val="24"/>
          <w:u w:val="single"/>
        </w:rPr>
      </w:pPr>
    </w:p>
    <w:p w14:paraId="523AFD1C" w14:textId="5AEE22F2" w:rsidR="00F05A68" w:rsidRDefault="00F05A68" w:rsidP="00CF6472">
      <w:pPr>
        <w:spacing w:after="0" w:line="276" w:lineRule="auto"/>
        <w:ind w:firstLine="360"/>
        <w:jc w:val="both"/>
        <w:rPr>
          <w:rFonts w:ascii="Times New Roman" w:hAnsi="Times New Roman" w:cs="Times New Roman"/>
          <w:sz w:val="24"/>
          <w:szCs w:val="24"/>
          <w:u w:val="single"/>
        </w:rPr>
      </w:pPr>
      <w:r w:rsidRPr="009904F3">
        <w:rPr>
          <w:rFonts w:ascii="Times New Roman" w:hAnsi="Times New Roman" w:cs="Times New Roman"/>
          <w:sz w:val="24"/>
          <w:szCs w:val="24"/>
        </w:rPr>
        <w:t>The Commission opined in a case that followed</w:t>
      </w:r>
      <w:r w:rsidR="006F4D3A">
        <w:rPr>
          <w:rFonts w:ascii="Times New Roman" w:hAnsi="Times New Roman" w:cs="Times New Roman"/>
          <w:sz w:val="24"/>
          <w:szCs w:val="24"/>
          <w:u w:val="single"/>
        </w:rPr>
        <w:t xml:space="preserve"> </w:t>
      </w:r>
      <w:r w:rsidRPr="009904F3">
        <w:rPr>
          <w:rFonts w:ascii="Times New Roman" w:hAnsi="Times New Roman" w:cs="Times New Roman"/>
          <w:sz w:val="24"/>
          <w:szCs w:val="24"/>
        </w:rPr>
        <w:t>“[t]he underlying rationale of the</w:t>
      </w:r>
      <w:r w:rsidRPr="00F05A68">
        <w:rPr>
          <w:rFonts w:ascii="Times New Roman" w:hAnsi="Times New Roman" w:cs="Times New Roman"/>
          <w:sz w:val="24"/>
          <w:szCs w:val="24"/>
          <w:u w:val="single"/>
        </w:rPr>
        <w:t xml:space="preserve"> </w:t>
      </w:r>
      <w:r w:rsidRPr="00F05A68">
        <w:rPr>
          <w:rFonts w:ascii="Times New Roman" w:hAnsi="Times New Roman" w:cs="Times New Roman"/>
          <w:sz w:val="24"/>
          <w:szCs w:val="24"/>
          <w:u w:val="thick"/>
        </w:rPr>
        <w:t>Troup</w:t>
      </w:r>
      <w:r w:rsidRPr="00F05A68">
        <w:rPr>
          <w:rFonts w:ascii="Times New Roman" w:hAnsi="Times New Roman" w:cs="Times New Roman"/>
          <w:sz w:val="24"/>
          <w:szCs w:val="24"/>
          <w:u w:val="single"/>
        </w:rPr>
        <w:t xml:space="preserve"> </w:t>
      </w:r>
      <w:r w:rsidRPr="00F05A68">
        <w:rPr>
          <w:rFonts w:ascii="Times New Roman" w:hAnsi="Times New Roman" w:cs="Times New Roman"/>
          <w:sz w:val="24"/>
          <w:szCs w:val="24"/>
          <w:u w:val="thick"/>
        </w:rPr>
        <w:t>Electric</w:t>
      </w:r>
      <w:r w:rsidRPr="00F05A68">
        <w:rPr>
          <w:rFonts w:ascii="Times New Roman" w:hAnsi="Times New Roman" w:cs="Times New Roman"/>
          <w:sz w:val="24"/>
          <w:szCs w:val="24"/>
          <w:u w:val="single"/>
        </w:rPr>
        <w:t xml:space="preserve"> </w:t>
      </w:r>
      <w:r w:rsidRPr="00F05A68">
        <w:rPr>
          <w:rFonts w:ascii="Times New Roman" w:hAnsi="Times New Roman" w:cs="Times New Roman"/>
          <w:sz w:val="24"/>
          <w:szCs w:val="24"/>
          <w:u w:val="thick"/>
        </w:rPr>
        <w:t>Membership</w:t>
      </w:r>
      <w:r w:rsidRPr="00F05A68">
        <w:rPr>
          <w:rFonts w:ascii="Times New Roman" w:hAnsi="Times New Roman" w:cs="Times New Roman"/>
          <w:sz w:val="24"/>
          <w:szCs w:val="24"/>
          <w:u w:val="single"/>
        </w:rPr>
        <w:t xml:space="preserve"> </w:t>
      </w:r>
      <w:r w:rsidRPr="00F05A68">
        <w:rPr>
          <w:rFonts w:ascii="Times New Roman" w:hAnsi="Times New Roman" w:cs="Times New Roman"/>
          <w:sz w:val="24"/>
          <w:szCs w:val="24"/>
          <w:u w:val="thick"/>
        </w:rPr>
        <w:t>Corporation</w:t>
      </w:r>
      <w:r w:rsidRPr="00F05A68">
        <w:rPr>
          <w:rFonts w:ascii="Times New Roman" w:hAnsi="Times New Roman" w:cs="Times New Roman"/>
          <w:sz w:val="24"/>
          <w:szCs w:val="24"/>
          <w:u w:val="single"/>
        </w:rPr>
        <w:t xml:space="preserve"> </w:t>
      </w:r>
      <w:r w:rsidRPr="00774416">
        <w:rPr>
          <w:rFonts w:ascii="Times New Roman" w:hAnsi="Times New Roman" w:cs="Times New Roman"/>
          <w:sz w:val="24"/>
          <w:szCs w:val="24"/>
        </w:rPr>
        <w:t>case is that under the Territorial Act connected load is intended to mean the actual electric load that will be furnished to the premises at the time they begin operation…. [m]</w:t>
      </w:r>
      <w:proofErr w:type="spellStart"/>
      <w:r w:rsidRPr="00774416">
        <w:rPr>
          <w:rFonts w:ascii="Times New Roman" w:hAnsi="Times New Roman" w:cs="Times New Roman"/>
          <w:sz w:val="24"/>
          <w:szCs w:val="24"/>
        </w:rPr>
        <w:t>oreover</w:t>
      </w:r>
      <w:proofErr w:type="spellEnd"/>
      <w:r w:rsidRPr="00774416">
        <w:rPr>
          <w:rFonts w:ascii="Times New Roman" w:hAnsi="Times New Roman" w:cs="Times New Roman"/>
          <w:sz w:val="24"/>
          <w:szCs w:val="24"/>
        </w:rPr>
        <w:t>, as a practical matter an electric supplier cannot wait until motors are on the site and installed before determining the premises' connected load for the purpose of designing the facilities to handle that load.</w:t>
      </w:r>
      <w:r w:rsidR="0079351E">
        <w:rPr>
          <w:rFonts w:ascii="Times New Roman" w:hAnsi="Times New Roman" w:cs="Times New Roman"/>
          <w:sz w:val="24"/>
          <w:szCs w:val="24"/>
        </w:rPr>
        <w:t>”</w:t>
      </w:r>
      <w:r w:rsidRPr="00545915">
        <w:rPr>
          <w:rFonts w:ascii="Times New Roman" w:hAnsi="Times New Roman" w:cs="Times New Roman"/>
          <w:sz w:val="24"/>
          <w:szCs w:val="24"/>
          <w:vertAlign w:val="superscript"/>
        </w:rPr>
        <w:footnoteReference w:id="33"/>
      </w:r>
    </w:p>
    <w:p w14:paraId="3C0D0A4B" w14:textId="77777777" w:rsidR="00545915" w:rsidRDefault="00545915" w:rsidP="00CF6472">
      <w:pPr>
        <w:spacing w:after="0" w:line="276" w:lineRule="auto"/>
        <w:ind w:firstLine="360"/>
        <w:jc w:val="both"/>
        <w:rPr>
          <w:rFonts w:ascii="Times New Roman" w:hAnsi="Times New Roman" w:cs="Times New Roman"/>
          <w:sz w:val="24"/>
          <w:szCs w:val="24"/>
          <w:u w:val="single"/>
        </w:rPr>
      </w:pPr>
    </w:p>
    <w:p w14:paraId="5B50A108" w14:textId="77777777" w:rsidR="00545915" w:rsidRPr="005A7128" w:rsidRDefault="00545915" w:rsidP="00CF6472">
      <w:pPr>
        <w:spacing w:after="0" w:line="276" w:lineRule="auto"/>
        <w:ind w:firstLine="360"/>
        <w:jc w:val="both"/>
        <w:rPr>
          <w:rFonts w:ascii="Times New Roman" w:hAnsi="Times New Roman" w:cs="Times New Roman"/>
          <w:sz w:val="24"/>
          <w:szCs w:val="24"/>
        </w:rPr>
      </w:pPr>
      <w:r w:rsidRPr="005A7128">
        <w:rPr>
          <w:rFonts w:ascii="Times New Roman" w:hAnsi="Times New Roman" w:cs="Times New Roman"/>
          <w:sz w:val="24"/>
          <w:szCs w:val="24"/>
        </w:rPr>
        <w:lastRenderedPageBreak/>
        <w:t>No previous case in Georgia has addressed whether a rectifier constitutes connected load. The plain language of the large load exception requires a determination of “load” that is “connected” or hard-wired to the Premises. Commission precedent dictates the best avenue for determining how much load is connected is the nameplate capacity on the installed equipment. The Hearing Officer finds and concludes that the six power cabinets and four rectifiers are “connected load” within the meaning of that term contained in the Act because the nameplate rating on the equipment exceeds 900 kW at initial full operation.</w:t>
      </w:r>
    </w:p>
    <w:p w14:paraId="3F3E9C2E" w14:textId="77777777" w:rsidR="006409C3" w:rsidRDefault="006409C3" w:rsidP="006409C3">
      <w:pPr>
        <w:spacing w:after="0" w:line="276" w:lineRule="auto"/>
        <w:ind w:firstLine="360"/>
        <w:rPr>
          <w:rFonts w:ascii="Times New Roman" w:hAnsi="Times New Roman" w:cs="Times New Roman"/>
          <w:sz w:val="24"/>
          <w:szCs w:val="24"/>
        </w:rPr>
      </w:pPr>
    </w:p>
    <w:p w14:paraId="5FFA563E" w14:textId="77777777" w:rsidR="00E11EE1" w:rsidRPr="001B0040" w:rsidRDefault="00CA6961"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It is the conclusion of the </w:t>
      </w:r>
      <w:r w:rsidR="001E2C14">
        <w:rPr>
          <w:rFonts w:ascii="Times New Roman" w:hAnsi="Times New Roman" w:cs="Times New Roman"/>
          <w:sz w:val="24"/>
          <w:szCs w:val="24"/>
        </w:rPr>
        <w:t>Hearing Officer</w:t>
      </w:r>
      <w:r w:rsidR="002165F6">
        <w:rPr>
          <w:rFonts w:ascii="Times New Roman" w:hAnsi="Times New Roman" w:cs="Times New Roman"/>
          <w:sz w:val="24"/>
          <w:szCs w:val="24"/>
        </w:rPr>
        <w:t xml:space="preserve"> that the </w:t>
      </w:r>
      <w:r w:rsidR="002F01FE" w:rsidRPr="002F01FE">
        <w:rPr>
          <w:rFonts w:ascii="Times New Roman" w:hAnsi="Times New Roman" w:cs="Times New Roman"/>
          <w:sz w:val="24"/>
          <w:szCs w:val="24"/>
        </w:rPr>
        <w:t>nameplate label of the</w:t>
      </w:r>
      <w:r w:rsidR="002F01FE">
        <w:rPr>
          <w:rFonts w:ascii="Times New Roman" w:hAnsi="Times New Roman" w:cs="Times New Roman"/>
          <w:sz w:val="24"/>
          <w:szCs w:val="24"/>
        </w:rPr>
        <w:t xml:space="preserve"> connected</w:t>
      </w:r>
      <w:r w:rsidR="002F01FE" w:rsidRPr="002F01FE">
        <w:rPr>
          <w:rFonts w:ascii="Times New Roman" w:hAnsi="Times New Roman" w:cs="Times New Roman"/>
          <w:sz w:val="24"/>
          <w:szCs w:val="24"/>
        </w:rPr>
        <w:t xml:space="preserve"> electrical equipment is the determinative factor</w:t>
      </w:r>
      <w:r w:rsidR="002F01FE">
        <w:rPr>
          <w:rFonts w:ascii="Times New Roman" w:hAnsi="Times New Roman" w:cs="Times New Roman"/>
          <w:sz w:val="24"/>
          <w:szCs w:val="24"/>
        </w:rPr>
        <w:t xml:space="preserve"> and the appropriate metric </w:t>
      </w:r>
      <w:r w:rsidR="00005F6B">
        <w:rPr>
          <w:rFonts w:ascii="Times New Roman" w:hAnsi="Times New Roman" w:cs="Times New Roman"/>
          <w:sz w:val="24"/>
          <w:szCs w:val="24"/>
        </w:rPr>
        <w:t>for determining “connected load” under the Territorial Act.</w:t>
      </w:r>
      <w:r w:rsidR="009E3C9E" w:rsidRPr="009E3C9E">
        <w:rPr>
          <w:rFonts w:ascii="Times New Roman" w:hAnsi="Times New Roman" w:cs="Times New Roman"/>
          <w:sz w:val="24"/>
          <w:szCs w:val="24"/>
        </w:rPr>
        <w:t xml:space="preserve"> </w:t>
      </w:r>
      <w:r w:rsidR="007E2237">
        <w:rPr>
          <w:rFonts w:ascii="Times New Roman" w:hAnsi="Times New Roman" w:cs="Times New Roman"/>
          <w:sz w:val="24"/>
          <w:szCs w:val="24"/>
        </w:rPr>
        <w:t>T</w:t>
      </w:r>
      <w:r w:rsidR="009E3C9E" w:rsidRPr="009E3C9E">
        <w:rPr>
          <w:rFonts w:ascii="Times New Roman" w:hAnsi="Times New Roman" w:cs="Times New Roman"/>
          <w:sz w:val="24"/>
          <w:szCs w:val="24"/>
        </w:rPr>
        <w:t>he evidence demonstrates that all electrical equipment was fully installed on the date of the EV charging station at the system’s initial full operation.</w:t>
      </w:r>
      <w:r w:rsidR="002064EA" w:rsidRPr="002064EA">
        <w:rPr>
          <w:rFonts w:ascii="Times New Roman" w:hAnsi="Times New Roman" w:cs="Times New Roman"/>
          <w:sz w:val="24"/>
          <w:szCs w:val="24"/>
        </w:rPr>
        <w:t xml:space="preserve"> Following the Commission’s precedent in calculating connected load and because an electric supplier must be prepared to serve a facility as it is designed, </w:t>
      </w:r>
      <w:proofErr w:type="spellStart"/>
      <w:r w:rsidR="002064EA" w:rsidRPr="002064EA">
        <w:rPr>
          <w:rFonts w:ascii="Times New Roman" w:hAnsi="Times New Roman" w:cs="Times New Roman"/>
          <w:sz w:val="24"/>
          <w:szCs w:val="24"/>
        </w:rPr>
        <w:t>Sawnee</w:t>
      </w:r>
      <w:proofErr w:type="spellEnd"/>
      <w:r w:rsidR="002064EA" w:rsidRPr="002064EA">
        <w:rPr>
          <w:rFonts w:ascii="Times New Roman" w:hAnsi="Times New Roman" w:cs="Times New Roman"/>
          <w:sz w:val="24"/>
          <w:szCs w:val="24"/>
        </w:rPr>
        <w:t xml:space="preserve"> EMC’s theory for calculating connected load would leave the Premises wholly underserved</w:t>
      </w:r>
      <w:r w:rsidR="002064EA">
        <w:rPr>
          <w:rFonts w:ascii="Times New Roman" w:hAnsi="Times New Roman" w:cs="Times New Roman"/>
          <w:sz w:val="24"/>
          <w:szCs w:val="24"/>
        </w:rPr>
        <w:t>.</w:t>
      </w:r>
    </w:p>
    <w:p w14:paraId="21CB77F2" w14:textId="77777777" w:rsidR="0008147F" w:rsidRPr="00FA1A5B" w:rsidRDefault="0008147F" w:rsidP="003E2A45">
      <w:pPr>
        <w:spacing w:after="0" w:line="276" w:lineRule="auto"/>
        <w:rPr>
          <w:rFonts w:ascii="Times New Roman" w:hAnsi="Times New Roman" w:cs="Times New Roman"/>
          <w:sz w:val="24"/>
          <w:szCs w:val="24"/>
        </w:rPr>
      </w:pPr>
    </w:p>
    <w:p w14:paraId="15C53637" w14:textId="77777777" w:rsidR="00FA1A5B" w:rsidRPr="001C3825" w:rsidRDefault="002E0528" w:rsidP="00FA1A5B">
      <w:pPr>
        <w:spacing w:after="0" w:line="276" w:lineRule="auto"/>
        <w:ind w:firstLine="360"/>
        <w:rPr>
          <w:rFonts w:ascii="Times New Roman" w:hAnsi="Times New Roman" w:cs="Times New Roman"/>
          <w:b/>
          <w:sz w:val="24"/>
          <w:szCs w:val="24"/>
          <w:u w:val="single"/>
        </w:rPr>
      </w:pPr>
      <w:r>
        <w:rPr>
          <w:rFonts w:ascii="Times New Roman" w:hAnsi="Times New Roman" w:cs="Times New Roman"/>
          <w:b/>
          <w:sz w:val="24"/>
          <w:szCs w:val="24"/>
        </w:rPr>
        <w:t>B.</w:t>
      </w:r>
      <w:r>
        <w:rPr>
          <w:rFonts w:ascii="Times New Roman" w:hAnsi="Times New Roman" w:cs="Times New Roman"/>
          <w:b/>
          <w:sz w:val="24"/>
          <w:szCs w:val="24"/>
        </w:rPr>
        <w:tab/>
      </w:r>
      <w:r w:rsidR="00FA1A5B" w:rsidRPr="001C3825">
        <w:rPr>
          <w:rFonts w:ascii="Times New Roman" w:hAnsi="Times New Roman" w:cs="Times New Roman"/>
          <w:b/>
          <w:sz w:val="24"/>
          <w:szCs w:val="24"/>
          <w:u w:val="single"/>
        </w:rPr>
        <w:t>“</w:t>
      </w:r>
      <w:r w:rsidR="00DE1F5E" w:rsidRPr="001C3825">
        <w:rPr>
          <w:rFonts w:ascii="Times New Roman" w:hAnsi="Times New Roman" w:cs="Times New Roman"/>
          <w:b/>
          <w:sz w:val="24"/>
          <w:szCs w:val="24"/>
          <w:u w:val="single"/>
        </w:rPr>
        <w:t>One</w:t>
      </w:r>
      <w:r w:rsidR="00DE1F5E" w:rsidRPr="001C3825">
        <w:rPr>
          <w:rFonts w:ascii="Times New Roman" w:hAnsi="Times New Roman" w:cs="Times New Roman"/>
          <w:sz w:val="24"/>
          <w:szCs w:val="24"/>
          <w:u w:val="single"/>
        </w:rPr>
        <w:t xml:space="preserve"> </w:t>
      </w:r>
      <w:r w:rsidR="00FA1A5B" w:rsidRPr="001C3825">
        <w:rPr>
          <w:rFonts w:ascii="Times New Roman" w:hAnsi="Times New Roman" w:cs="Times New Roman"/>
          <w:b/>
          <w:sz w:val="24"/>
          <w:szCs w:val="24"/>
          <w:u w:val="single"/>
        </w:rPr>
        <w:t xml:space="preserve">Consumer” under the Georgia Territorial Act </w:t>
      </w:r>
    </w:p>
    <w:p w14:paraId="49BD9167" w14:textId="77777777" w:rsidR="009C21FB" w:rsidRDefault="009C21FB" w:rsidP="00FA1A5B">
      <w:pPr>
        <w:spacing w:after="0" w:line="276" w:lineRule="auto"/>
        <w:ind w:firstLine="360"/>
        <w:rPr>
          <w:rFonts w:ascii="Times New Roman" w:hAnsi="Times New Roman" w:cs="Times New Roman"/>
          <w:b/>
          <w:sz w:val="24"/>
          <w:szCs w:val="24"/>
        </w:rPr>
      </w:pPr>
    </w:p>
    <w:p w14:paraId="088009D1" w14:textId="77777777" w:rsidR="005E06D3" w:rsidRDefault="0032342C"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600916">
        <w:rPr>
          <w:rFonts w:ascii="Times New Roman" w:hAnsi="Times New Roman" w:cs="Times New Roman"/>
          <w:sz w:val="24"/>
          <w:szCs w:val="24"/>
        </w:rPr>
        <w:t>C</w:t>
      </w:r>
      <w:r>
        <w:rPr>
          <w:rFonts w:ascii="Times New Roman" w:hAnsi="Times New Roman" w:cs="Times New Roman"/>
          <w:sz w:val="24"/>
          <w:szCs w:val="24"/>
        </w:rPr>
        <w:t>onsumer” is also not</w:t>
      </w:r>
      <w:r w:rsidR="00F62724">
        <w:rPr>
          <w:rFonts w:ascii="Times New Roman" w:hAnsi="Times New Roman" w:cs="Times New Roman"/>
          <w:sz w:val="24"/>
          <w:szCs w:val="24"/>
        </w:rPr>
        <w:t xml:space="preserve"> statutorily</w:t>
      </w:r>
      <w:r>
        <w:rPr>
          <w:rFonts w:ascii="Times New Roman" w:hAnsi="Times New Roman" w:cs="Times New Roman"/>
          <w:sz w:val="24"/>
          <w:szCs w:val="24"/>
        </w:rPr>
        <w:t xml:space="preserve"> defined in the Territorial Act.</w:t>
      </w:r>
      <w:r w:rsidR="006901F7">
        <w:rPr>
          <w:rFonts w:ascii="Times New Roman" w:hAnsi="Times New Roman" w:cs="Times New Roman"/>
          <w:sz w:val="24"/>
          <w:szCs w:val="24"/>
        </w:rPr>
        <w:t xml:space="preserve"> </w:t>
      </w:r>
      <w:proofErr w:type="spellStart"/>
      <w:r w:rsidR="006901F7">
        <w:rPr>
          <w:rFonts w:ascii="Times New Roman" w:hAnsi="Times New Roman" w:cs="Times New Roman"/>
          <w:sz w:val="24"/>
          <w:szCs w:val="24"/>
        </w:rPr>
        <w:t>Sawnee</w:t>
      </w:r>
      <w:proofErr w:type="spellEnd"/>
      <w:r w:rsidR="006901F7">
        <w:rPr>
          <w:rFonts w:ascii="Times New Roman" w:hAnsi="Times New Roman" w:cs="Times New Roman"/>
          <w:sz w:val="24"/>
          <w:szCs w:val="24"/>
        </w:rPr>
        <w:t xml:space="preserve"> </w:t>
      </w:r>
      <w:r w:rsidR="00BA58FC">
        <w:rPr>
          <w:rFonts w:ascii="Times New Roman" w:hAnsi="Times New Roman" w:cs="Times New Roman"/>
          <w:sz w:val="24"/>
          <w:szCs w:val="24"/>
        </w:rPr>
        <w:t xml:space="preserve">argued that the Premises does not qualify for the large load exception for the reason that it is not </w:t>
      </w:r>
      <w:r w:rsidR="00BA58FC" w:rsidRPr="00507372">
        <w:rPr>
          <w:rFonts w:ascii="Times New Roman" w:hAnsi="Times New Roman" w:cs="Times New Roman"/>
          <w:sz w:val="24"/>
          <w:szCs w:val="24"/>
        </w:rPr>
        <w:t>“utilized by one customer</w:t>
      </w:r>
      <w:r w:rsidR="00BA58FC" w:rsidRPr="00751E3F">
        <w:rPr>
          <w:rFonts w:ascii="Times New Roman" w:hAnsi="Times New Roman" w:cs="Times New Roman"/>
          <w:sz w:val="24"/>
          <w:szCs w:val="24"/>
        </w:rPr>
        <w:t>”</w:t>
      </w:r>
      <w:r w:rsidR="00BA58FC">
        <w:rPr>
          <w:rFonts w:ascii="Times New Roman" w:hAnsi="Times New Roman" w:cs="Times New Roman"/>
          <w:sz w:val="24"/>
          <w:szCs w:val="24"/>
        </w:rPr>
        <w:t xml:space="preserve"> as required </w:t>
      </w:r>
      <w:r w:rsidR="00BD1DE3">
        <w:rPr>
          <w:rFonts w:ascii="Times New Roman" w:hAnsi="Times New Roman" w:cs="Times New Roman"/>
          <w:sz w:val="24"/>
          <w:szCs w:val="24"/>
        </w:rPr>
        <w:t>by the large load exception</w:t>
      </w:r>
      <w:r w:rsidR="00BA58FC">
        <w:rPr>
          <w:rFonts w:ascii="Times New Roman" w:hAnsi="Times New Roman" w:cs="Times New Roman"/>
          <w:sz w:val="24"/>
          <w:szCs w:val="24"/>
        </w:rPr>
        <w:t xml:space="preserve"> O.C.G.A.§ 46-3-</w:t>
      </w:r>
      <w:r w:rsidR="00F05054">
        <w:rPr>
          <w:rFonts w:ascii="Times New Roman" w:hAnsi="Times New Roman" w:cs="Times New Roman"/>
          <w:sz w:val="24"/>
          <w:szCs w:val="24"/>
        </w:rPr>
        <w:t>8</w:t>
      </w:r>
      <w:r w:rsidR="00BA58FC">
        <w:rPr>
          <w:rFonts w:ascii="Times New Roman" w:hAnsi="Times New Roman" w:cs="Times New Roman"/>
          <w:sz w:val="24"/>
          <w:szCs w:val="24"/>
        </w:rPr>
        <w:t>(a).</w:t>
      </w:r>
    </w:p>
    <w:p w14:paraId="330551E5" w14:textId="77777777" w:rsidR="005E06D3" w:rsidRDefault="005E06D3" w:rsidP="00CF6472">
      <w:pPr>
        <w:spacing w:after="0" w:line="276" w:lineRule="auto"/>
        <w:ind w:firstLine="360"/>
        <w:jc w:val="both"/>
        <w:rPr>
          <w:rFonts w:ascii="Times New Roman" w:hAnsi="Times New Roman" w:cs="Times New Roman"/>
          <w:sz w:val="24"/>
          <w:szCs w:val="24"/>
        </w:rPr>
      </w:pPr>
    </w:p>
    <w:p w14:paraId="6E239628" w14:textId="77777777" w:rsidR="00D01107" w:rsidRPr="00D01107" w:rsidRDefault="007E1801" w:rsidP="00CF6472">
      <w:pPr>
        <w:spacing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Sawnee</w:t>
      </w:r>
      <w:proofErr w:type="spellEnd"/>
      <w:r w:rsidR="00E679A9">
        <w:rPr>
          <w:rFonts w:ascii="Times New Roman" w:hAnsi="Times New Roman" w:cs="Times New Roman"/>
          <w:sz w:val="24"/>
          <w:szCs w:val="24"/>
        </w:rPr>
        <w:t xml:space="preserve"> </w:t>
      </w:r>
      <w:r w:rsidR="00600916">
        <w:rPr>
          <w:rFonts w:ascii="Times New Roman" w:hAnsi="Times New Roman" w:cs="Times New Roman"/>
          <w:sz w:val="24"/>
          <w:szCs w:val="24"/>
        </w:rPr>
        <w:t>relied</w:t>
      </w:r>
      <w:r>
        <w:rPr>
          <w:rFonts w:ascii="Times New Roman" w:hAnsi="Times New Roman" w:cs="Times New Roman"/>
          <w:sz w:val="24"/>
          <w:szCs w:val="24"/>
        </w:rPr>
        <w:t xml:space="preserve"> on the decision in</w:t>
      </w:r>
      <w:r w:rsidR="00640161" w:rsidRPr="00640161">
        <w:rPr>
          <w:rFonts w:ascii="Times New Roman" w:hAnsi="Times New Roman" w:cs="Times New Roman"/>
          <w:sz w:val="24"/>
          <w:szCs w:val="24"/>
        </w:rPr>
        <w:t xml:space="preserve"> </w:t>
      </w:r>
      <w:proofErr w:type="spellStart"/>
      <w:r w:rsidR="00640161" w:rsidRPr="00640161">
        <w:rPr>
          <w:rFonts w:ascii="Times New Roman" w:hAnsi="Times New Roman" w:cs="Times New Roman"/>
          <w:i/>
          <w:sz w:val="24"/>
          <w:szCs w:val="24"/>
        </w:rPr>
        <w:t>Sawnee</w:t>
      </w:r>
      <w:proofErr w:type="spellEnd"/>
      <w:r w:rsidR="00FA3E55" w:rsidRPr="005B57B5">
        <w:rPr>
          <w:rStyle w:val="FootnoteReference"/>
          <w:rFonts w:ascii="Times New Roman" w:hAnsi="Times New Roman" w:cs="Times New Roman"/>
          <w:sz w:val="24"/>
          <w:szCs w:val="24"/>
        </w:rPr>
        <w:footnoteReference w:id="34"/>
      </w:r>
      <w:r w:rsidR="00FA3E55">
        <w:rPr>
          <w:rFonts w:ascii="Times New Roman" w:hAnsi="Times New Roman" w:cs="Times New Roman"/>
          <w:i/>
          <w:sz w:val="24"/>
          <w:szCs w:val="24"/>
        </w:rPr>
        <w:t xml:space="preserve"> </w:t>
      </w:r>
      <w:r w:rsidR="00050392">
        <w:rPr>
          <w:rFonts w:ascii="Times New Roman" w:hAnsi="Times New Roman" w:cs="Times New Roman"/>
          <w:sz w:val="24"/>
          <w:szCs w:val="24"/>
        </w:rPr>
        <w:t>and the appeal that followed.</w:t>
      </w:r>
      <w:r w:rsidR="00640161" w:rsidRPr="00640161">
        <w:rPr>
          <w:rFonts w:ascii="Times New Roman" w:hAnsi="Times New Roman" w:cs="Times New Roman"/>
          <w:sz w:val="24"/>
          <w:szCs w:val="24"/>
        </w:rPr>
        <w:t xml:space="preserve"> </w:t>
      </w:r>
      <w:r w:rsidR="00084499">
        <w:rPr>
          <w:rFonts w:ascii="Times New Roman" w:hAnsi="Times New Roman" w:cs="Times New Roman"/>
          <w:sz w:val="24"/>
          <w:szCs w:val="24"/>
        </w:rPr>
        <w:t xml:space="preserve"> In</w:t>
      </w:r>
      <w:r w:rsidR="008D260B">
        <w:rPr>
          <w:rFonts w:ascii="Times New Roman" w:hAnsi="Times New Roman" w:cs="Times New Roman"/>
          <w:sz w:val="24"/>
          <w:szCs w:val="24"/>
        </w:rPr>
        <w:t xml:space="preserve"> </w:t>
      </w:r>
      <w:r w:rsidR="00A044BD">
        <w:rPr>
          <w:rFonts w:ascii="Times New Roman" w:hAnsi="Times New Roman" w:cs="Times New Roman"/>
          <w:sz w:val="24"/>
          <w:szCs w:val="24"/>
        </w:rPr>
        <w:t xml:space="preserve">the proceeding before the </w:t>
      </w:r>
      <w:r w:rsidR="002156BC">
        <w:rPr>
          <w:rFonts w:ascii="Times New Roman" w:hAnsi="Times New Roman" w:cs="Times New Roman"/>
          <w:sz w:val="24"/>
          <w:szCs w:val="24"/>
        </w:rPr>
        <w:t xml:space="preserve">Commission it considered </w:t>
      </w:r>
      <w:r w:rsidR="008D260B" w:rsidRPr="008D260B">
        <w:rPr>
          <w:rFonts w:ascii="Times New Roman" w:hAnsi="Times New Roman" w:cs="Times New Roman"/>
          <w:sz w:val="24"/>
          <w:szCs w:val="24"/>
        </w:rPr>
        <w:t>Georgia Power</w:t>
      </w:r>
      <w:r w:rsidR="002156BC">
        <w:rPr>
          <w:rFonts w:ascii="Times New Roman" w:hAnsi="Times New Roman" w:cs="Times New Roman"/>
          <w:sz w:val="24"/>
          <w:szCs w:val="24"/>
        </w:rPr>
        <w:t>’s</w:t>
      </w:r>
      <w:r w:rsidR="008D260B" w:rsidRPr="008D260B">
        <w:rPr>
          <w:rFonts w:ascii="Times New Roman" w:hAnsi="Times New Roman" w:cs="Times New Roman"/>
          <w:sz w:val="24"/>
          <w:szCs w:val="24"/>
        </w:rPr>
        <w:t xml:space="preserve"> provi</w:t>
      </w:r>
      <w:r w:rsidR="002156BC">
        <w:rPr>
          <w:rFonts w:ascii="Times New Roman" w:hAnsi="Times New Roman" w:cs="Times New Roman"/>
          <w:sz w:val="24"/>
          <w:szCs w:val="24"/>
        </w:rPr>
        <w:t>sion</w:t>
      </w:r>
      <w:r w:rsidR="000600A4">
        <w:rPr>
          <w:rFonts w:ascii="Times New Roman" w:hAnsi="Times New Roman" w:cs="Times New Roman"/>
          <w:sz w:val="24"/>
          <w:szCs w:val="24"/>
        </w:rPr>
        <w:t xml:space="preserve"> of</w:t>
      </w:r>
      <w:r w:rsidR="008D260B" w:rsidRPr="008D260B">
        <w:rPr>
          <w:rFonts w:ascii="Times New Roman" w:hAnsi="Times New Roman" w:cs="Times New Roman"/>
          <w:sz w:val="24"/>
          <w:szCs w:val="24"/>
        </w:rPr>
        <w:t xml:space="preserve"> electric service to the landlord of a 380-unit apartment complex. The landlord then distributed electricity to each of the 380 apartments</w:t>
      </w:r>
      <w:r w:rsidR="00BD1DE3">
        <w:rPr>
          <w:rFonts w:ascii="Times New Roman" w:hAnsi="Times New Roman" w:cs="Times New Roman"/>
          <w:sz w:val="24"/>
          <w:szCs w:val="24"/>
        </w:rPr>
        <w:t>.</w:t>
      </w:r>
      <w:r w:rsidR="00886B66">
        <w:rPr>
          <w:rFonts w:ascii="Times New Roman" w:hAnsi="Times New Roman" w:cs="Times New Roman"/>
          <w:sz w:val="24"/>
          <w:szCs w:val="24"/>
        </w:rPr>
        <w:t xml:space="preserve"> N</w:t>
      </w:r>
      <w:r w:rsidR="008D260B" w:rsidRPr="008D260B">
        <w:rPr>
          <w:rFonts w:ascii="Times New Roman" w:hAnsi="Times New Roman" w:cs="Times New Roman"/>
          <w:sz w:val="24"/>
          <w:szCs w:val="24"/>
        </w:rPr>
        <w:t xml:space="preserve">o single apartment had a connected load of 900 kW, but if the connected loads of all the apartments were combined, </w:t>
      </w:r>
      <w:r w:rsidR="00886B66">
        <w:rPr>
          <w:rFonts w:ascii="Times New Roman" w:hAnsi="Times New Roman" w:cs="Times New Roman"/>
          <w:sz w:val="24"/>
          <w:szCs w:val="24"/>
        </w:rPr>
        <w:t>it would</w:t>
      </w:r>
      <w:r w:rsidR="008D260B" w:rsidRPr="008D260B">
        <w:rPr>
          <w:rFonts w:ascii="Times New Roman" w:hAnsi="Times New Roman" w:cs="Times New Roman"/>
          <w:sz w:val="24"/>
          <w:szCs w:val="24"/>
        </w:rPr>
        <w:t xml:space="preserve"> </w:t>
      </w:r>
      <w:r w:rsidR="00D300DF">
        <w:rPr>
          <w:rFonts w:ascii="Times New Roman" w:hAnsi="Times New Roman" w:cs="Times New Roman"/>
          <w:sz w:val="24"/>
          <w:szCs w:val="24"/>
        </w:rPr>
        <w:t xml:space="preserve">have </w:t>
      </w:r>
      <w:r w:rsidR="008D260B" w:rsidRPr="008D260B">
        <w:rPr>
          <w:rFonts w:ascii="Times New Roman" w:hAnsi="Times New Roman" w:cs="Times New Roman"/>
          <w:sz w:val="24"/>
          <w:szCs w:val="24"/>
        </w:rPr>
        <w:t>exceed</w:t>
      </w:r>
      <w:r w:rsidR="00D300DF">
        <w:rPr>
          <w:rFonts w:ascii="Times New Roman" w:hAnsi="Times New Roman" w:cs="Times New Roman"/>
          <w:sz w:val="24"/>
          <w:szCs w:val="24"/>
        </w:rPr>
        <w:t>ed</w:t>
      </w:r>
      <w:r w:rsidR="008D260B" w:rsidRPr="008D260B">
        <w:rPr>
          <w:rFonts w:ascii="Times New Roman" w:hAnsi="Times New Roman" w:cs="Times New Roman"/>
          <w:sz w:val="24"/>
          <w:szCs w:val="24"/>
        </w:rPr>
        <w:t xml:space="preserve"> 900 kW.</w:t>
      </w:r>
      <w:r w:rsidR="00886B66">
        <w:rPr>
          <w:rStyle w:val="FootnoteReference"/>
          <w:rFonts w:ascii="Times New Roman" w:hAnsi="Times New Roman" w:cs="Times New Roman"/>
          <w:sz w:val="24"/>
          <w:szCs w:val="24"/>
        </w:rPr>
        <w:footnoteReference w:id="35"/>
      </w:r>
      <w:r w:rsidR="008D260B" w:rsidRPr="008D260B">
        <w:rPr>
          <w:rFonts w:ascii="Times New Roman" w:hAnsi="Times New Roman" w:cs="Times New Roman"/>
          <w:sz w:val="24"/>
          <w:szCs w:val="24"/>
        </w:rPr>
        <w:t xml:space="preserve"> Georgia Power argued that it was entitled to serve the apartment complex under the large load exception. One issue in the case was whether </w:t>
      </w:r>
      <w:r w:rsidR="00BC5AC8">
        <w:rPr>
          <w:rFonts w:ascii="Times New Roman" w:hAnsi="Times New Roman" w:cs="Times New Roman"/>
          <w:sz w:val="24"/>
          <w:szCs w:val="24"/>
        </w:rPr>
        <w:t>“</w:t>
      </w:r>
      <w:r w:rsidR="00070982">
        <w:rPr>
          <w:rFonts w:ascii="Times New Roman" w:hAnsi="Times New Roman" w:cs="Times New Roman"/>
          <w:sz w:val="24"/>
          <w:szCs w:val="24"/>
        </w:rPr>
        <w:t>D</w:t>
      </w:r>
      <w:r w:rsidR="00BC5AC8">
        <w:rPr>
          <w:rFonts w:ascii="Times New Roman" w:hAnsi="Times New Roman" w:cs="Times New Roman"/>
          <w:sz w:val="24"/>
          <w:szCs w:val="24"/>
        </w:rPr>
        <w:t xml:space="preserve">ominion, </w:t>
      </w:r>
      <w:r w:rsidR="008D260B" w:rsidRPr="008D260B">
        <w:rPr>
          <w:rFonts w:ascii="Times New Roman" w:hAnsi="Times New Roman" w:cs="Times New Roman"/>
          <w:sz w:val="24"/>
          <w:szCs w:val="24"/>
        </w:rPr>
        <w:t>the landlord, is the electric consumer or whether each tenant in each apartment is the electric consumer.”</w:t>
      </w:r>
      <w:r w:rsidR="00AB2A62">
        <w:rPr>
          <w:rStyle w:val="FootnoteReference"/>
          <w:rFonts w:ascii="Times New Roman" w:hAnsi="Times New Roman" w:cs="Times New Roman"/>
          <w:sz w:val="24"/>
          <w:szCs w:val="24"/>
        </w:rPr>
        <w:footnoteReference w:id="36"/>
      </w:r>
      <w:r w:rsidR="00125BF9">
        <w:rPr>
          <w:rFonts w:ascii="Times New Roman" w:hAnsi="Times New Roman" w:cs="Times New Roman"/>
          <w:sz w:val="24"/>
          <w:szCs w:val="24"/>
        </w:rPr>
        <w:t xml:space="preserve">  Overruling the Hearing Officer’s Initial </w:t>
      </w:r>
      <w:r w:rsidR="00FA3E55">
        <w:rPr>
          <w:rFonts w:ascii="Times New Roman" w:hAnsi="Times New Roman" w:cs="Times New Roman"/>
          <w:sz w:val="24"/>
          <w:szCs w:val="24"/>
        </w:rPr>
        <w:t>Decision</w:t>
      </w:r>
      <w:r w:rsidR="00125BF9">
        <w:rPr>
          <w:rFonts w:ascii="Times New Roman" w:hAnsi="Times New Roman" w:cs="Times New Roman"/>
          <w:sz w:val="24"/>
          <w:szCs w:val="24"/>
        </w:rPr>
        <w:t>, t</w:t>
      </w:r>
      <w:r w:rsidR="00D01107" w:rsidRPr="00D01107">
        <w:rPr>
          <w:rFonts w:ascii="Times New Roman" w:hAnsi="Times New Roman" w:cs="Times New Roman"/>
          <w:sz w:val="24"/>
          <w:szCs w:val="24"/>
        </w:rPr>
        <w:t>he Commission found that the landlord</w:t>
      </w:r>
      <w:r w:rsidR="0017033C">
        <w:rPr>
          <w:rFonts w:ascii="Times New Roman" w:hAnsi="Times New Roman" w:cs="Times New Roman"/>
          <w:sz w:val="24"/>
          <w:szCs w:val="24"/>
        </w:rPr>
        <w:t xml:space="preserve">, </w:t>
      </w:r>
      <w:r w:rsidR="001E2C14" w:rsidRPr="00D01107">
        <w:rPr>
          <w:rFonts w:ascii="Times New Roman" w:hAnsi="Times New Roman" w:cs="Times New Roman"/>
          <w:sz w:val="24"/>
          <w:szCs w:val="24"/>
        </w:rPr>
        <w:t>Dominion</w:t>
      </w:r>
      <w:r w:rsidR="001E2C14">
        <w:rPr>
          <w:rFonts w:ascii="Times New Roman" w:hAnsi="Times New Roman" w:cs="Times New Roman"/>
          <w:sz w:val="24"/>
          <w:szCs w:val="24"/>
        </w:rPr>
        <w:t xml:space="preserve">, </w:t>
      </w:r>
      <w:r w:rsidR="001E2C14" w:rsidRPr="00D01107">
        <w:rPr>
          <w:rFonts w:ascii="Times New Roman" w:hAnsi="Times New Roman" w:cs="Times New Roman"/>
          <w:sz w:val="24"/>
          <w:szCs w:val="24"/>
        </w:rPr>
        <w:t>had</w:t>
      </w:r>
      <w:r w:rsidR="00D01107" w:rsidRPr="00D01107">
        <w:rPr>
          <w:rFonts w:ascii="Times New Roman" w:hAnsi="Times New Roman" w:cs="Times New Roman"/>
          <w:sz w:val="24"/>
          <w:szCs w:val="24"/>
        </w:rPr>
        <w:t xml:space="preserve"> that relationship</w:t>
      </w:r>
      <w:r w:rsidR="00BD015B">
        <w:rPr>
          <w:rFonts w:ascii="Times New Roman" w:hAnsi="Times New Roman" w:cs="Times New Roman"/>
          <w:sz w:val="24"/>
          <w:szCs w:val="24"/>
        </w:rPr>
        <w:t>.</w:t>
      </w:r>
      <w:r w:rsidR="00D01107" w:rsidRPr="00D01107">
        <w:rPr>
          <w:rFonts w:ascii="Times New Roman" w:hAnsi="Times New Roman" w:cs="Times New Roman"/>
          <w:sz w:val="24"/>
          <w:szCs w:val="24"/>
        </w:rPr>
        <w:t xml:space="preserve"> </w:t>
      </w:r>
      <w:r w:rsidR="004F4EC0">
        <w:rPr>
          <w:rFonts w:ascii="Times New Roman" w:hAnsi="Times New Roman" w:cs="Times New Roman"/>
          <w:sz w:val="24"/>
          <w:szCs w:val="24"/>
        </w:rPr>
        <w:t>“</w:t>
      </w:r>
      <w:r w:rsidR="00D01107" w:rsidRPr="00D01107">
        <w:rPr>
          <w:rFonts w:ascii="Times New Roman" w:hAnsi="Times New Roman" w:cs="Times New Roman"/>
          <w:sz w:val="24"/>
          <w:szCs w:val="24"/>
        </w:rPr>
        <w:t>Dominion is the entity responsible for the payment to GPC for electrical service. Dominion made the application and contracted for service with GPC</w:t>
      </w:r>
      <w:r w:rsidR="00586913">
        <w:rPr>
          <w:rFonts w:ascii="Times New Roman" w:hAnsi="Times New Roman" w:cs="Times New Roman"/>
          <w:sz w:val="24"/>
          <w:szCs w:val="24"/>
        </w:rPr>
        <w:t>….</w:t>
      </w:r>
      <w:r w:rsidR="00D01107" w:rsidRPr="00D01107">
        <w:rPr>
          <w:rFonts w:ascii="Times New Roman" w:hAnsi="Times New Roman" w:cs="Times New Roman"/>
          <w:sz w:val="24"/>
          <w:szCs w:val="24"/>
        </w:rPr>
        <w:t>The tenants do</w:t>
      </w:r>
      <w:r w:rsidR="00586913">
        <w:rPr>
          <w:rFonts w:ascii="Times New Roman" w:hAnsi="Times New Roman" w:cs="Times New Roman"/>
          <w:sz w:val="24"/>
          <w:szCs w:val="24"/>
        </w:rPr>
        <w:t xml:space="preserve"> </w:t>
      </w:r>
      <w:r w:rsidR="00D01107" w:rsidRPr="00D01107">
        <w:rPr>
          <w:rFonts w:ascii="Times New Roman" w:hAnsi="Times New Roman" w:cs="Times New Roman"/>
          <w:sz w:val="24"/>
          <w:szCs w:val="24"/>
        </w:rPr>
        <w:t>not have any obligation to or relationship with GPC."</w:t>
      </w:r>
      <w:r w:rsidR="00D01107" w:rsidRPr="00D01107">
        <w:rPr>
          <w:rFonts w:ascii="Times New Roman" w:hAnsi="Times New Roman" w:cs="Times New Roman"/>
          <w:i/>
          <w:sz w:val="24"/>
          <w:szCs w:val="24"/>
        </w:rPr>
        <w:t xml:space="preserve"> </w:t>
      </w:r>
      <w:r w:rsidR="00D01107" w:rsidRPr="00D01107">
        <w:rPr>
          <w:rFonts w:ascii="Times New Roman" w:hAnsi="Times New Roman" w:cs="Times New Roman"/>
          <w:sz w:val="24"/>
          <w:szCs w:val="24"/>
        </w:rPr>
        <w:t>The Commission thus found that the apartment complex qualified for the large load exception.</w:t>
      </w:r>
    </w:p>
    <w:p w14:paraId="66445FCF" w14:textId="2E645004" w:rsidR="000E6503" w:rsidRDefault="00426F99"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Both</w:t>
      </w:r>
      <w:r w:rsidR="00227629">
        <w:rPr>
          <w:rFonts w:ascii="Times New Roman" w:hAnsi="Times New Roman" w:cs="Times New Roman"/>
          <w:sz w:val="24"/>
          <w:szCs w:val="24"/>
        </w:rPr>
        <w:t xml:space="preserve"> the </w:t>
      </w:r>
      <w:r w:rsidR="006B4B43">
        <w:rPr>
          <w:rFonts w:ascii="Times New Roman" w:hAnsi="Times New Roman" w:cs="Times New Roman"/>
          <w:sz w:val="24"/>
          <w:szCs w:val="24"/>
        </w:rPr>
        <w:t xml:space="preserve">Commission and </w:t>
      </w:r>
      <w:proofErr w:type="spellStart"/>
      <w:r w:rsidR="001E2C14">
        <w:rPr>
          <w:rFonts w:ascii="Times New Roman" w:hAnsi="Times New Roman" w:cs="Times New Roman"/>
          <w:sz w:val="24"/>
          <w:szCs w:val="24"/>
        </w:rPr>
        <w:t>Sawnee</w:t>
      </w:r>
      <w:proofErr w:type="spellEnd"/>
      <w:r w:rsidR="001E2C14">
        <w:rPr>
          <w:rFonts w:ascii="Times New Roman" w:hAnsi="Times New Roman" w:cs="Times New Roman"/>
          <w:sz w:val="24"/>
          <w:szCs w:val="24"/>
        </w:rPr>
        <w:t xml:space="preserve"> appealed</w:t>
      </w:r>
      <w:r w:rsidR="00D174AD">
        <w:rPr>
          <w:rFonts w:ascii="Times New Roman" w:hAnsi="Times New Roman" w:cs="Times New Roman"/>
          <w:sz w:val="24"/>
          <w:szCs w:val="24"/>
        </w:rPr>
        <w:t xml:space="preserve"> to the Georgia Supreme Court where </w:t>
      </w:r>
      <w:r w:rsidR="009513C1">
        <w:rPr>
          <w:rFonts w:ascii="Times New Roman" w:hAnsi="Times New Roman" w:cs="Times New Roman"/>
          <w:sz w:val="24"/>
          <w:szCs w:val="24"/>
        </w:rPr>
        <w:t>it</w:t>
      </w:r>
      <w:r w:rsidR="009513C1" w:rsidRPr="009513C1">
        <w:rPr>
          <w:rFonts w:ascii="Times New Roman" w:hAnsi="Times New Roman" w:cs="Times New Roman"/>
          <w:sz w:val="24"/>
          <w:szCs w:val="24"/>
        </w:rPr>
        <w:t xml:space="preserve"> concurred</w:t>
      </w:r>
      <w:r w:rsidR="006B4B43">
        <w:rPr>
          <w:rFonts w:ascii="Times New Roman" w:hAnsi="Times New Roman" w:cs="Times New Roman"/>
          <w:sz w:val="24"/>
          <w:szCs w:val="24"/>
        </w:rPr>
        <w:t>, in a consolidated opinion</w:t>
      </w:r>
      <w:r w:rsidR="00D20188">
        <w:rPr>
          <w:rFonts w:ascii="Times New Roman" w:hAnsi="Times New Roman" w:cs="Times New Roman"/>
          <w:sz w:val="24"/>
          <w:szCs w:val="24"/>
        </w:rPr>
        <w:t>,</w:t>
      </w:r>
      <w:r w:rsidR="006B4B43">
        <w:rPr>
          <w:rFonts w:ascii="Times New Roman" w:hAnsi="Times New Roman" w:cs="Times New Roman"/>
          <w:sz w:val="24"/>
          <w:szCs w:val="24"/>
        </w:rPr>
        <w:t xml:space="preserve"> </w:t>
      </w:r>
      <w:r w:rsidR="009513C1" w:rsidRPr="009513C1">
        <w:rPr>
          <w:rFonts w:ascii="Times New Roman" w:hAnsi="Times New Roman" w:cs="Times New Roman"/>
          <w:sz w:val="24"/>
          <w:szCs w:val="24"/>
        </w:rPr>
        <w:t>with the Hearing Officer that the consumers were the 380 individual tenants, who did not constitute “one consumer” as required under the large load exception.</w:t>
      </w:r>
      <w:r w:rsidR="00FA3180">
        <w:rPr>
          <w:rStyle w:val="FootnoteReference"/>
          <w:rFonts w:ascii="Times New Roman" w:hAnsi="Times New Roman" w:cs="Times New Roman"/>
          <w:sz w:val="24"/>
          <w:szCs w:val="24"/>
        </w:rPr>
        <w:footnoteReference w:id="37"/>
      </w:r>
      <w:r w:rsidR="00227AC2">
        <w:rPr>
          <w:rFonts w:ascii="Times New Roman" w:hAnsi="Times New Roman" w:cs="Times New Roman"/>
          <w:sz w:val="24"/>
          <w:szCs w:val="24"/>
        </w:rPr>
        <w:t xml:space="preserve"> </w:t>
      </w:r>
    </w:p>
    <w:p w14:paraId="681C7BF6" w14:textId="77777777" w:rsidR="000E6503" w:rsidRDefault="000E6503" w:rsidP="00CF6472">
      <w:pPr>
        <w:spacing w:after="0" w:line="276" w:lineRule="auto"/>
        <w:ind w:firstLine="360"/>
        <w:jc w:val="both"/>
        <w:rPr>
          <w:rFonts w:ascii="Times New Roman" w:hAnsi="Times New Roman" w:cs="Times New Roman"/>
          <w:sz w:val="24"/>
          <w:szCs w:val="24"/>
        </w:rPr>
      </w:pPr>
    </w:p>
    <w:p w14:paraId="27CC7E8F" w14:textId="77777777" w:rsidR="00227AC2" w:rsidRDefault="00227AC2"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this proceeding </w:t>
      </w:r>
      <w:proofErr w:type="spellStart"/>
      <w:r>
        <w:rPr>
          <w:rFonts w:ascii="Times New Roman" w:hAnsi="Times New Roman" w:cs="Times New Roman"/>
          <w:sz w:val="24"/>
          <w:szCs w:val="24"/>
        </w:rPr>
        <w:t>Sawnee</w:t>
      </w:r>
      <w:proofErr w:type="spellEnd"/>
      <w:r>
        <w:rPr>
          <w:rFonts w:ascii="Times New Roman" w:hAnsi="Times New Roman" w:cs="Times New Roman"/>
          <w:sz w:val="24"/>
          <w:szCs w:val="24"/>
        </w:rPr>
        <w:t xml:space="preserve"> concluded</w:t>
      </w:r>
      <w:r w:rsidR="00791B2E">
        <w:rPr>
          <w:rFonts w:ascii="Times New Roman" w:hAnsi="Times New Roman" w:cs="Times New Roman"/>
          <w:sz w:val="24"/>
          <w:szCs w:val="24"/>
        </w:rPr>
        <w:t xml:space="preserve">, based on </w:t>
      </w:r>
      <w:proofErr w:type="spellStart"/>
      <w:r w:rsidR="00791B2E">
        <w:rPr>
          <w:rFonts w:ascii="Times New Roman" w:hAnsi="Times New Roman" w:cs="Times New Roman"/>
          <w:i/>
          <w:sz w:val="24"/>
          <w:szCs w:val="24"/>
        </w:rPr>
        <w:t>Sawnee</w:t>
      </w:r>
      <w:proofErr w:type="spellEnd"/>
      <w:r w:rsidR="00791B2E">
        <w:rPr>
          <w:rFonts w:ascii="Times New Roman" w:hAnsi="Times New Roman" w:cs="Times New Roman"/>
          <w:i/>
          <w:sz w:val="24"/>
          <w:szCs w:val="24"/>
        </w:rPr>
        <w:t xml:space="preserve">, </w:t>
      </w:r>
      <w:r>
        <w:rPr>
          <w:rFonts w:ascii="Times New Roman" w:hAnsi="Times New Roman" w:cs="Times New Roman"/>
          <w:sz w:val="24"/>
          <w:szCs w:val="24"/>
        </w:rPr>
        <w:t>that</w:t>
      </w:r>
      <w:r w:rsidRPr="00227AC2">
        <w:rPr>
          <w:rFonts w:ascii="Times New Roman" w:hAnsi="Times New Roman"/>
          <w:sz w:val="24"/>
          <w:szCs w:val="24"/>
        </w:rPr>
        <w:t>,</w:t>
      </w:r>
      <w:r w:rsidRPr="00227AC2">
        <w:rPr>
          <w:rFonts w:ascii="Times New Roman" w:hAnsi="Times New Roman" w:cs="Times New Roman"/>
          <w:sz w:val="24"/>
          <w:szCs w:val="24"/>
        </w:rPr>
        <w:t xml:space="preserve"> aside from a minimal amount of power used by Electrify America to operate LCD panels and other ancillary equipment, electric vehicle owners who choose to drive up and plug their vehicles into Electrify America’s charging station are the consumers.</w:t>
      </w:r>
    </w:p>
    <w:p w14:paraId="6B2006E4" w14:textId="77777777" w:rsidR="00CD29E7" w:rsidRDefault="00CD29E7" w:rsidP="00227AC2">
      <w:pPr>
        <w:spacing w:after="0" w:line="276" w:lineRule="auto"/>
        <w:ind w:firstLine="360"/>
        <w:rPr>
          <w:rFonts w:ascii="Times New Roman" w:hAnsi="Times New Roman" w:cs="Times New Roman"/>
          <w:sz w:val="24"/>
          <w:szCs w:val="24"/>
        </w:rPr>
      </w:pPr>
    </w:p>
    <w:p w14:paraId="369574AF" w14:textId="1CE63751" w:rsidR="007769E4" w:rsidRDefault="00B37B5A" w:rsidP="00907547">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However, the Supreme Court held that “[t]</w:t>
      </w:r>
      <w:r w:rsidR="00CD29E7" w:rsidRPr="00CD29E7">
        <w:rPr>
          <w:rFonts w:ascii="Times New Roman" w:hAnsi="Times New Roman" w:cs="Times New Roman"/>
          <w:sz w:val="24"/>
          <w:szCs w:val="24"/>
        </w:rPr>
        <w:t>he undisputed facts show that Dominion</w:t>
      </w:r>
      <w:r w:rsidR="002C25EC">
        <w:rPr>
          <w:rFonts w:ascii="Times New Roman" w:hAnsi="Times New Roman" w:cs="Times New Roman"/>
          <w:sz w:val="24"/>
          <w:szCs w:val="24"/>
        </w:rPr>
        <w:t>….</w:t>
      </w:r>
      <w:r w:rsidR="00CD29E7" w:rsidRPr="00CD29E7">
        <w:rPr>
          <w:rFonts w:ascii="Times New Roman" w:hAnsi="Times New Roman" w:cs="Times New Roman"/>
          <w:sz w:val="24"/>
          <w:szCs w:val="24"/>
        </w:rPr>
        <w:t xml:space="preserve"> owns and operates a 380-unit apartment complex located within the assigned service territory of the </w:t>
      </w:r>
      <w:proofErr w:type="spellStart"/>
      <w:r w:rsidR="00CD29E7" w:rsidRPr="00CD29E7">
        <w:rPr>
          <w:rFonts w:ascii="Times New Roman" w:hAnsi="Times New Roman" w:cs="Times New Roman"/>
          <w:sz w:val="24"/>
          <w:szCs w:val="24"/>
        </w:rPr>
        <w:t>Sawnee</w:t>
      </w:r>
      <w:proofErr w:type="spellEnd"/>
      <w:r w:rsidR="00CD29E7" w:rsidRPr="00CD29E7">
        <w:rPr>
          <w:rFonts w:ascii="Times New Roman" w:hAnsi="Times New Roman" w:cs="Times New Roman"/>
          <w:sz w:val="24"/>
          <w:szCs w:val="24"/>
        </w:rPr>
        <w:t xml:space="preserve"> Electric Membership Corporation. Nonetheless, Dominion selected and contracted with Georgia Power to supply electric service to the complex, applying the large-load customer choice exception to the territorial act. Pursuant to that contract, Georgia Power installed a master or pass-through meter which measures the electric usage for the entire complex. Georgia Power bills Dominion for the total usage based on the master meter reading</w:t>
      </w:r>
      <w:r w:rsidR="00F35853">
        <w:rPr>
          <w:rFonts w:ascii="Times New Roman" w:hAnsi="Times New Roman" w:cs="Times New Roman"/>
          <w:sz w:val="24"/>
          <w:szCs w:val="24"/>
        </w:rPr>
        <w:t>…..</w:t>
      </w:r>
      <w:r w:rsidR="00CD29E7" w:rsidRPr="00CD29E7">
        <w:rPr>
          <w:rFonts w:ascii="Times New Roman" w:hAnsi="Times New Roman" w:cs="Times New Roman"/>
          <w:sz w:val="24"/>
          <w:szCs w:val="24"/>
        </w:rPr>
        <w:t xml:space="preserve"> </w:t>
      </w:r>
      <w:r w:rsidR="00CD29E7" w:rsidRPr="00CD29E7">
        <w:rPr>
          <w:rFonts w:ascii="Times New Roman" w:hAnsi="Times New Roman" w:cs="Times New Roman"/>
          <w:sz w:val="24"/>
          <w:szCs w:val="24"/>
          <w:u w:val="single"/>
        </w:rPr>
        <w:t>Dominion installed separate meters in each individual apartment, and it employs an outside company to read the separate meters and bill each tenant for their individual usage</w:t>
      </w:r>
      <w:r w:rsidR="00CD29E7" w:rsidRPr="00CD29E7">
        <w:rPr>
          <w:rFonts w:ascii="Times New Roman" w:hAnsi="Times New Roman" w:cs="Times New Roman"/>
          <w:sz w:val="24"/>
          <w:szCs w:val="24"/>
        </w:rPr>
        <w:t>.</w:t>
      </w:r>
      <w:r w:rsidR="00E0241D">
        <w:rPr>
          <w:rFonts w:ascii="Times New Roman" w:hAnsi="Times New Roman" w:cs="Times New Roman"/>
          <w:sz w:val="24"/>
          <w:szCs w:val="24"/>
        </w:rPr>
        <w:t>”</w:t>
      </w:r>
      <w:r w:rsidR="00CD29E7" w:rsidRPr="00CD29E7">
        <w:rPr>
          <w:rFonts w:ascii="Times New Roman" w:hAnsi="Times New Roman" w:cs="Times New Roman"/>
          <w:sz w:val="24"/>
          <w:szCs w:val="24"/>
        </w:rPr>
        <w:t xml:space="preserve"> (emphasis added)</w:t>
      </w:r>
      <w:r w:rsidR="00CD29E7">
        <w:rPr>
          <w:rStyle w:val="FootnoteReference"/>
          <w:rFonts w:ascii="Times New Roman" w:hAnsi="Times New Roman" w:cs="Times New Roman"/>
          <w:sz w:val="24"/>
          <w:szCs w:val="24"/>
        </w:rPr>
        <w:footnoteReference w:id="38"/>
      </w:r>
      <w:r w:rsidR="00907547">
        <w:rPr>
          <w:rFonts w:ascii="Times New Roman" w:hAnsi="Times New Roman" w:cs="Times New Roman"/>
          <w:sz w:val="24"/>
          <w:szCs w:val="24"/>
        </w:rPr>
        <w:t xml:space="preserve"> </w:t>
      </w:r>
      <w:r w:rsidR="00EE280E">
        <w:rPr>
          <w:rFonts w:ascii="Times New Roman" w:hAnsi="Times New Roman" w:cs="Times New Roman"/>
          <w:sz w:val="24"/>
          <w:szCs w:val="24"/>
        </w:rPr>
        <w:t>T</w:t>
      </w:r>
      <w:r w:rsidR="0038390E">
        <w:rPr>
          <w:rFonts w:ascii="Times New Roman" w:hAnsi="Times New Roman" w:cs="Times New Roman"/>
          <w:sz w:val="24"/>
          <w:szCs w:val="24"/>
        </w:rPr>
        <w:t xml:space="preserve">he Court held </w:t>
      </w:r>
      <w:r w:rsidR="003B7723" w:rsidRPr="003B7723">
        <w:rPr>
          <w:rFonts w:ascii="Times New Roman" w:hAnsi="Times New Roman" w:cs="Times New Roman"/>
          <w:sz w:val="24"/>
          <w:szCs w:val="24"/>
        </w:rPr>
        <w:t xml:space="preserve">that the large-load customer choice exception does not apply to the complex because the 380 individual tenants, each with separate meters, do not constitute "one consumer" with "single metered service" as contemplated by OCGA § 46-3-8(a). </w:t>
      </w:r>
    </w:p>
    <w:p w14:paraId="1EAA3DA2" w14:textId="77777777" w:rsidR="00EE280E" w:rsidRDefault="00EE280E" w:rsidP="00CF6472">
      <w:pPr>
        <w:spacing w:after="0" w:line="276" w:lineRule="auto"/>
        <w:jc w:val="both"/>
        <w:rPr>
          <w:rFonts w:ascii="Times New Roman" w:hAnsi="Times New Roman" w:cs="Times New Roman"/>
          <w:sz w:val="24"/>
          <w:szCs w:val="24"/>
        </w:rPr>
      </w:pPr>
    </w:p>
    <w:p w14:paraId="040B4473" w14:textId="0ECF6058" w:rsidR="00714E9D" w:rsidRDefault="007769E4" w:rsidP="00CF6472">
      <w:pPr>
        <w:spacing w:after="0"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Sawnee’s</w:t>
      </w:r>
      <w:proofErr w:type="spellEnd"/>
      <w:r>
        <w:rPr>
          <w:rFonts w:ascii="Times New Roman" w:hAnsi="Times New Roman" w:cs="Times New Roman"/>
          <w:sz w:val="24"/>
          <w:szCs w:val="24"/>
        </w:rPr>
        <w:t xml:space="preserve"> </w:t>
      </w:r>
      <w:r w:rsidR="0033130A">
        <w:rPr>
          <w:rFonts w:ascii="Times New Roman" w:hAnsi="Times New Roman" w:cs="Times New Roman"/>
          <w:sz w:val="24"/>
          <w:szCs w:val="24"/>
        </w:rPr>
        <w:t xml:space="preserve">dependence on </w:t>
      </w:r>
      <w:proofErr w:type="spellStart"/>
      <w:r w:rsidR="0033130A">
        <w:rPr>
          <w:rFonts w:ascii="Times New Roman" w:hAnsi="Times New Roman" w:cs="Times New Roman"/>
          <w:i/>
          <w:sz w:val="24"/>
          <w:szCs w:val="24"/>
        </w:rPr>
        <w:t>Sawnee</w:t>
      </w:r>
      <w:proofErr w:type="spellEnd"/>
      <w:r w:rsidR="0033130A">
        <w:rPr>
          <w:rFonts w:ascii="Times New Roman" w:hAnsi="Times New Roman" w:cs="Times New Roman"/>
          <w:i/>
          <w:sz w:val="24"/>
          <w:szCs w:val="24"/>
        </w:rPr>
        <w:t xml:space="preserve"> </w:t>
      </w:r>
      <w:r w:rsidR="0033130A">
        <w:rPr>
          <w:rFonts w:ascii="Times New Roman" w:hAnsi="Times New Roman" w:cs="Times New Roman"/>
          <w:sz w:val="24"/>
          <w:szCs w:val="24"/>
        </w:rPr>
        <w:t>to support it</w:t>
      </w:r>
      <w:r w:rsidR="00E74BF7">
        <w:rPr>
          <w:rFonts w:ascii="Times New Roman" w:hAnsi="Times New Roman" w:cs="Times New Roman"/>
          <w:sz w:val="24"/>
          <w:szCs w:val="24"/>
        </w:rPr>
        <w:t>s</w:t>
      </w:r>
      <w:r w:rsidR="0033130A">
        <w:rPr>
          <w:rFonts w:ascii="Times New Roman" w:hAnsi="Times New Roman" w:cs="Times New Roman"/>
          <w:sz w:val="24"/>
          <w:szCs w:val="24"/>
        </w:rPr>
        <w:t xml:space="preserve"> position that Electrify America is an entity other than the Supreme Court’s interpretation of “one customer” under the Territorial Act has been aptly refuted.</w:t>
      </w:r>
      <w:r w:rsidR="009326D2">
        <w:rPr>
          <w:rFonts w:ascii="Times New Roman" w:hAnsi="Times New Roman" w:cs="Times New Roman"/>
          <w:sz w:val="24"/>
          <w:szCs w:val="24"/>
        </w:rPr>
        <w:t xml:space="preserve"> </w:t>
      </w:r>
      <w:r w:rsidR="00714E9D" w:rsidRPr="00714E9D">
        <w:rPr>
          <w:rFonts w:ascii="Times New Roman" w:hAnsi="Times New Roman" w:cs="Times New Roman"/>
          <w:sz w:val="24"/>
          <w:szCs w:val="24"/>
        </w:rPr>
        <w:t xml:space="preserve">Electrify America cannot conceivably be considered a “landlord” </w:t>
      </w:r>
      <w:r w:rsidR="00925FC8" w:rsidRPr="00714E9D">
        <w:rPr>
          <w:rFonts w:ascii="Times New Roman" w:hAnsi="Times New Roman" w:cs="Times New Roman"/>
          <w:sz w:val="24"/>
          <w:szCs w:val="24"/>
        </w:rPr>
        <w:t>any more</w:t>
      </w:r>
      <w:r w:rsidR="00714E9D" w:rsidRPr="00714E9D">
        <w:rPr>
          <w:rFonts w:ascii="Times New Roman" w:hAnsi="Times New Roman" w:cs="Times New Roman"/>
          <w:sz w:val="24"/>
          <w:szCs w:val="24"/>
        </w:rPr>
        <w:t xml:space="preserve"> than EV drivers as “tenants.” </w:t>
      </w:r>
      <w:r w:rsidR="00F61D04">
        <w:rPr>
          <w:rFonts w:ascii="Times New Roman" w:hAnsi="Times New Roman" w:cs="Times New Roman"/>
          <w:sz w:val="24"/>
          <w:szCs w:val="24"/>
        </w:rPr>
        <w:t>The</w:t>
      </w:r>
      <w:r w:rsidR="00590E5A">
        <w:rPr>
          <w:rFonts w:ascii="Times New Roman" w:hAnsi="Times New Roman" w:cs="Times New Roman"/>
          <w:sz w:val="24"/>
          <w:szCs w:val="24"/>
        </w:rPr>
        <w:t xml:space="preserve"> fact that the tenants were separately metered was essential the Court’s ruling.</w:t>
      </w:r>
      <w:r w:rsidR="00834FE2">
        <w:rPr>
          <w:rFonts w:ascii="Times New Roman" w:hAnsi="Times New Roman" w:cs="Times New Roman"/>
          <w:sz w:val="24"/>
          <w:szCs w:val="24"/>
        </w:rPr>
        <w:t xml:space="preserve"> In this case</w:t>
      </w:r>
      <w:r w:rsidR="00742191">
        <w:rPr>
          <w:rFonts w:ascii="Times New Roman" w:hAnsi="Times New Roman" w:cs="Times New Roman"/>
          <w:sz w:val="24"/>
          <w:szCs w:val="24"/>
        </w:rPr>
        <w:t>,</w:t>
      </w:r>
      <w:r w:rsidR="00834FE2">
        <w:rPr>
          <w:rFonts w:ascii="Times New Roman" w:hAnsi="Times New Roman" w:cs="Times New Roman"/>
          <w:sz w:val="24"/>
          <w:szCs w:val="24"/>
        </w:rPr>
        <w:t xml:space="preserve"> Electrify America </w:t>
      </w:r>
      <w:r w:rsidR="00426F99">
        <w:rPr>
          <w:rFonts w:ascii="Times New Roman" w:hAnsi="Times New Roman" w:cs="Times New Roman"/>
          <w:sz w:val="24"/>
          <w:szCs w:val="24"/>
        </w:rPr>
        <w:t>has one single meter</w:t>
      </w:r>
      <w:r w:rsidR="00864FB6">
        <w:rPr>
          <w:rFonts w:ascii="Times New Roman" w:hAnsi="Times New Roman" w:cs="Times New Roman"/>
          <w:sz w:val="24"/>
          <w:szCs w:val="24"/>
        </w:rPr>
        <w:t xml:space="preserve"> which is not a master meter or pass thru meter</w:t>
      </w:r>
      <w:r w:rsidR="00426F99">
        <w:rPr>
          <w:rFonts w:ascii="Times New Roman" w:hAnsi="Times New Roman" w:cs="Times New Roman"/>
          <w:sz w:val="24"/>
          <w:szCs w:val="24"/>
        </w:rPr>
        <w:t>, is</w:t>
      </w:r>
      <w:r w:rsidR="002B09AA">
        <w:rPr>
          <w:rFonts w:ascii="Times New Roman" w:hAnsi="Times New Roman" w:cs="Times New Roman"/>
          <w:sz w:val="24"/>
          <w:szCs w:val="24"/>
        </w:rPr>
        <w:t xml:space="preserve"> </w:t>
      </w:r>
      <w:r w:rsidR="00004C8D">
        <w:rPr>
          <w:rFonts w:ascii="Times New Roman" w:hAnsi="Times New Roman" w:cs="Times New Roman"/>
          <w:sz w:val="24"/>
          <w:szCs w:val="24"/>
        </w:rPr>
        <w:t xml:space="preserve">contractually committed to Georgia Power for the electricity supply and is responsible </w:t>
      </w:r>
      <w:r w:rsidR="008B2AC6">
        <w:rPr>
          <w:rFonts w:ascii="Times New Roman" w:hAnsi="Times New Roman" w:cs="Times New Roman"/>
          <w:sz w:val="24"/>
          <w:szCs w:val="24"/>
        </w:rPr>
        <w:t>for</w:t>
      </w:r>
      <w:r w:rsidR="00004C8D">
        <w:rPr>
          <w:rFonts w:ascii="Times New Roman" w:hAnsi="Times New Roman" w:cs="Times New Roman"/>
          <w:sz w:val="24"/>
          <w:szCs w:val="24"/>
        </w:rPr>
        <w:t xml:space="preserve"> payment of that service.</w:t>
      </w:r>
      <w:r w:rsidR="008B2AC6">
        <w:rPr>
          <w:rFonts w:ascii="Times New Roman" w:hAnsi="Times New Roman" w:cs="Times New Roman"/>
          <w:sz w:val="24"/>
          <w:szCs w:val="24"/>
        </w:rPr>
        <w:t xml:space="preserve"> Georgia Power has no </w:t>
      </w:r>
      <w:r w:rsidR="00426F99">
        <w:rPr>
          <w:rFonts w:ascii="Times New Roman" w:hAnsi="Times New Roman" w:cs="Times New Roman"/>
          <w:sz w:val="24"/>
          <w:szCs w:val="24"/>
        </w:rPr>
        <w:t xml:space="preserve">direct or indirect </w:t>
      </w:r>
      <w:r w:rsidR="008B2AC6">
        <w:rPr>
          <w:rFonts w:ascii="Times New Roman" w:hAnsi="Times New Roman" w:cs="Times New Roman"/>
          <w:sz w:val="24"/>
          <w:szCs w:val="24"/>
        </w:rPr>
        <w:t>relationship with the EV driver.</w:t>
      </w:r>
      <w:r w:rsidR="00864FB6">
        <w:rPr>
          <w:rFonts w:ascii="Times New Roman" w:hAnsi="Times New Roman" w:cs="Times New Roman"/>
          <w:sz w:val="24"/>
          <w:szCs w:val="24"/>
        </w:rPr>
        <w:t xml:space="preserve"> </w:t>
      </w:r>
      <w:r w:rsidR="00177C7D">
        <w:rPr>
          <w:rFonts w:ascii="Times New Roman" w:hAnsi="Times New Roman" w:cs="Times New Roman"/>
          <w:sz w:val="24"/>
          <w:szCs w:val="24"/>
        </w:rPr>
        <w:t xml:space="preserve">Further, </w:t>
      </w:r>
      <w:r w:rsidR="00805571">
        <w:rPr>
          <w:rFonts w:ascii="Times New Roman" w:hAnsi="Times New Roman" w:cs="Times New Roman"/>
          <w:sz w:val="24"/>
          <w:szCs w:val="24"/>
        </w:rPr>
        <w:t>Electrify America</w:t>
      </w:r>
      <w:r w:rsidR="000E1A24">
        <w:rPr>
          <w:rFonts w:ascii="Times New Roman" w:hAnsi="Times New Roman" w:cs="Times New Roman"/>
          <w:sz w:val="24"/>
          <w:szCs w:val="24"/>
        </w:rPr>
        <w:t xml:space="preserve"> is offering, and the </w:t>
      </w:r>
      <w:r w:rsidR="00864FB6">
        <w:rPr>
          <w:rFonts w:ascii="Times New Roman" w:hAnsi="Times New Roman" w:cs="Times New Roman"/>
          <w:sz w:val="24"/>
          <w:szCs w:val="24"/>
        </w:rPr>
        <w:t>EV driver</w:t>
      </w:r>
      <w:r w:rsidR="007B7D1C">
        <w:rPr>
          <w:rFonts w:ascii="Times New Roman" w:hAnsi="Times New Roman" w:cs="Times New Roman"/>
          <w:sz w:val="24"/>
          <w:szCs w:val="24"/>
        </w:rPr>
        <w:t>s are</w:t>
      </w:r>
      <w:r w:rsidR="00864FB6">
        <w:rPr>
          <w:rFonts w:ascii="Times New Roman" w:hAnsi="Times New Roman" w:cs="Times New Roman"/>
          <w:sz w:val="24"/>
          <w:szCs w:val="24"/>
        </w:rPr>
        <w:t xml:space="preserve"> receiving</w:t>
      </w:r>
      <w:r w:rsidR="000E1A24">
        <w:rPr>
          <w:rFonts w:ascii="Times New Roman" w:hAnsi="Times New Roman" w:cs="Times New Roman"/>
          <w:sz w:val="24"/>
          <w:szCs w:val="24"/>
        </w:rPr>
        <w:t>,</w:t>
      </w:r>
      <w:r w:rsidR="00864FB6">
        <w:rPr>
          <w:rFonts w:ascii="Times New Roman" w:hAnsi="Times New Roman" w:cs="Times New Roman"/>
          <w:sz w:val="24"/>
          <w:szCs w:val="24"/>
        </w:rPr>
        <w:t xml:space="preserve"> a very discrete service</w:t>
      </w:r>
      <w:r w:rsidR="000E1A24">
        <w:rPr>
          <w:rFonts w:ascii="Times New Roman" w:hAnsi="Times New Roman" w:cs="Times New Roman"/>
          <w:sz w:val="24"/>
          <w:szCs w:val="24"/>
        </w:rPr>
        <w:t>:</w:t>
      </w:r>
      <w:r w:rsidR="007B7D1C">
        <w:rPr>
          <w:rFonts w:ascii="Times New Roman" w:hAnsi="Times New Roman" w:cs="Times New Roman"/>
          <w:sz w:val="24"/>
          <w:szCs w:val="24"/>
        </w:rPr>
        <w:t xml:space="preserve"> vehicle charging</w:t>
      </w:r>
      <w:r w:rsidR="000E1A24">
        <w:rPr>
          <w:rFonts w:ascii="Times New Roman" w:hAnsi="Times New Roman" w:cs="Times New Roman"/>
          <w:sz w:val="24"/>
          <w:szCs w:val="24"/>
        </w:rPr>
        <w:t xml:space="preserve">.  </w:t>
      </w:r>
      <w:r w:rsidR="00805571">
        <w:rPr>
          <w:rFonts w:ascii="Times New Roman" w:hAnsi="Times New Roman" w:cs="Times New Roman"/>
          <w:sz w:val="24"/>
          <w:szCs w:val="24"/>
        </w:rPr>
        <w:t>Electrify America</w:t>
      </w:r>
      <w:r w:rsidR="007B7D1C">
        <w:rPr>
          <w:rFonts w:ascii="Times New Roman" w:hAnsi="Times New Roman" w:cs="Times New Roman"/>
          <w:sz w:val="24"/>
          <w:szCs w:val="24"/>
        </w:rPr>
        <w:t xml:space="preserve"> is not offering, and the EV drivers are not receiving, </w:t>
      </w:r>
      <w:r w:rsidR="000E1A24">
        <w:rPr>
          <w:rFonts w:ascii="Times New Roman" w:hAnsi="Times New Roman" w:cs="Times New Roman"/>
          <w:sz w:val="24"/>
          <w:szCs w:val="24"/>
        </w:rPr>
        <w:t>retail</w:t>
      </w:r>
      <w:r w:rsidR="00864FB6">
        <w:rPr>
          <w:rFonts w:ascii="Times New Roman" w:hAnsi="Times New Roman" w:cs="Times New Roman"/>
          <w:sz w:val="24"/>
          <w:szCs w:val="24"/>
        </w:rPr>
        <w:t xml:space="preserve"> electric service.</w:t>
      </w:r>
      <w:r w:rsidR="008B2AC6">
        <w:rPr>
          <w:rFonts w:ascii="Times New Roman" w:hAnsi="Times New Roman" w:cs="Times New Roman"/>
          <w:sz w:val="24"/>
          <w:szCs w:val="24"/>
        </w:rPr>
        <w:t xml:space="preserve"> </w:t>
      </w:r>
    </w:p>
    <w:p w14:paraId="44AFCD73" w14:textId="27697CD3" w:rsidR="0015275B" w:rsidRDefault="0015275B" w:rsidP="00CF6472">
      <w:pPr>
        <w:spacing w:after="0" w:line="276" w:lineRule="auto"/>
        <w:ind w:firstLine="360"/>
        <w:jc w:val="both"/>
        <w:rPr>
          <w:rFonts w:ascii="Times New Roman" w:hAnsi="Times New Roman" w:cs="Times New Roman"/>
          <w:sz w:val="24"/>
          <w:szCs w:val="24"/>
        </w:rPr>
      </w:pPr>
    </w:p>
    <w:p w14:paraId="0072D797" w14:textId="77777777" w:rsidR="0015275B" w:rsidRDefault="0015275B" w:rsidP="00CF6472">
      <w:pPr>
        <w:spacing w:after="0" w:line="276" w:lineRule="auto"/>
        <w:ind w:firstLine="360"/>
        <w:jc w:val="both"/>
        <w:rPr>
          <w:rFonts w:ascii="Times New Roman" w:hAnsi="Times New Roman" w:cs="Times New Roman"/>
          <w:sz w:val="24"/>
          <w:szCs w:val="24"/>
        </w:rPr>
      </w:pPr>
    </w:p>
    <w:p w14:paraId="3F4DA607" w14:textId="77777777" w:rsidR="00817CC7" w:rsidRDefault="00817CC7" w:rsidP="00CF6472">
      <w:pPr>
        <w:spacing w:after="0" w:line="276" w:lineRule="auto"/>
        <w:jc w:val="both"/>
        <w:rPr>
          <w:rFonts w:ascii="Times New Roman" w:hAnsi="Times New Roman" w:cs="Times New Roman"/>
          <w:sz w:val="24"/>
          <w:szCs w:val="24"/>
        </w:rPr>
      </w:pPr>
    </w:p>
    <w:p w14:paraId="20E72181" w14:textId="77777777" w:rsidR="00817CC7" w:rsidRDefault="00223FFE"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The Hearing Officer finds and concludes</w:t>
      </w:r>
      <w:r w:rsidR="00717F31">
        <w:rPr>
          <w:rFonts w:ascii="Times New Roman" w:hAnsi="Times New Roman" w:cs="Times New Roman"/>
          <w:sz w:val="24"/>
          <w:szCs w:val="24"/>
        </w:rPr>
        <w:t xml:space="preserve"> that </w:t>
      </w:r>
      <w:r w:rsidR="00F3751B">
        <w:rPr>
          <w:rFonts w:ascii="Times New Roman" w:hAnsi="Times New Roman" w:cs="Times New Roman"/>
          <w:sz w:val="24"/>
          <w:szCs w:val="24"/>
        </w:rPr>
        <w:t>e</w:t>
      </w:r>
      <w:r w:rsidR="008147AB">
        <w:rPr>
          <w:rFonts w:ascii="Times New Roman" w:hAnsi="Times New Roman" w:cs="Times New Roman"/>
          <w:sz w:val="24"/>
          <w:szCs w:val="24"/>
        </w:rPr>
        <w:t>vidence</w:t>
      </w:r>
      <w:r w:rsidR="00717F31">
        <w:rPr>
          <w:rFonts w:ascii="Times New Roman" w:hAnsi="Times New Roman" w:cs="Times New Roman"/>
          <w:sz w:val="24"/>
          <w:szCs w:val="24"/>
        </w:rPr>
        <w:t xml:space="preserve"> provided in this </w:t>
      </w:r>
      <w:r w:rsidR="00EE280E">
        <w:rPr>
          <w:rFonts w:ascii="Times New Roman" w:hAnsi="Times New Roman" w:cs="Times New Roman"/>
          <w:sz w:val="24"/>
          <w:szCs w:val="24"/>
        </w:rPr>
        <w:t xml:space="preserve">proceeding </w:t>
      </w:r>
      <w:r>
        <w:rPr>
          <w:rFonts w:ascii="Times New Roman" w:hAnsi="Times New Roman" w:cs="Times New Roman"/>
          <w:sz w:val="24"/>
          <w:szCs w:val="24"/>
        </w:rPr>
        <w:t>demonstrated that Electrify America</w:t>
      </w:r>
      <w:r w:rsidR="00717F31">
        <w:rPr>
          <w:rFonts w:ascii="Times New Roman" w:hAnsi="Times New Roman" w:cs="Times New Roman"/>
          <w:sz w:val="24"/>
          <w:szCs w:val="24"/>
        </w:rPr>
        <w:t xml:space="preserve"> is one </w:t>
      </w:r>
      <w:r w:rsidR="00ED0F3F">
        <w:rPr>
          <w:rFonts w:ascii="Times New Roman" w:hAnsi="Times New Roman" w:cs="Times New Roman"/>
          <w:sz w:val="24"/>
          <w:szCs w:val="24"/>
        </w:rPr>
        <w:t>“</w:t>
      </w:r>
      <w:r w:rsidR="00717F31">
        <w:rPr>
          <w:rFonts w:ascii="Times New Roman" w:hAnsi="Times New Roman" w:cs="Times New Roman"/>
          <w:sz w:val="24"/>
          <w:szCs w:val="24"/>
        </w:rPr>
        <w:t>consumer</w:t>
      </w:r>
      <w:r w:rsidR="00ED0F3F">
        <w:rPr>
          <w:rFonts w:ascii="Times New Roman" w:hAnsi="Times New Roman" w:cs="Times New Roman"/>
          <w:sz w:val="24"/>
          <w:szCs w:val="24"/>
        </w:rPr>
        <w:t>” in accordance with the Territorial Act large load, customer choice exception.</w:t>
      </w:r>
    </w:p>
    <w:p w14:paraId="5DFD05DD" w14:textId="77777777" w:rsidR="00590E5A" w:rsidRDefault="00590E5A" w:rsidP="00CF6472">
      <w:pPr>
        <w:spacing w:after="0" w:line="276" w:lineRule="auto"/>
        <w:ind w:firstLine="360"/>
        <w:jc w:val="both"/>
        <w:rPr>
          <w:rFonts w:ascii="Times New Roman" w:hAnsi="Times New Roman" w:cs="Times New Roman"/>
          <w:sz w:val="24"/>
          <w:szCs w:val="24"/>
        </w:rPr>
      </w:pPr>
    </w:p>
    <w:p w14:paraId="4ED6CB5F" w14:textId="32CAB2EC" w:rsidR="008855FA" w:rsidRDefault="001C34C5" w:rsidP="00CF6472">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Georgia Power has met its burden of proof</w:t>
      </w:r>
      <w:r w:rsidR="00051BFE">
        <w:rPr>
          <w:rFonts w:ascii="Times New Roman" w:hAnsi="Times New Roman" w:cs="Times New Roman"/>
          <w:sz w:val="24"/>
          <w:szCs w:val="24"/>
        </w:rPr>
        <w:t xml:space="preserve"> in supporting the use of the Territorial Act’s large load exception and is lawfully serving Electrify America at the Premises.</w:t>
      </w:r>
      <w:r w:rsidR="00575CFC">
        <w:rPr>
          <w:rFonts w:ascii="Times New Roman" w:hAnsi="Times New Roman" w:cs="Times New Roman"/>
          <w:sz w:val="24"/>
          <w:szCs w:val="24"/>
        </w:rPr>
        <w:t xml:space="preserve"> Georgia Power has extended</w:t>
      </w:r>
      <w:r w:rsidR="00D0722D">
        <w:rPr>
          <w:rFonts w:ascii="Times New Roman" w:hAnsi="Times New Roman" w:cs="Times New Roman"/>
          <w:sz w:val="24"/>
          <w:szCs w:val="24"/>
        </w:rPr>
        <w:t xml:space="preserve"> </w:t>
      </w:r>
      <w:r w:rsidR="00D0722D" w:rsidRPr="00D0722D">
        <w:rPr>
          <w:rFonts w:ascii="Times New Roman" w:hAnsi="Times New Roman" w:cs="Times New Roman"/>
          <w:sz w:val="24"/>
          <w:szCs w:val="24"/>
        </w:rPr>
        <w:t>service to new premises, utilized by one consumer and having single-metered service and a connected load which, at the time of initial full operation of the premises, is 900 kilowatts or greater.”</w:t>
      </w:r>
    </w:p>
    <w:p w14:paraId="2144DE6B" w14:textId="77777777" w:rsidR="00717D47" w:rsidRDefault="00717D47" w:rsidP="00BF3C84">
      <w:pPr>
        <w:spacing w:after="0" w:line="276" w:lineRule="auto"/>
        <w:ind w:firstLine="360"/>
        <w:rPr>
          <w:rFonts w:ascii="Times New Roman" w:hAnsi="Times New Roman" w:cs="Times New Roman"/>
          <w:sz w:val="24"/>
          <w:szCs w:val="24"/>
        </w:rPr>
      </w:pPr>
    </w:p>
    <w:p w14:paraId="63739EE4" w14:textId="77777777" w:rsidR="00CD7E61" w:rsidRPr="00AD4E5F" w:rsidRDefault="00CD7E61" w:rsidP="00AD4E5F">
      <w:pPr>
        <w:pStyle w:val="ListParagraph"/>
        <w:numPr>
          <w:ilvl w:val="0"/>
          <w:numId w:val="1"/>
        </w:numPr>
        <w:rPr>
          <w:rFonts w:ascii="Times New Roman" w:hAnsi="Times New Roman" w:cs="Times New Roman"/>
          <w:b/>
          <w:sz w:val="24"/>
          <w:szCs w:val="24"/>
          <w:u w:val="single"/>
        </w:rPr>
      </w:pPr>
      <w:r w:rsidRPr="00AD4E5F">
        <w:rPr>
          <w:rFonts w:ascii="Times New Roman" w:hAnsi="Times New Roman" w:cs="Times New Roman"/>
          <w:b/>
          <w:sz w:val="24"/>
          <w:szCs w:val="24"/>
          <w:u w:val="single"/>
        </w:rPr>
        <w:t>Ordering Paragraphs</w:t>
      </w:r>
    </w:p>
    <w:p w14:paraId="65A37ED2" w14:textId="77777777" w:rsidR="00AD4E5F" w:rsidRPr="00AD4E5F" w:rsidRDefault="00AD4E5F" w:rsidP="00AD4E5F">
      <w:pPr>
        <w:pStyle w:val="ListParagraph"/>
        <w:ind w:left="1080"/>
        <w:rPr>
          <w:rFonts w:ascii="Times New Roman" w:hAnsi="Times New Roman" w:cs="Times New Roman"/>
          <w:sz w:val="24"/>
          <w:szCs w:val="24"/>
        </w:rPr>
      </w:pPr>
    </w:p>
    <w:p w14:paraId="4C453101" w14:textId="77777777" w:rsidR="00CD7E61" w:rsidRDefault="00CD7E61" w:rsidP="00CF6472">
      <w:pPr>
        <w:jc w:val="both"/>
        <w:rPr>
          <w:rFonts w:ascii="Times New Roman" w:hAnsi="Times New Roman" w:cs="Times New Roman"/>
          <w:sz w:val="24"/>
          <w:szCs w:val="24"/>
        </w:rPr>
      </w:pPr>
      <w:r w:rsidRPr="00BF1C2B">
        <w:rPr>
          <w:rFonts w:ascii="Times New Roman" w:hAnsi="Times New Roman" w:cs="Times New Roman"/>
          <w:b/>
          <w:sz w:val="24"/>
          <w:szCs w:val="24"/>
        </w:rPr>
        <w:t xml:space="preserve">WHEREFORE, </w:t>
      </w:r>
      <w:r w:rsidRPr="00BF1C2B">
        <w:rPr>
          <w:rFonts w:ascii="Times New Roman" w:hAnsi="Times New Roman" w:cs="Times New Roman"/>
          <w:sz w:val="24"/>
          <w:szCs w:val="24"/>
        </w:rPr>
        <w:t xml:space="preserve">the Petition of </w:t>
      </w:r>
      <w:proofErr w:type="spellStart"/>
      <w:r w:rsidR="00A74EEE">
        <w:rPr>
          <w:rFonts w:ascii="Times New Roman" w:hAnsi="Times New Roman" w:cs="Times New Roman"/>
          <w:sz w:val="24"/>
          <w:szCs w:val="24"/>
        </w:rPr>
        <w:t>Sawnee</w:t>
      </w:r>
      <w:proofErr w:type="spellEnd"/>
      <w:r w:rsidR="00A74EEE">
        <w:rPr>
          <w:rFonts w:ascii="Times New Roman" w:hAnsi="Times New Roman" w:cs="Times New Roman"/>
          <w:sz w:val="24"/>
          <w:szCs w:val="24"/>
        </w:rPr>
        <w:t xml:space="preserve"> claiming that Georgia Power </w:t>
      </w:r>
      <w:r w:rsidRPr="00BF1C2B">
        <w:rPr>
          <w:rFonts w:ascii="Times New Roman" w:hAnsi="Times New Roman" w:cs="Times New Roman"/>
          <w:sz w:val="24"/>
          <w:szCs w:val="24"/>
        </w:rPr>
        <w:t>is in violation of the Georgia Territorial Act is DENIED as the Hearing Officer finds</w:t>
      </w:r>
      <w:r w:rsidR="00223910">
        <w:rPr>
          <w:rFonts w:ascii="Times New Roman" w:hAnsi="Times New Roman" w:cs="Times New Roman"/>
          <w:sz w:val="24"/>
          <w:szCs w:val="24"/>
        </w:rPr>
        <w:t xml:space="preserve"> that Georgia Power is lawfully serving the Premises located at</w:t>
      </w:r>
      <w:r w:rsidR="00AC7C84" w:rsidRPr="00AC7C84">
        <w:rPr>
          <w:rFonts w:ascii="Times New Roman" w:hAnsi="Times New Roman" w:cs="Times New Roman"/>
          <w:sz w:val="24"/>
          <w:szCs w:val="24"/>
        </w:rPr>
        <w:t xml:space="preserve"> Johns Creek Town Center Shopping Mall, 3630 Peachtree Parkway, Suwanee, Georgia 30024</w:t>
      </w:r>
      <w:r w:rsidR="00AC7C84">
        <w:rPr>
          <w:rFonts w:ascii="Times New Roman" w:hAnsi="Times New Roman" w:cs="Times New Roman"/>
          <w:sz w:val="24"/>
          <w:szCs w:val="24"/>
        </w:rPr>
        <w:t xml:space="preserve"> </w:t>
      </w:r>
      <w:r w:rsidR="00ED5ADD">
        <w:rPr>
          <w:rFonts w:ascii="Times New Roman" w:hAnsi="Times New Roman" w:cs="Times New Roman"/>
          <w:sz w:val="24"/>
          <w:szCs w:val="24"/>
        </w:rPr>
        <w:t>under the</w:t>
      </w:r>
      <w:r w:rsidR="00F60109">
        <w:rPr>
          <w:rFonts w:ascii="Times New Roman" w:hAnsi="Times New Roman" w:cs="Times New Roman"/>
          <w:sz w:val="24"/>
          <w:szCs w:val="24"/>
        </w:rPr>
        <w:t xml:space="preserve"> Act</w:t>
      </w:r>
      <w:r w:rsidR="00ED5ADD">
        <w:rPr>
          <w:rFonts w:ascii="Times New Roman" w:hAnsi="Times New Roman" w:cs="Times New Roman"/>
          <w:sz w:val="24"/>
          <w:szCs w:val="24"/>
        </w:rPr>
        <w:t>’s</w:t>
      </w:r>
      <w:r w:rsidR="00F60109">
        <w:rPr>
          <w:rFonts w:ascii="Times New Roman" w:hAnsi="Times New Roman" w:cs="Times New Roman"/>
          <w:sz w:val="24"/>
          <w:szCs w:val="24"/>
        </w:rPr>
        <w:t xml:space="preserve"> exception in accordance with </w:t>
      </w:r>
      <w:r w:rsidR="00F60109" w:rsidRPr="00F60109">
        <w:rPr>
          <w:rFonts w:ascii="Times New Roman" w:hAnsi="Times New Roman" w:cs="Times New Roman"/>
          <w:sz w:val="24"/>
          <w:szCs w:val="24"/>
        </w:rPr>
        <w:t>O.C.G.A. § 46-3-8(a).</w:t>
      </w:r>
    </w:p>
    <w:p w14:paraId="1575D0BA" w14:textId="77777777" w:rsidR="00CD7E61" w:rsidRDefault="003F466D" w:rsidP="00CF6472">
      <w:pPr>
        <w:jc w:val="both"/>
        <w:rPr>
          <w:rFonts w:ascii="Times New Roman" w:hAnsi="Times New Roman" w:cs="Times New Roman"/>
          <w:sz w:val="24"/>
          <w:szCs w:val="24"/>
        </w:rPr>
      </w:pPr>
      <w:r>
        <w:rPr>
          <w:rFonts w:ascii="Times New Roman" w:hAnsi="Times New Roman" w:cs="Times New Roman"/>
          <w:b/>
          <w:sz w:val="24"/>
          <w:szCs w:val="24"/>
        </w:rPr>
        <w:t xml:space="preserve">ORDERED FURTHER, </w:t>
      </w:r>
      <w:r>
        <w:rPr>
          <w:rFonts w:ascii="Times New Roman" w:hAnsi="Times New Roman" w:cs="Times New Roman"/>
          <w:sz w:val="24"/>
          <w:szCs w:val="24"/>
        </w:rPr>
        <w:t xml:space="preserve">that </w:t>
      </w:r>
      <w:r w:rsidR="00CD7E61" w:rsidRPr="00BF1C2B">
        <w:rPr>
          <w:rFonts w:ascii="Times New Roman" w:hAnsi="Times New Roman" w:cs="Times New Roman"/>
          <w:sz w:val="24"/>
          <w:szCs w:val="24"/>
        </w:rPr>
        <w:t>all Objections to Testimony and Exhibits are denied.</w:t>
      </w:r>
    </w:p>
    <w:p w14:paraId="63D52F7B" w14:textId="77777777" w:rsidR="003F466D" w:rsidRPr="003F466D" w:rsidRDefault="003F466D" w:rsidP="00CF6472">
      <w:pPr>
        <w:jc w:val="both"/>
        <w:rPr>
          <w:rFonts w:ascii="Times New Roman" w:hAnsi="Times New Roman" w:cs="Times New Roman"/>
          <w:sz w:val="24"/>
          <w:szCs w:val="24"/>
        </w:rPr>
      </w:pPr>
      <w:r w:rsidRPr="003F466D">
        <w:rPr>
          <w:rFonts w:ascii="Times New Roman" w:hAnsi="Times New Roman" w:cs="Times New Roman"/>
          <w:b/>
          <w:sz w:val="24"/>
          <w:szCs w:val="24"/>
        </w:rPr>
        <w:t xml:space="preserve">ORDERED FURTHER, </w:t>
      </w:r>
      <w:r w:rsidRPr="003F466D">
        <w:rPr>
          <w:rFonts w:ascii="Times New Roman" w:hAnsi="Times New Roman" w:cs="Times New Roman"/>
          <w:sz w:val="24"/>
          <w:szCs w:val="24"/>
        </w:rPr>
        <w:t>that a motion for reconsideration, rehearing or oral argument or any other motion shall not stay the effective date of this Order, unless otherwise ordered by the Commission.</w:t>
      </w:r>
    </w:p>
    <w:p w14:paraId="048B7F91" w14:textId="77777777" w:rsidR="003F466D" w:rsidRPr="003F466D" w:rsidRDefault="003F466D" w:rsidP="00CF6472">
      <w:pPr>
        <w:jc w:val="both"/>
        <w:rPr>
          <w:rFonts w:ascii="Times New Roman" w:hAnsi="Times New Roman" w:cs="Times New Roman"/>
          <w:sz w:val="24"/>
          <w:szCs w:val="24"/>
        </w:rPr>
      </w:pPr>
      <w:r w:rsidRPr="003F466D">
        <w:rPr>
          <w:rFonts w:ascii="Times New Roman" w:hAnsi="Times New Roman" w:cs="Times New Roman"/>
          <w:b/>
          <w:sz w:val="24"/>
          <w:szCs w:val="24"/>
        </w:rPr>
        <w:t xml:space="preserve">ORDERED FURTHER, </w:t>
      </w:r>
      <w:r w:rsidRPr="003F466D">
        <w:rPr>
          <w:rFonts w:ascii="Times New Roman" w:hAnsi="Times New Roman" w:cs="Times New Roman"/>
          <w:sz w:val="24"/>
          <w:szCs w:val="24"/>
        </w:rPr>
        <w:t>that jurisdiction over this matter is expressly retained for the purpose of entering such further Order or Orders as this Commission may deem just and proper.</w:t>
      </w:r>
    </w:p>
    <w:p w14:paraId="76A99725" w14:textId="77777777" w:rsidR="00CD7E61" w:rsidRPr="00BF1C2B" w:rsidRDefault="00CD7E61" w:rsidP="00CF6472">
      <w:pPr>
        <w:jc w:val="both"/>
        <w:rPr>
          <w:rFonts w:ascii="Times New Roman" w:hAnsi="Times New Roman" w:cs="Times New Roman"/>
          <w:sz w:val="24"/>
          <w:szCs w:val="24"/>
        </w:rPr>
      </w:pPr>
      <w:r w:rsidRPr="00BF1C2B">
        <w:rPr>
          <w:rFonts w:ascii="Times New Roman" w:hAnsi="Times New Roman" w:cs="Times New Roman"/>
          <w:sz w:val="24"/>
          <w:szCs w:val="24"/>
        </w:rPr>
        <w:t>Pursuant to the provisions of O.C.G.A.§ 50-13-17(a), in the absence of an Application for Review made within 30 days from the date of this Initial Decision, or an Order by the Commission for review on its own motion, this Initial Decision shall, without further proceedings, become the Final Decision of the Commission.</w:t>
      </w:r>
    </w:p>
    <w:p w14:paraId="63184C7E" w14:textId="77777777" w:rsidR="00CD7E61" w:rsidRPr="00BF1C2B" w:rsidRDefault="00CD7E61" w:rsidP="00CD7E61">
      <w:pPr>
        <w:rPr>
          <w:rFonts w:ascii="Times New Roman" w:hAnsi="Times New Roman" w:cs="Times New Roman"/>
          <w:sz w:val="24"/>
          <w:szCs w:val="24"/>
        </w:rPr>
      </w:pPr>
    </w:p>
    <w:p w14:paraId="363B66E6" w14:textId="4E59BB51" w:rsidR="00CD7E61" w:rsidRPr="00BF1C2B" w:rsidRDefault="00CD7E61" w:rsidP="00CD7E61">
      <w:pPr>
        <w:rPr>
          <w:rFonts w:ascii="Times New Roman" w:hAnsi="Times New Roman" w:cs="Times New Roman"/>
          <w:sz w:val="24"/>
          <w:szCs w:val="24"/>
        </w:rPr>
      </w:pPr>
      <w:r w:rsidRPr="00BF1C2B">
        <w:rPr>
          <w:rFonts w:ascii="Times New Roman" w:hAnsi="Times New Roman" w:cs="Times New Roman"/>
          <w:sz w:val="24"/>
          <w:szCs w:val="24"/>
        </w:rPr>
        <w:t xml:space="preserve">SO ORDERED this </w:t>
      </w:r>
      <w:r w:rsidR="00F2622C">
        <w:rPr>
          <w:rFonts w:ascii="Times New Roman" w:hAnsi="Times New Roman" w:cs="Times New Roman"/>
          <w:sz w:val="24"/>
          <w:szCs w:val="24"/>
          <w:vertAlign w:val="superscript"/>
        </w:rPr>
        <w:t xml:space="preserve">____ </w:t>
      </w:r>
      <w:r w:rsidRPr="00BF1C2B">
        <w:rPr>
          <w:rFonts w:ascii="Times New Roman" w:hAnsi="Times New Roman" w:cs="Times New Roman"/>
          <w:sz w:val="24"/>
          <w:szCs w:val="24"/>
        </w:rPr>
        <w:t xml:space="preserve">day of </w:t>
      </w:r>
      <w:r w:rsidR="00F2622C">
        <w:rPr>
          <w:rFonts w:ascii="Times New Roman" w:hAnsi="Times New Roman" w:cs="Times New Roman"/>
          <w:sz w:val="24"/>
          <w:szCs w:val="24"/>
        </w:rPr>
        <w:t>______,</w:t>
      </w:r>
      <w:r w:rsidRPr="00BF1C2B">
        <w:rPr>
          <w:rFonts w:ascii="Times New Roman" w:hAnsi="Times New Roman" w:cs="Times New Roman"/>
          <w:sz w:val="24"/>
          <w:szCs w:val="24"/>
        </w:rPr>
        <w:t>20</w:t>
      </w:r>
      <w:r w:rsidR="000D6F6E">
        <w:rPr>
          <w:rFonts w:ascii="Times New Roman" w:hAnsi="Times New Roman" w:cs="Times New Roman"/>
          <w:sz w:val="24"/>
          <w:szCs w:val="24"/>
        </w:rPr>
        <w:t>2</w:t>
      </w:r>
      <w:r w:rsidR="00603F0A">
        <w:rPr>
          <w:rFonts w:ascii="Times New Roman" w:hAnsi="Times New Roman" w:cs="Times New Roman"/>
          <w:sz w:val="24"/>
          <w:szCs w:val="24"/>
        </w:rPr>
        <w:t>2</w:t>
      </w:r>
      <w:r w:rsidRPr="00BF1C2B">
        <w:rPr>
          <w:rFonts w:ascii="Times New Roman" w:hAnsi="Times New Roman" w:cs="Times New Roman"/>
          <w:sz w:val="24"/>
          <w:szCs w:val="24"/>
        </w:rPr>
        <w:t>.</w:t>
      </w:r>
    </w:p>
    <w:p w14:paraId="1FE75954" w14:textId="77777777" w:rsidR="00CD7E61" w:rsidRPr="00BF1C2B" w:rsidRDefault="00CD7E61" w:rsidP="00CD7E61">
      <w:pPr>
        <w:rPr>
          <w:rFonts w:ascii="Times New Roman" w:hAnsi="Times New Roman" w:cs="Times New Roman"/>
          <w:sz w:val="24"/>
          <w:szCs w:val="24"/>
        </w:rPr>
      </w:pPr>
    </w:p>
    <w:p w14:paraId="095AA1D8" w14:textId="77777777" w:rsidR="00CD7E61" w:rsidRPr="00BF1C2B" w:rsidRDefault="00CD7E61" w:rsidP="00CD7E61">
      <w:pPr>
        <w:rPr>
          <w:rFonts w:ascii="Times New Roman" w:hAnsi="Times New Roman" w:cs="Times New Roman"/>
          <w:sz w:val="24"/>
          <w:szCs w:val="24"/>
        </w:rPr>
      </w:pPr>
      <w:r w:rsidRPr="00BF1C2B">
        <w:rPr>
          <w:rFonts w:ascii="Times New Roman" w:hAnsi="Times New Roman" w:cs="Times New Roman"/>
          <w:sz w:val="24"/>
          <w:szCs w:val="24"/>
        </w:rPr>
        <w:t>__________________________________</w:t>
      </w:r>
    </w:p>
    <w:p w14:paraId="74FF8307" w14:textId="77777777" w:rsidR="00603F0A" w:rsidRDefault="00CD7E61" w:rsidP="00B81B52">
      <w:pPr>
        <w:spacing w:after="0" w:line="240" w:lineRule="auto"/>
        <w:rPr>
          <w:rFonts w:ascii="Times New Roman" w:hAnsi="Times New Roman" w:cs="Times New Roman"/>
          <w:sz w:val="24"/>
          <w:szCs w:val="24"/>
        </w:rPr>
      </w:pPr>
      <w:r w:rsidRPr="00BF1C2B">
        <w:rPr>
          <w:rFonts w:ascii="Times New Roman" w:hAnsi="Times New Roman" w:cs="Times New Roman"/>
          <w:sz w:val="24"/>
          <w:szCs w:val="24"/>
        </w:rPr>
        <w:t>Nancy G. Gibson</w:t>
      </w:r>
    </w:p>
    <w:p w14:paraId="0952A027" w14:textId="77777777" w:rsidR="00CD7E61" w:rsidRPr="00BF1C2B" w:rsidRDefault="00CD7E61" w:rsidP="00B81B52">
      <w:pPr>
        <w:spacing w:after="0" w:line="240" w:lineRule="auto"/>
        <w:rPr>
          <w:rFonts w:ascii="Times New Roman" w:hAnsi="Times New Roman" w:cs="Times New Roman"/>
          <w:sz w:val="24"/>
          <w:szCs w:val="24"/>
        </w:rPr>
      </w:pPr>
      <w:r w:rsidRPr="00BF1C2B">
        <w:rPr>
          <w:rFonts w:ascii="Times New Roman" w:hAnsi="Times New Roman" w:cs="Times New Roman"/>
          <w:sz w:val="24"/>
          <w:szCs w:val="24"/>
        </w:rPr>
        <w:t>Hearing Officer,</w:t>
      </w:r>
    </w:p>
    <w:p w14:paraId="41D6AE57" w14:textId="77777777" w:rsidR="00165BF5" w:rsidRPr="00BF1C2B" w:rsidRDefault="00CD7E61" w:rsidP="00B81B52">
      <w:pPr>
        <w:spacing w:after="0" w:line="240" w:lineRule="auto"/>
        <w:rPr>
          <w:rFonts w:ascii="Times New Roman" w:hAnsi="Times New Roman" w:cs="Times New Roman"/>
          <w:sz w:val="24"/>
          <w:szCs w:val="24"/>
        </w:rPr>
      </w:pPr>
      <w:r w:rsidRPr="00BF1C2B">
        <w:rPr>
          <w:rFonts w:ascii="Times New Roman" w:hAnsi="Times New Roman" w:cs="Times New Roman"/>
          <w:sz w:val="24"/>
          <w:szCs w:val="24"/>
        </w:rPr>
        <w:t>Georgia Public Service Commission</w:t>
      </w:r>
    </w:p>
    <w:sectPr w:rsidR="00165BF5" w:rsidRPr="00BF1C2B" w:rsidSect="004439F2">
      <w:footerReference w:type="default" r:id="rId9"/>
      <w:pgSz w:w="12240" w:h="15840"/>
      <w:pgMar w:top="1170" w:right="1608" w:bottom="1170" w:left="137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FD78F" w14:textId="77777777" w:rsidR="00286159" w:rsidRDefault="00286159" w:rsidP="00D34F76">
      <w:pPr>
        <w:spacing w:after="0" w:line="240" w:lineRule="auto"/>
      </w:pPr>
      <w:r>
        <w:separator/>
      </w:r>
    </w:p>
  </w:endnote>
  <w:endnote w:type="continuationSeparator" w:id="0">
    <w:p w14:paraId="5BB1C5B0" w14:textId="77777777" w:rsidR="00286159" w:rsidRDefault="00286159" w:rsidP="00D3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4B9DC" w14:textId="77777777" w:rsidR="00C50715" w:rsidRDefault="00C50715">
    <w:pPr>
      <w:pStyle w:val="Footer"/>
      <w:jc w:val="center"/>
    </w:pPr>
  </w:p>
  <w:p w14:paraId="22FAED36" w14:textId="77777777" w:rsidR="00C50715" w:rsidRDefault="00C50715">
    <w:pPr>
      <w:pStyle w:val="Footer"/>
      <w:jc w:val="center"/>
    </w:pPr>
    <w:r>
      <w:t>Docket No. 43899</w:t>
    </w:r>
  </w:p>
  <w:p w14:paraId="0F6B049D" w14:textId="77777777" w:rsidR="00C50715" w:rsidRDefault="00C50715">
    <w:pPr>
      <w:pStyle w:val="Footer"/>
      <w:jc w:val="center"/>
    </w:pPr>
    <w:r>
      <w:t>Initial Decision</w:t>
    </w:r>
  </w:p>
  <w:p w14:paraId="179CC644" w14:textId="5D940246" w:rsidR="00C50715" w:rsidRDefault="00C50715">
    <w:pPr>
      <w:pStyle w:val="Footer"/>
      <w:jc w:val="center"/>
    </w:pPr>
    <w:r>
      <w:t xml:space="preserve">Page </w:t>
    </w:r>
    <w:r>
      <w:fldChar w:fldCharType="begin"/>
    </w:r>
    <w:r>
      <w:instrText xml:space="preserve"> PAGE   \* MERGEFORMAT </w:instrText>
    </w:r>
    <w:r>
      <w:fldChar w:fldCharType="separate"/>
    </w:r>
    <w:r w:rsidR="00805571">
      <w:rPr>
        <w:noProof/>
      </w:rPr>
      <w:t>14</w:t>
    </w:r>
    <w:r>
      <w:fldChar w:fldCharType="end"/>
    </w:r>
  </w:p>
  <w:p w14:paraId="746EE043" w14:textId="77777777" w:rsidR="00C50715" w:rsidRDefault="00C50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83D05" w14:textId="77777777" w:rsidR="00286159" w:rsidRDefault="00286159" w:rsidP="00D34F76">
      <w:pPr>
        <w:spacing w:after="0" w:line="240" w:lineRule="auto"/>
      </w:pPr>
      <w:r>
        <w:separator/>
      </w:r>
    </w:p>
  </w:footnote>
  <w:footnote w:type="continuationSeparator" w:id="0">
    <w:p w14:paraId="716C6F64" w14:textId="77777777" w:rsidR="00286159" w:rsidRDefault="00286159" w:rsidP="00D34F76">
      <w:pPr>
        <w:spacing w:after="0" w:line="240" w:lineRule="auto"/>
      </w:pPr>
      <w:r>
        <w:continuationSeparator/>
      </w:r>
    </w:p>
  </w:footnote>
  <w:footnote w:id="1">
    <w:p w14:paraId="0085EC5D"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Petition, p. 3.</w:t>
      </w:r>
    </w:p>
  </w:footnote>
  <w:footnote w:id="2">
    <w:p w14:paraId="2CC96568"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Georgia Power’s Response and Answer to </w:t>
      </w:r>
      <w:proofErr w:type="spellStart"/>
      <w:r w:rsidRPr="005C74C3">
        <w:rPr>
          <w:rFonts w:ascii="Times New Roman" w:hAnsi="Times New Roman" w:cs="Times New Roman"/>
        </w:rPr>
        <w:t>Sawnee</w:t>
      </w:r>
      <w:proofErr w:type="spellEnd"/>
      <w:r w:rsidRPr="005C74C3">
        <w:rPr>
          <w:rFonts w:ascii="Times New Roman" w:hAnsi="Times New Roman" w:cs="Times New Roman"/>
        </w:rPr>
        <w:t xml:space="preserve"> EMC’s Petition, </w:t>
      </w:r>
      <w:r w:rsidR="00790113">
        <w:rPr>
          <w:rFonts w:ascii="Times New Roman" w:hAnsi="Times New Roman" w:cs="Times New Roman"/>
        </w:rPr>
        <w:t xml:space="preserve">p. </w:t>
      </w:r>
      <w:r w:rsidRPr="005C74C3">
        <w:rPr>
          <w:rFonts w:ascii="Times New Roman" w:hAnsi="Times New Roman" w:cs="Times New Roman"/>
        </w:rPr>
        <w:t>3.</w:t>
      </w:r>
    </w:p>
  </w:footnote>
  <w:footnote w:id="3">
    <w:p w14:paraId="45441468" w14:textId="77777777" w:rsidR="009915D2" w:rsidRPr="009915D2" w:rsidRDefault="009915D2">
      <w:pPr>
        <w:pStyle w:val="FootnoteText"/>
        <w:rPr>
          <w:rFonts w:ascii="Times New Roman" w:hAnsi="Times New Roman" w:cs="Times New Roman"/>
        </w:rPr>
      </w:pPr>
      <w:r w:rsidRPr="009915D2">
        <w:rPr>
          <w:rStyle w:val="FootnoteReference"/>
          <w:rFonts w:ascii="Times New Roman" w:hAnsi="Times New Roman" w:cs="Times New Roman"/>
        </w:rPr>
        <w:footnoteRef/>
      </w:r>
      <w:r w:rsidRPr="009915D2">
        <w:rPr>
          <w:rFonts w:ascii="Times New Roman" w:hAnsi="Times New Roman" w:cs="Times New Roman"/>
        </w:rPr>
        <w:t xml:space="preserve"> </w:t>
      </w:r>
      <w:r>
        <w:rPr>
          <w:rFonts w:ascii="Times New Roman" w:hAnsi="Times New Roman" w:cs="Times New Roman"/>
        </w:rPr>
        <w:t xml:space="preserve">Electrify America’s </w:t>
      </w:r>
      <w:bookmarkStart w:id="1" w:name="OLE_LINK8"/>
      <w:r>
        <w:rPr>
          <w:rFonts w:ascii="Times New Roman" w:hAnsi="Times New Roman" w:cs="Times New Roman"/>
        </w:rPr>
        <w:t xml:space="preserve">Opposition Two </w:t>
      </w:r>
      <w:proofErr w:type="spellStart"/>
      <w:r>
        <w:rPr>
          <w:rFonts w:ascii="Times New Roman" w:hAnsi="Times New Roman" w:cs="Times New Roman"/>
        </w:rPr>
        <w:t>Sawnee’s</w:t>
      </w:r>
      <w:proofErr w:type="spellEnd"/>
      <w:r>
        <w:rPr>
          <w:rFonts w:ascii="Times New Roman" w:hAnsi="Times New Roman" w:cs="Times New Roman"/>
        </w:rPr>
        <w:t xml:space="preserve"> Objection to </w:t>
      </w:r>
      <w:proofErr w:type="spellStart"/>
      <w:r>
        <w:rPr>
          <w:rFonts w:ascii="Times New Roman" w:hAnsi="Times New Roman" w:cs="Times New Roman"/>
        </w:rPr>
        <w:t>Prefiled</w:t>
      </w:r>
      <w:proofErr w:type="spellEnd"/>
      <w:r>
        <w:rPr>
          <w:rFonts w:ascii="Times New Roman" w:hAnsi="Times New Roman" w:cs="Times New Roman"/>
        </w:rPr>
        <w:t xml:space="preserve"> Testimony of Jigar Shah, p. 3.</w:t>
      </w:r>
      <w:r w:rsidRPr="009915D2">
        <w:rPr>
          <w:rFonts w:ascii="Times New Roman" w:hAnsi="Times New Roman" w:cs="Times New Roman"/>
          <w:b/>
        </w:rPr>
        <w:t xml:space="preserve"> </w:t>
      </w:r>
      <w:bookmarkEnd w:id="1"/>
    </w:p>
  </w:footnote>
  <w:footnote w:id="4">
    <w:p w14:paraId="5FCFC603" w14:textId="77777777" w:rsidR="00790113" w:rsidRPr="009904F3" w:rsidRDefault="00790113" w:rsidP="00790113">
      <w:pPr>
        <w:pStyle w:val="FootnoteText"/>
        <w:rPr>
          <w:rFonts w:ascii="Times New Roman" w:hAnsi="Times New Roman" w:cs="Times New Roman"/>
        </w:rPr>
      </w:pPr>
      <w:r w:rsidRPr="009904F3">
        <w:rPr>
          <w:rStyle w:val="FootnoteReference"/>
          <w:rFonts w:ascii="Times New Roman" w:hAnsi="Times New Roman" w:cs="Times New Roman"/>
        </w:rPr>
        <w:footnoteRef/>
      </w:r>
      <w:r w:rsidRPr="009904F3">
        <w:rPr>
          <w:rFonts w:ascii="Times New Roman" w:hAnsi="Times New Roman" w:cs="Times New Roman"/>
        </w:rPr>
        <w:t xml:space="preserve"> </w:t>
      </w:r>
      <w:r w:rsidRPr="009904F3">
        <w:rPr>
          <w:rFonts w:ascii="Times New Roman" w:hAnsi="Times New Roman" w:cs="Times New Roman"/>
          <w:i/>
        </w:rPr>
        <w:t>Tamiami Trail Tours v. Ga. Public Serv. Com</w:t>
      </w:r>
      <w:r w:rsidRPr="009904F3">
        <w:rPr>
          <w:rFonts w:ascii="Times New Roman" w:hAnsi="Times New Roman" w:cs="Times New Roman"/>
        </w:rPr>
        <w:t xml:space="preserve">, </w:t>
      </w:r>
      <w:bookmarkStart w:id="2" w:name="OLE_LINK5"/>
      <w:r w:rsidRPr="009904F3">
        <w:rPr>
          <w:rFonts w:ascii="Times New Roman" w:hAnsi="Times New Roman" w:cs="Times New Roman"/>
        </w:rPr>
        <w:t>213 Ga. 418</w:t>
      </w:r>
      <w:bookmarkEnd w:id="2"/>
      <w:r w:rsidRPr="009904F3">
        <w:rPr>
          <w:rFonts w:ascii="Times New Roman" w:hAnsi="Times New Roman" w:cs="Times New Roman"/>
        </w:rPr>
        <w:t xml:space="preserve"> (1957) at 428–29 (citing </w:t>
      </w:r>
      <w:r w:rsidRPr="009904F3">
        <w:rPr>
          <w:rFonts w:ascii="Times New Roman" w:hAnsi="Times New Roman" w:cs="Times New Roman"/>
          <w:i/>
        </w:rPr>
        <w:t>South View Cemetery Assn. v. Hailey</w:t>
      </w:r>
      <w:r w:rsidRPr="009904F3">
        <w:rPr>
          <w:rFonts w:ascii="Times New Roman" w:hAnsi="Times New Roman" w:cs="Times New Roman"/>
        </w:rPr>
        <w:t>, 199 Ga. 478, 481 (34 S. E. 2d 863)).</w:t>
      </w:r>
    </w:p>
    <w:p w14:paraId="40EC5CB9" w14:textId="77777777" w:rsidR="00790113" w:rsidRPr="009904F3" w:rsidRDefault="00790113">
      <w:pPr>
        <w:pStyle w:val="FootnoteText"/>
        <w:rPr>
          <w:rFonts w:ascii="Times New Roman" w:hAnsi="Times New Roman" w:cs="Times New Roman"/>
        </w:rPr>
      </w:pPr>
    </w:p>
  </w:footnote>
  <w:footnote w:id="5">
    <w:p w14:paraId="46ADF3CF"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Tr. p. 66.</w:t>
      </w:r>
    </w:p>
  </w:footnote>
  <w:footnote w:id="6">
    <w:p w14:paraId="1A6F146F"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w:t>
      </w:r>
      <w:r w:rsidRPr="005C74C3">
        <w:rPr>
          <w:rFonts w:ascii="Times New Roman" w:hAnsi="Times New Roman" w:cs="Times New Roman"/>
          <w:i/>
        </w:rPr>
        <w:t>Id</w:t>
      </w:r>
      <w:r w:rsidRPr="005C74C3">
        <w:rPr>
          <w:rFonts w:ascii="Times New Roman" w:hAnsi="Times New Roman" w:cs="Times New Roman"/>
        </w:rPr>
        <w:t>.</w:t>
      </w:r>
    </w:p>
  </w:footnote>
  <w:footnote w:id="7">
    <w:p w14:paraId="326F9DB3" w14:textId="77777777" w:rsidR="00DB2A73" w:rsidRPr="008C2BFB" w:rsidRDefault="00DB2A73" w:rsidP="00DB2A73">
      <w:pPr>
        <w:pStyle w:val="FootnoteText"/>
        <w:rPr>
          <w:rFonts w:ascii="Times New Roman" w:hAnsi="Times New Roman" w:cs="Times New Roman"/>
        </w:rPr>
      </w:pPr>
      <w:r w:rsidRPr="008C2BFB">
        <w:rPr>
          <w:rStyle w:val="FootnoteReference"/>
          <w:rFonts w:ascii="Times New Roman" w:hAnsi="Times New Roman" w:cs="Times New Roman"/>
        </w:rPr>
        <w:footnoteRef/>
      </w:r>
      <w:r w:rsidRPr="008C2BFB">
        <w:rPr>
          <w:rFonts w:ascii="Times New Roman" w:hAnsi="Times New Roman" w:cs="Times New Roman"/>
        </w:rPr>
        <w:t xml:space="preserve"> Tr., pp.26-27.</w:t>
      </w:r>
    </w:p>
  </w:footnote>
  <w:footnote w:id="8">
    <w:p w14:paraId="7F01986B" w14:textId="77777777" w:rsidR="008C2BFB" w:rsidRPr="005C74C3" w:rsidRDefault="008C2BFB" w:rsidP="008C2BFB">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Tr., p. 129.</w:t>
      </w:r>
    </w:p>
  </w:footnote>
  <w:footnote w:id="9">
    <w:p w14:paraId="7B412A24"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Tr., pp. 134-135.</w:t>
      </w:r>
    </w:p>
  </w:footnote>
  <w:footnote w:id="10">
    <w:p w14:paraId="0DFAAF3A"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Tr., p. 145.</w:t>
      </w:r>
    </w:p>
  </w:footnote>
  <w:footnote w:id="11">
    <w:p w14:paraId="6520F931"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Tr., p. 170.</w:t>
      </w:r>
    </w:p>
  </w:footnote>
  <w:footnote w:id="12">
    <w:p w14:paraId="3D04C4B0"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Tr., pp. 174-176.</w:t>
      </w:r>
    </w:p>
  </w:footnote>
  <w:footnote w:id="13">
    <w:p w14:paraId="7AFA5F63" w14:textId="77777777" w:rsidR="00B362AA" w:rsidRPr="00D52CCA" w:rsidRDefault="00B362AA">
      <w:pPr>
        <w:pStyle w:val="FootnoteText"/>
        <w:rPr>
          <w:rFonts w:ascii="Times New Roman" w:hAnsi="Times New Roman" w:cs="Times New Roman"/>
        </w:rPr>
      </w:pPr>
      <w:r w:rsidRPr="00D52CCA">
        <w:rPr>
          <w:rStyle w:val="FootnoteReference"/>
          <w:rFonts w:ascii="Times New Roman" w:hAnsi="Times New Roman" w:cs="Times New Roman"/>
        </w:rPr>
        <w:footnoteRef/>
      </w:r>
      <w:r w:rsidRPr="00D52CCA">
        <w:rPr>
          <w:rFonts w:ascii="Times New Roman" w:hAnsi="Times New Roman" w:cs="Times New Roman"/>
        </w:rPr>
        <w:t xml:space="preserve"> </w:t>
      </w:r>
      <w:r w:rsidR="00D52CCA">
        <w:rPr>
          <w:rFonts w:ascii="Times New Roman" w:hAnsi="Times New Roman" w:cs="Times New Roman"/>
        </w:rPr>
        <w:t>Tr., pp. 225-226</w:t>
      </w:r>
    </w:p>
  </w:footnote>
  <w:footnote w:id="14">
    <w:p w14:paraId="722A55CB"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Tr., pp. 226-227.</w:t>
      </w:r>
    </w:p>
  </w:footnote>
  <w:footnote w:id="15">
    <w:p w14:paraId="5D2A3E43" w14:textId="77777777" w:rsidR="00C50715" w:rsidRPr="00D04BEC" w:rsidRDefault="00C50715">
      <w:pPr>
        <w:pStyle w:val="FootnoteText"/>
        <w:rPr>
          <w:rFonts w:ascii="Times New Roman" w:hAnsi="Times New Roman" w:cs="Times New Roman"/>
        </w:rPr>
      </w:pPr>
      <w:r w:rsidRPr="00D04BEC">
        <w:rPr>
          <w:rStyle w:val="FootnoteReference"/>
          <w:rFonts w:ascii="Times New Roman" w:hAnsi="Times New Roman" w:cs="Times New Roman"/>
        </w:rPr>
        <w:footnoteRef/>
      </w:r>
      <w:r w:rsidRPr="00D04BEC">
        <w:rPr>
          <w:rFonts w:ascii="Times New Roman" w:hAnsi="Times New Roman" w:cs="Times New Roman"/>
        </w:rPr>
        <w:t xml:space="preserve"> </w:t>
      </w:r>
      <w:r>
        <w:rPr>
          <w:rFonts w:ascii="Times New Roman" w:hAnsi="Times New Roman" w:cs="Times New Roman"/>
        </w:rPr>
        <w:t>Tr. p. 130</w:t>
      </w:r>
    </w:p>
  </w:footnote>
  <w:footnote w:id="16">
    <w:p w14:paraId="38A3715F" w14:textId="77777777" w:rsidR="00C50715" w:rsidRPr="005C74C3" w:rsidRDefault="00C50715">
      <w:pPr>
        <w:pStyle w:val="FootnoteText"/>
        <w:rPr>
          <w:rFonts w:ascii="Times New Roman" w:hAnsi="Times New Roman" w:cs="Times New Roman"/>
        </w:rPr>
      </w:pPr>
      <w:r w:rsidRPr="005C74C3">
        <w:rPr>
          <w:rStyle w:val="FootnoteReference"/>
          <w:rFonts w:ascii="Times New Roman" w:hAnsi="Times New Roman" w:cs="Times New Roman"/>
        </w:rPr>
        <w:footnoteRef/>
      </w:r>
      <w:r w:rsidRPr="005C74C3">
        <w:rPr>
          <w:rFonts w:ascii="Times New Roman" w:hAnsi="Times New Roman" w:cs="Times New Roman"/>
        </w:rPr>
        <w:t xml:space="preserve"> </w:t>
      </w:r>
      <w:proofErr w:type="spellStart"/>
      <w:r w:rsidRPr="005C74C3">
        <w:rPr>
          <w:rFonts w:ascii="Times New Roman" w:hAnsi="Times New Roman" w:cs="Times New Roman"/>
        </w:rPr>
        <w:t>Sawnee’s</w:t>
      </w:r>
      <w:proofErr w:type="spellEnd"/>
      <w:r w:rsidRPr="005C74C3">
        <w:rPr>
          <w:rFonts w:ascii="Times New Roman" w:hAnsi="Times New Roman" w:cs="Times New Roman"/>
        </w:rPr>
        <w:t xml:space="preserve"> Petition, pp. 2-3.</w:t>
      </w:r>
    </w:p>
  </w:footnote>
  <w:footnote w:id="17">
    <w:p w14:paraId="71412BF7" w14:textId="77777777" w:rsidR="00C50715" w:rsidRPr="00EB38FE" w:rsidRDefault="00C5071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Georgia Power’s Response </w:t>
      </w:r>
      <w:r w:rsidR="001E2C14">
        <w:rPr>
          <w:rFonts w:ascii="Times New Roman" w:hAnsi="Times New Roman" w:cs="Times New Roman"/>
        </w:rPr>
        <w:t>a</w:t>
      </w:r>
      <w:r>
        <w:rPr>
          <w:rFonts w:ascii="Times New Roman" w:hAnsi="Times New Roman" w:cs="Times New Roman"/>
        </w:rPr>
        <w:t xml:space="preserve">nd Answer to </w:t>
      </w:r>
      <w:proofErr w:type="spellStart"/>
      <w:r>
        <w:rPr>
          <w:rFonts w:ascii="Times New Roman" w:hAnsi="Times New Roman" w:cs="Times New Roman"/>
        </w:rPr>
        <w:t>Sawnee</w:t>
      </w:r>
      <w:proofErr w:type="spellEnd"/>
      <w:r>
        <w:rPr>
          <w:rFonts w:ascii="Times New Roman" w:hAnsi="Times New Roman" w:cs="Times New Roman"/>
        </w:rPr>
        <w:t xml:space="preserve"> EMC’s Petition, p. 3.</w:t>
      </w:r>
    </w:p>
  </w:footnote>
  <w:footnote w:id="18">
    <w:p w14:paraId="6C40967E" w14:textId="77777777" w:rsidR="00C50715" w:rsidRPr="00992429" w:rsidRDefault="00C50715">
      <w:pPr>
        <w:pStyle w:val="FootnoteText"/>
        <w:rPr>
          <w:rFonts w:ascii="Times New Roman" w:hAnsi="Times New Roman" w:cs="Times New Roman"/>
        </w:rPr>
      </w:pPr>
      <w:r w:rsidRPr="00992429">
        <w:rPr>
          <w:rStyle w:val="FootnoteReference"/>
          <w:rFonts w:ascii="Times New Roman" w:hAnsi="Times New Roman" w:cs="Times New Roman"/>
        </w:rPr>
        <w:footnoteRef/>
      </w:r>
      <w:r w:rsidRPr="00992429">
        <w:rPr>
          <w:rFonts w:ascii="Times New Roman" w:hAnsi="Times New Roman" w:cs="Times New Roman"/>
        </w:rPr>
        <w:t xml:space="preserve"> </w:t>
      </w:r>
      <w:r>
        <w:rPr>
          <w:rFonts w:ascii="Times New Roman" w:hAnsi="Times New Roman" w:cs="Times New Roman"/>
        </w:rPr>
        <w:t>GPC Exhibit 1.</w:t>
      </w:r>
    </w:p>
  </w:footnote>
  <w:footnote w:id="19">
    <w:p w14:paraId="04DA520B" w14:textId="77777777" w:rsidR="00C50715" w:rsidRPr="00992429" w:rsidRDefault="00C50715">
      <w:pPr>
        <w:pStyle w:val="FootnoteText"/>
        <w:rPr>
          <w:rFonts w:ascii="Times New Roman" w:hAnsi="Times New Roman" w:cs="Times New Roman"/>
        </w:rPr>
      </w:pPr>
      <w:r w:rsidRPr="00992429">
        <w:rPr>
          <w:rStyle w:val="FootnoteReference"/>
          <w:rFonts w:ascii="Times New Roman" w:hAnsi="Times New Roman" w:cs="Times New Roman"/>
        </w:rPr>
        <w:footnoteRef/>
      </w:r>
      <w:r w:rsidRPr="00992429">
        <w:rPr>
          <w:rFonts w:ascii="Times New Roman" w:hAnsi="Times New Roman" w:cs="Times New Roman"/>
        </w:rPr>
        <w:t xml:space="preserve"> </w:t>
      </w:r>
      <w:r>
        <w:rPr>
          <w:rFonts w:ascii="Times New Roman" w:hAnsi="Times New Roman" w:cs="Times New Roman"/>
        </w:rPr>
        <w:t>Tr. p. 43-44</w:t>
      </w:r>
      <w:r w:rsidR="009904F3">
        <w:rPr>
          <w:rFonts w:ascii="Times New Roman" w:hAnsi="Times New Roman" w:cs="Times New Roman"/>
        </w:rPr>
        <w:t>.</w:t>
      </w:r>
    </w:p>
  </w:footnote>
  <w:footnote w:id="20">
    <w:p w14:paraId="468A239F" w14:textId="77777777" w:rsidR="00C50715" w:rsidRPr="00BD4740" w:rsidRDefault="00C50715" w:rsidP="007E536E">
      <w:pPr>
        <w:pStyle w:val="FootnoteText"/>
        <w:rPr>
          <w:rFonts w:ascii="Times New Roman" w:hAnsi="Times New Roman" w:cs="Times New Roman"/>
        </w:rPr>
      </w:pPr>
      <w:r w:rsidRPr="00BD4740">
        <w:rPr>
          <w:rStyle w:val="FootnoteReference"/>
          <w:rFonts w:ascii="Times New Roman" w:hAnsi="Times New Roman" w:cs="Times New Roman"/>
        </w:rPr>
        <w:footnoteRef/>
      </w:r>
      <w:r w:rsidRPr="00BD4740">
        <w:rPr>
          <w:rFonts w:ascii="Times New Roman" w:hAnsi="Times New Roman" w:cs="Times New Roman"/>
        </w:rPr>
        <w:t xml:space="preserve"> </w:t>
      </w:r>
      <w:r w:rsidR="006A1907">
        <w:rPr>
          <w:rFonts w:ascii="Times New Roman" w:hAnsi="Times New Roman" w:cs="Times New Roman"/>
        </w:rPr>
        <w:t>Tr., pp.</w:t>
      </w:r>
      <w:r w:rsidR="00895D28">
        <w:rPr>
          <w:rFonts w:ascii="Times New Roman" w:hAnsi="Times New Roman" w:cs="Times New Roman"/>
        </w:rPr>
        <w:t xml:space="preserve"> 169-170.</w:t>
      </w:r>
    </w:p>
  </w:footnote>
  <w:footnote w:id="21">
    <w:p w14:paraId="3C856A5F" w14:textId="77777777" w:rsidR="00C50715" w:rsidRPr="006227F7" w:rsidRDefault="00C50715">
      <w:pPr>
        <w:pStyle w:val="FootnoteText"/>
        <w:rPr>
          <w:rFonts w:ascii="Times New Roman" w:hAnsi="Times New Roman" w:cs="Times New Roman"/>
        </w:rPr>
      </w:pPr>
      <w:r w:rsidRPr="006227F7">
        <w:rPr>
          <w:rStyle w:val="FootnoteReference"/>
          <w:rFonts w:ascii="Times New Roman" w:hAnsi="Times New Roman" w:cs="Times New Roman"/>
        </w:rPr>
        <w:footnoteRef/>
      </w:r>
      <w:r>
        <w:rPr>
          <w:rFonts w:ascii="Times New Roman" w:hAnsi="Times New Roman" w:cs="Times New Roman"/>
        </w:rPr>
        <w:t xml:space="preserve"> </w:t>
      </w:r>
      <w:r w:rsidRPr="002A0914">
        <w:rPr>
          <w:rFonts w:ascii="Times New Roman" w:hAnsi="Times New Roman" w:cs="Times New Roman"/>
          <w:i/>
        </w:rPr>
        <w:t xml:space="preserve">Barley v. </w:t>
      </w:r>
      <w:proofErr w:type="spellStart"/>
      <w:r w:rsidRPr="002A0914">
        <w:rPr>
          <w:rFonts w:ascii="Times New Roman" w:hAnsi="Times New Roman" w:cs="Times New Roman"/>
          <w:i/>
        </w:rPr>
        <w:t>Storev</w:t>
      </w:r>
      <w:proofErr w:type="spellEnd"/>
      <w:r>
        <w:rPr>
          <w:rFonts w:ascii="Times New Roman" w:hAnsi="Times New Roman" w:cs="Times New Roman"/>
        </w:rPr>
        <w:t xml:space="preserve">, 120 Ga. App. 48 (19690; </w:t>
      </w:r>
      <w:r w:rsidRPr="002A0914">
        <w:rPr>
          <w:rFonts w:ascii="Times New Roman" w:hAnsi="Times New Roman" w:cs="Times New Roman"/>
          <w:i/>
        </w:rPr>
        <w:t xml:space="preserve">Dalton Brick and Tile Company v. </w:t>
      </w:r>
      <w:proofErr w:type="spellStart"/>
      <w:r w:rsidRPr="002A0914">
        <w:rPr>
          <w:rFonts w:ascii="Times New Roman" w:hAnsi="Times New Roman" w:cs="Times New Roman"/>
          <w:i/>
        </w:rPr>
        <w:t>Huiet</w:t>
      </w:r>
      <w:proofErr w:type="spellEnd"/>
      <w:r>
        <w:rPr>
          <w:rFonts w:ascii="Times New Roman" w:hAnsi="Times New Roman" w:cs="Times New Roman"/>
        </w:rPr>
        <w:t xml:space="preserve">, 102 Ga. App. 221 (1960); </w:t>
      </w:r>
      <w:r w:rsidRPr="002A0914">
        <w:rPr>
          <w:rFonts w:ascii="Times New Roman" w:hAnsi="Times New Roman" w:cs="Times New Roman"/>
          <w:i/>
        </w:rPr>
        <w:t>Georgia Power Company v. Central Georgia Electric Membership Corporation</w:t>
      </w:r>
      <w:r>
        <w:rPr>
          <w:rFonts w:ascii="Times New Roman" w:hAnsi="Times New Roman" w:cs="Times New Roman"/>
        </w:rPr>
        <w:t xml:space="preserve">, </w:t>
      </w:r>
      <w:proofErr w:type="spellStart"/>
      <w:r>
        <w:rPr>
          <w:rFonts w:ascii="Times New Roman" w:hAnsi="Times New Roman" w:cs="Times New Roman"/>
        </w:rPr>
        <w:t>Dkt</w:t>
      </w:r>
      <w:proofErr w:type="spellEnd"/>
      <w:r>
        <w:rPr>
          <w:rFonts w:ascii="Times New Roman" w:hAnsi="Times New Roman" w:cs="Times New Roman"/>
        </w:rPr>
        <w:t>. No. 3885, Initial Decision (1989).</w:t>
      </w:r>
    </w:p>
  </w:footnote>
  <w:footnote w:id="22">
    <w:p w14:paraId="654E8FA8" w14:textId="77777777" w:rsidR="00C50715" w:rsidRPr="00045A2C" w:rsidRDefault="00C50715">
      <w:pPr>
        <w:pStyle w:val="FootnoteText"/>
        <w:rPr>
          <w:rFonts w:ascii="Times New Roman" w:hAnsi="Times New Roman" w:cs="Times New Roman"/>
        </w:rPr>
      </w:pPr>
      <w:r w:rsidRPr="00045A2C">
        <w:rPr>
          <w:rStyle w:val="FootnoteReference"/>
          <w:rFonts w:ascii="Times New Roman" w:hAnsi="Times New Roman" w:cs="Times New Roman"/>
        </w:rPr>
        <w:footnoteRef/>
      </w:r>
      <w:r w:rsidRPr="0030632A">
        <w:rPr>
          <w:rFonts w:ascii="Times New Roman" w:hAnsi="Times New Roman" w:cs="Times New Roman"/>
          <w:i/>
        </w:rPr>
        <w:t xml:space="preserve"> City of Norcross v. Georgia Power Company</w:t>
      </w:r>
      <w:r>
        <w:rPr>
          <w:rFonts w:ascii="Times New Roman" w:hAnsi="Times New Roman" w:cs="Times New Roman"/>
        </w:rPr>
        <w:t>, 197 Ga. App. 891 (1990).</w:t>
      </w:r>
    </w:p>
  </w:footnote>
  <w:footnote w:id="23">
    <w:p w14:paraId="11EA155F" w14:textId="77777777" w:rsidR="00C50715" w:rsidRPr="006402E8" w:rsidRDefault="00C50715" w:rsidP="00CF6472">
      <w:pPr>
        <w:pStyle w:val="FootnoteText"/>
        <w:jc w:val="both"/>
        <w:rPr>
          <w:rFonts w:ascii="Times New Roman" w:hAnsi="Times New Roman" w:cs="Times New Roman"/>
        </w:rPr>
      </w:pPr>
      <w:r w:rsidRPr="006402E8">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See;</w:t>
      </w:r>
      <w:r w:rsidRPr="006402E8">
        <w:rPr>
          <w:rFonts w:ascii="Times New Roman" w:hAnsi="Times New Roman" w:cs="Times New Roman"/>
        </w:rPr>
        <w:t xml:space="preserve"> </w:t>
      </w:r>
      <w:proofErr w:type="spellStart"/>
      <w:r>
        <w:rPr>
          <w:rFonts w:ascii="Times New Roman" w:hAnsi="Times New Roman" w:cs="Times New Roman"/>
        </w:rPr>
        <w:t>Sawnee</w:t>
      </w:r>
      <w:proofErr w:type="spellEnd"/>
      <w:r>
        <w:rPr>
          <w:rFonts w:ascii="Times New Roman" w:hAnsi="Times New Roman" w:cs="Times New Roman"/>
        </w:rPr>
        <w:t xml:space="preserve"> EMC’ Response to the Hearing Officer’s Questions, p.1; Georgia Power’s, Appendix A- Responses to Hearing Officer Inquires, p. 1; Electrify America’s Responses to Hearing Officer’s Inquires, p. 1; and Tesla Responses to Hearing Officer’s Inquires, p. 1.</w:t>
      </w:r>
    </w:p>
  </w:footnote>
  <w:footnote w:id="24">
    <w:p w14:paraId="5C42A238" w14:textId="77777777" w:rsidR="00945E5B" w:rsidRPr="00945E5B" w:rsidRDefault="00945E5B">
      <w:pPr>
        <w:pStyle w:val="FootnoteText"/>
        <w:rPr>
          <w:rFonts w:ascii="Times New Roman" w:hAnsi="Times New Roman" w:cs="Times New Roman"/>
        </w:rPr>
      </w:pPr>
      <w:r w:rsidRPr="00945E5B">
        <w:rPr>
          <w:rStyle w:val="FootnoteReference"/>
          <w:rFonts w:ascii="Times New Roman" w:hAnsi="Times New Roman" w:cs="Times New Roman"/>
        </w:rPr>
        <w:footnoteRef/>
      </w:r>
      <w:r w:rsidRPr="00945E5B">
        <w:rPr>
          <w:rFonts w:ascii="Times New Roman" w:hAnsi="Times New Roman" w:cs="Times New Roman"/>
        </w:rPr>
        <w:t xml:space="preserve"> </w:t>
      </w:r>
      <w:proofErr w:type="spellStart"/>
      <w:r w:rsidR="00E1052B">
        <w:rPr>
          <w:rFonts w:ascii="Times New Roman" w:hAnsi="Times New Roman" w:cs="Times New Roman"/>
        </w:rPr>
        <w:t>Sawnee</w:t>
      </w:r>
      <w:proofErr w:type="spellEnd"/>
      <w:r w:rsidR="00E1052B">
        <w:rPr>
          <w:rFonts w:ascii="Times New Roman" w:hAnsi="Times New Roman" w:cs="Times New Roman"/>
        </w:rPr>
        <w:t xml:space="preserve"> Brief. p. 11.</w:t>
      </w:r>
    </w:p>
  </w:footnote>
  <w:footnote w:id="25">
    <w:p w14:paraId="03562DD7" w14:textId="77777777" w:rsidR="000E5136" w:rsidRPr="000E5136" w:rsidRDefault="000E5136">
      <w:pPr>
        <w:pStyle w:val="FootnoteText"/>
        <w:rPr>
          <w:rFonts w:ascii="Times New Roman" w:hAnsi="Times New Roman" w:cs="Times New Roman"/>
        </w:rPr>
      </w:pPr>
      <w:r w:rsidRPr="000E5136">
        <w:rPr>
          <w:rStyle w:val="FootnoteReference"/>
          <w:rFonts w:ascii="Times New Roman" w:hAnsi="Times New Roman" w:cs="Times New Roman"/>
        </w:rPr>
        <w:footnoteRef/>
      </w:r>
      <w:r w:rsidRPr="000E5136">
        <w:rPr>
          <w:rFonts w:ascii="Times New Roman" w:hAnsi="Times New Roman" w:cs="Times New Roman"/>
        </w:rPr>
        <w:t xml:space="preserve"> </w:t>
      </w:r>
      <w:r>
        <w:rPr>
          <w:rFonts w:ascii="Times New Roman" w:hAnsi="Times New Roman" w:cs="Times New Roman"/>
        </w:rPr>
        <w:t>Tr., p. 202, Georgia Power Brief, p. 16.</w:t>
      </w:r>
    </w:p>
  </w:footnote>
  <w:footnote w:id="26">
    <w:p w14:paraId="1C294F60" w14:textId="77777777" w:rsidR="00116441" w:rsidRPr="00B030AF" w:rsidRDefault="00116441" w:rsidP="00116441">
      <w:pPr>
        <w:pStyle w:val="FootnoteText"/>
        <w:rPr>
          <w:rFonts w:ascii="Times New Roman" w:hAnsi="Times New Roman" w:cs="Times New Roman"/>
        </w:rPr>
      </w:pPr>
      <w:r w:rsidRPr="00B030AF">
        <w:rPr>
          <w:rStyle w:val="FootnoteReference"/>
          <w:rFonts w:ascii="Times New Roman" w:hAnsi="Times New Roman" w:cs="Times New Roman"/>
        </w:rPr>
        <w:footnoteRef/>
      </w:r>
      <w:r w:rsidRPr="00B030AF">
        <w:rPr>
          <w:rFonts w:ascii="Times New Roman" w:hAnsi="Times New Roman" w:cs="Times New Roman"/>
        </w:rPr>
        <w:t xml:space="preserve"> </w:t>
      </w:r>
      <w:r>
        <w:rPr>
          <w:rFonts w:ascii="Times New Roman" w:hAnsi="Times New Roman" w:cs="Times New Roman"/>
        </w:rPr>
        <w:t>Electrify America Brief, p. 7.</w:t>
      </w:r>
      <w:r w:rsidRPr="00B030AF">
        <w:rPr>
          <w:rFonts w:ascii="Times New Roman" w:hAnsi="Times New Roman" w:cs="Times New Roman"/>
        </w:rPr>
        <w:t xml:space="preserve"> </w:t>
      </w:r>
    </w:p>
  </w:footnote>
  <w:footnote w:id="27">
    <w:p w14:paraId="77D6C72D" w14:textId="77777777" w:rsidR="008223AF" w:rsidRPr="008223AF" w:rsidRDefault="008223AF">
      <w:pPr>
        <w:pStyle w:val="FootnoteText"/>
        <w:rPr>
          <w:rFonts w:ascii="Times New Roman" w:hAnsi="Times New Roman" w:cs="Times New Roman"/>
        </w:rPr>
      </w:pPr>
      <w:r w:rsidRPr="008223AF">
        <w:rPr>
          <w:rStyle w:val="FootnoteReference"/>
          <w:rFonts w:ascii="Times New Roman" w:hAnsi="Times New Roman" w:cs="Times New Roman"/>
        </w:rPr>
        <w:footnoteRef/>
      </w:r>
      <w:r w:rsidRPr="008223AF">
        <w:rPr>
          <w:rFonts w:ascii="Times New Roman" w:hAnsi="Times New Roman" w:cs="Times New Roman"/>
        </w:rPr>
        <w:t xml:space="preserve"> </w:t>
      </w:r>
      <w:r>
        <w:rPr>
          <w:rFonts w:ascii="Times New Roman" w:hAnsi="Times New Roman" w:cs="Times New Roman"/>
        </w:rPr>
        <w:t>Tesla Brief, p.9.</w:t>
      </w:r>
    </w:p>
  </w:footnote>
  <w:footnote w:id="28">
    <w:p w14:paraId="05A3F71F" w14:textId="77777777" w:rsidR="00C63682" w:rsidRPr="00C63682" w:rsidRDefault="00C63682">
      <w:pPr>
        <w:pStyle w:val="FootnoteText"/>
        <w:rPr>
          <w:rFonts w:ascii="Times New Roman" w:hAnsi="Times New Roman" w:cs="Times New Roman"/>
        </w:rPr>
      </w:pPr>
      <w:r w:rsidRPr="00C63682">
        <w:rPr>
          <w:rStyle w:val="FootnoteReference"/>
          <w:rFonts w:ascii="Times New Roman" w:hAnsi="Times New Roman" w:cs="Times New Roman"/>
        </w:rPr>
        <w:footnoteRef/>
      </w:r>
      <w:r w:rsidRPr="00C63682">
        <w:rPr>
          <w:rFonts w:ascii="Times New Roman" w:hAnsi="Times New Roman" w:cs="Times New Roman"/>
        </w:rPr>
        <w:t xml:space="preserve"> </w:t>
      </w:r>
      <w:r>
        <w:rPr>
          <w:rFonts w:ascii="Times New Roman" w:hAnsi="Times New Roman" w:cs="Times New Roman"/>
        </w:rPr>
        <w:t>Tr., p. 227.</w:t>
      </w:r>
    </w:p>
  </w:footnote>
  <w:footnote w:id="29">
    <w:p w14:paraId="7E4C17C8" w14:textId="77777777" w:rsidR="005878AC" w:rsidRPr="00DC27B0" w:rsidRDefault="005878AC" w:rsidP="005878AC">
      <w:pPr>
        <w:pStyle w:val="FootnoteText"/>
        <w:rPr>
          <w:rFonts w:ascii="Times New Roman" w:hAnsi="Times New Roman" w:cs="Times New Roman"/>
        </w:rPr>
      </w:pPr>
      <w:r w:rsidRPr="00DC27B0">
        <w:rPr>
          <w:rStyle w:val="FootnoteReference"/>
          <w:rFonts w:ascii="Times New Roman" w:hAnsi="Times New Roman" w:cs="Times New Roman"/>
        </w:rPr>
        <w:footnoteRef/>
      </w:r>
      <w:r w:rsidRPr="00DC27B0">
        <w:rPr>
          <w:rFonts w:ascii="Times New Roman" w:hAnsi="Times New Roman" w:cs="Times New Roman"/>
        </w:rPr>
        <w:t xml:space="preserve"> </w:t>
      </w:r>
      <w:proofErr w:type="spellStart"/>
      <w:r w:rsidRPr="00DC27B0">
        <w:rPr>
          <w:rFonts w:ascii="Times New Roman" w:hAnsi="Times New Roman" w:cs="Times New Roman"/>
        </w:rPr>
        <w:t>Sawnee</w:t>
      </w:r>
      <w:proofErr w:type="spellEnd"/>
      <w:r w:rsidRPr="00DC27B0">
        <w:rPr>
          <w:rFonts w:ascii="Times New Roman" w:hAnsi="Times New Roman" w:cs="Times New Roman"/>
        </w:rPr>
        <w:t xml:space="preserve"> Brief, p. 13.</w:t>
      </w:r>
    </w:p>
  </w:footnote>
  <w:footnote w:id="30">
    <w:p w14:paraId="48394459" w14:textId="77777777" w:rsidR="00F92773" w:rsidRPr="00F92773" w:rsidRDefault="00F92773">
      <w:pPr>
        <w:pStyle w:val="FootnoteText"/>
        <w:rPr>
          <w:rFonts w:ascii="Times New Roman" w:hAnsi="Times New Roman" w:cs="Times New Roman"/>
          <w:i/>
        </w:rPr>
      </w:pPr>
      <w:r w:rsidRPr="00F92773">
        <w:rPr>
          <w:rStyle w:val="FootnoteReference"/>
          <w:rFonts w:ascii="Times New Roman" w:hAnsi="Times New Roman" w:cs="Times New Roman"/>
        </w:rPr>
        <w:footnoteRef/>
      </w:r>
      <w:r w:rsidRPr="00F92773">
        <w:rPr>
          <w:rFonts w:ascii="Times New Roman" w:hAnsi="Times New Roman" w:cs="Times New Roman"/>
        </w:rPr>
        <w:t xml:space="preserve"> </w:t>
      </w:r>
      <w:r>
        <w:rPr>
          <w:rFonts w:ascii="Times New Roman" w:hAnsi="Times New Roman" w:cs="Times New Roman"/>
          <w:i/>
        </w:rPr>
        <w:t>Douglas, p.7.</w:t>
      </w:r>
    </w:p>
  </w:footnote>
  <w:footnote w:id="31">
    <w:p w14:paraId="57FFEB5D" w14:textId="77777777" w:rsidR="002100DA" w:rsidRPr="00AE205D" w:rsidRDefault="002100DA" w:rsidP="002100DA">
      <w:pPr>
        <w:pStyle w:val="FootnoteText"/>
        <w:rPr>
          <w:rFonts w:ascii="Times New Roman" w:hAnsi="Times New Roman" w:cs="Times New Roman"/>
        </w:rPr>
      </w:pPr>
      <w:r w:rsidRPr="00AE205D">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xml:space="preserve"> p. 13.</w:t>
      </w:r>
      <w:r w:rsidRPr="00AE205D">
        <w:rPr>
          <w:rFonts w:ascii="Times New Roman" w:hAnsi="Times New Roman" w:cs="Times New Roman"/>
        </w:rPr>
        <w:t xml:space="preserve"> </w:t>
      </w:r>
    </w:p>
  </w:footnote>
  <w:footnote w:id="32">
    <w:p w14:paraId="0FF5313F" w14:textId="59E2A6D8" w:rsidR="00726482" w:rsidRPr="0072100C" w:rsidRDefault="00726482">
      <w:pPr>
        <w:pStyle w:val="FootnoteText"/>
        <w:rPr>
          <w:rFonts w:ascii="Times New Roman" w:hAnsi="Times New Roman" w:cs="Times New Roman"/>
        </w:rPr>
      </w:pPr>
      <w:r>
        <w:rPr>
          <w:rStyle w:val="FootnoteReference"/>
        </w:rPr>
        <w:footnoteRef/>
      </w:r>
      <w:r>
        <w:t xml:space="preserve"> </w:t>
      </w:r>
      <w:r w:rsidR="0072100C" w:rsidRPr="0072100C">
        <w:rPr>
          <w:rFonts w:ascii="Times New Roman" w:hAnsi="Times New Roman" w:cs="Times New Roman"/>
          <w:i/>
          <w:iCs/>
        </w:rPr>
        <w:t>Georgia Power Co. v. Sumter EMC</w:t>
      </w:r>
      <w:r w:rsidR="0072100C" w:rsidRPr="0072100C">
        <w:rPr>
          <w:rFonts w:ascii="Times New Roman" w:hAnsi="Times New Roman" w:cs="Times New Roman"/>
        </w:rPr>
        <w:t>, Docket No. 7821, at 31 (Initial Decision, Aug. 5, 1998).</w:t>
      </w:r>
      <w:r w:rsidR="005554F2">
        <w:rPr>
          <w:rFonts w:ascii="Times New Roman" w:hAnsi="Times New Roman" w:cs="Times New Roman"/>
        </w:rPr>
        <w:t xml:space="preserve">, </w:t>
      </w:r>
      <w:r w:rsidR="0079351E">
        <w:rPr>
          <w:rFonts w:ascii="Times New Roman" w:hAnsi="Times New Roman" w:cs="Times New Roman"/>
        </w:rPr>
        <w:t>(</w:t>
      </w:r>
      <w:r w:rsidR="005554F2">
        <w:rPr>
          <w:rFonts w:ascii="Times New Roman" w:hAnsi="Times New Roman" w:cs="Times New Roman"/>
        </w:rPr>
        <w:t>emphasis added</w:t>
      </w:r>
      <w:r w:rsidR="0079351E">
        <w:rPr>
          <w:rFonts w:ascii="Times New Roman" w:hAnsi="Times New Roman" w:cs="Times New Roman"/>
        </w:rPr>
        <w:t>)</w:t>
      </w:r>
      <w:r w:rsidR="005554F2">
        <w:rPr>
          <w:rFonts w:ascii="Times New Roman" w:hAnsi="Times New Roman" w:cs="Times New Roman"/>
        </w:rPr>
        <w:t>.</w:t>
      </w:r>
    </w:p>
  </w:footnote>
  <w:footnote w:id="33">
    <w:p w14:paraId="4C6EE4ED" w14:textId="77777777" w:rsidR="00F05A68" w:rsidRDefault="00F05A68" w:rsidP="00F05A68">
      <w:pPr>
        <w:pStyle w:val="FootnoteText"/>
      </w:pPr>
      <w:r w:rsidRPr="00DC4DCB">
        <w:rPr>
          <w:rStyle w:val="FootnoteReference"/>
          <w:rFonts w:ascii="Times New Roman" w:hAnsi="Times New Roman" w:cs="Times New Roman"/>
        </w:rPr>
        <w:footnoteRef/>
      </w:r>
      <w:r w:rsidRPr="00DC4DCB">
        <w:rPr>
          <w:rFonts w:ascii="Times New Roman" w:hAnsi="Times New Roman" w:cs="Times New Roman"/>
        </w:rPr>
        <w:t xml:space="preserve"> </w:t>
      </w:r>
      <w:r w:rsidRPr="00DC4DCB">
        <w:rPr>
          <w:rFonts w:ascii="Times New Roman" w:hAnsi="Times New Roman" w:cs="Times New Roman"/>
          <w:i/>
        </w:rPr>
        <w:t xml:space="preserve">Ga. Power Co. v. Cent. Ga. </w:t>
      </w:r>
      <w:proofErr w:type="spellStart"/>
      <w:r w:rsidRPr="00DC4DCB">
        <w:rPr>
          <w:rFonts w:ascii="Times New Roman" w:hAnsi="Times New Roman" w:cs="Times New Roman"/>
          <w:i/>
        </w:rPr>
        <w:t>Mbrshp</w:t>
      </w:r>
      <w:proofErr w:type="spellEnd"/>
      <w:r w:rsidRPr="00DC4DCB">
        <w:rPr>
          <w:rFonts w:ascii="Times New Roman" w:hAnsi="Times New Roman" w:cs="Times New Roman"/>
          <w:i/>
        </w:rPr>
        <w:t xml:space="preserve">, </w:t>
      </w:r>
      <w:r w:rsidRPr="00DC4DCB">
        <w:rPr>
          <w:rFonts w:ascii="Times New Roman" w:hAnsi="Times New Roman" w:cs="Times New Roman"/>
        </w:rPr>
        <w:t>Docket No. 3885, Initial Decision p</w:t>
      </w:r>
      <w:r>
        <w:rPr>
          <w:rFonts w:ascii="Times New Roman" w:hAnsi="Times New Roman" w:cs="Times New Roman"/>
        </w:rPr>
        <w:t>p.</w:t>
      </w:r>
      <w:r w:rsidRPr="00DC4DCB">
        <w:rPr>
          <w:rFonts w:ascii="Times New Roman" w:hAnsi="Times New Roman" w:cs="Times New Roman"/>
        </w:rPr>
        <w:t xml:space="preserve"> 12</w:t>
      </w:r>
      <w:r>
        <w:rPr>
          <w:rFonts w:ascii="Times New Roman" w:hAnsi="Times New Roman" w:cs="Times New Roman"/>
        </w:rPr>
        <w:t>-13</w:t>
      </w:r>
      <w:r w:rsidRPr="00DC4DCB">
        <w:rPr>
          <w:rFonts w:ascii="Times New Roman" w:hAnsi="Times New Roman" w:cs="Times New Roman"/>
        </w:rPr>
        <w:t xml:space="preserve"> (1990)</w:t>
      </w:r>
      <w:r>
        <w:rPr>
          <w:rFonts w:ascii="Times New Roman" w:hAnsi="Times New Roman" w:cs="Times New Roman"/>
        </w:rPr>
        <w:t>, (emphasis added).</w:t>
      </w:r>
    </w:p>
  </w:footnote>
  <w:footnote w:id="34">
    <w:p w14:paraId="555123ED" w14:textId="77777777" w:rsidR="00FA3E55" w:rsidRPr="00FA3E55" w:rsidRDefault="00FA3E55">
      <w:pPr>
        <w:pStyle w:val="FootnoteText"/>
        <w:rPr>
          <w:rFonts w:ascii="Times New Roman" w:hAnsi="Times New Roman" w:cs="Times New Roman"/>
          <w:i/>
        </w:rPr>
      </w:pPr>
      <w:r>
        <w:rPr>
          <w:rStyle w:val="FootnoteReference"/>
        </w:rPr>
        <w:footnoteRef/>
      </w:r>
      <w:r>
        <w:t xml:space="preserve"> </w:t>
      </w:r>
      <w:proofErr w:type="spellStart"/>
      <w:r>
        <w:rPr>
          <w:rFonts w:ascii="Times New Roman" w:hAnsi="Times New Roman" w:cs="Times New Roman"/>
          <w:i/>
        </w:rPr>
        <w:t>Sawnee</w:t>
      </w:r>
      <w:proofErr w:type="spellEnd"/>
      <w:r>
        <w:rPr>
          <w:rFonts w:ascii="Times New Roman" w:hAnsi="Times New Roman" w:cs="Times New Roman"/>
          <w:i/>
        </w:rPr>
        <w:t xml:space="preserve"> </w:t>
      </w:r>
      <w:r w:rsidRPr="00FA3E55">
        <w:rPr>
          <w:rFonts w:ascii="Times New Roman" w:hAnsi="Times New Roman" w:cs="Times New Roman"/>
          <w:i/>
        </w:rPr>
        <w:t>EMC v. Ga. Power Co., Docket No. 5976-U (1997)</w:t>
      </w:r>
    </w:p>
  </w:footnote>
  <w:footnote w:id="35">
    <w:p w14:paraId="24DC0E0C" w14:textId="77777777" w:rsidR="00C50715" w:rsidRPr="00973FC8" w:rsidRDefault="00C50715">
      <w:pPr>
        <w:pStyle w:val="FootnoteText"/>
        <w:rPr>
          <w:rFonts w:ascii="Times New Roman" w:hAnsi="Times New Roman" w:cs="Times New Roman"/>
        </w:rPr>
      </w:pPr>
      <w:r w:rsidRPr="00973FC8">
        <w:rPr>
          <w:rStyle w:val="FootnoteReference"/>
          <w:rFonts w:ascii="Times New Roman" w:hAnsi="Times New Roman" w:cs="Times New Roman"/>
        </w:rPr>
        <w:footnoteRef/>
      </w:r>
      <w:r w:rsidRPr="00973FC8">
        <w:rPr>
          <w:rFonts w:ascii="Times New Roman" w:hAnsi="Times New Roman" w:cs="Times New Roman"/>
        </w:rPr>
        <w:t xml:space="preserve"> </w:t>
      </w:r>
      <w:r w:rsidRPr="00973FC8">
        <w:rPr>
          <w:rFonts w:ascii="Times New Roman" w:hAnsi="Times New Roman" w:cs="Times New Roman"/>
          <w:i/>
        </w:rPr>
        <w:t xml:space="preserve">Id. </w:t>
      </w:r>
      <w:r w:rsidRPr="00973FC8">
        <w:rPr>
          <w:rFonts w:ascii="Times New Roman" w:hAnsi="Times New Roman" w:cs="Times New Roman"/>
        </w:rPr>
        <w:t>at 8-9.</w:t>
      </w:r>
    </w:p>
  </w:footnote>
  <w:footnote w:id="36">
    <w:p w14:paraId="291398C2" w14:textId="77777777" w:rsidR="00C50715" w:rsidRPr="00973FC8" w:rsidRDefault="00C50715">
      <w:pPr>
        <w:pStyle w:val="FootnoteText"/>
        <w:rPr>
          <w:rFonts w:ascii="Times New Roman" w:hAnsi="Times New Roman" w:cs="Times New Roman"/>
        </w:rPr>
      </w:pPr>
      <w:r w:rsidRPr="00973FC8">
        <w:rPr>
          <w:rStyle w:val="FootnoteReference"/>
          <w:rFonts w:ascii="Times New Roman" w:hAnsi="Times New Roman" w:cs="Times New Roman"/>
        </w:rPr>
        <w:footnoteRef/>
      </w:r>
      <w:r w:rsidRPr="00973FC8">
        <w:rPr>
          <w:rFonts w:ascii="Times New Roman" w:hAnsi="Times New Roman" w:cs="Times New Roman"/>
        </w:rPr>
        <w:t xml:space="preserve"> </w:t>
      </w:r>
      <w:r w:rsidRPr="00973FC8">
        <w:rPr>
          <w:rFonts w:ascii="Times New Roman" w:hAnsi="Times New Roman" w:cs="Times New Roman"/>
          <w:i/>
        </w:rPr>
        <w:t xml:space="preserve">Id., </w:t>
      </w:r>
      <w:r w:rsidRPr="00973FC8">
        <w:rPr>
          <w:rFonts w:ascii="Times New Roman" w:hAnsi="Times New Roman" w:cs="Times New Roman"/>
        </w:rPr>
        <w:t>p. 10.</w:t>
      </w:r>
    </w:p>
  </w:footnote>
  <w:footnote w:id="37">
    <w:p w14:paraId="6FD81F5E" w14:textId="77777777" w:rsidR="00C50715" w:rsidRPr="00FA3180" w:rsidRDefault="00C50715">
      <w:pPr>
        <w:pStyle w:val="FootnoteText"/>
        <w:rPr>
          <w:rFonts w:ascii="Times New Roman" w:hAnsi="Times New Roman" w:cs="Times New Roman"/>
        </w:rPr>
      </w:pPr>
      <w:r w:rsidRPr="00FA3180">
        <w:rPr>
          <w:rStyle w:val="FootnoteReference"/>
          <w:rFonts w:ascii="Times New Roman" w:hAnsi="Times New Roman" w:cs="Times New Roman"/>
        </w:rPr>
        <w:footnoteRef/>
      </w:r>
      <w:r w:rsidRPr="00FA3180">
        <w:rPr>
          <w:rFonts w:ascii="Times New Roman" w:hAnsi="Times New Roman" w:cs="Times New Roman"/>
        </w:rPr>
        <w:t xml:space="preserve"> </w:t>
      </w:r>
      <w:proofErr w:type="spellStart"/>
      <w:r w:rsidRPr="00FA3180">
        <w:rPr>
          <w:rFonts w:ascii="Times New Roman" w:hAnsi="Times New Roman" w:cs="Times New Roman"/>
          <w:i/>
        </w:rPr>
        <w:t>Sawnee</w:t>
      </w:r>
      <w:proofErr w:type="spellEnd"/>
      <w:r w:rsidRPr="00FA3180">
        <w:rPr>
          <w:rFonts w:ascii="Times New Roman" w:hAnsi="Times New Roman" w:cs="Times New Roman"/>
          <w:i/>
        </w:rPr>
        <w:t xml:space="preserve"> EMC v. Ga. Public Serv. Comm’n</w:t>
      </w:r>
      <w:r w:rsidRPr="00FA3180">
        <w:rPr>
          <w:rFonts w:ascii="Times New Roman" w:hAnsi="Times New Roman" w:cs="Times New Roman"/>
        </w:rPr>
        <w:t>, 273 Ga. 702,</w:t>
      </w:r>
      <w:r w:rsidR="004F4EC0">
        <w:rPr>
          <w:rFonts w:ascii="Times New Roman" w:hAnsi="Times New Roman" w:cs="Times New Roman"/>
        </w:rPr>
        <w:t xml:space="preserve"> p.</w:t>
      </w:r>
      <w:r w:rsidRPr="00FA3180">
        <w:rPr>
          <w:rFonts w:ascii="Times New Roman" w:hAnsi="Times New Roman" w:cs="Times New Roman"/>
        </w:rPr>
        <w:t xml:space="preserve"> 705 (2001).</w:t>
      </w:r>
    </w:p>
  </w:footnote>
  <w:footnote w:id="38">
    <w:p w14:paraId="513851A2" w14:textId="77777777" w:rsidR="00C50715" w:rsidRPr="00AB1B24" w:rsidRDefault="00C50715">
      <w:pPr>
        <w:pStyle w:val="FootnoteText"/>
        <w:rPr>
          <w:rFonts w:ascii="Times New Roman" w:hAnsi="Times New Roman" w:cs="Times New Roman"/>
        </w:rPr>
      </w:pPr>
      <w:r w:rsidRPr="00AB1B24">
        <w:rPr>
          <w:rStyle w:val="FootnoteReference"/>
          <w:rFonts w:ascii="Times New Roman" w:hAnsi="Times New Roman" w:cs="Times New Roman"/>
        </w:rPr>
        <w:footnoteRef/>
      </w:r>
      <w:r w:rsidRPr="00AB1B24">
        <w:rPr>
          <w:rFonts w:ascii="Times New Roman" w:hAnsi="Times New Roman" w:cs="Times New Roman"/>
        </w:rPr>
        <w:t xml:space="preserve"> </w:t>
      </w:r>
      <w:r w:rsidRPr="00AB1B24">
        <w:rPr>
          <w:rFonts w:ascii="Times New Roman" w:hAnsi="Times New Roman" w:cs="Times New Roman"/>
          <w:i/>
        </w:rPr>
        <w:t xml:space="preserve">Id., </w:t>
      </w:r>
      <w:r w:rsidRPr="00AB1B24">
        <w:rPr>
          <w:rFonts w:ascii="Times New Roman" w:hAnsi="Times New Roman" w:cs="Times New Roman"/>
        </w:rPr>
        <w:t>p.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2A9"/>
    <w:multiLevelType w:val="hybridMultilevel"/>
    <w:tmpl w:val="73AC0C1A"/>
    <w:lvl w:ilvl="0" w:tplc="C2A0F13A">
      <w:start w:val="1"/>
      <w:numFmt w:val="decimal"/>
      <w:lvlText w:val="(%1)"/>
      <w:lvlJc w:val="left"/>
      <w:pPr>
        <w:ind w:left="1440" w:hanging="360"/>
      </w:pPr>
      <w:rPr>
        <w:rFonts w:cs="Times New Roman" w:hint="default"/>
      </w:rPr>
    </w:lvl>
    <w:lvl w:ilvl="1" w:tplc="C2A0F13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9337AF"/>
    <w:multiLevelType w:val="hybridMultilevel"/>
    <w:tmpl w:val="A3A2F746"/>
    <w:lvl w:ilvl="0" w:tplc="DC2653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71EB5"/>
    <w:multiLevelType w:val="multilevel"/>
    <w:tmpl w:val="5A6C3FEE"/>
    <w:lvl w:ilvl="0">
      <w:start w:val="1"/>
      <w:numFmt w:val="decimal"/>
      <w:lvlText w:val="%1."/>
      <w:lvlJc w:val="left"/>
      <w:pPr>
        <w:tabs>
          <w:tab w:val="left" w:pos="1080"/>
        </w:tabs>
      </w:pPr>
      <w:rPr>
        <w:rFonts w:ascii="Times New Roman" w:eastAsia="Times New Roman" w:hAnsi="Times New Roman" w:cs="Times New Roman"/>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E2C3D12"/>
    <w:multiLevelType w:val="hybridMultilevel"/>
    <w:tmpl w:val="990E3044"/>
    <w:lvl w:ilvl="0" w:tplc="3E60374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46635"/>
    <w:multiLevelType w:val="hybridMultilevel"/>
    <w:tmpl w:val="C032F128"/>
    <w:lvl w:ilvl="0" w:tplc="C8B67E9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4039E"/>
    <w:multiLevelType w:val="hybridMultilevel"/>
    <w:tmpl w:val="EB244344"/>
    <w:lvl w:ilvl="0" w:tplc="1694B2D0">
      <w:start w:val="13"/>
      <w:numFmt w:val="decimal"/>
      <w:lvlText w:val="%1"/>
      <w:lvlJc w:val="left"/>
      <w:pPr>
        <w:ind w:left="729" w:hanging="572"/>
      </w:pPr>
      <w:rPr>
        <w:rFonts w:ascii="Calibri" w:eastAsia="Calibri" w:hAnsi="Calibri" w:cs="Calibri" w:hint="default"/>
        <w:b w:val="0"/>
        <w:bCs w:val="0"/>
        <w:i w:val="0"/>
        <w:iCs w:val="0"/>
        <w:spacing w:val="-2"/>
        <w:w w:val="100"/>
        <w:sz w:val="21"/>
        <w:szCs w:val="21"/>
      </w:rPr>
    </w:lvl>
    <w:lvl w:ilvl="1" w:tplc="6FF0C8C0">
      <w:numFmt w:val="bullet"/>
      <w:lvlText w:val="•"/>
      <w:lvlJc w:val="left"/>
      <w:pPr>
        <w:ind w:left="1672" w:hanging="572"/>
      </w:pPr>
      <w:rPr>
        <w:rFonts w:hint="default"/>
      </w:rPr>
    </w:lvl>
    <w:lvl w:ilvl="2" w:tplc="1D48BB18">
      <w:numFmt w:val="bullet"/>
      <w:lvlText w:val="•"/>
      <w:lvlJc w:val="left"/>
      <w:pPr>
        <w:ind w:left="2624" w:hanging="572"/>
      </w:pPr>
      <w:rPr>
        <w:rFonts w:hint="default"/>
      </w:rPr>
    </w:lvl>
    <w:lvl w:ilvl="3" w:tplc="FEC2E704">
      <w:numFmt w:val="bullet"/>
      <w:lvlText w:val="•"/>
      <w:lvlJc w:val="left"/>
      <w:pPr>
        <w:ind w:left="3576" w:hanging="572"/>
      </w:pPr>
      <w:rPr>
        <w:rFonts w:hint="default"/>
      </w:rPr>
    </w:lvl>
    <w:lvl w:ilvl="4" w:tplc="25FA5BA0">
      <w:numFmt w:val="bullet"/>
      <w:lvlText w:val="•"/>
      <w:lvlJc w:val="left"/>
      <w:pPr>
        <w:ind w:left="4528" w:hanging="572"/>
      </w:pPr>
      <w:rPr>
        <w:rFonts w:hint="default"/>
      </w:rPr>
    </w:lvl>
    <w:lvl w:ilvl="5" w:tplc="7BCA6AE0">
      <w:numFmt w:val="bullet"/>
      <w:lvlText w:val="•"/>
      <w:lvlJc w:val="left"/>
      <w:pPr>
        <w:ind w:left="5480" w:hanging="572"/>
      </w:pPr>
      <w:rPr>
        <w:rFonts w:hint="default"/>
      </w:rPr>
    </w:lvl>
    <w:lvl w:ilvl="6" w:tplc="B2DACBA8">
      <w:numFmt w:val="bullet"/>
      <w:lvlText w:val="•"/>
      <w:lvlJc w:val="left"/>
      <w:pPr>
        <w:ind w:left="6432" w:hanging="572"/>
      </w:pPr>
      <w:rPr>
        <w:rFonts w:hint="default"/>
      </w:rPr>
    </w:lvl>
    <w:lvl w:ilvl="7" w:tplc="60ACFF9A">
      <w:numFmt w:val="bullet"/>
      <w:lvlText w:val="•"/>
      <w:lvlJc w:val="left"/>
      <w:pPr>
        <w:ind w:left="7384" w:hanging="572"/>
      </w:pPr>
      <w:rPr>
        <w:rFonts w:hint="default"/>
      </w:rPr>
    </w:lvl>
    <w:lvl w:ilvl="8" w:tplc="7B8C3F90">
      <w:numFmt w:val="bullet"/>
      <w:lvlText w:val="•"/>
      <w:lvlJc w:val="left"/>
      <w:pPr>
        <w:ind w:left="8336" w:hanging="572"/>
      </w:pPr>
      <w:rPr>
        <w:rFonts w:hint="default"/>
      </w:rPr>
    </w:lvl>
  </w:abstractNum>
  <w:abstractNum w:abstractNumId="6" w15:restartNumberingAfterBreak="0">
    <w:nsid w:val="58184EEC"/>
    <w:multiLevelType w:val="multilevel"/>
    <w:tmpl w:val="5A6C3FEE"/>
    <w:lvl w:ilvl="0">
      <w:start w:val="1"/>
      <w:numFmt w:val="decimal"/>
      <w:lvlText w:val="%1."/>
      <w:lvlJc w:val="left"/>
      <w:pPr>
        <w:tabs>
          <w:tab w:val="left" w:pos="360"/>
        </w:tabs>
      </w:pPr>
      <w:rPr>
        <w:rFonts w:ascii="Times New Roman" w:eastAsia="Times New Roman" w:hAnsi="Times New Roman" w:cs="Times New Roman"/>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38D742D"/>
    <w:multiLevelType w:val="hybridMultilevel"/>
    <w:tmpl w:val="7D8E2A84"/>
    <w:lvl w:ilvl="0" w:tplc="818A24D6">
      <w:start w:val="13"/>
      <w:numFmt w:val="decimal"/>
      <w:lvlText w:val="%1"/>
      <w:lvlJc w:val="left"/>
      <w:pPr>
        <w:ind w:left="729" w:hanging="572"/>
      </w:pPr>
      <w:rPr>
        <w:rFonts w:ascii="Calibri" w:eastAsia="Calibri" w:hAnsi="Calibri" w:cs="Calibri" w:hint="default"/>
        <w:b w:val="0"/>
        <w:bCs w:val="0"/>
        <w:i w:val="0"/>
        <w:iCs w:val="0"/>
        <w:spacing w:val="-2"/>
        <w:w w:val="100"/>
        <w:sz w:val="21"/>
        <w:szCs w:val="21"/>
      </w:rPr>
    </w:lvl>
    <w:lvl w:ilvl="1" w:tplc="A510ECEA">
      <w:numFmt w:val="bullet"/>
      <w:lvlText w:val="•"/>
      <w:lvlJc w:val="left"/>
      <w:pPr>
        <w:ind w:left="1672" w:hanging="572"/>
      </w:pPr>
      <w:rPr>
        <w:rFonts w:hint="default"/>
      </w:rPr>
    </w:lvl>
    <w:lvl w:ilvl="2" w:tplc="53AC4B7C">
      <w:numFmt w:val="bullet"/>
      <w:lvlText w:val="•"/>
      <w:lvlJc w:val="left"/>
      <w:pPr>
        <w:ind w:left="2624" w:hanging="572"/>
      </w:pPr>
      <w:rPr>
        <w:rFonts w:hint="default"/>
      </w:rPr>
    </w:lvl>
    <w:lvl w:ilvl="3" w:tplc="3A38C916">
      <w:numFmt w:val="bullet"/>
      <w:lvlText w:val="•"/>
      <w:lvlJc w:val="left"/>
      <w:pPr>
        <w:ind w:left="3576" w:hanging="572"/>
      </w:pPr>
      <w:rPr>
        <w:rFonts w:hint="default"/>
      </w:rPr>
    </w:lvl>
    <w:lvl w:ilvl="4" w:tplc="D73493CE">
      <w:numFmt w:val="bullet"/>
      <w:lvlText w:val="•"/>
      <w:lvlJc w:val="left"/>
      <w:pPr>
        <w:ind w:left="4528" w:hanging="572"/>
      </w:pPr>
      <w:rPr>
        <w:rFonts w:hint="default"/>
      </w:rPr>
    </w:lvl>
    <w:lvl w:ilvl="5" w:tplc="EA24FE98">
      <w:numFmt w:val="bullet"/>
      <w:lvlText w:val="•"/>
      <w:lvlJc w:val="left"/>
      <w:pPr>
        <w:ind w:left="5480" w:hanging="572"/>
      </w:pPr>
      <w:rPr>
        <w:rFonts w:hint="default"/>
      </w:rPr>
    </w:lvl>
    <w:lvl w:ilvl="6" w:tplc="9272CA56">
      <w:numFmt w:val="bullet"/>
      <w:lvlText w:val="•"/>
      <w:lvlJc w:val="left"/>
      <w:pPr>
        <w:ind w:left="6432" w:hanging="572"/>
      </w:pPr>
      <w:rPr>
        <w:rFonts w:hint="default"/>
      </w:rPr>
    </w:lvl>
    <w:lvl w:ilvl="7" w:tplc="D01430AA">
      <w:numFmt w:val="bullet"/>
      <w:lvlText w:val="•"/>
      <w:lvlJc w:val="left"/>
      <w:pPr>
        <w:ind w:left="7384" w:hanging="572"/>
      </w:pPr>
      <w:rPr>
        <w:rFonts w:hint="default"/>
      </w:rPr>
    </w:lvl>
    <w:lvl w:ilvl="8" w:tplc="7A4C3918">
      <w:numFmt w:val="bullet"/>
      <w:lvlText w:val="•"/>
      <w:lvlJc w:val="left"/>
      <w:pPr>
        <w:ind w:left="8336" w:hanging="572"/>
      </w:pPr>
      <w:rPr>
        <w:rFonts w:hint="default"/>
      </w:rPr>
    </w:lvl>
  </w:abstractNum>
  <w:abstractNum w:abstractNumId="8" w15:restartNumberingAfterBreak="0">
    <w:nsid w:val="6DB17881"/>
    <w:multiLevelType w:val="hybridMultilevel"/>
    <w:tmpl w:val="A2623324"/>
    <w:lvl w:ilvl="0" w:tplc="FE3623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F207D4C"/>
    <w:multiLevelType w:val="hybridMultilevel"/>
    <w:tmpl w:val="9A727AF8"/>
    <w:lvl w:ilvl="0" w:tplc="9FAE49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3608B"/>
    <w:multiLevelType w:val="hybridMultilevel"/>
    <w:tmpl w:val="06D8FEB4"/>
    <w:lvl w:ilvl="0" w:tplc="20026688">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ACF26D6"/>
    <w:multiLevelType w:val="multilevel"/>
    <w:tmpl w:val="5A6C3FEE"/>
    <w:lvl w:ilvl="0">
      <w:start w:val="1"/>
      <w:numFmt w:val="decimal"/>
      <w:lvlText w:val="%1."/>
      <w:lvlJc w:val="left"/>
      <w:pPr>
        <w:tabs>
          <w:tab w:val="left" w:pos="360"/>
        </w:tabs>
      </w:pPr>
      <w:rPr>
        <w:rFonts w:ascii="Times New Roman" w:eastAsia="Times New Roman" w:hAnsi="Times New Roman" w:cs="Times New Roman"/>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AF00EDA"/>
    <w:multiLevelType w:val="hybridMultilevel"/>
    <w:tmpl w:val="798E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8"/>
  </w:num>
  <w:num w:numId="5">
    <w:abstractNumId w:val="2"/>
  </w:num>
  <w:num w:numId="6">
    <w:abstractNumId w:val="11"/>
  </w:num>
  <w:num w:numId="7">
    <w:abstractNumId w:val="6"/>
  </w:num>
  <w:num w:numId="8">
    <w:abstractNumId w:val="12"/>
  </w:num>
  <w:num w:numId="9">
    <w:abstractNumId w:val="5"/>
  </w:num>
  <w:num w:numId="10">
    <w:abstractNumId w:val="7"/>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E61"/>
    <w:rsid w:val="00002EE3"/>
    <w:rsid w:val="00004BFD"/>
    <w:rsid w:val="00004C8D"/>
    <w:rsid w:val="00005F6B"/>
    <w:rsid w:val="00006720"/>
    <w:rsid w:val="00006D06"/>
    <w:rsid w:val="00010DCE"/>
    <w:rsid w:val="000116CD"/>
    <w:rsid w:val="0001199D"/>
    <w:rsid w:val="0001217C"/>
    <w:rsid w:val="00013BCB"/>
    <w:rsid w:val="00017079"/>
    <w:rsid w:val="00021F65"/>
    <w:rsid w:val="00023792"/>
    <w:rsid w:val="00026C03"/>
    <w:rsid w:val="00027387"/>
    <w:rsid w:val="0002756E"/>
    <w:rsid w:val="0002799F"/>
    <w:rsid w:val="000316A7"/>
    <w:rsid w:val="00032494"/>
    <w:rsid w:val="00033E51"/>
    <w:rsid w:val="00035A78"/>
    <w:rsid w:val="00040A0B"/>
    <w:rsid w:val="00041CAD"/>
    <w:rsid w:val="00042CBC"/>
    <w:rsid w:val="0004381B"/>
    <w:rsid w:val="00045A2C"/>
    <w:rsid w:val="00046105"/>
    <w:rsid w:val="00050392"/>
    <w:rsid w:val="00051BFE"/>
    <w:rsid w:val="000533F4"/>
    <w:rsid w:val="00053566"/>
    <w:rsid w:val="000548B3"/>
    <w:rsid w:val="000553B5"/>
    <w:rsid w:val="000554E3"/>
    <w:rsid w:val="00055E88"/>
    <w:rsid w:val="000563E2"/>
    <w:rsid w:val="000600A4"/>
    <w:rsid w:val="000623EB"/>
    <w:rsid w:val="0006249F"/>
    <w:rsid w:val="00062A50"/>
    <w:rsid w:val="00067753"/>
    <w:rsid w:val="0007043F"/>
    <w:rsid w:val="00070982"/>
    <w:rsid w:val="00071BB9"/>
    <w:rsid w:val="00072591"/>
    <w:rsid w:val="00073756"/>
    <w:rsid w:val="00073A05"/>
    <w:rsid w:val="00074333"/>
    <w:rsid w:val="00077FC6"/>
    <w:rsid w:val="0008147F"/>
    <w:rsid w:val="00084499"/>
    <w:rsid w:val="00084E17"/>
    <w:rsid w:val="000872F5"/>
    <w:rsid w:val="0009383E"/>
    <w:rsid w:val="00096917"/>
    <w:rsid w:val="000A0430"/>
    <w:rsid w:val="000A199D"/>
    <w:rsid w:val="000A2340"/>
    <w:rsid w:val="000A3E67"/>
    <w:rsid w:val="000B3A17"/>
    <w:rsid w:val="000B3E83"/>
    <w:rsid w:val="000B689A"/>
    <w:rsid w:val="000B70E8"/>
    <w:rsid w:val="000B7D2F"/>
    <w:rsid w:val="000C05E2"/>
    <w:rsid w:val="000C1DA9"/>
    <w:rsid w:val="000C3DE3"/>
    <w:rsid w:val="000C41C8"/>
    <w:rsid w:val="000C6724"/>
    <w:rsid w:val="000C74CA"/>
    <w:rsid w:val="000D22D3"/>
    <w:rsid w:val="000D2832"/>
    <w:rsid w:val="000D3073"/>
    <w:rsid w:val="000D42BA"/>
    <w:rsid w:val="000D6176"/>
    <w:rsid w:val="000D6DCB"/>
    <w:rsid w:val="000D6F6E"/>
    <w:rsid w:val="000D75D2"/>
    <w:rsid w:val="000E12D4"/>
    <w:rsid w:val="000E1A24"/>
    <w:rsid w:val="000E5136"/>
    <w:rsid w:val="000E6503"/>
    <w:rsid w:val="000E7358"/>
    <w:rsid w:val="000E764B"/>
    <w:rsid w:val="000E792F"/>
    <w:rsid w:val="000F254C"/>
    <w:rsid w:val="000F296C"/>
    <w:rsid w:val="000F2BCC"/>
    <w:rsid w:val="000F3779"/>
    <w:rsid w:val="000F3992"/>
    <w:rsid w:val="000F45D8"/>
    <w:rsid w:val="000F5F1E"/>
    <w:rsid w:val="000F7686"/>
    <w:rsid w:val="000F7820"/>
    <w:rsid w:val="00101B56"/>
    <w:rsid w:val="00101F99"/>
    <w:rsid w:val="00102927"/>
    <w:rsid w:val="001039CA"/>
    <w:rsid w:val="00103C69"/>
    <w:rsid w:val="00104292"/>
    <w:rsid w:val="001052AC"/>
    <w:rsid w:val="001056D5"/>
    <w:rsid w:val="00105C50"/>
    <w:rsid w:val="00116441"/>
    <w:rsid w:val="00116AAD"/>
    <w:rsid w:val="00116FF2"/>
    <w:rsid w:val="00120BF5"/>
    <w:rsid w:val="00124823"/>
    <w:rsid w:val="00125BF9"/>
    <w:rsid w:val="00127E7F"/>
    <w:rsid w:val="001313F9"/>
    <w:rsid w:val="00131AA0"/>
    <w:rsid w:val="00131ACA"/>
    <w:rsid w:val="00131C6D"/>
    <w:rsid w:val="00133C76"/>
    <w:rsid w:val="00136451"/>
    <w:rsid w:val="00136C59"/>
    <w:rsid w:val="00141275"/>
    <w:rsid w:val="00144FB1"/>
    <w:rsid w:val="00147BD2"/>
    <w:rsid w:val="001512DA"/>
    <w:rsid w:val="00151951"/>
    <w:rsid w:val="0015275B"/>
    <w:rsid w:val="00153978"/>
    <w:rsid w:val="001544D6"/>
    <w:rsid w:val="00163D7B"/>
    <w:rsid w:val="00164D45"/>
    <w:rsid w:val="00165BF5"/>
    <w:rsid w:val="00165E76"/>
    <w:rsid w:val="0017033C"/>
    <w:rsid w:val="00171F0D"/>
    <w:rsid w:val="00174A18"/>
    <w:rsid w:val="001773F3"/>
    <w:rsid w:val="00177C7D"/>
    <w:rsid w:val="00180619"/>
    <w:rsid w:val="001808D8"/>
    <w:rsid w:val="00182B8A"/>
    <w:rsid w:val="00185D30"/>
    <w:rsid w:val="00185E76"/>
    <w:rsid w:val="0018672A"/>
    <w:rsid w:val="00187219"/>
    <w:rsid w:val="001911B1"/>
    <w:rsid w:val="00191BAC"/>
    <w:rsid w:val="00195C66"/>
    <w:rsid w:val="001A3C50"/>
    <w:rsid w:val="001A5FDA"/>
    <w:rsid w:val="001A61DC"/>
    <w:rsid w:val="001B0024"/>
    <w:rsid w:val="001B0040"/>
    <w:rsid w:val="001B2BD3"/>
    <w:rsid w:val="001B44C2"/>
    <w:rsid w:val="001B4F15"/>
    <w:rsid w:val="001B578D"/>
    <w:rsid w:val="001B6344"/>
    <w:rsid w:val="001C14C9"/>
    <w:rsid w:val="001C1B46"/>
    <w:rsid w:val="001C33FC"/>
    <w:rsid w:val="001C34C5"/>
    <w:rsid w:val="001C3825"/>
    <w:rsid w:val="001C49C9"/>
    <w:rsid w:val="001C75C2"/>
    <w:rsid w:val="001D0006"/>
    <w:rsid w:val="001D522F"/>
    <w:rsid w:val="001D5790"/>
    <w:rsid w:val="001D7FB4"/>
    <w:rsid w:val="001E05B0"/>
    <w:rsid w:val="001E160F"/>
    <w:rsid w:val="001E22D5"/>
    <w:rsid w:val="001E2C14"/>
    <w:rsid w:val="001E3D1C"/>
    <w:rsid w:val="001E3FF8"/>
    <w:rsid w:val="001E642F"/>
    <w:rsid w:val="001E6A41"/>
    <w:rsid w:val="001E7531"/>
    <w:rsid w:val="001E7FF9"/>
    <w:rsid w:val="001F2745"/>
    <w:rsid w:val="001F3608"/>
    <w:rsid w:val="001F3A54"/>
    <w:rsid w:val="001F7610"/>
    <w:rsid w:val="00200C98"/>
    <w:rsid w:val="002011C6"/>
    <w:rsid w:val="002020DC"/>
    <w:rsid w:val="0020336C"/>
    <w:rsid w:val="00203E57"/>
    <w:rsid w:val="00205C4D"/>
    <w:rsid w:val="00205D6D"/>
    <w:rsid w:val="002064EA"/>
    <w:rsid w:val="002071F5"/>
    <w:rsid w:val="002076EF"/>
    <w:rsid w:val="00210055"/>
    <w:rsid w:val="002100DA"/>
    <w:rsid w:val="002117FB"/>
    <w:rsid w:val="00211AED"/>
    <w:rsid w:val="00212DCD"/>
    <w:rsid w:val="00214ABE"/>
    <w:rsid w:val="002156BC"/>
    <w:rsid w:val="002165F6"/>
    <w:rsid w:val="00216A50"/>
    <w:rsid w:val="00217709"/>
    <w:rsid w:val="00223722"/>
    <w:rsid w:val="00223910"/>
    <w:rsid w:val="00223FFE"/>
    <w:rsid w:val="0022586B"/>
    <w:rsid w:val="00227629"/>
    <w:rsid w:val="002276D2"/>
    <w:rsid w:val="00227AC2"/>
    <w:rsid w:val="00230571"/>
    <w:rsid w:val="00231CAE"/>
    <w:rsid w:val="00232DCD"/>
    <w:rsid w:val="0023419F"/>
    <w:rsid w:val="00240AC0"/>
    <w:rsid w:val="00242D1D"/>
    <w:rsid w:val="002432D8"/>
    <w:rsid w:val="00244A7D"/>
    <w:rsid w:val="00245852"/>
    <w:rsid w:val="00246A28"/>
    <w:rsid w:val="00247400"/>
    <w:rsid w:val="002560CA"/>
    <w:rsid w:val="00257248"/>
    <w:rsid w:val="00262EC9"/>
    <w:rsid w:val="00262F82"/>
    <w:rsid w:val="00263ED7"/>
    <w:rsid w:val="002654E8"/>
    <w:rsid w:val="00265EE6"/>
    <w:rsid w:val="00267D44"/>
    <w:rsid w:val="00272AA2"/>
    <w:rsid w:val="002749FD"/>
    <w:rsid w:val="00280225"/>
    <w:rsid w:val="00281E43"/>
    <w:rsid w:val="00284059"/>
    <w:rsid w:val="0028430E"/>
    <w:rsid w:val="002856C6"/>
    <w:rsid w:val="0028599D"/>
    <w:rsid w:val="00286159"/>
    <w:rsid w:val="00286423"/>
    <w:rsid w:val="00286A09"/>
    <w:rsid w:val="00290A90"/>
    <w:rsid w:val="00290D9E"/>
    <w:rsid w:val="00297EDC"/>
    <w:rsid w:val="002A08B1"/>
    <w:rsid w:val="002A0914"/>
    <w:rsid w:val="002A42AF"/>
    <w:rsid w:val="002A5818"/>
    <w:rsid w:val="002A6783"/>
    <w:rsid w:val="002B09AA"/>
    <w:rsid w:val="002B13AF"/>
    <w:rsid w:val="002B31B4"/>
    <w:rsid w:val="002B3447"/>
    <w:rsid w:val="002B39B9"/>
    <w:rsid w:val="002B3A0B"/>
    <w:rsid w:val="002B5EE4"/>
    <w:rsid w:val="002B7E13"/>
    <w:rsid w:val="002C2312"/>
    <w:rsid w:val="002C24EC"/>
    <w:rsid w:val="002C25EC"/>
    <w:rsid w:val="002C66DE"/>
    <w:rsid w:val="002C74A9"/>
    <w:rsid w:val="002C7929"/>
    <w:rsid w:val="002C7C43"/>
    <w:rsid w:val="002D03D9"/>
    <w:rsid w:val="002D07BA"/>
    <w:rsid w:val="002D59E0"/>
    <w:rsid w:val="002D5C16"/>
    <w:rsid w:val="002E04F5"/>
    <w:rsid w:val="002E0528"/>
    <w:rsid w:val="002E0D17"/>
    <w:rsid w:val="002E185B"/>
    <w:rsid w:val="002E43B8"/>
    <w:rsid w:val="002F01FE"/>
    <w:rsid w:val="002F2FBD"/>
    <w:rsid w:val="002F375E"/>
    <w:rsid w:val="002F3A1A"/>
    <w:rsid w:val="002F41A9"/>
    <w:rsid w:val="002F423E"/>
    <w:rsid w:val="002F59E7"/>
    <w:rsid w:val="002F5C3F"/>
    <w:rsid w:val="002F776C"/>
    <w:rsid w:val="00300B0D"/>
    <w:rsid w:val="00300D7B"/>
    <w:rsid w:val="003010A7"/>
    <w:rsid w:val="003025A3"/>
    <w:rsid w:val="00303107"/>
    <w:rsid w:val="0030632A"/>
    <w:rsid w:val="003161EC"/>
    <w:rsid w:val="0031672A"/>
    <w:rsid w:val="00317B13"/>
    <w:rsid w:val="00320BBD"/>
    <w:rsid w:val="0032204F"/>
    <w:rsid w:val="0032342C"/>
    <w:rsid w:val="003235F9"/>
    <w:rsid w:val="00325865"/>
    <w:rsid w:val="003277BE"/>
    <w:rsid w:val="00330446"/>
    <w:rsid w:val="00330C01"/>
    <w:rsid w:val="0033130A"/>
    <w:rsid w:val="003320DF"/>
    <w:rsid w:val="00333F25"/>
    <w:rsid w:val="00334CEB"/>
    <w:rsid w:val="00337F59"/>
    <w:rsid w:val="0035081A"/>
    <w:rsid w:val="003538F1"/>
    <w:rsid w:val="00355D39"/>
    <w:rsid w:val="00356D65"/>
    <w:rsid w:val="00357030"/>
    <w:rsid w:val="0036134D"/>
    <w:rsid w:val="003628E0"/>
    <w:rsid w:val="00363437"/>
    <w:rsid w:val="00365849"/>
    <w:rsid w:val="00365D49"/>
    <w:rsid w:val="00370222"/>
    <w:rsid w:val="00370601"/>
    <w:rsid w:val="003728CE"/>
    <w:rsid w:val="00373FF6"/>
    <w:rsid w:val="00376929"/>
    <w:rsid w:val="003769FE"/>
    <w:rsid w:val="0038390E"/>
    <w:rsid w:val="00384933"/>
    <w:rsid w:val="0038521D"/>
    <w:rsid w:val="003855C4"/>
    <w:rsid w:val="00385C58"/>
    <w:rsid w:val="00386843"/>
    <w:rsid w:val="003870A2"/>
    <w:rsid w:val="00387CF4"/>
    <w:rsid w:val="00391DAB"/>
    <w:rsid w:val="00392583"/>
    <w:rsid w:val="00393249"/>
    <w:rsid w:val="003945A7"/>
    <w:rsid w:val="00396266"/>
    <w:rsid w:val="00396FAC"/>
    <w:rsid w:val="00397F29"/>
    <w:rsid w:val="003A2C5D"/>
    <w:rsid w:val="003B5754"/>
    <w:rsid w:val="003B583A"/>
    <w:rsid w:val="003B7723"/>
    <w:rsid w:val="003B7F5C"/>
    <w:rsid w:val="003C0E38"/>
    <w:rsid w:val="003C0F01"/>
    <w:rsid w:val="003C139B"/>
    <w:rsid w:val="003C1E93"/>
    <w:rsid w:val="003C2EE3"/>
    <w:rsid w:val="003C4641"/>
    <w:rsid w:val="003C555E"/>
    <w:rsid w:val="003C6E97"/>
    <w:rsid w:val="003C7E99"/>
    <w:rsid w:val="003D0EFA"/>
    <w:rsid w:val="003D1F35"/>
    <w:rsid w:val="003D26D0"/>
    <w:rsid w:val="003D3503"/>
    <w:rsid w:val="003D3521"/>
    <w:rsid w:val="003D4442"/>
    <w:rsid w:val="003E2A45"/>
    <w:rsid w:val="003E44A8"/>
    <w:rsid w:val="003F3F2F"/>
    <w:rsid w:val="003F451E"/>
    <w:rsid w:val="003F466D"/>
    <w:rsid w:val="003F5A34"/>
    <w:rsid w:val="003F65E2"/>
    <w:rsid w:val="004011FC"/>
    <w:rsid w:val="00401527"/>
    <w:rsid w:val="00401CD4"/>
    <w:rsid w:val="0040520A"/>
    <w:rsid w:val="004101FA"/>
    <w:rsid w:val="0041524B"/>
    <w:rsid w:val="00417095"/>
    <w:rsid w:val="0041737E"/>
    <w:rsid w:val="004265EE"/>
    <w:rsid w:val="00426F99"/>
    <w:rsid w:val="00427FE3"/>
    <w:rsid w:val="00430650"/>
    <w:rsid w:val="004325F7"/>
    <w:rsid w:val="004356F9"/>
    <w:rsid w:val="0043784C"/>
    <w:rsid w:val="00437DC6"/>
    <w:rsid w:val="00441C8C"/>
    <w:rsid w:val="004439F2"/>
    <w:rsid w:val="00443B28"/>
    <w:rsid w:val="004477A6"/>
    <w:rsid w:val="0045013F"/>
    <w:rsid w:val="00450200"/>
    <w:rsid w:val="00451B3E"/>
    <w:rsid w:val="0045453A"/>
    <w:rsid w:val="00455496"/>
    <w:rsid w:val="004561EB"/>
    <w:rsid w:val="004612D8"/>
    <w:rsid w:val="004613BE"/>
    <w:rsid w:val="0046154A"/>
    <w:rsid w:val="004654E2"/>
    <w:rsid w:val="00465D9A"/>
    <w:rsid w:val="0047215A"/>
    <w:rsid w:val="00472EB5"/>
    <w:rsid w:val="0047321F"/>
    <w:rsid w:val="00474026"/>
    <w:rsid w:val="004759CC"/>
    <w:rsid w:val="00476676"/>
    <w:rsid w:val="00476B83"/>
    <w:rsid w:val="00476DEE"/>
    <w:rsid w:val="00481281"/>
    <w:rsid w:val="004854AC"/>
    <w:rsid w:val="0048664B"/>
    <w:rsid w:val="004913EB"/>
    <w:rsid w:val="0049444F"/>
    <w:rsid w:val="004950EF"/>
    <w:rsid w:val="0049570E"/>
    <w:rsid w:val="00497E3F"/>
    <w:rsid w:val="004A05C7"/>
    <w:rsid w:val="004A0973"/>
    <w:rsid w:val="004A18FE"/>
    <w:rsid w:val="004A1FAE"/>
    <w:rsid w:val="004A21E3"/>
    <w:rsid w:val="004A2D22"/>
    <w:rsid w:val="004A30CE"/>
    <w:rsid w:val="004A4B79"/>
    <w:rsid w:val="004A4DCD"/>
    <w:rsid w:val="004B1606"/>
    <w:rsid w:val="004B3413"/>
    <w:rsid w:val="004B3B64"/>
    <w:rsid w:val="004B4170"/>
    <w:rsid w:val="004B503B"/>
    <w:rsid w:val="004B5E0A"/>
    <w:rsid w:val="004B6699"/>
    <w:rsid w:val="004B6828"/>
    <w:rsid w:val="004C1D92"/>
    <w:rsid w:val="004C2678"/>
    <w:rsid w:val="004C52F9"/>
    <w:rsid w:val="004C5A75"/>
    <w:rsid w:val="004C7067"/>
    <w:rsid w:val="004D72EB"/>
    <w:rsid w:val="004D7C6E"/>
    <w:rsid w:val="004E246F"/>
    <w:rsid w:val="004F0656"/>
    <w:rsid w:val="004F065F"/>
    <w:rsid w:val="004F4EC0"/>
    <w:rsid w:val="004F6531"/>
    <w:rsid w:val="00503E37"/>
    <w:rsid w:val="00507372"/>
    <w:rsid w:val="00512DE4"/>
    <w:rsid w:val="00515B38"/>
    <w:rsid w:val="00523323"/>
    <w:rsid w:val="00526D85"/>
    <w:rsid w:val="00526F9E"/>
    <w:rsid w:val="0053010B"/>
    <w:rsid w:val="00530E27"/>
    <w:rsid w:val="00536813"/>
    <w:rsid w:val="00537C9A"/>
    <w:rsid w:val="005403C1"/>
    <w:rsid w:val="005421BA"/>
    <w:rsid w:val="00542972"/>
    <w:rsid w:val="00543145"/>
    <w:rsid w:val="00545915"/>
    <w:rsid w:val="00545E5E"/>
    <w:rsid w:val="00546E43"/>
    <w:rsid w:val="0054764E"/>
    <w:rsid w:val="005514A9"/>
    <w:rsid w:val="00553D98"/>
    <w:rsid w:val="005554F2"/>
    <w:rsid w:val="0055763F"/>
    <w:rsid w:val="005605AB"/>
    <w:rsid w:val="00562E78"/>
    <w:rsid w:val="00563667"/>
    <w:rsid w:val="005638C4"/>
    <w:rsid w:val="00563A78"/>
    <w:rsid w:val="005640AA"/>
    <w:rsid w:val="005643F3"/>
    <w:rsid w:val="00566A01"/>
    <w:rsid w:val="00571ECD"/>
    <w:rsid w:val="00575CFC"/>
    <w:rsid w:val="005768A1"/>
    <w:rsid w:val="00576AB7"/>
    <w:rsid w:val="0058007B"/>
    <w:rsid w:val="00581D21"/>
    <w:rsid w:val="005831CA"/>
    <w:rsid w:val="005845E2"/>
    <w:rsid w:val="005847CB"/>
    <w:rsid w:val="00585EE1"/>
    <w:rsid w:val="0058689A"/>
    <w:rsid w:val="00586913"/>
    <w:rsid w:val="005878AC"/>
    <w:rsid w:val="0058792F"/>
    <w:rsid w:val="00587E4B"/>
    <w:rsid w:val="00590E5A"/>
    <w:rsid w:val="0059584E"/>
    <w:rsid w:val="00596034"/>
    <w:rsid w:val="00596DA3"/>
    <w:rsid w:val="005975E5"/>
    <w:rsid w:val="005A308C"/>
    <w:rsid w:val="005A4584"/>
    <w:rsid w:val="005A4588"/>
    <w:rsid w:val="005A4BB6"/>
    <w:rsid w:val="005A5A62"/>
    <w:rsid w:val="005A7128"/>
    <w:rsid w:val="005B06F6"/>
    <w:rsid w:val="005B0F4B"/>
    <w:rsid w:val="005B160D"/>
    <w:rsid w:val="005B4927"/>
    <w:rsid w:val="005B57B5"/>
    <w:rsid w:val="005C22B7"/>
    <w:rsid w:val="005C5DCB"/>
    <w:rsid w:val="005C74C3"/>
    <w:rsid w:val="005D6F82"/>
    <w:rsid w:val="005D756A"/>
    <w:rsid w:val="005E06D3"/>
    <w:rsid w:val="005E30A3"/>
    <w:rsid w:val="005E445A"/>
    <w:rsid w:val="005E4495"/>
    <w:rsid w:val="005E454F"/>
    <w:rsid w:val="005E4DEF"/>
    <w:rsid w:val="005E512A"/>
    <w:rsid w:val="005E5400"/>
    <w:rsid w:val="005E6780"/>
    <w:rsid w:val="005E6C6C"/>
    <w:rsid w:val="005F03EC"/>
    <w:rsid w:val="005F4940"/>
    <w:rsid w:val="005F7F30"/>
    <w:rsid w:val="00600916"/>
    <w:rsid w:val="00601EC1"/>
    <w:rsid w:val="0060247F"/>
    <w:rsid w:val="00603F0A"/>
    <w:rsid w:val="006058E5"/>
    <w:rsid w:val="00610766"/>
    <w:rsid w:val="0061181B"/>
    <w:rsid w:val="00612B00"/>
    <w:rsid w:val="00614BBB"/>
    <w:rsid w:val="00617A51"/>
    <w:rsid w:val="0062111C"/>
    <w:rsid w:val="006227F7"/>
    <w:rsid w:val="00623E8C"/>
    <w:rsid w:val="006255F3"/>
    <w:rsid w:val="00626662"/>
    <w:rsid w:val="00630DF8"/>
    <w:rsid w:val="00634D93"/>
    <w:rsid w:val="006350CF"/>
    <w:rsid w:val="00635413"/>
    <w:rsid w:val="00637244"/>
    <w:rsid w:val="00640161"/>
    <w:rsid w:val="006402C2"/>
    <w:rsid w:val="006402E8"/>
    <w:rsid w:val="00640496"/>
    <w:rsid w:val="006409C3"/>
    <w:rsid w:val="0064133A"/>
    <w:rsid w:val="0064137F"/>
    <w:rsid w:val="00645F78"/>
    <w:rsid w:val="006518BF"/>
    <w:rsid w:val="00652E38"/>
    <w:rsid w:val="006531EB"/>
    <w:rsid w:val="00655703"/>
    <w:rsid w:val="006565AC"/>
    <w:rsid w:val="00657FED"/>
    <w:rsid w:val="00661F08"/>
    <w:rsid w:val="00663540"/>
    <w:rsid w:val="006636D0"/>
    <w:rsid w:val="006663E5"/>
    <w:rsid w:val="00666AB2"/>
    <w:rsid w:val="00667E96"/>
    <w:rsid w:val="0067105F"/>
    <w:rsid w:val="00671234"/>
    <w:rsid w:val="006805B8"/>
    <w:rsid w:val="00681402"/>
    <w:rsid w:val="0068173D"/>
    <w:rsid w:val="00682A01"/>
    <w:rsid w:val="006832C2"/>
    <w:rsid w:val="00683499"/>
    <w:rsid w:val="00685146"/>
    <w:rsid w:val="006873B4"/>
    <w:rsid w:val="006901F7"/>
    <w:rsid w:val="0069031A"/>
    <w:rsid w:val="006904F7"/>
    <w:rsid w:val="006934B9"/>
    <w:rsid w:val="0069707A"/>
    <w:rsid w:val="006A09F6"/>
    <w:rsid w:val="006A1907"/>
    <w:rsid w:val="006A1A87"/>
    <w:rsid w:val="006A2D3A"/>
    <w:rsid w:val="006A3077"/>
    <w:rsid w:val="006A5B1E"/>
    <w:rsid w:val="006A6CE1"/>
    <w:rsid w:val="006B4B43"/>
    <w:rsid w:val="006B5643"/>
    <w:rsid w:val="006C0682"/>
    <w:rsid w:val="006C4D07"/>
    <w:rsid w:val="006C765D"/>
    <w:rsid w:val="006D5EBA"/>
    <w:rsid w:val="006D6AA4"/>
    <w:rsid w:val="006E1AD0"/>
    <w:rsid w:val="006E2C15"/>
    <w:rsid w:val="006F43D0"/>
    <w:rsid w:val="006F4973"/>
    <w:rsid w:val="006F4D3A"/>
    <w:rsid w:val="006F7590"/>
    <w:rsid w:val="006F7CA7"/>
    <w:rsid w:val="00700491"/>
    <w:rsid w:val="00702A94"/>
    <w:rsid w:val="00702D0A"/>
    <w:rsid w:val="00703068"/>
    <w:rsid w:val="007032EC"/>
    <w:rsid w:val="0070535E"/>
    <w:rsid w:val="007059F2"/>
    <w:rsid w:val="00706E58"/>
    <w:rsid w:val="0070796E"/>
    <w:rsid w:val="007114CF"/>
    <w:rsid w:val="0071216C"/>
    <w:rsid w:val="00713AFE"/>
    <w:rsid w:val="00713E34"/>
    <w:rsid w:val="00713E87"/>
    <w:rsid w:val="00714082"/>
    <w:rsid w:val="00714B87"/>
    <w:rsid w:val="00714E9D"/>
    <w:rsid w:val="007157C7"/>
    <w:rsid w:val="00717413"/>
    <w:rsid w:val="00717D47"/>
    <w:rsid w:val="00717F31"/>
    <w:rsid w:val="0072100C"/>
    <w:rsid w:val="00723CFE"/>
    <w:rsid w:val="007241C6"/>
    <w:rsid w:val="00725F60"/>
    <w:rsid w:val="00726482"/>
    <w:rsid w:val="00726B68"/>
    <w:rsid w:val="00732F4A"/>
    <w:rsid w:val="007347E8"/>
    <w:rsid w:val="00735E05"/>
    <w:rsid w:val="00741D6E"/>
    <w:rsid w:val="00742191"/>
    <w:rsid w:val="00743633"/>
    <w:rsid w:val="007441C0"/>
    <w:rsid w:val="00747E66"/>
    <w:rsid w:val="00751E3F"/>
    <w:rsid w:val="00752832"/>
    <w:rsid w:val="00757C9F"/>
    <w:rsid w:val="007624D8"/>
    <w:rsid w:val="00767CC0"/>
    <w:rsid w:val="00767F01"/>
    <w:rsid w:val="00772B3A"/>
    <w:rsid w:val="00772DA5"/>
    <w:rsid w:val="00774416"/>
    <w:rsid w:val="00776345"/>
    <w:rsid w:val="007769E4"/>
    <w:rsid w:val="00780AA6"/>
    <w:rsid w:val="00781498"/>
    <w:rsid w:val="00781881"/>
    <w:rsid w:val="00785DA4"/>
    <w:rsid w:val="007866C8"/>
    <w:rsid w:val="00787DFA"/>
    <w:rsid w:val="00790113"/>
    <w:rsid w:val="00790D83"/>
    <w:rsid w:val="007915E7"/>
    <w:rsid w:val="00791B2E"/>
    <w:rsid w:val="00792555"/>
    <w:rsid w:val="0079351E"/>
    <w:rsid w:val="00794430"/>
    <w:rsid w:val="00794855"/>
    <w:rsid w:val="00797D6B"/>
    <w:rsid w:val="007A1C8D"/>
    <w:rsid w:val="007A3456"/>
    <w:rsid w:val="007A5504"/>
    <w:rsid w:val="007A5D72"/>
    <w:rsid w:val="007A6F1C"/>
    <w:rsid w:val="007A77E1"/>
    <w:rsid w:val="007B46B6"/>
    <w:rsid w:val="007B7698"/>
    <w:rsid w:val="007B7BF6"/>
    <w:rsid w:val="007B7D1C"/>
    <w:rsid w:val="007C14CF"/>
    <w:rsid w:val="007C1F41"/>
    <w:rsid w:val="007C31D8"/>
    <w:rsid w:val="007C4F09"/>
    <w:rsid w:val="007C6803"/>
    <w:rsid w:val="007C7C5C"/>
    <w:rsid w:val="007D0AC9"/>
    <w:rsid w:val="007D4B4B"/>
    <w:rsid w:val="007D63C2"/>
    <w:rsid w:val="007D6FB0"/>
    <w:rsid w:val="007E07FD"/>
    <w:rsid w:val="007E1801"/>
    <w:rsid w:val="007E2237"/>
    <w:rsid w:val="007E249E"/>
    <w:rsid w:val="007E536E"/>
    <w:rsid w:val="007E5823"/>
    <w:rsid w:val="007F112C"/>
    <w:rsid w:val="007F2F18"/>
    <w:rsid w:val="007F3F4B"/>
    <w:rsid w:val="007F4E48"/>
    <w:rsid w:val="007F547C"/>
    <w:rsid w:val="007F6DB0"/>
    <w:rsid w:val="007F7751"/>
    <w:rsid w:val="00800D5F"/>
    <w:rsid w:val="00800FFF"/>
    <w:rsid w:val="00803CED"/>
    <w:rsid w:val="00805571"/>
    <w:rsid w:val="00805F2B"/>
    <w:rsid w:val="008060DA"/>
    <w:rsid w:val="008061A1"/>
    <w:rsid w:val="0080634E"/>
    <w:rsid w:val="00810B98"/>
    <w:rsid w:val="00813512"/>
    <w:rsid w:val="008147AB"/>
    <w:rsid w:val="00816FD4"/>
    <w:rsid w:val="00817CC7"/>
    <w:rsid w:val="008223AF"/>
    <w:rsid w:val="0082348E"/>
    <w:rsid w:val="00825846"/>
    <w:rsid w:val="00825DB6"/>
    <w:rsid w:val="00831788"/>
    <w:rsid w:val="0083256C"/>
    <w:rsid w:val="00833A9D"/>
    <w:rsid w:val="00834FE2"/>
    <w:rsid w:val="00836981"/>
    <w:rsid w:val="00836E2C"/>
    <w:rsid w:val="00836E4E"/>
    <w:rsid w:val="008400B0"/>
    <w:rsid w:val="008407CC"/>
    <w:rsid w:val="008440E0"/>
    <w:rsid w:val="008451A1"/>
    <w:rsid w:val="008501FB"/>
    <w:rsid w:val="008523F2"/>
    <w:rsid w:val="0085336A"/>
    <w:rsid w:val="0085426F"/>
    <w:rsid w:val="008549B7"/>
    <w:rsid w:val="00854C20"/>
    <w:rsid w:val="00857537"/>
    <w:rsid w:val="00864FB6"/>
    <w:rsid w:val="00865373"/>
    <w:rsid w:val="008715E8"/>
    <w:rsid w:val="0087793A"/>
    <w:rsid w:val="008855FA"/>
    <w:rsid w:val="00886246"/>
    <w:rsid w:val="00886B66"/>
    <w:rsid w:val="008875A0"/>
    <w:rsid w:val="00894B53"/>
    <w:rsid w:val="0089527A"/>
    <w:rsid w:val="00895324"/>
    <w:rsid w:val="00895D28"/>
    <w:rsid w:val="008A3EB7"/>
    <w:rsid w:val="008A52B4"/>
    <w:rsid w:val="008A6958"/>
    <w:rsid w:val="008B0B77"/>
    <w:rsid w:val="008B13E7"/>
    <w:rsid w:val="008B16D7"/>
    <w:rsid w:val="008B1D81"/>
    <w:rsid w:val="008B2AC6"/>
    <w:rsid w:val="008B4029"/>
    <w:rsid w:val="008B4D1B"/>
    <w:rsid w:val="008C2BFB"/>
    <w:rsid w:val="008C36DB"/>
    <w:rsid w:val="008C57E0"/>
    <w:rsid w:val="008C58F8"/>
    <w:rsid w:val="008C6013"/>
    <w:rsid w:val="008C7062"/>
    <w:rsid w:val="008D1944"/>
    <w:rsid w:val="008D260B"/>
    <w:rsid w:val="008D6CC1"/>
    <w:rsid w:val="008E22C2"/>
    <w:rsid w:val="008E2953"/>
    <w:rsid w:val="008E4633"/>
    <w:rsid w:val="008E528F"/>
    <w:rsid w:val="008E6659"/>
    <w:rsid w:val="008E6FDE"/>
    <w:rsid w:val="008F14B8"/>
    <w:rsid w:val="008F2019"/>
    <w:rsid w:val="008F51A8"/>
    <w:rsid w:val="0090096A"/>
    <w:rsid w:val="00900DCD"/>
    <w:rsid w:val="00901099"/>
    <w:rsid w:val="00901AC5"/>
    <w:rsid w:val="00902F93"/>
    <w:rsid w:val="00903A61"/>
    <w:rsid w:val="00903E8C"/>
    <w:rsid w:val="009058E4"/>
    <w:rsid w:val="00905DE4"/>
    <w:rsid w:val="00907547"/>
    <w:rsid w:val="009127FC"/>
    <w:rsid w:val="00912B2E"/>
    <w:rsid w:val="00912B4D"/>
    <w:rsid w:val="00912CA7"/>
    <w:rsid w:val="00920E20"/>
    <w:rsid w:val="00921334"/>
    <w:rsid w:val="00922AA9"/>
    <w:rsid w:val="00925D15"/>
    <w:rsid w:val="00925FC8"/>
    <w:rsid w:val="00930A8C"/>
    <w:rsid w:val="009326D2"/>
    <w:rsid w:val="00932A09"/>
    <w:rsid w:val="00933CFA"/>
    <w:rsid w:val="009343A0"/>
    <w:rsid w:val="00934905"/>
    <w:rsid w:val="00934AA2"/>
    <w:rsid w:val="009353FD"/>
    <w:rsid w:val="00940623"/>
    <w:rsid w:val="0094191A"/>
    <w:rsid w:val="00942FAA"/>
    <w:rsid w:val="00943683"/>
    <w:rsid w:val="00944D50"/>
    <w:rsid w:val="00945D5B"/>
    <w:rsid w:val="00945E5B"/>
    <w:rsid w:val="00947672"/>
    <w:rsid w:val="0094779E"/>
    <w:rsid w:val="00951260"/>
    <w:rsid w:val="009513C1"/>
    <w:rsid w:val="0095290F"/>
    <w:rsid w:val="0095294C"/>
    <w:rsid w:val="0095305D"/>
    <w:rsid w:val="00954087"/>
    <w:rsid w:val="009560E3"/>
    <w:rsid w:val="0095627A"/>
    <w:rsid w:val="009603E2"/>
    <w:rsid w:val="00960783"/>
    <w:rsid w:val="009627ED"/>
    <w:rsid w:val="00963291"/>
    <w:rsid w:val="0096432E"/>
    <w:rsid w:val="00965FA4"/>
    <w:rsid w:val="009665C2"/>
    <w:rsid w:val="00973FC8"/>
    <w:rsid w:val="00976459"/>
    <w:rsid w:val="00976644"/>
    <w:rsid w:val="00976ABB"/>
    <w:rsid w:val="009801C3"/>
    <w:rsid w:val="0098037D"/>
    <w:rsid w:val="0098302D"/>
    <w:rsid w:val="009904F3"/>
    <w:rsid w:val="009915D2"/>
    <w:rsid w:val="009917EC"/>
    <w:rsid w:val="00992429"/>
    <w:rsid w:val="0099623B"/>
    <w:rsid w:val="0099756F"/>
    <w:rsid w:val="009975F8"/>
    <w:rsid w:val="009A087D"/>
    <w:rsid w:val="009A2A45"/>
    <w:rsid w:val="009B0340"/>
    <w:rsid w:val="009B2DF9"/>
    <w:rsid w:val="009B4A1F"/>
    <w:rsid w:val="009B4AE5"/>
    <w:rsid w:val="009B4BEA"/>
    <w:rsid w:val="009C21FB"/>
    <w:rsid w:val="009C25DB"/>
    <w:rsid w:val="009C2F3A"/>
    <w:rsid w:val="009C7D98"/>
    <w:rsid w:val="009D186F"/>
    <w:rsid w:val="009D2541"/>
    <w:rsid w:val="009D59C4"/>
    <w:rsid w:val="009D5D77"/>
    <w:rsid w:val="009D76FB"/>
    <w:rsid w:val="009E3C9E"/>
    <w:rsid w:val="009E3ED1"/>
    <w:rsid w:val="009E4A11"/>
    <w:rsid w:val="009E4DE3"/>
    <w:rsid w:val="009F0788"/>
    <w:rsid w:val="009F41F5"/>
    <w:rsid w:val="009F6444"/>
    <w:rsid w:val="009F6670"/>
    <w:rsid w:val="009F6907"/>
    <w:rsid w:val="009F6C89"/>
    <w:rsid w:val="009F6D22"/>
    <w:rsid w:val="00A0019B"/>
    <w:rsid w:val="00A0026C"/>
    <w:rsid w:val="00A009B5"/>
    <w:rsid w:val="00A021FE"/>
    <w:rsid w:val="00A0325E"/>
    <w:rsid w:val="00A044BD"/>
    <w:rsid w:val="00A0485E"/>
    <w:rsid w:val="00A06144"/>
    <w:rsid w:val="00A06BF8"/>
    <w:rsid w:val="00A14315"/>
    <w:rsid w:val="00A1664A"/>
    <w:rsid w:val="00A17153"/>
    <w:rsid w:val="00A2018C"/>
    <w:rsid w:val="00A2220E"/>
    <w:rsid w:val="00A22CC6"/>
    <w:rsid w:val="00A235FD"/>
    <w:rsid w:val="00A2548D"/>
    <w:rsid w:val="00A25BB8"/>
    <w:rsid w:val="00A27004"/>
    <w:rsid w:val="00A275E7"/>
    <w:rsid w:val="00A30E83"/>
    <w:rsid w:val="00A32DDE"/>
    <w:rsid w:val="00A333F4"/>
    <w:rsid w:val="00A33B1C"/>
    <w:rsid w:val="00A33E2F"/>
    <w:rsid w:val="00A35312"/>
    <w:rsid w:val="00A35D1D"/>
    <w:rsid w:val="00A43353"/>
    <w:rsid w:val="00A46AB2"/>
    <w:rsid w:val="00A46C9A"/>
    <w:rsid w:val="00A47014"/>
    <w:rsid w:val="00A51DC4"/>
    <w:rsid w:val="00A5222C"/>
    <w:rsid w:val="00A546B5"/>
    <w:rsid w:val="00A558BA"/>
    <w:rsid w:val="00A56EEE"/>
    <w:rsid w:val="00A57894"/>
    <w:rsid w:val="00A62D69"/>
    <w:rsid w:val="00A63902"/>
    <w:rsid w:val="00A63BBF"/>
    <w:rsid w:val="00A677CF"/>
    <w:rsid w:val="00A70F3F"/>
    <w:rsid w:val="00A73374"/>
    <w:rsid w:val="00A74EEE"/>
    <w:rsid w:val="00A75F15"/>
    <w:rsid w:val="00A76167"/>
    <w:rsid w:val="00A809CA"/>
    <w:rsid w:val="00A832A2"/>
    <w:rsid w:val="00A85FB4"/>
    <w:rsid w:val="00A86557"/>
    <w:rsid w:val="00A86E6D"/>
    <w:rsid w:val="00A9174E"/>
    <w:rsid w:val="00A926AA"/>
    <w:rsid w:val="00A975D8"/>
    <w:rsid w:val="00AA0555"/>
    <w:rsid w:val="00AA2EEF"/>
    <w:rsid w:val="00AA47F0"/>
    <w:rsid w:val="00AA51A7"/>
    <w:rsid w:val="00AA78E9"/>
    <w:rsid w:val="00AB0456"/>
    <w:rsid w:val="00AB1B24"/>
    <w:rsid w:val="00AB2A62"/>
    <w:rsid w:val="00AB34CE"/>
    <w:rsid w:val="00AB486C"/>
    <w:rsid w:val="00AB5808"/>
    <w:rsid w:val="00AB59A1"/>
    <w:rsid w:val="00AC1E94"/>
    <w:rsid w:val="00AC2ED8"/>
    <w:rsid w:val="00AC3883"/>
    <w:rsid w:val="00AC4513"/>
    <w:rsid w:val="00AC49B2"/>
    <w:rsid w:val="00AC5DB3"/>
    <w:rsid w:val="00AC71E0"/>
    <w:rsid w:val="00AC7654"/>
    <w:rsid w:val="00AC7C84"/>
    <w:rsid w:val="00AD0892"/>
    <w:rsid w:val="00AD3588"/>
    <w:rsid w:val="00AD4E5F"/>
    <w:rsid w:val="00AE1494"/>
    <w:rsid w:val="00AE205D"/>
    <w:rsid w:val="00AE37C9"/>
    <w:rsid w:val="00AE653C"/>
    <w:rsid w:val="00AE7A1F"/>
    <w:rsid w:val="00AF064A"/>
    <w:rsid w:val="00B01246"/>
    <w:rsid w:val="00B018B5"/>
    <w:rsid w:val="00B030AF"/>
    <w:rsid w:val="00B0364F"/>
    <w:rsid w:val="00B037D0"/>
    <w:rsid w:val="00B04B54"/>
    <w:rsid w:val="00B0576F"/>
    <w:rsid w:val="00B07803"/>
    <w:rsid w:val="00B10581"/>
    <w:rsid w:val="00B10CE2"/>
    <w:rsid w:val="00B11EA5"/>
    <w:rsid w:val="00B13029"/>
    <w:rsid w:val="00B21B96"/>
    <w:rsid w:val="00B220B3"/>
    <w:rsid w:val="00B2289D"/>
    <w:rsid w:val="00B231BC"/>
    <w:rsid w:val="00B24CA6"/>
    <w:rsid w:val="00B2512E"/>
    <w:rsid w:val="00B25B32"/>
    <w:rsid w:val="00B25DB8"/>
    <w:rsid w:val="00B271E1"/>
    <w:rsid w:val="00B27ADE"/>
    <w:rsid w:val="00B27D57"/>
    <w:rsid w:val="00B304F4"/>
    <w:rsid w:val="00B33359"/>
    <w:rsid w:val="00B34C57"/>
    <w:rsid w:val="00B35ED4"/>
    <w:rsid w:val="00B362AA"/>
    <w:rsid w:val="00B3755F"/>
    <w:rsid w:val="00B37B5A"/>
    <w:rsid w:val="00B40E96"/>
    <w:rsid w:val="00B459B7"/>
    <w:rsid w:val="00B51A58"/>
    <w:rsid w:val="00B540A3"/>
    <w:rsid w:val="00B60F86"/>
    <w:rsid w:val="00B70252"/>
    <w:rsid w:val="00B73F25"/>
    <w:rsid w:val="00B77769"/>
    <w:rsid w:val="00B77BB8"/>
    <w:rsid w:val="00B800A6"/>
    <w:rsid w:val="00B81662"/>
    <w:rsid w:val="00B81B52"/>
    <w:rsid w:val="00B825B3"/>
    <w:rsid w:val="00B82E0C"/>
    <w:rsid w:val="00B8366D"/>
    <w:rsid w:val="00B90FD5"/>
    <w:rsid w:val="00B9135E"/>
    <w:rsid w:val="00B92E5E"/>
    <w:rsid w:val="00B96584"/>
    <w:rsid w:val="00BA1763"/>
    <w:rsid w:val="00BA197F"/>
    <w:rsid w:val="00BA24A2"/>
    <w:rsid w:val="00BA44FC"/>
    <w:rsid w:val="00BA58FC"/>
    <w:rsid w:val="00BB35E8"/>
    <w:rsid w:val="00BB4191"/>
    <w:rsid w:val="00BB4E12"/>
    <w:rsid w:val="00BB68A9"/>
    <w:rsid w:val="00BC084A"/>
    <w:rsid w:val="00BC185D"/>
    <w:rsid w:val="00BC2621"/>
    <w:rsid w:val="00BC312A"/>
    <w:rsid w:val="00BC4087"/>
    <w:rsid w:val="00BC5AC8"/>
    <w:rsid w:val="00BD015B"/>
    <w:rsid w:val="00BD0FAE"/>
    <w:rsid w:val="00BD1DE3"/>
    <w:rsid w:val="00BD32F2"/>
    <w:rsid w:val="00BD4740"/>
    <w:rsid w:val="00BD4E06"/>
    <w:rsid w:val="00BD5DA9"/>
    <w:rsid w:val="00BE0519"/>
    <w:rsid w:val="00BE15A4"/>
    <w:rsid w:val="00BE201A"/>
    <w:rsid w:val="00BE31A8"/>
    <w:rsid w:val="00BE320B"/>
    <w:rsid w:val="00BE443D"/>
    <w:rsid w:val="00BE4610"/>
    <w:rsid w:val="00BE5299"/>
    <w:rsid w:val="00BF1C2B"/>
    <w:rsid w:val="00BF2CDA"/>
    <w:rsid w:val="00BF3C84"/>
    <w:rsid w:val="00BF492E"/>
    <w:rsid w:val="00BF7487"/>
    <w:rsid w:val="00C03A36"/>
    <w:rsid w:val="00C04169"/>
    <w:rsid w:val="00C0451D"/>
    <w:rsid w:val="00C05ACD"/>
    <w:rsid w:val="00C06736"/>
    <w:rsid w:val="00C0737E"/>
    <w:rsid w:val="00C10021"/>
    <w:rsid w:val="00C10929"/>
    <w:rsid w:val="00C12984"/>
    <w:rsid w:val="00C12D03"/>
    <w:rsid w:val="00C13E6F"/>
    <w:rsid w:val="00C16252"/>
    <w:rsid w:val="00C16853"/>
    <w:rsid w:val="00C1713B"/>
    <w:rsid w:val="00C179D9"/>
    <w:rsid w:val="00C2029A"/>
    <w:rsid w:val="00C21853"/>
    <w:rsid w:val="00C21A01"/>
    <w:rsid w:val="00C2649E"/>
    <w:rsid w:val="00C27D62"/>
    <w:rsid w:val="00C30AA3"/>
    <w:rsid w:val="00C30CBA"/>
    <w:rsid w:val="00C3608D"/>
    <w:rsid w:val="00C412D0"/>
    <w:rsid w:val="00C444AF"/>
    <w:rsid w:val="00C45784"/>
    <w:rsid w:val="00C50303"/>
    <w:rsid w:val="00C50715"/>
    <w:rsid w:val="00C50AB8"/>
    <w:rsid w:val="00C51763"/>
    <w:rsid w:val="00C51E4A"/>
    <w:rsid w:val="00C52555"/>
    <w:rsid w:val="00C56B6C"/>
    <w:rsid w:val="00C5783B"/>
    <w:rsid w:val="00C5787A"/>
    <w:rsid w:val="00C60B3A"/>
    <w:rsid w:val="00C63682"/>
    <w:rsid w:val="00C700C8"/>
    <w:rsid w:val="00C73A6B"/>
    <w:rsid w:val="00C73AEB"/>
    <w:rsid w:val="00C73F0D"/>
    <w:rsid w:val="00C7484A"/>
    <w:rsid w:val="00C77091"/>
    <w:rsid w:val="00C77487"/>
    <w:rsid w:val="00C82AD4"/>
    <w:rsid w:val="00C84CC7"/>
    <w:rsid w:val="00C87D20"/>
    <w:rsid w:val="00C908E2"/>
    <w:rsid w:val="00C9167B"/>
    <w:rsid w:val="00C91A38"/>
    <w:rsid w:val="00C92B6B"/>
    <w:rsid w:val="00C93352"/>
    <w:rsid w:val="00C965C3"/>
    <w:rsid w:val="00C967B4"/>
    <w:rsid w:val="00C971A9"/>
    <w:rsid w:val="00C97E55"/>
    <w:rsid w:val="00CA193E"/>
    <w:rsid w:val="00CA23F6"/>
    <w:rsid w:val="00CA54EE"/>
    <w:rsid w:val="00CA6961"/>
    <w:rsid w:val="00CB1B19"/>
    <w:rsid w:val="00CB3463"/>
    <w:rsid w:val="00CB454B"/>
    <w:rsid w:val="00CB7596"/>
    <w:rsid w:val="00CC1141"/>
    <w:rsid w:val="00CC11A8"/>
    <w:rsid w:val="00CD04F5"/>
    <w:rsid w:val="00CD29E7"/>
    <w:rsid w:val="00CD38FE"/>
    <w:rsid w:val="00CD4D7B"/>
    <w:rsid w:val="00CD53F9"/>
    <w:rsid w:val="00CD54D2"/>
    <w:rsid w:val="00CD7DE3"/>
    <w:rsid w:val="00CD7E61"/>
    <w:rsid w:val="00CE1326"/>
    <w:rsid w:val="00CE15C2"/>
    <w:rsid w:val="00CE21FF"/>
    <w:rsid w:val="00CE2D3C"/>
    <w:rsid w:val="00CE32FE"/>
    <w:rsid w:val="00CE6F6C"/>
    <w:rsid w:val="00CE759B"/>
    <w:rsid w:val="00CF00E8"/>
    <w:rsid w:val="00CF0903"/>
    <w:rsid w:val="00CF14CD"/>
    <w:rsid w:val="00CF1CE2"/>
    <w:rsid w:val="00CF203C"/>
    <w:rsid w:val="00CF30DB"/>
    <w:rsid w:val="00CF333E"/>
    <w:rsid w:val="00CF382F"/>
    <w:rsid w:val="00CF5BED"/>
    <w:rsid w:val="00CF5E54"/>
    <w:rsid w:val="00CF6472"/>
    <w:rsid w:val="00CF7E47"/>
    <w:rsid w:val="00D01107"/>
    <w:rsid w:val="00D04BEC"/>
    <w:rsid w:val="00D0534A"/>
    <w:rsid w:val="00D07021"/>
    <w:rsid w:val="00D0722D"/>
    <w:rsid w:val="00D115A4"/>
    <w:rsid w:val="00D131E4"/>
    <w:rsid w:val="00D139C5"/>
    <w:rsid w:val="00D1420B"/>
    <w:rsid w:val="00D150F7"/>
    <w:rsid w:val="00D16BE7"/>
    <w:rsid w:val="00D174AD"/>
    <w:rsid w:val="00D20188"/>
    <w:rsid w:val="00D2082D"/>
    <w:rsid w:val="00D21159"/>
    <w:rsid w:val="00D24191"/>
    <w:rsid w:val="00D300DF"/>
    <w:rsid w:val="00D30798"/>
    <w:rsid w:val="00D30A44"/>
    <w:rsid w:val="00D34AA9"/>
    <w:rsid w:val="00D34F4B"/>
    <w:rsid w:val="00D34F76"/>
    <w:rsid w:val="00D3525C"/>
    <w:rsid w:val="00D402F8"/>
    <w:rsid w:val="00D40AD1"/>
    <w:rsid w:val="00D43D60"/>
    <w:rsid w:val="00D43E5E"/>
    <w:rsid w:val="00D43F01"/>
    <w:rsid w:val="00D45D65"/>
    <w:rsid w:val="00D4656B"/>
    <w:rsid w:val="00D52CCA"/>
    <w:rsid w:val="00D547EB"/>
    <w:rsid w:val="00D55E65"/>
    <w:rsid w:val="00D611C2"/>
    <w:rsid w:val="00D6688C"/>
    <w:rsid w:val="00D66AF2"/>
    <w:rsid w:val="00D66D69"/>
    <w:rsid w:val="00D703C9"/>
    <w:rsid w:val="00D70B06"/>
    <w:rsid w:val="00D73A1F"/>
    <w:rsid w:val="00D769B8"/>
    <w:rsid w:val="00D76F84"/>
    <w:rsid w:val="00D77B23"/>
    <w:rsid w:val="00D81258"/>
    <w:rsid w:val="00D846F5"/>
    <w:rsid w:val="00D9028F"/>
    <w:rsid w:val="00D9235D"/>
    <w:rsid w:val="00D9433E"/>
    <w:rsid w:val="00D948DB"/>
    <w:rsid w:val="00D953DA"/>
    <w:rsid w:val="00D96ED9"/>
    <w:rsid w:val="00D97B47"/>
    <w:rsid w:val="00D97B67"/>
    <w:rsid w:val="00DA07C4"/>
    <w:rsid w:val="00DA132B"/>
    <w:rsid w:val="00DA25BF"/>
    <w:rsid w:val="00DA5642"/>
    <w:rsid w:val="00DA710F"/>
    <w:rsid w:val="00DB1BDA"/>
    <w:rsid w:val="00DB2A73"/>
    <w:rsid w:val="00DC169F"/>
    <w:rsid w:val="00DC215A"/>
    <w:rsid w:val="00DC27B0"/>
    <w:rsid w:val="00DC2A2B"/>
    <w:rsid w:val="00DC2F94"/>
    <w:rsid w:val="00DC3BF2"/>
    <w:rsid w:val="00DC4DCB"/>
    <w:rsid w:val="00DC58B8"/>
    <w:rsid w:val="00DC6C79"/>
    <w:rsid w:val="00DC7342"/>
    <w:rsid w:val="00DD1C08"/>
    <w:rsid w:val="00DD263B"/>
    <w:rsid w:val="00DD2F34"/>
    <w:rsid w:val="00DD500C"/>
    <w:rsid w:val="00DD650B"/>
    <w:rsid w:val="00DE0D88"/>
    <w:rsid w:val="00DE1A0D"/>
    <w:rsid w:val="00DE1DB8"/>
    <w:rsid w:val="00DE1F5E"/>
    <w:rsid w:val="00DE3797"/>
    <w:rsid w:val="00DE4603"/>
    <w:rsid w:val="00DE4F75"/>
    <w:rsid w:val="00DE7F01"/>
    <w:rsid w:val="00DF01DB"/>
    <w:rsid w:val="00DF14CA"/>
    <w:rsid w:val="00DF1560"/>
    <w:rsid w:val="00DF19F2"/>
    <w:rsid w:val="00DF2E02"/>
    <w:rsid w:val="00DF6543"/>
    <w:rsid w:val="00DF66B1"/>
    <w:rsid w:val="00E00FCA"/>
    <w:rsid w:val="00E0241D"/>
    <w:rsid w:val="00E02D31"/>
    <w:rsid w:val="00E02D33"/>
    <w:rsid w:val="00E1052B"/>
    <w:rsid w:val="00E11EE1"/>
    <w:rsid w:val="00E13C15"/>
    <w:rsid w:val="00E1728D"/>
    <w:rsid w:val="00E1732C"/>
    <w:rsid w:val="00E20CDB"/>
    <w:rsid w:val="00E21171"/>
    <w:rsid w:val="00E21172"/>
    <w:rsid w:val="00E221A6"/>
    <w:rsid w:val="00E2451D"/>
    <w:rsid w:val="00E2485F"/>
    <w:rsid w:val="00E25952"/>
    <w:rsid w:val="00E25C2A"/>
    <w:rsid w:val="00E25CA9"/>
    <w:rsid w:val="00E27AD9"/>
    <w:rsid w:val="00E3054A"/>
    <w:rsid w:val="00E33935"/>
    <w:rsid w:val="00E34303"/>
    <w:rsid w:val="00E368E3"/>
    <w:rsid w:val="00E416E4"/>
    <w:rsid w:val="00E45034"/>
    <w:rsid w:val="00E46C1D"/>
    <w:rsid w:val="00E47D44"/>
    <w:rsid w:val="00E502EE"/>
    <w:rsid w:val="00E5395B"/>
    <w:rsid w:val="00E53EF9"/>
    <w:rsid w:val="00E54383"/>
    <w:rsid w:val="00E55A09"/>
    <w:rsid w:val="00E55CD4"/>
    <w:rsid w:val="00E613F5"/>
    <w:rsid w:val="00E62EB8"/>
    <w:rsid w:val="00E6330F"/>
    <w:rsid w:val="00E648F4"/>
    <w:rsid w:val="00E64A5C"/>
    <w:rsid w:val="00E65193"/>
    <w:rsid w:val="00E679A9"/>
    <w:rsid w:val="00E7133E"/>
    <w:rsid w:val="00E7258D"/>
    <w:rsid w:val="00E736BC"/>
    <w:rsid w:val="00E738D2"/>
    <w:rsid w:val="00E74BF7"/>
    <w:rsid w:val="00E75CB5"/>
    <w:rsid w:val="00E76179"/>
    <w:rsid w:val="00E76900"/>
    <w:rsid w:val="00E76E81"/>
    <w:rsid w:val="00E7785B"/>
    <w:rsid w:val="00E77936"/>
    <w:rsid w:val="00E77C13"/>
    <w:rsid w:val="00E8302A"/>
    <w:rsid w:val="00E833C5"/>
    <w:rsid w:val="00E84CA7"/>
    <w:rsid w:val="00E862B5"/>
    <w:rsid w:val="00E86689"/>
    <w:rsid w:val="00E93202"/>
    <w:rsid w:val="00E94B77"/>
    <w:rsid w:val="00E94F4C"/>
    <w:rsid w:val="00EA110F"/>
    <w:rsid w:val="00EA2600"/>
    <w:rsid w:val="00EA2896"/>
    <w:rsid w:val="00EA2B3F"/>
    <w:rsid w:val="00EA4638"/>
    <w:rsid w:val="00EA5067"/>
    <w:rsid w:val="00EA5DC0"/>
    <w:rsid w:val="00EA6067"/>
    <w:rsid w:val="00EA60DE"/>
    <w:rsid w:val="00EA6296"/>
    <w:rsid w:val="00EB0763"/>
    <w:rsid w:val="00EB14A2"/>
    <w:rsid w:val="00EB3454"/>
    <w:rsid w:val="00EB3615"/>
    <w:rsid w:val="00EB38FE"/>
    <w:rsid w:val="00EB482F"/>
    <w:rsid w:val="00EB4A03"/>
    <w:rsid w:val="00EB5E8F"/>
    <w:rsid w:val="00EB6E7A"/>
    <w:rsid w:val="00EC0207"/>
    <w:rsid w:val="00EC1515"/>
    <w:rsid w:val="00EC3B8C"/>
    <w:rsid w:val="00EC6772"/>
    <w:rsid w:val="00EC7A8C"/>
    <w:rsid w:val="00ED0F3F"/>
    <w:rsid w:val="00ED1A56"/>
    <w:rsid w:val="00ED1E29"/>
    <w:rsid w:val="00ED2834"/>
    <w:rsid w:val="00ED3B8D"/>
    <w:rsid w:val="00ED4506"/>
    <w:rsid w:val="00ED495F"/>
    <w:rsid w:val="00ED578E"/>
    <w:rsid w:val="00ED5ADD"/>
    <w:rsid w:val="00ED64D5"/>
    <w:rsid w:val="00EE0DE1"/>
    <w:rsid w:val="00EE280E"/>
    <w:rsid w:val="00EE390C"/>
    <w:rsid w:val="00EE3BB3"/>
    <w:rsid w:val="00EE4029"/>
    <w:rsid w:val="00EE46C4"/>
    <w:rsid w:val="00EE72F1"/>
    <w:rsid w:val="00EF1BFA"/>
    <w:rsid w:val="00EF606D"/>
    <w:rsid w:val="00EF6B38"/>
    <w:rsid w:val="00F0002C"/>
    <w:rsid w:val="00F0227F"/>
    <w:rsid w:val="00F05054"/>
    <w:rsid w:val="00F05A68"/>
    <w:rsid w:val="00F078DB"/>
    <w:rsid w:val="00F1101D"/>
    <w:rsid w:val="00F111BB"/>
    <w:rsid w:val="00F11D0D"/>
    <w:rsid w:val="00F13336"/>
    <w:rsid w:val="00F1504A"/>
    <w:rsid w:val="00F153AD"/>
    <w:rsid w:val="00F21C6C"/>
    <w:rsid w:val="00F24C91"/>
    <w:rsid w:val="00F24D7C"/>
    <w:rsid w:val="00F25D0F"/>
    <w:rsid w:val="00F2622C"/>
    <w:rsid w:val="00F26FD9"/>
    <w:rsid w:val="00F32D53"/>
    <w:rsid w:val="00F335D8"/>
    <w:rsid w:val="00F33DEC"/>
    <w:rsid w:val="00F35853"/>
    <w:rsid w:val="00F35F6E"/>
    <w:rsid w:val="00F3676D"/>
    <w:rsid w:val="00F37172"/>
    <w:rsid w:val="00F3751B"/>
    <w:rsid w:val="00F402D0"/>
    <w:rsid w:val="00F4165F"/>
    <w:rsid w:val="00F423D2"/>
    <w:rsid w:val="00F4262E"/>
    <w:rsid w:val="00F44E9C"/>
    <w:rsid w:val="00F45DB4"/>
    <w:rsid w:val="00F46283"/>
    <w:rsid w:val="00F4742D"/>
    <w:rsid w:val="00F50297"/>
    <w:rsid w:val="00F537BF"/>
    <w:rsid w:val="00F53929"/>
    <w:rsid w:val="00F54403"/>
    <w:rsid w:val="00F55215"/>
    <w:rsid w:val="00F5647E"/>
    <w:rsid w:val="00F60109"/>
    <w:rsid w:val="00F61D04"/>
    <w:rsid w:val="00F62724"/>
    <w:rsid w:val="00F63571"/>
    <w:rsid w:val="00F6365F"/>
    <w:rsid w:val="00F6389A"/>
    <w:rsid w:val="00F716E3"/>
    <w:rsid w:val="00F73A7E"/>
    <w:rsid w:val="00F75F53"/>
    <w:rsid w:val="00F805E2"/>
    <w:rsid w:val="00F86F49"/>
    <w:rsid w:val="00F92773"/>
    <w:rsid w:val="00F9421C"/>
    <w:rsid w:val="00F94647"/>
    <w:rsid w:val="00F95EBD"/>
    <w:rsid w:val="00F96849"/>
    <w:rsid w:val="00F974B9"/>
    <w:rsid w:val="00FA035C"/>
    <w:rsid w:val="00FA1A5B"/>
    <w:rsid w:val="00FA3180"/>
    <w:rsid w:val="00FA3E55"/>
    <w:rsid w:val="00FA453E"/>
    <w:rsid w:val="00FA565D"/>
    <w:rsid w:val="00FA6E99"/>
    <w:rsid w:val="00FB17D6"/>
    <w:rsid w:val="00FB4E62"/>
    <w:rsid w:val="00FC033E"/>
    <w:rsid w:val="00FC2146"/>
    <w:rsid w:val="00FC4BE9"/>
    <w:rsid w:val="00FC4E56"/>
    <w:rsid w:val="00FC5691"/>
    <w:rsid w:val="00FC6CC9"/>
    <w:rsid w:val="00FD0620"/>
    <w:rsid w:val="00FD1624"/>
    <w:rsid w:val="00FD1A74"/>
    <w:rsid w:val="00FD27C0"/>
    <w:rsid w:val="00FD46F9"/>
    <w:rsid w:val="00FD4E97"/>
    <w:rsid w:val="00FD5A85"/>
    <w:rsid w:val="00FD65F3"/>
    <w:rsid w:val="00FE4FA6"/>
    <w:rsid w:val="00FE6DBA"/>
    <w:rsid w:val="00FF172E"/>
    <w:rsid w:val="00FF28A5"/>
    <w:rsid w:val="00FF2F40"/>
    <w:rsid w:val="00FF37DB"/>
    <w:rsid w:val="00FF4373"/>
    <w:rsid w:val="00FF4D8A"/>
    <w:rsid w:val="00FF5869"/>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B8F059F"/>
  <w15:chartTrackingRefBased/>
  <w15:docId w15:val="{21FA3CE9-90C7-4EF3-89E0-C17C85A6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A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34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E61"/>
    <w:pPr>
      <w:tabs>
        <w:tab w:val="center" w:pos="4680"/>
        <w:tab w:val="right" w:pos="9360"/>
      </w:tabs>
      <w:spacing w:after="0" w:line="240" w:lineRule="auto"/>
    </w:pPr>
    <w:rPr>
      <w:rFonts w:ascii="Times New Roman" w:eastAsia="PMingLiU" w:hAnsi="Times New Roman" w:cs="Times New Roman"/>
    </w:rPr>
  </w:style>
  <w:style w:type="character" w:customStyle="1" w:styleId="FooterChar">
    <w:name w:val="Footer Char"/>
    <w:basedOn w:val="DefaultParagraphFont"/>
    <w:link w:val="Footer"/>
    <w:uiPriority w:val="99"/>
    <w:rsid w:val="00CD7E61"/>
    <w:rPr>
      <w:rFonts w:ascii="Times New Roman" w:eastAsia="PMingLiU" w:hAnsi="Times New Roman" w:cs="Times New Roman"/>
    </w:rPr>
  </w:style>
  <w:style w:type="paragraph" w:styleId="ListParagraph">
    <w:name w:val="List Paragraph"/>
    <w:basedOn w:val="Normal"/>
    <w:uiPriority w:val="1"/>
    <w:qFormat/>
    <w:rsid w:val="001B44C2"/>
    <w:pPr>
      <w:ind w:left="720"/>
      <w:contextualSpacing/>
    </w:pPr>
  </w:style>
  <w:style w:type="paragraph" w:styleId="FootnoteText">
    <w:name w:val="footnote text"/>
    <w:basedOn w:val="Normal"/>
    <w:link w:val="FootnoteTextChar"/>
    <w:uiPriority w:val="99"/>
    <w:unhideWhenUsed/>
    <w:rsid w:val="00D34F76"/>
    <w:pPr>
      <w:spacing w:after="0" w:line="240" w:lineRule="auto"/>
    </w:pPr>
    <w:rPr>
      <w:sz w:val="20"/>
      <w:szCs w:val="20"/>
    </w:rPr>
  </w:style>
  <w:style w:type="character" w:customStyle="1" w:styleId="FootnoteTextChar">
    <w:name w:val="Footnote Text Char"/>
    <w:basedOn w:val="DefaultParagraphFont"/>
    <w:link w:val="FootnoteText"/>
    <w:uiPriority w:val="99"/>
    <w:rsid w:val="00D34F76"/>
    <w:rPr>
      <w:sz w:val="20"/>
      <w:szCs w:val="20"/>
    </w:rPr>
  </w:style>
  <w:style w:type="character" w:styleId="FootnoteReference">
    <w:name w:val="footnote reference"/>
    <w:basedOn w:val="DefaultParagraphFont"/>
    <w:semiHidden/>
    <w:unhideWhenUsed/>
    <w:rsid w:val="00D34F76"/>
    <w:rPr>
      <w:vertAlign w:val="superscript"/>
    </w:rPr>
  </w:style>
  <w:style w:type="paragraph" w:styleId="Header">
    <w:name w:val="header"/>
    <w:basedOn w:val="Normal"/>
    <w:link w:val="HeaderChar"/>
    <w:uiPriority w:val="99"/>
    <w:unhideWhenUsed/>
    <w:rsid w:val="000D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D2"/>
  </w:style>
  <w:style w:type="paragraph" w:styleId="BodyText">
    <w:name w:val="Body Text"/>
    <w:basedOn w:val="Normal"/>
    <w:link w:val="BodyTextChar"/>
    <w:uiPriority w:val="1"/>
    <w:qFormat/>
    <w:rsid w:val="00185E7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185E76"/>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CC1141"/>
    <w:pPr>
      <w:widowControl w:val="0"/>
      <w:autoSpaceDE w:val="0"/>
      <w:autoSpaceDN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B344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6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ED"/>
    <w:rPr>
      <w:rFonts w:ascii="Segoe UI" w:hAnsi="Segoe UI" w:cs="Segoe UI"/>
      <w:sz w:val="18"/>
      <w:szCs w:val="18"/>
    </w:rPr>
  </w:style>
  <w:style w:type="paragraph" w:styleId="BodyText2">
    <w:name w:val="Body Text 2"/>
    <w:basedOn w:val="Normal"/>
    <w:link w:val="BodyText2Char"/>
    <w:uiPriority w:val="99"/>
    <w:semiHidden/>
    <w:unhideWhenUsed/>
    <w:rsid w:val="002B3A0B"/>
    <w:pPr>
      <w:spacing w:after="120" w:line="480" w:lineRule="auto"/>
    </w:pPr>
  </w:style>
  <w:style w:type="character" w:customStyle="1" w:styleId="BodyText2Char">
    <w:name w:val="Body Text 2 Char"/>
    <w:basedOn w:val="DefaultParagraphFont"/>
    <w:link w:val="BodyText2"/>
    <w:uiPriority w:val="99"/>
    <w:semiHidden/>
    <w:rsid w:val="002B3A0B"/>
  </w:style>
  <w:style w:type="character" w:styleId="Hyperlink">
    <w:name w:val="Hyperlink"/>
    <w:basedOn w:val="DefaultParagraphFont"/>
    <w:uiPriority w:val="99"/>
    <w:unhideWhenUsed/>
    <w:rsid w:val="002432D8"/>
    <w:rPr>
      <w:color w:val="0563C1" w:themeColor="hyperlink"/>
      <w:u w:val="single"/>
    </w:rPr>
  </w:style>
  <w:style w:type="character" w:customStyle="1" w:styleId="UnresolvedMention1">
    <w:name w:val="Unresolved Mention1"/>
    <w:basedOn w:val="DefaultParagraphFont"/>
    <w:uiPriority w:val="99"/>
    <w:semiHidden/>
    <w:unhideWhenUsed/>
    <w:rsid w:val="002432D8"/>
    <w:rPr>
      <w:color w:val="605E5C"/>
      <w:shd w:val="clear" w:color="auto" w:fill="E1DFDD"/>
    </w:rPr>
  </w:style>
  <w:style w:type="character" w:styleId="CommentReference">
    <w:name w:val="annotation reference"/>
    <w:basedOn w:val="DefaultParagraphFont"/>
    <w:uiPriority w:val="99"/>
    <w:semiHidden/>
    <w:unhideWhenUsed/>
    <w:rsid w:val="00BC084A"/>
    <w:rPr>
      <w:sz w:val="16"/>
      <w:szCs w:val="16"/>
    </w:rPr>
  </w:style>
  <w:style w:type="paragraph" w:styleId="CommentText">
    <w:name w:val="annotation text"/>
    <w:basedOn w:val="Normal"/>
    <w:link w:val="CommentTextChar"/>
    <w:uiPriority w:val="99"/>
    <w:semiHidden/>
    <w:unhideWhenUsed/>
    <w:rsid w:val="00BC084A"/>
    <w:pPr>
      <w:spacing w:line="240" w:lineRule="auto"/>
    </w:pPr>
    <w:rPr>
      <w:sz w:val="20"/>
      <w:szCs w:val="20"/>
    </w:rPr>
  </w:style>
  <w:style w:type="character" w:customStyle="1" w:styleId="CommentTextChar">
    <w:name w:val="Comment Text Char"/>
    <w:basedOn w:val="DefaultParagraphFont"/>
    <w:link w:val="CommentText"/>
    <w:uiPriority w:val="99"/>
    <w:semiHidden/>
    <w:rsid w:val="00BC084A"/>
    <w:rPr>
      <w:sz w:val="20"/>
      <w:szCs w:val="20"/>
    </w:rPr>
  </w:style>
  <w:style w:type="paragraph" w:styleId="CommentSubject">
    <w:name w:val="annotation subject"/>
    <w:basedOn w:val="CommentText"/>
    <w:next w:val="CommentText"/>
    <w:link w:val="CommentSubjectChar"/>
    <w:uiPriority w:val="99"/>
    <w:semiHidden/>
    <w:unhideWhenUsed/>
    <w:rsid w:val="00BC084A"/>
    <w:rPr>
      <w:b/>
      <w:bCs/>
    </w:rPr>
  </w:style>
  <w:style w:type="character" w:customStyle="1" w:styleId="CommentSubjectChar">
    <w:name w:val="Comment Subject Char"/>
    <w:basedOn w:val="CommentTextChar"/>
    <w:link w:val="CommentSubject"/>
    <w:uiPriority w:val="99"/>
    <w:semiHidden/>
    <w:rsid w:val="00BC084A"/>
    <w:rPr>
      <w:b/>
      <w:bCs/>
      <w:sz w:val="20"/>
      <w:szCs w:val="20"/>
    </w:rPr>
  </w:style>
  <w:style w:type="character" w:customStyle="1" w:styleId="Heading1Char">
    <w:name w:val="Heading 1 Char"/>
    <w:basedOn w:val="DefaultParagraphFont"/>
    <w:link w:val="Heading1"/>
    <w:uiPriority w:val="9"/>
    <w:rsid w:val="00216A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659">
      <w:bodyDiv w:val="1"/>
      <w:marLeft w:val="0"/>
      <w:marRight w:val="0"/>
      <w:marTop w:val="0"/>
      <w:marBottom w:val="0"/>
      <w:divBdr>
        <w:top w:val="none" w:sz="0" w:space="0" w:color="auto"/>
        <w:left w:val="none" w:sz="0" w:space="0" w:color="auto"/>
        <w:bottom w:val="none" w:sz="0" w:space="0" w:color="auto"/>
        <w:right w:val="none" w:sz="0" w:space="0" w:color="auto"/>
      </w:divBdr>
    </w:div>
    <w:div w:id="278806508">
      <w:bodyDiv w:val="1"/>
      <w:marLeft w:val="0"/>
      <w:marRight w:val="0"/>
      <w:marTop w:val="0"/>
      <w:marBottom w:val="0"/>
      <w:divBdr>
        <w:top w:val="none" w:sz="0" w:space="0" w:color="auto"/>
        <w:left w:val="none" w:sz="0" w:space="0" w:color="auto"/>
        <w:bottom w:val="none" w:sz="0" w:space="0" w:color="auto"/>
        <w:right w:val="none" w:sz="0" w:space="0" w:color="auto"/>
      </w:divBdr>
    </w:div>
    <w:div w:id="285160331">
      <w:bodyDiv w:val="1"/>
      <w:marLeft w:val="0"/>
      <w:marRight w:val="0"/>
      <w:marTop w:val="0"/>
      <w:marBottom w:val="0"/>
      <w:divBdr>
        <w:top w:val="none" w:sz="0" w:space="0" w:color="auto"/>
        <w:left w:val="none" w:sz="0" w:space="0" w:color="auto"/>
        <w:bottom w:val="none" w:sz="0" w:space="0" w:color="auto"/>
        <w:right w:val="none" w:sz="0" w:space="0" w:color="auto"/>
      </w:divBdr>
    </w:div>
    <w:div w:id="304626295">
      <w:bodyDiv w:val="1"/>
      <w:marLeft w:val="0"/>
      <w:marRight w:val="0"/>
      <w:marTop w:val="0"/>
      <w:marBottom w:val="0"/>
      <w:divBdr>
        <w:top w:val="none" w:sz="0" w:space="0" w:color="auto"/>
        <w:left w:val="none" w:sz="0" w:space="0" w:color="auto"/>
        <w:bottom w:val="none" w:sz="0" w:space="0" w:color="auto"/>
        <w:right w:val="none" w:sz="0" w:space="0" w:color="auto"/>
      </w:divBdr>
    </w:div>
    <w:div w:id="334767644">
      <w:bodyDiv w:val="1"/>
      <w:marLeft w:val="0"/>
      <w:marRight w:val="0"/>
      <w:marTop w:val="0"/>
      <w:marBottom w:val="0"/>
      <w:divBdr>
        <w:top w:val="none" w:sz="0" w:space="0" w:color="auto"/>
        <w:left w:val="none" w:sz="0" w:space="0" w:color="auto"/>
        <w:bottom w:val="none" w:sz="0" w:space="0" w:color="auto"/>
        <w:right w:val="none" w:sz="0" w:space="0" w:color="auto"/>
      </w:divBdr>
    </w:div>
    <w:div w:id="574241576">
      <w:bodyDiv w:val="1"/>
      <w:marLeft w:val="0"/>
      <w:marRight w:val="0"/>
      <w:marTop w:val="0"/>
      <w:marBottom w:val="0"/>
      <w:divBdr>
        <w:top w:val="none" w:sz="0" w:space="0" w:color="auto"/>
        <w:left w:val="none" w:sz="0" w:space="0" w:color="auto"/>
        <w:bottom w:val="none" w:sz="0" w:space="0" w:color="auto"/>
        <w:right w:val="none" w:sz="0" w:space="0" w:color="auto"/>
      </w:divBdr>
    </w:div>
    <w:div w:id="696469566">
      <w:bodyDiv w:val="1"/>
      <w:marLeft w:val="0"/>
      <w:marRight w:val="0"/>
      <w:marTop w:val="0"/>
      <w:marBottom w:val="0"/>
      <w:divBdr>
        <w:top w:val="none" w:sz="0" w:space="0" w:color="auto"/>
        <w:left w:val="none" w:sz="0" w:space="0" w:color="auto"/>
        <w:bottom w:val="none" w:sz="0" w:space="0" w:color="auto"/>
        <w:right w:val="none" w:sz="0" w:space="0" w:color="auto"/>
      </w:divBdr>
    </w:div>
    <w:div w:id="931932808">
      <w:bodyDiv w:val="1"/>
      <w:marLeft w:val="0"/>
      <w:marRight w:val="0"/>
      <w:marTop w:val="0"/>
      <w:marBottom w:val="0"/>
      <w:divBdr>
        <w:top w:val="none" w:sz="0" w:space="0" w:color="auto"/>
        <w:left w:val="none" w:sz="0" w:space="0" w:color="auto"/>
        <w:bottom w:val="none" w:sz="0" w:space="0" w:color="auto"/>
        <w:right w:val="none" w:sz="0" w:space="0" w:color="auto"/>
      </w:divBdr>
    </w:div>
    <w:div w:id="1044334175">
      <w:bodyDiv w:val="1"/>
      <w:marLeft w:val="0"/>
      <w:marRight w:val="0"/>
      <w:marTop w:val="0"/>
      <w:marBottom w:val="0"/>
      <w:divBdr>
        <w:top w:val="none" w:sz="0" w:space="0" w:color="auto"/>
        <w:left w:val="none" w:sz="0" w:space="0" w:color="auto"/>
        <w:bottom w:val="none" w:sz="0" w:space="0" w:color="auto"/>
        <w:right w:val="none" w:sz="0" w:space="0" w:color="auto"/>
      </w:divBdr>
    </w:div>
    <w:div w:id="1156069921">
      <w:bodyDiv w:val="1"/>
      <w:marLeft w:val="0"/>
      <w:marRight w:val="0"/>
      <w:marTop w:val="0"/>
      <w:marBottom w:val="0"/>
      <w:divBdr>
        <w:top w:val="none" w:sz="0" w:space="0" w:color="auto"/>
        <w:left w:val="none" w:sz="0" w:space="0" w:color="auto"/>
        <w:bottom w:val="none" w:sz="0" w:space="0" w:color="auto"/>
        <w:right w:val="none" w:sz="0" w:space="0" w:color="auto"/>
      </w:divBdr>
    </w:div>
    <w:div w:id="1231041602">
      <w:bodyDiv w:val="1"/>
      <w:marLeft w:val="0"/>
      <w:marRight w:val="0"/>
      <w:marTop w:val="0"/>
      <w:marBottom w:val="0"/>
      <w:divBdr>
        <w:top w:val="none" w:sz="0" w:space="0" w:color="auto"/>
        <w:left w:val="none" w:sz="0" w:space="0" w:color="auto"/>
        <w:bottom w:val="none" w:sz="0" w:space="0" w:color="auto"/>
        <w:right w:val="none" w:sz="0" w:space="0" w:color="auto"/>
      </w:divBdr>
    </w:div>
    <w:div w:id="1272935707">
      <w:bodyDiv w:val="1"/>
      <w:marLeft w:val="0"/>
      <w:marRight w:val="0"/>
      <w:marTop w:val="0"/>
      <w:marBottom w:val="0"/>
      <w:divBdr>
        <w:top w:val="none" w:sz="0" w:space="0" w:color="auto"/>
        <w:left w:val="none" w:sz="0" w:space="0" w:color="auto"/>
        <w:bottom w:val="none" w:sz="0" w:space="0" w:color="auto"/>
        <w:right w:val="none" w:sz="0" w:space="0" w:color="auto"/>
      </w:divBdr>
    </w:div>
    <w:div w:id="1283346322">
      <w:bodyDiv w:val="1"/>
      <w:marLeft w:val="0"/>
      <w:marRight w:val="0"/>
      <w:marTop w:val="0"/>
      <w:marBottom w:val="0"/>
      <w:divBdr>
        <w:top w:val="none" w:sz="0" w:space="0" w:color="auto"/>
        <w:left w:val="none" w:sz="0" w:space="0" w:color="auto"/>
        <w:bottom w:val="none" w:sz="0" w:space="0" w:color="auto"/>
        <w:right w:val="none" w:sz="0" w:space="0" w:color="auto"/>
      </w:divBdr>
      <w:divsChild>
        <w:div w:id="481435612">
          <w:marLeft w:val="480"/>
          <w:marRight w:val="0"/>
          <w:marTop w:val="0"/>
          <w:marBottom w:val="0"/>
          <w:divBdr>
            <w:top w:val="none" w:sz="0" w:space="0" w:color="auto"/>
            <w:left w:val="none" w:sz="0" w:space="0" w:color="auto"/>
            <w:bottom w:val="none" w:sz="0" w:space="0" w:color="auto"/>
            <w:right w:val="none" w:sz="0" w:space="0" w:color="auto"/>
          </w:divBdr>
        </w:div>
        <w:div w:id="628128919">
          <w:marLeft w:val="480"/>
          <w:marRight w:val="0"/>
          <w:marTop w:val="0"/>
          <w:marBottom w:val="0"/>
          <w:divBdr>
            <w:top w:val="none" w:sz="0" w:space="0" w:color="auto"/>
            <w:left w:val="none" w:sz="0" w:space="0" w:color="auto"/>
            <w:bottom w:val="none" w:sz="0" w:space="0" w:color="auto"/>
            <w:right w:val="none" w:sz="0" w:space="0" w:color="auto"/>
          </w:divBdr>
        </w:div>
        <w:div w:id="655113205">
          <w:marLeft w:val="480"/>
          <w:marRight w:val="0"/>
          <w:marTop w:val="0"/>
          <w:marBottom w:val="0"/>
          <w:divBdr>
            <w:top w:val="none" w:sz="0" w:space="0" w:color="auto"/>
            <w:left w:val="none" w:sz="0" w:space="0" w:color="auto"/>
            <w:bottom w:val="none" w:sz="0" w:space="0" w:color="auto"/>
            <w:right w:val="none" w:sz="0" w:space="0" w:color="auto"/>
          </w:divBdr>
        </w:div>
        <w:div w:id="1088427284">
          <w:marLeft w:val="480"/>
          <w:marRight w:val="0"/>
          <w:marTop w:val="0"/>
          <w:marBottom w:val="0"/>
          <w:divBdr>
            <w:top w:val="none" w:sz="0" w:space="0" w:color="auto"/>
            <w:left w:val="none" w:sz="0" w:space="0" w:color="auto"/>
            <w:bottom w:val="none" w:sz="0" w:space="0" w:color="auto"/>
            <w:right w:val="none" w:sz="0" w:space="0" w:color="auto"/>
          </w:divBdr>
        </w:div>
        <w:div w:id="1132862860">
          <w:marLeft w:val="480"/>
          <w:marRight w:val="0"/>
          <w:marTop w:val="0"/>
          <w:marBottom w:val="0"/>
          <w:divBdr>
            <w:top w:val="none" w:sz="0" w:space="0" w:color="auto"/>
            <w:left w:val="none" w:sz="0" w:space="0" w:color="auto"/>
            <w:bottom w:val="none" w:sz="0" w:space="0" w:color="auto"/>
            <w:right w:val="none" w:sz="0" w:space="0" w:color="auto"/>
          </w:divBdr>
        </w:div>
      </w:divsChild>
    </w:div>
    <w:div w:id="1343126847">
      <w:bodyDiv w:val="1"/>
      <w:marLeft w:val="0"/>
      <w:marRight w:val="0"/>
      <w:marTop w:val="0"/>
      <w:marBottom w:val="0"/>
      <w:divBdr>
        <w:top w:val="none" w:sz="0" w:space="0" w:color="auto"/>
        <w:left w:val="none" w:sz="0" w:space="0" w:color="auto"/>
        <w:bottom w:val="none" w:sz="0" w:space="0" w:color="auto"/>
        <w:right w:val="none" w:sz="0" w:space="0" w:color="auto"/>
      </w:divBdr>
    </w:div>
    <w:div w:id="1364671039">
      <w:bodyDiv w:val="1"/>
      <w:marLeft w:val="0"/>
      <w:marRight w:val="0"/>
      <w:marTop w:val="0"/>
      <w:marBottom w:val="0"/>
      <w:divBdr>
        <w:top w:val="none" w:sz="0" w:space="0" w:color="auto"/>
        <w:left w:val="none" w:sz="0" w:space="0" w:color="auto"/>
        <w:bottom w:val="none" w:sz="0" w:space="0" w:color="auto"/>
        <w:right w:val="none" w:sz="0" w:space="0" w:color="auto"/>
      </w:divBdr>
    </w:div>
    <w:div w:id="1422796524">
      <w:bodyDiv w:val="1"/>
      <w:marLeft w:val="0"/>
      <w:marRight w:val="0"/>
      <w:marTop w:val="0"/>
      <w:marBottom w:val="0"/>
      <w:divBdr>
        <w:top w:val="none" w:sz="0" w:space="0" w:color="auto"/>
        <w:left w:val="none" w:sz="0" w:space="0" w:color="auto"/>
        <w:bottom w:val="none" w:sz="0" w:space="0" w:color="auto"/>
        <w:right w:val="none" w:sz="0" w:space="0" w:color="auto"/>
      </w:divBdr>
    </w:div>
    <w:div w:id="1438021742">
      <w:bodyDiv w:val="1"/>
      <w:marLeft w:val="0"/>
      <w:marRight w:val="0"/>
      <w:marTop w:val="0"/>
      <w:marBottom w:val="0"/>
      <w:divBdr>
        <w:top w:val="none" w:sz="0" w:space="0" w:color="auto"/>
        <w:left w:val="none" w:sz="0" w:space="0" w:color="auto"/>
        <w:bottom w:val="none" w:sz="0" w:space="0" w:color="auto"/>
        <w:right w:val="none" w:sz="0" w:space="0" w:color="auto"/>
      </w:divBdr>
    </w:div>
    <w:div w:id="1471359303">
      <w:bodyDiv w:val="1"/>
      <w:marLeft w:val="0"/>
      <w:marRight w:val="0"/>
      <w:marTop w:val="0"/>
      <w:marBottom w:val="0"/>
      <w:divBdr>
        <w:top w:val="none" w:sz="0" w:space="0" w:color="auto"/>
        <w:left w:val="none" w:sz="0" w:space="0" w:color="auto"/>
        <w:bottom w:val="none" w:sz="0" w:space="0" w:color="auto"/>
        <w:right w:val="none" w:sz="0" w:space="0" w:color="auto"/>
      </w:divBdr>
    </w:div>
    <w:div w:id="1480265836">
      <w:bodyDiv w:val="1"/>
      <w:marLeft w:val="0"/>
      <w:marRight w:val="0"/>
      <w:marTop w:val="0"/>
      <w:marBottom w:val="0"/>
      <w:divBdr>
        <w:top w:val="none" w:sz="0" w:space="0" w:color="auto"/>
        <w:left w:val="none" w:sz="0" w:space="0" w:color="auto"/>
        <w:bottom w:val="none" w:sz="0" w:space="0" w:color="auto"/>
        <w:right w:val="none" w:sz="0" w:space="0" w:color="auto"/>
      </w:divBdr>
    </w:div>
    <w:div w:id="1517574774">
      <w:bodyDiv w:val="1"/>
      <w:marLeft w:val="0"/>
      <w:marRight w:val="0"/>
      <w:marTop w:val="0"/>
      <w:marBottom w:val="0"/>
      <w:divBdr>
        <w:top w:val="none" w:sz="0" w:space="0" w:color="auto"/>
        <w:left w:val="none" w:sz="0" w:space="0" w:color="auto"/>
        <w:bottom w:val="none" w:sz="0" w:space="0" w:color="auto"/>
        <w:right w:val="none" w:sz="0" w:space="0" w:color="auto"/>
      </w:divBdr>
    </w:div>
    <w:div w:id="1536313882">
      <w:bodyDiv w:val="1"/>
      <w:marLeft w:val="0"/>
      <w:marRight w:val="0"/>
      <w:marTop w:val="0"/>
      <w:marBottom w:val="0"/>
      <w:divBdr>
        <w:top w:val="none" w:sz="0" w:space="0" w:color="auto"/>
        <w:left w:val="none" w:sz="0" w:space="0" w:color="auto"/>
        <w:bottom w:val="none" w:sz="0" w:space="0" w:color="auto"/>
        <w:right w:val="none" w:sz="0" w:space="0" w:color="auto"/>
      </w:divBdr>
    </w:div>
    <w:div w:id="1594510799">
      <w:bodyDiv w:val="1"/>
      <w:marLeft w:val="0"/>
      <w:marRight w:val="0"/>
      <w:marTop w:val="0"/>
      <w:marBottom w:val="0"/>
      <w:divBdr>
        <w:top w:val="none" w:sz="0" w:space="0" w:color="auto"/>
        <w:left w:val="none" w:sz="0" w:space="0" w:color="auto"/>
        <w:bottom w:val="none" w:sz="0" w:space="0" w:color="auto"/>
        <w:right w:val="none" w:sz="0" w:space="0" w:color="auto"/>
      </w:divBdr>
    </w:div>
    <w:div w:id="1596016995">
      <w:bodyDiv w:val="1"/>
      <w:marLeft w:val="0"/>
      <w:marRight w:val="0"/>
      <w:marTop w:val="0"/>
      <w:marBottom w:val="0"/>
      <w:divBdr>
        <w:top w:val="none" w:sz="0" w:space="0" w:color="auto"/>
        <w:left w:val="none" w:sz="0" w:space="0" w:color="auto"/>
        <w:bottom w:val="none" w:sz="0" w:space="0" w:color="auto"/>
        <w:right w:val="none" w:sz="0" w:space="0" w:color="auto"/>
      </w:divBdr>
    </w:div>
    <w:div w:id="1627084462">
      <w:bodyDiv w:val="1"/>
      <w:marLeft w:val="0"/>
      <w:marRight w:val="0"/>
      <w:marTop w:val="0"/>
      <w:marBottom w:val="0"/>
      <w:divBdr>
        <w:top w:val="none" w:sz="0" w:space="0" w:color="auto"/>
        <w:left w:val="none" w:sz="0" w:space="0" w:color="auto"/>
        <w:bottom w:val="none" w:sz="0" w:space="0" w:color="auto"/>
        <w:right w:val="none" w:sz="0" w:space="0" w:color="auto"/>
      </w:divBdr>
    </w:div>
    <w:div w:id="1722358978">
      <w:bodyDiv w:val="1"/>
      <w:marLeft w:val="0"/>
      <w:marRight w:val="0"/>
      <w:marTop w:val="0"/>
      <w:marBottom w:val="0"/>
      <w:divBdr>
        <w:top w:val="none" w:sz="0" w:space="0" w:color="auto"/>
        <w:left w:val="none" w:sz="0" w:space="0" w:color="auto"/>
        <w:bottom w:val="none" w:sz="0" w:space="0" w:color="auto"/>
        <w:right w:val="none" w:sz="0" w:space="0" w:color="auto"/>
      </w:divBdr>
    </w:div>
    <w:div w:id="1779526587">
      <w:bodyDiv w:val="1"/>
      <w:marLeft w:val="0"/>
      <w:marRight w:val="0"/>
      <w:marTop w:val="0"/>
      <w:marBottom w:val="0"/>
      <w:divBdr>
        <w:top w:val="none" w:sz="0" w:space="0" w:color="auto"/>
        <w:left w:val="none" w:sz="0" w:space="0" w:color="auto"/>
        <w:bottom w:val="none" w:sz="0" w:space="0" w:color="auto"/>
        <w:right w:val="none" w:sz="0" w:space="0" w:color="auto"/>
      </w:divBdr>
    </w:div>
    <w:div w:id="1814637210">
      <w:bodyDiv w:val="1"/>
      <w:marLeft w:val="0"/>
      <w:marRight w:val="0"/>
      <w:marTop w:val="0"/>
      <w:marBottom w:val="0"/>
      <w:divBdr>
        <w:top w:val="none" w:sz="0" w:space="0" w:color="auto"/>
        <w:left w:val="none" w:sz="0" w:space="0" w:color="auto"/>
        <w:bottom w:val="none" w:sz="0" w:space="0" w:color="auto"/>
        <w:right w:val="none" w:sz="0" w:space="0" w:color="auto"/>
      </w:divBdr>
    </w:div>
    <w:div w:id="1838303247">
      <w:bodyDiv w:val="1"/>
      <w:marLeft w:val="0"/>
      <w:marRight w:val="0"/>
      <w:marTop w:val="0"/>
      <w:marBottom w:val="0"/>
      <w:divBdr>
        <w:top w:val="none" w:sz="0" w:space="0" w:color="auto"/>
        <w:left w:val="none" w:sz="0" w:space="0" w:color="auto"/>
        <w:bottom w:val="none" w:sz="0" w:space="0" w:color="auto"/>
        <w:right w:val="none" w:sz="0" w:space="0" w:color="auto"/>
      </w:divBdr>
    </w:div>
    <w:div w:id="1977680307">
      <w:bodyDiv w:val="1"/>
      <w:marLeft w:val="0"/>
      <w:marRight w:val="0"/>
      <w:marTop w:val="0"/>
      <w:marBottom w:val="0"/>
      <w:divBdr>
        <w:top w:val="none" w:sz="0" w:space="0" w:color="auto"/>
        <w:left w:val="none" w:sz="0" w:space="0" w:color="auto"/>
        <w:bottom w:val="none" w:sz="0" w:space="0" w:color="auto"/>
        <w:right w:val="none" w:sz="0" w:space="0" w:color="auto"/>
      </w:divBdr>
    </w:div>
    <w:div w:id="1981304007">
      <w:bodyDiv w:val="1"/>
      <w:marLeft w:val="0"/>
      <w:marRight w:val="0"/>
      <w:marTop w:val="0"/>
      <w:marBottom w:val="0"/>
      <w:divBdr>
        <w:top w:val="none" w:sz="0" w:space="0" w:color="auto"/>
        <w:left w:val="none" w:sz="0" w:space="0" w:color="auto"/>
        <w:bottom w:val="none" w:sz="0" w:space="0" w:color="auto"/>
        <w:right w:val="none" w:sz="0" w:space="0" w:color="auto"/>
      </w:divBdr>
    </w:div>
    <w:div w:id="2033601829">
      <w:bodyDiv w:val="1"/>
      <w:marLeft w:val="0"/>
      <w:marRight w:val="0"/>
      <w:marTop w:val="0"/>
      <w:marBottom w:val="0"/>
      <w:divBdr>
        <w:top w:val="none" w:sz="0" w:space="0" w:color="auto"/>
        <w:left w:val="none" w:sz="0" w:space="0" w:color="auto"/>
        <w:bottom w:val="none" w:sz="0" w:space="0" w:color="auto"/>
        <w:right w:val="none" w:sz="0" w:space="0" w:color="auto"/>
      </w:divBdr>
    </w:div>
    <w:div w:id="2047636975">
      <w:bodyDiv w:val="1"/>
      <w:marLeft w:val="0"/>
      <w:marRight w:val="0"/>
      <w:marTop w:val="0"/>
      <w:marBottom w:val="0"/>
      <w:divBdr>
        <w:top w:val="none" w:sz="0" w:space="0" w:color="auto"/>
        <w:left w:val="none" w:sz="0" w:space="0" w:color="auto"/>
        <w:bottom w:val="none" w:sz="0" w:space="0" w:color="auto"/>
        <w:right w:val="none" w:sz="0" w:space="0" w:color="auto"/>
      </w:divBdr>
    </w:div>
    <w:div w:id="20599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8523-718D-4326-B23B-4996A461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Gibson</dc:creator>
  <cp:keywords/>
  <dc:description/>
  <cp:lastModifiedBy>Nancy Gibson</cp:lastModifiedBy>
  <cp:revision>6</cp:revision>
  <cp:lastPrinted>2022-05-19T16:25:00Z</cp:lastPrinted>
  <dcterms:created xsi:type="dcterms:W3CDTF">2022-05-23T16:31:00Z</dcterms:created>
  <dcterms:modified xsi:type="dcterms:W3CDTF">2022-05-24T13:22:00Z</dcterms:modified>
</cp:coreProperties>
</file>