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4FFF2" w14:textId="77777777" w:rsidR="00653599" w:rsidRDefault="00653599" w:rsidP="00407D83">
      <w:pPr>
        <w:suppressLineNumbers/>
        <w:shd w:val="clear" w:color="auto" w:fill="FFFFFF"/>
        <w:spacing w:line="480" w:lineRule="auto"/>
        <w:rPr>
          <w:rFonts w:ascii="Times New Roman" w:eastAsia="Times New Roman" w:hAnsi="Times New Roman" w:cs="Times New Roman"/>
          <w:sz w:val="24"/>
          <w:szCs w:val="24"/>
        </w:rPr>
      </w:pPr>
    </w:p>
    <w:p w14:paraId="1284FFF3" w14:textId="77777777" w:rsidR="00653599" w:rsidRDefault="004567DA" w:rsidP="00361CC7">
      <w:pPr>
        <w:suppressLineNumbers/>
        <w:shd w:val="clear" w:color="auto" w:fill="FFFFFF"/>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STATE OF GEORGIA</w:t>
      </w:r>
    </w:p>
    <w:p w14:paraId="1284FFF4" w14:textId="77777777" w:rsidR="00653599" w:rsidRDefault="004567DA" w:rsidP="00361CC7">
      <w:pPr>
        <w:suppressLineNumbers/>
        <w:shd w:val="clear" w:color="auto" w:fill="FFFFFF"/>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BEFORE THE GEORGIA PUBLIC SERVICE COMMISSION</w:t>
      </w:r>
    </w:p>
    <w:p w14:paraId="1284FFF6" w14:textId="77777777" w:rsidR="00653599" w:rsidRDefault="00653599" w:rsidP="00361CC7">
      <w:pPr>
        <w:suppressLineNumbers/>
        <w:shd w:val="clear" w:color="auto" w:fill="FFFFFF"/>
        <w:spacing w:line="480" w:lineRule="auto"/>
        <w:rPr>
          <w:rFonts w:ascii="Times New Roman" w:eastAsia="Times New Roman" w:hAnsi="Times New Roman" w:cs="Times New Roman"/>
          <w:sz w:val="24"/>
          <w:szCs w:val="24"/>
        </w:rPr>
      </w:pPr>
    </w:p>
    <w:p w14:paraId="1284FFF7" w14:textId="77777777" w:rsidR="00653599" w:rsidRDefault="004567DA" w:rsidP="00361CC7">
      <w:pPr>
        <w:suppressLineNumbers/>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 Re:</w:t>
      </w:r>
    </w:p>
    <w:p w14:paraId="1284FFF8" w14:textId="77777777" w:rsidR="00653599" w:rsidRDefault="00653599" w:rsidP="00361CC7">
      <w:pPr>
        <w:suppressLineNumbers/>
        <w:shd w:val="clear" w:color="auto" w:fill="FFFFFF"/>
        <w:spacing w:line="240" w:lineRule="auto"/>
        <w:rPr>
          <w:rFonts w:ascii="Times New Roman" w:eastAsia="Times New Roman" w:hAnsi="Times New Roman" w:cs="Times New Roman"/>
          <w:sz w:val="24"/>
          <w:szCs w:val="24"/>
        </w:rPr>
      </w:pPr>
    </w:p>
    <w:p w14:paraId="1284FFF9" w14:textId="77777777" w:rsidR="00653599" w:rsidRDefault="004567DA" w:rsidP="00361CC7">
      <w:pPr>
        <w:suppressLineNumbers/>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Georgia Power Company’s 2022 Application for</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w:t>
      </w:r>
    </w:p>
    <w:p w14:paraId="1284FFFA" w14:textId="77777777" w:rsidR="00653599" w:rsidRDefault="004567DA" w:rsidP="00361CC7">
      <w:pPr>
        <w:suppressLineNumbers/>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The Certification, Decertification, and Amended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w:t>
      </w:r>
      <w:r>
        <w:rPr>
          <w:rFonts w:ascii="Times New Roman" w:eastAsia="Times New Roman" w:hAnsi="Times New Roman" w:cs="Times New Roman"/>
          <w:b/>
          <w:sz w:val="24"/>
          <w:szCs w:val="24"/>
        </w:rPr>
        <w:tab/>
        <w:t>DOCKET NO. 44161</w:t>
      </w:r>
    </w:p>
    <w:p w14:paraId="1284FFFB" w14:textId="77777777" w:rsidR="00653599" w:rsidRDefault="004567DA" w:rsidP="00361CC7">
      <w:pPr>
        <w:suppressLineNumbers/>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Demand-Side Management Plan</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w:t>
      </w:r>
    </w:p>
    <w:p w14:paraId="1284FFFE" w14:textId="77777777" w:rsidR="00653599" w:rsidRDefault="00653599" w:rsidP="00361CC7">
      <w:pPr>
        <w:suppressLineNumbers/>
        <w:shd w:val="clear" w:color="auto" w:fill="FFFFFF"/>
        <w:spacing w:line="480" w:lineRule="auto"/>
        <w:rPr>
          <w:rFonts w:ascii="Times New Roman" w:eastAsia="Times New Roman" w:hAnsi="Times New Roman" w:cs="Times New Roman"/>
          <w:sz w:val="24"/>
          <w:szCs w:val="24"/>
        </w:rPr>
      </w:pPr>
    </w:p>
    <w:p w14:paraId="1284FFFF" w14:textId="77777777" w:rsidR="00653599" w:rsidRDefault="00653599" w:rsidP="00361CC7">
      <w:pPr>
        <w:suppressLineNumbers/>
        <w:shd w:val="clear" w:color="auto" w:fill="FFFFFF"/>
        <w:spacing w:line="480" w:lineRule="auto"/>
        <w:rPr>
          <w:rFonts w:ascii="Times New Roman" w:eastAsia="Times New Roman" w:hAnsi="Times New Roman" w:cs="Times New Roman"/>
          <w:sz w:val="24"/>
          <w:szCs w:val="24"/>
        </w:rPr>
      </w:pPr>
    </w:p>
    <w:p w14:paraId="12850000" w14:textId="77777777" w:rsidR="00653599" w:rsidRPr="00935BEC" w:rsidRDefault="004567DA" w:rsidP="00361CC7">
      <w:pPr>
        <w:suppressLineNumbers/>
        <w:shd w:val="clear" w:color="auto" w:fill="FFFFFF"/>
        <w:spacing w:line="240" w:lineRule="auto"/>
        <w:jc w:val="center"/>
        <w:rPr>
          <w:rFonts w:ascii="Times New Roman" w:eastAsia="Times New Roman" w:hAnsi="Times New Roman" w:cs="Times New Roman"/>
          <w:b/>
          <w:sz w:val="28"/>
          <w:szCs w:val="28"/>
        </w:rPr>
      </w:pPr>
      <w:r w:rsidRPr="00935BEC">
        <w:rPr>
          <w:rFonts w:ascii="Times New Roman" w:eastAsia="Times New Roman" w:hAnsi="Times New Roman" w:cs="Times New Roman"/>
          <w:b/>
          <w:sz w:val="28"/>
          <w:szCs w:val="28"/>
        </w:rPr>
        <w:t>DIRECT TESTIMONY OF FOREST BRADLEY-WRIGHT</w:t>
      </w:r>
    </w:p>
    <w:p w14:paraId="12850001" w14:textId="77777777" w:rsidR="00653599" w:rsidRPr="00935BEC" w:rsidRDefault="004567DA" w:rsidP="00361CC7">
      <w:pPr>
        <w:suppressLineNumbers/>
        <w:shd w:val="clear" w:color="auto" w:fill="FFFFFF"/>
        <w:spacing w:line="240" w:lineRule="auto"/>
        <w:jc w:val="center"/>
        <w:rPr>
          <w:rFonts w:ascii="Times New Roman" w:eastAsia="Times New Roman" w:hAnsi="Times New Roman" w:cs="Times New Roman"/>
          <w:b/>
          <w:sz w:val="28"/>
          <w:szCs w:val="28"/>
        </w:rPr>
      </w:pPr>
      <w:r w:rsidRPr="00935BEC">
        <w:rPr>
          <w:rFonts w:ascii="Times New Roman" w:eastAsia="Times New Roman" w:hAnsi="Times New Roman" w:cs="Times New Roman"/>
          <w:b/>
          <w:sz w:val="28"/>
          <w:szCs w:val="28"/>
        </w:rPr>
        <w:t xml:space="preserve">ON BEHALF OF </w:t>
      </w:r>
    </w:p>
    <w:p w14:paraId="105A525F" w14:textId="77777777" w:rsidR="00DF34CA" w:rsidRDefault="004567DA" w:rsidP="00361CC7">
      <w:pPr>
        <w:suppressLineNumbers/>
        <w:shd w:val="clear" w:color="auto" w:fill="FFFFFF"/>
        <w:spacing w:line="240" w:lineRule="auto"/>
        <w:jc w:val="center"/>
        <w:rPr>
          <w:rFonts w:ascii="Times New Roman" w:eastAsia="Times New Roman" w:hAnsi="Times New Roman" w:cs="Times New Roman"/>
          <w:b/>
          <w:sz w:val="28"/>
          <w:szCs w:val="28"/>
        </w:rPr>
      </w:pPr>
      <w:r w:rsidRPr="00935BEC">
        <w:rPr>
          <w:rFonts w:ascii="Times New Roman" w:eastAsia="Times New Roman" w:hAnsi="Times New Roman" w:cs="Times New Roman"/>
          <w:b/>
          <w:sz w:val="28"/>
          <w:szCs w:val="28"/>
        </w:rPr>
        <w:t xml:space="preserve">SOUTHERN ALLIANCE FOR CLEAN ENERGY AND </w:t>
      </w:r>
    </w:p>
    <w:p w14:paraId="12850002" w14:textId="1B5E6BCD" w:rsidR="00653599" w:rsidRPr="00935BEC" w:rsidRDefault="004567DA" w:rsidP="00361CC7">
      <w:pPr>
        <w:suppressLineNumbers/>
        <w:shd w:val="clear" w:color="auto" w:fill="FFFFFF"/>
        <w:spacing w:line="240" w:lineRule="auto"/>
        <w:jc w:val="center"/>
        <w:rPr>
          <w:rFonts w:ascii="Times New Roman" w:eastAsia="Times New Roman" w:hAnsi="Times New Roman" w:cs="Times New Roman"/>
          <w:b/>
          <w:sz w:val="28"/>
          <w:szCs w:val="28"/>
        </w:rPr>
      </w:pPr>
      <w:r w:rsidRPr="00935BEC">
        <w:rPr>
          <w:rFonts w:ascii="Times New Roman" w:eastAsia="Times New Roman" w:hAnsi="Times New Roman" w:cs="Times New Roman"/>
          <w:b/>
          <w:sz w:val="28"/>
          <w:szCs w:val="28"/>
        </w:rPr>
        <w:t>SOUTHFACE ENERGY INSTITUTE, INC.</w:t>
      </w:r>
    </w:p>
    <w:p w14:paraId="12850003" w14:textId="77777777" w:rsidR="00653599" w:rsidRDefault="00653599" w:rsidP="00361CC7">
      <w:pPr>
        <w:suppressLineNumbers/>
        <w:shd w:val="clear" w:color="auto" w:fill="FFFFFF"/>
        <w:spacing w:line="480" w:lineRule="auto"/>
        <w:jc w:val="center"/>
        <w:rPr>
          <w:rFonts w:ascii="Times New Roman" w:eastAsia="Times New Roman" w:hAnsi="Times New Roman" w:cs="Times New Roman"/>
          <w:b/>
          <w:sz w:val="24"/>
          <w:szCs w:val="24"/>
        </w:rPr>
      </w:pPr>
    </w:p>
    <w:p w14:paraId="12850004" w14:textId="77777777" w:rsidR="00653599" w:rsidRDefault="00653599" w:rsidP="00361CC7">
      <w:pPr>
        <w:suppressLineNumbers/>
        <w:shd w:val="clear" w:color="auto" w:fill="FFFFFF"/>
        <w:spacing w:line="480" w:lineRule="auto"/>
        <w:jc w:val="center"/>
        <w:rPr>
          <w:rFonts w:ascii="Times New Roman" w:eastAsia="Times New Roman" w:hAnsi="Times New Roman" w:cs="Times New Roman"/>
          <w:b/>
          <w:sz w:val="24"/>
          <w:szCs w:val="24"/>
        </w:rPr>
      </w:pPr>
    </w:p>
    <w:p w14:paraId="4E01301E" w14:textId="77777777" w:rsidR="00935BEC" w:rsidRPr="00935BEC" w:rsidRDefault="004567DA" w:rsidP="00361CC7">
      <w:pPr>
        <w:suppressLineNumbers/>
        <w:shd w:val="clear" w:color="auto" w:fill="FFFFFF"/>
        <w:spacing w:line="480" w:lineRule="auto"/>
        <w:jc w:val="center"/>
        <w:rPr>
          <w:rFonts w:ascii="Times New Roman" w:eastAsia="Times New Roman" w:hAnsi="Times New Roman" w:cs="Times New Roman"/>
          <w:b/>
          <w:sz w:val="28"/>
          <w:szCs w:val="28"/>
        </w:rPr>
      </w:pPr>
      <w:r w:rsidRPr="00935BEC">
        <w:rPr>
          <w:rFonts w:ascii="Times New Roman" w:eastAsia="Times New Roman" w:hAnsi="Times New Roman" w:cs="Times New Roman"/>
          <w:b/>
          <w:sz w:val="28"/>
          <w:szCs w:val="28"/>
        </w:rPr>
        <w:t>May 6, 2022</w:t>
      </w:r>
      <w:bookmarkStart w:id="0" w:name="_lg13cc3tlc8d" w:colFirst="0" w:colLast="0"/>
      <w:bookmarkEnd w:id="0"/>
    </w:p>
    <w:p w14:paraId="5913EC20" w14:textId="77777777" w:rsidR="00935BEC" w:rsidRDefault="00935BEC" w:rsidP="003B49E3">
      <w:pPr>
        <w:suppressLineNumbers/>
        <w:spacing w:line="480" w:lineRule="auto"/>
        <w:rPr>
          <w:rFonts w:ascii="Times New Roman" w:eastAsia="Times New Roman" w:hAnsi="Times New Roman" w:cs="Times New Roman"/>
          <w:b/>
          <w:sz w:val="32"/>
          <w:szCs w:val="32"/>
        </w:rPr>
      </w:pPr>
      <w:r>
        <w:rPr>
          <w:rFonts w:ascii="Times New Roman" w:eastAsia="Times New Roman" w:hAnsi="Times New Roman" w:cs="Times New Roman"/>
          <w:b/>
          <w:sz w:val="32"/>
          <w:szCs w:val="32"/>
        </w:rPr>
        <w:br w:type="page"/>
      </w:r>
    </w:p>
    <w:p w14:paraId="1285000A" w14:textId="58B41D42" w:rsidR="00653599" w:rsidRPr="00C11495" w:rsidRDefault="00C11495" w:rsidP="00C11495">
      <w:pPr>
        <w:shd w:val="clear" w:color="auto" w:fill="FFFFFF"/>
        <w:spacing w:line="480" w:lineRule="auto"/>
        <w:rPr>
          <w:rFonts w:ascii="Times New Roman" w:eastAsia="Times New Roman" w:hAnsi="Times New Roman" w:cs="Times New Roman"/>
          <w:b/>
          <w:sz w:val="24"/>
          <w:szCs w:val="24"/>
        </w:rPr>
      </w:pPr>
      <w:r w:rsidRPr="00C11495">
        <w:rPr>
          <w:rFonts w:ascii="Times New Roman" w:eastAsia="Times New Roman" w:hAnsi="Times New Roman" w:cs="Times New Roman"/>
          <w:b/>
          <w:sz w:val="24"/>
          <w:szCs w:val="24"/>
        </w:rPr>
        <w:lastRenderedPageBreak/>
        <w:t>I.</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004567DA" w:rsidRPr="00C11495">
        <w:rPr>
          <w:rFonts w:ascii="Times New Roman" w:eastAsia="Times New Roman" w:hAnsi="Times New Roman" w:cs="Times New Roman"/>
          <w:b/>
          <w:sz w:val="24"/>
          <w:szCs w:val="24"/>
        </w:rPr>
        <w:t>INTRODUCTION</w:t>
      </w:r>
    </w:p>
    <w:p w14:paraId="1285000C" w14:textId="314405E3" w:rsidR="00653599" w:rsidRPr="00C11495" w:rsidRDefault="00C11495" w:rsidP="00935BEC">
      <w:pPr>
        <w:spacing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PLEASE STATE YOUR NAME, POSITION</w:t>
      </w:r>
      <w:r w:rsidR="00E86B93">
        <w:rPr>
          <w:rFonts w:ascii="Times New Roman" w:eastAsia="Times New Roman" w:hAnsi="Times New Roman" w:cs="Times New Roman"/>
          <w:b/>
          <w:sz w:val="24"/>
          <w:szCs w:val="24"/>
        </w:rPr>
        <w:t>,</w:t>
      </w:r>
      <w:r w:rsidR="004567DA">
        <w:rPr>
          <w:rFonts w:ascii="Times New Roman" w:eastAsia="Times New Roman" w:hAnsi="Times New Roman" w:cs="Times New Roman"/>
          <w:b/>
          <w:sz w:val="24"/>
          <w:szCs w:val="24"/>
        </w:rPr>
        <w:t xml:space="preserve"> AND BUSINESS ADDRESS.</w:t>
      </w:r>
    </w:p>
    <w:p w14:paraId="1285000D" w14:textId="62171CDA"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5D4EC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My name is Forest Bradley-Wright. I am the Energy Efficiency Director for the Southern Alliance for Clean Energy (“SACE”), and my business address is 3804 Middlebrook Pike, Knoxville, Tennessee.</w:t>
      </w:r>
    </w:p>
    <w:p w14:paraId="1285000E" w14:textId="77777777" w:rsidR="00653599" w:rsidRDefault="00653599" w:rsidP="00935BEC">
      <w:pPr>
        <w:spacing w:line="480" w:lineRule="auto"/>
        <w:jc w:val="both"/>
        <w:rPr>
          <w:rFonts w:ascii="Times New Roman" w:eastAsia="Times New Roman" w:hAnsi="Times New Roman" w:cs="Times New Roman"/>
          <w:sz w:val="24"/>
          <w:szCs w:val="24"/>
        </w:rPr>
      </w:pPr>
    </w:p>
    <w:p w14:paraId="12850010" w14:textId="5A490660" w:rsidR="00653599" w:rsidRPr="00C11495" w:rsidRDefault="00C11495" w:rsidP="00935BEC">
      <w:pPr>
        <w:spacing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ON WHOSE BEHALF ARE YOU TESTIFYING IN THIS PROCEEDING?</w:t>
      </w:r>
    </w:p>
    <w:p w14:paraId="12850011" w14:textId="42583111" w:rsidR="00653599"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5D4EC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I am testifying on behalf of SACE and Southface Energy Institute, Inc. (“Southface”).</w:t>
      </w:r>
    </w:p>
    <w:p w14:paraId="12850012" w14:textId="77777777" w:rsidR="00653599" w:rsidRDefault="00653599" w:rsidP="00935BEC">
      <w:pPr>
        <w:spacing w:line="480" w:lineRule="auto"/>
        <w:jc w:val="both"/>
        <w:rPr>
          <w:rFonts w:ascii="Times New Roman" w:eastAsia="Times New Roman" w:hAnsi="Times New Roman" w:cs="Times New Roman"/>
          <w:sz w:val="24"/>
          <w:szCs w:val="24"/>
        </w:rPr>
      </w:pPr>
    </w:p>
    <w:p w14:paraId="12850014" w14:textId="34C7805B" w:rsidR="00653599" w:rsidRPr="00C11495" w:rsidRDefault="00C11495" w:rsidP="00935BEC">
      <w:pPr>
        <w:spacing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PLEASE SUMMARIZE YOUR QUALIFICATIONS AND WORK EXPERIENCE.</w:t>
      </w:r>
    </w:p>
    <w:p w14:paraId="12850016" w14:textId="5027AAC7" w:rsidR="00653599" w:rsidRDefault="004567DA" w:rsidP="00C11495">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5D4EC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I graduated from Tulane University in 2001 with a Bachelor of Arts degree in Latin American Studies and in 2013 received my Master of Arts degree from Tulane in Latin America Studies with an emphasis on international development, sustainability, and natural resource planning. My work experience includes Shell International Exploration and Production Co. as a Sustainable Development Team Facilitator.</w:t>
      </w:r>
    </w:p>
    <w:p w14:paraId="12850018" w14:textId="19F0DD28" w:rsidR="00653599" w:rsidRDefault="004567DA" w:rsidP="00C11495">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From 2005-2018</w:t>
      </w:r>
      <w:r w:rsidR="00AC5F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 worked for the Alliance for Affordable Energy. As their Senior Policy Director, I represented the organization through formal intervenor filings and before regulators at both the Louisiana Public Service Commission and the New Orleans City Council on issues ranging from Integrated Resource Planning to energy efficiency (“EE”) rulemaking and program design, rate cases, a utility acquisition case, power plant certifications, net metering, and utility scale renewables.</w:t>
      </w:r>
    </w:p>
    <w:p w14:paraId="12850019" w14:textId="77777777" w:rsidR="00653599" w:rsidRDefault="004567DA" w:rsidP="00935BEC">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 2014, I was a Republican runoff candidate for the 1st District seat on the Louisiana Public Service Commission. Since 2018, I have been the Energy Efficiency Director for SACE, where I am responsible for leading dialogue with utilities and regulatory officials on issues related to EE in resource planning, program design, budgets, and cost recovery. This takes the form of formal testimony, comments, presentations, and/or informal meetings in Georgia, Florida, North Carolina, and South Carolina, and with respect to the Tennessee Valley Authority (“TVA”).</w:t>
      </w:r>
    </w:p>
    <w:p w14:paraId="1285001A" w14:textId="77777777" w:rsidR="00653599" w:rsidRDefault="00653599" w:rsidP="00935BEC">
      <w:pPr>
        <w:spacing w:line="480" w:lineRule="auto"/>
        <w:jc w:val="both"/>
        <w:rPr>
          <w:rFonts w:ascii="Times New Roman" w:eastAsia="Times New Roman" w:hAnsi="Times New Roman" w:cs="Times New Roman"/>
          <w:sz w:val="24"/>
          <w:szCs w:val="24"/>
        </w:rPr>
      </w:pPr>
    </w:p>
    <w:p w14:paraId="1285001C" w14:textId="4B95157B" w:rsidR="00653599" w:rsidRPr="00A6526B" w:rsidRDefault="00C11495" w:rsidP="00A6526B">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HAVE YOU PREVIOUSLY TESTIFIED BEFORE THE GEORGIA PUBLIC SERVICE COMMISSION (“GPSC” OR “THE COMMISSION”)?</w:t>
      </w:r>
    </w:p>
    <w:p w14:paraId="1285001D" w14:textId="6F641E0B"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5D4EC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Yes, I testified in the proceedings on Georgia Power Company’s (“Georgia Power” or “The Company”) 2019 Integrated Resource Plan (“IRP”) and Demand-Side Management (“DSM”) Plan (Docket Nos. 42310 </w:t>
      </w:r>
      <w:r w:rsidR="001F7B01">
        <w:rPr>
          <w:rFonts w:ascii="Times New Roman" w:eastAsia="Times New Roman" w:hAnsi="Times New Roman" w:cs="Times New Roman"/>
          <w:sz w:val="24"/>
          <w:szCs w:val="24"/>
        </w:rPr>
        <w:t>and</w:t>
      </w:r>
      <w:r>
        <w:rPr>
          <w:rFonts w:ascii="Times New Roman" w:eastAsia="Times New Roman" w:hAnsi="Times New Roman" w:cs="Times New Roman"/>
          <w:sz w:val="24"/>
          <w:szCs w:val="24"/>
        </w:rPr>
        <w:t xml:space="preserve"> 42311).</w:t>
      </w:r>
    </w:p>
    <w:p w14:paraId="1285001E" w14:textId="77777777" w:rsidR="00653599" w:rsidRDefault="00653599" w:rsidP="00935BEC">
      <w:pPr>
        <w:spacing w:line="480" w:lineRule="auto"/>
        <w:jc w:val="both"/>
        <w:rPr>
          <w:rFonts w:ascii="Times New Roman" w:eastAsia="Times New Roman" w:hAnsi="Times New Roman" w:cs="Times New Roman"/>
          <w:sz w:val="24"/>
          <w:szCs w:val="24"/>
        </w:rPr>
      </w:pPr>
    </w:p>
    <w:p w14:paraId="12850020" w14:textId="68522EE0" w:rsidR="00653599" w:rsidRPr="00A6526B" w:rsidRDefault="00A6526B" w:rsidP="00A6526B">
      <w:pPr>
        <w:spacing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WHAT IS THE PURPOSE OF YOUR TESTIMONY?</w:t>
      </w:r>
    </w:p>
    <w:p w14:paraId="12850022" w14:textId="54875579" w:rsidR="00653599"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C34A5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The purpose of my testimony is to offer and explain the following recommendations: </w:t>
      </w:r>
    </w:p>
    <w:p w14:paraId="12850024" w14:textId="7D0EF941" w:rsidR="00653599" w:rsidRPr="00A6526B" w:rsidRDefault="004567DA" w:rsidP="00935BEC">
      <w:pPr>
        <w:numPr>
          <w:ilvl w:val="0"/>
          <w:numId w:val="1"/>
        </w:numPr>
        <w:shd w:val="clear" w:color="auto" w:fill="FFFFFF"/>
        <w:spacing w:line="480" w:lineRule="auto"/>
        <w:jc w:val="both"/>
        <w:rPr>
          <w:rFonts w:ascii="Times New Roman" w:eastAsia="Times New Roman" w:hAnsi="Times New Roman" w:cs="Times New Roman"/>
          <w:sz w:val="24"/>
          <w:szCs w:val="24"/>
        </w:rPr>
      </w:pPr>
      <w:r w:rsidRPr="00A6526B">
        <w:rPr>
          <w:rFonts w:ascii="Times New Roman" w:eastAsia="Times New Roman" w:hAnsi="Times New Roman" w:cs="Times New Roman"/>
          <w:sz w:val="24"/>
          <w:szCs w:val="24"/>
        </w:rPr>
        <w:t xml:space="preserve">The Commission should act to expand acquisition of DSM resources at below avoided cost. Doing so will reduce total costs to customers and represents a least-cost solution to address needs associated with the Company’s load growth, power plant retirements, and system reliability. </w:t>
      </w:r>
    </w:p>
    <w:p w14:paraId="12850026" w14:textId="4776B302" w:rsidR="00653599" w:rsidRPr="007832E6" w:rsidRDefault="004567DA" w:rsidP="00935BEC">
      <w:pPr>
        <w:numPr>
          <w:ilvl w:val="0"/>
          <w:numId w:val="1"/>
        </w:numPr>
        <w:shd w:val="clear" w:color="auto" w:fill="FFFFFF"/>
        <w:spacing w:line="480" w:lineRule="auto"/>
        <w:jc w:val="both"/>
        <w:rPr>
          <w:rFonts w:ascii="Times New Roman" w:eastAsia="Times New Roman" w:hAnsi="Times New Roman" w:cs="Times New Roman"/>
          <w:sz w:val="24"/>
          <w:szCs w:val="24"/>
        </w:rPr>
      </w:pPr>
      <w:r w:rsidRPr="007832E6">
        <w:rPr>
          <w:rFonts w:ascii="Times New Roman" w:eastAsia="Times New Roman" w:hAnsi="Times New Roman" w:cs="Times New Roman"/>
          <w:sz w:val="24"/>
          <w:szCs w:val="24"/>
        </w:rPr>
        <w:t xml:space="preserve">Georgia Power’s annual efficiency savings targets should be raised to the levels indicated by the Demand-Side Management Working Group’s (“DSMWG”) Advocates Case. </w:t>
      </w:r>
    </w:p>
    <w:p w14:paraId="12850027" w14:textId="13853C8B" w:rsidR="00653599" w:rsidRDefault="004567DA" w:rsidP="00935BEC">
      <w:pPr>
        <w:numPr>
          <w:ilvl w:val="0"/>
          <w:numId w:val="1"/>
        </w:numPr>
        <w:shd w:val="clear" w:color="auto" w:fill="FFFFFF"/>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new energy efficiency program is needed to capture meaningful levels of efficiency savings for manufactured housing </w:t>
      </w:r>
      <w:r w:rsidR="00A6526B">
        <w:rPr>
          <w:rFonts w:ascii="Times New Roman" w:eastAsia="Times New Roman" w:hAnsi="Times New Roman" w:cs="Times New Roman"/>
          <w:sz w:val="24"/>
          <w:szCs w:val="24"/>
        </w:rPr>
        <w:t>residents and</w:t>
      </w:r>
      <w:r>
        <w:rPr>
          <w:rFonts w:ascii="Times New Roman" w:eastAsia="Times New Roman" w:hAnsi="Times New Roman" w:cs="Times New Roman"/>
          <w:sz w:val="24"/>
          <w:szCs w:val="24"/>
        </w:rPr>
        <w:t xml:space="preserve"> should be designed to specifically address the unique challenges and needs associated with this housing type. </w:t>
      </w:r>
    </w:p>
    <w:p w14:paraId="12850029" w14:textId="13D03603" w:rsidR="00653599" w:rsidRDefault="004567DA" w:rsidP="00935BEC">
      <w:pPr>
        <w:numPr>
          <w:ilvl w:val="0"/>
          <w:numId w:val="1"/>
        </w:numPr>
        <w:shd w:val="clear" w:color="auto" w:fill="FFFFFF"/>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future IRP proceedings, Georgia Power should optimize DSM resources to address identified resource needs. This analysis should be supplemental and complementary to the DSM Program Planning Approach and conducted in a fair and transparent manner, including substantial engagement with stakeholders in the DSM Working Group (“DSMWG”)</w:t>
      </w:r>
      <w:r w:rsidR="00A6526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1285002B" w14:textId="5CC54E9B" w:rsidR="00653599" w:rsidRDefault="004567DA" w:rsidP="00935BEC">
      <w:pPr>
        <w:numPr>
          <w:ilvl w:val="0"/>
          <w:numId w:val="1"/>
        </w:numPr>
        <w:shd w:val="clear" w:color="auto" w:fill="FFFFFF"/>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future IRP proceedings, Georgia Power’s DSM proposals should be consistent with least</w:t>
      </w:r>
      <w:r w:rsidR="002E699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cost planning principles, whereby optimal levels of DSM are determined in relationship to the Company’s future resource needs. The Company’s total resource portfolio should prioritize the mix of supply and demand side resources that maintain reliability and manage future risk at the lowest total utility system cost. </w:t>
      </w:r>
    </w:p>
    <w:p w14:paraId="1285002D" w14:textId="77777777" w:rsidR="00653599" w:rsidRDefault="004567DA" w:rsidP="00935BEC">
      <w:pPr>
        <w:numPr>
          <w:ilvl w:val="0"/>
          <w:numId w:val="1"/>
        </w:numPr>
        <w:shd w:val="clear" w:color="auto" w:fill="FFFFFF"/>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Georgia Power’s proposed changes to the DSM Additional Sum should be rejected. The methodology and rationale underlying the Company’s Additional Sum proposal are flawed; will enrich the utility revenues by increasing customer costs without expanding efficiency savings; and are likely to lead to additional unintended negative consequences.</w:t>
      </w:r>
    </w:p>
    <w:p w14:paraId="1285002F" w14:textId="77777777" w:rsidR="00653599" w:rsidRDefault="004567DA" w:rsidP="00935BEC">
      <w:pPr>
        <w:numPr>
          <w:ilvl w:val="0"/>
          <w:numId w:val="1"/>
        </w:numPr>
        <w:shd w:val="clear" w:color="auto" w:fill="FFFFFF"/>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Commission should implement and enforce additional accountability with regard to the DSM savings targets it approves in this proceeding, both to ensure cost-effective program delivery and sustained investment toward least-cost efficiency programs. Additionally, the Commission should allow a mechanism by which the Company can roll </w:t>
      </w:r>
      <w:r>
        <w:rPr>
          <w:rFonts w:ascii="Times New Roman" w:eastAsia="Times New Roman" w:hAnsi="Times New Roman" w:cs="Times New Roman"/>
          <w:sz w:val="24"/>
          <w:szCs w:val="24"/>
        </w:rPr>
        <w:lastRenderedPageBreak/>
        <w:t xml:space="preserve">over DSM investments under special circumstances to make up for prior years’ savings deficits. </w:t>
      </w:r>
    </w:p>
    <w:p w14:paraId="12850030" w14:textId="77777777" w:rsidR="00653599"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44DE9DFA" w14:textId="6EE4EE72" w:rsidR="00287AC8" w:rsidRPr="00E427EB" w:rsidRDefault="00A6526B" w:rsidP="00E427EB">
      <w:pPr>
        <w:spacing w:line="480" w:lineRule="auto"/>
        <w:jc w:val="both"/>
        <w:rPr>
          <w:rFonts w:ascii="Times New Roman" w:eastAsia="Times New Roman" w:hAnsi="Times New Roman" w:cs="Times New Roman"/>
          <w:b/>
          <w:sz w:val="24"/>
          <w:szCs w:val="24"/>
        </w:rPr>
      </w:pPr>
      <w:bookmarkStart w:id="1" w:name="_h90vehyxvneo" w:colFirst="0" w:colLast="0"/>
      <w:bookmarkEnd w:id="1"/>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ARE YOU SUBMITTING EXHIBITS ALONG WITH YOUR TESTIMONY?</w:t>
      </w:r>
      <w:bookmarkStart w:id="2" w:name="_14agmdaxenju" w:colFirst="0" w:colLast="0"/>
      <w:bookmarkStart w:id="3" w:name="_jfb5iysh6u4u" w:colFirst="0" w:colLast="0"/>
      <w:bookmarkEnd w:id="2"/>
      <w:bookmarkEnd w:id="3"/>
    </w:p>
    <w:p w14:paraId="12850033" w14:textId="28EF3EF5" w:rsidR="00653599" w:rsidRDefault="004567DA" w:rsidP="00035618">
      <w:pPr>
        <w:pStyle w:val="Heading1"/>
        <w:spacing w:before="0"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0C32B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Yes, I am submitting one (1) exhibit along with my testimony, as follows:</w:t>
      </w:r>
    </w:p>
    <w:p w14:paraId="12850034" w14:textId="669789A2" w:rsidR="00653599" w:rsidRDefault="005D3D98" w:rsidP="00935BEC">
      <w:pPr>
        <w:spacing w:line="480" w:lineRule="auto"/>
        <w:ind w:left="144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EXHIBIT-</w:t>
      </w:r>
      <w:r w:rsidR="00EC6A47">
        <w:rPr>
          <w:rFonts w:ascii="Times New Roman" w:eastAsia="Times New Roman" w:hAnsi="Times New Roman" w:cs="Times New Roman"/>
          <w:sz w:val="24"/>
          <w:szCs w:val="24"/>
        </w:rPr>
        <w:t>1</w:t>
      </w:r>
      <w:r w:rsidR="004567DA">
        <w:rPr>
          <w:rFonts w:ascii="Times New Roman" w:eastAsia="Times New Roman" w:hAnsi="Times New Roman" w:cs="Times New Roman"/>
          <w:sz w:val="24"/>
          <w:szCs w:val="24"/>
        </w:rPr>
        <w:t>:</w:t>
      </w:r>
      <w:r w:rsidR="00B4484D">
        <w:rPr>
          <w:rFonts w:ascii="Times New Roman" w:eastAsia="Times New Roman" w:hAnsi="Times New Roman" w:cs="Times New Roman"/>
          <w:sz w:val="24"/>
          <w:szCs w:val="24"/>
        </w:rPr>
        <w:t xml:space="preserve"> </w:t>
      </w:r>
      <w:r w:rsidR="004567DA">
        <w:rPr>
          <w:rFonts w:ascii="Times New Roman" w:eastAsia="Times New Roman" w:hAnsi="Times New Roman" w:cs="Times New Roman"/>
          <w:sz w:val="24"/>
          <w:szCs w:val="24"/>
        </w:rPr>
        <w:t xml:space="preserve">Curriculum Vitae of Forest Bradley-Wright. </w:t>
      </w:r>
    </w:p>
    <w:p w14:paraId="239B83D0" w14:textId="77777777" w:rsidR="00287AC8" w:rsidRDefault="00287AC8" w:rsidP="00935BEC">
      <w:pPr>
        <w:pStyle w:val="Heading1"/>
        <w:spacing w:before="0" w:after="0" w:line="480" w:lineRule="auto"/>
        <w:jc w:val="both"/>
        <w:rPr>
          <w:rFonts w:ascii="Times New Roman" w:eastAsia="Times New Roman" w:hAnsi="Times New Roman" w:cs="Times New Roman"/>
          <w:b/>
          <w:sz w:val="24"/>
          <w:szCs w:val="24"/>
        </w:rPr>
      </w:pPr>
    </w:p>
    <w:p w14:paraId="12850037" w14:textId="5581FA75" w:rsidR="00653599" w:rsidRPr="008344C7" w:rsidRDefault="004567DA" w:rsidP="008344C7">
      <w:pPr>
        <w:pStyle w:val="Heading1"/>
        <w:spacing w:before="0"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II.</w:t>
      </w:r>
      <w:r>
        <w:rPr>
          <w:rFonts w:ascii="Times New Roman" w:eastAsia="Times New Roman" w:hAnsi="Times New Roman" w:cs="Times New Roman"/>
          <w:b/>
          <w:sz w:val="24"/>
          <w:szCs w:val="24"/>
        </w:rPr>
        <w:tab/>
        <w:t>SUMMARY OF FINDINGS AND CONCLUSIONS</w:t>
      </w:r>
    </w:p>
    <w:p w14:paraId="12850039" w14:textId="7ECE729F" w:rsidR="00653599" w:rsidRDefault="008344C7" w:rsidP="008344C7">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 xml:space="preserve">PLEASE SUMMARIZE THE RESULTS OF YOUR REVIEW OF GEORGIA POWER’S </w:t>
      </w:r>
      <w:r w:rsidR="00D42C2E">
        <w:rPr>
          <w:rFonts w:ascii="Times New Roman" w:eastAsia="Times New Roman" w:hAnsi="Times New Roman" w:cs="Times New Roman"/>
          <w:b/>
          <w:sz w:val="24"/>
          <w:szCs w:val="24"/>
        </w:rPr>
        <w:t xml:space="preserve">PROPOSED </w:t>
      </w:r>
      <w:r w:rsidR="004567DA">
        <w:rPr>
          <w:rFonts w:ascii="Times New Roman" w:eastAsia="Times New Roman" w:hAnsi="Times New Roman" w:cs="Times New Roman"/>
          <w:b/>
          <w:sz w:val="24"/>
          <w:szCs w:val="24"/>
        </w:rPr>
        <w:t>2022 IRP AND DSM PLAN</w:t>
      </w:r>
      <w:r w:rsidR="00B415A5">
        <w:rPr>
          <w:rFonts w:ascii="Times New Roman" w:eastAsia="Times New Roman" w:hAnsi="Times New Roman" w:cs="Times New Roman"/>
          <w:b/>
          <w:sz w:val="24"/>
          <w:szCs w:val="24"/>
        </w:rPr>
        <w:t>S</w:t>
      </w:r>
      <w:r w:rsidR="004567DA">
        <w:rPr>
          <w:rFonts w:ascii="Times New Roman" w:eastAsia="Times New Roman" w:hAnsi="Times New Roman" w:cs="Times New Roman"/>
          <w:b/>
          <w:sz w:val="24"/>
          <w:szCs w:val="24"/>
        </w:rPr>
        <w:t xml:space="preserve"> AND THE ANALYSIS YOU HAVE CONDUCTED</w:t>
      </w:r>
      <w:r>
        <w:rPr>
          <w:rFonts w:ascii="Times New Roman" w:eastAsia="Times New Roman" w:hAnsi="Times New Roman" w:cs="Times New Roman"/>
          <w:b/>
          <w:sz w:val="24"/>
          <w:szCs w:val="24"/>
        </w:rPr>
        <w:t>.</w:t>
      </w:r>
    </w:p>
    <w:p w14:paraId="65E98FCB" w14:textId="09210CE8" w:rsidR="00333E4A" w:rsidRDefault="00EF6980" w:rsidP="00EF6980">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The results of my review and analysis of Georgia Power’s 2022 IRP and DSM Application are as follows:</w:t>
      </w:r>
    </w:p>
    <w:p w14:paraId="1285003B" w14:textId="434FC29B" w:rsidR="00653599" w:rsidRPr="008344C7" w:rsidRDefault="004567DA" w:rsidP="008344C7">
      <w:pPr>
        <w:numPr>
          <w:ilvl w:val="0"/>
          <w:numId w:val="4"/>
        </w:numPr>
        <w:spacing w:line="480" w:lineRule="auto"/>
        <w:ind w:left="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wide array of low-cost DSM programs are capable of serving the types of energy, capacity, and reliability needs that Georgia Power has identified in its IRP.</w:t>
      </w:r>
    </w:p>
    <w:p w14:paraId="1285003D" w14:textId="5966FDBF" w:rsidR="00653599" w:rsidRPr="008344C7" w:rsidRDefault="004567DA" w:rsidP="008344C7">
      <w:pPr>
        <w:numPr>
          <w:ilvl w:val="0"/>
          <w:numId w:val="4"/>
        </w:numPr>
        <w:spacing w:line="480" w:lineRule="auto"/>
        <w:ind w:left="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By limiting its analysis of DSM to only the DSM Program Planning Approach</w:t>
      </w:r>
      <w:r w:rsidR="00EE4A9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then removing DSM resources from consideration when solving for future resource needs, Georgia Power is failing to integrate DSM resources in its planning process.</w:t>
      </w:r>
    </w:p>
    <w:p w14:paraId="1285003F" w14:textId="29B7E888" w:rsidR="00653599" w:rsidRPr="008344C7" w:rsidRDefault="004567DA" w:rsidP="008344C7">
      <w:pPr>
        <w:numPr>
          <w:ilvl w:val="0"/>
          <w:numId w:val="4"/>
        </w:numPr>
        <w:spacing w:line="480" w:lineRule="auto"/>
        <w:ind w:left="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benefits of investing in far cheaper EE, rather than more expensive supply resources, are passed along to </w:t>
      </w:r>
      <w:r>
        <w:rPr>
          <w:rFonts w:ascii="Times New Roman" w:eastAsia="Times New Roman" w:hAnsi="Times New Roman" w:cs="Times New Roman"/>
          <w:i/>
          <w:sz w:val="24"/>
          <w:szCs w:val="24"/>
          <w:u w:val="single"/>
        </w:rPr>
        <w:t>all</w:t>
      </w:r>
      <w:r>
        <w:rPr>
          <w:rFonts w:ascii="Times New Roman" w:eastAsia="Times New Roman" w:hAnsi="Times New Roman" w:cs="Times New Roman"/>
          <w:sz w:val="24"/>
          <w:szCs w:val="24"/>
        </w:rPr>
        <w:t xml:space="preserve"> customers, not just those that participated in Georgia Power’s DSM programs.</w:t>
      </w:r>
    </w:p>
    <w:p w14:paraId="12850041" w14:textId="529B7BB4" w:rsidR="00653599" w:rsidRPr="00DD31CC" w:rsidRDefault="004567DA" w:rsidP="00DD31CC">
      <w:pPr>
        <w:numPr>
          <w:ilvl w:val="0"/>
          <w:numId w:val="4"/>
        </w:numPr>
        <w:spacing w:line="480" w:lineRule="auto"/>
        <w:ind w:left="1080"/>
        <w:jc w:val="both"/>
        <w:rPr>
          <w:rFonts w:ascii="Times New Roman" w:eastAsia="Times New Roman" w:hAnsi="Times New Roman" w:cs="Times New Roman"/>
          <w:sz w:val="24"/>
          <w:szCs w:val="24"/>
        </w:rPr>
      </w:pPr>
      <w:r w:rsidRPr="00DD31CC">
        <w:rPr>
          <w:rFonts w:ascii="Times New Roman" w:eastAsia="Times New Roman" w:hAnsi="Times New Roman" w:cs="Times New Roman"/>
          <w:sz w:val="24"/>
          <w:szCs w:val="24"/>
        </w:rPr>
        <w:lastRenderedPageBreak/>
        <w:t>In Georgia Power’s analysis, the Advocates Case delivers substantially more total cost savings than the Base Case. In the context of</w:t>
      </w:r>
      <w:r w:rsidR="00D45C32" w:rsidRPr="00DD31CC">
        <w:rPr>
          <w:rFonts w:ascii="Times New Roman" w:eastAsia="Times New Roman" w:hAnsi="Times New Roman" w:cs="Times New Roman"/>
          <w:sz w:val="24"/>
          <w:szCs w:val="24"/>
        </w:rPr>
        <w:t xml:space="preserve"> the Company’s</w:t>
      </w:r>
      <w:r w:rsidR="005355FB" w:rsidRPr="00DD31CC">
        <w:rPr>
          <w:rFonts w:ascii="Times New Roman" w:eastAsia="Times New Roman" w:hAnsi="Times New Roman" w:cs="Times New Roman"/>
          <w:sz w:val="24"/>
          <w:szCs w:val="24"/>
        </w:rPr>
        <w:t xml:space="preserve"> </w:t>
      </w:r>
      <w:r w:rsidRPr="00DD31CC">
        <w:rPr>
          <w:rFonts w:ascii="Times New Roman" w:eastAsia="Times New Roman" w:hAnsi="Times New Roman" w:cs="Times New Roman"/>
          <w:sz w:val="24"/>
          <w:szCs w:val="24"/>
        </w:rPr>
        <w:t>IRP</w:t>
      </w:r>
      <w:r w:rsidR="00D45C32" w:rsidRPr="00DD31CC">
        <w:rPr>
          <w:rFonts w:ascii="Times New Roman" w:eastAsia="Times New Roman" w:hAnsi="Times New Roman" w:cs="Times New Roman"/>
          <w:sz w:val="24"/>
          <w:szCs w:val="24"/>
        </w:rPr>
        <w:t xml:space="preserve"> process</w:t>
      </w:r>
      <w:r w:rsidRPr="00DD31CC">
        <w:rPr>
          <w:rFonts w:ascii="Times New Roman" w:eastAsia="Times New Roman" w:hAnsi="Times New Roman" w:cs="Times New Roman"/>
          <w:sz w:val="24"/>
          <w:szCs w:val="24"/>
        </w:rPr>
        <w:t xml:space="preserve">, adopting the higher level of savings in the Advocates Case is the more reasonable </w:t>
      </w:r>
      <w:r w:rsidR="00DB7D4F" w:rsidRPr="00DD31CC">
        <w:rPr>
          <w:rFonts w:ascii="Times New Roman" w:eastAsia="Times New Roman" w:hAnsi="Times New Roman" w:cs="Times New Roman"/>
          <w:sz w:val="24"/>
          <w:szCs w:val="24"/>
        </w:rPr>
        <w:t>approach since</w:t>
      </w:r>
      <w:r w:rsidRPr="00DD31CC">
        <w:rPr>
          <w:rFonts w:ascii="Times New Roman" w:eastAsia="Times New Roman" w:hAnsi="Times New Roman" w:cs="Times New Roman"/>
          <w:sz w:val="24"/>
          <w:szCs w:val="24"/>
        </w:rPr>
        <w:t xml:space="preserve"> it leads to the resource portfolio with the lowest utility cost of service.</w:t>
      </w:r>
      <w:r w:rsidR="00EC0B19" w:rsidRPr="00DD31CC">
        <w:rPr>
          <w:rFonts w:ascii="Times New Roman" w:eastAsia="Times New Roman" w:hAnsi="Times New Roman" w:cs="Times New Roman"/>
          <w:sz w:val="24"/>
          <w:szCs w:val="24"/>
        </w:rPr>
        <w:t xml:space="preserve"> </w:t>
      </w:r>
      <w:r w:rsidR="00EC0B19" w:rsidRPr="00DD31CC">
        <w:rPr>
          <w:rFonts w:ascii="Times New Roman" w:hAnsi="Times New Roman" w:cs="Times New Roman"/>
          <w:color w:val="000000"/>
          <w:sz w:val="24"/>
          <w:szCs w:val="24"/>
        </w:rPr>
        <w:t>If the energy savings levels in the Advocates Case are approved, it would also be reasonable to allow Georgia Power to propose appropriate refinements to the level of savings for individual programs in each customer class, as long as the total savings levels would ultimately be achieved.</w:t>
      </w:r>
    </w:p>
    <w:p w14:paraId="116CDBCA" w14:textId="26B468B7" w:rsidR="005F43A4" w:rsidRPr="00DD31CC" w:rsidRDefault="006D1DC4" w:rsidP="00DD31CC">
      <w:pPr>
        <w:pStyle w:val="ListParagraph"/>
        <w:numPr>
          <w:ilvl w:val="0"/>
          <w:numId w:val="4"/>
        </w:numPr>
        <w:spacing w:line="480" w:lineRule="auto"/>
        <w:ind w:left="1080"/>
        <w:jc w:val="both"/>
        <w:rPr>
          <w:rFonts w:ascii="Times New Roman" w:eastAsia="Times New Roman" w:hAnsi="Times New Roman" w:cs="Times New Roman"/>
          <w:sz w:val="24"/>
          <w:szCs w:val="24"/>
          <w:lang w:val="en-US"/>
        </w:rPr>
      </w:pPr>
      <w:r>
        <w:rPr>
          <w:rFonts w:ascii="Times New Roman" w:eastAsia="Times New Roman" w:hAnsi="Times New Roman" w:cs="Times New Roman"/>
          <w:color w:val="000000"/>
          <w:sz w:val="24"/>
          <w:szCs w:val="24"/>
          <w:lang w:val="en-US"/>
        </w:rPr>
        <w:t xml:space="preserve">The Total Resource Cost </w:t>
      </w:r>
      <w:r w:rsidR="00507A80">
        <w:rPr>
          <w:rFonts w:ascii="Times New Roman" w:eastAsia="Times New Roman" w:hAnsi="Times New Roman" w:cs="Times New Roman"/>
          <w:color w:val="000000"/>
          <w:sz w:val="24"/>
          <w:szCs w:val="24"/>
          <w:lang w:val="en-US"/>
        </w:rPr>
        <w:t>(“</w:t>
      </w:r>
      <w:r w:rsidR="005F43A4" w:rsidRPr="00DD31CC">
        <w:rPr>
          <w:rFonts w:ascii="Times New Roman" w:eastAsia="Times New Roman" w:hAnsi="Times New Roman" w:cs="Times New Roman"/>
          <w:color w:val="000000"/>
          <w:sz w:val="24"/>
          <w:szCs w:val="24"/>
          <w:lang w:val="en-US"/>
        </w:rPr>
        <w:t>TRC</w:t>
      </w:r>
      <w:r w:rsidR="00507A80">
        <w:rPr>
          <w:rFonts w:ascii="Times New Roman" w:eastAsia="Times New Roman" w:hAnsi="Times New Roman" w:cs="Times New Roman"/>
          <w:color w:val="000000"/>
          <w:sz w:val="24"/>
          <w:szCs w:val="24"/>
          <w:lang w:val="en-US"/>
        </w:rPr>
        <w:t>”) Test</w:t>
      </w:r>
      <w:r w:rsidR="005F43A4" w:rsidRPr="00DD31CC">
        <w:rPr>
          <w:rFonts w:ascii="Times New Roman" w:eastAsia="Times New Roman" w:hAnsi="Times New Roman" w:cs="Times New Roman"/>
          <w:color w:val="000000"/>
          <w:sz w:val="24"/>
          <w:szCs w:val="24"/>
          <w:lang w:val="en-US"/>
        </w:rPr>
        <w:t xml:space="preserve"> can be used for initial screening </w:t>
      </w:r>
      <w:r w:rsidR="002A4D6D" w:rsidRPr="00DD31CC">
        <w:rPr>
          <w:rFonts w:ascii="Times New Roman" w:eastAsia="Times New Roman" w:hAnsi="Times New Roman" w:cs="Times New Roman"/>
          <w:color w:val="000000"/>
          <w:sz w:val="24"/>
          <w:szCs w:val="24"/>
          <w:lang w:val="en-US"/>
        </w:rPr>
        <w:t>purposes but</w:t>
      </w:r>
      <w:r w:rsidR="005F43A4" w:rsidRPr="00DD31CC">
        <w:rPr>
          <w:rFonts w:ascii="Times New Roman" w:eastAsia="Times New Roman" w:hAnsi="Times New Roman" w:cs="Times New Roman"/>
          <w:color w:val="000000"/>
          <w:sz w:val="24"/>
          <w:szCs w:val="24"/>
          <w:lang w:val="en-US"/>
        </w:rPr>
        <w:t xml:space="preserve"> is incompatible with economic comparison of DSM versus supply-side resources in the context of utility resource planning. Of the various cost effectiveness tests used to evaluate DSM by Georgia Power, the </w:t>
      </w:r>
      <w:r w:rsidR="00507A80">
        <w:rPr>
          <w:rFonts w:ascii="Times New Roman" w:eastAsia="Times New Roman" w:hAnsi="Times New Roman" w:cs="Times New Roman"/>
          <w:color w:val="000000"/>
          <w:sz w:val="24"/>
          <w:szCs w:val="24"/>
          <w:lang w:val="en-US"/>
        </w:rPr>
        <w:t>Program Administrator</w:t>
      </w:r>
      <w:r w:rsidR="003F5229">
        <w:rPr>
          <w:rFonts w:ascii="Times New Roman" w:eastAsia="Times New Roman" w:hAnsi="Times New Roman" w:cs="Times New Roman"/>
          <w:color w:val="000000"/>
          <w:sz w:val="24"/>
          <w:szCs w:val="24"/>
          <w:lang w:val="en-US"/>
        </w:rPr>
        <w:t xml:space="preserve"> Cost Test (“</w:t>
      </w:r>
      <w:r w:rsidR="005F43A4" w:rsidRPr="00DD31CC">
        <w:rPr>
          <w:rFonts w:ascii="Times New Roman" w:eastAsia="Times New Roman" w:hAnsi="Times New Roman" w:cs="Times New Roman"/>
          <w:color w:val="000000"/>
          <w:sz w:val="24"/>
          <w:szCs w:val="24"/>
          <w:lang w:val="en-US"/>
        </w:rPr>
        <w:t>PACT</w:t>
      </w:r>
      <w:r w:rsidR="003F5229">
        <w:rPr>
          <w:rFonts w:ascii="Times New Roman" w:eastAsia="Times New Roman" w:hAnsi="Times New Roman" w:cs="Times New Roman"/>
          <w:color w:val="000000"/>
          <w:sz w:val="24"/>
          <w:szCs w:val="24"/>
          <w:lang w:val="en-US"/>
        </w:rPr>
        <w:t>”)</w:t>
      </w:r>
      <w:r w:rsidR="005F43A4" w:rsidRPr="00DD31CC">
        <w:rPr>
          <w:rFonts w:ascii="Times New Roman" w:eastAsia="Times New Roman" w:hAnsi="Times New Roman" w:cs="Times New Roman"/>
          <w:color w:val="000000"/>
          <w:sz w:val="24"/>
          <w:szCs w:val="24"/>
          <w:lang w:val="en-US"/>
        </w:rPr>
        <w:t xml:space="preserve"> is best suited for use in IRP resource optimization analysis. This is because the PACT evaluates cost effectiveness from the perspective of the utility, looking only at utility expenditures and utility system benefits.</w:t>
      </w:r>
      <w:r w:rsidR="004D75AC" w:rsidRPr="00DD31CC">
        <w:rPr>
          <w:rFonts w:ascii="Times New Roman" w:hAnsi="Times New Roman" w:cs="Times New Roman"/>
          <w:color w:val="000000"/>
          <w:sz w:val="24"/>
          <w:szCs w:val="24"/>
        </w:rPr>
        <w:t xml:space="preserve"> choosing higher levels of efficiency investment that yield more total cost savings is more prudent than lower levels of investment for a marginally higher PACT ratio.</w:t>
      </w:r>
    </w:p>
    <w:p w14:paraId="059F6AB2" w14:textId="6297D066" w:rsidR="004D75AC" w:rsidRPr="00DD31CC" w:rsidRDefault="004D75AC" w:rsidP="00DD31CC">
      <w:pPr>
        <w:pStyle w:val="ListParagraph"/>
        <w:numPr>
          <w:ilvl w:val="0"/>
          <w:numId w:val="4"/>
        </w:numPr>
        <w:spacing w:line="480" w:lineRule="auto"/>
        <w:ind w:left="1080"/>
        <w:jc w:val="both"/>
        <w:rPr>
          <w:rFonts w:ascii="Times New Roman" w:eastAsia="Times New Roman" w:hAnsi="Times New Roman" w:cs="Times New Roman"/>
          <w:sz w:val="24"/>
          <w:szCs w:val="24"/>
          <w:lang w:val="en-US"/>
        </w:rPr>
      </w:pPr>
      <w:r w:rsidRPr="00DD31CC">
        <w:rPr>
          <w:rFonts w:ascii="Times New Roman" w:hAnsi="Times New Roman" w:cs="Times New Roman"/>
          <w:color w:val="000000"/>
          <w:sz w:val="24"/>
          <w:szCs w:val="24"/>
        </w:rPr>
        <w:t xml:space="preserve">In the short term, the upfront costs for EE – considered in isolation – could put upward pressure on rates, while the direct financial benefits to participating customers and the utility system as a whole are spread out over subsequent years. If only short-term rate effects are considered, it is possible that direct DSM program costs would appear to create upward pressure on rates. However, over time the benefits will exceed the direct </w:t>
      </w:r>
      <w:r w:rsidRPr="00DD31CC">
        <w:rPr>
          <w:rFonts w:ascii="Times New Roman" w:hAnsi="Times New Roman" w:cs="Times New Roman"/>
          <w:color w:val="000000"/>
          <w:sz w:val="24"/>
          <w:szCs w:val="24"/>
        </w:rPr>
        <w:lastRenderedPageBreak/>
        <w:t>EE program costs, thereby causing downward pressure on rates. With sustained investment in DSM resources, the downward pressure on rates from EE benefits ultimately will exceed the upward pressure resulting from the direct expenses that were paid up front. Just as the economics of a power plant are considered over many years, so too should the cumulative impacts of past and future planned EE investments.</w:t>
      </w:r>
    </w:p>
    <w:p w14:paraId="417FACE8" w14:textId="3BB60F22" w:rsidR="00C34A53" w:rsidRPr="00DD31CC" w:rsidRDefault="00453937" w:rsidP="00DD31CC">
      <w:pPr>
        <w:numPr>
          <w:ilvl w:val="0"/>
          <w:numId w:val="4"/>
        </w:numPr>
        <w:spacing w:line="480" w:lineRule="auto"/>
        <w:ind w:left="1080"/>
        <w:jc w:val="both"/>
        <w:rPr>
          <w:rFonts w:ascii="Times New Roman" w:eastAsia="Times New Roman" w:hAnsi="Times New Roman" w:cs="Times New Roman"/>
          <w:sz w:val="24"/>
          <w:szCs w:val="24"/>
        </w:rPr>
      </w:pPr>
      <w:r w:rsidRPr="00DD31CC">
        <w:rPr>
          <w:rFonts w:ascii="Times New Roman" w:hAnsi="Times New Roman" w:cs="Times New Roman"/>
          <w:color w:val="000000"/>
          <w:sz w:val="24"/>
          <w:szCs w:val="24"/>
        </w:rPr>
        <w:t>Both energy consumption and energy expenditures per square foot are higher for mobile homes than any other residential housing unit type in the South. Manufactured homes are a priority for a new efficiency program because Georgia Power’s Base Case does not adequately address the needs of these types of homes. In short, households residing in manufactured homes should be a priority, not an afterthought.</w:t>
      </w:r>
    </w:p>
    <w:p w14:paraId="002A4D5F" w14:textId="66E8C7FB" w:rsidR="00FC2AA5" w:rsidRPr="00DD31CC" w:rsidRDefault="00FC2AA5" w:rsidP="00DD31CC">
      <w:pPr>
        <w:pStyle w:val="NormalWeb"/>
        <w:numPr>
          <w:ilvl w:val="0"/>
          <w:numId w:val="4"/>
        </w:numPr>
        <w:spacing w:before="0" w:beforeAutospacing="0" w:after="0" w:afterAutospacing="0" w:line="480" w:lineRule="auto"/>
        <w:ind w:left="1080"/>
        <w:jc w:val="both"/>
      </w:pPr>
      <w:r w:rsidRPr="00DD31CC">
        <w:rPr>
          <w:color w:val="000000"/>
        </w:rPr>
        <w:t>Leading up to the next IRP cycle, the DSMWG should have an active role in working with Georgia Power to formulate workable strategies for modeling DSM in the next IRP, with a special focus on overcoming the kinds of challenges the Company stated it encountered in developing the DSM White Paper</w:t>
      </w:r>
    </w:p>
    <w:p w14:paraId="4882CBD6" w14:textId="48F98C4D" w:rsidR="008B257D" w:rsidRPr="00DD31CC" w:rsidRDefault="008B257D" w:rsidP="00DD31CC">
      <w:pPr>
        <w:pStyle w:val="NormalWeb"/>
        <w:numPr>
          <w:ilvl w:val="0"/>
          <w:numId w:val="4"/>
        </w:numPr>
        <w:spacing w:before="0" w:beforeAutospacing="0" w:after="0" w:afterAutospacing="0" w:line="480" w:lineRule="auto"/>
        <w:ind w:left="1080"/>
        <w:jc w:val="both"/>
      </w:pPr>
      <w:r w:rsidRPr="00DD31CC">
        <w:rPr>
          <w:color w:val="000000"/>
        </w:rPr>
        <w:t xml:space="preserve">The sole beneficiary of the proposed changes to the DSM Additional Sum is Georgia Power, not its customers. Moreover, the change would actually increase costs for customers without actually increasing efficiency savings. For this and other reasons described below, Georgia Power’s Additional Sum proposal should be rejected. Importantly, the DSM Additional Sum changes Georgia Power sought in the 2019 IRP, which are nearly identical to the changes it has again proposed, were ultimately rejected by the Commission in its </w:t>
      </w:r>
      <w:r w:rsidR="00253114">
        <w:rPr>
          <w:color w:val="000000"/>
        </w:rPr>
        <w:t>2019 F</w:t>
      </w:r>
      <w:r w:rsidRPr="00DD31CC">
        <w:rPr>
          <w:color w:val="000000"/>
        </w:rPr>
        <w:t xml:space="preserve">inal </w:t>
      </w:r>
      <w:r w:rsidR="00253114">
        <w:rPr>
          <w:color w:val="000000"/>
        </w:rPr>
        <w:t>O</w:t>
      </w:r>
      <w:r w:rsidRPr="00DD31CC">
        <w:rPr>
          <w:color w:val="000000"/>
        </w:rPr>
        <w:t>rder</w:t>
      </w:r>
      <w:r w:rsidR="00253114">
        <w:rPr>
          <w:color w:val="000000"/>
        </w:rPr>
        <w:t>.</w:t>
      </w:r>
    </w:p>
    <w:p w14:paraId="701F1DCA" w14:textId="69C4EB35" w:rsidR="00FC2AA5" w:rsidRPr="00DD31CC" w:rsidRDefault="00DD31CC" w:rsidP="00DD31CC">
      <w:pPr>
        <w:numPr>
          <w:ilvl w:val="0"/>
          <w:numId w:val="4"/>
        </w:numPr>
        <w:spacing w:line="480" w:lineRule="auto"/>
        <w:ind w:left="1080"/>
        <w:jc w:val="both"/>
        <w:rPr>
          <w:rFonts w:ascii="Times New Roman" w:eastAsia="Times New Roman" w:hAnsi="Times New Roman" w:cs="Times New Roman"/>
          <w:sz w:val="24"/>
          <w:szCs w:val="24"/>
        </w:rPr>
      </w:pPr>
      <w:r w:rsidRPr="00DD31CC">
        <w:rPr>
          <w:rFonts w:ascii="Times New Roman" w:hAnsi="Times New Roman" w:cs="Times New Roman"/>
          <w:color w:val="000000"/>
          <w:sz w:val="24"/>
          <w:szCs w:val="24"/>
        </w:rPr>
        <w:lastRenderedPageBreak/>
        <w:t>The Company’s arguments against pursuing additional savings in future years to make up for the deficits 2020 and 2021 raise serious questions about what it means to set triennial targets in these IRP cycles and point to the need for Commission action to ensure utility compliance expectations are clear. It also suggests that related policies must be reviewed and possibly changed to ensure they are flexible enough to functionally operate across a range of possible circumstances.</w:t>
      </w:r>
    </w:p>
    <w:p w14:paraId="428030FD" w14:textId="77777777" w:rsidR="00DD31CC" w:rsidRPr="00DD31CC" w:rsidRDefault="00DD31CC" w:rsidP="00DD31CC">
      <w:pPr>
        <w:spacing w:line="480" w:lineRule="auto"/>
        <w:jc w:val="both"/>
        <w:rPr>
          <w:rFonts w:ascii="Times New Roman" w:eastAsia="Times New Roman" w:hAnsi="Times New Roman" w:cs="Times New Roman"/>
          <w:sz w:val="24"/>
          <w:szCs w:val="24"/>
        </w:rPr>
      </w:pPr>
    </w:p>
    <w:p w14:paraId="12850043" w14:textId="0CDD3C25" w:rsidR="00653599" w:rsidRPr="00C34A53" w:rsidRDefault="00C34A53" w:rsidP="00935BEC">
      <w:pPr>
        <w:spacing w:line="480" w:lineRule="auto"/>
        <w:jc w:val="both"/>
        <w:rPr>
          <w:rFonts w:ascii="Times New Roman" w:eastAsia="Times New Roman" w:hAnsi="Times New Roman" w:cs="Times New Roman"/>
          <w:b/>
          <w:bCs/>
          <w:sz w:val="24"/>
          <w:szCs w:val="24"/>
        </w:rPr>
      </w:pPr>
      <w:r w:rsidRPr="00C34A53">
        <w:rPr>
          <w:rFonts w:ascii="Times New Roman" w:eastAsia="Times New Roman" w:hAnsi="Times New Roman" w:cs="Times New Roman"/>
          <w:b/>
          <w:bCs/>
          <w:sz w:val="24"/>
          <w:szCs w:val="24"/>
        </w:rPr>
        <w:t>III.</w:t>
      </w:r>
      <w:r w:rsidRPr="00C34A53">
        <w:rPr>
          <w:rFonts w:ascii="Times New Roman" w:eastAsia="Times New Roman" w:hAnsi="Times New Roman" w:cs="Times New Roman"/>
          <w:b/>
          <w:bCs/>
          <w:sz w:val="24"/>
          <w:szCs w:val="24"/>
        </w:rPr>
        <w:tab/>
        <w:t>TESTIMONY</w:t>
      </w:r>
    </w:p>
    <w:p w14:paraId="12850045" w14:textId="6C2B42E1" w:rsidR="00653599" w:rsidRPr="007832E6" w:rsidRDefault="007832E6" w:rsidP="007832E6">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CAN DSM RESOURCES COST EFFECTIVELY MEET SOME OF GEORGIA POWER’S FUTURE CAPACITY, ENERGY, AND RELIABILITY NEEDS?</w:t>
      </w:r>
    </w:p>
    <w:p w14:paraId="12850046" w14:textId="0689CF20"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Absolutely. DSM resources can provide a least-cost solution to meet the load growth, system reliability, and infrastructure challenges that Georgia Power identified in both the </w:t>
      </w:r>
      <w:r w:rsidR="0036049E">
        <w:rPr>
          <w:rFonts w:ascii="Times New Roman" w:eastAsia="Times New Roman" w:hAnsi="Times New Roman" w:cs="Times New Roman"/>
          <w:sz w:val="24"/>
          <w:szCs w:val="24"/>
        </w:rPr>
        <w:t xml:space="preserve">2022 </w:t>
      </w:r>
      <w:r>
        <w:rPr>
          <w:rFonts w:ascii="Times New Roman" w:eastAsia="Times New Roman" w:hAnsi="Times New Roman" w:cs="Times New Roman"/>
          <w:sz w:val="24"/>
          <w:szCs w:val="24"/>
        </w:rPr>
        <w:t xml:space="preserve">IRP and DSM dockets. However, the Company’s current resource planning approach fails to consider the value that these least-cost resources can provide to the Georgia Power system and for the benefit of all ratepayers. As a result, the Company’s proposed DSM portfolio and savings targets will result in higher costs to all ratepayers while also failing to address least-cost solutions for improving system reliability and operational flexibility, as I examine further below. </w:t>
      </w:r>
    </w:p>
    <w:p w14:paraId="12850047" w14:textId="77777777" w:rsidR="00653599" w:rsidRDefault="00653599" w:rsidP="00935BEC">
      <w:pPr>
        <w:spacing w:line="480" w:lineRule="auto"/>
        <w:jc w:val="both"/>
        <w:rPr>
          <w:rFonts w:ascii="Times New Roman" w:eastAsia="Times New Roman" w:hAnsi="Times New Roman" w:cs="Times New Roman"/>
          <w:sz w:val="24"/>
          <w:szCs w:val="24"/>
        </w:rPr>
      </w:pPr>
    </w:p>
    <w:p w14:paraId="12850049" w14:textId="30B029E2" w:rsidR="00653599" w:rsidRDefault="007832E6" w:rsidP="00BF01D4">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CAN YOU BRIEFLY SUMMARIZE THE FUTURE CAPACITY, ENERGY, AND RELIABILITY CHALLENGES THE COMPANY IS TRYING TO SOLVE IN THIS PROCEEDING</w:t>
      </w:r>
      <w:r w:rsidR="00E723D7">
        <w:rPr>
          <w:rFonts w:ascii="Times New Roman" w:eastAsia="Times New Roman" w:hAnsi="Times New Roman" w:cs="Times New Roman"/>
          <w:b/>
          <w:sz w:val="24"/>
          <w:szCs w:val="24"/>
        </w:rPr>
        <w:t>,</w:t>
      </w:r>
      <w:r w:rsidR="004567DA">
        <w:rPr>
          <w:rFonts w:ascii="Times New Roman" w:eastAsia="Times New Roman" w:hAnsi="Times New Roman" w:cs="Times New Roman"/>
          <w:b/>
          <w:sz w:val="24"/>
          <w:szCs w:val="24"/>
        </w:rPr>
        <w:t xml:space="preserve"> </w:t>
      </w:r>
      <w:r w:rsidR="004E129D">
        <w:rPr>
          <w:rFonts w:ascii="Times New Roman" w:eastAsia="Times New Roman" w:hAnsi="Times New Roman" w:cs="Times New Roman"/>
          <w:b/>
          <w:sz w:val="24"/>
          <w:szCs w:val="24"/>
        </w:rPr>
        <w:t>WHICH</w:t>
      </w:r>
      <w:r w:rsidR="004567DA">
        <w:rPr>
          <w:rFonts w:ascii="Times New Roman" w:eastAsia="Times New Roman" w:hAnsi="Times New Roman" w:cs="Times New Roman"/>
          <w:b/>
          <w:sz w:val="24"/>
          <w:szCs w:val="24"/>
        </w:rPr>
        <w:t xml:space="preserve"> COULD BE ADDRESSED BY DSM RESOURCES?</w:t>
      </w:r>
    </w:p>
    <w:p w14:paraId="1285004F" w14:textId="3C4C4313" w:rsidR="00653599" w:rsidRDefault="004567DA" w:rsidP="001D6D6D">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w:t>
      </w:r>
      <w:r>
        <w:rPr>
          <w:rFonts w:ascii="Times New Roman" w:eastAsia="Times New Roman" w:hAnsi="Times New Roman" w:cs="Times New Roman"/>
          <w:sz w:val="24"/>
          <w:szCs w:val="24"/>
        </w:rPr>
        <w:tab/>
        <w:t>In terms of load growth, or energy demand from customers, from 2022 to 2041, Georgia Power is forecasting 0.8% average annual growth in energy sales and 0.7% annual increases in winter and summer peak demand,</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In addition, Georgia Power proposes to retire its remaining fleet of coal power plants and other legacy generators, which represent a total of 5,241 MW of potential capacity reductions.</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To fill the gap in the Company’s forecasted load growth created by these retirements, Georgia Power is seeking immediate approval for 2,356 MW of natural gas power purchase agreements (“PPAs”), as well as 6,000 MW of solar through 2035.</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w:t>
      </w:r>
    </w:p>
    <w:p w14:paraId="12850051" w14:textId="61E38CD8" w:rsidR="00653599" w:rsidRDefault="004567DA" w:rsidP="001D6D6D">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Georgia Power also stated that it is facing challenges to maintaining reliability during times of season peak demand (particularly in the winter) which represents another significant concern and driver for its future resource needs.</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To meet Georgia Power’s proposed reserve margin, the Company is seeking 16.25 % above its forecasted load in the summer and 26% in the winter.</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w:t>
      </w:r>
    </w:p>
    <w:p w14:paraId="12850053" w14:textId="7EDEAE05" w:rsidR="00653599" w:rsidRDefault="004567DA" w:rsidP="001D6D6D">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Company has also broadly identified reliability concerns related to transmission and distribution system operations for a geographic region in North Georgia, driven by legacy power plant retirements and load growth. The continued expansion of intermittent renewable energy resources also factor into the company’s reliability planning and future resource needs. A wide array of low-cost DSM programs are capable of serving the types of energy, capacity, and reliability needs that Georgia Power has identified in its IRP. </w:t>
      </w:r>
      <w:r>
        <w:rPr>
          <w:rFonts w:ascii="Times New Roman" w:eastAsia="Times New Roman" w:hAnsi="Times New Roman" w:cs="Times New Roman"/>
          <w:sz w:val="24"/>
          <w:szCs w:val="24"/>
        </w:rPr>
        <w:lastRenderedPageBreak/>
        <w:t>Broadly speaking, these programs work by either eliminating energy waste, shifting energy use from higher demand times to lower demand times, and/or reducing transmission and distribution system constraints and congestion. Such programs can be scaled up to reduce customer energy and demand requirements and lower the need for power generation and/or transmission investments, overall, or they can be targeted to address resource needs during select times of the year or for specific geographic regions, lowering costs and improving the reliability of the system.</w:t>
      </w:r>
    </w:p>
    <w:p w14:paraId="12850054" w14:textId="77777777" w:rsidR="00653599" w:rsidRDefault="004567DA" w:rsidP="00935BEC">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Georgia Power offers some of these programs now, though it could do substantially more to increase their scale of impact. Beyond the Company’s current program offerings, additional savings can be achieved by adding new measures and new programs, utilizing more delivery channels, altering incentive levels, increasing marketing, and better engaging underserved customer segments. Many of the strategies to achieve higher DSM savings have been successfully deployed by other utilities, but new technologies and program delivery approaches are also constantly emerging, creating a regular source of new savings opportunities.</w:t>
      </w:r>
    </w:p>
    <w:p w14:paraId="12850055" w14:textId="77777777" w:rsidR="00653599"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850057" w14:textId="4C11A895" w:rsidR="00653599" w:rsidRPr="00CC6A62" w:rsidRDefault="001D6D6D" w:rsidP="00CC6A62">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DID GEORGIA POWER EVALUATE WHETHER HIGHER LEVELS OF DSM RESOURCES COULD COST EFFECTIVELY MEET A PORTION OF ITS FUTURE CAPACITY, ENERGY, AND RELIABILITY RESOURCE NEEDS?</w:t>
      </w:r>
    </w:p>
    <w:p w14:paraId="12850059" w14:textId="6527261A" w:rsidR="00653599" w:rsidRDefault="004567DA" w:rsidP="009B3266">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No</w:t>
      </w:r>
      <w:r w:rsidR="00EC2B0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it did not. Georgia Power witness </w:t>
      </w:r>
      <w:r>
        <w:rPr>
          <w:rFonts w:ascii="Times New Roman" w:eastAsia="Times New Roman" w:hAnsi="Times New Roman" w:cs="Times New Roman"/>
          <w:sz w:val="24"/>
          <w:szCs w:val="24"/>
          <w:highlight w:val="white"/>
        </w:rPr>
        <w:t>Andy Phillips</w:t>
      </w:r>
      <w:r>
        <w:rPr>
          <w:rFonts w:ascii="Times New Roman" w:eastAsia="Times New Roman" w:hAnsi="Times New Roman" w:cs="Times New Roman"/>
          <w:sz w:val="24"/>
          <w:szCs w:val="24"/>
        </w:rPr>
        <w:t xml:space="preserve"> acknowledged as much in his testimony before the Commission on </w:t>
      </w:r>
      <w:r>
        <w:rPr>
          <w:rFonts w:ascii="Times New Roman" w:eastAsia="Times New Roman" w:hAnsi="Times New Roman" w:cs="Times New Roman"/>
          <w:sz w:val="24"/>
          <w:szCs w:val="24"/>
          <w:highlight w:val="white"/>
        </w:rPr>
        <w:t>April 5th, 2022</w:t>
      </w:r>
      <w:r>
        <w:rPr>
          <w:rFonts w:ascii="Times New Roman" w:eastAsia="Times New Roman" w:hAnsi="Times New Roman" w:cs="Times New Roman"/>
          <w:sz w:val="24"/>
          <w:szCs w:val="24"/>
        </w:rPr>
        <w:t xml:space="preserve">: </w:t>
      </w:r>
    </w:p>
    <w:p w14:paraId="1285005B" w14:textId="1F2AC632" w:rsidR="00653599" w:rsidRDefault="004567DA" w:rsidP="009B3266">
      <w:pPr>
        <w:spacing w:line="480" w:lineRule="auto"/>
        <w:ind w:left="1440" w:righ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w:t>
      </w:r>
      <w:r>
        <w:rPr>
          <w:rFonts w:ascii="Times New Roman" w:eastAsia="Times New Roman" w:hAnsi="Times New Roman" w:cs="Times New Roman"/>
          <w:sz w:val="24"/>
          <w:szCs w:val="24"/>
        </w:rPr>
        <w:t>Robert Baker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And when developing the IRP and the proposed DSM portfolio, did the company pursue increases in the levels of energy efficiency and demand response resources as a solution to the issues of power plant retirements, load growth, and winter peak and reliability concerns?</w:t>
      </w:r>
    </w:p>
    <w:p w14:paraId="1285005D" w14:textId="01D59F1D" w:rsidR="00653599" w:rsidRDefault="004567DA" w:rsidP="000347E8">
      <w:pPr>
        <w:spacing w:line="480" w:lineRule="auto"/>
        <w:ind w:left="1440" w:righ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Andy Phillips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No, not specifically related to how the company's proposed case was developed. As we stated earlier, when developing the company's proposed base case, we consider a variety of factors, but we do follow the commission approved DSM </w:t>
      </w:r>
      <w:r w:rsidR="003F70F9">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rogram </w:t>
      </w:r>
      <w:r w:rsidR="003F70F9">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lanning </w:t>
      </w:r>
      <w:r w:rsidR="003F70F9">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pproach. And I don't recall there's any steps in the DSM </w:t>
      </w:r>
      <w:r w:rsidR="003F70F9">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rogram </w:t>
      </w:r>
      <w:r w:rsidR="003F70F9">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lanning </w:t>
      </w:r>
      <w:r w:rsidR="003F70F9">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pproach that includes some of those factors that you specifically cited in your question (Tr. 756). </w:t>
      </w:r>
    </w:p>
    <w:p w14:paraId="1285005E" w14:textId="2FB35AA9" w:rsidR="00653599" w:rsidRDefault="004567DA" w:rsidP="00935BEC">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Georgia Power is required to fulfill each of the components of the DSM Program Planning Approach, culminating in cost-effectiveness analysis determinations. But completion of the DSM Program Planning</w:t>
      </w:r>
      <w:r w:rsidR="000347E8">
        <w:rPr>
          <w:rFonts w:ascii="Times New Roman" w:eastAsia="Times New Roman" w:hAnsi="Times New Roman" w:cs="Times New Roman"/>
          <w:sz w:val="24"/>
          <w:szCs w:val="24"/>
          <w:highlight w:val="white"/>
        </w:rPr>
        <w:t xml:space="preserve"> Approach</w:t>
      </w:r>
      <w:r>
        <w:rPr>
          <w:rFonts w:ascii="Times New Roman" w:eastAsia="Times New Roman" w:hAnsi="Times New Roman" w:cs="Times New Roman"/>
          <w:sz w:val="24"/>
          <w:szCs w:val="24"/>
          <w:highlight w:val="white"/>
        </w:rPr>
        <w:t xml:space="preserve"> is not the limit of what Georgia Power should do regarding DSM. Fundamental to Integrated </w:t>
      </w:r>
      <w:r>
        <w:rPr>
          <w:rFonts w:ascii="Times New Roman" w:eastAsia="Times New Roman" w:hAnsi="Times New Roman" w:cs="Times New Roman"/>
          <w:sz w:val="24"/>
          <w:szCs w:val="24"/>
        </w:rPr>
        <w:t xml:space="preserve">Resource Planning is the </w:t>
      </w:r>
      <w:r>
        <w:rPr>
          <w:rFonts w:ascii="Times New Roman" w:eastAsia="Times New Roman" w:hAnsi="Times New Roman" w:cs="Times New Roman"/>
          <w:i/>
          <w:sz w:val="24"/>
          <w:szCs w:val="24"/>
        </w:rPr>
        <w:t>integrated</w:t>
      </w:r>
      <w:r>
        <w:rPr>
          <w:rFonts w:ascii="Times New Roman" w:eastAsia="Times New Roman" w:hAnsi="Times New Roman" w:cs="Times New Roman"/>
          <w:sz w:val="24"/>
          <w:szCs w:val="24"/>
        </w:rPr>
        <w:t xml:space="preserve"> analysis of available resource options, whereby those choices are considered as alternatives to meet future resource needs, with the ultimate aim of determining the least cost resource portfolio mix. DSM is a least-cost resource option that can increase grid reliability and reduce risk. The Commission has designated DSM as a priority resource, something Georgia Power barely noted, while simultaneously stating that DSM is analyzed separate from, and prior to, analysis of supply-side resources. By limiting its analysis of DSM to only the DSM Program Planning Approach</w:t>
      </w:r>
      <w:r w:rsidR="00471C7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then removing DSM resources from consideration when </w:t>
      </w:r>
      <w:r>
        <w:rPr>
          <w:rFonts w:ascii="Times New Roman" w:eastAsia="Times New Roman" w:hAnsi="Times New Roman" w:cs="Times New Roman"/>
          <w:sz w:val="24"/>
          <w:szCs w:val="24"/>
        </w:rPr>
        <w:lastRenderedPageBreak/>
        <w:t>solving for future resource needs, Georgia Power is failing to integrate DSM resources in its planning process.</w:t>
      </w:r>
    </w:p>
    <w:p w14:paraId="1285005F" w14:textId="77777777" w:rsidR="00653599" w:rsidRDefault="00653599" w:rsidP="00935BEC">
      <w:pPr>
        <w:spacing w:line="480" w:lineRule="auto"/>
        <w:jc w:val="both"/>
        <w:rPr>
          <w:rFonts w:ascii="Times New Roman" w:eastAsia="Times New Roman" w:hAnsi="Times New Roman" w:cs="Times New Roman"/>
          <w:sz w:val="24"/>
          <w:szCs w:val="24"/>
        </w:rPr>
      </w:pPr>
    </w:p>
    <w:p w14:paraId="12850061" w14:textId="3520DC81" w:rsidR="00653599" w:rsidRPr="000F6807" w:rsidRDefault="004567DA" w:rsidP="000F6807">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Georgia Power witness testimony indicates that the Company limited the amount of DSM savings in its proposed </w:t>
      </w:r>
      <w:r w:rsidR="001A472E">
        <w:rPr>
          <w:rFonts w:ascii="Times New Roman" w:eastAsia="Times New Roman" w:hAnsi="Times New Roman" w:cs="Times New Roman"/>
          <w:sz w:val="24"/>
          <w:szCs w:val="24"/>
        </w:rPr>
        <w:t xml:space="preserve">2022 </w:t>
      </w:r>
      <w:r>
        <w:rPr>
          <w:rFonts w:ascii="Times New Roman" w:eastAsia="Times New Roman" w:hAnsi="Times New Roman" w:cs="Times New Roman"/>
          <w:sz w:val="24"/>
          <w:szCs w:val="24"/>
        </w:rPr>
        <w:t xml:space="preserve">IRP, while supposedly balancing economic efficiency with </w:t>
      </w:r>
      <w:r w:rsidR="00CC6A62">
        <w:rPr>
          <w:rFonts w:ascii="Times New Roman" w:eastAsia="Times New Roman" w:hAnsi="Times New Roman" w:cs="Times New Roman"/>
          <w:sz w:val="24"/>
          <w:szCs w:val="24"/>
        </w:rPr>
        <w:t>upward</w:t>
      </w:r>
      <w:r>
        <w:rPr>
          <w:rFonts w:ascii="Times New Roman" w:eastAsia="Times New Roman" w:hAnsi="Times New Roman" w:cs="Times New Roman"/>
          <w:sz w:val="24"/>
          <w:szCs w:val="24"/>
        </w:rPr>
        <w:t xml:space="preserve"> impact on rates. Meanwhile, the Company failed to consider whether higher levels of DSM savings could lower the cost of meeting the Company’s energy, capacity, and reliability needs over the IRP planning period. In his testimony before the Commission on April 5, 2022, Georgia Power witness Andy Phillips responded to the following cross-examination:</w:t>
      </w:r>
    </w:p>
    <w:p w14:paraId="12850063" w14:textId="34C2620E" w:rsidR="00653599" w:rsidRPr="000F6807" w:rsidRDefault="004567DA" w:rsidP="000F6807">
      <w:pPr>
        <w:spacing w:line="480" w:lineRule="auto"/>
        <w:ind w:left="1440" w:right="7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Robert Baker: Focusing on the base case portfolio and the efficiency savings levels proposed for the next three years, does this mean that over the IRP planning period, the amount customers will pay the company through rates is less with the base case than without it?</w:t>
      </w:r>
    </w:p>
    <w:p w14:paraId="12850065" w14:textId="276AA09C" w:rsidR="00653599" w:rsidRDefault="004567DA" w:rsidP="00CA4242">
      <w:pPr>
        <w:spacing w:line="480" w:lineRule="auto"/>
        <w:ind w:left="1440" w:righ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Andy Phillips: When we develop the proposed case, the company follows the nine</w:t>
      </w:r>
      <w:r w:rsidR="00DF63D6">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 xml:space="preserve">step Commission-approved DSM </w:t>
      </w:r>
      <w:r w:rsidR="00DF63D6">
        <w:rPr>
          <w:rFonts w:ascii="Times New Roman" w:eastAsia="Times New Roman" w:hAnsi="Times New Roman" w:cs="Times New Roman"/>
          <w:sz w:val="24"/>
          <w:szCs w:val="24"/>
          <w:highlight w:val="white"/>
        </w:rPr>
        <w:t>P</w:t>
      </w:r>
      <w:r>
        <w:rPr>
          <w:rFonts w:ascii="Times New Roman" w:eastAsia="Times New Roman" w:hAnsi="Times New Roman" w:cs="Times New Roman"/>
          <w:sz w:val="24"/>
          <w:szCs w:val="24"/>
          <w:highlight w:val="white"/>
        </w:rPr>
        <w:t xml:space="preserve">rogram </w:t>
      </w:r>
      <w:r w:rsidR="00DF63D6">
        <w:rPr>
          <w:rFonts w:ascii="Times New Roman" w:eastAsia="Times New Roman" w:hAnsi="Times New Roman" w:cs="Times New Roman"/>
          <w:sz w:val="24"/>
          <w:szCs w:val="24"/>
          <w:highlight w:val="white"/>
        </w:rPr>
        <w:t>P</w:t>
      </w:r>
      <w:r>
        <w:rPr>
          <w:rFonts w:ascii="Times New Roman" w:eastAsia="Times New Roman" w:hAnsi="Times New Roman" w:cs="Times New Roman"/>
          <w:sz w:val="24"/>
          <w:szCs w:val="24"/>
          <w:highlight w:val="white"/>
        </w:rPr>
        <w:t xml:space="preserve">lanning </w:t>
      </w:r>
      <w:r w:rsidR="00DF63D6">
        <w:rPr>
          <w:rFonts w:ascii="Times New Roman" w:eastAsia="Times New Roman" w:hAnsi="Times New Roman" w:cs="Times New Roman"/>
          <w:sz w:val="24"/>
          <w:szCs w:val="24"/>
          <w:highlight w:val="white"/>
        </w:rPr>
        <w:t>A</w:t>
      </w:r>
      <w:r>
        <w:rPr>
          <w:rFonts w:ascii="Times New Roman" w:eastAsia="Times New Roman" w:hAnsi="Times New Roman" w:cs="Times New Roman"/>
          <w:sz w:val="24"/>
          <w:szCs w:val="24"/>
          <w:highlight w:val="white"/>
        </w:rPr>
        <w:t xml:space="preserve">pproach. As we said earlier, we strive in setting those program targets to achieve a balance of maximizing economic efficiency while minimizing the upward impact on rates. Those are the considerations in developing it. We don't consider any rate impact that might result, and we don't consider that because it's not part of the DSM </w:t>
      </w:r>
      <w:r w:rsidR="00CA4242">
        <w:rPr>
          <w:rFonts w:ascii="Times New Roman" w:eastAsia="Times New Roman" w:hAnsi="Times New Roman" w:cs="Times New Roman"/>
          <w:sz w:val="24"/>
          <w:szCs w:val="24"/>
          <w:highlight w:val="white"/>
        </w:rPr>
        <w:t>P</w:t>
      </w:r>
      <w:r>
        <w:rPr>
          <w:rFonts w:ascii="Times New Roman" w:eastAsia="Times New Roman" w:hAnsi="Times New Roman" w:cs="Times New Roman"/>
          <w:sz w:val="24"/>
          <w:szCs w:val="24"/>
          <w:highlight w:val="white"/>
        </w:rPr>
        <w:t xml:space="preserve">rogram </w:t>
      </w:r>
      <w:r w:rsidR="00CA4242">
        <w:rPr>
          <w:rFonts w:ascii="Times New Roman" w:eastAsia="Times New Roman" w:hAnsi="Times New Roman" w:cs="Times New Roman"/>
          <w:sz w:val="24"/>
          <w:szCs w:val="24"/>
          <w:highlight w:val="white"/>
        </w:rPr>
        <w:t>P</w:t>
      </w:r>
      <w:r>
        <w:rPr>
          <w:rFonts w:ascii="Times New Roman" w:eastAsia="Times New Roman" w:hAnsi="Times New Roman" w:cs="Times New Roman"/>
          <w:sz w:val="24"/>
          <w:szCs w:val="24"/>
          <w:highlight w:val="white"/>
        </w:rPr>
        <w:t xml:space="preserve">lanning </w:t>
      </w:r>
      <w:r w:rsidR="00CA4242">
        <w:rPr>
          <w:rFonts w:ascii="Times New Roman" w:eastAsia="Times New Roman" w:hAnsi="Times New Roman" w:cs="Times New Roman"/>
          <w:sz w:val="24"/>
          <w:szCs w:val="24"/>
          <w:highlight w:val="white"/>
        </w:rPr>
        <w:t>A</w:t>
      </w:r>
      <w:r>
        <w:rPr>
          <w:rFonts w:ascii="Times New Roman" w:eastAsia="Times New Roman" w:hAnsi="Times New Roman" w:cs="Times New Roman"/>
          <w:sz w:val="24"/>
          <w:szCs w:val="24"/>
          <w:highlight w:val="white"/>
        </w:rPr>
        <w:t>pproach (Tr. 747).</w:t>
      </w:r>
    </w:p>
    <w:p w14:paraId="12850066" w14:textId="45427731" w:rsidR="00653599" w:rsidRDefault="004567DA" w:rsidP="00935BEC">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Despite seeming to suggest, here, that the Company didn’t consider rate impacts, this assertion </w:t>
      </w:r>
      <w:r w:rsidR="00313043">
        <w:rPr>
          <w:rFonts w:ascii="Times New Roman" w:eastAsia="Times New Roman" w:hAnsi="Times New Roman" w:cs="Times New Roman"/>
          <w:sz w:val="24"/>
          <w:szCs w:val="24"/>
        </w:rPr>
        <w:t>can be assessed by</w:t>
      </w:r>
      <w:r>
        <w:rPr>
          <w:rFonts w:ascii="Times New Roman" w:eastAsia="Times New Roman" w:hAnsi="Times New Roman" w:cs="Times New Roman"/>
          <w:sz w:val="24"/>
          <w:szCs w:val="24"/>
        </w:rPr>
        <w:t xml:space="preserve"> comparing the total costs customers pay through rates between the Company’s Base Case versus higher efficiency savings, which will be discussed in greater depth later in my testimony. Even in the absence of a full competitive modeling analysis for DSM resources, which Georgia Power did not do, the Company is capable of increasing the level of DSM savings in its </w:t>
      </w:r>
      <w:r w:rsidR="00032FC3">
        <w:rPr>
          <w:rFonts w:ascii="Times New Roman" w:eastAsia="Times New Roman" w:hAnsi="Times New Roman" w:cs="Times New Roman"/>
          <w:sz w:val="24"/>
          <w:szCs w:val="24"/>
        </w:rPr>
        <w:t xml:space="preserve">2022 </w:t>
      </w:r>
      <w:r>
        <w:rPr>
          <w:rFonts w:ascii="Times New Roman" w:eastAsia="Times New Roman" w:hAnsi="Times New Roman" w:cs="Times New Roman"/>
          <w:sz w:val="24"/>
          <w:szCs w:val="24"/>
        </w:rPr>
        <w:t>IRP to assemble a lower-cost, more diverse resource portfolio, but chose not to.</w:t>
      </w:r>
    </w:p>
    <w:p w14:paraId="12850067" w14:textId="77777777" w:rsidR="00653599"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850069" w14:textId="13C2A57B" w:rsidR="00653599" w:rsidRPr="00032FC3" w:rsidRDefault="00CC6A62" w:rsidP="00032FC3">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HOW DO THE ANNUAL SAVINGS LEVELS IN GEORGIA POWER’S 2022 BASE CASE COMPARE TO ITS LOAD GROWTH FORECAST IN THE IRP?</w:t>
      </w:r>
    </w:p>
    <w:p w14:paraId="1285006A" w14:textId="77777777"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Georgia Power’s proposed Base Case equates to annual efficiency savings of approximately </w:t>
      </w:r>
      <w:r>
        <w:rPr>
          <w:rFonts w:ascii="Times New Roman" w:eastAsia="Times New Roman" w:hAnsi="Times New Roman" w:cs="Times New Roman"/>
          <w:sz w:val="24"/>
          <w:szCs w:val="24"/>
          <w:highlight w:val="white"/>
        </w:rPr>
        <w:t>0.43%</w:t>
      </w:r>
      <w:r>
        <w:rPr>
          <w:rFonts w:ascii="Times New Roman" w:eastAsia="Times New Roman" w:hAnsi="Times New Roman" w:cs="Times New Roman"/>
          <w:sz w:val="24"/>
          <w:szCs w:val="24"/>
        </w:rPr>
        <w:t xml:space="preserve"> of its annual retail load, far below most of its peer utilities and the national average. Efficiency savings as a percentage of annual retail sales provides a standard metric with which to compare utility efficiency performance over time and across utility companies of different sizes. To calculate it, I compared the Company’s Base Case energy savings (adjusted from gross to net) to the mean of its reported annual retail sales from 2016-2000.</w:t>
      </w:r>
      <w:r>
        <w:rPr>
          <w:rFonts w:ascii="Times New Roman" w:eastAsia="Times New Roman" w:hAnsi="Times New Roman" w:cs="Times New Roman"/>
          <w:sz w:val="24"/>
          <w:szCs w:val="24"/>
          <w:highlight w:val="white"/>
          <w:vertAlign w:val="superscript"/>
        </w:rPr>
        <w:footnoteReference w:id="6"/>
      </w:r>
      <w:r>
        <w:rPr>
          <w:rFonts w:ascii="Times New Roman" w:eastAsia="Times New Roman" w:hAnsi="Times New Roman" w:cs="Times New Roman"/>
          <w:sz w:val="24"/>
          <w:szCs w:val="24"/>
        </w:rPr>
        <w:t xml:space="preserve"> While some utilities are facing declining customer demand for electricity, Georgia Power is forecasting </w:t>
      </w:r>
      <w:r>
        <w:rPr>
          <w:rFonts w:ascii="Times New Roman" w:eastAsia="Times New Roman" w:hAnsi="Times New Roman" w:cs="Times New Roman"/>
          <w:sz w:val="24"/>
          <w:szCs w:val="24"/>
          <w:highlight w:val="white"/>
        </w:rPr>
        <w:t>0.8%</w:t>
      </w:r>
      <w:r>
        <w:rPr>
          <w:rFonts w:ascii="Times New Roman" w:eastAsia="Times New Roman" w:hAnsi="Times New Roman" w:cs="Times New Roman"/>
          <w:sz w:val="24"/>
          <w:szCs w:val="24"/>
        </w:rPr>
        <w:t xml:space="preserve"> annual growth over the planning period.</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The Company’s annual growth figure already accounts for the im</w:t>
      </w:r>
      <w:r>
        <w:rPr>
          <w:rFonts w:ascii="Times New Roman" w:eastAsia="Times New Roman" w:hAnsi="Times New Roman" w:cs="Times New Roman"/>
          <w:sz w:val="24"/>
          <w:szCs w:val="24"/>
          <w:highlight w:val="white"/>
        </w:rPr>
        <w:t>pact</w:t>
      </w:r>
      <w:r>
        <w:rPr>
          <w:rFonts w:ascii="Times New Roman" w:eastAsia="Times New Roman" w:hAnsi="Times New Roman" w:cs="Times New Roman"/>
          <w:sz w:val="24"/>
          <w:szCs w:val="24"/>
        </w:rPr>
        <w:t xml:space="preserve"> of DSM savings, so without DSM, Georgia Power's electricity sales would increase by 1.23%. This is nearly three times as fast as the rate of its proposed efficiency savings targets</w:t>
      </w:r>
      <w:r>
        <w:rPr>
          <w:rFonts w:ascii="Times New Roman" w:eastAsia="Times New Roman" w:hAnsi="Times New Roman" w:cs="Times New Roman"/>
          <w:sz w:val="24"/>
          <w:szCs w:val="24"/>
          <w:highlight w:val="white"/>
        </w:rPr>
        <w:t>.</w:t>
      </w:r>
    </w:p>
    <w:p w14:paraId="1285006D" w14:textId="62A80A93" w:rsidR="00653599" w:rsidRPr="00506A90"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85006F" w14:textId="1FC34567" w:rsidR="00653599" w:rsidRPr="00506A90" w:rsidRDefault="00506A90" w:rsidP="00506A90">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 xml:space="preserve">IS THERE ADDITIONAL </w:t>
      </w:r>
      <w:r w:rsidR="00650A28">
        <w:rPr>
          <w:rFonts w:ascii="Times New Roman" w:eastAsia="Times New Roman" w:hAnsi="Times New Roman" w:cs="Times New Roman"/>
          <w:b/>
          <w:sz w:val="24"/>
          <w:szCs w:val="24"/>
        </w:rPr>
        <w:t>COST-EFFECTIVE</w:t>
      </w:r>
      <w:r w:rsidR="004567DA">
        <w:rPr>
          <w:rFonts w:ascii="Times New Roman" w:eastAsia="Times New Roman" w:hAnsi="Times New Roman" w:cs="Times New Roman"/>
          <w:b/>
          <w:sz w:val="24"/>
          <w:szCs w:val="24"/>
        </w:rPr>
        <w:t xml:space="preserve"> DSM POTENTIAL THAT COULD SERVE GEORGIA POWER’S FUTURE RESOURCE NEEDS? </w:t>
      </w:r>
    </w:p>
    <w:p w14:paraId="12850071" w14:textId="593E78D0" w:rsidR="00653599" w:rsidRDefault="004567DA" w:rsidP="00506A90">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Yes. Three of Georgia Power’s own filings</w:t>
      </w:r>
      <w:r w:rsidR="00A83080">
        <w:rPr>
          <w:rFonts w:ascii="Times New Roman" w:eastAsia="Times New Roman" w:hAnsi="Times New Roman" w:cs="Times New Roman"/>
          <w:sz w:val="24"/>
          <w:szCs w:val="24"/>
        </w:rPr>
        <w:t xml:space="preserve"> in its 2022 DSM docket</w:t>
      </w:r>
      <w:r>
        <w:rPr>
          <w:rFonts w:ascii="Times New Roman" w:eastAsia="Times New Roman" w:hAnsi="Times New Roman" w:cs="Times New Roman"/>
          <w:sz w:val="24"/>
          <w:szCs w:val="24"/>
        </w:rPr>
        <w:t xml:space="preserve"> point to higher efficiency savings levels being both cost-effective and achievable. The first is part of the Commission-ordered DSM Program Planning Approach, wherein Georgia Power was directed to produce an EE potential study</w:t>
      </w:r>
      <w:r w:rsidR="00AD3E2D">
        <w:rPr>
          <w:rFonts w:ascii="Times New Roman" w:eastAsia="Times New Roman" w:hAnsi="Times New Roman" w:cs="Times New Roman"/>
          <w:sz w:val="24"/>
          <w:szCs w:val="24"/>
        </w:rPr>
        <w:t xml:space="preserve"> known as</w:t>
      </w:r>
      <w:r>
        <w:rPr>
          <w:rFonts w:ascii="Times New Roman" w:eastAsia="Times New Roman" w:hAnsi="Times New Roman" w:cs="Times New Roman"/>
          <w:sz w:val="24"/>
          <w:szCs w:val="24"/>
        </w:rPr>
        <w:t xml:space="preserve"> </w:t>
      </w:r>
      <w:r w:rsidR="004C1C6F">
        <w:rPr>
          <w:rFonts w:ascii="Times New Roman" w:eastAsia="Times New Roman" w:hAnsi="Times New Roman" w:cs="Times New Roman"/>
          <w:sz w:val="24"/>
          <w:szCs w:val="24"/>
        </w:rPr>
        <w:t xml:space="preserve">the </w:t>
      </w:r>
      <w:r w:rsidR="004C1C6F" w:rsidRPr="00AD3E2D">
        <w:rPr>
          <w:rFonts w:ascii="Times New Roman" w:eastAsia="Times New Roman" w:hAnsi="Times New Roman" w:cs="Times New Roman"/>
          <w:i/>
          <w:iCs/>
          <w:sz w:val="24"/>
          <w:szCs w:val="24"/>
        </w:rPr>
        <w:t>T</w:t>
      </w:r>
      <w:r w:rsidRPr="00AD3E2D">
        <w:rPr>
          <w:rFonts w:ascii="Times New Roman" w:eastAsia="Times New Roman" w:hAnsi="Times New Roman" w:cs="Times New Roman"/>
          <w:i/>
          <w:iCs/>
          <w:sz w:val="24"/>
          <w:szCs w:val="24"/>
        </w:rPr>
        <w:t xml:space="preserve">echnical, </w:t>
      </w:r>
      <w:r w:rsidR="004C1C6F" w:rsidRPr="00AD3E2D">
        <w:rPr>
          <w:rFonts w:ascii="Times New Roman" w:eastAsia="Times New Roman" w:hAnsi="Times New Roman" w:cs="Times New Roman"/>
          <w:i/>
          <w:iCs/>
          <w:sz w:val="24"/>
          <w:szCs w:val="24"/>
        </w:rPr>
        <w:t>E</w:t>
      </w:r>
      <w:r w:rsidRPr="00AD3E2D">
        <w:rPr>
          <w:rFonts w:ascii="Times New Roman" w:eastAsia="Times New Roman" w:hAnsi="Times New Roman" w:cs="Times New Roman"/>
          <w:i/>
          <w:iCs/>
          <w:sz w:val="24"/>
          <w:szCs w:val="24"/>
        </w:rPr>
        <w:t xml:space="preserve">conomic, and </w:t>
      </w:r>
      <w:r w:rsidR="004C1C6F" w:rsidRPr="00AD3E2D">
        <w:rPr>
          <w:rFonts w:ascii="Times New Roman" w:eastAsia="Times New Roman" w:hAnsi="Times New Roman" w:cs="Times New Roman"/>
          <w:i/>
          <w:iCs/>
          <w:sz w:val="24"/>
          <w:szCs w:val="24"/>
        </w:rPr>
        <w:t>A</w:t>
      </w:r>
      <w:r w:rsidRPr="00AD3E2D">
        <w:rPr>
          <w:rFonts w:ascii="Times New Roman" w:eastAsia="Times New Roman" w:hAnsi="Times New Roman" w:cs="Times New Roman"/>
          <w:i/>
          <w:iCs/>
          <w:sz w:val="24"/>
          <w:szCs w:val="24"/>
        </w:rPr>
        <w:t xml:space="preserve">chievable </w:t>
      </w:r>
      <w:r w:rsidR="004C1C6F" w:rsidRPr="00AD3E2D">
        <w:rPr>
          <w:rFonts w:ascii="Times New Roman" w:eastAsia="Times New Roman" w:hAnsi="Times New Roman" w:cs="Times New Roman"/>
          <w:i/>
          <w:iCs/>
          <w:sz w:val="24"/>
          <w:szCs w:val="24"/>
        </w:rPr>
        <w:t>P</w:t>
      </w:r>
      <w:r w:rsidRPr="00AD3E2D">
        <w:rPr>
          <w:rFonts w:ascii="Times New Roman" w:eastAsia="Times New Roman" w:hAnsi="Times New Roman" w:cs="Times New Roman"/>
          <w:i/>
          <w:iCs/>
          <w:sz w:val="24"/>
          <w:szCs w:val="24"/>
        </w:rPr>
        <w:t>otential</w:t>
      </w:r>
      <w:r w:rsidR="000146DA" w:rsidRPr="00AD3E2D">
        <w:rPr>
          <w:rFonts w:ascii="Times New Roman" w:eastAsia="Times New Roman" w:hAnsi="Times New Roman" w:cs="Times New Roman"/>
          <w:i/>
          <w:iCs/>
          <w:sz w:val="24"/>
          <w:szCs w:val="24"/>
        </w:rPr>
        <w:t xml:space="preserve"> Study</w:t>
      </w:r>
      <w:r w:rsidR="00EC0C9B">
        <w:rPr>
          <w:rFonts w:ascii="Times New Roman" w:eastAsia="Times New Roman" w:hAnsi="Times New Roman" w:cs="Times New Roman"/>
          <w:sz w:val="24"/>
          <w:szCs w:val="24"/>
        </w:rPr>
        <w:t xml:space="preserve"> (or</w:t>
      </w:r>
      <w:r w:rsidR="004C1C6F">
        <w:rPr>
          <w:rFonts w:ascii="Times New Roman" w:eastAsia="Times New Roman" w:hAnsi="Times New Roman" w:cs="Times New Roman"/>
          <w:sz w:val="24"/>
          <w:szCs w:val="24"/>
        </w:rPr>
        <w:t xml:space="preserve"> </w:t>
      </w:r>
      <w:r w:rsidR="00C77E93">
        <w:rPr>
          <w:rFonts w:ascii="Times New Roman" w:eastAsia="Times New Roman" w:hAnsi="Times New Roman" w:cs="Times New Roman"/>
          <w:sz w:val="24"/>
          <w:szCs w:val="24"/>
        </w:rPr>
        <w:t>the</w:t>
      </w:r>
      <w:r w:rsidR="00EC0C9B">
        <w:rPr>
          <w:rFonts w:ascii="Times New Roman" w:eastAsia="Times New Roman" w:hAnsi="Times New Roman" w:cs="Times New Roman"/>
          <w:sz w:val="24"/>
          <w:szCs w:val="24"/>
        </w:rPr>
        <w:t xml:space="preserve"> </w:t>
      </w:r>
      <w:r w:rsidR="000146DA">
        <w:rPr>
          <w:rFonts w:ascii="Times New Roman" w:eastAsia="Times New Roman" w:hAnsi="Times New Roman" w:cs="Times New Roman"/>
          <w:sz w:val="24"/>
          <w:szCs w:val="24"/>
        </w:rPr>
        <w:t>“</w:t>
      </w:r>
      <w:r w:rsidR="004C1C6F">
        <w:rPr>
          <w:rFonts w:ascii="Times New Roman" w:eastAsia="Times New Roman" w:hAnsi="Times New Roman" w:cs="Times New Roman"/>
          <w:sz w:val="24"/>
          <w:szCs w:val="24"/>
        </w:rPr>
        <w:t>TEAPOT</w:t>
      </w:r>
      <w:r w:rsidR="000146DA">
        <w:rPr>
          <w:rFonts w:ascii="Times New Roman" w:eastAsia="Times New Roman" w:hAnsi="Times New Roman" w:cs="Times New Roman"/>
          <w:sz w:val="24"/>
          <w:szCs w:val="24"/>
        </w:rPr>
        <w:t xml:space="preserve"> Study”</w:t>
      </w:r>
      <w:r w:rsidR="00EC0C9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While the Company redacted the actual savings levels in the study itself, it references the total achievable savings figures in the second filing, a report called the </w:t>
      </w:r>
      <w:r w:rsidRPr="00345674">
        <w:rPr>
          <w:rFonts w:ascii="Times New Roman" w:eastAsia="Times New Roman" w:hAnsi="Times New Roman" w:cs="Times New Roman"/>
          <w:i/>
          <w:iCs/>
          <w:sz w:val="24"/>
          <w:szCs w:val="24"/>
        </w:rPr>
        <w:t>Supply-Side Representation of Energy Efficiency Resources in the Georgia IRP Model</w:t>
      </w:r>
      <w:r w:rsidR="00345674">
        <w:rPr>
          <w:rFonts w:ascii="Times New Roman" w:eastAsia="Times New Roman" w:hAnsi="Times New Roman" w:cs="Times New Roman"/>
          <w:sz w:val="24"/>
          <w:szCs w:val="24"/>
        </w:rPr>
        <w:t xml:space="preserve"> (</w:t>
      </w:r>
      <w:r w:rsidR="00C77E93">
        <w:rPr>
          <w:rFonts w:ascii="Times New Roman" w:eastAsia="Times New Roman" w:hAnsi="Times New Roman" w:cs="Times New Roman"/>
          <w:sz w:val="24"/>
          <w:szCs w:val="24"/>
        </w:rPr>
        <w:t xml:space="preserve">of the </w:t>
      </w:r>
      <w:r w:rsidR="00345674">
        <w:rPr>
          <w:rFonts w:ascii="Times New Roman" w:eastAsia="Times New Roman" w:hAnsi="Times New Roman" w:cs="Times New Roman"/>
          <w:sz w:val="24"/>
          <w:szCs w:val="24"/>
        </w:rPr>
        <w:t>“DSM White Paper”)</w:t>
      </w:r>
      <w:r>
        <w:rPr>
          <w:rFonts w:ascii="Times New Roman" w:eastAsia="Times New Roman" w:hAnsi="Times New Roman" w:cs="Times New Roman"/>
          <w:sz w:val="24"/>
          <w:szCs w:val="24"/>
        </w:rPr>
        <w:t xml:space="preserve">. </w:t>
      </w:r>
      <w:r w:rsidR="00C77E93">
        <w:rPr>
          <w:rFonts w:ascii="Times New Roman" w:eastAsia="Times New Roman" w:hAnsi="Times New Roman" w:cs="Times New Roman"/>
          <w:sz w:val="24"/>
          <w:szCs w:val="24"/>
        </w:rPr>
        <w:t>Both</w:t>
      </w:r>
      <w:r>
        <w:rPr>
          <w:rFonts w:ascii="Times New Roman" w:eastAsia="Times New Roman" w:hAnsi="Times New Roman" w:cs="Times New Roman"/>
          <w:sz w:val="24"/>
          <w:szCs w:val="24"/>
        </w:rPr>
        <w:t xml:space="preserve"> studies include </w:t>
      </w:r>
      <w:r w:rsidR="00185569">
        <w:rPr>
          <w:rFonts w:ascii="Times New Roman" w:eastAsia="Times New Roman" w:hAnsi="Times New Roman" w:cs="Times New Roman"/>
          <w:sz w:val="24"/>
          <w:szCs w:val="24"/>
        </w:rPr>
        <w:t>conservative estimations and assumptions</w:t>
      </w:r>
      <w:r>
        <w:rPr>
          <w:rFonts w:ascii="Times New Roman" w:eastAsia="Times New Roman" w:hAnsi="Times New Roman" w:cs="Times New Roman"/>
          <w:sz w:val="24"/>
          <w:szCs w:val="24"/>
        </w:rPr>
        <w:t xml:space="preserve"> that understate efficiency savings potential</w:t>
      </w:r>
      <w:r w:rsidR="00D6768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but</w:t>
      </w:r>
      <w:r w:rsidR="00C77E9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nevertheless</w:t>
      </w:r>
      <w:r w:rsidR="00C77E9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67688">
        <w:rPr>
          <w:rFonts w:ascii="Times New Roman" w:eastAsia="Times New Roman" w:hAnsi="Times New Roman" w:cs="Times New Roman"/>
          <w:sz w:val="24"/>
          <w:szCs w:val="24"/>
        </w:rPr>
        <w:t xml:space="preserve">they </w:t>
      </w:r>
      <w:r>
        <w:rPr>
          <w:rFonts w:ascii="Times New Roman" w:eastAsia="Times New Roman" w:hAnsi="Times New Roman" w:cs="Times New Roman"/>
          <w:sz w:val="24"/>
          <w:szCs w:val="24"/>
        </w:rPr>
        <w:t xml:space="preserve">show that increased incentive levels would yield substantially higher savings. The TEAPOT </w:t>
      </w:r>
      <w:r w:rsidR="00B5085E">
        <w:rPr>
          <w:rFonts w:ascii="Times New Roman" w:eastAsia="Times New Roman" w:hAnsi="Times New Roman" w:cs="Times New Roman"/>
          <w:sz w:val="24"/>
          <w:szCs w:val="24"/>
        </w:rPr>
        <w:t>S</w:t>
      </w:r>
      <w:r>
        <w:rPr>
          <w:rFonts w:ascii="Times New Roman" w:eastAsia="Times New Roman" w:hAnsi="Times New Roman" w:cs="Times New Roman"/>
          <w:sz w:val="24"/>
          <w:szCs w:val="24"/>
        </w:rPr>
        <w:t>tudy showed cumulative savings up to 6,638 GWh in 2032 (the earliest year for which the Company provided data) and 10,158 GWh in 2040.</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The White Paper had 5,149 GWh of savings in 2032.</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By comparison, Georgia Power’s Base Case </w:t>
      </w:r>
      <w:r>
        <w:rPr>
          <w:rFonts w:ascii="Times New Roman" w:eastAsia="Times New Roman" w:hAnsi="Times New Roman" w:cs="Times New Roman"/>
          <w:sz w:val="24"/>
          <w:szCs w:val="24"/>
        </w:rPr>
        <w:lastRenderedPageBreak/>
        <w:t>had only 3,387 GWh of cumulative savings in the same year.</w:t>
      </w:r>
      <w:r w:rsidR="00131BA7" w:rsidRPr="00131BA7">
        <w:rPr>
          <w:rFonts w:ascii="Times New Roman" w:eastAsia="Times New Roman" w:hAnsi="Times New Roman" w:cs="Times New Roman"/>
          <w:sz w:val="24"/>
          <w:szCs w:val="24"/>
          <w:vertAlign w:val="superscript"/>
        </w:rPr>
        <w:t xml:space="preserve"> </w:t>
      </w:r>
      <w:r w:rsidR="00131BA7">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The third filing relates to the Aggressive Case in the Company’s IRP filing, which is described as the maximum achievable potential. It had savings of 8,080 GWh, well over twice as much as the Base Case.</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xml:space="preserve"> All three of these comparison cases are described by the </w:t>
      </w:r>
      <w:r w:rsidR="008C5F5C">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ompany as cost effective and achievable. As I will show shortly, higher levels of efficiency investment like those described in these three filings will also substantially reduce total utility system costs. </w:t>
      </w:r>
    </w:p>
    <w:p w14:paraId="12850072" w14:textId="4D8DB57B" w:rsidR="00653599" w:rsidRDefault="004567DA" w:rsidP="00935BEC">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addition to this review of EE potential, SACE/Southface expert witness Dr. Marilyn Brown’s testimony examines opportunities for increased demand response (“DR”)</w:t>
      </w:r>
      <w:r w:rsidR="00515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another significant and largely untapped cost-effective resource with the potential to further reduce utility system costs. </w:t>
      </w:r>
    </w:p>
    <w:p w14:paraId="12850073" w14:textId="77777777" w:rsidR="00653599"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850075" w14:textId="7C2C3DF7" w:rsidR="00653599" w:rsidRPr="00B20EC7" w:rsidRDefault="00506A90" w:rsidP="00B20EC7">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ARE THE EE RESOURCES IDENTIFIED IN GEORGIA POWER’S DSM POTENTIAL STUDY LESS EXPENSIVE THAN THE COMPANY’S AVOIDED COST?</w:t>
      </w:r>
    </w:p>
    <w:p w14:paraId="12850076" w14:textId="4E3C5D07"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Yes. Cost effectiveness is a central factor in Georgia Power’s EE potential study, wherein the costs and benefits of DSM measures and programs are evaluated against the Company’s avoided cost.</w:t>
      </w:r>
      <w:r w:rsidR="00D0460E">
        <w:rPr>
          <w:rStyle w:val="FootnoteReference"/>
          <w:rFonts w:ascii="Times New Roman" w:eastAsia="Times New Roman" w:hAnsi="Times New Roman" w:cs="Times New Roman"/>
          <w:sz w:val="24"/>
          <w:szCs w:val="24"/>
        </w:rPr>
        <w:footnoteReference w:id="12"/>
      </w:r>
      <w:r>
        <w:rPr>
          <w:rFonts w:ascii="Times New Roman" w:eastAsia="Times New Roman" w:hAnsi="Times New Roman" w:cs="Times New Roman"/>
          <w:sz w:val="24"/>
          <w:szCs w:val="24"/>
        </w:rPr>
        <w:t xml:space="preserve"> The avoided cost of energy saved is the estimated marginal cost of production for the incremental unit of energy avoided through an </w:t>
      </w:r>
      <w:r w:rsidR="0062399A">
        <w:rPr>
          <w:rFonts w:ascii="Times New Roman" w:eastAsia="Times New Roman" w:hAnsi="Times New Roman" w:cs="Times New Roman"/>
          <w:sz w:val="24"/>
          <w:szCs w:val="24"/>
        </w:rPr>
        <w:t>EE</w:t>
      </w:r>
      <w:r>
        <w:rPr>
          <w:rFonts w:ascii="Times New Roman" w:eastAsia="Times New Roman" w:hAnsi="Times New Roman" w:cs="Times New Roman"/>
          <w:sz w:val="24"/>
          <w:szCs w:val="24"/>
        </w:rPr>
        <w:t xml:space="preserve"> program. Measures and programs with costs that exceed the Company’s estimated avoided cost (i.e. more </w:t>
      </w:r>
      <w:r>
        <w:rPr>
          <w:rFonts w:ascii="Times New Roman" w:eastAsia="Times New Roman" w:hAnsi="Times New Roman" w:cs="Times New Roman"/>
          <w:sz w:val="24"/>
          <w:szCs w:val="24"/>
        </w:rPr>
        <w:lastRenderedPageBreak/>
        <w:t xml:space="preserve">expensive than supply costs) are screened out. Accordingly, the efficiency measures and programs in the potential study cost less than the Company’s avoided cost for supply. This was a central function of the Company’s DSM potential study analysis. </w:t>
      </w:r>
    </w:p>
    <w:p w14:paraId="12850077" w14:textId="77777777" w:rsidR="00653599"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850079" w14:textId="2CF94001" w:rsidR="00653599" w:rsidRPr="0062399A" w:rsidRDefault="00506A90" w:rsidP="0062399A">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HISTORICALLY, HAVE THE FINANCIAL BENEFITS OF GEORGIA POWER’S EE PROGRAMS EXCEEDED THE COSTS?</w:t>
      </w:r>
    </w:p>
    <w:p w14:paraId="1285007B" w14:textId="5086A9A8" w:rsidR="00653599" w:rsidRDefault="004567DA" w:rsidP="009063BD">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Yes, by quite a lot. In its 2018 </w:t>
      </w:r>
      <w:r w:rsidRPr="0062399A">
        <w:rPr>
          <w:rFonts w:ascii="Times New Roman" w:eastAsia="Times New Roman" w:hAnsi="Times New Roman" w:cs="Times New Roman"/>
          <w:i/>
          <w:iCs/>
          <w:sz w:val="24"/>
          <w:szCs w:val="24"/>
        </w:rPr>
        <w:t>Evaluation, Measurement, &amp; Verification</w:t>
      </w:r>
      <w:r>
        <w:rPr>
          <w:rFonts w:ascii="Times New Roman" w:eastAsia="Times New Roman" w:hAnsi="Times New Roman" w:cs="Times New Roman"/>
          <w:sz w:val="24"/>
          <w:szCs w:val="24"/>
        </w:rPr>
        <w:t xml:space="preserve"> (“EM&amp;V”) report, the Program Administrator Cost Test (“PACT”) score for the Company’s entire portfolio of DSM programs was 6.1, which indicates that for every dollar spent by the utility on EE, there are $6.10 of net benefits (after expenses) in lower utility system costs.</w:t>
      </w:r>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In other words, over the study period it would have cost the utility over 6x more to meet the same amount of customer energy needs with supply resources. The benefits of investing in far cheaper EE, rather than more expensive supply resources, are passed along to </w:t>
      </w:r>
      <w:r>
        <w:rPr>
          <w:rFonts w:ascii="Times New Roman" w:eastAsia="Times New Roman" w:hAnsi="Times New Roman" w:cs="Times New Roman"/>
          <w:i/>
          <w:sz w:val="24"/>
          <w:szCs w:val="24"/>
          <w:u w:val="single"/>
        </w:rPr>
        <w:t>all</w:t>
      </w:r>
      <w:r>
        <w:rPr>
          <w:rFonts w:ascii="Times New Roman" w:eastAsia="Times New Roman" w:hAnsi="Times New Roman" w:cs="Times New Roman"/>
          <w:sz w:val="24"/>
          <w:szCs w:val="24"/>
        </w:rPr>
        <w:t xml:space="preserve"> customers, not just those that participated in Georgia Power’s DSM programs.</w:t>
      </w:r>
    </w:p>
    <w:p w14:paraId="1285007C" w14:textId="36C0B66D" w:rsidR="00653599" w:rsidRDefault="004567DA" w:rsidP="00935BEC">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Since the last IRP cycle in 2019, the COVID-19 pandemic presented new challenges to delivering EE programs. In 2020 and 2021, Georgia Power’s efficiency saving performance fell considerably, as did cost effectiveness of its efficiency program portfolio, which had a PACT score of 3.2.</w:t>
      </w:r>
      <w:r w:rsidR="000F043B">
        <w:rPr>
          <w:rStyle w:val="FootnoteReference"/>
          <w:rFonts w:ascii="Times New Roman" w:eastAsia="Times New Roman" w:hAnsi="Times New Roman" w:cs="Times New Roman"/>
          <w:sz w:val="24"/>
          <w:szCs w:val="24"/>
        </w:rPr>
        <w:footnoteReference w:id="14"/>
      </w:r>
      <w:r>
        <w:rPr>
          <w:rFonts w:ascii="Times New Roman" w:eastAsia="Times New Roman" w:hAnsi="Times New Roman" w:cs="Times New Roman"/>
          <w:sz w:val="24"/>
          <w:szCs w:val="24"/>
        </w:rPr>
        <w:t xml:space="preserve"> Though lower than previous years, this is nonetheless a strong PACT score, and is in fact still higher than the performance of many peer utilities even prior to the pandemic. Unfortunately, despite the high PACT score providing strong </w:t>
      </w:r>
      <w:r>
        <w:rPr>
          <w:rFonts w:ascii="Times New Roman" w:eastAsia="Times New Roman" w:hAnsi="Times New Roman" w:cs="Times New Roman"/>
          <w:sz w:val="24"/>
          <w:szCs w:val="24"/>
        </w:rPr>
        <w:lastRenderedPageBreak/>
        <w:t xml:space="preserve">economic justification for expanding the size and scope of Georgia Power’s EE offerings, the Company has not capitalized on this opportunity anywhere near the level of leading utilities, or even average utilities. </w:t>
      </w:r>
    </w:p>
    <w:p w14:paraId="1285007D" w14:textId="77777777" w:rsidR="00653599"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85007F" w14:textId="2B8CA8FB" w:rsidR="00653599" w:rsidRPr="00506A90" w:rsidRDefault="00506A90" w:rsidP="00506A90">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WHY SHOULD THE PACT BE GIVEN CONSIDERATION IN THE IRP, IN ADDITION TO THE TOTAL RESOURCE COST (“TRC”) TEST?</w:t>
      </w:r>
    </w:p>
    <w:p w14:paraId="12850083" w14:textId="706ABC04" w:rsidR="00653599" w:rsidRDefault="004567DA" w:rsidP="007F7054">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9631C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Of the various cost effectiveness tests used to evaluate DSM by Georgia Power, the PACT is best suited for use in IRP resource optimization analysis. This is because the PACT evaluates cost effectiveness from the perspective of the utility, looking only at utility expenditures and utility system benefits. More than any other cost test, this perspective informs how utility investments in DSM compare to expenditures on alternative supply-side resources in order to determine the least-cost option, which is central to IRP planning.</w:t>
      </w:r>
      <w:r w:rsidR="003F00A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By contrast, the TRC test is taken from a societal point of view, wherein costs paid by the customer are included alongside expenditures by the utility, and the benefits are supposed to include both utility system benefits and non-utility benefits. Non-utility benefits include lower operations and maintenance costs, health costs, and non-electric utility expenditures, to name just a few. </w:t>
      </w:r>
      <w:r w:rsidR="009D73CD">
        <w:rPr>
          <w:rFonts w:ascii="Times New Roman" w:eastAsia="Times New Roman" w:hAnsi="Times New Roman" w:cs="Times New Roman"/>
          <w:sz w:val="24"/>
          <w:szCs w:val="24"/>
        </w:rPr>
        <w:t>But</w:t>
      </w:r>
      <w:r>
        <w:rPr>
          <w:rFonts w:ascii="Times New Roman" w:eastAsia="Times New Roman" w:hAnsi="Times New Roman" w:cs="Times New Roman"/>
          <w:sz w:val="24"/>
          <w:szCs w:val="24"/>
        </w:rPr>
        <w:t xml:space="preserve"> the private dollars paid by customers for upgrades to their buildings, which are included in the TRC, are irrelevant from a utility planning and investment perspective. TRC results are still useful, since they provide a bigger picture view on societal costs and benefits, but their usefulness is limited when evaluating which utility investment leads to the least-cost utility resource portfolio. For that reason, TRC can be </w:t>
      </w:r>
      <w:r>
        <w:rPr>
          <w:rFonts w:ascii="Times New Roman" w:eastAsia="Times New Roman" w:hAnsi="Times New Roman" w:cs="Times New Roman"/>
          <w:sz w:val="24"/>
          <w:szCs w:val="24"/>
        </w:rPr>
        <w:lastRenderedPageBreak/>
        <w:t>used for initial screening purposes, but is incompatible with economic comparison of DSM versus supply-side resources in the context of utility resource planning.</w:t>
      </w:r>
    </w:p>
    <w:p w14:paraId="12850084" w14:textId="77777777" w:rsidR="00653599" w:rsidRDefault="004567DA" w:rsidP="00935BEC">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Ultimately, the Base Case, Advocates Case, and Aggressive Case are all cost effective under both the TRC and PACT. But by analyzing the relative impact of dollars spent on DSM resources compared to supply-side alternatives, the PACT is the most informative cost-effectiveness test for the purposes of optimizing utility resource portfolios in this proceeding, and it is the most important DSM cost-effectiveness test for the Commission to consider in this case. Accounting only for utility costs and system benefits (rather than private customers spending and non-energy benefits), PACT net benefits range from 54-87% higher than TRC results. </w:t>
      </w:r>
    </w:p>
    <w:p w14:paraId="12850085" w14:textId="77777777" w:rsidR="00653599"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850087" w14:textId="38885682" w:rsidR="00653599" w:rsidRPr="003D403C" w:rsidRDefault="00506A90" w:rsidP="003D403C">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 xml:space="preserve">HOW DO THE PACT NET BENEFITS FOR THE ADVOCATES CASE AND GEORGIA POWER’S BASE CASE COMPARE? </w:t>
      </w:r>
    </w:p>
    <w:p w14:paraId="12850088" w14:textId="2F0DCAA0"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In Georgia Power’s analysis, the Advocates Case delivers substantially more total cost savings than the Base Case. In the context of </w:t>
      </w:r>
      <w:r w:rsidR="003D403C">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IRP, adopting the higher level of savings in the Advocates Case is the more reasonable </w:t>
      </w:r>
      <w:r w:rsidR="00A87D63">
        <w:rPr>
          <w:rFonts w:ascii="Times New Roman" w:eastAsia="Times New Roman" w:hAnsi="Times New Roman" w:cs="Times New Roman"/>
          <w:sz w:val="24"/>
          <w:szCs w:val="24"/>
        </w:rPr>
        <w:t>approach since</w:t>
      </w:r>
      <w:r>
        <w:rPr>
          <w:rFonts w:ascii="Times New Roman" w:eastAsia="Times New Roman" w:hAnsi="Times New Roman" w:cs="Times New Roman"/>
          <w:sz w:val="24"/>
          <w:szCs w:val="24"/>
        </w:rPr>
        <w:t xml:space="preserve"> it leads to the resource portfolio with the lowest utility cost of service. In just the first three years, the Advocates case will deliver $620,673,986 in total PACT net benefits. That is $179,875,764 more than Georgia Power’s Base Case. Over 12 years, net benefits from the Advocates’ Case grow to over </w:t>
      </w:r>
      <w:r>
        <w:rPr>
          <w:rFonts w:ascii="Times New Roman" w:eastAsia="Times New Roman" w:hAnsi="Times New Roman" w:cs="Times New Roman"/>
          <w:i/>
          <w:sz w:val="24"/>
          <w:szCs w:val="24"/>
          <w:u w:val="single"/>
        </w:rPr>
        <w:t>$3.3 billion</w:t>
      </w:r>
      <w:r>
        <w:rPr>
          <w:rFonts w:ascii="Times New Roman" w:eastAsia="Times New Roman" w:hAnsi="Times New Roman" w:cs="Times New Roman"/>
          <w:sz w:val="24"/>
          <w:szCs w:val="24"/>
        </w:rPr>
        <w:t>, which is more than $1 billion above the Base Case.</w:t>
      </w:r>
      <w:r w:rsidR="008C69A7">
        <w:rPr>
          <w:rStyle w:val="FootnoteReference"/>
          <w:rFonts w:ascii="Times New Roman" w:eastAsia="Times New Roman" w:hAnsi="Times New Roman" w:cs="Times New Roman"/>
          <w:sz w:val="24"/>
          <w:szCs w:val="24"/>
        </w:rPr>
        <w:footnoteReference w:id="15"/>
      </w:r>
      <w:r>
        <w:rPr>
          <w:rFonts w:ascii="Times New Roman" w:eastAsia="Times New Roman" w:hAnsi="Times New Roman" w:cs="Times New Roman"/>
          <w:sz w:val="24"/>
          <w:szCs w:val="24"/>
        </w:rPr>
        <w:t xml:space="preserve"> The higher PACT </w:t>
      </w:r>
      <w:r>
        <w:rPr>
          <w:rFonts w:ascii="Times New Roman" w:eastAsia="Times New Roman" w:hAnsi="Times New Roman" w:cs="Times New Roman"/>
          <w:sz w:val="24"/>
          <w:szCs w:val="24"/>
        </w:rPr>
        <w:lastRenderedPageBreak/>
        <w:t xml:space="preserve">net benefits resulting from EE savings at the level proposed in the Advocates Case ultimately translate into a lower total utility system costs. In </w:t>
      </w:r>
      <w:r w:rsidR="002724E0">
        <w:rPr>
          <w:rFonts w:ascii="Times New Roman" w:eastAsia="Times New Roman" w:hAnsi="Times New Roman" w:cs="Times New Roman"/>
          <w:sz w:val="24"/>
          <w:szCs w:val="24"/>
        </w:rPr>
        <w:t>fact,</w:t>
      </w:r>
      <w:r>
        <w:rPr>
          <w:rFonts w:ascii="Times New Roman" w:eastAsia="Times New Roman" w:hAnsi="Times New Roman" w:cs="Times New Roman"/>
          <w:sz w:val="24"/>
          <w:szCs w:val="24"/>
        </w:rPr>
        <w:t xml:space="preserve"> a strategy that truly </w:t>
      </w:r>
      <w:r w:rsidR="00BA0808">
        <w:rPr>
          <w:rFonts w:ascii="Times New Roman" w:eastAsia="Times New Roman" w:hAnsi="Times New Roman" w:cs="Times New Roman"/>
          <w:sz w:val="24"/>
          <w:szCs w:val="24"/>
        </w:rPr>
        <w:t>prioritizes</w:t>
      </w:r>
      <w:r>
        <w:rPr>
          <w:rFonts w:ascii="Times New Roman" w:eastAsia="Times New Roman" w:hAnsi="Times New Roman" w:cs="Times New Roman"/>
          <w:sz w:val="24"/>
          <w:szCs w:val="24"/>
        </w:rPr>
        <w:t xml:space="preserve"> DSM produces the lowest cost approach to meet customer energy needs of any alternative resource portfolio mix. This is for the simple reason that supply-side resources simply cost more than DSM.  </w:t>
      </w:r>
    </w:p>
    <w:p w14:paraId="1285008A" w14:textId="69E4E9BC" w:rsidR="00653599" w:rsidRDefault="004567DA" w:rsidP="00506A90">
      <w:pPr>
        <w:spacing w:line="480"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In Georgia Power’s own analysis, the PACT benefit ratio is higher for the Base Case than the Advocates</w:t>
      </w:r>
      <w:r w:rsidR="00B4653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Case.</w:t>
      </w:r>
      <w:r w:rsidR="00B4653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However, both are well above the 1.0 threshold required to demonstrate cost effectiveness. Both cases have strong returns on investment, </w:t>
      </w:r>
      <w:r w:rsidR="002724E0">
        <w:rPr>
          <w:rFonts w:ascii="Times New Roman" w:eastAsia="Times New Roman" w:hAnsi="Times New Roman" w:cs="Times New Roman"/>
          <w:sz w:val="24"/>
          <w:szCs w:val="24"/>
        </w:rPr>
        <w:t>but</w:t>
      </w:r>
      <w:r>
        <w:rPr>
          <w:rFonts w:ascii="Times New Roman" w:eastAsia="Times New Roman" w:hAnsi="Times New Roman" w:cs="Times New Roman"/>
          <w:sz w:val="24"/>
          <w:szCs w:val="24"/>
        </w:rPr>
        <w:t xml:space="preserve"> the higher total dollar benefits to customers with the Advocate’s Case is of far greater value to customers than the higher PACT ratio with the Base Case. Said another way, choosing higher levels of efficiency investment that yield more total cost savings is more prudent than lower levels of investment for a marginally higher PACT ratio. </w:t>
      </w:r>
    </w:p>
    <w:p w14:paraId="1285008B" w14:textId="77777777" w:rsidR="00653599" w:rsidRDefault="00653599" w:rsidP="00935BEC">
      <w:pPr>
        <w:spacing w:line="480" w:lineRule="auto"/>
        <w:jc w:val="both"/>
        <w:rPr>
          <w:rFonts w:ascii="Times New Roman" w:eastAsia="Times New Roman" w:hAnsi="Times New Roman" w:cs="Times New Roman"/>
          <w:b/>
          <w:sz w:val="24"/>
          <w:szCs w:val="24"/>
        </w:rPr>
      </w:pPr>
    </w:p>
    <w:p w14:paraId="1285008D" w14:textId="77D1F328" w:rsidR="00653599" w:rsidRPr="00D25F3F" w:rsidRDefault="00506A90" w:rsidP="00D25F3F">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DID GEORGIA POWER’S WITNESSES EXPLAIN THE IMPACT OF DIFFERENT EE LEVELS ON THE UTILITY’S TOTAL REVENUE REQUIREMENT, RELATIVE TO SUPPLY ALTERNATIVES?</w:t>
      </w:r>
    </w:p>
    <w:p w14:paraId="1285008F" w14:textId="53DBAD7D" w:rsidR="00653599" w:rsidRDefault="004567DA" w:rsidP="00027F3F">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They did not. During their testimony before the Commission on April 5, 2022, Georgia Power witnesses on the DSM panel were unable to speak to the relationship between DSM investments and the utility’s total revenue requirements in </w:t>
      </w:r>
      <w:r w:rsidR="00813EAB">
        <w:rPr>
          <w:rFonts w:ascii="Times New Roman" w:eastAsia="Times New Roman" w:hAnsi="Times New Roman" w:cs="Times New Roman"/>
          <w:sz w:val="24"/>
          <w:szCs w:val="24"/>
        </w:rPr>
        <w:t>the 2022</w:t>
      </w:r>
      <w:r>
        <w:rPr>
          <w:rFonts w:ascii="Times New Roman" w:eastAsia="Times New Roman" w:hAnsi="Times New Roman" w:cs="Times New Roman"/>
          <w:sz w:val="24"/>
          <w:szCs w:val="24"/>
        </w:rPr>
        <w:t xml:space="preserve"> IRP. Accordingly, they were unable to answer the questions of whether, or by how much, higher levels of DSM would reduce the utility’s total costs relative to the cost of supply resources in the Company’s proposed plan. </w:t>
      </w:r>
      <w:r w:rsidR="00813EAB">
        <w:rPr>
          <w:rFonts w:ascii="Times New Roman" w:eastAsia="Times New Roman" w:hAnsi="Times New Roman" w:cs="Times New Roman"/>
          <w:sz w:val="24"/>
          <w:szCs w:val="24"/>
        </w:rPr>
        <w:t>The cross-examination exchange is as follows:</w:t>
      </w:r>
    </w:p>
    <w:p w14:paraId="12850090" w14:textId="5EC27055" w:rsidR="00653599" w:rsidRDefault="004567DA" w:rsidP="00935BEC">
      <w:pPr>
        <w:spacing w:line="480" w:lineRule="auto"/>
        <w:ind w:left="1440" w:righ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Robert Baker: Over the IRP planning period, is the Company’s total revenue requirement less with the Advocates’ Case DSM portfolio than it would be with either no DSM portfolio or the Company's Base Case?</w:t>
      </w:r>
    </w:p>
    <w:p w14:paraId="12850091" w14:textId="5D3B254B" w:rsidR="00653599" w:rsidRDefault="004567DA" w:rsidP="00935BEC">
      <w:pPr>
        <w:spacing w:line="480" w:lineRule="auto"/>
        <w:ind w:left="1440" w:right="7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Andy Phillips: Like I said, I don't think we're prepared to speak to revenue requirements when we're referring to either the Company’s proposed case or the Advocates’ Case</w:t>
      </w:r>
      <w:r w:rsidR="001314D2">
        <w:rPr>
          <w:rFonts w:ascii="Times New Roman" w:eastAsia="Times New Roman" w:hAnsi="Times New Roman" w:cs="Times New Roman"/>
          <w:sz w:val="24"/>
          <w:szCs w:val="24"/>
          <w:highlight w:val="white"/>
        </w:rPr>
        <w:t xml:space="preserve"> (Tr. 748)</w:t>
      </w:r>
      <w:r>
        <w:rPr>
          <w:rFonts w:ascii="Times New Roman" w:eastAsia="Times New Roman" w:hAnsi="Times New Roman" w:cs="Times New Roman"/>
          <w:sz w:val="24"/>
          <w:szCs w:val="24"/>
          <w:highlight w:val="white"/>
        </w:rPr>
        <w:t>.</w:t>
      </w:r>
    </w:p>
    <w:p w14:paraId="12850092" w14:textId="7470F846" w:rsidR="00653599" w:rsidRDefault="00027F3F" w:rsidP="00935BEC">
      <w:pPr>
        <w:spacing w:line="480" w:lineRule="auto"/>
        <w:ind w:left="1440" w:right="7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t>
      </w:r>
    </w:p>
    <w:p w14:paraId="12850093" w14:textId="77777777" w:rsidR="00653599" w:rsidRDefault="004567DA" w:rsidP="00935BEC">
      <w:pPr>
        <w:spacing w:line="480" w:lineRule="auto"/>
        <w:ind w:left="1440" w:right="7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Robert Baker: Doesn’t a lower revenue requirement mean lower utility cost as a general proposition?</w:t>
      </w:r>
    </w:p>
    <w:p w14:paraId="12850094" w14:textId="77777777" w:rsidR="00653599" w:rsidRDefault="004567DA" w:rsidP="00935BEC">
      <w:pPr>
        <w:spacing w:line="480" w:lineRule="auto"/>
        <w:ind w:left="1440" w:right="7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Andy Phillips: Are you asking [if] lower revenue requirements lead to lower costs for customers? </w:t>
      </w:r>
    </w:p>
    <w:p w14:paraId="12850095" w14:textId="77777777" w:rsidR="00653599" w:rsidRDefault="004567DA" w:rsidP="00935BEC">
      <w:pPr>
        <w:spacing w:line="480" w:lineRule="auto"/>
        <w:ind w:left="1440" w:right="7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Robert Baker: Yes, sir. Generally. </w:t>
      </w:r>
    </w:p>
    <w:p w14:paraId="12850097" w14:textId="2A1925E0" w:rsidR="00653599" w:rsidRDefault="004567DA" w:rsidP="00935BEC">
      <w:pPr>
        <w:spacing w:line="480" w:lineRule="auto"/>
        <w:ind w:left="1440" w:right="7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Andy Phillips: I think so. Like I said, in terms of how we develop the economics revenue requirements is not something that we consider and it's not part of the DSM </w:t>
      </w:r>
      <w:r w:rsidR="0012293A">
        <w:rPr>
          <w:rFonts w:ascii="Times New Roman" w:eastAsia="Times New Roman" w:hAnsi="Times New Roman" w:cs="Times New Roman"/>
          <w:sz w:val="24"/>
          <w:szCs w:val="24"/>
          <w:highlight w:val="white"/>
        </w:rPr>
        <w:t>P</w:t>
      </w:r>
      <w:r>
        <w:rPr>
          <w:rFonts w:ascii="Times New Roman" w:eastAsia="Times New Roman" w:hAnsi="Times New Roman" w:cs="Times New Roman"/>
          <w:sz w:val="24"/>
          <w:szCs w:val="24"/>
          <w:highlight w:val="white"/>
        </w:rPr>
        <w:t xml:space="preserve">rogram </w:t>
      </w:r>
      <w:r w:rsidR="0012293A">
        <w:rPr>
          <w:rFonts w:ascii="Times New Roman" w:eastAsia="Times New Roman" w:hAnsi="Times New Roman" w:cs="Times New Roman"/>
          <w:sz w:val="24"/>
          <w:szCs w:val="24"/>
          <w:highlight w:val="white"/>
        </w:rPr>
        <w:t>P</w:t>
      </w:r>
      <w:r>
        <w:rPr>
          <w:rFonts w:ascii="Times New Roman" w:eastAsia="Times New Roman" w:hAnsi="Times New Roman" w:cs="Times New Roman"/>
          <w:sz w:val="24"/>
          <w:szCs w:val="24"/>
          <w:highlight w:val="white"/>
        </w:rPr>
        <w:t xml:space="preserve">lanning </w:t>
      </w:r>
      <w:r w:rsidR="0012293A">
        <w:rPr>
          <w:rFonts w:ascii="Times New Roman" w:eastAsia="Times New Roman" w:hAnsi="Times New Roman" w:cs="Times New Roman"/>
          <w:sz w:val="24"/>
          <w:szCs w:val="24"/>
          <w:highlight w:val="white"/>
        </w:rPr>
        <w:t>A</w:t>
      </w:r>
      <w:r>
        <w:rPr>
          <w:rFonts w:ascii="Times New Roman" w:eastAsia="Times New Roman" w:hAnsi="Times New Roman" w:cs="Times New Roman"/>
          <w:sz w:val="24"/>
          <w:szCs w:val="24"/>
          <w:highlight w:val="white"/>
        </w:rPr>
        <w:t>pproach</w:t>
      </w:r>
      <w:r w:rsidR="0012293A">
        <w:rPr>
          <w:rFonts w:ascii="Times New Roman" w:eastAsia="Times New Roman" w:hAnsi="Times New Roman" w:cs="Times New Roman"/>
          <w:sz w:val="24"/>
          <w:szCs w:val="24"/>
          <w:highlight w:val="white"/>
        </w:rPr>
        <w:t xml:space="preserve"> (Tr. 762)</w:t>
      </w:r>
      <w:r>
        <w:rPr>
          <w:rFonts w:ascii="Times New Roman" w:eastAsia="Times New Roman" w:hAnsi="Times New Roman" w:cs="Times New Roman"/>
          <w:sz w:val="24"/>
          <w:szCs w:val="24"/>
          <w:highlight w:val="white"/>
        </w:rPr>
        <w:t>.</w:t>
      </w:r>
    </w:p>
    <w:p w14:paraId="12850098" w14:textId="77777777" w:rsidR="00653599" w:rsidRDefault="004567DA" w:rsidP="00027F3F">
      <w:pPr>
        <w:spacing w:line="480" w:lineRule="auto"/>
        <w:ind w:left="720" w:right="7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Georgia Power’s DSM witnesses established the proposed DSM savings levels in the IRP. I request that, in future IRPs cycles, the impact of different levels of DSM savings on the utility’s cost of service be considered and presented when making a recommendation for DSM savings to the Commission.</w:t>
      </w:r>
    </w:p>
    <w:p w14:paraId="1285009B" w14:textId="77777777" w:rsidR="00653599" w:rsidRDefault="00653599" w:rsidP="00935BEC">
      <w:pPr>
        <w:spacing w:line="480" w:lineRule="auto"/>
        <w:jc w:val="both"/>
        <w:rPr>
          <w:rFonts w:ascii="Times New Roman" w:eastAsia="Times New Roman" w:hAnsi="Times New Roman" w:cs="Times New Roman"/>
          <w:sz w:val="24"/>
          <w:szCs w:val="24"/>
        </w:rPr>
      </w:pPr>
    </w:p>
    <w:p w14:paraId="1285009D" w14:textId="54BF4740" w:rsidR="00653599" w:rsidRDefault="00027F3F" w:rsidP="00027F3F">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 xml:space="preserve">COMPARED TO GEORGIA POWER’S PROPOSED IRP PLAN, COULD HIGHER LEVELS OF EE REDUCE THE UTILITY’S TOTAL REVENUE REQUIREMENT AND LOWER COSTS FOR CUSTOMERS OVERALL? </w:t>
      </w:r>
    </w:p>
    <w:p w14:paraId="1285009E" w14:textId="338CA67A"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Yes, increasing the amount of cost-effective DSM in the utility’s total resource portfolio would reduce the utility’s total revenue requirement, and lower the cost to serve customer energy needs over the IRP planning period. By definition, cost-effective DSM is less expensive than supply alternatives. Therefore, increasing investment in DSM savings within the utility’s overall resource portfolio will offset the need for more expensive supply resources and reduce utility system costs overall. Although Georgia Power did not include the Advocates Case in Capacity Expansion Plans workbook, it does show the effect of higher efficiency savings on total system costs associated with the Aggressive Case.</w:t>
      </w:r>
      <w:r w:rsidR="00CA4000">
        <w:rPr>
          <w:rStyle w:val="FootnoteReference"/>
          <w:rFonts w:ascii="Times New Roman" w:eastAsia="Times New Roman" w:hAnsi="Times New Roman" w:cs="Times New Roman"/>
          <w:sz w:val="24"/>
          <w:szCs w:val="24"/>
        </w:rPr>
        <w:footnoteReference w:id="16"/>
      </w:r>
      <w:r>
        <w:rPr>
          <w:rFonts w:ascii="Times New Roman" w:eastAsia="Times New Roman" w:hAnsi="Times New Roman" w:cs="Times New Roman"/>
          <w:sz w:val="24"/>
          <w:szCs w:val="24"/>
        </w:rPr>
        <w:t xml:space="preserve"> Thus, Georgia Power has implicitly acknowledged that the higher levels of energy efficiency associated with the Advocates Case would reduce its total revenue requirement, thereby lowering costs for customers overall.</w:t>
      </w:r>
    </w:p>
    <w:p w14:paraId="1285009F" w14:textId="77777777" w:rsidR="00653599" w:rsidRDefault="00653599" w:rsidP="00935BEC">
      <w:pPr>
        <w:spacing w:line="480" w:lineRule="auto"/>
        <w:jc w:val="both"/>
        <w:rPr>
          <w:rFonts w:ascii="Times New Roman" w:eastAsia="Times New Roman" w:hAnsi="Times New Roman" w:cs="Times New Roman"/>
          <w:sz w:val="24"/>
          <w:szCs w:val="24"/>
        </w:rPr>
      </w:pPr>
    </w:p>
    <w:p w14:paraId="128500A1" w14:textId="1DDC2BD2" w:rsidR="00653599" w:rsidRPr="00027F3F" w:rsidRDefault="00027F3F" w:rsidP="00027F3F">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HOW MUCH MORE EXPENSIVE WILL GEORGIA POWER’S PROPOSED PORTFOLIO BE COMPARED TO ONE WITH HIGHER LEVELS OF EFFICIENCY SAVINGS?</w:t>
      </w:r>
    </w:p>
    <w:p w14:paraId="128500A2" w14:textId="74B3B5FE"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Georgia Power’s own analysis supports the conclusion that higher levels of DSM investment, well above what Georgia Power has proposed, is the least-cost option. Georgia </w:t>
      </w:r>
      <w:r>
        <w:rPr>
          <w:rFonts w:ascii="Times New Roman" w:eastAsia="Times New Roman" w:hAnsi="Times New Roman" w:cs="Times New Roman"/>
          <w:sz w:val="24"/>
          <w:szCs w:val="24"/>
        </w:rPr>
        <w:lastRenderedPageBreak/>
        <w:t>Power projects that total system costs from 2022-2056 are [</w:t>
      </w:r>
      <w:r w:rsidR="006215AF">
        <w:rPr>
          <w:rFonts w:ascii="Times New Roman" w:eastAsia="Times New Roman" w:hAnsi="Times New Roman" w:cs="Times New Roman"/>
          <w:color w:val="000000" w:themeColor="text1"/>
          <w:sz w:val="24"/>
          <w:szCs w:val="24"/>
          <w:highlight w:val="black"/>
        </w:rPr>
        <w:t>XX</w:t>
      </w:r>
      <w:r w:rsidR="0008745C" w:rsidRPr="0008745C">
        <w:rPr>
          <w:rFonts w:ascii="Times New Roman" w:eastAsia="Times New Roman" w:hAnsi="Times New Roman" w:cs="Times New Roman"/>
          <w:color w:val="000000" w:themeColor="text1"/>
          <w:sz w:val="24"/>
          <w:szCs w:val="24"/>
          <w:highlight w:val="black"/>
        </w:rPr>
        <w:t>X</w:t>
      </w:r>
      <w:r>
        <w:rPr>
          <w:rFonts w:ascii="Times New Roman" w:eastAsia="Times New Roman" w:hAnsi="Times New Roman" w:cs="Times New Roman"/>
          <w:sz w:val="24"/>
          <w:szCs w:val="24"/>
        </w:rPr>
        <w:t>] with the Aggressive Case compared to Georgia Power’s Base Case and [</w:t>
      </w:r>
      <w:r w:rsidR="0008745C" w:rsidRPr="006215AF">
        <w:rPr>
          <w:rFonts w:ascii="Times New Roman" w:eastAsia="Times New Roman" w:hAnsi="Times New Roman" w:cs="Times New Roman"/>
          <w:sz w:val="24"/>
          <w:szCs w:val="24"/>
          <w:highlight w:val="black"/>
        </w:rPr>
        <w:t>XX</w:t>
      </w:r>
      <w:r w:rsidR="006215AF" w:rsidRPr="006215AF">
        <w:rPr>
          <w:rFonts w:ascii="Times New Roman" w:eastAsia="Times New Roman" w:hAnsi="Times New Roman" w:cs="Times New Roman"/>
          <w:sz w:val="24"/>
          <w:szCs w:val="24"/>
          <w:highlight w:val="black"/>
        </w:rPr>
        <w:t>X</w:t>
      </w:r>
      <w:r>
        <w:rPr>
          <w:rFonts w:ascii="Times New Roman" w:eastAsia="Times New Roman" w:hAnsi="Times New Roman" w:cs="Times New Roman"/>
          <w:sz w:val="24"/>
          <w:szCs w:val="24"/>
        </w:rPr>
        <w:t>] than the No DSM Case.</w:t>
      </w:r>
      <w:r w:rsidR="0008745C">
        <w:rPr>
          <w:rStyle w:val="FootnoteReference"/>
          <w:rFonts w:ascii="Times New Roman" w:eastAsia="Times New Roman" w:hAnsi="Times New Roman" w:cs="Times New Roman"/>
          <w:sz w:val="24"/>
          <w:szCs w:val="24"/>
        </w:rPr>
        <w:footnoteReference w:id="17"/>
      </w:r>
      <w:r>
        <w:rPr>
          <w:rFonts w:ascii="Times New Roman" w:eastAsia="Times New Roman" w:hAnsi="Times New Roman" w:cs="Times New Roman"/>
          <w:sz w:val="24"/>
          <w:szCs w:val="24"/>
        </w:rPr>
        <w:t xml:space="preserve"> Because the Aggressive Case has roughly similar levels of spending, energy savings, and PACT net benefits as the Advocates Case, it can serve as a general proxy for the effect of the higher levels of efficiency savings</w:t>
      </w:r>
      <w:r>
        <w:rPr>
          <w:rFonts w:ascii="Times New Roman" w:eastAsia="Times New Roman" w:hAnsi="Times New Roman" w:cs="Times New Roman"/>
          <w:sz w:val="24"/>
          <w:szCs w:val="24"/>
          <w:highlight w:val="white"/>
        </w:rPr>
        <w:t xml:space="preserve"> that are proposed in the Advocates Case</w:t>
      </w:r>
      <w:r>
        <w:rPr>
          <w:rFonts w:ascii="Times New Roman" w:eastAsia="Times New Roman" w:hAnsi="Times New Roman" w:cs="Times New Roman"/>
          <w:sz w:val="24"/>
          <w:szCs w:val="24"/>
        </w:rPr>
        <w:t>. Georgia Power discounted the opportunity to lower customer costs through higher levels of DSM when establishing its Proposed Case. But a [</w:t>
      </w:r>
      <w:r w:rsidR="002A5595" w:rsidRPr="002A5595">
        <w:rPr>
          <w:rFonts w:ascii="Times New Roman" w:eastAsia="Times New Roman" w:hAnsi="Times New Roman" w:cs="Times New Roman"/>
          <w:sz w:val="24"/>
          <w:szCs w:val="24"/>
          <w:highlight w:val="black"/>
        </w:rPr>
        <w:t>XXX</w:t>
      </w:r>
      <w:r w:rsidR="002A5595">
        <w:rPr>
          <w:rFonts w:ascii="Times New Roman" w:eastAsia="Times New Roman" w:hAnsi="Times New Roman" w:cs="Times New Roman"/>
          <w:sz w:val="24"/>
          <w:szCs w:val="24"/>
          <w:highlight w:val="black"/>
        </w:rPr>
        <w:t>X</w:t>
      </w:r>
      <w:r w:rsidR="002A5595" w:rsidRPr="002A5595">
        <w:rPr>
          <w:rFonts w:ascii="Times New Roman" w:eastAsia="Times New Roman" w:hAnsi="Times New Roman" w:cs="Times New Roman"/>
          <w:sz w:val="24"/>
          <w:szCs w:val="24"/>
          <w:highlight w:val="black"/>
        </w:rPr>
        <w:t>XX</w:t>
      </w:r>
      <w:r>
        <w:rPr>
          <w:rFonts w:ascii="Times New Roman" w:eastAsia="Times New Roman" w:hAnsi="Times New Roman" w:cs="Times New Roman"/>
          <w:sz w:val="24"/>
          <w:szCs w:val="24"/>
        </w:rPr>
        <w:t>] in total system costs is highly significant, and warrants Commission action to direct Georgia Power to increase EE investment in the 2022 IRP as a critical component of a least-cost plan.</w:t>
      </w:r>
      <w:r w:rsidR="002A5595">
        <w:rPr>
          <w:rStyle w:val="FootnoteReference"/>
          <w:rFonts w:ascii="Times New Roman" w:eastAsia="Times New Roman" w:hAnsi="Times New Roman" w:cs="Times New Roman"/>
          <w:sz w:val="24"/>
          <w:szCs w:val="24"/>
        </w:rPr>
        <w:footnoteReference w:id="18"/>
      </w:r>
      <w:r>
        <w:rPr>
          <w:rFonts w:ascii="Times New Roman" w:eastAsia="Times New Roman" w:hAnsi="Times New Roman" w:cs="Times New Roman"/>
          <w:sz w:val="24"/>
          <w:szCs w:val="24"/>
        </w:rPr>
        <w:t xml:space="preserve"> </w:t>
      </w:r>
    </w:p>
    <w:p w14:paraId="128500A3" w14:textId="77777777" w:rsidR="00653599" w:rsidRDefault="00653599" w:rsidP="00935BEC">
      <w:pPr>
        <w:spacing w:line="480" w:lineRule="auto"/>
        <w:ind w:left="720"/>
        <w:jc w:val="both"/>
        <w:rPr>
          <w:rFonts w:ascii="Times New Roman" w:eastAsia="Times New Roman" w:hAnsi="Times New Roman" w:cs="Times New Roman"/>
          <w:sz w:val="24"/>
          <w:szCs w:val="24"/>
        </w:rPr>
      </w:pPr>
    </w:p>
    <w:p w14:paraId="128500A5" w14:textId="2DB692B5" w:rsidR="00653599" w:rsidRDefault="00027F3F" w:rsidP="00027F3F">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WHY IS IT IMPORTANT TO CONSIDER THE RATE EFFECT OF DSM RESOURCES IN CONTEXT WITH SUPPLY ALTERNATIVES?</w:t>
      </w:r>
    </w:p>
    <w:p w14:paraId="128500A6" w14:textId="77777777"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Integrated resource planning includes evaluation of a wide range of energy resource options with the aim of finding the optimal resource portfolio mix. Isolating DSM from this resource optimization analysis is problematic for many reasons, in part because it creates the impression that only DSM resources impact rates, while the effect of supply additions on rates is left unexamined. This effectively discriminates against cost-effective DSM resources, putting them at a competitive disadvantage, and precludes prudent consideration of DSM on a level playing field against alternatives. All energy resources have a cost, so the question is not merely whether DSM will impact rates, but whether such </w:t>
      </w:r>
      <w:r>
        <w:rPr>
          <w:rFonts w:ascii="Times New Roman" w:eastAsia="Times New Roman" w:hAnsi="Times New Roman" w:cs="Times New Roman"/>
          <w:sz w:val="24"/>
          <w:szCs w:val="24"/>
        </w:rPr>
        <w:lastRenderedPageBreak/>
        <w:t xml:space="preserve">investments are financially justified by greater benefits compared to supply-side alternatives. If the plan approved by this Commission limits investment in cost-effective DSM, as Georgia Power has proposed, it will drive up costs for all Georgia Power customers. </w:t>
      </w:r>
    </w:p>
    <w:p w14:paraId="128500A7" w14:textId="77777777" w:rsidR="00653599"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8500A9" w14:textId="35424AFA" w:rsidR="00653599" w:rsidRDefault="00027F3F" w:rsidP="00027F3F">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HOW ARE CUSTOMER RATES AFFECTED BY DSM PROGRAM COSTS AND BENEFITS IN THE SHORT AND LONG TERM?</w:t>
      </w:r>
      <w:r w:rsidR="004567DA">
        <w:rPr>
          <w:rFonts w:ascii="Times New Roman" w:eastAsia="Times New Roman" w:hAnsi="Times New Roman" w:cs="Times New Roman"/>
          <w:sz w:val="24"/>
          <w:szCs w:val="24"/>
        </w:rPr>
        <w:t xml:space="preserve"> </w:t>
      </w:r>
    </w:p>
    <w:p w14:paraId="128500AB" w14:textId="16486FEB" w:rsidR="00653599" w:rsidRDefault="004567DA" w:rsidP="00027F3F">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There are three rate impact drivers typically attributed to EE: efficiency costs, efficiency benefits, and lost revenues (which I will address in the next question). EE program costs are typically paid in the first year, while the associated benefits extend for many years over the life of the installed measures. By contrast, supply resource costs are typically spread out across many years, either through amortization over the useful life of the facility or power purchase contracts. Because efficiency savings reduce the number of kilowatt hours sold by the utility, efficiency programs can also have the effect of causing utility supply sunk costs spread over a smaller number of volumetric units, thereby increasing the cost per kWh for electricity provided by supply-side resources. But this impact is relatively small, since the vast majority of costs associated with supply-side resources are volumetric in nature, such as fuel costs and variable operations and maintenance costs, or the cost of purchased power.</w:t>
      </w:r>
    </w:p>
    <w:p w14:paraId="128500AD" w14:textId="3710532D" w:rsidR="00653599" w:rsidRDefault="004567DA" w:rsidP="00027F3F">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short term, the upfront costs for EE – considered in isolation – could put upward pressure on rates, while the direct financial benefits to participating customers and the utility system as a whole are spread out over subsequent years. If only </w:t>
      </w:r>
      <w:r w:rsidR="00A45CB0">
        <w:rPr>
          <w:rFonts w:ascii="Times New Roman" w:eastAsia="Times New Roman" w:hAnsi="Times New Roman" w:cs="Times New Roman"/>
          <w:sz w:val="24"/>
          <w:szCs w:val="24"/>
        </w:rPr>
        <w:t>short-term</w:t>
      </w:r>
      <w:r>
        <w:rPr>
          <w:rFonts w:ascii="Times New Roman" w:eastAsia="Times New Roman" w:hAnsi="Times New Roman" w:cs="Times New Roman"/>
          <w:sz w:val="24"/>
          <w:szCs w:val="24"/>
        </w:rPr>
        <w:t xml:space="preserve"> rate </w:t>
      </w:r>
      <w:r>
        <w:rPr>
          <w:rFonts w:ascii="Times New Roman" w:eastAsia="Times New Roman" w:hAnsi="Times New Roman" w:cs="Times New Roman"/>
          <w:sz w:val="24"/>
          <w:szCs w:val="24"/>
        </w:rPr>
        <w:lastRenderedPageBreak/>
        <w:t xml:space="preserve">effects are considered, it is possible that direct DSM program costs would appear to create upward pressure on rates. However, over time the benefits will exceed the direct EE program costs, thereby causing downward pressure on rates. With sustained investment in DSM resources, the downward pressure on rates from EE benefits ultimately will exceed the upward pressure resulting from the direct expenses that were paid up front. As noted above, the total utility system cost is lower with higher levels of investment in cost-effective EE, resulting in a lower level of costs being passed on to customers through rates. </w:t>
      </w:r>
    </w:p>
    <w:p w14:paraId="128500AE" w14:textId="232C50A3" w:rsidR="00653599" w:rsidRDefault="004567DA" w:rsidP="00935BEC">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Georgia Power’s </w:t>
      </w:r>
      <w:r w:rsidR="002B6EB8">
        <w:rPr>
          <w:rFonts w:ascii="Times New Roman" w:eastAsia="Times New Roman" w:hAnsi="Times New Roman" w:cs="Times New Roman"/>
          <w:sz w:val="24"/>
          <w:szCs w:val="24"/>
        </w:rPr>
        <w:t>EE</w:t>
      </w:r>
      <w:r>
        <w:rPr>
          <w:rFonts w:ascii="Times New Roman" w:eastAsia="Times New Roman" w:hAnsi="Times New Roman" w:cs="Times New Roman"/>
          <w:sz w:val="24"/>
          <w:szCs w:val="24"/>
        </w:rPr>
        <w:t xml:space="preserve"> programs have been running for many years now, and the cumulative savings from past EE investments continue to yield savings today. These annual cumulative benefits now almost surely exceed annual costs for new EE program investments, but this is overlooked when future spending on EE is considered in isolation from the larger impact it has in the Company’s resource mix. Just as the economics of a power plant are considered over many years, so too should the cumulative impacts of past and future planned EE investments. This will better inform decision making about future efficiency portfolio investments which, because DSM costs less than the Company’s supply-side avoided costs, will reduce costs for customers. </w:t>
      </w:r>
    </w:p>
    <w:p w14:paraId="128500AF" w14:textId="77777777" w:rsidR="00653599" w:rsidRDefault="00653599" w:rsidP="00935BEC">
      <w:pPr>
        <w:spacing w:line="480" w:lineRule="auto"/>
        <w:ind w:left="720"/>
        <w:jc w:val="both"/>
        <w:rPr>
          <w:rFonts w:ascii="Times New Roman" w:eastAsia="Times New Roman" w:hAnsi="Times New Roman" w:cs="Times New Roman"/>
          <w:sz w:val="24"/>
          <w:szCs w:val="24"/>
        </w:rPr>
      </w:pPr>
    </w:p>
    <w:p w14:paraId="128500B1" w14:textId="0EDD224B" w:rsidR="00653599" w:rsidRDefault="00027F3F" w:rsidP="006E1D39">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 xml:space="preserve">DO THE COSTS ASSOCIATED WITH LOST REVENUES ORIGINATE FROM DSM PROGRAM EXPENDITURES? </w:t>
      </w:r>
    </w:p>
    <w:p w14:paraId="128500B2" w14:textId="0A6728E5"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No. Lost revenue calculations are tied to the utility’s collection of its sunk supply costs, not DSM costs. The only reason lost revenues are considered in relation to DSM resources is because reducing energy waste also reduces the utility’s collection of revenues from </w:t>
      </w:r>
      <w:r>
        <w:rPr>
          <w:rFonts w:ascii="Times New Roman" w:eastAsia="Times New Roman" w:hAnsi="Times New Roman" w:cs="Times New Roman"/>
          <w:sz w:val="24"/>
          <w:szCs w:val="24"/>
        </w:rPr>
        <w:lastRenderedPageBreak/>
        <w:t xml:space="preserve">volumetric electric sales. If </w:t>
      </w:r>
      <w:r w:rsidR="006E1D39">
        <w:rPr>
          <w:rFonts w:ascii="Times New Roman" w:eastAsia="Times New Roman" w:hAnsi="Times New Roman" w:cs="Times New Roman"/>
          <w:sz w:val="24"/>
          <w:szCs w:val="24"/>
        </w:rPr>
        <w:t>EE</w:t>
      </w:r>
      <w:r>
        <w:rPr>
          <w:rFonts w:ascii="Times New Roman" w:eastAsia="Times New Roman" w:hAnsi="Times New Roman" w:cs="Times New Roman"/>
          <w:sz w:val="24"/>
          <w:szCs w:val="24"/>
        </w:rPr>
        <w:t xml:space="preserve"> programs were to reduce volumetric electricity sales below the levels assumed when the utility’s revenue requirement was set, the company would </w:t>
      </w:r>
      <w:r w:rsidR="00A71C5A">
        <w:rPr>
          <w:rFonts w:ascii="Times New Roman" w:eastAsia="Times New Roman" w:hAnsi="Times New Roman" w:cs="Times New Roman"/>
          <w:sz w:val="24"/>
          <w:szCs w:val="24"/>
        </w:rPr>
        <w:t>under collect</w:t>
      </w:r>
      <w:r>
        <w:rPr>
          <w:rFonts w:ascii="Times New Roman" w:eastAsia="Times New Roman" w:hAnsi="Times New Roman" w:cs="Times New Roman"/>
          <w:sz w:val="24"/>
          <w:szCs w:val="24"/>
        </w:rPr>
        <w:t xml:space="preserve"> and could fall short of its authorized rate of return. Because the utility would have fewer kilowatt hour sales over which to spread its sunk supply costs, it could seek authorization to increase rates as a way to bring revenues back up. Similarly, in the event that the utility underestimates the costs of a supply-side resource or overestimates its future load growth, the utility may seek an increase in rates to cover the recovery related imbalances. In both cases, cost causation principles provide a useful framework for appropriately allocating costs to resources within optimized planning models. Supply costs are supply costs, regardless of DSM investments. </w:t>
      </w:r>
    </w:p>
    <w:p w14:paraId="128500B3" w14:textId="77777777" w:rsidR="00653599" w:rsidRDefault="00653599" w:rsidP="00935BEC">
      <w:pPr>
        <w:spacing w:line="480" w:lineRule="auto"/>
        <w:ind w:left="720" w:hanging="720"/>
        <w:jc w:val="both"/>
        <w:rPr>
          <w:rFonts w:ascii="Times New Roman" w:eastAsia="Times New Roman" w:hAnsi="Times New Roman" w:cs="Times New Roman"/>
          <w:sz w:val="24"/>
          <w:szCs w:val="24"/>
        </w:rPr>
      </w:pPr>
    </w:p>
    <w:p w14:paraId="128500B5" w14:textId="63E157B2" w:rsidR="00653599" w:rsidRDefault="00027F3F" w:rsidP="0095139B">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 xml:space="preserve">DO LOST REVENUES ACCOUNT FOR A SIGNIFICANT PORTION OF POTENTIAL RATE IMPACTS IN GEORGIA POWER’S RATEPAYER IMPACT MEASURE (“RIM”) ANALYSES? </w:t>
      </w:r>
    </w:p>
    <w:p w14:paraId="74D6608C" w14:textId="7FA97AA6" w:rsidR="00B755CB" w:rsidRDefault="004567DA" w:rsidP="00B755CB">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Yes, they do. The Company’s RIM test analysis has historically shown that lost revenues were a substantially larger proportion of potential rate impacts than the cost of the Company’s direct DSM program expenses. The most recent year in which Georgia Power included a detailed breakdown of RIM cost components in its DSM potential study was 2015. Although the Company ceased providing this information in subsequent IRP cycles, the underlying dynamics likely have not changed. Georgia Power’s 2015 DSM potential study showed that lost revenues were approximately three to six times higher than all direct DSM program costs combined, depending on the customer incentive level. </w:t>
      </w:r>
      <w:r w:rsidR="00B755CB">
        <w:rPr>
          <w:rFonts w:ascii="Times New Roman" w:eastAsia="Times New Roman" w:hAnsi="Times New Roman" w:cs="Times New Roman"/>
          <w:sz w:val="24"/>
          <w:szCs w:val="24"/>
        </w:rPr>
        <w:br w:type="page"/>
      </w:r>
    </w:p>
    <w:p w14:paraId="128500B8" w14:textId="7EF0BED8" w:rsidR="00653599" w:rsidRDefault="004567DA" w:rsidP="00B755CB">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Figure 1. RIM Benefits and Costs by Scenario (Cumulative though 2026)</w:t>
      </w:r>
      <w:r w:rsidRPr="00B755CB">
        <w:rPr>
          <w:rFonts w:ascii="Times New Roman" w:eastAsia="Times New Roman" w:hAnsi="Times New Roman" w:cs="Times New Roman"/>
          <w:bCs/>
          <w:sz w:val="24"/>
          <w:szCs w:val="24"/>
          <w:vertAlign w:val="superscript"/>
        </w:rPr>
        <w:footnoteReference w:id="19"/>
      </w:r>
    </w:p>
    <w:p w14:paraId="128500B9" w14:textId="77777777" w:rsidR="00653599" w:rsidRDefault="004567DA" w:rsidP="00027F3F">
      <w:pPr>
        <w:spacing w:line="480" w:lineRule="auto"/>
        <w:ind w:left="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14:anchorId="128501B9" wp14:editId="7E3F1563">
            <wp:extent cx="4568024" cy="2369489"/>
            <wp:effectExtent l="0" t="0" r="4445"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4597318" cy="2384684"/>
                    </a:xfrm>
                    <a:prstGeom prst="rect">
                      <a:avLst/>
                    </a:prstGeom>
                    <a:ln/>
                  </pic:spPr>
                </pic:pic>
              </a:graphicData>
            </a:graphic>
          </wp:inline>
        </w:drawing>
      </w:r>
    </w:p>
    <w:p w14:paraId="128500BA" w14:textId="77777777" w:rsidR="00653599" w:rsidRDefault="00653599" w:rsidP="00935BEC">
      <w:pPr>
        <w:spacing w:line="480" w:lineRule="auto"/>
        <w:jc w:val="both"/>
        <w:rPr>
          <w:rFonts w:ascii="Times New Roman" w:eastAsia="Times New Roman" w:hAnsi="Times New Roman" w:cs="Times New Roman"/>
          <w:b/>
          <w:sz w:val="24"/>
          <w:szCs w:val="24"/>
        </w:rPr>
      </w:pPr>
    </w:p>
    <w:p w14:paraId="128500BB" w14:textId="2D05B2D1" w:rsidR="00653599" w:rsidRDefault="004567DA" w:rsidP="00027F3F">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Paradoxically, although reducing electricity usage to support economic and reliable utility system operations are to the central purpose of EE programs, the RIM test treats energy savings as a cost</w:t>
      </w:r>
      <w:r w:rsidR="003649B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rather than as a system benefit. As a result, the more effective the Company’s DSM programs are at reducing energy waste and improving utility system operations, the worse they will perform on the RIM test. By contrast, the more ineffective the Company’s DSM programs are</w:t>
      </w:r>
      <w:r w:rsidR="003649B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the higher customer energy use is, the better the RIM score will be. Illustrating how nonsensical RIM results can be, installing attic insulation will produce a negative RIM score (despite its effectiveness at eliminating energy waste), while ripping out insulation, leaving windows</w:t>
      </w:r>
      <w:r w:rsidR="003C64E8">
        <w:rPr>
          <w:rFonts w:ascii="Times New Roman" w:eastAsia="Times New Roman" w:hAnsi="Times New Roman" w:cs="Times New Roman"/>
          <w:sz w:val="24"/>
          <w:szCs w:val="24"/>
        </w:rPr>
        <w:t xml:space="preserve"> open</w:t>
      </w:r>
      <w:r>
        <w:rPr>
          <w:rFonts w:ascii="Times New Roman" w:eastAsia="Times New Roman" w:hAnsi="Times New Roman" w:cs="Times New Roman"/>
          <w:sz w:val="24"/>
          <w:szCs w:val="24"/>
        </w:rPr>
        <w:t xml:space="preserve">, and cranking the heater in the winter would produce a positive RIM score. </w:t>
      </w:r>
    </w:p>
    <w:p w14:paraId="128500BC" w14:textId="77777777" w:rsidR="00653599" w:rsidRDefault="00653599" w:rsidP="00935BEC">
      <w:pPr>
        <w:spacing w:line="480" w:lineRule="auto"/>
        <w:jc w:val="both"/>
        <w:rPr>
          <w:rFonts w:ascii="Times New Roman" w:eastAsia="Times New Roman" w:hAnsi="Times New Roman" w:cs="Times New Roman"/>
          <w:sz w:val="24"/>
          <w:szCs w:val="24"/>
        </w:rPr>
      </w:pPr>
    </w:p>
    <w:p w14:paraId="128500BD" w14:textId="77777777" w:rsidR="00653599" w:rsidRDefault="004567DA" w:rsidP="00027F3F">
      <w:pPr>
        <w:spacing w:line="480"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Due to its many flaws, for many years, there has been a movement away from using RIM for utility resource planning in other jurisdictions across the country. </w:t>
      </w:r>
    </w:p>
    <w:p w14:paraId="128500BE" w14:textId="77777777" w:rsidR="00653599" w:rsidRDefault="00653599" w:rsidP="00935BEC">
      <w:pPr>
        <w:spacing w:line="480" w:lineRule="auto"/>
        <w:ind w:left="720"/>
        <w:jc w:val="both"/>
        <w:rPr>
          <w:rFonts w:ascii="Times New Roman" w:eastAsia="Times New Roman" w:hAnsi="Times New Roman" w:cs="Times New Roman"/>
          <w:sz w:val="24"/>
          <w:szCs w:val="24"/>
        </w:rPr>
      </w:pPr>
    </w:p>
    <w:p w14:paraId="128500C0" w14:textId="0B41AFC7" w:rsidR="00653599" w:rsidRPr="00027F3F" w:rsidRDefault="00027F3F" w:rsidP="00027F3F">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DO EE SAVINGS INHERENTLY REDUCE GEORGIA POWER’S TOTAL ANNUAL RETAIL KWH SALES AND PREVENT THE COMPANY FROM FULLY RECOVERING ITS SUNK SUPPLY COSTS?</w:t>
      </w:r>
    </w:p>
    <w:p w14:paraId="128500C1" w14:textId="77777777"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No. If the utility sells at least as much electricity as was estimated when its revenue requirement was set, EE investments would not prevent the utility from recovering its sunk costs and therefore should not create upward pressure on rates. For instance, population growth, industry expansion, or seasonal weather trends could increase volumetric electricity sales more than the Company’s efficiency programs decrease sales. If the Company is meeting or exceeding its authorized annual rate of return there is no basis for it to also claim lost revenues from DSM, because it has already recovered its sunk costs.  </w:t>
      </w:r>
    </w:p>
    <w:p w14:paraId="128500C2" w14:textId="77777777" w:rsidR="00653599" w:rsidRDefault="00653599" w:rsidP="00935BEC">
      <w:pPr>
        <w:spacing w:line="480" w:lineRule="auto"/>
        <w:jc w:val="both"/>
        <w:rPr>
          <w:rFonts w:ascii="Times New Roman" w:eastAsia="Times New Roman" w:hAnsi="Times New Roman" w:cs="Times New Roman"/>
          <w:sz w:val="24"/>
          <w:szCs w:val="24"/>
        </w:rPr>
      </w:pPr>
    </w:p>
    <w:p w14:paraId="128500C3" w14:textId="2702087F" w:rsidR="00653599" w:rsidRDefault="00027F3F" w:rsidP="00027F3F">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HAS GEORGIA POWER REGULARLY EARNED AT OR ABOVE ITS AUTHORIZED RATE OF RETURN, DESPITE ENERGY SAVINGS FROM ITS DSM PROGRAMS?</w:t>
      </w:r>
    </w:p>
    <w:p w14:paraId="128500C6" w14:textId="626BA1C7"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Yes</w:t>
      </w:r>
      <w:r w:rsidR="00512D0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it has. Georgia Power substantially exceeded its authorized rate of return in each of the past 10 years. In five of those years, the Company surpassed the upper limit of its earnings band and was required to return surplus revenues back to customers.</w:t>
      </w:r>
      <w:r w:rsidR="00144620">
        <w:rPr>
          <w:rStyle w:val="FootnoteReference"/>
          <w:rFonts w:ascii="Times New Roman" w:eastAsia="Times New Roman" w:hAnsi="Times New Roman" w:cs="Times New Roman"/>
          <w:sz w:val="24"/>
          <w:szCs w:val="24"/>
        </w:rPr>
        <w:footnoteReference w:id="20"/>
      </w:r>
      <w:r>
        <w:rPr>
          <w:rFonts w:ascii="Times New Roman" w:eastAsia="Times New Roman" w:hAnsi="Times New Roman" w:cs="Times New Roman"/>
          <w:sz w:val="24"/>
          <w:szCs w:val="24"/>
        </w:rPr>
        <w:t xml:space="preserve"> Despite </w:t>
      </w:r>
      <w:r>
        <w:rPr>
          <w:rFonts w:ascii="Times New Roman" w:eastAsia="Times New Roman" w:hAnsi="Times New Roman" w:cs="Times New Roman"/>
          <w:sz w:val="24"/>
          <w:szCs w:val="24"/>
        </w:rPr>
        <w:lastRenderedPageBreak/>
        <w:t xml:space="preserve">lost revenues comprising a majority of the costs in the Company’s RIM test calculations, its DSM programs have not caused the company to miss its revenue requirement. If Georgia Power </w:t>
      </w:r>
      <w:r w:rsidR="00BD44CF">
        <w:rPr>
          <w:rFonts w:ascii="Times New Roman" w:eastAsia="Times New Roman" w:hAnsi="Times New Roman" w:cs="Times New Roman"/>
          <w:sz w:val="24"/>
          <w:szCs w:val="24"/>
        </w:rPr>
        <w:t>has sought</w:t>
      </w:r>
      <w:r>
        <w:rPr>
          <w:rFonts w:ascii="Times New Roman" w:eastAsia="Times New Roman" w:hAnsi="Times New Roman" w:cs="Times New Roman"/>
          <w:sz w:val="24"/>
          <w:szCs w:val="24"/>
        </w:rPr>
        <w:t xml:space="preserve"> rate changes specifically to make up for a failure to recover sunk supply costs due to the effects of the Company’s efficiency programs, I am unaware of it. </w:t>
      </w:r>
    </w:p>
    <w:p w14:paraId="128500C7" w14:textId="77777777" w:rsidR="00653599" w:rsidRDefault="00653599" w:rsidP="00935BEC">
      <w:pPr>
        <w:spacing w:line="480" w:lineRule="auto"/>
        <w:jc w:val="both"/>
        <w:rPr>
          <w:rFonts w:ascii="Times New Roman" w:eastAsia="Times New Roman" w:hAnsi="Times New Roman" w:cs="Times New Roman"/>
          <w:sz w:val="24"/>
          <w:szCs w:val="24"/>
        </w:rPr>
      </w:pPr>
    </w:p>
    <w:p w14:paraId="128500C9" w14:textId="58CB7378" w:rsidR="00653599" w:rsidRDefault="00027F3F" w:rsidP="00027F3F">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WHY HAS RIM GONE OUT OF FAVOR AS A COST TEST FOR EVALUATING OPTIMAL LEVELS OF DSM WITHIN INTEGRATED RESOURCE PLANNING?</w:t>
      </w:r>
    </w:p>
    <w:p w14:paraId="128500CB" w14:textId="2A36CBF0" w:rsidR="00653599" w:rsidRDefault="004567DA" w:rsidP="00372029">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The RIM test is rarely used by utility commissions across the country. Looking at the historical context within Georgia, as I have outlined above, it is similar to the experience observed in other states that have since chosen to abandon this test. As noted above, the largest cost considered in RIM is potential lost revenues collected by the utility, which reflect sunk supply-side costs and are not appropriately attributable to DSM programs. A more appropriate value to consider within economic evaluation of DSM programs is the total revenue requirement </w:t>
      </w:r>
      <w:r w:rsidR="0037202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this value is arguably the most important factor when developing a utility IRP, since it represents the </w:t>
      </w:r>
      <w:r>
        <w:rPr>
          <w:rFonts w:ascii="Times New Roman" w:eastAsia="Times New Roman" w:hAnsi="Times New Roman" w:cs="Times New Roman"/>
          <w:i/>
          <w:sz w:val="24"/>
          <w:szCs w:val="24"/>
          <w:u w:val="single"/>
        </w:rPr>
        <w:t>total system costs and indicates the least-cost plan</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It is also for this reason that I recommend DSM be included as a selectable resource within expansion plan modeling. For considerations of rate effects and equity, there are far more effective practices than the RIM test. Going forward, the Commission </w:t>
      </w:r>
      <w:r>
        <w:rPr>
          <w:rFonts w:ascii="Times New Roman" w:eastAsia="Times New Roman" w:hAnsi="Times New Roman" w:cs="Times New Roman"/>
          <w:sz w:val="24"/>
          <w:szCs w:val="24"/>
        </w:rPr>
        <w:lastRenderedPageBreak/>
        <w:t>should examine more modern and effective approaches to evaluating rate effects</w:t>
      </w:r>
      <w:r w:rsidR="00A91F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as many other jurisdictions are doing, move away from use of RIM in its IRP practices. </w:t>
      </w:r>
    </w:p>
    <w:p w14:paraId="128500CC" w14:textId="77777777" w:rsidR="00653599" w:rsidRDefault="00653599" w:rsidP="00935BEC">
      <w:pPr>
        <w:spacing w:line="480" w:lineRule="auto"/>
        <w:jc w:val="both"/>
        <w:rPr>
          <w:rFonts w:ascii="Times New Roman" w:eastAsia="Times New Roman" w:hAnsi="Times New Roman" w:cs="Times New Roman"/>
          <w:sz w:val="24"/>
          <w:szCs w:val="24"/>
        </w:rPr>
      </w:pPr>
    </w:p>
    <w:p w14:paraId="128500CE" w14:textId="76531F7C" w:rsidR="00653599" w:rsidRDefault="00027F3F" w:rsidP="00027F3F">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HOW DOES ADDRESSING EQUITY ISSUES IN UTILITY EFFICIENCY PROGRAM OFFERINGS ALSO ADDRESS ISSUES OF COST SHIFT ASSOCIATED WITH UTILITY LOST REVENUES?</w:t>
      </w:r>
    </w:p>
    <w:p w14:paraId="128500D0" w14:textId="4A1C243F" w:rsidR="00653599" w:rsidRDefault="004567DA" w:rsidP="00027F3F">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On an individual basis, customers who have reduced their energy usage through participation in a utility EE program will pay less relative to customers who have not. This does not necessarily mean customers who don’t participate will pay more than they would have without efficiency programs, and they may in fact ultimately pay less. That largely depends on whether the utility’s total cost to serve is reduced. </w:t>
      </w:r>
    </w:p>
    <w:p w14:paraId="128500D1" w14:textId="77777777" w:rsidR="00653599" w:rsidRDefault="004567DA" w:rsidP="00935BEC">
      <w:pPr>
        <w:spacing w:line="480"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Substantial expansion of EE offerings would be required for lost revenues from EE to exceed Georgia Power’s forecasted electric sales growth. But such an expansion in customer participation in EE programs would also steadily reduce the number of customers that have not directly benefited from those programs and who might experience negative effects from upward pressure on rates. The more comprehensive and consistent Georgia Power’s EE program offerings, the more likely that every type of customer will achieve net bill savings.  </w:t>
      </w:r>
    </w:p>
    <w:p w14:paraId="128500D2" w14:textId="77777777" w:rsidR="00653599"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8500D4" w14:textId="570CCF52" w:rsidR="00653599" w:rsidRDefault="00027F3F" w:rsidP="00027F3F">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DID GEORGIA POWER APPLY RESOURCE OPTIMIZATION ANALYSIS TO SET THE EFFICIENCY SAVINGS LEVELS IN ITS BASE CASE?</w:t>
      </w:r>
    </w:p>
    <w:p w14:paraId="128500D5" w14:textId="35196582"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w:t>
      </w:r>
      <w:r>
        <w:rPr>
          <w:rFonts w:ascii="Times New Roman" w:eastAsia="Times New Roman" w:hAnsi="Times New Roman" w:cs="Times New Roman"/>
          <w:sz w:val="24"/>
          <w:szCs w:val="24"/>
        </w:rPr>
        <w:tab/>
        <w:t xml:space="preserve">It did not. In the </w:t>
      </w:r>
      <w:r w:rsidRPr="00295D14">
        <w:rPr>
          <w:rFonts w:ascii="Times New Roman" w:eastAsia="Times New Roman" w:hAnsi="Times New Roman" w:cs="Times New Roman"/>
          <w:i/>
          <w:iCs/>
          <w:sz w:val="24"/>
          <w:szCs w:val="24"/>
        </w:rPr>
        <w:t>2019 IRP Settlement Agreement</w:t>
      </w:r>
      <w:r>
        <w:rPr>
          <w:rFonts w:ascii="Times New Roman" w:eastAsia="Times New Roman" w:hAnsi="Times New Roman" w:cs="Times New Roman"/>
          <w:sz w:val="24"/>
          <w:szCs w:val="24"/>
        </w:rPr>
        <w:t xml:space="preserve">, Georgia Power was required to conduct competitive optimization analysis of DSM resources against supply alternatives, the findings of which were included in the DSM </w:t>
      </w:r>
      <w:r w:rsidR="00801475">
        <w:rPr>
          <w:rFonts w:ascii="Times New Roman" w:eastAsia="Times New Roman" w:hAnsi="Times New Roman" w:cs="Times New Roman"/>
          <w:sz w:val="24"/>
          <w:szCs w:val="24"/>
        </w:rPr>
        <w:t>W</w:t>
      </w:r>
      <w:r>
        <w:rPr>
          <w:rFonts w:ascii="Times New Roman" w:eastAsia="Times New Roman" w:hAnsi="Times New Roman" w:cs="Times New Roman"/>
          <w:sz w:val="24"/>
          <w:szCs w:val="24"/>
        </w:rPr>
        <w:t xml:space="preserve">hite </w:t>
      </w:r>
      <w:r w:rsidR="00801475">
        <w:rPr>
          <w:rFonts w:ascii="Times New Roman" w:eastAsia="Times New Roman" w:hAnsi="Times New Roman" w:cs="Times New Roman"/>
          <w:sz w:val="24"/>
          <w:szCs w:val="24"/>
        </w:rPr>
        <w:t>P</w:t>
      </w:r>
      <w:r>
        <w:rPr>
          <w:rFonts w:ascii="Times New Roman" w:eastAsia="Times New Roman" w:hAnsi="Times New Roman" w:cs="Times New Roman"/>
          <w:sz w:val="24"/>
          <w:szCs w:val="24"/>
        </w:rPr>
        <w:t>aper</w:t>
      </w:r>
      <w:r w:rsidR="00295D14">
        <w:rPr>
          <w:rFonts w:ascii="Times New Roman" w:eastAsia="Times New Roman" w:hAnsi="Times New Roman" w:cs="Times New Roman"/>
          <w:sz w:val="24"/>
          <w:szCs w:val="24"/>
        </w:rPr>
        <w:t>, introduced previously</w:t>
      </w:r>
      <w:r>
        <w:rPr>
          <w:rFonts w:ascii="Times New Roman" w:eastAsia="Times New Roman" w:hAnsi="Times New Roman" w:cs="Times New Roman"/>
          <w:sz w:val="24"/>
          <w:szCs w:val="24"/>
        </w:rPr>
        <w:t xml:space="preserve">. The </w:t>
      </w:r>
      <w:r w:rsidR="00801475">
        <w:rPr>
          <w:rFonts w:ascii="Times New Roman" w:eastAsia="Times New Roman" w:hAnsi="Times New Roman" w:cs="Times New Roman"/>
          <w:sz w:val="24"/>
          <w:szCs w:val="24"/>
        </w:rPr>
        <w:t>DSM W</w:t>
      </w:r>
      <w:r>
        <w:rPr>
          <w:rFonts w:ascii="Times New Roman" w:eastAsia="Times New Roman" w:hAnsi="Times New Roman" w:cs="Times New Roman"/>
          <w:sz w:val="24"/>
          <w:szCs w:val="24"/>
        </w:rPr>
        <w:t xml:space="preserve">hite </w:t>
      </w:r>
      <w:r w:rsidR="00801475">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aper showed that the least-cost resource portfolio included substantially higher efficiency savings levels than the Company has proposed in its Base Case. But Georgia Power did not consider this when establishing the efficiency levels in its </w:t>
      </w:r>
      <w:r w:rsidR="00801475">
        <w:rPr>
          <w:rFonts w:ascii="Times New Roman" w:eastAsia="Times New Roman" w:hAnsi="Times New Roman" w:cs="Times New Roman"/>
          <w:sz w:val="24"/>
          <w:szCs w:val="24"/>
        </w:rPr>
        <w:t>EE</w:t>
      </w:r>
      <w:r>
        <w:rPr>
          <w:rFonts w:ascii="Times New Roman" w:eastAsia="Times New Roman" w:hAnsi="Times New Roman" w:cs="Times New Roman"/>
          <w:sz w:val="24"/>
          <w:szCs w:val="24"/>
        </w:rPr>
        <w:t xml:space="preserve"> Base Case, instead freezing savings at the same amount as the Commission required in the 2019 IRP.</w:t>
      </w:r>
    </w:p>
    <w:p w14:paraId="128500D6" w14:textId="77777777" w:rsidR="00653599" w:rsidRDefault="00653599" w:rsidP="00935BEC">
      <w:pPr>
        <w:spacing w:line="480" w:lineRule="auto"/>
        <w:ind w:left="720"/>
        <w:jc w:val="both"/>
        <w:rPr>
          <w:rFonts w:ascii="Times New Roman" w:eastAsia="Times New Roman" w:hAnsi="Times New Roman" w:cs="Times New Roman"/>
          <w:sz w:val="24"/>
          <w:szCs w:val="24"/>
        </w:rPr>
      </w:pPr>
    </w:p>
    <w:p w14:paraId="128500D8" w14:textId="2E084F6A" w:rsidR="00653599" w:rsidRDefault="00027F3F" w:rsidP="00027F3F">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DO THE FINDINGS OF THE DSM WHITE PAPER CAST FURTHER DOUBT ON WHETHER GEORGIA POWER HAS PRESENTED THE COMMISSION WITH THE LEAST-COST, MOST RELIABLE, LEAST</w:t>
      </w:r>
      <w:r w:rsidR="00801475">
        <w:rPr>
          <w:rFonts w:ascii="Times New Roman" w:eastAsia="Times New Roman" w:hAnsi="Times New Roman" w:cs="Times New Roman"/>
          <w:b/>
          <w:sz w:val="24"/>
          <w:szCs w:val="24"/>
        </w:rPr>
        <w:t>-</w:t>
      </w:r>
      <w:r w:rsidR="004567DA">
        <w:rPr>
          <w:rFonts w:ascii="Times New Roman" w:eastAsia="Times New Roman" w:hAnsi="Times New Roman" w:cs="Times New Roman"/>
          <w:b/>
          <w:sz w:val="24"/>
          <w:szCs w:val="24"/>
        </w:rPr>
        <w:t xml:space="preserve">RISKY RESOURCE PLAN IN ITS PROPOSED </w:t>
      </w:r>
      <w:r w:rsidR="00801475">
        <w:rPr>
          <w:rFonts w:ascii="Times New Roman" w:eastAsia="Times New Roman" w:hAnsi="Times New Roman" w:cs="Times New Roman"/>
          <w:b/>
          <w:sz w:val="24"/>
          <w:szCs w:val="24"/>
        </w:rPr>
        <w:t xml:space="preserve">2022 </w:t>
      </w:r>
      <w:r w:rsidR="004567DA">
        <w:rPr>
          <w:rFonts w:ascii="Times New Roman" w:eastAsia="Times New Roman" w:hAnsi="Times New Roman" w:cs="Times New Roman"/>
          <w:b/>
          <w:sz w:val="24"/>
          <w:szCs w:val="24"/>
        </w:rPr>
        <w:t>IRP?</w:t>
      </w:r>
    </w:p>
    <w:p w14:paraId="128500D9" w14:textId="77777777"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Yes, the findings of the DSM White Paper show that larger investments in DSM resources reduce total utility system costs.</w:t>
      </w:r>
      <w:r>
        <w:rPr>
          <w:rFonts w:ascii="Times New Roman" w:eastAsia="Times New Roman" w:hAnsi="Times New Roman" w:cs="Times New Roman"/>
          <w:sz w:val="24"/>
          <w:szCs w:val="24"/>
          <w:vertAlign w:val="superscript"/>
        </w:rPr>
        <w:footnoteReference w:id="21"/>
      </w:r>
      <w:r>
        <w:rPr>
          <w:rFonts w:ascii="Times New Roman" w:eastAsia="Times New Roman" w:hAnsi="Times New Roman" w:cs="Times New Roman"/>
          <w:sz w:val="24"/>
          <w:szCs w:val="24"/>
        </w:rPr>
        <w:t xml:space="preserve"> The fact that Georgia Power did not even consider increasing DSM savings levels to address resource needs from load growth, power plant retirements, seasonal peaks, and reliability issues means the Company has almost certainly selected a resource portfolio that is more expensive. </w:t>
      </w:r>
    </w:p>
    <w:p w14:paraId="7E32F33B" w14:textId="77777777" w:rsidR="00A97CAA" w:rsidRDefault="00A97CAA" w:rsidP="00027F3F">
      <w:pPr>
        <w:spacing w:line="480" w:lineRule="auto"/>
        <w:jc w:val="both"/>
        <w:rPr>
          <w:rFonts w:ascii="Times New Roman" w:eastAsia="Times New Roman" w:hAnsi="Times New Roman" w:cs="Times New Roman"/>
          <w:sz w:val="24"/>
          <w:szCs w:val="24"/>
        </w:rPr>
      </w:pPr>
    </w:p>
    <w:p w14:paraId="128500DC" w14:textId="5B0C33FA" w:rsidR="00653599" w:rsidRDefault="00027F3F" w:rsidP="00027F3F">
      <w:pPr>
        <w:spacing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WHAT DO YOU RECOMMEND?</w:t>
      </w:r>
    </w:p>
    <w:p w14:paraId="128500DD" w14:textId="2BF90A38" w:rsidR="00653599" w:rsidRPr="003522CD"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w:t>
      </w:r>
      <w:r>
        <w:rPr>
          <w:rFonts w:ascii="Times New Roman" w:eastAsia="Times New Roman" w:hAnsi="Times New Roman" w:cs="Times New Roman"/>
          <w:sz w:val="24"/>
          <w:szCs w:val="24"/>
        </w:rPr>
        <w:tab/>
        <w:t xml:space="preserve">I recommend that the Commission order Georgia Power to achieve efficiency savings targets for 2023-2025 at the levels outlined in the Advocates Case. The Advocates Case provides a blueprint for additional savings based primarily on Georgia Power’s current portfolio of DSM programs. While I believe this is the right foundation for near term growth, changes in savings allocations within this program portfolio or new program additions could be considered </w:t>
      </w:r>
      <w:r w:rsidR="00F7047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provided that they do not reduce the availability of program offerings for low-income customers or substantially shift savings away from deeper and longer lasting measures to measures that produce only short-term savings. </w:t>
      </w:r>
    </w:p>
    <w:p w14:paraId="128500DE" w14:textId="77777777" w:rsidR="00653599"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8500E0" w14:textId="47489C54" w:rsidR="00653599" w:rsidRDefault="00027F3F" w:rsidP="00027F3F">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DO YOU HAVE CONCERNS WITH HOW GEORGIA POWER ESTABLISHED THE EE SAVINGS LEVELS INDICATED IN ITS BASE CASE?</w:t>
      </w:r>
    </w:p>
    <w:p w14:paraId="128500E1" w14:textId="77777777"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Yes, as noted above, Georgia Power did not select EE savings levels in its Base Case in response to upcoming resource needs associated with forecasted load growth, power plant retirements, seasonal peaks, or reliability issues. Nor did the Company determine efficiency savings levels in its IRP based on a competitive head-to-head comparison of DSM versus supply resources. As a result, the Company’s proposed IRP plan relies on more expensive supply resources. The plan proposed by Georgia Power for Commission review in this proceeding is not the least-cost option. </w:t>
      </w:r>
    </w:p>
    <w:p w14:paraId="128500E2" w14:textId="77777777" w:rsidR="00653599" w:rsidRDefault="00653599" w:rsidP="00935BEC">
      <w:pPr>
        <w:spacing w:line="480" w:lineRule="auto"/>
        <w:ind w:left="720" w:hanging="720"/>
        <w:jc w:val="both"/>
        <w:rPr>
          <w:rFonts w:ascii="Times New Roman" w:eastAsia="Times New Roman" w:hAnsi="Times New Roman" w:cs="Times New Roman"/>
          <w:sz w:val="24"/>
          <w:szCs w:val="24"/>
        </w:rPr>
      </w:pPr>
    </w:p>
    <w:p w14:paraId="128500E4" w14:textId="5793C415" w:rsidR="00653599" w:rsidRDefault="00027F3F" w:rsidP="00027F3F">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IS THERE PRECEDENT FOR THE COMMISSION DIRECTING GEORGIA POWER TO ACQUIRE LESS EXPENSIVE CLEAN ENERGY RESOURCES IN PREVIOUS IRP</w:t>
      </w:r>
      <w:r w:rsidR="00C21560">
        <w:rPr>
          <w:rFonts w:ascii="Times New Roman" w:eastAsia="Times New Roman" w:hAnsi="Times New Roman" w:cs="Times New Roman"/>
          <w:b/>
          <w:sz w:val="24"/>
          <w:szCs w:val="24"/>
        </w:rPr>
        <w:t>S</w:t>
      </w:r>
      <w:r w:rsidR="004567DA">
        <w:rPr>
          <w:rFonts w:ascii="Times New Roman" w:eastAsia="Times New Roman" w:hAnsi="Times New Roman" w:cs="Times New Roman"/>
          <w:b/>
          <w:sz w:val="24"/>
          <w:szCs w:val="24"/>
        </w:rPr>
        <w:t>?</w:t>
      </w:r>
    </w:p>
    <w:p w14:paraId="128500E5" w14:textId="0BE96AB1"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w:t>
      </w:r>
      <w:r>
        <w:rPr>
          <w:rFonts w:ascii="Times New Roman" w:eastAsia="Times New Roman" w:hAnsi="Times New Roman" w:cs="Times New Roman"/>
          <w:sz w:val="24"/>
          <w:szCs w:val="24"/>
        </w:rPr>
        <w:tab/>
        <w:t>Yes. Starting in 2013 the Commission directed Georgia Power to acquire 525 MW of solar generation resources and in subsequent IRPs increased that to 1,600 MW of solar generation in 2016 and 2,210 MW of renewable energy in 2019.</w:t>
      </w:r>
      <w:r w:rsidR="00D3237A">
        <w:rPr>
          <w:rStyle w:val="FootnoteReference"/>
          <w:rFonts w:ascii="Times New Roman" w:eastAsia="Times New Roman" w:hAnsi="Times New Roman" w:cs="Times New Roman"/>
          <w:sz w:val="24"/>
          <w:szCs w:val="24"/>
        </w:rPr>
        <w:footnoteReference w:id="22"/>
      </w:r>
      <w:r>
        <w:rPr>
          <w:rFonts w:ascii="Times New Roman" w:eastAsia="Times New Roman" w:hAnsi="Times New Roman" w:cs="Times New Roman"/>
          <w:sz w:val="24"/>
          <w:szCs w:val="24"/>
        </w:rPr>
        <w:t xml:space="preserve">  The result has been widely recognized as a major success, ushering in a diversification of generation resources while lowering utility system costs and reducing total costs for customers. </w:t>
      </w:r>
      <w:r w:rsidR="00D74163">
        <w:rPr>
          <w:rFonts w:ascii="Times New Roman" w:eastAsia="Times New Roman" w:hAnsi="Times New Roman" w:cs="Times New Roman"/>
          <w:sz w:val="24"/>
          <w:szCs w:val="24"/>
        </w:rPr>
        <w:t>Certainly,</w:t>
      </w:r>
      <w:r>
        <w:rPr>
          <w:rFonts w:ascii="Times New Roman" w:eastAsia="Times New Roman" w:hAnsi="Times New Roman" w:cs="Times New Roman"/>
          <w:sz w:val="24"/>
          <w:szCs w:val="24"/>
        </w:rPr>
        <w:t xml:space="preserve"> there are differences between solar and DSM resources. Each has its strengths and limitations, but in the context of long-term resource planning, the fundamental economic benefit is the same. Both solar and DSM resources cost less than the Company’s avoided cost for supply, thereby reducing total utility system costs for customers, while creating a more diverse resource mix that improves system resilience and offsets the need for more expensive traditional generation. </w:t>
      </w:r>
    </w:p>
    <w:p w14:paraId="128500E6" w14:textId="77777777" w:rsidR="00653599" w:rsidRDefault="00653599" w:rsidP="00935BEC">
      <w:pPr>
        <w:spacing w:line="480" w:lineRule="auto"/>
        <w:jc w:val="both"/>
        <w:rPr>
          <w:rFonts w:ascii="Times New Roman" w:eastAsia="Times New Roman" w:hAnsi="Times New Roman" w:cs="Times New Roman"/>
          <w:sz w:val="24"/>
          <w:szCs w:val="24"/>
        </w:rPr>
      </w:pPr>
    </w:p>
    <w:p w14:paraId="128500E8" w14:textId="2E307302" w:rsidR="00653599" w:rsidRDefault="00C21560" w:rsidP="00C21560">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 xml:space="preserve">ARE THE EFFICIENCY SAVINGS LEVELS IN THE ADVOCATES CASE ACHIEVABLE? </w:t>
      </w:r>
    </w:p>
    <w:p w14:paraId="128500E9" w14:textId="61C28E9F" w:rsidR="00653599" w:rsidRDefault="004567DA" w:rsidP="00D74163">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Yes, as noted above, the Company included a point of reference for the maximum achievable potential in its IRP filing (the Aggressive Case), which follows a similar pace of efficiency savings as the Advocates Case </w:t>
      </w:r>
      <w:r w:rsidR="00D7416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each with roughly double the savings in Georgia Power’s Base Case over the next three years.</w:t>
      </w:r>
      <w:r w:rsidR="00D74163">
        <w:rPr>
          <w:rStyle w:val="FootnoteReference"/>
          <w:rFonts w:ascii="Times New Roman" w:eastAsia="Times New Roman" w:hAnsi="Times New Roman" w:cs="Times New Roman"/>
          <w:sz w:val="24"/>
          <w:szCs w:val="24"/>
        </w:rPr>
        <w:footnoteReference w:id="23"/>
      </w:r>
    </w:p>
    <w:p w14:paraId="128500EA" w14:textId="77777777" w:rsidR="00653599" w:rsidRDefault="00653599" w:rsidP="00935BEC">
      <w:pPr>
        <w:spacing w:line="480" w:lineRule="auto"/>
        <w:jc w:val="both"/>
        <w:rPr>
          <w:rFonts w:ascii="Times New Roman" w:eastAsia="Times New Roman" w:hAnsi="Times New Roman" w:cs="Times New Roman"/>
          <w:sz w:val="24"/>
          <w:szCs w:val="24"/>
        </w:rPr>
      </w:pPr>
    </w:p>
    <w:p w14:paraId="128500EB" w14:textId="27BDDBC7" w:rsidR="00653599" w:rsidRDefault="00C21560" w:rsidP="00C21560">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 xml:space="preserve">HOW DO THE EFFICIENCY SAVINGS LEVELS IN THE BASE CASE AND ADVOCATES CASE COMPARE TO THE PERFORMANCE OF OTHER MAJOR INVESTOR OWNED UTILITIES? </w:t>
      </w:r>
    </w:p>
    <w:p w14:paraId="128500ED" w14:textId="245FF0C0" w:rsidR="00653599" w:rsidRDefault="004567DA" w:rsidP="00935BEC">
      <w:pPr>
        <w:spacing w:line="480" w:lineRule="auto"/>
        <w:ind w:left="720" w:hanging="7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Georgia Power’s Base Case efficiency savings represent just </w:t>
      </w:r>
      <w:r>
        <w:rPr>
          <w:rFonts w:ascii="Times New Roman" w:eastAsia="Times New Roman" w:hAnsi="Times New Roman" w:cs="Times New Roman"/>
          <w:sz w:val="24"/>
          <w:szCs w:val="24"/>
          <w:highlight w:val="white"/>
        </w:rPr>
        <w:t xml:space="preserve">0.43% of its annual retail sales. For the vast majority of major </w:t>
      </w:r>
      <w:r w:rsidR="00C21560">
        <w:rPr>
          <w:rFonts w:ascii="Times New Roman" w:eastAsia="Times New Roman" w:hAnsi="Times New Roman" w:cs="Times New Roman"/>
          <w:sz w:val="24"/>
          <w:szCs w:val="24"/>
          <w:highlight w:val="white"/>
        </w:rPr>
        <w:t>investor-owned</w:t>
      </w:r>
      <w:r>
        <w:rPr>
          <w:rFonts w:ascii="Times New Roman" w:eastAsia="Times New Roman" w:hAnsi="Times New Roman" w:cs="Times New Roman"/>
          <w:sz w:val="24"/>
          <w:szCs w:val="24"/>
          <w:highlight w:val="white"/>
        </w:rPr>
        <w:t xml:space="preserve"> utilities annual efficiency performance is far higher. In 2020 the American Council for an Energy Efficient Economy (“ACEEE”) found that efficiency performance at the country’s largest electric utilities was 1.02% of annual retail sales. In ACEEE’s analysis, Georgia Power ranked number 40 out of 52 utilities.</w:t>
      </w:r>
      <w:r>
        <w:rPr>
          <w:rFonts w:ascii="Times New Roman" w:eastAsia="Times New Roman" w:hAnsi="Times New Roman" w:cs="Times New Roman"/>
          <w:sz w:val="24"/>
          <w:szCs w:val="24"/>
          <w:highlight w:val="white"/>
          <w:vertAlign w:val="superscript"/>
        </w:rPr>
        <w:footnoteReference w:id="24"/>
      </w:r>
      <w:r>
        <w:rPr>
          <w:rFonts w:ascii="Times New Roman" w:eastAsia="Times New Roman" w:hAnsi="Times New Roman" w:cs="Times New Roman"/>
          <w:sz w:val="24"/>
          <w:szCs w:val="24"/>
          <w:highlight w:val="white"/>
        </w:rPr>
        <w:t xml:space="preserve"> This is the most recent comprehensive comparison between major </w:t>
      </w:r>
      <w:r w:rsidR="00C21560">
        <w:rPr>
          <w:rFonts w:ascii="Times New Roman" w:eastAsia="Times New Roman" w:hAnsi="Times New Roman" w:cs="Times New Roman"/>
          <w:sz w:val="24"/>
          <w:szCs w:val="24"/>
          <w:highlight w:val="white"/>
        </w:rPr>
        <w:t>investor-owned</w:t>
      </w:r>
      <w:r>
        <w:rPr>
          <w:rFonts w:ascii="Times New Roman" w:eastAsia="Times New Roman" w:hAnsi="Times New Roman" w:cs="Times New Roman"/>
          <w:sz w:val="24"/>
          <w:szCs w:val="24"/>
          <w:highlight w:val="white"/>
        </w:rPr>
        <w:t xml:space="preserve"> utilities, but even more recent evidence shows that during the pandemic Georgia Power’s savings declined relative to the national average for all utilities. Increasing efficiency saving to the levels proposed in the Advocates Case would move Georgia Power closer to the </w:t>
      </w:r>
      <w:r>
        <w:rPr>
          <w:rFonts w:ascii="Times New Roman" w:eastAsia="Times New Roman" w:hAnsi="Times New Roman" w:cs="Times New Roman"/>
          <w:i/>
          <w:sz w:val="24"/>
          <w:szCs w:val="24"/>
          <w:highlight w:val="white"/>
          <w:u w:val="single"/>
        </w:rPr>
        <w:t>average</w:t>
      </w:r>
      <w:r>
        <w:rPr>
          <w:rFonts w:ascii="Times New Roman" w:eastAsia="Times New Roman" w:hAnsi="Times New Roman" w:cs="Times New Roman"/>
          <w:sz w:val="24"/>
          <w:szCs w:val="24"/>
          <w:highlight w:val="white"/>
        </w:rPr>
        <w:t xml:space="preserve"> for major </w:t>
      </w:r>
      <w:r w:rsidR="00C21560">
        <w:rPr>
          <w:rFonts w:ascii="Times New Roman" w:eastAsia="Times New Roman" w:hAnsi="Times New Roman" w:cs="Times New Roman"/>
          <w:sz w:val="24"/>
          <w:szCs w:val="24"/>
          <w:highlight w:val="white"/>
        </w:rPr>
        <w:t>investor-owned</w:t>
      </w:r>
      <w:r>
        <w:rPr>
          <w:rFonts w:ascii="Times New Roman" w:eastAsia="Times New Roman" w:hAnsi="Times New Roman" w:cs="Times New Roman"/>
          <w:sz w:val="24"/>
          <w:szCs w:val="24"/>
          <w:highlight w:val="white"/>
        </w:rPr>
        <w:t xml:space="preserve"> utilities. </w:t>
      </w:r>
    </w:p>
    <w:p w14:paraId="128500EE" w14:textId="77777777" w:rsidR="00653599" w:rsidRDefault="00653599" w:rsidP="00935BEC">
      <w:pPr>
        <w:spacing w:line="480" w:lineRule="auto"/>
        <w:jc w:val="both"/>
        <w:rPr>
          <w:rFonts w:ascii="Times New Roman" w:eastAsia="Times New Roman" w:hAnsi="Times New Roman" w:cs="Times New Roman"/>
          <w:sz w:val="24"/>
          <w:szCs w:val="24"/>
        </w:rPr>
      </w:pPr>
    </w:p>
    <w:p w14:paraId="128500F0" w14:textId="1D4C89A4" w:rsidR="00653599" w:rsidRDefault="00C21560" w:rsidP="00C21560">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WOULD APPROVAL OF THE ADVOCATES CASE REQUIRE GEORGIA POWER TO DEVELOP MANY NEW PROGRAMS TO ACHIEVE THE ANNUAL SAVINGS TARGETS?</w:t>
      </w:r>
    </w:p>
    <w:p w14:paraId="128500F1" w14:textId="547F0B99"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It would not. The Advocates Case expands the scale of spending and savings for Georgia Power’s existing portfolio of DSM programs, while adding in only one new program aimed at improving the efficiency of manufactured homes. This approach builds on Georgia Power’s existing program experience and should prevent implementation delays. If the </w:t>
      </w:r>
      <w:r>
        <w:rPr>
          <w:rFonts w:ascii="Times New Roman" w:eastAsia="Times New Roman" w:hAnsi="Times New Roman" w:cs="Times New Roman"/>
          <w:sz w:val="24"/>
          <w:szCs w:val="24"/>
        </w:rPr>
        <w:lastRenderedPageBreak/>
        <w:t xml:space="preserve">energy savings levels in the Advocates Case are approved, it would also be reasonable to allow Georgia Power to propose appropriate refinements to the level of savings for individual programs in each customer class, as long as the total savings levels would ultimately be achieved. </w:t>
      </w:r>
    </w:p>
    <w:p w14:paraId="128500F2" w14:textId="77777777" w:rsidR="00653599" w:rsidRDefault="00653599" w:rsidP="00935BEC">
      <w:pPr>
        <w:spacing w:line="480" w:lineRule="auto"/>
        <w:ind w:left="720"/>
        <w:jc w:val="both"/>
        <w:rPr>
          <w:rFonts w:ascii="Times New Roman" w:eastAsia="Times New Roman" w:hAnsi="Times New Roman" w:cs="Times New Roman"/>
          <w:sz w:val="24"/>
          <w:szCs w:val="24"/>
        </w:rPr>
      </w:pPr>
    </w:p>
    <w:p w14:paraId="128500F4" w14:textId="20AE99D9" w:rsidR="00653599" w:rsidRPr="00C21560" w:rsidRDefault="00C21560" w:rsidP="00C21560">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WOULD THE ADVOCATES CASE RESULT IN A LOWER TOTAL UTILITY REVENUE REQUIREMENT THAN WHAT GEORGIA POWER HAS PROPOSED?</w:t>
      </w:r>
    </w:p>
    <w:p w14:paraId="128500F5" w14:textId="47689852"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As noted above, comparable levels of spending and savings</w:t>
      </w:r>
      <w:r>
        <w:rPr>
          <w:rFonts w:ascii="Times New Roman" w:eastAsia="Times New Roman" w:hAnsi="Times New Roman" w:cs="Times New Roman"/>
          <w:sz w:val="24"/>
          <w:szCs w:val="24"/>
          <w:vertAlign w:val="superscript"/>
        </w:rPr>
        <w:footnoteReference w:id="25"/>
      </w:r>
      <w:r>
        <w:rPr>
          <w:rFonts w:ascii="Times New Roman" w:eastAsia="Times New Roman" w:hAnsi="Times New Roman" w:cs="Times New Roman"/>
          <w:sz w:val="24"/>
          <w:szCs w:val="24"/>
        </w:rPr>
        <w:t xml:space="preserve"> in Georgia Power’s Capacity Expansion Plan worksheet show that customers could save roughly [</w:t>
      </w:r>
      <w:r w:rsidR="0031352D" w:rsidRPr="0031352D">
        <w:rPr>
          <w:rFonts w:ascii="Times New Roman" w:eastAsia="Times New Roman" w:hAnsi="Times New Roman" w:cs="Times New Roman"/>
          <w:sz w:val="24"/>
          <w:szCs w:val="24"/>
          <w:highlight w:val="black"/>
        </w:rPr>
        <w:t>XXX</w:t>
      </w:r>
      <w:r>
        <w:rPr>
          <w:rFonts w:ascii="Times New Roman" w:eastAsia="Times New Roman" w:hAnsi="Times New Roman" w:cs="Times New Roman"/>
          <w:sz w:val="24"/>
          <w:szCs w:val="24"/>
        </w:rPr>
        <w:t>] with higher levels of efficiency in the Advocates Case compared to the Company’s Base Case, which equates to an approximately [</w:t>
      </w:r>
      <w:r w:rsidR="0031352D" w:rsidRPr="0031352D">
        <w:rPr>
          <w:rFonts w:ascii="Times New Roman" w:eastAsia="Times New Roman" w:hAnsi="Times New Roman" w:cs="Times New Roman"/>
          <w:sz w:val="24"/>
          <w:szCs w:val="24"/>
          <w:highlight w:val="black"/>
        </w:rPr>
        <w:t>XXX</w:t>
      </w:r>
      <w:r>
        <w:rPr>
          <w:rFonts w:ascii="Times New Roman" w:eastAsia="Times New Roman" w:hAnsi="Times New Roman" w:cs="Times New Roman"/>
          <w:sz w:val="24"/>
          <w:szCs w:val="24"/>
        </w:rPr>
        <w:t>] in the utility’s total utility revenue requirement.</w:t>
      </w:r>
      <w:r w:rsidR="0031352D">
        <w:rPr>
          <w:rStyle w:val="FootnoteReference"/>
          <w:rFonts w:ascii="Times New Roman" w:eastAsia="Times New Roman" w:hAnsi="Times New Roman" w:cs="Times New Roman"/>
          <w:sz w:val="24"/>
          <w:szCs w:val="24"/>
        </w:rPr>
        <w:footnoteReference w:id="26"/>
      </w:r>
      <w:r>
        <w:rPr>
          <w:rFonts w:ascii="Times New Roman" w:eastAsia="Times New Roman" w:hAnsi="Times New Roman" w:cs="Times New Roman"/>
          <w:sz w:val="24"/>
          <w:szCs w:val="24"/>
        </w:rPr>
        <w:t xml:space="preserve"> </w:t>
      </w:r>
    </w:p>
    <w:p w14:paraId="128500F6" w14:textId="77777777" w:rsidR="00653599" w:rsidRDefault="00653599" w:rsidP="00935BEC">
      <w:pPr>
        <w:spacing w:line="480" w:lineRule="auto"/>
        <w:ind w:left="720" w:hanging="720"/>
        <w:jc w:val="both"/>
        <w:rPr>
          <w:rFonts w:ascii="Times New Roman" w:eastAsia="Times New Roman" w:hAnsi="Times New Roman" w:cs="Times New Roman"/>
          <w:sz w:val="24"/>
          <w:szCs w:val="24"/>
        </w:rPr>
      </w:pPr>
    </w:p>
    <w:p w14:paraId="128500F8" w14:textId="507FD007" w:rsidR="00653599" w:rsidRPr="00B31D97" w:rsidRDefault="00C21560" w:rsidP="00B31D97">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WHY ARE MANUFACTURED HOMES A PRIORITY FOR EXPANDING GEORGIA POWER’S RESIDENTIAL EFFICIENCY PORTFOLIO?</w:t>
      </w:r>
    </w:p>
    <w:p w14:paraId="1F0BEBC2" w14:textId="3B1332E2" w:rsidR="00834EFD" w:rsidRDefault="004567DA" w:rsidP="00834EFD">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Manufactured homes are a priority for a new efficiency program because Georgia Power’s Base Case does not adequately address the needs of these types of homes. As a result, the manufactured housing stock in Georgia Power’s service territory remains a significant source of untapped savings potential, while comparatively high energy bills are a problem </w:t>
      </w:r>
      <w:r>
        <w:rPr>
          <w:rFonts w:ascii="Times New Roman" w:eastAsia="Times New Roman" w:hAnsi="Times New Roman" w:cs="Times New Roman"/>
          <w:sz w:val="24"/>
          <w:szCs w:val="24"/>
        </w:rPr>
        <w:lastRenderedPageBreak/>
        <w:t>for residents. In short, households residing in manufactured homes should be a priority, not an afterthought.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The </w:t>
      </w:r>
      <w:r w:rsidR="00E074ED">
        <w:rPr>
          <w:rFonts w:ascii="Times New Roman" w:eastAsia="Times New Roman" w:hAnsi="Times New Roman" w:cs="Times New Roman"/>
          <w:sz w:val="24"/>
          <w:szCs w:val="24"/>
        </w:rPr>
        <w:t>S</w:t>
      </w:r>
      <w:r>
        <w:rPr>
          <w:rFonts w:ascii="Times New Roman" w:eastAsia="Times New Roman" w:hAnsi="Times New Roman" w:cs="Times New Roman"/>
          <w:sz w:val="24"/>
          <w:szCs w:val="24"/>
        </w:rPr>
        <w:t>tate of Georgia has the fifth largest number of total manufactured homes in the country, about 367,000-380,000 housing units or approximately 8-9% of the state’s residential housing stock is estimated to be manufactured homes.</w:t>
      </w:r>
      <w:r>
        <w:rPr>
          <w:rFonts w:ascii="Times New Roman" w:eastAsia="Times New Roman" w:hAnsi="Times New Roman" w:cs="Times New Roman"/>
          <w:sz w:val="24"/>
          <w:szCs w:val="24"/>
          <w:vertAlign w:val="superscript"/>
        </w:rPr>
        <w:footnoteReference w:id="27"/>
      </w:r>
      <w:r>
        <w:rPr>
          <w:rFonts w:ascii="Times New Roman" w:eastAsia="Times New Roman" w:hAnsi="Times New Roman" w:cs="Times New Roman"/>
          <w:sz w:val="24"/>
          <w:szCs w:val="24"/>
        </w:rPr>
        <w:t xml:space="preserve"> An estimate of census tract data puts this number at roughly 5% of the housing stock in Georgia Power’s service area specifically, or about 130,000-136,000 manufactured homes.</w:t>
      </w:r>
      <w:r>
        <w:rPr>
          <w:rFonts w:ascii="Times New Roman" w:eastAsia="Times New Roman" w:hAnsi="Times New Roman" w:cs="Times New Roman"/>
          <w:sz w:val="24"/>
          <w:szCs w:val="24"/>
          <w:vertAlign w:val="superscript"/>
        </w:rPr>
        <w:footnoteReference w:id="28"/>
      </w:r>
      <w:r>
        <w:rPr>
          <w:rFonts w:ascii="Times New Roman" w:eastAsia="Times New Roman" w:hAnsi="Times New Roman" w:cs="Times New Roman"/>
          <w:sz w:val="24"/>
          <w:szCs w:val="24"/>
        </w:rPr>
        <w:t xml:space="preserve"> On top of that, the majority of manufactured homes in Georgia were built during a period of time when standards existed to ensure the longevity of factory-built homes (going back to 1976), but basic energy conservation standards were not put in place until 1994 (and updated in 2000). Thus, the manufactured housing stock in Georgia is long-lasting but extremely inefficient.</w:t>
      </w:r>
      <w:r w:rsidR="00834EFD">
        <w:rPr>
          <w:rFonts w:ascii="Times New Roman" w:eastAsia="Times New Roman" w:hAnsi="Times New Roman" w:cs="Times New Roman"/>
          <w:b/>
          <w:sz w:val="24"/>
          <w:szCs w:val="24"/>
        </w:rPr>
        <w:br w:type="page"/>
      </w:r>
    </w:p>
    <w:p w14:paraId="128500FB" w14:textId="503F14C0" w:rsidR="00653599" w:rsidRDefault="004567DA" w:rsidP="00B31D97">
      <w:pPr>
        <w:spacing w:line="480" w:lineRule="auto"/>
        <w:ind w:left="720"/>
        <w:jc w:val="center"/>
        <w:rPr>
          <w:rFonts w:ascii="Times New Roman" w:eastAsia="Times New Roman" w:hAnsi="Times New Roman" w:cs="Times New Roman"/>
          <w:color w:val="0000FF"/>
          <w:sz w:val="24"/>
          <w:szCs w:val="24"/>
          <w:highlight w:val="yellow"/>
          <w:vertAlign w:val="superscript"/>
        </w:rPr>
      </w:pPr>
      <w:r>
        <w:rPr>
          <w:rFonts w:ascii="Times New Roman" w:eastAsia="Times New Roman" w:hAnsi="Times New Roman" w:cs="Times New Roman"/>
          <w:b/>
          <w:sz w:val="24"/>
          <w:szCs w:val="24"/>
        </w:rPr>
        <w:lastRenderedPageBreak/>
        <w:t>Table 2. Distribution of Manufactured Home Units in Georgia by Year Built</w:t>
      </w:r>
      <w:r>
        <w:rPr>
          <w:rFonts w:ascii="Times New Roman" w:eastAsia="Times New Roman" w:hAnsi="Times New Roman" w:cs="Times New Roman"/>
          <w:sz w:val="24"/>
          <w:szCs w:val="24"/>
          <w:vertAlign w:val="superscript"/>
        </w:rPr>
        <w:footnoteReference w:id="29"/>
      </w:r>
    </w:p>
    <w:p w14:paraId="128500FC" w14:textId="77777777" w:rsidR="00653599" w:rsidRDefault="004567DA" w:rsidP="003258C6">
      <w:pPr>
        <w:spacing w:line="480" w:lineRule="auto"/>
        <w:ind w:left="72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14:anchorId="128501BB" wp14:editId="128501BC">
            <wp:extent cx="5472113" cy="2674670"/>
            <wp:effectExtent l="12700" t="12700" r="12700" b="127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472113" cy="2674670"/>
                    </a:xfrm>
                    <a:prstGeom prst="rect">
                      <a:avLst/>
                    </a:prstGeom>
                    <a:ln w="12700">
                      <a:solidFill>
                        <a:srgbClr val="000000"/>
                      </a:solidFill>
                      <a:prstDash val="solid"/>
                    </a:ln>
                  </pic:spPr>
                </pic:pic>
              </a:graphicData>
            </a:graphic>
          </wp:inline>
        </w:drawing>
      </w:r>
    </w:p>
    <w:p w14:paraId="128500FD" w14:textId="77777777" w:rsidR="00653599" w:rsidRDefault="00653599" w:rsidP="00935BEC">
      <w:pPr>
        <w:spacing w:line="480" w:lineRule="auto"/>
        <w:ind w:left="720"/>
        <w:jc w:val="both"/>
        <w:rPr>
          <w:rFonts w:ascii="Times New Roman" w:eastAsia="Times New Roman" w:hAnsi="Times New Roman" w:cs="Times New Roman"/>
          <w:sz w:val="24"/>
          <w:szCs w:val="24"/>
        </w:rPr>
      </w:pPr>
    </w:p>
    <w:p w14:paraId="40EFD58A" w14:textId="4AC55E7E" w:rsidR="00ED0224" w:rsidRDefault="004567DA" w:rsidP="00ED0224">
      <w:pPr>
        <w:spacing w:line="480"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While it is common for older homes to be less efficient, the degree to which this occurs in manufactured homes appears to be unique. Both energy consumption and energy expenditures per square foot are higher for mobile homes than any other residential housing unit type in the South.</w:t>
      </w:r>
      <w:r>
        <w:rPr>
          <w:rFonts w:ascii="Times New Roman" w:eastAsia="Times New Roman" w:hAnsi="Times New Roman" w:cs="Times New Roman"/>
          <w:sz w:val="24"/>
          <w:szCs w:val="24"/>
          <w:vertAlign w:val="superscript"/>
        </w:rPr>
        <w:footnoteReference w:id="30"/>
      </w:r>
      <w:r>
        <w:rPr>
          <w:rFonts w:ascii="Times New Roman" w:eastAsia="Times New Roman" w:hAnsi="Times New Roman" w:cs="Times New Roman"/>
          <w:sz w:val="24"/>
          <w:szCs w:val="24"/>
        </w:rPr>
        <w:t xml:space="preserve"> For electricity usage in the census region that contains Georgia, residents of mobile homes use approximately 12.5 kWh per square foot based on annualized billing data, roughly 50% higher than single or multifamily homes.</w:t>
      </w:r>
    </w:p>
    <w:p w14:paraId="1F572F93" w14:textId="77777777" w:rsidR="00ED0224" w:rsidRDefault="00ED0224" w:rsidP="00935BEC">
      <w:pPr>
        <w:spacing w:line="480" w:lineRule="auto"/>
        <w:jc w:val="both"/>
        <w:rPr>
          <w:rFonts w:ascii="Times New Roman" w:eastAsia="Times New Roman" w:hAnsi="Times New Roman" w:cs="Times New Roman"/>
          <w:b/>
          <w:sz w:val="24"/>
          <w:szCs w:val="24"/>
        </w:rPr>
      </w:pPr>
    </w:p>
    <w:p w14:paraId="12850100" w14:textId="77777777" w:rsidR="00653599" w:rsidRDefault="004567DA" w:rsidP="00935BEC">
      <w:pPr>
        <w:spacing w:line="480" w:lineRule="auto"/>
        <w:ind w:left="720"/>
        <w:jc w:val="center"/>
        <w:rPr>
          <w:rFonts w:ascii="Times New Roman" w:eastAsia="Times New Roman" w:hAnsi="Times New Roman" w:cs="Times New Roman"/>
          <w:sz w:val="24"/>
          <w:szCs w:val="24"/>
          <w:highlight w:val="yellow"/>
        </w:rPr>
      </w:pPr>
      <w:r>
        <w:rPr>
          <w:rFonts w:ascii="Times New Roman" w:eastAsia="Times New Roman" w:hAnsi="Times New Roman" w:cs="Times New Roman"/>
          <w:b/>
          <w:sz w:val="24"/>
          <w:szCs w:val="24"/>
        </w:rPr>
        <w:lastRenderedPageBreak/>
        <w:t>Table 3. Electricity Usage by Housing Unit Type for South Atlantic Census region</w:t>
      </w:r>
      <w:r>
        <w:rPr>
          <w:rFonts w:ascii="Times New Roman" w:eastAsia="Times New Roman" w:hAnsi="Times New Roman" w:cs="Times New Roman"/>
          <w:sz w:val="24"/>
          <w:szCs w:val="24"/>
          <w:vertAlign w:val="superscript"/>
        </w:rPr>
        <w:footnoteReference w:id="31"/>
      </w:r>
    </w:p>
    <w:tbl>
      <w:tblPr>
        <w:tblStyle w:val="a"/>
        <w:tblW w:w="5210" w:type="dxa"/>
        <w:jc w:val="center"/>
        <w:tblBorders>
          <w:top w:val="nil"/>
          <w:left w:val="nil"/>
          <w:bottom w:val="nil"/>
          <w:right w:val="nil"/>
          <w:insideH w:val="nil"/>
          <w:insideV w:val="nil"/>
        </w:tblBorders>
        <w:tblLayout w:type="fixed"/>
        <w:tblLook w:val="0600" w:firstRow="0" w:lastRow="0" w:firstColumn="0" w:lastColumn="0" w:noHBand="1" w:noVBand="1"/>
      </w:tblPr>
      <w:tblGrid>
        <w:gridCol w:w="2510"/>
        <w:gridCol w:w="1350"/>
        <w:gridCol w:w="1350"/>
      </w:tblGrid>
      <w:tr w:rsidR="00653599" w14:paraId="12850104" w14:textId="77777777" w:rsidTr="00ED0224">
        <w:trPr>
          <w:trHeight w:val="483"/>
          <w:jc w:val="center"/>
        </w:trPr>
        <w:tc>
          <w:tcPr>
            <w:tcW w:w="2510"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2850101" w14:textId="77777777" w:rsidR="00653599" w:rsidRDefault="004567DA" w:rsidP="00ED0224">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Housing Unit Type</w:t>
            </w:r>
          </w:p>
        </w:tc>
        <w:tc>
          <w:tcPr>
            <w:tcW w:w="1350" w:type="dxa"/>
            <w:tcBorders>
              <w:top w:val="single" w:sz="8" w:space="0" w:color="000000"/>
              <w:left w:val="nil"/>
              <w:bottom w:val="single" w:sz="8" w:space="0" w:color="000000"/>
              <w:right w:val="single" w:sz="8" w:space="0" w:color="000000"/>
            </w:tcBorders>
            <w:shd w:val="clear" w:color="auto" w:fill="CCCCCC"/>
            <w:tcMar>
              <w:top w:w="100" w:type="dxa"/>
              <w:left w:w="100" w:type="dxa"/>
              <w:bottom w:w="100" w:type="dxa"/>
              <w:right w:w="100" w:type="dxa"/>
            </w:tcMar>
            <w:vAlign w:val="center"/>
          </w:tcPr>
          <w:p w14:paraId="7DBEBFD1" w14:textId="77777777" w:rsidR="00ED0224" w:rsidRDefault="004567DA" w:rsidP="00ED0224">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KWh</w:t>
            </w:r>
          </w:p>
          <w:p w14:paraId="12850102" w14:textId="280C5FAA" w:rsidR="00653599" w:rsidRDefault="00ED0224" w:rsidP="00ED0224">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4567DA">
              <w:rPr>
                <w:rFonts w:ascii="Times New Roman" w:eastAsia="Times New Roman" w:hAnsi="Times New Roman" w:cs="Times New Roman"/>
                <w:b/>
                <w:sz w:val="24"/>
                <w:szCs w:val="24"/>
              </w:rPr>
              <w:t>Annual</w:t>
            </w:r>
            <w:r>
              <w:rPr>
                <w:rFonts w:ascii="Times New Roman" w:eastAsia="Times New Roman" w:hAnsi="Times New Roman" w:cs="Times New Roman"/>
                <w:b/>
                <w:sz w:val="24"/>
                <w:szCs w:val="24"/>
              </w:rPr>
              <w:t>)</w:t>
            </w:r>
          </w:p>
        </w:tc>
        <w:tc>
          <w:tcPr>
            <w:tcW w:w="1350" w:type="dxa"/>
            <w:tcBorders>
              <w:top w:val="single" w:sz="8" w:space="0" w:color="000000"/>
              <w:left w:val="nil"/>
              <w:bottom w:val="single" w:sz="8" w:space="0" w:color="000000"/>
              <w:right w:val="single" w:sz="8" w:space="0" w:color="000000"/>
            </w:tcBorders>
            <w:shd w:val="clear" w:color="auto" w:fill="CCCCCC"/>
            <w:tcMar>
              <w:top w:w="100" w:type="dxa"/>
              <w:left w:w="100" w:type="dxa"/>
              <w:bottom w:w="100" w:type="dxa"/>
              <w:right w:w="100" w:type="dxa"/>
            </w:tcMar>
            <w:vAlign w:val="center"/>
          </w:tcPr>
          <w:p w14:paraId="6AB6DDBE" w14:textId="77777777" w:rsidR="00ED0224" w:rsidRDefault="004567DA" w:rsidP="00ED0224">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KWh </w:t>
            </w:r>
          </w:p>
          <w:p w14:paraId="12850103" w14:textId="2068ACB8" w:rsidR="00653599" w:rsidRDefault="00ED0224" w:rsidP="00ED0224">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4567DA">
              <w:rPr>
                <w:rFonts w:ascii="Times New Roman" w:eastAsia="Times New Roman" w:hAnsi="Times New Roman" w:cs="Times New Roman"/>
                <w:b/>
                <w:sz w:val="24"/>
                <w:szCs w:val="24"/>
              </w:rPr>
              <w:t>Per sq. ft</w:t>
            </w:r>
            <w:r>
              <w:rPr>
                <w:rFonts w:ascii="Times New Roman" w:eastAsia="Times New Roman" w:hAnsi="Times New Roman" w:cs="Times New Roman"/>
                <w:b/>
                <w:sz w:val="24"/>
                <w:szCs w:val="24"/>
              </w:rPr>
              <w:t>)</w:t>
            </w:r>
          </w:p>
        </w:tc>
      </w:tr>
      <w:tr w:rsidR="00653599" w14:paraId="12850108" w14:textId="77777777" w:rsidTr="00ED0224">
        <w:trPr>
          <w:trHeight w:val="278"/>
          <w:jc w:val="center"/>
        </w:trPr>
        <w:tc>
          <w:tcPr>
            <w:tcW w:w="25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850105" w14:textId="77777777" w:rsidR="00653599" w:rsidRDefault="004567DA" w:rsidP="00ED0224">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Mobile Home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2850106" w14:textId="77777777" w:rsidR="00653599" w:rsidRDefault="004567DA" w:rsidP="00ED022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13,879</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2850107" w14:textId="77777777" w:rsidR="00653599" w:rsidRDefault="004567DA" w:rsidP="00ED022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r>
      <w:tr w:rsidR="00653599" w14:paraId="1285010C" w14:textId="77777777" w:rsidTr="00ED0224">
        <w:trPr>
          <w:trHeight w:val="359"/>
          <w:jc w:val="center"/>
        </w:trPr>
        <w:tc>
          <w:tcPr>
            <w:tcW w:w="25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850109" w14:textId="77777777" w:rsidR="00653599" w:rsidRDefault="004567DA" w:rsidP="00ED0224">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Single-family detached</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285010A" w14:textId="77777777" w:rsidR="00653599" w:rsidRDefault="004567DA" w:rsidP="00ED022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15,759</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285010B" w14:textId="77777777" w:rsidR="00653599" w:rsidRDefault="004567DA" w:rsidP="00ED022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r>
      <w:tr w:rsidR="00653599" w14:paraId="12850110" w14:textId="77777777" w:rsidTr="00ED0224">
        <w:trPr>
          <w:trHeight w:val="332"/>
          <w:jc w:val="center"/>
        </w:trPr>
        <w:tc>
          <w:tcPr>
            <w:tcW w:w="25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85010D" w14:textId="77777777" w:rsidR="00653599" w:rsidRDefault="004567DA" w:rsidP="00ED0224">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Single-family attached</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285010E" w14:textId="77777777" w:rsidR="00653599" w:rsidRDefault="004567DA" w:rsidP="00ED022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10,559</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285010F" w14:textId="77777777" w:rsidR="00653599" w:rsidRDefault="004567DA" w:rsidP="00ED022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r>
      <w:tr w:rsidR="00653599" w14:paraId="12850114" w14:textId="77777777" w:rsidTr="00ED0224">
        <w:trPr>
          <w:trHeight w:val="332"/>
          <w:jc w:val="center"/>
        </w:trPr>
        <w:tc>
          <w:tcPr>
            <w:tcW w:w="25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850111" w14:textId="77777777" w:rsidR="00653599" w:rsidRDefault="004567DA" w:rsidP="00ED0224">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Multifamily 2-4 Units</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2850112" w14:textId="77777777" w:rsidR="00653599" w:rsidRDefault="004567DA" w:rsidP="00ED022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7,852</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2850113" w14:textId="77777777" w:rsidR="00653599" w:rsidRDefault="004567DA" w:rsidP="00ED022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r>
      <w:tr w:rsidR="00653599" w14:paraId="12850118" w14:textId="77777777" w:rsidTr="00ED0224">
        <w:trPr>
          <w:trHeight w:val="260"/>
          <w:jc w:val="center"/>
        </w:trPr>
        <w:tc>
          <w:tcPr>
            <w:tcW w:w="25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850115" w14:textId="77777777" w:rsidR="00653599" w:rsidRDefault="004567DA" w:rsidP="00ED0224">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Multifamily 5+ Units</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2850116" w14:textId="77777777" w:rsidR="00653599" w:rsidRDefault="004567DA" w:rsidP="00ED022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8,100</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2850117" w14:textId="77777777" w:rsidR="00653599" w:rsidRDefault="004567DA" w:rsidP="00ED0224">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r>
    </w:tbl>
    <w:p w14:paraId="1285011A" w14:textId="77777777" w:rsidR="00653599"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85011C" w14:textId="08DBA329" w:rsidR="00653599" w:rsidRDefault="00C74F22" w:rsidP="00D335FE">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WHY ARE THERE TWO COMPONENTS TO THE MANUFACTURED HOUSING RETROFIT AND REPLACEMENT PROGRAM?</w:t>
      </w:r>
    </w:p>
    <w:p w14:paraId="1285011D" w14:textId="0298161B" w:rsidR="00653599" w:rsidRDefault="004567DA" w:rsidP="00D335FE">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3258C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Older manufactured homes may benefit from retrofit upgrades and replacement of outdated equipment, but in some </w:t>
      </w:r>
      <w:r w:rsidR="00C74F22">
        <w:rPr>
          <w:rFonts w:ascii="Times New Roman" w:eastAsia="Times New Roman" w:hAnsi="Times New Roman" w:cs="Times New Roman"/>
          <w:sz w:val="24"/>
          <w:szCs w:val="24"/>
        </w:rPr>
        <w:t>cases,</w:t>
      </w:r>
      <w:r>
        <w:rPr>
          <w:rFonts w:ascii="Times New Roman" w:eastAsia="Times New Roman" w:hAnsi="Times New Roman" w:cs="Times New Roman"/>
          <w:sz w:val="24"/>
          <w:szCs w:val="24"/>
        </w:rPr>
        <w:t xml:space="preserve"> it makes more sense to replace aged units entirely rather than putting mere </w:t>
      </w:r>
      <w:r w:rsidR="00C74F22">
        <w:rPr>
          <w:rFonts w:ascii="Times New Roman" w:eastAsia="Times New Roman" w:hAnsi="Times New Roman" w:cs="Times New Roman"/>
          <w:sz w:val="24"/>
          <w:szCs w:val="24"/>
        </w:rPr>
        <w:t>bandages</w:t>
      </w:r>
      <w:r>
        <w:rPr>
          <w:rFonts w:ascii="Times New Roman" w:eastAsia="Times New Roman" w:hAnsi="Times New Roman" w:cs="Times New Roman"/>
          <w:sz w:val="24"/>
          <w:szCs w:val="24"/>
        </w:rPr>
        <w:t xml:space="preserve"> on a bigger problem. For this reason, the program was conceived to serve customers in both sets of circumstances in the way that makes the best sense given the situation on the ground. Georgia Power has expressed concern with its ability to deploy the replacement portion of this program. While every effort should be taken to make the program accessible to customers for whom replacement makes the most sense, the program was intentionally designed to allow flexibility in program delivery. If Georgia Power does not </w:t>
      </w:r>
      <w:r w:rsidR="00C74F22">
        <w:rPr>
          <w:rFonts w:ascii="Times New Roman" w:eastAsia="Times New Roman" w:hAnsi="Times New Roman" w:cs="Times New Roman"/>
          <w:sz w:val="24"/>
          <w:szCs w:val="24"/>
        </w:rPr>
        <w:t>offer or</w:t>
      </w:r>
      <w:r>
        <w:rPr>
          <w:rFonts w:ascii="Times New Roman" w:eastAsia="Times New Roman" w:hAnsi="Times New Roman" w:cs="Times New Roman"/>
          <w:sz w:val="24"/>
          <w:szCs w:val="24"/>
        </w:rPr>
        <w:t xml:space="preserve"> limits the scope of the manufactured home replacement offering, it should still fully implement the program </w:t>
      </w:r>
      <w:r w:rsidR="00D335F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albeit with a greater emphasis on manufactured home </w:t>
      </w:r>
      <w:r>
        <w:rPr>
          <w:rFonts w:ascii="Times New Roman" w:eastAsia="Times New Roman" w:hAnsi="Times New Roman" w:cs="Times New Roman"/>
          <w:sz w:val="24"/>
          <w:szCs w:val="24"/>
        </w:rPr>
        <w:lastRenderedPageBreak/>
        <w:t xml:space="preserve">retrofits. The same budget and savings could still apply, even if they are shifted away from the replacement strategy and towards increased retrofits. </w:t>
      </w:r>
    </w:p>
    <w:p w14:paraId="1285011E" w14:textId="77777777" w:rsidR="00653599" w:rsidRDefault="00653599" w:rsidP="00935BEC">
      <w:pPr>
        <w:spacing w:line="480" w:lineRule="auto"/>
        <w:ind w:left="720"/>
        <w:jc w:val="both"/>
        <w:rPr>
          <w:rFonts w:ascii="Times New Roman" w:eastAsia="Times New Roman" w:hAnsi="Times New Roman" w:cs="Times New Roman"/>
          <w:b/>
          <w:sz w:val="24"/>
          <w:szCs w:val="24"/>
        </w:rPr>
      </w:pPr>
    </w:p>
    <w:p w14:paraId="12850120" w14:textId="07A25295" w:rsidR="00653599" w:rsidRPr="00C74F22" w:rsidRDefault="00C74F22" w:rsidP="00C74F22">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IS THE MANUFACTURED HOUSING PROGRAM IN THE ADVOCATES CASE COST EFFECTIVE?</w:t>
      </w:r>
    </w:p>
    <w:p w14:paraId="12850121" w14:textId="2679B968"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Yes, Georgia Power representative Jeff</w:t>
      </w:r>
      <w:r w:rsidR="007548A3">
        <w:rPr>
          <w:rFonts w:ascii="Times New Roman" w:eastAsia="Times New Roman" w:hAnsi="Times New Roman" w:cs="Times New Roman"/>
          <w:sz w:val="24"/>
          <w:szCs w:val="24"/>
        </w:rPr>
        <w:t>rey</w:t>
      </w:r>
      <w:r>
        <w:rPr>
          <w:rFonts w:ascii="Times New Roman" w:eastAsia="Times New Roman" w:hAnsi="Times New Roman" w:cs="Times New Roman"/>
          <w:sz w:val="24"/>
          <w:szCs w:val="24"/>
        </w:rPr>
        <w:t xml:space="preserve"> Smith confirmed this during </w:t>
      </w:r>
      <w:r w:rsidR="007548A3">
        <w:rPr>
          <w:rFonts w:ascii="Times New Roman" w:eastAsia="Times New Roman" w:hAnsi="Times New Roman" w:cs="Times New Roman"/>
          <w:sz w:val="24"/>
          <w:szCs w:val="24"/>
        </w:rPr>
        <w:t xml:space="preserve">his testimony before </w:t>
      </w:r>
      <w:r>
        <w:rPr>
          <w:rFonts w:ascii="Times New Roman" w:eastAsia="Times New Roman" w:hAnsi="Times New Roman" w:cs="Times New Roman"/>
          <w:sz w:val="24"/>
          <w:szCs w:val="24"/>
        </w:rPr>
        <w:t xml:space="preserve">the Commission April </w:t>
      </w:r>
      <w:r w:rsidR="007548A3">
        <w:rPr>
          <w:rFonts w:ascii="Times New Roman" w:eastAsia="Times New Roman" w:hAnsi="Times New Roman" w:cs="Times New Roman"/>
          <w:sz w:val="24"/>
          <w:szCs w:val="24"/>
        </w:rPr>
        <w:t>5</w:t>
      </w:r>
      <w:r>
        <w:rPr>
          <w:rFonts w:ascii="Times New Roman" w:eastAsia="Times New Roman" w:hAnsi="Times New Roman" w:cs="Times New Roman"/>
          <w:sz w:val="24"/>
          <w:szCs w:val="24"/>
        </w:rPr>
        <w:t>, 2022, noting that its TRC score was in the range of 1.6 or 1.8.</w:t>
      </w:r>
      <w:r>
        <w:rPr>
          <w:rFonts w:ascii="Times New Roman" w:eastAsia="Times New Roman" w:hAnsi="Times New Roman" w:cs="Times New Roman"/>
          <w:sz w:val="24"/>
          <w:szCs w:val="24"/>
          <w:vertAlign w:val="superscript"/>
        </w:rPr>
        <w:footnoteReference w:id="32"/>
      </w:r>
    </w:p>
    <w:p w14:paraId="12850122" w14:textId="77777777" w:rsidR="00653599" w:rsidRDefault="00653599" w:rsidP="00935BEC">
      <w:pPr>
        <w:spacing w:line="480" w:lineRule="auto"/>
        <w:ind w:left="720"/>
        <w:jc w:val="both"/>
        <w:rPr>
          <w:rFonts w:ascii="Times New Roman" w:eastAsia="Times New Roman" w:hAnsi="Times New Roman" w:cs="Times New Roman"/>
          <w:b/>
          <w:sz w:val="24"/>
          <w:szCs w:val="24"/>
        </w:rPr>
      </w:pPr>
    </w:p>
    <w:p w14:paraId="12850124" w14:textId="4B3D5CA2" w:rsidR="00653599" w:rsidRPr="00182E1C" w:rsidRDefault="008F618A" w:rsidP="00182E1C">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ARE THERE ANY OTHER POTENTIAL BENEFITS OF EE PROGRAMS FOR MANUFACTURED HOMEOWNERS NOT REPORTED OR TRACKED BY UTILITIES?</w:t>
      </w:r>
    </w:p>
    <w:p w14:paraId="1DE9D0A9" w14:textId="178E0E19" w:rsidR="008F618A" w:rsidRDefault="00073819" w:rsidP="008F618A">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r w:rsidR="004567DA">
        <w:rPr>
          <w:rFonts w:ascii="Times New Roman" w:eastAsia="Times New Roman" w:hAnsi="Times New Roman" w:cs="Times New Roman"/>
          <w:sz w:val="24"/>
          <w:szCs w:val="24"/>
        </w:rPr>
        <w:t>There are. Other benefits may include increased health, safety, and quality of life due to lower bills and a more comfortable home. Manufactured homeowners experience the highest rates of energy insecurity relative to any other housing type. When surveyed about the different ways households experience energy insecurity, rates were 2-3 times higher for mobile home residents than household types typically targeted by DSM programs, such as single-family homes and larger multifamily apartment buildings.</w:t>
      </w:r>
    </w:p>
    <w:p w14:paraId="0A3C62A3" w14:textId="77777777" w:rsidR="008F618A" w:rsidRDefault="008F618A" w:rsidP="008F618A">
      <w:pPr>
        <w:spacing w:line="480" w:lineRule="auto"/>
        <w:ind w:left="720" w:hanging="720"/>
        <w:jc w:val="both"/>
        <w:rPr>
          <w:rFonts w:ascii="Times New Roman" w:eastAsia="Times New Roman" w:hAnsi="Times New Roman" w:cs="Times New Roman"/>
          <w:sz w:val="24"/>
          <w:szCs w:val="24"/>
        </w:rPr>
      </w:pPr>
    </w:p>
    <w:p w14:paraId="12850127" w14:textId="77777777" w:rsidR="00653599" w:rsidRDefault="004567DA" w:rsidP="00F13BCE">
      <w:pPr>
        <w:spacing w:line="480" w:lineRule="auto"/>
        <w:ind w:left="720"/>
        <w:jc w:val="center"/>
        <w:rPr>
          <w:rFonts w:ascii="Times New Roman" w:eastAsia="Times New Roman" w:hAnsi="Times New Roman" w:cs="Times New Roman"/>
          <w:sz w:val="24"/>
          <w:szCs w:val="24"/>
          <w:highlight w:val="yellow"/>
        </w:rPr>
      </w:pPr>
      <w:r>
        <w:rPr>
          <w:rFonts w:ascii="Times New Roman" w:eastAsia="Times New Roman" w:hAnsi="Times New Roman" w:cs="Times New Roman"/>
          <w:b/>
          <w:sz w:val="24"/>
          <w:szCs w:val="24"/>
        </w:rPr>
        <w:lastRenderedPageBreak/>
        <w:t>Table 4. Household Energy Insecurity by Housing Unit Type, 2020</w:t>
      </w:r>
      <w:r>
        <w:rPr>
          <w:rFonts w:ascii="Times New Roman" w:eastAsia="Times New Roman" w:hAnsi="Times New Roman" w:cs="Times New Roman"/>
          <w:sz w:val="24"/>
          <w:szCs w:val="24"/>
          <w:vertAlign w:val="superscript"/>
        </w:rPr>
        <w:footnoteReference w:id="33"/>
      </w:r>
    </w:p>
    <w:tbl>
      <w:tblPr>
        <w:tblStyle w:val="a0"/>
        <w:tblW w:w="8705"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150"/>
        <w:gridCol w:w="1170"/>
        <w:gridCol w:w="1170"/>
        <w:gridCol w:w="1170"/>
        <w:gridCol w:w="1080"/>
        <w:gridCol w:w="965"/>
      </w:tblGrid>
      <w:tr w:rsidR="00653599" w14:paraId="1285012C" w14:textId="77777777" w:rsidTr="00F26672">
        <w:trPr>
          <w:trHeight w:val="313"/>
        </w:trPr>
        <w:tc>
          <w:tcPr>
            <w:tcW w:w="3150" w:type="dxa"/>
            <w:vMerge w:val="restart"/>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2850128" w14:textId="77777777" w:rsidR="00653599" w:rsidRDefault="004567DA" w:rsidP="008F618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Energy Insecurity Type</w:t>
            </w:r>
          </w:p>
        </w:tc>
        <w:tc>
          <w:tcPr>
            <w:tcW w:w="2340"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2850129" w14:textId="77777777" w:rsidR="00653599" w:rsidRDefault="004567DA" w:rsidP="008F618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Single-Family</w:t>
            </w:r>
          </w:p>
        </w:tc>
        <w:tc>
          <w:tcPr>
            <w:tcW w:w="2250"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285012A" w14:textId="77777777" w:rsidR="00653599" w:rsidRDefault="004567DA" w:rsidP="008F618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Multi-Family</w:t>
            </w:r>
          </w:p>
        </w:tc>
        <w:tc>
          <w:tcPr>
            <w:tcW w:w="965"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285012B" w14:textId="77777777" w:rsidR="00653599" w:rsidRDefault="004567DA" w:rsidP="008F618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Mobile</w:t>
            </w:r>
          </w:p>
        </w:tc>
      </w:tr>
      <w:tr w:rsidR="00653599" w14:paraId="12850133" w14:textId="77777777" w:rsidTr="00F26672">
        <w:trPr>
          <w:trHeight w:val="133"/>
        </w:trPr>
        <w:tc>
          <w:tcPr>
            <w:tcW w:w="3150" w:type="dxa"/>
            <w:vMerge/>
            <w:tcBorders>
              <w:bottom w:val="single" w:sz="4" w:space="0" w:color="000000"/>
              <w:right w:val="single" w:sz="4" w:space="0" w:color="000000"/>
            </w:tcBorders>
            <w:shd w:val="clear" w:color="auto" w:fill="CCCCCC"/>
            <w:tcMar>
              <w:top w:w="100" w:type="dxa"/>
              <w:left w:w="100" w:type="dxa"/>
              <w:bottom w:w="100" w:type="dxa"/>
              <w:right w:w="100" w:type="dxa"/>
            </w:tcMar>
            <w:vAlign w:val="center"/>
          </w:tcPr>
          <w:p w14:paraId="1285012D" w14:textId="77777777" w:rsidR="00653599" w:rsidRDefault="00653599" w:rsidP="008F618A">
            <w:pPr>
              <w:spacing w:line="240" w:lineRule="auto"/>
              <w:jc w:val="both"/>
              <w:rPr>
                <w:rFonts w:ascii="Times New Roman" w:eastAsia="Times New Roman" w:hAnsi="Times New Roman" w:cs="Times New Roman"/>
                <w:sz w:val="24"/>
                <w:szCs w:val="24"/>
              </w:rPr>
            </w:pPr>
          </w:p>
        </w:tc>
        <w:tc>
          <w:tcPr>
            <w:tcW w:w="1170"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285012E" w14:textId="77777777" w:rsidR="00653599" w:rsidRDefault="004567DA" w:rsidP="008F618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Attached</w:t>
            </w:r>
          </w:p>
        </w:tc>
        <w:tc>
          <w:tcPr>
            <w:tcW w:w="1170"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285012F" w14:textId="77777777" w:rsidR="00653599" w:rsidRDefault="004567DA" w:rsidP="008F618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Detached</w:t>
            </w:r>
          </w:p>
        </w:tc>
        <w:tc>
          <w:tcPr>
            <w:tcW w:w="1170"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2850130" w14:textId="77777777" w:rsidR="00653599" w:rsidRDefault="004567DA" w:rsidP="008F618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 Units</w:t>
            </w:r>
          </w:p>
        </w:tc>
        <w:tc>
          <w:tcPr>
            <w:tcW w:w="1080"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2850131" w14:textId="77777777" w:rsidR="00653599" w:rsidRDefault="004567DA" w:rsidP="008F618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 Units</w:t>
            </w:r>
          </w:p>
        </w:tc>
        <w:tc>
          <w:tcPr>
            <w:tcW w:w="965"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2850132" w14:textId="77777777" w:rsidR="00653599" w:rsidRDefault="004567DA" w:rsidP="008F618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All</w:t>
            </w:r>
          </w:p>
        </w:tc>
      </w:tr>
      <w:tr w:rsidR="00653599" w14:paraId="1285013A" w14:textId="77777777" w:rsidTr="00F26672">
        <w:trPr>
          <w:trHeight w:val="196"/>
        </w:trPr>
        <w:tc>
          <w:tcPr>
            <w:tcW w:w="31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34" w14:textId="77777777" w:rsidR="00653599" w:rsidRDefault="004567DA" w:rsidP="008F618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Any Insecurity</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35"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22.2%</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36"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28.2%</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37"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44.9%</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38"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30.6%</w:t>
            </w: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39"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47.0%</w:t>
            </w:r>
          </w:p>
        </w:tc>
      </w:tr>
      <w:tr w:rsidR="00653599" w14:paraId="12850141" w14:textId="77777777" w:rsidTr="00F26672">
        <w:trPr>
          <w:trHeight w:val="304"/>
        </w:trPr>
        <w:tc>
          <w:tcPr>
            <w:tcW w:w="31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3B" w14:textId="77777777" w:rsidR="00653599" w:rsidRDefault="004567DA" w:rsidP="008F618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Reducing food/medicine</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3C"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15.5%</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3D"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21.1%</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3E"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3F"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23.1%</w:t>
            </w: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40"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36.7%</w:t>
            </w:r>
          </w:p>
        </w:tc>
      </w:tr>
      <w:tr w:rsidR="00653599" w14:paraId="12850148" w14:textId="77777777" w:rsidTr="00F26672">
        <w:trPr>
          <w:trHeight w:val="340"/>
        </w:trPr>
        <w:tc>
          <w:tcPr>
            <w:tcW w:w="31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42" w14:textId="77777777" w:rsidR="00653599" w:rsidRDefault="004567DA" w:rsidP="008F618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Home at Unhealthy Temp</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43"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44"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45"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46"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47"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16.8%</w:t>
            </w:r>
          </w:p>
        </w:tc>
      </w:tr>
      <w:tr w:rsidR="00653599" w14:paraId="1285014F" w14:textId="77777777" w:rsidTr="00F26672">
        <w:trPr>
          <w:trHeight w:val="277"/>
        </w:trPr>
        <w:tc>
          <w:tcPr>
            <w:tcW w:w="31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49" w14:textId="77777777" w:rsidR="00653599" w:rsidRDefault="004567DA" w:rsidP="008F618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Disconnect Notice</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4A"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4B"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4C"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4D"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4E" w14:textId="77777777" w:rsidR="00653599" w:rsidRDefault="004567DA" w:rsidP="008F618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21.2%</w:t>
            </w:r>
          </w:p>
        </w:tc>
      </w:tr>
      <w:tr w:rsidR="00653599" w14:paraId="12850156" w14:textId="77777777" w:rsidTr="00F26672">
        <w:trPr>
          <w:trHeight w:val="755"/>
        </w:trPr>
        <w:tc>
          <w:tcPr>
            <w:tcW w:w="31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50" w14:textId="77777777" w:rsidR="00653599" w:rsidRDefault="004567DA" w:rsidP="008F618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 U.S. Homes (Millions)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51" w14:textId="77777777" w:rsidR="00653599" w:rsidRDefault="004567DA" w:rsidP="008F618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77.1</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52" w14:textId="77777777" w:rsidR="00653599" w:rsidRDefault="004567DA" w:rsidP="008F618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7.5</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53" w14:textId="77777777" w:rsidR="00653599" w:rsidRDefault="004567DA" w:rsidP="008F618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9.3</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54" w14:textId="77777777" w:rsidR="00653599" w:rsidRDefault="004567DA" w:rsidP="008F618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22.9</w:t>
            </w: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850155" w14:textId="77777777" w:rsidR="00653599" w:rsidRDefault="004567DA" w:rsidP="008F618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6.8</w:t>
            </w:r>
          </w:p>
        </w:tc>
      </w:tr>
    </w:tbl>
    <w:p w14:paraId="12850157" w14:textId="77777777" w:rsidR="00653599" w:rsidRDefault="00653599" w:rsidP="00935BEC">
      <w:pPr>
        <w:spacing w:line="480" w:lineRule="auto"/>
        <w:jc w:val="both"/>
        <w:rPr>
          <w:rFonts w:ascii="Times New Roman" w:eastAsia="Times New Roman" w:hAnsi="Times New Roman" w:cs="Times New Roman"/>
          <w:sz w:val="24"/>
          <w:szCs w:val="24"/>
        </w:rPr>
      </w:pPr>
    </w:p>
    <w:p w14:paraId="12850158" w14:textId="59F20FC2" w:rsidR="00653599" w:rsidRDefault="004567DA" w:rsidP="00935BEC">
      <w:pPr>
        <w:spacing w:line="480"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 </w:t>
      </w:r>
      <w:r w:rsidR="00753C07">
        <w:rPr>
          <w:rFonts w:ascii="Times New Roman" w:eastAsia="Times New Roman" w:hAnsi="Times New Roman" w:cs="Times New Roman"/>
          <w:sz w:val="24"/>
          <w:szCs w:val="24"/>
        </w:rPr>
        <w:t>weighted</w:t>
      </w:r>
      <w:r w:rsidR="008F618A">
        <w:rPr>
          <w:rFonts w:ascii="Times New Roman" w:eastAsia="Times New Roman" w:hAnsi="Times New Roman" w:cs="Times New Roman"/>
          <w:sz w:val="24"/>
          <w:szCs w:val="24"/>
        </w:rPr>
        <w:t>-</w:t>
      </w:r>
      <w:r w:rsidR="00753C07">
        <w:rPr>
          <w:rFonts w:ascii="Times New Roman" w:eastAsia="Times New Roman" w:hAnsi="Times New Roman" w:cs="Times New Roman"/>
          <w:sz w:val="24"/>
          <w:szCs w:val="24"/>
        </w:rPr>
        <w:t>average shows</w:t>
      </w:r>
      <w:r>
        <w:rPr>
          <w:rFonts w:ascii="Times New Roman" w:eastAsia="Times New Roman" w:hAnsi="Times New Roman" w:cs="Times New Roman"/>
          <w:sz w:val="24"/>
          <w:szCs w:val="24"/>
        </w:rPr>
        <w:t xml:space="preserve"> that households living in mobile homes in Georgia earn roughly $44,000, or about half of what residents of single-family housing units make.</w:t>
      </w:r>
      <w:r>
        <w:rPr>
          <w:rFonts w:ascii="Times New Roman" w:eastAsia="Times New Roman" w:hAnsi="Times New Roman" w:cs="Times New Roman"/>
          <w:sz w:val="24"/>
          <w:szCs w:val="24"/>
          <w:vertAlign w:val="superscript"/>
        </w:rPr>
        <w:footnoteReference w:id="34"/>
      </w:r>
      <w:r>
        <w:rPr>
          <w:rFonts w:ascii="Times New Roman" w:eastAsia="Times New Roman" w:hAnsi="Times New Roman" w:cs="Times New Roman"/>
          <w:sz w:val="24"/>
          <w:szCs w:val="24"/>
        </w:rPr>
        <w:t xml:space="preserve"> Furthermore, the average for most household sizes in manufactured homes is at or below 200% of federal poverty guidelines.</w:t>
      </w:r>
      <w:r>
        <w:rPr>
          <w:rFonts w:ascii="Times New Roman" w:eastAsia="Times New Roman" w:hAnsi="Times New Roman" w:cs="Times New Roman"/>
          <w:sz w:val="24"/>
          <w:szCs w:val="24"/>
          <w:vertAlign w:val="superscript"/>
        </w:rPr>
        <w:footnoteReference w:id="35"/>
      </w:r>
      <w:r>
        <w:rPr>
          <w:rFonts w:ascii="Times New Roman" w:eastAsia="Times New Roman" w:hAnsi="Times New Roman" w:cs="Times New Roman"/>
          <w:sz w:val="24"/>
          <w:szCs w:val="24"/>
        </w:rPr>
        <w:t xml:space="preserve"> Therefore, energy efficiency programs have the potential to provide outside benefits to manufactured homeowners. </w:t>
      </w:r>
    </w:p>
    <w:p w14:paraId="12850159" w14:textId="77777777" w:rsidR="00653599" w:rsidRDefault="00653599" w:rsidP="00935BEC">
      <w:pPr>
        <w:spacing w:line="480" w:lineRule="auto"/>
        <w:jc w:val="both"/>
        <w:rPr>
          <w:rFonts w:ascii="Times New Roman" w:eastAsia="Times New Roman" w:hAnsi="Times New Roman" w:cs="Times New Roman"/>
          <w:b/>
          <w:sz w:val="24"/>
          <w:szCs w:val="24"/>
        </w:rPr>
      </w:pPr>
    </w:p>
    <w:p w14:paraId="1285015B" w14:textId="7F6C4FB9" w:rsidR="00653599" w:rsidRDefault="00F13BCE" w:rsidP="00F13BCE">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DOES GEORGIA POWER HAVE THE ABILITY TO ANALYZE DSM RESOURCES COMPETITIVELY AGAINST SUPPLY RESOURCES?</w:t>
      </w:r>
    </w:p>
    <w:p w14:paraId="1285015C" w14:textId="66A101A0"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w:t>
      </w:r>
      <w:r>
        <w:rPr>
          <w:rFonts w:ascii="Times New Roman" w:eastAsia="Times New Roman" w:hAnsi="Times New Roman" w:cs="Times New Roman"/>
          <w:sz w:val="24"/>
          <w:szCs w:val="24"/>
        </w:rPr>
        <w:tab/>
        <w:t xml:space="preserve">It does. The Commission’s </w:t>
      </w:r>
      <w:r w:rsidRPr="00D64968">
        <w:rPr>
          <w:rFonts w:ascii="Times New Roman" w:eastAsia="Times New Roman" w:hAnsi="Times New Roman" w:cs="Times New Roman"/>
          <w:i/>
          <w:iCs/>
          <w:sz w:val="24"/>
          <w:szCs w:val="24"/>
        </w:rPr>
        <w:t>2019 IRP Final Order</w:t>
      </w:r>
      <w:r>
        <w:rPr>
          <w:rFonts w:ascii="Times New Roman" w:eastAsia="Times New Roman" w:hAnsi="Times New Roman" w:cs="Times New Roman"/>
          <w:sz w:val="24"/>
          <w:szCs w:val="24"/>
        </w:rPr>
        <w:t xml:space="preserve"> included a Stipulation that Georgia Power would investigate methodologies to optimize DSM alongside traditional supply-side options prior to filing its 2022 IRP. With the same Aurora modeling software used in the 2022 IRP, Georgia Power competitively analyzed DSM resources against supply-side alternatives and filed the results with the Commission on April 30th, </w:t>
      </w:r>
      <w:r w:rsidR="00AE4415">
        <w:rPr>
          <w:rFonts w:ascii="Times New Roman" w:eastAsia="Times New Roman" w:hAnsi="Times New Roman" w:cs="Times New Roman"/>
          <w:sz w:val="24"/>
          <w:szCs w:val="24"/>
        </w:rPr>
        <w:t>2021,</w:t>
      </w:r>
      <w:r>
        <w:rPr>
          <w:rFonts w:ascii="Times New Roman" w:eastAsia="Times New Roman" w:hAnsi="Times New Roman" w:cs="Times New Roman"/>
          <w:sz w:val="24"/>
          <w:szCs w:val="24"/>
        </w:rPr>
        <w:t xml:space="preserve"> in </w:t>
      </w:r>
      <w:r w:rsidR="00D64968">
        <w:rPr>
          <w:rFonts w:ascii="Times New Roman" w:eastAsia="Times New Roman" w:hAnsi="Times New Roman" w:cs="Times New Roman"/>
          <w:sz w:val="24"/>
          <w:szCs w:val="24"/>
        </w:rPr>
        <w:t>the DSM White Paper</w:t>
      </w:r>
      <w:r w:rsidR="00AE441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This analysis is different from previous approaches used by the company in its </w:t>
      </w:r>
      <w:r w:rsidR="00AE4415">
        <w:rPr>
          <w:rFonts w:ascii="Times New Roman" w:eastAsia="Times New Roman" w:hAnsi="Times New Roman" w:cs="Times New Roman"/>
          <w:sz w:val="24"/>
          <w:szCs w:val="24"/>
        </w:rPr>
        <w:t>TEAPOT</w:t>
      </w:r>
      <w:r>
        <w:rPr>
          <w:rFonts w:ascii="Times New Roman" w:eastAsia="Times New Roman" w:hAnsi="Times New Roman" w:cs="Times New Roman"/>
          <w:sz w:val="24"/>
          <w:szCs w:val="24"/>
        </w:rPr>
        <w:t xml:space="preserve"> Study in that it had DSM and supply-side resources compete head-to-head and directly showed that higher levels of energy efficiency result in the least-cost utility resource plan. </w:t>
      </w:r>
    </w:p>
    <w:p w14:paraId="1285015D" w14:textId="77777777" w:rsidR="00653599" w:rsidRDefault="00653599" w:rsidP="00935BEC">
      <w:pPr>
        <w:spacing w:line="480" w:lineRule="auto"/>
        <w:ind w:left="720"/>
        <w:jc w:val="both"/>
        <w:rPr>
          <w:rFonts w:ascii="Times New Roman" w:eastAsia="Times New Roman" w:hAnsi="Times New Roman" w:cs="Times New Roman"/>
          <w:sz w:val="24"/>
          <w:szCs w:val="24"/>
        </w:rPr>
      </w:pPr>
    </w:p>
    <w:p w14:paraId="1285015F" w14:textId="657D31B1" w:rsidR="00653599" w:rsidRDefault="00F13BCE" w:rsidP="00AE4415">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SHOULD GEORGIA POWER ANALYZE DSM RESOURCES COMPETITIVELY AGAINST SUPPLY-SIDE RESOURCES IN FUTURE IRPS?</w:t>
      </w:r>
    </w:p>
    <w:p w14:paraId="12850161" w14:textId="6F520CF6" w:rsidR="00653599" w:rsidRDefault="004567DA" w:rsidP="00F13BCE">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Yes. The Company’s modeling input assumptions were updated for its 2022 IRP filing, so the outputs of the white paper cannot be directly applied to 2022 IRP. However, using its current IRP modeling tools the Company was able to demonstrate that in a head-to-head matchup with supply-side resources, higher levels of DSM resources produced the least-cost plan suggests. This suggests that future IRPs should be informed by similar analyses. </w:t>
      </w:r>
    </w:p>
    <w:p w14:paraId="12850163" w14:textId="29DCF77E" w:rsidR="00653599" w:rsidRDefault="004567DA" w:rsidP="008D3787">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2022 IRP, Georgia Power not only failed to competitively optimize DSM against supply-side resources, </w:t>
      </w:r>
      <w:r w:rsidR="002233B8">
        <w:rPr>
          <w:rFonts w:ascii="Times New Roman" w:eastAsia="Times New Roman" w:hAnsi="Times New Roman" w:cs="Times New Roman"/>
          <w:sz w:val="24"/>
          <w:szCs w:val="24"/>
        </w:rPr>
        <w:t>the Company did not</w:t>
      </w:r>
      <w:r>
        <w:rPr>
          <w:rFonts w:ascii="Times New Roman" w:eastAsia="Times New Roman" w:hAnsi="Times New Roman" w:cs="Times New Roman"/>
          <w:sz w:val="24"/>
          <w:szCs w:val="24"/>
        </w:rPr>
        <w:t xml:space="preserve"> even consider increasing efficiency savings levels to address any of its future resources needs (i.e. load growth, power plant retirements, seasonal peaks, and reliability issues). A resource plan is not truly optimized </w:t>
      </w:r>
      <w:r>
        <w:rPr>
          <w:rFonts w:ascii="Times New Roman" w:eastAsia="Times New Roman" w:hAnsi="Times New Roman" w:cs="Times New Roman"/>
          <w:sz w:val="24"/>
          <w:szCs w:val="24"/>
        </w:rPr>
        <w:lastRenderedPageBreak/>
        <w:t xml:space="preserve">if one of the least-cost, most abundant resources (DSM) is not even considered when evaluating how to meet future resource needs. </w:t>
      </w:r>
    </w:p>
    <w:p w14:paraId="12850164" w14:textId="1FE9A661" w:rsidR="00653599" w:rsidRDefault="004567DA" w:rsidP="00935BEC">
      <w:pPr>
        <w:spacing w:line="480" w:lineRule="auto"/>
        <w:ind w:left="720"/>
        <w:jc w:val="both"/>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Georgia Power now uses IRP modeling software that is able to compare DSM and supply-side resources simultaneously. Utilizing that capability should become standard practice in future IRP cycles in order to improve information and decision making, a point that is affirmed by SACE</w:t>
      </w:r>
      <w:r w:rsidR="00391540">
        <w:rPr>
          <w:rFonts w:ascii="Times New Roman" w:eastAsia="Times New Roman" w:hAnsi="Times New Roman" w:cs="Times New Roman"/>
          <w:sz w:val="24"/>
          <w:szCs w:val="24"/>
        </w:rPr>
        <w:t>/</w:t>
      </w:r>
      <w:r>
        <w:rPr>
          <w:rFonts w:ascii="Times New Roman" w:eastAsia="Times New Roman" w:hAnsi="Times New Roman" w:cs="Times New Roman"/>
          <w:sz w:val="24"/>
          <w:szCs w:val="24"/>
        </w:rPr>
        <w:t>Southface expert witness</w:t>
      </w:r>
      <w:r w:rsidR="00391540">
        <w:rPr>
          <w:rFonts w:ascii="Times New Roman" w:eastAsia="Times New Roman" w:hAnsi="Times New Roman" w:cs="Times New Roman"/>
          <w:sz w:val="24"/>
          <w:szCs w:val="24"/>
        </w:rPr>
        <w:t>es Ronald J. Binz and</w:t>
      </w:r>
      <w:r>
        <w:rPr>
          <w:rFonts w:ascii="Times New Roman" w:eastAsia="Times New Roman" w:hAnsi="Times New Roman" w:cs="Times New Roman"/>
          <w:sz w:val="24"/>
          <w:szCs w:val="24"/>
        </w:rPr>
        <w:t xml:space="preserve"> Dr. Marylin Brown. Leading up to the next IRP cycle, the DSMWG should have an active role in working with Georgia Power to formulate workable strategies for modeling DSM in the next IRP, with a special focus on overcoming the kinds of challenges the Company stated it encountered </w:t>
      </w:r>
      <w:r w:rsidR="002233B8">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n developing the DSM White Paper. </w:t>
      </w:r>
    </w:p>
    <w:p w14:paraId="12850165" w14:textId="77777777" w:rsidR="00653599" w:rsidRDefault="00653599" w:rsidP="00935BEC">
      <w:pPr>
        <w:spacing w:line="480" w:lineRule="auto"/>
        <w:ind w:left="720"/>
        <w:jc w:val="both"/>
        <w:rPr>
          <w:rFonts w:ascii="Times New Roman" w:eastAsia="Times New Roman" w:hAnsi="Times New Roman" w:cs="Times New Roman"/>
          <w:sz w:val="24"/>
          <w:szCs w:val="24"/>
        </w:rPr>
      </w:pPr>
    </w:p>
    <w:p w14:paraId="12850167" w14:textId="11E660CD" w:rsidR="00653599" w:rsidRDefault="002233B8" w:rsidP="002233B8">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r>
      <w:r w:rsidR="004567DA">
        <w:rPr>
          <w:rFonts w:ascii="Times New Roman" w:eastAsia="Times New Roman" w:hAnsi="Times New Roman" w:cs="Times New Roman"/>
          <w:b/>
          <w:sz w:val="24"/>
          <w:szCs w:val="24"/>
        </w:rPr>
        <w:t>CAN GEORGIA POWER LEARN FROM THE SUCCESSFUL EXPERIENCE OF OTHER UTILITIES AND OVERCOME THE TECHNICAL CHALLENGES ASSOCIATED WITH COMPETITIVE MODELING ANALYSIS OF DSM IN ITS IRP MODELING SOFTWARE?</w:t>
      </w:r>
    </w:p>
    <w:p w14:paraId="12850169" w14:textId="26D4C13E" w:rsidR="00653599" w:rsidRDefault="004567DA" w:rsidP="004567DA">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Many utilities have been competitively evaluating DSM in IRP optimization analysis for a decade or more. For example, Entergy New Orleans, which also uses Aurora modeling software, performs competitive DSM analysis. Others I’m aware of include the Northwest Power and Conservation Council, Pacific Gas &amp; Electric, PacifiCorp, and the Tennessee Valley Authority. The Company has stated that it is challenging to conduct such analysis.</w:t>
      </w:r>
      <w:r>
        <w:rPr>
          <w:rFonts w:ascii="Times New Roman" w:eastAsia="Times New Roman" w:hAnsi="Times New Roman" w:cs="Times New Roman"/>
          <w:sz w:val="24"/>
          <w:szCs w:val="24"/>
          <w:vertAlign w:val="superscript"/>
        </w:rPr>
        <w:footnoteReference w:id="36"/>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Georgia Power witnesses Andy Phillips and </w:t>
      </w:r>
      <w:r w:rsidR="002233B8">
        <w:rPr>
          <w:rFonts w:ascii="Times New Roman" w:eastAsia="Times New Roman" w:hAnsi="Times New Roman" w:cs="Times New Roman"/>
          <w:sz w:val="24"/>
          <w:szCs w:val="24"/>
        </w:rPr>
        <w:t>Francisco</w:t>
      </w:r>
      <w:r>
        <w:rPr>
          <w:rFonts w:ascii="Times New Roman" w:eastAsia="Times New Roman" w:hAnsi="Times New Roman" w:cs="Times New Roman"/>
          <w:sz w:val="24"/>
          <w:szCs w:val="24"/>
        </w:rPr>
        <w:t xml:space="preserve"> Valle described these challenges before the Commission during their testimony on April 5, 2022:</w:t>
      </w:r>
    </w:p>
    <w:p w14:paraId="1285016B" w14:textId="4356F5A9" w:rsidR="00653599" w:rsidRDefault="004567DA" w:rsidP="00935BEC">
      <w:pPr>
        <w:spacing w:line="480" w:lineRule="auto"/>
        <w:ind w:left="1440" w:righ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Andy Phillips: I think specifically we said that it was technically possible. I don't recall that we concluded that it was well-suited. We did show that it is technically possible to model demand-side resources in a supply side system. But along with that, there were certain adjustments and workarounds that required that, that are not required in our current methodology. And so that led the company to conclude that, with the limitations and challenges of modeling demand-side resources in a supply side system, the current methodology that has guided development of our proposed cases for a number of years is the most appropriate way for modeling and evaluating demand-side resources.</w:t>
      </w:r>
    </w:p>
    <w:p w14:paraId="1285016D" w14:textId="52700520" w:rsidR="00653599" w:rsidRDefault="004567DA" w:rsidP="004567DA">
      <w:pPr>
        <w:spacing w:line="480" w:lineRule="auto"/>
        <w:ind w:left="1440" w:right="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Francisco Valle: And Commissioner, that is an important point because with the White Paper we did the exploration that was required. But given the sophistication of the tool in order to prepare the inputs and properly model this (sic) DSM programs in the system alongside with supply sources, you have to do a lot of grouping, a lot of bundling, and it's a complex process. So while it's doable, I want to make you aware of the complexities of adding this extra step within our planning approach (Tr. 645-656).</w:t>
      </w:r>
    </w:p>
    <w:p w14:paraId="1285016F" w14:textId="154B96FA" w:rsidR="00653599" w:rsidRDefault="004567DA" w:rsidP="004567DA">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Analyzing DSM as a competitive resource is challenging, but this is not unique to DSM. Most of the analysis in integrated resource planning is complex and has become </w:t>
      </w:r>
      <w:r>
        <w:rPr>
          <w:rFonts w:ascii="Times New Roman" w:eastAsia="Times New Roman" w:hAnsi="Times New Roman" w:cs="Times New Roman"/>
          <w:sz w:val="24"/>
          <w:szCs w:val="24"/>
        </w:rPr>
        <w:lastRenderedPageBreak/>
        <w:t xml:space="preserve">increasingly complicated over time, as previous deficiencies in modeling capabilities are regularly improved upon. For instance, new technologies and changes in how utility grids are operated have added new complexity of IRP analysis. Yet modeling intermittent renewable energy resources like wind and solar has become a common feature of integrated resource planning; adaptations are being made now to incorporate the many capabilities of battery technologies; and the intersection between capacity resource planning and transmission planning are also taking on greater importance. </w:t>
      </w:r>
    </w:p>
    <w:p w14:paraId="12850170" w14:textId="62F69934" w:rsidR="00653599" w:rsidRDefault="004567DA" w:rsidP="00935BEC">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Competitive DSM analysis has its own unique complexities that require time and effort to develop in order to run effective modeling. But the value of the information it yields more than justifies the effort. Without it, deficiencies in Georgia Power’s current IRP practices have prevented true integration of DSM resources and resulted in the Company proposing a resource plan that is not the least-cost option. Fortunately, the modeling software Georgia Power is now using has all of the analytic capabilities needed to competitively analyze DSM alongside supply </w:t>
      </w:r>
      <w:r w:rsidR="00836FFE">
        <w:rPr>
          <w:rFonts w:ascii="Times New Roman" w:eastAsia="Times New Roman" w:hAnsi="Times New Roman" w:cs="Times New Roman"/>
          <w:sz w:val="24"/>
          <w:szCs w:val="24"/>
        </w:rPr>
        <w:t>resources and,</w:t>
      </w:r>
      <w:r>
        <w:rPr>
          <w:rFonts w:ascii="Times New Roman" w:eastAsia="Times New Roman" w:hAnsi="Times New Roman" w:cs="Times New Roman"/>
          <w:sz w:val="24"/>
          <w:szCs w:val="24"/>
        </w:rPr>
        <w:t xml:space="preserve"> following its work on the DSM </w:t>
      </w:r>
      <w:r w:rsidR="00836FFE">
        <w:rPr>
          <w:rFonts w:ascii="Times New Roman" w:eastAsia="Times New Roman" w:hAnsi="Times New Roman" w:cs="Times New Roman"/>
          <w:sz w:val="24"/>
          <w:szCs w:val="24"/>
        </w:rPr>
        <w:t>W</w:t>
      </w:r>
      <w:r>
        <w:rPr>
          <w:rFonts w:ascii="Times New Roman" w:eastAsia="Times New Roman" w:hAnsi="Times New Roman" w:cs="Times New Roman"/>
          <w:sz w:val="24"/>
          <w:szCs w:val="24"/>
        </w:rPr>
        <w:t xml:space="preserve">hite </w:t>
      </w:r>
      <w:r w:rsidR="00836FFE">
        <w:rPr>
          <w:rFonts w:ascii="Times New Roman" w:eastAsia="Times New Roman" w:hAnsi="Times New Roman" w:cs="Times New Roman"/>
          <w:sz w:val="24"/>
          <w:szCs w:val="24"/>
        </w:rPr>
        <w:t>P</w:t>
      </w:r>
      <w:r>
        <w:rPr>
          <w:rFonts w:ascii="Times New Roman" w:eastAsia="Times New Roman" w:hAnsi="Times New Roman" w:cs="Times New Roman"/>
          <w:sz w:val="24"/>
          <w:szCs w:val="24"/>
        </w:rPr>
        <w:t>aper</w:t>
      </w:r>
      <w:r w:rsidR="00836FF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Georgia Power already has experience and insights to inform such analysis in the future.  </w:t>
      </w:r>
    </w:p>
    <w:p w14:paraId="12850171" w14:textId="77777777" w:rsidR="00653599" w:rsidRDefault="00653599" w:rsidP="00935BEC">
      <w:pPr>
        <w:spacing w:line="480" w:lineRule="auto"/>
        <w:ind w:left="720"/>
        <w:jc w:val="both"/>
        <w:rPr>
          <w:rFonts w:ascii="Times New Roman" w:eastAsia="Times New Roman" w:hAnsi="Times New Roman" w:cs="Times New Roman"/>
          <w:b/>
          <w:sz w:val="24"/>
          <w:szCs w:val="24"/>
        </w:rPr>
      </w:pPr>
    </w:p>
    <w:p w14:paraId="12850173" w14:textId="140FCCEF" w:rsidR="00653599" w:rsidRDefault="004567DA" w:rsidP="004567DA">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t>ARE YOU RECOMMENDING THAT GEORGIA POWER DO AWAY WITH THE DSM PROGRAM PLANNING APPROACH?</w:t>
      </w:r>
    </w:p>
    <w:p w14:paraId="12850175" w14:textId="16914116" w:rsidR="00653599" w:rsidRDefault="004567DA" w:rsidP="004567DA">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I am not. While adding competitive analysis of DSM resources will provide invaluable information for integrating DSM resources in future IRP resource portfolios, the DSM Program Planning Approach is a familiar and valuable process that should still be maintained, though there may be opportunities to improve on it going forward.  For </w:t>
      </w:r>
      <w:r>
        <w:rPr>
          <w:rFonts w:ascii="Times New Roman" w:eastAsia="Times New Roman" w:hAnsi="Times New Roman" w:cs="Times New Roman"/>
          <w:sz w:val="24"/>
          <w:szCs w:val="24"/>
        </w:rPr>
        <w:lastRenderedPageBreak/>
        <w:t xml:space="preserve">instance, the DSM Program Planning Approach provides structure to stakeholder engagement efforts in the DSM Working Group leading up to Georgia Power filing its triennial IRP. Moreover, many of the primary outputs of the DSM Program Planning Approach also yield essential data that is required as inputs for competitive analysis, such as DSM measure and program cost and performance data, and market adoption curves. </w:t>
      </w:r>
    </w:p>
    <w:p w14:paraId="12850176" w14:textId="4217352A" w:rsidR="00653599" w:rsidRDefault="004567DA" w:rsidP="00935BEC">
      <w:pPr>
        <w:spacing w:line="480"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I recommend that the Commission direct Georgia Power to include both the DSM Program Planning Approach outputs and the results of competitive DSM modeling analysis in Aurora in the next IRP cycle. Both sets of information can be used to inform decision making around DSM savings levels, and both should continue to be active components of engagement at the DSMGW. </w:t>
      </w:r>
      <w:r w:rsidR="00EA594C">
        <w:rPr>
          <w:rFonts w:ascii="Times New Roman" w:eastAsia="Times New Roman" w:hAnsi="Times New Roman" w:cs="Times New Roman"/>
          <w:sz w:val="24"/>
          <w:szCs w:val="24"/>
        </w:rPr>
        <w:t>However,</w:t>
      </w:r>
      <w:r>
        <w:rPr>
          <w:rFonts w:ascii="Times New Roman" w:eastAsia="Times New Roman" w:hAnsi="Times New Roman" w:cs="Times New Roman"/>
          <w:sz w:val="24"/>
          <w:szCs w:val="24"/>
        </w:rPr>
        <w:t xml:space="preserve"> the Company ultimately uses this information, Georgia Power should be directed to integrate DSM by actually factoring in its future resource needs when setting DSM savings levels in its proposed Base Case. </w:t>
      </w:r>
    </w:p>
    <w:p w14:paraId="12850177" w14:textId="77777777" w:rsidR="00653599" w:rsidRDefault="004567DA" w:rsidP="00935BEC">
      <w:pPr>
        <w:spacing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2850179" w14:textId="4CA6687B" w:rsidR="00653599" w:rsidRDefault="004567DA" w:rsidP="004567DA">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t>WHAT CHANGES DOES GEORGIA POWER SEEK REGARDING THE DSM ADDITIONAL SUM?</w:t>
      </w:r>
    </w:p>
    <w:p w14:paraId="1285017C" w14:textId="402D6A97" w:rsidR="00653599" w:rsidRDefault="004567DA" w:rsidP="000066D1">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Georgia Power is seeking to fundamentally change the basis on which its energy efficiency performance incentive is calculated by moving away from the existing DSM Additional Sum methodology, which compensates the Company for the financial value its programs deliver to customers, to one that automatically compensates the Company for each kWh reduction regardless of customer benefit. Specifically, the Company is seeking $0.04/kWh of first year gross energy savings up to 120% of its required savings target and $0.05/kWh </w:t>
      </w:r>
      <w:r>
        <w:rPr>
          <w:rFonts w:ascii="Times New Roman" w:eastAsia="Times New Roman" w:hAnsi="Times New Roman" w:cs="Times New Roman"/>
          <w:sz w:val="24"/>
          <w:szCs w:val="24"/>
        </w:rPr>
        <w:lastRenderedPageBreak/>
        <w:t>for each additional kWh saved above that mark.</w:t>
      </w:r>
      <w:r>
        <w:rPr>
          <w:rFonts w:ascii="Times New Roman" w:eastAsia="Times New Roman" w:hAnsi="Times New Roman" w:cs="Times New Roman"/>
          <w:sz w:val="24"/>
          <w:szCs w:val="24"/>
          <w:vertAlign w:val="superscript"/>
        </w:rPr>
        <w:footnoteReference w:id="37"/>
      </w:r>
      <w:r w:rsidR="000066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In another departure from current practice, Georgia Power is proposing to calculate kilowatts based on </w:t>
      </w:r>
      <w:r>
        <w:rPr>
          <w:rFonts w:ascii="Times New Roman" w:eastAsia="Times New Roman" w:hAnsi="Times New Roman" w:cs="Times New Roman"/>
          <w:i/>
          <w:sz w:val="24"/>
          <w:szCs w:val="24"/>
          <w:u w:val="single"/>
        </w:rPr>
        <w:t>gross</w:t>
      </w:r>
      <w:r>
        <w:rPr>
          <w:rFonts w:ascii="Times New Roman" w:eastAsia="Times New Roman" w:hAnsi="Times New Roman" w:cs="Times New Roman"/>
          <w:sz w:val="24"/>
          <w:szCs w:val="24"/>
        </w:rPr>
        <w:t xml:space="preserve"> savings, rather than </w:t>
      </w:r>
      <w:r>
        <w:rPr>
          <w:rFonts w:ascii="Times New Roman" w:eastAsia="Times New Roman" w:hAnsi="Times New Roman" w:cs="Times New Roman"/>
          <w:i/>
          <w:sz w:val="24"/>
          <w:szCs w:val="24"/>
          <w:u w:val="single"/>
        </w:rPr>
        <w:t>net</w:t>
      </w:r>
      <w:r>
        <w:rPr>
          <w:rFonts w:ascii="Times New Roman" w:eastAsia="Times New Roman" w:hAnsi="Times New Roman" w:cs="Times New Roman"/>
          <w:sz w:val="24"/>
          <w:szCs w:val="24"/>
        </w:rPr>
        <w:t xml:space="preserve">. </w:t>
      </w:r>
    </w:p>
    <w:p w14:paraId="12850182" w14:textId="758A735F" w:rsidR="00653599" w:rsidRDefault="004567DA" w:rsidP="000066D1">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only apparent difference in the Additional Sum changes Georgia Power is proposing now, compared to those it proposed in 2019, is that this time the Company eliminated a feature that would have reduced the amount of compensation it received to $0.02/kWh if it failed to deliver at least 50% of the Commission required annual efficiency savings target. The sole beneficiary of these proposed changes is Georgia Power, not its customers. Moreover, the change would actually increase costs for customers from $10 million a year to $17 million, without actually increasing efficiency savings. For this and other reasons described below, Georgia Power’s Additional Sum proposal should be rejected. Importantly, the DSM Additional Sum changes Georgia Power sought in the 2019 IRP, which are nearly identical to the changes it has again proposed, were ultimately rejected by the Commission in its final order.</w:t>
      </w:r>
      <w:r>
        <w:rPr>
          <w:rFonts w:ascii="Times New Roman" w:eastAsia="Times New Roman" w:hAnsi="Times New Roman" w:cs="Times New Roman"/>
          <w:sz w:val="24"/>
          <w:szCs w:val="24"/>
          <w:vertAlign w:val="superscript"/>
        </w:rPr>
        <w:footnoteReference w:id="38"/>
      </w:r>
      <w:r>
        <w:rPr>
          <w:rFonts w:ascii="Times New Roman" w:eastAsia="Times New Roman" w:hAnsi="Times New Roman" w:cs="Times New Roman"/>
          <w:sz w:val="24"/>
          <w:szCs w:val="24"/>
        </w:rPr>
        <w:t xml:space="preserve">  </w:t>
      </w:r>
    </w:p>
    <w:p w14:paraId="12850183" w14:textId="77777777" w:rsidR="00653599"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850184" w14:textId="0A25407D" w:rsidR="00653599" w:rsidRDefault="004567DA" w:rsidP="004567DA">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t>ARE THERE POTENTIAL UNINTENDED CONSEQUENCES OF GEORGIA POWER’S PROPOSAL TO BE COMPENSATED BASED ON FIRST YEAR’S SAVINGS AND BASE THE DSM ADDITIONAL SUM CALCULATION ON GROSS SAVINGS?</w:t>
      </w:r>
    </w:p>
    <w:p w14:paraId="12850185" w14:textId="77777777" w:rsidR="00653599" w:rsidRDefault="00653599" w:rsidP="00935BEC">
      <w:pPr>
        <w:spacing w:line="480" w:lineRule="auto"/>
        <w:ind w:left="720"/>
        <w:jc w:val="both"/>
        <w:rPr>
          <w:rFonts w:ascii="Times New Roman" w:eastAsia="Times New Roman" w:hAnsi="Times New Roman" w:cs="Times New Roman"/>
          <w:b/>
          <w:sz w:val="24"/>
          <w:szCs w:val="24"/>
        </w:rPr>
      </w:pPr>
    </w:p>
    <w:p w14:paraId="12850187" w14:textId="1B73CCDE" w:rsidR="00653599" w:rsidRDefault="004567DA" w:rsidP="004567DA">
      <w:pPr>
        <w:spacing w:line="480" w:lineRule="auto"/>
        <w:ind w:left="720" w:hanging="720"/>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A: </w:t>
      </w:r>
      <w:r>
        <w:rPr>
          <w:rFonts w:ascii="Times New Roman" w:eastAsia="Times New Roman" w:hAnsi="Times New Roman" w:cs="Times New Roman"/>
          <w:color w:val="222222"/>
          <w:sz w:val="24"/>
          <w:szCs w:val="24"/>
        </w:rPr>
        <w:tab/>
        <w:t xml:space="preserve">There are serious potential consequences from Georgia Power’s proposed changes to the Additional Sum that will negatively affect future DSM program performance and ultimately harm customers. </w:t>
      </w:r>
    </w:p>
    <w:p w14:paraId="12850189" w14:textId="296B46E8" w:rsidR="00653599" w:rsidRDefault="004567DA" w:rsidP="004567DA">
      <w:pPr>
        <w:spacing w:line="480" w:lineRule="auto"/>
        <w:ind w:left="720"/>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First, rather than count the financial value to customers over the life of the efficiency measures installed, Georgia Power is seeking a large payout for kWh savings in the first year. This creates a perverse incentive for the company to shift its programs away from efficiency measures that yield deep, persistent savings over many years (such as insulation and high efficiency air conditioners) to measures with short-term benefits that do not persist (like behavioral efficiency programs) and require constant reinvestment year after year. GPSC Public Interest Advocacy (“PIA”) staff identified this problem in their 2019 direct testimony before the Commission.</w:t>
      </w:r>
      <w:r>
        <w:rPr>
          <w:rFonts w:ascii="Times New Roman" w:eastAsia="Times New Roman" w:hAnsi="Times New Roman" w:cs="Times New Roman"/>
          <w:color w:val="222222"/>
          <w:sz w:val="24"/>
          <w:szCs w:val="24"/>
          <w:vertAlign w:val="superscript"/>
        </w:rPr>
        <w:footnoteReference w:id="39"/>
      </w:r>
      <w:r>
        <w:rPr>
          <w:rFonts w:ascii="Times New Roman" w:eastAsia="Times New Roman" w:hAnsi="Times New Roman" w:cs="Times New Roman"/>
          <w:color w:val="222222"/>
          <w:sz w:val="24"/>
          <w:szCs w:val="24"/>
        </w:rPr>
        <w:t xml:space="preserve"> </w:t>
      </w:r>
    </w:p>
    <w:p w14:paraId="1285018A" w14:textId="77777777" w:rsidR="00653599" w:rsidRDefault="004567DA" w:rsidP="00935BEC">
      <w:pPr>
        <w:spacing w:line="480" w:lineRule="auto"/>
        <w:ind w:left="720"/>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Second, by attempting to shift from net to gross savings, Georgia Power is seeking to remove adjustments that provide accountability to ensure the savings it claims actually resulted from efficiency measures attributable to the Company’s efficiency programs, meaning they would not have been installed otherwise. This, too, removes a critical incentive for Georgia Power to design and offer programs that actually drive new efficiency improvements. The current incentive structure protects against the Company claiming unearned efficiency savings and performance, while the Company’s proposal does not. </w:t>
      </w:r>
    </w:p>
    <w:p w14:paraId="1285018B" w14:textId="77777777" w:rsidR="00653599" w:rsidRDefault="004567DA" w:rsidP="00935BEC">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285018D" w14:textId="562B7961" w:rsidR="00653599" w:rsidRDefault="004567DA" w:rsidP="004567DA">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Q:</w:t>
      </w:r>
      <w:r>
        <w:rPr>
          <w:rFonts w:ascii="Times New Roman" w:eastAsia="Times New Roman" w:hAnsi="Times New Roman" w:cs="Times New Roman"/>
          <w:b/>
          <w:sz w:val="24"/>
          <w:szCs w:val="24"/>
        </w:rPr>
        <w:tab/>
        <w:t>IS GEORGIA POWER’S PROPOSED METHOD IN LINE WITH ESTABLISHED PRACTICE AT OTHER UTILITIES?</w:t>
      </w:r>
    </w:p>
    <w:p w14:paraId="12850191" w14:textId="46E7208B" w:rsidR="00653599" w:rsidRDefault="004567DA" w:rsidP="004567DA">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No. GPSC PIA staff compared Georgia Power’s proposed method to energy incentive mechanisms in other states during their 2019 direct testimony before the Commission.</w:t>
      </w:r>
      <w:r>
        <w:rPr>
          <w:rFonts w:ascii="Times New Roman" w:eastAsia="Times New Roman" w:hAnsi="Times New Roman" w:cs="Times New Roman"/>
          <w:sz w:val="24"/>
          <w:szCs w:val="24"/>
          <w:vertAlign w:val="superscript"/>
        </w:rPr>
        <w:footnoteReference w:id="40"/>
      </w:r>
      <w:r>
        <w:rPr>
          <w:rFonts w:ascii="Times New Roman" w:eastAsia="Times New Roman" w:hAnsi="Times New Roman" w:cs="Times New Roman"/>
          <w:sz w:val="24"/>
          <w:szCs w:val="24"/>
        </w:rPr>
        <w:t xml:space="preserve"> Their conclusions align with my response to the previous question, and they also provide a detailed explanation of discrepancies between Georgia Power’s proposed methodology and examples from other states and utilities. In addition to the fact that several states do not allow shareholder incentives, GPSC PIA staff in 2019 explain incentive mechanisms in Arizona, Connecticut, Michigan, and Ohio. Using data from Georgia Power, GPSC PIA staff then calculated the additional sum based on each states’ respective methodology. They find, for example, that (i) the Company’s DSM additional sum would have been $8.2 million using the method in Connecticut, compared to the $45 million proposed by Georgia Power in 2019; (ii) No Additional Sum is paid in Michigan </w:t>
      </w:r>
      <w:r w:rsidR="00BE3B1A">
        <w:rPr>
          <w:rFonts w:ascii="Times New Roman" w:eastAsia="Times New Roman" w:hAnsi="Times New Roman" w:cs="Times New Roman"/>
          <w:sz w:val="24"/>
          <w:szCs w:val="24"/>
        </w:rPr>
        <w:t>unless</w:t>
      </w:r>
      <w:r>
        <w:rPr>
          <w:rFonts w:ascii="Times New Roman" w:eastAsia="Times New Roman" w:hAnsi="Times New Roman" w:cs="Times New Roman"/>
          <w:sz w:val="24"/>
          <w:szCs w:val="24"/>
        </w:rPr>
        <w:t xml:space="preserve"> a utility reaches 115% of the target annual kWh savings goal; and (iii) Utilities in Ohio receive 7.5% of the net benefits if 100% for the target savings goal is met; the Company’s current additional sum methodology is already a percentage point higher, at 8.5%.</w:t>
      </w:r>
      <w:r>
        <w:rPr>
          <w:rFonts w:ascii="Times New Roman" w:eastAsia="Times New Roman" w:hAnsi="Times New Roman" w:cs="Times New Roman"/>
          <w:sz w:val="24"/>
          <w:szCs w:val="24"/>
          <w:vertAlign w:val="superscript"/>
        </w:rPr>
        <w:footnoteReference w:id="41"/>
      </w:r>
      <w:r>
        <w:rPr>
          <w:rFonts w:ascii="Times New Roman" w:eastAsia="Times New Roman" w:hAnsi="Times New Roman" w:cs="Times New Roman"/>
          <w:sz w:val="24"/>
          <w:szCs w:val="24"/>
        </w:rPr>
        <w:t xml:space="preserve"> To conclude their summary of DSM incentive mechanisms GPSC PIA staff stated in 2019 that:</w:t>
      </w:r>
    </w:p>
    <w:p w14:paraId="12850193" w14:textId="6D59CCC4" w:rsidR="00653599" w:rsidRDefault="004567DA" w:rsidP="004567DA">
      <w:pPr>
        <w:spacing w:line="480" w:lineRule="auto"/>
        <w:ind w:left="1440" w:righ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key finding from our analysis of incentive mechanisms is that numerous other states have less costly incentive mechanisms that achieve actual kWh and kW savings far higher, as a percent of annual retail kWh sales, than the </w:t>
      </w:r>
      <w:r>
        <w:rPr>
          <w:rFonts w:ascii="Times New Roman" w:eastAsia="Times New Roman" w:hAnsi="Times New Roman" w:cs="Times New Roman"/>
          <w:sz w:val="24"/>
          <w:szCs w:val="24"/>
        </w:rPr>
        <w:lastRenderedPageBreak/>
        <w:t>percentage reduction projected by the Company in this case for the 2020 to 2022 time period</w:t>
      </w:r>
      <w:r w:rsidR="00BE3B1A">
        <w:rPr>
          <w:rFonts w:ascii="Times New Roman" w:eastAsia="Times New Roman" w:hAnsi="Times New Roman" w:cs="Times New Roman"/>
          <w:sz w:val="24"/>
          <w:szCs w:val="24"/>
        </w:rPr>
        <w:t>.</w:t>
      </w:r>
      <w:r w:rsidR="00BE3B1A">
        <w:rPr>
          <w:rStyle w:val="FootnoteReference"/>
          <w:rFonts w:ascii="Times New Roman" w:eastAsia="Times New Roman" w:hAnsi="Times New Roman" w:cs="Times New Roman"/>
          <w:sz w:val="24"/>
          <w:szCs w:val="24"/>
        </w:rPr>
        <w:footnoteReference w:id="42"/>
      </w:r>
      <w:r>
        <w:rPr>
          <w:rFonts w:ascii="Times New Roman" w:eastAsia="Times New Roman" w:hAnsi="Times New Roman" w:cs="Times New Roman"/>
          <w:sz w:val="24"/>
          <w:szCs w:val="24"/>
        </w:rPr>
        <w:t xml:space="preserve"> </w:t>
      </w:r>
    </w:p>
    <w:p w14:paraId="12850196" w14:textId="5AE91D13" w:rsidR="00653599" w:rsidRDefault="004567DA" w:rsidP="00935BEC">
      <w:pPr>
        <w:spacing w:line="480" w:lineRule="auto"/>
        <w:ind w:left="720" w:righ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same argument holds true for Georgia Power’s proposed changes to the DSM additional sum in its 2022 IRP and DSM filings.</w:t>
      </w:r>
      <w:r w:rsidR="007F04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These findings, and those presented in my testimony above, support a continuation of the current DSM Additional Sum. I, therefore, strongly recommend that the Commission reject the Company’s proposed change to the DSM Additional Sum methodology.</w:t>
      </w:r>
    </w:p>
    <w:p w14:paraId="12850197" w14:textId="77777777" w:rsidR="00653599" w:rsidRDefault="00653599" w:rsidP="00935BEC">
      <w:pPr>
        <w:spacing w:line="480" w:lineRule="auto"/>
        <w:jc w:val="both"/>
        <w:rPr>
          <w:rFonts w:ascii="Times New Roman" w:eastAsia="Times New Roman" w:hAnsi="Times New Roman" w:cs="Times New Roman"/>
          <w:b/>
          <w:sz w:val="24"/>
          <w:szCs w:val="24"/>
        </w:rPr>
      </w:pPr>
    </w:p>
    <w:p w14:paraId="12850199" w14:textId="2EAC299D" w:rsidR="00653599" w:rsidRDefault="004567DA" w:rsidP="004567DA">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t xml:space="preserve">DO YOU GENERALLY OPPOSE PERFORMANCE INCENTIVES FOR UTILITY ENERGY EFFICIENCY PROGRAMS? </w:t>
      </w:r>
    </w:p>
    <w:p w14:paraId="1285019A" w14:textId="03973E92"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Absolutely not. DSM resources provide considerable financial value to customers and the utility system as a whole. By providing a business value proposition for increasing efficiency investments, utility performance incentives aim to align utility company interests with those of customers. They are also intended to provide an earnings mechanism for the Company’s investments in DSM resources, like it is able to make from supply-side resource investments. Whether adjustments to the Additional Sum mechanism could lead to better outcomes is worth considering, and indeed SACE offered suggested changes in the 2019 IRP.</w:t>
      </w:r>
      <w:r w:rsidR="00815D59">
        <w:rPr>
          <w:rStyle w:val="FootnoteReference"/>
          <w:rFonts w:ascii="Times New Roman" w:eastAsia="Times New Roman" w:hAnsi="Times New Roman" w:cs="Times New Roman"/>
          <w:sz w:val="24"/>
          <w:szCs w:val="24"/>
        </w:rPr>
        <w:footnoteReference w:id="43"/>
      </w:r>
      <w:r>
        <w:rPr>
          <w:rFonts w:ascii="Times New Roman" w:eastAsia="Times New Roman" w:hAnsi="Times New Roman" w:cs="Times New Roman"/>
          <w:sz w:val="24"/>
          <w:szCs w:val="24"/>
        </w:rPr>
        <w:t xml:space="preserve"> However, changes made to the performance incentive mechanism must attempt to avoid predictable unintended consequences like those described above. </w:t>
      </w:r>
    </w:p>
    <w:p w14:paraId="1285019B" w14:textId="77777777" w:rsidR="00653599" w:rsidRDefault="00653599" w:rsidP="00935BEC">
      <w:pPr>
        <w:spacing w:line="480" w:lineRule="auto"/>
        <w:ind w:left="720" w:hanging="720"/>
        <w:jc w:val="both"/>
        <w:rPr>
          <w:rFonts w:ascii="Times New Roman" w:eastAsia="Times New Roman" w:hAnsi="Times New Roman" w:cs="Times New Roman"/>
          <w:sz w:val="24"/>
          <w:szCs w:val="24"/>
        </w:rPr>
      </w:pPr>
    </w:p>
    <w:p w14:paraId="1285019C" w14:textId="449EDA63" w:rsidR="00653599" w:rsidRDefault="004567DA" w:rsidP="004567DA">
      <w:pPr>
        <w:spacing w:line="480"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Instead of merely increasing corporate earnings from efficiency, primary consideration for possible future changes to the Additional Sum should first be given to the public interest impact of such changes. A better approach to making such changes in the future would be for Georgia Power to work with the DSM Working Group to collaborate and thoroughly vet potential changes prior to submission in a future IRP cycle. </w:t>
      </w:r>
    </w:p>
    <w:p w14:paraId="1285019D" w14:textId="77777777" w:rsidR="00653599" w:rsidRDefault="004567DA" w:rsidP="00935BEC">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85019F" w14:textId="24CE1AB2" w:rsidR="00653599" w:rsidRDefault="004567DA" w:rsidP="004567DA">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t>DID GEORGIA POWER ACHIEVE THE LEVEL OF EFFICIENCY SAVINGS REQUIRED BY THE GEORGIA PUBLIC SERVICE COMMISSION IN THE 2019 IRP?</w:t>
      </w:r>
    </w:p>
    <w:p w14:paraId="128501A0" w14:textId="7155ECA6"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Unfortunately, it did not. In 2020, Georgia Power achieved only 56% of its Commission ordered savings levels, while in 2021 the Company’s savings were 70% of target.</w:t>
      </w:r>
      <w:r w:rsidR="004A3684">
        <w:rPr>
          <w:rStyle w:val="FootnoteReference"/>
          <w:rFonts w:ascii="Times New Roman" w:eastAsia="Times New Roman" w:hAnsi="Times New Roman" w:cs="Times New Roman"/>
          <w:sz w:val="24"/>
          <w:szCs w:val="24"/>
        </w:rPr>
        <w:footnoteReference w:id="44"/>
      </w:r>
      <w:r>
        <w:rPr>
          <w:rFonts w:ascii="Times New Roman" w:eastAsia="Times New Roman" w:hAnsi="Times New Roman" w:cs="Times New Roman"/>
          <w:sz w:val="24"/>
          <w:szCs w:val="24"/>
        </w:rPr>
        <w:t xml:space="preserve"> </w:t>
      </w:r>
    </w:p>
    <w:p w14:paraId="128501A1" w14:textId="77777777" w:rsidR="00653599" w:rsidRDefault="00653599" w:rsidP="00935BEC">
      <w:pPr>
        <w:spacing w:line="480" w:lineRule="auto"/>
        <w:jc w:val="both"/>
        <w:rPr>
          <w:rFonts w:ascii="Times New Roman" w:eastAsia="Times New Roman" w:hAnsi="Times New Roman" w:cs="Times New Roman"/>
          <w:sz w:val="24"/>
          <w:szCs w:val="24"/>
        </w:rPr>
      </w:pPr>
    </w:p>
    <w:p w14:paraId="128501A3" w14:textId="3DBBB822" w:rsidR="00653599" w:rsidRPr="004567DA" w:rsidRDefault="004567DA" w:rsidP="004567DA">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t xml:space="preserve">DID GEORGIA POWER ARGUE AGAINST MAKING UP FOR SAVINGS DEFICITS IN FUTURE YEARS? </w:t>
      </w:r>
    </w:p>
    <w:p w14:paraId="128501A5" w14:textId="5083FC3B" w:rsidR="00653599" w:rsidRDefault="004567DA" w:rsidP="004567DA">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Yes, it did. In meetings with the </w:t>
      </w:r>
      <w:r w:rsidR="003F78AC">
        <w:rPr>
          <w:rFonts w:ascii="Times New Roman" w:eastAsia="Times New Roman" w:hAnsi="Times New Roman" w:cs="Times New Roman"/>
          <w:sz w:val="24"/>
          <w:szCs w:val="24"/>
        </w:rPr>
        <w:t>DSMWG</w:t>
      </w:r>
      <w:r>
        <w:rPr>
          <w:rFonts w:ascii="Times New Roman" w:eastAsia="Times New Roman" w:hAnsi="Times New Roman" w:cs="Times New Roman"/>
          <w:sz w:val="24"/>
          <w:szCs w:val="24"/>
        </w:rPr>
        <w:t xml:space="preserve">, the Company stated that it felt existing regulatory practices for cost recovery of its DSM program budgets would not allow it to shift dollars from one year to another. It was also the Company’s opinion that it could not be held to making up efficiency savings performance deficits in subsequent years. </w:t>
      </w:r>
    </w:p>
    <w:p w14:paraId="128501A6" w14:textId="7C0A6079" w:rsidR="00653599" w:rsidRDefault="004567DA" w:rsidP="00935BEC">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Ultimately, this means that despite a Commission </w:t>
      </w:r>
      <w:r w:rsidR="003F78AC">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rder in the 2019 IRP requiring Georgia Power to increase its total efficiency savings by 15% above the Company’s proposed Base Case, in 2020 and 2021 its savings actually declined from previous years. The Company’s arguments against pursuing additional savings in future years to make up for the deficits 2020 and 2021 raise serious questions about what it means to set triennial targets in these IRP cycles and point to the need for Commission action to ensure utility compliance expectations are clear. It also suggests that related policies must be reviewed and possibly changed to ensure they are flexible enough to functionally operate across a range of possible circumstances.  </w:t>
      </w:r>
    </w:p>
    <w:p w14:paraId="128501A7" w14:textId="77777777" w:rsidR="00653599" w:rsidRDefault="00653599" w:rsidP="00935BEC">
      <w:pPr>
        <w:spacing w:line="480" w:lineRule="auto"/>
        <w:jc w:val="both"/>
        <w:rPr>
          <w:rFonts w:ascii="Times New Roman" w:eastAsia="Times New Roman" w:hAnsi="Times New Roman" w:cs="Times New Roman"/>
          <w:sz w:val="24"/>
          <w:szCs w:val="24"/>
        </w:rPr>
      </w:pPr>
    </w:p>
    <w:p w14:paraId="128501A9" w14:textId="7BE702A4" w:rsidR="00653599" w:rsidRPr="004567DA" w:rsidRDefault="004567DA" w:rsidP="004567DA">
      <w:pPr>
        <w:spacing w:line="480" w:lineRule="auto"/>
        <w:ind w:left="720" w:hanging="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t>SHOULD GEORGIA POWER’S UNDERPERFORMANCE WITH REGARD TO EFFICIENCY SAVINGS TARGETS SET IN THE 2019 IRP SUGGEST THAT THE TARGETS SHOULD BE LOWERED?</w:t>
      </w:r>
    </w:p>
    <w:p w14:paraId="128501AB" w14:textId="6CEF898C" w:rsidR="00653599" w:rsidRDefault="004567DA" w:rsidP="004567DA">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No, efficiency savings targets should be set based on future resource needs and optimized portfolio analysis, leading up to the Commission’s ultimate determination of what is in the best interest of customers. Lowering efficiency savings levels based on underperformance creates an incentive for the Company to underperform.  </w:t>
      </w:r>
    </w:p>
    <w:p w14:paraId="128501AC" w14:textId="77777777" w:rsidR="00653599" w:rsidRDefault="004567DA" w:rsidP="00935BEC">
      <w:pPr>
        <w:spacing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Notably, unrelated to the pandemic Georgia Power made a decision following the 2019 IRP to take administration of more of its efficiency programs in-house, rather than hire companies with specialized capabilities and experience to deliver the programs. If Georgia Power is concerned about its ability to effectively administer its efficiency savings </w:t>
      </w:r>
      <w:r>
        <w:rPr>
          <w:rFonts w:ascii="Times New Roman" w:eastAsia="Times New Roman" w:hAnsi="Times New Roman" w:cs="Times New Roman"/>
          <w:sz w:val="24"/>
          <w:szCs w:val="24"/>
        </w:rPr>
        <w:lastRenderedPageBreak/>
        <w:t xml:space="preserve">programs and reach the Commission ordered targets, it should once again consider working with companies who specialize in this work. </w:t>
      </w:r>
    </w:p>
    <w:p w14:paraId="128501AD" w14:textId="77777777" w:rsidR="00653599" w:rsidRDefault="00653599" w:rsidP="00935BEC">
      <w:pPr>
        <w:spacing w:line="480" w:lineRule="auto"/>
        <w:jc w:val="both"/>
        <w:rPr>
          <w:rFonts w:ascii="Times New Roman" w:eastAsia="Times New Roman" w:hAnsi="Times New Roman" w:cs="Times New Roman"/>
          <w:b/>
          <w:sz w:val="24"/>
          <w:szCs w:val="24"/>
        </w:rPr>
      </w:pPr>
    </w:p>
    <w:p w14:paraId="128501AF" w14:textId="1B32DDB4" w:rsidR="00653599" w:rsidRDefault="004567DA" w:rsidP="004567DA">
      <w:pPr>
        <w:spacing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t>WHAT DO YOU RECOMMEND?</w:t>
      </w:r>
    </w:p>
    <w:p w14:paraId="128501B0" w14:textId="77777777" w:rsidR="00653599" w:rsidRDefault="004567DA" w:rsidP="00935BEC">
      <w:pPr>
        <w:spacing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 xml:space="preserve">At the heart of this issue is whether Georgia Power can and must comply with Commission orders related to DSM savings targets in IRP proceedings. I recommend that the Commission first take action to resolve the issue of Georgia Power’s ability to carry forward its DSM program budgets from one year to the next if the Company falls short of its mandated annual efficiency savings target. I additionally recommend that the Commission specify that the Company is required to deliver the total required kWh savings in its IRP order. With this requirement, I believe it would be reasonable to allow a moderate degree of discretionary flexibility for the company to shift its savings from one year to another in order to make adjustments in program delivery, so long as it attains the total required level of savings. Larger shifts between years would only be allowed in response to extraordinary circumstances outside the control of the Company, which would require formal explanation and approval by Commission Staff. These suggested changes would strengthen the Company’s ability to achieve its efficiency savings targets, while making clear it has a regulatory compliance obligation to deliver the level of savings the Commission has ordered. </w:t>
      </w:r>
    </w:p>
    <w:p w14:paraId="128501B1" w14:textId="77777777" w:rsidR="00653599" w:rsidRDefault="00653599" w:rsidP="00935BEC">
      <w:pPr>
        <w:spacing w:line="480" w:lineRule="auto"/>
        <w:ind w:left="720"/>
        <w:jc w:val="both"/>
        <w:rPr>
          <w:rFonts w:ascii="Times New Roman" w:eastAsia="Times New Roman" w:hAnsi="Times New Roman" w:cs="Times New Roman"/>
          <w:b/>
          <w:sz w:val="24"/>
          <w:szCs w:val="24"/>
        </w:rPr>
      </w:pPr>
    </w:p>
    <w:p w14:paraId="128501B3" w14:textId="20EBFB2D" w:rsidR="00653599" w:rsidRDefault="004567DA" w:rsidP="004567DA">
      <w:pPr>
        <w:spacing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ab/>
        <w:t>DOES THIS CONCLUDE YOUR TESTIMONY?</w:t>
      </w:r>
    </w:p>
    <w:p w14:paraId="128501B6" w14:textId="146F4A08" w:rsidR="00653599" w:rsidRDefault="004567DA" w:rsidP="00935BEC">
      <w:pPr>
        <w:spacing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ab/>
        <w:t>Yes.</w:t>
      </w:r>
    </w:p>
    <w:sectPr w:rsidR="00653599" w:rsidSect="007832E6">
      <w:headerReference w:type="default" r:id="rId10"/>
      <w:footerReference w:type="default" r:id="rId11"/>
      <w:type w:val="continuous"/>
      <w:pgSz w:w="12240" w:h="15840"/>
      <w:pgMar w:top="1440" w:right="1440" w:bottom="1440" w:left="1440" w:header="720" w:footer="720" w:gutter="0"/>
      <w:lnNumType w:countBy="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29421" w14:textId="77777777" w:rsidR="00C21B03" w:rsidRDefault="00C21B03">
      <w:pPr>
        <w:spacing w:line="240" w:lineRule="auto"/>
      </w:pPr>
      <w:r>
        <w:separator/>
      </w:r>
    </w:p>
  </w:endnote>
  <w:endnote w:type="continuationSeparator" w:id="0">
    <w:p w14:paraId="4A5A2B5E" w14:textId="77777777" w:rsidR="00C21B03" w:rsidRDefault="00C21B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501FF" w14:textId="5B4498A0" w:rsidR="00653599" w:rsidRDefault="004567DA">
    <w:pPr>
      <w:jc w:val="center"/>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D42C2C">
      <w:rPr>
        <w:rFonts w:ascii="Times New Roman" w:eastAsia="Times New Roman" w:hAnsi="Times New Roman" w:cs="Times New Roman"/>
        <w:noProof/>
      </w:rPr>
      <w:t>1</w:t>
    </w:r>
    <w:r>
      <w:rPr>
        <w:rFonts w:ascii="Times New Roman" w:eastAsia="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A1CA8" w14:textId="77777777" w:rsidR="00C21B03" w:rsidRDefault="00C21B03">
      <w:pPr>
        <w:spacing w:line="240" w:lineRule="auto"/>
      </w:pPr>
      <w:r>
        <w:separator/>
      </w:r>
    </w:p>
  </w:footnote>
  <w:footnote w:type="continuationSeparator" w:id="0">
    <w:p w14:paraId="0EB3D14F" w14:textId="77777777" w:rsidR="00C21B03" w:rsidRDefault="00C21B03">
      <w:pPr>
        <w:spacing w:line="240" w:lineRule="auto"/>
      </w:pPr>
      <w:r>
        <w:continuationSeparator/>
      </w:r>
    </w:p>
  </w:footnote>
  <w:footnote w:id="1">
    <w:p w14:paraId="12850200" w14:textId="76A8329C" w:rsidR="00653599" w:rsidRPr="005958E2" w:rsidRDefault="004567DA" w:rsidP="005958E2">
      <w:pPr>
        <w:spacing w:line="240" w:lineRule="auto"/>
        <w:jc w:val="both"/>
        <w:rPr>
          <w:rFonts w:ascii="Times New Roman" w:eastAsia="Times New Roman" w:hAnsi="Times New Roman" w:cs="Times New Roman"/>
          <w:sz w:val="20"/>
          <w:szCs w:val="20"/>
        </w:rPr>
      </w:pPr>
      <w:r w:rsidRPr="005958E2">
        <w:rPr>
          <w:rFonts w:ascii="Times New Roman" w:hAnsi="Times New Roman" w:cs="Times New Roman"/>
          <w:sz w:val="20"/>
          <w:szCs w:val="20"/>
          <w:vertAlign w:val="superscript"/>
        </w:rPr>
        <w:footnoteRef/>
      </w:r>
      <w:r w:rsidRPr="005958E2">
        <w:rPr>
          <w:rFonts w:ascii="Times New Roman" w:eastAsia="Times New Roman" w:hAnsi="Times New Roman" w:cs="Times New Roman"/>
          <w:sz w:val="20"/>
          <w:szCs w:val="20"/>
        </w:rPr>
        <w:t xml:space="preserve"> </w:t>
      </w:r>
      <w:r w:rsidRPr="005958E2">
        <w:rPr>
          <w:rFonts w:ascii="Times New Roman" w:eastAsia="Times New Roman" w:hAnsi="Times New Roman" w:cs="Times New Roman"/>
          <w:i/>
          <w:sz w:val="20"/>
          <w:szCs w:val="20"/>
        </w:rPr>
        <w:t>Georgia Power’s 2022 Integrated Resource Plan</w:t>
      </w:r>
      <w:r w:rsidR="00BF01D4" w:rsidRPr="005958E2">
        <w:rPr>
          <w:rFonts w:ascii="Times New Roman" w:eastAsia="Times New Roman" w:hAnsi="Times New Roman" w:cs="Times New Roman"/>
          <w:i/>
          <w:sz w:val="20"/>
          <w:szCs w:val="20"/>
        </w:rPr>
        <w:t xml:space="preserve">, </w:t>
      </w:r>
      <w:r w:rsidRPr="00B20EC7">
        <w:rPr>
          <w:rFonts w:ascii="Times New Roman" w:eastAsia="Times New Roman" w:hAnsi="Times New Roman" w:cs="Times New Roman"/>
          <w:iCs/>
          <w:sz w:val="20"/>
          <w:szCs w:val="20"/>
        </w:rPr>
        <w:t>Docket No. 44160,</w:t>
      </w:r>
      <w:r w:rsidRPr="005958E2">
        <w:rPr>
          <w:rFonts w:ascii="Times New Roman" w:eastAsia="Times New Roman" w:hAnsi="Times New Roman" w:cs="Times New Roman"/>
          <w:i/>
          <w:sz w:val="20"/>
          <w:szCs w:val="20"/>
        </w:rPr>
        <w:t xml:space="preserve"> </w:t>
      </w:r>
      <w:r w:rsidRPr="005958E2">
        <w:rPr>
          <w:rFonts w:ascii="Times New Roman" w:eastAsia="Times New Roman" w:hAnsi="Times New Roman" w:cs="Times New Roman"/>
          <w:sz w:val="20"/>
          <w:szCs w:val="20"/>
        </w:rPr>
        <w:t>Main Document, Page 1-3.</w:t>
      </w:r>
    </w:p>
  </w:footnote>
  <w:footnote w:id="2">
    <w:p w14:paraId="12850201" w14:textId="3BB1158F" w:rsidR="00653599" w:rsidRPr="005958E2" w:rsidRDefault="004567DA" w:rsidP="005958E2">
      <w:pPr>
        <w:spacing w:line="240" w:lineRule="auto"/>
        <w:jc w:val="both"/>
        <w:rPr>
          <w:rFonts w:ascii="Times New Roman" w:eastAsia="Times New Roman" w:hAnsi="Times New Roman" w:cs="Times New Roman"/>
          <w:iCs/>
          <w:sz w:val="20"/>
          <w:szCs w:val="20"/>
        </w:rPr>
      </w:pPr>
      <w:r w:rsidRPr="005958E2">
        <w:rPr>
          <w:rFonts w:ascii="Times New Roman" w:hAnsi="Times New Roman" w:cs="Times New Roman"/>
          <w:sz w:val="20"/>
          <w:szCs w:val="20"/>
          <w:vertAlign w:val="superscript"/>
        </w:rPr>
        <w:footnoteRef/>
      </w:r>
      <w:r w:rsidRPr="005958E2">
        <w:rPr>
          <w:rFonts w:ascii="Times New Roman" w:eastAsia="Times New Roman" w:hAnsi="Times New Roman" w:cs="Times New Roman"/>
          <w:sz w:val="20"/>
          <w:szCs w:val="20"/>
        </w:rPr>
        <w:t xml:space="preserve"> </w:t>
      </w:r>
      <w:r w:rsidR="00656E39" w:rsidRPr="005958E2">
        <w:rPr>
          <w:rFonts w:ascii="Times New Roman" w:eastAsia="Times New Roman" w:hAnsi="Times New Roman" w:cs="Times New Roman"/>
          <w:i/>
          <w:sz w:val="20"/>
          <w:szCs w:val="20"/>
        </w:rPr>
        <w:t>Georgia Power’s 2022 Integrated Resource Plan</w:t>
      </w:r>
      <w:r w:rsidR="00656E39" w:rsidRPr="00B20EC7">
        <w:rPr>
          <w:rFonts w:ascii="Times New Roman" w:eastAsia="Times New Roman" w:hAnsi="Times New Roman" w:cs="Times New Roman"/>
          <w:iCs/>
          <w:sz w:val="20"/>
          <w:szCs w:val="20"/>
        </w:rPr>
        <w:t>, Docket No. 44160</w:t>
      </w:r>
      <w:r w:rsidR="00085FE7" w:rsidRPr="00B20EC7">
        <w:rPr>
          <w:rFonts w:ascii="Times New Roman" w:eastAsia="Times New Roman" w:hAnsi="Times New Roman" w:cs="Times New Roman"/>
          <w:iCs/>
          <w:sz w:val="20"/>
          <w:szCs w:val="20"/>
        </w:rPr>
        <w:t>,</w:t>
      </w:r>
      <w:r w:rsidR="00085FE7" w:rsidRPr="005958E2">
        <w:rPr>
          <w:rFonts w:ascii="Times New Roman" w:eastAsia="Times New Roman" w:hAnsi="Times New Roman" w:cs="Times New Roman"/>
          <w:i/>
          <w:sz w:val="20"/>
          <w:szCs w:val="20"/>
        </w:rPr>
        <w:t xml:space="preserve"> </w:t>
      </w:r>
      <w:r w:rsidR="00DB54DC" w:rsidRPr="005958E2">
        <w:rPr>
          <w:rFonts w:ascii="Times New Roman" w:eastAsia="Times New Roman" w:hAnsi="Times New Roman" w:cs="Times New Roman"/>
          <w:iCs/>
          <w:sz w:val="20"/>
          <w:szCs w:val="20"/>
        </w:rPr>
        <w:t>Technical Appendix Volume 2, Unit Retirement Stu</w:t>
      </w:r>
      <w:r w:rsidR="005958E2" w:rsidRPr="005958E2">
        <w:rPr>
          <w:rFonts w:ascii="Times New Roman" w:eastAsia="Times New Roman" w:hAnsi="Times New Roman" w:cs="Times New Roman"/>
          <w:iCs/>
          <w:sz w:val="20"/>
          <w:szCs w:val="20"/>
        </w:rPr>
        <w:t>dies, Table 7.</w:t>
      </w:r>
    </w:p>
  </w:footnote>
  <w:footnote w:id="3">
    <w:p w14:paraId="12850202" w14:textId="6A479C55" w:rsidR="00653599" w:rsidRPr="005958E2" w:rsidRDefault="004567DA" w:rsidP="005958E2">
      <w:pPr>
        <w:spacing w:line="240" w:lineRule="auto"/>
        <w:jc w:val="both"/>
        <w:rPr>
          <w:rFonts w:ascii="Times New Roman" w:eastAsia="Times New Roman" w:hAnsi="Times New Roman" w:cs="Times New Roman"/>
          <w:sz w:val="20"/>
          <w:szCs w:val="20"/>
        </w:rPr>
      </w:pPr>
      <w:r w:rsidRPr="005958E2">
        <w:rPr>
          <w:rFonts w:ascii="Times New Roman" w:hAnsi="Times New Roman" w:cs="Times New Roman"/>
          <w:sz w:val="20"/>
          <w:szCs w:val="20"/>
          <w:vertAlign w:val="superscript"/>
        </w:rPr>
        <w:footnoteRef/>
      </w:r>
      <w:r w:rsidRPr="005958E2">
        <w:rPr>
          <w:rFonts w:ascii="Times New Roman" w:eastAsia="Times New Roman" w:hAnsi="Times New Roman" w:cs="Times New Roman"/>
          <w:sz w:val="20"/>
          <w:szCs w:val="20"/>
        </w:rPr>
        <w:t xml:space="preserve"> </w:t>
      </w:r>
      <w:r w:rsidR="006160C9" w:rsidRPr="005958E2">
        <w:rPr>
          <w:rFonts w:ascii="Times New Roman" w:eastAsia="Times New Roman" w:hAnsi="Times New Roman" w:cs="Times New Roman"/>
          <w:i/>
          <w:sz w:val="20"/>
          <w:szCs w:val="20"/>
        </w:rPr>
        <w:t xml:space="preserve">Georgia Power’s 2022 Integrated Resource Plan, </w:t>
      </w:r>
      <w:r w:rsidR="006160C9" w:rsidRPr="00B20EC7">
        <w:rPr>
          <w:rFonts w:ascii="Times New Roman" w:eastAsia="Times New Roman" w:hAnsi="Times New Roman" w:cs="Times New Roman"/>
          <w:iCs/>
          <w:sz w:val="20"/>
          <w:szCs w:val="20"/>
        </w:rPr>
        <w:t>Docket No. 44160,</w:t>
      </w:r>
      <w:r w:rsidR="006160C9" w:rsidRPr="005958E2">
        <w:rPr>
          <w:rFonts w:ascii="Times New Roman" w:eastAsia="Times New Roman" w:hAnsi="Times New Roman" w:cs="Times New Roman"/>
          <w:i/>
          <w:sz w:val="20"/>
          <w:szCs w:val="20"/>
        </w:rPr>
        <w:t xml:space="preserve"> </w:t>
      </w:r>
      <w:r w:rsidR="006160C9" w:rsidRPr="005958E2">
        <w:rPr>
          <w:rFonts w:ascii="Times New Roman" w:eastAsia="Times New Roman" w:hAnsi="Times New Roman" w:cs="Times New Roman"/>
          <w:sz w:val="20"/>
          <w:szCs w:val="20"/>
        </w:rPr>
        <w:t>Main Document</w:t>
      </w:r>
      <w:r w:rsidRPr="005958E2">
        <w:rPr>
          <w:rFonts w:ascii="Times New Roman" w:eastAsia="Times New Roman" w:hAnsi="Times New Roman" w:cs="Times New Roman"/>
          <w:sz w:val="20"/>
          <w:szCs w:val="20"/>
        </w:rPr>
        <w:t>, Pages 1-5 and 1-6.</w:t>
      </w:r>
    </w:p>
  </w:footnote>
  <w:footnote w:id="4">
    <w:p w14:paraId="12850203" w14:textId="60C9BB61" w:rsidR="00653599" w:rsidRPr="00D54A09" w:rsidRDefault="004567DA" w:rsidP="005958E2">
      <w:pPr>
        <w:spacing w:line="240" w:lineRule="auto"/>
        <w:jc w:val="both"/>
        <w:rPr>
          <w:rFonts w:ascii="Times New Roman" w:eastAsia="Times New Roman" w:hAnsi="Times New Roman" w:cs="Times New Roman"/>
          <w:iCs/>
          <w:sz w:val="20"/>
          <w:szCs w:val="20"/>
          <w:shd w:val="clear" w:color="auto" w:fill="FFF2CC"/>
        </w:rPr>
      </w:pPr>
      <w:r w:rsidRPr="005958E2">
        <w:rPr>
          <w:rFonts w:ascii="Times New Roman" w:hAnsi="Times New Roman" w:cs="Times New Roman"/>
          <w:sz w:val="20"/>
          <w:szCs w:val="20"/>
          <w:vertAlign w:val="superscript"/>
        </w:rPr>
        <w:footnoteRef/>
      </w:r>
      <w:r w:rsidRPr="005958E2">
        <w:rPr>
          <w:rFonts w:ascii="Times New Roman" w:eastAsia="Times New Roman" w:hAnsi="Times New Roman" w:cs="Times New Roman"/>
          <w:sz w:val="20"/>
          <w:szCs w:val="20"/>
        </w:rPr>
        <w:t xml:space="preserve"> </w:t>
      </w:r>
      <w:r w:rsidRPr="005958E2">
        <w:rPr>
          <w:rFonts w:ascii="Times New Roman" w:eastAsia="Times New Roman" w:hAnsi="Times New Roman" w:cs="Times New Roman"/>
          <w:i/>
          <w:sz w:val="20"/>
          <w:szCs w:val="20"/>
        </w:rPr>
        <w:t>Id.</w:t>
      </w:r>
      <w:r w:rsidR="00D54A09">
        <w:rPr>
          <w:rFonts w:ascii="Times New Roman" w:eastAsia="Times New Roman" w:hAnsi="Times New Roman" w:cs="Times New Roman"/>
          <w:iCs/>
          <w:sz w:val="20"/>
          <w:szCs w:val="20"/>
        </w:rPr>
        <w:t>, Page 5-26.</w:t>
      </w:r>
    </w:p>
  </w:footnote>
  <w:footnote w:id="5">
    <w:p w14:paraId="12850204" w14:textId="3DB7CFA9" w:rsidR="00653599" w:rsidRPr="0036149A" w:rsidRDefault="004567DA" w:rsidP="005958E2">
      <w:pPr>
        <w:spacing w:line="240" w:lineRule="auto"/>
        <w:jc w:val="both"/>
        <w:rPr>
          <w:rFonts w:ascii="Times New Roman" w:eastAsia="Times New Roman" w:hAnsi="Times New Roman" w:cs="Times New Roman"/>
          <w:iCs/>
          <w:sz w:val="20"/>
          <w:szCs w:val="20"/>
        </w:rPr>
      </w:pPr>
      <w:r w:rsidRPr="005958E2">
        <w:rPr>
          <w:rFonts w:ascii="Times New Roman" w:hAnsi="Times New Roman" w:cs="Times New Roman"/>
          <w:sz w:val="20"/>
          <w:szCs w:val="20"/>
          <w:vertAlign w:val="superscript"/>
        </w:rPr>
        <w:footnoteRef/>
      </w:r>
      <w:r w:rsidRPr="005958E2">
        <w:rPr>
          <w:rFonts w:ascii="Times New Roman" w:eastAsia="Times New Roman" w:hAnsi="Times New Roman" w:cs="Times New Roman"/>
          <w:sz w:val="20"/>
          <w:szCs w:val="20"/>
        </w:rPr>
        <w:t xml:space="preserve"> </w:t>
      </w:r>
      <w:r w:rsidRPr="005958E2">
        <w:rPr>
          <w:rFonts w:ascii="Times New Roman" w:eastAsia="Times New Roman" w:hAnsi="Times New Roman" w:cs="Times New Roman"/>
          <w:i/>
          <w:sz w:val="20"/>
          <w:szCs w:val="20"/>
        </w:rPr>
        <w:t>Id.</w:t>
      </w:r>
      <w:r w:rsidRPr="005958E2">
        <w:rPr>
          <w:rFonts w:ascii="Times New Roman" w:eastAsia="Times New Roman" w:hAnsi="Times New Roman" w:cs="Times New Roman"/>
          <w:sz w:val="20"/>
          <w:szCs w:val="20"/>
        </w:rPr>
        <w:t>,</w:t>
      </w:r>
      <w:r w:rsidRPr="005958E2">
        <w:rPr>
          <w:rFonts w:ascii="Times New Roman" w:eastAsia="Times New Roman" w:hAnsi="Times New Roman" w:cs="Times New Roman"/>
          <w:i/>
          <w:sz w:val="20"/>
          <w:szCs w:val="20"/>
        </w:rPr>
        <w:t xml:space="preserve"> </w:t>
      </w:r>
      <w:r w:rsidR="00D54A09" w:rsidRPr="005958E2">
        <w:rPr>
          <w:rFonts w:ascii="Times New Roman" w:eastAsia="Times New Roman" w:hAnsi="Times New Roman" w:cs="Times New Roman"/>
          <w:iCs/>
          <w:sz w:val="20"/>
          <w:szCs w:val="20"/>
        </w:rPr>
        <w:t>Technical Appendix Volume</w:t>
      </w:r>
      <w:r w:rsidRPr="005958E2">
        <w:rPr>
          <w:rFonts w:ascii="Times New Roman" w:eastAsia="Times New Roman" w:hAnsi="Times New Roman" w:cs="Times New Roman"/>
          <w:sz w:val="20"/>
          <w:szCs w:val="20"/>
        </w:rPr>
        <w:t xml:space="preserve"> 1, Reserve Margin Study</w:t>
      </w:r>
      <w:r w:rsidR="0036149A">
        <w:rPr>
          <w:rFonts w:ascii="Times New Roman" w:eastAsia="Times New Roman" w:hAnsi="Times New Roman" w:cs="Times New Roman"/>
          <w:iCs/>
          <w:sz w:val="20"/>
          <w:szCs w:val="20"/>
        </w:rPr>
        <w:t>, Page x.</w:t>
      </w:r>
    </w:p>
  </w:footnote>
  <w:footnote w:id="6">
    <w:p w14:paraId="12850205" w14:textId="14C532DE" w:rsidR="00653599" w:rsidRPr="00BA3C97" w:rsidRDefault="004567DA">
      <w:pPr>
        <w:spacing w:line="240" w:lineRule="auto"/>
        <w:jc w:val="both"/>
        <w:rPr>
          <w:rFonts w:ascii="Times New Roman" w:eastAsia="Times New Roman" w:hAnsi="Times New Roman" w:cs="Times New Roman"/>
          <w:sz w:val="20"/>
          <w:szCs w:val="20"/>
        </w:rPr>
      </w:pPr>
      <w:r w:rsidRPr="00BA3C97">
        <w:rPr>
          <w:rFonts w:ascii="Times New Roman" w:hAnsi="Times New Roman" w:cs="Times New Roman"/>
          <w:sz w:val="20"/>
          <w:szCs w:val="20"/>
          <w:vertAlign w:val="superscript"/>
        </w:rPr>
        <w:footnoteRef/>
      </w:r>
      <w:r w:rsidRPr="00BA3C97">
        <w:rPr>
          <w:rFonts w:ascii="Times New Roman" w:eastAsia="Times New Roman" w:hAnsi="Times New Roman" w:cs="Times New Roman"/>
          <w:sz w:val="20"/>
          <w:szCs w:val="20"/>
        </w:rPr>
        <w:t xml:space="preserve"> In his testimony before the Commission on April 5, 2022, Georgia Power witness Andy Phillips stated, “The </w:t>
      </w:r>
      <w:r w:rsidR="00BA3C97" w:rsidRPr="00BA3C97">
        <w:rPr>
          <w:rFonts w:ascii="Times New Roman" w:eastAsia="Times New Roman" w:hAnsi="Times New Roman" w:cs="Times New Roman"/>
          <w:sz w:val="20"/>
          <w:szCs w:val="20"/>
        </w:rPr>
        <w:t>431-gigawatt</w:t>
      </w:r>
      <w:r w:rsidRPr="00BA3C97">
        <w:rPr>
          <w:rFonts w:ascii="Times New Roman" w:eastAsia="Times New Roman" w:hAnsi="Times New Roman" w:cs="Times New Roman"/>
          <w:sz w:val="20"/>
          <w:szCs w:val="20"/>
        </w:rPr>
        <w:t xml:space="preserve"> hours are </w:t>
      </w:r>
      <w:r w:rsidRPr="00BA3C97">
        <w:rPr>
          <w:rFonts w:ascii="Times New Roman" w:eastAsia="Times New Roman" w:hAnsi="Times New Roman" w:cs="Times New Roman"/>
          <w:i/>
          <w:sz w:val="20"/>
          <w:szCs w:val="20"/>
          <w:u w:val="single"/>
        </w:rPr>
        <w:t>gross savings</w:t>
      </w:r>
      <w:r w:rsidRPr="00BA3C97">
        <w:rPr>
          <w:rFonts w:ascii="Times New Roman" w:eastAsia="Times New Roman" w:hAnsi="Times New Roman" w:cs="Times New Roman"/>
          <w:sz w:val="20"/>
          <w:szCs w:val="20"/>
        </w:rPr>
        <w:t xml:space="preserve"> for the overall portfolio” (Tr. 729). In my calculation, retail sales are based on mean sales Georgia Power reported to EIA for 2016-2020. For comparison purposes, I used the same gross-to-net adjustment of 83.9% for efficiency savings from: Southern Alliance for Clean Energy. February 2022. </w:t>
      </w:r>
      <w:r w:rsidRPr="00BA3C97">
        <w:rPr>
          <w:rFonts w:ascii="Times New Roman" w:eastAsia="Times New Roman" w:hAnsi="Times New Roman" w:cs="Times New Roman"/>
          <w:i/>
          <w:sz w:val="20"/>
          <w:szCs w:val="20"/>
        </w:rPr>
        <w:t>Energy Efficiency in the Southeast, Annual Report</w:t>
      </w:r>
      <w:r w:rsidRPr="00BA3C97">
        <w:rPr>
          <w:rFonts w:ascii="Times New Roman" w:eastAsia="Times New Roman" w:hAnsi="Times New Roman" w:cs="Times New Roman"/>
          <w:sz w:val="20"/>
          <w:szCs w:val="20"/>
        </w:rPr>
        <w:t>. SACE: Atlanta, GA. Available at:</w:t>
      </w:r>
      <w:r w:rsidR="00BA3C97" w:rsidRPr="00BA3C97">
        <w:rPr>
          <w:rFonts w:ascii="Times New Roman" w:hAnsi="Times New Roman" w:cs="Times New Roman"/>
          <w:sz w:val="20"/>
          <w:szCs w:val="20"/>
        </w:rPr>
        <w:t xml:space="preserve"> </w:t>
      </w:r>
      <w:hyperlink r:id="rId1" w:history="1">
        <w:r w:rsidR="00BA3C97" w:rsidRPr="00BA3C97">
          <w:rPr>
            <w:rStyle w:val="Hyperlink"/>
            <w:rFonts w:ascii="Times New Roman" w:hAnsi="Times New Roman" w:cs="Times New Roman"/>
            <w:sz w:val="20"/>
            <w:szCs w:val="20"/>
          </w:rPr>
          <w:t>https://cleanenergy.org/wp-content/uploads/Energy-Efficiency-in-the-Southeast-Fourth-Annual-Report.pdf</w:t>
        </w:r>
        <w:r w:rsidRPr="00BA3C97">
          <w:rPr>
            <w:rStyle w:val="Hyperlink"/>
            <w:rFonts w:ascii="Times New Roman" w:eastAsia="Times New Roman" w:hAnsi="Times New Roman" w:cs="Times New Roman"/>
            <w:sz w:val="20"/>
            <w:szCs w:val="20"/>
          </w:rPr>
          <w:t>.</w:t>
        </w:r>
      </w:hyperlink>
      <w:r w:rsidRPr="00BA3C97">
        <w:rPr>
          <w:rFonts w:ascii="Times New Roman" w:eastAsia="Times New Roman" w:hAnsi="Times New Roman" w:cs="Times New Roman"/>
          <w:sz w:val="20"/>
          <w:szCs w:val="20"/>
        </w:rPr>
        <w:t xml:space="preserve"> </w:t>
      </w:r>
    </w:p>
  </w:footnote>
  <w:footnote w:id="7">
    <w:p w14:paraId="12850206" w14:textId="1EB9E834" w:rsidR="00653599" w:rsidRDefault="004567DA">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Georgia Power’s 2022 Integrated Resource Plan</w:t>
      </w:r>
      <w:r w:rsidR="00BA3C97">
        <w:rPr>
          <w:rFonts w:ascii="Times New Roman" w:eastAsia="Times New Roman" w:hAnsi="Times New Roman" w:cs="Times New Roman"/>
          <w:i/>
          <w:sz w:val="20"/>
          <w:szCs w:val="20"/>
        </w:rPr>
        <w:t xml:space="preserve">, </w:t>
      </w:r>
      <w:r w:rsidRPr="00B20EC7">
        <w:rPr>
          <w:rFonts w:ascii="Times New Roman" w:eastAsia="Times New Roman" w:hAnsi="Times New Roman" w:cs="Times New Roman"/>
          <w:iCs/>
          <w:sz w:val="20"/>
          <w:szCs w:val="20"/>
        </w:rPr>
        <w:t>Docket No. 44160,</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Main Document, Page 1-3.</w:t>
      </w:r>
    </w:p>
  </w:footnote>
  <w:footnote w:id="8">
    <w:p w14:paraId="12850207" w14:textId="57EA45D3" w:rsidR="00653599" w:rsidRPr="00BB25C8" w:rsidRDefault="004567DA" w:rsidP="00BB25C8">
      <w:pPr>
        <w:spacing w:line="240" w:lineRule="auto"/>
        <w:jc w:val="both"/>
        <w:rPr>
          <w:rFonts w:ascii="Times New Roman" w:eastAsia="Times New Roman" w:hAnsi="Times New Roman" w:cs="Times New Roman"/>
          <w:sz w:val="20"/>
          <w:szCs w:val="20"/>
        </w:rPr>
      </w:pPr>
      <w:r w:rsidRPr="00BB25C8">
        <w:rPr>
          <w:rFonts w:ascii="Times New Roman" w:hAnsi="Times New Roman" w:cs="Times New Roman"/>
          <w:sz w:val="20"/>
          <w:szCs w:val="20"/>
          <w:vertAlign w:val="superscript"/>
        </w:rPr>
        <w:footnoteRef/>
      </w:r>
      <w:r w:rsidRPr="00BB25C8">
        <w:rPr>
          <w:rFonts w:ascii="Times New Roman" w:eastAsia="Times New Roman" w:hAnsi="Times New Roman" w:cs="Times New Roman"/>
          <w:sz w:val="20"/>
          <w:szCs w:val="20"/>
        </w:rPr>
        <w:t xml:space="preserve"> </w:t>
      </w:r>
      <w:r w:rsidR="008440DC" w:rsidRPr="00BB25C8">
        <w:rPr>
          <w:rFonts w:ascii="Times New Roman" w:eastAsia="Times New Roman" w:hAnsi="Times New Roman" w:cs="Times New Roman"/>
          <w:sz w:val="20"/>
          <w:szCs w:val="20"/>
          <w:highlight w:val="white"/>
        </w:rPr>
        <w:t xml:space="preserve">Georgia Power Company, April 30, 2021, </w:t>
      </w:r>
      <w:r w:rsidR="008440DC" w:rsidRPr="00BB25C8">
        <w:rPr>
          <w:rFonts w:ascii="Times New Roman" w:eastAsia="Times New Roman" w:hAnsi="Times New Roman" w:cs="Times New Roman"/>
          <w:i/>
          <w:iCs/>
          <w:sz w:val="20"/>
          <w:szCs w:val="20"/>
          <w:highlight w:val="white"/>
        </w:rPr>
        <w:t>Supply-Side Representation of Energy Efficiency Resources in the Georgia Power IRP Model</w:t>
      </w:r>
      <w:r w:rsidR="008440DC" w:rsidRPr="00BB25C8">
        <w:rPr>
          <w:rFonts w:ascii="Times New Roman" w:eastAsia="Times New Roman" w:hAnsi="Times New Roman" w:cs="Times New Roman"/>
          <w:sz w:val="20"/>
          <w:szCs w:val="20"/>
          <w:highlight w:val="white"/>
        </w:rPr>
        <w:t xml:space="preserve">, Docket No. 42311, </w:t>
      </w:r>
      <w:r w:rsidR="009A0D7A" w:rsidRPr="00BB25C8">
        <w:rPr>
          <w:rFonts w:ascii="Times New Roman" w:eastAsia="Times New Roman" w:hAnsi="Times New Roman" w:cs="Times New Roman"/>
          <w:sz w:val="20"/>
          <w:szCs w:val="20"/>
        </w:rPr>
        <w:t>P</w:t>
      </w:r>
      <w:r w:rsidRPr="00BB25C8">
        <w:rPr>
          <w:rFonts w:ascii="Times New Roman" w:eastAsia="Times New Roman" w:hAnsi="Times New Roman" w:cs="Times New Roman"/>
          <w:sz w:val="20"/>
          <w:szCs w:val="20"/>
        </w:rPr>
        <w:t>age 28, Figure A3.</w:t>
      </w:r>
    </w:p>
  </w:footnote>
  <w:footnote w:id="9">
    <w:p w14:paraId="12850208" w14:textId="2CD6DEF0" w:rsidR="00653599" w:rsidRPr="00BB25C8" w:rsidRDefault="004567DA" w:rsidP="00BB25C8">
      <w:pPr>
        <w:spacing w:line="240" w:lineRule="auto"/>
        <w:jc w:val="both"/>
        <w:rPr>
          <w:rFonts w:ascii="Times New Roman" w:eastAsia="Times New Roman" w:hAnsi="Times New Roman" w:cs="Times New Roman"/>
          <w:sz w:val="20"/>
          <w:szCs w:val="20"/>
        </w:rPr>
      </w:pPr>
      <w:r w:rsidRPr="00BB25C8">
        <w:rPr>
          <w:rFonts w:ascii="Times New Roman" w:hAnsi="Times New Roman" w:cs="Times New Roman"/>
          <w:sz w:val="20"/>
          <w:szCs w:val="20"/>
          <w:vertAlign w:val="superscript"/>
        </w:rPr>
        <w:footnoteRef/>
      </w:r>
      <w:r w:rsidRPr="00BB25C8">
        <w:rPr>
          <w:rFonts w:ascii="Times New Roman" w:eastAsia="Times New Roman" w:hAnsi="Times New Roman" w:cs="Times New Roman"/>
          <w:sz w:val="20"/>
          <w:szCs w:val="20"/>
        </w:rPr>
        <w:t xml:space="preserve"> </w:t>
      </w:r>
      <w:r w:rsidRPr="00BB25C8">
        <w:rPr>
          <w:rFonts w:ascii="Times New Roman" w:eastAsia="Times New Roman" w:hAnsi="Times New Roman" w:cs="Times New Roman"/>
          <w:i/>
          <w:iCs/>
          <w:sz w:val="20"/>
          <w:szCs w:val="20"/>
        </w:rPr>
        <w:t>Id.</w:t>
      </w:r>
      <w:r w:rsidR="00131BA7">
        <w:rPr>
          <w:rFonts w:ascii="Times New Roman" w:eastAsia="Times New Roman" w:hAnsi="Times New Roman" w:cs="Times New Roman"/>
          <w:i/>
          <w:iCs/>
          <w:sz w:val="20"/>
          <w:szCs w:val="20"/>
        </w:rPr>
        <w:t xml:space="preserve">, </w:t>
      </w:r>
      <w:r w:rsidR="00131BA7" w:rsidRPr="00BB25C8">
        <w:rPr>
          <w:rFonts w:ascii="Times New Roman" w:eastAsia="Times New Roman" w:hAnsi="Times New Roman" w:cs="Times New Roman"/>
          <w:sz w:val="20"/>
          <w:szCs w:val="20"/>
        </w:rPr>
        <w:t>Figure A3</w:t>
      </w:r>
      <w:r w:rsidR="008C5F5C">
        <w:rPr>
          <w:rFonts w:ascii="Times New Roman" w:eastAsia="Times New Roman" w:hAnsi="Times New Roman" w:cs="Times New Roman"/>
          <w:sz w:val="20"/>
          <w:szCs w:val="20"/>
        </w:rPr>
        <w:t>.</w:t>
      </w:r>
    </w:p>
  </w:footnote>
  <w:footnote w:id="10">
    <w:p w14:paraId="605DA9B9" w14:textId="77777777" w:rsidR="00131BA7" w:rsidRPr="00BB25C8" w:rsidRDefault="00131BA7" w:rsidP="00131BA7">
      <w:pPr>
        <w:spacing w:line="240" w:lineRule="auto"/>
        <w:jc w:val="both"/>
        <w:rPr>
          <w:rFonts w:ascii="Times New Roman" w:eastAsia="Times New Roman" w:hAnsi="Times New Roman" w:cs="Times New Roman"/>
          <w:sz w:val="20"/>
          <w:szCs w:val="20"/>
        </w:rPr>
      </w:pPr>
      <w:r w:rsidRPr="00BB25C8">
        <w:rPr>
          <w:rFonts w:ascii="Times New Roman" w:hAnsi="Times New Roman" w:cs="Times New Roman"/>
          <w:sz w:val="20"/>
          <w:szCs w:val="20"/>
          <w:vertAlign w:val="superscript"/>
        </w:rPr>
        <w:footnoteRef/>
      </w:r>
      <w:r w:rsidRPr="00BB25C8">
        <w:rPr>
          <w:rFonts w:ascii="Times New Roman" w:eastAsia="Times New Roman" w:hAnsi="Times New Roman" w:cs="Times New Roman"/>
          <w:sz w:val="20"/>
          <w:szCs w:val="20"/>
        </w:rPr>
        <w:t xml:space="preserve"> </w:t>
      </w:r>
      <w:r w:rsidRPr="005958E2">
        <w:rPr>
          <w:rFonts w:ascii="Times New Roman" w:eastAsia="Times New Roman" w:hAnsi="Times New Roman" w:cs="Times New Roman"/>
          <w:i/>
          <w:sz w:val="20"/>
          <w:szCs w:val="20"/>
        </w:rPr>
        <w:t>Georgia Power’s 2022 Integrated Resource Plan</w:t>
      </w:r>
      <w:r>
        <w:rPr>
          <w:rFonts w:ascii="Times New Roman" w:eastAsia="Times New Roman" w:hAnsi="Times New Roman" w:cs="Times New Roman"/>
          <w:i/>
          <w:sz w:val="20"/>
          <w:szCs w:val="20"/>
        </w:rPr>
        <w:t xml:space="preserve"> and Application for the Certification, De-certification, and Amended Demand-Side Management Plan</w:t>
      </w:r>
      <w:r w:rsidRPr="005958E2">
        <w:rPr>
          <w:rFonts w:ascii="Times New Roman" w:eastAsia="Times New Roman" w:hAnsi="Times New Roman" w:cs="Times New Roman"/>
          <w:i/>
          <w:sz w:val="20"/>
          <w:szCs w:val="20"/>
        </w:rPr>
        <w:t xml:space="preserve">, </w:t>
      </w:r>
      <w:r w:rsidRPr="00B20EC7">
        <w:rPr>
          <w:rFonts w:ascii="Times New Roman" w:eastAsia="Times New Roman" w:hAnsi="Times New Roman" w:cs="Times New Roman"/>
          <w:iCs/>
          <w:sz w:val="20"/>
          <w:szCs w:val="20"/>
        </w:rPr>
        <w:t>Docket Nos. 44160 and 44161,</w:t>
      </w:r>
      <w:r>
        <w:rPr>
          <w:rFonts w:ascii="Times New Roman" w:eastAsia="Times New Roman" w:hAnsi="Times New Roman" w:cs="Times New Roman"/>
          <w:i/>
          <w:sz w:val="20"/>
          <w:szCs w:val="20"/>
        </w:rPr>
        <w:t xml:space="preserve"> </w:t>
      </w:r>
      <w:r>
        <w:rPr>
          <w:rFonts w:ascii="Times New Roman" w:eastAsia="Times New Roman" w:hAnsi="Times New Roman" w:cs="Times New Roman"/>
          <w:iCs/>
          <w:sz w:val="20"/>
          <w:szCs w:val="20"/>
        </w:rPr>
        <w:t xml:space="preserve">Technical Appendix Volume 1, </w:t>
      </w:r>
      <w:r w:rsidRPr="00BB25C8">
        <w:rPr>
          <w:rFonts w:ascii="Times New Roman" w:hAnsi="Times New Roman" w:cs="Times New Roman"/>
          <w:color w:val="000000"/>
          <w:sz w:val="20"/>
          <w:szCs w:val="20"/>
        </w:rPr>
        <w:t>DSM Case Summary Data MG0</w:t>
      </w:r>
      <w:r>
        <w:rPr>
          <w:rFonts w:ascii="Times New Roman" w:hAnsi="Times New Roman" w:cs="Times New Roman"/>
          <w:color w:val="000000"/>
          <w:sz w:val="20"/>
          <w:szCs w:val="20"/>
        </w:rPr>
        <w:t>,</w:t>
      </w:r>
      <w:r w:rsidRPr="00BB25C8">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sidRPr="00BB25C8">
        <w:rPr>
          <w:rFonts w:ascii="Times New Roman" w:hAnsi="Times New Roman" w:cs="Times New Roman"/>
          <w:color w:val="000000"/>
          <w:sz w:val="20"/>
          <w:szCs w:val="20"/>
        </w:rPr>
        <w:t>Proposed Case</w:t>
      </w:r>
      <w:r>
        <w:rPr>
          <w:rFonts w:ascii="Times New Roman" w:hAnsi="Times New Roman" w:cs="Times New Roman"/>
          <w:color w:val="000000"/>
          <w:sz w:val="20"/>
          <w:szCs w:val="20"/>
        </w:rPr>
        <w:t>”</w:t>
      </w:r>
      <w:r w:rsidRPr="00BB25C8">
        <w:rPr>
          <w:rFonts w:ascii="Times New Roman" w:hAnsi="Times New Roman" w:cs="Times New Roman"/>
          <w:color w:val="000000"/>
          <w:sz w:val="20"/>
          <w:szCs w:val="20"/>
        </w:rPr>
        <w:t xml:space="preserve"> tab</w:t>
      </w:r>
      <w:r>
        <w:rPr>
          <w:rFonts w:ascii="Times New Roman" w:hAnsi="Times New Roman" w:cs="Times New Roman"/>
          <w:color w:val="000000"/>
          <w:sz w:val="20"/>
          <w:szCs w:val="20"/>
        </w:rPr>
        <w:t>.</w:t>
      </w:r>
    </w:p>
  </w:footnote>
  <w:footnote w:id="11">
    <w:p w14:paraId="1285020A" w14:textId="6A34389F" w:rsidR="00653599" w:rsidRDefault="004567DA" w:rsidP="00BB25C8">
      <w:pPr>
        <w:spacing w:line="240" w:lineRule="auto"/>
        <w:jc w:val="both"/>
        <w:rPr>
          <w:rFonts w:ascii="Times New Roman" w:eastAsia="Times New Roman" w:hAnsi="Times New Roman" w:cs="Times New Roman"/>
          <w:sz w:val="20"/>
          <w:szCs w:val="20"/>
        </w:rPr>
      </w:pPr>
      <w:r w:rsidRPr="00BB25C8">
        <w:rPr>
          <w:rFonts w:ascii="Times New Roman" w:hAnsi="Times New Roman" w:cs="Times New Roman"/>
          <w:sz w:val="20"/>
          <w:szCs w:val="20"/>
          <w:vertAlign w:val="superscript"/>
        </w:rPr>
        <w:footnoteRef/>
      </w:r>
      <w:r w:rsidRPr="00BB25C8">
        <w:rPr>
          <w:rFonts w:ascii="Times New Roman" w:eastAsia="Times New Roman" w:hAnsi="Times New Roman" w:cs="Times New Roman"/>
          <w:sz w:val="20"/>
          <w:szCs w:val="20"/>
        </w:rPr>
        <w:t xml:space="preserve"> </w:t>
      </w:r>
      <w:r w:rsidR="00BB25C8" w:rsidRPr="00541BCC">
        <w:rPr>
          <w:rFonts w:ascii="Times New Roman" w:hAnsi="Times New Roman" w:cs="Times New Roman"/>
          <w:i/>
          <w:iCs/>
          <w:color w:val="000000"/>
          <w:sz w:val="20"/>
          <w:szCs w:val="20"/>
        </w:rPr>
        <w:t>Id.</w:t>
      </w:r>
      <w:r w:rsidR="00BB25C8" w:rsidRPr="00BB25C8">
        <w:rPr>
          <w:rFonts w:ascii="Times New Roman" w:hAnsi="Times New Roman" w:cs="Times New Roman"/>
          <w:color w:val="000000"/>
          <w:sz w:val="20"/>
          <w:szCs w:val="20"/>
        </w:rPr>
        <w:t>, "Aggressive Case" tab.</w:t>
      </w:r>
    </w:p>
  </w:footnote>
  <w:footnote w:id="12">
    <w:p w14:paraId="26DD5FF6" w14:textId="7DCECD63" w:rsidR="00D0460E" w:rsidRPr="00B20EC7" w:rsidRDefault="00D0460E" w:rsidP="00B20EC7">
      <w:pPr>
        <w:pStyle w:val="FootnoteText"/>
        <w:jc w:val="both"/>
        <w:rPr>
          <w:rFonts w:ascii="Times New Roman" w:hAnsi="Times New Roman" w:cs="Times New Roman"/>
          <w:lang w:val="en-US"/>
        </w:rPr>
      </w:pPr>
      <w:r w:rsidRPr="00B20EC7">
        <w:rPr>
          <w:rStyle w:val="FootnoteReference"/>
          <w:rFonts w:ascii="Times New Roman" w:hAnsi="Times New Roman" w:cs="Times New Roman"/>
        </w:rPr>
        <w:footnoteRef/>
      </w:r>
      <w:r w:rsidRPr="00B20EC7">
        <w:rPr>
          <w:rFonts w:ascii="Times New Roman" w:hAnsi="Times New Roman" w:cs="Times New Roman"/>
        </w:rPr>
        <w:t xml:space="preserve"> </w:t>
      </w:r>
      <w:r w:rsidR="003B756E" w:rsidRPr="003F59E3">
        <w:rPr>
          <w:rFonts w:ascii="Times New Roman" w:hAnsi="Times New Roman" w:cs="Times New Roman"/>
          <w:i/>
          <w:iCs/>
          <w:lang w:val="en-US"/>
        </w:rPr>
        <w:t>Georgia Power Company</w:t>
      </w:r>
      <w:r w:rsidR="003F59E3" w:rsidRPr="003F59E3">
        <w:rPr>
          <w:rFonts w:ascii="Times New Roman" w:hAnsi="Times New Roman" w:cs="Times New Roman"/>
          <w:i/>
          <w:iCs/>
          <w:lang w:val="en-US"/>
        </w:rPr>
        <w:t>’s</w:t>
      </w:r>
      <w:r w:rsidR="003B756E" w:rsidRPr="00B20EC7">
        <w:rPr>
          <w:rFonts w:ascii="Times New Roman" w:hAnsi="Times New Roman" w:cs="Times New Roman"/>
          <w:lang w:val="en-US"/>
        </w:rPr>
        <w:t xml:space="preserve"> </w:t>
      </w:r>
      <w:r w:rsidR="003B756E" w:rsidRPr="00B20EC7">
        <w:rPr>
          <w:rFonts w:ascii="Times New Roman" w:hAnsi="Times New Roman" w:cs="Times New Roman"/>
          <w:i/>
          <w:iCs/>
          <w:lang w:val="en-US"/>
        </w:rPr>
        <w:t>Report on Achievable Energy Efficiency Potential Assessment</w:t>
      </w:r>
      <w:r w:rsidR="00B20EC7" w:rsidRPr="00B20EC7">
        <w:rPr>
          <w:rFonts w:ascii="Times New Roman" w:hAnsi="Times New Roman" w:cs="Times New Roman"/>
          <w:lang w:val="en-US"/>
        </w:rPr>
        <w:t>, Docket No. 43040</w:t>
      </w:r>
      <w:r w:rsidR="003F59E3">
        <w:rPr>
          <w:rFonts w:ascii="Times New Roman" w:hAnsi="Times New Roman" w:cs="Times New Roman"/>
          <w:lang w:val="en-US"/>
        </w:rPr>
        <w:t xml:space="preserve">, </w:t>
      </w:r>
      <w:r w:rsidR="003F59E3" w:rsidRPr="00B20EC7">
        <w:rPr>
          <w:rFonts w:ascii="Times New Roman" w:hAnsi="Times New Roman" w:cs="Times New Roman"/>
          <w:lang w:val="en-US"/>
        </w:rPr>
        <w:t>February 1, 2021</w:t>
      </w:r>
      <w:r w:rsidR="003F59E3">
        <w:rPr>
          <w:rFonts w:ascii="Times New Roman" w:hAnsi="Times New Roman" w:cs="Times New Roman"/>
          <w:lang w:val="en-US"/>
        </w:rPr>
        <w:t>.</w:t>
      </w:r>
    </w:p>
  </w:footnote>
  <w:footnote w:id="13">
    <w:p w14:paraId="1285020C" w14:textId="07B991E2" w:rsidR="00653599" w:rsidRPr="00482A7B" w:rsidRDefault="004567DA" w:rsidP="00482A7B">
      <w:pPr>
        <w:spacing w:line="240" w:lineRule="auto"/>
        <w:jc w:val="both"/>
        <w:rPr>
          <w:rFonts w:ascii="Times New Roman" w:eastAsia="Times New Roman" w:hAnsi="Times New Roman" w:cs="Times New Roman"/>
          <w:sz w:val="20"/>
          <w:szCs w:val="20"/>
        </w:rPr>
      </w:pPr>
      <w:r w:rsidRPr="00482A7B">
        <w:rPr>
          <w:rFonts w:ascii="Times New Roman" w:hAnsi="Times New Roman" w:cs="Times New Roman"/>
          <w:sz w:val="20"/>
          <w:szCs w:val="20"/>
          <w:vertAlign w:val="superscript"/>
        </w:rPr>
        <w:footnoteRef/>
      </w:r>
      <w:r w:rsidRPr="00482A7B">
        <w:rPr>
          <w:rFonts w:ascii="Times New Roman" w:eastAsia="Times New Roman" w:hAnsi="Times New Roman" w:cs="Times New Roman"/>
          <w:sz w:val="20"/>
          <w:szCs w:val="20"/>
        </w:rPr>
        <w:t xml:space="preserve"> </w:t>
      </w:r>
      <w:r w:rsidR="00BA591C" w:rsidRPr="00482A7B">
        <w:rPr>
          <w:rFonts w:ascii="Times New Roman" w:eastAsia="Times New Roman" w:hAnsi="Times New Roman" w:cs="Times New Roman"/>
          <w:sz w:val="20"/>
          <w:szCs w:val="20"/>
        </w:rPr>
        <w:t xml:space="preserve">Calculations were made using data </w:t>
      </w:r>
      <w:r w:rsidRPr="00482A7B">
        <w:rPr>
          <w:rFonts w:ascii="Times New Roman" w:eastAsia="Times New Roman" w:hAnsi="Times New Roman" w:cs="Times New Roman"/>
          <w:sz w:val="20"/>
          <w:szCs w:val="20"/>
        </w:rPr>
        <w:t>from</w:t>
      </w:r>
      <w:r w:rsidR="00BA591C" w:rsidRPr="00482A7B">
        <w:rPr>
          <w:rFonts w:ascii="Times New Roman" w:eastAsia="Times New Roman" w:hAnsi="Times New Roman" w:cs="Times New Roman"/>
          <w:sz w:val="20"/>
          <w:szCs w:val="20"/>
        </w:rPr>
        <w:t>:</w:t>
      </w:r>
      <w:r w:rsidRPr="00482A7B">
        <w:rPr>
          <w:rFonts w:ascii="Times New Roman" w:eastAsia="Times New Roman" w:hAnsi="Times New Roman" w:cs="Times New Roman"/>
          <w:sz w:val="20"/>
          <w:szCs w:val="20"/>
        </w:rPr>
        <w:t xml:space="preserve"> (</w:t>
      </w:r>
      <w:r w:rsidR="009E58BB" w:rsidRPr="00482A7B">
        <w:rPr>
          <w:rFonts w:ascii="Times New Roman" w:eastAsia="Times New Roman" w:hAnsi="Times New Roman" w:cs="Times New Roman"/>
          <w:sz w:val="20"/>
          <w:szCs w:val="20"/>
        </w:rPr>
        <w:t>a</w:t>
      </w:r>
      <w:r w:rsidRPr="00482A7B">
        <w:rPr>
          <w:rFonts w:ascii="Times New Roman" w:eastAsia="Times New Roman" w:hAnsi="Times New Roman" w:cs="Times New Roman"/>
          <w:sz w:val="20"/>
          <w:szCs w:val="20"/>
        </w:rPr>
        <w:t xml:space="preserve">) </w:t>
      </w:r>
      <w:r w:rsidRPr="00482A7B">
        <w:rPr>
          <w:rFonts w:ascii="Times New Roman" w:eastAsia="Times New Roman" w:hAnsi="Times New Roman" w:cs="Times New Roman"/>
          <w:i/>
          <w:sz w:val="20"/>
          <w:szCs w:val="20"/>
          <w:highlight w:val="white"/>
        </w:rPr>
        <w:t>2018 EM&amp;V Report</w:t>
      </w:r>
      <w:r w:rsidRPr="00482A7B">
        <w:rPr>
          <w:rFonts w:ascii="Times New Roman" w:eastAsia="Times New Roman" w:hAnsi="Times New Roman" w:cs="Times New Roman"/>
          <w:sz w:val="20"/>
          <w:szCs w:val="20"/>
          <w:highlight w:val="white"/>
        </w:rPr>
        <w:t>, Table 1-6, Page 35; (</w:t>
      </w:r>
      <w:r w:rsidR="009E58BB" w:rsidRPr="00482A7B">
        <w:rPr>
          <w:rFonts w:ascii="Times New Roman" w:eastAsia="Times New Roman" w:hAnsi="Times New Roman" w:cs="Times New Roman"/>
          <w:sz w:val="20"/>
          <w:szCs w:val="20"/>
          <w:highlight w:val="white"/>
        </w:rPr>
        <w:t>b</w:t>
      </w:r>
      <w:r w:rsidRPr="00482A7B">
        <w:rPr>
          <w:rFonts w:ascii="Times New Roman" w:eastAsia="Times New Roman" w:hAnsi="Times New Roman" w:cs="Times New Roman"/>
          <w:sz w:val="20"/>
          <w:szCs w:val="20"/>
          <w:highlight w:val="white"/>
        </w:rPr>
        <w:t xml:space="preserve">) </w:t>
      </w:r>
      <w:r w:rsidRPr="00482A7B">
        <w:rPr>
          <w:rFonts w:ascii="Times New Roman" w:eastAsia="Times New Roman" w:hAnsi="Times New Roman" w:cs="Times New Roman"/>
          <w:i/>
          <w:sz w:val="20"/>
          <w:szCs w:val="20"/>
          <w:highlight w:val="white"/>
        </w:rPr>
        <w:t>2021 EM&amp;V Report</w:t>
      </w:r>
      <w:r w:rsidRPr="00482A7B">
        <w:rPr>
          <w:rFonts w:ascii="Times New Roman" w:eastAsia="Times New Roman" w:hAnsi="Times New Roman" w:cs="Times New Roman"/>
          <w:sz w:val="20"/>
          <w:szCs w:val="20"/>
          <w:highlight w:val="white"/>
        </w:rPr>
        <w:t>, Table 6-2, Page 150</w:t>
      </w:r>
      <w:r w:rsidR="009E58BB" w:rsidRPr="00482A7B">
        <w:rPr>
          <w:rFonts w:ascii="Times New Roman" w:eastAsia="Times New Roman" w:hAnsi="Times New Roman" w:cs="Times New Roman"/>
          <w:sz w:val="20"/>
          <w:szCs w:val="20"/>
          <w:highlight w:val="white"/>
        </w:rPr>
        <w:t xml:space="preserve">; and (c) </w:t>
      </w:r>
      <w:r w:rsidR="009E58BB" w:rsidRPr="00482A7B">
        <w:rPr>
          <w:rFonts w:ascii="Times New Roman" w:eastAsia="Times New Roman" w:hAnsi="Times New Roman" w:cs="Times New Roman"/>
          <w:i/>
          <w:sz w:val="20"/>
          <w:szCs w:val="20"/>
          <w:highlight w:val="white"/>
        </w:rPr>
        <w:t>2021 EM&amp;V Report</w:t>
      </w:r>
      <w:r w:rsidR="009E58BB" w:rsidRPr="00482A7B">
        <w:rPr>
          <w:rFonts w:ascii="Times New Roman" w:eastAsia="Times New Roman" w:hAnsi="Times New Roman" w:cs="Times New Roman"/>
          <w:sz w:val="20"/>
          <w:szCs w:val="20"/>
          <w:highlight w:val="white"/>
        </w:rPr>
        <w:t xml:space="preserve">, </w:t>
      </w:r>
      <w:r w:rsidRPr="00482A7B">
        <w:rPr>
          <w:rFonts w:ascii="Times New Roman" w:eastAsia="Times New Roman" w:hAnsi="Times New Roman" w:cs="Times New Roman"/>
          <w:sz w:val="20"/>
          <w:szCs w:val="20"/>
          <w:highlight w:val="white"/>
        </w:rPr>
        <w:t>Table 172, Page 450.</w:t>
      </w:r>
    </w:p>
  </w:footnote>
  <w:footnote w:id="14">
    <w:p w14:paraId="1A23517C" w14:textId="2E523AA7" w:rsidR="000F043B" w:rsidRPr="000F043B" w:rsidRDefault="000F043B" w:rsidP="00482A7B">
      <w:pPr>
        <w:pStyle w:val="FootnoteText"/>
        <w:jc w:val="both"/>
        <w:rPr>
          <w:lang w:val="en-US"/>
        </w:rPr>
      </w:pPr>
      <w:r w:rsidRPr="00482A7B">
        <w:rPr>
          <w:rStyle w:val="FootnoteReference"/>
          <w:rFonts w:ascii="Times New Roman" w:hAnsi="Times New Roman" w:cs="Times New Roman"/>
        </w:rPr>
        <w:footnoteRef/>
      </w:r>
      <w:r w:rsidRPr="00482A7B">
        <w:rPr>
          <w:rFonts w:ascii="Times New Roman" w:hAnsi="Times New Roman" w:cs="Times New Roman"/>
        </w:rPr>
        <w:t xml:space="preserve"> </w:t>
      </w:r>
      <w:r w:rsidR="00BA591C" w:rsidRPr="00482A7B">
        <w:rPr>
          <w:rFonts w:ascii="Times New Roman" w:eastAsia="Times New Roman" w:hAnsi="Times New Roman" w:cs="Times New Roman"/>
        </w:rPr>
        <w:t>Calculations were made using data from</w:t>
      </w:r>
      <w:r w:rsidR="00BA591C" w:rsidRPr="00482A7B">
        <w:rPr>
          <w:rFonts w:ascii="Times New Roman" w:hAnsi="Times New Roman" w:cs="Times New Roman"/>
          <w:lang w:val="en-US"/>
        </w:rPr>
        <w:t xml:space="preserve"> the</w:t>
      </w:r>
      <w:r w:rsidRPr="00482A7B">
        <w:rPr>
          <w:rFonts w:ascii="Times New Roman" w:hAnsi="Times New Roman" w:cs="Times New Roman"/>
          <w:lang w:val="en-US"/>
        </w:rPr>
        <w:t xml:space="preserve"> </w:t>
      </w:r>
      <w:r w:rsidR="008C0E08" w:rsidRPr="00482A7B">
        <w:rPr>
          <w:rFonts w:ascii="Times New Roman" w:eastAsia="Times New Roman" w:hAnsi="Times New Roman" w:cs="Times New Roman"/>
          <w:i/>
          <w:highlight w:val="white"/>
        </w:rPr>
        <w:t xml:space="preserve">2021 </w:t>
      </w:r>
      <w:r w:rsidR="00482A7B" w:rsidRPr="00482A7B">
        <w:rPr>
          <w:rFonts w:ascii="Times New Roman" w:eastAsia="Times New Roman" w:hAnsi="Times New Roman" w:cs="Times New Roman"/>
          <w:i/>
          <w:highlight w:val="white"/>
        </w:rPr>
        <w:t xml:space="preserve">Residential and Commercial </w:t>
      </w:r>
      <w:r w:rsidR="008C0E08" w:rsidRPr="00482A7B">
        <w:rPr>
          <w:rFonts w:ascii="Times New Roman" w:eastAsia="Times New Roman" w:hAnsi="Times New Roman" w:cs="Times New Roman"/>
          <w:i/>
          <w:highlight w:val="white"/>
        </w:rPr>
        <w:t>EM&amp;V Report</w:t>
      </w:r>
      <w:r w:rsidR="00482A7B" w:rsidRPr="00482A7B">
        <w:rPr>
          <w:rFonts w:ascii="Times New Roman" w:eastAsia="Times New Roman" w:hAnsi="Times New Roman" w:cs="Times New Roman"/>
          <w:highlight w:val="white"/>
        </w:rPr>
        <w:t>s</w:t>
      </w:r>
      <w:r w:rsidR="008C0E08" w:rsidRPr="00482A7B">
        <w:rPr>
          <w:rFonts w:ascii="Times New Roman" w:eastAsia="Times New Roman" w:hAnsi="Times New Roman" w:cs="Times New Roman"/>
          <w:highlight w:val="white"/>
        </w:rPr>
        <w:t>.</w:t>
      </w:r>
    </w:p>
  </w:footnote>
  <w:footnote w:id="15">
    <w:p w14:paraId="2F4E895C" w14:textId="62DC4553" w:rsidR="008C69A7" w:rsidRPr="008C69A7" w:rsidRDefault="008C69A7" w:rsidP="008C69A7">
      <w:pPr>
        <w:pStyle w:val="FootnoteText"/>
        <w:jc w:val="both"/>
        <w:rPr>
          <w:rFonts w:ascii="Times New Roman" w:hAnsi="Times New Roman" w:cs="Times New Roman"/>
          <w:lang w:val="en-US"/>
        </w:rPr>
      </w:pPr>
      <w:r w:rsidRPr="008C69A7">
        <w:rPr>
          <w:rStyle w:val="FootnoteReference"/>
          <w:rFonts w:ascii="Times New Roman" w:hAnsi="Times New Roman" w:cs="Times New Roman"/>
        </w:rPr>
        <w:footnoteRef/>
      </w:r>
      <w:r w:rsidRPr="008C69A7">
        <w:rPr>
          <w:rFonts w:ascii="Times New Roman" w:hAnsi="Times New Roman" w:cs="Times New Roman"/>
        </w:rPr>
        <w:t xml:space="preserve"> </w:t>
      </w:r>
      <w:r w:rsidRPr="008C69A7">
        <w:rPr>
          <w:rFonts w:ascii="Times New Roman" w:eastAsia="Times New Roman" w:hAnsi="Times New Roman" w:cs="Times New Roman"/>
          <w:i/>
        </w:rPr>
        <w:t xml:space="preserve">Georgia Power’s 2022 Integrated Resource Plan and Application for the Certification, De-certification, and Amended Demand-Side Management Plan, </w:t>
      </w:r>
      <w:r w:rsidRPr="008C69A7">
        <w:rPr>
          <w:rFonts w:ascii="Times New Roman" w:eastAsia="Times New Roman" w:hAnsi="Times New Roman" w:cs="Times New Roman"/>
          <w:iCs/>
        </w:rPr>
        <w:t>Docket Nos. 44160 and 44161,</w:t>
      </w:r>
      <w:r w:rsidRPr="008C69A7">
        <w:rPr>
          <w:rFonts w:ascii="Times New Roman" w:eastAsia="Times New Roman" w:hAnsi="Times New Roman" w:cs="Times New Roman"/>
          <w:i/>
        </w:rPr>
        <w:t xml:space="preserve"> </w:t>
      </w:r>
      <w:r w:rsidRPr="008C69A7">
        <w:rPr>
          <w:rFonts w:ascii="Times New Roman" w:eastAsia="Times New Roman" w:hAnsi="Times New Roman" w:cs="Times New Roman"/>
          <w:iCs/>
        </w:rPr>
        <w:t xml:space="preserve">Technical Appendix Volume </w:t>
      </w:r>
      <w:r w:rsidR="0078022D">
        <w:rPr>
          <w:rFonts w:ascii="Times New Roman" w:eastAsia="Times New Roman" w:hAnsi="Times New Roman" w:cs="Times New Roman"/>
          <w:iCs/>
        </w:rPr>
        <w:t>2</w:t>
      </w:r>
      <w:r w:rsidRPr="008C69A7">
        <w:rPr>
          <w:rFonts w:ascii="Times New Roman" w:eastAsia="Times New Roman" w:hAnsi="Times New Roman" w:cs="Times New Roman"/>
          <w:iCs/>
        </w:rPr>
        <w:t xml:space="preserve">, </w:t>
      </w:r>
      <w:r w:rsidR="0078022D">
        <w:rPr>
          <w:rFonts w:ascii="Times New Roman" w:eastAsia="Times New Roman" w:hAnsi="Times New Roman" w:cs="Times New Roman"/>
          <w:iCs/>
        </w:rPr>
        <w:t xml:space="preserve">DSM Program Documentation, </w:t>
      </w:r>
      <w:r w:rsidRPr="008C69A7">
        <w:rPr>
          <w:rFonts w:ascii="Times New Roman" w:hAnsi="Times New Roman" w:cs="Times New Roman"/>
          <w:color w:val="000000"/>
        </w:rPr>
        <w:t>DSM Case Summary Data MG0</w:t>
      </w:r>
      <w:r w:rsidR="007273B7">
        <w:rPr>
          <w:rFonts w:ascii="Times New Roman" w:hAnsi="Times New Roman" w:cs="Times New Roman"/>
          <w:color w:val="000000"/>
        </w:rPr>
        <w:t>.xlsx</w:t>
      </w:r>
      <w:r w:rsidRPr="008C69A7">
        <w:rPr>
          <w:rFonts w:ascii="Times New Roman" w:hAnsi="Times New Roman" w:cs="Times New Roman"/>
          <w:color w:val="000000"/>
        </w:rPr>
        <w:t>.</w:t>
      </w:r>
    </w:p>
  </w:footnote>
  <w:footnote w:id="16">
    <w:p w14:paraId="39952812" w14:textId="2F714814" w:rsidR="00887A22" w:rsidRPr="00887A22" w:rsidRDefault="00CA4000" w:rsidP="00CA4000">
      <w:pPr>
        <w:pStyle w:val="FootnoteText"/>
        <w:jc w:val="both"/>
        <w:rPr>
          <w:rFonts w:ascii="Times New Roman" w:hAnsi="Times New Roman" w:cs="Times New Roman"/>
          <w:color w:val="000000"/>
        </w:rPr>
      </w:pPr>
      <w:r w:rsidRPr="00887A22">
        <w:rPr>
          <w:rStyle w:val="FootnoteReference"/>
          <w:rFonts w:ascii="Times New Roman" w:hAnsi="Times New Roman" w:cs="Times New Roman"/>
        </w:rPr>
        <w:footnoteRef/>
      </w:r>
      <w:r w:rsidRPr="00887A22">
        <w:rPr>
          <w:rFonts w:ascii="Times New Roman" w:hAnsi="Times New Roman" w:cs="Times New Roman"/>
        </w:rPr>
        <w:t xml:space="preserve"> </w:t>
      </w:r>
      <w:r w:rsidRPr="00887A22">
        <w:rPr>
          <w:rFonts w:ascii="Times New Roman" w:eastAsia="Times New Roman" w:hAnsi="Times New Roman" w:cs="Times New Roman"/>
          <w:i/>
        </w:rPr>
        <w:t xml:space="preserve">Georgia Power’s 2022 Integrated Resource Plan and Application for the Certification, De-certification, and Amended Demand-Side Management Plan, </w:t>
      </w:r>
      <w:r w:rsidRPr="00887A22">
        <w:rPr>
          <w:rFonts w:ascii="Times New Roman" w:eastAsia="Times New Roman" w:hAnsi="Times New Roman" w:cs="Times New Roman"/>
          <w:iCs/>
        </w:rPr>
        <w:t>Docket Nos. 44160 and 44161,</w:t>
      </w:r>
      <w:r w:rsidRPr="00887A22">
        <w:rPr>
          <w:rFonts w:ascii="Times New Roman" w:eastAsia="Times New Roman" w:hAnsi="Times New Roman" w:cs="Times New Roman"/>
          <w:i/>
        </w:rPr>
        <w:t xml:space="preserve"> </w:t>
      </w:r>
      <w:r w:rsidRPr="00887A22">
        <w:rPr>
          <w:rFonts w:ascii="Times New Roman" w:eastAsia="Times New Roman" w:hAnsi="Times New Roman" w:cs="Times New Roman"/>
          <w:iCs/>
        </w:rPr>
        <w:t xml:space="preserve">Technical Appendix Volume 1, </w:t>
      </w:r>
      <w:r w:rsidR="00133E5B" w:rsidRPr="00887A22">
        <w:rPr>
          <w:rFonts w:ascii="Times New Roman" w:hAnsi="Times New Roman" w:cs="Times New Roman"/>
          <w:color w:val="000000"/>
        </w:rPr>
        <w:t>Resource Mix Study, Capacity Expansion Plans</w:t>
      </w:r>
      <w:r w:rsidR="0078022D" w:rsidRPr="00887A22">
        <w:rPr>
          <w:rFonts w:ascii="Times New Roman" w:hAnsi="Times New Roman" w:cs="Times New Roman"/>
          <w:color w:val="000000"/>
        </w:rPr>
        <w:t>.xlsx</w:t>
      </w:r>
      <w:r w:rsidR="00212874" w:rsidRPr="00887A22">
        <w:rPr>
          <w:rFonts w:ascii="Times New Roman" w:hAnsi="Times New Roman" w:cs="Times New Roman"/>
          <w:color w:val="000000"/>
        </w:rPr>
        <w:t xml:space="preserve">, </w:t>
      </w:r>
      <w:r w:rsidR="000F5BF9" w:rsidRPr="00887A22">
        <w:rPr>
          <w:rFonts w:ascii="Times New Roman" w:hAnsi="Times New Roman" w:cs="Times New Roman"/>
          <w:color w:val="000000"/>
        </w:rPr>
        <w:t>“</w:t>
      </w:r>
      <w:r w:rsidR="00212874" w:rsidRPr="00887A22">
        <w:rPr>
          <w:rFonts w:ascii="Times New Roman" w:hAnsi="Times New Roman" w:cs="Times New Roman"/>
          <w:color w:val="000000"/>
        </w:rPr>
        <w:t>System</w:t>
      </w:r>
      <w:r w:rsidR="000F5BF9" w:rsidRPr="00887A22">
        <w:rPr>
          <w:rFonts w:ascii="Times New Roman" w:hAnsi="Times New Roman" w:cs="Times New Roman"/>
          <w:color w:val="000000"/>
        </w:rPr>
        <w:t>Costs” tab.</w:t>
      </w:r>
    </w:p>
  </w:footnote>
  <w:footnote w:id="17">
    <w:p w14:paraId="3A58DECD" w14:textId="671137B8" w:rsidR="0008745C" w:rsidRPr="0008745C" w:rsidRDefault="0008745C">
      <w:pPr>
        <w:pStyle w:val="FootnoteText"/>
        <w:rPr>
          <w:rFonts w:ascii="Times New Roman" w:hAnsi="Times New Roman" w:cs="Times New Roman"/>
          <w:lang w:val="en-US"/>
        </w:rPr>
      </w:pPr>
      <w:r w:rsidRPr="0008745C">
        <w:rPr>
          <w:rStyle w:val="FootnoteReference"/>
          <w:rFonts w:ascii="Times New Roman" w:hAnsi="Times New Roman" w:cs="Times New Roman"/>
        </w:rPr>
        <w:footnoteRef/>
      </w:r>
      <w:r w:rsidRPr="0008745C">
        <w:rPr>
          <w:rFonts w:ascii="Times New Roman" w:hAnsi="Times New Roman" w:cs="Times New Roman"/>
        </w:rPr>
        <w:t xml:space="preserve"> </w:t>
      </w:r>
      <w:r w:rsidRPr="0008745C">
        <w:rPr>
          <w:rFonts w:ascii="Times New Roman" w:hAnsi="Times New Roman" w:cs="Times New Roman"/>
          <w:i/>
          <w:iCs/>
          <w:lang w:val="en-US"/>
        </w:rPr>
        <w:t>Id.</w:t>
      </w:r>
    </w:p>
  </w:footnote>
  <w:footnote w:id="18">
    <w:p w14:paraId="2D59BBAC" w14:textId="123E38EA" w:rsidR="002A5595" w:rsidRPr="002A5595" w:rsidRDefault="002A5595" w:rsidP="002A5595">
      <w:pPr>
        <w:pStyle w:val="FootnoteText"/>
        <w:jc w:val="both"/>
        <w:rPr>
          <w:rFonts w:ascii="Times New Roman" w:hAnsi="Times New Roman" w:cs="Times New Roman"/>
          <w:lang w:val="en-US"/>
        </w:rPr>
      </w:pPr>
      <w:r w:rsidRPr="002A5595">
        <w:rPr>
          <w:rStyle w:val="FootnoteReference"/>
          <w:rFonts w:ascii="Times New Roman" w:hAnsi="Times New Roman" w:cs="Times New Roman"/>
        </w:rPr>
        <w:footnoteRef/>
      </w:r>
      <w:r w:rsidRPr="002A5595">
        <w:rPr>
          <w:rFonts w:ascii="Times New Roman" w:hAnsi="Times New Roman" w:cs="Times New Roman"/>
        </w:rPr>
        <w:t xml:space="preserve"> </w:t>
      </w:r>
      <w:r w:rsidRPr="002A5595">
        <w:rPr>
          <w:rFonts w:ascii="Times New Roman" w:hAnsi="Times New Roman" w:cs="Times New Roman"/>
          <w:i/>
          <w:iCs/>
          <w:lang w:val="en-US"/>
        </w:rPr>
        <w:t>Id.</w:t>
      </w:r>
    </w:p>
  </w:footnote>
  <w:footnote w:id="19">
    <w:p w14:paraId="1285020D" w14:textId="0A57E979" w:rsidR="00653599" w:rsidRPr="00142A93" w:rsidRDefault="004567DA">
      <w:pPr>
        <w:spacing w:line="240" w:lineRule="auto"/>
        <w:rPr>
          <w:rFonts w:ascii="Times New Roman" w:hAnsi="Times New Roman" w:cs="Times New Roman"/>
          <w:sz w:val="20"/>
          <w:szCs w:val="20"/>
          <w:shd w:val="clear" w:color="auto" w:fill="F4CCCC"/>
        </w:rPr>
      </w:pPr>
      <w:r w:rsidRPr="00142A93">
        <w:rPr>
          <w:rFonts w:ascii="Times New Roman" w:hAnsi="Times New Roman" w:cs="Times New Roman"/>
          <w:sz w:val="20"/>
          <w:szCs w:val="20"/>
          <w:vertAlign w:val="superscript"/>
        </w:rPr>
        <w:footnoteRef/>
      </w:r>
      <w:r w:rsidRPr="00142A93">
        <w:rPr>
          <w:rFonts w:ascii="Times New Roman" w:hAnsi="Times New Roman" w:cs="Times New Roman"/>
          <w:sz w:val="20"/>
          <w:szCs w:val="20"/>
        </w:rPr>
        <w:t xml:space="preserve"> </w:t>
      </w:r>
      <w:r w:rsidR="00FB6119" w:rsidRPr="00FB6119">
        <w:rPr>
          <w:rFonts w:ascii="Times New Roman" w:hAnsi="Times New Roman" w:cs="Times New Roman"/>
          <w:i/>
          <w:iCs/>
          <w:sz w:val="20"/>
          <w:szCs w:val="20"/>
        </w:rPr>
        <w:t>Georgia Public Service Commission 2013 IRP Final Order</w:t>
      </w:r>
      <w:r w:rsidR="00FB6119">
        <w:rPr>
          <w:rFonts w:ascii="Times New Roman" w:hAnsi="Times New Roman" w:cs="Times New Roman"/>
          <w:sz w:val="20"/>
          <w:szCs w:val="20"/>
        </w:rPr>
        <w:t>, Docket Nos. 36498 and 36499</w:t>
      </w:r>
      <w:r w:rsidR="00142A93" w:rsidRPr="00142A93">
        <w:rPr>
          <w:rFonts w:ascii="Times New Roman" w:hAnsi="Times New Roman" w:cs="Times New Roman"/>
          <w:sz w:val="20"/>
          <w:szCs w:val="20"/>
        </w:rPr>
        <w:t xml:space="preserve">, </w:t>
      </w:r>
      <w:r w:rsidRPr="00142A93">
        <w:rPr>
          <w:rFonts w:ascii="Times New Roman" w:hAnsi="Times New Roman" w:cs="Times New Roman"/>
          <w:i/>
          <w:sz w:val="20"/>
          <w:szCs w:val="20"/>
        </w:rPr>
        <w:t>Achievable Energy-Efficiency Potentials Assessment</w:t>
      </w:r>
      <w:r w:rsidR="009A3096">
        <w:rPr>
          <w:rFonts w:ascii="Times New Roman" w:hAnsi="Times New Roman" w:cs="Times New Roman"/>
          <w:sz w:val="20"/>
          <w:szCs w:val="20"/>
        </w:rPr>
        <w:t xml:space="preserve">, </w:t>
      </w:r>
      <w:r w:rsidR="00FB6119">
        <w:rPr>
          <w:rFonts w:ascii="Times New Roman" w:hAnsi="Times New Roman" w:cs="Times New Roman"/>
          <w:sz w:val="20"/>
          <w:szCs w:val="20"/>
        </w:rPr>
        <w:t>January 30, 2015.</w:t>
      </w:r>
    </w:p>
  </w:footnote>
  <w:footnote w:id="20">
    <w:p w14:paraId="64491527" w14:textId="7FB2F0B9" w:rsidR="00144620" w:rsidRDefault="00144620">
      <w:pPr>
        <w:pStyle w:val="FootnoteText"/>
        <w:rPr>
          <w:rFonts w:ascii="Times New Roman" w:hAnsi="Times New Roman" w:cs="Times New Roman"/>
        </w:rPr>
      </w:pPr>
      <w:r w:rsidRPr="007A758B">
        <w:rPr>
          <w:rStyle w:val="FootnoteReference"/>
          <w:rFonts w:ascii="Times New Roman" w:hAnsi="Times New Roman" w:cs="Times New Roman"/>
        </w:rPr>
        <w:footnoteRef/>
      </w:r>
      <w:r w:rsidRPr="007A758B">
        <w:rPr>
          <w:rFonts w:ascii="Times New Roman" w:hAnsi="Times New Roman" w:cs="Times New Roman"/>
        </w:rPr>
        <w:t xml:space="preserve"> </w:t>
      </w:r>
      <w:r w:rsidR="003208AC" w:rsidRPr="007A758B">
        <w:rPr>
          <w:rFonts w:ascii="Times New Roman" w:hAnsi="Times New Roman" w:cs="Times New Roman"/>
        </w:rPr>
        <w:t xml:space="preserve">See, for example, </w:t>
      </w:r>
      <w:r w:rsidR="002A6101" w:rsidRPr="007A758B">
        <w:rPr>
          <w:rFonts w:ascii="Times New Roman" w:hAnsi="Times New Roman" w:cs="Times New Roman"/>
          <w:i/>
          <w:iCs/>
        </w:rPr>
        <w:t>Georgia Power’s Annual Retail Surveillance Report</w:t>
      </w:r>
      <w:r w:rsidR="00F87DCA" w:rsidRPr="007A758B">
        <w:rPr>
          <w:rFonts w:ascii="Times New Roman" w:hAnsi="Times New Roman" w:cs="Times New Roman"/>
          <w:i/>
          <w:iCs/>
        </w:rPr>
        <w:t>s</w:t>
      </w:r>
      <w:r w:rsidR="00F87DCA" w:rsidRPr="007A758B">
        <w:rPr>
          <w:rFonts w:ascii="Times New Roman" w:hAnsi="Times New Roman" w:cs="Times New Roman"/>
        </w:rPr>
        <w:t xml:space="preserve"> from 201</w:t>
      </w:r>
      <w:r w:rsidR="00341DDB">
        <w:rPr>
          <w:rFonts w:ascii="Times New Roman" w:hAnsi="Times New Roman" w:cs="Times New Roman"/>
        </w:rPr>
        <w:t>3</w:t>
      </w:r>
      <w:r w:rsidR="00F87DCA" w:rsidRPr="007A758B">
        <w:rPr>
          <w:rFonts w:ascii="Times New Roman" w:hAnsi="Times New Roman" w:cs="Times New Roman"/>
        </w:rPr>
        <w:t>-20</w:t>
      </w:r>
      <w:r w:rsidR="003E0103">
        <w:rPr>
          <w:rFonts w:ascii="Times New Roman" w:hAnsi="Times New Roman" w:cs="Times New Roman"/>
        </w:rPr>
        <w:t>20</w:t>
      </w:r>
      <w:r w:rsidR="007A758B">
        <w:rPr>
          <w:rFonts w:ascii="Times New Roman" w:hAnsi="Times New Roman" w:cs="Times New Roman"/>
        </w:rPr>
        <w:t>. Available at:</w:t>
      </w:r>
    </w:p>
    <w:p w14:paraId="651FB3FC" w14:textId="793A1934" w:rsidR="00281CBF" w:rsidRPr="00341DDB" w:rsidRDefault="00281CBF" w:rsidP="00341DDB">
      <w:pPr>
        <w:pStyle w:val="FootnoteText"/>
        <w:jc w:val="both"/>
        <w:rPr>
          <w:rFonts w:ascii="Times New Roman" w:hAnsi="Times New Roman" w:cs="Times New Roman"/>
        </w:rPr>
      </w:pPr>
      <w:r w:rsidRPr="00341DDB">
        <w:rPr>
          <w:rFonts w:ascii="Times New Roman" w:hAnsi="Times New Roman" w:cs="Times New Roman"/>
        </w:rPr>
        <w:t xml:space="preserve">2013: </w:t>
      </w:r>
      <w:hyperlink r:id="rId2" w:tgtFrame="_blank" w:history="1">
        <w:r w:rsidRPr="00341DDB">
          <w:rPr>
            <w:rStyle w:val="Hyperlink"/>
            <w:rFonts w:ascii="Times New Roman" w:hAnsi="Times New Roman" w:cs="Times New Roman"/>
          </w:rPr>
          <w:t>http://www.psc.state.ga.us/factsv2/Document.aspx?documentNumber=157755</w:t>
        </w:r>
      </w:hyperlink>
    </w:p>
    <w:p w14:paraId="3F3D98E3" w14:textId="09AA4B84" w:rsidR="007A758B" w:rsidRPr="00341DDB" w:rsidRDefault="007A758B" w:rsidP="00341DDB">
      <w:pPr>
        <w:pStyle w:val="FootnoteText"/>
        <w:jc w:val="both"/>
        <w:rPr>
          <w:rFonts w:ascii="Times New Roman" w:hAnsi="Times New Roman" w:cs="Times New Roman"/>
        </w:rPr>
      </w:pPr>
      <w:r w:rsidRPr="00341DDB">
        <w:rPr>
          <w:rFonts w:ascii="Times New Roman" w:hAnsi="Times New Roman" w:cs="Times New Roman"/>
        </w:rPr>
        <w:t>2014</w:t>
      </w:r>
      <w:r w:rsidR="003E0103" w:rsidRPr="00341DDB">
        <w:rPr>
          <w:rFonts w:ascii="Times New Roman" w:hAnsi="Times New Roman" w:cs="Times New Roman"/>
        </w:rPr>
        <w:t>:</w:t>
      </w:r>
      <w:r w:rsidR="003E0103" w:rsidRPr="00341DDB">
        <w:rPr>
          <w:rFonts w:ascii="Times New Roman" w:hAnsi="Times New Roman" w:cs="Times New Roman"/>
          <w:color w:val="0000FF"/>
          <w:u w:val="single"/>
        </w:rPr>
        <w:t xml:space="preserve"> </w:t>
      </w:r>
      <w:hyperlink r:id="rId3" w:tgtFrame="_blank" w:history="1">
        <w:r w:rsidR="003E0103" w:rsidRPr="00341DDB">
          <w:rPr>
            <w:rStyle w:val="Hyperlink"/>
            <w:rFonts w:ascii="Times New Roman" w:hAnsi="Times New Roman" w:cs="Times New Roman"/>
          </w:rPr>
          <w:t>http://www.psc.state.ga.us/factsv2/Document.aspx?documentNumber=162283</w:t>
        </w:r>
      </w:hyperlink>
    </w:p>
    <w:p w14:paraId="262E4F24" w14:textId="0AB45289" w:rsidR="003E0103" w:rsidRPr="00341DDB" w:rsidRDefault="003E0103" w:rsidP="00341DDB">
      <w:pPr>
        <w:pStyle w:val="FootnoteText"/>
        <w:jc w:val="both"/>
        <w:rPr>
          <w:rFonts w:ascii="Times New Roman" w:hAnsi="Times New Roman" w:cs="Times New Roman"/>
        </w:rPr>
      </w:pPr>
      <w:r w:rsidRPr="00341DDB">
        <w:rPr>
          <w:rFonts w:ascii="Times New Roman" w:hAnsi="Times New Roman" w:cs="Times New Roman"/>
        </w:rPr>
        <w:t xml:space="preserve">2015: </w:t>
      </w:r>
      <w:hyperlink r:id="rId4" w:tgtFrame="_blank" w:history="1">
        <w:r w:rsidRPr="00341DDB">
          <w:rPr>
            <w:rStyle w:val="Hyperlink"/>
            <w:rFonts w:ascii="Times New Roman" w:hAnsi="Times New Roman" w:cs="Times New Roman"/>
          </w:rPr>
          <w:t>http://www.psc.state.ga.us/factsv2/Document.aspx?documentNumber=167470</w:t>
        </w:r>
      </w:hyperlink>
    </w:p>
    <w:p w14:paraId="0D25A848" w14:textId="02702573" w:rsidR="003E0103" w:rsidRPr="00341DDB" w:rsidRDefault="003E0103" w:rsidP="00341DDB">
      <w:pPr>
        <w:pStyle w:val="FootnoteText"/>
        <w:jc w:val="both"/>
        <w:rPr>
          <w:rFonts w:ascii="Times New Roman" w:hAnsi="Times New Roman" w:cs="Times New Roman"/>
        </w:rPr>
      </w:pPr>
      <w:r w:rsidRPr="00341DDB">
        <w:rPr>
          <w:rFonts w:ascii="Times New Roman" w:hAnsi="Times New Roman" w:cs="Times New Roman"/>
        </w:rPr>
        <w:t>2016:</w:t>
      </w:r>
      <w:r w:rsidR="00281CBF" w:rsidRPr="00341DDB">
        <w:rPr>
          <w:rFonts w:ascii="Times New Roman" w:hAnsi="Times New Roman" w:cs="Times New Roman"/>
        </w:rPr>
        <w:t xml:space="preserve"> </w:t>
      </w:r>
      <w:hyperlink r:id="rId5" w:tgtFrame="_blank" w:history="1">
        <w:r w:rsidR="00281CBF" w:rsidRPr="00341DDB">
          <w:rPr>
            <w:rStyle w:val="Hyperlink"/>
            <w:rFonts w:ascii="Times New Roman" w:hAnsi="Times New Roman" w:cs="Times New Roman"/>
          </w:rPr>
          <w:t>http://www.psc.state.ga.us/factsv2/Document.aspx?documentNumber=170798</w:t>
        </w:r>
      </w:hyperlink>
    </w:p>
    <w:p w14:paraId="669AEC1C" w14:textId="55653C89" w:rsidR="003E0103" w:rsidRPr="00341DDB" w:rsidRDefault="003E0103" w:rsidP="00341DDB">
      <w:pPr>
        <w:pStyle w:val="FootnoteText"/>
        <w:jc w:val="both"/>
        <w:rPr>
          <w:rFonts w:ascii="Times New Roman" w:hAnsi="Times New Roman" w:cs="Times New Roman"/>
        </w:rPr>
      </w:pPr>
      <w:r w:rsidRPr="00341DDB">
        <w:rPr>
          <w:rFonts w:ascii="Times New Roman" w:hAnsi="Times New Roman" w:cs="Times New Roman"/>
        </w:rPr>
        <w:t>2017:</w:t>
      </w:r>
      <w:r w:rsidR="00281CBF" w:rsidRPr="00341DDB">
        <w:rPr>
          <w:rFonts w:ascii="Times New Roman" w:hAnsi="Times New Roman" w:cs="Times New Roman"/>
        </w:rPr>
        <w:t xml:space="preserve"> </w:t>
      </w:r>
      <w:hyperlink r:id="rId6" w:tgtFrame="_blank" w:history="1">
        <w:r w:rsidR="00281CBF" w:rsidRPr="00341DDB">
          <w:rPr>
            <w:rStyle w:val="Hyperlink"/>
            <w:rFonts w:ascii="Times New Roman" w:hAnsi="Times New Roman" w:cs="Times New Roman"/>
          </w:rPr>
          <w:t>https://psc.ga.gov/search/facts-document/?documentId=175827</w:t>
        </w:r>
      </w:hyperlink>
    </w:p>
    <w:p w14:paraId="1C7B5369" w14:textId="29295CA2" w:rsidR="003E0103" w:rsidRPr="00341DDB" w:rsidRDefault="003E0103" w:rsidP="00341DDB">
      <w:pPr>
        <w:pStyle w:val="FootnoteText"/>
        <w:jc w:val="both"/>
        <w:rPr>
          <w:rFonts w:ascii="Times New Roman" w:hAnsi="Times New Roman" w:cs="Times New Roman"/>
        </w:rPr>
      </w:pPr>
      <w:r w:rsidRPr="00341DDB">
        <w:rPr>
          <w:rFonts w:ascii="Times New Roman" w:hAnsi="Times New Roman" w:cs="Times New Roman"/>
        </w:rPr>
        <w:t>2018:</w:t>
      </w:r>
      <w:r w:rsidR="00281CBF" w:rsidRPr="00341DDB">
        <w:rPr>
          <w:rFonts w:ascii="Times New Roman" w:hAnsi="Times New Roman" w:cs="Times New Roman"/>
        </w:rPr>
        <w:t xml:space="preserve"> </w:t>
      </w:r>
      <w:hyperlink r:id="rId7" w:tgtFrame="_blank" w:history="1">
        <w:r w:rsidR="00710277" w:rsidRPr="00341DDB">
          <w:rPr>
            <w:rStyle w:val="Hyperlink"/>
            <w:rFonts w:ascii="Times New Roman" w:hAnsi="Times New Roman" w:cs="Times New Roman"/>
          </w:rPr>
          <w:t>https://psc.ga.gov/search/facts-document/?documentId=180405</w:t>
        </w:r>
      </w:hyperlink>
    </w:p>
    <w:p w14:paraId="332C21F1" w14:textId="1FB46F4B" w:rsidR="003E0103" w:rsidRPr="00341DDB" w:rsidRDefault="003E0103" w:rsidP="00341DDB">
      <w:pPr>
        <w:pStyle w:val="FootnoteText"/>
        <w:jc w:val="both"/>
        <w:rPr>
          <w:rFonts w:ascii="Times New Roman" w:hAnsi="Times New Roman" w:cs="Times New Roman"/>
        </w:rPr>
      </w:pPr>
      <w:r w:rsidRPr="00341DDB">
        <w:rPr>
          <w:rFonts w:ascii="Times New Roman" w:hAnsi="Times New Roman" w:cs="Times New Roman"/>
        </w:rPr>
        <w:t>2019:</w:t>
      </w:r>
      <w:r w:rsidR="00710277" w:rsidRPr="00341DDB">
        <w:rPr>
          <w:rFonts w:ascii="Times New Roman" w:hAnsi="Times New Roman" w:cs="Times New Roman"/>
        </w:rPr>
        <w:t xml:space="preserve"> </w:t>
      </w:r>
      <w:hyperlink r:id="rId8" w:tgtFrame="_blank" w:history="1">
        <w:r w:rsidR="00710277" w:rsidRPr="00341DDB">
          <w:rPr>
            <w:rStyle w:val="Hyperlink"/>
            <w:rFonts w:ascii="Times New Roman" w:hAnsi="Times New Roman" w:cs="Times New Roman"/>
          </w:rPr>
          <w:t>https://psc.ga.gov/search/facts-document/?documentId=184676</w:t>
        </w:r>
      </w:hyperlink>
    </w:p>
    <w:p w14:paraId="7C562A96" w14:textId="34BAC597" w:rsidR="00144620" w:rsidRPr="00341DDB" w:rsidRDefault="003E0103" w:rsidP="00341DDB">
      <w:pPr>
        <w:pStyle w:val="FootnoteText"/>
        <w:jc w:val="both"/>
        <w:rPr>
          <w:rFonts w:ascii="Times New Roman" w:hAnsi="Times New Roman" w:cs="Times New Roman"/>
        </w:rPr>
      </w:pPr>
      <w:r w:rsidRPr="00341DDB">
        <w:rPr>
          <w:rFonts w:ascii="Times New Roman" w:hAnsi="Times New Roman" w:cs="Times New Roman"/>
        </w:rPr>
        <w:t>2020:</w:t>
      </w:r>
      <w:r w:rsidR="00710277" w:rsidRPr="00341DDB">
        <w:rPr>
          <w:rFonts w:ascii="Times New Roman" w:hAnsi="Times New Roman" w:cs="Times New Roman"/>
        </w:rPr>
        <w:t xml:space="preserve"> </w:t>
      </w:r>
      <w:hyperlink r:id="rId9" w:tgtFrame="_blank" w:history="1">
        <w:r w:rsidR="00710277" w:rsidRPr="00341DDB">
          <w:rPr>
            <w:rStyle w:val="Hyperlink"/>
            <w:rFonts w:ascii="Times New Roman" w:hAnsi="Times New Roman" w:cs="Times New Roman"/>
          </w:rPr>
          <w:t>https://psc.ga.gov/search/facts-document/?documentId=184754</w:t>
        </w:r>
      </w:hyperlink>
    </w:p>
  </w:footnote>
  <w:footnote w:id="21">
    <w:p w14:paraId="1285020E" w14:textId="6064EF33" w:rsidR="00653599" w:rsidRPr="001066FF" w:rsidRDefault="004567DA">
      <w:pPr>
        <w:spacing w:line="240" w:lineRule="auto"/>
        <w:rPr>
          <w:rFonts w:ascii="Times New Roman" w:eastAsia="Times New Roman" w:hAnsi="Times New Roman" w:cs="Times New Roman"/>
          <w:sz w:val="20"/>
          <w:szCs w:val="20"/>
        </w:rPr>
      </w:pPr>
      <w:r w:rsidRPr="001066FF">
        <w:rPr>
          <w:rFonts w:ascii="Times New Roman" w:hAnsi="Times New Roman" w:cs="Times New Roman"/>
          <w:sz w:val="20"/>
          <w:szCs w:val="20"/>
          <w:vertAlign w:val="superscript"/>
        </w:rPr>
        <w:footnoteRef/>
      </w:r>
      <w:r w:rsidRPr="001066FF">
        <w:rPr>
          <w:rFonts w:ascii="Times New Roman" w:eastAsia="Times New Roman" w:hAnsi="Times New Roman" w:cs="Times New Roman"/>
          <w:sz w:val="20"/>
          <w:szCs w:val="20"/>
        </w:rPr>
        <w:t xml:space="preserve"> </w:t>
      </w:r>
      <w:r w:rsidR="00DB51BC" w:rsidRPr="001066FF">
        <w:rPr>
          <w:rFonts w:ascii="Times New Roman" w:eastAsia="Times New Roman" w:hAnsi="Times New Roman" w:cs="Times New Roman"/>
          <w:sz w:val="20"/>
          <w:szCs w:val="20"/>
          <w:highlight w:val="white"/>
        </w:rPr>
        <w:t xml:space="preserve">Georgia Power Company, April 30, 2021, </w:t>
      </w:r>
      <w:r w:rsidR="00DB51BC" w:rsidRPr="001066FF">
        <w:rPr>
          <w:rFonts w:ascii="Times New Roman" w:eastAsia="Times New Roman" w:hAnsi="Times New Roman" w:cs="Times New Roman"/>
          <w:i/>
          <w:iCs/>
          <w:sz w:val="20"/>
          <w:szCs w:val="20"/>
          <w:highlight w:val="white"/>
        </w:rPr>
        <w:t>Supply-Side Representation of Energy Efficiency Resources in the Georgia Power IRP Model</w:t>
      </w:r>
      <w:r w:rsidR="00DB51BC" w:rsidRPr="001066FF">
        <w:rPr>
          <w:rFonts w:ascii="Times New Roman" w:eastAsia="Times New Roman" w:hAnsi="Times New Roman" w:cs="Times New Roman"/>
          <w:sz w:val="20"/>
          <w:szCs w:val="20"/>
          <w:highlight w:val="white"/>
        </w:rPr>
        <w:t>, Docket No. 42311</w:t>
      </w:r>
      <w:r w:rsidR="001066FF" w:rsidRPr="001066FF">
        <w:rPr>
          <w:rFonts w:ascii="Times New Roman" w:eastAsia="Times New Roman" w:hAnsi="Times New Roman" w:cs="Times New Roman"/>
          <w:sz w:val="20"/>
          <w:szCs w:val="20"/>
        </w:rPr>
        <w:t>, P</w:t>
      </w:r>
      <w:r w:rsidRPr="001066FF">
        <w:rPr>
          <w:rFonts w:ascii="Times New Roman" w:eastAsia="Times New Roman" w:hAnsi="Times New Roman" w:cs="Times New Roman"/>
          <w:sz w:val="20"/>
          <w:szCs w:val="20"/>
        </w:rPr>
        <w:t>ages 23 and 28.</w:t>
      </w:r>
    </w:p>
  </w:footnote>
  <w:footnote w:id="22">
    <w:p w14:paraId="24E91152" w14:textId="7B2FDBE0" w:rsidR="00D3237A" w:rsidRPr="00D3237A" w:rsidRDefault="00D3237A">
      <w:pPr>
        <w:pStyle w:val="FootnoteText"/>
        <w:rPr>
          <w:lang w:val="en-US"/>
        </w:rPr>
      </w:pPr>
      <w:r>
        <w:rPr>
          <w:rStyle w:val="FootnoteReference"/>
        </w:rPr>
        <w:footnoteRef/>
      </w:r>
      <w:r>
        <w:t xml:space="preserve"> </w:t>
      </w:r>
      <w:r w:rsidRPr="00FB6119">
        <w:rPr>
          <w:rFonts w:ascii="Times New Roman" w:hAnsi="Times New Roman" w:cs="Times New Roman"/>
          <w:i/>
          <w:iCs/>
        </w:rPr>
        <w:t>Georgia Public Service Commission 2013 IRP Final Order</w:t>
      </w:r>
      <w:r>
        <w:rPr>
          <w:rFonts w:ascii="Times New Roman" w:hAnsi="Times New Roman" w:cs="Times New Roman"/>
        </w:rPr>
        <w:t>, Docket Nos. 36498 and 36499.</w:t>
      </w:r>
    </w:p>
  </w:footnote>
  <w:footnote w:id="23">
    <w:p w14:paraId="7FE64ED6" w14:textId="03307877" w:rsidR="00D74163" w:rsidRPr="00D74163" w:rsidRDefault="00D74163">
      <w:pPr>
        <w:pStyle w:val="FootnoteText"/>
        <w:rPr>
          <w:lang w:val="en-US"/>
        </w:rPr>
      </w:pPr>
      <w:r>
        <w:rPr>
          <w:rStyle w:val="FootnoteReference"/>
        </w:rPr>
        <w:footnoteRef/>
      </w:r>
      <w:r>
        <w:t xml:space="preserve"> </w:t>
      </w:r>
      <w:r w:rsidRPr="005958E2">
        <w:rPr>
          <w:rFonts w:ascii="Times New Roman" w:eastAsia="Times New Roman" w:hAnsi="Times New Roman" w:cs="Times New Roman"/>
          <w:i/>
        </w:rPr>
        <w:t xml:space="preserve">Georgia Power’s 2022 Integrated Resource Plan, </w:t>
      </w:r>
      <w:r w:rsidRPr="00B20EC7">
        <w:rPr>
          <w:rFonts w:ascii="Times New Roman" w:eastAsia="Times New Roman" w:hAnsi="Times New Roman" w:cs="Times New Roman"/>
          <w:iCs/>
        </w:rPr>
        <w:t>Docket No. 44160,</w:t>
      </w:r>
      <w:r w:rsidRPr="005958E2">
        <w:rPr>
          <w:rFonts w:ascii="Times New Roman" w:eastAsia="Times New Roman" w:hAnsi="Times New Roman" w:cs="Times New Roman"/>
          <w:i/>
        </w:rPr>
        <w:t xml:space="preserve"> </w:t>
      </w:r>
      <w:r w:rsidRPr="005958E2">
        <w:rPr>
          <w:rFonts w:ascii="Times New Roman" w:eastAsia="Times New Roman" w:hAnsi="Times New Roman" w:cs="Times New Roman"/>
        </w:rPr>
        <w:t xml:space="preserve">Main Document, Page </w:t>
      </w:r>
      <w:r w:rsidR="00504EFF">
        <w:rPr>
          <w:rFonts w:ascii="Times New Roman" w:eastAsia="Times New Roman" w:hAnsi="Times New Roman" w:cs="Times New Roman"/>
        </w:rPr>
        <w:t>8-57 and 8-58</w:t>
      </w:r>
      <w:r w:rsidRPr="005958E2">
        <w:rPr>
          <w:rFonts w:ascii="Times New Roman" w:eastAsia="Times New Roman" w:hAnsi="Times New Roman" w:cs="Times New Roman"/>
        </w:rPr>
        <w:t>.</w:t>
      </w:r>
    </w:p>
  </w:footnote>
  <w:footnote w:id="24">
    <w:p w14:paraId="1285020F" w14:textId="0B24EAA6" w:rsidR="00653599" w:rsidRPr="00504EFF" w:rsidRDefault="004567DA">
      <w:pPr>
        <w:spacing w:line="240" w:lineRule="auto"/>
        <w:rPr>
          <w:rFonts w:ascii="Times New Roman" w:eastAsia="Times New Roman" w:hAnsi="Times New Roman" w:cs="Times New Roman"/>
          <w:sz w:val="20"/>
          <w:szCs w:val="20"/>
        </w:rPr>
      </w:pPr>
      <w:r w:rsidRPr="00504EFF">
        <w:rPr>
          <w:rFonts w:ascii="Times New Roman" w:hAnsi="Times New Roman" w:cs="Times New Roman"/>
          <w:sz w:val="20"/>
          <w:szCs w:val="20"/>
          <w:vertAlign w:val="superscript"/>
        </w:rPr>
        <w:footnoteRef/>
      </w:r>
      <w:r w:rsidRPr="00504EFF">
        <w:rPr>
          <w:rFonts w:ascii="Times New Roman" w:eastAsia="Times New Roman" w:hAnsi="Times New Roman" w:cs="Times New Roman"/>
          <w:sz w:val="20"/>
          <w:szCs w:val="20"/>
        </w:rPr>
        <w:t xml:space="preserve"> </w:t>
      </w:r>
      <w:r w:rsidRPr="00504EFF">
        <w:rPr>
          <w:rFonts w:ascii="Times New Roman" w:eastAsia="Times New Roman" w:hAnsi="Times New Roman" w:cs="Times New Roman"/>
          <w:i/>
          <w:iCs/>
          <w:sz w:val="20"/>
          <w:szCs w:val="20"/>
          <w:highlight w:val="white"/>
        </w:rPr>
        <w:t>ACEEE 2020 Utility Scorecard</w:t>
      </w:r>
      <w:r w:rsidRPr="00504EFF">
        <w:rPr>
          <w:rFonts w:ascii="Times New Roman" w:eastAsia="Times New Roman" w:hAnsi="Times New Roman" w:cs="Times New Roman"/>
          <w:sz w:val="20"/>
          <w:szCs w:val="20"/>
          <w:highlight w:val="white"/>
        </w:rPr>
        <w:t xml:space="preserve">, </w:t>
      </w:r>
      <w:r w:rsidR="00504EFF" w:rsidRPr="00504EFF">
        <w:rPr>
          <w:rFonts w:ascii="Times New Roman" w:eastAsia="Times New Roman" w:hAnsi="Times New Roman" w:cs="Times New Roman"/>
          <w:sz w:val="20"/>
          <w:szCs w:val="20"/>
          <w:highlight w:val="white"/>
        </w:rPr>
        <w:t>Page</w:t>
      </w:r>
      <w:r w:rsidRPr="00504EFF">
        <w:rPr>
          <w:rFonts w:ascii="Times New Roman" w:eastAsia="Times New Roman" w:hAnsi="Times New Roman" w:cs="Times New Roman"/>
          <w:sz w:val="20"/>
          <w:szCs w:val="20"/>
          <w:highlight w:val="white"/>
        </w:rPr>
        <w:t xml:space="preserve"> 26.</w:t>
      </w:r>
    </w:p>
  </w:footnote>
  <w:footnote w:id="25">
    <w:p w14:paraId="12850210" w14:textId="27FB1CC4" w:rsidR="00653599" w:rsidRPr="0031352D" w:rsidRDefault="004567DA" w:rsidP="0031352D">
      <w:pPr>
        <w:spacing w:line="240" w:lineRule="auto"/>
        <w:jc w:val="both"/>
        <w:rPr>
          <w:rFonts w:ascii="Times New Roman" w:hAnsi="Times New Roman" w:cs="Times New Roman"/>
          <w:sz w:val="20"/>
          <w:szCs w:val="20"/>
        </w:rPr>
      </w:pPr>
      <w:r w:rsidRPr="0031352D">
        <w:rPr>
          <w:rFonts w:ascii="Times New Roman" w:hAnsi="Times New Roman" w:cs="Times New Roman"/>
          <w:sz w:val="20"/>
          <w:szCs w:val="20"/>
          <w:vertAlign w:val="superscript"/>
        </w:rPr>
        <w:footnoteRef/>
      </w:r>
      <w:r w:rsidRPr="0031352D">
        <w:rPr>
          <w:rFonts w:ascii="Times New Roman" w:hAnsi="Times New Roman" w:cs="Times New Roman"/>
          <w:sz w:val="20"/>
          <w:szCs w:val="20"/>
        </w:rPr>
        <w:t xml:space="preserve"> </w:t>
      </w:r>
      <w:r w:rsidRPr="0031352D">
        <w:rPr>
          <w:rFonts w:ascii="Times New Roman" w:eastAsia="Times New Roman" w:hAnsi="Times New Roman" w:cs="Times New Roman"/>
          <w:sz w:val="20"/>
          <w:szCs w:val="20"/>
        </w:rPr>
        <w:t xml:space="preserve">The Advocates Case has comparable spending and savings as the Company’s Aggressive Case, details for which can be found in </w:t>
      </w:r>
      <w:r w:rsidR="00802990">
        <w:rPr>
          <w:rFonts w:ascii="Times New Roman" w:eastAsia="Times New Roman" w:hAnsi="Times New Roman" w:cs="Times New Roman"/>
          <w:sz w:val="20"/>
          <w:szCs w:val="20"/>
        </w:rPr>
        <w:t>the</w:t>
      </w:r>
      <w:r w:rsidRPr="0031352D">
        <w:rPr>
          <w:rFonts w:ascii="Times New Roman" w:eastAsia="Times New Roman" w:hAnsi="Times New Roman" w:cs="Times New Roman"/>
          <w:sz w:val="20"/>
          <w:szCs w:val="20"/>
        </w:rPr>
        <w:t xml:space="preserve"> 2022 IRP DSM Case Summary Data MG0.xlsx.</w:t>
      </w:r>
      <w:r w:rsidRPr="0031352D">
        <w:rPr>
          <w:rFonts w:ascii="Times New Roman" w:hAnsi="Times New Roman" w:cs="Times New Roman"/>
          <w:sz w:val="20"/>
          <w:szCs w:val="20"/>
        </w:rPr>
        <w:t xml:space="preserve"> </w:t>
      </w:r>
    </w:p>
  </w:footnote>
  <w:footnote w:id="26">
    <w:p w14:paraId="12A86CB7" w14:textId="000F0CB5" w:rsidR="0031352D" w:rsidRPr="0031352D" w:rsidRDefault="0031352D" w:rsidP="0031352D">
      <w:pPr>
        <w:pStyle w:val="FootnoteText"/>
        <w:jc w:val="both"/>
        <w:rPr>
          <w:lang w:val="en-US"/>
        </w:rPr>
      </w:pPr>
      <w:r w:rsidRPr="0031352D">
        <w:rPr>
          <w:rStyle w:val="FootnoteReference"/>
          <w:rFonts w:ascii="Times New Roman" w:hAnsi="Times New Roman" w:cs="Times New Roman"/>
        </w:rPr>
        <w:footnoteRef/>
      </w:r>
      <w:r w:rsidRPr="0031352D">
        <w:rPr>
          <w:rFonts w:ascii="Times New Roman" w:hAnsi="Times New Roman" w:cs="Times New Roman"/>
        </w:rPr>
        <w:t xml:space="preserve"> </w:t>
      </w:r>
      <w:r w:rsidRPr="0031352D">
        <w:rPr>
          <w:rFonts w:ascii="Times New Roman" w:eastAsia="Times New Roman" w:hAnsi="Times New Roman" w:cs="Times New Roman"/>
          <w:i/>
        </w:rPr>
        <w:t xml:space="preserve">Georgia Power’s 2022 Integrated Resource Plan and Application for the Certification, De-certification, and Amended Demand-Side Management Plan, </w:t>
      </w:r>
      <w:r w:rsidRPr="0031352D">
        <w:rPr>
          <w:rFonts w:ascii="Times New Roman" w:eastAsia="Times New Roman" w:hAnsi="Times New Roman" w:cs="Times New Roman"/>
          <w:iCs/>
        </w:rPr>
        <w:t>Docket Nos. 44160 and 44161,</w:t>
      </w:r>
      <w:r w:rsidRPr="0031352D">
        <w:rPr>
          <w:rFonts w:ascii="Times New Roman" w:eastAsia="Times New Roman" w:hAnsi="Times New Roman" w:cs="Times New Roman"/>
          <w:i/>
        </w:rPr>
        <w:t xml:space="preserve"> </w:t>
      </w:r>
      <w:r w:rsidRPr="0031352D">
        <w:rPr>
          <w:rFonts w:ascii="Times New Roman" w:eastAsia="Times New Roman" w:hAnsi="Times New Roman" w:cs="Times New Roman"/>
          <w:iCs/>
        </w:rPr>
        <w:t xml:space="preserve">Technical Appendix Volume 1, </w:t>
      </w:r>
      <w:r w:rsidRPr="0031352D">
        <w:rPr>
          <w:rFonts w:ascii="Times New Roman" w:hAnsi="Times New Roman" w:cs="Times New Roman"/>
          <w:color w:val="000000"/>
        </w:rPr>
        <w:t>Resource Mix Study, Capacity Expansion Plans.xlsx, “SystemCosts” tab.</w:t>
      </w:r>
    </w:p>
  </w:footnote>
  <w:footnote w:id="27">
    <w:p w14:paraId="12850211" w14:textId="49C6914B" w:rsidR="00653599" w:rsidRPr="00E074ED" w:rsidRDefault="004567DA">
      <w:pPr>
        <w:spacing w:line="240" w:lineRule="auto"/>
        <w:jc w:val="both"/>
        <w:rPr>
          <w:rFonts w:ascii="Times New Roman" w:eastAsia="Times New Roman" w:hAnsi="Times New Roman" w:cs="Times New Roman"/>
          <w:sz w:val="20"/>
          <w:szCs w:val="20"/>
        </w:rPr>
      </w:pPr>
      <w:r w:rsidRPr="00E074ED">
        <w:rPr>
          <w:rFonts w:ascii="Times New Roman" w:hAnsi="Times New Roman" w:cs="Times New Roman"/>
          <w:sz w:val="20"/>
          <w:szCs w:val="20"/>
          <w:vertAlign w:val="superscript"/>
        </w:rPr>
        <w:footnoteRef/>
      </w:r>
      <w:r w:rsidRPr="00E074ED">
        <w:rPr>
          <w:rFonts w:ascii="Times New Roman" w:eastAsia="Times New Roman" w:hAnsi="Times New Roman" w:cs="Times New Roman"/>
          <w:sz w:val="20"/>
          <w:szCs w:val="20"/>
        </w:rPr>
        <w:t xml:space="preserve"> Source: U.S. Census Bureau, 2020: American Community Survey 5-Year Estimates Detailed Tables. </w:t>
      </w:r>
      <w:r w:rsidR="00E074ED">
        <w:rPr>
          <w:rFonts w:ascii="Times New Roman" w:eastAsia="Times New Roman" w:hAnsi="Times New Roman" w:cs="Times New Roman"/>
          <w:sz w:val="20"/>
          <w:szCs w:val="20"/>
        </w:rPr>
        <w:t xml:space="preserve">See </w:t>
      </w:r>
      <w:hyperlink r:id="rId10">
        <w:r w:rsidRPr="00E074ED">
          <w:rPr>
            <w:rFonts w:ascii="Times New Roman" w:eastAsia="Times New Roman" w:hAnsi="Times New Roman" w:cs="Times New Roman"/>
            <w:color w:val="0000FF"/>
            <w:sz w:val="20"/>
            <w:szCs w:val="20"/>
            <w:u w:val="single"/>
          </w:rPr>
          <w:t>Units in Structure, Table 25024</w:t>
        </w:r>
      </w:hyperlink>
      <w:r w:rsidR="00E074ED">
        <w:rPr>
          <w:rFonts w:ascii="Times New Roman" w:eastAsia="Times New Roman" w:hAnsi="Times New Roman" w:cs="Times New Roman"/>
          <w:sz w:val="20"/>
          <w:szCs w:val="20"/>
        </w:rPr>
        <w:t>.</w:t>
      </w:r>
    </w:p>
  </w:footnote>
  <w:footnote w:id="28">
    <w:p w14:paraId="12850212" w14:textId="77777777" w:rsidR="00653599" w:rsidRPr="00E074ED" w:rsidRDefault="004567DA">
      <w:pPr>
        <w:spacing w:line="240" w:lineRule="auto"/>
        <w:jc w:val="both"/>
        <w:rPr>
          <w:rFonts w:ascii="Times New Roman" w:eastAsia="Times New Roman" w:hAnsi="Times New Roman" w:cs="Times New Roman"/>
          <w:sz w:val="20"/>
          <w:szCs w:val="20"/>
        </w:rPr>
      </w:pPr>
      <w:r w:rsidRPr="00E074ED">
        <w:rPr>
          <w:rFonts w:ascii="Times New Roman" w:hAnsi="Times New Roman" w:cs="Times New Roman"/>
          <w:sz w:val="20"/>
          <w:szCs w:val="20"/>
          <w:vertAlign w:val="superscript"/>
        </w:rPr>
        <w:footnoteRef/>
      </w:r>
      <w:r w:rsidRPr="00E074ED">
        <w:rPr>
          <w:rFonts w:ascii="Times New Roman" w:eastAsia="Times New Roman" w:hAnsi="Times New Roman" w:cs="Times New Roman"/>
          <w:sz w:val="20"/>
          <w:szCs w:val="20"/>
        </w:rPr>
        <w:t xml:space="preserve"> U.S. Census Bureau, American Community Survey 5-Year Estimates (2016-2020); Platts Electric Power Data, Electric Investor-Owned Utility Service Territories. (Aggregate of census tract with centroids or majority of land area falling within Georgia Power service territory).</w:t>
      </w:r>
    </w:p>
  </w:footnote>
  <w:footnote w:id="29">
    <w:p w14:paraId="12850213" w14:textId="77777777" w:rsidR="00653599" w:rsidRDefault="004567DA">
      <w:pPr>
        <w:spacing w:line="240" w:lineRule="auto"/>
        <w:jc w:val="both"/>
        <w:rPr>
          <w:rFonts w:ascii="Times New Roman" w:eastAsia="Times New Roman" w:hAnsi="Times New Roman" w:cs="Times New Roman"/>
          <w:sz w:val="20"/>
          <w:szCs w:val="20"/>
        </w:rPr>
      </w:pPr>
      <w:r w:rsidRPr="00E074ED">
        <w:rPr>
          <w:rFonts w:ascii="Times New Roman" w:hAnsi="Times New Roman" w:cs="Times New Roman"/>
          <w:sz w:val="20"/>
          <w:szCs w:val="20"/>
          <w:vertAlign w:val="superscript"/>
        </w:rPr>
        <w:footnoteRef/>
      </w:r>
      <w:r w:rsidRPr="00E074ED">
        <w:rPr>
          <w:rFonts w:ascii="Times New Roman" w:eastAsia="Times New Roman" w:hAnsi="Times New Roman" w:cs="Times New Roman"/>
          <w:sz w:val="20"/>
          <w:szCs w:val="20"/>
        </w:rPr>
        <w:t xml:space="preserve"> U.S. Census Bureau 2016-2020 ACS 5-year Public Use Microdata Samples (PUMS) Georgia Housing Unit Records. ACS data groups manufactured homes in the “mobile homes” category of unit structure type. </w:t>
      </w:r>
      <w:hyperlink r:id="rId11" w:anchor="/search?ds=ACSPUMS5Y2020&amp;cv=BLD&amp;rv=YBL&amp;nv=ucgid&amp;wt=WGTP&amp;g=0400000US13">
        <w:r w:rsidRPr="00E074ED">
          <w:rPr>
            <w:rFonts w:ascii="Times New Roman" w:eastAsia="Times New Roman" w:hAnsi="Times New Roman" w:cs="Times New Roman"/>
            <w:color w:val="1155CC"/>
            <w:sz w:val="20"/>
            <w:szCs w:val="20"/>
            <w:u w:val="single"/>
          </w:rPr>
          <w:t>https://data</w:t>
        </w:r>
        <w:r w:rsidRPr="00E074ED">
          <w:rPr>
            <w:rFonts w:ascii="Times New Roman" w:eastAsia="Times New Roman" w:hAnsi="Times New Roman" w:cs="Times New Roman"/>
            <w:color w:val="1155CC"/>
            <w:sz w:val="20"/>
            <w:szCs w:val="20"/>
            <w:u w:val="single"/>
          </w:rPr>
          <w:br/>
          <w:t>.census.gov/mdat/#/search?ds=ACSPUMS5Y2020&amp;cv=BLD&amp;rv=YBL&amp;nv=ucgid&amp;wt=WGTP&amp;g=0400000US13</w:t>
        </w:r>
      </w:hyperlink>
    </w:p>
  </w:footnote>
  <w:footnote w:id="30">
    <w:p w14:paraId="12850214" w14:textId="1A3DE6BA" w:rsidR="00653599" w:rsidRDefault="004567DA">
      <w:pPr>
        <w:spacing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U.S. Energy Information Administration (EIA), 2015 Residential Energy Consumption Survey: Energy Consumption and Expenditure Tables. (Table CE1.</w:t>
      </w:r>
      <w:r w:rsidR="00ED0224">
        <w:rPr>
          <w:rFonts w:ascii="Times New Roman" w:eastAsia="Times New Roman" w:hAnsi="Times New Roman" w:cs="Times New Roman"/>
          <w:sz w:val="20"/>
          <w:szCs w:val="20"/>
        </w:rPr>
        <w:t>4 Summary</w:t>
      </w:r>
      <w:r>
        <w:rPr>
          <w:rFonts w:ascii="Times New Roman" w:eastAsia="Times New Roman" w:hAnsi="Times New Roman" w:cs="Times New Roman"/>
          <w:sz w:val="20"/>
          <w:szCs w:val="20"/>
        </w:rPr>
        <w:t xml:space="preserve"> annual household site consumption and expenditures in the South—totals and intensities, 2015: </w:t>
      </w:r>
      <w:hyperlink r:id="rId12">
        <w:r>
          <w:rPr>
            <w:rFonts w:ascii="Times New Roman" w:eastAsia="Times New Roman" w:hAnsi="Times New Roman" w:cs="Times New Roman"/>
            <w:color w:val="1155CC"/>
            <w:sz w:val="20"/>
            <w:szCs w:val="20"/>
            <w:u w:val="single"/>
          </w:rPr>
          <w:t>www.eia.gov/consumption/residential/data/2015/c&amp;e/pdf/ce1.4.pdf</w:t>
        </w:r>
      </w:hyperlink>
      <w:r>
        <w:rPr>
          <w:rFonts w:ascii="Times New Roman" w:eastAsia="Times New Roman" w:hAnsi="Times New Roman" w:cs="Times New Roman"/>
          <w:sz w:val="20"/>
          <w:szCs w:val="20"/>
        </w:rPr>
        <w:t>.</w:t>
      </w:r>
    </w:p>
  </w:footnote>
  <w:footnote w:id="31">
    <w:p w14:paraId="12850215" w14:textId="77777777" w:rsidR="00653599" w:rsidRPr="00D335FE" w:rsidRDefault="004567DA">
      <w:pPr>
        <w:spacing w:line="240" w:lineRule="auto"/>
        <w:rPr>
          <w:rFonts w:ascii="Times New Roman" w:eastAsia="Times New Roman" w:hAnsi="Times New Roman" w:cs="Times New Roman"/>
          <w:sz w:val="20"/>
          <w:szCs w:val="20"/>
        </w:rPr>
      </w:pPr>
      <w:r w:rsidRPr="00D335FE">
        <w:rPr>
          <w:rFonts w:ascii="Times New Roman" w:hAnsi="Times New Roman" w:cs="Times New Roman"/>
          <w:sz w:val="20"/>
          <w:szCs w:val="20"/>
          <w:vertAlign w:val="superscript"/>
        </w:rPr>
        <w:footnoteRef/>
      </w:r>
      <w:r w:rsidRPr="00D335FE">
        <w:rPr>
          <w:rFonts w:ascii="Times New Roman" w:eastAsia="Times New Roman" w:hAnsi="Times New Roman" w:cs="Times New Roman"/>
          <w:sz w:val="20"/>
          <w:szCs w:val="20"/>
        </w:rPr>
        <w:t xml:space="preserve"> U.S. Energy Information Administration, 2015 Residential Energy Consumption Survey Microdata, Released December 2018. </w:t>
      </w:r>
      <w:hyperlink r:id="rId13">
        <w:r w:rsidRPr="00D335FE">
          <w:rPr>
            <w:rFonts w:ascii="Times New Roman" w:eastAsia="Times New Roman" w:hAnsi="Times New Roman" w:cs="Times New Roman"/>
            <w:color w:val="1155CC"/>
            <w:sz w:val="20"/>
            <w:szCs w:val="20"/>
            <w:u w:val="single"/>
          </w:rPr>
          <w:t>https://www.eia.gov/consumption/residential/data/2015/index.php?view=microdata</w:t>
        </w:r>
      </w:hyperlink>
    </w:p>
  </w:footnote>
  <w:footnote w:id="32">
    <w:p w14:paraId="12850216" w14:textId="77777777" w:rsidR="00653599" w:rsidRPr="007548A3" w:rsidRDefault="004567DA">
      <w:pPr>
        <w:spacing w:line="240" w:lineRule="auto"/>
        <w:rPr>
          <w:rFonts w:ascii="Times New Roman" w:eastAsia="Times New Roman" w:hAnsi="Times New Roman" w:cs="Times New Roman"/>
          <w:sz w:val="20"/>
          <w:szCs w:val="20"/>
        </w:rPr>
      </w:pPr>
      <w:r w:rsidRPr="007548A3">
        <w:rPr>
          <w:rFonts w:ascii="Times New Roman" w:hAnsi="Times New Roman" w:cs="Times New Roman"/>
          <w:sz w:val="20"/>
          <w:szCs w:val="20"/>
          <w:vertAlign w:val="superscript"/>
        </w:rPr>
        <w:footnoteRef/>
      </w:r>
      <w:r w:rsidRPr="007548A3">
        <w:rPr>
          <w:rFonts w:ascii="Times New Roman" w:eastAsia="Times New Roman" w:hAnsi="Times New Roman" w:cs="Times New Roman"/>
          <w:sz w:val="20"/>
          <w:szCs w:val="20"/>
        </w:rPr>
        <w:t xml:space="preserve"> During his testimony on April 5, 2022, Georgia Power witness Jeffrey Smith states, “</w:t>
      </w:r>
      <w:r w:rsidRPr="007548A3">
        <w:rPr>
          <w:rFonts w:ascii="Times New Roman" w:eastAsia="Times New Roman" w:hAnsi="Times New Roman" w:cs="Times New Roman"/>
          <w:sz w:val="20"/>
          <w:szCs w:val="20"/>
          <w:highlight w:val="white"/>
        </w:rPr>
        <w:t>For TRC and, subject to check, I want to say it's around 1.6 or 1.8 [subject to check] on TRC” (Tr. 764).</w:t>
      </w:r>
    </w:p>
  </w:footnote>
  <w:footnote w:id="33">
    <w:p w14:paraId="12850217" w14:textId="77777777" w:rsidR="00653599" w:rsidRPr="00182E1C" w:rsidRDefault="004567DA" w:rsidP="00182E1C">
      <w:pPr>
        <w:spacing w:line="240" w:lineRule="auto"/>
        <w:jc w:val="both"/>
        <w:rPr>
          <w:rFonts w:ascii="Times New Roman" w:eastAsia="Times New Roman" w:hAnsi="Times New Roman" w:cs="Times New Roman"/>
          <w:sz w:val="20"/>
          <w:szCs w:val="20"/>
        </w:rPr>
      </w:pPr>
      <w:r w:rsidRPr="00182E1C">
        <w:rPr>
          <w:rFonts w:ascii="Times New Roman" w:hAnsi="Times New Roman" w:cs="Times New Roman"/>
          <w:sz w:val="20"/>
          <w:szCs w:val="20"/>
          <w:vertAlign w:val="superscript"/>
        </w:rPr>
        <w:footnoteRef/>
      </w:r>
      <w:r w:rsidRPr="00182E1C">
        <w:rPr>
          <w:rFonts w:ascii="Times New Roman" w:eastAsia="Times New Roman" w:hAnsi="Times New Roman" w:cs="Times New Roman"/>
          <w:sz w:val="20"/>
          <w:szCs w:val="20"/>
        </w:rPr>
        <w:t xml:space="preserve"> U.S. Energy Information Administration, 2020 Residential Energy Consumption Survey. Table HC11.1, Household Energy Insecurity, 2020: </w:t>
      </w:r>
      <w:hyperlink r:id="rId14">
        <w:r w:rsidRPr="00182E1C">
          <w:rPr>
            <w:rFonts w:ascii="Times New Roman" w:eastAsia="Times New Roman" w:hAnsi="Times New Roman" w:cs="Times New Roman"/>
            <w:color w:val="1155CC"/>
            <w:sz w:val="20"/>
            <w:szCs w:val="20"/>
            <w:u w:val="single"/>
          </w:rPr>
          <w:t>https://www.eia.gov/consumption/residential/data/2020/hc/pdf/HC%2011.1.pdf</w:t>
        </w:r>
      </w:hyperlink>
    </w:p>
  </w:footnote>
  <w:footnote w:id="34">
    <w:p w14:paraId="12850218" w14:textId="77777777" w:rsidR="00653599" w:rsidRPr="00182E1C" w:rsidRDefault="004567DA" w:rsidP="00182E1C">
      <w:pPr>
        <w:spacing w:line="240" w:lineRule="auto"/>
        <w:jc w:val="both"/>
        <w:rPr>
          <w:rFonts w:ascii="Times New Roman" w:eastAsia="Times New Roman" w:hAnsi="Times New Roman" w:cs="Times New Roman"/>
          <w:sz w:val="20"/>
          <w:szCs w:val="20"/>
        </w:rPr>
      </w:pPr>
      <w:r w:rsidRPr="00182E1C">
        <w:rPr>
          <w:rFonts w:ascii="Times New Roman" w:hAnsi="Times New Roman" w:cs="Times New Roman"/>
          <w:sz w:val="20"/>
          <w:szCs w:val="20"/>
          <w:vertAlign w:val="superscript"/>
        </w:rPr>
        <w:footnoteRef/>
      </w:r>
      <w:r w:rsidRPr="00182E1C">
        <w:rPr>
          <w:rFonts w:ascii="Times New Roman" w:hAnsi="Times New Roman" w:cs="Times New Roman"/>
          <w:sz w:val="20"/>
          <w:szCs w:val="20"/>
        </w:rPr>
        <w:t xml:space="preserve"> </w:t>
      </w:r>
      <w:r w:rsidRPr="00182E1C">
        <w:rPr>
          <w:rFonts w:ascii="Times New Roman" w:eastAsia="Times New Roman" w:hAnsi="Times New Roman" w:cs="Times New Roman"/>
          <w:sz w:val="20"/>
          <w:szCs w:val="20"/>
        </w:rPr>
        <w:t xml:space="preserve">U.S. Census Bureau American Community Survey (“ACS”) 5-Year Estimates Public Use Microdata Sample (“PUMS”), Average of Household Income (past 12 month, for nonvacant household that reported no income loss), Available at: </w:t>
      </w:r>
      <w:hyperlink r:id="rId15" w:anchor="/search?ds=ACSPUMS5Y2020&amp;vv=*HINCP(0,1:99999999)&amp;rv=BLD&amp;nv=ucgid&amp;wt=WGTP&amp;g=0400000US13">
        <w:r w:rsidRPr="00182E1C">
          <w:rPr>
            <w:rFonts w:ascii="Times New Roman" w:eastAsia="Times New Roman" w:hAnsi="Times New Roman" w:cs="Times New Roman"/>
            <w:color w:val="1155CC"/>
            <w:sz w:val="20"/>
            <w:szCs w:val="20"/>
            <w:u w:val="single"/>
          </w:rPr>
          <w:t>https://data.census.gov/mdat/#/search?ds=ACSPUMS5Y2020&amp;vv=*HINCP(0,1:99999999)&amp;rv=BLD</w:t>
        </w:r>
        <w:r w:rsidRPr="00182E1C">
          <w:rPr>
            <w:rFonts w:ascii="Times New Roman" w:eastAsia="Times New Roman" w:hAnsi="Times New Roman" w:cs="Times New Roman"/>
            <w:color w:val="1155CC"/>
            <w:sz w:val="20"/>
            <w:szCs w:val="20"/>
            <w:u w:val="single"/>
          </w:rPr>
          <w:br/>
          <w:t>&amp;nv=ucgid&amp;wt=WGTP&amp;g=0400000US13</w:t>
        </w:r>
      </w:hyperlink>
    </w:p>
  </w:footnote>
  <w:footnote w:id="35">
    <w:p w14:paraId="12850219" w14:textId="77777777" w:rsidR="00653599" w:rsidRDefault="004567DA" w:rsidP="00182E1C">
      <w:pPr>
        <w:spacing w:line="240" w:lineRule="auto"/>
        <w:jc w:val="both"/>
        <w:rPr>
          <w:rFonts w:ascii="Times New Roman" w:eastAsia="Times New Roman" w:hAnsi="Times New Roman" w:cs="Times New Roman"/>
          <w:sz w:val="20"/>
          <w:szCs w:val="20"/>
        </w:rPr>
      </w:pPr>
      <w:r w:rsidRPr="00182E1C">
        <w:rPr>
          <w:rFonts w:ascii="Times New Roman" w:hAnsi="Times New Roman" w:cs="Times New Roman"/>
          <w:sz w:val="20"/>
          <w:szCs w:val="20"/>
          <w:vertAlign w:val="superscript"/>
        </w:rPr>
        <w:footnoteRef/>
      </w:r>
      <w:r w:rsidRPr="00182E1C">
        <w:rPr>
          <w:rFonts w:ascii="Times New Roman" w:eastAsia="Times New Roman" w:hAnsi="Times New Roman" w:cs="Times New Roman"/>
          <w:sz w:val="20"/>
          <w:szCs w:val="20"/>
        </w:rPr>
        <w:t xml:space="preserve"> U.S. Census Bureau ACS 5-Year Estimates PUMS, Average of Household Income (past 12 month, for nonvacant household that reported no income loss) by Units in Structure &amp; Number of Persons Associated with Housing Record., Available at: </w:t>
      </w:r>
      <w:hyperlink r:id="rId16">
        <w:r w:rsidRPr="00182E1C">
          <w:rPr>
            <w:rFonts w:ascii="Times New Roman" w:eastAsia="Times New Roman" w:hAnsi="Times New Roman" w:cs="Times New Roman"/>
            <w:color w:val="1155CC"/>
            <w:sz w:val="20"/>
            <w:szCs w:val="20"/>
            <w:u w:val="single"/>
          </w:rPr>
          <w:t>https://data.census.gov/cedsci/</w:t>
        </w:r>
      </w:hyperlink>
      <w:r w:rsidRPr="00182E1C">
        <w:rPr>
          <w:rFonts w:ascii="Times New Roman" w:eastAsia="Times New Roman" w:hAnsi="Times New Roman" w:cs="Times New Roman"/>
          <w:sz w:val="20"/>
          <w:szCs w:val="20"/>
        </w:rPr>
        <w:t xml:space="preserve">. </w:t>
      </w:r>
      <w:hyperlink r:id="rId17" w:anchor="/search?ds=ACSPUMS5Y2020&amp;vv=NP,*HINCP&amp;cv=NP_RC1&amp;rv=BLD&amp;nv=ucgid&amp;wt=WGTP&amp;g=0400000US13&amp;NP_RC1=%7B%22S%22%3A%22Number%20of%20persons%20associated%20with%20this%20housing%20record%20recode%22%2C%22R%22%3A%22NP%22%2C%22W%22%3A%22WGTP%22%2C%22V%22%3A%5B%5B%220%22%2C%22Not%20Elsewhere%20Classified%22%5D%2C%5B%221%22%2C%221%22%5D%2C%5B%222%3A2%22%2C%222%22%5D%2C%5B%223%3A3%22%2C%223%22%5D%2C%5B%224%3A4%22%2C%224%22%5D%2C%5B%225%3A5%22%2C%225%22%5D%2C%5B%226%3A6%22%2C%226%22%5D%2C%5B%227%3A7%22%2C%227%22%5D%2C%5B%228%3A8%22%2C%228%22%5D%2C%5B%229%3A9%22%2C%229%22%5D%2C%5B%2210%3A10%22%2C%2210%22%5D%2C%5B%2211%3A20%22%2C%2211%2B%22%5D%5D%7D">
        <w:r w:rsidRPr="00182E1C">
          <w:rPr>
            <w:rFonts w:ascii="Times New Roman" w:eastAsia="Times New Roman" w:hAnsi="Times New Roman" w:cs="Times New Roman"/>
            <w:color w:val="1155CC"/>
            <w:sz w:val="20"/>
            <w:szCs w:val="20"/>
            <w:u w:val="single"/>
          </w:rPr>
          <w:t>Full Link</w:t>
        </w:r>
      </w:hyperlink>
      <w:r w:rsidRPr="00182E1C">
        <w:rPr>
          <w:rFonts w:ascii="Times New Roman" w:eastAsia="Times New Roman" w:hAnsi="Times New Roman" w:cs="Times New Roman"/>
          <w:sz w:val="20"/>
          <w:szCs w:val="20"/>
        </w:rPr>
        <w:t xml:space="preserve"> to dataset.</w:t>
      </w:r>
    </w:p>
  </w:footnote>
  <w:footnote w:id="36">
    <w:p w14:paraId="1285021A" w14:textId="54D5661E" w:rsidR="00653599" w:rsidRPr="008B3A44" w:rsidRDefault="004567DA">
      <w:pPr>
        <w:spacing w:line="240" w:lineRule="auto"/>
        <w:jc w:val="both"/>
        <w:rPr>
          <w:rFonts w:ascii="Times New Roman" w:eastAsia="Times New Roman" w:hAnsi="Times New Roman" w:cs="Times New Roman"/>
          <w:sz w:val="20"/>
          <w:szCs w:val="20"/>
        </w:rPr>
      </w:pPr>
      <w:r w:rsidRPr="008B3A44">
        <w:rPr>
          <w:rFonts w:ascii="Times New Roman" w:hAnsi="Times New Roman" w:cs="Times New Roman"/>
          <w:sz w:val="20"/>
          <w:szCs w:val="20"/>
          <w:vertAlign w:val="superscript"/>
        </w:rPr>
        <w:footnoteRef/>
      </w:r>
      <w:r w:rsidRPr="008B3A44">
        <w:rPr>
          <w:rFonts w:ascii="Times New Roman" w:eastAsia="Times New Roman" w:hAnsi="Times New Roman" w:cs="Times New Roman"/>
          <w:sz w:val="20"/>
          <w:szCs w:val="20"/>
        </w:rPr>
        <w:t xml:space="preserve"> </w:t>
      </w:r>
      <w:r w:rsidR="008B3A44" w:rsidRPr="008B3A44">
        <w:rPr>
          <w:rFonts w:ascii="Times New Roman" w:hAnsi="Times New Roman" w:cs="Times New Roman"/>
          <w:i/>
          <w:iCs/>
          <w:sz w:val="20"/>
          <w:szCs w:val="20"/>
          <w:lang w:val="en-US"/>
        </w:rPr>
        <w:t>Entergy New Orleans, LLC.’s 2018 Integrated Resource Plan</w:t>
      </w:r>
      <w:r w:rsidR="008B3A44" w:rsidRPr="008B3A44">
        <w:rPr>
          <w:rFonts w:ascii="Times New Roman" w:hAnsi="Times New Roman" w:cs="Times New Roman"/>
          <w:sz w:val="20"/>
          <w:szCs w:val="20"/>
          <w:lang w:val="en-US"/>
        </w:rPr>
        <w:t>, Docket No. UD-17-03.</w:t>
      </w:r>
    </w:p>
  </w:footnote>
  <w:footnote w:id="37">
    <w:p w14:paraId="1285021B" w14:textId="77777777" w:rsidR="00653599" w:rsidRPr="004D1BA5" w:rsidRDefault="004567DA">
      <w:pPr>
        <w:spacing w:line="240" w:lineRule="auto"/>
        <w:jc w:val="both"/>
        <w:rPr>
          <w:rFonts w:ascii="Times New Roman" w:eastAsia="Times New Roman" w:hAnsi="Times New Roman" w:cs="Times New Roman"/>
          <w:sz w:val="20"/>
          <w:szCs w:val="20"/>
        </w:rPr>
      </w:pPr>
      <w:r w:rsidRPr="004D1BA5">
        <w:rPr>
          <w:rFonts w:ascii="Times New Roman" w:hAnsi="Times New Roman" w:cs="Times New Roman"/>
          <w:sz w:val="20"/>
          <w:szCs w:val="20"/>
          <w:vertAlign w:val="superscript"/>
        </w:rPr>
        <w:footnoteRef/>
      </w:r>
      <w:r w:rsidRPr="004D1BA5">
        <w:rPr>
          <w:rFonts w:ascii="Times New Roman" w:eastAsia="Times New Roman" w:hAnsi="Times New Roman" w:cs="Times New Roman"/>
          <w:sz w:val="20"/>
          <w:szCs w:val="20"/>
        </w:rPr>
        <w:t xml:space="preserve"> </w:t>
      </w:r>
      <w:r w:rsidRPr="004D1BA5">
        <w:rPr>
          <w:rFonts w:ascii="Times New Roman" w:eastAsia="Times New Roman" w:hAnsi="Times New Roman" w:cs="Times New Roman"/>
          <w:i/>
          <w:sz w:val="20"/>
          <w:szCs w:val="20"/>
        </w:rPr>
        <w:t>Georgia Power’s 2022 Application for the Certification, Decertification, and Amended Demand-Side Management Plan (Docket No. 44160)</w:t>
      </w:r>
      <w:r w:rsidRPr="004D1BA5">
        <w:rPr>
          <w:rFonts w:ascii="Times New Roman" w:eastAsia="Times New Roman" w:hAnsi="Times New Roman" w:cs="Times New Roman"/>
          <w:sz w:val="20"/>
          <w:szCs w:val="20"/>
        </w:rPr>
        <w:t>, Page 5.</w:t>
      </w:r>
    </w:p>
  </w:footnote>
  <w:footnote w:id="38">
    <w:p w14:paraId="1285021C" w14:textId="35F72B7C" w:rsidR="00653599" w:rsidRDefault="004567DA">
      <w:pPr>
        <w:spacing w:line="240" w:lineRule="auto"/>
        <w:jc w:val="both"/>
        <w:rPr>
          <w:rFonts w:ascii="Times New Roman" w:eastAsia="Times New Roman" w:hAnsi="Times New Roman" w:cs="Times New Roman"/>
          <w:sz w:val="20"/>
          <w:szCs w:val="20"/>
        </w:rPr>
      </w:pPr>
      <w:r w:rsidRPr="004D1BA5">
        <w:rPr>
          <w:rFonts w:ascii="Times New Roman" w:hAnsi="Times New Roman" w:cs="Times New Roman"/>
          <w:sz w:val="20"/>
          <w:szCs w:val="20"/>
          <w:vertAlign w:val="superscript"/>
        </w:rPr>
        <w:footnoteRef/>
      </w:r>
      <w:r w:rsidRPr="004D1BA5">
        <w:rPr>
          <w:rFonts w:ascii="Times New Roman" w:eastAsia="Times New Roman" w:hAnsi="Times New Roman" w:cs="Times New Roman"/>
          <w:sz w:val="20"/>
          <w:szCs w:val="20"/>
        </w:rPr>
        <w:t xml:space="preserve"> </w:t>
      </w:r>
      <w:r w:rsidRPr="004D1BA5">
        <w:rPr>
          <w:rFonts w:ascii="Times New Roman" w:eastAsia="Times New Roman" w:hAnsi="Times New Roman" w:cs="Times New Roman"/>
          <w:i/>
          <w:sz w:val="20"/>
          <w:szCs w:val="20"/>
        </w:rPr>
        <w:t xml:space="preserve">Georgia Public Service Commission 2019 Order Adopting Stipulations </w:t>
      </w:r>
      <w:r w:rsidR="00427033" w:rsidRPr="004D1BA5">
        <w:rPr>
          <w:rFonts w:ascii="Times New Roman" w:eastAsia="Times New Roman" w:hAnsi="Times New Roman" w:cs="Times New Roman"/>
          <w:i/>
          <w:sz w:val="20"/>
          <w:szCs w:val="20"/>
        </w:rPr>
        <w:t>a</w:t>
      </w:r>
      <w:r w:rsidRPr="004D1BA5">
        <w:rPr>
          <w:rFonts w:ascii="Times New Roman" w:eastAsia="Times New Roman" w:hAnsi="Times New Roman" w:cs="Times New Roman"/>
          <w:i/>
          <w:sz w:val="20"/>
          <w:szCs w:val="20"/>
        </w:rPr>
        <w:t>s Amended</w:t>
      </w:r>
      <w:r w:rsidRPr="004D1BA5">
        <w:rPr>
          <w:rFonts w:ascii="Times New Roman" w:eastAsia="Times New Roman" w:hAnsi="Times New Roman" w:cs="Times New Roman"/>
          <w:sz w:val="20"/>
          <w:szCs w:val="20"/>
        </w:rPr>
        <w:t>, Demand-Side Plan No. 15, Page 10.</w:t>
      </w:r>
    </w:p>
  </w:footnote>
  <w:footnote w:id="39">
    <w:p w14:paraId="1285021D" w14:textId="77777777" w:rsidR="00653599" w:rsidRPr="004D1BA5" w:rsidRDefault="004567DA">
      <w:pPr>
        <w:spacing w:line="240" w:lineRule="auto"/>
        <w:jc w:val="both"/>
        <w:rPr>
          <w:rFonts w:ascii="Times New Roman" w:eastAsia="Times New Roman" w:hAnsi="Times New Roman" w:cs="Times New Roman"/>
          <w:sz w:val="20"/>
          <w:szCs w:val="20"/>
        </w:rPr>
      </w:pPr>
      <w:r w:rsidRPr="004D1BA5">
        <w:rPr>
          <w:rFonts w:ascii="Times New Roman" w:hAnsi="Times New Roman" w:cs="Times New Roman"/>
          <w:sz w:val="20"/>
          <w:szCs w:val="20"/>
          <w:vertAlign w:val="superscript"/>
        </w:rPr>
        <w:footnoteRef/>
      </w:r>
      <w:r w:rsidRPr="004D1BA5">
        <w:rPr>
          <w:rFonts w:ascii="Times New Roman" w:eastAsia="Times New Roman" w:hAnsi="Times New Roman" w:cs="Times New Roman"/>
          <w:sz w:val="20"/>
          <w:szCs w:val="20"/>
        </w:rPr>
        <w:t xml:space="preserve"> Direct Testimony of Jamie Barber, Richard F. Spellman, John L. Kaduk, and John G. Athas, before the Georgia Public Service Commission on April 25, 2019, Page 32. </w:t>
      </w:r>
    </w:p>
  </w:footnote>
  <w:footnote w:id="40">
    <w:p w14:paraId="1285021E" w14:textId="77777777" w:rsidR="00653599" w:rsidRPr="00BE3B1A" w:rsidRDefault="004567DA">
      <w:pPr>
        <w:spacing w:line="240" w:lineRule="auto"/>
        <w:rPr>
          <w:rFonts w:ascii="Times New Roman" w:eastAsia="Times New Roman" w:hAnsi="Times New Roman" w:cs="Times New Roman"/>
          <w:sz w:val="20"/>
          <w:szCs w:val="20"/>
        </w:rPr>
      </w:pPr>
      <w:r w:rsidRPr="00BE3B1A">
        <w:rPr>
          <w:rFonts w:ascii="Times New Roman" w:hAnsi="Times New Roman" w:cs="Times New Roman"/>
          <w:sz w:val="20"/>
          <w:szCs w:val="20"/>
          <w:vertAlign w:val="superscript"/>
        </w:rPr>
        <w:footnoteRef/>
      </w:r>
      <w:r w:rsidRPr="00BE3B1A">
        <w:rPr>
          <w:rFonts w:ascii="Times New Roman" w:eastAsia="Times New Roman" w:hAnsi="Times New Roman" w:cs="Times New Roman"/>
          <w:sz w:val="20"/>
          <w:szCs w:val="20"/>
        </w:rPr>
        <w:t xml:space="preserve"> </w:t>
      </w:r>
      <w:r w:rsidRPr="00BE3B1A">
        <w:rPr>
          <w:rFonts w:ascii="Times New Roman" w:eastAsia="Times New Roman" w:hAnsi="Times New Roman" w:cs="Times New Roman"/>
          <w:i/>
          <w:sz w:val="20"/>
          <w:szCs w:val="20"/>
        </w:rPr>
        <w:t>Id.</w:t>
      </w:r>
      <w:r w:rsidRPr="00BE3B1A">
        <w:rPr>
          <w:rFonts w:ascii="Times New Roman" w:eastAsia="Times New Roman" w:hAnsi="Times New Roman" w:cs="Times New Roman"/>
          <w:sz w:val="20"/>
          <w:szCs w:val="20"/>
        </w:rPr>
        <w:t>, Pages 34-35.</w:t>
      </w:r>
    </w:p>
  </w:footnote>
  <w:footnote w:id="41">
    <w:p w14:paraId="1285021F" w14:textId="77777777" w:rsidR="00653599" w:rsidRPr="00BE3B1A" w:rsidRDefault="004567DA">
      <w:pPr>
        <w:spacing w:line="240" w:lineRule="auto"/>
        <w:rPr>
          <w:rFonts w:ascii="Times New Roman" w:hAnsi="Times New Roman" w:cs="Times New Roman"/>
          <w:sz w:val="20"/>
          <w:szCs w:val="20"/>
        </w:rPr>
      </w:pPr>
      <w:r w:rsidRPr="00BE3B1A">
        <w:rPr>
          <w:rFonts w:ascii="Times New Roman" w:hAnsi="Times New Roman" w:cs="Times New Roman"/>
          <w:sz w:val="20"/>
          <w:szCs w:val="20"/>
          <w:vertAlign w:val="superscript"/>
        </w:rPr>
        <w:footnoteRef/>
      </w:r>
      <w:r w:rsidRPr="00BE3B1A">
        <w:rPr>
          <w:rFonts w:ascii="Times New Roman" w:eastAsia="Times New Roman" w:hAnsi="Times New Roman" w:cs="Times New Roman"/>
          <w:sz w:val="20"/>
          <w:szCs w:val="20"/>
        </w:rPr>
        <w:t xml:space="preserve"> </w:t>
      </w:r>
      <w:r w:rsidRPr="00BE3B1A">
        <w:rPr>
          <w:rFonts w:ascii="Times New Roman" w:eastAsia="Times New Roman" w:hAnsi="Times New Roman" w:cs="Times New Roman"/>
          <w:i/>
          <w:sz w:val="20"/>
          <w:szCs w:val="20"/>
        </w:rPr>
        <w:t>Id.</w:t>
      </w:r>
      <w:r w:rsidRPr="00BE3B1A">
        <w:rPr>
          <w:rFonts w:ascii="Times New Roman" w:eastAsia="Times New Roman" w:hAnsi="Times New Roman" w:cs="Times New Roman"/>
          <w:sz w:val="20"/>
          <w:szCs w:val="20"/>
        </w:rPr>
        <w:t>, Page 35.</w:t>
      </w:r>
    </w:p>
  </w:footnote>
  <w:footnote w:id="42">
    <w:p w14:paraId="7BE615FC" w14:textId="4C258596" w:rsidR="00BE3B1A" w:rsidRPr="00565C21" w:rsidRDefault="00BE3B1A">
      <w:pPr>
        <w:pStyle w:val="FootnoteText"/>
        <w:rPr>
          <w:rFonts w:ascii="Times New Roman" w:hAnsi="Times New Roman" w:cs="Times New Roman"/>
          <w:lang w:val="en-US"/>
        </w:rPr>
      </w:pPr>
      <w:r w:rsidRPr="00565C21">
        <w:rPr>
          <w:rStyle w:val="FootnoteReference"/>
          <w:rFonts w:ascii="Times New Roman" w:hAnsi="Times New Roman" w:cs="Times New Roman"/>
        </w:rPr>
        <w:footnoteRef/>
      </w:r>
      <w:r w:rsidRPr="00565C21">
        <w:rPr>
          <w:rFonts w:ascii="Times New Roman" w:hAnsi="Times New Roman" w:cs="Times New Roman"/>
        </w:rPr>
        <w:t xml:space="preserve"> </w:t>
      </w:r>
      <w:r w:rsidRPr="00565C21">
        <w:rPr>
          <w:rFonts w:ascii="Times New Roman" w:hAnsi="Times New Roman" w:cs="Times New Roman"/>
          <w:i/>
          <w:iCs/>
          <w:lang w:val="en-US"/>
        </w:rPr>
        <w:t>Id.</w:t>
      </w:r>
      <w:r w:rsidRPr="00565C21">
        <w:rPr>
          <w:rFonts w:ascii="Times New Roman" w:hAnsi="Times New Roman" w:cs="Times New Roman"/>
          <w:lang w:val="en-US"/>
        </w:rPr>
        <w:t>, Page 34.</w:t>
      </w:r>
    </w:p>
  </w:footnote>
  <w:footnote w:id="43">
    <w:p w14:paraId="7B4D6BF8" w14:textId="1948BC8C" w:rsidR="00815D59" w:rsidRPr="00815D59" w:rsidRDefault="00815D59">
      <w:pPr>
        <w:pStyle w:val="FootnoteText"/>
        <w:rPr>
          <w:lang w:val="en-US"/>
        </w:rPr>
      </w:pPr>
      <w:r w:rsidRPr="00565C21">
        <w:rPr>
          <w:rStyle w:val="FootnoteReference"/>
          <w:rFonts w:ascii="Times New Roman" w:hAnsi="Times New Roman" w:cs="Times New Roman"/>
        </w:rPr>
        <w:footnoteRef/>
      </w:r>
      <w:r w:rsidRPr="00565C21">
        <w:rPr>
          <w:rFonts w:ascii="Times New Roman" w:hAnsi="Times New Roman" w:cs="Times New Roman"/>
        </w:rPr>
        <w:t xml:space="preserve"> </w:t>
      </w:r>
      <w:r w:rsidRPr="00565C21">
        <w:rPr>
          <w:rFonts w:ascii="Times New Roman" w:eastAsia="Times New Roman" w:hAnsi="Times New Roman" w:cs="Times New Roman"/>
        </w:rPr>
        <w:t>Direct Testimony of John Wilson and Bryan Jacob before the Georgia Public Service Commission</w:t>
      </w:r>
      <w:r w:rsidR="00565C21" w:rsidRPr="00565C21">
        <w:rPr>
          <w:rFonts w:ascii="Times New Roman" w:eastAsia="Times New Roman" w:hAnsi="Times New Roman" w:cs="Times New Roman"/>
        </w:rPr>
        <w:t xml:space="preserve"> on April 25, 2019, </w:t>
      </w:r>
      <w:r w:rsidR="007C4B6D" w:rsidRPr="00565C21">
        <w:rPr>
          <w:rFonts w:ascii="Times New Roman" w:eastAsia="Times New Roman" w:hAnsi="Times New Roman" w:cs="Times New Roman"/>
          <w:i/>
          <w:iCs/>
        </w:rPr>
        <w:t xml:space="preserve">Georgia Power’s </w:t>
      </w:r>
      <w:r w:rsidR="00882BA1" w:rsidRPr="00565C21">
        <w:rPr>
          <w:rFonts w:ascii="Times New Roman" w:eastAsia="Times New Roman" w:hAnsi="Times New Roman" w:cs="Times New Roman"/>
          <w:i/>
          <w:iCs/>
        </w:rPr>
        <w:t>2019 Integrated Resource Plan and Demand-Side Management Plan</w:t>
      </w:r>
      <w:r w:rsidR="00882BA1" w:rsidRPr="00565C21">
        <w:rPr>
          <w:rFonts w:ascii="Times New Roman" w:eastAsia="Times New Roman" w:hAnsi="Times New Roman" w:cs="Times New Roman"/>
        </w:rPr>
        <w:t>, Docket No</w:t>
      </w:r>
      <w:r w:rsidR="00565C21" w:rsidRPr="00565C21">
        <w:rPr>
          <w:rFonts w:ascii="Times New Roman" w:eastAsia="Times New Roman" w:hAnsi="Times New Roman" w:cs="Times New Roman"/>
        </w:rPr>
        <w:t xml:space="preserve">s. </w:t>
      </w:r>
      <w:r w:rsidR="00882BA1" w:rsidRPr="00565C21">
        <w:rPr>
          <w:rFonts w:ascii="Times New Roman" w:eastAsia="Times New Roman" w:hAnsi="Times New Roman" w:cs="Times New Roman"/>
        </w:rPr>
        <w:t>42310</w:t>
      </w:r>
      <w:r w:rsidR="00565C21" w:rsidRPr="00565C21">
        <w:rPr>
          <w:rFonts w:ascii="Times New Roman" w:eastAsia="Times New Roman" w:hAnsi="Times New Roman" w:cs="Times New Roman"/>
        </w:rPr>
        <w:t xml:space="preserve"> and 42311.</w:t>
      </w:r>
    </w:p>
  </w:footnote>
  <w:footnote w:id="44">
    <w:p w14:paraId="08649039" w14:textId="2A436E30" w:rsidR="004A3684" w:rsidRDefault="004A3684" w:rsidP="009973CC">
      <w:pPr>
        <w:pStyle w:val="Default"/>
        <w:jc w:val="both"/>
        <w:rPr>
          <w:sz w:val="20"/>
          <w:szCs w:val="20"/>
        </w:rPr>
      </w:pPr>
      <w:r w:rsidRPr="004A3684">
        <w:rPr>
          <w:rStyle w:val="FootnoteReference"/>
          <w:sz w:val="20"/>
          <w:szCs w:val="20"/>
        </w:rPr>
        <w:footnoteRef/>
      </w:r>
      <w:r w:rsidRPr="004A3684">
        <w:rPr>
          <w:sz w:val="20"/>
          <w:szCs w:val="20"/>
        </w:rPr>
        <w:t xml:space="preserve"> </w:t>
      </w:r>
      <w:r w:rsidR="00E966DB" w:rsidRPr="00E966DB">
        <w:rPr>
          <w:i/>
          <w:iCs/>
          <w:sz w:val="20"/>
          <w:szCs w:val="20"/>
        </w:rPr>
        <w:t xml:space="preserve">Georgia Power’s </w:t>
      </w:r>
      <w:r w:rsidRPr="00E966DB">
        <w:rPr>
          <w:i/>
          <w:iCs/>
          <w:sz w:val="20"/>
          <w:szCs w:val="20"/>
        </w:rPr>
        <w:t>Certified Demand-Side Management Programs, Fourth Quarter 2020 Programs Status Report</w:t>
      </w:r>
      <w:r w:rsidR="00E966DB">
        <w:rPr>
          <w:sz w:val="20"/>
          <w:szCs w:val="20"/>
        </w:rPr>
        <w:t>,</w:t>
      </w:r>
      <w:r w:rsidRPr="004A3684">
        <w:rPr>
          <w:sz w:val="20"/>
          <w:szCs w:val="20"/>
        </w:rPr>
        <w:t xml:space="preserve"> Docket No. 42311</w:t>
      </w:r>
      <w:r w:rsidR="00E966DB">
        <w:rPr>
          <w:sz w:val="20"/>
          <w:szCs w:val="20"/>
        </w:rPr>
        <w:t>.</w:t>
      </w:r>
    </w:p>
    <w:p w14:paraId="1A3AE728" w14:textId="77777777" w:rsidR="003F78AC" w:rsidRDefault="003F78AC" w:rsidP="009973CC">
      <w:pPr>
        <w:pStyle w:val="Default"/>
        <w:jc w:val="both"/>
        <w:rPr>
          <w:sz w:val="20"/>
          <w:szCs w:val="20"/>
        </w:rPr>
      </w:pPr>
    </w:p>
    <w:p w14:paraId="10C22E35" w14:textId="4CB015A3" w:rsidR="009973CC" w:rsidRPr="004A3684" w:rsidRDefault="009973CC" w:rsidP="009973CC">
      <w:pPr>
        <w:pStyle w:val="Default"/>
        <w:jc w:val="both"/>
        <w:rPr>
          <w:sz w:val="20"/>
          <w:szCs w:val="20"/>
        </w:rPr>
      </w:pPr>
      <w:r w:rsidRPr="00E966DB">
        <w:rPr>
          <w:i/>
          <w:iCs/>
          <w:sz w:val="20"/>
          <w:szCs w:val="20"/>
        </w:rPr>
        <w:t>Georgia Power’s Certified Demand-Side Management Programs, Fourth Quarter 202</w:t>
      </w:r>
      <w:r>
        <w:rPr>
          <w:i/>
          <w:iCs/>
          <w:sz w:val="20"/>
          <w:szCs w:val="20"/>
        </w:rPr>
        <w:t>1</w:t>
      </w:r>
      <w:r w:rsidRPr="00E966DB">
        <w:rPr>
          <w:i/>
          <w:iCs/>
          <w:sz w:val="20"/>
          <w:szCs w:val="20"/>
        </w:rPr>
        <w:t xml:space="preserve"> Programs Status Report</w:t>
      </w:r>
      <w:r>
        <w:rPr>
          <w:sz w:val="20"/>
          <w:szCs w:val="20"/>
        </w:rPr>
        <w:t>,</w:t>
      </w:r>
      <w:r w:rsidRPr="004A3684">
        <w:rPr>
          <w:sz w:val="20"/>
          <w:szCs w:val="20"/>
        </w:rPr>
        <w:t xml:space="preserve"> Docket No. 42311</w:t>
      </w:r>
      <w:r>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AAA10" w14:textId="77777777" w:rsidR="00F50E1E" w:rsidRDefault="00F50E1E" w:rsidP="00F50E1E">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Direct Testimony of Forest Bradley-Wright</w:t>
    </w:r>
  </w:p>
  <w:p w14:paraId="794AF3F0" w14:textId="77777777" w:rsidR="00F50E1E" w:rsidRDefault="00F50E1E" w:rsidP="00F50E1E">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Southern Alliance for Clean Energy &amp; Southface Energy Institute, Inc.</w:t>
    </w:r>
  </w:p>
  <w:p w14:paraId="4B7D2D02" w14:textId="633311C3" w:rsidR="00F50E1E" w:rsidRDefault="00F50E1E" w:rsidP="00F50E1E">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Georgia PSC, Docket No. 44161</w:t>
    </w:r>
  </w:p>
  <w:p w14:paraId="128501FE" w14:textId="1C347215" w:rsidR="00653599" w:rsidRDefault="00653599"/>
  <w:p w14:paraId="230946A1" w14:textId="77777777" w:rsidR="00F50E1E" w:rsidRDefault="00F50E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B6FF0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A2A64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0C6C2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D7E3B4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E20E1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8A4B92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E5CCC8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5EE45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8FA9F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6DC3F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5A1F91"/>
    <w:multiLevelType w:val="multilevel"/>
    <w:tmpl w:val="06CACFBE"/>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4B36CBE"/>
    <w:multiLevelType w:val="hybridMultilevel"/>
    <w:tmpl w:val="FBFA3A7E"/>
    <w:lvl w:ilvl="0" w:tplc="8B78DD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B95F6F"/>
    <w:multiLevelType w:val="multilevel"/>
    <w:tmpl w:val="06CACFBE"/>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59F4A05"/>
    <w:multiLevelType w:val="multilevel"/>
    <w:tmpl w:val="F176E81C"/>
    <w:lvl w:ilvl="0">
      <w:start w:val="1"/>
      <w:numFmt w:val="decimal"/>
      <w:lvlText w:val="Q%1."/>
      <w:lvlJc w:val="left"/>
      <w:pPr>
        <w:ind w:left="720" w:hanging="720"/>
      </w:pPr>
      <w:rPr>
        <w:rFonts w:ascii="Arial" w:eastAsia="Arial" w:hAnsi="Arial" w:cs="Arial"/>
        <w:b/>
        <w:u w:val="none"/>
      </w:rPr>
    </w:lvl>
    <w:lvl w:ilvl="1">
      <w:start w:val="1"/>
      <w:numFmt w:val="lowerLetter"/>
      <w:lvlText w:val="Q%2."/>
      <w:lvlJc w:val="left"/>
      <w:pPr>
        <w:ind w:left="1440" w:hanging="360"/>
      </w:pPr>
      <w:rPr>
        <w:u w:val="none"/>
      </w:rPr>
    </w:lvl>
    <w:lvl w:ilvl="2">
      <w:start w:val="1"/>
      <w:numFmt w:val="lowerRoman"/>
      <w:lvlText w:val="Q%3."/>
      <w:lvlJc w:val="right"/>
      <w:pPr>
        <w:ind w:left="2160" w:hanging="360"/>
      </w:pPr>
      <w:rPr>
        <w:u w:val="none"/>
      </w:rPr>
    </w:lvl>
    <w:lvl w:ilvl="3">
      <w:start w:val="1"/>
      <w:numFmt w:val="decimal"/>
      <w:lvlText w:val="Q%4."/>
      <w:lvlJc w:val="left"/>
      <w:pPr>
        <w:ind w:left="2880" w:hanging="360"/>
      </w:pPr>
      <w:rPr>
        <w:u w:val="none"/>
      </w:rPr>
    </w:lvl>
    <w:lvl w:ilvl="4">
      <w:start w:val="1"/>
      <w:numFmt w:val="lowerLetter"/>
      <w:lvlText w:val="Q%5."/>
      <w:lvlJc w:val="left"/>
      <w:pPr>
        <w:ind w:left="3600" w:hanging="360"/>
      </w:pPr>
      <w:rPr>
        <w:u w:val="none"/>
      </w:rPr>
    </w:lvl>
    <w:lvl w:ilvl="5">
      <w:start w:val="1"/>
      <w:numFmt w:val="lowerRoman"/>
      <w:lvlText w:val="Q%6."/>
      <w:lvlJc w:val="right"/>
      <w:pPr>
        <w:ind w:left="4320" w:hanging="360"/>
      </w:pPr>
      <w:rPr>
        <w:u w:val="none"/>
      </w:rPr>
    </w:lvl>
    <w:lvl w:ilvl="6">
      <w:start w:val="1"/>
      <w:numFmt w:val="decimal"/>
      <w:lvlText w:val="Q%7."/>
      <w:lvlJc w:val="left"/>
      <w:pPr>
        <w:ind w:left="5040" w:hanging="360"/>
      </w:pPr>
      <w:rPr>
        <w:u w:val="none"/>
      </w:rPr>
    </w:lvl>
    <w:lvl w:ilvl="7">
      <w:start w:val="1"/>
      <w:numFmt w:val="lowerLetter"/>
      <w:lvlText w:val="Q%8."/>
      <w:lvlJc w:val="left"/>
      <w:pPr>
        <w:ind w:left="5760" w:hanging="360"/>
      </w:pPr>
      <w:rPr>
        <w:u w:val="none"/>
      </w:rPr>
    </w:lvl>
    <w:lvl w:ilvl="8">
      <w:start w:val="1"/>
      <w:numFmt w:val="lowerRoman"/>
      <w:lvlText w:val="Q%9."/>
      <w:lvlJc w:val="right"/>
      <w:pPr>
        <w:ind w:left="6480" w:hanging="360"/>
      </w:pPr>
      <w:rPr>
        <w:u w:val="none"/>
      </w:rPr>
    </w:lvl>
  </w:abstractNum>
  <w:abstractNum w:abstractNumId="14" w15:restartNumberingAfterBreak="0">
    <w:nsid w:val="762410B5"/>
    <w:multiLevelType w:val="multilevel"/>
    <w:tmpl w:val="3DC4EFFC"/>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53294558">
    <w:abstractNumId w:val="10"/>
  </w:num>
  <w:num w:numId="2" w16cid:durableId="1985698178">
    <w:abstractNumId w:val="14"/>
  </w:num>
  <w:num w:numId="3" w16cid:durableId="1407922833">
    <w:abstractNumId w:val="13"/>
  </w:num>
  <w:num w:numId="4" w16cid:durableId="168714104">
    <w:abstractNumId w:val="12"/>
  </w:num>
  <w:num w:numId="5" w16cid:durableId="198904012">
    <w:abstractNumId w:val="9"/>
  </w:num>
  <w:num w:numId="6" w16cid:durableId="253249861">
    <w:abstractNumId w:val="7"/>
  </w:num>
  <w:num w:numId="7" w16cid:durableId="955136932">
    <w:abstractNumId w:val="6"/>
  </w:num>
  <w:num w:numId="8" w16cid:durableId="936668516">
    <w:abstractNumId w:val="5"/>
  </w:num>
  <w:num w:numId="9" w16cid:durableId="494493101">
    <w:abstractNumId w:val="4"/>
  </w:num>
  <w:num w:numId="10" w16cid:durableId="1872064067">
    <w:abstractNumId w:val="8"/>
  </w:num>
  <w:num w:numId="11" w16cid:durableId="1429274704">
    <w:abstractNumId w:val="3"/>
  </w:num>
  <w:num w:numId="12" w16cid:durableId="2106994771">
    <w:abstractNumId w:val="2"/>
  </w:num>
  <w:num w:numId="13" w16cid:durableId="1586456013">
    <w:abstractNumId w:val="1"/>
  </w:num>
  <w:num w:numId="14" w16cid:durableId="1703898384">
    <w:abstractNumId w:val="0"/>
  </w:num>
  <w:num w:numId="15" w16cid:durableId="20843310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599"/>
    <w:rsid w:val="000066D1"/>
    <w:rsid w:val="000146DA"/>
    <w:rsid w:val="00027F3F"/>
    <w:rsid w:val="00032FC3"/>
    <w:rsid w:val="000347E8"/>
    <w:rsid w:val="00035618"/>
    <w:rsid w:val="00051385"/>
    <w:rsid w:val="00073819"/>
    <w:rsid w:val="00085FE7"/>
    <w:rsid w:val="0008745C"/>
    <w:rsid w:val="000C32B4"/>
    <w:rsid w:val="000D33F5"/>
    <w:rsid w:val="000F043B"/>
    <w:rsid w:val="000F2510"/>
    <w:rsid w:val="000F5BF9"/>
    <w:rsid w:val="000F6807"/>
    <w:rsid w:val="001066FF"/>
    <w:rsid w:val="0012293A"/>
    <w:rsid w:val="001314D2"/>
    <w:rsid w:val="00131BA7"/>
    <w:rsid w:val="00133E5B"/>
    <w:rsid w:val="00142A93"/>
    <w:rsid w:val="00144620"/>
    <w:rsid w:val="00182E1C"/>
    <w:rsid w:val="00183009"/>
    <w:rsid w:val="00185569"/>
    <w:rsid w:val="001A472E"/>
    <w:rsid w:val="001A7C03"/>
    <w:rsid w:val="001D6D6D"/>
    <w:rsid w:val="001F7B01"/>
    <w:rsid w:val="00212874"/>
    <w:rsid w:val="0022255E"/>
    <w:rsid w:val="002233B8"/>
    <w:rsid w:val="00253114"/>
    <w:rsid w:val="002724E0"/>
    <w:rsid w:val="00281CBF"/>
    <w:rsid w:val="00287AC8"/>
    <w:rsid w:val="00295D14"/>
    <w:rsid w:val="002A4D6D"/>
    <w:rsid w:val="002A5595"/>
    <w:rsid w:val="002A6101"/>
    <w:rsid w:val="002A7D10"/>
    <w:rsid w:val="002B6EB8"/>
    <w:rsid w:val="002E3179"/>
    <w:rsid w:val="002E6994"/>
    <w:rsid w:val="00313043"/>
    <w:rsid w:val="0031352D"/>
    <w:rsid w:val="003208AC"/>
    <w:rsid w:val="003258C6"/>
    <w:rsid w:val="00333E4A"/>
    <w:rsid w:val="00341DDB"/>
    <w:rsid w:val="00345674"/>
    <w:rsid w:val="003522CD"/>
    <w:rsid w:val="0036049E"/>
    <w:rsid w:val="0036149A"/>
    <w:rsid w:val="00361CC7"/>
    <w:rsid w:val="003649BE"/>
    <w:rsid w:val="00372029"/>
    <w:rsid w:val="00391540"/>
    <w:rsid w:val="003B49E3"/>
    <w:rsid w:val="003B756E"/>
    <w:rsid w:val="003C64E8"/>
    <w:rsid w:val="003D403C"/>
    <w:rsid w:val="003E0103"/>
    <w:rsid w:val="003F00AB"/>
    <w:rsid w:val="003F5229"/>
    <w:rsid w:val="003F59E3"/>
    <w:rsid w:val="003F70F9"/>
    <w:rsid w:val="003F78AC"/>
    <w:rsid w:val="00407D83"/>
    <w:rsid w:val="00427033"/>
    <w:rsid w:val="00451482"/>
    <w:rsid w:val="00453937"/>
    <w:rsid w:val="004567DA"/>
    <w:rsid w:val="00471C76"/>
    <w:rsid w:val="00482A7B"/>
    <w:rsid w:val="004835F0"/>
    <w:rsid w:val="004A32E2"/>
    <w:rsid w:val="004A3684"/>
    <w:rsid w:val="004B5AF4"/>
    <w:rsid w:val="004C1C6F"/>
    <w:rsid w:val="004C516E"/>
    <w:rsid w:val="004D1BA5"/>
    <w:rsid w:val="004D75AC"/>
    <w:rsid w:val="004E129D"/>
    <w:rsid w:val="00504EFF"/>
    <w:rsid w:val="00506A90"/>
    <w:rsid w:val="00507A80"/>
    <w:rsid w:val="00512D01"/>
    <w:rsid w:val="00515C54"/>
    <w:rsid w:val="005355FB"/>
    <w:rsid w:val="00541BCC"/>
    <w:rsid w:val="00557499"/>
    <w:rsid w:val="00562266"/>
    <w:rsid w:val="00565C21"/>
    <w:rsid w:val="00577662"/>
    <w:rsid w:val="005958E2"/>
    <w:rsid w:val="005A73EB"/>
    <w:rsid w:val="005D3D98"/>
    <w:rsid w:val="005D4EC0"/>
    <w:rsid w:val="005F43A4"/>
    <w:rsid w:val="006160C9"/>
    <w:rsid w:val="006215AF"/>
    <w:rsid w:val="0062399A"/>
    <w:rsid w:val="00623BB5"/>
    <w:rsid w:val="00650992"/>
    <w:rsid w:val="00650A28"/>
    <w:rsid w:val="00653599"/>
    <w:rsid w:val="006550B3"/>
    <w:rsid w:val="00656E39"/>
    <w:rsid w:val="006827F3"/>
    <w:rsid w:val="006B1CEF"/>
    <w:rsid w:val="006D0CF1"/>
    <w:rsid w:val="006D1DC4"/>
    <w:rsid w:val="006D7AFF"/>
    <w:rsid w:val="006E1D39"/>
    <w:rsid w:val="006E2230"/>
    <w:rsid w:val="00710277"/>
    <w:rsid w:val="00717A7E"/>
    <w:rsid w:val="007273B7"/>
    <w:rsid w:val="00745A1D"/>
    <w:rsid w:val="00753C07"/>
    <w:rsid w:val="007548A3"/>
    <w:rsid w:val="007757E1"/>
    <w:rsid w:val="0078022D"/>
    <w:rsid w:val="007832E6"/>
    <w:rsid w:val="007A758B"/>
    <w:rsid w:val="007C3C4A"/>
    <w:rsid w:val="007C4B6D"/>
    <w:rsid w:val="007E1018"/>
    <w:rsid w:val="007F04E9"/>
    <w:rsid w:val="007F7054"/>
    <w:rsid w:val="00801475"/>
    <w:rsid w:val="00802990"/>
    <w:rsid w:val="00813EAB"/>
    <w:rsid w:val="00815D59"/>
    <w:rsid w:val="008344C7"/>
    <w:rsid w:val="00834EFD"/>
    <w:rsid w:val="00836FFE"/>
    <w:rsid w:val="008440DC"/>
    <w:rsid w:val="00882BA1"/>
    <w:rsid w:val="0088416A"/>
    <w:rsid w:val="008847C0"/>
    <w:rsid w:val="00887A22"/>
    <w:rsid w:val="008B257D"/>
    <w:rsid w:val="008B3A44"/>
    <w:rsid w:val="008C0E08"/>
    <w:rsid w:val="008C5F5C"/>
    <w:rsid w:val="008C69A7"/>
    <w:rsid w:val="008D3787"/>
    <w:rsid w:val="008D631D"/>
    <w:rsid w:val="008E7943"/>
    <w:rsid w:val="008F618A"/>
    <w:rsid w:val="009063BD"/>
    <w:rsid w:val="00927DC8"/>
    <w:rsid w:val="00935BEC"/>
    <w:rsid w:val="009503D4"/>
    <w:rsid w:val="0095139B"/>
    <w:rsid w:val="009631C2"/>
    <w:rsid w:val="009805C5"/>
    <w:rsid w:val="009973CC"/>
    <w:rsid w:val="009A0D7A"/>
    <w:rsid w:val="009A3096"/>
    <w:rsid w:val="009B3266"/>
    <w:rsid w:val="009D73CD"/>
    <w:rsid w:val="009E58BB"/>
    <w:rsid w:val="00A20E55"/>
    <w:rsid w:val="00A2418A"/>
    <w:rsid w:val="00A42A73"/>
    <w:rsid w:val="00A45CB0"/>
    <w:rsid w:val="00A6526B"/>
    <w:rsid w:val="00A71C5A"/>
    <w:rsid w:val="00A83080"/>
    <w:rsid w:val="00A87D63"/>
    <w:rsid w:val="00A91F97"/>
    <w:rsid w:val="00A97CAA"/>
    <w:rsid w:val="00AC5F54"/>
    <w:rsid w:val="00AD3E2D"/>
    <w:rsid w:val="00AE4415"/>
    <w:rsid w:val="00AE5AF4"/>
    <w:rsid w:val="00B01880"/>
    <w:rsid w:val="00B20EC7"/>
    <w:rsid w:val="00B31D97"/>
    <w:rsid w:val="00B415A5"/>
    <w:rsid w:val="00B4484D"/>
    <w:rsid w:val="00B4653C"/>
    <w:rsid w:val="00B5085E"/>
    <w:rsid w:val="00B55BE5"/>
    <w:rsid w:val="00B755CB"/>
    <w:rsid w:val="00BA0808"/>
    <w:rsid w:val="00BA3C97"/>
    <w:rsid w:val="00BA591C"/>
    <w:rsid w:val="00BB25C8"/>
    <w:rsid w:val="00BC4342"/>
    <w:rsid w:val="00BD44CF"/>
    <w:rsid w:val="00BE11C7"/>
    <w:rsid w:val="00BE3B1A"/>
    <w:rsid w:val="00BE746E"/>
    <w:rsid w:val="00BF01D4"/>
    <w:rsid w:val="00C11495"/>
    <w:rsid w:val="00C21560"/>
    <w:rsid w:val="00C21B03"/>
    <w:rsid w:val="00C34A53"/>
    <w:rsid w:val="00C356A3"/>
    <w:rsid w:val="00C74F22"/>
    <w:rsid w:val="00C77E93"/>
    <w:rsid w:val="00CA4000"/>
    <w:rsid w:val="00CA4242"/>
    <w:rsid w:val="00CC1064"/>
    <w:rsid w:val="00CC6A62"/>
    <w:rsid w:val="00D0460E"/>
    <w:rsid w:val="00D25F3F"/>
    <w:rsid w:val="00D3237A"/>
    <w:rsid w:val="00D335FE"/>
    <w:rsid w:val="00D42C2C"/>
    <w:rsid w:val="00D42C2E"/>
    <w:rsid w:val="00D45C32"/>
    <w:rsid w:val="00D517FE"/>
    <w:rsid w:val="00D54A09"/>
    <w:rsid w:val="00D57584"/>
    <w:rsid w:val="00D64968"/>
    <w:rsid w:val="00D67688"/>
    <w:rsid w:val="00D74163"/>
    <w:rsid w:val="00DB51BC"/>
    <w:rsid w:val="00DB54DC"/>
    <w:rsid w:val="00DB7D4F"/>
    <w:rsid w:val="00DD31CC"/>
    <w:rsid w:val="00DD5E4C"/>
    <w:rsid w:val="00DE650E"/>
    <w:rsid w:val="00DF34CA"/>
    <w:rsid w:val="00DF63D6"/>
    <w:rsid w:val="00E074ED"/>
    <w:rsid w:val="00E427EB"/>
    <w:rsid w:val="00E52890"/>
    <w:rsid w:val="00E723D7"/>
    <w:rsid w:val="00E86B93"/>
    <w:rsid w:val="00E966DB"/>
    <w:rsid w:val="00EA594C"/>
    <w:rsid w:val="00EC0B19"/>
    <w:rsid w:val="00EC0C9B"/>
    <w:rsid w:val="00EC2B02"/>
    <w:rsid w:val="00EC4082"/>
    <w:rsid w:val="00EC6A47"/>
    <w:rsid w:val="00ED0224"/>
    <w:rsid w:val="00EE4A91"/>
    <w:rsid w:val="00EF39F2"/>
    <w:rsid w:val="00EF6980"/>
    <w:rsid w:val="00F13BCE"/>
    <w:rsid w:val="00F26672"/>
    <w:rsid w:val="00F43C80"/>
    <w:rsid w:val="00F50E1E"/>
    <w:rsid w:val="00F7047C"/>
    <w:rsid w:val="00F87DCA"/>
    <w:rsid w:val="00FB6119"/>
    <w:rsid w:val="00FC2AA5"/>
    <w:rsid w:val="00FD1A0E"/>
    <w:rsid w:val="00FD218A"/>
    <w:rsid w:val="00FF1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4FFED"/>
  <w15:docId w15:val="{C9B68519-BBBD-4CE7-9B23-10775B359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BB5"/>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FootnoteText">
    <w:name w:val="footnote text"/>
    <w:basedOn w:val="Normal"/>
    <w:link w:val="FootnoteTextChar"/>
    <w:uiPriority w:val="99"/>
    <w:unhideWhenUsed/>
    <w:rsid w:val="00CC1064"/>
    <w:pPr>
      <w:spacing w:line="240" w:lineRule="auto"/>
    </w:pPr>
    <w:rPr>
      <w:sz w:val="20"/>
      <w:szCs w:val="20"/>
    </w:rPr>
  </w:style>
  <w:style w:type="character" w:customStyle="1" w:styleId="FootnoteTextChar">
    <w:name w:val="Footnote Text Char"/>
    <w:basedOn w:val="DefaultParagraphFont"/>
    <w:link w:val="FootnoteText"/>
    <w:uiPriority w:val="99"/>
    <w:rsid w:val="00CC1064"/>
    <w:rPr>
      <w:sz w:val="20"/>
      <w:szCs w:val="20"/>
    </w:rPr>
  </w:style>
  <w:style w:type="character" w:styleId="FootnoteReference">
    <w:name w:val="footnote reference"/>
    <w:basedOn w:val="DefaultParagraphFont"/>
    <w:uiPriority w:val="99"/>
    <w:semiHidden/>
    <w:unhideWhenUsed/>
    <w:rsid w:val="00CC1064"/>
    <w:rPr>
      <w:vertAlign w:val="superscript"/>
    </w:rPr>
  </w:style>
  <w:style w:type="paragraph" w:styleId="Header">
    <w:name w:val="header"/>
    <w:basedOn w:val="Normal"/>
    <w:link w:val="HeaderChar"/>
    <w:uiPriority w:val="99"/>
    <w:unhideWhenUsed/>
    <w:rsid w:val="00F50E1E"/>
    <w:pPr>
      <w:tabs>
        <w:tab w:val="center" w:pos="4680"/>
        <w:tab w:val="right" w:pos="9360"/>
      </w:tabs>
      <w:spacing w:line="240" w:lineRule="auto"/>
    </w:pPr>
  </w:style>
  <w:style w:type="character" w:customStyle="1" w:styleId="HeaderChar">
    <w:name w:val="Header Char"/>
    <w:basedOn w:val="DefaultParagraphFont"/>
    <w:link w:val="Header"/>
    <w:uiPriority w:val="99"/>
    <w:rsid w:val="00F50E1E"/>
  </w:style>
  <w:style w:type="paragraph" w:styleId="Footer">
    <w:name w:val="footer"/>
    <w:basedOn w:val="Normal"/>
    <w:link w:val="FooterChar"/>
    <w:uiPriority w:val="99"/>
    <w:unhideWhenUsed/>
    <w:rsid w:val="00F50E1E"/>
    <w:pPr>
      <w:tabs>
        <w:tab w:val="center" w:pos="4680"/>
        <w:tab w:val="right" w:pos="9360"/>
      </w:tabs>
      <w:spacing w:line="240" w:lineRule="auto"/>
    </w:pPr>
  </w:style>
  <w:style w:type="character" w:customStyle="1" w:styleId="FooterChar">
    <w:name w:val="Footer Char"/>
    <w:basedOn w:val="DefaultParagraphFont"/>
    <w:link w:val="Footer"/>
    <w:uiPriority w:val="99"/>
    <w:rsid w:val="00F50E1E"/>
  </w:style>
  <w:style w:type="character" w:styleId="LineNumber">
    <w:name w:val="line number"/>
    <w:basedOn w:val="DefaultParagraphFont"/>
    <w:uiPriority w:val="99"/>
    <w:semiHidden/>
    <w:unhideWhenUsed/>
    <w:rsid w:val="00623BB5"/>
    <w:rPr>
      <w:rFonts w:ascii="Times New Roman" w:hAnsi="Times New Roman"/>
      <w:sz w:val="24"/>
    </w:rPr>
  </w:style>
  <w:style w:type="paragraph" w:styleId="ListParagraph">
    <w:name w:val="List Paragraph"/>
    <w:basedOn w:val="Normal"/>
    <w:uiPriority w:val="34"/>
    <w:qFormat/>
    <w:rsid w:val="00C11495"/>
    <w:pPr>
      <w:ind w:left="720"/>
      <w:contextualSpacing/>
    </w:pPr>
  </w:style>
  <w:style w:type="character" w:styleId="Hyperlink">
    <w:name w:val="Hyperlink"/>
    <w:basedOn w:val="DefaultParagraphFont"/>
    <w:uiPriority w:val="99"/>
    <w:unhideWhenUsed/>
    <w:rsid w:val="00BA3C97"/>
    <w:rPr>
      <w:color w:val="0000FF" w:themeColor="hyperlink"/>
      <w:u w:val="single"/>
    </w:rPr>
  </w:style>
  <w:style w:type="character" w:styleId="UnresolvedMention">
    <w:name w:val="Unresolved Mention"/>
    <w:basedOn w:val="DefaultParagraphFont"/>
    <w:uiPriority w:val="99"/>
    <w:semiHidden/>
    <w:unhideWhenUsed/>
    <w:rsid w:val="00BA3C97"/>
    <w:rPr>
      <w:color w:val="605E5C"/>
      <w:shd w:val="clear" w:color="auto" w:fill="E1DFDD"/>
    </w:rPr>
  </w:style>
  <w:style w:type="character" w:styleId="FollowedHyperlink">
    <w:name w:val="FollowedHyperlink"/>
    <w:basedOn w:val="DefaultParagraphFont"/>
    <w:uiPriority w:val="99"/>
    <w:semiHidden/>
    <w:unhideWhenUsed/>
    <w:rsid w:val="00F87DCA"/>
    <w:rPr>
      <w:color w:val="800080" w:themeColor="followedHyperlink"/>
      <w:u w:val="single"/>
    </w:rPr>
  </w:style>
  <w:style w:type="paragraph" w:customStyle="1" w:styleId="Default">
    <w:name w:val="Default"/>
    <w:rsid w:val="004A3684"/>
    <w:pPr>
      <w:autoSpaceDE w:val="0"/>
      <w:autoSpaceDN w:val="0"/>
      <w:adjustRightInd w:val="0"/>
      <w:spacing w:line="240" w:lineRule="auto"/>
    </w:pPr>
    <w:rPr>
      <w:rFonts w:ascii="Times New Roman" w:hAnsi="Times New Roman" w:cs="Times New Roman"/>
      <w:color w:val="000000"/>
      <w:sz w:val="24"/>
      <w:szCs w:val="24"/>
      <w:lang w:val="en-US"/>
    </w:rPr>
  </w:style>
  <w:style w:type="paragraph" w:styleId="NormalWeb">
    <w:name w:val="Normal (Web)"/>
    <w:basedOn w:val="Normal"/>
    <w:uiPriority w:val="99"/>
    <w:semiHidden/>
    <w:unhideWhenUsed/>
    <w:rsid w:val="005F43A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483184">
      <w:bodyDiv w:val="1"/>
      <w:marLeft w:val="0"/>
      <w:marRight w:val="0"/>
      <w:marTop w:val="0"/>
      <w:marBottom w:val="0"/>
      <w:divBdr>
        <w:top w:val="none" w:sz="0" w:space="0" w:color="auto"/>
        <w:left w:val="none" w:sz="0" w:space="0" w:color="auto"/>
        <w:bottom w:val="none" w:sz="0" w:space="0" w:color="auto"/>
        <w:right w:val="none" w:sz="0" w:space="0" w:color="auto"/>
      </w:divBdr>
    </w:div>
    <w:div w:id="523636365">
      <w:bodyDiv w:val="1"/>
      <w:marLeft w:val="0"/>
      <w:marRight w:val="0"/>
      <w:marTop w:val="0"/>
      <w:marBottom w:val="0"/>
      <w:divBdr>
        <w:top w:val="none" w:sz="0" w:space="0" w:color="auto"/>
        <w:left w:val="none" w:sz="0" w:space="0" w:color="auto"/>
        <w:bottom w:val="none" w:sz="0" w:space="0" w:color="auto"/>
        <w:right w:val="none" w:sz="0" w:space="0" w:color="auto"/>
      </w:divBdr>
    </w:div>
    <w:div w:id="608781808">
      <w:bodyDiv w:val="1"/>
      <w:marLeft w:val="0"/>
      <w:marRight w:val="0"/>
      <w:marTop w:val="0"/>
      <w:marBottom w:val="0"/>
      <w:divBdr>
        <w:top w:val="none" w:sz="0" w:space="0" w:color="auto"/>
        <w:left w:val="none" w:sz="0" w:space="0" w:color="auto"/>
        <w:bottom w:val="none" w:sz="0" w:space="0" w:color="auto"/>
        <w:right w:val="none" w:sz="0" w:space="0" w:color="auto"/>
      </w:divBdr>
    </w:div>
    <w:div w:id="1908490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s://psc.ga.gov/search/facts-document/?documentId=184676" TargetMode="External"/><Relationship Id="rId13" Type="http://schemas.openxmlformats.org/officeDocument/2006/relationships/hyperlink" Target="https://www.eia.gov/consumption/residential/data/2015/index.php?view=microdata" TargetMode="External"/><Relationship Id="rId3" Type="http://schemas.openxmlformats.org/officeDocument/2006/relationships/hyperlink" Target="http://www.psc.state.ga.us/factsv2/Document.aspx?documentNumber=162283" TargetMode="External"/><Relationship Id="rId7" Type="http://schemas.openxmlformats.org/officeDocument/2006/relationships/hyperlink" Target="https://psc.ga.gov/search/facts-document/?documentId=180405" TargetMode="External"/><Relationship Id="rId12" Type="http://schemas.openxmlformats.org/officeDocument/2006/relationships/hyperlink" Target="http://www.eia.gov/consumption/residential/data/2015/c&amp;e/pdf/ce1.4.pdf" TargetMode="External"/><Relationship Id="rId17" Type="http://schemas.openxmlformats.org/officeDocument/2006/relationships/hyperlink" Target="https://data.census.gov/mdat/" TargetMode="External"/><Relationship Id="rId2" Type="http://schemas.openxmlformats.org/officeDocument/2006/relationships/hyperlink" Target="http://www.psc.state.ga.us/factsv2/Document.aspx?documentNumber=157755" TargetMode="External"/><Relationship Id="rId16" Type="http://schemas.openxmlformats.org/officeDocument/2006/relationships/hyperlink" Target="https://data.census.gov/cedsci/" TargetMode="External"/><Relationship Id="rId1" Type="http://schemas.openxmlformats.org/officeDocument/2006/relationships/hyperlink" Target="https://cleanenergy.org/wp-content/uploads/Energy-Efficiency-in-the-Southeast-Fourth-Annual-Report.pdf.%20" TargetMode="External"/><Relationship Id="rId6" Type="http://schemas.openxmlformats.org/officeDocument/2006/relationships/hyperlink" Target="https://psc.ga.gov/search/facts-document/?documentId=175827" TargetMode="External"/><Relationship Id="rId11" Type="http://schemas.openxmlformats.org/officeDocument/2006/relationships/hyperlink" Target="https://data.census.gov/mdat/" TargetMode="External"/><Relationship Id="rId5" Type="http://schemas.openxmlformats.org/officeDocument/2006/relationships/hyperlink" Target="http://www.psc.state.ga.us/factsv2/Document.aspx?documentNumber=170798" TargetMode="External"/><Relationship Id="rId15" Type="http://schemas.openxmlformats.org/officeDocument/2006/relationships/hyperlink" Target="https://data.census.gov/mdat/" TargetMode="External"/><Relationship Id="rId10" Type="http://schemas.openxmlformats.org/officeDocument/2006/relationships/hyperlink" Target="https://data.census.gov/cedsci/table?t=Units%20and%20Stories%20in%20Structure&amp;g=0100000US%240400000_0400000US13&amp;y=2020&amp;tid=ACSDT5Y2020.B25024&amp;moe=false&amp;tp=false" TargetMode="External"/><Relationship Id="rId4" Type="http://schemas.openxmlformats.org/officeDocument/2006/relationships/hyperlink" Target="http://www.psc.state.ga.us/factsv2/Document.aspx?documentNumber=167470" TargetMode="External"/><Relationship Id="rId9" Type="http://schemas.openxmlformats.org/officeDocument/2006/relationships/hyperlink" Target="https://psc.ga.gov/search/facts-document/?documentId=184754" TargetMode="External"/><Relationship Id="rId14" Type="http://schemas.openxmlformats.org/officeDocument/2006/relationships/hyperlink" Target="https://www.eia.gov/consumption/residential/data/2020/hc/pdf/HC%201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C60E2-3EF6-4BAB-AB3A-92BF17BD3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51</Pages>
  <Words>10947</Words>
  <Characters>60212</Characters>
  <Application>Microsoft Office Word</Application>
  <DocSecurity>0</DocSecurity>
  <Lines>1136</Lines>
  <Paragraphs>370</Paragraphs>
  <ScaleCrop>false</ScaleCrop>
  <Company/>
  <LinksUpToDate>false</LinksUpToDate>
  <CharactersWithSpaces>70789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William Collier</cp:lastModifiedBy>
  <cp:revision>256</cp:revision>
  <dcterms:created xsi:type="dcterms:W3CDTF">2022-05-06T05:32:00Z</dcterms:created>
  <dcterms:modified xsi:type="dcterms:W3CDTF">2022-05-06T11:57:00Z</dcterms:modified>
</cp:coreProperties>
</file>