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7A643F" w14:textId="77777777" w:rsidR="004F60DA" w:rsidRPr="00F6508F" w:rsidRDefault="004F60DA" w:rsidP="003A6CDA">
      <w:pPr>
        <w:suppressLineNumbers/>
        <w:shd w:val="clear" w:color="auto" w:fill="FFFFFF"/>
        <w:spacing w:after="0"/>
        <w:ind w:left="0"/>
        <w:jc w:val="both"/>
        <w:rPr>
          <w:rFonts w:eastAsia="Times New Roman" w:cs="Times New Roman"/>
          <w:color w:val="000000" w:themeColor="text1"/>
          <w:szCs w:val="24"/>
        </w:rPr>
      </w:pPr>
      <w:bookmarkStart w:id="0" w:name="_Hlk102686746"/>
      <w:bookmarkEnd w:id="0"/>
    </w:p>
    <w:p w14:paraId="6B7A6440" w14:textId="77777777" w:rsidR="004F60DA" w:rsidRPr="00F6508F" w:rsidRDefault="00447F55" w:rsidP="009B1D48">
      <w:pPr>
        <w:suppressLineNumbers/>
        <w:shd w:val="clear" w:color="auto" w:fill="FFFFFF"/>
        <w:spacing w:after="0"/>
        <w:ind w:left="0"/>
        <w:jc w:val="center"/>
        <w:rPr>
          <w:rFonts w:eastAsia="Times New Roman" w:cs="Times New Roman"/>
          <w:b/>
          <w:color w:val="000000" w:themeColor="text1"/>
          <w:szCs w:val="24"/>
        </w:rPr>
      </w:pPr>
      <w:r w:rsidRPr="00F6508F">
        <w:rPr>
          <w:rFonts w:eastAsia="Times New Roman" w:cs="Times New Roman"/>
          <w:b/>
          <w:color w:val="000000" w:themeColor="text1"/>
          <w:szCs w:val="24"/>
        </w:rPr>
        <w:t>STATE OF GEORGIA</w:t>
      </w:r>
    </w:p>
    <w:p w14:paraId="6B7A6441" w14:textId="77777777" w:rsidR="004F60DA" w:rsidRPr="00F6508F" w:rsidRDefault="00447F55" w:rsidP="009B1D48">
      <w:pPr>
        <w:suppressLineNumbers/>
        <w:shd w:val="clear" w:color="auto" w:fill="FFFFFF"/>
        <w:spacing w:after="0"/>
        <w:ind w:left="0"/>
        <w:jc w:val="center"/>
        <w:rPr>
          <w:rFonts w:eastAsia="Times New Roman" w:cs="Times New Roman"/>
          <w:b/>
          <w:color w:val="000000" w:themeColor="text1"/>
          <w:szCs w:val="24"/>
        </w:rPr>
      </w:pPr>
      <w:r w:rsidRPr="00F6508F">
        <w:rPr>
          <w:rFonts w:eastAsia="Times New Roman" w:cs="Times New Roman"/>
          <w:b/>
          <w:color w:val="000000" w:themeColor="text1"/>
          <w:szCs w:val="24"/>
        </w:rPr>
        <w:t>BEFORE THE GEORGIA PUBLIC SERVICE COMMISSION</w:t>
      </w:r>
    </w:p>
    <w:p w14:paraId="6B7A6444" w14:textId="77777777" w:rsidR="004F60DA" w:rsidRPr="00F6508F" w:rsidRDefault="004F60DA" w:rsidP="009B1D48">
      <w:pPr>
        <w:suppressLineNumbers/>
        <w:spacing w:after="0"/>
        <w:ind w:left="0"/>
        <w:jc w:val="center"/>
        <w:rPr>
          <w:rFonts w:eastAsia="Times New Roman" w:cs="Times New Roman"/>
          <w:b/>
          <w:color w:val="000000" w:themeColor="text1"/>
          <w:szCs w:val="24"/>
        </w:rPr>
      </w:pPr>
    </w:p>
    <w:p w14:paraId="6B7A6445" w14:textId="77777777" w:rsidR="004F60DA" w:rsidRPr="00F6508F" w:rsidRDefault="00447F55" w:rsidP="009B1D48">
      <w:pPr>
        <w:suppressLineNumbers/>
        <w:spacing w:after="0" w:line="240" w:lineRule="auto"/>
        <w:ind w:left="0"/>
        <w:rPr>
          <w:rFonts w:eastAsia="Times New Roman" w:cs="Times New Roman"/>
          <w:b/>
          <w:color w:val="000000" w:themeColor="text1"/>
          <w:szCs w:val="24"/>
        </w:rPr>
      </w:pPr>
      <w:r w:rsidRPr="00F6508F">
        <w:rPr>
          <w:rFonts w:eastAsia="Times New Roman" w:cs="Times New Roman"/>
          <w:b/>
          <w:color w:val="000000" w:themeColor="text1"/>
          <w:szCs w:val="24"/>
        </w:rPr>
        <w:t>In Re:</w:t>
      </w:r>
    </w:p>
    <w:p w14:paraId="6B7A6446" w14:textId="4E7C81E2" w:rsidR="004F60DA" w:rsidRPr="00F6508F" w:rsidRDefault="00447F55" w:rsidP="009B1D48">
      <w:pPr>
        <w:suppressLineNumbers/>
        <w:spacing w:after="0" w:line="240" w:lineRule="auto"/>
        <w:ind w:left="3600" w:firstLine="720"/>
        <w:rPr>
          <w:rFonts w:eastAsia="Times New Roman" w:cs="Times New Roman"/>
          <w:b/>
          <w:color w:val="000000" w:themeColor="text1"/>
          <w:szCs w:val="24"/>
        </w:rPr>
      </w:pPr>
      <w:r w:rsidRPr="00F6508F">
        <w:rPr>
          <w:rFonts w:eastAsia="Times New Roman" w:cs="Times New Roman"/>
          <w:b/>
          <w:color w:val="000000" w:themeColor="text1"/>
          <w:szCs w:val="24"/>
        </w:rPr>
        <w:t>)</w:t>
      </w:r>
    </w:p>
    <w:p w14:paraId="6B7A6447" w14:textId="77777777" w:rsidR="004F60DA" w:rsidRPr="00F6508F" w:rsidRDefault="00447F55" w:rsidP="009B1D48">
      <w:pPr>
        <w:suppressLineNumbers/>
        <w:spacing w:after="0" w:line="240" w:lineRule="auto"/>
        <w:ind w:left="0"/>
        <w:rPr>
          <w:rFonts w:eastAsia="Times New Roman" w:cs="Times New Roman"/>
          <w:b/>
          <w:color w:val="000000" w:themeColor="text1"/>
          <w:szCs w:val="24"/>
        </w:rPr>
      </w:pPr>
      <w:r w:rsidRPr="00F6508F">
        <w:rPr>
          <w:rFonts w:eastAsia="Times New Roman" w:cs="Times New Roman"/>
          <w:b/>
          <w:color w:val="000000" w:themeColor="text1"/>
          <w:szCs w:val="24"/>
        </w:rPr>
        <w:t>Georgia Power Company’s</w:t>
      </w:r>
      <w:r w:rsidRPr="00F6508F">
        <w:rPr>
          <w:rFonts w:eastAsia="Times New Roman" w:cs="Times New Roman"/>
          <w:b/>
          <w:color w:val="000000" w:themeColor="text1"/>
          <w:szCs w:val="24"/>
        </w:rPr>
        <w:tab/>
      </w:r>
      <w:r w:rsidRPr="00F6508F">
        <w:rPr>
          <w:rFonts w:eastAsia="Times New Roman" w:cs="Times New Roman"/>
          <w:b/>
          <w:color w:val="000000" w:themeColor="text1"/>
          <w:szCs w:val="24"/>
        </w:rPr>
        <w:tab/>
      </w:r>
      <w:r w:rsidRPr="00F6508F">
        <w:rPr>
          <w:rFonts w:eastAsia="Times New Roman" w:cs="Times New Roman"/>
          <w:b/>
          <w:color w:val="000000" w:themeColor="text1"/>
          <w:szCs w:val="24"/>
        </w:rPr>
        <w:tab/>
        <w:t>)</w:t>
      </w:r>
      <w:r w:rsidRPr="00F6508F">
        <w:rPr>
          <w:rFonts w:eastAsia="Times New Roman" w:cs="Times New Roman"/>
          <w:b/>
          <w:color w:val="000000" w:themeColor="text1"/>
          <w:szCs w:val="24"/>
        </w:rPr>
        <w:tab/>
        <w:t>DOCKET NO. 44160</w:t>
      </w:r>
    </w:p>
    <w:p w14:paraId="6B7A6448" w14:textId="77777777" w:rsidR="004F60DA" w:rsidRPr="00F6508F" w:rsidRDefault="00447F55" w:rsidP="009B1D48">
      <w:pPr>
        <w:suppressLineNumbers/>
        <w:spacing w:after="0" w:line="240" w:lineRule="auto"/>
        <w:ind w:left="0"/>
        <w:rPr>
          <w:rFonts w:eastAsia="Times New Roman" w:cs="Times New Roman"/>
          <w:b/>
          <w:color w:val="000000" w:themeColor="text1"/>
          <w:szCs w:val="24"/>
        </w:rPr>
      </w:pPr>
      <w:r w:rsidRPr="00F6508F">
        <w:rPr>
          <w:rFonts w:eastAsia="Times New Roman" w:cs="Times New Roman"/>
          <w:b/>
          <w:color w:val="000000" w:themeColor="text1"/>
          <w:szCs w:val="24"/>
        </w:rPr>
        <w:t>2022 Integrated Resource Plan</w:t>
      </w:r>
      <w:r w:rsidRPr="00F6508F">
        <w:rPr>
          <w:rFonts w:eastAsia="Times New Roman" w:cs="Times New Roman"/>
          <w:b/>
          <w:color w:val="000000" w:themeColor="text1"/>
          <w:szCs w:val="24"/>
        </w:rPr>
        <w:tab/>
      </w:r>
      <w:r w:rsidRPr="00F6508F">
        <w:rPr>
          <w:rFonts w:eastAsia="Times New Roman" w:cs="Times New Roman"/>
          <w:b/>
          <w:color w:val="000000" w:themeColor="text1"/>
          <w:szCs w:val="24"/>
        </w:rPr>
        <w:tab/>
        <w:t>)</w:t>
      </w:r>
    </w:p>
    <w:p w14:paraId="6B7A644B" w14:textId="7115ECB3" w:rsidR="004F60DA" w:rsidRPr="00F6508F" w:rsidRDefault="004F60DA" w:rsidP="009B1D48">
      <w:pPr>
        <w:suppressLineNumbers/>
        <w:spacing w:after="0"/>
        <w:ind w:left="0"/>
        <w:jc w:val="center"/>
        <w:rPr>
          <w:rFonts w:eastAsia="Times New Roman" w:cs="Times New Roman"/>
          <w:b/>
          <w:color w:val="000000" w:themeColor="text1"/>
          <w:szCs w:val="24"/>
        </w:rPr>
      </w:pPr>
    </w:p>
    <w:p w14:paraId="7126784D" w14:textId="77777777" w:rsidR="00CE7182" w:rsidRPr="00F6508F" w:rsidRDefault="00CE7182" w:rsidP="009B1D48">
      <w:pPr>
        <w:suppressLineNumbers/>
        <w:spacing w:after="0"/>
        <w:ind w:left="0"/>
        <w:jc w:val="center"/>
        <w:rPr>
          <w:rFonts w:eastAsia="Times New Roman" w:cs="Times New Roman"/>
          <w:b/>
          <w:color w:val="000000" w:themeColor="text1"/>
          <w:szCs w:val="24"/>
        </w:rPr>
      </w:pPr>
    </w:p>
    <w:p w14:paraId="6B7A644C" w14:textId="198FAB6C" w:rsidR="004F60DA" w:rsidRPr="00F6508F" w:rsidRDefault="00447F55" w:rsidP="009B1D48">
      <w:pPr>
        <w:suppressLineNumbers/>
        <w:shd w:val="clear" w:color="auto" w:fill="FFFFFF"/>
        <w:spacing w:after="0" w:line="240" w:lineRule="auto"/>
        <w:ind w:left="0"/>
        <w:jc w:val="center"/>
        <w:rPr>
          <w:rFonts w:eastAsia="Times New Roman" w:cs="Times New Roman"/>
          <w:b/>
          <w:color w:val="000000" w:themeColor="text1"/>
          <w:sz w:val="28"/>
          <w:szCs w:val="28"/>
        </w:rPr>
      </w:pPr>
      <w:r w:rsidRPr="00F6508F">
        <w:rPr>
          <w:rFonts w:eastAsia="Times New Roman" w:cs="Times New Roman"/>
          <w:b/>
          <w:color w:val="000000" w:themeColor="text1"/>
          <w:sz w:val="28"/>
          <w:szCs w:val="28"/>
        </w:rPr>
        <w:t>DIRECT TESTIMONY OF RONALD J. BINZ</w:t>
      </w:r>
    </w:p>
    <w:p w14:paraId="6B7A644D" w14:textId="37B00C6D" w:rsidR="004F60DA" w:rsidRPr="00F6508F" w:rsidRDefault="00447F55" w:rsidP="009B1D48">
      <w:pPr>
        <w:suppressLineNumbers/>
        <w:shd w:val="clear" w:color="auto" w:fill="FFFFFF"/>
        <w:spacing w:after="0" w:line="240" w:lineRule="auto"/>
        <w:ind w:left="0"/>
        <w:jc w:val="center"/>
        <w:rPr>
          <w:rFonts w:eastAsia="Times New Roman" w:cs="Times New Roman"/>
          <w:b/>
          <w:color w:val="000000" w:themeColor="text1"/>
          <w:sz w:val="28"/>
          <w:szCs w:val="28"/>
        </w:rPr>
      </w:pPr>
      <w:r w:rsidRPr="00F6508F">
        <w:rPr>
          <w:rFonts w:eastAsia="Times New Roman" w:cs="Times New Roman"/>
          <w:b/>
          <w:color w:val="000000" w:themeColor="text1"/>
          <w:sz w:val="28"/>
          <w:szCs w:val="28"/>
        </w:rPr>
        <w:t>ON BEHALF OF</w:t>
      </w:r>
    </w:p>
    <w:p w14:paraId="15BA0108" w14:textId="77D9824B" w:rsidR="00136E54" w:rsidRPr="00F6508F" w:rsidRDefault="00447F55" w:rsidP="009B1D48">
      <w:pPr>
        <w:suppressLineNumbers/>
        <w:shd w:val="clear" w:color="auto" w:fill="FFFFFF"/>
        <w:spacing w:after="0" w:line="240" w:lineRule="auto"/>
        <w:ind w:left="0"/>
        <w:jc w:val="center"/>
        <w:rPr>
          <w:rFonts w:eastAsia="Times New Roman" w:cs="Times New Roman"/>
          <w:b/>
          <w:color w:val="000000" w:themeColor="text1"/>
          <w:sz w:val="28"/>
          <w:szCs w:val="28"/>
        </w:rPr>
      </w:pPr>
      <w:r w:rsidRPr="00F6508F">
        <w:rPr>
          <w:rFonts w:eastAsia="Times New Roman" w:cs="Times New Roman"/>
          <w:b/>
          <w:color w:val="000000" w:themeColor="text1"/>
          <w:sz w:val="28"/>
          <w:szCs w:val="28"/>
        </w:rPr>
        <w:t>SOUTHERN ALLIANCE FOR CLEAN ENERGY AND</w:t>
      </w:r>
    </w:p>
    <w:p w14:paraId="6B7A644E" w14:textId="630BA0C6" w:rsidR="004F60DA" w:rsidRPr="00F6508F" w:rsidRDefault="00447F55" w:rsidP="009B1D48">
      <w:pPr>
        <w:suppressLineNumbers/>
        <w:shd w:val="clear" w:color="auto" w:fill="FFFFFF"/>
        <w:spacing w:after="0" w:line="240" w:lineRule="auto"/>
        <w:ind w:left="0"/>
        <w:jc w:val="center"/>
        <w:rPr>
          <w:rFonts w:eastAsia="Times New Roman" w:cs="Times New Roman"/>
          <w:b/>
          <w:color w:val="000000" w:themeColor="text1"/>
          <w:sz w:val="28"/>
          <w:szCs w:val="28"/>
        </w:rPr>
      </w:pPr>
      <w:r w:rsidRPr="00F6508F">
        <w:rPr>
          <w:rFonts w:eastAsia="Times New Roman" w:cs="Times New Roman"/>
          <w:b/>
          <w:color w:val="000000" w:themeColor="text1"/>
          <w:sz w:val="28"/>
          <w:szCs w:val="28"/>
        </w:rPr>
        <w:t>SOUTHFACE ENERGY INSTITUTE</w:t>
      </w:r>
      <w:r w:rsidR="000C2838">
        <w:rPr>
          <w:rFonts w:eastAsia="Times New Roman" w:cs="Times New Roman"/>
          <w:b/>
          <w:color w:val="000000" w:themeColor="text1"/>
          <w:sz w:val="28"/>
          <w:szCs w:val="28"/>
        </w:rPr>
        <w:t>, INC.</w:t>
      </w:r>
    </w:p>
    <w:p w14:paraId="6B7A644F" w14:textId="77777777" w:rsidR="004F60DA" w:rsidRPr="00F6508F" w:rsidRDefault="004F60DA" w:rsidP="009B1D48">
      <w:pPr>
        <w:suppressLineNumbers/>
        <w:shd w:val="clear" w:color="auto" w:fill="FFFFFF"/>
        <w:spacing w:after="0"/>
        <w:ind w:left="0"/>
        <w:jc w:val="center"/>
        <w:rPr>
          <w:rFonts w:eastAsia="Times New Roman" w:cs="Times New Roman"/>
          <w:b/>
          <w:color w:val="000000" w:themeColor="text1"/>
          <w:sz w:val="28"/>
          <w:szCs w:val="28"/>
        </w:rPr>
      </w:pPr>
    </w:p>
    <w:p w14:paraId="6B7A6450" w14:textId="77777777" w:rsidR="004F60DA" w:rsidRPr="00F6508F" w:rsidRDefault="004F60DA" w:rsidP="009B1D48">
      <w:pPr>
        <w:suppressLineNumbers/>
        <w:shd w:val="clear" w:color="auto" w:fill="FFFFFF"/>
        <w:spacing w:after="0"/>
        <w:ind w:left="0"/>
        <w:jc w:val="center"/>
        <w:rPr>
          <w:rFonts w:eastAsia="Times New Roman" w:cs="Times New Roman"/>
          <w:b/>
          <w:color w:val="000000" w:themeColor="text1"/>
          <w:sz w:val="28"/>
          <w:szCs w:val="28"/>
        </w:rPr>
      </w:pPr>
    </w:p>
    <w:p w14:paraId="42734EA0" w14:textId="643CD85D" w:rsidR="00123E76" w:rsidRPr="00F6508F" w:rsidRDefault="00447F55" w:rsidP="009B1D48">
      <w:pPr>
        <w:suppressLineNumbers/>
        <w:shd w:val="clear" w:color="auto" w:fill="FFFFFF"/>
        <w:spacing w:after="0"/>
        <w:ind w:left="0"/>
        <w:jc w:val="center"/>
        <w:rPr>
          <w:rFonts w:eastAsia="Times New Roman" w:cs="Times New Roman"/>
          <w:b/>
          <w:color w:val="000000" w:themeColor="text1"/>
          <w:szCs w:val="24"/>
        </w:rPr>
      </w:pPr>
      <w:r w:rsidRPr="00F6508F">
        <w:rPr>
          <w:rFonts w:eastAsia="Times New Roman" w:cs="Times New Roman"/>
          <w:b/>
          <w:color w:val="000000" w:themeColor="text1"/>
          <w:sz w:val="28"/>
          <w:szCs w:val="28"/>
        </w:rPr>
        <w:t>May 6, 2022</w:t>
      </w:r>
      <w:r w:rsidR="00123E76" w:rsidRPr="00F6508F">
        <w:rPr>
          <w:rFonts w:eastAsia="Times New Roman" w:cs="Times New Roman"/>
          <w:b/>
          <w:color w:val="000000" w:themeColor="text1"/>
          <w:szCs w:val="24"/>
        </w:rPr>
        <w:br w:type="page"/>
      </w:r>
    </w:p>
    <w:p w14:paraId="6B7A645D" w14:textId="3DC957DC" w:rsidR="004F60DA" w:rsidRPr="00F6508F" w:rsidRDefault="00086584" w:rsidP="00086584">
      <w:pPr>
        <w:pBdr>
          <w:top w:val="nil"/>
          <w:left w:val="nil"/>
          <w:bottom w:val="nil"/>
          <w:right w:val="nil"/>
          <w:between w:val="nil"/>
        </w:pBdr>
        <w:spacing w:after="0"/>
        <w:ind w:hanging="720"/>
        <w:jc w:val="both"/>
        <w:rPr>
          <w:rFonts w:eastAsia="Times New Roman" w:cs="Times New Roman"/>
          <w:b/>
          <w:color w:val="000000" w:themeColor="text1"/>
          <w:szCs w:val="24"/>
        </w:rPr>
      </w:pPr>
      <w:r w:rsidRPr="00F6508F">
        <w:rPr>
          <w:rFonts w:eastAsia="Times New Roman" w:cs="Times New Roman"/>
          <w:b/>
          <w:color w:val="000000" w:themeColor="text1"/>
          <w:szCs w:val="24"/>
        </w:rPr>
        <w:lastRenderedPageBreak/>
        <w:t>I.</w:t>
      </w:r>
      <w:r w:rsidRPr="00F6508F">
        <w:rPr>
          <w:rFonts w:eastAsia="Times New Roman" w:cs="Times New Roman"/>
          <w:b/>
          <w:color w:val="000000" w:themeColor="text1"/>
          <w:szCs w:val="24"/>
        </w:rPr>
        <w:tab/>
      </w:r>
      <w:r w:rsidR="00133A6E" w:rsidRPr="00F6508F">
        <w:rPr>
          <w:rFonts w:eastAsia="Times New Roman" w:cs="Times New Roman"/>
          <w:b/>
          <w:color w:val="000000" w:themeColor="text1"/>
          <w:szCs w:val="24"/>
        </w:rPr>
        <w:t>INTRODUCTION</w:t>
      </w:r>
    </w:p>
    <w:p w14:paraId="6B7A6461" w14:textId="2431C6D1" w:rsidR="004F60DA" w:rsidRPr="00F6508F" w:rsidRDefault="00447F55" w:rsidP="00086584">
      <w:pPr>
        <w:keepNext/>
        <w:keepLines/>
        <w:pBdr>
          <w:top w:val="nil"/>
          <w:left w:val="nil"/>
          <w:bottom w:val="nil"/>
          <w:right w:val="nil"/>
          <w:between w:val="nil"/>
        </w:pBdr>
        <w:tabs>
          <w:tab w:val="left" w:pos="4320"/>
          <w:tab w:val="left" w:pos="6480"/>
          <w:tab w:val="left" w:pos="8639"/>
        </w:tabs>
        <w:spacing w:after="0"/>
        <w:ind w:hanging="720"/>
        <w:jc w:val="both"/>
        <w:rPr>
          <w:rFonts w:eastAsia="Times New Roman" w:cs="Times New Roman"/>
          <w:b/>
          <w:smallCaps/>
          <w:color w:val="000000" w:themeColor="text1"/>
          <w:szCs w:val="24"/>
        </w:rPr>
      </w:pPr>
      <w:r w:rsidRPr="00F6508F">
        <w:rPr>
          <w:rFonts w:eastAsia="Times New Roman" w:cs="Times New Roman"/>
          <w:b/>
          <w:smallCaps/>
          <w:color w:val="000000" w:themeColor="text1"/>
          <w:szCs w:val="24"/>
        </w:rPr>
        <w:t>Q:</w:t>
      </w:r>
      <w:r w:rsidR="00086584" w:rsidRPr="00F6508F">
        <w:rPr>
          <w:rFonts w:eastAsia="Times New Roman" w:cs="Times New Roman"/>
          <w:b/>
          <w:smallCaps/>
          <w:color w:val="000000" w:themeColor="text1"/>
          <w:szCs w:val="24"/>
        </w:rPr>
        <w:tab/>
      </w:r>
      <w:r w:rsidRPr="00F6508F">
        <w:rPr>
          <w:rFonts w:eastAsia="Times New Roman" w:cs="Times New Roman"/>
          <w:b/>
          <w:smallCaps/>
          <w:color w:val="000000" w:themeColor="text1"/>
          <w:szCs w:val="24"/>
        </w:rPr>
        <w:t xml:space="preserve">PLEASE </w:t>
      </w:r>
      <w:r w:rsidRPr="00F6508F">
        <w:rPr>
          <w:rFonts w:eastAsia="Times New Roman" w:cs="Times New Roman"/>
          <w:b/>
          <w:color w:val="000000" w:themeColor="text1"/>
          <w:szCs w:val="24"/>
        </w:rPr>
        <w:t>STATE YOUR NAME, POSITION</w:t>
      </w:r>
      <w:r w:rsidR="00133A6E" w:rsidRPr="00F6508F">
        <w:rPr>
          <w:rFonts w:eastAsia="Times New Roman" w:cs="Times New Roman"/>
          <w:b/>
          <w:color w:val="000000" w:themeColor="text1"/>
          <w:szCs w:val="24"/>
        </w:rPr>
        <w:t>,</w:t>
      </w:r>
      <w:r w:rsidRPr="00F6508F">
        <w:rPr>
          <w:rFonts w:eastAsia="Times New Roman" w:cs="Times New Roman"/>
          <w:b/>
          <w:color w:val="000000" w:themeColor="text1"/>
          <w:szCs w:val="24"/>
        </w:rPr>
        <w:t xml:space="preserve"> AND BUSINESS ADDRESS</w:t>
      </w:r>
      <w:r w:rsidRPr="00F6508F">
        <w:rPr>
          <w:rFonts w:eastAsia="Times New Roman" w:cs="Times New Roman"/>
          <w:b/>
          <w:smallCaps/>
          <w:color w:val="000000" w:themeColor="text1"/>
          <w:szCs w:val="24"/>
        </w:rPr>
        <w:t xml:space="preserve">. </w:t>
      </w:r>
    </w:p>
    <w:p w14:paraId="6B7A6462" w14:textId="60A594A0" w:rsidR="004F60DA" w:rsidRPr="00F6508F" w:rsidRDefault="00447F55" w:rsidP="00086584">
      <w:pPr>
        <w:pBdr>
          <w:top w:val="nil"/>
          <w:left w:val="nil"/>
          <w:bottom w:val="nil"/>
          <w:right w:val="nil"/>
          <w:between w:val="nil"/>
        </w:pBdr>
        <w:spacing w:after="0"/>
        <w:ind w:hanging="720"/>
        <w:jc w:val="both"/>
        <w:rPr>
          <w:rFonts w:eastAsia="Times New Roman" w:cs="Times New Roman"/>
          <w:color w:val="000000" w:themeColor="text1"/>
          <w:szCs w:val="24"/>
        </w:rPr>
      </w:pPr>
      <w:r w:rsidRPr="00F6508F">
        <w:rPr>
          <w:rFonts w:eastAsia="Times New Roman" w:cs="Times New Roman"/>
          <w:color w:val="000000" w:themeColor="text1"/>
          <w:szCs w:val="24"/>
        </w:rPr>
        <w:t>A:</w:t>
      </w:r>
      <w:r w:rsidRPr="00F6508F">
        <w:rPr>
          <w:rFonts w:eastAsia="Times New Roman" w:cs="Times New Roman"/>
          <w:color w:val="000000" w:themeColor="text1"/>
          <w:szCs w:val="24"/>
        </w:rPr>
        <w:tab/>
        <w:t>My name is Ronald J. Binz. I am a Principal with Public Policy Consulting, a firm specializing in energy policy and regulatory matters. I provide consulting services to a variety of public sector and private sector clients in the energy industries, primarily in the regulatory arena. My business address is 333 Eudora Street, Denver, Colorado</w:t>
      </w:r>
      <w:r w:rsidR="00452C0E" w:rsidRPr="00F6508F">
        <w:rPr>
          <w:rFonts w:eastAsia="Times New Roman" w:cs="Times New Roman"/>
          <w:color w:val="000000" w:themeColor="text1"/>
          <w:szCs w:val="24"/>
        </w:rPr>
        <w:t>,</w:t>
      </w:r>
      <w:r w:rsidRPr="00F6508F">
        <w:rPr>
          <w:rFonts w:eastAsia="Times New Roman" w:cs="Times New Roman"/>
          <w:color w:val="000000" w:themeColor="text1"/>
          <w:szCs w:val="24"/>
        </w:rPr>
        <w:t xml:space="preserve"> 80220.</w:t>
      </w:r>
    </w:p>
    <w:p w14:paraId="6B7A6463" w14:textId="77777777" w:rsidR="004F60DA" w:rsidRPr="00F6508F" w:rsidRDefault="004F60DA" w:rsidP="003A6CDA">
      <w:pPr>
        <w:pBdr>
          <w:top w:val="nil"/>
          <w:left w:val="nil"/>
          <w:bottom w:val="nil"/>
          <w:right w:val="nil"/>
          <w:between w:val="nil"/>
        </w:pBdr>
        <w:spacing w:after="0"/>
        <w:ind w:left="0" w:hanging="630"/>
        <w:jc w:val="both"/>
        <w:rPr>
          <w:rFonts w:eastAsia="Times New Roman" w:cs="Times New Roman"/>
          <w:color w:val="000000" w:themeColor="text1"/>
          <w:szCs w:val="24"/>
        </w:rPr>
      </w:pPr>
    </w:p>
    <w:p w14:paraId="6B7A6464" w14:textId="77777777" w:rsidR="004F60DA" w:rsidRPr="00F6508F" w:rsidRDefault="00447F55" w:rsidP="00086584">
      <w:pPr>
        <w:pStyle w:val="Question"/>
        <w:jc w:val="both"/>
        <w:rPr>
          <w:color w:val="000000" w:themeColor="text1"/>
        </w:rPr>
      </w:pPr>
      <w:r w:rsidRPr="00F6508F">
        <w:rPr>
          <w:smallCaps/>
          <w:color w:val="000000" w:themeColor="text1"/>
        </w:rPr>
        <w:t>Q:</w:t>
      </w:r>
      <w:r w:rsidRPr="00F6508F">
        <w:rPr>
          <w:smallCaps/>
          <w:color w:val="000000" w:themeColor="text1"/>
        </w:rPr>
        <w:tab/>
      </w:r>
      <w:r w:rsidRPr="00F6508F">
        <w:rPr>
          <w:color w:val="000000" w:themeColor="text1"/>
        </w:rPr>
        <w:t>ON WHOSE BEHALF ARE YOU TESTIFYING IN THIS PROCEEDING?</w:t>
      </w:r>
    </w:p>
    <w:p w14:paraId="6B7A6466" w14:textId="77777777" w:rsidR="004F60DA" w:rsidRPr="00F6508F" w:rsidRDefault="00447F55" w:rsidP="00086584">
      <w:pPr>
        <w:spacing w:after="0"/>
        <w:ind w:hanging="720"/>
        <w:jc w:val="both"/>
        <w:rPr>
          <w:rFonts w:eastAsia="Times New Roman" w:cs="Times New Roman"/>
          <w:color w:val="000000" w:themeColor="text1"/>
          <w:szCs w:val="24"/>
        </w:rPr>
      </w:pPr>
      <w:r w:rsidRPr="00F6508F">
        <w:rPr>
          <w:rFonts w:eastAsia="Times New Roman" w:cs="Times New Roman"/>
          <w:color w:val="000000" w:themeColor="text1"/>
          <w:szCs w:val="24"/>
        </w:rPr>
        <w:t>A:</w:t>
      </w:r>
      <w:r w:rsidRPr="00F6508F">
        <w:rPr>
          <w:rFonts w:eastAsia="Times New Roman" w:cs="Times New Roman"/>
          <w:color w:val="000000" w:themeColor="text1"/>
          <w:szCs w:val="24"/>
        </w:rPr>
        <w:tab/>
        <w:t>I am testifying on behalf of Southern Alliance for Clean Energy (“SACE”) and Southface Energy Institute, Inc. (“Southface”).</w:t>
      </w:r>
    </w:p>
    <w:p w14:paraId="6B7A6467" w14:textId="77777777" w:rsidR="004F60DA" w:rsidRPr="00F6508F" w:rsidRDefault="004F60DA" w:rsidP="003A6CDA">
      <w:pPr>
        <w:spacing w:after="0"/>
        <w:ind w:left="0" w:hanging="720"/>
        <w:jc w:val="both"/>
        <w:rPr>
          <w:rFonts w:eastAsia="Times New Roman" w:cs="Times New Roman"/>
          <w:color w:val="000000" w:themeColor="text1"/>
          <w:szCs w:val="24"/>
        </w:rPr>
      </w:pPr>
    </w:p>
    <w:p w14:paraId="6B7A6468" w14:textId="77777777" w:rsidR="004F60DA" w:rsidRPr="00F6508F" w:rsidRDefault="00447F55" w:rsidP="00086584">
      <w:pPr>
        <w:pStyle w:val="Question"/>
        <w:jc w:val="both"/>
        <w:rPr>
          <w:smallCaps/>
          <w:color w:val="000000" w:themeColor="text1"/>
        </w:rPr>
      </w:pPr>
      <w:r w:rsidRPr="00F6508F">
        <w:rPr>
          <w:smallCaps/>
          <w:color w:val="000000" w:themeColor="text1"/>
        </w:rPr>
        <w:t>Q:</w:t>
      </w:r>
      <w:r w:rsidRPr="00F6508F">
        <w:rPr>
          <w:smallCaps/>
          <w:color w:val="000000" w:themeColor="text1"/>
        </w:rPr>
        <w:tab/>
      </w:r>
      <w:r w:rsidRPr="00F6508F">
        <w:rPr>
          <w:color w:val="000000" w:themeColor="text1"/>
        </w:rPr>
        <w:t>PLEASE SUMMARIZE YOUR QUALIFICATIONS AND WORK EXPERIENCE.</w:t>
      </w:r>
    </w:p>
    <w:p w14:paraId="6B7A6469" w14:textId="21AC3979" w:rsidR="004F60DA" w:rsidRPr="00F6508F" w:rsidRDefault="00447F55" w:rsidP="00086584">
      <w:pPr>
        <w:pBdr>
          <w:top w:val="nil"/>
          <w:left w:val="nil"/>
          <w:bottom w:val="nil"/>
          <w:right w:val="nil"/>
          <w:between w:val="nil"/>
        </w:pBdr>
        <w:spacing w:after="0"/>
        <w:ind w:hanging="720"/>
        <w:jc w:val="both"/>
        <w:rPr>
          <w:rFonts w:eastAsia="Times New Roman" w:cs="Times New Roman"/>
          <w:color w:val="000000" w:themeColor="text1"/>
          <w:szCs w:val="24"/>
        </w:rPr>
      </w:pPr>
      <w:r w:rsidRPr="00F6508F">
        <w:rPr>
          <w:rFonts w:eastAsia="Times New Roman" w:cs="Times New Roman"/>
          <w:color w:val="000000" w:themeColor="text1"/>
          <w:szCs w:val="24"/>
        </w:rPr>
        <w:t>A:</w:t>
      </w:r>
      <w:r w:rsidRPr="00F6508F">
        <w:rPr>
          <w:rFonts w:eastAsia="Times New Roman" w:cs="Times New Roman"/>
          <w:b/>
          <w:color w:val="000000" w:themeColor="text1"/>
          <w:szCs w:val="24"/>
        </w:rPr>
        <w:tab/>
      </w:r>
      <w:r w:rsidRPr="00F6508F">
        <w:rPr>
          <w:rFonts w:eastAsia="Times New Roman" w:cs="Times New Roman"/>
          <w:color w:val="000000" w:themeColor="text1"/>
          <w:szCs w:val="24"/>
        </w:rPr>
        <w:t>I have been involved in energy regulation since 1979. From 1995 to 2006</w:t>
      </w:r>
      <w:r w:rsidR="00E50914" w:rsidRPr="00F6508F">
        <w:rPr>
          <w:rFonts w:eastAsia="Times New Roman" w:cs="Times New Roman"/>
          <w:color w:val="000000" w:themeColor="text1"/>
          <w:szCs w:val="24"/>
        </w:rPr>
        <w:t>,</w:t>
      </w:r>
      <w:r w:rsidRPr="00F6508F">
        <w:rPr>
          <w:rFonts w:eastAsia="Times New Roman" w:cs="Times New Roman"/>
          <w:color w:val="000000" w:themeColor="text1"/>
          <w:szCs w:val="24"/>
        </w:rPr>
        <w:t xml:space="preserve"> and from 2011 to the present, I have served as principal of Public Policy </w:t>
      </w:r>
      <w:r w:rsidR="009F72C7" w:rsidRPr="00F6508F">
        <w:rPr>
          <w:rFonts w:eastAsia="Times New Roman" w:cs="Times New Roman"/>
          <w:color w:val="000000" w:themeColor="text1"/>
          <w:szCs w:val="24"/>
        </w:rPr>
        <w:t>Consulting,</w:t>
      </w:r>
      <w:r w:rsidRPr="00F6508F">
        <w:rPr>
          <w:rFonts w:eastAsia="Times New Roman" w:cs="Times New Roman"/>
          <w:color w:val="000000" w:themeColor="text1"/>
          <w:szCs w:val="24"/>
        </w:rPr>
        <w:t xml:space="preserve"> where I provide consulting services on regulation in the energy and telecommunications markets. My focus in recent years has been on performance-based regulation and energy regulatory policy, including </w:t>
      </w:r>
      <w:r w:rsidR="0015396D">
        <w:rPr>
          <w:rFonts w:eastAsia="Times New Roman" w:cs="Times New Roman"/>
          <w:color w:val="000000" w:themeColor="text1"/>
          <w:szCs w:val="24"/>
        </w:rPr>
        <w:t>I</w:t>
      </w:r>
      <w:r w:rsidRPr="00F6508F">
        <w:rPr>
          <w:rFonts w:eastAsia="Times New Roman" w:cs="Times New Roman"/>
          <w:color w:val="000000" w:themeColor="text1"/>
          <w:szCs w:val="24"/>
        </w:rPr>
        <w:t xml:space="preserve">ntegrated </w:t>
      </w:r>
      <w:r w:rsidR="0015396D">
        <w:rPr>
          <w:rFonts w:eastAsia="Times New Roman" w:cs="Times New Roman"/>
          <w:color w:val="000000" w:themeColor="text1"/>
          <w:szCs w:val="24"/>
        </w:rPr>
        <w:t>R</w:t>
      </w:r>
      <w:r w:rsidRPr="00F6508F">
        <w:rPr>
          <w:rFonts w:eastAsia="Times New Roman" w:cs="Times New Roman"/>
          <w:color w:val="000000" w:themeColor="text1"/>
          <w:szCs w:val="24"/>
        </w:rPr>
        <w:t xml:space="preserve">esource </w:t>
      </w:r>
      <w:r w:rsidR="0015396D">
        <w:rPr>
          <w:rFonts w:eastAsia="Times New Roman" w:cs="Times New Roman"/>
          <w:color w:val="000000" w:themeColor="text1"/>
          <w:szCs w:val="24"/>
        </w:rPr>
        <w:t>P</w:t>
      </w:r>
      <w:r w:rsidRPr="00F6508F">
        <w:rPr>
          <w:rFonts w:eastAsia="Times New Roman" w:cs="Times New Roman"/>
          <w:color w:val="000000" w:themeColor="text1"/>
          <w:szCs w:val="24"/>
        </w:rPr>
        <w:t>lanning, clean technology, smart grid, and climate issues.</w:t>
      </w:r>
    </w:p>
    <w:p w14:paraId="6B7A646A" w14:textId="7CB3E459" w:rsidR="004F60DA" w:rsidRPr="00F6508F" w:rsidRDefault="00447F55" w:rsidP="00086584">
      <w:pPr>
        <w:pBdr>
          <w:top w:val="nil"/>
          <w:left w:val="nil"/>
          <w:bottom w:val="nil"/>
          <w:right w:val="nil"/>
          <w:between w:val="nil"/>
        </w:pBdr>
        <w:spacing w:after="0"/>
        <w:jc w:val="both"/>
        <w:rPr>
          <w:rFonts w:eastAsia="Times New Roman" w:cs="Times New Roman"/>
          <w:color w:val="000000" w:themeColor="text1"/>
          <w:szCs w:val="24"/>
        </w:rPr>
      </w:pPr>
      <w:r w:rsidRPr="00F6508F">
        <w:rPr>
          <w:rFonts w:eastAsia="Times New Roman" w:cs="Times New Roman"/>
          <w:color w:val="000000" w:themeColor="text1"/>
          <w:szCs w:val="24"/>
        </w:rPr>
        <w:t xml:space="preserve">From 2007 to 2011, I was Chairman of the Colorado Public Utilities Commission (“PUC”). In that capacity, I helped implement Colorado’s vision for a “New Energy Economy” and its 30% Renewable Energy Portfolio Standard, participated in the Governor’s Climate Action Plan, rewrote the Commission’s </w:t>
      </w:r>
      <w:r w:rsidR="009C113E">
        <w:rPr>
          <w:rFonts w:eastAsia="Times New Roman" w:cs="Times New Roman"/>
          <w:color w:val="000000" w:themeColor="text1"/>
          <w:szCs w:val="24"/>
        </w:rPr>
        <w:t>I</w:t>
      </w:r>
      <w:r w:rsidRPr="00F6508F">
        <w:rPr>
          <w:rFonts w:eastAsia="Times New Roman" w:cs="Times New Roman"/>
          <w:color w:val="000000" w:themeColor="text1"/>
          <w:szCs w:val="24"/>
        </w:rPr>
        <w:t xml:space="preserve">ntegrated </w:t>
      </w:r>
      <w:r w:rsidR="009C113E">
        <w:rPr>
          <w:rFonts w:eastAsia="Times New Roman" w:cs="Times New Roman"/>
          <w:color w:val="000000" w:themeColor="text1"/>
          <w:szCs w:val="24"/>
        </w:rPr>
        <w:t>R</w:t>
      </w:r>
      <w:r w:rsidRPr="00F6508F">
        <w:rPr>
          <w:rFonts w:eastAsia="Times New Roman" w:cs="Times New Roman"/>
          <w:color w:val="000000" w:themeColor="text1"/>
          <w:szCs w:val="24"/>
        </w:rPr>
        <w:t xml:space="preserve">esource </w:t>
      </w:r>
      <w:r w:rsidR="009C113E">
        <w:rPr>
          <w:rFonts w:eastAsia="Times New Roman" w:cs="Times New Roman"/>
          <w:color w:val="000000" w:themeColor="text1"/>
          <w:szCs w:val="24"/>
        </w:rPr>
        <w:lastRenderedPageBreak/>
        <w:t>P</w:t>
      </w:r>
      <w:r w:rsidRPr="00F6508F">
        <w:rPr>
          <w:rFonts w:eastAsia="Times New Roman" w:cs="Times New Roman"/>
          <w:color w:val="000000" w:themeColor="text1"/>
          <w:szCs w:val="24"/>
        </w:rPr>
        <w:t>lanning rules, streamlined telecommunications regulation, promoted broadband telecommunications investment, and improved the Commission’s operations.</w:t>
      </w:r>
    </w:p>
    <w:p w14:paraId="6B7A646B" w14:textId="77777777" w:rsidR="004F60DA" w:rsidRPr="00F6508F" w:rsidRDefault="00447F55" w:rsidP="00086584">
      <w:pPr>
        <w:spacing w:after="0"/>
        <w:jc w:val="both"/>
        <w:rPr>
          <w:color w:val="000000" w:themeColor="text1"/>
        </w:rPr>
      </w:pPr>
      <w:r w:rsidRPr="00F6508F">
        <w:rPr>
          <w:color w:val="000000" w:themeColor="text1"/>
        </w:rPr>
        <w:t xml:space="preserve">As Commission Chair, I presided over implementation of the Colorado Clean Air-Clean Jobs Act, examining proposals of electric utilities to reduce pollutants from their fleets of coal fired power plants. </w:t>
      </w:r>
    </w:p>
    <w:p w14:paraId="6B7A646C" w14:textId="3B306D40" w:rsidR="004F60DA" w:rsidRPr="00F6508F" w:rsidRDefault="00447F55" w:rsidP="00086584">
      <w:pPr>
        <w:spacing w:after="0"/>
        <w:jc w:val="both"/>
        <w:rPr>
          <w:color w:val="000000" w:themeColor="text1"/>
        </w:rPr>
      </w:pPr>
      <w:r w:rsidRPr="00F6508F">
        <w:rPr>
          <w:color w:val="000000" w:themeColor="text1"/>
        </w:rPr>
        <w:t xml:space="preserve">I also presided over the modification and approval of an electric utility resource plan involving the addition of </w:t>
      </w:r>
      <w:r w:rsidR="00071C05" w:rsidRPr="00F6508F">
        <w:rPr>
          <w:color w:val="000000" w:themeColor="text1"/>
        </w:rPr>
        <w:t>substantial amounts</w:t>
      </w:r>
      <w:r w:rsidRPr="00F6508F">
        <w:rPr>
          <w:color w:val="000000" w:themeColor="text1"/>
        </w:rPr>
        <w:t xml:space="preserve"> of new wind capacity, the early closure of two coal power plants to reduce carbon and other emissions and substantial amounts of new energy efficiency savings.</w:t>
      </w:r>
    </w:p>
    <w:p w14:paraId="6B7A646D" w14:textId="77777777" w:rsidR="004F60DA" w:rsidRPr="00F6508F" w:rsidRDefault="00447F55" w:rsidP="00086584">
      <w:pPr>
        <w:spacing w:after="0"/>
        <w:jc w:val="both"/>
        <w:rPr>
          <w:color w:val="000000" w:themeColor="text1"/>
        </w:rPr>
      </w:pPr>
      <w:r w:rsidRPr="00F6508F">
        <w:rPr>
          <w:color w:val="000000" w:themeColor="text1"/>
        </w:rPr>
        <w:t>From July 2011 to July 2013, I was Senior Policy Advisor at the Center for the New Energy Economy (“CNEE”) at Colorado State University. CNEE provides policymakers, governors, regulators, and other decision-makers to develop a roadmap to accelerate the nationwide development of a new energy economy.</w:t>
      </w:r>
    </w:p>
    <w:p w14:paraId="6B7A646E" w14:textId="23E3E1F6" w:rsidR="004F60DA" w:rsidRPr="00F6508F" w:rsidRDefault="00447F55" w:rsidP="00086584">
      <w:pPr>
        <w:spacing w:after="0"/>
        <w:jc w:val="both"/>
        <w:rPr>
          <w:color w:val="000000" w:themeColor="text1"/>
        </w:rPr>
      </w:pPr>
      <w:r w:rsidRPr="00F6508F">
        <w:rPr>
          <w:color w:val="000000" w:themeColor="text1"/>
        </w:rPr>
        <w:t>From 1977 to date, I have participated in more than 150 regulatory proceedings before the Federal Energy Regulatory Commission (“FERC”), the Federal Communications Commission (“FCC”), State and Federal District Courts, the 8th Circuit, 10th Circuit and D.C. Circuit Courts of Appeal, the U.S. Supreme Court, and state regulatory commissions in California, Colorado, Georgia, Hawai‘i, Idaho, Maine, Massachusetts, Missouri, Montana, New York, North Dakota, Rhode Island, South Dakota, Texas, Utah, Washington, Wyoming</w:t>
      </w:r>
      <w:r w:rsidR="00FA4FF9">
        <w:rPr>
          <w:color w:val="000000" w:themeColor="text1"/>
        </w:rPr>
        <w:t>,</w:t>
      </w:r>
      <w:r w:rsidRPr="00F6508F">
        <w:rPr>
          <w:color w:val="000000" w:themeColor="text1"/>
        </w:rPr>
        <w:t xml:space="preserve"> and the District of Columbia. I have filed testimony in at least sixty proceedings before these bodies, addressing technical and policy issues in electricity, natural gas, telecommunications, and water regulation. I have also testified before U.S. House and Senate Committees sixteen times.</w:t>
      </w:r>
    </w:p>
    <w:p w14:paraId="6B7A646F" w14:textId="77777777" w:rsidR="004F60DA" w:rsidRPr="00F6508F" w:rsidRDefault="00447F55" w:rsidP="00086584">
      <w:pPr>
        <w:spacing w:after="0"/>
        <w:jc w:val="both"/>
        <w:rPr>
          <w:color w:val="000000" w:themeColor="text1"/>
        </w:rPr>
      </w:pPr>
      <w:r w:rsidRPr="00F6508F">
        <w:rPr>
          <w:color w:val="000000" w:themeColor="text1"/>
        </w:rPr>
        <w:lastRenderedPageBreak/>
        <w:t xml:space="preserve">From 1996-2003, I served as President and Policy Director of the Competition Policy Institute, an independent non-profit organization based in Washington, DC, advocating for state and federal policies to bring competition to energy and telecommunications markets for consumers’ benefit. </w:t>
      </w:r>
    </w:p>
    <w:p w14:paraId="6B7A6470" w14:textId="2A679B3A" w:rsidR="004F60DA" w:rsidRPr="00F6508F" w:rsidRDefault="00447F55" w:rsidP="00086584">
      <w:pPr>
        <w:spacing w:after="0"/>
        <w:jc w:val="both"/>
        <w:rPr>
          <w:color w:val="000000" w:themeColor="text1"/>
        </w:rPr>
      </w:pPr>
      <w:r w:rsidRPr="00F6508F">
        <w:rPr>
          <w:color w:val="000000" w:themeColor="text1"/>
        </w:rPr>
        <w:t xml:space="preserve">From 1984 to 1995, I was director of the Colorado Office of Consumer Counsel, Colorado’s state-funded utility consumer advocate office. During my tenure, the office was a party to more than two hundred legal cases before the Colorado PUC, FERC, </w:t>
      </w:r>
      <w:r w:rsidR="001811E7" w:rsidRPr="00F6508F">
        <w:rPr>
          <w:color w:val="000000" w:themeColor="text1"/>
        </w:rPr>
        <w:t>FCC,</w:t>
      </w:r>
      <w:r w:rsidRPr="00F6508F">
        <w:rPr>
          <w:color w:val="000000" w:themeColor="text1"/>
        </w:rPr>
        <w:t xml:space="preserve"> and the courts. I negotiated rate settlement agreements with utilities, regularly testified before the Colorado general assembly, and presented to professional business and consumer organizations on utility rate matters. </w:t>
      </w:r>
    </w:p>
    <w:p w14:paraId="6B7A6471" w14:textId="77777777" w:rsidR="004F60DA" w:rsidRPr="00F6508F" w:rsidRDefault="00447F55" w:rsidP="00086584">
      <w:pPr>
        <w:spacing w:after="0"/>
        <w:jc w:val="both"/>
        <w:rPr>
          <w:color w:val="000000" w:themeColor="text1"/>
        </w:rPr>
      </w:pPr>
      <w:r w:rsidRPr="00F6508F">
        <w:rPr>
          <w:color w:val="000000" w:themeColor="text1"/>
        </w:rPr>
        <w:t xml:space="preserve">My educational background includes an M.A. degree in Mathematics from the University of Colorado (1977), course requirements met for Ph.D., graduate coursework toward an M.A. in Economics from the University of Colorado (1981-1984), and a B.A. with Honors in Philosophy from St. Louis University (1971). </w:t>
      </w:r>
    </w:p>
    <w:p w14:paraId="6B7A6472" w14:textId="60CC5752" w:rsidR="004F60DA" w:rsidRPr="00F6508F" w:rsidRDefault="00447F55" w:rsidP="00086584">
      <w:pPr>
        <w:pBdr>
          <w:top w:val="nil"/>
          <w:left w:val="nil"/>
          <w:bottom w:val="nil"/>
          <w:right w:val="nil"/>
          <w:between w:val="nil"/>
        </w:pBdr>
        <w:spacing w:after="0"/>
        <w:jc w:val="both"/>
        <w:rPr>
          <w:rFonts w:eastAsia="Times New Roman" w:cs="Times New Roman"/>
          <w:color w:val="000000" w:themeColor="text1"/>
          <w:szCs w:val="24"/>
        </w:rPr>
      </w:pPr>
      <w:r w:rsidRPr="00F6508F">
        <w:rPr>
          <w:rFonts w:eastAsia="Times New Roman" w:cs="Times New Roman"/>
          <w:color w:val="000000" w:themeColor="text1"/>
          <w:szCs w:val="24"/>
        </w:rPr>
        <w:t xml:space="preserve">I have authored or co-authored numerous publications on energy and regulatory matters, including </w:t>
      </w:r>
      <w:r w:rsidR="00D47502" w:rsidRPr="006E0DEF">
        <w:rPr>
          <w:rFonts w:eastAsia="Times New Roman" w:cs="Times New Roman"/>
          <w:i/>
          <w:iCs/>
          <w:color w:val="000000" w:themeColor="text1"/>
          <w:szCs w:val="24"/>
        </w:rPr>
        <w:t>Risk-aware</w:t>
      </w:r>
      <w:r w:rsidRPr="006E0DEF">
        <w:rPr>
          <w:rFonts w:eastAsia="Times New Roman" w:cs="Times New Roman"/>
          <w:i/>
          <w:iCs/>
          <w:color w:val="000000" w:themeColor="text1"/>
          <w:szCs w:val="24"/>
        </w:rPr>
        <w:t xml:space="preserve"> Planning and a New Model for the Utility-Regulator Relationship</w:t>
      </w:r>
      <w:r w:rsidR="007318D9">
        <w:rPr>
          <w:rFonts w:eastAsia="Times New Roman" w:cs="Times New Roman"/>
          <w:color w:val="000000" w:themeColor="text1"/>
          <w:szCs w:val="24"/>
        </w:rPr>
        <w:t xml:space="preserve"> (July 2012)</w:t>
      </w:r>
      <w:r w:rsidRPr="00F6508F">
        <w:rPr>
          <w:rFonts w:eastAsia="Times New Roman" w:cs="Times New Roman"/>
          <w:color w:val="000000" w:themeColor="text1"/>
          <w:szCs w:val="24"/>
        </w:rPr>
        <w:t>.</w:t>
      </w:r>
      <w:r w:rsidR="0027638A">
        <w:rPr>
          <w:rStyle w:val="FootnoteReference"/>
          <w:rFonts w:eastAsia="Times New Roman" w:cs="Times New Roman"/>
          <w:color w:val="000000" w:themeColor="text1"/>
          <w:szCs w:val="24"/>
        </w:rPr>
        <w:footnoteReference w:id="1"/>
      </w:r>
      <w:r w:rsidRPr="00F6508F">
        <w:rPr>
          <w:rFonts w:eastAsia="Times New Roman" w:cs="Times New Roman"/>
          <w:color w:val="000000" w:themeColor="text1"/>
          <w:szCs w:val="24"/>
        </w:rPr>
        <w:t xml:space="preserve"> A copy of my professional resume, which includes my employment history, education, Congressional testimony, regulatory testimony, reports and publications, and professional associations and activities, is attached as </w:t>
      </w:r>
      <w:r w:rsidR="00824975">
        <w:rPr>
          <w:rFonts w:eastAsia="Times New Roman" w:cs="Times New Roman"/>
          <w:color w:val="000000" w:themeColor="text1"/>
          <w:szCs w:val="24"/>
        </w:rPr>
        <w:t>Exhibit 1</w:t>
      </w:r>
      <w:r w:rsidRPr="00F6508F">
        <w:rPr>
          <w:rFonts w:eastAsia="Times New Roman" w:cs="Times New Roman"/>
          <w:color w:val="000000" w:themeColor="text1"/>
          <w:szCs w:val="24"/>
        </w:rPr>
        <w:t xml:space="preserve"> to this testimony.</w:t>
      </w:r>
    </w:p>
    <w:p w14:paraId="48DFDDB5" w14:textId="77777777" w:rsidR="00447F55" w:rsidRPr="00F6508F" w:rsidRDefault="00447F55" w:rsidP="003A6CDA">
      <w:pPr>
        <w:pBdr>
          <w:top w:val="nil"/>
          <w:left w:val="nil"/>
          <w:bottom w:val="nil"/>
          <w:right w:val="nil"/>
          <w:between w:val="nil"/>
        </w:pBdr>
        <w:spacing w:after="0"/>
        <w:ind w:left="0"/>
        <w:jc w:val="both"/>
        <w:rPr>
          <w:rFonts w:eastAsia="Times New Roman" w:cs="Times New Roman"/>
          <w:color w:val="000000" w:themeColor="text1"/>
          <w:szCs w:val="24"/>
        </w:rPr>
      </w:pPr>
    </w:p>
    <w:p w14:paraId="6B7A6473" w14:textId="77777777" w:rsidR="004F60DA" w:rsidRPr="00F6508F" w:rsidRDefault="00447F55" w:rsidP="00086584">
      <w:pPr>
        <w:keepNext/>
        <w:keepLines/>
        <w:pBdr>
          <w:top w:val="nil"/>
          <w:left w:val="nil"/>
          <w:bottom w:val="nil"/>
          <w:right w:val="nil"/>
          <w:between w:val="nil"/>
        </w:pBdr>
        <w:tabs>
          <w:tab w:val="left" w:pos="4320"/>
          <w:tab w:val="left" w:pos="6480"/>
          <w:tab w:val="left" w:pos="8639"/>
        </w:tabs>
        <w:spacing w:after="0"/>
        <w:ind w:hanging="720"/>
        <w:jc w:val="both"/>
        <w:rPr>
          <w:rFonts w:eastAsia="Times New Roman" w:cs="Times New Roman"/>
          <w:b/>
          <w:smallCaps/>
          <w:color w:val="000000" w:themeColor="text1"/>
          <w:szCs w:val="24"/>
        </w:rPr>
      </w:pPr>
      <w:r w:rsidRPr="00F6508F">
        <w:rPr>
          <w:rFonts w:eastAsia="Times New Roman" w:cs="Times New Roman"/>
          <w:b/>
          <w:smallCaps/>
          <w:color w:val="000000" w:themeColor="text1"/>
          <w:szCs w:val="24"/>
        </w:rPr>
        <w:lastRenderedPageBreak/>
        <w:t>Q:</w:t>
      </w:r>
      <w:r w:rsidRPr="00F6508F">
        <w:rPr>
          <w:rFonts w:eastAsia="Times New Roman" w:cs="Times New Roman"/>
          <w:b/>
          <w:smallCaps/>
          <w:color w:val="000000" w:themeColor="text1"/>
          <w:szCs w:val="24"/>
        </w:rPr>
        <w:tab/>
      </w:r>
      <w:r w:rsidRPr="00F6508F">
        <w:rPr>
          <w:rFonts w:eastAsia="Times New Roman" w:cs="Times New Roman"/>
          <w:b/>
          <w:color w:val="000000" w:themeColor="text1"/>
          <w:szCs w:val="24"/>
        </w:rPr>
        <w:t>HAVE YOU PREVIOUSLY TESTIFIED BEFORE THE GEORGIA PUBLIC SERVICE COMMISSION (“GPSC” OR “THE COMMISSION”)?</w:t>
      </w:r>
    </w:p>
    <w:p w14:paraId="6B7A6474" w14:textId="796016B1" w:rsidR="004F60DA" w:rsidRPr="00F6508F" w:rsidRDefault="00447F55" w:rsidP="00086584">
      <w:pPr>
        <w:pStyle w:val="Answer"/>
        <w:spacing w:before="0" w:after="0"/>
        <w:jc w:val="both"/>
        <w:rPr>
          <w:color w:val="000000" w:themeColor="text1"/>
        </w:rPr>
      </w:pPr>
      <w:r w:rsidRPr="00F6508F">
        <w:rPr>
          <w:color w:val="000000" w:themeColor="text1"/>
        </w:rPr>
        <w:t>A:</w:t>
      </w:r>
      <w:r w:rsidRPr="00F6508F">
        <w:rPr>
          <w:color w:val="000000" w:themeColor="text1"/>
        </w:rPr>
        <w:tab/>
        <w:t xml:space="preserve">Yes. I testified in Docket No. 6717-U X Concerning the </w:t>
      </w:r>
      <w:r w:rsidRPr="00F51FD1">
        <w:rPr>
          <w:i/>
          <w:iCs/>
          <w:color w:val="000000" w:themeColor="text1"/>
        </w:rPr>
        <w:t>Service Provider Selection Plan</w:t>
      </w:r>
      <w:r w:rsidRPr="00F6508F">
        <w:rPr>
          <w:color w:val="000000" w:themeColor="text1"/>
        </w:rPr>
        <w:t xml:space="preserve"> of Atlanta Gas Company in January 1997.</w:t>
      </w:r>
    </w:p>
    <w:p w14:paraId="765384BA" w14:textId="77777777" w:rsidR="008E5E5A" w:rsidRPr="00F6508F" w:rsidRDefault="008E5E5A" w:rsidP="00086584">
      <w:pPr>
        <w:pStyle w:val="Answer"/>
        <w:spacing w:before="0" w:after="0"/>
        <w:jc w:val="both"/>
        <w:rPr>
          <w:color w:val="000000" w:themeColor="text1"/>
        </w:rPr>
      </w:pPr>
    </w:p>
    <w:p w14:paraId="6B7A6476" w14:textId="77777777" w:rsidR="004F60DA" w:rsidRPr="00F6508F" w:rsidRDefault="00447F55" w:rsidP="00086584">
      <w:pPr>
        <w:pStyle w:val="Question"/>
        <w:jc w:val="both"/>
        <w:rPr>
          <w:color w:val="000000" w:themeColor="text1"/>
        </w:rPr>
      </w:pPr>
      <w:bookmarkStart w:id="1" w:name="_30j0zll" w:colFirst="0" w:colLast="0"/>
      <w:bookmarkEnd w:id="1"/>
      <w:r w:rsidRPr="00F6508F">
        <w:rPr>
          <w:color w:val="000000" w:themeColor="text1"/>
        </w:rPr>
        <w:t>Q:</w:t>
      </w:r>
      <w:r w:rsidRPr="00F6508F">
        <w:rPr>
          <w:color w:val="000000" w:themeColor="text1"/>
        </w:rPr>
        <w:tab/>
        <w:t>WHAT IS THE PURPOSE OF YOUR TESTIMONY?</w:t>
      </w:r>
    </w:p>
    <w:p w14:paraId="6B7A6477" w14:textId="1A2EB4A9" w:rsidR="004F60DA" w:rsidRPr="00F6508F" w:rsidRDefault="00447F55" w:rsidP="00086584">
      <w:pPr>
        <w:pStyle w:val="Answer"/>
        <w:spacing w:before="0" w:after="0"/>
        <w:jc w:val="both"/>
        <w:rPr>
          <w:color w:val="000000" w:themeColor="text1"/>
        </w:rPr>
      </w:pPr>
      <w:r w:rsidRPr="00F6508F">
        <w:rPr>
          <w:bCs/>
          <w:color w:val="000000" w:themeColor="text1"/>
        </w:rPr>
        <w:t>A:</w:t>
      </w:r>
      <w:r w:rsidRPr="00F6508F">
        <w:rPr>
          <w:b/>
          <w:color w:val="000000" w:themeColor="text1"/>
        </w:rPr>
        <w:tab/>
      </w:r>
      <w:r w:rsidRPr="00F6508F">
        <w:rPr>
          <w:color w:val="000000" w:themeColor="text1"/>
        </w:rPr>
        <w:t xml:space="preserve">I was asked by SACE and Southface to review the Georgia Power Company’s (“Georgia Power” or “The Company”) </w:t>
      </w:r>
      <w:r w:rsidR="00BA2998">
        <w:rPr>
          <w:color w:val="000000" w:themeColor="text1"/>
        </w:rPr>
        <w:t xml:space="preserve">2022 </w:t>
      </w:r>
      <w:r w:rsidRPr="00F6508F">
        <w:rPr>
          <w:color w:val="000000" w:themeColor="text1"/>
        </w:rPr>
        <w:t>Integrated Resource Plan (“IRP”) and offer recommendations to the Commission. The purpose of my testimony is to share some of the lessons I’ve learned and insights I’ve gained about planning and procurement that may improve the outcomes of these activities in Georgia. My testimony is based mainly on the experience in Colorado, which has attracted attention nationally as a model for planning and procurement. The Colorado model results in competitive resource acquisitions that benefit utility customers by accomplishing the most important outcomes: lots of bids and low-cost resources.</w:t>
      </w:r>
      <w:r w:rsidRPr="00F6508F">
        <w:rPr>
          <w:color w:val="000000" w:themeColor="text1"/>
          <w:highlight w:val="yellow"/>
        </w:rPr>
        <w:t xml:space="preserve"> </w:t>
      </w:r>
    </w:p>
    <w:p w14:paraId="6B7A6478" w14:textId="29C1F6CA" w:rsidR="004F60DA" w:rsidRPr="00F6508F" w:rsidRDefault="00447F55" w:rsidP="008E5E5A">
      <w:pPr>
        <w:pBdr>
          <w:top w:val="nil"/>
          <w:left w:val="nil"/>
          <w:bottom w:val="nil"/>
          <w:right w:val="nil"/>
          <w:between w:val="nil"/>
        </w:pBdr>
        <w:spacing w:after="0"/>
        <w:jc w:val="both"/>
        <w:rPr>
          <w:rFonts w:eastAsia="Times New Roman" w:cs="Times New Roman"/>
          <w:color w:val="000000" w:themeColor="text1"/>
          <w:szCs w:val="24"/>
        </w:rPr>
      </w:pPr>
      <w:r w:rsidRPr="00F6508F">
        <w:rPr>
          <w:rFonts w:eastAsia="Times New Roman" w:cs="Times New Roman"/>
          <w:color w:val="000000" w:themeColor="text1"/>
          <w:szCs w:val="24"/>
        </w:rPr>
        <w:t xml:space="preserve">The experience in Colorado is relevant here because the state’s utilities are “vertically integrated,” as they are in Georgia. I think it’s likely that Colorado’s utilities will join an organized market in the next decade. Until then, and in lieu of a competitive wholesale market, the Colorado </w:t>
      </w:r>
      <w:r w:rsidR="00805677">
        <w:rPr>
          <w:rFonts w:eastAsia="Times New Roman" w:cs="Times New Roman"/>
          <w:color w:val="000000" w:themeColor="text1"/>
          <w:szCs w:val="24"/>
        </w:rPr>
        <w:t>PUC</w:t>
      </w:r>
      <w:r w:rsidRPr="00F6508F">
        <w:rPr>
          <w:rFonts w:eastAsia="Times New Roman" w:cs="Times New Roman"/>
          <w:color w:val="000000" w:themeColor="text1"/>
          <w:szCs w:val="24"/>
        </w:rPr>
        <w:t xml:space="preserve"> has refined the practice of using competitive bidding for supply-side resources. As I will develop, there are many benefits associated with a well-designed competitive acquisition process. Respectfully, I think some of Colorado’s experience may be helpful to the Commission.</w:t>
      </w:r>
    </w:p>
    <w:p w14:paraId="6B7A6479" w14:textId="77777777" w:rsidR="004F60DA" w:rsidRPr="00F6508F" w:rsidRDefault="004F60DA" w:rsidP="003A6CDA">
      <w:pPr>
        <w:pBdr>
          <w:top w:val="nil"/>
          <w:left w:val="nil"/>
          <w:bottom w:val="nil"/>
          <w:right w:val="nil"/>
          <w:between w:val="nil"/>
        </w:pBdr>
        <w:spacing w:after="0"/>
        <w:ind w:left="0"/>
        <w:jc w:val="both"/>
        <w:rPr>
          <w:rFonts w:eastAsia="Times New Roman" w:cs="Times New Roman"/>
          <w:color w:val="000000" w:themeColor="text1"/>
          <w:szCs w:val="24"/>
        </w:rPr>
      </w:pPr>
    </w:p>
    <w:p w14:paraId="6B7A647A" w14:textId="77777777" w:rsidR="004F60DA" w:rsidRPr="00F6508F" w:rsidRDefault="00447F55" w:rsidP="008E5E5A">
      <w:pPr>
        <w:pStyle w:val="Question"/>
        <w:jc w:val="both"/>
        <w:rPr>
          <w:color w:val="000000" w:themeColor="text1"/>
        </w:rPr>
      </w:pPr>
      <w:r w:rsidRPr="00F6508F">
        <w:rPr>
          <w:color w:val="000000" w:themeColor="text1"/>
        </w:rPr>
        <w:lastRenderedPageBreak/>
        <w:t>Q:</w:t>
      </w:r>
      <w:r w:rsidRPr="00F6508F">
        <w:rPr>
          <w:color w:val="000000" w:themeColor="text1"/>
        </w:rPr>
        <w:tab/>
        <w:t>ARE YOU SUBMITTING EXHIBITS ALONG WITH YOUR TESTIMONY?</w:t>
      </w:r>
    </w:p>
    <w:p w14:paraId="6B7A647C" w14:textId="71C36A07" w:rsidR="004F60DA" w:rsidRPr="00F6508F" w:rsidRDefault="00447F55" w:rsidP="008E5E5A">
      <w:pPr>
        <w:pStyle w:val="Answer"/>
        <w:spacing w:before="0" w:after="0"/>
        <w:jc w:val="both"/>
        <w:rPr>
          <w:color w:val="000000" w:themeColor="text1"/>
        </w:rPr>
      </w:pPr>
      <w:bookmarkStart w:id="2" w:name="_14agmdaxenju" w:colFirst="0" w:colLast="0"/>
      <w:bookmarkStart w:id="3" w:name="_jfb5iysh6u4u" w:colFirst="0" w:colLast="0"/>
      <w:bookmarkEnd w:id="2"/>
      <w:bookmarkEnd w:id="3"/>
      <w:r w:rsidRPr="00F6508F">
        <w:rPr>
          <w:color w:val="000000" w:themeColor="text1"/>
        </w:rPr>
        <w:t xml:space="preserve">A. </w:t>
      </w:r>
      <w:r w:rsidRPr="00F6508F">
        <w:rPr>
          <w:color w:val="000000" w:themeColor="text1"/>
        </w:rPr>
        <w:tab/>
        <w:t xml:space="preserve">Yes, I am submitting three </w:t>
      </w:r>
      <w:r w:rsidR="00486634">
        <w:rPr>
          <w:color w:val="000000" w:themeColor="text1"/>
        </w:rPr>
        <w:t xml:space="preserve">(3) </w:t>
      </w:r>
      <w:r w:rsidRPr="00F6508F">
        <w:rPr>
          <w:color w:val="000000" w:themeColor="text1"/>
        </w:rPr>
        <w:t>exhibits along with my testimony, as follows:</w:t>
      </w:r>
    </w:p>
    <w:p w14:paraId="6B7A647D" w14:textId="65934A13" w:rsidR="004F60DA" w:rsidRPr="00F6508F" w:rsidRDefault="00FB22A8" w:rsidP="008E5E5A">
      <w:pPr>
        <w:spacing w:after="0"/>
        <w:jc w:val="both"/>
        <w:rPr>
          <w:rFonts w:eastAsia="Times New Roman" w:cs="Times New Roman"/>
          <w:color w:val="000000" w:themeColor="text1"/>
          <w:szCs w:val="24"/>
        </w:rPr>
      </w:pPr>
      <w:r>
        <w:rPr>
          <w:rFonts w:eastAsia="Times New Roman" w:cs="Times New Roman"/>
          <w:szCs w:val="24"/>
        </w:rPr>
        <w:t>EXHIBIT</w:t>
      </w:r>
      <w:r w:rsidR="00255756">
        <w:rPr>
          <w:rFonts w:eastAsia="Times New Roman" w:cs="Times New Roman"/>
          <w:szCs w:val="24"/>
        </w:rPr>
        <w:t>-1</w:t>
      </w:r>
      <w:r w:rsidR="00447F55" w:rsidRPr="00F6508F">
        <w:rPr>
          <w:rFonts w:eastAsia="Times New Roman" w:cs="Times New Roman"/>
          <w:color w:val="000000" w:themeColor="text1"/>
          <w:szCs w:val="24"/>
        </w:rPr>
        <w:t>:</w:t>
      </w:r>
      <w:r w:rsidR="00D67516">
        <w:rPr>
          <w:rFonts w:eastAsia="Times New Roman" w:cs="Times New Roman"/>
          <w:color w:val="000000" w:themeColor="text1"/>
          <w:szCs w:val="24"/>
        </w:rPr>
        <w:t xml:space="preserve"> </w:t>
      </w:r>
      <w:r w:rsidR="00447F55" w:rsidRPr="00F6508F">
        <w:rPr>
          <w:rFonts w:eastAsia="Times New Roman" w:cs="Times New Roman"/>
          <w:color w:val="000000" w:themeColor="text1"/>
          <w:szCs w:val="24"/>
        </w:rPr>
        <w:t>Curriculum Vitae of Ronald J. Binz.</w:t>
      </w:r>
    </w:p>
    <w:p w14:paraId="6B7A647E" w14:textId="2B061C02" w:rsidR="004F60DA" w:rsidRPr="00F6508F" w:rsidRDefault="00D67516" w:rsidP="00201089">
      <w:pPr>
        <w:spacing w:after="0"/>
        <w:ind w:left="3600" w:hanging="2880"/>
        <w:jc w:val="both"/>
        <w:rPr>
          <w:rFonts w:eastAsia="Times New Roman" w:cs="Times New Roman"/>
          <w:color w:val="000000" w:themeColor="text1"/>
          <w:szCs w:val="24"/>
        </w:rPr>
      </w:pPr>
      <w:r>
        <w:rPr>
          <w:rFonts w:eastAsia="Times New Roman" w:cs="Times New Roman"/>
          <w:szCs w:val="24"/>
        </w:rPr>
        <w:t>EXHIBIT-</w:t>
      </w:r>
      <w:r>
        <w:rPr>
          <w:rFonts w:eastAsia="Times New Roman" w:cs="Times New Roman"/>
          <w:szCs w:val="24"/>
        </w:rPr>
        <w:t>2</w:t>
      </w:r>
      <w:r w:rsidR="00447F55" w:rsidRPr="00F6508F">
        <w:rPr>
          <w:rFonts w:eastAsia="Times New Roman" w:cs="Times New Roman"/>
          <w:color w:val="000000" w:themeColor="text1"/>
          <w:szCs w:val="24"/>
        </w:rPr>
        <w:t>:</w:t>
      </w:r>
      <w:r>
        <w:rPr>
          <w:rFonts w:eastAsia="Times New Roman" w:cs="Times New Roman"/>
          <w:color w:val="000000" w:themeColor="text1"/>
          <w:szCs w:val="24"/>
        </w:rPr>
        <w:t xml:space="preserve"> </w:t>
      </w:r>
      <w:r w:rsidR="00B72095">
        <w:rPr>
          <w:rFonts w:eastAsia="Times New Roman" w:cs="Times New Roman"/>
          <w:color w:val="000000" w:themeColor="text1"/>
          <w:szCs w:val="24"/>
        </w:rPr>
        <w:t xml:space="preserve">Report on </w:t>
      </w:r>
      <w:r w:rsidR="00C05001" w:rsidRPr="00B72095">
        <w:rPr>
          <w:rFonts w:eastAsia="Times New Roman" w:cs="Times New Roman"/>
          <w:color w:val="000000" w:themeColor="text1"/>
          <w:szCs w:val="24"/>
        </w:rPr>
        <w:t>All-Source Competitive Solicitations</w:t>
      </w:r>
      <w:r w:rsidR="00B72095">
        <w:rPr>
          <w:rFonts w:eastAsia="Times New Roman" w:cs="Times New Roman"/>
          <w:color w:val="000000" w:themeColor="text1"/>
          <w:szCs w:val="24"/>
        </w:rPr>
        <w:t>.</w:t>
      </w:r>
    </w:p>
    <w:p w14:paraId="2F6F24F7" w14:textId="53AA1C33" w:rsidR="00C05001" w:rsidRDefault="00D67516" w:rsidP="00201089">
      <w:pPr>
        <w:spacing w:after="0"/>
        <w:ind w:left="3600" w:hanging="2880"/>
        <w:jc w:val="both"/>
        <w:rPr>
          <w:rFonts w:eastAsia="Times New Roman" w:cs="Times New Roman"/>
          <w:color w:val="000000" w:themeColor="text1"/>
          <w:szCs w:val="24"/>
        </w:rPr>
      </w:pPr>
      <w:r>
        <w:rPr>
          <w:rFonts w:eastAsia="Times New Roman" w:cs="Times New Roman"/>
          <w:szCs w:val="24"/>
        </w:rPr>
        <w:t>EXHIBIT-</w:t>
      </w:r>
      <w:r>
        <w:rPr>
          <w:rFonts w:eastAsia="Times New Roman" w:cs="Times New Roman"/>
          <w:szCs w:val="24"/>
        </w:rPr>
        <w:t>3</w:t>
      </w:r>
      <w:r w:rsidR="00447F55" w:rsidRPr="00F6508F">
        <w:rPr>
          <w:rFonts w:eastAsia="Times New Roman" w:cs="Times New Roman"/>
          <w:color w:val="000000" w:themeColor="text1"/>
          <w:szCs w:val="24"/>
        </w:rPr>
        <w:t>:</w:t>
      </w:r>
      <w:r>
        <w:rPr>
          <w:rFonts w:eastAsia="Times New Roman" w:cs="Times New Roman"/>
          <w:color w:val="000000" w:themeColor="text1"/>
          <w:szCs w:val="24"/>
        </w:rPr>
        <w:t xml:space="preserve"> </w:t>
      </w:r>
      <w:r w:rsidR="00B72095">
        <w:rPr>
          <w:rFonts w:eastAsia="Times New Roman" w:cs="Times New Roman"/>
          <w:color w:val="000000" w:themeColor="text1"/>
          <w:szCs w:val="24"/>
        </w:rPr>
        <w:t>Report on</w:t>
      </w:r>
      <w:r w:rsidR="00C05001">
        <w:rPr>
          <w:rFonts w:eastAsia="Times New Roman" w:cs="Times New Roman"/>
          <w:color w:val="000000" w:themeColor="text1"/>
          <w:szCs w:val="24"/>
        </w:rPr>
        <w:t xml:space="preserve"> </w:t>
      </w:r>
      <w:r w:rsidR="00C05001" w:rsidRPr="00B72095">
        <w:rPr>
          <w:rFonts w:eastAsia="Times New Roman" w:cs="Times New Roman"/>
          <w:color w:val="000000" w:themeColor="text1"/>
          <w:szCs w:val="24"/>
        </w:rPr>
        <w:t>Risk-Aware Electricity Regulation</w:t>
      </w:r>
      <w:r w:rsidR="00B72095">
        <w:rPr>
          <w:rFonts w:eastAsia="Times New Roman" w:cs="Times New Roman"/>
          <w:color w:val="000000" w:themeColor="text1"/>
          <w:szCs w:val="24"/>
        </w:rPr>
        <w:t>.</w:t>
      </w:r>
    </w:p>
    <w:p w14:paraId="6B7A6480" w14:textId="77777777" w:rsidR="004F60DA" w:rsidRPr="00F6508F" w:rsidRDefault="004F60DA" w:rsidP="00C05001">
      <w:pPr>
        <w:spacing w:after="0"/>
        <w:ind w:left="0"/>
        <w:jc w:val="both"/>
        <w:rPr>
          <w:rFonts w:eastAsia="Times New Roman" w:cs="Times New Roman"/>
          <w:color w:val="000000" w:themeColor="text1"/>
          <w:szCs w:val="24"/>
        </w:rPr>
      </w:pPr>
    </w:p>
    <w:p w14:paraId="6B7A6481" w14:textId="3ED99B0E" w:rsidR="004F60DA" w:rsidRPr="00F6508F" w:rsidRDefault="008E5E5A" w:rsidP="003A6CDA">
      <w:pPr>
        <w:spacing w:after="0"/>
        <w:ind w:left="0"/>
        <w:jc w:val="both"/>
        <w:rPr>
          <w:rFonts w:eastAsia="Times New Roman" w:cs="Times New Roman"/>
          <w:color w:val="000000" w:themeColor="text1"/>
          <w:szCs w:val="24"/>
        </w:rPr>
      </w:pPr>
      <w:r w:rsidRPr="00F6508F">
        <w:rPr>
          <w:rFonts w:eastAsia="Times New Roman" w:cs="Times New Roman"/>
          <w:b/>
          <w:color w:val="000000" w:themeColor="text1"/>
          <w:szCs w:val="24"/>
        </w:rPr>
        <w:t>II.</w:t>
      </w:r>
      <w:r w:rsidRPr="00F6508F">
        <w:rPr>
          <w:rFonts w:eastAsia="Times New Roman" w:cs="Times New Roman"/>
          <w:b/>
          <w:color w:val="000000" w:themeColor="text1"/>
          <w:szCs w:val="24"/>
        </w:rPr>
        <w:tab/>
      </w:r>
      <w:r w:rsidR="00447F55" w:rsidRPr="00F6508F">
        <w:rPr>
          <w:rFonts w:eastAsia="Times New Roman" w:cs="Times New Roman"/>
          <w:b/>
          <w:color w:val="000000" w:themeColor="text1"/>
          <w:szCs w:val="24"/>
        </w:rPr>
        <w:t>SUMMARY OF FINDINGS AND CONCLUSIONS</w:t>
      </w:r>
    </w:p>
    <w:p w14:paraId="6B7A6482" w14:textId="4E311CE6" w:rsidR="004F60DA" w:rsidRPr="00F6508F" w:rsidRDefault="00447F55" w:rsidP="008E5E5A">
      <w:pPr>
        <w:keepNext/>
        <w:keepLines/>
        <w:pBdr>
          <w:top w:val="nil"/>
          <w:left w:val="nil"/>
          <w:bottom w:val="nil"/>
          <w:right w:val="nil"/>
          <w:between w:val="nil"/>
        </w:pBdr>
        <w:tabs>
          <w:tab w:val="left" w:pos="4320"/>
          <w:tab w:val="left" w:pos="6480"/>
          <w:tab w:val="left" w:pos="8639"/>
        </w:tabs>
        <w:spacing w:after="0"/>
        <w:ind w:hanging="720"/>
        <w:jc w:val="both"/>
        <w:rPr>
          <w:rFonts w:eastAsia="Times New Roman" w:cs="Times New Roman"/>
          <w:b/>
          <w:smallCaps/>
          <w:color w:val="000000" w:themeColor="text1"/>
          <w:szCs w:val="24"/>
        </w:rPr>
      </w:pPr>
      <w:r w:rsidRPr="00F6508F">
        <w:rPr>
          <w:rFonts w:eastAsia="Times New Roman" w:cs="Times New Roman"/>
          <w:b/>
          <w:smallCaps/>
          <w:color w:val="000000" w:themeColor="text1"/>
          <w:szCs w:val="24"/>
        </w:rPr>
        <w:t>Q:</w:t>
      </w:r>
      <w:r w:rsidRPr="00F6508F">
        <w:rPr>
          <w:rFonts w:eastAsia="Times New Roman" w:cs="Times New Roman"/>
          <w:b/>
          <w:smallCaps/>
          <w:color w:val="000000" w:themeColor="text1"/>
          <w:szCs w:val="24"/>
        </w:rPr>
        <w:tab/>
      </w:r>
      <w:r w:rsidRPr="00F6508F">
        <w:rPr>
          <w:rFonts w:eastAsia="Times New Roman" w:cs="Times New Roman"/>
          <w:b/>
          <w:color w:val="000000" w:themeColor="text1"/>
          <w:szCs w:val="24"/>
        </w:rPr>
        <w:t xml:space="preserve">PLEASE SUMMARIZE THE RESULTS OF YOUR REVIEW OF </w:t>
      </w:r>
      <w:r w:rsidR="00B8520F" w:rsidRPr="00F6508F">
        <w:rPr>
          <w:rFonts w:eastAsia="Times New Roman" w:cs="Times New Roman"/>
          <w:b/>
          <w:color w:val="000000" w:themeColor="text1"/>
          <w:szCs w:val="24"/>
        </w:rPr>
        <w:t>GEORGIA POWER</w:t>
      </w:r>
      <w:r w:rsidRPr="00F6508F">
        <w:rPr>
          <w:rFonts w:eastAsia="Times New Roman" w:cs="Times New Roman"/>
          <w:b/>
          <w:color w:val="000000" w:themeColor="text1"/>
          <w:szCs w:val="24"/>
        </w:rPr>
        <w:t xml:space="preserve">’S </w:t>
      </w:r>
      <w:r w:rsidR="00AF1ACF">
        <w:rPr>
          <w:rFonts w:eastAsia="Times New Roman" w:cs="Times New Roman"/>
          <w:b/>
          <w:color w:val="000000" w:themeColor="text1"/>
          <w:szCs w:val="24"/>
        </w:rPr>
        <w:t xml:space="preserve">PROPOSED </w:t>
      </w:r>
      <w:r w:rsidRPr="00F6508F">
        <w:rPr>
          <w:rFonts w:eastAsia="Times New Roman" w:cs="Times New Roman"/>
          <w:b/>
          <w:color w:val="000000" w:themeColor="text1"/>
          <w:szCs w:val="24"/>
        </w:rPr>
        <w:t xml:space="preserve">2022 IRP AND THE ANALYSIS YOU </w:t>
      </w:r>
      <w:r w:rsidR="008F6246">
        <w:rPr>
          <w:rFonts w:eastAsia="Times New Roman" w:cs="Times New Roman"/>
          <w:b/>
          <w:color w:val="000000" w:themeColor="text1"/>
          <w:szCs w:val="24"/>
        </w:rPr>
        <w:t xml:space="preserve">HAVE </w:t>
      </w:r>
      <w:r w:rsidRPr="00F6508F">
        <w:rPr>
          <w:rFonts w:eastAsia="Times New Roman" w:cs="Times New Roman"/>
          <w:b/>
          <w:color w:val="000000" w:themeColor="text1"/>
          <w:szCs w:val="24"/>
        </w:rPr>
        <w:t>CONDUCTED.</w:t>
      </w:r>
    </w:p>
    <w:p w14:paraId="6B7A6484" w14:textId="6A5CF8D5" w:rsidR="004F60DA" w:rsidRPr="00F6508F" w:rsidRDefault="00447F55" w:rsidP="007A5A80">
      <w:pPr>
        <w:numPr>
          <w:ilvl w:val="0"/>
          <w:numId w:val="2"/>
        </w:numPr>
        <w:pBdr>
          <w:top w:val="nil"/>
          <w:left w:val="nil"/>
          <w:bottom w:val="nil"/>
          <w:right w:val="nil"/>
          <w:between w:val="nil"/>
        </w:pBdr>
        <w:spacing w:after="0"/>
        <w:jc w:val="both"/>
        <w:rPr>
          <w:rFonts w:eastAsia="Times New Roman" w:cs="Times New Roman"/>
          <w:color w:val="000000" w:themeColor="text1"/>
          <w:szCs w:val="24"/>
        </w:rPr>
      </w:pPr>
      <w:r w:rsidRPr="00F6508F">
        <w:rPr>
          <w:rFonts w:eastAsia="Times New Roman" w:cs="Times New Roman"/>
          <w:color w:val="000000" w:themeColor="text1"/>
          <w:szCs w:val="24"/>
        </w:rPr>
        <w:t>The energy landscape is in a period of accelerating technological and financial change</w:t>
      </w:r>
      <w:r w:rsidR="0036171B" w:rsidRPr="00F6508F">
        <w:rPr>
          <w:rFonts w:eastAsia="Times New Roman" w:cs="Times New Roman"/>
          <w:color w:val="000000" w:themeColor="text1"/>
          <w:szCs w:val="24"/>
        </w:rPr>
        <w:t>, driven by much lower-cost</w:t>
      </w:r>
      <w:r w:rsidR="0006461E">
        <w:rPr>
          <w:rFonts w:eastAsia="Times New Roman" w:cs="Times New Roman"/>
          <w:color w:val="000000" w:themeColor="text1"/>
          <w:szCs w:val="24"/>
        </w:rPr>
        <w:t>,</w:t>
      </w:r>
      <w:r w:rsidR="0036171B" w:rsidRPr="00F6508F">
        <w:rPr>
          <w:rFonts w:eastAsia="Times New Roman" w:cs="Times New Roman"/>
          <w:color w:val="000000" w:themeColor="text1"/>
          <w:szCs w:val="24"/>
        </w:rPr>
        <w:t xml:space="preserve"> carbon-free technologies and increasing environmental requirements</w:t>
      </w:r>
      <w:r w:rsidRPr="00F6508F">
        <w:rPr>
          <w:rFonts w:eastAsia="Times New Roman" w:cs="Times New Roman"/>
          <w:color w:val="000000" w:themeColor="text1"/>
          <w:szCs w:val="24"/>
        </w:rPr>
        <w:t xml:space="preserve">. Utilities must modify their planning, </w:t>
      </w:r>
      <w:r w:rsidR="001811E7" w:rsidRPr="00F6508F">
        <w:rPr>
          <w:rFonts w:eastAsia="Times New Roman" w:cs="Times New Roman"/>
          <w:color w:val="000000" w:themeColor="text1"/>
          <w:szCs w:val="24"/>
        </w:rPr>
        <w:t>acquisition,</w:t>
      </w:r>
      <w:r w:rsidRPr="00F6508F">
        <w:rPr>
          <w:rFonts w:eastAsia="Times New Roman" w:cs="Times New Roman"/>
          <w:color w:val="000000" w:themeColor="text1"/>
          <w:szCs w:val="24"/>
        </w:rPr>
        <w:t xml:space="preserve"> and operating practices </w:t>
      </w:r>
      <w:r w:rsidR="00646C37" w:rsidRPr="00F6508F">
        <w:rPr>
          <w:rFonts w:eastAsia="Times New Roman" w:cs="Times New Roman"/>
          <w:color w:val="000000" w:themeColor="text1"/>
          <w:szCs w:val="24"/>
        </w:rPr>
        <w:t>considering</w:t>
      </w:r>
      <w:r w:rsidRPr="00F6508F">
        <w:rPr>
          <w:rFonts w:eastAsia="Times New Roman" w:cs="Times New Roman"/>
          <w:color w:val="000000" w:themeColor="text1"/>
          <w:szCs w:val="24"/>
        </w:rPr>
        <w:t xml:space="preserve"> sector</w:t>
      </w:r>
      <w:r w:rsidR="00B62B06" w:rsidRPr="00F6508F">
        <w:rPr>
          <w:rFonts w:eastAsia="Times New Roman" w:cs="Times New Roman"/>
          <w:color w:val="000000" w:themeColor="text1"/>
          <w:szCs w:val="24"/>
        </w:rPr>
        <w:t>al</w:t>
      </w:r>
      <w:r w:rsidRPr="00F6508F">
        <w:rPr>
          <w:rFonts w:eastAsia="Times New Roman" w:cs="Times New Roman"/>
          <w:color w:val="000000" w:themeColor="text1"/>
          <w:szCs w:val="24"/>
        </w:rPr>
        <w:t xml:space="preserve"> changes. </w:t>
      </w:r>
    </w:p>
    <w:p w14:paraId="54509383" w14:textId="10F496F6" w:rsidR="004D27EE" w:rsidRPr="00F6508F" w:rsidRDefault="00447F55" w:rsidP="001009D4">
      <w:pPr>
        <w:numPr>
          <w:ilvl w:val="0"/>
          <w:numId w:val="2"/>
        </w:numPr>
        <w:pBdr>
          <w:top w:val="nil"/>
          <w:left w:val="nil"/>
          <w:bottom w:val="nil"/>
          <w:right w:val="nil"/>
          <w:between w:val="nil"/>
        </w:pBdr>
        <w:spacing w:after="0"/>
        <w:jc w:val="both"/>
        <w:rPr>
          <w:rFonts w:eastAsia="Times New Roman" w:cs="Times New Roman"/>
          <w:color w:val="000000" w:themeColor="text1"/>
          <w:szCs w:val="24"/>
        </w:rPr>
      </w:pPr>
      <w:r w:rsidRPr="00F6508F">
        <w:rPr>
          <w:rFonts w:eastAsia="Times New Roman" w:cs="Times New Roman"/>
          <w:color w:val="000000" w:themeColor="text1"/>
          <w:szCs w:val="24"/>
        </w:rPr>
        <w:t>There are significant flaws in Georgia Power’s</w:t>
      </w:r>
      <w:r w:rsidR="0006461E">
        <w:rPr>
          <w:rFonts w:eastAsia="Times New Roman" w:cs="Times New Roman"/>
          <w:color w:val="000000" w:themeColor="text1"/>
          <w:szCs w:val="24"/>
        </w:rPr>
        <w:t xml:space="preserve"> 2022</w:t>
      </w:r>
      <w:r w:rsidRPr="00F6508F">
        <w:rPr>
          <w:rFonts w:eastAsia="Times New Roman" w:cs="Times New Roman"/>
          <w:color w:val="000000" w:themeColor="text1"/>
          <w:szCs w:val="24"/>
        </w:rPr>
        <w:t xml:space="preserve"> IRP and acquisition process which </w:t>
      </w:r>
      <w:r w:rsidR="00B62B06" w:rsidRPr="00F6508F">
        <w:rPr>
          <w:rFonts w:eastAsia="Times New Roman" w:cs="Times New Roman"/>
          <w:color w:val="000000" w:themeColor="text1"/>
          <w:szCs w:val="24"/>
        </w:rPr>
        <w:t>means</w:t>
      </w:r>
      <w:r w:rsidRPr="00F6508F">
        <w:rPr>
          <w:rFonts w:eastAsia="Times New Roman" w:cs="Times New Roman"/>
          <w:color w:val="000000" w:themeColor="text1"/>
          <w:szCs w:val="24"/>
        </w:rPr>
        <w:t xml:space="preserve"> that the plan submitted in this proceeding will not </w:t>
      </w:r>
      <w:r w:rsidR="00B62B06" w:rsidRPr="00F6508F">
        <w:rPr>
          <w:rFonts w:eastAsia="Times New Roman" w:cs="Times New Roman"/>
          <w:color w:val="000000" w:themeColor="text1"/>
          <w:szCs w:val="24"/>
        </w:rPr>
        <w:t xml:space="preserve">likely </w:t>
      </w:r>
      <w:r w:rsidRPr="00F6508F">
        <w:rPr>
          <w:rFonts w:eastAsia="Times New Roman" w:cs="Times New Roman"/>
          <w:color w:val="000000" w:themeColor="text1"/>
          <w:szCs w:val="24"/>
        </w:rPr>
        <w:t xml:space="preserve">meet the requirements shown in the Company’s </w:t>
      </w:r>
      <w:r w:rsidR="00B62B06" w:rsidRPr="00F6508F">
        <w:rPr>
          <w:rFonts w:eastAsia="Times New Roman" w:cs="Times New Roman"/>
          <w:color w:val="000000" w:themeColor="text1"/>
          <w:szCs w:val="24"/>
        </w:rPr>
        <w:t xml:space="preserve">load </w:t>
      </w:r>
      <w:r w:rsidRPr="00F6508F">
        <w:rPr>
          <w:rFonts w:eastAsia="Times New Roman" w:cs="Times New Roman"/>
          <w:color w:val="000000" w:themeColor="text1"/>
          <w:szCs w:val="24"/>
        </w:rPr>
        <w:t xml:space="preserve">forecast in an </w:t>
      </w:r>
      <w:r w:rsidR="00F876C2" w:rsidRPr="00F6508F">
        <w:rPr>
          <w:rFonts w:eastAsia="Times New Roman" w:cs="Times New Roman"/>
          <w:color w:val="000000" w:themeColor="text1"/>
          <w:szCs w:val="24"/>
        </w:rPr>
        <w:t>“</w:t>
      </w:r>
      <w:r w:rsidRPr="00F6508F">
        <w:rPr>
          <w:rFonts w:eastAsia="Times New Roman" w:cs="Times New Roman"/>
          <w:color w:val="000000" w:themeColor="text1"/>
          <w:szCs w:val="24"/>
        </w:rPr>
        <w:t>economical and reliable manner.</w:t>
      </w:r>
      <w:r w:rsidR="00F876C2" w:rsidRPr="00F6508F">
        <w:rPr>
          <w:rFonts w:eastAsia="Times New Roman" w:cs="Times New Roman"/>
          <w:color w:val="000000" w:themeColor="text1"/>
          <w:szCs w:val="24"/>
        </w:rPr>
        <w:t>”</w:t>
      </w:r>
      <w:r w:rsidR="00494644">
        <w:rPr>
          <w:rStyle w:val="FootnoteReference"/>
          <w:rFonts w:eastAsia="Times New Roman" w:cs="Times New Roman"/>
          <w:color w:val="000000" w:themeColor="text1"/>
          <w:szCs w:val="24"/>
        </w:rPr>
        <w:footnoteReference w:id="2"/>
      </w:r>
      <w:r w:rsidR="00494644" w:rsidRPr="00F6508F">
        <w:rPr>
          <w:rFonts w:eastAsia="Times New Roman" w:cs="Times New Roman"/>
          <w:color w:val="000000" w:themeColor="text1"/>
          <w:szCs w:val="24"/>
        </w:rPr>
        <w:t xml:space="preserve"> </w:t>
      </w:r>
      <w:r w:rsidR="00C5500B" w:rsidRPr="00F6508F">
        <w:rPr>
          <w:rFonts w:eastAsia="Times New Roman" w:cs="Times New Roman"/>
          <w:color w:val="000000" w:themeColor="text1"/>
          <w:szCs w:val="24"/>
        </w:rPr>
        <w:t>These flaws include:</w:t>
      </w:r>
    </w:p>
    <w:p w14:paraId="2BA0660E" w14:textId="77777777" w:rsidR="004D27EE" w:rsidRPr="00F6508F" w:rsidRDefault="00C5500B" w:rsidP="001009D4">
      <w:pPr>
        <w:numPr>
          <w:ilvl w:val="1"/>
          <w:numId w:val="2"/>
        </w:numPr>
        <w:pBdr>
          <w:top w:val="nil"/>
          <w:left w:val="nil"/>
          <w:bottom w:val="nil"/>
          <w:right w:val="nil"/>
          <w:between w:val="nil"/>
        </w:pBdr>
        <w:spacing w:after="0"/>
        <w:jc w:val="both"/>
        <w:rPr>
          <w:rFonts w:eastAsia="Times New Roman" w:cs="Times New Roman"/>
          <w:color w:val="000000" w:themeColor="text1"/>
          <w:szCs w:val="24"/>
        </w:rPr>
      </w:pPr>
      <w:r w:rsidRPr="00F6508F">
        <w:rPr>
          <w:rFonts w:eastAsia="Times New Roman" w:cs="Times New Roman"/>
          <w:color w:val="000000" w:themeColor="text1"/>
          <w:szCs w:val="24"/>
        </w:rPr>
        <w:t>Conducting a “limit source” solicitation in which resources are artificially assigned to categories and limited in how much can be selected</w:t>
      </w:r>
      <w:r w:rsidR="0043702B" w:rsidRPr="00F6508F">
        <w:rPr>
          <w:rFonts w:eastAsia="Times New Roman" w:cs="Times New Roman"/>
          <w:color w:val="000000" w:themeColor="text1"/>
          <w:szCs w:val="24"/>
        </w:rPr>
        <w:t>, in contrast to an “all source” solicitation</w:t>
      </w:r>
      <w:r w:rsidR="00B62B06" w:rsidRPr="00F6508F">
        <w:rPr>
          <w:rFonts w:eastAsia="Times New Roman" w:cs="Times New Roman"/>
          <w:color w:val="000000" w:themeColor="text1"/>
          <w:szCs w:val="24"/>
        </w:rPr>
        <w:t>.</w:t>
      </w:r>
    </w:p>
    <w:p w14:paraId="11D5061E" w14:textId="68A67D7B" w:rsidR="00D372CD" w:rsidRPr="00F6508F" w:rsidRDefault="00C5500B" w:rsidP="001009D4">
      <w:pPr>
        <w:numPr>
          <w:ilvl w:val="1"/>
          <w:numId w:val="2"/>
        </w:numPr>
        <w:pBdr>
          <w:top w:val="nil"/>
          <w:left w:val="nil"/>
          <w:bottom w:val="nil"/>
          <w:right w:val="nil"/>
          <w:between w:val="nil"/>
        </w:pBdr>
        <w:spacing w:after="0"/>
        <w:ind w:left="1800"/>
        <w:jc w:val="both"/>
        <w:rPr>
          <w:rFonts w:eastAsia="Times New Roman" w:cs="Times New Roman"/>
          <w:color w:val="000000" w:themeColor="text1"/>
          <w:szCs w:val="24"/>
        </w:rPr>
      </w:pPr>
      <w:r w:rsidRPr="00F6508F">
        <w:rPr>
          <w:rFonts w:eastAsia="Times New Roman" w:cs="Times New Roman"/>
          <w:color w:val="000000" w:themeColor="text1"/>
          <w:szCs w:val="24"/>
        </w:rPr>
        <w:lastRenderedPageBreak/>
        <w:t>Choosing an inappropriate “baseline” scenario in the IRP</w:t>
      </w:r>
      <w:r w:rsidR="00B62B06" w:rsidRPr="00F6508F">
        <w:rPr>
          <w:rFonts w:eastAsia="Times New Roman" w:cs="Times New Roman"/>
          <w:color w:val="000000" w:themeColor="text1"/>
          <w:szCs w:val="24"/>
        </w:rPr>
        <w:t xml:space="preserve"> with respect to</w:t>
      </w:r>
      <w:r w:rsidR="009F1F12" w:rsidRPr="00F6508F">
        <w:rPr>
          <w:rFonts w:eastAsia="Times New Roman" w:cs="Times New Roman"/>
          <w:color w:val="000000" w:themeColor="text1"/>
          <w:szCs w:val="24"/>
        </w:rPr>
        <w:t xml:space="preserve">, in the Company’s </w:t>
      </w:r>
      <w:r w:rsidR="00D372CD" w:rsidRPr="00F6508F">
        <w:rPr>
          <w:rFonts w:eastAsia="Times New Roman" w:cs="Times New Roman"/>
          <w:color w:val="000000" w:themeColor="text1"/>
          <w:szCs w:val="24"/>
        </w:rPr>
        <w:t>terms, “</w:t>
      </w:r>
      <w:r w:rsidR="009F1F12" w:rsidRPr="00F6508F">
        <w:rPr>
          <w:rFonts w:eastAsia="Times New Roman" w:cs="Times New Roman"/>
          <w:color w:val="000000" w:themeColor="text1"/>
          <w:szCs w:val="24"/>
        </w:rPr>
        <w:t xml:space="preserve">greenhouse gas </w:t>
      </w:r>
      <w:r w:rsidR="0043702B" w:rsidRPr="00F6508F">
        <w:rPr>
          <w:rFonts w:eastAsia="Times New Roman" w:cs="Times New Roman"/>
          <w:color w:val="000000" w:themeColor="text1"/>
          <w:szCs w:val="24"/>
        </w:rPr>
        <w:t>pressure</w:t>
      </w:r>
      <w:r w:rsidR="00B62B06" w:rsidRPr="00F6508F">
        <w:rPr>
          <w:rFonts w:eastAsia="Times New Roman" w:cs="Times New Roman"/>
          <w:color w:val="000000" w:themeColor="text1"/>
          <w:szCs w:val="24"/>
        </w:rPr>
        <w:t xml:space="preserve">” and </w:t>
      </w:r>
      <w:r w:rsidR="0043702B" w:rsidRPr="00F6508F">
        <w:rPr>
          <w:rFonts w:eastAsia="Times New Roman" w:cs="Times New Roman"/>
          <w:color w:val="000000" w:themeColor="text1"/>
          <w:szCs w:val="24"/>
        </w:rPr>
        <w:t xml:space="preserve">with respect to </w:t>
      </w:r>
      <w:r w:rsidR="009F1F12" w:rsidRPr="00F6508F">
        <w:rPr>
          <w:rFonts w:eastAsia="Times New Roman" w:cs="Times New Roman"/>
          <w:color w:val="000000" w:themeColor="text1"/>
          <w:szCs w:val="24"/>
        </w:rPr>
        <w:t xml:space="preserve">its </w:t>
      </w:r>
      <w:r w:rsidR="00B62B06" w:rsidRPr="00F6508F">
        <w:rPr>
          <w:rFonts w:eastAsia="Times New Roman" w:cs="Times New Roman"/>
          <w:color w:val="000000" w:themeColor="text1"/>
          <w:szCs w:val="24"/>
        </w:rPr>
        <w:t>natural gas forecast.</w:t>
      </w:r>
    </w:p>
    <w:p w14:paraId="11E29022" w14:textId="19EF712A" w:rsidR="00C5500B" w:rsidRPr="00F6508F" w:rsidRDefault="00C5500B" w:rsidP="001009D4">
      <w:pPr>
        <w:numPr>
          <w:ilvl w:val="1"/>
          <w:numId w:val="2"/>
        </w:numPr>
        <w:pBdr>
          <w:top w:val="nil"/>
          <w:left w:val="nil"/>
          <w:bottom w:val="nil"/>
          <w:right w:val="nil"/>
          <w:between w:val="nil"/>
        </w:pBdr>
        <w:spacing w:after="0"/>
        <w:ind w:left="1800"/>
        <w:jc w:val="both"/>
        <w:rPr>
          <w:rFonts w:eastAsia="Times New Roman" w:cs="Times New Roman"/>
          <w:color w:val="000000" w:themeColor="text1"/>
          <w:szCs w:val="24"/>
        </w:rPr>
      </w:pPr>
      <w:r w:rsidRPr="00F6508F">
        <w:rPr>
          <w:rFonts w:eastAsia="Times New Roman" w:cs="Times New Roman"/>
          <w:color w:val="000000" w:themeColor="text1"/>
          <w:szCs w:val="24"/>
        </w:rPr>
        <w:t>Incorrect characterization of renewables plus storage</w:t>
      </w:r>
      <w:r w:rsidR="009F1F12" w:rsidRPr="00F6508F">
        <w:rPr>
          <w:rFonts w:eastAsia="Times New Roman" w:cs="Times New Roman"/>
          <w:color w:val="000000" w:themeColor="text1"/>
          <w:szCs w:val="24"/>
        </w:rPr>
        <w:t xml:space="preserve"> for purposes of evaluating those bids.</w:t>
      </w:r>
    </w:p>
    <w:p w14:paraId="68794192" w14:textId="25F8B084" w:rsidR="00720B5F" w:rsidRPr="00F6508F" w:rsidRDefault="00720B5F" w:rsidP="001009D4">
      <w:pPr>
        <w:numPr>
          <w:ilvl w:val="0"/>
          <w:numId w:val="2"/>
        </w:numPr>
        <w:pBdr>
          <w:top w:val="nil"/>
          <w:left w:val="nil"/>
          <w:bottom w:val="nil"/>
          <w:right w:val="nil"/>
          <w:between w:val="nil"/>
        </w:pBdr>
        <w:spacing w:after="0"/>
        <w:jc w:val="both"/>
        <w:rPr>
          <w:rFonts w:eastAsia="Times New Roman" w:cs="Times New Roman"/>
          <w:color w:val="000000" w:themeColor="text1"/>
          <w:szCs w:val="24"/>
        </w:rPr>
      </w:pPr>
      <w:r w:rsidRPr="00F6508F">
        <w:rPr>
          <w:rFonts w:eastAsia="Times New Roman" w:cs="Times New Roman"/>
          <w:color w:val="000000" w:themeColor="text1"/>
          <w:szCs w:val="24"/>
        </w:rPr>
        <w:t>Because of these flaws, Georgia Power’s approach to resource determination and acquisition is systematically biased against renewable resources, especially the pairing of solar and storage</w:t>
      </w:r>
      <w:r w:rsidR="001811E7" w:rsidRPr="00F6508F">
        <w:rPr>
          <w:rFonts w:eastAsia="Times New Roman" w:cs="Times New Roman"/>
          <w:color w:val="000000" w:themeColor="text1"/>
          <w:szCs w:val="24"/>
        </w:rPr>
        <w:t xml:space="preserve">. </w:t>
      </w:r>
      <w:r w:rsidRPr="00F6508F">
        <w:rPr>
          <w:rFonts w:eastAsia="Times New Roman" w:cs="Times New Roman"/>
          <w:color w:val="000000" w:themeColor="text1"/>
          <w:szCs w:val="24"/>
        </w:rPr>
        <w:t xml:space="preserve">The result will be an over-reliance on natural gas, failure to include least-cost resources and likely </w:t>
      </w:r>
      <w:r w:rsidR="00704C0E" w:rsidRPr="00F6508F">
        <w:rPr>
          <w:rFonts w:eastAsia="Times New Roman" w:cs="Times New Roman"/>
          <w:color w:val="000000" w:themeColor="text1"/>
          <w:szCs w:val="24"/>
        </w:rPr>
        <w:t xml:space="preserve">resulting in </w:t>
      </w:r>
      <w:r w:rsidRPr="00F6508F">
        <w:rPr>
          <w:rFonts w:eastAsia="Times New Roman" w:cs="Times New Roman"/>
          <w:color w:val="000000" w:themeColor="text1"/>
          <w:szCs w:val="24"/>
        </w:rPr>
        <w:t xml:space="preserve">higher </w:t>
      </w:r>
      <w:r w:rsidR="00704C0E" w:rsidRPr="00F6508F">
        <w:rPr>
          <w:rFonts w:eastAsia="Times New Roman" w:cs="Times New Roman"/>
          <w:color w:val="000000" w:themeColor="text1"/>
          <w:szCs w:val="24"/>
        </w:rPr>
        <w:t xml:space="preserve">consumer </w:t>
      </w:r>
      <w:r w:rsidRPr="00F6508F">
        <w:rPr>
          <w:rFonts w:eastAsia="Times New Roman" w:cs="Times New Roman"/>
          <w:color w:val="000000" w:themeColor="text1"/>
          <w:szCs w:val="24"/>
        </w:rPr>
        <w:t>costs.</w:t>
      </w:r>
    </w:p>
    <w:p w14:paraId="6B7A6487" w14:textId="2142E81A" w:rsidR="004F60DA" w:rsidRPr="00F6508F" w:rsidRDefault="00447F55" w:rsidP="001009D4">
      <w:pPr>
        <w:numPr>
          <w:ilvl w:val="0"/>
          <w:numId w:val="2"/>
        </w:numPr>
        <w:pBdr>
          <w:top w:val="nil"/>
          <w:left w:val="nil"/>
          <w:bottom w:val="nil"/>
          <w:right w:val="nil"/>
          <w:between w:val="nil"/>
        </w:pBdr>
        <w:spacing w:after="0"/>
        <w:jc w:val="both"/>
        <w:rPr>
          <w:rFonts w:eastAsia="Times New Roman" w:cs="Times New Roman"/>
          <w:color w:val="000000" w:themeColor="text1"/>
          <w:szCs w:val="24"/>
        </w:rPr>
      </w:pPr>
      <w:r w:rsidRPr="00F6508F">
        <w:rPr>
          <w:rFonts w:eastAsia="Times New Roman" w:cs="Times New Roman"/>
          <w:color w:val="000000" w:themeColor="text1"/>
          <w:szCs w:val="24"/>
        </w:rPr>
        <w:t xml:space="preserve">The Commission should withhold approval of the latest-in-time PPA </w:t>
      </w:r>
      <w:r w:rsidR="00321291" w:rsidRPr="00F6508F">
        <w:rPr>
          <w:rFonts w:eastAsia="Times New Roman" w:cs="Times New Roman"/>
          <w:color w:val="000000" w:themeColor="text1"/>
          <w:szCs w:val="24"/>
        </w:rPr>
        <w:t xml:space="preserve">(2028) </w:t>
      </w:r>
      <w:r w:rsidRPr="00F6508F">
        <w:rPr>
          <w:rFonts w:eastAsia="Times New Roman" w:cs="Times New Roman"/>
          <w:color w:val="000000" w:themeColor="text1"/>
          <w:szCs w:val="24"/>
        </w:rPr>
        <w:t>for capacity at Dahlberg Units 1, 3, and 5.</w:t>
      </w:r>
      <w:r w:rsidR="00C5500B" w:rsidRPr="00F6508F">
        <w:rPr>
          <w:rFonts w:eastAsia="Times New Roman" w:cs="Times New Roman"/>
          <w:color w:val="000000" w:themeColor="text1"/>
          <w:szCs w:val="24"/>
        </w:rPr>
        <w:t xml:space="preserve">  This capacity </w:t>
      </w:r>
      <w:r w:rsidR="00B62B06" w:rsidRPr="00F6508F">
        <w:rPr>
          <w:rFonts w:eastAsia="Times New Roman" w:cs="Times New Roman"/>
          <w:color w:val="000000" w:themeColor="text1"/>
          <w:szCs w:val="24"/>
        </w:rPr>
        <w:t>deficit</w:t>
      </w:r>
      <w:r w:rsidR="00C5500B" w:rsidRPr="00F6508F">
        <w:rPr>
          <w:rFonts w:eastAsia="Times New Roman" w:cs="Times New Roman"/>
          <w:color w:val="000000" w:themeColor="text1"/>
          <w:szCs w:val="24"/>
        </w:rPr>
        <w:t xml:space="preserve"> should </w:t>
      </w:r>
      <w:r w:rsidR="008C2690" w:rsidRPr="00F6508F">
        <w:rPr>
          <w:rFonts w:eastAsia="Times New Roman" w:cs="Times New Roman"/>
          <w:color w:val="000000" w:themeColor="text1"/>
          <w:szCs w:val="24"/>
        </w:rPr>
        <w:t xml:space="preserve">either be </w:t>
      </w:r>
      <w:r w:rsidR="00C5500B" w:rsidRPr="00F6508F">
        <w:rPr>
          <w:rFonts w:eastAsia="Times New Roman" w:cs="Times New Roman"/>
          <w:color w:val="000000" w:themeColor="text1"/>
          <w:szCs w:val="24"/>
        </w:rPr>
        <w:t xml:space="preserve">rolled into the </w:t>
      </w:r>
      <w:r w:rsidR="008C2690" w:rsidRPr="00F6508F">
        <w:rPr>
          <w:rFonts w:eastAsia="Times New Roman" w:cs="Times New Roman"/>
          <w:color w:val="000000" w:themeColor="text1"/>
          <w:szCs w:val="24"/>
        </w:rPr>
        <w:t>2025</w:t>
      </w:r>
      <w:r w:rsidR="00C5500B" w:rsidRPr="00F6508F">
        <w:rPr>
          <w:rFonts w:eastAsia="Times New Roman" w:cs="Times New Roman"/>
          <w:color w:val="000000" w:themeColor="text1"/>
          <w:szCs w:val="24"/>
        </w:rPr>
        <w:t xml:space="preserve"> IRP; or</w:t>
      </w:r>
      <w:r w:rsidR="008C2690" w:rsidRPr="00F6508F">
        <w:rPr>
          <w:rFonts w:eastAsia="Times New Roman" w:cs="Times New Roman"/>
          <w:color w:val="000000" w:themeColor="text1"/>
          <w:szCs w:val="24"/>
        </w:rPr>
        <w:t xml:space="preserve">, if there is </w:t>
      </w:r>
      <w:r w:rsidR="0043702B" w:rsidRPr="00F6508F">
        <w:rPr>
          <w:rFonts w:eastAsia="Times New Roman" w:cs="Times New Roman"/>
          <w:color w:val="000000" w:themeColor="text1"/>
          <w:szCs w:val="24"/>
        </w:rPr>
        <w:t xml:space="preserve">not </w:t>
      </w:r>
      <w:r w:rsidR="008C2690" w:rsidRPr="00F6508F">
        <w:rPr>
          <w:rFonts w:eastAsia="Times New Roman" w:cs="Times New Roman"/>
          <w:color w:val="000000" w:themeColor="text1"/>
          <w:szCs w:val="24"/>
        </w:rPr>
        <w:t xml:space="preserve">sufficient time, the Commission should require Georgia Power to conduct a new capacity solicitation </w:t>
      </w:r>
      <w:r w:rsidR="00B62B06" w:rsidRPr="00F6508F">
        <w:rPr>
          <w:rFonts w:eastAsia="Times New Roman" w:cs="Times New Roman"/>
          <w:color w:val="000000" w:themeColor="text1"/>
          <w:szCs w:val="24"/>
        </w:rPr>
        <w:t>prior to</w:t>
      </w:r>
      <w:r w:rsidR="008C2690" w:rsidRPr="00F6508F">
        <w:rPr>
          <w:rFonts w:eastAsia="Times New Roman" w:cs="Times New Roman"/>
          <w:color w:val="000000" w:themeColor="text1"/>
          <w:szCs w:val="24"/>
        </w:rPr>
        <w:t xml:space="preserve"> the 2025 IRP.</w:t>
      </w:r>
    </w:p>
    <w:p w14:paraId="6B7A6488" w14:textId="42624052" w:rsidR="004F60DA" w:rsidRPr="00F6508F" w:rsidRDefault="00447F55" w:rsidP="001009D4">
      <w:pPr>
        <w:numPr>
          <w:ilvl w:val="0"/>
          <w:numId w:val="2"/>
        </w:numPr>
        <w:pBdr>
          <w:top w:val="nil"/>
          <w:left w:val="nil"/>
          <w:bottom w:val="nil"/>
          <w:right w:val="nil"/>
          <w:between w:val="nil"/>
        </w:pBdr>
        <w:spacing w:after="0"/>
        <w:jc w:val="both"/>
        <w:rPr>
          <w:rFonts w:eastAsia="Times New Roman" w:cs="Times New Roman"/>
          <w:color w:val="000000" w:themeColor="text1"/>
          <w:szCs w:val="24"/>
        </w:rPr>
      </w:pPr>
      <w:r w:rsidRPr="00F6508F">
        <w:rPr>
          <w:rFonts w:eastAsia="Times New Roman" w:cs="Times New Roman"/>
          <w:color w:val="000000" w:themeColor="text1"/>
          <w:szCs w:val="24"/>
        </w:rPr>
        <w:t xml:space="preserve">If the Commission declines to retire some or </w:t>
      </w:r>
      <w:r w:rsidR="004853B2" w:rsidRPr="00F6508F">
        <w:rPr>
          <w:rFonts w:eastAsia="Times New Roman" w:cs="Times New Roman"/>
          <w:color w:val="000000" w:themeColor="text1"/>
          <w:szCs w:val="24"/>
        </w:rPr>
        <w:t>all</w:t>
      </w:r>
      <w:r w:rsidRPr="00F6508F">
        <w:rPr>
          <w:rFonts w:eastAsia="Times New Roman" w:cs="Times New Roman"/>
          <w:color w:val="000000" w:themeColor="text1"/>
          <w:szCs w:val="24"/>
        </w:rPr>
        <w:t xml:space="preserve"> the coal units identified for closure, it should reduce </w:t>
      </w:r>
      <w:r w:rsidR="008C2690" w:rsidRPr="00F6508F">
        <w:rPr>
          <w:rFonts w:eastAsia="Times New Roman" w:cs="Times New Roman"/>
          <w:color w:val="000000" w:themeColor="text1"/>
          <w:szCs w:val="24"/>
        </w:rPr>
        <w:t xml:space="preserve">the </w:t>
      </w:r>
      <w:r w:rsidR="00B8520F" w:rsidRPr="00F6508F">
        <w:rPr>
          <w:rFonts w:eastAsia="Times New Roman" w:cs="Times New Roman"/>
          <w:color w:val="000000" w:themeColor="text1"/>
          <w:szCs w:val="24"/>
        </w:rPr>
        <w:t>corresponding</w:t>
      </w:r>
      <w:r w:rsidRPr="00F6508F">
        <w:rPr>
          <w:rFonts w:eastAsia="Times New Roman" w:cs="Times New Roman"/>
          <w:color w:val="000000" w:themeColor="text1"/>
          <w:szCs w:val="24"/>
        </w:rPr>
        <w:t xml:space="preserve"> amount of natural gas PPAs that are </w:t>
      </w:r>
      <w:r w:rsidR="00B8520F" w:rsidRPr="00F6508F">
        <w:rPr>
          <w:rFonts w:eastAsia="Times New Roman" w:cs="Times New Roman"/>
          <w:color w:val="000000" w:themeColor="text1"/>
          <w:szCs w:val="24"/>
        </w:rPr>
        <w:t xml:space="preserve">sought to be </w:t>
      </w:r>
      <w:r w:rsidRPr="00F6508F">
        <w:rPr>
          <w:rFonts w:eastAsia="Times New Roman" w:cs="Times New Roman"/>
          <w:color w:val="000000" w:themeColor="text1"/>
          <w:szCs w:val="24"/>
        </w:rPr>
        <w:t>approved in this proceeding.</w:t>
      </w:r>
    </w:p>
    <w:p w14:paraId="6B7A6489" w14:textId="534E1D3A" w:rsidR="004F60DA" w:rsidRPr="00F6508F" w:rsidRDefault="00447F55" w:rsidP="001009D4">
      <w:pPr>
        <w:numPr>
          <w:ilvl w:val="0"/>
          <w:numId w:val="2"/>
        </w:numPr>
        <w:pBdr>
          <w:top w:val="nil"/>
          <w:left w:val="nil"/>
          <w:bottom w:val="nil"/>
          <w:right w:val="nil"/>
          <w:between w:val="nil"/>
        </w:pBdr>
        <w:spacing w:after="0"/>
        <w:jc w:val="both"/>
        <w:rPr>
          <w:rFonts w:eastAsia="Times New Roman" w:cs="Times New Roman"/>
          <w:color w:val="000000" w:themeColor="text1"/>
          <w:szCs w:val="24"/>
        </w:rPr>
      </w:pPr>
      <w:r w:rsidRPr="00F6508F">
        <w:rPr>
          <w:rFonts w:eastAsia="Times New Roman" w:cs="Times New Roman"/>
          <w:color w:val="000000" w:themeColor="text1"/>
          <w:szCs w:val="24"/>
        </w:rPr>
        <w:t xml:space="preserve">The Commission should correct the shortcomings in Georgia Power’s IRP </w:t>
      </w:r>
      <w:r w:rsidR="0036171B" w:rsidRPr="00F6508F">
        <w:rPr>
          <w:rFonts w:eastAsia="Times New Roman" w:cs="Times New Roman"/>
          <w:color w:val="000000" w:themeColor="text1"/>
          <w:szCs w:val="24"/>
        </w:rPr>
        <w:t xml:space="preserve">process </w:t>
      </w:r>
      <w:r w:rsidRPr="00F6508F">
        <w:rPr>
          <w:rFonts w:eastAsia="Times New Roman" w:cs="Times New Roman"/>
          <w:color w:val="000000" w:themeColor="text1"/>
          <w:szCs w:val="24"/>
        </w:rPr>
        <w:t xml:space="preserve">with </w:t>
      </w:r>
      <w:r w:rsidR="0036171B" w:rsidRPr="00F6508F">
        <w:rPr>
          <w:rFonts w:eastAsia="Times New Roman" w:cs="Times New Roman"/>
          <w:color w:val="000000" w:themeColor="text1"/>
          <w:szCs w:val="24"/>
        </w:rPr>
        <w:t xml:space="preserve">explicit requirements </w:t>
      </w:r>
      <w:r w:rsidR="00B62B06" w:rsidRPr="00F6508F">
        <w:rPr>
          <w:rFonts w:eastAsia="Times New Roman" w:cs="Times New Roman"/>
          <w:color w:val="000000" w:themeColor="text1"/>
          <w:szCs w:val="24"/>
        </w:rPr>
        <w:t xml:space="preserve">in this case </w:t>
      </w:r>
      <w:r w:rsidR="0036171B" w:rsidRPr="00F6508F">
        <w:rPr>
          <w:rFonts w:eastAsia="Times New Roman" w:cs="Times New Roman"/>
          <w:color w:val="000000" w:themeColor="text1"/>
          <w:szCs w:val="24"/>
        </w:rPr>
        <w:t>for the next IRP</w:t>
      </w:r>
      <w:r w:rsidRPr="00F6508F">
        <w:rPr>
          <w:rFonts w:eastAsia="Times New Roman" w:cs="Times New Roman"/>
          <w:color w:val="000000" w:themeColor="text1"/>
          <w:szCs w:val="24"/>
        </w:rPr>
        <w:t xml:space="preserve">. Specifically, the Commission should direct Georgia Power Company to </w:t>
      </w:r>
      <w:r w:rsidR="009F1F12" w:rsidRPr="00F6508F">
        <w:rPr>
          <w:rFonts w:eastAsia="Times New Roman" w:cs="Times New Roman"/>
          <w:color w:val="000000" w:themeColor="text1"/>
          <w:szCs w:val="24"/>
        </w:rPr>
        <w:t>accomplish</w:t>
      </w:r>
      <w:r w:rsidRPr="00F6508F">
        <w:rPr>
          <w:rFonts w:eastAsia="Times New Roman" w:cs="Times New Roman"/>
          <w:color w:val="000000" w:themeColor="text1"/>
          <w:szCs w:val="24"/>
        </w:rPr>
        <w:t xml:space="preserve"> the following within its next IRP:</w:t>
      </w:r>
    </w:p>
    <w:p w14:paraId="6B7A648A" w14:textId="1C1FF603" w:rsidR="004F60DA" w:rsidRPr="00F6508F" w:rsidRDefault="00447F55" w:rsidP="001009D4">
      <w:pPr>
        <w:numPr>
          <w:ilvl w:val="1"/>
          <w:numId w:val="2"/>
        </w:numPr>
        <w:pBdr>
          <w:top w:val="nil"/>
          <w:left w:val="nil"/>
          <w:bottom w:val="nil"/>
          <w:right w:val="nil"/>
          <w:between w:val="nil"/>
        </w:pBdr>
        <w:spacing w:after="0"/>
        <w:jc w:val="both"/>
        <w:rPr>
          <w:rFonts w:eastAsia="Times New Roman" w:cs="Times New Roman"/>
          <w:color w:val="000000" w:themeColor="text1"/>
          <w:szCs w:val="24"/>
        </w:rPr>
      </w:pPr>
      <w:r w:rsidRPr="00F6508F">
        <w:rPr>
          <w:rFonts w:eastAsia="Times New Roman" w:cs="Times New Roman"/>
          <w:color w:val="000000" w:themeColor="text1"/>
          <w:szCs w:val="24"/>
        </w:rPr>
        <w:t>Conduct an “All Source” resource review;</w:t>
      </w:r>
    </w:p>
    <w:p w14:paraId="6B7A648B" w14:textId="1A2C8163" w:rsidR="004F60DA" w:rsidRPr="00F6508F" w:rsidRDefault="008C2690" w:rsidP="00074432">
      <w:pPr>
        <w:numPr>
          <w:ilvl w:val="1"/>
          <w:numId w:val="2"/>
        </w:numPr>
        <w:pBdr>
          <w:top w:val="nil"/>
          <w:left w:val="nil"/>
          <w:bottom w:val="nil"/>
          <w:right w:val="nil"/>
          <w:between w:val="nil"/>
        </w:pBdr>
        <w:spacing w:after="0"/>
        <w:jc w:val="both"/>
        <w:rPr>
          <w:rFonts w:eastAsia="Times New Roman" w:cs="Times New Roman"/>
          <w:color w:val="000000" w:themeColor="text1"/>
          <w:szCs w:val="24"/>
        </w:rPr>
      </w:pPr>
      <w:r w:rsidRPr="00F6508F">
        <w:rPr>
          <w:rFonts w:eastAsia="Times New Roman" w:cs="Times New Roman"/>
          <w:color w:val="000000" w:themeColor="text1"/>
          <w:szCs w:val="24"/>
        </w:rPr>
        <w:t>Require</w:t>
      </w:r>
      <w:r w:rsidR="00290574" w:rsidRPr="00F6508F">
        <w:rPr>
          <w:rFonts w:eastAsia="Times New Roman" w:cs="Times New Roman"/>
          <w:color w:val="000000" w:themeColor="text1"/>
          <w:szCs w:val="24"/>
        </w:rPr>
        <w:t xml:space="preserve"> the Company</w:t>
      </w:r>
      <w:r w:rsidRPr="00F6508F">
        <w:rPr>
          <w:rFonts w:eastAsia="Times New Roman" w:cs="Times New Roman"/>
          <w:color w:val="000000" w:themeColor="text1"/>
          <w:szCs w:val="24"/>
        </w:rPr>
        <w:t xml:space="preserve"> to change the characterization of solar + storage so that the resource can compete</w:t>
      </w:r>
      <w:r w:rsidR="00B62B06" w:rsidRPr="00F6508F">
        <w:rPr>
          <w:rFonts w:eastAsia="Times New Roman" w:cs="Times New Roman"/>
          <w:color w:val="000000" w:themeColor="text1"/>
          <w:szCs w:val="24"/>
        </w:rPr>
        <w:t xml:space="preserve"> fairly </w:t>
      </w:r>
      <w:r w:rsidR="00447F55" w:rsidRPr="00F6508F">
        <w:rPr>
          <w:rFonts w:eastAsia="Times New Roman" w:cs="Times New Roman"/>
          <w:color w:val="000000" w:themeColor="text1"/>
          <w:szCs w:val="24"/>
        </w:rPr>
        <w:t xml:space="preserve">in firm energy and firm capacity </w:t>
      </w:r>
      <w:r w:rsidR="00290574" w:rsidRPr="00F6508F">
        <w:rPr>
          <w:rFonts w:eastAsia="Times New Roman" w:cs="Times New Roman"/>
          <w:color w:val="000000" w:themeColor="text1"/>
          <w:szCs w:val="24"/>
        </w:rPr>
        <w:t>modeling</w:t>
      </w:r>
      <w:r w:rsidR="009F1F12" w:rsidRPr="00F6508F">
        <w:rPr>
          <w:rFonts w:eastAsia="Times New Roman" w:cs="Times New Roman"/>
          <w:color w:val="000000" w:themeColor="text1"/>
          <w:szCs w:val="24"/>
        </w:rPr>
        <w:t>;</w:t>
      </w:r>
    </w:p>
    <w:p w14:paraId="17E1A17F" w14:textId="6DDC7972" w:rsidR="00B8520F" w:rsidRPr="00F6508F" w:rsidRDefault="00B62B06" w:rsidP="00074432">
      <w:pPr>
        <w:numPr>
          <w:ilvl w:val="1"/>
          <w:numId w:val="2"/>
        </w:numPr>
        <w:pBdr>
          <w:top w:val="nil"/>
          <w:left w:val="nil"/>
          <w:bottom w:val="nil"/>
          <w:right w:val="nil"/>
          <w:between w:val="nil"/>
        </w:pBdr>
        <w:spacing w:after="0"/>
        <w:jc w:val="both"/>
        <w:rPr>
          <w:rFonts w:eastAsia="Times New Roman" w:cs="Times New Roman"/>
          <w:color w:val="000000" w:themeColor="text1"/>
          <w:szCs w:val="24"/>
        </w:rPr>
      </w:pPr>
      <w:r w:rsidRPr="00F6508F">
        <w:rPr>
          <w:rFonts w:eastAsia="Times New Roman" w:cs="Times New Roman"/>
          <w:color w:val="000000" w:themeColor="text1"/>
          <w:szCs w:val="24"/>
        </w:rPr>
        <w:lastRenderedPageBreak/>
        <w:t>Include</w:t>
      </w:r>
      <w:r w:rsidR="00B8520F" w:rsidRPr="00F6508F">
        <w:rPr>
          <w:rFonts w:eastAsia="Times New Roman" w:cs="Times New Roman"/>
          <w:color w:val="000000" w:themeColor="text1"/>
          <w:szCs w:val="24"/>
        </w:rPr>
        <w:t xml:space="preserve"> Energy Efficiency </w:t>
      </w:r>
      <w:r w:rsidRPr="00F6508F">
        <w:rPr>
          <w:rFonts w:eastAsia="Times New Roman" w:cs="Times New Roman"/>
          <w:color w:val="000000" w:themeColor="text1"/>
          <w:szCs w:val="24"/>
        </w:rPr>
        <w:t xml:space="preserve">and Demand Response </w:t>
      </w:r>
      <w:r w:rsidR="00B8520F" w:rsidRPr="00F6508F">
        <w:rPr>
          <w:rFonts w:eastAsia="Times New Roman" w:cs="Times New Roman"/>
          <w:color w:val="000000" w:themeColor="text1"/>
          <w:szCs w:val="24"/>
        </w:rPr>
        <w:t>as selectable resource</w:t>
      </w:r>
      <w:r w:rsidRPr="00F6508F">
        <w:rPr>
          <w:rFonts w:eastAsia="Times New Roman" w:cs="Times New Roman"/>
          <w:color w:val="000000" w:themeColor="text1"/>
          <w:szCs w:val="24"/>
        </w:rPr>
        <w:t>s</w:t>
      </w:r>
      <w:r w:rsidR="00B8520F" w:rsidRPr="00F6508F">
        <w:rPr>
          <w:rFonts w:eastAsia="Times New Roman" w:cs="Times New Roman"/>
          <w:color w:val="000000" w:themeColor="text1"/>
          <w:szCs w:val="24"/>
        </w:rPr>
        <w:t xml:space="preserve"> in </w:t>
      </w:r>
      <w:r w:rsidR="0036171B" w:rsidRPr="00F6508F">
        <w:rPr>
          <w:rFonts w:eastAsia="Times New Roman" w:cs="Times New Roman"/>
          <w:color w:val="000000" w:themeColor="text1"/>
          <w:szCs w:val="24"/>
        </w:rPr>
        <w:t xml:space="preserve">the </w:t>
      </w:r>
      <w:r w:rsidRPr="00F6508F">
        <w:rPr>
          <w:rFonts w:eastAsia="Times New Roman" w:cs="Times New Roman"/>
          <w:color w:val="000000" w:themeColor="text1"/>
          <w:szCs w:val="24"/>
        </w:rPr>
        <w:t xml:space="preserve">portfolio </w:t>
      </w:r>
      <w:r w:rsidR="0036171B" w:rsidRPr="00F6508F">
        <w:rPr>
          <w:rFonts w:eastAsia="Times New Roman" w:cs="Times New Roman"/>
          <w:color w:val="000000" w:themeColor="text1"/>
          <w:szCs w:val="24"/>
        </w:rPr>
        <w:t>modeling</w:t>
      </w:r>
      <w:r w:rsidRPr="00F6508F">
        <w:rPr>
          <w:rFonts w:eastAsia="Times New Roman" w:cs="Times New Roman"/>
          <w:color w:val="000000" w:themeColor="text1"/>
          <w:szCs w:val="24"/>
        </w:rPr>
        <w:t xml:space="preserve"> in the 2025 IRP</w:t>
      </w:r>
      <w:r w:rsidR="009F1F12" w:rsidRPr="00F6508F">
        <w:rPr>
          <w:rFonts w:eastAsia="Times New Roman" w:cs="Times New Roman"/>
          <w:color w:val="000000" w:themeColor="text1"/>
          <w:szCs w:val="24"/>
        </w:rPr>
        <w:t>;</w:t>
      </w:r>
      <w:r w:rsidR="00721AE5" w:rsidRPr="00F6508F">
        <w:rPr>
          <w:rFonts w:eastAsia="Times New Roman" w:cs="Times New Roman"/>
          <w:color w:val="000000" w:themeColor="text1"/>
          <w:szCs w:val="24"/>
        </w:rPr>
        <w:t xml:space="preserve"> and,</w:t>
      </w:r>
    </w:p>
    <w:p w14:paraId="5A3613FD" w14:textId="04E3BD50" w:rsidR="009F1F12" w:rsidRPr="00F6508F" w:rsidRDefault="009F1F12" w:rsidP="00074432">
      <w:pPr>
        <w:numPr>
          <w:ilvl w:val="1"/>
          <w:numId w:val="2"/>
        </w:numPr>
        <w:pBdr>
          <w:top w:val="nil"/>
          <w:left w:val="nil"/>
          <w:bottom w:val="nil"/>
          <w:right w:val="nil"/>
          <w:between w:val="nil"/>
        </w:pBdr>
        <w:spacing w:after="0"/>
        <w:jc w:val="both"/>
        <w:rPr>
          <w:rFonts w:eastAsia="Times New Roman" w:cs="Times New Roman"/>
          <w:color w:val="000000" w:themeColor="text1"/>
          <w:szCs w:val="24"/>
        </w:rPr>
      </w:pPr>
      <w:r w:rsidRPr="00F6508F">
        <w:rPr>
          <w:rFonts w:eastAsia="Times New Roman" w:cs="Times New Roman"/>
          <w:color w:val="000000" w:themeColor="text1"/>
          <w:szCs w:val="24"/>
        </w:rPr>
        <w:t>Adopt a more realistic “baseline” portfolio with respect to “Greenhouse Gas Pressure.”</w:t>
      </w:r>
    </w:p>
    <w:p w14:paraId="6B7A648C" w14:textId="3AE9E24C" w:rsidR="004F60DA" w:rsidRPr="00F6508F" w:rsidRDefault="00447F55" w:rsidP="001009D4">
      <w:pPr>
        <w:numPr>
          <w:ilvl w:val="0"/>
          <w:numId w:val="2"/>
        </w:numPr>
        <w:pBdr>
          <w:top w:val="nil"/>
          <w:left w:val="nil"/>
          <w:bottom w:val="nil"/>
          <w:right w:val="nil"/>
          <w:between w:val="nil"/>
        </w:pBdr>
        <w:spacing w:after="0"/>
        <w:jc w:val="both"/>
        <w:rPr>
          <w:rFonts w:eastAsia="Times New Roman" w:cs="Times New Roman"/>
          <w:color w:val="000000" w:themeColor="text1"/>
          <w:szCs w:val="24"/>
        </w:rPr>
      </w:pPr>
      <w:r w:rsidRPr="00F6508F">
        <w:rPr>
          <w:rFonts w:eastAsia="Times New Roman" w:cs="Times New Roman"/>
          <w:color w:val="000000" w:themeColor="text1"/>
          <w:szCs w:val="24"/>
        </w:rPr>
        <w:t>The Commission should require Georgia Power Company to increase its use of regional capacity sharing and reflect that in its next IRP.</w:t>
      </w:r>
    </w:p>
    <w:p w14:paraId="399B6336" w14:textId="77777777" w:rsidR="00167A98" w:rsidRPr="00F6508F" w:rsidRDefault="00167A98" w:rsidP="003A6CDA">
      <w:pPr>
        <w:pBdr>
          <w:top w:val="nil"/>
          <w:left w:val="nil"/>
          <w:bottom w:val="nil"/>
          <w:right w:val="nil"/>
          <w:between w:val="nil"/>
        </w:pBdr>
        <w:spacing w:after="0"/>
        <w:ind w:left="0"/>
        <w:jc w:val="both"/>
        <w:rPr>
          <w:rFonts w:eastAsia="Times New Roman" w:cs="Times New Roman"/>
          <w:color w:val="000000" w:themeColor="text1"/>
          <w:szCs w:val="24"/>
        </w:rPr>
      </w:pPr>
    </w:p>
    <w:p w14:paraId="12C19945" w14:textId="53F9045D" w:rsidR="00167A98" w:rsidRPr="00F6508F" w:rsidRDefault="00646C37" w:rsidP="003A6CDA">
      <w:pPr>
        <w:spacing w:after="0"/>
        <w:ind w:left="0"/>
        <w:jc w:val="both"/>
        <w:rPr>
          <w:rFonts w:eastAsia="Times New Roman" w:cs="Times New Roman"/>
          <w:color w:val="000000" w:themeColor="text1"/>
          <w:szCs w:val="24"/>
        </w:rPr>
      </w:pPr>
      <w:r w:rsidRPr="00F6508F">
        <w:rPr>
          <w:rFonts w:eastAsia="Times New Roman" w:cs="Times New Roman"/>
          <w:b/>
          <w:color w:val="000000" w:themeColor="text1"/>
          <w:szCs w:val="24"/>
        </w:rPr>
        <w:t>III</w:t>
      </w:r>
      <w:r w:rsidR="006D3B60" w:rsidRPr="00F6508F">
        <w:rPr>
          <w:rFonts w:eastAsia="Times New Roman" w:cs="Times New Roman"/>
          <w:b/>
          <w:color w:val="000000" w:themeColor="text1"/>
          <w:szCs w:val="24"/>
        </w:rPr>
        <w:t>.</w:t>
      </w:r>
      <w:r w:rsidR="006D3B60" w:rsidRPr="00F6508F">
        <w:rPr>
          <w:rFonts w:eastAsia="Times New Roman" w:cs="Times New Roman"/>
          <w:b/>
          <w:color w:val="000000" w:themeColor="text1"/>
          <w:szCs w:val="24"/>
        </w:rPr>
        <w:tab/>
      </w:r>
      <w:r w:rsidR="00710D3B">
        <w:rPr>
          <w:rFonts w:eastAsia="Times New Roman" w:cs="Times New Roman"/>
          <w:b/>
          <w:color w:val="000000" w:themeColor="text1"/>
          <w:szCs w:val="24"/>
        </w:rPr>
        <w:t>TESTIMONY</w:t>
      </w:r>
    </w:p>
    <w:p w14:paraId="6B7A648F" w14:textId="77777777" w:rsidR="004F60DA" w:rsidRPr="00F6508F" w:rsidRDefault="00447F55" w:rsidP="00646C37">
      <w:pPr>
        <w:keepNext/>
        <w:keepLines/>
        <w:pBdr>
          <w:top w:val="nil"/>
          <w:left w:val="nil"/>
          <w:bottom w:val="nil"/>
          <w:right w:val="nil"/>
          <w:between w:val="nil"/>
        </w:pBdr>
        <w:tabs>
          <w:tab w:val="left" w:pos="4320"/>
          <w:tab w:val="left" w:pos="6480"/>
          <w:tab w:val="left" w:pos="8639"/>
        </w:tabs>
        <w:spacing w:after="0"/>
        <w:ind w:hanging="720"/>
        <w:jc w:val="both"/>
        <w:rPr>
          <w:rFonts w:eastAsia="Times New Roman" w:cs="Times New Roman"/>
          <w:b/>
          <w:smallCaps/>
          <w:color w:val="000000" w:themeColor="text1"/>
          <w:szCs w:val="24"/>
        </w:rPr>
      </w:pPr>
      <w:r w:rsidRPr="00F6508F">
        <w:rPr>
          <w:rFonts w:eastAsia="Times New Roman" w:cs="Times New Roman"/>
          <w:b/>
          <w:smallCaps/>
          <w:color w:val="000000" w:themeColor="text1"/>
          <w:szCs w:val="24"/>
        </w:rPr>
        <w:t>Q:</w:t>
      </w:r>
      <w:r w:rsidRPr="00F6508F">
        <w:rPr>
          <w:rFonts w:eastAsia="Times New Roman" w:cs="Times New Roman"/>
          <w:b/>
          <w:smallCaps/>
          <w:color w:val="000000" w:themeColor="text1"/>
          <w:szCs w:val="24"/>
        </w:rPr>
        <w:tab/>
        <w:t>WHY IS A COMPETITIVE ACQUISITION POLICY IMPORTANT?</w:t>
      </w:r>
    </w:p>
    <w:p w14:paraId="69CB84C9" w14:textId="3B1F98CC" w:rsidR="009474B9" w:rsidRPr="00F6508F" w:rsidRDefault="00447F55" w:rsidP="006D3B60">
      <w:pPr>
        <w:pStyle w:val="Answer"/>
        <w:spacing w:before="0" w:after="0"/>
        <w:jc w:val="both"/>
        <w:rPr>
          <w:color w:val="000000" w:themeColor="text1"/>
        </w:rPr>
      </w:pPr>
      <w:r w:rsidRPr="00F6508F">
        <w:rPr>
          <w:color w:val="000000" w:themeColor="text1"/>
        </w:rPr>
        <w:t>A:</w:t>
      </w:r>
      <w:r w:rsidRPr="00F6508F">
        <w:rPr>
          <w:color w:val="000000" w:themeColor="text1"/>
        </w:rPr>
        <w:tab/>
        <w:t>Competitive acquisitions reveal the best resources at the best prices by depending on market competition, where buyers and sellers possess sufficient information to transact for their mutual and individual profit. Utility buyers and resource providers, armed with the best information about what they need and what they can provide, can use that information directly, and in competition that sharpens all their pencils</w:t>
      </w:r>
      <w:r w:rsidR="001811E7" w:rsidRPr="00F6508F">
        <w:rPr>
          <w:color w:val="000000" w:themeColor="text1"/>
        </w:rPr>
        <w:t xml:space="preserve">. </w:t>
      </w:r>
      <w:r w:rsidR="009474B9" w:rsidRPr="00F6508F">
        <w:rPr>
          <w:color w:val="000000" w:themeColor="text1"/>
        </w:rPr>
        <w:t>Closely related to competitive acquisition is the need for a planning process that allows least-cost resources to be lined up in a portfolio that is itself least-cost</w:t>
      </w:r>
      <w:r w:rsidR="005001F6">
        <w:rPr>
          <w:color w:val="000000" w:themeColor="text1"/>
        </w:rPr>
        <w:t>.</w:t>
      </w:r>
    </w:p>
    <w:p w14:paraId="6B7A6491" w14:textId="068049C0" w:rsidR="004F60DA" w:rsidRPr="00F6508F" w:rsidRDefault="00447F55" w:rsidP="006D3B60">
      <w:pPr>
        <w:spacing w:after="0"/>
        <w:jc w:val="both"/>
        <w:rPr>
          <w:color w:val="000000" w:themeColor="text1"/>
        </w:rPr>
      </w:pPr>
      <w:r w:rsidRPr="00F6508F">
        <w:rPr>
          <w:color w:val="000000" w:themeColor="text1"/>
        </w:rPr>
        <w:t xml:space="preserve">In the utility sector, where legal monopolies often limit buyers to one utility, competitive results depend, </w:t>
      </w:r>
      <w:r w:rsidR="00704C0E" w:rsidRPr="00F6508F">
        <w:rPr>
          <w:color w:val="000000" w:themeColor="text1"/>
        </w:rPr>
        <w:t>paradoxically</w:t>
      </w:r>
      <w:r w:rsidRPr="00F6508F">
        <w:rPr>
          <w:color w:val="000000" w:themeColor="text1"/>
        </w:rPr>
        <w:t xml:space="preserve">, on regulation that is robust enough to substitute for normal competitive market incentives. Even with this important constraint, recent experience in regulated utility competitive acquisition for generation resources shows that impressive results can be obtained in the form of good projects that meet utility needs at low costs to consumers. Again, competitive resource acquisitions through regulated utility planning and procurement gives substantial certainty about both available resources and their </w:t>
      </w:r>
      <w:r w:rsidRPr="00F6508F">
        <w:rPr>
          <w:color w:val="000000" w:themeColor="text1"/>
        </w:rPr>
        <w:lastRenderedPageBreak/>
        <w:t xml:space="preserve">costs. Knowledge garnered in competitive markets will </w:t>
      </w:r>
      <w:r w:rsidR="00704C0E" w:rsidRPr="00F6508F">
        <w:rPr>
          <w:color w:val="000000" w:themeColor="text1"/>
        </w:rPr>
        <w:t>be</w:t>
      </w:r>
      <w:r w:rsidRPr="00F6508F">
        <w:rPr>
          <w:color w:val="000000" w:themeColor="text1"/>
        </w:rPr>
        <w:t xml:space="preserve"> superior to finding prices and availability using either corporate analysis and decision making or regulatory oversight. In this case, markets know best. Absent market competition, the utility’s financial incentives may skew outcomes, commission oversight might lack the analytic tools, and staff time may be inadequate.</w:t>
      </w:r>
    </w:p>
    <w:p w14:paraId="6B7A6492" w14:textId="513CFFE4" w:rsidR="004F60DA" w:rsidRPr="00F6508F" w:rsidRDefault="00447F55" w:rsidP="006D3B60">
      <w:pPr>
        <w:spacing w:after="0"/>
        <w:jc w:val="both"/>
        <w:rPr>
          <w:color w:val="000000" w:themeColor="text1"/>
        </w:rPr>
      </w:pPr>
      <w:r w:rsidRPr="00F6508F">
        <w:rPr>
          <w:color w:val="000000" w:themeColor="text1"/>
        </w:rPr>
        <w:t xml:space="preserve">Colorado has developed a nationally recognized utility planning and procurement process that provides the model from which this testimony is developed. </w:t>
      </w:r>
      <w:bookmarkStart w:id="4" w:name="_Hlk102485768"/>
      <w:r w:rsidRPr="00F6508F">
        <w:rPr>
          <w:color w:val="000000" w:themeColor="text1"/>
        </w:rPr>
        <w:t xml:space="preserve">That model has been analyzed in detail in several recent reports, so those reports can be relied on to relate the </w:t>
      </w:r>
      <w:r w:rsidR="00071C05" w:rsidRPr="00F6508F">
        <w:rPr>
          <w:color w:val="000000" w:themeColor="text1"/>
        </w:rPr>
        <w:t>notable features</w:t>
      </w:r>
      <w:r w:rsidRPr="00F6508F">
        <w:rPr>
          <w:color w:val="000000" w:themeColor="text1"/>
        </w:rPr>
        <w:t>, timelines, and details of the model.</w:t>
      </w:r>
      <w:bookmarkEnd w:id="4"/>
      <w:r w:rsidRPr="00F6508F">
        <w:rPr>
          <w:color w:val="000000" w:themeColor="text1"/>
          <w:vertAlign w:val="superscript"/>
        </w:rPr>
        <w:footnoteReference w:id="3"/>
      </w:r>
      <w:r w:rsidRPr="00F6508F">
        <w:rPr>
          <w:color w:val="000000" w:themeColor="text1"/>
        </w:rPr>
        <w:t xml:space="preserve"> Those won’t be repeated in detail here. Instead, this testimony relates what I hope are useful lessons from experience with the Colorado model.</w:t>
      </w:r>
    </w:p>
    <w:p w14:paraId="6B7A6493" w14:textId="77777777" w:rsidR="004F60DA" w:rsidRPr="00F6508F" w:rsidRDefault="004F60DA" w:rsidP="003A6CDA">
      <w:pPr>
        <w:pBdr>
          <w:top w:val="nil"/>
          <w:left w:val="nil"/>
          <w:bottom w:val="nil"/>
          <w:right w:val="nil"/>
          <w:between w:val="nil"/>
        </w:pBdr>
        <w:spacing w:after="0"/>
        <w:ind w:left="0"/>
        <w:jc w:val="both"/>
        <w:rPr>
          <w:rFonts w:eastAsia="Times New Roman" w:cs="Times New Roman"/>
          <w:color w:val="000000" w:themeColor="text1"/>
          <w:szCs w:val="24"/>
        </w:rPr>
      </w:pPr>
    </w:p>
    <w:p w14:paraId="6B7A6495" w14:textId="1BC08AAE" w:rsidR="004F60DA" w:rsidRPr="00F6508F" w:rsidRDefault="00447F55" w:rsidP="004B47F4">
      <w:pPr>
        <w:keepNext/>
        <w:keepLines/>
        <w:pBdr>
          <w:top w:val="nil"/>
          <w:left w:val="nil"/>
          <w:bottom w:val="nil"/>
          <w:right w:val="nil"/>
          <w:between w:val="nil"/>
        </w:pBdr>
        <w:tabs>
          <w:tab w:val="left" w:pos="4320"/>
          <w:tab w:val="left" w:pos="6480"/>
          <w:tab w:val="left" w:pos="8639"/>
        </w:tabs>
        <w:spacing w:after="0"/>
        <w:ind w:hanging="720"/>
        <w:jc w:val="both"/>
        <w:rPr>
          <w:rFonts w:eastAsia="Times New Roman" w:cs="Times New Roman"/>
          <w:b/>
          <w:smallCaps/>
          <w:color w:val="000000" w:themeColor="text1"/>
          <w:szCs w:val="24"/>
        </w:rPr>
      </w:pPr>
      <w:r w:rsidRPr="00F6508F">
        <w:rPr>
          <w:rFonts w:eastAsia="Times New Roman" w:cs="Times New Roman"/>
          <w:b/>
          <w:smallCaps/>
          <w:color w:val="000000" w:themeColor="text1"/>
          <w:szCs w:val="24"/>
        </w:rPr>
        <w:t>Q:</w:t>
      </w:r>
      <w:r w:rsidRPr="00F6508F">
        <w:rPr>
          <w:rFonts w:eastAsia="Times New Roman" w:cs="Times New Roman"/>
          <w:b/>
          <w:smallCaps/>
          <w:color w:val="000000" w:themeColor="text1"/>
          <w:szCs w:val="24"/>
        </w:rPr>
        <w:tab/>
        <w:t>IS IT A GOOD REGULATORY PRACTICE TO HAVE AN EXPLICIT POLICY FOR COMPETITIVE RESOURCE ACQUISITION?</w:t>
      </w:r>
    </w:p>
    <w:p w14:paraId="6B7A6497" w14:textId="509EB023" w:rsidR="004F60DA" w:rsidRPr="00F6508F" w:rsidRDefault="00447F55" w:rsidP="00B95E96">
      <w:pPr>
        <w:pBdr>
          <w:top w:val="nil"/>
          <w:left w:val="nil"/>
          <w:bottom w:val="nil"/>
          <w:right w:val="nil"/>
          <w:between w:val="nil"/>
        </w:pBdr>
        <w:spacing w:after="0"/>
        <w:ind w:hanging="720"/>
        <w:jc w:val="both"/>
        <w:rPr>
          <w:rFonts w:eastAsia="Times New Roman" w:cs="Times New Roman"/>
          <w:color w:val="000000" w:themeColor="text1"/>
          <w:szCs w:val="24"/>
        </w:rPr>
      </w:pPr>
      <w:r w:rsidRPr="00F6508F">
        <w:rPr>
          <w:rFonts w:eastAsia="Times New Roman" w:cs="Times New Roman"/>
          <w:color w:val="000000" w:themeColor="text1"/>
          <w:szCs w:val="24"/>
        </w:rPr>
        <w:t xml:space="preserve">A: </w:t>
      </w:r>
      <w:r w:rsidRPr="00F6508F">
        <w:rPr>
          <w:rFonts w:eastAsia="Times New Roman" w:cs="Times New Roman"/>
          <w:color w:val="000000" w:themeColor="text1"/>
          <w:szCs w:val="24"/>
        </w:rPr>
        <w:tab/>
        <w:t>Yes. A clear statement that resources are to be obtained as a result of a competitive process informs everyone</w:t>
      </w:r>
      <w:r w:rsidR="00FF3E21">
        <w:rPr>
          <w:rFonts w:eastAsia="Times New Roman" w:cs="Times New Roman"/>
          <w:color w:val="000000" w:themeColor="text1"/>
          <w:szCs w:val="24"/>
        </w:rPr>
        <w:t xml:space="preserve"> –</w:t>
      </w:r>
      <w:r w:rsidRPr="00F6508F">
        <w:rPr>
          <w:rFonts w:eastAsia="Times New Roman" w:cs="Times New Roman"/>
          <w:color w:val="000000" w:themeColor="text1"/>
          <w:szCs w:val="24"/>
        </w:rPr>
        <w:t xml:space="preserve"> </w:t>
      </w:r>
      <w:r w:rsidR="00FF3E21">
        <w:rPr>
          <w:rFonts w:eastAsia="Times New Roman" w:cs="Times New Roman"/>
          <w:color w:val="000000" w:themeColor="text1"/>
          <w:szCs w:val="24"/>
        </w:rPr>
        <w:t>the C</w:t>
      </w:r>
      <w:r w:rsidRPr="00F6508F">
        <w:rPr>
          <w:rFonts w:eastAsia="Times New Roman" w:cs="Times New Roman"/>
          <w:color w:val="000000" w:themeColor="text1"/>
          <w:szCs w:val="24"/>
        </w:rPr>
        <w:t>ommission and staff, utilities, suppliers, and stakeholders</w:t>
      </w:r>
      <w:r w:rsidR="00691C5B">
        <w:rPr>
          <w:rFonts w:eastAsia="Times New Roman" w:cs="Times New Roman"/>
          <w:color w:val="000000" w:themeColor="text1"/>
          <w:szCs w:val="24"/>
        </w:rPr>
        <w:t>. A</w:t>
      </w:r>
      <w:r w:rsidRPr="00F6508F">
        <w:rPr>
          <w:rFonts w:eastAsia="Times New Roman" w:cs="Times New Roman"/>
          <w:color w:val="000000" w:themeColor="text1"/>
          <w:szCs w:val="24"/>
        </w:rPr>
        <w:t xml:space="preserve">bsent compelling reasons not to use it, competition is the means for acquiring </w:t>
      </w:r>
      <w:r w:rsidR="00071C05" w:rsidRPr="00F6508F">
        <w:rPr>
          <w:rFonts w:eastAsia="Times New Roman" w:cs="Times New Roman"/>
          <w:color w:val="000000" w:themeColor="text1"/>
          <w:szCs w:val="24"/>
        </w:rPr>
        <w:t>added resources</w:t>
      </w:r>
      <w:r w:rsidRPr="00F6508F">
        <w:rPr>
          <w:rFonts w:eastAsia="Times New Roman" w:cs="Times New Roman"/>
          <w:color w:val="000000" w:themeColor="text1"/>
          <w:szCs w:val="24"/>
        </w:rPr>
        <w:t>. The Colorado PUC’s Rules Regulating Electric Utilities state:</w:t>
      </w:r>
    </w:p>
    <w:p w14:paraId="6B7A6498" w14:textId="7167DABC" w:rsidR="004F60DA" w:rsidRPr="00F6508F" w:rsidRDefault="00447F55" w:rsidP="00360434">
      <w:pPr>
        <w:pBdr>
          <w:top w:val="nil"/>
          <w:left w:val="nil"/>
          <w:bottom w:val="nil"/>
          <w:right w:val="nil"/>
          <w:between w:val="nil"/>
        </w:pBdr>
        <w:spacing w:after="0"/>
        <w:ind w:left="1080" w:right="720"/>
        <w:jc w:val="both"/>
        <w:rPr>
          <w:rFonts w:eastAsia="Times New Roman" w:cs="Times New Roman"/>
          <w:iCs/>
          <w:color w:val="000000" w:themeColor="text1"/>
          <w:szCs w:val="24"/>
        </w:rPr>
      </w:pPr>
      <w:r w:rsidRPr="00F6508F">
        <w:rPr>
          <w:rFonts w:eastAsia="Times New Roman" w:cs="Times New Roman"/>
          <w:i/>
          <w:color w:val="000000" w:themeColor="text1"/>
          <w:szCs w:val="24"/>
        </w:rPr>
        <w:t xml:space="preserve">It is the Commission’s policy that a competitive acquisition process will normally be used to acquire new utility resources. The competitive bid process should afford all resources an opportunity to bid, and all new utility resources </w:t>
      </w:r>
      <w:r w:rsidRPr="00F6508F">
        <w:rPr>
          <w:rFonts w:eastAsia="Times New Roman" w:cs="Times New Roman"/>
          <w:i/>
          <w:color w:val="000000" w:themeColor="text1"/>
          <w:szCs w:val="24"/>
        </w:rPr>
        <w:lastRenderedPageBreak/>
        <w:t>will be compared in order to determine a cost-effective resource plan (i.e., an all-source solicitation)</w:t>
      </w:r>
      <w:r w:rsidRPr="00F6508F">
        <w:rPr>
          <w:rFonts w:eastAsia="Times New Roman" w:cs="Times New Roman"/>
          <w:iCs/>
          <w:color w:val="000000" w:themeColor="text1"/>
          <w:szCs w:val="24"/>
        </w:rPr>
        <w:t>.</w:t>
      </w:r>
      <w:r w:rsidRPr="00F6508F">
        <w:rPr>
          <w:rFonts w:eastAsia="Times New Roman" w:cs="Times New Roman"/>
          <w:iCs/>
          <w:color w:val="000000" w:themeColor="text1"/>
          <w:szCs w:val="24"/>
          <w:vertAlign w:val="superscript"/>
        </w:rPr>
        <w:footnoteReference w:id="4"/>
      </w:r>
    </w:p>
    <w:p w14:paraId="6B7A6499" w14:textId="77777777" w:rsidR="004F60DA" w:rsidRPr="00F6508F" w:rsidRDefault="004F60DA" w:rsidP="003A6CDA">
      <w:pPr>
        <w:keepNext/>
        <w:keepLines/>
        <w:pBdr>
          <w:top w:val="nil"/>
          <w:left w:val="nil"/>
          <w:bottom w:val="nil"/>
          <w:right w:val="nil"/>
          <w:between w:val="nil"/>
        </w:pBdr>
        <w:tabs>
          <w:tab w:val="left" w:pos="4320"/>
          <w:tab w:val="left" w:pos="6480"/>
          <w:tab w:val="left" w:pos="8639"/>
        </w:tabs>
        <w:spacing w:after="0"/>
        <w:ind w:left="0" w:hanging="720"/>
        <w:jc w:val="both"/>
        <w:rPr>
          <w:rFonts w:eastAsia="Times New Roman" w:cs="Times New Roman"/>
          <w:b/>
          <w:smallCaps/>
          <w:color w:val="000000" w:themeColor="text1"/>
          <w:szCs w:val="24"/>
        </w:rPr>
      </w:pPr>
    </w:p>
    <w:p w14:paraId="6B7A64BA" w14:textId="29520EEA" w:rsidR="004F60DA" w:rsidRPr="00F6508F" w:rsidRDefault="00447F55" w:rsidP="00360434">
      <w:pPr>
        <w:pStyle w:val="Question"/>
        <w:jc w:val="both"/>
        <w:rPr>
          <w:color w:val="000000" w:themeColor="text1"/>
        </w:rPr>
      </w:pPr>
      <w:r w:rsidRPr="00F6508F">
        <w:rPr>
          <w:color w:val="000000" w:themeColor="text1"/>
        </w:rPr>
        <w:t>Q:</w:t>
      </w:r>
      <w:r w:rsidRPr="00F6508F">
        <w:rPr>
          <w:color w:val="000000" w:themeColor="text1"/>
        </w:rPr>
        <w:tab/>
      </w:r>
      <w:r w:rsidR="000376BC" w:rsidRPr="00F6508F">
        <w:rPr>
          <w:color w:val="000000" w:themeColor="text1"/>
        </w:rPr>
        <w:t xml:space="preserve">Please describe the competitive acquisition </w:t>
      </w:r>
      <w:r w:rsidR="00F21585" w:rsidRPr="00F6508F">
        <w:rPr>
          <w:color w:val="000000" w:themeColor="text1"/>
        </w:rPr>
        <w:t>regime used in Colorado</w:t>
      </w:r>
      <w:r w:rsidR="00167A98" w:rsidRPr="00F6508F">
        <w:rPr>
          <w:color w:val="000000" w:themeColor="text1"/>
        </w:rPr>
        <w:t>.</w:t>
      </w:r>
    </w:p>
    <w:p w14:paraId="6B7A64BB" w14:textId="3BDBBF28" w:rsidR="004F60DA" w:rsidRPr="00F6508F" w:rsidRDefault="00F21585" w:rsidP="00360434">
      <w:pPr>
        <w:pStyle w:val="Answer"/>
        <w:spacing w:before="0" w:after="0"/>
        <w:jc w:val="both"/>
        <w:rPr>
          <w:color w:val="000000" w:themeColor="text1"/>
        </w:rPr>
      </w:pPr>
      <w:r w:rsidRPr="00F6508F">
        <w:rPr>
          <w:color w:val="000000" w:themeColor="text1"/>
        </w:rPr>
        <w:t>A:</w:t>
      </w:r>
      <w:r w:rsidRPr="00F6508F">
        <w:rPr>
          <w:color w:val="000000" w:themeColor="text1"/>
        </w:rPr>
        <w:tab/>
      </w:r>
      <w:r w:rsidR="00447F55" w:rsidRPr="00F6508F">
        <w:rPr>
          <w:color w:val="000000" w:themeColor="text1"/>
        </w:rPr>
        <w:t xml:space="preserve">Colorado </w:t>
      </w:r>
      <w:r w:rsidR="00C81B47" w:rsidRPr="00F6508F">
        <w:rPr>
          <w:color w:val="000000" w:themeColor="text1"/>
        </w:rPr>
        <w:t>uses</w:t>
      </w:r>
      <w:r w:rsidR="00447F55" w:rsidRPr="00F6508F">
        <w:rPr>
          <w:color w:val="000000" w:themeColor="text1"/>
        </w:rPr>
        <w:t xml:space="preserve"> an “all</w:t>
      </w:r>
      <w:r w:rsidR="00B66905">
        <w:rPr>
          <w:color w:val="000000" w:themeColor="text1"/>
        </w:rPr>
        <w:t>-</w:t>
      </w:r>
      <w:r w:rsidR="00447F55" w:rsidRPr="00F6508F">
        <w:rPr>
          <w:color w:val="000000" w:themeColor="text1"/>
        </w:rPr>
        <w:t xml:space="preserve">source” competitive acquisition regime. Bidding is open to all technologies and, very importantly, all sizes of projects. The state has been using all-source bidding since at least 2008. The process has been reformed over </w:t>
      </w:r>
      <w:r w:rsidRPr="00F6508F">
        <w:rPr>
          <w:color w:val="000000" w:themeColor="text1"/>
        </w:rPr>
        <w:t xml:space="preserve">the course of </w:t>
      </w:r>
      <w:r w:rsidR="00447F55" w:rsidRPr="00F6508F">
        <w:rPr>
          <w:color w:val="000000" w:themeColor="text1"/>
        </w:rPr>
        <w:t xml:space="preserve">its use, with the result that the utilities </w:t>
      </w:r>
      <w:r w:rsidRPr="00F6508F">
        <w:rPr>
          <w:color w:val="000000" w:themeColor="text1"/>
        </w:rPr>
        <w:t xml:space="preserve">now </w:t>
      </w:r>
      <w:r w:rsidR="00447F55" w:rsidRPr="00F6508F">
        <w:rPr>
          <w:color w:val="000000" w:themeColor="text1"/>
        </w:rPr>
        <w:t xml:space="preserve">receive a large number of bids, representing a more complete set of technologies, various ownership models, and a range of in-service dates. Best of all, Colorado’s competitive bidding regime has produced very low prices for a variety of generation technologies. </w:t>
      </w:r>
      <w:r w:rsidR="00E947E0" w:rsidRPr="00F6508F">
        <w:rPr>
          <w:color w:val="000000" w:themeColor="text1"/>
        </w:rPr>
        <w:t>I will present details in the next section of testimony.</w:t>
      </w:r>
    </w:p>
    <w:p w14:paraId="00AEA11E" w14:textId="62A803C1" w:rsidR="00B313C3" w:rsidRDefault="00447F55" w:rsidP="00B313C3">
      <w:pPr>
        <w:pBdr>
          <w:top w:val="nil"/>
          <w:left w:val="nil"/>
          <w:bottom w:val="nil"/>
          <w:right w:val="nil"/>
          <w:between w:val="nil"/>
        </w:pBdr>
        <w:spacing w:after="0"/>
        <w:jc w:val="both"/>
        <w:rPr>
          <w:rFonts w:eastAsia="Times New Roman" w:cs="Times New Roman"/>
          <w:b/>
          <w:bCs/>
          <w:color w:val="000000" w:themeColor="text1"/>
          <w:szCs w:val="24"/>
        </w:rPr>
      </w:pPr>
      <w:r w:rsidRPr="00F6508F">
        <w:rPr>
          <w:rFonts w:eastAsia="Times New Roman" w:cs="Times New Roman"/>
          <w:color w:val="000000" w:themeColor="text1"/>
          <w:szCs w:val="24"/>
        </w:rPr>
        <w:t>As an example, Table 1 provides a summary from XcelEnergy’s 2016 Colorado IRP.</w:t>
      </w:r>
      <w:r w:rsidRPr="00F6508F">
        <w:rPr>
          <w:rFonts w:eastAsia="Times New Roman" w:cs="Times New Roman"/>
          <w:color w:val="000000" w:themeColor="text1"/>
          <w:szCs w:val="24"/>
          <w:vertAlign w:val="superscript"/>
        </w:rPr>
        <w:footnoteReference w:id="5"/>
      </w:r>
      <w:r w:rsidRPr="00F6508F">
        <w:rPr>
          <w:rFonts w:eastAsia="Times New Roman" w:cs="Times New Roman"/>
          <w:color w:val="000000" w:themeColor="text1"/>
          <w:szCs w:val="24"/>
        </w:rPr>
        <w:t xml:space="preserve"> The prices listed in this table are the </w:t>
      </w:r>
      <w:r w:rsidRPr="00F6508F">
        <w:rPr>
          <w:rFonts w:eastAsia="Times New Roman" w:cs="Times New Roman"/>
          <w:i/>
          <w:iCs/>
          <w:color w:val="000000" w:themeColor="text1"/>
          <w:szCs w:val="24"/>
        </w:rPr>
        <w:t>MEDIAN</w:t>
      </w:r>
      <w:r w:rsidRPr="00F6508F">
        <w:rPr>
          <w:rFonts w:eastAsia="Times New Roman" w:cs="Times New Roman"/>
          <w:color w:val="000000" w:themeColor="text1"/>
          <w:szCs w:val="24"/>
        </w:rPr>
        <w:t xml:space="preserve"> price for the bids in each category. As we will see later, the eventual contracted prices were even lower than the median bids. These very low prices, especially for solar + storage, surprised many in the utility world and have become the expectation for bids in many states.</w:t>
      </w:r>
      <w:r w:rsidRPr="00F6508F">
        <w:rPr>
          <w:rFonts w:eastAsia="Times New Roman" w:cs="Times New Roman"/>
          <w:color w:val="000000" w:themeColor="text1"/>
          <w:szCs w:val="24"/>
          <w:vertAlign w:val="superscript"/>
        </w:rPr>
        <w:footnoteReference w:id="6"/>
      </w:r>
      <w:r w:rsidR="00082CCC">
        <w:rPr>
          <w:rFonts w:eastAsia="Times New Roman" w:cs="Times New Roman"/>
          <w:color w:val="000000" w:themeColor="text1"/>
          <w:szCs w:val="24"/>
        </w:rPr>
        <w:t xml:space="preserve"> </w:t>
      </w:r>
      <w:r w:rsidR="00B313C3">
        <w:rPr>
          <w:rFonts w:eastAsia="Times New Roman" w:cs="Times New Roman"/>
          <w:b/>
          <w:bCs/>
          <w:color w:val="000000" w:themeColor="text1"/>
          <w:szCs w:val="24"/>
        </w:rPr>
        <w:br w:type="page"/>
      </w:r>
    </w:p>
    <w:p w14:paraId="733246CF" w14:textId="3AF91530" w:rsidR="00E31E40" w:rsidRPr="00F6508F" w:rsidRDefault="00245A7E" w:rsidP="000903FE">
      <w:pPr>
        <w:pBdr>
          <w:top w:val="nil"/>
          <w:left w:val="nil"/>
          <w:bottom w:val="nil"/>
          <w:right w:val="nil"/>
          <w:between w:val="nil"/>
        </w:pBdr>
        <w:spacing w:after="0"/>
        <w:jc w:val="center"/>
        <w:rPr>
          <w:rFonts w:eastAsia="Times New Roman" w:cs="Times New Roman"/>
          <w:b/>
          <w:bCs/>
          <w:color w:val="000000" w:themeColor="text1"/>
          <w:szCs w:val="24"/>
        </w:rPr>
      </w:pPr>
      <w:r w:rsidRPr="00F6508F">
        <w:rPr>
          <w:rFonts w:eastAsia="Times New Roman" w:cs="Times New Roman"/>
          <w:b/>
          <w:bCs/>
          <w:color w:val="000000" w:themeColor="text1"/>
          <w:szCs w:val="24"/>
        </w:rPr>
        <w:lastRenderedPageBreak/>
        <w:t>Table 1. Median Prices in XcelColorado’s 2016 All-Source Solicitation</w:t>
      </w:r>
    </w:p>
    <w:p w14:paraId="27C0D578" w14:textId="68CA442E" w:rsidR="008A53C2" w:rsidRPr="00F6508F" w:rsidRDefault="008A53C2" w:rsidP="000903FE">
      <w:pPr>
        <w:pBdr>
          <w:top w:val="nil"/>
          <w:left w:val="nil"/>
          <w:bottom w:val="nil"/>
          <w:right w:val="nil"/>
          <w:between w:val="nil"/>
        </w:pBdr>
        <w:spacing w:after="0"/>
        <w:jc w:val="center"/>
        <w:rPr>
          <w:rFonts w:eastAsia="Times New Roman" w:cs="Times New Roman"/>
          <w:b/>
          <w:bCs/>
          <w:color w:val="000000" w:themeColor="text1"/>
          <w:szCs w:val="24"/>
        </w:rPr>
      </w:pPr>
      <w:r w:rsidRPr="00F6508F">
        <w:rPr>
          <w:rFonts w:eastAsia="Times New Roman" w:cs="Times New Roman"/>
          <w:b/>
          <w:bCs/>
          <w:noProof/>
          <w:color w:val="000000" w:themeColor="text1"/>
          <w:szCs w:val="24"/>
        </w:rPr>
        <w:drawing>
          <wp:inline distT="0" distB="0" distL="0" distR="0" wp14:anchorId="32A69459" wp14:editId="7C7EB9E9">
            <wp:extent cx="5337776" cy="3204376"/>
            <wp:effectExtent l="0" t="0" r="0" b="0"/>
            <wp:docPr id="6" name="Picture 6"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Table&#10;&#10;Description automatically generated"/>
                    <pic:cNvPicPr/>
                  </pic:nvPicPr>
                  <pic:blipFill>
                    <a:blip r:embed="rId8"/>
                    <a:stretch>
                      <a:fillRect/>
                    </a:stretch>
                  </pic:blipFill>
                  <pic:spPr>
                    <a:xfrm>
                      <a:off x="0" y="0"/>
                      <a:ext cx="5360784" cy="3218188"/>
                    </a:xfrm>
                    <a:prstGeom prst="rect">
                      <a:avLst/>
                    </a:prstGeom>
                  </pic:spPr>
                </pic:pic>
              </a:graphicData>
            </a:graphic>
          </wp:inline>
        </w:drawing>
      </w:r>
    </w:p>
    <w:p w14:paraId="34B37611" w14:textId="77777777" w:rsidR="008F6A42" w:rsidRPr="00F6508F" w:rsidRDefault="008F6A42" w:rsidP="00BB6E23">
      <w:pPr>
        <w:pBdr>
          <w:top w:val="nil"/>
          <w:left w:val="nil"/>
          <w:bottom w:val="nil"/>
          <w:right w:val="nil"/>
          <w:between w:val="nil"/>
        </w:pBdr>
        <w:spacing w:after="0"/>
        <w:ind w:left="0"/>
        <w:rPr>
          <w:rFonts w:eastAsia="Times New Roman" w:cs="Times New Roman"/>
          <w:b/>
          <w:bCs/>
          <w:color w:val="000000" w:themeColor="text1"/>
          <w:szCs w:val="24"/>
        </w:rPr>
      </w:pPr>
    </w:p>
    <w:p w14:paraId="68B2E0B9" w14:textId="71FDCF44" w:rsidR="006F17A3" w:rsidRPr="00F6508F" w:rsidRDefault="006F17A3" w:rsidP="006F17A3">
      <w:pPr>
        <w:pBdr>
          <w:top w:val="nil"/>
          <w:left w:val="nil"/>
          <w:bottom w:val="nil"/>
          <w:right w:val="nil"/>
          <w:between w:val="nil"/>
        </w:pBdr>
        <w:spacing w:after="0"/>
        <w:ind w:hanging="720"/>
        <w:jc w:val="both"/>
        <w:rPr>
          <w:b/>
          <w:bCs/>
          <w:smallCaps/>
          <w:color w:val="000000" w:themeColor="text1"/>
        </w:rPr>
      </w:pPr>
      <w:r w:rsidRPr="00F6508F">
        <w:rPr>
          <w:color w:val="000000" w:themeColor="text1"/>
        </w:rPr>
        <w:t>Q:</w:t>
      </w:r>
      <w:r w:rsidRPr="00F6508F">
        <w:rPr>
          <w:color w:val="000000" w:themeColor="text1"/>
        </w:rPr>
        <w:tab/>
      </w:r>
      <w:r w:rsidR="002A3FC0" w:rsidRPr="00F6508F">
        <w:rPr>
          <w:b/>
          <w:bCs/>
          <w:smallCaps/>
          <w:color w:val="000000" w:themeColor="text1"/>
        </w:rPr>
        <w:t>HOW DOES ALL</w:t>
      </w:r>
      <w:r w:rsidR="009D14F6">
        <w:rPr>
          <w:b/>
          <w:bCs/>
          <w:smallCaps/>
          <w:color w:val="000000" w:themeColor="text1"/>
        </w:rPr>
        <w:t>-</w:t>
      </w:r>
      <w:r w:rsidR="002A3FC0" w:rsidRPr="00F6508F">
        <w:rPr>
          <w:b/>
          <w:bCs/>
          <w:smallCaps/>
          <w:color w:val="000000" w:themeColor="text1"/>
        </w:rPr>
        <w:t>SOURCE COMPETITIVE ACQUISITION COMPARE TO THE SYSTEM USED BY GEORGIA POWER?</w:t>
      </w:r>
    </w:p>
    <w:p w14:paraId="007EA7B0" w14:textId="651CA398" w:rsidR="008F6A42" w:rsidRDefault="00E6268E" w:rsidP="00E94950">
      <w:pPr>
        <w:pBdr>
          <w:top w:val="nil"/>
          <w:left w:val="nil"/>
          <w:bottom w:val="nil"/>
          <w:right w:val="nil"/>
          <w:between w:val="nil"/>
        </w:pBdr>
        <w:spacing w:after="0"/>
        <w:ind w:hanging="720"/>
        <w:jc w:val="both"/>
        <w:rPr>
          <w:color w:val="000000" w:themeColor="text1"/>
        </w:rPr>
      </w:pPr>
      <w:r w:rsidRPr="00F6508F">
        <w:rPr>
          <w:bCs/>
          <w:smallCaps/>
          <w:color w:val="000000" w:themeColor="text1"/>
        </w:rPr>
        <w:t>A:</w:t>
      </w:r>
      <w:r w:rsidRPr="00F6508F">
        <w:rPr>
          <w:bCs/>
          <w:smallCaps/>
          <w:color w:val="000000" w:themeColor="text1"/>
        </w:rPr>
        <w:tab/>
      </w:r>
      <w:r w:rsidR="000376BC" w:rsidRPr="00F6508F">
        <w:rPr>
          <w:color w:val="000000" w:themeColor="text1"/>
        </w:rPr>
        <w:t>Georgia Power conducted separate competitive bids for capacity and renewable resources</w:t>
      </w:r>
      <w:r w:rsidR="001811E7" w:rsidRPr="00F6508F">
        <w:rPr>
          <w:color w:val="000000" w:themeColor="text1"/>
        </w:rPr>
        <w:t xml:space="preserve">. </w:t>
      </w:r>
      <w:r w:rsidR="000376BC" w:rsidRPr="00F6508F">
        <w:rPr>
          <w:color w:val="000000" w:themeColor="text1"/>
        </w:rPr>
        <w:t xml:space="preserve">Significantly, the company sets a target (limit) </w:t>
      </w:r>
      <w:r w:rsidR="00F21585" w:rsidRPr="00F6508F">
        <w:rPr>
          <w:color w:val="000000" w:themeColor="text1"/>
        </w:rPr>
        <w:t>on</w:t>
      </w:r>
      <w:r w:rsidR="000376BC" w:rsidRPr="00F6508F">
        <w:rPr>
          <w:color w:val="000000" w:themeColor="text1"/>
        </w:rPr>
        <w:t xml:space="preserve"> the amount of renewable energy required</w:t>
      </w:r>
      <w:r w:rsidR="001811E7" w:rsidRPr="00F6508F">
        <w:rPr>
          <w:color w:val="000000" w:themeColor="text1"/>
        </w:rPr>
        <w:t xml:space="preserve">. </w:t>
      </w:r>
      <w:r w:rsidR="000376BC" w:rsidRPr="00F6508F">
        <w:rPr>
          <w:color w:val="000000" w:themeColor="text1"/>
        </w:rPr>
        <w:t>The company acquires</w:t>
      </w:r>
      <w:r w:rsidRPr="00F6508F">
        <w:rPr>
          <w:color w:val="000000" w:themeColor="text1"/>
        </w:rPr>
        <w:t xml:space="preserve"> </w:t>
      </w:r>
      <w:r w:rsidR="003875E5">
        <w:rPr>
          <w:color w:val="000000" w:themeColor="text1"/>
        </w:rPr>
        <w:t>demand-side management (“</w:t>
      </w:r>
      <w:r w:rsidR="000376BC" w:rsidRPr="00F6508F">
        <w:rPr>
          <w:color w:val="000000" w:themeColor="text1"/>
        </w:rPr>
        <w:t>DSM</w:t>
      </w:r>
      <w:r w:rsidR="003875E5">
        <w:rPr>
          <w:color w:val="000000" w:themeColor="text1"/>
        </w:rPr>
        <w:t>”)</w:t>
      </w:r>
      <w:r w:rsidR="000376BC" w:rsidRPr="00F6508F">
        <w:rPr>
          <w:color w:val="000000" w:themeColor="text1"/>
        </w:rPr>
        <w:t xml:space="preserve"> and demand response</w:t>
      </w:r>
      <w:r w:rsidR="003875E5">
        <w:rPr>
          <w:color w:val="000000" w:themeColor="text1"/>
        </w:rPr>
        <w:t xml:space="preserve"> (“DR”) resources</w:t>
      </w:r>
      <w:r w:rsidR="000376BC" w:rsidRPr="00F6508F">
        <w:rPr>
          <w:color w:val="000000" w:themeColor="text1"/>
        </w:rPr>
        <w:t xml:space="preserve"> through a separate process</w:t>
      </w:r>
      <w:r w:rsidR="001811E7" w:rsidRPr="00F6508F">
        <w:rPr>
          <w:color w:val="000000" w:themeColor="text1"/>
        </w:rPr>
        <w:t xml:space="preserve">. </w:t>
      </w:r>
      <w:r w:rsidR="000376BC" w:rsidRPr="00F6508F">
        <w:rPr>
          <w:color w:val="000000" w:themeColor="text1"/>
        </w:rPr>
        <w:t xml:space="preserve">It is unknown at this point, but we might surmise that the company will conduct a separate process when </w:t>
      </w:r>
      <w:r w:rsidR="00F21585" w:rsidRPr="00F6508F">
        <w:rPr>
          <w:color w:val="000000" w:themeColor="text1"/>
        </w:rPr>
        <w:t>standalone</w:t>
      </w:r>
      <w:r w:rsidR="000376BC" w:rsidRPr="00F6508F">
        <w:rPr>
          <w:color w:val="000000" w:themeColor="text1"/>
        </w:rPr>
        <w:t xml:space="preserve"> storage is acquired</w:t>
      </w:r>
      <w:r w:rsidR="001811E7" w:rsidRPr="00F6508F">
        <w:rPr>
          <w:color w:val="000000" w:themeColor="text1"/>
        </w:rPr>
        <w:t xml:space="preserve">. </w:t>
      </w:r>
      <w:r w:rsidR="000376BC" w:rsidRPr="00F6508F">
        <w:rPr>
          <w:color w:val="000000" w:themeColor="text1"/>
        </w:rPr>
        <w:t>The term</w:t>
      </w:r>
      <w:r w:rsidR="00876EB8" w:rsidRPr="00F6508F">
        <w:rPr>
          <w:color w:val="000000" w:themeColor="text1"/>
        </w:rPr>
        <w:t xml:space="preserve"> “</w:t>
      </w:r>
      <w:r w:rsidR="000376BC" w:rsidRPr="00F6508F">
        <w:rPr>
          <w:color w:val="000000" w:themeColor="text1"/>
        </w:rPr>
        <w:t>limited</w:t>
      </w:r>
      <w:r w:rsidR="00D07E7A">
        <w:rPr>
          <w:color w:val="000000" w:themeColor="text1"/>
        </w:rPr>
        <w:t>-</w:t>
      </w:r>
      <w:r w:rsidR="000376BC" w:rsidRPr="00F6508F">
        <w:rPr>
          <w:color w:val="000000" w:themeColor="text1"/>
        </w:rPr>
        <w:t>source resource acquisition</w:t>
      </w:r>
      <w:r w:rsidR="00F21585" w:rsidRPr="00F6508F">
        <w:rPr>
          <w:color w:val="000000" w:themeColor="text1"/>
        </w:rPr>
        <w:t>”</w:t>
      </w:r>
      <w:r w:rsidR="00876EB8" w:rsidRPr="00F6508F">
        <w:rPr>
          <w:color w:val="000000" w:themeColor="text1"/>
        </w:rPr>
        <w:t xml:space="preserve"> </w:t>
      </w:r>
      <w:r w:rsidR="000376BC" w:rsidRPr="00F6508F">
        <w:rPr>
          <w:color w:val="000000" w:themeColor="text1"/>
        </w:rPr>
        <w:t>is applied to this practice</w:t>
      </w:r>
      <w:r w:rsidR="001811E7" w:rsidRPr="00F6508F">
        <w:rPr>
          <w:color w:val="000000" w:themeColor="text1"/>
        </w:rPr>
        <w:t xml:space="preserve">. </w:t>
      </w:r>
      <w:r w:rsidR="000376BC" w:rsidRPr="00F6508F">
        <w:rPr>
          <w:color w:val="000000" w:themeColor="text1"/>
        </w:rPr>
        <w:t>In contrast, all-source bidding accommodates all supply technologies and, in some cases, both supply-side and demand-side resources</w:t>
      </w:r>
      <w:r w:rsidR="001811E7" w:rsidRPr="00F6508F">
        <w:rPr>
          <w:color w:val="000000" w:themeColor="text1"/>
        </w:rPr>
        <w:t xml:space="preserve">. </w:t>
      </w:r>
      <w:r w:rsidR="00D85CAB">
        <w:rPr>
          <w:color w:val="000000" w:themeColor="text1"/>
        </w:rPr>
        <w:t>Figure 1, below</w:t>
      </w:r>
      <w:r w:rsidR="000376BC" w:rsidRPr="00F6508F">
        <w:rPr>
          <w:color w:val="000000" w:themeColor="text1"/>
        </w:rPr>
        <w:t xml:space="preserve">, from a </w:t>
      </w:r>
      <w:r w:rsidR="00876EB8" w:rsidRPr="00F6508F">
        <w:rPr>
          <w:color w:val="000000" w:themeColor="text1"/>
        </w:rPr>
        <w:t xml:space="preserve">2021 </w:t>
      </w:r>
      <w:r w:rsidR="000376BC" w:rsidRPr="00F6508F">
        <w:rPr>
          <w:color w:val="000000" w:themeColor="text1"/>
        </w:rPr>
        <w:t xml:space="preserve">report </w:t>
      </w:r>
      <w:r w:rsidR="000376BC" w:rsidRPr="00F6508F">
        <w:rPr>
          <w:color w:val="000000" w:themeColor="text1"/>
        </w:rPr>
        <w:lastRenderedPageBreak/>
        <w:t>produced for the</w:t>
      </w:r>
      <w:r w:rsidR="00F21585" w:rsidRPr="00F6508F">
        <w:rPr>
          <w:color w:val="000000" w:themeColor="text1"/>
        </w:rPr>
        <w:t xml:space="preserve"> U.S.</w:t>
      </w:r>
      <w:r w:rsidR="000376BC" w:rsidRPr="00F6508F">
        <w:rPr>
          <w:color w:val="000000" w:themeColor="text1"/>
        </w:rPr>
        <w:t xml:space="preserve"> </w:t>
      </w:r>
      <w:r w:rsidR="00F21585" w:rsidRPr="00F6508F">
        <w:rPr>
          <w:color w:val="000000" w:themeColor="text1"/>
        </w:rPr>
        <w:t>Department of Energy</w:t>
      </w:r>
      <w:r w:rsidR="000376BC" w:rsidRPr="00F6508F">
        <w:rPr>
          <w:color w:val="000000" w:themeColor="text1"/>
        </w:rPr>
        <w:t xml:space="preserve"> by researchers at </w:t>
      </w:r>
      <w:r w:rsidR="00F21585" w:rsidRPr="00F6508F">
        <w:rPr>
          <w:color w:val="000000" w:themeColor="text1"/>
        </w:rPr>
        <w:t>Lawrence Berkeley National Laboratory</w:t>
      </w:r>
      <w:r w:rsidR="004D486C">
        <w:rPr>
          <w:color w:val="000000" w:themeColor="text1"/>
        </w:rPr>
        <w:t>,</w:t>
      </w:r>
      <w:r w:rsidR="00C81B47" w:rsidRPr="00F6508F">
        <w:rPr>
          <w:color w:val="000000" w:themeColor="text1"/>
        </w:rPr>
        <w:t xml:space="preserve"> </w:t>
      </w:r>
      <w:r w:rsidR="000376BC" w:rsidRPr="00F6508F">
        <w:rPr>
          <w:color w:val="000000" w:themeColor="text1"/>
        </w:rPr>
        <w:t>illustrates the differences in these two approaches.</w:t>
      </w:r>
      <w:r w:rsidR="00C81B47" w:rsidRPr="00F6508F">
        <w:rPr>
          <w:rStyle w:val="FootnoteReference"/>
          <w:caps/>
          <w:color w:val="000000" w:themeColor="text1"/>
        </w:rPr>
        <w:footnoteReference w:id="7"/>
      </w:r>
    </w:p>
    <w:p w14:paraId="30718E2E" w14:textId="77777777" w:rsidR="000A747F" w:rsidRPr="00F6508F" w:rsidRDefault="000A747F" w:rsidP="00E94950">
      <w:pPr>
        <w:pBdr>
          <w:top w:val="nil"/>
          <w:left w:val="nil"/>
          <w:bottom w:val="nil"/>
          <w:right w:val="nil"/>
          <w:between w:val="nil"/>
        </w:pBdr>
        <w:spacing w:after="0"/>
        <w:ind w:hanging="720"/>
        <w:jc w:val="both"/>
        <w:rPr>
          <w:color w:val="000000" w:themeColor="text1"/>
        </w:rPr>
      </w:pPr>
    </w:p>
    <w:p w14:paraId="50537A79" w14:textId="5835A72C" w:rsidR="000903FE" w:rsidRPr="000A747F" w:rsidRDefault="00924BEF" w:rsidP="000A747F">
      <w:pPr>
        <w:spacing w:after="0"/>
        <w:jc w:val="center"/>
        <w:rPr>
          <w:b/>
          <w:bCs/>
          <w:color w:val="000000" w:themeColor="text1"/>
        </w:rPr>
      </w:pPr>
      <w:r w:rsidRPr="000A747F">
        <w:rPr>
          <w:b/>
          <w:bCs/>
          <w:color w:val="000000" w:themeColor="text1"/>
        </w:rPr>
        <w:t xml:space="preserve">Figure 1. </w:t>
      </w:r>
      <w:r w:rsidR="000A747F" w:rsidRPr="000A747F">
        <w:rPr>
          <w:b/>
          <w:bCs/>
          <w:color w:val="000000" w:themeColor="text1"/>
        </w:rPr>
        <w:t>All Source versus Limited Source Procurement</w:t>
      </w:r>
    </w:p>
    <w:p w14:paraId="1965F2E4" w14:textId="29533693" w:rsidR="000903FE" w:rsidRDefault="00924BEF" w:rsidP="00924BEF">
      <w:pPr>
        <w:spacing w:after="0"/>
        <w:jc w:val="center"/>
        <w:rPr>
          <w:color w:val="000000" w:themeColor="text1"/>
        </w:rPr>
      </w:pPr>
      <w:r w:rsidRPr="00C81B47">
        <w:rPr>
          <w:noProof/>
        </w:rPr>
        <w:drawing>
          <wp:inline distT="0" distB="0" distL="0" distR="0" wp14:anchorId="78616277" wp14:editId="73D857BC">
            <wp:extent cx="5478202" cy="2047875"/>
            <wp:effectExtent l="19050" t="19050" r="8255" b="0"/>
            <wp:docPr id="14" name="Picture 14" descr="Diagram,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Diagram, text&#10;&#10;Description automatically generated"/>
                    <pic:cNvPicPr/>
                  </pic:nvPicPr>
                  <pic:blipFill rotWithShape="1">
                    <a:blip r:embed="rId9">
                      <a:extLst>
                        <a:ext uri="{28A0092B-C50C-407E-A947-70E740481C1C}">
                          <a14:useLocalDpi xmlns:a14="http://schemas.microsoft.com/office/drawing/2010/main" val="0"/>
                        </a:ext>
                      </a:extLst>
                    </a:blip>
                    <a:srcRect t="17480"/>
                    <a:stretch/>
                  </pic:blipFill>
                  <pic:spPr bwMode="auto">
                    <a:xfrm>
                      <a:off x="0" y="0"/>
                      <a:ext cx="5523410" cy="2064775"/>
                    </a:xfrm>
                    <a:prstGeom prst="rect">
                      <a:avLst/>
                    </a:prstGeom>
                    <a:ln w="12700" cap="flat" cmpd="sng" algn="ctr">
                      <a:solidFill>
                        <a:srgbClr val="4472C4"/>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3DCD6B83" w14:textId="77777777" w:rsidR="000903FE" w:rsidRDefault="000903FE" w:rsidP="00E94950">
      <w:pPr>
        <w:spacing w:after="0"/>
        <w:jc w:val="both"/>
        <w:rPr>
          <w:color w:val="000000" w:themeColor="text1"/>
        </w:rPr>
      </w:pPr>
    </w:p>
    <w:p w14:paraId="6B7A64E0" w14:textId="55740D3E" w:rsidR="004F60DA" w:rsidRPr="00F6508F" w:rsidRDefault="00763B78" w:rsidP="00E94950">
      <w:pPr>
        <w:spacing w:after="0"/>
        <w:jc w:val="both"/>
        <w:rPr>
          <w:color w:val="000000" w:themeColor="text1"/>
        </w:rPr>
      </w:pPr>
      <w:r w:rsidRPr="00F6508F">
        <w:rPr>
          <w:color w:val="000000" w:themeColor="text1"/>
        </w:rPr>
        <w:t>Far preferable would be for Georgia Power to conduct “all</w:t>
      </w:r>
      <w:r w:rsidR="003C7D50">
        <w:rPr>
          <w:color w:val="000000" w:themeColor="text1"/>
        </w:rPr>
        <w:t>-</w:t>
      </w:r>
      <w:r w:rsidRPr="00F6508F">
        <w:rPr>
          <w:color w:val="000000" w:themeColor="text1"/>
        </w:rPr>
        <w:t>source” bidding, a practice used by progressively more vertically integrated U.S. utilities. Roughly, this is a “bottom</w:t>
      </w:r>
      <w:r w:rsidR="003C7D50">
        <w:rPr>
          <w:color w:val="000000" w:themeColor="text1"/>
        </w:rPr>
        <w:t>-</w:t>
      </w:r>
      <w:r w:rsidRPr="00F6508F">
        <w:rPr>
          <w:color w:val="000000" w:themeColor="text1"/>
        </w:rPr>
        <w:t xml:space="preserve">up” approach to assembling a portfolio, compared to the “top-down” methods employed by Georgia Power. With its rich solar resources, </w:t>
      </w:r>
      <w:r w:rsidR="000376BC" w:rsidRPr="00F6508F">
        <w:rPr>
          <w:color w:val="000000" w:themeColor="text1"/>
        </w:rPr>
        <w:t xml:space="preserve">there are strong reasons that Georgia </w:t>
      </w:r>
      <w:r w:rsidRPr="00F6508F">
        <w:rPr>
          <w:color w:val="000000" w:themeColor="text1"/>
        </w:rPr>
        <w:t xml:space="preserve">regulators </w:t>
      </w:r>
      <w:r w:rsidR="000376BC" w:rsidRPr="00F6508F">
        <w:rPr>
          <w:color w:val="000000" w:themeColor="text1"/>
        </w:rPr>
        <w:t xml:space="preserve">should require </w:t>
      </w:r>
      <w:r w:rsidRPr="00F6508F">
        <w:rPr>
          <w:color w:val="000000" w:themeColor="text1"/>
        </w:rPr>
        <w:t>the state’s</w:t>
      </w:r>
      <w:r w:rsidR="000376BC" w:rsidRPr="00F6508F">
        <w:rPr>
          <w:color w:val="000000" w:themeColor="text1"/>
        </w:rPr>
        <w:t xml:space="preserve"> utilities to use all-source solicitation.</w:t>
      </w:r>
      <w:r w:rsidR="00EF3DB6" w:rsidRPr="00F6508F">
        <w:rPr>
          <w:rStyle w:val="FootnoteReference"/>
          <w:color w:val="000000" w:themeColor="text1"/>
        </w:rPr>
        <w:footnoteReference w:id="8"/>
      </w:r>
    </w:p>
    <w:p w14:paraId="7C9E11F6" w14:textId="77777777" w:rsidR="00E94950" w:rsidRPr="00F6508F" w:rsidRDefault="00E94950" w:rsidP="00E94950">
      <w:pPr>
        <w:spacing w:after="0"/>
        <w:jc w:val="both"/>
        <w:rPr>
          <w:color w:val="000000" w:themeColor="text1"/>
        </w:rPr>
      </w:pPr>
    </w:p>
    <w:p w14:paraId="6B7A64E1" w14:textId="03CD790E" w:rsidR="004F60DA" w:rsidRPr="00F6508F" w:rsidRDefault="00447F55" w:rsidP="00E94950">
      <w:pPr>
        <w:keepNext/>
        <w:keepLines/>
        <w:pBdr>
          <w:top w:val="nil"/>
          <w:left w:val="nil"/>
          <w:bottom w:val="nil"/>
          <w:right w:val="nil"/>
          <w:between w:val="nil"/>
        </w:pBdr>
        <w:tabs>
          <w:tab w:val="left" w:pos="4320"/>
          <w:tab w:val="left" w:pos="6480"/>
          <w:tab w:val="left" w:pos="8639"/>
        </w:tabs>
        <w:spacing w:after="0"/>
        <w:ind w:hanging="720"/>
        <w:jc w:val="both"/>
        <w:rPr>
          <w:rFonts w:eastAsia="Times New Roman" w:cs="Times New Roman"/>
          <w:b/>
          <w:smallCaps/>
          <w:color w:val="000000" w:themeColor="text1"/>
          <w:szCs w:val="24"/>
        </w:rPr>
      </w:pPr>
      <w:r w:rsidRPr="00F6508F">
        <w:rPr>
          <w:rFonts w:eastAsia="Times New Roman" w:cs="Times New Roman"/>
          <w:b/>
          <w:smallCaps/>
          <w:color w:val="000000" w:themeColor="text1"/>
          <w:szCs w:val="24"/>
        </w:rPr>
        <w:lastRenderedPageBreak/>
        <w:t>Q:</w:t>
      </w:r>
      <w:r w:rsidRPr="00F6508F">
        <w:rPr>
          <w:rFonts w:eastAsia="Times New Roman" w:cs="Times New Roman"/>
          <w:b/>
          <w:smallCaps/>
          <w:color w:val="000000" w:themeColor="text1"/>
          <w:szCs w:val="24"/>
        </w:rPr>
        <w:tab/>
        <w:t xml:space="preserve">PLEASE DISCUSS </w:t>
      </w:r>
      <w:r w:rsidR="009161F4">
        <w:rPr>
          <w:rFonts w:eastAsia="Times New Roman" w:cs="Times New Roman"/>
          <w:b/>
          <w:smallCaps/>
          <w:color w:val="000000" w:themeColor="text1"/>
          <w:szCs w:val="24"/>
        </w:rPr>
        <w:t>GEORGIA POWER’S</w:t>
      </w:r>
      <w:r w:rsidRPr="00F6508F">
        <w:rPr>
          <w:rFonts w:eastAsia="Times New Roman" w:cs="Times New Roman"/>
          <w:b/>
          <w:smallCaps/>
          <w:color w:val="000000" w:themeColor="text1"/>
          <w:szCs w:val="24"/>
        </w:rPr>
        <w:t xml:space="preserve"> </w:t>
      </w:r>
      <w:r w:rsidR="009161F4">
        <w:rPr>
          <w:rFonts w:eastAsia="Times New Roman" w:cs="Times New Roman"/>
          <w:b/>
          <w:smallCaps/>
          <w:color w:val="000000" w:themeColor="text1"/>
          <w:szCs w:val="24"/>
        </w:rPr>
        <w:t xml:space="preserve">2022 </w:t>
      </w:r>
      <w:r w:rsidRPr="00F6508F">
        <w:rPr>
          <w:rFonts w:eastAsia="Times New Roman" w:cs="Times New Roman"/>
          <w:b/>
          <w:smallCaps/>
          <w:color w:val="000000" w:themeColor="text1"/>
          <w:szCs w:val="24"/>
        </w:rPr>
        <w:t>IRP IN LIGHT OF YOUR EXPERIENCE AND FINDINGS.</w:t>
      </w:r>
    </w:p>
    <w:p w14:paraId="6B7A64E2" w14:textId="014001D0" w:rsidR="004F60DA" w:rsidRPr="00F6508F" w:rsidRDefault="00447F55" w:rsidP="00E94950">
      <w:pPr>
        <w:pBdr>
          <w:top w:val="nil"/>
          <w:left w:val="nil"/>
          <w:bottom w:val="nil"/>
          <w:right w:val="nil"/>
          <w:between w:val="nil"/>
        </w:pBdr>
        <w:spacing w:after="0"/>
        <w:ind w:hanging="720"/>
        <w:jc w:val="both"/>
        <w:rPr>
          <w:rFonts w:eastAsia="Times New Roman" w:cs="Times New Roman"/>
          <w:color w:val="000000" w:themeColor="text1"/>
          <w:szCs w:val="24"/>
        </w:rPr>
      </w:pPr>
      <w:r w:rsidRPr="00F6508F">
        <w:rPr>
          <w:rFonts w:eastAsia="Times New Roman" w:cs="Times New Roman"/>
          <w:color w:val="000000" w:themeColor="text1"/>
          <w:szCs w:val="24"/>
        </w:rPr>
        <w:t>A:</w:t>
      </w:r>
      <w:r w:rsidRPr="00F6508F">
        <w:rPr>
          <w:rFonts w:eastAsia="Times New Roman" w:cs="Times New Roman"/>
          <w:color w:val="000000" w:themeColor="text1"/>
          <w:szCs w:val="24"/>
        </w:rPr>
        <w:tab/>
      </w:r>
      <w:r w:rsidR="001811E7" w:rsidRPr="00F6508F">
        <w:rPr>
          <w:rFonts w:eastAsia="Times New Roman" w:cs="Times New Roman"/>
          <w:color w:val="000000" w:themeColor="text1"/>
          <w:szCs w:val="24"/>
        </w:rPr>
        <w:t>T</w:t>
      </w:r>
      <w:r w:rsidRPr="00F6508F">
        <w:rPr>
          <w:rFonts w:eastAsia="Times New Roman" w:cs="Times New Roman"/>
          <w:color w:val="000000" w:themeColor="text1"/>
          <w:szCs w:val="24"/>
        </w:rPr>
        <w:t xml:space="preserve">he system of bidding and acquisition used by Georgia Power in the </w:t>
      </w:r>
      <w:r w:rsidRPr="009161F4">
        <w:rPr>
          <w:rFonts w:eastAsia="Times New Roman" w:cs="Times New Roman"/>
          <w:i/>
          <w:iCs/>
          <w:color w:val="000000" w:themeColor="text1"/>
          <w:szCs w:val="24"/>
        </w:rPr>
        <w:t>2022-2028 Capacity R</w:t>
      </w:r>
      <w:r w:rsidR="00020EDD">
        <w:rPr>
          <w:rFonts w:eastAsia="Times New Roman" w:cs="Times New Roman"/>
          <w:i/>
          <w:iCs/>
          <w:color w:val="000000" w:themeColor="text1"/>
          <w:szCs w:val="24"/>
        </w:rPr>
        <w:t xml:space="preserve">equest </w:t>
      </w:r>
      <w:r w:rsidR="00F1545D" w:rsidRPr="009161F4">
        <w:rPr>
          <w:rFonts w:eastAsia="Times New Roman" w:cs="Times New Roman"/>
          <w:i/>
          <w:iCs/>
          <w:color w:val="000000" w:themeColor="text1"/>
          <w:szCs w:val="24"/>
        </w:rPr>
        <w:t>for</w:t>
      </w:r>
      <w:r w:rsidR="00020EDD">
        <w:rPr>
          <w:rFonts w:eastAsia="Times New Roman" w:cs="Times New Roman"/>
          <w:i/>
          <w:iCs/>
          <w:color w:val="000000" w:themeColor="text1"/>
          <w:szCs w:val="24"/>
        </w:rPr>
        <w:t xml:space="preserve"> </w:t>
      </w:r>
      <w:r w:rsidR="00CE19B6" w:rsidRPr="009161F4">
        <w:rPr>
          <w:rFonts w:eastAsia="Times New Roman" w:cs="Times New Roman"/>
          <w:i/>
          <w:iCs/>
          <w:color w:val="000000" w:themeColor="text1"/>
          <w:szCs w:val="24"/>
        </w:rPr>
        <w:t>P</w:t>
      </w:r>
      <w:r w:rsidR="00020EDD">
        <w:rPr>
          <w:rFonts w:eastAsia="Times New Roman" w:cs="Times New Roman"/>
          <w:i/>
          <w:iCs/>
          <w:color w:val="000000" w:themeColor="text1"/>
          <w:szCs w:val="24"/>
        </w:rPr>
        <w:t>roposal</w:t>
      </w:r>
      <w:r w:rsidR="006C0737">
        <w:rPr>
          <w:rFonts w:eastAsia="Times New Roman" w:cs="Times New Roman"/>
          <w:i/>
          <w:iCs/>
          <w:color w:val="000000" w:themeColor="text1"/>
          <w:szCs w:val="24"/>
        </w:rPr>
        <w:t>s</w:t>
      </w:r>
      <w:r w:rsidR="00DD735A">
        <w:rPr>
          <w:rFonts w:eastAsia="Times New Roman" w:cs="Times New Roman"/>
          <w:i/>
          <w:iCs/>
          <w:color w:val="000000" w:themeColor="text1"/>
          <w:szCs w:val="24"/>
        </w:rPr>
        <w:t xml:space="preserve"> (“RFP”)</w:t>
      </w:r>
      <w:r w:rsidR="008B438B">
        <w:rPr>
          <w:rFonts w:eastAsia="Times New Roman" w:cs="Times New Roman"/>
          <w:color w:val="000000" w:themeColor="text1"/>
          <w:szCs w:val="24"/>
        </w:rPr>
        <w:t xml:space="preserve">, </w:t>
      </w:r>
      <w:r w:rsidR="00CE19B6" w:rsidRPr="00F6508F">
        <w:rPr>
          <w:rFonts w:eastAsia="Times New Roman" w:cs="Times New Roman"/>
          <w:color w:val="000000" w:themeColor="text1"/>
          <w:szCs w:val="24"/>
        </w:rPr>
        <w:t>Docket No. 426</w:t>
      </w:r>
      <w:r w:rsidR="00CB39C6">
        <w:rPr>
          <w:rFonts w:eastAsia="Times New Roman" w:cs="Times New Roman"/>
          <w:color w:val="000000" w:themeColor="text1"/>
          <w:szCs w:val="24"/>
        </w:rPr>
        <w:t>4</w:t>
      </w:r>
      <w:r w:rsidR="00CE19B6" w:rsidRPr="00F6508F">
        <w:rPr>
          <w:rFonts w:eastAsia="Times New Roman" w:cs="Times New Roman"/>
          <w:color w:val="000000" w:themeColor="text1"/>
          <w:szCs w:val="24"/>
        </w:rPr>
        <w:t>1</w:t>
      </w:r>
      <w:r w:rsidR="008B438B">
        <w:rPr>
          <w:rFonts w:eastAsia="Times New Roman" w:cs="Times New Roman"/>
          <w:color w:val="000000" w:themeColor="text1"/>
          <w:szCs w:val="24"/>
        </w:rPr>
        <w:t>,</w:t>
      </w:r>
      <w:r w:rsidRPr="00F6508F">
        <w:rPr>
          <w:rFonts w:eastAsia="Times New Roman" w:cs="Times New Roman"/>
          <w:color w:val="000000" w:themeColor="text1"/>
          <w:szCs w:val="24"/>
        </w:rPr>
        <w:t xml:space="preserve"> was flawed</w:t>
      </w:r>
      <w:r w:rsidR="00CE19B6" w:rsidRPr="00F6508F">
        <w:rPr>
          <w:rFonts w:eastAsia="Times New Roman" w:cs="Times New Roman"/>
          <w:color w:val="000000" w:themeColor="text1"/>
          <w:szCs w:val="24"/>
        </w:rPr>
        <w:t xml:space="preserve"> and will lead to the acquisition of the wrong resources, with higher costs</w:t>
      </w:r>
      <w:r w:rsidR="00071C05" w:rsidRPr="00F6508F">
        <w:rPr>
          <w:rFonts w:eastAsia="Times New Roman" w:cs="Times New Roman"/>
          <w:color w:val="000000" w:themeColor="text1"/>
          <w:szCs w:val="24"/>
        </w:rPr>
        <w:t xml:space="preserve">. </w:t>
      </w:r>
      <w:r w:rsidRPr="00F6508F">
        <w:rPr>
          <w:rFonts w:eastAsia="Times New Roman" w:cs="Times New Roman"/>
          <w:color w:val="000000" w:themeColor="text1"/>
          <w:szCs w:val="24"/>
        </w:rPr>
        <w:t xml:space="preserve">I have several concerns about the </w:t>
      </w:r>
      <w:r w:rsidR="00DD735A" w:rsidRPr="00E02FBA">
        <w:rPr>
          <w:rFonts w:eastAsia="Times New Roman" w:cs="Times New Roman"/>
          <w:i/>
          <w:iCs/>
          <w:color w:val="000000" w:themeColor="text1"/>
          <w:szCs w:val="24"/>
        </w:rPr>
        <w:t xml:space="preserve">2022-2028 Capacity </w:t>
      </w:r>
      <w:r w:rsidRPr="00E02FBA">
        <w:rPr>
          <w:rFonts w:eastAsia="Times New Roman" w:cs="Times New Roman"/>
          <w:i/>
          <w:iCs/>
          <w:color w:val="000000" w:themeColor="text1"/>
          <w:szCs w:val="24"/>
        </w:rPr>
        <w:t>RFP</w:t>
      </w:r>
      <w:r w:rsidRPr="00F6508F">
        <w:rPr>
          <w:rFonts w:eastAsia="Times New Roman" w:cs="Times New Roman"/>
          <w:color w:val="000000" w:themeColor="text1"/>
          <w:szCs w:val="24"/>
        </w:rPr>
        <w:t xml:space="preserve"> design decision that eliminated many of the solar projects in the interconnection queue from the pool of eligible bidders. I also have concerns about the manner in which renewable resources are characterized in the Company’s modeling. Further, I have concerns about the Company’s vision for capacity additions over the next 18 years. I disagree about the assumptions used by the Company in developing its baseline scenario for capacity expansion. Finally, the entire planning and acquisition process fails to acknowledge or accommodate opportunities for </w:t>
      </w:r>
      <w:r w:rsidR="008E141B">
        <w:rPr>
          <w:rFonts w:eastAsia="Times New Roman" w:cs="Times New Roman"/>
          <w:color w:val="000000" w:themeColor="text1"/>
          <w:szCs w:val="24"/>
        </w:rPr>
        <w:t>the Company</w:t>
      </w:r>
      <w:r w:rsidRPr="00F6508F">
        <w:rPr>
          <w:rFonts w:eastAsia="Times New Roman" w:cs="Times New Roman"/>
          <w:color w:val="000000" w:themeColor="text1"/>
          <w:szCs w:val="24"/>
        </w:rPr>
        <w:t xml:space="preserve"> to share reserves in the region</w:t>
      </w:r>
      <w:r w:rsidR="00F876C2" w:rsidRPr="00F6508F">
        <w:rPr>
          <w:rFonts w:eastAsia="Times New Roman" w:cs="Times New Roman"/>
          <w:color w:val="000000" w:themeColor="text1"/>
          <w:szCs w:val="24"/>
        </w:rPr>
        <w:t>.</w:t>
      </w:r>
    </w:p>
    <w:p w14:paraId="6B7A64E3" w14:textId="77777777" w:rsidR="004F60DA" w:rsidRPr="00F6508F" w:rsidRDefault="004F60DA" w:rsidP="003A6CDA">
      <w:pPr>
        <w:widowControl w:val="0"/>
        <w:pBdr>
          <w:top w:val="nil"/>
          <w:left w:val="nil"/>
          <w:bottom w:val="nil"/>
          <w:right w:val="nil"/>
          <w:between w:val="nil"/>
        </w:pBdr>
        <w:tabs>
          <w:tab w:val="left" w:pos="4320"/>
          <w:tab w:val="left" w:pos="6480"/>
          <w:tab w:val="left" w:pos="8639"/>
        </w:tabs>
        <w:spacing w:after="0"/>
        <w:ind w:left="0" w:hanging="720"/>
        <w:jc w:val="both"/>
        <w:rPr>
          <w:rFonts w:eastAsia="Times New Roman" w:cs="Times New Roman"/>
          <w:b/>
          <w:smallCaps/>
          <w:color w:val="000000" w:themeColor="text1"/>
          <w:szCs w:val="24"/>
        </w:rPr>
      </w:pPr>
    </w:p>
    <w:p w14:paraId="6B7A64E4" w14:textId="77777777" w:rsidR="004F60DA" w:rsidRPr="00F6508F" w:rsidRDefault="00447F55" w:rsidP="00F6508F">
      <w:pPr>
        <w:widowControl w:val="0"/>
        <w:pBdr>
          <w:top w:val="nil"/>
          <w:left w:val="nil"/>
          <w:bottom w:val="nil"/>
          <w:right w:val="nil"/>
          <w:between w:val="nil"/>
        </w:pBdr>
        <w:tabs>
          <w:tab w:val="left" w:pos="4320"/>
          <w:tab w:val="left" w:pos="6480"/>
          <w:tab w:val="left" w:pos="8639"/>
        </w:tabs>
        <w:spacing w:after="0"/>
        <w:ind w:hanging="720"/>
        <w:jc w:val="both"/>
        <w:rPr>
          <w:rFonts w:eastAsia="Times New Roman" w:cs="Times New Roman"/>
          <w:b/>
          <w:smallCaps/>
          <w:color w:val="000000" w:themeColor="text1"/>
          <w:szCs w:val="24"/>
        </w:rPr>
      </w:pPr>
      <w:r w:rsidRPr="00F6508F">
        <w:rPr>
          <w:rFonts w:eastAsia="Times New Roman" w:cs="Times New Roman"/>
          <w:b/>
          <w:smallCaps/>
          <w:color w:val="000000" w:themeColor="text1"/>
          <w:szCs w:val="24"/>
        </w:rPr>
        <w:t>Q:</w:t>
      </w:r>
      <w:r w:rsidRPr="00F6508F">
        <w:rPr>
          <w:rFonts w:eastAsia="Times New Roman" w:cs="Times New Roman"/>
          <w:b/>
          <w:smallCaps/>
          <w:color w:val="000000" w:themeColor="text1"/>
          <w:szCs w:val="24"/>
        </w:rPr>
        <w:tab/>
        <w:t>PLEASE BEGIN WITH YOUR CONCERN ABOUT THE TECHNIQUES USED IN SOLICITATION AND MODELING BY GEORGIA POWER.</w:t>
      </w:r>
    </w:p>
    <w:p w14:paraId="6B7A64E5" w14:textId="1EE32E5C" w:rsidR="004F60DA" w:rsidRPr="00F6508F" w:rsidRDefault="00447F55" w:rsidP="00F6508F">
      <w:pPr>
        <w:spacing w:after="0"/>
        <w:ind w:hanging="720"/>
        <w:jc w:val="both"/>
        <w:rPr>
          <w:color w:val="000000" w:themeColor="text1"/>
        </w:rPr>
      </w:pPr>
      <w:r w:rsidRPr="00F6508F">
        <w:rPr>
          <w:color w:val="000000" w:themeColor="text1"/>
        </w:rPr>
        <w:t>A:</w:t>
      </w:r>
      <w:r w:rsidRPr="00F6508F">
        <w:rPr>
          <w:color w:val="000000" w:themeColor="text1"/>
        </w:rPr>
        <w:tab/>
        <w:t xml:space="preserve">I have two. First is the design of </w:t>
      </w:r>
      <w:r w:rsidR="00DD735A">
        <w:rPr>
          <w:color w:val="000000" w:themeColor="text1"/>
        </w:rPr>
        <w:t>Georgia Power’s</w:t>
      </w:r>
      <w:r w:rsidRPr="00F6508F">
        <w:rPr>
          <w:color w:val="000000" w:themeColor="text1"/>
        </w:rPr>
        <w:t xml:space="preserve"> </w:t>
      </w:r>
      <w:r w:rsidR="00747CDC" w:rsidRPr="009161F4">
        <w:rPr>
          <w:rFonts w:eastAsia="Times New Roman" w:cs="Times New Roman"/>
          <w:i/>
          <w:iCs/>
          <w:color w:val="000000" w:themeColor="text1"/>
          <w:szCs w:val="24"/>
        </w:rPr>
        <w:t>2022-2028 Capacity</w:t>
      </w:r>
      <w:r w:rsidR="00384D36">
        <w:rPr>
          <w:rFonts w:eastAsia="Times New Roman" w:cs="Times New Roman"/>
          <w:i/>
          <w:iCs/>
          <w:color w:val="000000" w:themeColor="text1"/>
          <w:szCs w:val="24"/>
        </w:rPr>
        <w:t>-Based</w:t>
      </w:r>
      <w:r w:rsidR="00747CDC" w:rsidRPr="009161F4">
        <w:rPr>
          <w:rFonts w:eastAsia="Times New Roman" w:cs="Times New Roman"/>
          <w:i/>
          <w:iCs/>
          <w:color w:val="000000" w:themeColor="text1"/>
          <w:szCs w:val="24"/>
        </w:rPr>
        <w:t xml:space="preserve"> RFP</w:t>
      </w:r>
      <w:r w:rsidR="00CB39C6">
        <w:rPr>
          <w:rFonts w:eastAsia="Times New Roman" w:cs="Times New Roman"/>
          <w:color w:val="000000" w:themeColor="text1"/>
          <w:szCs w:val="24"/>
        </w:rPr>
        <w:t xml:space="preserve"> </w:t>
      </w:r>
      <w:r w:rsidR="00430E86">
        <w:rPr>
          <w:rFonts w:eastAsia="Times New Roman" w:cs="Times New Roman"/>
          <w:color w:val="000000" w:themeColor="text1"/>
          <w:szCs w:val="24"/>
        </w:rPr>
        <w:t>resulting power purchase agreements (“PPAs”)</w:t>
      </w:r>
      <w:r w:rsidR="00747CDC">
        <w:rPr>
          <w:rFonts w:eastAsia="Times New Roman" w:cs="Times New Roman"/>
          <w:color w:val="000000" w:themeColor="text1"/>
          <w:szCs w:val="24"/>
        </w:rPr>
        <w:t xml:space="preserve"> </w:t>
      </w:r>
      <w:r w:rsidRPr="00F6508F">
        <w:rPr>
          <w:color w:val="000000" w:themeColor="text1"/>
        </w:rPr>
        <w:t>under discussion in this case. In seeking bids for capacity, the Company set a minimum bid offer at 100 MW.</w:t>
      </w:r>
      <w:r w:rsidRPr="00F6508F">
        <w:rPr>
          <w:color w:val="000000" w:themeColor="text1"/>
          <w:vertAlign w:val="superscript"/>
        </w:rPr>
        <w:footnoteReference w:id="9"/>
      </w:r>
      <w:r w:rsidRPr="00F6508F">
        <w:rPr>
          <w:color w:val="000000" w:themeColor="text1"/>
        </w:rPr>
        <w:t xml:space="preserve"> This had the effect of removing an estimated </w:t>
      </w:r>
      <w:r w:rsidR="001811E7" w:rsidRPr="00F6508F">
        <w:rPr>
          <w:color w:val="000000" w:themeColor="text1"/>
        </w:rPr>
        <w:t>seventy-four</w:t>
      </w:r>
      <w:r w:rsidRPr="00F6508F">
        <w:rPr>
          <w:color w:val="000000" w:themeColor="text1"/>
        </w:rPr>
        <w:t xml:space="preserve"> solar projects (with storage or storage-capable) from contention in the bidding. Few solar + storage projects in 2019 exceeded the 100 MW size limitation. Capacity offerings smaller than 100 MW were not considered, </w:t>
      </w:r>
      <w:r w:rsidRPr="00F6508F">
        <w:rPr>
          <w:color w:val="000000" w:themeColor="text1"/>
        </w:rPr>
        <w:lastRenderedPageBreak/>
        <w:t>even though many of them might well have been lower cost than the resources that were selected, but the Commission will never know.</w:t>
      </w:r>
    </w:p>
    <w:p w14:paraId="6B7A64E6" w14:textId="58EA040E" w:rsidR="004F60DA" w:rsidRPr="00F6508F" w:rsidRDefault="00447F55" w:rsidP="00F6508F">
      <w:pPr>
        <w:pBdr>
          <w:top w:val="nil"/>
          <w:left w:val="nil"/>
          <w:bottom w:val="nil"/>
          <w:right w:val="nil"/>
          <w:between w:val="nil"/>
        </w:pBdr>
        <w:spacing w:after="0"/>
        <w:jc w:val="both"/>
        <w:rPr>
          <w:rFonts w:eastAsia="Times New Roman" w:cs="Times New Roman"/>
          <w:color w:val="000000" w:themeColor="text1"/>
          <w:szCs w:val="24"/>
        </w:rPr>
      </w:pPr>
      <w:r w:rsidRPr="00F6508F">
        <w:rPr>
          <w:rFonts w:eastAsia="Times New Roman" w:cs="Times New Roman"/>
          <w:color w:val="000000" w:themeColor="text1"/>
          <w:szCs w:val="24"/>
        </w:rPr>
        <w:t xml:space="preserve">Second, in Georgia Power’s </w:t>
      </w:r>
      <w:r w:rsidR="00E02FBA" w:rsidRPr="00E02FBA">
        <w:rPr>
          <w:rFonts w:eastAsia="Times New Roman" w:cs="Times New Roman"/>
          <w:i/>
          <w:iCs/>
          <w:color w:val="000000" w:themeColor="text1"/>
          <w:szCs w:val="24"/>
        </w:rPr>
        <w:t>2022-2028 Capacity</w:t>
      </w:r>
      <w:r w:rsidR="000677A5">
        <w:rPr>
          <w:rFonts w:eastAsia="Times New Roman" w:cs="Times New Roman"/>
          <w:i/>
          <w:iCs/>
          <w:color w:val="000000" w:themeColor="text1"/>
          <w:szCs w:val="24"/>
        </w:rPr>
        <w:t>-Based</w:t>
      </w:r>
      <w:r w:rsidR="00E02FBA" w:rsidRPr="00E02FBA">
        <w:rPr>
          <w:rFonts w:eastAsia="Times New Roman" w:cs="Times New Roman"/>
          <w:i/>
          <w:iCs/>
          <w:color w:val="000000" w:themeColor="text1"/>
          <w:szCs w:val="24"/>
        </w:rPr>
        <w:t xml:space="preserve"> RFP</w:t>
      </w:r>
      <w:r w:rsidRPr="00F6508F">
        <w:rPr>
          <w:rFonts w:eastAsia="Times New Roman" w:cs="Times New Roman"/>
          <w:color w:val="000000" w:themeColor="text1"/>
          <w:szCs w:val="24"/>
        </w:rPr>
        <w:t xml:space="preserve"> solicitation, various types of resources are assigned to their own bidding pool in line with the characterization of the resource by Georgia Power. </w:t>
      </w:r>
      <w:r w:rsidR="00822E4A">
        <w:rPr>
          <w:rFonts w:eastAsia="Times New Roman" w:cs="Times New Roman"/>
          <w:color w:val="000000" w:themeColor="text1"/>
          <w:szCs w:val="24"/>
        </w:rPr>
        <w:t>S</w:t>
      </w:r>
      <w:r w:rsidRPr="00F6508F">
        <w:rPr>
          <w:rFonts w:eastAsia="Times New Roman" w:cs="Times New Roman"/>
          <w:color w:val="000000" w:themeColor="text1"/>
          <w:szCs w:val="24"/>
        </w:rPr>
        <w:t xml:space="preserve">olar + storage bids were allowed to bid </w:t>
      </w:r>
      <w:r w:rsidR="00822E4A" w:rsidRPr="00F6508F">
        <w:rPr>
          <w:rFonts w:eastAsia="Times New Roman" w:cs="Times New Roman"/>
          <w:color w:val="000000" w:themeColor="text1"/>
          <w:szCs w:val="24"/>
        </w:rPr>
        <w:t>in but</w:t>
      </w:r>
      <w:r w:rsidRPr="00F6508F">
        <w:rPr>
          <w:rFonts w:eastAsia="Times New Roman" w:cs="Times New Roman"/>
          <w:color w:val="000000" w:themeColor="text1"/>
          <w:szCs w:val="24"/>
        </w:rPr>
        <w:t xml:space="preserve"> were characterized and evaluated as if they were merely batteries charged by intermittent power. Analyzed this way, </w:t>
      </w:r>
      <w:r w:rsidR="00822E4A">
        <w:rPr>
          <w:rFonts w:eastAsia="Times New Roman" w:cs="Times New Roman"/>
          <w:color w:val="000000" w:themeColor="text1"/>
          <w:szCs w:val="24"/>
        </w:rPr>
        <w:t xml:space="preserve">solar </w:t>
      </w:r>
      <w:r w:rsidRPr="00F6508F">
        <w:rPr>
          <w:rFonts w:eastAsia="Times New Roman" w:cs="Times New Roman"/>
          <w:color w:val="000000" w:themeColor="text1"/>
          <w:szCs w:val="24"/>
        </w:rPr>
        <w:t>+</w:t>
      </w:r>
      <w:r w:rsidR="00822E4A">
        <w:rPr>
          <w:rFonts w:eastAsia="Times New Roman" w:cs="Times New Roman"/>
          <w:color w:val="000000" w:themeColor="text1"/>
          <w:szCs w:val="24"/>
        </w:rPr>
        <w:t xml:space="preserve"> </w:t>
      </w:r>
      <w:r w:rsidRPr="00F6508F">
        <w:rPr>
          <w:rFonts w:eastAsia="Times New Roman" w:cs="Times New Roman"/>
          <w:color w:val="000000" w:themeColor="text1"/>
          <w:szCs w:val="24"/>
        </w:rPr>
        <w:t xml:space="preserve">storage bids are seen as little </w:t>
      </w:r>
      <w:r w:rsidR="00822E4A">
        <w:rPr>
          <w:rFonts w:eastAsia="Times New Roman" w:cs="Times New Roman"/>
          <w:color w:val="000000" w:themeColor="text1"/>
          <w:szCs w:val="24"/>
        </w:rPr>
        <w:t>c</w:t>
      </w:r>
      <w:r w:rsidRPr="00F6508F">
        <w:rPr>
          <w:rFonts w:eastAsia="Times New Roman" w:cs="Times New Roman"/>
          <w:color w:val="000000" w:themeColor="text1"/>
          <w:szCs w:val="24"/>
        </w:rPr>
        <w:t xml:space="preserve">ombustion </w:t>
      </w:r>
      <w:r w:rsidR="00822E4A">
        <w:rPr>
          <w:rFonts w:eastAsia="Times New Roman" w:cs="Times New Roman"/>
          <w:color w:val="000000" w:themeColor="text1"/>
          <w:szCs w:val="24"/>
        </w:rPr>
        <w:t>t</w:t>
      </w:r>
      <w:r w:rsidRPr="00F6508F">
        <w:rPr>
          <w:rFonts w:eastAsia="Times New Roman" w:cs="Times New Roman"/>
          <w:color w:val="000000" w:themeColor="text1"/>
          <w:szCs w:val="24"/>
        </w:rPr>
        <w:t xml:space="preserve">urbines, but with higher costs and producing energy that </w:t>
      </w:r>
      <w:r w:rsidR="00822E4A">
        <w:rPr>
          <w:rFonts w:eastAsia="Times New Roman" w:cs="Times New Roman"/>
          <w:color w:val="000000" w:themeColor="text1"/>
          <w:szCs w:val="24"/>
        </w:rPr>
        <w:t>the Company</w:t>
      </w:r>
      <w:r w:rsidRPr="00F6508F">
        <w:rPr>
          <w:rFonts w:eastAsia="Times New Roman" w:cs="Times New Roman"/>
          <w:color w:val="000000" w:themeColor="text1"/>
          <w:szCs w:val="24"/>
        </w:rPr>
        <w:t xml:space="preserve"> was not interested in buying. Consider this excerpt from the </w:t>
      </w:r>
      <w:r w:rsidR="00822E4A" w:rsidRPr="00E02FBA">
        <w:rPr>
          <w:rFonts w:eastAsia="Times New Roman" w:cs="Times New Roman"/>
          <w:i/>
          <w:iCs/>
          <w:color w:val="000000" w:themeColor="text1"/>
          <w:szCs w:val="24"/>
        </w:rPr>
        <w:t>2022-2028 Capacity</w:t>
      </w:r>
      <w:r w:rsidR="000677A5">
        <w:rPr>
          <w:rFonts w:eastAsia="Times New Roman" w:cs="Times New Roman"/>
          <w:i/>
          <w:iCs/>
          <w:color w:val="000000" w:themeColor="text1"/>
          <w:szCs w:val="24"/>
        </w:rPr>
        <w:t>-Based</w:t>
      </w:r>
      <w:r w:rsidR="00822E4A" w:rsidRPr="00E02FBA">
        <w:rPr>
          <w:rFonts w:eastAsia="Times New Roman" w:cs="Times New Roman"/>
          <w:i/>
          <w:iCs/>
          <w:color w:val="000000" w:themeColor="text1"/>
          <w:szCs w:val="24"/>
        </w:rPr>
        <w:t xml:space="preserve"> RFP</w:t>
      </w:r>
      <w:r w:rsidRPr="00F6508F">
        <w:rPr>
          <w:rFonts w:eastAsia="Times New Roman" w:cs="Times New Roman"/>
          <w:color w:val="000000" w:themeColor="text1"/>
          <w:szCs w:val="24"/>
        </w:rPr>
        <w:t>:</w:t>
      </w:r>
    </w:p>
    <w:p w14:paraId="6B7A64E8" w14:textId="232BE26F" w:rsidR="004F60DA" w:rsidRPr="00DA504C" w:rsidRDefault="00447F55" w:rsidP="00DA504C">
      <w:pPr>
        <w:pBdr>
          <w:top w:val="nil"/>
          <w:left w:val="nil"/>
          <w:bottom w:val="nil"/>
          <w:right w:val="nil"/>
          <w:between w:val="nil"/>
        </w:pBdr>
        <w:spacing w:after="0"/>
        <w:ind w:left="1080" w:right="360"/>
        <w:jc w:val="both"/>
        <w:rPr>
          <w:rFonts w:eastAsia="Times New Roman" w:cs="Times New Roman"/>
          <w:iCs/>
          <w:color w:val="000000" w:themeColor="text1"/>
          <w:szCs w:val="24"/>
          <w:u w:val="single"/>
        </w:rPr>
      </w:pPr>
      <w:r w:rsidRPr="00F6508F">
        <w:rPr>
          <w:rFonts w:eastAsia="Times New Roman" w:cs="Times New Roman"/>
          <w:iCs/>
          <w:color w:val="000000" w:themeColor="text1"/>
          <w:szCs w:val="24"/>
        </w:rPr>
        <w:t xml:space="preserve">It is imperative for any potential bidder proposing a Storage Bid to understand the </w:t>
      </w:r>
      <w:r w:rsidRPr="00F6508F">
        <w:rPr>
          <w:rFonts w:eastAsia="Times New Roman" w:cs="Times New Roman"/>
          <w:iCs/>
          <w:color w:val="000000" w:themeColor="text1"/>
          <w:szCs w:val="24"/>
          <w:u w:val="single"/>
        </w:rPr>
        <w:t>exclusive purpose of a BESS in this Capacity RFP is to satisfy Seller’s capacity obligations under the PPA and to satisfy Seller’s obligations under the PPA to deliver energy that is not intermittent</w:t>
      </w:r>
      <w:r w:rsidRPr="00F6508F">
        <w:rPr>
          <w:rFonts w:eastAsia="Times New Roman" w:cs="Times New Roman"/>
          <w:iCs/>
          <w:color w:val="000000" w:themeColor="text1"/>
          <w:szCs w:val="24"/>
        </w:rPr>
        <w:t xml:space="preserve"> to the Point of Interconnection pursuant to the Company’s scheduling instructions. </w:t>
      </w:r>
      <w:r w:rsidRPr="00F6508F">
        <w:rPr>
          <w:rFonts w:eastAsia="Times New Roman" w:cs="Times New Roman"/>
          <w:iCs/>
          <w:color w:val="000000" w:themeColor="text1"/>
          <w:szCs w:val="24"/>
          <w:u w:val="single"/>
        </w:rPr>
        <w:t xml:space="preserve">The storage use case applicable to a BESS in this capacity RFP is unlike the storage use case applicable to a battery storage bid offered in any Company solicitation for renewable resources. </w:t>
      </w:r>
      <w:r w:rsidRPr="00F6508F">
        <w:rPr>
          <w:rFonts w:eastAsia="Times New Roman" w:cs="Times New Roman"/>
          <w:iCs/>
          <w:color w:val="000000" w:themeColor="text1"/>
          <w:szCs w:val="24"/>
        </w:rPr>
        <w:t xml:space="preserve">The pro forma PPA found in Attachment F3 and the additional guidance for BESS proposals in Attachment L provide the parameters for the acceptable and applicable use of the storage device in this capacity RFP. Evaluation of a Storage Bid in this RFP will be appropriately focused upon the capacity use of the BESS, which is to serve as a satisfactory replacement resource for any retiring capacity </w:t>
      </w:r>
      <w:r w:rsidRPr="00F6508F">
        <w:rPr>
          <w:rFonts w:eastAsia="Times New Roman" w:cs="Times New Roman"/>
          <w:iCs/>
          <w:color w:val="000000" w:themeColor="text1"/>
          <w:szCs w:val="24"/>
        </w:rPr>
        <w:lastRenderedPageBreak/>
        <w:t xml:space="preserve">resource to ensure system reliability. </w:t>
      </w:r>
      <w:r w:rsidRPr="00F6508F">
        <w:rPr>
          <w:rFonts w:eastAsia="Times New Roman" w:cs="Times New Roman"/>
          <w:iCs/>
          <w:color w:val="000000" w:themeColor="text1"/>
          <w:szCs w:val="24"/>
          <w:u w:val="single"/>
        </w:rPr>
        <w:t xml:space="preserve">It is not the intent of this RFP to increase the amount of intermittent energy being delivered to the grid. </w:t>
      </w:r>
      <w:r w:rsidRPr="00822E4A">
        <w:rPr>
          <w:rFonts w:eastAsia="Times New Roman" w:cs="Times New Roman"/>
          <w:iCs/>
          <w:color w:val="000000" w:themeColor="text1"/>
          <w:szCs w:val="24"/>
          <w:vertAlign w:val="superscript"/>
        </w:rPr>
        <w:footnoteReference w:id="10"/>
      </w:r>
    </w:p>
    <w:p w14:paraId="6B7A64E9" w14:textId="1834C4A3" w:rsidR="004F60DA" w:rsidRPr="00F6508F" w:rsidRDefault="00447F55" w:rsidP="00690A6D">
      <w:pPr>
        <w:spacing w:after="0"/>
        <w:jc w:val="both"/>
        <w:rPr>
          <w:color w:val="000000" w:themeColor="text1"/>
        </w:rPr>
      </w:pPr>
      <w:r w:rsidRPr="00F6508F">
        <w:rPr>
          <w:color w:val="000000" w:themeColor="text1"/>
        </w:rPr>
        <w:t>This scheme distinctly disadvantages solar + storage projects</w:t>
      </w:r>
      <w:r w:rsidR="001811E7" w:rsidRPr="00F6508F">
        <w:rPr>
          <w:color w:val="000000" w:themeColor="text1"/>
        </w:rPr>
        <w:t xml:space="preserve">. </w:t>
      </w:r>
      <w:r w:rsidRPr="00F6508F">
        <w:rPr>
          <w:color w:val="000000" w:themeColor="text1"/>
        </w:rPr>
        <w:t>Solar + storage resources are not seen as renewable resources whose output is “firmed up” by batteries. The capacity value brought by a solar project during its peak generation period (say 10AM to 4 PM) is disregarded in this scheme in favor of the size of the project’s battery. Because many solar + storage facilities size their batteries at one-fourth to one-half the facility’s capacity, this limits the capacity value assigned by Georgia Power to about one-fourth to one-half the facility’s firm capacity during its generating hours</w:t>
      </w:r>
      <w:r w:rsidR="001811E7" w:rsidRPr="00F6508F">
        <w:rPr>
          <w:color w:val="000000" w:themeColor="text1"/>
        </w:rPr>
        <w:t xml:space="preserve">. </w:t>
      </w:r>
      <w:r w:rsidR="00E53CBF" w:rsidRPr="00F6508F">
        <w:rPr>
          <w:color w:val="000000" w:themeColor="text1"/>
        </w:rPr>
        <w:t>This arbitrary limit is divorced from the reality of how these systems operate</w:t>
      </w:r>
      <w:r w:rsidR="001811E7" w:rsidRPr="00F6508F">
        <w:rPr>
          <w:color w:val="000000" w:themeColor="text1"/>
        </w:rPr>
        <w:t xml:space="preserve">. </w:t>
      </w:r>
      <w:r w:rsidR="00E53CBF" w:rsidRPr="00F6508F">
        <w:rPr>
          <w:color w:val="000000" w:themeColor="text1"/>
        </w:rPr>
        <w:t>As discussed more below, this characterization of solar + storage unreasonably excludes competitive resources from competing on level playing field.</w:t>
      </w:r>
    </w:p>
    <w:p w14:paraId="76B35D95" w14:textId="54359ACA" w:rsidR="00833A02" w:rsidRPr="00F6508F" w:rsidRDefault="00447F55" w:rsidP="00690A6D">
      <w:pPr>
        <w:spacing w:after="0"/>
        <w:jc w:val="both"/>
        <w:rPr>
          <w:color w:val="000000" w:themeColor="text1"/>
        </w:rPr>
      </w:pPr>
      <w:r w:rsidRPr="00F6508F">
        <w:rPr>
          <w:color w:val="000000" w:themeColor="text1"/>
        </w:rPr>
        <w:t xml:space="preserve">The root problem is the Company’s apparent view of variable renewable resources. Georgia Power seems to </w:t>
      </w:r>
      <w:r w:rsidR="00CD6D2A" w:rsidRPr="00F6508F">
        <w:rPr>
          <w:color w:val="000000" w:themeColor="text1"/>
        </w:rPr>
        <w:t>regard</w:t>
      </w:r>
      <w:r w:rsidRPr="00F6508F">
        <w:rPr>
          <w:color w:val="000000" w:themeColor="text1"/>
        </w:rPr>
        <w:t xml:space="preserve"> variable renewable resources, even with storage, from the perspective of a fossil-fueled utility with a rigid operating approach</w:t>
      </w:r>
      <w:r w:rsidR="00071C05" w:rsidRPr="00F6508F">
        <w:rPr>
          <w:color w:val="000000" w:themeColor="text1"/>
        </w:rPr>
        <w:t xml:space="preserve">. </w:t>
      </w:r>
      <w:r w:rsidR="00833A02" w:rsidRPr="00F6508F">
        <w:rPr>
          <w:color w:val="000000" w:themeColor="text1"/>
        </w:rPr>
        <w:t>Although the Company conducted two</w:t>
      </w:r>
      <w:r w:rsidR="00904CB5">
        <w:rPr>
          <w:color w:val="000000" w:themeColor="text1"/>
        </w:rPr>
        <w:t xml:space="preserve"> recent</w:t>
      </w:r>
      <w:r w:rsidR="00833A02" w:rsidRPr="00F6508F">
        <w:rPr>
          <w:color w:val="000000" w:themeColor="text1"/>
        </w:rPr>
        <w:t xml:space="preserve"> RFPs – one for renewables and one for capacity – this</w:t>
      </w:r>
      <w:r w:rsidR="00F876C2" w:rsidRPr="00F6508F">
        <w:rPr>
          <w:color w:val="000000" w:themeColor="text1"/>
        </w:rPr>
        <w:t xml:space="preserve"> method</w:t>
      </w:r>
      <w:r w:rsidR="00833A02" w:rsidRPr="00F6508F">
        <w:rPr>
          <w:color w:val="000000" w:themeColor="text1"/>
        </w:rPr>
        <w:t xml:space="preserve"> relegates solar generation to being an “energy resource.” In fact, </w:t>
      </w:r>
      <w:r w:rsidR="00CD6D2A" w:rsidRPr="00F6508F">
        <w:rPr>
          <w:color w:val="000000" w:themeColor="text1"/>
        </w:rPr>
        <w:t xml:space="preserve">elsewhere </w:t>
      </w:r>
      <w:r w:rsidR="00833A02" w:rsidRPr="00F6508F">
        <w:rPr>
          <w:color w:val="000000" w:themeColor="text1"/>
        </w:rPr>
        <w:t>stand-alone solar is often accorded a capacity value and solar + storage has many of the qualities of grid dynamics that provide a firm or near-firm resource with both (clean) energy and capacity.</w:t>
      </w:r>
    </w:p>
    <w:p w14:paraId="6B7A64EA" w14:textId="081708A5" w:rsidR="004F60DA" w:rsidRPr="00F6508F" w:rsidRDefault="00447F55" w:rsidP="00690A6D">
      <w:pPr>
        <w:pStyle w:val="Answer"/>
        <w:spacing w:before="0" w:after="0"/>
        <w:ind w:firstLine="0"/>
        <w:jc w:val="both"/>
        <w:rPr>
          <w:color w:val="000000" w:themeColor="text1"/>
        </w:rPr>
      </w:pPr>
      <w:r w:rsidRPr="00F6508F">
        <w:rPr>
          <w:color w:val="000000" w:themeColor="text1"/>
        </w:rPr>
        <w:t xml:space="preserve">This attitude is progressively more at odds with how other utilities are approaching the availability of low-cost renewables. What’s needed is a shift of perspective about how a </w:t>
      </w:r>
      <w:r w:rsidRPr="00F6508F">
        <w:rPr>
          <w:color w:val="000000" w:themeColor="text1"/>
        </w:rPr>
        <w:lastRenderedPageBreak/>
        <w:t>grid can be built and operated with progressively larger amounts of variable renewable energy. This is not the time and place to describe a new operating regime, but we can look to other utilities for some ideas.</w:t>
      </w:r>
    </w:p>
    <w:p w14:paraId="303FD79C" w14:textId="17D362EA" w:rsidR="00BD0DC4" w:rsidRPr="00F6508F" w:rsidRDefault="00447F55" w:rsidP="00690A6D">
      <w:pPr>
        <w:spacing w:after="0"/>
        <w:jc w:val="both"/>
        <w:rPr>
          <w:color w:val="000000" w:themeColor="text1"/>
        </w:rPr>
      </w:pPr>
      <w:r w:rsidRPr="00F6508F">
        <w:rPr>
          <w:color w:val="000000" w:themeColor="text1"/>
        </w:rPr>
        <w:t>XcelEnergy in Colorado made the transition from the rigid, inflexible approach to a planning and operating regime that makes full use of variable renewable resources, without, importantly, sacrificing any bit of reliability. Xcel</w:t>
      </w:r>
      <w:r w:rsidR="000B53E3">
        <w:rPr>
          <w:color w:val="000000" w:themeColor="text1"/>
        </w:rPr>
        <w:t>Energy</w:t>
      </w:r>
      <w:r w:rsidRPr="00F6508F">
        <w:rPr>
          <w:color w:val="000000" w:themeColor="text1"/>
        </w:rPr>
        <w:t xml:space="preserve">’s orientation to </w:t>
      </w:r>
      <w:r w:rsidR="00071C05" w:rsidRPr="00F6508F">
        <w:rPr>
          <w:color w:val="000000" w:themeColor="text1"/>
        </w:rPr>
        <w:t>a novel approach</w:t>
      </w:r>
      <w:r w:rsidRPr="00F6508F">
        <w:rPr>
          <w:color w:val="000000" w:themeColor="text1"/>
        </w:rPr>
        <w:t xml:space="preserve"> was first made necessary as the company acquired massive amounts of very low-cost wind power. </w:t>
      </w:r>
      <w:r w:rsidR="00833A02" w:rsidRPr="00F6508F">
        <w:rPr>
          <w:color w:val="000000" w:themeColor="text1"/>
        </w:rPr>
        <w:t xml:space="preserve">As the price of solar + storage plunged to </w:t>
      </w:r>
      <w:r w:rsidR="00BD0DC4" w:rsidRPr="00F6508F">
        <w:rPr>
          <w:color w:val="000000" w:themeColor="text1"/>
        </w:rPr>
        <w:t xml:space="preserve">an </w:t>
      </w:r>
      <w:r w:rsidR="00833A02" w:rsidRPr="00F6508F">
        <w:rPr>
          <w:color w:val="000000" w:themeColor="text1"/>
        </w:rPr>
        <w:t xml:space="preserve">“incredible” </w:t>
      </w:r>
      <w:r w:rsidR="00BD0DC4" w:rsidRPr="00F6508F">
        <w:rPr>
          <w:color w:val="000000" w:themeColor="text1"/>
        </w:rPr>
        <w:t>price level, Xcel</w:t>
      </w:r>
      <w:r w:rsidR="000B53E3">
        <w:rPr>
          <w:color w:val="000000" w:themeColor="text1"/>
        </w:rPr>
        <w:t>Energy</w:t>
      </w:r>
      <w:r w:rsidR="00BD0DC4" w:rsidRPr="00F6508F">
        <w:rPr>
          <w:color w:val="000000" w:themeColor="text1"/>
        </w:rPr>
        <w:t xml:space="preserve"> began loading</w:t>
      </w:r>
      <w:r w:rsidR="00E30391">
        <w:rPr>
          <w:color w:val="000000" w:themeColor="text1"/>
        </w:rPr>
        <w:t>-</w:t>
      </w:r>
      <w:r w:rsidR="00BD0DC4" w:rsidRPr="00F6508F">
        <w:rPr>
          <w:color w:val="000000" w:themeColor="text1"/>
        </w:rPr>
        <w:t xml:space="preserve">up on wind and solar </w:t>
      </w:r>
      <w:r w:rsidR="00E30391">
        <w:rPr>
          <w:color w:val="000000" w:themeColor="text1"/>
        </w:rPr>
        <w:t>+</w:t>
      </w:r>
      <w:r w:rsidR="00BD0DC4" w:rsidRPr="00F6508F">
        <w:rPr>
          <w:color w:val="000000" w:themeColor="text1"/>
        </w:rPr>
        <w:t xml:space="preserve"> storage i</w:t>
      </w:r>
      <w:r w:rsidR="00E30391">
        <w:rPr>
          <w:color w:val="000000" w:themeColor="text1"/>
        </w:rPr>
        <w:t>n</w:t>
      </w:r>
      <w:r w:rsidR="00BD0DC4" w:rsidRPr="00F6508F">
        <w:rPr>
          <w:color w:val="000000" w:themeColor="text1"/>
        </w:rPr>
        <w:t xml:space="preserve"> its “all-source” bidding regime.</w:t>
      </w:r>
    </w:p>
    <w:p w14:paraId="6B7A64EC" w14:textId="21659825" w:rsidR="004F60DA" w:rsidRDefault="00447F55" w:rsidP="00690A6D">
      <w:pPr>
        <w:spacing w:after="0"/>
        <w:jc w:val="both"/>
        <w:rPr>
          <w:color w:val="000000" w:themeColor="text1"/>
        </w:rPr>
      </w:pPr>
      <w:r w:rsidRPr="00F6508F">
        <w:rPr>
          <w:color w:val="000000" w:themeColor="text1"/>
        </w:rPr>
        <w:t xml:space="preserve">It’s unclear how Georgia Power </w:t>
      </w:r>
      <w:r w:rsidR="00704C0E" w:rsidRPr="00F6508F">
        <w:rPr>
          <w:color w:val="000000" w:themeColor="text1"/>
        </w:rPr>
        <w:t>evaluates</w:t>
      </w:r>
      <w:r w:rsidRPr="00F6508F">
        <w:rPr>
          <w:color w:val="000000" w:themeColor="text1"/>
        </w:rPr>
        <w:t xml:space="preserve"> solar and storage. The Company apparently models both solar generation and battery energy storage on a standalone basis, even though solar </w:t>
      </w:r>
      <w:r w:rsidR="007B6922">
        <w:rPr>
          <w:color w:val="000000" w:themeColor="text1"/>
        </w:rPr>
        <w:t>photovoltaics (“PV”)</w:t>
      </w:r>
      <w:r w:rsidRPr="00F6508F">
        <w:rPr>
          <w:color w:val="000000" w:themeColor="text1"/>
        </w:rPr>
        <w:t xml:space="preserve"> and</w:t>
      </w:r>
      <w:r w:rsidR="007B6922">
        <w:rPr>
          <w:color w:val="000000" w:themeColor="text1"/>
        </w:rPr>
        <w:t xml:space="preserve"> energy storage systems</w:t>
      </w:r>
      <w:r w:rsidRPr="00F6508F">
        <w:rPr>
          <w:color w:val="000000" w:themeColor="text1"/>
        </w:rPr>
        <w:t xml:space="preserve"> </w:t>
      </w:r>
      <w:r w:rsidR="007B6922">
        <w:rPr>
          <w:color w:val="000000" w:themeColor="text1"/>
        </w:rPr>
        <w:t>(</w:t>
      </w:r>
      <w:r w:rsidR="00690A6D">
        <w:rPr>
          <w:color w:val="000000" w:themeColor="text1"/>
        </w:rPr>
        <w:t>“</w:t>
      </w:r>
      <w:r w:rsidRPr="00F6508F">
        <w:rPr>
          <w:color w:val="000000" w:themeColor="text1"/>
        </w:rPr>
        <w:t>ESS</w:t>
      </w:r>
      <w:r w:rsidR="007B6922">
        <w:rPr>
          <w:color w:val="000000" w:themeColor="text1"/>
        </w:rPr>
        <w:t>”)</w:t>
      </w:r>
      <w:r w:rsidRPr="00F6508F">
        <w:rPr>
          <w:color w:val="000000" w:themeColor="text1"/>
        </w:rPr>
        <w:t xml:space="preserve"> are often designed and operated as a single entity. </w:t>
      </w:r>
      <w:r w:rsidR="00BD0DC4" w:rsidRPr="00F6508F">
        <w:rPr>
          <w:color w:val="000000" w:themeColor="text1"/>
        </w:rPr>
        <w:t>Such integration</w:t>
      </w:r>
      <w:r w:rsidRPr="00F6508F">
        <w:rPr>
          <w:color w:val="000000" w:themeColor="text1"/>
        </w:rPr>
        <w:t xml:space="preserve"> allows solar + storage to capture the </w:t>
      </w:r>
      <w:r w:rsidR="00BD0DC4" w:rsidRPr="00F6508F">
        <w:rPr>
          <w:color w:val="000000" w:themeColor="text1"/>
        </w:rPr>
        <w:t>brass</w:t>
      </w:r>
      <w:r w:rsidRPr="00F6508F">
        <w:rPr>
          <w:color w:val="000000" w:themeColor="text1"/>
        </w:rPr>
        <w:t xml:space="preserve"> ring of “dispatchability,” which makes such units competitive with </w:t>
      </w:r>
      <w:r w:rsidR="00BD0DC4" w:rsidRPr="00F6508F">
        <w:rPr>
          <w:color w:val="000000" w:themeColor="text1"/>
        </w:rPr>
        <w:t xml:space="preserve">firm </w:t>
      </w:r>
      <w:r w:rsidRPr="00F6508F">
        <w:rPr>
          <w:color w:val="000000" w:themeColor="text1"/>
        </w:rPr>
        <w:t>fossil generation</w:t>
      </w:r>
      <w:r w:rsidR="001811E7" w:rsidRPr="00F6508F">
        <w:rPr>
          <w:color w:val="000000" w:themeColor="text1"/>
        </w:rPr>
        <w:t xml:space="preserve">. </w:t>
      </w:r>
      <w:r w:rsidRPr="00F6508F">
        <w:rPr>
          <w:color w:val="000000" w:themeColor="text1"/>
        </w:rPr>
        <w:t xml:space="preserve">Of course, these plants may not be “dispatchable” in the middle of the night, but this </w:t>
      </w:r>
      <w:r w:rsidR="00F52780" w:rsidRPr="00F6508F">
        <w:rPr>
          <w:color w:val="000000" w:themeColor="text1"/>
        </w:rPr>
        <w:t>does</w:t>
      </w:r>
      <w:r w:rsidRPr="00F6508F">
        <w:rPr>
          <w:color w:val="000000" w:themeColor="text1"/>
        </w:rPr>
        <w:t xml:space="preserve"> not diminish their value during peak periods on the system. Whatever techniques are used, it’s clear that designing and operating an integrated solar + storage facility in real life is quite different than putting together standalone solar bids and standalone ESS bids on a spreadsheet</w:t>
      </w:r>
      <w:r w:rsidR="001811E7" w:rsidRPr="00F6508F">
        <w:rPr>
          <w:color w:val="000000" w:themeColor="text1"/>
        </w:rPr>
        <w:t xml:space="preserve">. </w:t>
      </w:r>
      <w:r w:rsidRPr="00F6508F">
        <w:rPr>
          <w:color w:val="000000" w:themeColor="text1"/>
        </w:rPr>
        <w:t xml:space="preserve">Because solar + storage resources operate as a single unit, separating them in analysis denies the projects of the economies of joint operation and, financially, the benefit of federal tax treatment that applies to solar + storage, but not to standalone ESS. Put simply, divorcing PV and ESS resources from one </w:t>
      </w:r>
      <w:r w:rsidRPr="00F6508F">
        <w:rPr>
          <w:color w:val="000000" w:themeColor="text1"/>
        </w:rPr>
        <w:lastRenderedPageBreak/>
        <w:t xml:space="preserve">another, when they are operated as a single facility, is an unreasonable approach and represents a significant flaw within Georgia Power’s procurement process. </w:t>
      </w:r>
      <w:r w:rsidR="00F52780" w:rsidRPr="00F6508F">
        <w:rPr>
          <w:color w:val="000000" w:themeColor="text1"/>
        </w:rPr>
        <w:t xml:space="preserve">For these reasons, solar + storage loses out to </w:t>
      </w:r>
      <w:r w:rsidR="00690A6D">
        <w:rPr>
          <w:color w:val="000000" w:themeColor="text1"/>
        </w:rPr>
        <w:t>combustion turbines</w:t>
      </w:r>
      <w:r w:rsidR="0047615F">
        <w:rPr>
          <w:color w:val="000000" w:themeColor="text1"/>
        </w:rPr>
        <w:t xml:space="preserve"> (“CT”)</w:t>
      </w:r>
      <w:r w:rsidR="00F52780" w:rsidRPr="00F6508F">
        <w:rPr>
          <w:color w:val="000000" w:themeColor="text1"/>
        </w:rPr>
        <w:t xml:space="preserve"> in the </w:t>
      </w:r>
      <w:r w:rsidR="00690A6D">
        <w:rPr>
          <w:color w:val="000000" w:themeColor="text1"/>
        </w:rPr>
        <w:t>c</w:t>
      </w:r>
      <w:r w:rsidR="00F52780" w:rsidRPr="00F6508F">
        <w:rPr>
          <w:color w:val="000000" w:themeColor="text1"/>
        </w:rPr>
        <w:t xml:space="preserve">apacity </w:t>
      </w:r>
      <w:r w:rsidR="009F23A8" w:rsidRPr="00F6508F">
        <w:rPr>
          <w:color w:val="000000" w:themeColor="text1"/>
        </w:rPr>
        <w:t>RFP,</w:t>
      </w:r>
      <w:r w:rsidR="00F52780" w:rsidRPr="00F6508F">
        <w:rPr>
          <w:color w:val="000000" w:themeColor="text1"/>
        </w:rPr>
        <w:t xml:space="preserve"> while storage handicaps these projects in the renewables RFP</w:t>
      </w:r>
      <w:r w:rsidR="001811E7" w:rsidRPr="00F6508F">
        <w:rPr>
          <w:color w:val="000000" w:themeColor="text1"/>
        </w:rPr>
        <w:t xml:space="preserve">. </w:t>
      </w:r>
    </w:p>
    <w:p w14:paraId="1A90C8E2" w14:textId="77777777" w:rsidR="009F23A8" w:rsidRPr="00F6508F" w:rsidRDefault="009F23A8" w:rsidP="000A7FA9">
      <w:pPr>
        <w:spacing w:after="0"/>
        <w:ind w:left="1080"/>
        <w:jc w:val="both"/>
        <w:rPr>
          <w:color w:val="000000" w:themeColor="text1"/>
        </w:rPr>
      </w:pPr>
    </w:p>
    <w:p w14:paraId="6B7A64EE" w14:textId="74EE8E5A" w:rsidR="004F60DA" w:rsidRPr="00F6508F" w:rsidRDefault="00447F55" w:rsidP="000A7FA9">
      <w:pPr>
        <w:keepNext/>
        <w:keepLines/>
        <w:pBdr>
          <w:top w:val="nil"/>
          <w:left w:val="nil"/>
          <w:bottom w:val="nil"/>
          <w:right w:val="nil"/>
          <w:between w:val="nil"/>
        </w:pBdr>
        <w:tabs>
          <w:tab w:val="left" w:pos="4320"/>
          <w:tab w:val="left" w:pos="6480"/>
          <w:tab w:val="left" w:pos="8639"/>
        </w:tabs>
        <w:spacing w:after="0"/>
        <w:ind w:hanging="720"/>
        <w:jc w:val="both"/>
        <w:rPr>
          <w:rFonts w:eastAsia="Times New Roman" w:cs="Times New Roman"/>
          <w:b/>
          <w:smallCaps/>
          <w:color w:val="000000" w:themeColor="text1"/>
          <w:szCs w:val="24"/>
        </w:rPr>
      </w:pPr>
      <w:r w:rsidRPr="00F6508F">
        <w:rPr>
          <w:rFonts w:eastAsia="Times New Roman" w:cs="Times New Roman"/>
          <w:b/>
          <w:smallCaps/>
          <w:color w:val="000000" w:themeColor="text1"/>
          <w:szCs w:val="24"/>
        </w:rPr>
        <w:t>Q:</w:t>
      </w:r>
      <w:r w:rsidRPr="00F6508F">
        <w:rPr>
          <w:rFonts w:eastAsia="Times New Roman" w:cs="Times New Roman"/>
          <w:b/>
          <w:smallCaps/>
          <w:color w:val="000000" w:themeColor="text1"/>
          <w:szCs w:val="24"/>
        </w:rPr>
        <w:tab/>
        <w:t xml:space="preserve">PLEASE </w:t>
      </w:r>
      <w:r w:rsidR="00580290" w:rsidRPr="00F6508F">
        <w:rPr>
          <w:rFonts w:eastAsia="Times New Roman" w:cs="Times New Roman"/>
          <w:b/>
          <w:smallCaps/>
          <w:color w:val="000000" w:themeColor="text1"/>
          <w:szCs w:val="24"/>
        </w:rPr>
        <w:t>DISCUSS</w:t>
      </w:r>
      <w:r w:rsidRPr="00F6508F">
        <w:rPr>
          <w:rFonts w:eastAsia="Times New Roman" w:cs="Times New Roman"/>
          <w:b/>
          <w:smallCaps/>
          <w:color w:val="000000" w:themeColor="text1"/>
          <w:szCs w:val="24"/>
        </w:rPr>
        <w:t xml:space="preserve"> THE SYSTEM EXPANSION SCENARIOS </w:t>
      </w:r>
      <w:r w:rsidR="00580290" w:rsidRPr="00F6508F">
        <w:rPr>
          <w:rFonts w:eastAsia="Times New Roman" w:cs="Times New Roman"/>
          <w:b/>
          <w:smallCaps/>
          <w:color w:val="000000" w:themeColor="text1"/>
          <w:szCs w:val="24"/>
        </w:rPr>
        <w:t>PRESENTED</w:t>
      </w:r>
      <w:r w:rsidRPr="00F6508F">
        <w:rPr>
          <w:rFonts w:eastAsia="Times New Roman" w:cs="Times New Roman"/>
          <w:b/>
          <w:smallCaps/>
          <w:color w:val="000000" w:themeColor="text1"/>
          <w:szCs w:val="24"/>
        </w:rPr>
        <w:t xml:space="preserve"> BY GEORGIA POWER AND COMMENT ON THE UNDERLYING ASSUMPTIONS.</w:t>
      </w:r>
    </w:p>
    <w:p w14:paraId="69DD12D3" w14:textId="6183CDF7" w:rsidR="001D596C" w:rsidRDefault="00447F55" w:rsidP="001D596C">
      <w:pPr>
        <w:pStyle w:val="Answer"/>
        <w:spacing w:before="0" w:after="0"/>
        <w:jc w:val="both"/>
        <w:rPr>
          <w:rFonts w:cs="Times New Roman"/>
          <w:b/>
          <w:bCs/>
          <w:color w:val="000000" w:themeColor="text1"/>
          <w:szCs w:val="24"/>
        </w:rPr>
      </w:pPr>
      <w:r w:rsidRPr="00F6508F">
        <w:rPr>
          <w:color w:val="000000" w:themeColor="text1"/>
        </w:rPr>
        <w:t>A:</w:t>
      </w:r>
      <w:r w:rsidRPr="00F6508F">
        <w:rPr>
          <w:color w:val="000000" w:themeColor="text1"/>
        </w:rPr>
        <w:tab/>
        <w:t>We begin with one table and one figure</w:t>
      </w:r>
      <w:r w:rsidR="001811E7" w:rsidRPr="00F6508F">
        <w:rPr>
          <w:color w:val="000000" w:themeColor="text1"/>
        </w:rPr>
        <w:t xml:space="preserve">. </w:t>
      </w:r>
      <w:r w:rsidR="004012A1" w:rsidRPr="00F6508F">
        <w:rPr>
          <w:color w:val="000000" w:themeColor="text1"/>
        </w:rPr>
        <w:t>First</w:t>
      </w:r>
      <w:r w:rsidR="00ED63A6">
        <w:rPr>
          <w:color w:val="000000" w:themeColor="text1"/>
        </w:rPr>
        <w:t>, Table 2</w:t>
      </w:r>
      <w:r w:rsidR="004012A1" w:rsidRPr="00F6508F">
        <w:rPr>
          <w:color w:val="000000" w:themeColor="text1"/>
        </w:rPr>
        <w:t xml:space="preserve"> is taken from</w:t>
      </w:r>
      <w:r w:rsidR="007747D3" w:rsidRPr="00F6508F">
        <w:rPr>
          <w:color w:val="000000" w:themeColor="text1"/>
        </w:rPr>
        <w:t xml:space="preserve"> </w:t>
      </w:r>
      <w:r w:rsidR="0025361C" w:rsidRPr="00F6508F">
        <w:rPr>
          <w:color w:val="000000" w:themeColor="text1"/>
        </w:rPr>
        <w:t xml:space="preserve">the </w:t>
      </w:r>
      <w:r w:rsidR="00CF75E9">
        <w:rPr>
          <w:color w:val="000000" w:themeColor="text1"/>
        </w:rPr>
        <w:t xml:space="preserve">Georgia Power’s 2022 </w:t>
      </w:r>
      <w:r w:rsidR="0025361C" w:rsidRPr="00F6508F">
        <w:rPr>
          <w:color w:val="000000" w:themeColor="text1"/>
        </w:rPr>
        <w:t>IRP Main Document, page 7-34</w:t>
      </w:r>
      <w:r w:rsidR="001811E7" w:rsidRPr="00F6508F">
        <w:rPr>
          <w:color w:val="000000" w:themeColor="text1"/>
        </w:rPr>
        <w:t xml:space="preserve">. </w:t>
      </w:r>
      <w:r w:rsidR="0025361C" w:rsidRPr="00F6508F">
        <w:rPr>
          <w:color w:val="000000" w:themeColor="text1"/>
        </w:rPr>
        <w:t xml:space="preserve">It shows the </w:t>
      </w:r>
      <w:r w:rsidR="00316145" w:rsidRPr="00F6508F">
        <w:rPr>
          <w:color w:val="000000" w:themeColor="text1"/>
        </w:rPr>
        <w:t xml:space="preserve">assumptions used in </w:t>
      </w:r>
      <w:r w:rsidR="0025361C" w:rsidRPr="00F6508F">
        <w:rPr>
          <w:color w:val="000000" w:themeColor="text1"/>
        </w:rPr>
        <w:t>modeling</w:t>
      </w:r>
      <w:r w:rsidR="00316145" w:rsidRPr="00F6508F">
        <w:rPr>
          <w:color w:val="000000" w:themeColor="text1"/>
        </w:rPr>
        <w:t xml:space="preserve">, consisting of a </w:t>
      </w:r>
      <w:r w:rsidR="0025361C" w:rsidRPr="00F6508F">
        <w:rPr>
          <w:color w:val="000000" w:themeColor="text1"/>
        </w:rPr>
        <w:t xml:space="preserve">range of values for natural gas prices, cost of carbon, </w:t>
      </w:r>
      <w:r w:rsidR="00316145" w:rsidRPr="00F6508F">
        <w:rPr>
          <w:color w:val="000000" w:themeColor="text1"/>
        </w:rPr>
        <w:t>technology breakthroughs, etc.</w:t>
      </w:r>
      <w:r w:rsidR="0025361C" w:rsidRPr="00F6508F">
        <w:rPr>
          <w:color w:val="000000" w:themeColor="text1"/>
        </w:rPr>
        <w:t xml:space="preserve"> </w:t>
      </w:r>
      <w:r w:rsidR="00AA683D" w:rsidRPr="00F6508F">
        <w:rPr>
          <w:color w:val="000000" w:themeColor="text1"/>
        </w:rPr>
        <w:t xml:space="preserve">In a column on the right, </w:t>
      </w:r>
      <w:r w:rsidR="00ED63A6">
        <w:rPr>
          <w:color w:val="000000" w:themeColor="text1"/>
        </w:rPr>
        <w:t>beside</w:t>
      </w:r>
      <w:r w:rsidR="00AA683D" w:rsidRPr="00F6508F">
        <w:rPr>
          <w:color w:val="000000" w:themeColor="text1"/>
        </w:rPr>
        <w:t xml:space="preserve"> the</w:t>
      </w:r>
      <w:r w:rsidR="00ED63A6">
        <w:rPr>
          <w:color w:val="000000" w:themeColor="text1"/>
        </w:rPr>
        <w:t xml:space="preserve"> original</w:t>
      </w:r>
      <w:r w:rsidR="00AA683D" w:rsidRPr="00F6508F">
        <w:rPr>
          <w:color w:val="000000" w:themeColor="text1"/>
        </w:rPr>
        <w:t xml:space="preserve"> table</w:t>
      </w:r>
      <w:r w:rsidR="00C802D1">
        <w:rPr>
          <w:color w:val="000000" w:themeColor="text1"/>
        </w:rPr>
        <w:t xml:space="preserve">, I inserted </w:t>
      </w:r>
      <w:r w:rsidR="00AA683D" w:rsidRPr="00F6508F">
        <w:rPr>
          <w:color w:val="000000" w:themeColor="text1"/>
        </w:rPr>
        <w:t>a column of the net present value of the costs (in $</w:t>
      </w:r>
      <w:r w:rsidR="001811E7" w:rsidRPr="00F6508F">
        <w:rPr>
          <w:color w:val="000000" w:themeColor="text1"/>
        </w:rPr>
        <w:t>000</w:t>
      </w:r>
      <w:r w:rsidR="00AA683D" w:rsidRPr="00F6508F">
        <w:rPr>
          <w:color w:val="000000" w:themeColor="text1"/>
        </w:rPr>
        <w:t xml:space="preserve">) </w:t>
      </w:r>
      <w:r w:rsidR="00280A6B" w:rsidRPr="00F6508F">
        <w:rPr>
          <w:color w:val="000000" w:themeColor="text1"/>
        </w:rPr>
        <w:t>for</w:t>
      </w:r>
      <w:r w:rsidR="00AA683D" w:rsidRPr="00F6508F">
        <w:rPr>
          <w:color w:val="000000" w:themeColor="text1"/>
        </w:rPr>
        <w:t xml:space="preserve"> each scenario.</w:t>
      </w:r>
      <w:r w:rsidR="00280A6B" w:rsidRPr="00F6508F">
        <w:rPr>
          <w:rStyle w:val="FootnoteReference"/>
          <w:rFonts w:eastAsia="Times New Roman" w:cs="Times New Roman"/>
          <w:color w:val="000000" w:themeColor="text1"/>
          <w:szCs w:val="24"/>
        </w:rPr>
        <w:footnoteReference w:id="11"/>
      </w:r>
      <w:r w:rsidR="00AA683D" w:rsidRPr="00F6508F">
        <w:rPr>
          <w:color w:val="000000" w:themeColor="text1"/>
        </w:rPr>
        <w:t xml:space="preserve"> </w:t>
      </w:r>
      <w:r w:rsidR="001D596C">
        <w:rPr>
          <w:rFonts w:cs="Times New Roman"/>
          <w:b/>
          <w:bCs/>
          <w:color w:val="000000" w:themeColor="text1"/>
          <w:szCs w:val="24"/>
        </w:rPr>
        <w:br w:type="page"/>
      </w:r>
    </w:p>
    <w:p w14:paraId="34FD901F" w14:textId="5D037CF1" w:rsidR="007D2D8E" w:rsidRDefault="0070784F" w:rsidP="00860B91">
      <w:pPr>
        <w:spacing w:after="0"/>
        <w:jc w:val="center"/>
        <w:rPr>
          <w:rFonts w:cs="Times New Roman"/>
          <w:b/>
          <w:bCs/>
          <w:color w:val="000000" w:themeColor="text1"/>
          <w:szCs w:val="24"/>
        </w:rPr>
      </w:pPr>
      <w:r w:rsidRPr="00AA49B7">
        <w:rPr>
          <w:rFonts w:cs="Times New Roman"/>
          <w:b/>
          <w:bCs/>
          <w:color w:val="000000" w:themeColor="text1"/>
          <w:szCs w:val="24"/>
        </w:rPr>
        <w:lastRenderedPageBreak/>
        <w:t xml:space="preserve">Table 2. </w:t>
      </w:r>
      <w:r w:rsidR="00744AFF">
        <w:rPr>
          <w:rFonts w:cs="Times New Roman"/>
          <w:b/>
          <w:bCs/>
          <w:color w:val="000000" w:themeColor="text1"/>
          <w:szCs w:val="24"/>
        </w:rPr>
        <w:t xml:space="preserve">Georgia Power’s </w:t>
      </w:r>
      <w:r w:rsidR="00AA49B7" w:rsidRPr="00AA49B7">
        <w:rPr>
          <w:rFonts w:cs="Times New Roman"/>
          <w:b/>
          <w:bCs/>
          <w:color w:val="000000" w:themeColor="text1"/>
          <w:szCs w:val="24"/>
        </w:rPr>
        <w:t>B2022 Scenario Design</w:t>
      </w:r>
    </w:p>
    <w:p w14:paraId="0E85A226" w14:textId="6EEBB4E9" w:rsidR="00860B91" w:rsidRDefault="00860B91" w:rsidP="00860B91">
      <w:pPr>
        <w:widowControl w:val="0"/>
        <w:spacing w:after="0"/>
        <w:jc w:val="center"/>
        <w:rPr>
          <w:color w:val="000000" w:themeColor="text1"/>
        </w:rPr>
      </w:pPr>
      <w:r w:rsidRPr="00860B91">
        <w:rPr>
          <w:noProof/>
          <w:color w:val="000000" w:themeColor="text1"/>
        </w:rPr>
        <w:drawing>
          <wp:inline distT="0" distB="0" distL="0" distR="0" wp14:anchorId="3A91A8BD" wp14:editId="35D57116">
            <wp:extent cx="5451453" cy="2194560"/>
            <wp:effectExtent l="0" t="0" r="0" b="0"/>
            <wp:docPr id="1" name="Picture 1"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Table&#10;&#10;Description automatically generated"/>
                    <pic:cNvPicPr/>
                  </pic:nvPicPr>
                  <pic:blipFill>
                    <a:blip r:embed="rId10"/>
                    <a:stretch>
                      <a:fillRect/>
                    </a:stretch>
                  </pic:blipFill>
                  <pic:spPr>
                    <a:xfrm>
                      <a:off x="0" y="0"/>
                      <a:ext cx="5514617" cy="2219988"/>
                    </a:xfrm>
                    <a:prstGeom prst="rect">
                      <a:avLst/>
                    </a:prstGeom>
                  </pic:spPr>
                </pic:pic>
              </a:graphicData>
            </a:graphic>
          </wp:inline>
        </w:drawing>
      </w:r>
    </w:p>
    <w:p w14:paraId="0C9CA119" w14:textId="77777777" w:rsidR="008F027B" w:rsidRDefault="008F027B" w:rsidP="00AF6A51">
      <w:pPr>
        <w:keepNext/>
        <w:pBdr>
          <w:top w:val="nil"/>
          <w:left w:val="nil"/>
          <w:bottom w:val="nil"/>
          <w:right w:val="nil"/>
          <w:between w:val="nil"/>
        </w:pBdr>
        <w:spacing w:after="0"/>
        <w:jc w:val="both"/>
        <w:rPr>
          <w:color w:val="000000" w:themeColor="text1"/>
        </w:rPr>
      </w:pPr>
    </w:p>
    <w:p w14:paraId="10106075" w14:textId="60328170" w:rsidR="001343C7" w:rsidRDefault="001343C7" w:rsidP="00AF6A51">
      <w:pPr>
        <w:keepNext/>
        <w:pBdr>
          <w:top w:val="nil"/>
          <w:left w:val="nil"/>
          <w:bottom w:val="nil"/>
          <w:right w:val="nil"/>
          <w:between w:val="nil"/>
        </w:pBdr>
        <w:spacing w:after="0"/>
        <w:jc w:val="both"/>
        <w:rPr>
          <w:color w:val="000000" w:themeColor="text1"/>
        </w:rPr>
      </w:pPr>
      <w:r>
        <w:rPr>
          <w:color w:val="000000" w:themeColor="text1"/>
        </w:rPr>
        <w:t xml:space="preserve">Second, Figure </w:t>
      </w:r>
      <w:r w:rsidR="00E638C7">
        <w:rPr>
          <w:color w:val="000000" w:themeColor="text1"/>
        </w:rPr>
        <w:t>2</w:t>
      </w:r>
      <w:r>
        <w:rPr>
          <w:color w:val="000000" w:themeColor="text1"/>
        </w:rPr>
        <w:t xml:space="preserve"> </w:t>
      </w:r>
      <w:r w:rsidRPr="00F6508F">
        <w:rPr>
          <w:color w:val="000000" w:themeColor="text1"/>
        </w:rPr>
        <w:t xml:space="preserve">is a graph showing the generic capacity expansion plans associated with each of the scenarios listed in </w:t>
      </w:r>
      <w:r w:rsidR="00054DE9">
        <w:rPr>
          <w:color w:val="000000" w:themeColor="text1"/>
        </w:rPr>
        <w:t>Table</w:t>
      </w:r>
      <w:r w:rsidRPr="00F6508F">
        <w:rPr>
          <w:color w:val="000000" w:themeColor="text1"/>
        </w:rPr>
        <w:t xml:space="preserve"> </w:t>
      </w:r>
      <w:r w:rsidR="00054DE9">
        <w:rPr>
          <w:color w:val="000000" w:themeColor="text1"/>
        </w:rPr>
        <w:t>2</w:t>
      </w:r>
      <w:r w:rsidRPr="00F6508F">
        <w:rPr>
          <w:color w:val="000000" w:themeColor="text1"/>
        </w:rPr>
        <w:t xml:space="preserve">. Unfortunately, the columns on the graph in </w:t>
      </w:r>
      <w:r w:rsidR="00054DE9">
        <w:rPr>
          <w:color w:val="000000" w:themeColor="text1"/>
        </w:rPr>
        <w:t>Figure</w:t>
      </w:r>
      <w:r>
        <w:rPr>
          <w:color w:val="000000" w:themeColor="text1"/>
        </w:rPr>
        <w:t xml:space="preserve"> 2</w:t>
      </w:r>
      <w:r w:rsidRPr="00F6508F">
        <w:rPr>
          <w:color w:val="000000" w:themeColor="text1"/>
        </w:rPr>
        <w:t xml:space="preserve"> are not in the same order as the rows in </w:t>
      </w:r>
      <w:r w:rsidR="00054DE9">
        <w:rPr>
          <w:color w:val="000000" w:themeColor="text1"/>
        </w:rPr>
        <w:t>Table</w:t>
      </w:r>
      <w:r w:rsidRPr="00F6508F">
        <w:rPr>
          <w:color w:val="000000" w:themeColor="text1"/>
        </w:rPr>
        <w:t xml:space="preserve"> </w:t>
      </w:r>
      <w:r w:rsidR="00054DE9">
        <w:rPr>
          <w:color w:val="000000" w:themeColor="text1"/>
        </w:rPr>
        <w:t>2</w:t>
      </w:r>
      <w:r>
        <w:rPr>
          <w:color w:val="000000" w:themeColor="text1"/>
        </w:rPr>
        <w:t>,</w:t>
      </w:r>
      <w:r w:rsidRPr="00F6508F">
        <w:rPr>
          <w:color w:val="000000" w:themeColor="text1"/>
        </w:rPr>
        <w:t xml:space="preserve"> but they can be matched using the scenario “Short Name.” </w:t>
      </w:r>
    </w:p>
    <w:p w14:paraId="7485AB0F" w14:textId="77777777" w:rsidR="00AF6A51" w:rsidRDefault="00AF6A51" w:rsidP="00AF6A51">
      <w:pPr>
        <w:keepNext/>
        <w:pBdr>
          <w:top w:val="nil"/>
          <w:left w:val="nil"/>
          <w:bottom w:val="nil"/>
          <w:right w:val="nil"/>
          <w:between w:val="nil"/>
        </w:pBdr>
        <w:spacing w:after="0"/>
        <w:jc w:val="both"/>
        <w:rPr>
          <w:color w:val="000000" w:themeColor="text1"/>
        </w:rPr>
      </w:pPr>
    </w:p>
    <w:p w14:paraId="29D589E3" w14:textId="09AAC5F0" w:rsidR="00744AFF" w:rsidRPr="001343C7" w:rsidRDefault="00744AFF" w:rsidP="001343C7">
      <w:pPr>
        <w:keepNext/>
        <w:pBdr>
          <w:top w:val="nil"/>
          <w:left w:val="nil"/>
          <w:bottom w:val="nil"/>
          <w:right w:val="nil"/>
          <w:between w:val="nil"/>
        </w:pBdr>
        <w:spacing w:after="0"/>
        <w:ind w:left="1440" w:hanging="720"/>
        <w:jc w:val="center"/>
        <w:rPr>
          <w:b/>
          <w:bCs/>
          <w:color w:val="000000" w:themeColor="text1"/>
        </w:rPr>
      </w:pPr>
      <w:r w:rsidRPr="001343C7">
        <w:rPr>
          <w:b/>
          <w:bCs/>
          <w:color w:val="000000" w:themeColor="text1"/>
        </w:rPr>
        <w:t xml:space="preserve">Figure </w:t>
      </w:r>
      <w:r w:rsidR="00054DE9">
        <w:rPr>
          <w:b/>
          <w:bCs/>
          <w:color w:val="000000" w:themeColor="text1"/>
        </w:rPr>
        <w:t>2</w:t>
      </w:r>
      <w:r w:rsidRPr="001343C7">
        <w:rPr>
          <w:b/>
          <w:bCs/>
          <w:color w:val="000000" w:themeColor="text1"/>
        </w:rPr>
        <w:t xml:space="preserve">. </w:t>
      </w:r>
      <w:r w:rsidR="001343C7" w:rsidRPr="001343C7">
        <w:rPr>
          <w:b/>
          <w:bCs/>
          <w:color w:val="000000" w:themeColor="text1"/>
        </w:rPr>
        <w:t>Georgia Power’s Expansion Plan Results</w:t>
      </w:r>
    </w:p>
    <w:p w14:paraId="6B7A64F1" w14:textId="485544F7" w:rsidR="004F60DA" w:rsidRPr="00F6508F" w:rsidRDefault="00580290" w:rsidP="001343C7">
      <w:pPr>
        <w:pStyle w:val="Caption"/>
        <w:spacing w:after="0" w:line="480" w:lineRule="auto"/>
        <w:jc w:val="center"/>
        <w:rPr>
          <w:rFonts w:ascii="Times New Roman" w:eastAsia="Times New Roman" w:hAnsi="Times New Roman" w:cs="Times New Roman"/>
          <w:b/>
          <w:color w:val="000000" w:themeColor="text1"/>
          <w:sz w:val="24"/>
          <w:szCs w:val="24"/>
        </w:rPr>
      </w:pPr>
      <w:r w:rsidRPr="00F6508F">
        <w:rPr>
          <w:noProof/>
          <w:color w:val="000000" w:themeColor="text1"/>
        </w:rPr>
        <w:drawing>
          <wp:inline distT="0" distB="0" distL="0" distR="0" wp14:anchorId="6B7A653E" wp14:editId="35209F58">
            <wp:extent cx="5324226" cy="2604880"/>
            <wp:effectExtent l="19050" t="19050" r="0" b="5080"/>
            <wp:docPr id="8" name="image8.png" descr="Chart, bar char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8.png" descr="Chart, bar chart&#10;&#10;Description automatically generated"/>
                    <pic:cNvPicPr preferRelativeResize="0"/>
                  </pic:nvPicPr>
                  <pic:blipFill rotWithShape="1">
                    <a:blip r:embed="rId11">
                      <a:extLst>
                        <a:ext uri="{28A0092B-C50C-407E-A947-70E740481C1C}">
                          <a14:useLocalDpi xmlns:a14="http://schemas.microsoft.com/office/drawing/2010/main" val="0"/>
                        </a:ext>
                      </a:extLst>
                    </a:blip>
                    <a:srcRect t="8875"/>
                    <a:stretch/>
                  </pic:blipFill>
                  <pic:spPr bwMode="auto">
                    <a:xfrm>
                      <a:off x="0" y="0"/>
                      <a:ext cx="5362950" cy="2623826"/>
                    </a:xfrm>
                    <a:prstGeom prst="rect">
                      <a:avLst/>
                    </a:prstGeom>
                    <a:ln w="12700" cap="flat" cmpd="sng" algn="ctr">
                      <a:solidFill>
                        <a:srgbClr val="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221F7B84" w14:textId="77777777" w:rsidR="001574B8" w:rsidRDefault="001574B8" w:rsidP="00AF6A51">
      <w:pPr>
        <w:spacing w:after="0"/>
        <w:jc w:val="both"/>
        <w:rPr>
          <w:color w:val="000000" w:themeColor="text1"/>
        </w:rPr>
      </w:pPr>
    </w:p>
    <w:p w14:paraId="59657B5E" w14:textId="13A82CBE" w:rsidR="00EE64CF" w:rsidRDefault="001574B8" w:rsidP="00AF6A51">
      <w:pPr>
        <w:spacing w:after="0"/>
        <w:jc w:val="both"/>
        <w:rPr>
          <w:color w:val="000000" w:themeColor="text1"/>
        </w:rPr>
      </w:pPr>
      <w:r>
        <w:rPr>
          <w:color w:val="000000" w:themeColor="text1"/>
        </w:rPr>
        <w:t>For example</w:t>
      </w:r>
      <w:r w:rsidRPr="00F6508F">
        <w:rPr>
          <w:color w:val="000000" w:themeColor="text1"/>
        </w:rPr>
        <w:t>, the net present value of the costs of the first scenario</w:t>
      </w:r>
      <w:r>
        <w:rPr>
          <w:color w:val="000000" w:themeColor="text1"/>
        </w:rPr>
        <w:t xml:space="preserve"> </w:t>
      </w:r>
      <w:r w:rsidRPr="00F6508F">
        <w:rPr>
          <w:color w:val="000000" w:themeColor="text1"/>
        </w:rPr>
        <w:t xml:space="preserve">in </w:t>
      </w:r>
      <w:r w:rsidR="00C64EEC">
        <w:rPr>
          <w:color w:val="000000" w:themeColor="text1"/>
        </w:rPr>
        <w:t>Table</w:t>
      </w:r>
      <w:r w:rsidRPr="00F6508F">
        <w:rPr>
          <w:color w:val="000000" w:themeColor="text1"/>
        </w:rPr>
        <w:t> </w:t>
      </w:r>
      <w:r w:rsidR="00C64EEC">
        <w:rPr>
          <w:color w:val="000000" w:themeColor="text1"/>
        </w:rPr>
        <w:t>2</w:t>
      </w:r>
      <w:r w:rsidRPr="00F6508F">
        <w:rPr>
          <w:color w:val="000000" w:themeColor="text1"/>
        </w:rPr>
        <w:t xml:space="preserve"> is $85,030,713.</w:t>
      </w:r>
      <w:r>
        <w:rPr>
          <w:color w:val="000000" w:themeColor="text1"/>
        </w:rPr>
        <w:t xml:space="preserve"> </w:t>
      </w:r>
      <w:r w:rsidR="00EE64CF" w:rsidRPr="00F6508F">
        <w:rPr>
          <w:color w:val="000000" w:themeColor="text1"/>
        </w:rPr>
        <w:t>Th</w:t>
      </w:r>
      <w:r w:rsidR="003A1574" w:rsidRPr="00F6508F">
        <w:rPr>
          <w:color w:val="000000" w:themeColor="text1"/>
        </w:rPr>
        <w:t>e</w:t>
      </w:r>
      <w:r w:rsidR="00EE64CF" w:rsidRPr="00F6508F">
        <w:rPr>
          <w:color w:val="000000" w:themeColor="text1"/>
        </w:rPr>
        <w:t xml:space="preserve"> “Short Name” for this scenario is “MG0</w:t>
      </w:r>
      <w:r w:rsidR="001129B1" w:rsidRPr="00F6508F">
        <w:rPr>
          <w:color w:val="000000" w:themeColor="text1"/>
        </w:rPr>
        <w:t>”</w:t>
      </w:r>
      <w:r w:rsidR="001811E7" w:rsidRPr="00F6508F">
        <w:rPr>
          <w:color w:val="000000" w:themeColor="text1"/>
        </w:rPr>
        <w:t xml:space="preserve">. </w:t>
      </w:r>
      <w:r w:rsidR="003A1574" w:rsidRPr="00F6508F">
        <w:rPr>
          <w:color w:val="000000" w:themeColor="text1"/>
        </w:rPr>
        <w:t xml:space="preserve">Moving to the </w:t>
      </w:r>
      <w:r w:rsidR="001129B1" w:rsidRPr="00F6508F">
        <w:rPr>
          <w:color w:val="000000" w:themeColor="text1"/>
        </w:rPr>
        <w:t xml:space="preserve">bar </w:t>
      </w:r>
      <w:r w:rsidR="00B407EE">
        <w:rPr>
          <w:color w:val="000000" w:themeColor="text1"/>
        </w:rPr>
        <w:t>chart</w:t>
      </w:r>
      <w:r w:rsidR="001129B1" w:rsidRPr="00F6508F">
        <w:rPr>
          <w:color w:val="000000" w:themeColor="text1"/>
        </w:rPr>
        <w:t xml:space="preserve"> in Figure 2, </w:t>
      </w:r>
      <w:r w:rsidR="003A1574" w:rsidRPr="00F6508F">
        <w:rPr>
          <w:color w:val="000000" w:themeColor="text1"/>
        </w:rPr>
        <w:t xml:space="preserve">we see that </w:t>
      </w:r>
      <w:r w:rsidR="001129B1" w:rsidRPr="00F6508F">
        <w:rPr>
          <w:color w:val="000000" w:themeColor="text1"/>
        </w:rPr>
        <w:t xml:space="preserve">“MG0” corresponds to the third </w:t>
      </w:r>
      <w:r w:rsidR="00B407EE">
        <w:rPr>
          <w:color w:val="000000" w:themeColor="text1"/>
        </w:rPr>
        <w:t>bar from the left in the chart</w:t>
      </w:r>
      <w:r w:rsidR="001129B1" w:rsidRPr="00F6508F">
        <w:rPr>
          <w:color w:val="000000" w:themeColor="text1"/>
        </w:rPr>
        <w:t>.</w:t>
      </w:r>
    </w:p>
    <w:p w14:paraId="09EFC6C4" w14:textId="77777777" w:rsidR="00AF6A51" w:rsidRPr="00F6508F" w:rsidRDefault="00AF6A51" w:rsidP="00AF6A51">
      <w:pPr>
        <w:spacing w:after="0"/>
        <w:jc w:val="both"/>
        <w:rPr>
          <w:color w:val="000000" w:themeColor="text1"/>
        </w:rPr>
      </w:pPr>
    </w:p>
    <w:p w14:paraId="6223EC21" w14:textId="47174930" w:rsidR="005247F9" w:rsidRPr="00F6508F" w:rsidRDefault="001129B1" w:rsidP="000656E2">
      <w:pPr>
        <w:pStyle w:val="Question"/>
        <w:jc w:val="both"/>
        <w:rPr>
          <w:color w:val="000000" w:themeColor="text1"/>
        </w:rPr>
      </w:pPr>
      <w:r w:rsidRPr="00F6508F">
        <w:rPr>
          <w:color w:val="000000" w:themeColor="text1"/>
        </w:rPr>
        <w:t>Q:</w:t>
      </w:r>
      <w:r w:rsidRPr="00F6508F">
        <w:rPr>
          <w:color w:val="000000" w:themeColor="text1"/>
        </w:rPr>
        <w:tab/>
        <w:t xml:space="preserve">What do these two figures </w:t>
      </w:r>
      <w:r w:rsidR="003A1574" w:rsidRPr="00F6508F">
        <w:rPr>
          <w:color w:val="000000" w:themeColor="text1"/>
        </w:rPr>
        <w:t xml:space="preserve">tell you about </w:t>
      </w:r>
      <w:r w:rsidRPr="00F6508F">
        <w:rPr>
          <w:color w:val="000000" w:themeColor="text1"/>
        </w:rPr>
        <w:t>Georgia Power’s planning and modeling</w:t>
      </w:r>
      <w:r w:rsidR="003A1574" w:rsidRPr="00F6508F">
        <w:rPr>
          <w:color w:val="000000" w:themeColor="text1"/>
        </w:rPr>
        <w:t>?</w:t>
      </w:r>
    </w:p>
    <w:p w14:paraId="635F8795" w14:textId="533ED6FC" w:rsidR="003A1574" w:rsidRPr="00F6508F" w:rsidRDefault="003A1574" w:rsidP="000656E2">
      <w:pPr>
        <w:pStyle w:val="Answer"/>
        <w:spacing w:before="0" w:after="0"/>
        <w:jc w:val="both"/>
        <w:rPr>
          <w:color w:val="000000" w:themeColor="text1"/>
        </w:rPr>
      </w:pPr>
      <w:r w:rsidRPr="00F6508F">
        <w:rPr>
          <w:color w:val="000000" w:themeColor="text1"/>
        </w:rPr>
        <w:t>A:</w:t>
      </w:r>
      <w:r w:rsidRPr="00F6508F">
        <w:rPr>
          <w:color w:val="000000" w:themeColor="text1"/>
        </w:rPr>
        <w:tab/>
        <w:t xml:space="preserve">First note that the capacity expansion plans for these </w:t>
      </w:r>
      <w:r w:rsidR="001811E7" w:rsidRPr="00F6508F">
        <w:rPr>
          <w:color w:val="000000" w:themeColor="text1"/>
        </w:rPr>
        <w:t>eleven</w:t>
      </w:r>
      <w:r w:rsidRPr="00F6508F">
        <w:rPr>
          <w:color w:val="000000" w:themeColor="text1"/>
        </w:rPr>
        <w:t xml:space="preserve"> scenarios vary widely in terms of the resources that are selected in the modeling</w:t>
      </w:r>
      <w:r w:rsidR="001811E7" w:rsidRPr="00F6508F">
        <w:rPr>
          <w:color w:val="000000" w:themeColor="text1"/>
        </w:rPr>
        <w:t xml:space="preserve">. </w:t>
      </w:r>
      <w:r w:rsidRPr="00F6508F">
        <w:rPr>
          <w:color w:val="000000" w:themeColor="text1"/>
        </w:rPr>
        <w:t xml:space="preserve">Compare MG0 (medium gas cost, zero carbon </w:t>
      </w:r>
      <w:r w:rsidR="00F96117" w:rsidRPr="00F6508F">
        <w:rPr>
          <w:color w:val="000000" w:themeColor="text1"/>
        </w:rPr>
        <w:t>price</w:t>
      </w:r>
      <w:r w:rsidRPr="00F6508F">
        <w:rPr>
          <w:color w:val="000000" w:themeColor="text1"/>
        </w:rPr>
        <w:t>) with MG20</w:t>
      </w:r>
      <w:r w:rsidR="00F96117" w:rsidRPr="00F6508F">
        <w:rPr>
          <w:color w:val="000000" w:themeColor="text1"/>
        </w:rPr>
        <w:t xml:space="preserve"> (medium gas cost, $20/ton carbon price)</w:t>
      </w:r>
      <w:r w:rsidR="001811E7" w:rsidRPr="00F6508F">
        <w:rPr>
          <w:color w:val="000000" w:themeColor="text1"/>
        </w:rPr>
        <w:t xml:space="preserve">. </w:t>
      </w:r>
      <w:r w:rsidR="0048409C" w:rsidRPr="00F6508F">
        <w:rPr>
          <w:color w:val="000000" w:themeColor="text1"/>
        </w:rPr>
        <w:t>In Figure 2</w:t>
      </w:r>
      <w:r w:rsidR="00715D86" w:rsidRPr="00F6508F">
        <w:rPr>
          <w:color w:val="000000" w:themeColor="text1"/>
        </w:rPr>
        <w:t>, the</w:t>
      </w:r>
      <w:r w:rsidR="0048409C" w:rsidRPr="00F6508F">
        <w:rPr>
          <w:color w:val="000000" w:themeColor="text1"/>
        </w:rPr>
        <w:t xml:space="preserve"> </w:t>
      </w:r>
      <w:r w:rsidR="00F96117" w:rsidRPr="00F6508F">
        <w:rPr>
          <w:color w:val="000000" w:themeColor="text1"/>
        </w:rPr>
        <w:t xml:space="preserve">MG0 </w:t>
      </w:r>
      <w:r w:rsidR="00715D86" w:rsidRPr="00F6508F">
        <w:rPr>
          <w:color w:val="000000" w:themeColor="text1"/>
        </w:rPr>
        <w:t xml:space="preserve">column </w:t>
      </w:r>
      <w:r w:rsidR="00F96117" w:rsidRPr="00F6508F">
        <w:rPr>
          <w:color w:val="000000" w:themeColor="text1"/>
        </w:rPr>
        <w:t>shows substantial amounts of generation from CTs and combined cycle gas plants (</w:t>
      </w:r>
      <w:r w:rsidR="0047615F">
        <w:rPr>
          <w:color w:val="000000" w:themeColor="text1"/>
        </w:rPr>
        <w:t>“</w:t>
      </w:r>
      <w:r w:rsidR="00F96117" w:rsidRPr="00F6508F">
        <w:rPr>
          <w:color w:val="000000" w:themeColor="text1"/>
        </w:rPr>
        <w:t>CC</w:t>
      </w:r>
      <w:r w:rsidR="0047615F">
        <w:rPr>
          <w:color w:val="000000" w:themeColor="text1"/>
        </w:rPr>
        <w:t>”</w:t>
      </w:r>
      <w:r w:rsidR="00F96117" w:rsidRPr="00F6508F">
        <w:rPr>
          <w:color w:val="000000" w:themeColor="text1"/>
        </w:rPr>
        <w:t>)</w:t>
      </w:r>
      <w:r w:rsidR="001811E7" w:rsidRPr="00F6508F">
        <w:rPr>
          <w:color w:val="000000" w:themeColor="text1"/>
        </w:rPr>
        <w:t xml:space="preserve">. </w:t>
      </w:r>
      <w:r w:rsidR="00715D86" w:rsidRPr="00F6508F">
        <w:rPr>
          <w:color w:val="000000" w:themeColor="text1"/>
        </w:rPr>
        <w:t xml:space="preserve">Compare that with </w:t>
      </w:r>
      <w:r w:rsidR="00F96117" w:rsidRPr="00F6508F">
        <w:rPr>
          <w:color w:val="000000" w:themeColor="text1"/>
        </w:rPr>
        <w:t>scenario MG20, the next column to the right of MG0</w:t>
      </w:r>
      <w:r w:rsidR="001811E7" w:rsidRPr="00F6508F">
        <w:rPr>
          <w:color w:val="000000" w:themeColor="text1"/>
        </w:rPr>
        <w:t xml:space="preserve">. </w:t>
      </w:r>
      <w:r w:rsidR="00F96117" w:rsidRPr="00F6508F">
        <w:rPr>
          <w:color w:val="000000" w:themeColor="text1"/>
        </w:rPr>
        <w:t xml:space="preserve">The CTs have dropped out of the mix, </w:t>
      </w:r>
      <w:r w:rsidR="0048409C" w:rsidRPr="00F6508F">
        <w:rPr>
          <w:color w:val="000000" w:themeColor="text1"/>
        </w:rPr>
        <w:t xml:space="preserve">replaced by </w:t>
      </w:r>
      <w:r w:rsidR="00715D86" w:rsidRPr="00F6508F">
        <w:rPr>
          <w:color w:val="000000" w:themeColor="text1"/>
        </w:rPr>
        <w:t>(fewer)</w:t>
      </w:r>
      <w:r w:rsidR="0048409C" w:rsidRPr="00F6508F">
        <w:rPr>
          <w:color w:val="000000" w:themeColor="text1"/>
        </w:rPr>
        <w:t xml:space="preserve"> </w:t>
      </w:r>
      <w:r w:rsidR="008F027B" w:rsidRPr="00F6508F">
        <w:rPr>
          <w:color w:val="000000" w:themeColor="text1"/>
        </w:rPr>
        <w:t>CT</w:t>
      </w:r>
      <w:r w:rsidR="008F027B">
        <w:rPr>
          <w:color w:val="000000" w:themeColor="text1"/>
        </w:rPr>
        <w:t>s</w:t>
      </w:r>
      <w:r w:rsidR="0048409C" w:rsidRPr="00F6508F">
        <w:rPr>
          <w:color w:val="000000" w:themeColor="text1"/>
        </w:rPr>
        <w:t xml:space="preserve"> with </w:t>
      </w:r>
      <w:r w:rsidR="00B24914">
        <w:rPr>
          <w:color w:val="000000" w:themeColor="text1"/>
        </w:rPr>
        <w:t>steam Rankine cycle (“</w:t>
      </w:r>
      <w:r w:rsidR="0048409C" w:rsidRPr="00F6508F">
        <w:rPr>
          <w:color w:val="000000" w:themeColor="text1"/>
        </w:rPr>
        <w:t>SCR</w:t>
      </w:r>
      <w:r w:rsidR="00B24914">
        <w:rPr>
          <w:color w:val="000000" w:themeColor="text1"/>
        </w:rPr>
        <w:t>”)</w:t>
      </w:r>
      <w:r w:rsidR="0048409C" w:rsidRPr="00F6508F">
        <w:rPr>
          <w:color w:val="000000" w:themeColor="text1"/>
        </w:rPr>
        <w:t xml:space="preserve">; </w:t>
      </w:r>
      <w:r w:rsidR="00F96117" w:rsidRPr="00F6508F">
        <w:rPr>
          <w:color w:val="000000" w:themeColor="text1"/>
        </w:rPr>
        <w:t>the amount of CC</w:t>
      </w:r>
      <w:r w:rsidR="00062645" w:rsidRPr="00F6508F">
        <w:rPr>
          <w:color w:val="000000" w:themeColor="text1"/>
        </w:rPr>
        <w:t xml:space="preserve"> generation</w:t>
      </w:r>
      <w:r w:rsidR="00F96117" w:rsidRPr="00F6508F">
        <w:rPr>
          <w:color w:val="000000" w:themeColor="text1"/>
        </w:rPr>
        <w:t xml:space="preserve"> is </w:t>
      </w:r>
      <w:r w:rsidR="0048409C" w:rsidRPr="00F6508F">
        <w:rPr>
          <w:color w:val="000000" w:themeColor="text1"/>
        </w:rPr>
        <w:t>reduced by about 60%; 8-hour batteries show up as a selected resource</w:t>
      </w:r>
      <w:r w:rsidR="00062645" w:rsidRPr="00F6508F">
        <w:rPr>
          <w:color w:val="000000" w:themeColor="text1"/>
        </w:rPr>
        <w:t xml:space="preserve"> and </w:t>
      </w:r>
      <w:r w:rsidR="0048409C" w:rsidRPr="00F6508F">
        <w:rPr>
          <w:color w:val="000000" w:themeColor="text1"/>
        </w:rPr>
        <w:t xml:space="preserve">the use of 4-hour batteries </w:t>
      </w:r>
      <w:r w:rsidR="00715D86" w:rsidRPr="00F6508F">
        <w:rPr>
          <w:color w:val="000000" w:themeColor="text1"/>
        </w:rPr>
        <w:t>quadruples</w:t>
      </w:r>
      <w:r w:rsidR="0048409C" w:rsidRPr="00F6508F">
        <w:rPr>
          <w:color w:val="000000" w:themeColor="text1"/>
        </w:rPr>
        <w:t xml:space="preserve">; </w:t>
      </w:r>
      <w:r w:rsidR="00062645" w:rsidRPr="00F6508F">
        <w:rPr>
          <w:color w:val="000000" w:themeColor="text1"/>
        </w:rPr>
        <w:t>finally,</w:t>
      </w:r>
      <w:r w:rsidR="0048409C" w:rsidRPr="00F6508F">
        <w:rPr>
          <w:color w:val="000000" w:themeColor="text1"/>
        </w:rPr>
        <w:t xml:space="preserve"> the amount of solar capacity more than triples.</w:t>
      </w:r>
      <w:r w:rsidR="00062645" w:rsidRPr="00F6508F">
        <w:rPr>
          <w:color w:val="000000" w:themeColor="text1"/>
        </w:rPr>
        <w:t xml:space="preserve"> </w:t>
      </w:r>
    </w:p>
    <w:p w14:paraId="3466BE62" w14:textId="6F06FA22" w:rsidR="00062645" w:rsidRDefault="00062645" w:rsidP="000656E2">
      <w:pPr>
        <w:pStyle w:val="Answer"/>
        <w:spacing w:before="0" w:after="0"/>
        <w:jc w:val="both"/>
        <w:rPr>
          <w:color w:val="000000" w:themeColor="text1"/>
        </w:rPr>
      </w:pPr>
      <w:r w:rsidRPr="00F6508F">
        <w:rPr>
          <w:color w:val="000000" w:themeColor="text1"/>
        </w:rPr>
        <w:tab/>
        <w:t xml:space="preserve">To emphasize, changing </w:t>
      </w:r>
      <w:r w:rsidRPr="00F6508F">
        <w:rPr>
          <w:i/>
          <w:iCs/>
          <w:color w:val="000000" w:themeColor="text1"/>
        </w:rPr>
        <w:t>only</w:t>
      </w:r>
      <w:r w:rsidRPr="00F6508F">
        <w:rPr>
          <w:color w:val="000000" w:themeColor="text1"/>
        </w:rPr>
        <w:t xml:space="preserve"> the assumption that a $20/ton cost of carbon is adopted or imposed, compared to Georgia Power’s assumption of $0</w:t>
      </w:r>
      <w:r w:rsidR="00715D86" w:rsidRPr="00F6508F">
        <w:rPr>
          <w:color w:val="000000" w:themeColor="text1"/>
        </w:rPr>
        <w:t>/ton, fundamentally changes the suite of resources selected.</w:t>
      </w:r>
    </w:p>
    <w:p w14:paraId="79B6E289" w14:textId="77777777" w:rsidR="000656E2" w:rsidRPr="00F6508F" w:rsidRDefault="000656E2" w:rsidP="000656E2">
      <w:pPr>
        <w:pStyle w:val="Answer"/>
        <w:spacing w:before="0" w:after="0"/>
        <w:jc w:val="both"/>
        <w:rPr>
          <w:color w:val="000000" w:themeColor="text1"/>
        </w:rPr>
      </w:pPr>
    </w:p>
    <w:p w14:paraId="258E858E" w14:textId="1B3F4331" w:rsidR="00715D86" w:rsidRPr="00F6508F" w:rsidRDefault="00715D86" w:rsidP="000656E2">
      <w:pPr>
        <w:pStyle w:val="Question"/>
        <w:jc w:val="both"/>
        <w:rPr>
          <w:color w:val="000000" w:themeColor="text1"/>
        </w:rPr>
      </w:pPr>
      <w:r w:rsidRPr="00F6508F">
        <w:rPr>
          <w:color w:val="000000" w:themeColor="text1"/>
        </w:rPr>
        <w:lastRenderedPageBreak/>
        <w:t>Q:</w:t>
      </w:r>
      <w:r w:rsidRPr="00F6508F">
        <w:rPr>
          <w:color w:val="000000" w:themeColor="text1"/>
        </w:rPr>
        <w:tab/>
        <w:t>Do you think Georgia Power is prudent to adopt the MG0 (medium gas price, $0 carbon cost) case as its baseline?</w:t>
      </w:r>
    </w:p>
    <w:p w14:paraId="04780600" w14:textId="67A317A5" w:rsidR="005247F9" w:rsidRDefault="00715D86" w:rsidP="000656E2">
      <w:pPr>
        <w:pStyle w:val="Answer"/>
        <w:spacing w:before="0" w:after="0"/>
        <w:jc w:val="both"/>
        <w:rPr>
          <w:color w:val="000000" w:themeColor="text1"/>
        </w:rPr>
      </w:pPr>
      <w:r w:rsidRPr="00F6508F">
        <w:rPr>
          <w:color w:val="000000" w:themeColor="text1"/>
        </w:rPr>
        <w:t>A:</w:t>
      </w:r>
      <w:r w:rsidRPr="00F6508F">
        <w:rPr>
          <w:color w:val="000000" w:themeColor="text1"/>
        </w:rPr>
        <w:tab/>
      </w:r>
      <w:r w:rsidR="00471459">
        <w:rPr>
          <w:color w:val="000000" w:themeColor="text1"/>
        </w:rPr>
        <w:t>I</w:t>
      </w:r>
      <w:r w:rsidR="00071C05" w:rsidRPr="00F6508F">
        <w:rPr>
          <w:color w:val="000000" w:themeColor="text1"/>
        </w:rPr>
        <w:t>t</w:t>
      </w:r>
      <w:r w:rsidRPr="00F6508F">
        <w:rPr>
          <w:color w:val="000000" w:themeColor="text1"/>
        </w:rPr>
        <w:t xml:space="preserve"> is a risky choice in view of what we know about </w:t>
      </w:r>
      <w:r w:rsidR="00E951D9" w:rsidRPr="00F6508F">
        <w:rPr>
          <w:color w:val="000000" w:themeColor="text1"/>
        </w:rPr>
        <w:t>the United States’ emphasis on decarbonization and reduction of CO</w:t>
      </w:r>
      <w:r w:rsidR="00E951D9" w:rsidRPr="00F6508F">
        <w:rPr>
          <w:color w:val="000000" w:themeColor="text1"/>
          <w:vertAlign w:val="subscript"/>
        </w:rPr>
        <w:t>2</w:t>
      </w:r>
      <w:r w:rsidR="00E951D9" w:rsidRPr="00F6508F">
        <w:rPr>
          <w:color w:val="000000" w:themeColor="text1"/>
        </w:rPr>
        <w:t xml:space="preserve"> pollution</w:t>
      </w:r>
      <w:r w:rsidR="001811E7" w:rsidRPr="00F6508F">
        <w:rPr>
          <w:color w:val="000000" w:themeColor="text1"/>
        </w:rPr>
        <w:t xml:space="preserve">. </w:t>
      </w:r>
      <w:r w:rsidR="00503D98" w:rsidRPr="00F6508F">
        <w:rPr>
          <w:color w:val="000000" w:themeColor="text1"/>
        </w:rPr>
        <w:t>Consider that each of these scenarios is “least cost” given the input assumptions</w:t>
      </w:r>
      <w:r w:rsidR="001811E7" w:rsidRPr="00F6508F">
        <w:rPr>
          <w:color w:val="000000" w:themeColor="text1"/>
        </w:rPr>
        <w:t xml:space="preserve">. </w:t>
      </w:r>
      <w:r w:rsidR="00E951D9" w:rsidRPr="00F6508F">
        <w:rPr>
          <w:color w:val="000000" w:themeColor="text1"/>
        </w:rPr>
        <w:t xml:space="preserve">Comparing MG0 with MG20, the consumers of Georgia Power are at risk of higher costs if the future turns out to be </w:t>
      </w:r>
      <w:r w:rsidR="00503D98" w:rsidRPr="00F6508F">
        <w:rPr>
          <w:color w:val="000000" w:themeColor="text1"/>
        </w:rPr>
        <w:t xml:space="preserve">different that </w:t>
      </w:r>
      <w:r w:rsidR="00E951D9" w:rsidRPr="00F6508F">
        <w:rPr>
          <w:color w:val="000000" w:themeColor="text1"/>
        </w:rPr>
        <w:t xml:space="preserve">a </w:t>
      </w:r>
      <w:r w:rsidR="00765754" w:rsidRPr="00F6508F">
        <w:rPr>
          <w:color w:val="000000" w:themeColor="text1"/>
        </w:rPr>
        <w:t>zero-carbon</w:t>
      </w:r>
      <w:r w:rsidR="00E951D9" w:rsidRPr="00F6508F">
        <w:rPr>
          <w:color w:val="000000" w:themeColor="text1"/>
        </w:rPr>
        <w:t xml:space="preserve"> price</w:t>
      </w:r>
      <w:r w:rsidR="001811E7" w:rsidRPr="00F6508F">
        <w:rPr>
          <w:color w:val="000000" w:themeColor="text1"/>
        </w:rPr>
        <w:t xml:space="preserve">. </w:t>
      </w:r>
      <w:r w:rsidR="00E951D9" w:rsidRPr="00F6508F">
        <w:rPr>
          <w:color w:val="000000" w:themeColor="text1"/>
        </w:rPr>
        <w:t>The Company will be stuck with CTs that will need to be retrofitted</w:t>
      </w:r>
      <w:r w:rsidR="00765754">
        <w:rPr>
          <w:color w:val="000000" w:themeColor="text1"/>
        </w:rPr>
        <w:t>,</w:t>
      </w:r>
      <w:r w:rsidR="00E951D9" w:rsidRPr="00F6508F">
        <w:rPr>
          <w:color w:val="000000" w:themeColor="text1"/>
        </w:rPr>
        <w:t xml:space="preserve"> CCs that are “out of the money” compared to other resources</w:t>
      </w:r>
      <w:r w:rsidR="00765754">
        <w:rPr>
          <w:color w:val="000000" w:themeColor="text1"/>
        </w:rPr>
        <w:t>, while</w:t>
      </w:r>
      <w:r w:rsidR="00E951D9" w:rsidRPr="00F6508F">
        <w:rPr>
          <w:color w:val="000000" w:themeColor="text1"/>
        </w:rPr>
        <w:t xml:space="preserve"> having acquired almost no batteries</w:t>
      </w:r>
      <w:r w:rsidR="001811E7" w:rsidRPr="00F6508F">
        <w:rPr>
          <w:color w:val="000000" w:themeColor="text1"/>
        </w:rPr>
        <w:t xml:space="preserve">. </w:t>
      </w:r>
      <w:r w:rsidR="00E951D9" w:rsidRPr="00F6508F">
        <w:rPr>
          <w:color w:val="000000" w:themeColor="text1"/>
        </w:rPr>
        <w:t xml:space="preserve">The Company will be able to function, </w:t>
      </w:r>
      <w:r w:rsidR="00503D98" w:rsidRPr="00F6508F">
        <w:rPr>
          <w:color w:val="000000" w:themeColor="text1"/>
        </w:rPr>
        <w:t xml:space="preserve">of course, </w:t>
      </w:r>
      <w:r w:rsidR="00E951D9" w:rsidRPr="00F6508F">
        <w:rPr>
          <w:color w:val="000000" w:themeColor="text1"/>
        </w:rPr>
        <w:t>but with higher costs than necessary</w:t>
      </w:r>
      <w:r w:rsidR="00503D98" w:rsidRPr="00F6508F">
        <w:rPr>
          <w:color w:val="000000" w:themeColor="text1"/>
        </w:rPr>
        <w:t>.</w:t>
      </w:r>
    </w:p>
    <w:p w14:paraId="7BF9C3E8" w14:textId="77777777" w:rsidR="000656E2" w:rsidRPr="00F6508F" w:rsidRDefault="000656E2" w:rsidP="000656E2">
      <w:pPr>
        <w:pStyle w:val="Answer"/>
        <w:spacing w:before="0" w:after="0"/>
        <w:jc w:val="both"/>
        <w:rPr>
          <w:color w:val="000000" w:themeColor="text1"/>
        </w:rPr>
      </w:pPr>
    </w:p>
    <w:p w14:paraId="563AA8DD" w14:textId="712A0F5F" w:rsidR="00503D98" w:rsidRPr="00F6508F" w:rsidRDefault="005247F9" w:rsidP="000656E2">
      <w:pPr>
        <w:pStyle w:val="Question"/>
        <w:jc w:val="both"/>
        <w:rPr>
          <w:color w:val="000000" w:themeColor="text1"/>
        </w:rPr>
      </w:pPr>
      <w:r w:rsidRPr="00F6508F">
        <w:rPr>
          <w:color w:val="000000" w:themeColor="text1"/>
        </w:rPr>
        <w:t>Q:</w:t>
      </w:r>
      <w:r w:rsidR="00503D98" w:rsidRPr="00F6508F">
        <w:rPr>
          <w:color w:val="000000" w:themeColor="text1"/>
        </w:rPr>
        <w:tab/>
        <w:t xml:space="preserve">What assumptions are other states and utilities making </w:t>
      </w:r>
      <w:r w:rsidR="003D4E78" w:rsidRPr="00F6508F">
        <w:rPr>
          <w:color w:val="000000" w:themeColor="text1"/>
        </w:rPr>
        <w:t>ABOUT GREENHOUSE</w:t>
      </w:r>
      <w:r w:rsidR="00503D98" w:rsidRPr="00F6508F">
        <w:rPr>
          <w:color w:val="000000" w:themeColor="text1"/>
        </w:rPr>
        <w:t xml:space="preserve"> Gas Pressure?</w:t>
      </w:r>
    </w:p>
    <w:p w14:paraId="6B7A64F2" w14:textId="16D31DF8" w:rsidR="004F60DA" w:rsidRDefault="00503D98" w:rsidP="000656E2">
      <w:pPr>
        <w:pStyle w:val="Answer"/>
        <w:spacing w:before="0" w:after="0"/>
        <w:jc w:val="both"/>
        <w:rPr>
          <w:color w:val="000000" w:themeColor="text1"/>
        </w:rPr>
      </w:pPr>
      <w:r w:rsidRPr="00F6508F">
        <w:rPr>
          <w:color w:val="000000" w:themeColor="text1"/>
        </w:rPr>
        <w:t>A:</w:t>
      </w:r>
      <w:r w:rsidRPr="00F6508F">
        <w:rPr>
          <w:color w:val="000000" w:themeColor="text1"/>
        </w:rPr>
        <w:tab/>
      </w:r>
      <w:r w:rsidR="00B5018B" w:rsidRPr="00F6508F">
        <w:rPr>
          <w:color w:val="000000" w:themeColor="text1"/>
        </w:rPr>
        <w:t>A</w:t>
      </w:r>
      <w:r w:rsidRPr="00F6508F">
        <w:rPr>
          <w:color w:val="000000" w:themeColor="text1"/>
        </w:rPr>
        <w:t xml:space="preserve"> trend among states is toward using a </w:t>
      </w:r>
      <w:r w:rsidR="00B5018B" w:rsidRPr="00F6508F">
        <w:rPr>
          <w:color w:val="000000" w:themeColor="text1"/>
        </w:rPr>
        <w:t>cost of carbon that is much higher than zero</w:t>
      </w:r>
      <w:r w:rsidR="001811E7" w:rsidRPr="00F6508F">
        <w:rPr>
          <w:color w:val="000000" w:themeColor="text1"/>
        </w:rPr>
        <w:t xml:space="preserve">. </w:t>
      </w:r>
      <w:r w:rsidR="00B5018B" w:rsidRPr="00F6508F">
        <w:rPr>
          <w:color w:val="000000" w:themeColor="text1"/>
        </w:rPr>
        <w:t xml:space="preserve">Carbon </w:t>
      </w:r>
      <w:r w:rsidR="001B14CF" w:rsidRPr="00F6508F">
        <w:rPr>
          <w:color w:val="000000" w:themeColor="text1"/>
        </w:rPr>
        <w:t xml:space="preserve">prices </w:t>
      </w:r>
      <w:r w:rsidR="00B5018B" w:rsidRPr="00F6508F">
        <w:rPr>
          <w:color w:val="000000" w:themeColor="text1"/>
        </w:rPr>
        <w:t xml:space="preserve">assumed for modeling are often </w:t>
      </w:r>
      <w:r w:rsidRPr="00F6508F">
        <w:rPr>
          <w:color w:val="000000" w:themeColor="text1"/>
        </w:rPr>
        <w:t xml:space="preserve">in the range of $20 to </w:t>
      </w:r>
      <w:r w:rsidR="00FD0D93" w:rsidRPr="00F6508F">
        <w:rPr>
          <w:color w:val="000000" w:themeColor="text1"/>
        </w:rPr>
        <w:t xml:space="preserve">over </w:t>
      </w:r>
      <w:r w:rsidRPr="00F6508F">
        <w:rPr>
          <w:color w:val="000000" w:themeColor="text1"/>
        </w:rPr>
        <w:t>$50 per ton of CO</w:t>
      </w:r>
      <w:r w:rsidRPr="00F6508F">
        <w:rPr>
          <w:color w:val="000000" w:themeColor="text1"/>
          <w:vertAlign w:val="subscript"/>
        </w:rPr>
        <w:t>2</w:t>
      </w:r>
      <w:r w:rsidR="00B5018B" w:rsidRPr="00F6508F">
        <w:rPr>
          <w:color w:val="000000" w:themeColor="text1"/>
          <w:vertAlign w:val="subscript"/>
        </w:rPr>
        <w:t>,</w:t>
      </w:r>
      <w:r w:rsidR="008B4AC4" w:rsidRPr="00F6508F">
        <w:rPr>
          <w:color w:val="000000" w:themeColor="text1"/>
        </w:rPr>
        <w:t xml:space="preserve"> depending on the jurisdiction</w:t>
      </w:r>
      <w:r w:rsidR="001811E7" w:rsidRPr="00F6508F">
        <w:rPr>
          <w:color w:val="000000" w:themeColor="text1"/>
        </w:rPr>
        <w:t xml:space="preserve">. </w:t>
      </w:r>
      <w:r w:rsidRPr="00F6508F">
        <w:rPr>
          <w:color w:val="000000" w:themeColor="text1"/>
        </w:rPr>
        <w:t xml:space="preserve">To emphasize, this value is used as an input to </w:t>
      </w:r>
      <w:r w:rsidR="008B4AC4" w:rsidRPr="00F6508F">
        <w:rPr>
          <w:color w:val="000000" w:themeColor="text1"/>
        </w:rPr>
        <w:t>resource modeling: it is not simply added to the cost of power</w:t>
      </w:r>
      <w:r w:rsidR="001811E7" w:rsidRPr="00F6508F">
        <w:rPr>
          <w:color w:val="000000" w:themeColor="text1"/>
        </w:rPr>
        <w:t xml:space="preserve">. </w:t>
      </w:r>
      <w:r w:rsidR="00B5018B" w:rsidRPr="00F6508F">
        <w:rPr>
          <w:color w:val="000000" w:themeColor="text1"/>
        </w:rPr>
        <w:t xml:space="preserve">Colorado uses a price of $47 per ton; </w:t>
      </w:r>
      <w:r w:rsidR="00A653F1" w:rsidRPr="00F6508F">
        <w:rPr>
          <w:color w:val="000000" w:themeColor="text1"/>
        </w:rPr>
        <w:t>New York uses $51 per ton; Virginia</w:t>
      </w:r>
      <w:r w:rsidR="00C15FD6" w:rsidRPr="00F6508F">
        <w:rPr>
          <w:color w:val="000000" w:themeColor="text1"/>
        </w:rPr>
        <w:t>, Maryland, North Carolina, California, Nevada, Illinois, Minnesota, Maine, New Jersey, Vermont, and Washington state</w:t>
      </w:r>
      <w:r w:rsidR="00FD0D93" w:rsidRPr="00F6508F">
        <w:rPr>
          <w:color w:val="000000" w:themeColor="text1"/>
        </w:rPr>
        <w:t xml:space="preserve"> all tie carbon price assumptions directly or indirectly to estimates of the social cost of carbon emissions.</w:t>
      </w:r>
      <w:r w:rsidR="00C15FD6" w:rsidRPr="00F6508F">
        <w:rPr>
          <w:color w:val="000000" w:themeColor="text1"/>
        </w:rPr>
        <w:t xml:space="preserve"> </w:t>
      </w:r>
      <w:r w:rsidR="00B5018B" w:rsidRPr="00F6508F">
        <w:rPr>
          <w:color w:val="000000" w:themeColor="text1"/>
        </w:rPr>
        <w:t xml:space="preserve">Imputing this cost of carbon aids in making </w:t>
      </w:r>
      <w:r w:rsidR="001B14CF" w:rsidRPr="00F6508F">
        <w:rPr>
          <w:color w:val="000000" w:themeColor="text1"/>
        </w:rPr>
        <w:t xml:space="preserve">choices about </w:t>
      </w:r>
      <w:r w:rsidR="00B5018B" w:rsidRPr="00F6508F">
        <w:rPr>
          <w:color w:val="000000" w:themeColor="text1"/>
        </w:rPr>
        <w:t xml:space="preserve">resources for the future </w:t>
      </w:r>
      <w:r w:rsidR="003A0E6C" w:rsidRPr="00F6508F">
        <w:rPr>
          <w:color w:val="000000" w:themeColor="text1"/>
        </w:rPr>
        <w:t>and</w:t>
      </w:r>
      <w:r w:rsidR="00B5018B" w:rsidRPr="00F6508F">
        <w:rPr>
          <w:color w:val="000000" w:themeColor="text1"/>
        </w:rPr>
        <w:t xml:space="preserve"> adds to the economic logic about </w:t>
      </w:r>
      <w:r w:rsidR="001B14CF" w:rsidRPr="00F6508F">
        <w:rPr>
          <w:color w:val="000000" w:themeColor="text1"/>
        </w:rPr>
        <w:t>retiring</w:t>
      </w:r>
      <w:r w:rsidR="00B5018B" w:rsidRPr="00F6508F">
        <w:rPr>
          <w:color w:val="000000" w:themeColor="text1"/>
        </w:rPr>
        <w:t xml:space="preserve"> existing fossil facilities.</w:t>
      </w:r>
    </w:p>
    <w:p w14:paraId="2F00FC8D" w14:textId="77777777" w:rsidR="000656E2" w:rsidRPr="00F6508F" w:rsidRDefault="000656E2" w:rsidP="000656E2">
      <w:pPr>
        <w:pStyle w:val="Answer"/>
        <w:spacing w:before="0" w:after="0"/>
        <w:jc w:val="both"/>
        <w:rPr>
          <w:color w:val="000000" w:themeColor="text1"/>
        </w:rPr>
      </w:pPr>
    </w:p>
    <w:p w14:paraId="6B7A64FC" w14:textId="1FB091A9" w:rsidR="004F60DA" w:rsidRPr="00F6508F" w:rsidRDefault="00FD0D93" w:rsidP="000656E2">
      <w:pPr>
        <w:pStyle w:val="Question"/>
        <w:jc w:val="both"/>
        <w:rPr>
          <w:rFonts w:ascii="Times New Roman" w:hAnsi="Times New Roman"/>
          <w:color w:val="000000" w:themeColor="text1"/>
        </w:rPr>
      </w:pPr>
      <w:r w:rsidRPr="00F6508F">
        <w:rPr>
          <w:color w:val="000000" w:themeColor="text1"/>
        </w:rPr>
        <w:lastRenderedPageBreak/>
        <w:t>Q:</w:t>
      </w:r>
      <w:r w:rsidRPr="00F6508F">
        <w:rPr>
          <w:color w:val="000000" w:themeColor="text1"/>
        </w:rPr>
        <w:tab/>
      </w:r>
      <w:r w:rsidR="0093321A" w:rsidRPr="00F6508F">
        <w:rPr>
          <w:color w:val="000000" w:themeColor="text1"/>
        </w:rPr>
        <w:t>please describe a</w:t>
      </w:r>
      <w:r w:rsidR="00E2298C" w:rsidRPr="00F6508F">
        <w:rPr>
          <w:color w:val="000000" w:themeColor="text1"/>
        </w:rPr>
        <w:t>nother</w:t>
      </w:r>
      <w:r w:rsidR="0093321A" w:rsidRPr="00F6508F">
        <w:rPr>
          <w:color w:val="000000" w:themeColor="text1"/>
        </w:rPr>
        <w:t xml:space="preserve"> scenario developed by Georgia power --</w:t>
      </w:r>
      <w:r w:rsidR="00447F55" w:rsidRPr="00F6508F">
        <w:rPr>
          <w:rFonts w:ascii="Times New Roman" w:hAnsi="Times New Roman"/>
          <w:color w:val="000000" w:themeColor="text1"/>
        </w:rPr>
        <w:t xml:space="preserve"> “Aggressive DSM” </w:t>
      </w:r>
      <w:r w:rsidR="0093321A" w:rsidRPr="00F6508F">
        <w:rPr>
          <w:rFonts w:ascii="Times New Roman" w:hAnsi="Times New Roman"/>
          <w:color w:val="000000" w:themeColor="text1"/>
        </w:rPr>
        <w:t xml:space="preserve">– </w:t>
      </w:r>
      <w:r w:rsidR="00447F55" w:rsidRPr="00F6508F">
        <w:rPr>
          <w:rFonts w:ascii="Times New Roman" w:hAnsi="Times New Roman"/>
          <w:color w:val="000000" w:themeColor="text1"/>
        </w:rPr>
        <w:t>that was not displayed</w:t>
      </w:r>
      <w:r w:rsidR="0093321A" w:rsidRPr="00F6508F">
        <w:rPr>
          <w:rFonts w:ascii="Times New Roman" w:hAnsi="Times New Roman"/>
          <w:color w:val="000000" w:themeColor="text1"/>
        </w:rPr>
        <w:t xml:space="preserve"> in the </w:t>
      </w:r>
      <w:r w:rsidR="00CE7DED" w:rsidRPr="00F6508F">
        <w:rPr>
          <w:rFonts w:ascii="Times New Roman" w:hAnsi="Times New Roman"/>
          <w:color w:val="000000" w:themeColor="text1"/>
        </w:rPr>
        <w:t xml:space="preserve">Company’s </w:t>
      </w:r>
      <w:r w:rsidR="0093321A" w:rsidRPr="00F6508F">
        <w:rPr>
          <w:rFonts w:ascii="Times New Roman" w:hAnsi="Times New Roman"/>
          <w:color w:val="000000" w:themeColor="text1"/>
        </w:rPr>
        <w:t xml:space="preserve">summary in </w:t>
      </w:r>
      <w:r w:rsidR="003A0E6C">
        <w:rPr>
          <w:rFonts w:ascii="Times New Roman" w:hAnsi="Times New Roman"/>
          <w:color w:val="000000" w:themeColor="text1"/>
        </w:rPr>
        <w:t>TABLE</w:t>
      </w:r>
      <w:r w:rsidR="0093321A" w:rsidRPr="00F6508F">
        <w:rPr>
          <w:rFonts w:ascii="Times New Roman" w:hAnsi="Times New Roman"/>
          <w:color w:val="000000" w:themeColor="text1"/>
        </w:rPr>
        <w:t xml:space="preserve"> </w:t>
      </w:r>
      <w:r w:rsidR="003A0E6C">
        <w:rPr>
          <w:rFonts w:ascii="Times New Roman" w:hAnsi="Times New Roman"/>
          <w:color w:val="000000" w:themeColor="text1"/>
        </w:rPr>
        <w:t>2</w:t>
      </w:r>
      <w:r w:rsidR="0093321A" w:rsidRPr="00F6508F">
        <w:rPr>
          <w:rFonts w:ascii="Times New Roman" w:hAnsi="Times New Roman"/>
          <w:color w:val="000000" w:themeColor="text1"/>
        </w:rPr>
        <w:t>.</w:t>
      </w:r>
    </w:p>
    <w:p w14:paraId="39C581A3" w14:textId="606F0549" w:rsidR="00CE7DED" w:rsidRPr="00F6508F" w:rsidRDefault="00C73AB4" w:rsidP="000656E2">
      <w:pPr>
        <w:pStyle w:val="Answer"/>
        <w:spacing w:before="0" w:after="0"/>
        <w:jc w:val="both"/>
        <w:rPr>
          <w:color w:val="000000" w:themeColor="text1"/>
        </w:rPr>
      </w:pPr>
      <w:r w:rsidRPr="00F6508F">
        <w:rPr>
          <w:color w:val="000000" w:themeColor="text1"/>
        </w:rPr>
        <w:t>A:</w:t>
      </w:r>
      <w:r w:rsidRPr="00F6508F">
        <w:rPr>
          <w:color w:val="000000" w:themeColor="text1"/>
        </w:rPr>
        <w:tab/>
      </w:r>
      <w:r w:rsidR="0093321A" w:rsidRPr="00F6508F">
        <w:rPr>
          <w:color w:val="000000" w:themeColor="text1"/>
        </w:rPr>
        <w:t xml:space="preserve">In the addition to the </w:t>
      </w:r>
      <w:r w:rsidR="001811E7" w:rsidRPr="00F6508F">
        <w:rPr>
          <w:color w:val="000000" w:themeColor="text1"/>
        </w:rPr>
        <w:t>eleven</w:t>
      </w:r>
      <w:r w:rsidR="0093321A" w:rsidRPr="00F6508F">
        <w:rPr>
          <w:color w:val="000000" w:themeColor="text1"/>
        </w:rPr>
        <w:t xml:space="preserve"> scenarios listed in </w:t>
      </w:r>
      <w:r w:rsidR="00A57A52">
        <w:rPr>
          <w:color w:val="000000" w:themeColor="text1"/>
        </w:rPr>
        <w:t>Table 2</w:t>
      </w:r>
      <w:r w:rsidR="0093321A" w:rsidRPr="00F6508F">
        <w:rPr>
          <w:color w:val="000000" w:themeColor="text1"/>
        </w:rPr>
        <w:t>, Georgia Power priced out a scenario in which DSM was aggressively pursued</w:t>
      </w:r>
      <w:r w:rsidR="001811E7" w:rsidRPr="00F6508F">
        <w:rPr>
          <w:color w:val="000000" w:themeColor="text1"/>
        </w:rPr>
        <w:t xml:space="preserve">. </w:t>
      </w:r>
      <w:r w:rsidR="00E2298C" w:rsidRPr="00F6508F">
        <w:rPr>
          <w:color w:val="000000" w:themeColor="text1"/>
        </w:rPr>
        <w:t>The details of the resulting scenario are contained in a confidential exhibit and will not be discussed here</w:t>
      </w:r>
      <w:r w:rsidR="001811E7" w:rsidRPr="00F6508F">
        <w:rPr>
          <w:color w:val="000000" w:themeColor="text1"/>
        </w:rPr>
        <w:t xml:space="preserve">. </w:t>
      </w:r>
      <w:r w:rsidR="00E2298C" w:rsidRPr="00F6508F">
        <w:rPr>
          <w:color w:val="000000" w:themeColor="text1"/>
        </w:rPr>
        <w:t>However, we do know the cost of the Aggressive DSM scenario</w:t>
      </w:r>
      <w:r w:rsidR="001811E7" w:rsidRPr="00F6508F">
        <w:rPr>
          <w:color w:val="000000" w:themeColor="text1"/>
        </w:rPr>
        <w:t xml:space="preserve">. </w:t>
      </w:r>
      <w:r w:rsidR="00E2298C" w:rsidRPr="00F6508F">
        <w:rPr>
          <w:color w:val="000000" w:themeColor="text1"/>
        </w:rPr>
        <w:t xml:space="preserve">It turns out that the </w:t>
      </w:r>
      <w:r w:rsidR="00FE5EEC" w:rsidRPr="00F6508F">
        <w:rPr>
          <w:color w:val="000000" w:themeColor="text1"/>
        </w:rPr>
        <w:t>net present value of the cost of the Aggressive</w:t>
      </w:r>
      <w:r w:rsidR="00E2298C" w:rsidRPr="00F6508F">
        <w:rPr>
          <w:color w:val="000000" w:themeColor="text1"/>
        </w:rPr>
        <w:t xml:space="preserve"> DSM scenario</w:t>
      </w:r>
      <w:r w:rsidR="00FE5EEC" w:rsidRPr="00F6508F">
        <w:rPr>
          <w:color w:val="000000" w:themeColor="text1"/>
        </w:rPr>
        <w:t xml:space="preserve"> is</w:t>
      </w:r>
      <w:r w:rsidR="00E2298C" w:rsidRPr="00F6508F">
        <w:rPr>
          <w:color w:val="000000" w:themeColor="text1"/>
        </w:rPr>
        <w:t xml:space="preserve"> $81,948,961</w:t>
      </w:r>
      <w:r w:rsidR="001811E7" w:rsidRPr="00F6508F">
        <w:rPr>
          <w:color w:val="000000" w:themeColor="text1"/>
        </w:rPr>
        <w:t xml:space="preserve">. </w:t>
      </w:r>
      <w:r w:rsidR="00FE5EEC" w:rsidRPr="00F6508F">
        <w:rPr>
          <w:color w:val="000000" w:themeColor="text1"/>
        </w:rPr>
        <w:t xml:space="preserve">This is </w:t>
      </w:r>
      <w:r w:rsidR="00FE5EEC" w:rsidRPr="00A57A52">
        <w:rPr>
          <w:i/>
          <w:iCs/>
          <w:color w:val="000000" w:themeColor="text1"/>
          <w:u w:val="single"/>
        </w:rPr>
        <w:t>lower</w:t>
      </w:r>
      <w:r w:rsidR="00FE5EEC" w:rsidRPr="00F6508F">
        <w:rPr>
          <w:color w:val="000000" w:themeColor="text1"/>
        </w:rPr>
        <w:t xml:space="preserve"> than the cost of the Company’s baseline scenario MG0 ($85,030,713), and </w:t>
      </w:r>
      <w:r w:rsidR="00CE7DED" w:rsidRPr="00F6508F">
        <w:rPr>
          <w:color w:val="000000" w:themeColor="text1"/>
        </w:rPr>
        <w:t xml:space="preserve">it is </w:t>
      </w:r>
      <w:r w:rsidR="00FE5EEC" w:rsidRPr="00F6508F">
        <w:rPr>
          <w:color w:val="000000" w:themeColor="text1"/>
        </w:rPr>
        <w:t xml:space="preserve">the </w:t>
      </w:r>
      <w:r w:rsidR="001811E7" w:rsidRPr="00F6508F">
        <w:rPr>
          <w:color w:val="000000" w:themeColor="text1"/>
        </w:rPr>
        <w:t>second lowest</w:t>
      </w:r>
      <w:r w:rsidR="00FE5EEC" w:rsidRPr="00F6508F">
        <w:rPr>
          <w:color w:val="000000" w:themeColor="text1"/>
        </w:rPr>
        <w:t xml:space="preserve"> of all </w:t>
      </w:r>
      <w:r w:rsidR="001811E7" w:rsidRPr="00F6508F">
        <w:rPr>
          <w:color w:val="000000" w:themeColor="text1"/>
        </w:rPr>
        <w:t>fourteen</w:t>
      </w:r>
      <w:r w:rsidR="00FE5EEC" w:rsidRPr="00F6508F">
        <w:rPr>
          <w:color w:val="000000" w:themeColor="text1"/>
        </w:rPr>
        <w:t xml:space="preserve"> scenarios </w:t>
      </w:r>
      <w:r w:rsidR="00CE7DED" w:rsidRPr="00F6508F">
        <w:rPr>
          <w:color w:val="000000" w:themeColor="text1"/>
        </w:rPr>
        <w:t xml:space="preserve">described </w:t>
      </w:r>
      <w:r w:rsidR="00FE5EEC" w:rsidRPr="00F6508F">
        <w:rPr>
          <w:color w:val="000000" w:themeColor="text1"/>
        </w:rPr>
        <w:t>in the Company’s filing</w:t>
      </w:r>
      <w:r w:rsidR="001811E7" w:rsidRPr="00F6508F">
        <w:rPr>
          <w:color w:val="000000" w:themeColor="text1"/>
        </w:rPr>
        <w:t xml:space="preserve">. </w:t>
      </w:r>
      <w:r w:rsidR="00FE5EEC" w:rsidRPr="00F6508F">
        <w:rPr>
          <w:color w:val="000000" w:themeColor="text1"/>
        </w:rPr>
        <w:t>Only LG0 (</w:t>
      </w:r>
      <w:r w:rsidR="00CE7DED" w:rsidRPr="00F6508F">
        <w:rPr>
          <w:color w:val="000000" w:themeColor="text1"/>
        </w:rPr>
        <w:t>low-cost</w:t>
      </w:r>
      <w:r w:rsidR="00FE5EEC" w:rsidRPr="00F6508F">
        <w:rPr>
          <w:color w:val="000000" w:themeColor="text1"/>
        </w:rPr>
        <w:t xml:space="preserve"> natural gas, zero cost of carbon) was slightly lower cost than the Aggressive DSM scenario. </w:t>
      </w:r>
    </w:p>
    <w:p w14:paraId="3AF83567" w14:textId="2AAEE417" w:rsidR="00CE7DED" w:rsidRDefault="00CE7DED" w:rsidP="000656E2">
      <w:pPr>
        <w:spacing w:after="0"/>
        <w:jc w:val="both"/>
        <w:rPr>
          <w:color w:val="000000" w:themeColor="text1"/>
        </w:rPr>
      </w:pPr>
      <w:r w:rsidRPr="00F6508F">
        <w:rPr>
          <w:color w:val="000000" w:themeColor="text1"/>
        </w:rPr>
        <w:t>There are at least two important implications of this analysis</w:t>
      </w:r>
      <w:r w:rsidR="001811E7" w:rsidRPr="00F6508F">
        <w:rPr>
          <w:color w:val="000000" w:themeColor="text1"/>
        </w:rPr>
        <w:t xml:space="preserve">. </w:t>
      </w:r>
      <w:r w:rsidRPr="00F6508F">
        <w:rPr>
          <w:color w:val="000000" w:themeColor="text1"/>
        </w:rPr>
        <w:t xml:space="preserve">First, this is a modeling demonstration that DSM is </w:t>
      </w:r>
      <w:r w:rsidR="00E71ECA" w:rsidRPr="00F6508F">
        <w:rPr>
          <w:color w:val="000000" w:themeColor="text1"/>
        </w:rPr>
        <w:t xml:space="preserve">indeed </w:t>
      </w:r>
      <w:r w:rsidRPr="00F6508F">
        <w:rPr>
          <w:color w:val="000000" w:themeColor="text1"/>
        </w:rPr>
        <w:t>a least-cost resource</w:t>
      </w:r>
      <w:r w:rsidR="001811E7" w:rsidRPr="00F6508F">
        <w:rPr>
          <w:color w:val="000000" w:themeColor="text1"/>
        </w:rPr>
        <w:t xml:space="preserve">. </w:t>
      </w:r>
      <w:r w:rsidR="00E71ECA" w:rsidRPr="00F6508F">
        <w:rPr>
          <w:color w:val="000000" w:themeColor="text1"/>
        </w:rPr>
        <w:t>Second, it shows the importance of including DSM as a selectable resource in future IRP modeling</w:t>
      </w:r>
      <w:r w:rsidR="001811E7" w:rsidRPr="00F6508F">
        <w:rPr>
          <w:color w:val="000000" w:themeColor="text1"/>
        </w:rPr>
        <w:t xml:space="preserve">. </w:t>
      </w:r>
      <w:r w:rsidR="00E71ECA" w:rsidRPr="00F6508F">
        <w:rPr>
          <w:color w:val="000000" w:themeColor="text1"/>
        </w:rPr>
        <w:t xml:space="preserve">If the Commission directs Georgia Power to undertake an all-source solicitation in future IRPs, then the power of that future analysis will be improved by in inclusion of </w:t>
      </w:r>
      <w:r w:rsidR="00067201">
        <w:rPr>
          <w:color w:val="000000" w:themeColor="text1"/>
        </w:rPr>
        <w:t>DSM</w:t>
      </w:r>
      <w:r w:rsidR="00E71ECA" w:rsidRPr="00F6508F">
        <w:rPr>
          <w:color w:val="000000" w:themeColor="text1"/>
        </w:rPr>
        <w:t xml:space="preserve"> as a “resource.”</w:t>
      </w:r>
    </w:p>
    <w:p w14:paraId="5BFA2EAA" w14:textId="77777777" w:rsidR="000656E2" w:rsidRPr="00F6508F" w:rsidRDefault="000656E2" w:rsidP="000656E2">
      <w:pPr>
        <w:spacing w:after="0"/>
        <w:jc w:val="both"/>
        <w:rPr>
          <w:color w:val="000000" w:themeColor="text1"/>
        </w:rPr>
      </w:pPr>
    </w:p>
    <w:p w14:paraId="6B7A6504" w14:textId="369D6F22" w:rsidR="004F60DA" w:rsidRPr="00F6508F" w:rsidRDefault="00447F55" w:rsidP="000656E2">
      <w:pPr>
        <w:pStyle w:val="Question"/>
        <w:widowControl w:val="0"/>
        <w:jc w:val="both"/>
        <w:rPr>
          <w:color w:val="000000" w:themeColor="text1"/>
        </w:rPr>
      </w:pPr>
      <w:r w:rsidRPr="00F6508F">
        <w:rPr>
          <w:color w:val="000000" w:themeColor="text1"/>
        </w:rPr>
        <w:t>Q:</w:t>
      </w:r>
      <w:r w:rsidRPr="00F6508F">
        <w:rPr>
          <w:color w:val="000000" w:themeColor="text1"/>
        </w:rPr>
        <w:tab/>
        <w:t>PLEASE DISCUSS THE COMPANY’S VIEW OF LONG-TERM FUTURE</w:t>
      </w:r>
      <w:r w:rsidR="00CC18AC" w:rsidRPr="00F6508F">
        <w:rPr>
          <w:color w:val="000000" w:themeColor="text1"/>
        </w:rPr>
        <w:t xml:space="preserve"> </w:t>
      </w:r>
      <w:r w:rsidR="00C73AB4" w:rsidRPr="00F6508F">
        <w:rPr>
          <w:color w:val="000000" w:themeColor="text1"/>
        </w:rPr>
        <w:t>C</w:t>
      </w:r>
      <w:r w:rsidRPr="00F6508F">
        <w:rPr>
          <w:color w:val="000000" w:themeColor="text1"/>
        </w:rPr>
        <w:t>APACITY RESOURCES BEYOND WHAT IT IS SEEKING APPROVAL FOR IN THE CURRENT IRP CYCLE.</w:t>
      </w:r>
    </w:p>
    <w:p w14:paraId="6B7A6505" w14:textId="7965B8CB" w:rsidR="004F60DA" w:rsidRPr="00F6508F" w:rsidRDefault="00C73AB4" w:rsidP="000656E2">
      <w:pPr>
        <w:pStyle w:val="Answer"/>
        <w:spacing w:before="0" w:after="0"/>
        <w:jc w:val="both"/>
        <w:rPr>
          <w:color w:val="000000" w:themeColor="text1"/>
        </w:rPr>
      </w:pPr>
      <w:r w:rsidRPr="00F6508F">
        <w:rPr>
          <w:color w:val="000000" w:themeColor="text1"/>
        </w:rPr>
        <w:t>A:</w:t>
      </w:r>
      <w:r w:rsidRPr="00F6508F">
        <w:rPr>
          <w:color w:val="000000" w:themeColor="text1"/>
        </w:rPr>
        <w:tab/>
      </w:r>
      <w:r w:rsidR="00447F55" w:rsidRPr="00F6508F">
        <w:rPr>
          <w:color w:val="000000" w:themeColor="text1"/>
        </w:rPr>
        <w:t xml:space="preserve">The shortcomings of the Company’s approach become manifest when we examine its vision of the Georgia Power’s grid over the period 2022-2041. Consider </w:t>
      </w:r>
      <w:r w:rsidR="004E0708">
        <w:rPr>
          <w:color w:val="000000" w:themeColor="text1"/>
        </w:rPr>
        <w:t>Figure 3,</w:t>
      </w:r>
      <w:r w:rsidR="00447F55" w:rsidRPr="00F6508F">
        <w:rPr>
          <w:color w:val="000000" w:themeColor="text1"/>
        </w:rPr>
        <w:t xml:space="preserve"> </w:t>
      </w:r>
      <w:r w:rsidR="00371EA1">
        <w:rPr>
          <w:color w:val="000000" w:themeColor="text1"/>
        </w:rPr>
        <w:t xml:space="preserve">below, </w:t>
      </w:r>
      <w:r w:rsidR="00447F55" w:rsidRPr="00F6508F">
        <w:rPr>
          <w:color w:val="000000" w:themeColor="text1"/>
        </w:rPr>
        <w:t>taken from the PD Capacity Expansion Plans</w:t>
      </w:r>
      <w:r w:rsidR="00371EA1">
        <w:rPr>
          <w:color w:val="000000" w:themeColor="text1"/>
        </w:rPr>
        <w:t xml:space="preserve"> spreadsheet</w:t>
      </w:r>
      <w:r w:rsidR="00447F55" w:rsidRPr="00F6508F">
        <w:rPr>
          <w:color w:val="000000" w:themeColor="text1"/>
        </w:rPr>
        <w:t xml:space="preserve"> in the Resource Mix Study of </w:t>
      </w:r>
      <w:r w:rsidR="00447F55" w:rsidRPr="00F6508F">
        <w:rPr>
          <w:color w:val="000000" w:themeColor="text1"/>
        </w:rPr>
        <w:lastRenderedPageBreak/>
        <w:t xml:space="preserve">the Company’s </w:t>
      </w:r>
      <w:r w:rsidR="00371EA1">
        <w:rPr>
          <w:color w:val="000000" w:themeColor="text1"/>
        </w:rPr>
        <w:t xml:space="preserve">2022 </w:t>
      </w:r>
      <w:r w:rsidR="00447F55" w:rsidRPr="00F6508F">
        <w:rPr>
          <w:color w:val="000000" w:themeColor="text1"/>
        </w:rPr>
        <w:t>IRP filing, modified to show the addition of the capacity resources for which approval is sought in this case.</w:t>
      </w:r>
      <w:r w:rsidR="007E42C3">
        <w:rPr>
          <w:rStyle w:val="FootnoteReference"/>
          <w:color w:val="000000" w:themeColor="text1"/>
        </w:rPr>
        <w:footnoteReference w:id="12"/>
      </w:r>
      <w:r w:rsidR="00447F55" w:rsidRPr="00F6508F">
        <w:rPr>
          <w:color w:val="000000" w:themeColor="text1"/>
        </w:rPr>
        <w:t xml:space="preserve"> The capacity entries under CT and CC for 2024, 2025</w:t>
      </w:r>
      <w:r w:rsidR="009D2AE3">
        <w:rPr>
          <w:color w:val="000000" w:themeColor="text1"/>
        </w:rPr>
        <w:t>,</w:t>
      </w:r>
      <w:r w:rsidR="00447F55" w:rsidRPr="00F6508F">
        <w:rPr>
          <w:color w:val="000000" w:themeColor="text1"/>
        </w:rPr>
        <w:t xml:space="preserve"> and 2028 have been added to the Company’s original exhibit. The dotted-line rectangle captures </w:t>
      </w:r>
      <w:r w:rsidR="004E0708" w:rsidRPr="00F6508F">
        <w:rPr>
          <w:color w:val="000000" w:themeColor="text1"/>
        </w:rPr>
        <w:t>all</w:t>
      </w:r>
      <w:r w:rsidR="00447F55" w:rsidRPr="00F6508F">
        <w:rPr>
          <w:color w:val="000000" w:themeColor="text1"/>
        </w:rPr>
        <w:t xml:space="preserve"> the capacity resources that are envisioned for the Georgia grid from now until 2036.</w:t>
      </w:r>
    </w:p>
    <w:p w14:paraId="1066FA93" w14:textId="2157D47B" w:rsidR="00A83AC4" w:rsidRDefault="00447F55" w:rsidP="005018DC">
      <w:pPr>
        <w:spacing w:after="0"/>
        <w:jc w:val="both"/>
        <w:rPr>
          <w:rFonts w:eastAsia="Times New Roman" w:cs="Times New Roman"/>
          <w:color w:val="000000" w:themeColor="text1"/>
          <w:szCs w:val="24"/>
        </w:rPr>
      </w:pPr>
      <w:r w:rsidRPr="00F6508F">
        <w:rPr>
          <w:color w:val="000000" w:themeColor="text1"/>
        </w:rPr>
        <w:t xml:space="preserve">What is most striking about this </w:t>
      </w:r>
      <w:r w:rsidR="0068214B">
        <w:rPr>
          <w:color w:val="000000" w:themeColor="text1"/>
        </w:rPr>
        <w:t>figure</w:t>
      </w:r>
      <w:r w:rsidRPr="00F6508F">
        <w:rPr>
          <w:color w:val="000000" w:themeColor="text1"/>
        </w:rPr>
        <w:t xml:space="preserve"> is that the Company envisions adding 8,875 GW of natural gas capacity and energy in the next twelve years, before any solar capacity is added in 2037. As I understand it, Georgia Power is not asking the Commission for approval of this vision now; movement towards this future will occur, if at all, through subsequent IRP proceedings. This glimpse at the future shows that, between now and 2041, 72% of its incremental generation capacity needs will be met by gas units, and only </w:t>
      </w:r>
      <w:r w:rsidRPr="00F6508F">
        <w:rPr>
          <w:rFonts w:eastAsia="Times New Roman" w:cs="Times New Roman"/>
          <w:color w:val="000000" w:themeColor="text1"/>
          <w:szCs w:val="24"/>
        </w:rPr>
        <w:t>28% will be met with solar generation, with that coming at the end of the period.</w:t>
      </w:r>
    </w:p>
    <w:p w14:paraId="2BFD79BF" w14:textId="77777777" w:rsidR="0068214B" w:rsidRDefault="0068214B" w:rsidP="005018DC">
      <w:pPr>
        <w:spacing w:after="0"/>
        <w:jc w:val="both"/>
        <w:rPr>
          <w:rFonts w:eastAsia="Times New Roman" w:cs="Times New Roman"/>
          <w:color w:val="000000" w:themeColor="text1"/>
          <w:szCs w:val="24"/>
        </w:rPr>
      </w:pPr>
    </w:p>
    <w:p w14:paraId="1324CBDD" w14:textId="77777777" w:rsidR="001671C0" w:rsidRDefault="001671C0">
      <w:pPr>
        <w:spacing w:after="160" w:line="259" w:lineRule="auto"/>
        <w:ind w:left="0"/>
        <w:rPr>
          <w:rFonts w:eastAsia="Times New Roman" w:cs="Times New Roman"/>
          <w:b/>
          <w:bCs/>
          <w:color w:val="000000" w:themeColor="text1"/>
          <w:szCs w:val="24"/>
        </w:rPr>
      </w:pPr>
      <w:r>
        <w:rPr>
          <w:rFonts w:eastAsia="Times New Roman" w:cs="Times New Roman"/>
          <w:b/>
          <w:bCs/>
          <w:color w:val="000000" w:themeColor="text1"/>
          <w:szCs w:val="24"/>
        </w:rPr>
        <w:br w:type="page"/>
      </w:r>
    </w:p>
    <w:p w14:paraId="18B0F3EC" w14:textId="5F1065F8" w:rsidR="00824671" w:rsidRPr="00A14E4C" w:rsidRDefault="00A14E4C" w:rsidP="00A14E4C">
      <w:pPr>
        <w:spacing w:after="0"/>
        <w:jc w:val="center"/>
        <w:rPr>
          <w:rFonts w:eastAsia="Times New Roman" w:cs="Times New Roman"/>
          <w:b/>
          <w:bCs/>
          <w:color w:val="000000" w:themeColor="text1"/>
          <w:szCs w:val="24"/>
        </w:rPr>
      </w:pPr>
      <w:r w:rsidRPr="00A14E4C">
        <w:rPr>
          <w:rFonts w:eastAsia="Times New Roman" w:cs="Times New Roman"/>
          <w:b/>
          <w:bCs/>
          <w:color w:val="000000" w:themeColor="text1"/>
          <w:szCs w:val="24"/>
        </w:rPr>
        <w:lastRenderedPageBreak/>
        <w:t>Figure 3. Georgia Power’s Baseline Capacity Expansion Plan 2023-2041</w:t>
      </w:r>
    </w:p>
    <w:p w14:paraId="5A5E4EED" w14:textId="49E8EE05" w:rsidR="00137DBA" w:rsidRDefault="00D02941" w:rsidP="00D02941">
      <w:pPr>
        <w:spacing w:after="0"/>
        <w:jc w:val="center"/>
        <w:rPr>
          <w:rFonts w:eastAsia="Times New Roman" w:cs="Times New Roman"/>
          <w:color w:val="000000" w:themeColor="text1"/>
          <w:szCs w:val="24"/>
        </w:rPr>
      </w:pPr>
      <w:r w:rsidRPr="00F6508F">
        <w:rPr>
          <w:rFonts w:eastAsia="Times New Roman" w:cs="Times New Roman"/>
          <w:noProof/>
          <w:color w:val="000000" w:themeColor="text1"/>
          <w:szCs w:val="24"/>
        </w:rPr>
        <w:drawing>
          <wp:inline distT="0" distB="0" distL="0" distR="0" wp14:anchorId="08000A44" wp14:editId="04967B05">
            <wp:extent cx="5472113" cy="2852294"/>
            <wp:effectExtent l="19050" t="19050" r="14605" b="24765"/>
            <wp:docPr id="5" name="image2.png" descr="Graphical user interface&#10;&#10;Description automatically generated with medium confidence"/>
            <wp:cNvGraphicFramePr/>
            <a:graphic xmlns:a="http://schemas.openxmlformats.org/drawingml/2006/main">
              <a:graphicData uri="http://schemas.openxmlformats.org/drawingml/2006/picture">
                <pic:pic xmlns:pic="http://schemas.openxmlformats.org/drawingml/2006/picture">
                  <pic:nvPicPr>
                    <pic:cNvPr id="5" name="image2.png" descr="Graphical user interface&#10;&#10;Description automatically generated with medium confidence"/>
                    <pic:cNvPicPr preferRelativeResize="0"/>
                  </pic:nvPicPr>
                  <pic:blipFill>
                    <a:blip r:embed="rId12">
                      <a:extLst>
                        <a:ext uri="{28A0092B-C50C-407E-A947-70E740481C1C}">
                          <a14:useLocalDpi xmlns:a14="http://schemas.microsoft.com/office/drawing/2010/main" val="0"/>
                        </a:ext>
                      </a:extLst>
                    </a:blip>
                    <a:srcRect/>
                    <a:stretch>
                      <a:fillRect/>
                    </a:stretch>
                  </pic:blipFill>
                  <pic:spPr>
                    <a:xfrm>
                      <a:off x="0" y="0"/>
                      <a:ext cx="5472113" cy="2852294"/>
                    </a:xfrm>
                    <a:prstGeom prst="rect">
                      <a:avLst/>
                    </a:prstGeom>
                    <a:ln w="12700">
                      <a:solidFill>
                        <a:srgbClr val="000000"/>
                      </a:solidFill>
                      <a:prstDash val="solid"/>
                    </a:ln>
                  </pic:spPr>
                </pic:pic>
              </a:graphicData>
            </a:graphic>
          </wp:inline>
        </w:drawing>
      </w:r>
    </w:p>
    <w:p w14:paraId="3572C95C" w14:textId="77777777" w:rsidR="00137DBA" w:rsidRDefault="00137DBA" w:rsidP="005018DC">
      <w:pPr>
        <w:spacing w:after="0"/>
        <w:jc w:val="both"/>
        <w:rPr>
          <w:rFonts w:eastAsia="Times New Roman" w:cs="Times New Roman"/>
          <w:color w:val="000000" w:themeColor="text1"/>
          <w:szCs w:val="24"/>
        </w:rPr>
      </w:pPr>
    </w:p>
    <w:p w14:paraId="49463738" w14:textId="33FBD034" w:rsidR="00D30C0A" w:rsidRDefault="009C0234" w:rsidP="00B47D13">
      <w:pPr>
        <w:keepNext/>
        <w:keepLines/>
        <w:pBdr>
          <w:top w:val="nil"/>
          <w:left w:val="nil"/>
          <w:bottom w:val="nil"/>
          <w:right w:val="nil"/>
          <w:between w:val="nil"/>
        </w:pBdr>
        <w:tabs>
          <w:tab w:val="left" w:pos="4320"/>
          <w:tab w:val="left" w:pos="6480"/>
          <w:tab w:val="left" w:pos="8639"/>
        </w:tabs>
        <w:spacing w:after="0"/>
        <w:ind w:hanging="720"/>
        <w:jc w:val="both"/>
        <w:rPr>
          <w:rFonts w:ascii="Times New Roman Bold" w:eastAsia="Times New Roman" w:hAnsi="Times New Roman Bold" w:cs="Times New Roman"/>
          <w:b/>
          <w:caps/>
          <w:color w:val="000000" w:themeColor="text1"/>
          <w:szCs w:val="24"/>
        </w:rPr>
      </w:pPr>
      <w:r w:rsidRPr="00CD67CD">
        <w:rPr>
          <w:rFonts w:ascii="Times New Roman Bold" w:eastAsia="Times New Roman" w:hAnsi="Times New Roman Bold" w:cs="Times New Roman"/>
          <w:b/>
          <w:caps/>
          <w:color w:val="000000" w:themeColor="text1"/>
          <w:szCs w:val="24"/>
        </w:rPr>
        <w:t>Q:</w:t>
      </w:r>
      <w:r w:rsidRPr="00CD67CD">
        <w:rPr>
          <w:rFonts w:ascii="Times New Roman Bold" w:eastAsia="Times New Roman" w:hAnsi="Times New Roman Bold" w:cs="Times New Roman"/>
          <w:b/>
          <w:caps/>
          <w:color w:val="000000" w:themeColor="text1"/>
          <w:szCs w:val="24"/>
        </w:rPr>
        <w:tab/>
        <w:t>WHAT ARE YOUR THOUGHTS ON THIS MG0 EXPANSION PLAN SCENARIO?</w:t>
      </w:r>
    </w:p>
    <w:p w14:paraId="5B837215" w14:textId="74503E8D" w:rsidR="00B47D13" w:rsidRDefault="00B47D13" w:rsidP="00824671">
      <w:pPr>
        <w:spacing w:after="0"/>
        <w:ind w:hanging="720"/>
        <w:jc w:val="both"/>
        <w:rPr>
          <w:color w:val="000000" w:themeColor="text1"/>
        </w:rPr>
      </w:pPr>
      <w:r w:rsidRPr="00F6508F">
        <w:rPr>
          <w:color w:val="000000" w:themeColor="text1"/>
        </w:rPr>
        <w:t>A:</w:t>
      </w:r>
      <w:r w:rsidRPr="00F6508F">
        <w:rPr>
          <w:color w:val="000000" w:themeColor="text1"/>
        </w:rPr>
        <w:tab/>
        <w:t>This appears to me to violate all principles of risk management. The Company seems content to put all its capacity eggs in one basket during the 15 years from now until its model says solar capacity is added. Earlier I discussed the fuel risk associated with fossil generation, especially when the fossil generation relies on a single fuel. No one can predict future natural gas prices with certainty. With that in mind, generation diversity is the best mechanism to deal with fuel risk.</w:t>
      </w:r>
    </w:p>
    <w:p w14:paraId="2DD0CC82" w14:textId="6E71B23C" w:rsidR="00272321" w:rsidRDefault="00B47D13" w:rsidP="00272321">
      <w:pPr>
        <w:spacing w:after="0"/>
        <w:jc w:val="both"/>
        <w:rPr>
          <w:color w:val="000000" w:themeColor="text1"/>
        </w:rPr>
      </w:pPr>
      <w:r w:rsidRPr="00F6508F">
        <w:rPr>
          <w:color w:val="000000" w:themeColor="text1"/>
        </w:rPr>
        <w:t>Th</w:t>
      </w:r>
      <w:r w:rsidR="00EA0C5F">
        <w:rPr>
          <w:color w:val="000000" w:themeColor="text1"/>
        </w:rPr>
        <w:t>e</w:t>
      </w:r>
      <w:r w:rsidRPr="00F6508F">
        <w:rPr>
          <w:color w:val="000000" w:themeColor="text1"/>
        </w:rPr>
        <w:t xml:space="preserve"> modeling result that leads to Scenario MG0 occurs for three reasons, each of which is within the control of the Company: 1) solar + storage is effectively disqualified from the </w:t>
      </w:r>
      <w:r w:rsidR="00A87529" w:rsidRPr="00A87529">
        <w:rPr>
          <w:i/>
          <w:iCs/>
          <w:color w:val="000000" w:themeColor="text1"/>
        </w:rPr>
        <w:t>2022-2028 C</w:t>
      </w:r>
      <w:r w:rsidRPr="00A87529">
        <w:rPr>
          <w:i/>
          <w:iCs/>
          <w:color w:val="000000" w:themeColor="text1"/>
        </w:rPr>
        <w:t>apacity</w:t>
      </w:r>
      <w:r w:rsidR="00A87529" w:rsidRPr="00A87529">
        <w:rPr>
          <w:i/>
          <w:iCs/>
          <w:color w:val="000000" w:themeColor="text1"/>
        </w:rPr>
        <w:t>-Based</w:t>
      </w:r>
      <w:r w:rsidRPr="00A87529">
        <w:rPr>
          <w:i/>
          <w:iCs/>
          <w:color w:val="000000" w:themeColor="text1"/>
        </w:rPr>
        <w:t xml:space="preserve"> RFP</w:t>
      </w:r>
      <w:r w:rsidRPr="00F6508F">
        <w:rPr>
          <w:color w:val="000000" w:themeColor="text1"/>
        </w:rPr>
        <w:t xml:space="preserve"> because of its characterization as nothing more than a battery; 2) the Company assumes that there is </w:t>
      </w:r>
      <w:r w:rsidRPr="00FD0F1C">
        <w:rPr>
          <w:i/>
          <w:iCs/>
          <w:color w:val="000000" w:themeColor="text1"/>
          <w:u w:val="single"/>
        </w:rPr>
        <w:t>zero probability</w:t>
      </w:r>
      <w:r w:rsidRPr="00F6508F">
        <w:rPr>
          <w:color w:val="000000" w:themeColor="text1"/>
        </w:rPr>
        <w:t xml:space="preserve"> of higher carbon costs</w:t>
      </w:r>
      <w:r w:rsidR="00896367">
        <w:rPr>
          <w:color w:val="000000" w:themeColor="text1"/>
        </w:rPr>
        <w:t xml:space="preserve"> </w:t>
      </w:r>
      <w:r w:rsidRPr="00F6508F">
        <w:rPr>
          <w:color w:val="000000" w:themeColor="text1"/>
        </w:rPr>
        <w:lastRenderedPageBreak/>
        <w:t>affecting its baseline fossil portfolio; 3) there</w:t>
      </w:r>
      <w:r>
        <w:rPr>
          <w:color w:val="000000" w:themeColor="text1"/>
        </w:rPr>
        <w:t xml:space="preserve"> </w:t>
      </w:r>
      <w:r w:rsidRPr="00F6508F">
        <w:rPr>
          <w:color w:val="000000" w:themeColor="text1"/>
        </w:rPr>
        <w:t>has been insufficient consideration of the risk of upward trends and fluctuations in the cost of natural gas.</w:t>
      </w:r>
    </w:p>
    <w:p w14:paraId="5E6F1914" w14:textId="7C7881AE" w:rsidR="00B47D13" w:rsidRDefault="00B47D13" w:rsidP="001134EE">
      <w:pPr>
        <w:spacing w:after="0"/>
        <w:jc w:val="both"/>
        <w:rPr>
          <w:color w:val="000000" w:themeColor="text1"/>
        </w:rPr>
      </w:pPr>
      <w:r w:rsidRPr="00F6508F">
        <w:rPr>
          <w:color w:val="000000" w:themeColor="text1"/>
        </w:rPr>
        <w:t>Bottom line, the Company asks us to believe that natural gas generation will be a least-cost resource throughout the period under discussion. But in many places, solar + storage projects are cost competitive with fossil generation today</w:t>
      </w:r>
      <w:r w:rsidR="008F1DA9">
        <w:rPr>
          <w:color w:val="000000" w:themeColor="text1"/>
        </w:rPr>
        <w:t>,</w:t>
      </w:r>
      <w:r w:rsidRPr="00F6508F">
        <w:rPr>
          <w:color w:val="000000" w:themeColor="text1"/>
        </w:rPr>
        <w:t xml:space="preserve"> not in theory, but in actual grid operations. Even if there is debate about its competitive</w:t>
      </w:r>
      <w:r w:rsidR="007D70DE">
        <w:rPr>
          <w:color w:val="000000" w:themeColor="text1"/>
        </w:rPr>
        <w:t>ness</w:t>
      </w:r>
      <w:r w:rsidRPr="00F6508F">
        <w:rPr>
          <w:color w:val="000000" w:themeColor="text1"/>
        </w:rPr>
        <w:t xml:space="preserve"> in 2022, </w:t>
      </w:r>
      <w:r w:rsidR="008F1DA9" w:rsidRPr="00F6508F">
        <w:rPr>
          <w:color w:val="000000" w:themeColor="text1"/>
        </w:rPr>
        <w:t xml:space="preserve">solar + storage </w:t>
      </w:r>
      <w:r w:rsidRPr="00F6508F">
        <w:rPr>
          <w:color w:val="000000" w:themeColor="text1"/>
        </w:rPr>
        <w:t>technology bundle</w:t>
      </w:r>
      <w:r w:rsidR="008F1DA9">
        <w:rPr>
          <w:color w:val="000000" w:themeColor="text1"/>
        </w:rPr>
        <w:t>s</w:t>
      </w:r>
      <w:r w:rsidRPr="00F6508F">
        <w:rPr>
          <w:color w:val="000000" w:themeColor="text1"/>
        </w:rPr>
        <w:t xml:space="preserve"> will certainly be least cost by 2030. All the while, the Company’s view is that gas generation will be chosen for capacity under its baseline scenario. Importantly, this position appears not to contemplate additional limits on greenhouse gas emissions that may be put in place during the next eight years, or possible fluctuations in natural gas prices.</w:t>
      </w:r>
    </w:p>
    <w:p w14:paraId="0722934A" w14:textId="77777777" w:rsidR="0068214B" w:rsidRPr="00B47D13" w:rsidRDefault="0068214B" w:rsidP="00B47D13">
      <w:pPr>
        <w:keepNext/>
        <w:keepLines/>
        <w:pBdr>
          <w:top w:val="nil"/>
          <w:left w:val="nil"/>
          <w:bottom w:val="nil"/>
          <w:right w:val="nil"/>
          <w:between w:val="nil"/>
        </w:pBdr>
        <w:tabs>
          <w:tab w:val="left" w:pos="4320"/>
          <w:tab w:val="left" w:pos="6480"/>
          <w:tab w:val="left" w:pos="8639"/>
        </w:tabs>
        <w:spacing w:after="0"/>
        <w:ind w:hanging="720"/>
        <w:jc w:val="both"/>
        <w:rPr>
          <w:rFonts w:ascii="Times New Roman Bold" w:eastAsia="Times New Roman" w:hAnsi="Times New Roman Bold" w:cs="Times New Roman"/>
          <w:b/>
          <w:caps/>
          <w:color w:val="000000" w:themeColor="text1"/>
          <w:szCs w:val="24"/>
        </w:rPr>
      </w:pPr>
    </w:p>
    <w:p w14:paraId="6B7A6511" w14:textId="0E17FCB4" w:rsidR="004F60DA" w:rsidRPr="00F6508F" w:rsidRDefault="00447F55" w:rsidP="00824671">
      <w:pPr>
        <w:pStyle w:val="Question"/>
        <w:jc w:val="both"/>
        <w:rPr>
          <w:color w:val="000000" w:themeColor="text1"/>
        </w:rPr>
      </w:pPr>
      <w:r w:rsidRPr="00F6508F">
        <w:rPr>
          <w:color w:val="000000" w:themeColor="text1"/>
        </w:rPr>
        <w:t>Q:</w:t>
      </w:r>
      <w:r w:rsidRPr="00F6508F">
        <w:rPr>
          <w:color w:val="000000" w:themeColor="text1"/>
        </w:rPr>
        <w:tab/>
        <w:t>HAVE YOU REVIEWED THE SOLAR + STORAGE PROJECTS IN THE GEORGIA POWER INTERCONNECTION QUEUE?</w:t>
      </w:r>
    </w:p>
    <w:p w14:paraId="6B7A6512" w14:textId="2ABFED35" w:rsidR="004F60DA" w:rsidRPr="00F6508F" w:rsidRDefault="00447F55" w:rsidP="00824671">
      <w:pPr>
        <w:pBdr>
          <w:top w:val="nil"/>
          <w:left w:val="nil"/>
          <w:bottom w:val="nil"/>
          <w:right w:val="nil"/>
          <w:between w:val="nil"/>
        </w:pBdr>
        <w:spacing w:after="0"/>
        <w:ind w:hanging="720"/>
        <w:jc w:val="both"/>
        <w:rPr>
          <w:rFonts w:eastAsia="Times New Roman" w:cs="Times New Roman"/>
          <w:color w:val="000000" w:themeColor="text1"/>
          <w:szCs w:val="24"/>
        </w:rPr>
      </w:pPr>
      <w:r w:rsidRPr="00F6508F">
        <w:rPr>
          <w:rFonts w:eastAsia="Times New Roman" w:cs="Times New Roman"/>
          <w:color w:val="000000" w:themeColor="text1"/>
          <w:szCs w:val="24"/>
        </w:rPr>
        <w:t>A:</w:t>
      </w:r>
      <w:r w:rsidRPr="00F6508F">
        <w:rPr>
          <w:rFonts w:eastAsia="Times New Roman" w:cs="Times New Roman"/>
          <w:color w:val="000000" w:themeColor="text1"/>
          <w:szCs w:val="24"/>
        </w:rPr>
        <w:tab/>
        <w:t>Yes, I have. As of April 22, 2022, the interconnection queue contained a total of 15</w:t>
      </w:r>
      <w:r w:rsidR="009022FA" w:rsidRPr="00F6508F">
        <w:rPr>
          <w:rFonts w:eastAsia="Times New Roman" w:cs="Times New Roman"/>
          <w:color w:val="000000" w:themeColor="text1"/>
          <w:szCs w:val="24"/>
        </w:rPr>
        <w:t>,</w:t>
      </w:r>
      <w:r w:rsidRPr="00F6508F">
        <w:rPr>
          <w:rFonts w:eastAsia="Times New Roman" w:cs="Times New Roman"/>
          <w:color w:val="000000" w:themeColor="text1"/>
          <w:szCs w:val="24"/>
        </w:rPr>
        <w:t>975</w:t>
      </w:r>
      <w:r w:rsidR="009022FA" w:rsidRPr="00F6508F">
        <w:rPr>
          <w:rFonts w:eastAsia="Times New Roman" w:cs="Times New Roman"/>
          <w:color w:val="000000" w:themeColor="text1"/>
          <w:szCs w:val="24"/>
        </w:rPr>
        <w:t> M</w:t>
      </w:r>
      <w:r w:rsidRPr="00F6508F">
        <w:rPr>
          <w:rFonts w:eastAsia="Times New Roman" w:cs="Times New Roman"/>
          <w:color w:val="000000" w:themeColor="text1"/>
          <w:szCs w:val="24"/>
        </w:rPr>
        <w:t>W of solar projects, three-quarters of which are solar + storage projects. Many of these projects began as solar-</w:t>
      </w:r>
      <w:r w:rsidR="009371FD" w:rsidRPr="00F6508F">
        <w:rPr>
          <w:rFonts w:eastAsia="Times New Roman" w:cs="Times New Roman"/>
          <w:color w:val="000000" w:themeColor="text1"/>
          <w:szCs w:val="24"/>
        </w:rPr>
        <w:t>only and</w:t>
      </w:r>
      <w:r w:rsidRPr="00F6508F">
        <w:rPr>
          <w:rFonts w:eastAsia="Times New Roman" w:cs="Times New Roman"/>
          <w:color w:val="000000" w:themeColor="text1"/>
          <w:szCs w:val="24"/>
        </w:rPr>
        <w:t xml:space="preserve"> have been re-designed to include storage. Twenty-</w:t>
      </w:r>
      <w:r w:rsidR="008A67CD" w:rsidRPr="00F6508F">
        <w:rPr>
          <w:rFonts w:eastAsia="Times New Roman" w:cs="Times New Roman"/>
          <w:color w:val="000000" w:themeColor="text1"/>
          <w:szCs w:val="24"/>
        </w:rPr>
        <w:t>eight</w:t>
      </w:r>
      <w:r w:rsidRPr="00F6508F">
        <w:rPr>
          <w:rFonts w:eastAsia="Times New Roman" w:cs="Times New Roman"/>
          <w:color w:val="000000" w:themeColor="text1"/>
          <w:szCs w:val="24"/>
        </w:rPr>
        <w:t xml:space="preserve"> of the projects are smaller than 100 MW</w:t>
      </w:r>
      <w:r w:rsidR="007E75D0" w:rsidRPr="00F6508F">
        <w:rPr>
          <w:rFonts w:eastAsia="Times New Roman" w:cs="Times New Roman"/>
          <w:color w:val="000000" w:themeColor="text1"/>
          <w:szCs w:val="24"/>
        </w:rPr>
        <w:t xml:space="preserve">, while </w:t>
      </w:r>
      <w:r w:rsidR="001811E7" w:rsidRPr="00F6508F">
        <w:rPr>
          <w:rFonts w:eastAsia="Times New Roman" w:cs="Times New Roman"/>
          <w:color w:val="000000" w:themeColor="text1"/>
          <w:szCs w:val="24"/>
        </w:rPr>
        <w:t>eighty-four</w:t>
      </w:r>
      <w:r w:rsidR="008A67CD" w:rsidRPr="00F6508F">
        <w:rPr>
          <w:rFonts w:eastAsia="Times New Roman" w:cs="Times New Roman"/>
          <w:color w:val="000000" w:themeColor="text1"/>
          <w:szCs w:val="24"/>
        </w:rPr>
        <w:t xml:space="preserve"> are larger than 100MW</w:t>
      </w:r>
      <w:r w:rsidRPr="00F6508F">
        <w:rPr>
          <w:rFonts w:eastAsia="Times New Roman" w:cs="Times New Roman"/>
          <w:color w:val="000000" w:themeColor="text1"/>
          <w:szCs w:val="24"/>
        </w:rPr>
        <w:t xml:space="preserve">. </w:t>
      </w:r>
      <w:r w:rsidR="0011762A" w:rsidRPr="00F6508F">
        <w:rPr>
          <w:rFonts w:eastAsia="Times New Roman" w:cs="Times New Roman"/>
          <w:color w:val="000000" w:themeColor="text1"/>
          <w:szCs w:val="24"/>
        </w:rPr>
        <w:t xml:space="preserve">Collectively, the </w:t>
      </w:r>
      <w:r w:rsidRPr="00F6508F">
        <w:rPr>
          <w:rFonts w:eastAsia="Times New Roman" w:cs="Times New Roman"/>
          <w:color w:val="000000" w:themeColor="text1"/>
          <w:szCs w:val="24"/>
        </w:rPr>
        <w:t xml:space="preserve">solar + storage projects in the interconnection queue represent a huge, low-cost resource for Georgia Power. But unless the Company modifies its </w:t>
      </w:r>
      <w:r w:rsidR="0011762A" w:rsidRPr="00F6508F">
        <w:rPr>
          <w:rFonts w:eastAsia="Times New Roman" w:cs="Times New Roman"/>
          <w:color w:val="000000" w:themeColor="text1"/>
          <w:szCs w:val="24"/>
        </w:rPr>
        <w:t xml:space="preserve">vision and </w:t>
      </w:r>
      <w:r w:rsidR="00E70234" w:rsidRPr="00F6508F">
        <w:rPr>
          <w:rFonts w:eastAsia="Times New Roman" w:cs="Times New Roman"/>
          <w:color w:val="000000" w:themeColor="text1"/>
          <w:szCs w:val="24"/>
        </w:rPr>
        <w:t>methods</w:t>
      </w:r>
      <w:r w:rsidRPr="00F6508F">
        <w:rPr>
          <w:rFonts w:eastAsia="Times New Roman" w:cs="Times New Roman"/>
          <w:color w:val="000000" w:themeColor="text1"/>
          <w:szCs w:val="24"/>
        </w:rPr>
        <w:t xml:space="preserve"> for building a portfolio, these projects, and others to follow, have nowhere to go.</w:t>
      </w:r>
    </w:p>
    <w:p w14:paraId="6B7A6513" w14:textId="77777777" w:rsidR="004F60DA" w:rsidRPr="00F6508F" w:rsidRDefault="004F60DA" w:rsidP="003A6CDA">
      <w:pPr>
        <w:pBdr>
          <w:top w:val="nil"/>
          <w:left w:val="nil"/>
          <w:bottom w:val="nil"/>
          <w:right w:val="nil"/>
          <w:between w:val="nil"/>
        </w:pBdr>
        <w:spacing w:after="0"/>
        <w:ind w:left="0" w:hanging="720"/>
        <w:jc w:val="both"/>
        <w:rPr>
          <w:rFonts w:eastAsia="Times New Roman" w:cs="Times New Roman"/>
          <w:color w:val="000000" w:themeColor="text1"/>
          <w:szCs w:val="24"/>
        </w:rPr>
      </w:pPr>
    </w:p>
    <w:p w14:paraId="6B7A6514" w14:textId="77777777" w:rsidR="004F60DA" w:rsidRPr="00F6508F" w:rsidRDefault="00447F55" w:rsidP="004E26EF">
      <w:pPr>
        <w:keepNext/>
        <w:keepLines/>
        <w:pBdr>
          <w:top w:val="nil"/>
          <w:left w:val="nil"/>
          <w:bottom w:val="nil"/>
          <w:right w:val="nil"/>
          <w:between w:val="nil"/>
        </w:pBdr>
        <w:tabs>
          <w:tab w:val="left" w:pos="4320"/>
          <w:tab w:val="left" w:pos="6480"/>
          <w:tab w:val="left" w:pos="8639"/>
        </w:tabs>
        <w:spacing w:after="0"/>
        <w:ind w:hanging="720"/>
        <w:jc w:val="both"/>
        <w:rPr>
          <w:rFonts w:eastAsia="Times New Roman" w:cs="Times New Roman"/>
          <w:b/>
          <w:smallCaps/>
          <w:color w:val="000000" w:themeColor="text1"/>
          <w:szCs w:val="24"/>
        </w:rPr>
      </w:pPr>
      <w:r w:rsidRPr="00F6508F">
        <w:rPr>
          <w:rFonts w:eastAsia="Times New Roman" w:cs="Times New Roman"/>
          <w:b/>
          <w:smallCaps/>
          <w:color w:val="000000" w:themeColor="text1"/>
          <w:szCs w:val="24"/>
        </w:rPr>
        <w:lastRenderedPageBreak/>
        <w:t>Q:</w:t>
      </w:r>
      <w:r w:rsidRPr="00F6508F">
        <w:rPr>
          <w:rFonts w:eastAsia="Times New Roman" w:cs="Times New Roman"/>
          <w:b/>
          <w:smallCaps/>
          <w:color w:val="000000" w:themeColor="text1"/>
          <w:szCs w:val="24"/>
        </w:rPr>
        <w:tab/>
        <w:t>WHAT DOES THE NEAR FUTURE HOLD FOR SOLAR + STORAGE IN GEORGIA?</w:t>
      </w:r>
    </w:p>
    <w:p w14:paraId="7B9ECDFA" w14:textId="4FB90577" w:rsidR="00D76812" w:rsidRDefault="00447F55" w:rsidP="00D76812">
      <w:pPr>
        <w:pBdr>
          <w:top w:val="nil"/>
          <w:left w:val="nil"/>
          <w:bottom w:val="nil"/>
          <w:right w:val="nil"/>
          <w:between w:val="nil"/>
        </w:pBdr>
        <w:spacing w:after="0"/>
        <w:ind w:hanging="720"/>
        <w:jc w:val="both"/>
        <w:rPr>
          <w:rFonts w:eastAsia="Times New Roman" w:cs="Times New Roman"/>
          <w:color w:val="000000" w:themeColor="text1"/>
          <w:szCs w:val="24"/>
        </w:rPr>
      </w:pPr>
      <w:r w:rsidRPr="00F6508F">
        <w:rPr>
          <w:rFonts w:eastAsia="Times New Roman" w:cs="Times New Roman"/>
          <w:color w:val="000000" w:themeColor="text1"/>
          <w:szCs w:val="24"/>
        </w:rPr>
        <w:t>A:</w:t>
      </w:r>
      <w:r w:rsidRPr="00F6508F">
        <w:rPr>
          <w:rFonts w:eastAsia="Times New Roman" w:cs="Times New Roman"/>
          <w:color w:val="000000" w:themeColor="text1"/>
          <w:szCs w:val="24"/>
        </w:rPr>
        <w:tab/>
        <w:t xml:space="preserve">It is worth examining the cost of solar + storage bids the Company is likely to receive if it pursued an “all source” bidding regime as discussed earlier. From page 10-66 of the IRP Main Document, we know that </w:t>
      </w:r>
      <w:r w:rsidR="002758CE">
        <w:rPr>
          <w:rFonts w:eastAsia="Times New Roman" w:cs="Times New Roman"/>
          <w:color w:val="000000" w:themeColor="text1"/>
          <w:szCs w:val="24"/>
        </w:rPr>
        <w:t>Georgia Power</w:t>
      </w:r>
      <w:r w:rsidRPr="00F6508F">
        <w:rPr>
          <w:rFonts w:eastAsia="Times New Roman" w:cs="Times New Roman"/>
          <w:color w:val="000000" w:themeColor="text1"/>
          <w:szCs w:val="24"/>
        </w:rPr>
        <w:t xml:space="preserve"> estimates stand-alone solar generation currently to cost between $20 and $25 per MWh.</w:t>
      </w:r>
      <w:r w:rsidR="008A06BB">
        <w:rPr>
          <w:rStyle w:val="FootnoteReference"/>
          <w:rFonts w:eastAsia="Times New Roman" w:cs="Times New Roman"/>
          <w:color w:val="000000" w:themeColor="text1"/>
          <w:szCs w:val="24"/>
        </w:rPr>
        <w:footnoteReference w:id="13"/>
      </w:r>
      <w:r w:rsidRPr="00F6508F">
        <w:rPr>
          <w:rFonts w:eastAsia="Times New Roman" w:cs="Times New Roman"/>
          <w:color w:val="000000" w:themeColor="text1"/>
          <w:szCs w:val="24"/>
        </w:rPr>
        <w:t xml:space="preserve"> These estimates are </w:t>
      </w:r>
      <w:r w:rsidR="00870986">
        <w:rPr>
          <w:rFonts w:eastAsia="Times New Roman" w:cs="Times New Roman"/>
          <w:color w:val="000000" w:themeColor="text1"/>
          <w:szCs w:val="24"/>
        </w:rPr>
        <w:t>supported</w:t>
      </w:r>
      <w:r w:rsidRPr="00F6508F">
        <w:rPr>
          <w:rFonts w:eastAsia="Times New Roman" w:cs="Times New Roman"/>
          <w:color w:val="000000" w:themeColor="text1"/>
          <w:szCs w:val="24"/>
        </w:rPr>
        <w:t xml:space="preserve"> by much industry literature, including a recent </w:t>
      </w:r>
      <w:r w:rsidR="00462AFC">
        <w:rPr>
          <w:rFonts w:eastAsia="Times New Roman" w:cs="Times New Roman"/>
          <w:color w:val="000000" w:themeColor="text1"/>
          <w:szCs w:val="24"/>
        </w:rPr>
        <w:t xml:space="preserve">presentation and </w:t>
      </w:r>
      <w:r w:rsidRPr="00F6508F">
        <w:rPr>
          <w:rFonts w:eastAsia="Times New Roman" w:cs="Times New Roman"/>
          <w:color w:val="000000" w:themeColor="text1"/>
          <w:szCs w:val="24"/>
        </w:rPr>
        <w:t>report by the Lawrence Berkeley National Laboratory</w:t>
      </w:r>
      <w:r w:rsidR="00C549A4">
        <w:rPr>
          <w:rFonts w:eastAsia="Times New Roman" w:cs="Times New Roman"/>
          <w:color w:val="000000" w:themeColor="text1"/>
          <w:szCs w:val="24"/>
        </w:rPr>
        <w:t xml:space="preserve"> (“LBNL”)</w:t>
      </w:r>
      <w:r w:rsidRPr="00F6508F">
        <w:rPr>
          <w:rFonts w:eastAsia="Times New Roman" w:cs="Times New Roman"/>
          <w:color w:val="000000" w:themeColor="text1"/>
          <w:szCs w:val="24"/>
        </w:rPr>
        <w:t>.</w:t>
      </w:r>
      <w:r w:rsidR="00462AFC">
        <w:rPr>
          <w:rStyle w:val="FootnoteReference"/>
          <w:rFonts w:eastAsia="Times New Roman" w:cs="Times New Roman"/>
          <w:color w:val="000000" w:themeColor="text1"/>
          <w:szCs w:val="24"/>
        </w:rPr>
        <w:footnoteReference w:id="14"/>
      </w:r>
      <w:r w:rsidRPr="00F6508F">
        <w:rPr>
          <w:rFonts w:eastAsia="Times New Roman" w:cs="Times New Roman"/>
          <w:color w:val="000000" w:themeColor="text1"/>
          <w:szCs w:val="24"/>
        </w:rPr>
        <w:t xml:space="preserve"> </w:t>
      </w:r>
      <w:r w:rsidR="006F43EE">
        <w:rPr>
          <w:rFonts w:eastAsia="Times New Roman" w:cs="Times New Roman"/>
          <w:color w:val="000000" w:themeColor="text1"/>
          <w:szCs w:val="24"/>
        </w:rPr>
        <w:t>Figure 4</w:t>
      </w:r>
      <w:r w:rsidRPr="00F6508F">
        <w:rPr>
          <w:rFonts w:eastAsia="Times New Roman" w:cs="Times New Roman"/>
          <w:color w:val="000000" w:themeColor="text1"/>
          <w:szCs w:val="24"/>
        </w:rPr>
        <w:t xml:space="preserve"> documents the dramatic decline in utility-scale solar costs.</w:t>
      </w:r>
    </w:p>
    <w:p w14:paraId="47634865" w14:textId="77777777" w:rsidR="00D76812" w:rsidRDefault="00D76812" w:rsidP="00D76812">
      <w:pPr>
        <w:pBdr>
          <w:top w:val="nil"/>
          <w:left w:val="nil"/>
          <w:bottom w:val="nil"/>
          <w:right w:val="nil"/>
          <w:between w:val="nil"/>
        </w:pBdr>
        <w:spacing w:after="0"/>
        <w:ind w:hanging="720"/>
        <w:jc w:val="both"/>
        <w:rPr>
          <w:rFonts w:eastAsia="Times New Roman" w:cs="Times New Roman"/>
          <w:color w:val="000000" w:themeColor="text1"/>
          <w:szCs w:val="24"/>
        </w:rPr>
      </w:pPr>
    </w:p>
    <w:p w14:paraId="75FB672B" w14:textId="5DCB43F0" w:rsidR="00805461" w:rsidRDefault="00805461" w:rsidP="00D76812">
      <w:pPr>
        <w:pBdr>
          <w:top w:val="nil"/>
          <w:left w:val="nil"/>
          <w:bottom w:val="nil"/>
          <w:right w:val="nil"/>
          <w:between w:val="nil"/>
        </w:pBdr>
        <w:spacing w:after="0"/>
        <w:ind w:hanging="720"/>
        <w:jc w:val="center"/>
        <w:rPr>
          <w:rFonts w:eastAsia="Times New Roman" w:cs="Times New Roman"/>
          <w:b/>
          <w:bCs/>
          <w:color w:val="000000" w:themeColor="text1"/>
          <w:szCs w:val="24"/>
        </w:rPr>
      </w:pPr>
      <w:r w:rsidRPr="006703FC">
        <w:rPr>
          <w:rFonts w:eastAsia="Times New Roman" w:cs="Times New Roman"/>
          <w:b/>
          <w:bCs/>
          <w:color w:val="000000" w:themeColor="text1"/>
          <w:szCs w:val="24"/>
        </w:rPr>
        <w:t xml:space="preserve">Figure 4. </w:t>
      </w:r>
      <w:r w:rsidR="009208A0" w:rsidRPr="009208A0">
        <w:rPr>
          <w:rFonts w:eastAsia="Times New Roman" w:cs="Times New Roman"/>
          <w:b/>
          <w:bCs/>
          <w:color w:val="000000" w:themeColor="text1"/>
          <w:szCs w:val="24"/>
        </w:rPr>
        <w:t>Lawrence Berkeley National Laboratory</w:t>
      </w:r>
      <w:r w:rsidR="009208A0">
        <w:rPr>
          <w:rFonts w:eastAsia="Times New Roman" w:cs="Times New Roman"/>
          <w:b/>
          <w:bCs/>
          <w:color w:val="000000" w:themeColor="text1"/>
          <w:szCs w:val="24"/>
        </w:rPr>
        <w:t>’s</w:t>
      </w:r>
      <w:r w:rsidR="009208A0" w:rsidRPr="009208A0">
        <w:rPr>
          <w:rFonts w:eastAsia="Times New Roman" w:cs="Times New Roman"/>
          <w:b/>
          <w:bCs/>
          <w:color w:val="000000" w:themeColor="text1"/>
          <w:szCs w:val="24"/>
        </w:rPr>
        <w:t xml:space="preserve"> </w:t>
      </w:r>
      <w:r w:rsidR="006703FC" w:rsidRPr="006703FC">
        <w:rPr>
          <w:rFonts w:eastAsia="Times New Roman" w:cs="Times New Roman"/>
          <w:b/>
          <w:bCs/>
          <w:color w:val="000000" w:themeColor="text1"/>
          <w:szCs w:val="24"/>
        </w:rPr>
        <w:t>Solar</w:t>
      </w:r>
      <w:r w:rsidRPr="006703FC">
        <w:rPr>
          <w:rFonts w:eastAsia="Times New Roman" w:cs="Times New Roman"/>
          <w:b/>
          <w:bCs/>
          <w:color w:val="000000" w:themeColor="text1"/>
          <w:szCs w:val="24"/>
        </w:rPr>
        <w:t xml:space="preserve"> </w:t>
      </w:r>
      <w:r w:rsidR="006703FC" w:rsidRPr="006703FC">
        <w:rPr>
          <w:rFonts w:eastAsia="Times New Roman" w:cs="Times New Roman"/>
          <w:b/>
          <w:bCs/>
          <w:color w:val="000000" w:themeColor="text1"/>
          <w:szCs w:val="24"/>
        </w:rPr>
        <w:t>LCOE History</w:t>
      </w:r>
    </w:p>
    <w:p w14:paraId="40AE399E" w14:textId="297CCE63" w:rsidR="00BF3AE0" w:rsidRDefault="00BF3AE0" w:rsidP="00BF3AE0">
      <w:pPr>
        <w:pBdr>
          <w:top w:val="nil"/>
          <w:left w:val="nil"/>
          <w:bottom w:val="nil"/>
          <w:right w:val="nil"/>
          <w:between w:val="nil"/>
        </w:pBdr>
        <w:spacing w:after="0"/>
        <w:ind w:left="1440" w:hanging="720"/>
        <w:jc w:val="center"/>
        <w:rPr>
          <w:rFonts w:eastAsia="Times New Roman" w:cs="Times New Roman"/>
          <w:b/>
          <w:bCs/>
          <w:color w:val="000000" w:themeColor="text1"/>
          <w:szCs w:val="24"/>
        </w:rPr>
      </w:pPr>
      <w:r w:rsidRPr="00F6508F">
        <w:rPr>
          <w:rFonts w:eastAsia="Times New Roman" w:cs="Times New Roman"/>
          <w:noProof/>
          <w:color w:val="000000" w:themeColor="text1"/>
          <w:szCs w:val="24"/>
        </w:rPr>
        <w:drawing>
          <wp:inline distT="0" distB="0" distL="0" distR="0" wp14:anchorId="340675D9" wp14:editId="7372AE01">
            <wp:extent cx="5348080" cy="2581027"/>
            <wp:effectExtent l="19050" t="19050" r="5080" b="0"/>
            <wp:docPr id="7" name="image7.png" descr="Chart, line char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7.png" descr="Chart, line chart&#10;&#10;Description automatically generated"/>
                    <pic:cNvPicPr preferRelativeResize="0"/>
                  </pic:nvPicPr>
                  <pic:blipFill rotWithShape="1">
                    <a:blip r:embed="rId13"/>
                    <a:srcRect b="10251"/>
                    <a:stretch/>
                  </pic:blipFill>
                  <pic:spPr bwMode="auto">
                    <a:xfrm>
                      <a:off x="0" y="0"/>
                      <a:ext cx="5407703" cy="2609801"/>
                    </a:xfrm>
                    <a:prstGeom prst="rect">
                      <a:avLst/>
                    </a:prstGeom>
                    <a:ln w="12700" cap="flat" cmpd="sng" algn="ctr">
                      <a:solidFill>
                        <a:srgbClr val="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3BD5146C" w14:textId="77777777" w:rsidR="003E5196" w:rsidRDefault="003E5196" w:rsidP="0042718A">
      <w:pPr>
        <w:keepNext/>
        <w:pBdr>
          <w:top w:val="nil"/>
          <w:left w:val="nil"/>
          <w:bottom w:val="nil"/>
          <w:right w:val="nil"/>
          <w:between w:val="nil"/>
        </w:pBdr>
        <w:spacing w:after="0"/>
        <w:jc w:val="both"/>
        <w:rPr>
          <w:rFonts w:eastAsia="Times New Roman" w:cs="Times New Roman"/>
          <w:color w:val="000000" w:themeColor="text1"/>
          <w:szCs w:val="24"/>
        </w:rPr>
      </w:pPr>
    </w:p>
    <w:p w14:paraId="6B7A6519" w14:textId="5F24A2F2" w:rsidR="004F60DA" w:rsidRPr="00F6508F" w:rsidRDefault="00447F55" w:rsidP="0042718A">
      <w:pPr>
        <w:keepNext/>
        <w:pBdr>
          <w:top w:val="nil"/>
          <w:left w:val="nil"/>
          <w:bottom w:val="nil"/>
          <w:right w:val="nil"/>
          <w:between w:val="nil"/>
        </w:pBdr>
        <w:spacing w:after="0"/>
        <w:jc w:val="both"/>
        <w:rPr>
          <w:rFonts w:eastAsia="Times New Roman" w:cs="Times New Roman"/>
          <w:color w:val="000000" w:themeColor="text1"/>
          <w:szCs w:val="24"/>
        </w:rPr>
      </w:pPr>
      <w:r w:rsidRPr="00F6508F">
        <w:rPr>
          <w:rFonts w:eastAsia="Times New Roman" w:cs="Times New Roman"/>
          <w:color w:val="000000" w:themeColor="text1"/>
          <w:szCs w:val="24"/>
        </w:rPr>
        <w:t>To estimate the added cost of battery storage, we can consult the Xcel</w:t>
      </w:r>
      <w:r w:rsidR="00344238">
        <w:rPr>
          <w:rFonts w:eastAsia="Times New Roman" w:cs="Times New Roman"/>
          <w:color w:val="000000" w:themeColor="text1"/>
          <w:szCs w:val="24"/>
        </w:rPr>
        <w:t>Energy</w:t>
      </w:r>
      <w:r w:rsidRPr="00F6508F">
        <w:rPr>
          <w:rFonts w:eastAsia="Times New Roman" w:cs="Times New Roman"/>
          <w:color w:val="000000" w:themeColor="text1"/>
          <w:szCs w:val="24"/>
        </w:rPr>
        <w:t xml:space="preserve"> Colorado bids and other sources. </w:t>
      </w:r>
      <w:r w:rsidR="00344238">
        <w:rPr>
          <w:rFonts w:eastAsia="Times New Roman" w:cs="Times New Roman"/>
          <w:color w:val="000000" w:themeColor="text1"/>
          <w:szCs w:val="24"/>
        </w:rPr>
        <w:t>Table</w:t>
      </w:r>
      <w:r w:rsidR="00DC48AF">
        <w:rPr>
          <w:rFonts w:eastAsia="Times New Roman" w:cs="Times New Roman"/>
          <w:color w:val="000000" w:themeColor="text1"/>
          <w:szCs w:val="24"/>
        </w:rPr>
        <w:t xml:space="preserve"> 3, below,</w:t>
      </w:r>
      <w:r w:rsidRPr="00F6508F">
        <w:rPr>
          <w:rFonts w:eastAsia="Times New Roman" w:cs="Times New Roman"/>
          <w:color w:val="000000" w:themeColor="text1"/>
          <w:szCs w:val="24"/>
        </w:rPr>
        <w:t xml:space="preserve"> lists the actual contracted solar and solar + storage resources scheduled to be in service in 2022.</w:t>
      </w:r>
      <w:r w:rsidRPr="00F6508F">
        <w:rPr>
          <w:rFonts w:eastAsia="Times New Roman" w:cs="Times New Roman"/>
          <w:color w:val="000000" w:themeColor="text1"/>
          <w:szCs w:val="24"/>
          <w:vertAlign w:val="superscript"/>
        </w:rPr>
        <w:footnoteReference w:id="15"/>
      </w:r>
    </w:p>
    <w:p w14:paraId="069FE667" w14:textId="32EA7370" w:rsidR="004E5024" w:rsidRDefault="004E5024" w:rsidP="003A6CDA">
      <w:pPr>
        <w:keepNext/>
        <w:spacing w:after="0"/>
        <w:ind w:left="0"/>
        <w:jc w:val="both"/>
        <w:rPr>
          <w:color w:val="000000" w:themeColor="text1"/>
        </w:rPr>
      </w:pPr>
    </w:p>
    <w:p w14:paraId="675B5F1C" w14:textId="5A162A07" w:rsidR="003B15C5" w:rsidRPr="003B15C5" w:rsidRDefault="00DC48AF" w:rsidP="003B15C5">
      <w:pPr>
        <w:keepNext/>
        <w:spacing w:after="0"/>
        <w:jc w:val="center"/>
        <w:rPr>
          <w:b/>
          <w:bCs/>
          <w:color w:val="000000" w:themeColor="text1"/>
        </w:rPr>
      </w:pPr>
      <w:r>
        <w:rPr>
          <w:b/>
          <w:bCs/>
          <w:color w:val="000000" w:themeColor="text1"/>
        </w:rPr>
        <w:t>Table 3</w:t>
      </w:r>
      <w:r w:rsidR="003B15C5" w:rsidRPr="003B15C5">
        <w:rPr>
          <w:b/>
          <w:bCs/>
          <w:color w:val="000000" w:themeColor="text1"/>
        </w:rPr>
        <w:t>. Contracted Prices from Xcel</w:t>
      </w:r>
      <w:r w:rsidR="00344238">
        <w:rPr>
          <w:b/>
          <w:bCs/>
          <w:color w:val="000000" w:themeColor="text1"/>
        </w:rPr>
        <w:t xml:space="preserve">Energy </w:t>
      </w:r>
      <w:r w:rsidR="003B15C5" w:rsidRPr="003B15C5">
        <w:rPr>
          <w:b/>
          <w:bCs/>
          <w:color w:val="000000" w:themeColor="text1"/>
        </w:rPr>
        <w:t>Colorado’s 2016 All</w:t>
      </w:r>
      <w:r w:rsidR="00344238">
        <w:rPr>
          <w:b/>
          <w:bCs/>
          <w:color w:val="000000" w:themeColor="text1"/>
        </w:rPr>
        <w:t>-</w:t>
      </w:r>
      <w:r w:rsidR="003B15C5" w:rsidRPr="003B15C5">
        <w:rPr>
          <w:b/>
          <w:bCs/>
          <w:color w:val="000000" w:themeColor="text1"/>
        </w:rPr>
        <w:t>Source RFP</w:t>
      </w:r>
    </w:p>
    <w:p w14:paraId="7B0407E9" w14:textId="36DDC6D4" w:rsidR="003B15C5" w:rsidRDefault="003E6256" w:rsidP="003E6256">
      <w:pPr>
        <w:keepNext/>
        <w:spacing w:after="0"/>
        <w:jc w:val="both"/>
        <w:rPr>
          <w:color w:val="000000" w:themeColor="text1"/>
        </w:rPr>
      </w:pPr>
      <w:r w:rsidRPr="00F6508F">
        <w:rPr>
          <w:rFonts w:eastAsia="Times New Roman" w:cs="Times New Roman"/>
          <w:noProof/>
          <w:color w:val="000000" w:themeColor="text1"/>
          <w:szCs w:val="24"/>
        </w:rPr>
        <w:drawing>
          <wp:inline distT="114300" distB="114300" distL="114300" distR="114300" wp14:anchorId="75219372" wp14:editId="0AE31040">
            <wp:extent cx="5483000" cy="2350439"/>
            <wp:effectExtent l="19050" t="19050" r="3810" b="0"/>
            <wp:docPr id="9" name="image5.png" descr="Table&#10;&#10;Description automatically generated"/>
            <wp:cNvGraphicFramePr/>
            <a:graphic xmlns:a="http://schemas.openxmlformats.org/drawingml/2006/main">
              <a:graphicData uri="http://schemas.openxmlformats.org/drawingml/2006/picture">
                <pic:pic xmlns:pic="http://schemas.openxmlformats.org/drawingml/2006/picture">
                  <pic:nvPicPr>
                    <pic:cNvPr id="5" name="image5.png" descr="Table&#10;&#10;Description automatically generated"/>
                    <pic:cNvPicPr preferRelativeResize="0"/>
                  </pic:nvPicPr>
                  <pic:blipFill>
                    <a:blip r:embed="rId14"/>
                    <a:srcRect/>
                    <a:stretch>
                      <a:fillRect/>
                    </a:stretch>
                  </pic:blipFill>
                  <pic:spPr>
                    <a:xfrm>
                      <a:off x="0" y="0"/>
                      <a:ext cx="5689168" cy="2438818"/>
                    </a:xfrm>
                    <a:prstGeom prst="rect">
                      <a:avLst/>
                    </a:prstGeom>
                    <a:ln w="12700">
                      <a:solidFill>
                        <a:srgbClr val="000000"/>
                      </a:solidFill>
                      <a:prstDash val="solid"/>
                    </a:ln>
                  </pic:spPr>
                </pic:pic>
              </a:graphicData>
            </a:graphic>
          </wp:inline>
        </w:drawing>
      </w:r>
    </w:p>
    <w:p w14:paraId="29D4D824" w14:textId="77777777" w:rsidR="003B15C5" w:rsidRPr="00F6508F" w:rsidRDefault="003B15C5" w:rsidP="003A6CDA">
      <w:pPr>
        <w:keepNext/>
        <w:spacing w:after="0"/>
        <w:ind w:left="0"/>
        <w:jc w:val="both"/>
        <w:rPr>
          <w:color w:val="000000" w:themeColor="text1"/>
        </w:rPr>
      </w:pPr>
    </w:p>
    <w:p w14:paraId="45232A29" w14:textId="1FAAC8A1" w:rsidR="0011762A" w:rsidRPr="00F6508F" w:rsidRDefault="00447F55" w:rsidP="00B65916">
      <w:pPr>
        <w:spacing w:after="0"/>
        <w:jc w:val="both"/>
        <w:rPr>
          <w:color w:val="000000" w:themeColor="text1"/>
        </w:rPr>
      </w:pPr>
      <w:r w:rsidRPr="00F6508F">
        <w:rPr>
          <w:color w:val="000000" w:themeColor="text1"/>
        </w:rPr>
        <w:t xml:space="preserve">The two signed solar PPAs </w:t>
      </w:r>
      <w:r w:rsidRPr="00F6508F">
        <w:rPr>
          <w:i/>
          <w:color w:val="000000" w:themeColor="text1"/>
        </w:rPr>
        <w:t>without</w:t>
      </w:r>
      <w:r w:rsidRPr="00F6508F">
        <w:rPr>
          <w:color w:val="000000" w:themeColor="text1"/>
        </w:rPr>
        <w:t xml:space="preserve"> storage average $24.69/MWh, very close to the G</w:t>
      </w:r>
      <w:r w:rsidR="005C052A" w:rsidRPr="00F6508F">
        <w:rPr>
          <w:color w:val="000000" w:themeColor="text1"/>
        </w:rPr>
        <w:t>eorgia Power</w:t>
      </w:r>
      <w:r w:rsidRPr="00F6508F">
        <w:rPr>
          <w:color w:val="000000" w:themeColor="text1"/>
        </w:rPr>
        <w:t xml:space="preserve"> </w:t>
      </w:r>
      <w:r w:rsidR="005C052A" w:rsidRPr="00F6508F">
        <w:rPr>
          <w:color w:val="000000" w:themeColor="text1"/>
        </w:rPr>
        <w:t xml:space="preserve">planning </w:t>
      </w:r>
      <w:r w:rsidRPr="00F6508F">
        <w:rPr>
          <w:color w:val="000000" w:themeColor="text1"/>
        </w:rPr>
        <w:t xml:space="preserve">estimates for standalone solar resources. The two solar + storage projects have an average cost of $30.84/MWh for four-hour battery storage at one-half the PV project’s capacity. This means the average extra cost associated with storage is $6.15/MWh. Revisiting </w:t>
      </w:r>
      <w:r w:rsidR="00166170">
        <w:rPr>
          <w:color w:val="000000" w:themeColor="text1"/>
        </w:rPr>
        <w:t>Table 1</w:t>
      </w:r>
      <w:r w:rsidRPr="00F6508F">
        <w:rPr>
          <w:color w:val="000000" w:themeColor="text1"/>
        </w:rPr>
        <w:t>,</w:t>
      </w:r>
      <w:r w:rsidR="00166170">
        <w:rPr>
          <w:color w:val="000000" w:themeColor="text1"/>
        </w:rPr>
        <w:t xml:space="preserve"> on page 11</w:t>
      </w:r>
      <w:r w:rsidR="00D158E1">
        <w:rPr>
          <w:color w:val="000000" w:themeColor="text1"/>
        </w:rPr>
        <w:t>,</w:t>
      </w:r>
      <w:r w:rsidRPr="00F6508F">
        <w:rPr>
          <w:color w:val="000000" w:themeColor="text1"/>
        </w:rPr>
        <w:t xml:space="preserve"> which shows the median prices of all the bids Xcel</w:t>
      </w:r>
      <w:r w:rsidR="00D158E1">
        <w:rPr>
          <w:color w:val="000000" w:themeColor="text1"/>
        </w:rPr>
        <w:t>Energy Colorado</w:t>
      </w:r>
      <w:r w:rsidRPr="00F6508F">
        <w:rPr>
          <w:color w:val="000000" w:themeColor="text1"/>
        </w:rPr>
        <w:t xml:space="preserve"> received, we see that the median extra cost associated with storage is similar, at $6.50/MWh. These figures are also similar to estimates made by </w:t>
      </w:r>
      <w:r w:rsidRPr="00F6508F">
        <w:rPr>
          <w:color w:val="000000" w:themeColor="text1"/>
        </w:rPr>
        <w:lastRenderedPageBreak/>
        <w:t>LBNL.</w:t>
      </w:r>
      <w:r w:rsidRPr="00F6508F">
        <w:rPr>
          <w:color w:val="000000" w:themeColor="text1"/>
          <w:vertAlign w:val="superscript"/>
        </w:rPr>
        <w:footnoteReference w:id="16"/>
      </w:r>
      <w:r w:rsidRPr="00F6508F">
        <w:rPr>
          <w:color w:val="000000" w:themeColor="text1"/>
        </w:rPr>
        <w:t xml:space="preserve"> For </w:t>
      </w:r>
      <w:r w:rsidR="0011762A" w:rsidRPr="00F6508F">
        <w:rPr>
          <w:color w:val="000000" w:themeColor="text1"/>
        </w:rPr>
        <w:t xml:space="preserve">4-hour </w:t>
      </w:r>
      <w:r w:rsidRPr="00F6508F">
        <w:rPr>
          <w:color w:val="000000" w:themeColor="text1"/>
        </w:rPr>
        <w:t>battery storage with a capacity of half the PV capacity, LBNL estimates the extra cost to be about $10/MWh.</w:t>
      </w:r>
      <w:r w:rsidR="008E3F32">
        <w:rPr>
          <w:rStyle w:val="FootnoteReference"/>
          <w:color w:val="000000" w:themeColor="text1"/>
        </w:rPr>
        <w:footnoteReference w:id="17"/>
      </w:r>
    </w:p>
    <w:p w14:paraId="6B7A651F" w14:textId="04AF9043" w:rsidR="004F60DA" w:rsidRPr="00F6508F" w:rsidRDefault="00447F55" w:rsidP="00B65916">
      <w:pPr>
        <w:widowControl w:val="0"/>
        <w:pBdr>
          <w:top w:val="nil"/>
          <w:left w:val="nil"/>
          <w:bottom w:val="nil"/>
          <w:right w:val="nil"/>
          <w:between w:val="nil"/>
        </w:pBdr>
        <w:spacing w:after="0"/>
        <w:jc w:val="both"/>
        <w:rPr>
          <w:rFonts w:eastAsia="Times New Roman" w:cs="Times New Roman"/>
          <w:color w:val="000000" w:themeColor="text1"/>
          <w:szCs w:val="24"/>
        </w:rPr>
      </w:pPr>
      <w:r w:rsidRPr="00F6508F">
        <w:rPr>
          <w:rFonts w:eastAsia="Times New Roman" w:cs="Times New Roman"/>
          <w:color w:val="000000" w:themeColor="text1"/>
          <w:szCs w:val="24"/>
        </w:rPr>
        <w:t xml:space="preserve">Putting this all together, we </w:t>
      </w:r>
      <w:r w:rsidR="0011762A" w:rsidRPr="00F6508F">
        <w:rPr>
          <w:rFonts w:eastAsia="Times New Roman" w:cs="Times New Roman"/>
          <w:color w:val="000000" w:themeColor="text1"/>
          <w:szCs w:val="24"/>
        </w:rPr>
        <w:t>should</w:t>
      </w:r>
      <w:r w:rsidRPr="00F6508F">
        <w:rPr>
          <w:rFonts w:eastAsia="Times New Roman" w:cs="Times New Roman"/>
          <w:color w:val="000000" w:themeColor="text1"/>
          <w:szCs w:val="24"/>
        </w:rPr>
        <w:t xml:space="preserve"> expect that solar + storage</w:t>
      </w:r>
      <w:r w:rsidR="0011762A" w:rsidRPr="00F6508F">
        <w:rPr>
          <w:rFonts w:eastAsia="Times New Roman" w:cs="Times New Roman"/>
          <w:color w:val="000000" w:themeColor="text1"/>
          <w:szCs w:val="24"/>
        </w:rPr>
        <w:t xml:space="preserve"> </w:t>
      </w:r>
      <w:r w:rsidRPr="00F6508F">
        <w:rPr>
          <w:rFonts w:eastAsia="Times New Roman" w:cs="Times New Roman"/>
          <w:color w:val="000000" w:themeColor="text1"/>
          <w:szCs w:val="24"/>
        </w:rPr>
        <w:t xml:space="preserve">bids </w:t>
      </w:r>
      <w:r w:rsidR="0011762A" w:rsidRPr="00F6508F">
        <w:rPr>
          <w:rFonts w:eastAsia="Times New Roman" w:cs="Times New Roman"/>
          <w:color w:val="000000" w:themeColor="text1"/>
          <w:szCs w:val="24"/>
        </w:rPr>
        <w:t>will</w:t>
      </w:r>
      <w:r w:rsidRPr="00F6508F">
        <w:rPr>
          <w:rFonts w:eastAsia="Times New Roman" w:cs="Times New Roman"/>
          <w:color w:val="000000" w:themeColor="text1"/>
          <w:szCs w:val="24"/>
        </w:rPr>
        <w:t xml:space="preserve"> be in the range of $26.50/MWh to $35/MWh. To emphasize, these resources are being relied upon by utilities across the country, but </w:t>
      </w:r>
      <w:r w:rsidR="0011762A" w:rsidRPr="00F6508F">
        <w:rPr>
          <w:rFonts w:eastAsia="Times New Roman" w:cs="Times New Roman"/>
          <w:color w:val="000000" w:themeColor="text1"/>
          <w:szCs w:val="24"/>
        </w:rPr>
        <w:t>apparently</w:t>
      </w:r>
      <w:r w:rsidRPr="00F6508F">
        <w:rPr>
          <w:rFonts w:eastAsia="Times New Roman" w:cs="Times New Roman"/>
          <w:color w:val="000000" w:themeColor="text1"/>
          <w:szCs w:val="24"/>
        </w:rPr>
        <w:t xml:space="preserve"> not by Georgia Power. And to put these prices in context, the GPSC staff estimates that power from Vogtle Units 3 and 4 will cost about five times as much, at $150/MWh.</w:t>
      </w:r>
      <w:r w:rsidR="00613574" w:rsidRPr="00F6508F">
        <w:rPr>
          <w:rStyle w:val="FootnoteReference"/>
          <w:rFonts w:eastAsia="Times New Roman" w:cs="Times New Roman"/>
          <w:color w:val="000000" w:themeColor="text1"/>
          <w:szCs w:val="24"/>
        </w:rPr>
        <w:footnoteReference w:id="18"/>
      </w:r>
    </w:p>
    <w:p w14:paraId="6B7A6520" w14:textId="77777777" w:rsidR="004F60DA" w:rsidRPr="00F6508F" w:rsidRDefault="004F60DA" w:rsidP="003A6CDA">
      <w:pPr>
        <w:widowControl w:val="0"/>
        <w:pBdr>
          <w:top w:val="nil"/>
          <w:left w:val="nil"/>
          <w:bottom w:val="nil"/>
          <w:right w:val="nil"/>
          <w:between w:val="nil"/>
        </w:pBdr>
        <w:spacing w:after="0"/>
        <w:ind w:left="0"/>
        <w:jc w:val="both"/>
        <w:rPr>
          <w:rFonts w:eastAsia="Times New Roman" w:cs="Times New Roman"/>
          <w:color w:val="000000" w:themeColor="text1"/>
          <w:szCs w:val="24"/>
        </w:rPr>
      </w:pPr>
    </w:p>
    <w:p w14:paraId="6B7A6521" w14:textId="1163F0E1" w:rsidR="004F60DA" w:rsidRPr="00F6508F" w:rsidRDefault="00447F55" w:rsidP="00B65916">
      <w:pPr>
        <w:widowControl w:val="0"/>
        <w:pBdr>
          <w:top w:val="nil"/>
          <w:left w:val="nil"/>
          <w:bottom w:val="nil"/>
          <w:right w:val="nil"/>
          <w:between w:val="nil"/>
        </w:pBdr>
        <w:tabs>
          <w:tab w:val="left" w:pos="4320"/>
          <w:tab w:val="left" w:pos="6480"/>
          <w:tab w:val="left" w:pos="8639"/>
        </w:tabs>
        <w:spacing w:after="0"/>
        <w:ind w:hanging="720"/>
        <w:jc w:val="both"/>
        <w:rPr>
          <w:rFonts w:eastAsia="Times New Roman" w:cs="Times New Roman"/>
          <w:b/>
          <w:smallCaps/>
          <w:color w:val="000000" w:themeColor="text1"/>
          <w:szCs w:val="24"/>
        </w:rPr>
      </w:pPr>
      <w:r w:rsidRPr="00F6508F">
        <w:rPr>
          <w:rFonts w:eastAsia="Times New Roman" w:cs="Times New Roman"/>
          <w:b/>
          <w:smallCaps/>
          <w:color w:val="000000" w:themeColor="text1"/>
          <w:szCs w:val="24"/>
        </w:rPr>
        <w:t>Q:</w:t>
      </w:r>
      <w:r w:rsidRPr="00F6508F">
        <w:rPr>
          <w:rFonts w:eastAsia="Times New Roman" w:cs="Times New Roman"/>
          <w:b/>
          <w:smallCaps/>
          <w:color w:val="000000" w:themeColor="text1"/>
          <w:szCs w:val="24"/>
        </w:rPr>
        <w:tab/>
        <w:t>ARE YOU RECOMMENDING THAT THE COMPANY REDO THE SOLICITATION AND MODELING TO ACCOMMODATE THE MATTERS YOU IDENTIFIED?</w:t>
      </w:r>
    </w:p>
    <w:p w14:paraId="2209A3CB" w14:textId="23873AEB" w:rsidR="00380C47" w:rsidRPr="00F6508F" w:rsidRDefault="00447F55" w:rsidP="00B65916">
      <w:pPr>
        <w:spacing w:after="0"/>
        <w:ind w:hanging="720"/>
        <w:jc w:val="both"/>
        <w:rPr>
          <w:color w:val="000000" w:themeColor="text1"/>
        </w:rPr>
      </w:pPr>
      <w:r w:rsidRPr="00F6508F">
        <w:rPr>
          <w:color w:val="000000" w:themeColor="text1"/>
        </w:rPr>
        <w:t>A:</w:t>
      </w:r>
      <w:r w:rsidRPr="00F6508F">
        <w:rPr>
          <w:color w:val="000000" w:themeColor="text1"/>
        </w:rPr>
        <w:tab/>
        <w:t xml:space="preserve">No. Staying with the farm analogy, that horse is out of the barn. Bids have been solicited and evaluated; contracts have been negotiated. </w:t>
      </w:r>
      <w:r w:rsidR="0011762A" w:rsidRPr="00F6508F">
        <w:rPr>
          <w:color w:val="000000" w:themeColor="text1"/>
        </w:rPr>
        <w:t xml:space="preserve">However, </w:t>
      </w:r>
      <w:r w:rsidR="00380C47" w:rsidRPr="00F6508F">
        <w:rPr>
          <w:color w:val="000000" w:themeColor="text1"/>
        </w:rPr>
        <w:t>I think the Commission should consider two potential off-ramps to the acquisition</w:t>
      </w:r>
      <w:r w:rsidR="001811E7" w:rsidRPr="00F6508F">
        <w:rPr>
          <w:color w:val="000000" w:themeColor="text1"/>
        </w:rPr>
        <w:t xml:space="preserve">. </w:t>
      </w:r>
    </w:p>
    <w:p w14:paraId="499FAC70" w14:textId="61F999D6" w:rsidR="00380C47" w:rsidRPr="00F6508F" w:rsidRDefault="00380C47" w:rsidP="00B65916">
      <w:pPr>
        <w:spacing w:after="0"/>
        <w:jc w:val="both"/>
        <w:rPr>
          <w:color w:val="000000" w:themeColor="text1"/>
        </w:rPr>
      </w:pPr>
      <w:r w:rsidRPr="00F6508F">
        <w:rPr>
          <w:color w:val="000000" w:themeColor="text1"/>
        </w:rPr>
        <w:t>First,</w:t>
      </w:r>
      <w:r w:rsidR="00447F55" w:rsidRPr="00F6508F">
        <w:rPr>
          <w:color w:val="000000" w:themeColor="text1"/>
        </w:rPr>
        <w:t xml:space="preserve"> the last of the contracts for 2</w:t>
      </w:r>
      <w:r w:rsidR="009F72C7" w:rsidRPr="00F6508F">
        <w:rPr>
          <w:color w:val="000000" w:themeColor="text1"/>
        </w:rPr>
        <w:t>56</w:t>
      </w:r>
      <w:r w:rsidR="00447F55" w:rsidRPr="00F6508F">
        <w:rPr>
          <w:color w:val="000000" w:themeColor="text1"/>
        </w:rPr>
        <w:t xml:space="preserve"> MW from three units at Dahlberg will not go into effect until 2028, two years after a new IRP in 2025. The Commission should consider putting</w:t>
      </w:r>
      <w:r w:rsidR="00B85ABB">
        <w:rPr>
          <w:color w:val="000000" w:themeColor="text1"/>
        </w:rPr>
        <w:t>-</w:t>
      </w:r>
      <w:r w:rsidR="00447F55" w:rsidRPr="00F6508F">
        <w:rPr>
          <w:color w:val="000000" w:themeColor="text1"/>
        </w:rPr>
        <w:t xml:space="preserve">off a decision on this last tranche of capacity until the next IRP. </w:t>
      </w:r>
      <w:r w:rsidRPr="00F6508F">
        <w:rPr>
          <w:color w:val="000000" w:themeColor="text1"/>
        </w:rPr>
        <w:t xml:space="preserve">Alternatively, </w:t>
      </w:r>
      <w:r w:rsidR="001352C4" w:rsidRPr="00F6508F">
        <w:rPr>
          <w:color w:val="000000" w:themeColor="text1"/>
        </w:rPr>
        <w:t>i</w:t>
      </w:r>
      <w:r w:rsidRPr="00F6508F">
        <w:rPr>
          <w:color w:val="000000" w:themeColor="text1"/>
        </w:rPr>
        <w:t xml:space="preserve">f the Commission concludes there would not be enough time in </w:t>
      </w:r>
      <w:r w:rsidR="00B85ABB">
        <w:rPr>
          <w:color w:val="000000" w:themeColor="text1"/>
        </w:rPr>
        <w:t xml:space="preserve">Georgia Power’s </w:t>
      </w:r>
      <w:r w:rsidRPr="00F6508F">
        <w:rPr>
          <w:color w:val="000000" w:themeColor="text1"/>
        </w:rPr>
        <w:t xml:space="preserve">2025 IRP process to treat this 2028 capacity shortfall, it should require a new capacity solicitation </w:t>
      </w:r>
      <w:r w:rsidRPr="00D05E92">
        <w:rPr>
          <w:i/>
          <w:iCs/>
          <w:color w:val="000000" w:themeColor="text1"/>
          <w:u w:val="single"/>
        </w:rPr>
        <w:lastRenderedPageBreak/>
        <w:t>in advance of</w:t>
      </w:r>
      <w:r w:rsidRPr="00F6508F">
        <w:rPr>
          <w:b/>
          <w:bCs/>
          <w:i/>
          <w:iCs/>
          <w:color w:val="000000" w:themeColor="text1"/>
        </w:rPr>
        <w:t xml:space="preserve"> </w:t>
      </w:r>
      <w:r w:rsidRPr="00F6508F">
        <w:rPr>
          <w:color w:val="000000" w:themeColor="text1"/>
        </w:rPr>
        <w:t>the 2025 IRP</w:t>
      </w:r>
      <w:r w:rsidR="001811E7" w:rsidRPr="00F6508F">
        <w:rPr>
          <w:color w:val="000000" w:themeColor="text1"/>
        </w:rPr>
        <w:t xml:space="preserve">. </w:t>
      </w:r>
      <w:r w:rsidRPr="00F6508F">
        <w:rPr>
          <w:color w:val="000000" w:themeColor="text1"/>
        </w:rPr>
        <w:t xml:space="preserve">With appropriate adjustments to the solicitation process, discussed below, the Commission will have </w:t>
      </w:r>
      <w:r w:rsidR="001811E7" w:rsidRPr="00F6508F">
        <w:rPr>
          <w:color w:val="000000" w:themeColor="text1"/>
        </w:rPr>
        <w:t>added information</w:t>
      </w:r>
      <w:r w:rsidRPr="00F6508F">
        <w:rPr>
          <w:color w:val="000000" w:themeColor="text1"/>
        </w:rPr>
        <w:t xml:space="preserve"> about the need for </w:t>
      </w:r>
      <w:r w:rsidR="001352C4" w:rsidRPr="00F6508F">
        <w:rPr>
          <w:color w:val="000000" w:themeColor="text1"/>
        </w:rPr>
        <w:t xml:space="preserve">capacity from </w:t>
      </w:r>
      <w:r w:rsidRPr="00F6508F">
        <w:rPr>
          <w:color w:val="000000" w:themeColor="text1"/>
        </w:rPr>
        <w:t>these three combustion turbines.</w:t>
      </w:r>
    </w:p>
    <w:p w14:paraId="6B7A6522" w14:textId="48F8E225" w:rsidR="004F60DA" w:rsidRDefault="001352C4" w:rsidP="00B65916">
      <w:pPr>
        <w:spacing w:after="0"/>
        <w:jc w:val="both"/>
        <w:rPr>
          <w:color w:val="000000" w:themeColor="text1"/>
        </w:rPr>
      </w:pPr>
      <w:r w:rsidRPr="00F6508F">
        <w:rPr>
          <w:color w:val="000000" w:themeColor="text1"/>
        </w:rPr>
        <w:t>In a similar vein</w:t>
      </w:r>
      <w:r w:rsidR="00447F55" w:rsidRPr="00F6508F">
        <w:rPr>
          <w:color w:val="000000" w:themeColor="text1"/>
        </w:rPr>
        <w:t xml:space="preserve">, if the Commission determines </w:t>
      </w:r>
      <w:r w:rsidRPr="00F6508F">
        <w:rPr>
          <w:color w:val="000000" w:themeColor="text1"/>
        </w:rPr>
        <w:t xml:space="preserve">in this case </w:t>
      </w:r>
      <w:r w:rsidR="00447F55" w:rsidRPr="00F6508F">
        <w:rPr>
          <w:color w:val="000000" w:themeColor="text1"/>
        </w:rPr>
        <w:t>not to retire some of the coal plants proposed for closure, the</w:t>
      </w:r>
      <w:r w:rsidRPr="00F6508F">
        <w:rPr>
          <w:color w:val="000000" w:themeColor="text1"/>
        </w:rPr>
        <w:t>n the</w:t>
      </w:r>
      <w:r w:rsidR="00447F55" w:rsidRPr="00F6508F">
        <w:rPr>
          <w:color w:val="000000" w:themeColor="text1"/>
        </w:rPr>
        <w:t xml:space="preserve"> Commission should not approve PPAs for capacity the Company </w:t>
      </w:r>
      <w:r w:rsidR="00192755" w:rsidRPr="00F6508F">
        <w:rPr>
          <w:color w:val="000000" w:themeColor="text1"/>
        </w:rPr>
        <w:t>says are needed to</w:t>
      </w:r>
      <w:r w:rsidR="00447F55" w:rsidRPr="00F6508F">
        <w:rPr>
          <w:color w:val="000000" w:themeColor="text1"/>
        </w:rPr>
        <w:t xml:space="preserve"> make up for the closed plant capacity. During </w:t>
      </w:r>
      <w:r w:rsidR="004056E4">
        <w:rPr>
          <w:color w:val="000000" w:themeColor="text1"/>
        </w:rPr>
        <w:t>Georgia Power’s</w:t>
      </w:r>
      <w:r w:rsidR="00447F55" w:rsidRPr="00F6508F">
        <w:rPr>
          <w:color w:val="000000" w:themeColor="text1"/>
        </w:rPr>
        <w:t xml:space="preserve"> 2025</w:t>
      </w:r>
      <w:r w:rsidR="00720B5F" w:rsidRPr="00F6508F">
        <w:rPr>
          <w:color w:val="000000" w:themeColor="text1"/>
        </w:rPr>
        <w:t xml:space="preserve"> IRP</w:t>
      </w:r>
      <w:r w:rsidR="00447F55" w:rsidRPr="00F6508F">
        <w:rPr>
          <w:color w:val="000000" w:themeColor="text1"/>
        </w:rPr>
        <w:t>, the Commission can examine the revised capacity needs and direct the Company to undertake a new solicitation</w:t>
      </w:r>
      <w:r w:rsidR="001811E7" w:rsidRPr="00F6508F">
        <w:rPr>
          <w:color w:val="000000" w:themeColor="text1"/>
        </w:rPr>
        <w:t xml:space="preserve">. </w:t>
      </w:r>
    </w:p>
    <w:p w14:paraId="5E3F94D1" w14:textId="77777777" w:rsidR="00B65916" w:rsidRPr="00F6508F" w:rsidRDefault="00B65916" w:rsidP="00B65916">
      <w:pPr>
        <w:spacing w:after="0"/>
        <w:jc w:val="both"/>
        <w:rPr>
          <w:color w:val="000000" w:themeColor="text1"/>
        </w:rPr>
      </w:pPr>
    </w:p>
    <w:p w14:paraId="6B7A6525" w14:textId="675E9BEA" w:rsidR="004F60DA" w:rsidRPr="00F6508F" w:rsidRDefault="00447F55" w:rsidP="00B65916">
      <w:pPr>
        <w:pStyle w:val="Question"/>
        <w:jc w:val="both"/>
        <w:rPr>
          <w:color w:val="000000" w:themeColor="text1"/>
        </w:rPr>
      </w:pPr>
      <w:r w:rsidRPr="00F6508F">
        <w:rPr>
          <w:color w:val="000000" w:themeColor="text1"/>
        </w:rPr>
        <w:t>Q:</w:t>
      </w:r>
      <w:r w:rsidRPr="00F6508F">
        <w:rPr>
          <w:color w:val="000000" w:themeColor="text1"/>
        </w:rPr>
        <w:tab/>
        <w:t>YOU MENTIONED GEORGIA POWER’S RELATIONSHIP TO OTHER CAPACITY IN THE REGION. PLEASE COMMENT.</w:t>
      </w:r>
    </w:p>
    <w:p w14:paraId="6B7A6526" w14:textId="4A4A2FD8" w:rsidR="004F60DA" w:rsidRPr="00F6508F" w:rsidRDefault="00447F55" w:rsidP="00B65916">
      <w:pPr>
        <w:pStyle w:val="Answer"/>
        <w:spacing w:before="0" w:after="0"/>
        <w:jc w:val="both"/>
        <w:rPr>
          <w:color w:val="000000" w:themeColor="text1"/>
        </w:rPr>
      </w:pPr>
      <w:r w:rsidRPr="00F6508F">
        <w:rPr>
          <w:color w:val="000000" w:themeColor="text1"/>
        </w:rPr>
        <w:t>A:</w:t>
      </w:r>
      <w:r w:rsidRPr="00F6508F">
        <w:rPr>
          <w:color w:val="000000" w:themeColor="text1"/>
        </w:rPr>
        <w:tab/>
        <w:t xml:space="preserve">In </w:t>
      </w:r>
      <w:r w:rsidR="004056E4">
        <w:rPr>
          <w:color w:val="000000" w:themeColor="text1"/>
        </w:rPr>
        <w:t>Georgia Power’s 2022</w:t>
      </w:r>
      <w:r w:rsidRPr="00F6508F">
        <w:rPr>
          <w:color w:val="000000" w:themeColor="text1"/>
        </w:rPr>
        <w:t xml:space="preserve"> IRP, the Company is proposing a 16.5% reserve margin in summer and a 26% reserve margin in winter. Needless to say, the</w:t>
      </w:r>
      <w:r w:rsidR="009F72C7" w:rsidRPr="00F6508F">
        <w:rPr>
          <w:color w:val="000000" w:themeColor="text1"/>
        </w:rPr>
        <w:t>se</w:t>
      </w:r>
      <w:r w:rsidRPr="00F6508F">
        <w:rPr>
          <w:color w:val="000000" w:themeColor="text1"/>
        </w:rPr>
        <w:t xml:space="preserve"> proffered reserve margins are high and very expensive.</w:t>
      </w:r>
    </w:p>
    <w:p w14:paraId="6B7A6529" w14:textId="53649EF2" w:rsidR="004F60DA" w:rsidRDefault="00447F55" w:rsidP="00B65916">
      <w:pPr>
        <w:spacing w:after="0"/>
        <w:jc w:val="both"/>
        <w:rPr>
          <w:color w:val="000000" w:themeColor="text1"/>
        </w:rPr>
      </w:pPr>
      <w:r w:rsidRPr="00F6508F">
        <w:rPr>
          <w:color w:val="000000" w:themeColor="text1"/>
        </w:rPr>
        <w:t xml:space="preserve">One traditional way to reduce reserve margins is to broaden the footprint over which the reserve requirement is measured. For this reason, </w:t>
      </w:r>
      <w:r w:rsidR="007D09DE">
        <w:rPr>
          <w:color w:val="000000" w:themeColor="text1"/>
        </w:rPr>
        <w:t>Regional Transmission Organizations (“</w:t>
      </w:r>
      <w:r w:rsidRPr="00F6508F">
        <w:rPr>
          <w:color w:val="000000" w:themeColor="text1"/>
        </w:rPr>
        <w:t>RTOs</w:t>
      </w:r>
      <w:r w:rsidR="00FF6BAC">
        <w:rPr>
          <w:color w:val="000000" w:themeColor="text1"/>
        </w:rPr>
        <w:t>”) and Independent System Operators (“</w:t>
      </w:r>
      <w:r w:rsidRPr="00F6508F">
        <w:rPr>
          <w:color w:val="000000" w:themeColor="text1"/>
        </w:rPr>
        <w:t>ISOs</w:t>
      </w:r>
      <w:r w:rsidR="00FF6BAC">
        <w:rPr>
          <w:color w:val="000000" w:themeColor="text1"/>
        </w:rPr>
        <w:t>”)</w:t>
      </w:r>
      <w:r w:rsidRPr="00F6508F">
        <w:rPr>
          <w:color w:val="000000" w:themeColor="text1"/>
        </w:rPr>
        <w:t xml:space="preserve"> tend to have lower reserve margins because there is extensive reserve sharing among the members. In case of </w:t>
      </w:r>
      <w:r w:rsidR="0068234A">
        <w:rPr>
          <w:color w:val="000000" w:themeColor="text1"/>
        </w:rPr>
        <w:t>Georgia Power</w:t>
      </w:r>
      <w:r w:rsidRPr="00F6508F">
        <w:rPr>
          <w:color w:val="000000" w:themeColor="text1"/>
        </w:rPr>
        <w:t>, there is very little mention of its opportunities for reserve sharing discussed in this IRP. Appendix G to the IRP filing discusses the Intercompany Interchange Contract that allows reserve sharing among Southern Company members. While this exchange is undoubtedly helpful, it would have much less impact than a</w:t>
      </w:r>
      <w:r w:rsidR="00AE201D" w:rsidRPr="00F6508F">
        <w:rPr>
          <w:color w:val="000000" w:themeColor="text1"/>
        </w:rPr>
        <w:t>n RTO or a</w:t>
      </w:r>
      <w:r w:rsidRPr="00F6508F">
        <w:rPr>
          <w:color w:val="000000" w:themeColor="text1"/>
        </w:rPr>
        <w:t xml:space="preserve"> region-wide </w:t>
      </w:r>
      <w:r w:rsidR="00AE201D" w:rsidRPr="00F6508F">
        <w:rPr>
          <w:color w:val="000000" w:themeColor="text1"/>
        </w:rPr>
        <w:t>power</w:t>
      </w:r>
      <w:r w:rsidRPr="00F6508F">
        <w:rPr>
          <w:color w:val="000000" w:themeColor="text1"/>
        </w:rPr>
        <w:t xml:space="preserve"> pool</w:t>
      </w:r>
      <w:r w:rsidR="00AE201D" w:rsidRPr="00F6508F">
        <w:rPr>
          <w:color w:val="000000" w:themeColor="text1"/>
        </w:rPr>
        <w:t xml:space="preserve"> (such as those that preceded </w:t>
      </w:r>
      <w:r w:rsidR="00330CE9">
        <w:rPr>
          <w:color w:val="000000" w:themeColor="text1"/>
        </w:rPr>
        <w:t xml:space="preserve">the </w:t>
      </w:r>
      <w:r w:rsidR="00AE201D" w:rsidRPr="00F6508F">
        <w:rPr>
          <w:color w:val="000000" w:themeColor="text1"/>
        </w:rPr>
        <w:t>formation of RTOs)</w:t>
      </w:r>
      <w:r w:rsidRPr="00F6508F">
        <w:rPr>
          <w:color w:val="000000" w:themeColor="text1"/>
        </w:rPr>
        <w:t>. I</w:t>
      </w:r>
      <w:r w:rsidR="00330CE9">
        <w:rPr>
          <w:color w:val="000000" w:themeColor="text1"/>
        </w:rPr>
        <w:t xml:space="preserve"> a</w:t>
      </w:r>
      <w:r w:rsidRPr="00F6508F">
        <w:rPr>
          <w:color w:val="000000" w:themeColor="text1"/>
        </w:rPr>
        <w:t xml:space="preserve">m </w:t>
      </w:r>
      <w:r w:rsidRPr="00F6508F">
        <w:rPr>
          <w:color w:val="000000" w:themeColor="text1"/>
        </w:rPr>
        <w:lastRenderedPageBreak/>
        <w:t>aware of the public discussion about forming an RTO in the southeast region, and do not propose to get involved in the associated political and economic debates. Looking to the near future, regional cooperation and reserve sharing will assume even greater importance as the operating companies of the Southern Company begin taking on increasing levels of variable renewable energy. Suffice it to say, the Commission should push for as much regional cooperation as can be achieved.</w:t>
      </w:r>
    </w:p>
    <w:p w14:paraId="563297C2" w14:textId="77777777" w:rsidR="00DA625A" w:rsidRPr="00F6508F" w:rsidRDefault="00DA625A" w:rsidP="00B65916">
      <w:pPr>
        <w:spacing w:after="0"/>
        <w:jc w:val="both"/>
        <w:rPr>
          <w:color w:val="000000" w:themeColor="text1"/>
        </w:rPr>
      </w:pPr>
    </w:p>
    <w:p w14:paraId="7114EC03" w14:textId="4277CDC5" w:rsidR="00321291" w:rsidRPr="00F6508F" w:rsidRDefault="00321291" w:rsidP="00B65916">
      <w:pPr>
        <w:keepNext/>
        <w:keepLines/>
        <w:pBdr>
          <w:top w:val="nil"/>
          <w:left w:val="nil"/>
          <w:bottom w:val="nil"/>
          <w:right w:val="nil"/>
          <w:between w:val="nil"/>
        </w:pBdr>
        <w:tabs>
          <w:tab w:val="left" w:pos="4320"/>
          <w:tab w:val="left" w:pos="6480"/>
          <w:tab w:val="left" w:pos="8639"/>
        </w:tabs>
        <w:spacing w:after="0"/>
        <w:ind w:hanging="720"/>
        <w:jc w:val="both"/>
        <w:rPr>
          <w:rFonts w:eastAsia="Times New Roman" w:cs="Times New Roman"/>
          <w:b/>
          <w:color w:val="000000" w:themeColor="text1"/>
          <w:szCs w:val="24"/>
        </w:rPr>
      </w:pPr>
      <w:r w:rsidRPr="00F6508F">
        <w:rPr>
          <w:rFonts w:eastAsia="Times New Roman" w:cs="Times New Roman"/>
          <w:b/>
          <w:smallCaps/>
          <w:color w:val="000000" w:themeColor="text1"/>
          <w:szCs w:val="24"/>
        </w:rPr>
        <w:t>Q:</w:t>
      </w:r>
      <w:r w:rsidRPr="00F6508F">
        <w:rPr>
          <w:rFonts w:eastAsia="Times New Roman" w:cs="Times New Roman"/>
          <w:b/>
          <w:smallCaps/>
          <w:color w:val="000000" w:themeColor="text1"/>
          <w:szCs w:val="24"/>
        </w:rPr>
        <w:tab/>
      </w:r>
      <w:r w:rsidRPr="00F6508F">
        <w:rPr>
          <w:rFonts w:eastAsia="Times New Roman" w:cs="Times New Roman"/>
          <w:b/>
          <w:color w:val="000000" w:themeColor="text1"/>
          <w:szCs w:val="24"/>
        </w:rPr>
        <w:t>PLEASE SUMMARIZE YOUR TESTIMONY AND RECOMMENDATIONS FOR THE COMMISSION</w:t>
      </w:r>
      <w:r w:rsidR="001811E7" w:rsidRPr="00F6508F">
        <w:rPr>
          <w:rFonts w:eastAsia="Times New Roman" w:cs="Times New Roman"/>
          <w:b/>
          <w:color w:val="000000" w:themeColor="text1"/>
          <w:szCs w:val="24"/>
        </w:rPr>
        <w:t xml:space="preserve">. </w:t>
      </w:r>
    </w:p>
    <w:p w14:paraId="547A860A" w14:textId="0263EFF5" w:rsidR="00321291" w:rsidRPr="002D1717" w:rsidRDefault="00321291" w:rsidP="008B7090">
      <w:pPr>
        <w:numPr>
          <w:ilvl w:val="0"/>
          <w:numId w:val="31"/>
        </w:numPr>
        <w:pBdr>
          <w:top w:val="nil"/>
          <w:left w:val="nil"/>
          <w:bottom w:val="nil"/>
          <w:right w:val="nil"/>
          <w:between w:val="nil"/>
        </w:pBdr>
        <w:spacing w:after="0"/>
        <w:jc w:val="both"/>
        <w:rPr>
          <w:rFonts w:eastAsia="Times New Roman" w:cs="Times New Roman"/>
          <w:color w:val="000000" w:themeColor="text1"/>
          <w:szCs w:val="24"/>
        </w:rPr>
      </w:pPr>
      <w:r w:rsidRPr="00B65916">
        <w:rPr>
          <w:rFonts w:eastAsia="Times New Roman" w:cs="Times New Roman"/>
          <w:color w:val="000000" w:themeColor="text1"/>
          <w:szCs w:val="24"/>
        </w:rPr>
        <w:t>The energy landscape is in a period of accelerating technological and financial change, driven by much lower-cost carbon-free technologies and increasing environmental requirements. Utilities must modify their planning, acquisition, and operating practices in light of sectoral changes</w:t>
      </w:r>
      <w:r w:rsidRPr="002D1717">
        <w:rPr>
          <w:rFonts w:eastAsia="Times New Roman" w:cs="Times New Roman"/>
          <w:color w:val="000000" w:themeColor="text1"/>
          <w:szCs w:val="24"/>
        </w:rPr>
        <w:t xml:space="preserve">. </w:t>
      </w:r>
    </w:p>
    <w:p w14:paraId="7B7509B7" w14:textId="141A220A" w:rsidR="00321291" w:rsidRPr="00F6508F" w:rsidRDefault="00321291" w:rsidP="008B7090">
      <w:pPr>
        <w:numPr>
          <w:ilvl w:val="0"/>
          <w:numId w:val="31"/>
        </w:numPr>
        <w:pBdr>
          <w:top w:val="nil"/>
          <w:left w:val="nil"/>
          <w:bottom w:val="nil"/>
          <w:right w:val="nil"/>
          <w:between w:val="nil"/>
        </w:pBdr>
        <w:spacing w:after="0"/>
        <w:jc w:val="both"/>
        <w:rPr>
          <w:rFonts w:eastAsia="Times New Roman" w:cs="Times New Roman"/>
          <w:color w:val="000000" w:themeColor="text1"/>
          <w:szCs w:val="24"/>
        </w:rPr>
      </w:pPr>
      <w:r w:rsidRPr="00F6508F">
        <w:rPr>
          <w:rFonts w:eastAsia="Times New Roman" w:cs="Times New Roman"/>
          <w:color w:val="000000" w:themeColor="text1"/>
          <w:szCs w:val="24"/>
        </w:rPr>
        <w:t xml:space="preserve">There are significant flaws in Georgia Power’s </w:t>
      </w:r>
      <w:r w:rsidR="00A15949">
        <w:rPr>
          <w:rFonts w:eastAsia="Times New Roman" w:cs="Times New Roman"/>
          <w:color w:val="000000" w:themeColor="text1"/>
          <w:szCs w:val="24"/>
        </w:rPr>
        <w:t xml:space="preserve">2022 </w:t>
      </w:r>
      <w:r w:rsidRPr="00F6508F">
        <w:rPr>
          <w:rFonts w:eastAsia="Times New Roman" w:cs="Times New Roman"/>
          <w:color w:val="000000" w:themeColor="text1"/>
          <w:szCs w:val="24"/>
        </w:rPr>
        <w:t>IRP and acquisition process which means that the plan submitted in this proceeding will not likely meet the requirements shown in the Company’s load forecast in an “economical and reliable manner.”</w:t>
      </w:r>
      <w:r w:rsidRPr="00F6508F">
        <w:rPr>
          <w:rFonts w:eastAsia="Times New Roman" w:cs="Times New Roman"/>
          <w:color w:val="000000" w:themeColor="text1"/>
          <w:szCs w:val="24"/>
          <w:vertAlign w:val="superscript"/>
        </w:rPr>
        <w:footnoteReference w:id="19"/>
      </w:r>
      <w:r w:rsidRPr="00F6508F">
        <w:rPr>
          <w:rFonts w:eastAsia="Times New Roman" w:cs="Times New Roman"/>
          <w:color w:val="000000" w:themeColor="text1"/>
          <w:szCs w:val="24"/>
        </w:rPr>
        <w:t xml:space="preserve"> These flaws include:</w:t>
      </w:r>
    </w:p>
    <w:p w14:paraId="5402BAC0" w14:textId="41530533" w:rsidR="00321291" w:rsidRPr="00F6508F" w:rsidRDefault="00321291" w:rsidP="00C07286">
      <w:pPr>
        <w:numPr>
          <w:ilvl w:val="0"/>
          <w:numId w:val="32"/>
        </w:numPr>
        <w:pBdr>
          <w:top w:val="nil"/>
          <w:left w:val="nil"/>
          <w:bottom w:val="nil"/>
          <w:right w:val="nil"/>
          <w:between w:val="nil"/>
        </w:pBdr>
        <w:spacing w:after="0"/>
        <w:jc w:val="both"/>
        <w:rPr>
          <w:rFonts w:eastAsia="Times New Roman" w:cs="Times New Roman"/>
          <w:color w:val="000000" w:themeColor="text1"/>
          <w:szCs w:val="24"/>
        </w:rPr>
      </w:pPr>
      <w:r w:rsidRPr="00F6508F">
        <w:rPr>
          <w:rFonts w:eastAsia="Times New Roman" w:cs="Times New Roman"/>
          <w:color w:val="000000" w:themeColor="text1"/>
          <w:szCs w:val="24"/>
        </w:rPr>
        <w:t>Conducting a “limit</w:t>
      </w:r>
      <w:r w:rsidR="00A15949">
        <w:rPr>
          <w:rFonts w:eastAsia="Times New Roman" w:cs="Times New Roman"/>
          <w:color w:val="000000" w:themeColor="text1"/>
          <w:szCs w:val="24"/>
        </w:rPr>
        <w:t>-</w:t>
      </w:r>
      <w:r w:rsidRPr="00F6508F">
        <w:rPr>
          <w:rFonts w:eastAsia="Times New Roman" w:cs="Times New Roman"/>
          <w:color w:val="000000" w:themeColor="text1"/>
          <w:szCs w:val="24"/>
        </w:rPr>
        <w:t>source” solicitation in which resources are artificially assigned to categories and limited by how much can be selected.</w:t>
      </w:r>
    </w:p>
    <w:p w14:paraId="07C3289A" w14:textId="0AC1FC0A" w:rsidR="00321291" w:rsidRPr="00F6508F" w:rsidRDefault="00321291" w:rsidP="00C07286">
      <w:pPr>
        <w:numPr>
          <w:ilvl w:val="0"/>
          <w:numId w:val="32"/>
        </w:numPr>
        <w:pBdr>
          <w:top w:val="nil"/>
          <w:left w:val="nil"/>
          <w:bottom w:val="nil"/>
          <w:right w:val="nil"/>
          <w:between w:val="nil"/>
        </w:pBdr>
        <w:spacing w:after="0"/>
        <w:jc w:val="both"/>
        <w:rPr>
          <w:rFonts w:eastAsia="Times New Roman" w:cs="Times New Roman"/>
          <w:color w:val="000000" w:themeColor="text1"/>
          <w:szCs w:val="24"/>
        </w:rPr>
      </w:pPr>
      <w:r w:rsidRPr="00F6508F">
        <w:rPr>
          <w:rFonts w:eastAsia="Times New Roman" w:cs="Times New Roman"/>
          <w:color w:val="000000" w:themeColor="text1"/>
          <w:szCs w:val="24"/>
        </w:rPr>
        <w:t xml:space="preserve">Choosing an inappropriate “baseline” scenario in the IRP with respect to, in the Company’s </w:t>
      </w:r>
      <w:r w:rsidR="00CD50C0" w:rsidRPr="00F6508F">
        <w:rPr>
          <w:rFonts w:eastAsia="Times New Roman" w:cs="Times New Roman"/>
          <w:color w:val="000000" w:themeColor="text1"/>
          <w:szCs w:val="24"/>
        </w:rPr>
        <w:t>terms, “</w:t>
      </w:r>
      <w:r w:rsidRPr="00F6508F">
        <w:rPr>
          <w:rFonts w:eastAsia="Times New Roman" w:cs="Times New Roman"/>
          <w:color w:val="000000" w:themeColor="text1"/>
          <w:szCs w:val="24"/>
        </w:rPr>
        <w:t>greenhouse gas pressure” and its natural gas forecast.</w:t>
      </w:r>
    </w:p>
    <w:p w14:paraId="64F94F0B" w14:textId="77777777" w:rsidR="00321291" w:rsidRPr="00F6508F" w:rsidRDefault="00321291" w:rsidP="00C07286">
      <w:pPr>
        <w:numPr>
          <w:ilvl w:val="0"/>
          <w:numId w:val="32"/>
        </w:numPr>
        <w:pBdr>
          <w:top w:val="nil"/>
          <w:left w:val="nil"/>
          <w:bottom w:val="nil"/>
          <w:right w:val="nil"/>
          <w:between w:val="nil"/>
        </w:pBdr>
        <w:spacing w:after="0"/>
        <w:jc w:val="both"/>
        <w:rPr>
          <w:rFonts w:eastAsia="Times New Roman" w:cs="Times New Roman"/>
          <w:color w:val="000000" w:themeColor="text1"/>
          <w:szCs w:val="24"/>
        </w:rPr>
      </w:pPr>
      <w:r w:rsidRPr="00F6508F">
        <w:rPr>
          <w:rFonts w:eastAsia="Times New Roman" w:cs="Times New Roman"/>
          <w:color w:val="000000" w:themeColor="text1"/>
          <w:szCs w:val="24"/>
        </w:rPr>
        <w:lastRenderedPageBreak/>
        <w:t>Incorrect characterization of renewables plus storage for purposes of evaluating those bids.</w:t>
      </w:r>
    </w:p>
    <w:p w14:paraId="4B5A548D" w14:textId="7E493969" w:rsidR="00321291" w:rsidRPr="00F6508F" w:rsidRDefault="00321291" w:rsidP="008B7090">
      <w:pPr>
        <w:numPr>
          <w:ilvl w:val="0"/>
          <w:numId w:val="31"/>
        </w:numPr>
        <w:pBdr>
          <w:top w:val="nil"/>
          <w:left w:val="nil"/>
          <w:bottom w:val="nil"/>
          <w:right w:val="nil"/>
          <w:between w:val="nil"/>
        </w:pBdr>
        <w:spacing w:after="0"/>
        <w:jc w:val="both"/>
        <w:rPr>
          <w:rFonts w:eastAsia="Times New Roman" w:cs="Times New Roman"/>
          <w:color w:val="000000" w:themeColor="text1"/>
          <w:szCs w:val="24"/>
        </w:rPr>
      </w:pPr>
      <w:r w:rsidRPr="00F6508F">
        <w:rPr>
          <w:rFonts w:eastAsia="Times New Roman" w:cs="Times New Roman"/>
          <w:color w:val="000000" w:themeColor="text1"/>
          <w:szCs w:val="24"/>
        </w:rPr>
        <w:t xml:space="preserve">Because of these flaws, Georgia Power’s approach to resource determination and acquisition is systematically biased against renewable resources, especially the pairing of solar </w:t>
      </w:r>
      <w:r w:rsidR="004326EE">
        <w:rPr>
          <w:rFonts w:eastAsia="Times New Roman" w:cs="Times New Roman"/>
          <w:color w:val="000000" w:themeColor="text1"/>
          <w:szCs w:val="24"/>
        </w:rPr>
        <w:t>+</w:t>
      </w:r>
      <w:r w:rsidRPr="00F6508F">
        <w:rPr>
          <w:rFonts w:eastAsia="Times New Roman" w:cs="Times New Roman"/>
          <w:color w:val="000000" w:themeColor="text1"/>
          <w:szCs w:val="24"/>
        </w:rPr>
        <w:t xml:space="preserve"> storage</w:t>
      </w:r>
      <w:r w:rsidR="001811E7" w:rsidRPr="00F6508F">
        <w:rPr>
          <w:rFonts w:eastAsia="Times New Roman" w:cs="Times New Roman"/>
          <w:color w:val="000000" w:themeColor="text1"/>
          <w:szCs w:val="24"/>
        </w:rPr>
        <w:t xml:space="preserve">. </w:t>
      </w:r>
      <w:r w:rsidRPr="00F6508F">
        <w:rPr>
          <w:rFonts w:eastAsia="Times New Roman" w:cs="Times New Roman"/>
          <w:color w:val="000000" w:themeColor="text1"/>
          <w:szCs w:val="24"/>
        </w:rPr>
        <w:t>The result will be an over-reliance on natural gas, failure to include least-cost resources</w:t>
      </w:r>
      <w:r w:rsidR="004326EE">
        <w:rPr>
          <w:rFonts w:eastAsia="Times New Roman" w:cs="Times New Roman"/>
          <w:color w:val="000000" w:themeColor="text1"/>
          <w:szCs w:val="24"/>
        </w:rPr>
        <w:t>,</w:t>
      </w:r>
      <w:r w:rsidRPr="00F6508F">
        <w:rPr>
          <w:rFonts w:eastAsia="Times New Roman" w:cs="Times New Roman"/>
          <w:color w:val="000000" w:themeColor="text1"/>
          <w:szCs w:val="24"/>
        </w:rPr>
        <w:t xml:space="preserve"> and likely higher costs than otherwise.</w:t>
      </w:r>
    </w:p>
    <w:p w14:paraId="636A9337" w14:textId="72767D10" w:rsidR="00321291" w:rsidRPr="00F6508F" w:rsidRDefault="00321291" w:rsidP="008B7090">
      <w:pPr>
        <w:numPr>
          <w:ilvl w:val="0"/>
          <w:numId w:val="31"/>
        </w:numPr>
        <w:pBdr>
          <w:top w:val="nil"/>
          <w:left w:val="nil"/>
          <w:bottom w:val="nil"/>
          <w:right w:val="nil"/>
          <w:between w:val="nil"/>
        </w:pBdr>
        <w:spacing w:after="0"/>
        <w:jc w:val="both"/>
        <w:rPr>
          <w:rFonts w:eastAsia="Times New Roman" w:cs="Times New Roman"/>
          <w:color w:val="000000" w:themeColor="text1"/>
          <w:szCs w:val="24"/>
        </w:rPr>
      </w:pPr>
      <w:r w:rsidRPr="00F6508F">
        <w:rPr>
          <w:rFonts w:eastAsia="Times New Roman" w:cs="Times New Roman"/>
          <w:color w:val="000000" w:themeColor="text1"/>
          <w:szCs w:val="24"/>
        </w:rPr>
        <w:t xml:space="preserve">The Commission should withhold approval of the latest-in-time PPA (2028) for capacity at Dahlberg Units 1, 3, and 5.  This capacity deficit should either be rolled into </w:t>
      </w:r>
      <w:r w:rsidR="004326EE">
        <w:rPr>
          <w:rFonts w:eastAsia="Times New Roman" w:cs="Times New Roman"/>
          <w:color w:val="000000" w:themeColor="text1"/>
          <w:szCs w:val="24"/>
        </w:rPr>
        <w:t>Georgia Power’s</w:t>
      </w:r>
      <w:r w:rsidRPr="00F6508F">
        <w:rPr>
          <w:rFonts w:eastAsia="Times New Roman" w:cs="Times New Roman"/>
          <w:color w:val="000000" w:themeColor="text1"/>
          <w:szCs w:val="24"/>
        </w:rPr>
        <w:t xml:space="preserve"> 2025 IRP; or, if there is insufficient time, the Commission should require Georgia Power to conduct a new capacity solicitation </w:t>
      </w:r>
      <w:r w:rsidRPr="001B1930">
        <w:rPr>
          <w:rFonts w:eastAsia="Times New Roman" w:cs="Times New Roman"/>
          <w:i/>
          <w:iCs/>
          <w:color w:val="000000" w:themeColor="text1"/>
          <w:szCs w:val="24"/>
          <w:u w:val="single"/>
        </w:rPr>
        <w:t>prior to</w:t>
      </w:r>
      <w:r w:rsidRPr="00F6508F">
        <w:rPr>
          <w:rFonts w:eastAsia="Times New Roman" w:cs="Times New Roman"/>
          <w:color w:val="000000" w:themeColor="text1"/>
          <w:szCs w:val="24"/>
        </w:rPr>
        <w:t xml:space="preserve"> the 2025 IRP.</w:t>
      </w:r>
    </w:p>
    <w:p w14:paraId="0A9E97B3" w14:textId="77777777" w:rsidR="00321291" w:rsidRPr="00F6508F" w:rsidRDefault="00321291" w:rsidP="008B7090">
      <w:pPr>
        <w:numPr>
          <w:ilvl w:val="0"/>
          <w:numId w:val="31"/>
        </w:numPr>
        <w:pBdr>
          <w:top w:val="nil"/>
          <w:left w:val="nil"/>
          <w:bottom w:val="nil"/>
          <w:right w:val="nil"/>
          <w:between w:val="nil"/>
        </w:pBdr>
        <w:spacing w:after="0"/>
        <w:jc w:val="both"/>
        <w:rPr>
          <w:rFonts w:eastAsia="Times New Roman" w:cs="Times New Roman"/>
          <w:color w:val="000000" w:themeColor="text1"/>
          <w:szCs w:val="24"/>
        </w:rPr>
      </w:pPr>
      <w:r w:rsidRPr="00F6508F">
        <w:rPr>
          <w:rFonts w:eastAsia="Times New Roman" w:cs="Times New Roman"/>
          <w:color w:val="000000" w:themeColor="text1"/>
          <w:szCs w:val="24"/>
        </w:rPr>
        <w:t>If the Commission declines to retire some or all of the coal units identified for closure, it should reduce the corresponding amount of natural gas PPAs that are sought to be approved in this proceeding.</w:t>
      </w:r>
    </w:p>
    <w:p w14:paraId="012E6507" w14:textId="77777777" w:rsidR="00321291" w:rsidRPr="00F6508F" w:rsidRDefault="00321291" w:rsidP="008B7090">
      <w:pPr>
        <w:numPr>
          <w:ilvl w:val="0"/>
          <w:numId w:val="31"/>
        </w:numPr>
        <w:pBdr>
          <w:top w:val="nil"/>
          <w:left w:val="nil"/>
          <w:bottom w:val="nil"/>
          <w:right w:val="nil"/>
          <w:between w:val="nil"/>
        </w:pBdr>
        <w:spacing w:after="0"/>
        <w:jc w:val="both"/>
        <w:rPr>
          <w:rFonts w:eastAsia="Times New Roman" w:cs="Times New Roman"/>
          <w:color w:val="000000" w:themeColor="text1"/>
          <w:szCs w:val="24"/>
        </w:rPr>
      </w:pPr>
      <w:r w:rsidRPr="00F6508F">
        <w:rPr>
          <w:rFonts w:eastAsia="Times New Roman" w:cs="Times New Roman"/>
          <w:color w:val="000000" w:themeColor="text1"/>
          <w:szCs w:val="24"/>
        </w:rPr>
        <w:t xml:space="preserve">The Commission should correct the shortcomings in Georgia Power’s IRP process with explicit requirements in this case for the next IRP. Specifically, the Commission should direct Georgia Power Company </w:t>
      </w:r>
      <w:r w:rsidRPr="00F6508F">
        <w:rPr>
          <w:rFonts w:eastAsia="Times New Roman" w:cs="Times New Roman"/>
          <w:color w:val="000000" w:themeColor="text1"/>
          <w:szCs w:val="24"/>
          <w:highlight w:val="white"/>
        </w:rPr>
        <w:t xml:space="preserve">to accomplish the following within </w:t>
      </w:r>
      <w:r w:rsidRPr="00F6508F">
        <w:rPr>
          <w:rFonts w:eastAsia="Times New Roman" w:cs="Times New Roman"/>
          <w:color w:val="000000" w:themeColor="text1"/>
          <w:szCs w:val="24"/>
        </w:rPr>
        <w:t>its next IRP:</w:t>
      </w:r>
    </w:p>
    <w:p w14:paraId="6BE67D74" w14:textId="4039887F" w:rsidR="00321291" w:rsidRPr="00F6508F" w:rsidRDefault="00321291" w:rsidP="00C07286">
      <w:pPr>
        <w:numPr>
          <w:ilvl w:val="0"/>
          <w:numId w:val="33"/>
        </w:numPr>
        <w:pBdr>
          <w:top w:val="nil"/>
          <w:left w:val="nil"/>
          <w:bottom w:val="nil"/>
          <w:right w:val="nil"/>
          <w:between w:val="nil"/>
        </w:pBdr>
        <w:spacing w:after="0"/>
        <w:jc w:val="both"/>
        <w:rPr>
          <w:rFonts w:eastAsia="Times New Roman" w:cs="Times New Roman"/>
          <w:color w:val="000000" w:themeColor="text1"/>
          <w:szCs w:val="24"/>
        </w:rPr>
      </w:pPr>
      <w:r w:rsidRPr="00F6508F">
        <w:rPr>
          <w:rFonts w:eastAsia="Times New Roman" w:cs="Times New Roman"/>
          <w:color w:val="000000" w:themeColor="text1"/>
          <w:szCs w:val="24"/>
        </w:rPr>
        <w:t>Conduct an “All</w:t>
      </w:r>
      <w:r w:rsidR="001B1930">
        <w:rPr>
          <w:rFonts w:eastAsia="Times New Roman" w:cs="Times New Roman"/>
          <w:color w:val="000000" w:themeColor="text1"/>
          <w:szCs w:val="24"/>
        </w:rPr>
        <w:t>-</w:t>
      </w:r>
      <w:r w:rsidRPr="00F6508F">
        <w:rPr>
          <w:rFonts w:eastAsia="Times New Roman" w:cs="Times New Roman"/>
          <w:color w:val="000000" w:themeColor="text1"/>
          <w:szCs w:val="24"/>
        </w:rPr>
        <w:t>Source” resource review;</w:t>
      </w:r>
    </w:p>
    <w:p w14:paraId="0467C906" w14:textId="41297ECB" w:rsidR="00321291" w:rsidRPr="00F6508F" w:rsidRDefault="00D560F0" w:rsidP="00C07286">
      <w:pPr>
        <w:numPr>
          <w:ilvl w:val="0"/>
          <w:numId w:val="33"/>
        </w:numPr>
        <w:pBdr>
          <w:top w:val="nil"/>
          <w:left w:val="nil"/>
          <w:bottom w:val="nil"/>
          <w:right w:val="nil"/>
          <w:between w:val="nil"/>
        </w:pBdr>
        <w:spacing w:after="0"/>
        <w:jc w:val="both"/>
        <w:rPr>
          <w:rFonts w:eastAsia="Times New Roman" w:cs="Times New Roman"/>
          <w:color w:val="000000" w:themeColor="text1"/>
          <w:szCs w:val="24"/>
        </w:rPr>
      </w:pPr>
      <w:r>
        <w:rPr>
          <w:rFonts w:eastAsia="Times New Roman" w:cs="Times New Roman"/>
          <w:color w:val="000000" w:themeColor="text1"/>
          <w:szCs w:val="24"/>
        </w:rPr>
        <w:t>C</w:t>
      </w:r>
      <w:r w:rsidR="00321291" w:rsidRPr="00F6508F">
        <w:rPr>
          <w:rFonts w:eastAsia="Times New Roman" w:cs="Times New Roman"/>
          <w:color w:val="000000" w:themeColor="text1"/>
          <w:szCs w:val="24"/>
        </w:rPr>
        <w:t>hange the characterization of solar + storage so that the resource can compete fairly in firm energy and firm capacity modeling;</w:t>
      </w:r>
    </w:p>
    <w:p w14:paraId="1C97B031" w14:textId="72B3290B" w:rsidR="00321291" w:rsidRPr="00F6508F" w:rsidRDefault="00321291" w:rsidP="00C07286">
      <w:pPr>
        <w:numPr>
          <w:ilvl w:val="0"/>
          <w:numId w:val="33"/>
        </w:numPr>
        <w:pBdr>
          <w:top w:val="nil"/>
          <w:left w:val="nil"/>
          <w:bottom w:val="nil"/>
          <w:right w:val="nil"/>
          <w:between w:val="nil"/>
        </w:pBdr>
        <w:spacing w:after="0"/>
        <w:jc w:val="both"/>
        <w:rPr>
          <w:rFonts w:eastAsia="Times New Roman" w:cs="Times New Roman"/>
          <w:color w:val="000000" w:themeColor="text1"/>
          <w:szCs w:val="24"/>
        </w:rPr>
      </w:pPr>
      <w:r w:rsidRPr="00F6508F">
        <w:rPr>
          <w:rFonts w:eastAsia="Times New Roman" w:cs="Times New Roman"/>
          <w:color w:val="000000" w:themeColor="text1"/>
          <w:szCs w:val="24"/>
        </w:rPr>
        <w:t xml:space="preserve">Include </w:t>
      </w:r>
      <w:r w:rsidR="00D560F0">
        <w:rPr>
          <w:rFonts w:eastAsia="Times New Roman" w:cs="Times New Roman"/>
          <w:color w:val="000000" w:themeColor="text1"/>
          <w:szCs w:val="24"/>
        </w:rPr>
        <w:t>energy efficiency (“EE”)</w:t>
      </w:r>
      <w:r w:rsidRPr="00F6508F">
        <w:rPr>
          <w:rFonts w:eastAsia="Times New Roman" w:cs="Times New Roman"/>
          <w:color w:val="000000" w:themeColor="text1"/>
          <w:szCs w:val="24"/>
        </w:rPr>
        <w:t xml:space="preserve"> and </w:t>
      </w:r>
      <w:r w:rsidR="00D560F0">
        <w:rPr>
          <w:rFonts w:eastAsia="Times New Roman" w:cs="Times New Roman"/>
          <w:color w:val="000000" w:themeColor="text1"/>
          <w:szCs w:val="24"/>
        </w:rPr>
        <w:t>DR</w:t>
      </w:r>
      <w:r w:rsidRPr="00F6508F">
        <w:rPr>
          <w:rFonts w:eastAsia="Times New Roman" w:cs="Times New Roman"/>
          <w:color w:val="000000" w:themeColor="text1"/>
          <w:szCs w:val="24"/>
        </w:rPr>
        <w:t xml:space="preserve"> as selectable resources in the portfolio modeling in the 2025 IRP;</w:t>
      </w:r>
    </w:p>
    <w:p w14:paraId="024F0672" w14:textId="77777777" w:rsidR="00321291" w:rsidRPr="00F6508F" w:rsidRDefault="00321291" w:rsidP="00C07286">
      <w:pPr>
        <w:numPr>
          <w:ilvl w:val="0"/>
          <w:numId w:val="33"/>
        </w:numPr>
        <w:pBdr>
          <w:top w:val="nil"/>
          <w:left w:val="nil"/>
          <w:bottom w:val="nil"/>
          <w:right w:val="nil"/>
          <w:between w:val="nil"/>
        </w:pBdr>
        <w:spacing w:after="0"/>
        <w:jc w:val="both"/>
        <w:rPr>
          <w:rFonts w:eastAsia="Times New Roman" w:cs="Times New Roman"/>
          <w:color w:val="000000" w:themeColor="text1"/>
          <w:szCs w:val="24"/>
        </w:rPr>
      </w:pPr>
      <w:r w:rsidRPr="00F6508F">
        <w:rPr>
          <w:rFonts w:eastAsia="Times New Roman" w:cs="Times New Roman"/>
          <w:color w:val="000000" w:themeColor="text1"/>
          <w:szCs w:val="24"/>
        </w:rPr>
        <w:t>Adopt a more realistic “baseline” portfolio with respect to “Greenhouse Gas Pressure.”</w:t>
      </w:r>
    </w:p>
    <w:p w14:paraId="0FCB4955" w14:textId="62E9B8FF" w:rsidR="00FF25D8" w:rsidRPr="00F6508F" w:rsidRDefault="00321291" w:rsidP="008B7090">
      <w:pPr>
        <w:numPr>
          <w:ilvl w:val="0"/>
          <w:numId w:val="31"/>
        </w:numPr>
        <w:pBdr>
          <w:top w:val="nil"/>
          <w:left w:val="nil"/>
          <w:bottom w:val="nil"/>
          <w:right w:val="nil"/>
          <w:between w:val="nil"/>
        </w:pBdr>
        <w:spacing w:after="0"/>
        <w:jc w:val="both"/>
        <w:rPr>
          <w:rFonts w:eastAsia="Times New Roman" w:cs="Times New Roman"/>
          <w:color w:val="000000" w:themeColor="text1"/>
          <w:szCs w:val="24"/>
        </w:rPr>
      </w:pPr>
      <w:r w:rsidRPr="00F6508F">
        <w:rPr>
          <w:rFonts w:eastAsia="Times New Roman" w:cs="Times New Roman"/>
          <w:color w:val="000000" w:themeColor="text1"/>
          <w:szCs w:val="24"/>
        </w:rPr>
        <w:lastRenderedPageBreak/>
        <w:t>The Commission should require Georgia Power to increase its use of regional capacity sharing and reflect that in its next IRP.</w:t>
      </w:r>
    </w:p>
    <w:p w14:paraId="5D80350D" w14:textId="1A8018BB" w:rsidR="00F56BDC" w:rsidRPr="00F6508F" w:rsidRDefault="00F56BDC" w:rsidP="003A6CDA">
      <w:pPr>
        <w:pBdr>
          <w:top w:val="nil"/>
          <w:left w:val="nil"/>
          <w:bottom w:val="nil"/>
          <w:right w:val="nil"/>
          <w:between w:val="nil"/>
        </w:pBdr>
        <w:spacing w:after="0"/>
        <w:ind w:left="0"/>
        <w:jc w:val="both"/>
        <w:rPr>
          <w:rFonts w:eastAsia="Times New Roman" w:cs="Times New Roman"/>
          <w:color w:val="000000" w:themeColor="text1"/>
          <w:szCs w:val="24"/>
        </w:rPr>
      </w:pPr>
    </w:p>
    <w:p w14:paraId="598B651F" w14:textId="392E5C06" w:rsidR="00FF25D8" w:rsidRPr="00F6508F" w:rsidRDefault="00FF25D8" w:rsidP="002D1717">
      <w:pPr>
        <w:pStyle w:val="Question"/>
        <w:jc w:val="both"/>
        <w:rPr>
          <w:rFonts w:ascii="Times New Roman" w:hAnsi="Times New Roman"/>
          <w:b w:val="0"/>
          <w:smallCaps/>
          <w:color w:val="000000" w:themeColor="text1"/>
        </w:rPr>
      </w:pPr>
      <w:r w:rsidRPr="00F6508F">
        <w:rPr>
          <w:color w:val="000000" w:themeColor="text1"/>
        </w:rPr>
        <w:t>Q:</w:t>
      </w:r>
      <w:r w:rsidRPr="00F6508F">
        <w:rPr>
          <w:color w:val="000000" w:themeColor="text1"/>
        </w:rPr>
        <w:tab/>
      </w:r>
      <w:r w:rsidRPr="00F6508F">
        <w:rPr>
          <w:rFonts w:ascii="Times New Roman" w:hAnsi="Times New Roman"/>
          <w:smallCaps/>
          <w:color w:val="000000" w:themeColor="text1"/>
        </w:rPr>
        <w:t>WHAT ARE SOME OF THE BASIC REQUIREMENTS FOR ACHIEVING WORKABLY COMPETITIVE RESULTS WHEN UTILITIES ARE REQUIRED TO ACQUIRE RESOURCES THROUGH COMPETITIVE BIDDING?</w:t>
      </w:r>
    </w:p>
    <w:p w14:paraId="53B349F3" w14:textId="77777777" w:rsidR="00FF25D8" w:rsidRPr="00F6508F" w:rsidRDefault="00FF25D8" w:rsidP="002D1717">
      <w:pPr>
        <w:pBdr>
          <w:top w:val="nil"/>
          <w:left w:val="nil"/>
          <w:bottom w:val="nil"/>
          <w:right w:val="nil"/>
          <w:between w:val="nil"/>
        </w:pBdr>
        <w:spacing w:after="0"/>
        <w:ind w:hanging="720"/>
        <w:jc w:val="both"/>
        <w:rPr>
          <w:rFonts w:eastAsia="Times New Roman" w:cs="Times New Roman"/>
          <w:color w:val="000000" w:themeColor="text1"/>
          <w:szCs w:val="24"/>
        </w:rPr>
      </w:pPr>
      <w:r w:rsidRPr="00F6508F">
        <w:rPr>
          <w:rFonts w:eastAsia="Times New Roman" w:cs="Times New Roman"/>
          <w:color w:val="000000" w:themeColor="text1"/>
          <w:szCs w:val="24"/>
        </w:rPr>
        <w:t>A:</w:t>
      </w:r>
      <w:r w:rsidRPr="00F6508F">
        <w:rPr>
          <w:rFonts w:eastAsia="Times New Roman" w:cs="Times New Roman"/>
          <w:color w:val="000000" w:themeColor="text1"/>
          <w:szCs w:val="24"/>
        </w:rPr>
        <w:tab/>
        <w:t xml:space="preserve">In my view, three requirements are essential. </w:t>
      </w:r>
    </w:p>
    <w:p w14:paraId="2028DA81" w14:textId="77777777" w:rsidR="00FF25D8" w:rsidRPr="00F6508F" w:rsidRDefault="00FF25D8" w:rsidP="002D1717">
      <w:pPr>
        <w:numPr>
          <w:ilvl w:val="1"/>
          <w:numId w:val="4"/>
        </w:numPr>
        <w:pBdr>
          <w:top w:val="nil"/>
          <w:left w:val="nil"/>
          <w:bottom w:val="nil"/>
          <w:right w:val="nil"/>
          <w:between w:val="nil"/>
        </w:pBdr>
        <w:spacing w:after="0"/>
        <w:jc w:val="both"/>
        <w:rPr>
          <w:rFonts w:eastAsia="Times New Roman" w:cs="Times New Roman"/>
          <w:color w:val="000000" w:themeColor="text1"/>
          <w:szCs w:val="24"/>
        </w:rPr>
      </w:pPr>
      <w:r w:rsidRPr="00F6508F">
        <w:rPr>
          <w:rFonts w:eastAsia="Times New Roman" w:cs="Times New Roman"/>
          <w:color w:val="000000" w:themeColor="text1"/>
          <w:szCs w:val="24"/>
        </w:rPr>
        <w:t xml:space="preserve">First, there must be strong links between planning and procurement to provide information to bidders; </w:t>
      </w:r>
    </w:p>
    <w:p w14:paraId="5A533791" w14:textId="77777777" w:rsidR="00FF25D8" w:rsidRPr="00F6508F" w:rsidRDefault="00FF25D8" w:rsidP="002D1717">
      <w:pPr>
        <w:numPr>
          <w:ilvl w:val="1"/>
          <w:numId w:val="4"/>
        </w:numPr>
        <w:pBdr>
          <w:top w:val="nil"/>
          <w:left w:val="nil"/>
          <w:bottom w:val="nil"/>
          <w:right w:val="nil"/>
          <w:between w:val="nil"/>
        </w:pBdr>
        <w:spacing w:after="0"/>
        <w:jc w:val="both"/>
        <w:rPr>
          <w:rFonts w:eastAsia="Times New Roman" w:cs="Times New Roman"/>
          <w:color w:val="000000" w:themeColor="text1"/>
          <w:szCs w:val="24"/>
        </w:rPr>
      </w:pPr>
      <w:r w:rsidRPr="00F6508F">
        <w:rPr>
          <w:rFonts w:eastAsia="Times New Roman" w:cs="Times New Roman"/>
          <w:color w:val="000000" w:themeColor="text1"/>
          <w:szCs w:val="24"/>
        </w:rPr>
        <w:t>Second, utility incentives must be recognized and appropriately regulated; and</w:t>
      </w:r>
    </w:p>
    <w:p w14:paraId="45879210" w14:textId="77777777" w:rsidR="00FF25D8" w:rsidRPr="00F6508F" w:rsidRDefault="00FF25D8" w:rsidP="002D1717">
      <w:pPr>
        <w:numPr>
          <w:ilvl w:val="1"/>
          <w:numId w:val="4"/>
        </w:numPr>
        <w:pBdr>
          <w:top w:val="nil"/>
          <w:left w:val="nil"/>
          <w:bottom w:val="nil"/>
          <w:right w:val="nil"/>
          <w:between w:val="nil"/>
        </w:pBdr>
        <w:spacing w:after="0"/>
        <w:jc w:val="both"/>
        <w:rPr>
          <w:rFonts w:eastAsia="Times New Roman" w:cs="Times New Roman"/>
          <w:color w:val="000000" w:themeColor="text1"/>
          <w:szCs w:val="24"/>
        </w:rPr>
      </w:pPr>
      <w:r w:rsidRPr="00F6508F">
        <w:rPr>
          <w:rFonts w:eastAsia="Times New Roman" w:cs="Times New Roman"/>
          <w:color w:val="000000" w:themeColor="text1"/>
          <w:szCs w:val="24"/>
        </w:rPr>
        <w:t>Third, the Commission must be committed to competitive bidding and must have the capacity to oversee a credible process.</w:t>
      </w:r>
    </w:p>
    <w:p w14:paraId="7CFB4839" w14:textId="77777777" w:rsidR="00FF25D8" w:rsidRPr="00F6508F" w:rsidRDefault="00FF25D8" w:rsidP="002D1717">
      <w:pPr>
        <w:pBdr>
          <w:top w:val="nil"/>
          <w:left w:val="nil"/>
          <w:bottom w:val="nil"/>
          <w:right w:val="nil"/>
          <w:between w:val="nil"/>
        </w:pBdr>
        <w:spacing w:after="0"/>
        <w:jc w:val="both"/>
        <w:rPr>
          <w:rFonts w:eastAsia="Times New Roman" w:cs="Times New Roman"/>
          <w:color w:val="000000" w:themeColor="text1"/>
          <w:szCs w:val="24"/>
        </w:rPr>
      </w:pPr>
      <w:r w:rsidRPr="00F6508F">
        <w:rPr>
          <w:rFonts w:eastAsia="Times New Roman" w:cs="Times New Roman"/>
          <w:color w:val="000000" w:themeColor="text1"/>
          <w:szCs w:val="24"/>
        </w:rPr>
        <w:t xml:space="preserve">It goes without saying that a competitive bidding process needs to attract as many bidders as possible. Linking the utility’s planning process to its resource procurement provides information on which bidders can rely in preparing their bids. The more informed bidders are, the more likely they will bid their best projects and prices. </w:t>
      </w:r>
    </w:p>
    <w:p w14:paraId="4F0EBFCC" w14:textId="77777777" w:rsidR="00FF25D8" w:rsidRPr="00F6508F" w:rsidRDefault="00FF25D8" w:rsidP="002D1717">
      <w:pPr>
        <w:spacing w:after="0"/>
        <w:jc w:val="both"/>
        <w:rPr>
          <w:color w:val="000000" w:themeColor="text1"/>
        </w:rPr>
      </w:pPr>
      <w:r w:rsidRPr="00F6508F">
        <w:rPr>
          <w:color w:val="000000" w:themeColor="text1"/>
        </w:rPr>
        <w:t>In Colorado, the process of planning and bidding takes place about every four years, so repetition has helped to improve understanding of how the process works. Planning is done in the first phase of the process; procurement is phase two. Each phase culminates in Commission approvals after hearings, first on all the planning issues that define resource portfolios on which bids are to be requested, and second on the results of the bidding, defining resource portfolios that are to be secured from among the bid-in projects.</w:t>
      </w:r>
    </w:p>
    <w:p w14:paraId="03E0D027" w14:textId="724ACAB4" w:rsidR="00FF25D8" w:rsidRPr="00F6508F" w:rsidRDefault="00FF25D8" w:rsidP="002D1717">
      <w:pPr>
        <w:spacing w:after="0"/>
        <w:jc w:val="both"/>
        <w:rPr>
          <w:color w:val="000000" w:themeColor="text1"/>
        </w:rPr>
      </w:pPr>
      <w:r w:rsidRPr="00F6508F">
        <w:rPr>
          <w:color w:val="000000" w:themeColor="text1"/>
        </w:rPr>
        <w:lastRenderedPageBreak/>
        <w:t xml:space="preserve">Colorado’s planning requirements are extensive. The issues are fully explored in discovery, </w:t>
      </w:r>
      <w:r w:rsidR="001811E7" w:rsidRPr="00F6508F">
        <w:rPr>
          <w:color w:val="000000" w:themeColor="text1"/>
        </w:rPr>
        <w:t>testimony,</w:t>
      </w:r>
      <w:r w:rsidRPr="00F6508F">
        <w:rPr>
          <w:color w:val="000000" w:themeColor="text1"/>
        </w:rPr>
        <w:t xml:space="preserve"> and cross-examination, and characterized in parties’ briefs. Draft </w:t>
      </w:r>
      <w:r w:rsidR="00FC5385">
        <w:rPr>
          <w:color w:val="000000" w:themeColor="text1"/>
        </w:rPr>
        <w:t>RFPs</w:t>
      </w:r>
      <w:r w:rsidRPr="00F6508F">
        <w:rPr>
          <w:color w:val="000000" w:themeColor="text1"/>
        </w:rPr>
        <w:t xml:space="preserve">, </w:t>
      </w:r>
      <w:r w:rsidR="00FC5385">
        <w:rPr>
          <w:color w:val="000000" w:themeColor="text1"/>
        </w:rPr>
        <w:t>PPAs</w:t>
      </w:r>
      <w:r w:rsidRPr="00F6508F">
        <w:rPr>
          <w:color w:val="000000" w:themeColor="text1"/>
        </w:rPr>
        <w:t>, bid evaluation, and both existing and potential new resources are at issue in the planning process. The planning phase provides a well-developed determination of what resources are needed, when and why, so both utilities’ and bidders’ expectations are well informed in detail. Most of the issues that might be contestable and result in legal disputes are resolved up-front in the contested planning case. This means that a broad and detailed Commission order avoids subsequent litigation concerning bids, bid evaluation, and resulting resource portfolios.</w:t>
      </w:r>
    </w:p>
    <w:p w14:paraId="629E0FE1" w14:textId="77777777" w:rsidR="00FF25D8" w:rsidRPr="00F6508F" w:rsidRDefault="00FF25D8" w:rsidP="002D1717">
      <w:pPr>
        <w:pBdr>
          <w:top w:val="nil"/>
          <w:left w:val="nil"/>
          <w:bottom w:val="nil"/>
          <w:right w:val="nil"/>
          <w:between w:val="nil"/>
        </w:pBdr>
        <w:spacing w:after="0"/>
        <w:jc w:val="both"/>
        <w:rPr>
          <w:rFonts w:eastAsia="Times New Roman" w:cs="Times New Roman"/>
          <w:color w:val="000000" w:themeColor="text1"/>
          <w:szCs w:val="24"/>
        </w:rPr>
      </w:pPr>
      <w:r w:rsidRPr="00F6508F">
        <w:rPr>
          <w:rFonts w:eastAsia="Times New Roman" w:cs="Times New Roman"/>
          <w:color w:val="000000" w:themeColor="text1"/>
          <w:szCs w:val="24"/>
        </w:rPr>
        <w:t>The results of these planning and procurement processes in Colorado have attracted national attention because lots of bids and low prices have resulted from a workably competitive process.</w:t>
      </w:r>
      <w:r w:rsidRPr="00F6508F">
        <w:rPr>
          <w:rFonts w:eastAsia="Times New Roman" w:cs="Times New Roman"/>
          <w:color w:val="000000" w:themeColor="text1"/>
          <w:szCs w:val="24"/>
          <w:vertAlign w:val="superscript"/>
        </w:rPr>
        <w:footnoteReference w:id="20"/>
      </w:r>
      <w:r w:rsidRPr="00F6508F">
        <w:rPr>
          <w:rFonts w:eastAsia="Times New Roman" w:cs="Times New Roman"/>
          <w:color w:val="000000" w:themeColor="text1"/>
          <w:szCs w:val="24"/>
        </w:rPr>
        <w:t xml:space="preserve">  In Colorado, since 2013, utility sponsored analysis has shown that adding more wind and solar to utility resource portfolios lowers cost of service for customers. I will return to the details below.</w:t>
      </w:r>
    </w:p>
    <w:p w14:paraId="64D40EEA" w14:textId="77777777" w:rsidR="00FF25D8" w:rsidRPr="00F6508F" w:rsidRDefault="00FF25D8" w:rsidP="003A6CDA">
      <w:pPr>
        <w:pBdr>
          <w:top w:val="nil"/>
          <w:left w:val="nil"/>
          <w:bottom w:val="nil"/>
          <w:right w:val="nil"/>
          <w:between w:val="nil"/>
        </w:pBdr>
        <w:spacing w:after="0"/>
        <w:ind w:left="0"/>
        <w:jc w:val="both"/>
        <w:rPr>
          <w:rFonts w:eastAsia="Times New Roman" w:cs="Times New Roman"/>
          <w:color w:val="000000" w:themeColor="text1"/>
          <w:szCs w:val="24"/>
        </w:rPr>
      </w:pPr>
    </w:p>
    <w:p w14:paraId="364D2197" w14:textId="77777777" w:rsidR="00FF25D8" w:rsidRPr="00F6508F" w:rsidRDefault="00FF25D8" w:rsidP="001261AD">
      <w:pPr>
        <w:keepNext/>
        <w:keepLines/>
        <w:pBdr>
          <w:top w:val="nil"/>
          <w:left w:val="nil"/>
          <w:bottom w:val="nil"/>
          <w:right w:val="nil"/>
          <w:between w:val="nil"/>
        </w:pBdr>
        <w:tabs>
          <w:tab w:val="left" w:pos="4320"/>
          <w:tab w:val="left" w:pos="6480"/>
          <w:tab w:val="left" w:pos="8639"/>
        </w:tabs>
        <w:spacing w:after="0"/>
        <w:ind w:hanging="720"/>
        <w:jc w:val="both"/>
        <w:rPr>
          <w:rFonts w:eastAsia="Times New Roman" w:cs="Times New Roman"/>
          <w:b/>
          <w:smallCaps/>
          <w:color w:val="000000" w:themeColor="text1"/>
          <w:szCs w:val="24"/>
        </w:rPr>
      </w:pPr>
      <w:r w:rsidRPr="00F6508F">
        <w:rPr>
          <w:rFonts w:eastAsia="Times New Roman" w:cs="Times New Roman"/>
          <w:b/>
          <w:smallCaps/>
          <w:color w:val="000000" w:themeColor="text1"/>
          <w:szCs w:val="24"/>
        </w:rPr>
        <w:lastRenderedPageBreak/>
        <w:t>Q:</w:t>
      </w:r>
      <w:r w:rsidRPr="00F6508F">
        <w:rPr>
          <w:rFonts w:eastAsia="Times New Roman" w:cs="Times New Roman"/>
          <w:b/>
          <w:smallCaps/>
          <w:color w:val="000000" w:themeColor="text1"/>
          <w:szCs w:val="24"/>
        </w:rPr>
        <w:tab/>
        <w:t xml:space="preserve">WHAT IS THE ROLE OF RESOURCE DIVERSITY IN MANAGING RISKS OF HIGHER ENERGY PRICES? </w:t>
      </w:r>
    </w:p>
    <w:p w14:paraId="480E7DFD" w14:textId="77777777" w:rsidR="00FF25D8" w:rsidRPr="00F6508F" w:rsidRDefault="00FF25D8" w:rsidP="001261AD">
      <w:pPr>
        <w:pBdr>
          <w:top w:val="nil"/>
          <w:left w:val="nil"/>
          <w:bottom w:val="nil"/>
          <w:right w:val="nil"/>
          <w:between w:val="nil"/>
        </w:pBdr>
        <w:spacing w:after="0"/>
        <w:ind w:hanging="720"/>
        <w:jc w:val="both"/>
        <w:rPr>
          <w:rFonts w:eastAsia="Times New Roman" w:cs="Times New Roman"/>
          <w:color w:val="000000" w:themeColor="text1"/>
          <w:szCs w:val="24"/>
        </w:rPr>
      </w:pPr>
      <w:r w:rsidRPr="00F6508F">
        <w:rPr>
          <w:rFonts w:eastAsia="Times New Roman" w:cs="Times New Roman"/>
          <w:color w:val="000000" w:themeColor="text1"/>
          <w:szCs w:val="24"/>
        </w:rPr>
        <w:t>A:</w:t>
      </w:r>
      <w:r w:rsidRPr="00F6508F">
        <w:rPr>
          <w:rFonts w:eastAsia="Times New Roman" w:cs="Times New Roman"/>
          <w:color w:val="000000" w:themeColor="text1"/>
          <w:szCs w:val="24"/>
        </w:rPr>
        <w:tab/>
        <w:t>While lots of bids and low prices are important competitive acquisition outcomes, the planning and procurement process in Colorado delivers another important outcome: diversity of resources. Utilities are rightfully concerned about operational reliability. Colorado’s experience, predominantly with wind, but currently incorporating more solar and storage projects, shows that integrating these new resources can be accomplished at low cost while maintaining reliable service. At modest penetration levels, variable renewable resources can provide reliable service if utilities adjust their operating procedures.</w:t>
      </w:r>
    </w:p>
    <w:p w14:paraId="6F042E78" w14:textId="65AF1F28" w:rsidR="00FF25D8" w:rsidRPr="00F6508F" w:rsidRDefault="00FF25D8" w:rsidP="001261AD">
      <w:pPr>
        <w:pBdr>
          <w:top w:val="nil"/>
          <w:left w:val="nil"/>
          <w:bottom w:val="nil"/>
          <w:right w:val="nil"/>
          <w:between w:val="nil"/>
        </w:pBdr>
        <w:spacing w:after="0"/>
        <w:jc w:val="both"/>
        <w:rPr>
          <w:rFonts w:eastAsia="Times New Roman" w:cs="Times New Roman"/>
          <w:color w:val="000000" w:themeColor="text1"/>
          <w:szCs w:val="24"/>
        </w:rPr>
      </w:pPr>
      <w:r w:rsidRPr="00F6508F">
        <w:rPr>
          <w:rFonts w:eastAsia="Times New Roman" w:cs="Times New Roman"/>
          <w:color w:val="000000" w:themeColor="text1"/>
          <w:szCs w:val="24"/>
        </w:rPr>
        <w:t>Colorado’s planning process entertains concerns about key electric sector risks, such as fuel costs, environmental regulations, interest rates and cost of money, and load forecasts</w:t>
      </w:r>
      <w:r w:rsidR="001811E7" w:rsidRPr="00F6508F">
        <w:rPr>
          <w:rFonts w:eastAsia="Times New Roman" w:cs="Times New Roman"/>
          <w:color w:val="000000" w:themeColor="text1"/>
          <w:szCs w:val="24"/>
        </w:rPr>
        <w:t xml:space="preserve">. </w:t>
      </w:r>
      <w:r w:rsidRPr="00F6508F">
        <w:rPr>
          <w:rFonts w:eastAsia="Times New Roman" w:cs="Times New Roman"/>
          <w:color w:val="000000" w:themeColor="text1"/>
          <w:szCs w:val="24"/>
        </w:rPr>
        <w:t xml:space="preserve">By incorporating lessons from financial economics, generation and demand side portfolios can be created that balance risks and rewards in terms that are familiar to investment and financial professionals. Indeed, the energy sector has borrowed the term “portfolio” from financial economics where it is applied to collections of financial investments created to provide maximum returns at minimum risks. Risk-aware utility planning has a shorter </w:t>
      </w:r>
      <w:r w:rsidR="00365FEC" w:rsidRPr="00F6508F">
        <w:rPr>
          <w:rFonts w:eastAsia="Times New Roman" w:cs="Times New Roman"/>
          <w:color w:val="000000" w:themeColor="text1"/>
          <w:szCs w:val="24"/>
        </w:rPr>
        <w:t>history but</w:t>
      </w:r>
      <w:r w:rsidRPr="00F6508F">
        <w:rPr>
          <w:rFonts w:eastAsia="Times New Roman" w:cs="Times New Roman"/>
          <w:color w:val="000000" w:themeColor="text1"/>
          <w:szCs w:val="24"/>
        </w:rPr>
        <w:t xml:space="preserve"> has definite advantages supporting good decision making and avoiding large scale resource investment mistakes.</w:t>
      </w:r>
    </w:p>
    <w:p w14:paraId="0E77B073" w14:textId="77777777" w:rsidR="00FF25D8" w:rsidRPr="00F6508F" w:rsidRDefault="00FF25D8" w:rsidP="003A6CDA">
      <w:pPr>
        <w:pBdr>
          <w:top w:val="nil"/>
          <w:left w:val="nil"/>
          <w:bottom w:val="nil"/>
          <w:right w:val="nil"/>
          <w:between w:val="nil"/>
        </w:pBdr>
        <w:spacing w:after="0"/>
        <w:ind w:left="0"/>
        <w:jc w:val="both"/>
        <w:rPr>
          <w:rFonts w:eastAsia="Times New Roman" w:cs="Times New Roman"/>
          <w:color w:val="000000" w:themeColor="text1"/>
          <w:szCs w:val="24"/>
        </w:rPr>
      </w:pPr>
    </w:p>
    <w:p w14:paraId="20B8F330" w14:textId="77777777" w:rsidR="00FF25D8" w:rsidRPr="00F6508F" w:rsidRDefault="00FF25D8" w:rsidP="001261AD">
      <w:pPr>
        <w:keepNext/>
        <w:keepLines/>
        <w:pBdr>
          <w:top w:val="nil"/>
          <w:left w:val="nil"/>
          <w:bottom w:val="nil"/>
          <w:right w:val="nil"/>
          <w:between w:val="nil"/>
        </w:pBdr>
        <w:tabs>
          <w:tab w:val="left" w:pos="4320"/>
          <w:tab w:val="left" w:pos="6480"/>
          <w:tab w:val="left" w:pos="8639"/>
        </w:tabs>
        <w:spacing w:after="0"/>
        <w:ind w:hanging="720"/>
        <w:jc w:val="both"/>
        <w:rPr>
          <w:rFonts w:eastAsia="Times New Roman" w:cs="Times New Roman"/>
          <w:b/>
          <w:smallCaps/>
          <w:color w:val="000000" w:themeColor="text1"/>
          <w:szCs w:val="24"/>
        </w:rPr>
      </w:pPr>
      <w:r w:rsidRPr="00F6508F">
        <w:rPr>
          <w:rFonts w:eastAsia="Times New Roman" w:cs="Times New Roman"/>
          <w:b/>
          <w:smallCaps/>
          <w:color w:val="000000" w:themeColor="text1"/>
          <w:szCs w:val="24"/>
        </w:rPr>
        <w:lastRenderedPageBreak/>
        <w:t>Q:</w:t>
      </w:r>
      <w:r w:rsidRPr="00F6508F">
        <w:rPr>
          <w:rFonts w:eastAsia="Times New Roman" w:cs="Times New Roman"/>
          <w:b/>
          <w:smallCaps/>
          <w:color w:val="000000" w:themeColor="text1"/>
          <w:szCs w:val="24"/>
        </w:rPr>
        <w:tab/>
        <w:t>WHAT DO YOU MEAN BY “RISK-AWARE REGULATION?”</w:t>
      </w:r>
    </w:p>
    <w:p w14:paraId="445AE274" w14:textId="7705FAE6" w:rsidR="00E76FA3" w:rsidRDefault="00FF25D8" w:rsidP="00206F52">
      <w:pPr>
        <w:pBdr>
          <w:top w:val="nil"/>
          <w:left w:val="nil"/>
          <w:bottom w:val="nil"/>
          <w:right w:val="nil"/>
          <w:between w:val="nil"/>
        </w:pBdr>
        <w:spacing w:after="0"/>
        <w:ind w:hanging="720"/>
        <w:jc w:val="both"/>
        <w:rPr>
          <w:rFonts w:eastAsia="Times New Roman" w:cs="Times New Roman"/>
          <w:color w:val="000000" w:themeColor="text1"/>
          <w:szCs w:val="24"/>
          <w:shd w:val="clear" w:color="auto" w:fill="B7B7B7"/>
        </w:rPr>
      </w:pPr>
      <w:r w:rsidRPr="00F6508F">
        <w:rPr>
          <w:rFonts w:eastAsia="Times New Roman" w:cs="Times New Roman"/>
          <w:color w:val="000000" w:themeColor="text1"/>
          <w:szCs w:val="24"/>
        </w:rPr>
        <w:t>A:</w:t>
      </w:r>
      <w:r w:rsidRPr="00F6508F">
        <w:rPr>
          <w:rFonts w:eastAsia="Times New Roman" w:cs="Times New Roman"/>
          <w:color w:val="000000" w:themeColor="text1"/>
          <w:szCs w:val="24"/>
        </w:rPr>
        <w:tab/>
        <w:t xml:space="preserve">Almost ten years ago, shortly after leaving the Colorado </w:t>
      </w:r>
      <w:r w:rsidR="00F67D0D">
        <w:rPr>
          <w:rFonts w:eastAsia="Times New Roman" w:cs="Times New Roman"/>
          <w:color w:val="000000" w:themeColor="text1"/>
          <w:szCs w:val="24"/>
        </w:rPr>
        <w:t>PUC</w:t>
      </w:r>
      <w:r w:rsidRPr="00F6508F">
        <w:rPr>
          <w:rFonts w:eastAsia="Times New Roman" w:cs="Times New Roman"/>
          <w:color w:val="000000" w:themeColor="text1"/>
          <w:szCs w:val="24"/>
        </w:rPr>
        <w:t>, I was lead author on a report about risk-aware regulation</w:t>
      </w:r>
      <w:r w:rsidR="00A678BD">
        <w:rPr>
          <w:rFonts w:eastAsia="Times New Roman" w:cs="Times New Roman"/>
          <w:color w:val="000000" w:themeColor="text1"/>
          <w:szCs w:val="24"/>
        </w:rPr>
        <w:t xml:space="preserve"> (“Risk-Aware Report”)</w:t>
      </w:r>
      <w:r w:rsidRPr="00F6508F">
        <w:rPr>
          <w:rFonts w:eastAsia="Times New Roman" w:cs="Times New Roman"/>
          <w:color w:val="000000" w:themeColor="text1"/>
          <w:szCs w:val="24"/>
        </w:rPr>
        <w:t>.</w:t>
      </w:r>
      <w:r w:rsidRPr="00F6508F">
        <w:rPr>
          <w:rFonts w:eastAsia="Times New Roman" w:cs="Times New Roman"/>
          <w:color w:val="000000" w:themeColor="text1"/>
          <w:szCs w:val="24"/>
          <w:vertAlign w:val="superscript"/>
        </w:rPr>
        <w:footnoteReference w:id="21"/>
      </w:r>
      <w:r w:rsidRPr="00F6508F">
        <w:rPr>
          <w:rFonts w:eastAsia="Times New Roman" w:cs="Times New Roman"/>
          <w:color w:val="000000" w:themeColor="text1"/>
          <w:szCs w:val="24"/>
        </w:rPr>
        <w:t xml:space="preserve"> The report was the product of four </w:t>
      </w:r>
      <w:r w:rsidR="00A6438A">
        <w:rPr>
          <w:rFonts w:eastAsia="Times New Roman" w:cs="Times New Roman"/>
          <w:color w:val="000000" w:themeColor="text1"/>
          <w:szCs w:val="24"/>
        </w:rPr>
        <w:t>indivduals</w:t>
      </w:r>
      <w:r w:rsidRPr="00F6508F">
        <w:rPr>
          <w:rFonts w:eastAsia="Times New Roman" w:cs="Times New Roman"/>
          <w:color w:val="000000" w:themeColor="text1"/>
          <w:szCs w:val="24"/>
        </w:rPr>
        <w:t xml:space="preserve">, including two former regulators, a utility bond analyst, and an energy policy specialist. The premise is simple: state regulators are accustomed to regulating </w:t>
      </w:r>
      <w:r w:rsidRPr="00F6508F">
        <w:rPr>
          <w:rFonts w:eastAsia="Times New Roman" w:cs="Times New Roman"/>
          <w:i/>
          <w:color w:val="000000" w:themeColor="text1"/>
          <w:szCs w:val="24"/>
        </w:rPr>
        <w:t xml:space="preserve">rates </w:t>
      </w:r>
      <w:r w:rsidRPr="00F6508F">
        <w:rPr>
          <w:rFonts w:eastAsia="Times New Roman" w:cs="Times New Roman"/>
          <w:color w:val="000000" w:themeColor="text1"/>
          <w:szCs w:val="24"/>
        </w:rPr>
        <w:t xml:space="preserve">of utilities. Given the complexity of the utility world, regulators must expand their examination to the </w:t>
      </w:r>
      <w:r w:rsidRPr="00F6508F">
        <w:rPr>
          <w:rFonts w:eastAsia="Times New Roman" w:cs="Times New Roman"/>
          <w:i/>
          <w:color w:val="000000" w:themeColor="text1"/>
          <w:szCs w:val="24"/>
        </w:rPr>
        <w:t xml:space="preserve">risk </w:t>
      </w:r>
      <w:r w:rsidRPr="00F6508F">
        <w:rPr>
          <w:rFonts w:eastAsia="Times New Roman" w:cs="Times New Roman"/>
          <w:color w:val="000000" w:themeColor="text1"/>
          <w:szCs w:val="24"/>
        </w:rPr>
        <w:t xml:space="preserve">of resource choices made by utilities. The </w:t>
      </w:r>
      <w:r w:rsidRPr="007E5BBE">
        <w:rPr>
          <w:rFonts w:eastAsia="Times New Roman" w:cs="Times New Roman"/>
          <w:i/>
          <w:iCs/>
          <w:color w:val="000000" w:themeColor="text1"/>
          <w:szCs w:val="24"/>
        </w:rPr>
        <w:t>Risk-</w:t>
      </w:r>
      <w:r w:rsidR="007E5BBE" w:rsidRPr="007E5BBE">
        <w:rPr>
          <w:rFonts w:eastAsia="Times New Roman" w:cs="Times New Roman"/>
          <w:i/>
          <w:iCs/>
          <w:color w:val="000000" w:themeColor="text1"/>
          <w:szCs w:val="24"/>
        </w:rPr>
        <w:t>A</w:t>
      </w:r>
      <w:r w:rsidRPr="007E5BBE">
        <w:rPr>
          <w:rFonts w:eastAsia="Times New Roman" w:cs="Times New Roman"/>
          <w:i/>
          <w:iCs/>
          <w:color w:val="000000" w:themeColor="text1"/>
          <w:szCs w:val="24"/>
        </w:rPr>
        <w:t xml:space="preserve">ware </w:t>
      </w:r>
      <w:r w:rsidR="007E5BBE" w:rsidRPr="007E5BBE">
        <w:rPr>
          <w:rFonts w:eastAsia="Times New Roman" w:cs="Times New Roman"/>
          <w:i/>
          <w:iCs/>
          <w:color w:val="000000" w:themeColor="text1"/>
          <w:szCs w:val="24"/>
        </w:rPr>
        <w:t>R</w:t>
      </w:r>
      <w:r w:rsidRPr="007E5BBE">
        <w:rPr>
          <w:rFonts w:eastAsia="Times New Roman" w:cs="Times New Roman"/>
          <w:i/>
          <w:iCs/>
          <w:color w:val="000000" w:themeColor="text1"/>
          <w:szCs w:val="24"/>
        </w:rPr>
        <w:t>eport</w:t>
      </w:r>
      <w:r w:rsidRPr="00F6508F">
        <w:rPr>
          <w:rFonts w:eastAsia="Times New Roman" w:cs="Times New Roman"/>
          <w:color w:val="000000" w:themeColor="text1"/>
          <w:szCs w:val="24"/>
        </w:rPr>
        <w:t xml:space="preserve"> was embraced by regulators and became </w:t>
      </w:r>
      <w:r w:rsidR="00071C05" w:rsidRPr="00F6508F">
        <w:rPr>
          <w:rFonts w:eastAsia="Times New Roman" w:cs="Times New Roman"/>
          <w:color w:val="000000" w:themeColor="text1"/>
          <w:szCs w:val="24"/>
        </w:rPr>
        <w:t>a valuable tool</w:t>
      </w:r>
      <w:r w:rsidRPr="00F6508F">
        <w:rPr>
          <w:rFonts w:eastAsia="Times New Roman" w:cs="Times New Roman"/>
          <w:color w:val="000000" w:themeColor="text1"/>
          <w:szCs w:val="24"/>
        </w:rPr>
        <w:t xml:space="preserve"> for effective regulation. Our report’s </w:t>
      </w:r>
      <w:r w:rsidRPr="007B0ADF">
        <w:rPr>
          <w:rFonts w:eastAsia="Times New Roman" w:cs="Times New Roman"/>
          <w:color w:val="000000" w:themeColor="text1"/>
          <w:szCs w:val="24"/>
        </w:rPr>
        <w:t xml:space="preserve">recommendations are summarized in Figure </w:t>
      </w:r>
      <w:r w:rsidR="00FC33E9">
        <w:rPr>
          <w:rFonts w:eastAsia="Times New Roman" w:cs="Times New Roman"/>
          <w:color w:val="000000" w:themeColor="text1"/>
          <w:szCs w:val="24"/>
        </w:rPr>
        <w:t>5</w:t>
      </w:r>
      <w:r w:rsidRPr="007B0ADF">
        <w:rPr>
          <w:rFonts w:eastAsia="Times New Roman" w:cs="Times New Roman"/>
          <w:color w:val="000000" w:themeColor="text1"/>
          <w:szCs w:val="24"/>
        </w:rPr>
        <w:t xml:space="preserve">. I have </w:t>
      </w:r>
      <w:r w:rsidR="007E5BBE">
        <w:rPr>
          <w:rFonts w:eastAsia="Times New Roman" w:cs="Times New Roman"/>
          <w:color w:val="000000" w:themeColor="text1"/>
          <w:szCs w:val="24"/>
        </w:rPr>
        <w:t xml:space="preserve">also </w:t>
      </w:r>
      <w:r w:rsidRPr="007B0ADF">
        <w:rPr>
          <w:rFonts w:eastAsia="Times New Roman" w:cs="Times New Roman"/>
          <w:color w:val="000000" w:themeColor="text1"/>
          <w:szCs w:val="24"/>
        </w:rPr>
        <w:t xml:space="preserve">attached a copy of the report as </w:t>
      </w:r>
      <w:r w:rsidR="007B0ADF" w:rsidRPr="007B0ADF">
        <w:rPr>
          <w:rFonts w:eastAsia="Times New Roman" w:cs="Times New Roman"/>
          <w:color w:val="000000" w:themeColor="text1"/>
          <w:szCs w:val="24"/>
        </w:rPr>
        <w:t>Exhibit 3</w:t>
      </w:r>
      <w:r w:rsidR="00365FEC" w:rsidRPr="00365FEC">
        <w:rPr>
          <w:rFonts w:eastAsia="Times New Roman" w:cs="Times New Roman"/>
          <w:color w:val="000000" w:themeColor="text1"/>
          <w:szCs w:val="24"/>
        </w:rPr>
        <w:t>.</w:t>
      </w:r>
    </w:p>
    <w:p w14:paraId="2BD859B0" w14:textId="77777777" w:rsidR="003E1EBA" w:rsidRDefault="003E1EBA" w:rsidP="00206F52">
      <w:pPr>
        <w:pBdr>
          <w:top w:val="nil"/>
          <w:left w:val="nil"/>
          <w:bottom w:val="nil"/>
          <w:right w:val="nil"/>
          <w:between w:val="nil"/>
        </w:pBdr>
        <w:spacing w:after="0"/>
        <w:ind w:hanging="720"/>
        <w:jc w:val="both"/>
        <w:rPr>
          <w:rFonts w:eastAsia="Times New Roman" w:cs="Times New Roman"/>
          <w:color w:val="000000" w:themeColor="text1"/>
          <w:szCs w:val="24"/>
          <w:shd w:val="clear" w:color="auto" w:fill="B7B7B7"/>
        </w:rPr>
      </w:pPr>
    </w:p>
    <w:p w14:paraId="44CF625F" w14:textId="024D02CF" w:rsidR="00E76FA3" w:rsidRPr="003E1EBA" w:rsidRDefault="00E76FA3" w:rsidP="003E1EBA">
      <w:pPr>
        <w:pBdr>
          <w:top w:val="nil"/>
          <w:left w:val="nil"/>
          <w:bottom w:val="nil"/>
          <w:right w:val="nil"/>
          <w:between w:val="nil"/>
        </w:pBdr>
        <w:spacing w:after="0"/>
        <w:ind w:left="1440" w:hanging="720"/>
        <w:jc w:val="center"/>
        <w:rPr>
          <w:rFonts w:eastAsia="Times New Roman" w:cs="Times New Roman"/>
          <w:b/>
          <w:bCs/>
          <w:color w:val="000000" w:themeColor="text1"/>
          <w:szCs w:val="24"/>
          <w:shd w:val="clear" w:color="auto" w:fill="B7B7B7"/>
        </w:rPr>
      </w:pPr>
      <w:r w:rsidRPr="003E1EBA">
        <w:rPr>
          <w:rFonts w:eastAsia="Times New Roman" w:cs="Times New Roman"/>
          <w:b/>
          <w:bCs/>
          <w:color w:val="000000" w:themeColor="text1"/>
          <w:szCs w:val="24"/>
        </w:rPr>
        <w:t xml:space="preserve">Figure </w:t>
      </w:r>
      <w:r w:rsidR="00FC33E9">
        <w:rPr>
          <w:rFonts w:eastAsia="Times New Roman" w:cs="Times New Roman"/>
          <w:b/>
          <w:bCs/>
          <w:color w:val="000000" w:themeColor="text1"/>
          <w:szCs w:val="24"/>
        </w:rPr>
        <w:t>5</w:t>
      </w:r>
      <w:r w:rsidRPr="003E1EBA">
        <w:rPr>
          <w:rFonts w:eastAsia="Times New Roman" w:cs="Times New Roman"/>
          <w:b/>
          <w:bCs/>
          <w:color w:val="000000" w:themeColor="text1"/>
          <w:szCs w:val="24"/>
        </w:rPr>
        <w:t xml:space="preserve">. Seven Essential Strategies </w:t>
      </w:r>
      <w:r w:rsidR="003E1EBA" w:rsidRPr="003E1EBA">
        <w:rPr>
          <w:rFonts w:eastAsia="Times New Roman" w:cs="Times New Roman"/>
          <w:b/>
          <w:bCs/>
          <w:color w:val="000000" w:themeColor="text1"/>
          <w:szCs w:val="24"/>
        </w:rPr>
        <w:t>for Regulators</w:t>
      </w:r>
      <w:r w:rsidR="009A7BBD">
        <w:rPr>
          <w:rFonts w:eastAsia="Times New Roman" w:cs="Times New Roman"/>
          <w:b/>
          <w:bCs/>
          <w:color w:val="000000" w:themeColor="text1"/>
          <w:szCs w:val="24"/>
        </w:rPr>
        <w:t xml:space="preserve"> to Minimize Risk</w:t>
      </w:r>
    </w:p>
    <w:p w14:paraId="745A68EE" w14:textId="052700EB" w:rsidR="00FF25D8" w:rsidRDefault="00FF25D8" w:rsidP="003E1EBA">
      <w:pPr>
        <w:pBdr>
          <w:top w:val="nil"/>
          <w:left w:val="nil"/>
          <w:bottom w:val="nil"/>
          <w:right w:val="nil"/>
          <w:between w:val="nil"/>
        </w:pBdr>
        <w:spacing w:after="0"/>
        <w:ind w:left="1440" w:hanging="720"/>
        <w:jc w:val="center"/>
        <w:rPr>
          <w:color w:val="000000" w:themeColor="text1"/>
        </w:rPr>
      </w:pPr>
      <w:r w:rsidRPr="00F6508F">
        <w:rPr>
          <w:rFonts w:eastAsia="Times New Roman" w:cs="Times New Roman"/>
          <w:noProof/>
          <w:color w:val="000000" w:themeColor="text1"/>
          <w:szCs w:val="24"/>
        </w:rPr>
        <w:drawing>
          <wp:inline distT="0" distB="0" distL="114300" distR="114300" wp14:anchorId="7D758F90" wp14:editId="174E5D18">
            <wp:extent cx="2822189" cy="3167822"/>
            <wp:effectExtent l="19050" t="19050" r="0" b="0"/>
            <wp:docPr id="3" name="image1.png" descr="Tex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Text&#10;&#10;Description automatically generated"/>
                    <pic:cNvPicPr preferRelativeResize="0"/>
                  </pic:nvPicPr>
                  <pic:blipFill>
                    <a:blip r:embed="rId15"/>
                    <a:srcRect/>
                    <a:stretch>
                      <a:fillRect/>
                    </a:stretch>
                  </pic:blipFill>
                  <pic:spPr>
                    <a:xfrm>
                      <a:off x="0" y="0"/>
                      <a:ext cx="2832854" cy="3179793"/>
                    </a:xfrm>
                    <a:prstGeom prst="rect">
                      <a:avLst/>
                    </a:prstGeom>
                    <a:ln w="12700">
                      <a:solidFill>
                        <a:srgbClr val="000000"/>
                      </a:solidFill>
                      <a:prstDash val="solid"/>
                    </a:ln>
                  </pic:spPr>
                </pic:pic>
              </a:graphicData>
            </a:graphic>
          </wp:inline>
        </w:drawing>
      </w:r>
    </w:p>
    <w:p w14:paraId="1FB39D2E" w14:textId="77777777" w:rsidR="00206F52" w:rsidRPr="00206F52" w:rsidRDefault="00206F52" w:rsidP="00206F52">
      <w:pPr>
        <w:keepNext/>
        <w:keepLines/>
        <w:pBdr>
          <w:top w:val="nil"/>
          <w:left w:val="nil"/>
          <w:bottom w:val="nil"/>
          <w:right w:val="nil"/>
          <w:between w:val="nil"/>
        </w:pBdr>
        <w:spacing w:after="0"/>
        <w:ind w:left="1440" w:hanging="720"/>
        <w:jc w:val="center"/>
        <w:rPr>
          <w:color w:val="000000" w:themeColor="text1"/>
        </w:rPr>
      </w:pPr>
    </w:p>
    <w:p w14:paraId="4B787835" w14:textId="0B919C41" w:rsidR="00FF25D8" w:rsidRPr="00F6508F" w:rsidRDefault="00FF25D8" w:rsidP="003E1EBA">
      <w:pPr>
        <w:pBdr>
          <w:top w:val="nil"/>
          <w:left w:val="nil"/>
          <w:bottom w:val="nil"/>
          <w:right w:val="nil"/>
          <w:between w:val="nil"/>
        </w:pBdr>
        <w:spacing w:after="0"/>
        <w:jc w:val="both"/>
        <w:rPr>
          <w:rFonts w:eastAsia="Times New Roman" w:cs="Times New Roman"/>
          <w:color w:val="000000" w:themeColor="text1"/>
          <w:szCs w:val="24"/>
        </w:rPr>
      </w:pPr>
      <w:r w:rsidRPr="00F6508F">
        <w:rPr>
          <w:rFonts w:eastAsia="Times New Roman" w:cs="Times New Roman"/>
          <w:color w:val="000000" w:themeColor="text1"/>
          <w:szCs w:val="24"/>
        </w:rPr>
        <w:t>In the years since the report’s publication, I</w:t>
      </w:r>
      <w:r w:rsidR="00A678BD">
        <w:rPr>
          <w:rFonts w:eastAsia="Times New Roman" w:cs="Times New Roman"/>
          <w:color w:val="000000" w:themeColor="text1"/>
          <w:szCs w:val="24"/>
        </w:rPr>
        <w:t xml:space="preserve"> ha</w:t>
      </w:r>
      <w:r w:rsidRPr="00F6508F">
        <w:rPr>
          <w:rFonts w:eastAsia="Times New Roman" w:cs="Times New Roman"/>
          <w:color w:val="000000" w:themeColor="text1"/>
          <w:szCs w:val="24"/>
        </w:rPr>
        <w:t>ve arrived at the opinion that, of the seven strategies, the first and second are the most important: seeking to diversify the utility’s supply portfolio and engaging in a robust planning and acquisition regime.</w:t>
      </w:r>
    </w:p>
    <w:p w14:paraId="67A86BEF" w14:textId="77777777" w:rsidR="00FF25D8" w:rsidRPr="00F6508F" w:rsidRDefault="00FF25D8" w:rsidP="003A6CDA">
      <w:pPr>
        <w:keepNext/>
        <w:keepLines/>
        <w:pBdr>
          <w:top w:val="nil"/>
          <w:left w:val="nil"/>
          <w:bottom w:val="nil"/>
          <w:right w:val="nil"/>
          <w:between w:val="nil"/>
        </w:pBdr>
        <w:tabs>
          <w:tab w:val="left" w:pos="4320"/>
          <w:tab w:val="left" w:pos="6480"/>
          <w:tab w:val="left" w:pos="8639"/>
        </w:tabs>
        <w:spacing w:after="0"/>
        <w:ind w:left="0" w:hanging="720"/>
        <w:jc w:val="both"/>
        <w:rPr>
          <w:rFonts w:eastAsia="Times New Roman" w:cs="Times New Roman"/>
          <w:color w:val="000000" w:themeColor="text1"/>
          <w:szCs w:val="24"/>
        </w:rPr>
      </w:pPr>
    </w:p>
    <w:p w14:paraId="43419221" w14:textId="77777777" w:rsidR="00FF25D8" w:rsidRPr="00F6508F" w:rsidRDefault="00FF25D8" w:rsidP="003E1EBA">
      <w:pPr>
        <w:keepNext/>
        <w:keepLines/>
        <w:pBdr>
          <w:top w:val="nil"/>
          <w:left w:val="nil"/>
          <w:bottom w:val="nil"/>
          <w:right w:val="nil"/>
          <w:between w:val="nil"/>
        </w:pBdr>
        <w:tabs>
          <w:tab w:val="left" w:pos="4320"/>
          <w:tab w:val="left" w:pos="6480"/>
          <w:tab w:val="left" w:pos="8639"/>
        </w:tabs>
        <w:spacing w:after="0"/>
        <w:ind w:hanging="720"/>
        <w:jc w:val="both"/>
        <w:rPr>
          <w:rFonts w:eastAsia="Times New Roman" w:cs="Times New Roman"/>
          <w:b/>
          <w:smallCaps/>
          <w:color w:val="000000" w:themeColor="text1"/>
          <w:szCs w:val="24"/>
        </w:rPr>
      </w:pPr>
      <w:r w:rsidRPr="00F6508F">
        <w:rPr>
          <w:rFonts w:eastAsia="Times New Roman" w:cs="Times New Roman"/>
          <w:b/>
          <w:smallCaps/>
          <w:color w:val="000000" w:themeColor="text1"/>
          <w:szCs w:val="24"/>
        </w:rPr>
        <w:t>Q:</w:t>
      </w:r>
      <w:r w:rsidRPr="00F6508F">
        <w:rPr>
          <w:rFonts w:eastAsia="Times New Roman" w:cs="Times New Roman"/>
          <w:b/>
          <w:smallCaps/>
          <w:color w:val="000000" w:themeColor="text1"/>
          <w:szCs w:val="24"/>
        </w:rPr>
        <w:tab/>
        <w:t>HOW DO COMPETING TECHNOLOGIES AND PROVIDERS PROMOTE RISK-AWARE REGULATION?</w:t>
      </w:r>
    </w:p>
    <w:p w14:paraId="458FE1D1" w14:textId="7BF9F89F" w:rsidR="00FF25D8" w:rsidRPr="00F6508F" w:rsidRDefault="00FF25D8" w:rsidP="003E1EBA">
      <w:pPr>
        <w:pBdr>
          <w:top w:val="nil"/>
          <w:left w:val="nil"/>
          <w:bottom w:val="nil"/>
          <w:right w:val="nil"/>
          <w:between w:val="nil"/>
        </w:pBdr>
        <w:spacing w:after="0"/>
        <w:ind w:hanging="720"/>
        <w:jc w:val="both"/>
        <w:rPr>
          <w:rFonts w:eastAsia="Times New Roman" w:cs="Times New Roman"/>
          <w:color w:val="000000" w:themeColor="text1"/>
          <w:szCs w:val="24"/>
        </w:rPr>
      </w:pPr>
      <w:r w:rsidRPr="00F6508F">
        <w:rPr>
          <w:rFonts w:eastAsia="Times New Roman" w:cs="Times New Roman"/>
          <w:color w:val="000000" w:themeColor="text1"/>
          <w:szCs w:val="24"/>
        </w:rPr>
        <w:t>A:</w:t>
      </w:r>
      <w:r w:rsidRPr="00F6508F">
        <w:rPr>
          <w:rFonts w:eastAsia="Times New Roman" w:cs="Times New Roman"/>
          <w:color w:val="000000" w:themeColor="text1"/>
          <w:szCs w:val="24"/>
        </w:rPr>
        <w:tab/>
        <w:t xml:space="preserve">Renewable resources play </w:t>
      </w:r>
      <w:r w:rsidR="00071C05" w:rsidRPr="00F6508F">
        <w:rPr>
          <w:rFonts w:eastAsia="Times New Roman" w:cs="Times New Roman"/>
          <w:color w:val="000000" w:themeColor="text1"/>
          <w:szCs w:val="24"/>
        </w:rPr>
        <w:t>a key role</w:t>
      </w:r>
      <w:r w:rsidRPr="00F6508F">
        <w:rPr>
          <w:rFonts w:eastAsia="Times New Roman" w:cs="Times New Roman"/>
          <w:color w:val="000000" w:themeColor="text1"/>
          <w:szCs w:val="24"/>
        </w:rPr>
        <w:t xml:space="preserve"> in managing cost and risk. The </w:t>
      </w:r>
      <w:r w:rsidRPr="006A1C0D">
        <w:rPr>
          <w:rFonts w:eastAsia="Times New Roman" w:cs="Times New Roman"/>
          <w:i/>
          <w:color w:val="000000" w:themeColor="text1"/>
          <w:szCs w:val="24"/>
        </w:rPr>
        <w:t>Risk-</w:t>
      </w:r>
      <w:r w:rsidR="00A678BD" w:rsidRPr="006A1C0D">
        <w:rPr>
          <w:rFonts w:eastAsia="Times New Roman" w:cs="Times New Roman"/>
          <w:i/>
          <w:color w:val="000000" w:themeColor="text1"/>
          <w:szCs w:val="24"/>
        </w:rPr>
        <w:t>A</w:t>
      </w:r>
      <w:r w:rsidRPr="006A1C0D">
        <w:rPr>
          <w:rFonts w:eastAsia="Times New Roman" w:cs="Times New Roman"/>
          <w:i/>
          <w:color w:val="000000" w:themeColor="text1"/>
          <w:szCs w:val="24"/>
        </w:rPr>
        <w:t xml:space="preserve">ware </w:t>
      </w:r>
      <w:r w:rsidR="006A1C0D" w:rsidRPr="006A1C0D">
        <w:rPr>
          <w:rFonts w:eastAsia="Times New Roman" w:cs="Times New Roman"/>
          <w:i/>
          <w:color w:val="000000" w:themeColor="text1"/>
          <w:szCs w:val="24"/>
        </w:rPr>
        <w:t>R</w:t>
      </w:r>
      <w:r w:rsidRPr="006A1C0D">
        <w:rPr>
          <w:rFonts w:eastAsia="Times New Roman" w:cs="Times New Roman"/>
          <w:i/>
          <w:color w:val="000000" w:themeColor="text1"/>
          <w:szCs w:val="24"/>
        </w:rPr>
        <w:t>eport</w:t>
      </w:r>
      <w:r w:rsidRPr="00F6508F">
        <w:rPr>
          <w:rFonts w:eastAsia="Times New Roman" w:cs="Times New Roman"/>
          <w:color w:val="000000" w:themeColor="text1"/>
          <w:szCs w:val="24"/>
        </w:rPr>
        <w:t xml:space="preserve"> was produced at a time when renewable energy products were just beginning to catch up to traditional supply-side options on cost. As the Commission is aware, that process has accelerated </w:t>
      </w:r>
      <w:r w:rsidR="006A1C0D">
        <w:rPr>
          <w:rFonts w:eastAsia="Times New Roman" w:cs="Times New Roman"/>
          <w:color w:val="000000" w:themeColor="text1"/>
          <w:szCs w:val="24"/>
        </w:rPr>
        <w:t>tremendously</w:t>
      </w:r>
      <w:r w:rsidRPr="00F6508F">
        <w:rPr>
          <w:rFonts w:eastAsia="Times New Roman" w:cs="Times New Roman"/>
          <w:color w:val="000000" w:themeColor="text1"/>
          <w:szCs w:val="24"/>
        </w:rPr>
        <w:t xml:space="preserve"> in the past several years. Resources that could once be justified only b</w:t>
      </w:r>
      <w:r w:rsidR="0057274E">
        <w:rPr>
          <w:rFonts w:eastAsia="Times New Roman" w:cs="Times New Roman"/>
          <w:color w:val="000000" w:themeColor="text1"/>
          <w:szCs w:val="24"/>
        </w:rPr>
        <w:t>y</w:t>
      </w:r>
      <w:r w:rsidRPr="00F6508F">
        <w:rPr>
          <w:rFonts w:eastAsia="Times New Roman" w:cs="Times New Roman"/>
          <w:color w:val="000000" w:themeColor="text1"/>
          <w:szCs w:val="24"/>
        </w:rPr>
        <w:t xml:space="preserve"> appealing to their environmental externalities now compete directly with traditional resources on cost. And, as developed in the </w:t>
      </w:r>
      <w:r w:rsidRPr="0057274E">
        <w:rPr>
          <w:rFonts w:eastAsia="Times New Roman" w:cs="Times New Roman"/>
          <w:i/>
          <w:iCs/>
          <w:color w:val="000000" w:themeColor="text1"/>
          <w:szCs w:val="24"/>
        </w:rPr>
        <w:t>Risk-</w:t>
      </w:r>
      <w:r w:rsidR="0057274E" w:rsidRPr="0057274E">
        <w:rPr>
          <w:rFonts w:eastAsia="Times New Roman" w:cs="Times New Roman"/>
          <w:i/>
          <w:iCs/>
          <w:color w:val="000000" w:themeColor="text1"/>
          <w:szCs w:val="24"/>
        </w:rPr>
        <w:t>A</w:t>
      </w:r>
      <w:r w:rsidRPr="0057274E">
        <w:rPr>
          <w:rFonts w:eastAsia="Times New Roman" w:cs="Times New Roman"/>
          <w:i/>
          <w:iCs/>
          <w:color w:val="000000" w:themeColor="text1"/>
          <w:szCs w:val="24"/>
        </w:rPr>
        <w:t xml:space="preserve">ware </w:t>
      </w:r>
      <w:r w:rsidR="0057274E" w:rsidRPr="0057274E">
        <w:rPr>
          <w:rFonts w:eastAsia="Times New Roman" w:cs="Times New Roman"/>
          <w:i/>
          <w:iCs/>
          <w:color w:val="000000" w:themeColor="text1"/>
          <w:szCs w:val="24"/>
        </w:rPr>
        <w:t>R</w:t>
      </w:r>
      <w:r w:rsidRPr="0057274E">
        <w:rPr>
          <w:rFonts w:eastAsia="Times New Roman" w:cs="Times New Roman"/>
          <w:i/>
          <w:iCs/>
          <w:color w:val="000000" w:themeColor="text1"/>
          <w:szCs w:val="24"/>
        </w:rPr>
        <w:t>eport</w:t>
      </w:r>
      <w:r w:rsidRPr="00F6508F">
        <w:rPr>
          <w:rFonts w:eastAsia="Times New Roman" w:cs="Times New Roman"/>
          <w:color w:val="000000" w:themeColor="text1"/>
          <w:szCs w:val="24"/>
        </w:rPr>
        <w:t>, renewable resources and energy efficiency are lowest risk. But we are still in a transition. Utilities and regulators are challenged to adapt to a new paradigm: what many once saw as fringe resources are now becoming mainstream and are poised to replace fossil resources in the near future.</w:t>
      </w:r>
    </w:p>
    <w:p w14:paraId="3BD6E2FF" w14:textId="3B7844E9" w:rsidR="00FF25D8" w:rsidRPr="00F6508F" w:rsidRDefault="00FF25D8" w:rsidP="003E1EBA">
      <w:pPr>
        <w:spacing w:after="0"/>
        <w:jc w:val="both"/>
        <w:rPr>
          <w:color w:val="000000" w:themeColor="text1"/>
        </w:rPr>
      </w:pPr>
      <w:r w:rsidRPr="00F6508F">
        <w:rPr>
          <w:color w:val="000000" w:themeColor="text1"/>
        </w:rPr>
        <w:t xml:space="preserve">Besides reducing risk and lowering costs, risk-aware planning has another important benefit. New wind, solar, and storage resources are not only becoming least-cost, but they are also almost completely defined by their capital costs. There is no fuel cost and very low </w:t>
      </w:r>
      <w:r w:rsidR="009E2C71">
        <w:rPr>
          <w:color w:val="000000" w:themeColor="text1"/>
        </w:rPr>
        <w:t>O</w:t>
      </w:r>
      <w:r w:rsidR="00AD2E63">
        <w:rPr>
          <w:color w:val="000000" w:themeColor="text1"/>
        </w:rPr>
        <w:t xml:space="preserve">peration and </w:t>
      </w:r>
      <w:r w:rsidR="009E2C71">
        <w:rPr>
          <w:color w:val="000000" w:themeColor="text1"/>
        </w:rPr>
        <w:t>M</w:t>
      </w:r>
      <w:r w:rsidR="00AD2E63">
        <w:rPr>
          <w:color w:val="000000" w:themeColor="text1"/>
        </w:rPr>
        <w:t>aintenance (“</w:t>
      </w:r>
      <w:r w:rsidRPr="00F6508F">
        <w:rPr>
          <w:color w:val="000000" w:themeColor="text1"/>
        </w:rPr>
        <w:t>O&amp;M</w:t>
      </w:r>
      <w:r w:rsidR="00AD2E63">
        <w:rPr>
          <w:color w:val="000000" w:themeColor="text1"/>
        </w:rPr>
        <w:t>”)</w:t>
      </w:r>
      <w:r w:rsidRPr="00F6508F">
        <w:rPr>
          <w:color w:val="000000" w:themeColor="text1"/>
        </w:rPr>
        <w:t xml:space="preserve"> costs for these resources; once their capital costs are invested, their marginal cost of energy is very low and can be relied on with </w:t>
      </w:r>
      <w:r w:rsidRPr="00F6508F">
        <w:rPr>
          <w:color w:val="000000" w:themeColor="text1"/>
        </w:rPr>
        <w:lastRenderedPageBreak/>
        <w:t>certainty. Similarly, these projects’ capital costs are determined by the cost of money needed for capital. Lower cost of money for these projects means lower cost of energy.</w:t>
      </w:r>
    </w:p>
    <w:p w14:paraId="3DCF22D5" w14:textId="77777777" w:rsidR="00FF25D8" w:rsidRPr="00F6508F" w:rsidRDefault="00FF25D8" w:rsidP="003E1EBA">
      <w:pPr>
        <w:pBdr>
          <w:top w:val="nil"/>
          <w:left w:val="nil"/>
          <w:bottom w:val="nil"/>
          <w:right w:val="nil"/>
          <w:between w:val="nil"/>
        </w:pBdr>
        <w:spacing w:after="0"/>
        <w:jc w:val="both"/>
        <w:rPr>
          <w:rFonts w:eastAsia="Times New Roman" w:cs="Times New Roman"/>
          <w:color w:val="000000" w:themeColor="text1"/>
          <w:szCs w:val="24"/>
        </w:rPr>
      </w:pPr>
      <w:bookmarkStart w:id="5" w:name="_1fob9te" w:colFirst="0" w:colLast="0"/>
      <w:bookmarkEnd w:id="5"/>
      <w:r w:rsidRPr="00F6508F">
        <w:rPr>
          <w:rFonts w:eastAsia="Times New Roman" w:cs="Times New Roman"/>
          <w:color w:val="000000" w:themeColor="text1"/>
          <w:szCs w:val="24"/>
        </w:rPr>
        <w:t>There is a case developing that suggests that these projects will achieve relatively lower costs of capital than competing resources, because investors, who determine their costs for investing or lending funds based on their risk profiles, are more interested in lower carbon and less climate intensive investments that present less climate risk.</w:t>
      </w:r>
      <w:r w:rsidRPr="00F6508F">
        <w:rPr>
          <w:rFonts w:eastAsia="Times New Roman" w:cs="Times New Roman"/>
          <w:color w:val="000000" w:themeColor="text1"/>
          <w:szCs w:val="24"/>
          <w:vertAlign w:val="superscript"/>
        </w:rPr>
        <w:footnoteReference w:id="22"/>
      </w:r>
      <w:r w:rsidRPr="00F6508F">
        <w:rPr>
          <w:rFonts w:eastAsia="Times New Roman" w:cs="Times New Roman"/>
          <w:color w:val="000000" w:themeColor="text1"/>
          <w:szCs w:val="24"/>
        </w:rPr>
        <w:t xml:space="preserve"> As disclosure requirements become more common and extensive, investors will have more information about these relevant risks.</w:t>
      </w:r>
      <w:r w:rsidRPr="00F6508F">
        <w:rPr>
          <w:rFonts w:eastAsia="Times New Roman" w:cs="Times New Roman"/>
          <w:color w:val="000000" w:themeColor="text1"/>
          <w:szCs w:val="24"/>
          <w:vertAlign w:val="superscript"/>
        </w:rPr>
        <w:footnoteReference w:id="23"/>
      </w:r>
      <w:r w:rsidRPr="00F6508F">
        <w:rPr>
          <w:rFonts w:eastAsia="Times New Roman" w:cs="Times New Roman"/>
          <w:color w:val="000000" w:themeColor="text1"/>
          <w:szCs w:val="24"/>
        </w:rPr>
        <w:t xml:space="preserve"> </w:t>
      </w:r>
    </w:p>
    <w:p w14:paraId="4E78292F" w14:textId="77777777" w:rsidR="00FF25D8" w:rsidRPr="00F6508F" w:rsidRDefault="00FF25D8" w:rsidP="003A6CDA">
      <w:pPr>
        <w:pBdr>
          <w:top w:val="nil"/>
          <w:left w:val="nil"/>
          <w:bottom w:val="nil"/>
          <w:right w:val="nil"/>
          <w:between w:val="nil"/>
        </w:pBdr>
        <w:spacing w:after="0"/>
        <w:ind w:left="0"/>
        <w:jc w:val="both"/>
        <w:rPr>
          <w:rFonts w:eastAsia="Times New Roman" w:cs="Times New Roman"/>
          <w:color w:val="000000" w:themeColor="text1"/>
          <w:szCs w:val="24"/>
        </w:rPr>
      </w:pPr>
      <w:bookmarkStart w:id="6" w:name="_ec5gj2e08cig" w:colFirst="0" w:colLast="0"/>
      <w:bookmarkEnd w:id="6"/>
    </w:p>
    <w:p w14:paraId="72D0C7D0" w14:textId="77777777" w:rsidR="00FF25D8" w:rsidRPr="00F6508F" w:rsidRDefault="00FF25D8" w:rsidP="003E1EBA">
      <w:pPr>
        <w:keepNext/>
        <w:keepLines/>
        <w:pBdr>
          <w:top w:val="nil"/>
          <w:left w:val="nil"/>
          <w:bottom w:val="nil"/>
          <w:right w:val="nil"/>
          <w:between w:val="nil"/>
        </w:pBdr>
        <w:tabs>
          <w:tab w:val="left" w:pos="4320"/>
          <w:tab w:val="left" w:pos="6480"/>
          <w:tab w:val="left" w:pos="8639"/>
        </w:tabs>
        <w:spacing w:after="0"/>
        <w:ind w:hanging="720"/>
        <w:jc w:val="both"/>
        <w:rPr>
          <w:rFonts w:eastAsia="Times New Roman" w:cs="Times New Roman"/>
          <w:b/>
          <w:smallCaps/>
          <w:color w:val="000000" w:themeColor="text1"/>
          <w:szCs w:val="24"/>
        </w:rPr>
      </w:pPr>
      <w:r w:rsidRPr="00F6508F">
        <w:rPr>
          <w:rFonts w:eastAsia="Times New Roman" w:cs="Times New Roman"/>
          <w:b/>
          <w:smallCaps/>
          <w:color w:val="000000" w:themeColor="text1"/>
          <w:szCs w:val="24"/>
        </w:rPr>
        <w:t>Q:</w:t>
      </w:r>
      <w:r w:rsidRPr="00F6508F">
        <w:rPr>
          <w:rFonts w:eastAsia="Times New Roman" w:cs="Times New Roman"/>
          <w:b/>
          <w:smallCaps/>
          <w:color w:val="000000" w:themeColor="text1"/>
          <w:szCs w:val="24"/>
        </w:rPr>
        <w:tab/>
        <w:t>HOW CAN REGULATORS HARNESS THE CHANGING SITUATION?</w:t>
      </w:r>
    </w:p>
    <w:p w14:paraId="4E8E6B4D" w14:textId="7EB18205" w:rsidR="00FF25D8" w:rsidRPr="00F6508F" w:rsidRDefault="00FF25D8" w:rsidP="003E1EBA">
      <w:pPr>
        <w:pStyle w:val="Answer"/>
        <w:spacing w:before="0" w:after="0"/>
        <w:jc w:val="both"/>
        <w:rPr>
          <w:color w:val="000000" w:themeColor="text1"/>
        </w:rPr>
      </w:pPr>
      <w:r w:rsidRPr="00F6508F">
        <w:rPr>
          <w:color w:val="000000" w:themeColor="text1"/>
        </w:rPr>
        <w:t>A:</w:t>
      </w:r>
      <w:r w:rsidRPr="00F6508F">
        <w:rPr>
          <w:color w:val="000000" w:themeColor="text1"/>
        </w:rPr>
        <w:tab/>
        <w:t xml:space="preserve">Regulators need not take anyone’s opinions on faith. The cost competitiveness of any proposed resource must be proven. In the past, this was accomplished using estimates derived from the engineering details of a project together with industry literature detailing costs from the actual operations of similar facilities. Estimating the cost of a coal plant or a nuclear plant was a major activity of the engineering divisions of public utilities </w:t>
      </w:r>
      <w:r w:rsidRPr="00F6508F">
        <w:rPr>
          <w:color w:val="000000" w:themeColor="text1"/>
        </w:rPr>
        <w:lastRenderedPageBreak/>
        <w:t xml:space="preserve">commissions’ staff. While this regulatory oversight was important, it did not prevent cost surprises. In the 1980s and 1990s, across the United States there were many examples of cost overruns on (mainly nuclear) power plants, unwarranted excess capacity investments, and a fair amount of </w:t>
      </w:r>
      <w:r w:rsidR="00B343B0" w:rsidRPr="00F6508F">
        <w:rPr>
          <w:color w:val="000000" w:themeColor="text1"/>
        </w:rPr>
        <w:t xml:space="preserve">public utilities commission </w:t>
      </w:r>
      <w:r w:rsidRPr="00F6508F">
        <w:rPr>
          <w:color w:val="000000" w:themeColor="text1"/>
        </w:rPr>
        <w:t>activity examining prudence of utility planning of power plants.</w:t>
      </w:r>
    </w:p>
    <w:p w14:paraId="48B742D0" w14:textId="41832E39" w:rsidR="00FF25D8" w:rsidRPr="00F6508F" w:rsidRDefault="00FF25D8" w:rsidP="00486B9D">
      <w:pPr>
        <w:spacing w:after="0"/>
        <w:jc w:val="both"/>
        <w:rPr>
          <w:color w:val="000000" w:themeColor="text1"/>
        </w:rPr>
      </w:pPr>
      <w:r w:rsidRPr="00F6508F">
        <w:rPr>
          <w:color w:val="000000" w:themeColor="text1"/>
        </w:rPr>
        <w:t xml:space="preserve">Recognizing the complexity and deficiencies of regulating generating plant costs, some states were led to adopt competition at the generation level. In such markets, it was no longer important to the regulator what the generator’s costs were – the important figure was what price they needed to operate their plant and provide power to the market. Suppliers and newly created markets engaged at </w:t>
      </w:r>
      <w:r w:rsidR="00071C05" w:rsidRPr="00F6508F">
        <w:rPr>
          <w:color w:val="000000" w:themeColor="text1"/>
        </w:rPr>
        <w:t>various levels</w:t>
      </w:r>
      <w:r w:rsidRPr="00F6508F">
        <w:rPr>
          <w:color w:val="000000" w:themeColor="text1"/>
        </w:rPr>
        <w:t>: for both long-term capacity, for minute-to-minute energy sales, and for ancillary services. About two-thirds of all U.S. energy sales now comes through such competitive markets.</w:t>
      </w:r>
    </w:p>
    <w:p w14:paraId="398AF73C" w14:textId="6B6F6B4F" w:rsidR="00FF25D8" w:rsidRPr="00F6508F" w:rsidRDefault="00FF25D8" w:rsidP="00486B9D">
      <w:pPr>
        <w:pBdr>
          <w:top w:val="nil"/>
          <w:left w:val="nil"/>
          <w:bottom w:val="nil"/>
          <w:right w:val="nil"/>
          <w:between w:val="nil"/>
        </w:pBdr>
        <w:spacing w:after="0"/>
        <w:jc w:val="both"/>
        <w:rPr>
          <w:rFonts w:eastAsia="Times New Roman" w:cs="Times New Roman"/>
          <w:color w:val="000000" w:themeColor="text1"/>
          <w:szCs w:val="24"/>
        </w:rPr>
      </w:pPr>
      <w:r w:rsidRPr="00F6508F">
        <w:rPr>
          <w:rFonts w:eastAsia="Times New Roman" w:cs="Times New Roman"/>
          <w:color w:val="000000" w:themeColor="text1"/>
          <w:szCs w:val="24"/>
        </w:rPr>
        <w:t>Of course, not all states have moved to wholesale competition: I mentioned previously that Colorado, in addition to Georgia, are two states that continue to operate under a regulatory regime in which utilities continue to build and operate plants while regulators oversee the costs. With the arrival of multiple independent generators and Public Utility Regulatory Policies Act (“PURPA”) requirements</w:t>
      </w:r>
      <w:r w:rsidR="00187705">
        <w:rPr>
          <w:rFonts w:eastAsia="Times New Roman" w:cs="Times New Roman"/>
          <w:color w:val="000000" w:themeColor="text1"/>
          <w:szCs w:val="24"/>
        </w:rPr>
        <w:t>,</w:t>
      </w:r>
      <w:r w:rsidRPr="00F6508F">
        <w:rPr>
          <w:rFonts w:eastAsia="Times New Roman" w:cs="Times New Roman"/>
          <w:color w:val="000000" w:themeColor="text1"/>
          <w:szCs w:val="24"/>
          <w:vertAlign w:val="superscript"/>
        </w:rPr>
        <w:footnoteReference w:id="24"/>
      </w:r>
      <w:r w:rsidRPr="00F6508F">
        <w:rPr>
          <w:rFonts w:eastAsia="Times New Roman" w:cs="Times New Roman"/>
          <w:color w:val="000000" w:themeColor="text1"/>
          <w:szCs w:val="24"/>
        </w:rPr>
        <w:t xml:space="preserve"> the regulatory regime evolved further to a different model where the utility went from monopoly provider of energy to a monopsony buyer of capacity and energy from Independent Power Producers (“IPPs”), affiliates of the utility, or from the utility itself. Having multiple suppliers allowed these states to adopt a different form of competition: competitive bidding for contracts to sell </w:t>
      </w:r>
      <w:r w:rsidRPr="00F6508F">
        <w:rPr>
          <w:rFonts w:eastAsia="Times New Roman" w:cs="Times New Roman"/>
          <w:color w:val="000000" w:themeColor="text1"/>
          <w:szCs w:val="24"/>
        </w:rPr>
        <w:lastRenderedPageBreak/>
        <w:t>power under specified terms. This is the situation in which we now find ourselves in both Georgia and Colorado.</w:t>
      </w:r>
    </w:p>
    <w:p w14:paraId="233B9230" w14:textId="77777777" w:rsidR="00FF25D8" w:rsidRPr="00F6508F" w:rsidRDefault="00FF25D8" w:rsidP="003A6CDA">
      <w:pPr>
        <w:pBdr>
          <w:top w:val="nil"/>
          <w:left w:val="nil"/>
          <w:bottom w:val="nil"/>
          <w:right w:val="nil"/>
          <w:between w:val="nil"/>
        </w:pBdr>
        <w:spacing w:after="0"/>
        <w:ind w:left="0"/>
        <w:jc w:val="both"/>
        <w:rPr>
          <w:rFonts w:eastAsia="Times New Roman" w:cs="Times New Roman"/>
          <w:color w:val="000000" w:themeColor="text1"/>
          <w:szCs w:val="24"/>
        </w:rPr>
      </w:pPr>
    </w:p>
    <w:p w14:paraId="3F6409AA" w14:textId="77777777" w:rsidR="00FF25D8" w:rsidRPr="00F6508F" w:rsidRDefault="00FF25D8" w:rsidP="00E35E7F">
      <w:pPr>
        <w:keepNext/>
        <w:keepLines/>
        <w:pBdr>
          <w:top w:val="nil"/>
          <w:left w:val="nil"/>
          <w:bottom w:val="nil"/>
          <w:right w:val="nil"/>
          <w:between w:val="nil"/>
        </w:pBdr>
        <w:tabs>
          <w:tab w:val="left" w:pos="4320"/>
          <w:tab w:val="left" w:pos="6480"/>
          <w:tab w:val="left" w:pos="8639"/>
        </w:tabs>
        <w:spacing w:after="0"/>
        <w:ind w:hanging="720"/>
        <w:jc w:val="both"/>
        <w:rPr>
          <w:rFonts w:eastAsia="Times New Roman" w:cs="Times New Roman"/>
          <w:b/>
          <w:smallCaps/>
          <w:color w:val="000000" w:themeColor="text1"/>
          <w:szCs w:val="24"/>
        </w:rPr>
      </w:pPr>
      <w:r w:rsidRPr="00F6508F">
        <w:rPr>
          <w:rFonts w:eastAsia="Times New Roman" w:cs="Times New Roman"/>
          <w:b/>
          <w:smallCaps/>
          <w:color w:val="000000" w:themeColor="text1"/>
          <w:szCs w:val="24"/>
        </w:rPr>
        <w:t>Q:</w:t>
      </w:r>
      <w:r w:rsidRPr="00F6508F">
        <w:rPr>
          <w:rFonts w:eastAsia="Times New Roman" w:cs="Times New Roman"/>
          <w:b/>
          <w:smallCaps/>
          <w:color w:val="000000" w:themeColor="text1"/>
          <w:szCs w:val="24"/>
        </w:rPr>
        <w:tab/>
        <w:t>WHAT MAKES FOR A SUCCESSFUL COMPETITIVE BIDDING REGIME?</w:t>
      </w:r>
    </w:p>
    <w:p w14:paraId="7BD38A82" w14:textId="1F5DF6F9" w:rsidR="00FF25D8" w:rsidRDefault="00FF25D8" w:rsidP="00E35E7F">
      <w:pPr>
        <w:pStyle w:val="Answer"/>
        <w:spacing w:before="0" w:after="0"/>
        <w:jc w:val="both"/>
        <w:rPr>
          <w:color w:val="000000" w:themeColor="text1"/>
        </w:rPr>
      </w:pPr>
      <w:r w:rsidRPr="00F6508F">
        <w:rPr>
          <w:color w:val="000000" w:themeColor="text1"/>
        </w:rPr>
        <w:t>A:</w:t>
      </w:r>
      <w:r w:rsidRPr="00F6508F">
        <w:rPr>
          <w:color w:val="000000" w:themeColor="text1"/>
        </w:rPr>
        <w:tab/>
        <w:t xml:space="preserve">Providing </w:t>
      </w:r>
      <w:r w:rsidR="00071C05" w:rsidRPr="00F6508F">
        <w:rPr>
          <w:color w:val="000000" w:themeColor="text1"/>
        </w:rPr>
        <w:t>useful information</w:t>
      </w:r>
      <w:r w:rsidRPr="00F6508F">
        <w:rPr>
          <w:color w:val="000000" w:themeColor="text1"/>
        </w:rPr>
        <w:t xml:space="preserve"> for bidders is </w:t>
      </w:r>
      <w:r w:rsidR="00071C05" w:rsidRPr="00F6508F">
        <w:rPr>
          <w:color w:val="000000" w:themeColor="text1"/>
        </w:rPr>
        <w:t>an essential element</w:t>
      </w:r>
      <w:r w:rsidRPr="00F6508F">
        <w:rPr>
          <w:color w:val="000000" w:themeColor="text1"/>
        </w:rPr>
        <w:t xml:space="preserve"> in the Colorado planning process. Well informed bidders are more likely to submit bids that represent projects that the utility will want to use, and to provide their best pricing so as to win the competition for a </w:t>
      </w:r>
      <w:r w:rsidR="007A0ED0">
        <w:rPr>
          <w:color w:val="000000" w:themeColor="text1"/>
        </w:rPr>
        <w:t>PPA</w:t>
      </w:r>
      <w:r w:rsidRPr="00F6508F">
        <w:rPr>
          <w:color w:val="000000" w:themeColor="text1"/>
        </w:rPr>
        <w:t xml:space="preserve">. Creating bidder confidence is an important goal and a welcome outcome. Several additional features in the Colorado model reinforce bidder confidence. Draft </w:t>
      </w:r>
      <w:r w:rsidR="00B46EE6">
        <w:rPr>
          <w:color w:val="000000" w:themeColor="text1"/>
        </w:rPr>
        <w:t>RFPs</w:t>
      </w:r>
      <w:r w:rsidRPr="00F6508F">
        <w:rPr>
          <w:color w:val="000000" w:themeColor="text1"/>
        </w:rPr>
        <w:t xml:space="preserve"> and </w:t>
      </w:r>
      <w:r w:rsidR="00B46EE6">
        <w:rPr>
          <w:color w:val="000000" w:themeColor="text1"/>
        </w:rPr>
        <w:t>PPAs</w:t>
      </w:r>
      <w:r w:rsidRPr="00F6508F">
        <w:rPr>
          <w:color w:val="000000" w:themeColor="text1"/>
        </w:rPr>
        <w:t xml:space="preserve"> are filed up front in the planning process, so they can be scrutinized, and amended and reformed where potential for improvements is found in the hearing process in the planning phase of an IRP. An independent evaluator is selected and employed to facilitate information development and exchange so bidders’ questions and concerns can be raised and resolved before RFPs are issued. Bid evaluation scoring criteria are presented in the planning phase, so bidders don’t have to guess about how their bids will be scored</w:t>
      </w:r>
      <w:r w:rsidR="001811E7" w:rsidRPr="00F6508F">
        <w:rPr>
          <w:color w:val="000000" w:themeColor="text1"/>
        </w:rPr>
        <w:t xml:space="preserve">. </w:t>
      </w:r>
      <w:r w:rsidRPr="00F6508F">
        <w:rPr>
          <w:color w:val="000000" w:themeColor="text1"/>
        </w:rPr>
        <w:t xml:space="preserve">All bidder questions are answered, and questions and answers are </w:t>
      </w:r>
      <w:r w:rsidR="00640F3C">
        <w:rPr>
          <w:color w:val="000000" w:themeColor="text1"/>
        </w:rPr>
        <w:t xml:space="preserve">publicly </w:t>
      </w:r>
      <w:r w:rsidRPr="00F6508F">
        <w:rPr>
          <w:color w:val="000000" w:themeColor="text1"/>
        </w:rPr>
        <w:t>posted. After bids are submitted, bidders are given opportunities to both revise their bids if found wanting, and to revise them to provide up to date pricing.</w:t>
      </w:r>
    </w:p>
    <w:p w14:paraId="29EADF58" w14:textId="77777777" w:rsidR="00CD0C18" w:rsidRPr="00F6508F" w:rsidRDefault="00CD0C18" w:rsidP="00E35E7F">
      <w:pPr>
        <w:pStyle w:val="Answer"/>
        <w:spacing w:before="0" w:after="0"/>
        <w:jc w:val="both"/>
        <w:rPr>
          <w:color w:val="000000" w:themeColor="text1"/>
        </w:rPr>
      </w:pPr>
    </w:p>
    <w:p w14:paraId="34C30982" w14:textId="77777777" w:rsidR="000376BC" w:rsidRPr="00F6508F" w:rsidRDefault="000376BC" w:rsidP="00E35E7F">
      <w:pPr>
        <w:pStyle w:val="Question"/>
        <w:jc w:val="both"/>
        <w:rPr>
          <w:color w:val="000000" w:themeColor="text1"/>
        </w:rPr>
      </w:pPr>
      <w:r w:rsidRPr="00F6508F">
        <w:rPr>
          <w:color w:val="000000" w:themeColor="text1"/>
        </w:rPr>
        <w:t>Q:</w:t>
      </w:r>
      <w:r w:rsidRPr="00F6508F">
        <w:rPr>
          <w:color w:val="000000" w:themeColor="text1"/>
        </w:rPr>
        <w:tab/>
        <w:t xml:space="preserve">WHAT ARE THE TRADEOFFS IN PLANNING AND PROCUREMENT? </w:t>
      </w:r>
    </w:p>
    <w:p w14:paraId="02873FD7" w14:textId="2349B467" w:rsidR="000376BC" w:rsidRPr="00640F3C" w:rsidRDefault="000376BC" w:rsidP="00640F3C">
      <w:pPr>
        <w:pStyle w:val="Answer"/>
        <w:spacing w:before="0" w:after="0"/>
        <w:jc w:val="both"/>
        <w:rPr>
          <w:color w:val="000000" w:themeColor="text1"/>
        </w:rPr>
      </w:pPr>
      <w:r w:rsidRPr="00F6508F">
        <w:rPr>
          <w:color w:val="000000" w:themeColor="text1"/>
        </w:rPr>
        <w:t>A:</w:t>
      </w:r>
      <w:r w:rsidRPr="00F6508F">
        <w:rPr>
          <w:color w:val="000000" w:themeColor="text1"/>
        </w:rPr>
        <w:tab/>
        <w:t xml:space="preserve">Another recent LBNL analysis provides good examples of how competing outcomes must be balanced to achieve the right formulation for planning and procurement that </w:t>
      </w:r>
      <w:r w:rsidRPr="00F6508F">
        <w:rPr>
          <w:color w:val="000000" w:themeColor="text1"/>
        </w:rPr>
        <w:lastRenderedPageBreak/>
        <w:t>meets needs in a variety of circumstances.</w:t>
      </w:r>
      <w:r w:rsidR="00640F3C" w:rsidRPr="00640F3C">
        <w:rPr>
          <w:color w:val="000000" w:themeColor="text1"/>
          <w:vertAlign w:val="superscript"/>
        </w:rPr>
        <w:t xml:space="preserve"> </w:t>
      </w:r>
      <w:r w:rsidR="00640F3C" w:rsidRPr="00F6508F">
        <w:rPr>
          <w:color w:val="000000" w:themeColor="text1"/>
          <w:vertAlign w:val="superscript"/>
        </w:rPr>
        <w:footnoteReference w:id="25"/>
      </w:r>
      <w:r w:rsidRPr="00F6508F">
        <w:rPr>
          <w:color w:val="000000" w:themeColor="text1"/>
        </w:rPr>
        <w:t xml:space="preserve"> The fact that tradeoffs need to be balanced is nothing new in regulation; but it should be kept in mind both when creating a planning and procurement regime and when adjusting it based on experience.</w:t>
      </w:r>
      <w:r w:rsidR="00640F3C">
        <w:rPr>
          <w:color w:val="000000" w:themeColor="text1"/>
        </w:rPr>
        <w:t xml:space="preserve"> </w:t>
      </w:r>
      <w:r w:rsidRPr="00F6508F">
        <w:rPr>
          <w:rFonts w:eastAsia="Times New Roman" w:cs="Times New Roman"/>
          <w:color w:val="000000" w:themeColor="text1"/>
          <w:szCs w:val="24"/>
        </w:rPr>
        <w:t>Here’s how the LBNL report characterizes some important tradeoffs:</w:t>
      </w:r>
    </w:p>
    <w:p w14:paraId="19A8CD29" w14:textId="77777777" w:rsidR="000376BC" w:rsidRPr="00F6508F" w:rsidRDefault="000376BC" w:rsidP="003A6CDA">
      <w:pPr>
        <w:spacing w:after="0"/>
        <w:ind w:left="0"/>
        <w:jc w:val="both"/>
        <w:rPr>
          <w:rFonts w:eastAsia="Times New Roman" w:cs="Times New Roman"/>
          <w:color w:val="000000" w:themeColor="text1"/>
          <w:szCs w:val="24"/>
        </w:rPr>
      </w:pPr>
    </w:p>
    <w:p w14:paraId="4EAA60E6" w14:textId="06DBF822" w:rsidR="0010707C" w:rsidRPr="00EE4E0C" w:rsidRDefault="000376BC" w:rsidP="008B7090">
      <w:pPr>
        <w:pStyle w:val="ListParagraph"/>
        <w:numPr>
          <w:ilvl w:val="1"/>
          <w:numId w:val="31"/>
        </w:numPr>
        <w:pBdr>
          <w:top w:val="nil"/>
          <w:left w:val="nil"/>
          <w:bottom w:val="nil"/>
          <w:right w:val="nil"/>
          <w:between w:val="nil"/>
        </w:pBdr>
        <w:spacing w:after="0"/>
        <w:jc w:val="both"/>
        <w:rPr>
          <w:rFonts w:eastAsia="Times New Roman" w:cs="Times New Roman"/>
          <w:color w:val="000000" w:themeColor="text1"/>
          <w:szCs w:val="24"/>
        </w:rPr>
      </w:pPr>
      <w:r w:rsidRPr="00EE4E0C">
        <w:rPr>
          <w:rFonts w:eastAsia="Times New Roman" w:cs="Times New Roman"/>
          <w:b/>
          <w:bCs/>
          <w:color w:val="000000" w:themeColor="text1"/>
          <w:szCs w:val="24"/>
        </w:rPr>
        <w:t>Regulatory prescriptiveness versus utility flexibility.</w:t>
      </w:r>
      <w:r w:rsidRPr="00EE4E0C">
        <w:rPr>
          <w:rFonts w:eastAsia="Times New Roman" w:cs="Times New Roman"/>
          <w:color w:val="000000" w:themeColor="text1"/>
          <w:szCs w:val="24"/>
        </w:rPr>
        <w:t xml:space="preserve"> More prescriptive rules on how utilities should design and implement competitive solicitations can assuage concerns over utility self-dealing or utilities’ incentives to manage costs but may limit utilities’ flexibility to find low-cost, low-risk, high-value solutions. More prescriptive requirements on how winning bids are treated can increase developer </w:t>
      </w:r>
      <w:r w:rsidR="00CD0C18" w:rsidRPr="00EE4E0C">
        <w:rPr>
          <w:rFonts w:eastAsia="Times New Roman" w:cs="Times New Roman"/>
          <w:color w:val="000000" w:themeColor="text1"/>
          <w:szCs w:val="24"/>
        </w:rPr>
        <w:t>confidence but</w:t>
      </w:r>
      <w:r w:rsidRPr="00EE4E0C">
        <w:rPr>
          <w:rFonts w:eastAsia="Times New Roman" w:cs="Times New Roman"/>
          <w:color w:val="000000" w:themeColor="text1"/>
          <w:szCs w:val="24"/>
        </w:rPr>
        <w:t xml:space="preserve"> may not provide sufficient flexibility to course-correct if issues arise during contracting.</w:t>
      </w:r>
    </w:p>
    <w:p w14:paraId="76D3FBF1" w14:textId="65BB24AC" w:rsidR="000376BC" w:rsidRPr="00EE4E0C" w:rsidRDefault="000376BC" w:rsidP="008B7090">
      <w:pPr>
        <w:pStyle w:val="ListParagraph"/>
        <w:numPr>
          <w:ilvl w:val="1"/>
          <w:numId w:val="31"/>
        </w:numPr>
        <w:pBdr>
          <w:top w:val="nil"/>
          <w:left w:val="nil"/>
          <w:bottom w:val="nil"/>
          <w:right w:val="nil"/>
          <w:between w:val="nil"/>
        </w:pBdr>
        <w:spacing w:after="0"/>
        <w:jc w:val="both"/>
        <w:rPr>
          <w:rFonts w:eastAsia="Times New Roman" w:cs="Times New Roman"/>
          <w:b/>
          <w:bCs/>
          <w:color w:val="000000" w:themeColor="text1"/>
          <w:szCs w:val="24"/>
        </w:rPr>
      </w:pPr>
      <w:r w:rsidRPr="00CD0C18">
        <w:rPr>
          <w:rFonts w:eastAsia="Times New Roman" w:cs="Times New Roman"/>
          <w:b/>
          <w:bCs/>
          <w:color w:val="000000" w:themeColor="text1"/>
          <w:szCs w:val="24"/>
        </w:rPr>
        <w:t>More versus less transparent process for stakeholders.</w:t>
      </w:r>
      <w:r w:rsidRPr="00EE4E0C">
        <w:rPr>
          <w:rFonts w:eastAsia="Times New Roman" w:cs="Times New Roman"/>
          <w:b/>
          <w:bCs/>
          <w:color w:val="000000" w:themeColor="text1"/>
          <w:szCs w:val="24"/>
        </w:rPr>
        <w:t xml:space="preserve"> </w:t>
      </w:r>
      <w:r w:rsidRPr="00EE4E0C">
        <w:rPr>
          <w:rFonts w:eastAsia="Times New Roman" w:cs="Times New Roman"/>
          <w:color w:val="000000" w:themeColor="text1"/>
          <w:szCs w:val="24"/>
        </w:rPr>
        <w:t>Enabling stakeholders to review RFP documents, evaluation methods, and selection results may improve the integrity of the process and increase buy-in for the results but may slow the process and create concerns over the confidentiality of bidders’ and utilities’ commercially sensitive information.</w:t>
      </w:r>
    </w:p>
    <w:p w14:paraId="53E6C9B6" w14:textId="5E65AFD4" w:rsidR="000376BC" w:rsidRPr="00EE4E0C" w:rsidRDefault="000376BC" w:rsidP="008B7090">
      <w:pPr>
        <w:pStyle w:val="ListParagraph"/>
        <w:numPr>
          <w:ilvl w:val="1"/>
          <w:numId w:val="31"/>
        </w:numPr>
        <w:pBdr>
          <w:top w:val="nil"/>
          <w:left w:val="nil"/>
          <w:bottom w:val="nil"/>
          <w:right w:val="nil"/>
          <w:between w:val="nil"/>
        </w:pBdr>
        <w:spacing w:after="0"/>
        <w:jc w:val="both"/>
        <w:rPr>
          <w:rFonts w:eastAsia="Times New Roman" w:cs="Times New Roman"/>
          <w:b/>
          <w:bCs/>
          <w:color w:val="000000" w:themeColor="text1"/>
          <w:szCs w:val="24"/>
        </w:rPr>
      </w:pPr>
      <w:r w:rsidRPr="00CD0C18">
        <w:rPr>
          <w:rFonts w:eastAsia="Times New Roman" w:cs="Times New Roman"/>
          <w:b/>
          <w:bCs/>
          <w:color w:val="000000" w:themeColor="text1"/>
          <w:szCs w:val="24"/>
        </w:rPr>
        <w:t>More versus less information on evaluation criteria and methods revealed to bidders.</w:t>
      </w:r>
      <w:r w:rsidRPr="00EE4E0C">
        <w:rPr>
          <w:rFonts w:eastAsia="Times New Roman" w:cs="Times New Roman"/>
          <w:b/>
          <w:bCs/>
          <w:color w:val="000000" w:themeColor="text1"/>
          <w:szCs w:val="24"/>
        </w:rPr>
        <w:t xml:space="preserve"> </w:t>
      </w:r>
      <w:r w:rsidRPr="00EE4E0C">
        <w:rPr>
          <w:rFonts w:eastAsia="Times New Roman" w:cs="Times New Roman"/>
          <w:color w:val="000000" w:themeColor="text1"/>
          <w:szCs w:val="24"/>
        </w:rPr>
        <w:t xml:space="preserve">Providing more information to bidders on evaluation methods and criteria increases transparency, the likelihood of suitable bids, and fairness but reduces the utility’s discretion in evaluating bids and increases the chances that </w:t>
      </w:r>
      <w:r w:rsidRPr="00EE4E0C">
        <w:rPr>
          <w:rFonts w:eastAsia="Times New Roman" w:cs="Times New Roman"/>
          <w:color w:val="000000" w:themeColor="text1"/>
          <w:szCs w:val="24"/>
        </w:rPr>
        <w:lastRenderedPageBreak/>
        <w:t>bidders will focus on maximizing their scores rather than developing innovative projects.</w:t>
      </w:r>
    </w:p>
    <w:p w14:paraId="6BCC74E9" w14:textId="6CCFC5D6" w:rsidR="001A48FF" w:rsidRPr="00EE4E0C" w:rsidRDefault="000376BC" w:rsidP="008B7090">
      <w:pPr>
        <w:pStyle w:val="ListParagraph"/>
        <w:numPr>
          <w:ilvl w:val="1"/>
          <w:numId w:val="31"/>
        </w:numPr>
        <w:pBdr>
          <w:top w:val="nil"/>
          <w:left w:val="nil"/>
          <w:bottom w:val="nil"/>
          <w:right w:val="nil"/>
          <w:between w:val="nil"/>
        </w:pBdr>
        <w:spacing w:after="0"/>
        <w:jc w:val="both"/>
        <w:rPr>
          <w:rFonts w:eastAsia="Times New Roman" w:cs="Times New Roman"/>
          <w:b/>
          <w:bCs/>
          <w:color w:val="000000" w:themeColor="text1"/>
          <w:szCs w:val="24"/>
        </w:rPr>
      </w:pPr>
      <w:r w:rsidRPr="00CD0C18">
        <w:rPr>
          <w:rFonts w:eastAsia="Times New Roman" w:cs="Times New Roman"/>
          <w:b/>
          <w:bCs/>
          <w:color w:val="000000" w:themeColor="text1"/>
          <w:szCs w:val="24"/>
        </w:rPr>
        <w:t>Longer versus shorter solicitation timeline.</w:t>
      </w:r>
      <w:r w:rsidRPr="00EE4E0C">
        <w:rPr>
          <w:rFonts w:eastAsia="Times New Roman" w:cs="Times New Roman"/>
          <w:b/>
          <w:bCs/>
          <w:color w:val="000000" w:themeColor="text1"/>
          <w:szCs w:val="24"/>
        </w:rPr>
        <w:t xml:space="preserve"> </w:t>
      </w:r>
      <w:r w:rsidRPr="00EE4E0C">
        <w:rPr>
          <w:rFonts w:eastAsia="Times New Roman" w:cs="Times New Roman"/>
          <w:color w:val="000000" w:themeColor="text1"/>
          <w:szCs w:val="24"/>
        </w:rPr>
        <w:t>A longer timeline allows more time for bidders to develop projects, for utilities to evaluate bids, and for regulatory review. But it increases solicitation costs and increases risks for developers (which have to maintain the validity of their bids throughout the process) and utilities (which may have near-term resource needs).</w:t>
      </w:r>
    </w:p>
    <w:p w14:paraId="267C023D" w14:textId="77777777" w:rsidR="000376BC" w:rsidRPr="00EE4E0C" w:rsidRDefault="000376BC" w:rsidP="008B7090">
      <w:pPr>
        <w:pStyle w:val="ListParagraph"/>
        <w:numPr>
          <w:ilvl w:val="1"/>
          <w:numId w:val="31"/>
        </w:numPr>
        <w:pBdr>
          <w:top w:val="nil"/>
          <w:left w:val="nil"/>
          <w:bottom w:val="nil"/>
          <w:right w:val="nil"/>
          <w:between w:val="nil"/>
        </w:pBdr>
        <w:spacing w:after="0"/>
        <w:jc w:val="both"/>
        <w:rPr>
          <w:rFonts w:eastAsia="Times New Roman" w:cs="Times New Roman"/>
          <w:b/>
          <w:bCs/>
          <w:color w:val="000000" w:themeColor="text1"/>
          <w:szCs w:val="24"/>
        </w:rPr>
      </w:pPr>
      <w:r w:rsidRPr="00CD0C18">
        <w:rPr>
          <w:rFonts w:eastAsia="Times New Roman" w:cs="Times New Roman"/>
          <w:b/>
          <w:bCs/>
          <w:color w:val="000000" w:themeColor="text1"/>
          <w:szCs w:val="24"/>
        </w:rPr>
        <w:t>Stricter versus more relaxed bidder requirements.</w:t>
      </w:r>
      <w:r w:rsidRPr="00EE4E0C">
        <w:rPr>
          <w:rFonts w:eastAsia="Times New Roman" w:cs="Times New Roman"/>
          <w:b/>
          <w:bCs/>
          <w:color w:val="000000" w:themeColor="text1"/>
          <w:szCs w:val="24"/>
        </w:rPr>
        <w:t xml:space="preserve"> </w:t>
      </w:r>
      <w:r w:rsidRPr="00EE4E0C">
        <w:rPr>
          <w:rFonts w:eastAsia="Times New Roman" w:cs="Times New Roman"/>
          <w:color w:val="000000" w:themeColor="text1"/>
          <w:szCs w:val="24"/>
        </w:rPr>
        <w:t>More relaxed requirements may encourage greater participation and competition, but lower bidder eligibility. Collateral requirements increase risks for utilities, which may not be able to pass on to customers the costs of construction delays or operational under-performance. Ratepayers may be forced to absorb the cost of failed projects. Failed projects may decrease confidence by stakeholders in the solicitation process. Stricter requirements may favor more traditional, well-capitalized firms and incumbents.</w:t>
      </w:r>
    </w:p>
    <w:p w14:paraId="7E6EA8EF" w14:textId="77777777" w:rsidR="000376BC" w:rsidRPr="00F6508F" w:rsidRDefault="000376BC" w:rsidP="00CD0C18">
      <w:pPr>
        <w:pBdr>
          <w:top w:val="nil"/>
          <w:left w:val="nil"/>
          <w:bottom w:val="nil"/>
          <w:right w:val="nil"/>
          <w:between w:val="nil"/>
        </w:pBdr>
        <w:spacing w:after="0"/>
        <w:jc w:val="both"/>
        <w:rPr>
          <w:rFonts w:eastAsia="Times New Roman" w:cs="Times New Roman"/>
          <w:color w:val="000000" w:themeColor="text1"/>
          <w:szCs w:val="24"/>
        </w:rPr>
      </w:pPr>
    </w:p>
    <w:p w14:paraId="7653E3AA" w14:textId="77777777" w:rsidR="000376BC" w:rsidRPr="00F6508F" w:rsidRDefault="000376BC" w:rsidP="001A48FF">
      <w:pPr>
        <w:keepNext/>
        <w:keepLines/>
        <w:pBdr>
          <w:top w:val="nil"/>
          <w:left w:val="nil"/>
          <w:bottom w:val="nil"/>
          <w:right w:val="nil"/>
          <w:between w:val="nil"/>
        </w:pBdr>
        <w:tabs>
          <w:tab w:val="left" w:pos="4320"/>
          <w:tab w:val="left" w:pos="6480"/>
          <w:tab w:val="left" w:pos="8639"/>
        </w:tabs>
        <w:spacing w:after="0"/>
        <w:ind w:hanging="720"/>
        <w:jc w:val="both"/>
        <w:rPr>
          <w:rFonts w:eastAsia="Times New Roman" w:cs="Times New Roman"/>
          <w:b/>
          <w:smallCaps/>
          <w:color w:val="000000" w:themeColor="text1"/>
          <w:szCs w:val="24"/>
        </w:rPr>
      </w:pPr>
      <w:r w:rsidRPr="00F6508F">
        <w:rPr>
          <w:rFonts w:eastAsia="Times New Roman" w:cs="Times New Roman"/>
          <w:b/>
          <w:smallCaps/>
          <w:color w:val="000000" w:themeColor="text1"/>
          <w:szCs w:val="24"/>
        </w:rPr>
        <w:t>Q:</w:t>
      </w:r>
      <w:r w:rsidRPr="00F6508F">
        <w:rPr>
          <w:rFonts w:eastAsia="Times New Roman" w:cs="Times New Roman"/>
          <w:b/>
          <w:smallCaps/>
          <w:color w:val="000000" w:themeColor="text1"/>
          <w:szCs w:val="24"/>
        </w:rPr>
        <w:tab/>
        <w:t>HOW CAN UTILITY INCENTIVES IMPACT COMPETITIVE ACQUISITION?</w:t>
      </w:r>
    </w:p>
    <w:p w14:paraId="0B51E0EE" w14:textId="009B1644" w:rsidR="000376BC" w:rsidRPr="00F6508F" w:rsidRDefault="001A48FF" w:rsidP="001A48FF">
      <w:pPr>
        <w:spacing w:after="0"/>
        <w:ind w:hanging="720"/>
        <w:jc w:val="both"/>
        <w:rPr>
          <w:color w:val="000000" w:themeColor="text1"/>
        </w:rPr>
      </w:pPr>
      <w:r>
        <w:rPr>
          <w:color w:val="000000" w:themeColor="text1"/>
        </w:rPr>
        <w:t>A:</w:t>
      </w:r>
      <w:r>
        <w:rPr>
          <w:color w:val="000000" w:themeColor="text1"/>
        </w:rPr>
        <w:tab/>
      </w:r>
      <w:r w:rsidR="000376BC" w:rsidRPr="00F6508F">
        <w:rPr>
          <w:color w:val="000000" w:themeColor="text1"/>
        </w:rPr>
        <w:t xml:space="preserve">To achieve competitive outcomes in the electric sector, where utilities have near monopolies on sale of electricity, commissions must recognize that this monopoly status also means that utilities are also effectively the only buyers of power as well. Simply put, independent power sellers have nowhere else to go. For this reason, utilities have certain understandable incentives to discriminate against suppliers in favor of their own resource projects, especially when they or their holding company earn a profit on their investment </w:t>
      </w:r>
      <w:r w:rsidR="000376BC" w:rsidRPr="00F6508F">
        <w:rPr>
          <w:color w:val="000000" w:themeColor="text1"/>
        </w:rPr>
        <w:lastRenderedPageBreak/>
        <w:t>in projects they own. The expression of these incentives can take many forms, including withholding information, unbalanced allocations of risks to suppliers, demands for financial guarantees, liability and indemnification requirements, unfair timeframes for performance, non-</w:t>
      </w:r>
      <w:r w:rsidR="00CD0C18" w:rsidRPr="00F6508F">
        <w:rPr>
          <w:color w:val="000000" w:themeColor="text1"/>
        </w:rPr>
        <w:t>disclosure,</w:t>
      </w:r>
      <w:r w:rsidR="000376BC" w:rsidRPr="00F6508F">
        <w:rPr>
          <w:color w:val="000000" w:themeColor="text1"/>
        </w:rPr>
        <w:t xml:space="preserve"> and confidentiality regimes, </w:t>
      </w:r>
      <w:r w:rsidR="002722D1">
        <w:rPr>
          <w:color w:val="000000" w:themeColor="text1"/>
        </w:rPr>
        <w:t>as well as</w:t>
      </w:r>
      <w:r w:rsidR="000376BC" w:rsidRPr="00F6508F">
        <w:rPr>
          <w:color w:val="000000" w:themeColor="text1"/>
        </w:rPr>
        <w:t xml:space="preserve"> vague or unstated evaluation criteria.</w:t>
      </w:r>
    </w:p>
    <w:p w14:paraId="5F2EBACA" w14:textId="77777777" w:rsidR="000376BC" w:rsidRPr="00F6508F" w:rsidRDefault="000376BC" w:rsidP="001A48FF">
      <w:pPr>
        <w:pBdr>
          <w:top w:val="nil"/>
          <w:left w:val="nil"/>
          <w:bottom w:val="nil"/>
          <w:right w:val="nil"/>
          <w:between w:val="nil"/>
        </w:pBdr>
        <w:spacing w:after="0"/>
        <w:jc w:val="both"/>
        <w:rPr>
          <w:rFonts w:eastAsia="Times New Roman" w:cs="Times New Roman"/>
          <w:color w:val="000000" w:themeColor="text1"/>
          <w:szCs w:val="24"/>
        </w:rPr>
      </w:pPr>
      <w:r w:rsidRPr="00F6508F">
        <w:rPr>
          <w:rFonts w:eastAsia="Times New Roman" w:cs="Times New Roman"/>
          <w:color w:val="000000" w:themeColor="text1"/>
          <w:szCs w:val="24"/>
        </w:rPr>
        <w:t>When a utility’s allowed revenues are defined by Cost + Return on Rate Base, the utility has the understandable desire to see its Rate Base grow, because that is the main way it can increase earnings. This incentive creates what is called a “capex bias” inherent in rate base/rate of return regulation. This reliance on rate base growth for earnings growth leads to some challenges for regulators that include:</w:t>
      </w:r>
    </w:p>
    <w:p w14:paraId="1EC0B74B" w14:textId="7F5FA07B" w:rsidR="000376BC" w:rsidRPr="00AD3C75" w:rsidRDefault="000376BC" w:rsidP="00AD3C75">
      <w:pPr>
        <w:pStyle w:val="ListParagraph"/>
        <w:numPr>
          <w:ilvl w:val="0"/>
          <w:numId w:val="29"/>
        </w:numPr>
        <w:pBdr>
          <w:top w:val="nil"/>
          <w:left w:val="nil"/>
          <w:bottom w:val="nil"/>
          <w:right w:val="nil"/>
          <w:between w:val="nil"/>
        </w:pBdr>
        <w:spacing w:after="0"/>
        <w:jc w:val="both"/>
        <w:rPr>
          <w:rFonts w:eastAsia="Times New Roman" w:cs="Times New Roman"/>
          <w:color w:val="000000" w:themeColor="text1"/>
          <w:szCs w:val="24"/>
        </w:rPr>
      </w:pPr>
      <w:r w:rsidRPr="00AD3C75">
        <w:rPr>
          <w:rFonts w:eastAsia="Times New Roman" w:cs="Times New Roman"/>
          <w:color w:val="000000" w:themeColor="text1"/>
          <w:szCs w:val="24"/>
        </w:rPr>
        <w:t xml:space="preserve">The Averch-Johnson </w:t>
      </w:r>
      <w:r w:rsidR="00FC037F">
        <w:rPr>
          <w:rFonts w:eastAsia="Times New Roman" w:cs="Times New Roman"/>
          <w:color w:val="000000" w:themeColor="text1"/>
          <w:szCs w:val="24"/>
        </w:rPr>
        <w:t>E</w:t>
      </w:r>
      <w:r w:rsidRPr="00AD3C75">
        <w:rPr>
          <w:rFonts w:eastAsia="Times New Roman" w:cs="Times New Roman"/>
          <w:color w:val="000000" w:themeColor="text1"/>
          <w:szCs w:val="24"/>
        </w:rPr>
        <w:t>ffect</w:t>
      </w:r>
      <w:r w:rsidR="006672BB" w:rsidRPr="00F6508F">
        <w:rPr>
          <w:rStyle w:val="FootnoteReference"/>
          <w:rFonts w:eastAsia="Times New Roman" w:cs="Times New Roman"/>
          <w:color w:val="000000" w:themeColor="text1"/>
          <w:szCs w:val="24"/>
        </w:rPr>
        <w:footnoteReference w:id="26"/>
      </w:r>
      <w:r w:rsidRPr="00AD3C75">
        <w:rPr>
          <w:rFonts w:eastAsia="Times New Roman" w:cs="Times New Roman"/>
          <w:color w:val="000000" w:themeColor="text1"/>
          <w:szCs w:val="24"/>
        </w:rPr>
        <w:t xml:space="preserve"> – overuse of capital and underuse of labor;</w:t>
      </w:r>
    </w:p>
    <w:p w14:paraId="62447EE7" w14:textId="77777777" w:rsidR="000376BC" w:rsidRPr="00AD3C75" w:rsidRDefault="000376BC" w:rsidP="00AD3C75">
      <w:pPr>
        <w:pStyle w:val="ListParagraph"/>
        <w:numPr>
          <w:ilvl w:val="0"/>
          <w:numId w:val="29"/>
        </w:numPr>
        <w:pBdr>
          <w:top w:val="nil"/>
          <w:left w:val="nil"/>
          <w:bottom w:val="nil"/>
          <w:right w:val="nil"/>
          <w:between w:val="nil"/>
        </w:pBdr>
        <w:spacing w:after="0"/>
        <w:jc w:val="both"/>
        <w:rPr>
          <w:rFonts w:eastAsia="Times New Roman" w:cs="Times New Roman"/>
          <w:color w:val="000000" w:themeColor="text1"/>
          <w:szCs w:val="24"/>
        </w:rPr>
      </w:pPr>
      <w:r w:rsidRPr="00AD3C75">
        <w:rPr>
          <w:rFonts w:eastAsia="Times New Roman" w:cs="Times New Roman"/>
          <w:color w:val="000000" w:themeColor="text1"/>
          <w:szCs w:val="24"/>
        </w:rPr>
        <w:t>An “in-house” bias – a preference for utility-owned solutions in contrast to services provided by others, even when lower cost; and</w:t>
      </w:r>
    </w:p>
    <w:p w14:paraId="78C548C5" w14:textId="77777777" w:rsidR="000376BC" w:rsidRPr="00AD3C75" w:rsidRDefault="000376BC" w:rsidP="00AD3C75">
      <w:pPr>
        <w:pStyle w:val="ListParagraph"/>
        <w:numPr>
          <w:ilvl w:val="0"/>
          <w:numId w:val="29"/>
        </w:numPr>
        <w:pBdr>
          <w:top w:val="nil"/>
          <w:left w:val="nil"/>
          <w:bottom w:val="nil"/>
          <w:right w:val="nil"/>
          <w:between w:val="nil"/>
        </w:pBdr>
        <w:spacing w:after="0"/>
        <w:jc w:val="both"/>
        <w:rPr>
          <w:rFonts w:eastAsia="Times New Roman" w:cs="Times New Roman"/>
          <w:color w:val="000000" w:themeColor="text1"/>
          <w:szCs w:val="24"/>
        </w:rPr>
      </w:pPr>
      <w:r w:rsidRPr="00AD3C75">
        <w:rPr>
          <w:rFonts w:eastAsia="Times New Roman" w:cs="Times New Roman"/>
          <w:color w:val="000000" w:themeColor="text1"/>
          <w:szCs w:val="24"/>
        </w:rPr>
        <w:t>Aversion to embracing DERs and “non-wires alternatives” that are not utility owned.</w:t>
      </w:r>
    </w:p>
    <w:p w14:paraId="43859A23" w14:textId="295DA71C" w:rsidR="000376BC" w:rsidRPr="005755C4" w:rsidRDefault="00F4063F" w:rsidP="005755C4">
      <w:pPr>
        <w:pBdr>
          <w:top w:val="nil"/>
          <w:left w:val="nil"/>
          <w:bottom w:val="nil"/>
          <w:right w:val="nil"/>
          <w:between w:val="nil"/>
        </w:pBdr>
        <w:spacing w:after="0"/>
        <w:jc w:val="both"/>
        <w:rPr>
          <w:rFonts w:eastAsia="Times New Roman" w:cs="Times New Roman"/>
          <w:color w:val="000000" w:themeColor="text1"/>
          <w:szCs w:val="24"/>
        </w:rPr>
      </w:pPr>
      <w:r w:rsidRPr="005755C4">
        <w:rPr>
          <w:rFonts w:eastAsia="Times New Roman" w:cs="Times New Roman"/>
          <w:color w:val="000000" w:themeColor="text1"/>
          <w:szCs w:val="24"/>
        </w:rPr>
        <w:t>Of course</w:t>
      </w:r>
      <w:r w:rsidR="000376BC" w:rsidRPr="005755C4">
        <w:rPr>
          <w:rFonts w:eastAsia="Times New Roman" w:cs="Times New Roman"/>
          <w:color w:val="000000" w:themeColor="text1"/>
          <w:szCs w:val="24"/>
        </w:rPr>
        <w:t>, these considerations have important implications for the design of an effective</w:t>
      </w:r>
      <w:r w:rsidR="00CD0C18" w:rsidRPr="005755C4">
        <w:rPr>
          <w:rFonts w:eastAsia="Times New Roman" w:cs="Times New Roman"/>
          <w:color w:val="000000" w:themeColor="text1"/>
          <w:szCs w:val="24"/>
        </w:rPr>
        <w:t xml:space="preserve"> </w:t>
      </w:r>
      <w:r w:rsidR="000376BC" w:rsidRPr="005755C4">
        <w:rPr>
          <w:rFonts w:eastAsia="Times New Roman" w:cs="Times New Roman"/>
          <w:color w:val="000000" w:themeColor="text1"/>
          <w:szCs w:val="24"/>
        </w:rPr>
        <w:t>competitive bidding regime.</w:t>
      </w:r>
    </w:p>
    <w:p w14:paraId="77771232" w14:textId="77777777" w:rsidR="000376BC" w:rsidRPr="00F6508F" w:rsidRDefault="000376BC" w:rsidP="003A6CDA">
      <w:pPr>
        <w:pBdr>
          <w:top w:val="nil"/>
          <w:left w:val="nil"/>
          <w:bottom w:val="nil"/>
          <w:right w:val="nil"/>
          <w:between w:val="nil"/>
        </w:pBdr>
        <w:spacing w:after="0"/>
        <w:ind w:left="0"/>
        <w:jc w:val="both"/>
        <w:rPr>
          <w:rFonts w:eastAsia="Times New Roman" w:cs="Times New Roman"/>
          <w:color w:val="000000" w:themeColor="text1"/>
          <w:szCs w:val="24"/>
        </w:rPr>
      </w:pPr>
    </w:p>
    <w:p w14:paraId="2E01EE11" w14:textId="77777777" w:rsidR="000376BC" w:rsidRPr="00F6508F" w:rsidRDefault="000376BC" w:rsidP="00CD0C18">
      <w:pPr>
        <w:keepNext/>
        <w:keepLines/>
        <w:pBdr>
          <w:top w:val="nil"/>
          <w:left w:val="nil"/>
          <w:bottom w:val="nil"/>
          <w:right w:val="nil"/>
          <w:between w:val="nil"/>
        </w:pBdr>
        <w:tabs>
          <w:tab w:val="left" w:pos="4320"/>
          <w:tab w:val="left" w:pos="6480"/>
          <w:tab w:val="left" w:pos="8639"/>
        </w:tabs>
        <w:spacing w:after="0"/>
        <w:ind w:hanging="720"/>
        <w:jc w:val="both"/>
        <w:rPr>
          <w:rFonts w:eastAsia="Times New Roman" w:cs="Times New Roman"/>
          <w:b/>
          <w:smallCaps/>
          <w:color w:val="000000" w:themeColor="text1"/>
          <w:szCs w:val="24"/>
        </w:rPr>
      </w:pPr>
      <w:r w:rsidRPr="00F6508F">
        <w:rPr>
          <w:rFonts w:eastAsia="Times New Roman" w:cs="Times New Roman"/>
          <w:b/>
          <w:smallCaps/>
          <w:color w:val="000000" w:themeColor="text1"/>
          <w:szCs w:val="24"/>
        </w:rPr>
        <w:lastRenderedPageBreak/>
        <w:t>Q:</w:t>
      </w:r>
      <w:r w:rsidRPr="00F6508F">
        <w:rPr>
          <w:rFonts w:eastAsia="Times New Roman" w:cs="Times New Roman"/>
          <w:b/>
          <w:smallCaps/>
          <w:color w:val="000000" w:themeColor="text1"/>
          <w:szCs w:val="24"/>
        </w:rPr>
        <w:tab/>
        <w:t xml:space="preserve">WITH COSTS AND OTHER RESOURCE PROJECT FACTORS CHANGING RAPIDLY, HOW CAN REGULATORS AND AN EXTENSIVE PLANNING PROCESS COUPLED WITH COMPETITIVE PROCUREMENT KEEP PACE? </w:t>
      </w:r>
    </w:p>
    <w:p w14:paraId="1B16DD37" w14:textId="33AECF3A" w:rsidR="000376BC" w:rsidRPr="00F6508F" w:rsidRDefault="000376BC" w:rsidP="00CD0C18">
      <w:pPr>
        <w:pStyle w:val="Answer"/>
        <w:spacing w:before="0" w:after="0"/>
        <w:jc w:val="both"/>
        <w:rPr>
          <w:color w:val="000000" w:themeColor="text1"/>
        </w:rPr>
      </w:pPr>
      <w:r w:rsidRPr="00F6508F">
        <w:rPr>
          <w:color w:val="000000" w:themeColor="text1"/>
        </w:rPr>
        <w:t xml:space="preserve">A: </w:t>
      </w:r>
      <w:r w:rsidRPr="00F6508F">
        <w:rPr>
          <w:color w:val="000000" w:themeColor="text1"/>
        </w:rPr>
        <w:tab/>
        <w:t xml:space="preserve">Timing is a challenge for a competitive resource planning and procurement process that allows full due process rights to intervenors in contested hearings. Bidders face complex business and financing problems to construct their bids and maintain their proposed pricing and other terms during the pendency of a complex regulatory process. Those challenges have to be balanced against the outcomes of a thorough regulatory process, both lots of bids and low prices and resulting portfolio diversity. In Colorado, it has been challenging to maintain strict procedural time limits, as advocates for intervening parties can be creative in their quest for more time to perfect their cases. A </w:t>
      </w:r>
      <w:r w:rsidR="00C627CB">
        <w:rPr>
          <w:color w:val="000000" w:themeColor="text1"/>
        </w:rPr>
        <w:t>C</w:t>
      </w:r>
      <w:r w:rsidRPr="00F6508F">
        <w:rPr>
          <w:color w:val="000000" w:themeColor="text1"/>
        </w:rPr>
        <w:t>ommission policy of “all the due process that’s available in the given time” would help to curtail enthusiasm for extending timeframes. The effect of the timeframe can be partly ameliorated if bidders are given opportunities to both cure bids found to be non-compliant with required terms and to refresh short-listed bids to reflect changing (and usually improving) project economics.</w:t>
      </w:r>
    </w:p>
    <w:p w14:paraId="5731550E" w14:textId="77777777" w:rsidR="000376BC" w:rsidRPr="00F6508F" w:rsidRDefault="000376BC" w:rsidP="003A6CDA">
      <w:pPr>
        <w:pBdr>
          <w:top w:val="nil"/>
          <w:left w:val="nil"/>
          <w:bottom w:val="nil"/>
          <w:right w:val="nil"/>
          <w:between w:val="nil"/>
        </w:pBdr>
        <w:spacing w:after="0"/>
        <w:ind w:left="0" w:hanging="720"/>
        <w:jc w:val="both"/>
        <w:rPr>
          <w:rFonts w:eastAsia="Times New Roman" w:cs="Times New Roman"/>
          <w:color w:val="000000" w:themeColor="text1"/>
          <w:szCs w:val="24"/>
        </w:rPr>
      </w:pPr>
    </w:p>
    <w:p w14:paraId="1A98DE45" w14:textId="77777777" w:rsidR="000376BC" w:rsidRPr="00F6508F" w:rsidRDefault="000376BC" w:rsidP="00CD0C18">
      <w:pPr>
        <w:keepNext/>
        <w:keepLines/>
        <w:pBdr>
          <w:top w:val="nil"/>
          <w:left w:val="nil"/>
          <w:bottom w:val="nil"/>
          <w:right w:val="nil"/>
          <w:between w:val="nil"/>
        </w:pBdr>
        <w:tabs>
          <w:tab w:val="left" w:pos="4320"/>
          <w:tab w:val="left" w:pos="6480"/>
          <w:tab w:val="left" w:pos="8639"/>
        </w:tabs>
        <w:spacing w:after="0"/>
        <w:ind w:hanging="720"/>
        <w:jc w:val="both"/>
        <w:rPr>
          <w:rFonts w:eastAsia="Times New Roman" w:cs="Times New Roman"/>
          <w:b/>
          <w:smallCaps/>
          <w:color w:val="000000" w:themeColor="text1"/>
          <w:szCs w:val="24"/>
        </w:rPr>
      </w:pPr>
      <w:r w:rsidRPr="00F6508F">
        <w:rPr>
          <w:rFonts w:eastAsia="Times New Roman" w:cs="Times New Roman"/>
          <w:b/>
          <w:smallCaps/>
          <w:color w:val="000000" w:themeColor="text1"/>
          <w:szCs w:val="24"/>
        </w:rPr>
        <w:t xml:space="preserve">Q: </w:t>
      </w:r>
      <w:r w:rsidRPr="00F6508F">
        <w:rPr>
          <w:rFonts w:eastAsia="Times New Roman" w:cs="Times New Roman"/>
          <w:b/>
          <w:smallCaps/>
          <w:color w:val="000000" w:themeColor="text1"/>
          <w:szCs w:val="24"/>
        </w:rPr>
        <w:tab/>
        <w:t xml:space="preserve"> WHAT’S THE PATTERN IN COLORADO FOR IMPROVING THE PROCESS?</w:t>
      </w:r>
    </w:p>
    <w:p w14:paraId="7593AAEB" w14:textId="553DFA0A" w:rsidR="000376BC" w:rsidRPr="00F6508F" w:rsidRDefault="000376BC" w:rsidP="00CD0C18">
      <w:pPr>
        <w:pBdr>
          <w:top w:val="nil"/>
          <w:left w:val="nil"/>
          <w:bottom w:val="nil"/>
          <w:right w:val="nil"/>
          <w:between w:val="nil"/>
        </w:pBdr>
        <w:spacing w:after="0"/>
        <w:ind w:hanging="720"/>
        <w:jc w:val="both"/>
        <w:rPr>
          <w:rFonts w:eastAsia="Times New Roman" w:cs="Times New Roman"/>
          <w:color w:val="000000" w:themeColor="text1"/>
          <w:szCs w:val="24"/>
        </w:rPr>
      </w:pPr>
      <w:r w:rsidRPr="00F6508F">
        <w:rPr>
          <w:rFonts w:eastAsia="Times New Roman" w:cs="Times New Roman"/>
          <w:color w:val="000000" w:themeColor="text1"/>
          <w:szCs w:val="24"/>
        </w:rPr>
        <w:t xml:space="preserve">A: </w:t>
      </w:r>
      <w:r w:rsidRPr="00F6508F">
        <w:rPr>
          <w:rFonts w:eastAsia="Times New Roman" w:cs="Times New Roman"/>
          <w:color w:val="000000" w:themeColor="text1"/>
          <w:szCs w:val="24"/>
        </w:rPr>
        <w:tab/>
        <w:t xml:space="preserve">As the process of plan, bid, contract, and build projects has repeated itself on a four-year cycle, </w:t>
      </w:r>
      <w:r w:rsidR="00D906A9">
        <w:rPr>
          <w:rFonts w:eastAsia="Times New Roman" w:cs="Times New Roman"/>
          <w:color w:val="000000" w:themeColor="text1"/>
          <w:szCs w:val="24"/>
        </w:rPr>
        <w:t>Colorado PUC</w:t>
      </w:r>
      <w:r w:rsidRPr="00F6508F">
        <w:rPr>
          <w:rFonts w:eastAsia="Times New Roman" w:cs="Times New Roman"/>
          <w:color w:val="000000" w:themeColor="text1"/>
          <w:szCs w:val="24"/>
        </w:rPr>
        <w:t xml:space="preserve"> has added another feature to the Colorado model: relentless improvement. In every cycle of which I</w:t>
      </w:r>
      <w:r w:rsidR="00C627CB">
        <w:rPr>
          <w:rFonts w:eastAsia="Times New Roman" w:cs="Times New Roman"/>
          <w:color w:val="000000" w:themeColor="text1"/>
          <w:szCs w:val="24"/>
        </w:rPr>
        <w:t xml:space="preserve"> a</w:t>
      </w:r>
      <w:r w:rsidRPr="00F6508F">
        <w:rPr>
          <w:rFonts w:eastAsia="Times New Roman" w:cs="Times New Roman"/>
          <w:color w:val="000000" w:themeColor="text1"/>
          <w:szCs w:val="24"/>
        </w:rPr>
        <w:t xml:space="preserve">m aware, as resources are contracted and built, the </w:t>
      </w:r>
      <w:r w:rsidR="00D906A9">
        <w:rPr>
          <w:rFonts w:eastAsia="Times New Roman" w:cs="Times New Roman"/>
          <w:color w:val="000000" w:themeColor="text1"/>
          <w:szCs w:val="24"/>
        </w:rPr>
        <w:t>Colorado PUC</w:t>
      </w:r>
      <w:r w:rsidR="00D906A9" w:rsidRPr="00F6508F">
        <w:rPr>
          <w:rFonts w:eastAsia="Times New Roman" w:cs="Times New Roman"/>
          <w:color w:val="000000" w:themeColor="text1"/>
          <w:szCs w:val="24"/>
        </w:rPr>
        <w:t xml:space="preserve"> </w:t>
      </w:r>
      <w:r w:rsidRPr="00F6508F">
        <w:rPr>
          <w:rFonts w:eastAsia="Times New Roman" w:cs="Times New Roman"/>
          <w:color w:val="000000" w:themeColor="text1"/>
          <w:szCs w:val="24"/>
        </w:rPr>
        <w:t xml:space="preserve">has opened a rulemaking docket to improve its planning and procurement rules. The Colorado model isn’t perfect. Every time it happens, the </w:t>
      </w:r>
      <w:r w:rsidR="00E26B49">
        <w:rPr>
          <w:rFonts w:eastAsia="Times New Roman" w:cs="Times New Roman"/>
          <w:color w:val="000000" w:themeColor="text1"/>
          <w:szCs w:val="24"/>
        </w:rPr>
        <w:lastRenderedPageBreak/>
        <w:t>Colorado PUC</w:t>
      </w:r>
      <w:r w:rsidR="00E26B49" w:rsidRPr="00F6508F">
        <w:rPr>
          <w:rFonts w:eastAsia="Times New Roman" w:cs="Times New Roman"/>
          <w:color w:val="000000" w:themeColor="text1"/>
          <w:szCs w:val="24"/>
        </w:rPr>
        <w:t xml:space="preserve"> </w:t>
      </w:r>
      <w:r w:rsidRPr="00F6508F">
        <w:rPr>
          <w:rFonts w:eastAsia="Times New Roman" w:cs="Times New Roman"/>
          <w:color w:val="000000" w:themeColor="text1"/>
          <w:szCs w:val="24"/>
        </w:rPr>
        <w:t>and parties recognize opportunities to improve it</w:t>
      </w:r>
      <w:r w:rsidR="00E26B49">
        <w:rPr>
          <w:rFonts w:eastAsia="Times New Roman" w:cs="Times New Roman"/>
          <w:color w:val="000000" w:themeColor="text1"/>
          <w:szCs w:val="24"/>
        </w:rPr>
        <w:t>,</w:t>
      </w:r>
      <w:r w:rsidRPr="00F6508F">
        <w:rPr>
          <w:rFonts w:eastAsia="Times New Roman" w:cs="Times New Roman"/>
          <w:color w:val="000000" w:themeColor="text1"/>
          <w:szCs w:val="24"/>
        </w:rPr>
        <w:t xml:space="preserve"> and that process of relentless improvement continues. </w:t>
      </w:r>
    </w:p>
    <w:p w14:paraId="3D10FFDE" w14:textId="77777777" w:rsidR="000376BC" w:rsidRPr="00F6508F" w:rsidRDefault="000376BC" w:rsidP="003A6CDA">
      <w:pPr>
        <w:pBdr>
          <w:top w:val="nil"/>
          <w:left w:val="nil"/>
          <w:bottom w:val="nil"/>
          <w:right w:val="nil"/>
          <w:between w:val="nil"/>
        </w:pBdr>
        <w:spacing w:after="0"/>
        <w:ind w:left="0" w:hanging="720"/>
        <w:jc w:val="both"/>
        <w:rPr>
          <w:rFonts w:eastAsia="Times New Roman" w:cs="Times New Roman"/>
          <w:color w:val="000000" w:themeColor="text1"/>
          <w:szCs w:val="24"/>
        </w:rPr>
      </w:pPr>
    </w:p>
    <w:p w14:paraId="5034C349" w14:textId="77777777" w:rsidR="000376BC" w:rsidRPr="00F6508F" w:rsidRDefault="000376BC" w:rsidP="00CD0C18">
      <w:pPr>
        <w:keepNext/>
        <w:keepLines/>
        <w:pBdr>
          <w:top w:val="nil"/>
          <w:left w:val="nil"/>
          <w:bottom w:val="nil"/>
          <w:right w:val="nil"/>
          <w:between w:val="nil"/>
        </w:pBdr>
        <w:tabs>
          <w:tab w:val="left" w:pos="4320"/>
          <w:tab w:val="left" w:pos="6480"/>
          <w:tab w:val="left" w:pos="8639"/>
        </w:tabs>
        <w:spacing w:after="0"/>
        <w:ind w:hanging="720"/>
        <w:jc w:val="both"/>
        <w:rPr>
          <w:rFonts w:eastAsia="Times New Roman" w:cs="Times New Roman"/>
          <w:b/>
          <w:smallCaps/>
          <w:color w:val="000000" w:themeColor="text1"/>
          <w:szCs w:val="24"/>
        </w:rPr>
      </w:pPr>
      <w:r w:rsidRPr="00F6508F">
        <w:rPr>
          <w:rFonts w:eastAsia="Times New Roman" w:cs="Times New Roman"/>
          <w:b/>
          <w:smallCaps/>
          <w:color w:val="000000" w:themeColor="text1"/>
          <w:szCs w:val="24"/>
        </w:rPr>
        <w:t xml:space="preserve">Q: </w:t>
      </w:r>
      <w:r w:rsidRPr="00F6508F">
        <w:rPr>
          <w:rFonts w:eastAsia="Times New Roman" w:cs="Times New Roman"/>
          <w:b/>
          <w:smallCaps/>
          <w:color w:val="000000" w:themeColor="text1"/>
          <w:szCs w:val="24"/>
        </w:rPr>
        <w:tab/>
        <w:t>WHAT ARE CONSIDERATIONS IN PLANNING PORTFOLIOS TO MANAGE FOSSIL GAS PRICE AND AVAILABILITY RISKS?</w:t>
      </w:r>
    </w:p>
    <w:p w14:paraId="1334A6FB" w14:textId="42328A26" w:rsidR="000376BC" w:rsidRPr="00F6508F" w:rsidRDefault="000376BC" w:rsidP="00CD0C18">
      <w:pPr>
        <w:spacing w:after="0"/>
        <w:ind w:hanging="720"/>
        <w:jc w:val="both"/>
        <w:rPr>
          <w:color w:val="000000" w:themeColor="text1"/>
        </w:rPr>
      </w:pPr>
      <w:r w:rsidRPr="00F6508F">
        <w:rPr>
          <w:color w:val="000000" w:themeColor="text1"/>
        </w:rPr>
        <w:t>A:</w:t>
      </w:r>
      <w:r w:rsidRPr="00F6508F">
        <w:rPr>
          <w:color w:val="000000" w:themeColor="text1"/>
        </w:rPr>
        <w:tab/>
        <w:t xml:space="preserve">The question is: Gas Price Forecast – </w:t>
      </w:r>
      <w:r w:rsidR="00E26B49">
        <w:rPr>
          <w:color w:val="000000" w:themeColor="text1"/>
        </w:rPr>
        <w:t xml:space="preserve">Is it </w:t>
      </w:r>
      <w:r w:rsidR="005F71A3">
        <w:rPr>
          <w:color w:val="000000" w:themeColor="text1"/>
        </w:rPr>
        <w:t>b</w:t>
      </w:r>
      <w:r w:rsidRPr="00F6508F">
        <w:rPr>
          <w:color w:val="000000" w:themeColor="text1"/>
        </w:rPr>
        <w:t xml:space="preserve">etter to be wrong too high or wrong too low? Forecasting fossil gas prices in utility planning is both necessary and difficult. A fossil gas price forecast must be made, if gas generation resources are included in planning and procurement, because gas costs can play </w:t>
      </w:r>
      <w:r w:rsidR="00071C05" w:rsidRPr="00F6508F">
        <w:rPr>
          <w:color w:val="000000" w:themeColor="text1"/>
        </w:rPr>
        <w:t>a key role</w:t>
      </w:r>
      <w:r w:rsidRPr="00F6508F">
        <w:rPr>
          <w:color w:val="000000" w:themeColor="text1"/>
        </w:rPr>
        <w:t xml:space="preserve"> in determining cost of energy from gas generation options. But forecasting gas prices is notoriously difficult, especially over longer periods. The history of such forecasts shows how often and how much they can be wrong.</w:t>
      </w:r>
      <w:r w:rsidRPr="00F6508F">
        <w:rPr>
          <w:color w:val="000000" w:themeColor="text1"/>
          <w:vertAlign w:val="superscript"/>
        </w:rPr>
        <w:footnoteReference w:id="27"/>
      </w:r>
      <w:r w:rsidRPr="00F6508F">
        <w:rPr>
          <w:color w:val="000000" w:themeColor="text1"/>
        </w:rPr>
        <w:t xml:space="preserve"> If forecasts for fossil gas prices are likely to be wrong, does it help to consider whether it might be better to be wrong and too high, or wrong and too low? Because risks to consumers are quite different in these two cases, thinking through the implications is worth the effort.</w:t>
      </w:r>
      <w:r w:rsidRPr="00F6508F">
        <w:rPr>
          <w:color w:val="000000" w:themeColor="text1"/>
          <w:vertAlign w:val="superscript"/>
        </w:rPr>
        <w:footnoteReference w:id="28"/>
      </w:r>
      <w:r w:rsidRPr="00F6508F">
        <w:rPr>
          <w:color w:val="000000" w:themeColor="text1"/>
        </w:rPr>
        <w:t xml:space="preserve"> </w:t>
      </w:r>
    </w:p>
    <w:p w14:paraId="65F6AE64" w14:textId="761AA94D" w:rsidR="000376BC" w:rsidRPr="00F6508F" w:rsidRDefault="000376BC" w:rsidP="00746F1C">
      <w:pPr>
        <w:pBdr>
          <w:top w:val="nil"/>
          <w:left w:val="nil"/>
          <w:bottom w:val="nil"/>
          <w:right w:val="nil"/>
          <w:between w:val="nil"/>
        </w:pBdr>
        <w:spacing w:after="0"/>
        <w:jc w:val="both"/>
        <w:rPr>
          <w:rFonts w:eastAsia="Times New Roman" w:cs="Times New Roman"/>
          <w:color w:val="000000" w:themeColor="text1"/>
          <w:szCs w:val="24"/>
        </w:rPr>
      </w:pPr>
      <w:r w:rsidRPr="00F6508F">
        <w:rPr>
          <w:rFonts w:eastAsia="Times New Roman" w:cs="Times New Roman"/>
          <w:color w:val="000000" w:themeColor="text1"/>
          <w:szCs w:val="24"/>
        </w:rPr>
        <w:t xml:space="preserve">For example, if gas price forecasts are wrong and too high, relatively more efficiency and non-gas resources will be obtained than might be precisely economically efficient. However, more efficiency and more non-gas resources also erect a portfolio hedge against unforeseen gas price spikes. By contrast, if gas price forecasts are wrong and too </w:t>
      </w:r>
      <w:r w:rsidRPr="00F6508F">
        <w:rPr>
          <w:rFonts w:eastAsia="Times New Roman" w:cs="Times New Roman"/>
          <w:color w:val="000000" w:themeColor="text1"/>
          <w:szCs w:val="24"/>
        </w:rPr>
        <w:lastRenderedPageBreak/>
        <w:t xml:space="preserve">low, risks to consumers who pay gas costs both for their consumption and in their electric rates through fuel cost riders are unhedged </w:t>
      </w:r>
      <w:r w:rsidR="00746F1C">
        <w:rPr>
          <w:rFonts w:eastAsia="Times New Roman" w:cs="Times New Roman"/>
          <w:color w:val="000000" w:themeColor="text1"/>
          <w:szCs w:val="24"/>
        </w:rPr>
        <w:t>–</w:t>
      </w:r>
      <w:r w:rsidRPr="00F6508F">
        <w:rPr>
          <w:rFonts w:eastAsia="Times New Roman" w:cs="Times New Roman"/>
          <w:color w:val="000000" w:themeColor="text1"/>
          <w:szCs w:val="24"/>
        </w:rPr>
        <w:t xml:space="preserve"> consumers simply have to pay the higher-than-expected costs. So</w:t>
      </w:r>
      <w:r w:rsidR="00F55126">
        <w:rPr>
          <w:rFonts w:eastAsia="Times New Roman" w:cs="Times New Roman"/>
          <w:color w:val="000000" w:themeColor="text1"/>
          <w:szCs w:val="24"/>
        </w:rPr>
        <w:t>,</w:t>
      </w:r>
      <w:r w:rsidRPr="00F6508F">
        <w:rPr>
          <w:rFonts w:eastAsia="Times New Roman" w:cs="Times New Roman"/>
          <w:color w:val="000000" w:themeColor="text1"/>
          <w:szCs w:val="24"/>
        </w:rPr>
        <w:t xml:space="preserve"> the risks from a consumer perspective are highly asymmetrical, with more risks attached to being wrong and too low and fewer risks following from being wrong and too high. </w:t>
      </w:r>
    </w:p>
    <w:p w14:paraId="438D2FE8" w14:textId="77777777" w:rsidR="000376BC" w:rsidRPr="00F6508F" w:rsidRDefault="000376BC" w:rsidP="003A6CDA">
      <w:pPr>
        <w:pBdr>
          <w:top w:val="nil"/>
          <w:left w:val="nil"/>
          <w:bottom w:val="nil"/>
          <w:right w:val="nil"/>
          <w:between w:val="nil"/>
        </w:pBdr>
        <w:spacing w:after="0"/>
        <w:ind w:left="0"/>
        <w:jc w:val="both"/>
        <w:rPr>
          <w:rFonts w:eastAsia="Times New Roman" w:cs="Times New Roman"/>
          <w:color w:val="000000" w:themeColor="text1"/>
          <w:szCs w:val="24"/>
        </w:rPr>
      </w:pPr>
    </w:p>
    <w:p w14:paraId="1A73C19B" w14:textId="77777777" w:rsidR="000376BC" w:rsidRPr="00F6508F" w:rsidRDefault="000376BC" w:rsidP="00CD0C18">
      <w:pPr>
        <w:keepNext/>
        <w:keepLines/>
        <w:pBdr>
          <w:top w:val="nil"/>
          <w:left w:val="nil"/>
          <w:bottom w:val="nil"/>
          <w:right w:val="nil"/>
          <w:between w:val="nil"/>
        </w:pBdr>
        <w:tabs>
          <w:tab w:val="left" w:pos="4320"/>
          <w:tab w:val="left" w:pos="6480"/>
          <w:tab w:val="left" w:pos="8639"/>
        </w:tabs>
        <w:spacing w:after="0"/>
        <w:ind w:hanging="720"/>
        <w:jc w:val="both"/>
        <w:rPr>
          <w:rFonts w:eastAsia="Times New Roman" w:cs="Times New Roman"/>
          <w:b/>
          <w:smallCaps/>
          <w:color w:val="000000" w:themeColor="text1"/>
          <w:szCs w:val="24"/>
        </w:rPr>
      </w:pPr>
      <w:r w:rsidRPr="00F6508F">
        <w:rPr>
          <w:rFonts w:eastAsia="Times New Roman" w:cs="Times New Roman"/>
          <w:b/>
          <w:smallCaps/>
          <w:color w:val="000000" w:themeColor="text1"/>
          <w:szCs w:val="24"/>
        </w:rPr>
        <w:t>Q:</w:t>
      </w:r>
      <w:r w:rsidRPr="00F6508F">
        <w:rPr>
          <w:rFonts w:eastAsia="Times New Roman" w:cs="Times New Roman"/>
          <w:b/>
          <w:smallCaps/>
          <w:color w:val="000000" w:themeColor="text1"/>
          <w:szCs w:val="24"/>
        </w:rPr>
        <w:tab/>
        <w:t xml:space="preserve"> HOW SHOULD UTILITIES AND THEIR REGULATORS MANAGE THIS SITUATION?</w:t>
      </w:r>
    </w:p>
    <w:p w14:paraId="65D7277B" w14:textId="14F29236" w:rsidR="000376BC" w:rsidRPr="00F6508F" w:rsidRDefault="000376BC" w:rsidP="00CD0C18">
      <w:pPr>
        <w:spacing w:after="0"/>
        <w:ind w:hanging="720"/>
        <w:jc w:val="both"/>
        <w:rPr>
          <w:color w:val="000000" w:themeColor="text1"/>
        </w:rPr>
      </w:pPr>
      <w:r w:rsidRPr="00F6508F">
        <w:rPr>
          <w:color w:val="000000" w:themeColor="text1"/>
        </w:rPr>
        <w:t>A:</w:t>
      </w:r>
      <w:r w:rsidRPr="00F6508F">
        <w:rPr>
          <w:color w:val="000000" w:themeColor="text1"/>
        </w:rPr>
        <w:tab/>
        <w:t>One good option is to select from the higher options in a rational range of future gas prices, rather than median or low-ball options. Another option is to consider much broader ranges of gas price cost scenarios or sensitivities than are typically modeled in utility resource planning. Winter storm Uri has expanded the possibilities for thinking about fossil gas price spikes. Leaving aside what caused gas prices to spike, whether the situation was entirely anomalous and special to</w:t>
      </w:r>
      <w:r w:rsidR="00185411">
        <w:rPr>
          <w:color w:val="000000" w:themeColor="text1"/>
        </w:rPr>
        <w:t xml:space="preserve"> the Electric Reliability Council of </w:t>
      </w:r>
      <w:r w:rsidR="001B2F0D">
        <w:rPr>
          <w:color w:val="000000" w:themeColor="text1"/>
        </w:rPr>
        <w:t>Texas (“</w:t>
      </w:r>
      <w:r w:rsidRPr="00F6508F">
        <w:rPr>
          <w:color w:val="000000" w:themeColor="text1"/>
        </w:rPr>
        <w:t>ERCOT</w:t>
      </w:r>
      <w:r w:rsidR="001B2F0D">
        <w:rPr>
          <w:color w:val="000000" w:themeColor="text1"/>
        </w:rPr>
        <w:t>”)</w:t>
      </w:r>
      <w:r w:rsidRPr="00F6508F">
        <w:rPr>
          <w:color w:val="000000" w:themeColor="text1"/>
        </w:rPr>
        <w:t xml:space="preserve"> and Texas,</w:t>
      </w:r>
      <w:r w:rsidR="001B2F0D">
        <w:rPr>
          <w:color w:val="000000" w:themeColor="text1"/>
        </w:rPr>
        <w:t xml:space="preserve"> generally,</w:t>
      </w:r>
      <w:r w:rsidRPr="00F6508F">
        <w:rPr>
          <w:color w:val="000000" w:themeColor="text1"/>
        </w:rPr>
        <w:t xml:space="preserve"> it is interesting to note that other states that rely on the same sources of gas as Texas were also heavily impacted by the 2021 gas price spike. So</w:t>
      </w:r>
      <w:r w:rsidR="009818A0">
        <w:rPr>
          <w:color w:val="000000" w:themeColor="text1"/>
        </w:rPr>
        <w:t>,</w:t>
      </w:r>
      <w:r w:rsidRPr="00F6508F">
        <w:rPr>
          <w:color w:val="000000" w:themeColor="text1"/>
        </w:rPr>
        <w:t xml:space="preserve"> if the lesson for Georgia in terms of adequate planning is that unprecedented events elsewhere can cause price spikes to travel along the gas pipeline system to impact Georgia customers, then planning that encompasses wider ranges of gas price excursions would make sense.</w:t>
      </w:r>
    </w:p>
    <w:p w14:paraId="4A51AC3A" w14:textId="66E076EB" w:rsidR="009C0A27" w:rsidRDefault="000376BC" w:rsidP="0080154A">
      <w:pPr>
        <w:spacing w:after="0"/>
        <w:jc w:val="both"/>
        <w:rPr>
          <w:color w:val="000000" w:themeColor="text1"/>
        </w:rPr>
      </w:pPr>
      <w:r w:rsidRPr="00F6508F">
        <w:rPr>
          <w:color w:val="000000" w:themeColor="text1"/>
        </w:rPr>
        <w:t xml:space="preserve">In Colorado, </w:t>
      </w:r>
      <w:r w:rsidR="008F0AEF">
        <w:rPr>
          <w:color w:val="000000" w:themeColor="text1"/>
        </w:rPr>
        <w:t>during</w:t>
      </w:r>
      <w:r w:rsidRPr="00F6508F">
        <w:rPr>
          <w:color w:val="000000" w:themeColor="text1"/>
        </w:rPr>
        <w:t xml:space="preserve"> five days of </w:t>
      </w:r>
      <w:r w:rsidR="00071C05" w:rsidRPr="00F6508F">
        <w:rPr>
          <w:color w:val="000000" w:themeColor="text1"/>
        </w:rPr>
        <w:t xml:space="preserve">extremely </w:t>
      </w:r>
      <w:r w:rsidR="00CD6D2A" w:rsidRPr="00F6508F">
        <w:rPr>
          <w:color w:val="000000" w:themeColor="text1"/>
        </w:rPr>
        <w:t xml:space="preserve">winter </w:t>
      </w:r>
      <w:r w:rsidRPr="00F6508F">
        <w:rPr>
          <w:color w:val="000000" w:themeColor="text1"/>
        </w:rPr>
        <w:t>weather that impacted both Texas and Colorado</w:t>
      </w:r>
      <w:r w:rsidR="008F0AEF">
        <w:rPr>
          <w:color w:val="000000" w:themeColor="text1"/>
        </w:rPr>
        <w:t xml:space="preserve"> in 2021</w:t>
      </w:r>
      <w:r w:rsidRPr="00F6508F">
        <w:rPr>
          <w:color w:val="000000" w:themeColor="text1"/>
        </w:rPr>
        <w:t xml:space="preserve">, and when gas demand was high, XcelEnergy reported prices to have moved from about $3 per MMBTU to $180, racking up about $680 million in excess gas </w:t>
      </w:r>
      <w:r w:rsidRPr="00F6508F">
        <w:rPr>
          <w:color w:val="000000" w:themeColor="text1"/>
        </w:rPr>
        <w:lastRenderedPageBreak/>
        <w:t xml:space="preserve">costs across its </w:t>
      </w:r>
      <w:r w:rsidR="00071C05" w:rsidRPr="00F6508F">
        <w:rPr>
          <w:color w:val="000000" w:themeColor="text1"/>
        </w:rPr>
        <w:t>eight</w:t>
      </w:r>
      <w:r w:rsidRPr="00F6508F">
        <w:rPr>
          <w:color w:val="000000" w:themeColor="text1"/>
        </w:rPr>
        <w:t xml:space="preserve"> states.</w:t>
      </w:r>
      <w:r w:rsidR="002D51F6">
        <w:rPr>
          <w:rStyle w:val="FootnoteReference"/>
          <w:color w:val="000000" w:themeColor="text1"/>
        </w:rPr>
        <w:footnoteReference w:id="29"/>
      </w:r>
      <w:r w:rsidRPr="00F6508F">
        <w:rPr>
          <w:color w:val="000000" w:themeColor="text1"/>
        </w:rPr>
        <w:t xml:space="preserve"> In Colorado, the extra gas costs will cost consumers $550 million across Xcel’s gas and electric operations. Several other states were also similarly impacted. Since a price spike – reported to be </w:t>
      </w:r>
      <w:r w:rsidRPr="00F6508F">
        <w:rPr>
          <w:i/>
          <w:color w:val="000000" w:themeColor="text1"/>
          <w:u w:val="single"/>
        </w:rPr>
        <w:t>200 times above</w:t>
      </w:r>
      <w:r w:rsidRPr="00F6508F">
        <w:rPr>
          <w:color w:val="000000" w:themeColor="text1"/>
          <w:u w:val="single"/>
        </w:rPr>
        <w:t xml:space="preserve"> </w:t>
      </w:r>
      <w:r w:rsidRPr="0080154A">
        <w:rPr>
          <w:i/>
          <w:iCs/>
          <w:color w:val="000000" w:themeColor="text1"/>
          <w:u w:val="single"/>
        </w:rPr>
        <w:t>normal</w:t>
      </w:r>
      <w:r w:rsidRPr="00F6508F">
        <w:rPr>
          <w:color w:val="000000" w:themeColor="text1"/>
        </w:rPr>
        <w:t xml:space="preserve"> over </w:t>
      </w:r>
      <w:r w:rsidRPr="0080154A">
        <w:rPr>
          <w:i/>
          <w:iCs/>
          <w:color w:val="000000" w:themeColor="text1"/>
          <w:u w:val="single"/>
        </w:rPr>
        <w:t>five days</w:t>
      </w:r>
      <w:r w:rsidRPr="00F6508F">
        <w:rPr>
          <w:color w:val="000000" w:themeColor="text1"/>
        </w:rPr>
        <w:t xml:space="preserve"> </w:t>
      </w:r>
      <w:r w:rsidR="0080154A">
        <w:rPr>
          <w:color w:val="000000" w:themeColor="text1"/>
        </w:rPr>
        <w:t>–</w:t>
      </w:r>
      <w:r w:rsidRPr="00F6508F">
        <w:rPr>
          <w:color w:val="000000" w:themeColor="text1"/>
        </w:rPr>
        <w:t xml:space="preserve"> had this kind of impact in this situation, it is not unreasonable to consider modeling significantly higher gas price sensitivities or scenarios or to incorporate the risk of such black swan events.</w:t>
      </w:r>
      <w:r w:rsidRPr="00F6508F">
        <w:rPr>
          <w:color w:val="000000" w:themeColor="text1"/>
          <w:vertAlign w:val="superscript"/>
        </w:rPr>
        <w:footnoteReference w:id="30"/>
      </w:r>
      <w:r w:rsidRPr="00F6508F">
        <w:rPr>
          <w:color w:val="000000" w:themeColor="text1"/>
        </w:rPr>
        <w:t xml:space="preserve"> </w:t>
      </w:r>
      <w:r w:rsidR="00F6668C" w:rsidRPr="00F6508F">
        <w:rPr>
          <w:color w:val="000000" w:themeColor="text1"/>
        </w:rPr>
        <w:t xml:space="preserve"> Of course, less dramatic effects </w:t>
      </w:r>
      <w:r w:rsidR="009C0A27" w:rsidRPr="00F6508F">
        <w:rPr>
          <w:color w:val="000000" w:themeColor="text1"/>
        </w:rPr>
        <w:t>–</w:t>
      </w:r>
      <w:r w:rsidR="00F6668C" w:rsidRPr="00F6508F">
        <w:rPr>
          <w:color w:val="000000" w:themeColor="text1"/>
        </w:rPr>
        <w:t xml:space="preserve"> </w:t>
      </w:r>
      <w:r w:rsidR="009C0A27" w:rsidRPr="00F6508F">
        <w:rPr>
          <w:color w:val="000000" w:themeColor="text1"/>
        </w:rPr>
        <w:t xml:space="preserve">like </w:t>
      </w:r>
      <w:r w:rsidR="00F6668C" w:rsidRPr="00F6508F">
        <w:rPr>
          <w:color w:val="000000" w:themeColor="text1"/>
        </w:rPr>
        <w:t>systematically higher gas costs</w:t>
      </w:r>
      <w:r w:rsidR="009C0A27" w:rsidRPr="00F6508F">
        <w:rPr>
          <w:color w:val="000000" w:themeColor="text1"/>
        </w:rPr>
        <w:t xml:space="preserve"> – will also have a deleterious impact on customers and must be anticipated in portfolio modeling.</w:t>
      </w:r>
    </w:p>
    <w:p w14:paraId="0DB96FA5" w14:textId="77777777" w:rsidR="00CD0C18" w:rsidRPr="00F6508F" w:rsidRDefault="00CD0C18" w:rsidP="00CD0C18">
      <w:pPr>
        <w:spacing w:after="0"/>
        <w:jc w:val="both"/>
        <w:rPr>
          <w:color w:val="000000" w:themeColor="text1"/>
        </w:rPr>
      </w:pPr>
    </w:p>
    <w:p w14:paraId="79DA6302" w14:textId="77777777" w:rsidR="00F56BDC" w:rsidRPr="00F6508F" w:rsidRDefault="00F56BDC" w:rsidP="00CD0C18">
      <w:pPr>
        <w:pStyle w:val="Question"/>
        <w:jc w:val="both"/>
        <w:rPr>
          <w:color w:val="000000" w:themeColor="text1"/>
        </w:rPr>
      </w:pPr>
      <w:r w:rsidRPr="00F6508F">
        <w:rPr>
          <w:color w:val="000000" w:themeColor="text1"/>
        </w:rPr>
        <w:t>Q:</w:t>
      </w:r>
      <w:r w:rsidRPr="00F6508F">
        <w:rPr>
          <w:color w:val="000000" w:themeColor="text1"/>
        </w:rPr>
        <w:tab/>
        <w:t>DOES THIS COMPLETE YOUR TESTIMONY AT THIS TIME?</w:t>
      </w:r>
    </w:p>
    <w:p w14:paraId="5AF7345F" w14:textId="0DD46DAC" w:rsidR="00FF25D8" w:rsidRPr="00F6508F" w:rsidRDefault="00F56BDC" w:rsidP="00CD0C18">
      <w:pPr>
        <w:pStyle w:val="Question"/>
        <w:jc w:val="both"/>
        <w:rPr>
          <w:color w:val="000000" w:themeColor="text1"/>
        </w:rPr>
      </w:pPr>
      <w:r w:rsidRPr="00F6508F">
        <w:rPr>
          <w:rFonts w:ascii="Times New Roman" w:hAnsi="Times New Roman"/>
          <w:b w:val="0"/>
          <w:bCs/>
          <w:color w:val="000000" w:themeColor="text1"/>
        </w:rPr>
        <w:t>A:</w:t>
      </w:r>
      <w:r w:rsidRPr="00F6508F">
        <w:rPr>
          <w:rFonts w:ascii="Times New Roman" w:hAnsi="Times New Roman"/>
          <w:b w:val="0"/>
          <w:bCs/>
          <w:color w:val="000000" w:themeColor="text1"/>
        </w:rPr>
        <w:tab/>
      </w:r>
      <w:r w:rsidR="00136E54" w:rsidRPr="00F6508F">
        <w:rPr>
          <w:rFonts w:ascii="Times New Roman" w:hAnsi="Times New Roman"/>
          <w:b w:val="0"/>
          <w:bCs/>
          <w:caps w:val="0"/>
          <w:color w:val="000000" w:themeColor="text1"/>
        </w:rPr>
        <w:t>Y</w:t>
      </w:r>
      <w:r w:rsidR="00F6668C" w:rsidRPr="00F6508F">
        <w:rPr>
          <w:rFonts w:ascii="Times New Roman" w:hAnsi="Times New Roman"/>
          <w:b w:val="0"/>
          <w:bCs/>
          <w:caps w:val="0"/>
          <w:color w:val="000000" w:themeColor="text1"/>
        </w:rPr>
        <w:t>es</w:t>
      </w:r>
      <w:r w:rsidR="00136E54" w:rsidRPr="00F6508F">
        <w:rPr>
          <w:rFonts w:ascii="Times New Roman" w:hAnsi="Times New Roman"/>
          <w:b w:val="0"/>
          <w:bCs/>
          <w:color w:val="000000" w:themeColor="text1"/>
        </w:rPr>
        <w:t>.</w:t>
      </w:r>
    </w:p>
    <w:sectPr w:rsidR="00FF25D8" w:rsidRPr="00F6508F" w:rsidSect="00321AF8">
      <w:headerReference w:type="default" r:id="rId16"/>
      <w:footerReference w:type="default" r:id="rId17"/>
      <w:headerReference w:type="first" r:id="rId18"/>
      <w:footerReference w:type="first" r:id="rId19"/>
      <w:type w:val="continuous"/>
      <w:pgSz w:w="12240" w:h="15840"/>
      <w:pgMar w:top="1440" w:right="1440" w:bottom="1440" w:left="1440" w:header="576" w:footer="432" w:gutter="0"/>
      <w:lnNumType w:countBy="1"/>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D95AA6C" w14:textId="77777777" w:rsidR="00B15267" w:rsidRDefault="00B15267">
      <w:pPr>
        <w:spacing w:after="0" w:line="240" w:lineRule="auto"/>
      </w:pPr>
      <w:r>
        <w:separator/>
      </w:r>
    </w:p>
  </w:endnote>
  <w:endnote w:type="continuationSeparator" w:id="0">
    <w:p w14:paraId="35A56AD1" w14:textId="77777777" w:rsidR="00B15267" w:rsidRDefault="00B1526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altName w:val="Times New Roman"/>
    <w:panose1 w:val="02020603050405020304"/>
    <w:charset w:val="00"/>
    <w:family w:val="roman"/>
    <w:pitch w:val="variable"/>
    <w:sig w:usb0="E0002EFF" w:usb1="C000785B" w:usb2="00000009" w:usb3="00000000" w:csb0="000001FF" w:csb1="00000000"/>
  </w:font>
  <w:font w:name="Noto Sans Symbols">
    <w:altName w:val="Calibri"/>
    <w:charset w:val="00"/>
    <w:family w:val="auto"/>
    <w:pitch w:val="default"/>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Times New Roman Bold">
    <w:altName w:val="Times New Roman"/>
    <w:panose1 w:val="02020803070505020304"/>
    <w:charset w:val="00"/>
    <w:family w:val="auto"/>
    <w:pitch w:val="variable"/>
    <w:sig w:usb0="E0002AEF" w:usb1="C0007841"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75846983"/>
      <w:docPartObj>
        <w:docPartGallery w:val="Page Numbers (Bottom of Page)"/>
        <w:docPartUnique/>
      </w:docPartObj>
    </w:sdtPr>
    <w:sdtEndPr>
      <w:rPr>
        <w:noProof/>
      </w:rPr>
    </w:sdtEndPr>
    <w:sdtContent>
      <w:p w14:paraId="098FB1FF" w14:textId="5EB07129" w:rsidR="00594225" w:rsidRDefault="00594225" w:rsidP="00594225">
        <w:pPr>
          <w:pStyle w:val="Footer"/>
          <w:ind w:left="0"/>
          <w:jc w:val="center"/>
        </w:pPr>
        <w:r>
          <w:fldChar w:fldCharType="begin"/>
        </w:r>
        <w:r>
          <w:instrText xml:space="preserve"> PAGE   \* MERGEFORMAT </w:instrText>
        </w:r>
        <w:r>
          <w:fldChar w:fldCharType="separate"/>
        </w:r>
        <w:r>
          <w:rPr>
            <w:noProof/>
          </w:rPr>
          <w:t>2</w:t>
        </w:r>
        <w:r>
          <w:rPr>
            <w:noProof/>
          </w:rPr>
          <w:fldChar w:fldCharType="end"/>
        </w:r>
      </w:p>
    </w:sdtContent>
  </w:sdt>
  <w:p w14:paraId="6B7A658C" w14:textId="382A95A4" w:rsidR="004F60DA" w:rsidRPr="00594225" w:rsidRDefault="004F60DA" w:rsidP="00594225">
    <w:pPr>
      <w:pBdr>
        <w:top w:val="nil"/>
        <w:left w:val="nil"/>
        <w:bottom w:val="nil"/>
        <w:right w:val="nil"/>
        <w:between w:val="nil"/>
      </w:pBdr>
      <w:tabs>
        <w:tab w:val="center" w:pos="4680"/>
        <w:tab w:val="left" w:pos="5602"/>
        <w:tab w:val="right" w:pos="9360"/>
      </w:tabs>
      <w:spacing w:after="0" w:line="240" w:lineRule="auto"/>
      <w:ind w:left="0"/>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7A658D" w14:textId="2798FFD5" w:rsidR="004F60DA" w:rsidRDefault="00447F55">
    <w:pPr>
      <w:jc w:val="right"/>
    </w:pPr>
    <w:r>
      <w:fldChar w:fldCharType="begin"/>
    </w:r>
    <w:r>
      <w:instrText>PAGE</w:instrText>
    </w:r>
    <w:r>
      <w:fldChar w:fldCharType="separate"/>
    </w:r>
    <w:r>
      <w:rPr>
        <w:noProof/>
      </w:rPr>
      <w:t>1</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889D6A6" w14:textId="77777777" w:rsidR="00B15267" w:rsidRDefault="00B15267" w:rsidP="00980BE5">
      <w:pPr>
        <w:spacing w:after="0" w:line="240" w:lineRule="auto"/>
        <w:ind w:left="0"/>
      </w:pPr>
      <w:r>
        <w:separator/>
      </w:r>
    </w:p>
  </w:footnote>
  <w:footnote w:type="continuationSeparator" w:id="0">
    <w:p w14:paraId="2EF3BF25" w14:textId="77777777" w:rsidR="00B15267" w:rsidRDefault="00B15267">
      <w:pPr>
        <w:spacing w:after="0" w:line="240" w:lineRule="auto"/>
      </w:pPr>
      <w:r>
        <w:continuationSeparator/>
      </w:r>
    </w:p>
  </w:footnote>
  <w:footnote w:id="1">
    <w:p w14:paraId="1A3ED077" w14:textId="6A829AE1" w:rsidR="0027638A" w:rsidRDefault="0027638A" w:rsidP="007876B3">
      <w:pPr>
        <w:pStyle w:val="FootnoteText"/>
        <w:ind w:left="0"/>
        <w:jc w:val="both"/>
      </w:pPr>
      <w:r>
        <w:rPr>
          <w:rStyle w:val="FootnoteReference"/>
        </w:rPr>
        <w:footnoteRef/>
      </w:r>
      <w:r>
        <w:t xml:space="preserve"> Binz, R.J. and D. Mullen, </w:t>
      </w:r>
      <w:r w:rsidR="005B7F4F">
        <w:t xml:space="preserve">July 2012, </w:t>
      </w:r>
      <w:r w:rsidR="005B7F4F" w:rsidRPr="007876B3">
        <w:rPr>
          <w:i/>
          <w:iCs/>
        </w:rPr>
        <w:t>Risk-Aware Planning and a New Model for the Utility-Regulator Relationship</w:t>
      </w:r>
      <w:r w:rsidR="007876B3">
        <w:t xml:space="preserve">. Available at: </w:t>
      </w:r>
      <w:hyperlink r:id="rId1" w:history="1">
        <w:r w:rsidR="007876B3" w:rsidRPr="007876B3">
          <w:rPr>
            <w:rStyle w:val="Hyperlink"/>
          </w:rPr>
          <w:t>http://www.rbinz.com/Binz%20Marritz%20Paper%20071812.pdf</w:t>
        </w:r>
      </w:hyperlink>
      <w:r w:rsidR="007876B3">
        <w:t>.</w:t>
      </w:r>
    </w:p>
  </w:footnote>
  <w:footnote w:id="2">
    <w:p w14:paraId="1250240D" w14:textId="22933542" w:rsidR="00494644" w:rsidRDefault="00494644" w:rsidP="00494644">
      <w:pPr>
        <w:pStyle w:val="FootnoteText"/>
        <w:ind w:left="0"/>
      </w:pPr>
      <w:r>
        <w:rPr>
          <w:rStyle w:val="FootnoteReference"/>
        </w:rPr>
        <w:footnoteRef/>
      </w:r>
      <w:r>
        <w:t xml:space="preserve"> </w:t>
      </w:r>
      <w:r w:rsidRPr="00646C37">
        <w:rPr>
          <w:rFonts w:eastAsia="Times New Roman" w:cs="Times New Roman"/>
          <w:color w:val="000000"/>
        </w:rPr>
        <w:t xml:space="preserve">See generally </w:t>
      </w:r>
      <w:hyperlink r:id="rId2" w:history="1">
        <w:r w:rsidRPr="00646C37">
          <w:rPr>
            <w:rFonts w:eastAsia="Times New Roman" w:cs="Times New Roman"/>
            <w:color w:val="000000"/>
          </w:rPr>
          <w:t>GA Code § 46-3A-1</w:t>
        </w:r>
        <w:r>
          <w:rPr>
            <w:rFonts w:eastAsia="Times New Roman" w:cs="Times New Roman"/>
            <w:color w:val="000000"/>
          </w:rPr>
          <w:t xml:space="preserve">, </w:t>
        </w:r>
        <w:r w:rsidRPr="00646C37">
          <w:rPr>
            <w:rFonts w:eastAsia="Times New Roman" w:cs="Times New Roman"/>
            <w:color w:val="000000"/>
          </w:rPr>
          <w:t>2020</w:t>
        </w:r>
      </w:hyperlink>
      <w:r>
        <w:rPr>
          <w:rFonts w:eastAsia="Times New Roman" w:cs="Times New Roman"/>
          <w:color w:val="000000"/>
        </w:rPr>
        <w:t>.</w:t>
      </w:r>
    </w:p>
  </w:footnote>
  <w:footnote w:id="3">
    <w:p w14:paraId="0DBB051A" w14:textId="2EDAB1AA" w:rsidR="00C66F03" w:rsidRPr="00E31E40" w:rsidRDefault="00447F55" w:rsidP="00FB0C2D">
      <w:pPr>
        <w:pBdr>
          <w:top w:val="nil"/>
          <w:left w:val="nil"/>
          <w:bottom w:val="nil"/>
          <w:right w:val="nil"/>
          <w:between w:val="nil"/>
        </w:pBdr>
        <w:spacing w:after="0" w:line="240" w:lineRule="auto"/>
        <w:ind w:left="0"/>
        <w:jc w:val="both"/>
        <w:rPr>
          <w:rFonts w:eastAsia="Times New Roman" w:cs="Times New Roman"/>
          <w:color w:val="000000"/>
          <w:sz w:val="20"/>
          <w:szCs w:val="20"/>
        </w:rPr>
      </w:pPr>
      <w:r w:rsidRPr="00E31E40">
        <w:rPr>
          <w:sz w:val="20"/>
          <w:szCs w:val="20"/>
          <w:vertAlign w:val="superscript"/>
        </w:rPr>
        <w:footnoteRef/>
      </w:r>
      <w:r w:rsidRPr="00E31E40">
        <w:rPr>
          <w:rFonts w:eastAsia="Times New Roman" w:cs="Times New Roman"/>
          <w:color w:val="000000"/>
          <w:sz w:val="20"/>
          <w:szCs w:val="20"/>
        </w:rPr>
        <w:t xml:space="preserve"> </w:t>
      </w:r>
      <w:r w:rsidR="00C66F03" w:rsidRPr="00191821">
        <w:rPr>
          <w:rFonts w:eastAsia="Times New Roman" w:cs="Times New Roman"/>
          <w:i/>
          <w:iCs/>
          <w:color w:val="000000"/>
          <w:sz w:val="20"/>
          <w:szCs w:val="20"/>
        </w:rPr>
        <w:t>E.g.</w:t>
      </w:r>
      <w:r w:rsidR="00C66F03" w:rsidRPr="00E31E40">
        <w:rPr>
          <w:rFonts w:eastAsia="Times New Roman" w:cs="Times New Roman"/>
          <w:color w:val="000000"/>
          <w:sz w:val="20"/>
          <w:szCs w:val="20"/>
        </w:rPr>
        <w:t>,</w:t>
      </w:r>
      <w:r w:rsidR="00465C35">
        <w:rPr>
          <w:rFonts w:eastAsia="Times New Roman" w:cs="Times New Roman"/>
          <w:color w:val="000000"/>
          <w:sz w:val="20"/>
          <w:szCs w:val="20"/>
        </w:rPr>
        <w:t xml:space="preserve"> Lawrence Berkely National Laboratory websites on Competitive Procurement</w:t>
      </w:r>
      <w:r w:rsidR="00356CD0">
        <w:rPr>
          <w:rFonts w:eastAsia="Times New Roman" w:cs="Times New Roman"/>
          <w:color w:val="000000"/>
          <w:sz w:val="20"/>
          <w:szCs w:val="20"/>
        </w:rPr>
        <w:t>, available at:</w:t>
      </w:r>
      <w:r w:rsidR="00C66F03" w:rsidRPr="00E31E40">
        <w:rPr>
          <w:rFonts w:eastAsia="Times New Roman" w:cs="Times New Roman"/>
          <w:color w:val="000000"/>
          <w:sz w:val="20"/>
          <w:szCs w:val="20"/>
        </w:rPr>
        <w:t xml:space="preserve"> </w:t>
      </w:r>
      <w:hyperlink r:id="rId3" w:history="1">
        <w:r w:rsidR="00A576B5" w:rsidRPr="00F76C39">
          <w:rPr>
            <w:rStyle w:val="Hyperlink"/>
            <w:rFonts w:eastAsia="Times New Roman" w:cs="Times New Roman"/>
            <w:sz w:val="20"/>
            <w:szCs w:val="20"/>
          </w:rPr>
          <w:t>https://emp.</w:t>
        </w:r>
        <w:r w:rsidR="00A576B5" w:rsidRPr="00F76C39">
          <w:rPr>
            <w:rStyle w:val="Hyperlink"/>
            <w:rFonts w:eastAsia="Times New Roman" w:cs="Times New Roman"/>
            <w:sz w:val="20"/>
            <w:szCs w:val="20"/>
          </w:rPr>
          <w:br/>
          <w:t>lbl.gov/projects/competitive-procurement</w:t>
        </w:r>
      </w:hyperlink>
      <w:r w:rsidR="005C73D1">
        <w:rPr>
          <w:rFonts w:eastAsia="Times New Roman" w:cs="Times New Roman"/>
          <w:color w:val="000000"/>
          <w:sz w:val="20"/>
          <w:szCs w:val="20"/>
        </w:rPr>
        <w:t>;</w:t>
      </w:r>
      <w:r w:rsidR="00356CD0">
        <w:rPr>
          <w:rFonts w:eastAsia="Times New Roman" w:cs="Times New Roman"/>
          <w:color w:val="000000"/>
          <w:sz w:val="20"/>
          <w:szCs w:val="20"/>
        </w:rPr>
        <w:t xml:space="preserve"> and </w:t>
      </w:r>
      <w:r w:rsidR="00FB0C2D">
        <w:rPr>
          <w:rFonts w:eastAsia="Times New Roman" w:cs="Times New Roman"/>
          <w:color w:val="000000"/>
          <w:sz w:val="20"/>
          <w:szCs w:val="20"/>
        </w:rPr>
        <w:t xml:space="preserve">Resource Planning and Procurement Trends, available at: </w:t>
      </w:r>
      <w:r w:rsidR="00741A3C">
        <w:rPr>
          <w:rFonts w:eastAsia="Times New Roman" w:cs="Times New Roman"/>
          <w:color w:val="000000"/>
          <w:sz w:val="20"/>
          <w:szCs w:val="20"/>
        </w:rPr>
        <w:t xml:space="preserve"> </w:t>
      </w:r>
      <w:hyperlink r:id="rId4" w:history="1">
        <w:r w:rsidR="00A576B5" w:rsidRPr="00F76C39">
          <w:rPr>
            <w:rStyle w:val="Hyperlink"/>
            <w:rFonts w:eastAsia="Times New Roman" w:cs="Times New Roman"/>
            <w:sz w:val="20"/>
            <w:szCs w:val="20"/>
          </w:rPr>
          <w:t>https://em</w:t>
        </w:r>
        <w:r w:rsidR="00A576B5" w:rsidRPr="00F76C39">
          <w:rPr>
            <w:rStyle w:val="Hyperlink"/>
            <w:rFonts w:eastAsia="Times New Roman" w:cs="Times New Roman"/>
            <w:sz w:val="20"/>
            <w:szCs w:val="20"/>
          </w:rPr>
          <w:br/>
          <w:t>p.lbl.gov/projects/utility-resource-planning</w:t>
        </w:r>
      </w:hyperlink>
      <w:r w:rsidR="00EC3E95">
        <w:rPr>
          <w:rFonts w:eastAsia="Times New Roman" w:cs="Times New Roman"/>
          <w:color w:val="000000"/>
          <w:sz w:val="20"/>
          <w:szCs w:val="20"/>
        </w:rPr>
        <w:t>.</w:t>
      </w:r>
    </w:p>
  </w:footnote>
  <w:footnote w:id="4">
    <w:p w14:paraId="6B7A6590" w14:textId="550EC4CE" w:rsidR="004F60DA" w:rsidRPr="00E31E40" w:rsidRDefault="00447F55" w:rsidP="009D14F6">
      <w:pPr>
        <w:pBdr>
          <w:top w:val="nil"/>
          <w:left w:val="nil"/>
          <w:bottom w:val="nil"/>
          <w:right w:val="nil"/>
          <w:between w:val="nil"/>
        </w:pBdr>
        <w:spacing w:after="0" w:line="240" w:lineRule="auto"/>
        <w:ind w:left="0"/>
        <w:jc w:val="both"/>
        <w:rPr>
          <w:rFonts w:eastAsia="Times New Roman" w:cs="Times New Roman"/>
          <w:color w:val="000000"/>
          <w:sz w:val="20"/>
          <w:szCs w:val="20"/>
        </w:rPr>
      </w:pPr>
      <w:r w:rsidRPr="00E31E40">
        <w:rPr>
          <w:sz w:val="20"/>
          <w:szCs w:val="20"/>
          <w:vertAlign w:val="superscript"/>
        </w:rPr>
        <w:footnoteRef/>
      </w:r>
      <w:r w:rsidRPr="00E31E40">
        <w:rPr>
          <w:rFonts w:eastAsia="Times New Roman" w:cs="Times New Roman"/>
          <w:color w:val="000000"/>
          <w:sz w:val="20"/>
          <w:szCs w:val="20"/>
        </w:rPr>
        <w:t xml:space="preserve"> Colorado Public Utilities Commission, </w:t>
      </w:r>
      <w:r w:rsidR="00F876C2" w:rsidRPr="005D09E1">
        <w:rPr>
          <w:rFonts w:eastAsia="Times New Roman" w:cs="Times New Roman"/>
          <w:i/>
          <w:iCs/>
          <w:color w:val="000000"/>
          <w:sz w:val="20"/>
          <w:szCs w:val="20"/>
        </w:rPr>
        <w:t>Rules Regulating Electric Utilities</w:t>
      </w:r>
      <w:r w:rsidRPr="00E31E40">
        <w:rPr>
          <w:rFonts w:eastAsia="Times New Roman" w:cs="Times New Roman"/>
          <w:color w:val="000000"/>
          <w:sz w:val="20"/>
          <w:szCs w:val="20"/>
        </w:rPr>
        <w:t>, 4 CCR 723-3 Section 3611 (a)</w:t>
      </w:r>
      <w:r w:rsidR="005D09E1">
        <w:rPr>
          <w:rFonts w:eastAsia="Times New Roman" w:cs="Times New Roman"/>
          <w:color w:val="000000"/>
          <w:sz w:val="20"/>
          <w:szCs w:val="20"/>
        </w:rPr>
        <w:t>.</w:t>
      </w:r>
    </w:p>
  </w:footnote>
  <w:footnote w:id="5">
    <w:p w14:paraId="6B7A659C" w14:textId="77777777" w:rsidR="004F60DA" w:rsidRPr="00E31E40" w:rsidRDefault="00447F55" w:rsidP="009D14F6">
      <w:pPr>
        <w:pBdr>
          <w:top w:val="nil"/>
          <w:left w:val="nil"/>
          <w:bottom w:val="nil"/>
          <w:right w:val="nil"/>
          <w:between w:val="nil"/>
        </w:pBdr>
        <w:spacing w:after="0" w:line="240" w:lineRule="auto"/>
        <w:ind w:left="0"/>
        <w:jc w:val="both"/>
        <w:rPr>
          <w:rFonts w:eastAsia="Times New Roman" w:cs="Times New Roman"/>
          <w:color w:val="000000"/>
          <w:sz w:val="20"/>
          <w:szCs w:val="20"/>
        </w:rPr>
      </w:pPr>
      <w:r w:rsidRPr="00E31E40">
        <w:rPr>
          <w:sz w:val="20"/>
          <w:szCs w:val="20"/>
          <w:vertAlign w:val="superscript"/>
        </w:rPr>
        <w:footnoteRef/>
      </w:r>
      <w:r w:rsidRPr="00E31E40">
        <w:rPr>
          <w:rFonts w:eastAsia="Times New Roman" w:cs="Times New Roman"/>
          <w:color w:val="000000"/>
          <w:sz w:val="20"/>
          <w:szCs w:val="20"/>
        </w:rPr>
        <w:t xml:space="preserve"> In this table, prices are </w:t>
      </w:r>
      <w:r w:rsidRPr="00E31E40">
        <w:rPr>
          <w:rFonts w:eastAsia="Times New Roman" w:cs="Times New Roman"/>
          <w:sz w:val="20"/>
          <w:szCs w:val="20"/>
        </w:rPr>
        <w:t>redacted</w:t>
      </w:r>
      <w:r w:rsidRPr="00E31E40">
        <w:rPr>
          <w:rFonts w:eastAsia="Times New Roman" w:cs="Times New Roman"/>
          <w:color w:val="000000"/>
          <w:sz w:val="20"/>
          <w:szCs w:val="20"/>
        </w:rPr>
        <w:t xml:space="preserve"> when the number of bidders (1 or 2) is so small that the vendors’ identities could be discovered.</w:t>
      </w:r>
    </w:p>
  </w:footnote>
  <w:footnote w:id="6">
    <w:p w14:paraId="6B7A659D" w14:textId="69858AC5" w:rsidR="004F60DA" w:rsidRDefault="00447F55" w:rsidP="009D14F6">
      <w:pPr>
        <w:spacing w:after="0" w:line="240" w:lineRule="auto"/>
        <w:ind w:left="0"/>
        <w:jc w:val="both"/>
        <w:rPr>
          <w:rFonts w:eastAsia="Times New Roman" w:cs="Times New Roman"/>
          <w:sz w:val="20"/>
          <w:szCs w:val="20"/>
        </w:rPr>
      </w:pPr>
      <w:r w:rsidRPr="00E31E40">
        <w:rPr>
          <w:sz w:val="20"/>
          <w:szCs w:val="20"/>
          <w:vertAlign w:val="superscript"/>
        </w:rPr>
        <w:footnoteRef/>
      </w:r>
      <w:r w:rsidRPr="00E31E40">
        <w:rPr>
          <w:rFonts w:eastAsia="Times New Roman" w:cs="Times New Roman"/>
          <w:sz w:val="20"/>
          <w:szCs w:val="20"/>
        </w:rPr>
        <w:t xml:space="preserve"> </w:t>
      </w:r>
      <w:r w:rsidR="00C03938">
        <w:rPr>
          <w:rFonts w:eastAsia="Times New Roman" w:cs="Times New Roman"/>
          <w:sz w:val="20"/>
          <w:szCs w:val="20"/>
        </w:rPr>
        <w:t>A</w:t>
      </w:r>
      <w:r w:rsidRPr="00E31E40">
        <w:rPr>
          <w:rFonts w:eastAsia="Times New Roman" w:cs="Times New Roman"/>
          <w:sz w:val="20"/>
          <w:szCs w:val="20"/>
        </w:rPr>
        <w:t xml:space="preserve">n effusive utility employee called prices in the 2016 </w:t>
      </w:r>
      <w:r w:rsidR="00082CCC">
        <w:rPr>
          <w:rFonts w:eastAsia="Times New Roman" w:cs="Times New Roman"/>
          <w:sz w:val="20"/>
          <w:szCs w:val="20"/>
        </w:rPr>
        <w:t>all-source solicitation</w:t>
      </w:r>
      <w:r w:rsidRPr="00E31E40">
        <w:rPr>
          <w:rFonts w:eastAsia="Times New Roman" w:cs="Times New Roman"/>
          <w:sz w:val="20"/>
          <w:szCs w:val="20"/>
        </w:rPr>
        <w:t xml:space="preserve"> “incredible</w:t>
      </w:r>
      <w:r w:rsidR="009D14F6">
        <w:rPr>
          <w:rFonts w:eastAsia="Times New Roman" w:cs="Times New Roman"/>
          <w:sz w:val="20"/>
          <w:szCs w:val="20"/>
        </w:rPr>
        <w:t>.</w:t>
      </w:r>
      <w:r w:rsidRPr="00E31E40">
        <w:rPr>
          <w:rFonts w:eastAsia="Times New Roman" w:cs="Times New Roman"/>
          <w:sz w:val="20"/>
          <w:szCs w:val="20"/>
        </w:rPr>
        <w:t xml:space="preserve">” </w:t>
      </w:r>
    </w:p>
  </w:footnote>
  <w:footnote w:id="7">
    <w:p w14:paraId="1EA9CE50" w14:textId="39B0E9F6" w:rsidR="00C81B47" w:rsidRPr="00D07E7A" w:rsidRDefault="00C81B47" w:rsidP="008F6A42">
      <w:pPr>
        <w:spacing w:after="0" w:line="240" w:lineRule="auto"/>
        <w:ind w:left="0"/>
        <w:jc w:val="both"/>
        <w:rPr>
          <w:rFonts w:eastAsia="Times New Roman" w:cs="Times New Roman"/>
          <w:sz w:val="20"/>
          <w:szCs w:val="20"/>
        </w:rPr>
      </w:pPr>
      <w:r w:rsidRPr="00D07E7A">
        <w:rPr>
          <w:rStyle w:val="FootnoteReference"/>
          <w:rFonts w:cs="Times New Roman"/>
          <w:sz w:val="20"/>
          <w:szCs w:val="20"/>
        </w:rPr>
        <w:footnoteRef/>
      </w:r>
      <w:r w:rsidRPr="00D07E7A">
        <w:rPr>
          <w:rFonts w:cs="Times New Roman"/>
          <w:sz w:val="20"/>
          <w:szCs w:val="20"/>
        </w:rPr>
        <w:t xml:space="preserve"> </w:t>
      </w:r>
      <w:r w:rsidR="00D07E7A" w:rsidRPr="00D07E7A">
        <w:rPr>
          <w:rFonts w:eastAsia="Times New Roman" w:cs="Times New Roman"/>
          <w:color w:val="000000" w:themeColor="text1"/>
          <w:sz w:val="20"/>
          <w:szCs w:val="20"/>
        </w:rPr>
        <w:t xml:space="preserve">Kahrl, F., March 2021, </w:t>
      </w:r>
      <w:r w:rsidR="00D07E7A" w:rsidRPr="00D07E7A">
        <w:rPr>
          <w:rFonts w:eastAsia="Times New Roman" w:cs="Times New Roman"/>
          <w:i/>
          <w:iCs/>
          <w:color w:val="000000" w:themeColor="text1"/>
          <w:sz w:val="20"/>
          <w:szCs w:val="20"/>
        </w:rPr>
        <w:t>All-Source Competitive Solicitations: State and Electricity Utility Practices</w:t>
      </w:r>
      <w:r w:rsidR="00D07E7A" w:rsidRPr="00D07E7A">
        <w:rPr>
          <w:rFonts w:eastAsia="Times New Roman" w:cs="Times New Roman"/>
          <w:color w:val="000000" w:themeColor="text1"/>
          <w:sz w:val="20"/>
          <w:szCs w:val="20"/>
        </w:rPr>
        <w:t xml:space="preserve">, </w:t>
      </w:r>
      <w:r w:rsidR="009161F4" w:rsidRPr="00D07E7A">
        <w:rPr>
          <w:rFonts w:eastAsia="Times New Roman" w:cs="Times New Roman"/>
          <w:color w:val="000000" w:themeColor="text1"/>
          <w:sz w:val="20"/>
          <w:szCs w:val="20"/>
        </w:rPr>
        <w:t>Berkeley</w:t>
      </w:r>
      <w:r w:rsidR="00D07E7A" w:rsidRPr="00D07E7A">
        <w:rPr>
          <w:rFonts w:eastAsia="Times New Roman" w:cs="Times New Roman"/>
          <w:color w:val="000000" w:themeColor="text1"/>
          <w:sz w:val="20"/>
          <w:szCs w:val="20"/>
        </w:rPr>
        <w:t>, CA: Lawrence Berkeley National Laboratory. pp. 59.</w:t>
      </w:r>
    </w:p>
  </w:footnote>
  <w:footnote w:id="8">
    <w:p w14:paraId="20D4DE28" w14:textId="1A8242DA" w:rsidR="007239EE" w:rsidRPr="00E94950" w:rsidRDefault="00EF3DB6" w:rsidP="008F6A42">
      <w:pPr>
        <w:spacing w:after="0" w:line="240" w:lineRule="auto"/>
        <w:ind w:left="0"/>
        <w:jc w:val="both"/>
        <w:rPr>
          <w:rFonts w:eastAsia="Times New Roman" w:cs="Times New Roman"/>
          <w:sz w:val="20"/>
          <w:szCs w:val="20"/>
        </w:rPr>
      </w:pPr>
      <w:r w:rsidRPr="00E94950">
        <w:rPr>
          <w:rStyle w:val="FootnoteReference"/>
          <w:rFonts w:cs="Times New Roman"/>
          <w:sz w:val="20"/>
          <w:szCs w:val="20"/>
        </w:rPr>
        <w:footnoteRef/>
      </w:r>
      <w:r w:rsidRPr="00E94950">
        <w:rPr>
          <w:rFonts w:cs="Times New Roman"/>
          <w:sz w:val="20"/>
          <w:szCs w:val="20"/>
        </w:rPr>
        <w:t xml:space="preserve"> For a</w:t>
      </w:r>
      <w:r w:rsidR="007239EE" w:rsidRPr="00E94950">
        <w:rPr>
          <w:rFonts w:cs="Times New Roman"/>
          <w:sz w:val="20"/>
          <w:szCs w:val="20"/>
        </w:rPr>
        <w:t xml:space="preserve"> helpful </w:t>
      </w:r>
      <w:r w:rsidRPr="00E94950">
        <w:rPr>
          <w:rFonts w:cs="Times New Roman"/>
          <w:sz w:val="20"/>
          <w:szCs w:val="20"/>
        </w:rPr>
        <w:t xml:space="preserve">discussion of </w:t>
      </w:r>
      <w:r w:rsidR="00DA19F5">
        <w:rPr>
          <w:rFonts w:cs="Times New Roman"/>
          <w:sz w:val="20"/>
          <w:szCs w:val="20"/>
        </w:rPr>
        <w:t>a</w:t>
      </w:r>
      <w:r w:rsidRPr="00E94950">
        <w:rPr>
          <w:rFonts w:cs="Times New Roman"/>
          <w:sz w:val="20"/>
          <w:szCs w:val="20"/>
        </w:rPr>
        <w:t>ll</w:t>
      </w:r>
      <w:r w:rsidR="00DA19F5">
        <w:rPr>
          <w:rFonts w:cs="Times New Roman"/>
          <w:sz w:val="20"/>
          <w:szCs w:val="20"/>
        </w:rPr>
        <w:t>-s</w:t>
      </w:r>
      <w:r w:rsidRPr="00E94950">
        <w:rPr>
          <w:rFonts w:cs="Times New Roman"/>
          <w:sz w:val="20"/>
          <w:szCs w:val="20"/>
        </w:rPr>
        <w:t xml:space="preserve">ource </w:t>
      </w:r>
      <w:r w:rsidR="00DA19F5">
        <w:rPr>
          <w:rFonts w:cs="Times New Roman"/>
          <w:sz w:val="20"/>
          <w:szCs w:val="20"/>
        </w:rPr>
        <w:t>s</w:t>
      </w:r>
      <w:r w:rsidRPr="00E94950">
        <w:rPr>
          <w:rFonts w:cs="Times New Roman"/>
          <w:sz w:val="20"/>
          <w:szCs w:val="20"/>
        </w:rPr>
        <w:t xml:space="preserve">olicitations, see </w:t>
      </w:r>
      <w:r w:rsidR="00DA19F5">
        <w:rPr>
          <w:rFonts w:eastAsia="Times New Roman" w:cs="Times New Roman"/>
          <w:sz w:val="20"/>
          <w:szCs w:val="20"/>
        </w:rPr>
        <w:t>above, included as Exhibit</w:t>
      </w:r>
      <w:r w:rsidR="00C05001">
        <w:rPr>
          <w:rFonts w:eastAsia="Times New Roman" w:cs="Times New Roman"/>
          <w:sz w:val="20"/>
          <w:szCs w:val="20"/>
        </w:rPr>
        <w:t xml:space="preserve"> 2.</w:t>
      </w:r>
    </w:p>
    <w:p w14:paraId="0E1D6754" w14:textId="215B73BC" w:rsidR="00EF3DB6" w:rsidRDefault="00EF3DB6">
      <w:pPr>
        <w:pStyle w:val="FootnoteText"/>
      </w:pPr>
    </w:p>
  </w:footnote>
  <w:footnote w:id="9">
    <w:p w14:paraId="6B7A65A2" w14:textId="2B5A3A58" w:rsidR="004F60DA" w:rsidRPr="00EB2317" w:rsidRDefault="00447F55" w:rsidP="00EB2317">
      <w:pPr>
        <w:spacing w:after="0" w:line="240" w:lineRule="auto"/>
        <w:ind w:left="0"/>
        <w:jc w:val="both"/>
        <w:rPr>
          <w:rFonts w:eastAsia="Times New Roman" w:cs="Times New Roman"/>
          <w:sz w:val="20"/>
          <w:szCs w:val="20"/>
        </w:rPr>
      </w:pPr>
      <w:r w:rsidRPr="00EB2317">
        <w:rPr>
          <w:rFonts w:cs="Times New Roman"/>
          <w:sz w:val="20"/>
          <w:szCs w:val="20"/>
          <w:vertAlign w:val="superscript"/>
        </w:rPr>
        <w:footnoteRef/>
      </w:r>
      <w:r w:rsidRPr="00EB2317">
        <w:rPr>
          <w:rFonts w:eastAsia="Times New Roman" w:cs="Times New Roman"/>
          <w:sz w:val="20"/>
          <w:szCs w:val="20"/>
        </w:rPr>
        <w:t xml:space="preserve"> </w:t>
      </w:r>
      <w:r w:rsidR="00EB2317" w:rsidRPr="00EB2317">
        <w:rPr>
          <w:rFonts w:eastAsia="Times New Roman" w:cs="Times New Roman"/>
          <w:i/>
          <w:iCs/>
          <w:sz w:val="20"/>
          <w:szCs w:val="20"/>
        </w:rPr>
        <w:t xml:space="preserve">Georgia Power’s </w:t>
      </w:r>
      <w:r w:rsidR="00EB2317" w:rsidRPr="00EB2317">
        <w:rPr>
          <w:rFonts w:eastAsia="Times New Roman" w:cs="Times New Roman"/>
          <w:i/>
          <w:iCs/>
          <w:color w:val="000000" w:themeColor="text1"/>
          <w:sz w:val="20"/>
          <w:szCs w:val="20"/>
        </w:rPr>
        <w:t>2022-2028 Capacity-based RFP</w:t>
      </w:r>
      <w:r w:rsidR="00EB2317">
        <w:rPr>
          <w:rFonts w:eastAsia="Times New Roman" w:cs="Times New Roman"/>
          <w:color w:val="000000" w:themeColor="text1"/>
          <w:sz w:val="20"/>
          <w:szCs w:val="20"/>
        </w:rPr>
        <w:t xml:space="preserve">, </w:t>
      </w:r>
      <w:r w:rsidR="00EB2317" w:rsidRPr="00EB2317">
        <w:rPr>
          <w:rFonts w:eastAsia="Times New Roman" w:cs="Times New Roman"/>
          <w:color w:val="000000" w:themeColor="text1"/>
          <w:sz w:val="20"/>
          <w:szCs w:val="20"/>
        </w:rPr>
        <w:t>Docket No. 426</w:t>
      </w:r>
      <w:r w:rsidR="00217D1E">
        <w:rPr>
          <w:rFonts w:eastAsia="Times New Roman" w:cs="Times New Roman"/>
          <w:color w:val="000000" w:themeColor="text1"/>
          <w:sz w:val="20"/>
          <w:szCs w:val="20"/>
        </w:rPr>
        <w:t>4</w:t>
      </w:r>
      <w:r w:rsidR="00EB2317" w:rsidRPr="00EB2317">
        <w:rPr>
          <w:rFonts w:eastAsia="Times New Roman" w:cs="Times New Roman"/>
          <w:color w:val="000000" w:themeColor="text1"/>
          <w:sz w:val="20"/>
          <w:szCs w:val="20"/>
        </w:rPr>
        <w:t>1</w:t>
      </w:r>
      <w:r w:rsidR="00EB2317">
        <w:rPr>
          <w:rFonts w:eastAsia="Times New Roman" w:cs="Times New Roman"/>
          <w:color w:val="000000" w:themeColor="text1"/>
          <w:sz w:val="20"/>
          <w:szCs w:val="20"/>
        </w:rPr>
        <w:t>.</w:t>
      </w:r>
    </w:p>
  </w:footnote>
  <w:footnote w:id="10">
    <w:p w14:paraId="6B7A65A3" w14:textId="051C7AA6" w:rsidR="004F60DA" w:rsidRPr="000A7FA9" w:rsidRDefault="00447F55" w:rsidP="000A7FA9">
      <w:pPr>
        <w:pBdr>
          <w:top w:val="nil"/>
          <w:left w:val="nil"/>
          <w:bottom w:val="nil"/>
          <w:right w:val="nil"/>
          <w:between w:val="nil"/>
        </w:pBdr>
        <w:spacing w:after="0" w:line="240" w:lineRule="auto"/>
        <w:ind w:left="0"/>
        <w:jc w:val="both"/>
        <w:rPr>
          <w:rFonts w:eastAsia="Times New Roman" w:cs="Times New Roman"/>
          <w:color w:val="000000"/>
          <w:sz w:val="20"/>
          <w:szCs w:val="20"/>
        </w:rPr>
      </w:pPr>
      <w:r w:rsidRPr="000A7FA9">
        <w:rPr>
          <w:sz w:val="20"/>
          <w:szCs w:val="20"/>
          <w:vertAlign w:val="superscript"/>
        </w:rPr>
        <w:footnoteRef/>
      </w:r>
      <w:r w:rsidRPr="000A7FA9">
        <w:rPr>
          <w:rFonts w:eastAsia="Times New Roman" w:cs="Times New Roman"/>
          <w:color w:val="000000"/>
          <w:sz w:val="20"/>
          <w:szCs w:val="20"/>
        </w:rPr>
        <w:t xml:space="preserve"> </w:t>
      </w:r>
      <w:r w:rsidRPr="000A7FA9">
        <w:rPr>
          <w:rFonts w:eastAsia="Times New Roman" w:cs="Times New Roman"/>
          <w:sz w:val="20"/>
          <w:szCs w:val="20"/>
        </w:rPr>
        <w:t>I</w:t>
      </w:r>
      <w:r w:rsidR="00D77CD8">
        <w:rPr>
          <w:rFonts w:eastAsia="Times New Roman" w:cs="Times New Roman"/>
          <w:sz w:val="20"/>
          <w:szCs w:val="20"/>
        </w:rPr>
        <w:t>d., Page 7</w:t>
      </w:r>
      <w:r w:rsidRPr="000A7FA9">
        <w:rPr>
          <w:rFonts w:eastAsia="Times New Roman" w:cs="Times New Roman"/>
          <w:sz w:val="20"/>
          <w:szCs w:val="20"/>
        </w:rPr>
        <w:t>.</w:t>
      </w:r>
    </w:p>
  </w:footnote>
  <w:footnote w:id="11">
    <w:p w14:paraId="24B44BE3" w14:textId="299780DF" w:rsidR="00280A6B" w:rsidRDefault="00280A6B" w:rsidP="001D596C">
      <w:pPr>
        <w:pStyle w:val="FootnoteText"/>
        <w:ind w:left="0"/>
      </w:pPr>
      <w:r>
        <w:rPr>
          <w:rStyle w:val="FootnoteReference"/>
        </w:rPr>
        <w:footnoteRef/>
      </w:r>
      <w:r>
        <w:t xml:space="preserve"> </w:t>
      </w:r>
      <w:r w:rsidR="001D6402" w:rsidRPr="00D464A0">
        <w:rPr>
          <w:i/>
          <w:iCs/>
        </w:rPr>
        <w:t>Georgia Power’s 2022</w:t>
      </w:r>
      <w:r w:rsidR="00D464A0" w:rsidRPr="00D464A0">
        <w:rPr>
          <w:i/>
          <w:iCs/>
        </w:rPr>
        <w:t xml:space="preserve"> Integrate Resource Plan</w:t>
      </w:r>
      <w:r w:rsidR="00D464A0">
        <w:t>, Docket No. 44160</w:t>
      </w:r>
      <w:r w:rsidR="006B0980">
        <w:t>,</w:t>
      </w:r>
      <w:r w:rsidR="00D464A0">
        <w:t xml:space="preserve"> </w:t>
      </w:r>
      <w:r w:rsidR="009634F5">
        <w:t xml:space="preserve">Technical Appendix </w:t>
      </w:r>
      <w:r w:rsidR="006B0980">
        <w:t xml:space="preserve">PD Volume 1, Resource Mix Study. </w:t>
      </w:r>
      <w:r w:rsidR="001D6402">
        <w:t>Data f</w:t>
      </w:r>
      <w:r w:rsidRPr="00280A6B">
        <w:t>rom the “SystemCost” tab of PD Capacity Expansion Plans.xlsx</w:t>
      </w:r>
      <w:r w:rsidR="00D464A0">
        <w:t>.</w:t>
      </w:r>
    </w:p>
  </w:footnote>
  <w:footnote w:id="12">
    <w:p w14:paraId="4E6F4333" w14:textId="57FF3D49" w:rsidR="007E42C3" w:rsidRDefault="007E42C3" w:rsidP="007E42C3">
      <w:pPr>
        <w:pStyle w:val="FootnoteText"/>
        <w:ind w:left="0"/>
      </w:pPr>
      <w:r>
        <w:rPr>
          <w:rStyle w:val="FootnoteReference"/>
        </w:rPr>
        <w:footnoteRef/>
      </w:r>
      <w:r>
        <w:t xml:space="preserve"> </w:t>
      </w:r>
      <w:r w:rsidRPr="00D464A0">
        <w:rPr>
          <w:i/>
          <w:iCs/>
        </w:rPr>
        <w:t>Georgia Power’s 2022 Integrate Resource Plan</w:t>
      </w:r>
      <w:r>
        <w:t>, Docket No. 44160, Technical Appendix PD Volume 1, Resource Mix Study. Data f</w:t>
      </w:r>
      <w:r w:rsidRPr="00280A6B">
        <w:t>rom the “SystemCost” tab of PD Capacity Expansion Plans.xlsx</w:t>
      </w:r>
      <w:r>
        <w:t>.</w:t>
      </w:r>
    </w:p>
  </w:footnote>
  <w:footnote w:id="13">
    <w:p w14:paraId="2178342A" w14:textId="39970479" w:rsidR="008A06BB" w:rsidRDefault="008A06BB" w:rsidP="007774FC">
      <w:pPr>
        <w:pStyle w:val="FootnoteText"/>
        <w:ind w:left="0"/>
        <w:jc w:val="both"/>
      </w:pPr>
      <w:r>
        <w:rPr>
          <w:rStyle w:val="FootnoteReference"/>
        </w:rPr>
        <w:footnoteRef/>
      </w:r>
      <w:r>
        <w:t xml:space="preserve"> </w:t>
      </w:r>
      <w:r w:rsidR="00C76880" w:rsidRPr="00C76880">
        <w:rPr>
          <w:i/>
          <w:iCs/>
        </w:rPr>
        <w:t>Georgia Power’s 2022 Integrated Resource Plan</w:t>
      </w:r>
      <w:r w:rsidR="00C76880">
        <w:t xml:space="preserve">, Docket No. </w:t>
      </w:r>
      <w:r w:rsidR="00870986">
        <w:t xml:space="preserve">44160, </w:t>
      </w:r>
      <w:r w:rsidR="00C76880">
        <w:t>Main Document, Page 10-66.</w:t>
      </w:r>
    </w:p>
  </w:footnote>
  <w:footnote w:id="14">
    <w:p w14:paraId="73BAB6F4" w14:textId="55A4B2FE" w:rsidR="00462AFC" w:rsidRDefault="00462AFC" w:rsidP="007774FC">
      <w:pPr>
        <w:pStyle w:val="FootnoteText"/>
        <w:ind w:left="0"/>
        <w:jc w:val="both"/>
      </w:pPr>
      <w:r>
        <w:rPr>
          <w:rStyle w:val="FootnoteReference"/>
        </w:rPr>
        <w:footnoteRef/>
      </w:r>
      <w:r>
        <w:t xml:space="preserve"> </w:t>
      </w:r>
      <w:r w:rsidR="002C7788">
        <w:t>Bolinger, M., J. Seel, S. Robson, and C. Warner</w:t>
      </w:r>
      <w:r w:rsidR="008228E1">
        <w:t xml:space="preserve">, November 2020, </w:t>
      </w:r>
      <w:r w:rsidR="008228E1" w:rsidRPr="006F43EE">
        <w:rPr>
          <w:i/>
          <w:iCs/>
        </w:rPr>
        <w:t>Utility Scale Solar Data Update: 2020 Edition</w:t>
      </w:r>
      <w:r w:rsidR="00036DE2">
        <w:t xml:space="preserve">, Berkeley, CA: Lawrence Berkeley National Laboratory. pp 57. Available at: </w:t>
      </w:r>
      <w:hyperlink r:id="rId5" w:history="1">
        <w:r w:rsidR="007774FC" w:rsidRPr="00EA299F">
          <w:rPr>
            <w:rStyle w:val="Hyperlink"/>
          </w:rPr>
          <w:t>https://emp.lbl.gov/sites/default/</w:t>
        </w:r>
        <w:r w:rsidR="007774FC" w:rsidRPr="00EA299F">
          <w:rPr>
            <w:rStyle w:val="Hyperlink"/>
          </w:rPr>
          <w:br/>
          <w:t>files/2020_utility-scale_solar_data_update.pdf</w:t>
        </w:r>
      </w:hyperlink>
    </w:p>
  </w:footnote>
  <w:footnote w:id="15">
    <w:p w14:paraId="08A78483" w14:textId="1AAE4D74" w:rsidR="0011762A" w:rsidRPr="00CB7C8F" w:rsidRDefault="00447F55" w:rsidP="00CB7C8F">
      <w:pPr>
        <w:spacing w:after="0" w:line="240" w:lineRule="auto"/>
        <w:ind w:left="0"/>
        <w:rPr>
          <w:rFonts w:cs="Times New Roman"/>
          <w:sz w:val="20"/>
          <w:szCs w:val="20"/>
        </w:rPr>
      </w:pPr>
      <w:r w:rsidRPr="00CB7C8F">
        <w:rPr>
          <w:rFonts w:cs="Times New Roman"/>
          <w:sz w:val="20"/>
          <w:szCs w:val="20"/>
          <w:vertAlign w:val="superscript"/>
        </w:rPr>
        <w:footnoteRef/>
      </w:r>
      <w:r w:rsidRPr="00CB7C8F">
        <w:rPr>
          <w:rFonts w:cs="Times New Roman"/>
          <w:sz w:val="20"/>
          <w:szCs w:val="20"/>
        </w:rPr>
        <w:t xml:space="preserve"> </w:t>
      </w:r>
      <w:r w:rsidR="002D5CBF" w:rsidRPr="002D5CBF">
        <w:rPr>
          <w:rFonts w:cs="Times New Roman"/>
          <w:i/>
          <w:iCs/>
          <w:sz w:val="20"/>
          <w:szCs w:val="20"/>
        </w:rPr>
        <w:t>E.g.</w:t>
      </w:r>
      <w:r w:rsidR="002D5CBF">
        <w:rPr>
          <w:rFonts w:cs="Times New Roman"/>
          <w:sz w:val="20"/>
          <w:szCs w:val="20"/>
        </w:rPr>
        <w:t>,</w:t>
      </w:r>
      <w:r w:rsidR="00566F37">
        <w:rPr>
          <w:rFonts w:cs="Times New Roman"/>
          <w:sz w:val="20"/>
          <w:szCs w:val="20"/>
        </w:rPr>
        <w:t xml:space="preserve"> Trabish, H.K., June 2021, </w:t>
      </w:r>
      <w:r w:rsidR="00566F37" w:rsidRPr="007C27B1">
        <w:rPr>
          <w:rFonts w:cs="Times New Roman"/>
          <w:i/>
          <w:iCs/>
          <w:sz w:val="20"/>
          <w:szCs w:val="20"/>
        </w:rPr>
        <w:t xml:space="preserve">Xcel’s </w:t>
      </w:r>
      <w:r w:rsidR="00F91F0F" w:rsidRPr="007C27B1">
        <w:rPr>
          <w:rFonts w:cs="Times New Roman"/>
          <w:i/>
          <w:iCs/>
          <w:sz w:val="20"/>
          <w:szCs w:val="20"/>
        </w:rPr>
        <w:t>Record-Low-Price Procurement Highlights Benefits of All-Source Competitive Solicitations</w:t>
      </w:r>
      <w:r w:rsidR="007C27B1">
        <w:rPr>
          <w:rFonts w:cs="Times New Roman"/>
          <w:sz w:val="20"/>
          <w:szCs w:val="20"/>
        </w:rPr>
        <w:t>, UtilityDive.com. Available at:</w:t>
      </w:r>
      <w:r w:rsidR="002D5CBF">
        <w:rPr>
          <w:rFonts w:cs="Times New Roman"/>
          <w:sz w:val="20"/>
          <w:szCs w:val="20"/>
        </w:rPr>
        <w:t xml:space="preserve"> </w:t>
      </w:r>
      <w:hyperlink r:id="rId6" w:history="1">
        <w:r w:rsidR="00EA299F" w:rsidRPr="00F76C39">
          <w:rPr>
            <w:rStyle w:val="Hyperlink"/>
            <w:rFonts w:eastAsia="Times New Roman" w:cs="Times New Roman"/>
            <w:sz w:val="20"/>
            <w:szCs w:val="20"/>
          </w:rPr>
          <w:t>https://tinyurl.com/y4d4re5c</w:t>
        </w:r>
      </w:hyperlink>
      <w:r w:rsidR="002D5CBF">
        <w:rPr>
          <w:rFonts w:eastAsia="Times New Roman" w:cs="Times New Roman"/>
          <w:sz w:val="20"/>
          <w:szCs w:val="20"/>
        </w:rPr>
        <w:t>.</w:t>
      </w:r>
    </w:p>
  </w:footnote>
  <w:footnote w:id="16">
    <w:p w14:paraId="6B7A65A6" w14:textId="6E5960FC" w:rsidR="004F60DA" w:rsidRPr="00E70C5D" w:rsidRDefault="00447F55" w:rsidP="00FC50F1">
      <w:pPr>
        <w:pBdr>
          <w:top w:val="nil"/>
          <w:left w:val="nil"/>
          <w:bottom w:val="nil"/>
          <w:right w:val="nil"/>
          <w:between w:val="nil"/>
        </w:pBdr>
        <w:spacing w:after="0" w:line="240" w:lineRule="auto"/>
        <w:ind w:left="0"/>
        <w:jc w:val="both"/>
        <w:rPr>
          <w:rFonts w:eastAsia="Times New Roman" w:cs="Times New Roman"/>
          <w:color w:val="000000"/>
          <w:sz w:val="20"/>
          <w:szCs w:val="20"/>
        </w:rPr>
      </w:pPr>
      <w:r w:rsidRPr="00E70C5D">
        <w:rPr>
          <w:rFonts w:cs="Times New Roman"/>
          <w:sz w:val="20"/>
          <w:szCs w:val="20"/>
          <w:vertAlign w:val="superscript"/>
        </w:rPr>
        <w:footnoteRef/>
      </w:r>
      <w:r w:rsidRPr="00E70C5D">
        <w:rPr>
          <w:rFonts w:eastAsia="Times New Roman" w:cs="Times New Roman"/>
          <w:color w:val="000000"/>
          <w:sz w:val="20"/>
          <w:szCs w:val="20"/>
        </w:rPr>
        <w:t xml:space="preserve"> </w:t>
      </w:r>
      <w:r w:rsidR="00E70C5D" w:rsidRPr="00E70C5D">
        <w:rPr>
          <w:sz w:val="20"/>
          <w:szCs w:val="20"/>
        </w:rPr>
        <w:t xml:space="preserve">Bolinger, M., J. Seel, S. Robson, and C. Warner, November 2020, </w:t>
      </w:r>
      <w:r w:rsidR="00E70C5D" w:rsidRPr="00E70C5D">
        <w:rPr>
          <w:i/>
          <w:iCs/>
          <w:sz w:val="20"/>
          <w:szCs w:val="20"/>
        </w:rPr>
        <w:t>Utility Scale Solar Data Update: 2020 Edition</w:t>
      </w:r>
      <w:r w:rsidR="00E70C5D" w:rsidRPr="00E70C5D">
        <w:rPr>
          <w:sz w:val="20"/>
          <w:szCs w:val="20"/>
        </w:rPr>
        <w:t xml:space="preserve">, Berkeley, CA: Lawrence Berkeley National Laboratory. pp 57. Available at: </w:t>
      </w:r>
      <w:hyperlink r:id="rId7" w:history="1">
        <w:r w:rsidR="00FC50F1" w:rsidRPr="00EA299F">
          <w:rPr>
            <w:rStyle w:val="Hyperlink"/>
            <w:sz w:val="20"/>
            <w:szCs w:val="20"/>
          </w:rPr>
          <w:t>https://emp.lbl.gov/sites/default/files/</w:t>
        </w:r>
        <w:r w:rsidR="00FC50F1" w:rsidRPr="00EA299F">
          <w:rPr>
            <w:rStyle w:val="Hyperlink"/>
            <w:sz w:val="20"/>
            <w:szCs w:val="20"/>
          </w:rPr>
          <w:br/>
          <w:t>2020_utility-scale_solar_data_update.pdf</w:t>
        </w:r>
      </w:hyperlink>
      <w:r w:rsidR="00EA299F">
        <w:rPr>
          <w:sz w:val="20"/>
          <w:szCs w:val="20"/>
        </w:rPr>
        <w:t>.</w:t>
      </w:r>
    </w:p>
  </w:footnote>
  <w:footnote w:id="17">
    <w:p w14:paraId="75DF7A50" w14:textId="31AB11F2" w:rsidR="008E3F32" w:rsidRPr="003C303B" w:rsidRDefault="008E3F32" w:rsidP="008E3F32">
      <w:pPr>
        <w:pStyle w:val="FootnoteText"/>
        <w:ind w:left="0"/>
      </w:pPr>
      <w:r>
        <w:rPr>
          <w:rStyle w:val="FootnoteReference"/>
        </w:rPr>
        <w:footnoteRef/>
      </w:r>
      <w:r>
        <w:t xml:space="preserve"> </w:t>
      </w:r>
      <w:r w:rsidRPr="00BC39E9">
        <w:rPr>
          <w:i/>
          <w:iCs/>
        </w:rPr>
        <w:t>Id.</w:t>
      </w:r>
      <w:r w:rsidR="003C303B">
        <w:rPr>
          <w:i/>
          <w:iCs/>
        </w:rPr>
        <w:t>,</w:t>
      </w:r>
      <w:r w:rsidR="003C303B">
        <w:t xml:space="preserve"> Page 30.</w:t>
      </w:r>
    </w:p>
  </w:footnote>
  <w:footnote w:id="18">
    <w:p w14:paraId="7C9134B6" w14:textId="19773970" w:rsidR="00613574" w:rsidRPr="00543492" w:rsidRDefault="00613574" w:rsidP="00FC50F1">
      <w:pPr>
        <w:pStyle w:val="FootnoteText"/>
        <w:ind w:left="0"/>
        <w:jc w:val="both"/>
        <w:rPr>
          <w:rFonts w:asciiTheme="minorHAnsi" w:hAnsiTheme="minorHAnsi"/>
        </w:rPr>
      </w:pPr>
      <w:r w:rsidRPr="00CB7C8F">
        <w:rPr>
          <w:rStyle w:val="FootnoteReference"/>
          <w:rFonts w:cs="Times New Roman"/>
        </w:rPr>
        <w:footnoteRef/>
      </w:r>
      <w:r w:rsidR="002E79E0">
        <w:rPr>
          <w:rFonts w:cs="Times New Roman"/>
        </w:rPr>
        <w:t xml:space="preserve"> </w:t>
      </w:r>
      <w:r w:rsidR="00543492" w:rsidRPr="00E50E69">
        <w:rPr>
          <w:rFonts w:cs="Times New Roman"/>
          <w:i/>
          <w:iCs/>
        </w:rPr>
        <w:t>Georgia Power’s Twenty-Fifth Semi-Annual Vogtle Construction Monitoring (“VCM”) Report</w:t>
      </w:r>
      <w:r w:rsidR="00E50E69">
        <w:rPr>
          <w:rFonts w:cs="Times New Roman"/>
        </w:rPr>
        <w:t xml:space="preserve">, </w:t>
      </w:r>
      <w:r w:rsidRPr="00CB7C8F">
        <w:rPr>
          <w:rFonts w:cs="Times New Roman"/>
        </w:rPr>
        <w:t>Docket No. 29849</w:t>
      </w:r>
      <w:r w:rsidR="002E79E0">
        <w:rPr>
          <w:rFonts w:cs="Times New Roman"/>
        </w:rPr>
        <w:t xml:space="preserve">, Direct testimony </w:t>
      </w:r>
      <w:r w:rsidR="002E79E0" w:rsidRPr="00CB7C8F">
        <w:rPr>
          <w:rFonts w:cs="Times New Roman"/>
        </w:rPr>
        <w:t xml:space="preserve">of </w:t>
      </w:r>
      <w:r w:rsidR="002E79E0">
        <w:rPr>
          <w:rFonts w:cs="Times New Roman"/>
        </w:rPr>
        <w:t xml:space="preserve">GPSC Staff </w:t>
      </w:r>
      <w:r w:rsidR="002E79E0" w:rsidRPr="00CB7C8F">
        <w:rPr>
          <w:rFonts w:cs="Times New Roman"/>
        </w:rPr>
        <w:t>Tom Newsome, Philip Hayet, and Lane Kollen</w:t>
      </w:r>
      <w:r w:rsidR="002E79E0">
        <w:rPr>
          <w:rFonts w:cs="Times New Roman"/>
        </w:rPr>
        <w:t xml:space="preserve"> before the Commission on December 1, 2021</w:t>
      </w:r>
      <w:r w:rsidR="005F08D9">
        <w:rPr>
          <w:rFonts w:cs="Times New Roman"/>
        </w:rPr>
        <w:t>.</w:t>
      </w:r>
      <w:r w:rsidR="00717C75">
        <w:rPr>
          <w:rFonts w:cs="Times New Roman"/>
        </w:rPr>
        <w:t xml:space="preserve"> </w:t>
      </w:r>
    </w:p>
  </w:footnote>
  <w:footnote w:id="19">
    <w:p w14:paraId="014FE456" w14:textId="699F01EF" w:rsidR="00321291" w:rsidRDefault="00321291" w:rsidP="00CB7C8F">
      <w:pPr>
        <w:spacing w:after="0" w:line="240" w:lineRule="auto"/>
        <w:ind w:left="0"/>
        <w:rPr>
          <w:rFonts w:eastAsia="Times New Roman" w:cs="Times New Roman"/>
          <w:color w:val="000000"/>
          <w:sz w:val="20"/>
          <w:szCs w:val="20"/>
        </w:rPr>
      </w:pPr>
      <w:r>
        <w:rPr>
          <w:vertAlign w:val="superscript"/>
        </w:rPr>
        <w:footnoteRef/>
      </w:r>
      <w:r>
        <w:rPr>
          <w:rFonts w:eastAsia="Times New Roman" w:cs="Times New Roman"/>
          <w:color w:val="000000"/>
          <w:sz w:val="20"/>
          <w:szCs w:val="20"/>
        </w:rPr>
        <w:t xml:space="preserve"> See generally </w:t>
      </w:r>
      <w:hyperlink r:id="rId8" w:history="1">
        <w:r>
          <w:rPr>
            <w:rFonts w:eastAsia="Times New Roman" w:cs="Times New Roman"/>
            <w:color w:val="000000"/>
            <w:sz w:val="20"/>
            <w:szCs w:val="20"/>
          </w:rPr>
          <w:t>GA Code § 46-3A-1</w:t>
        </w:r>
        <w:r w:rsidR="00A15949">
          <w:rPr>
            <w:rFonts w:eastAsia="Times New Roman" w:cs="Times New Roman"/>
            <w:color w:val="000000"/>
            <w:sz w:val="20"/>
            <w:szCs w:val="20"/>
          </w:rPr>
          <w:t xml:space="preserve">, </w:t>
        </w:r>
        <w:r>
          <w:rPr>
            <w:rFonts w:eastAsia="Times New Roman" w:cs="Times New Roman"/>
            <w:color w:val="000000"/>
            <w:sz w:val="20"/>
            <w:szCs w:val="20"/>
          </w:rPr>
          <w:t>2020</w:t>
        </w:r>
      </w:hyperlink>
      <w:r w:rsidR="00A15949">
        <w:rPr>
          <w:rFonts w:eastAsia="Times New Roman" w:cs="Times New Roman"/>
          <w:color w:val="000000"/>
          <w:sz w:val="20"/>
          <w:szCs w:val="20"/>
        </w:rPr>
        <w:t>.</w:t>
      </w:r>
    </w:p>
  </w:footnote>
  <w:footnote w:id="20">
    <w:p w14:paraId="2E16ACA9" w14:textId="702B43D8" w:rsidR="00C16F6E" w:rsidRDefault="00FF25D8" w:rsidP="00C16F6E">
      <w:pPr>
        <w:spacing w:after="0" w:line="240" w:lineRule="auto"/>
        <w:ind w:left="0"/>
        <w:jc w:val="both"/>
        <w:rPr>
          <w:rFonts w:eastAsia="Times New Roman" w:cs="Times New Roman"/>
          <w:color w:val="000000"/>
          <w:sz w:val="20"/>
          <w:szCs w:val="20"/>
        </w:rPr>
      </w:pPr>
      <w:r w:rsidRPr="002D1717">
        <w:rPr>
          <w:rFonts w:cs="Times New Roman"/>
          <w:sz w:val="20"/>
          <w:szCs w:val="20"/>
          <w:vertAlign w:val="superscript"/>
        </w:rPr>
        <w:footnoteRef/>
      </w:r>
      <w:r w:rsidRPr="002D1717">
        <w:rPr>
          <w:rFonts w:eastAsia="Times New Roman" w:cs="Times New Roman"/>
          <w:sz w:val="20"/>
          <w:szCs w:val="20"/>
        </w:rPr>
        <w:t xml:space="preserve"> </w:t>
      </w:r>
      <w:r w:rsidR="00CD2441">
        <w:rPr>
          <w:rFonts w:eastAsia="Times New Roman" w:cs="Times New Roman"/>
          <w:sz w:val="20"/>
          <w:szCs w:val="20"/>
        </w:rPr>
        <w:t xml:space="preserve">To review the </w:t>
      </w:r>
      <w:r w:rsidR="00CD2441">
        <w:rPr>
          <w:rFonts w:eastAsia="Times New Roman" w:cs="Times New Roman"/>
          <w:color w:val="000000"/>
          <w:sz w:val="20"/>
          <w:szCs w:val="20"/>
        </w:rPr>
        <w:t>Public Service Company of Colorado’s</w:t>
      </w:r>
      <w:r w:rsidRPr="002D1717">
        <w:rPr>
          <w:rFonts w:eastAsia="Times New Roman" w:cs="Times New Roman"/>
          <w:color w:val="000000"/>
          <w:sz w:val="20"/>
          <w:szCs w:val="20"/>
        </w:rPr>
        <w:t xml:space="preserve"> bid results report to the Colorado PUC, see:  </w:t>
      </w:r>
      <w:hyperlink r:id="rId9">
        <w:r w:rsidRPr="002D1717">
          <w:rPr>
            <w:rFonts w:eastAsia="Times New Roman" w:cs="Times New Roman"/>
            <w:color w:val="0000FF"/>
            <w:sz w:val="20"/>
            <w:szCs w:val="20"/>
            <w:u w:val="single"/>
          </w:rPr>
          <w:t>https://www.documentcloud.org/documents/4340162-Xcel-Solicitation-Report.html</w:t>
        </w:r>
      </w:hyperlink>
      <w:r w:rsidR="001B16D2">
        <w:rPr>
          <w:rFonts w:eastAsia="Times New Roman" w:cs="Times New Roman"/>
          <w:color w:val="000000"/>
          <w:sz w:val="20"/>
          <w:szCs w:val="20"/>
        </w:rPr>
        <w:t>.</w:t>
      </w:r>
      <w:r w:rsidRPr="002D1717">
        <w:rPr>
          <w:rFonts w:eastAsia="Times New Roman" w:cs="Times New Roman"/>
          <w:color w:val="000000"/>
          <w:sz w:val="20"/>
          <w:szCs w:val="20"/>
        </w:rPr>
        <w:t xml:space="preserve"> This report provides the basis for trade press stories about </w:t>
      </w:r>
      <w:r w:rsidRPr="002D1717">
        <w:rPr>
          <w:rFonts w:eastAsia="Times New Roman" w:cs="Times New Roman"/>
          <w:i/>
          <w:color w:val="000000"/>
          <w:sz w:val="20"/>
          <w:szCs w:val="20"/>
        </w:rPr>
        <w:t>median</w:t>
      </w:r>
      <w:r w:rsidRPr="002D1717">
        <w:rPr>
          <w:rFonts w:eastAsia="Times New Roman" w:cs="Times New Roman"/>
          <w:color w:val="000000"/>
          <w:sz w:val="20"/>
          <w:szCs w:val="20"/>
        </w:rPr>
        <w:t> wind prices bid at $18 per MWH</w:t>
      </w:r>
      <w:r w:rsidR="008E7D8D">
        <w:rPr>
          <w:rFonts w:eastAsia="Times New Roman" w:cs="Times New Roman"/>
          <w:color w:val="000000"/>
          <w:sz w:val="20"/>
          <w:szCs w:val="20"/>
        </w:rPr>
        <w:t xml:space="preserve">. </w:t>
      </w:r>
      <w:r w:rsidRPr="002D1717">
        <w:rPr>
          <w:rFonts w:eastAsia="Times New Roman" w:cs="Times New Roman"/>
          <w:color w:val="000000"/>
          <w:sz w:val="20"/>
          <w:szCs w:val="20"/>
        </w:rPr>
        <w:t>In addition, Colorado’s process has been recognized as “best practice” in recent analyses by a variety of sources</w:t>
      </w:r>
      <w:r w:rsidR="00FE6FA1">
        <w:rPr>
          <w:rFonts w:eastAsia="Times New Roman" w:cs="Times New Roman"/>
          <w:color w:val="000000"/>
          <w:sz w:val="20"/>
          <w:szCs w:val="20"/>
        </w:rPr>
        <w:t>, including</w:t>
      </w:r>
      <w:r w:rsidR="00C16F6E">
        <w:rPr>
          <w:rFonts w:eastAsia="Times New Roman" w:cs="Times New Roman"/>
          <w:color w:val="000000"/>
          <w:sz w:val="20"/>
          <w:szCs w:val="20"/>
        </w:rPr>
        <w:t>:</w:t>
      </w:r>
    </w:p>
    <w:p w14:paraId="4BA89721" w14:textId="6473A10A" w:rsidR="00160653" w:rsidRDefault="00FE6FA1" w:rsidP="00687877">
      <w:pPr>
        <w:pStyle w:val="ListParagraph"/>
        <w:numPr>
          <w:ilvl w:val="0"/>
          <w:numId w:val="30"/>
        </w:numPr>
        <w:spacing w:after="0" w:line="240" w:lineRule="auto"/>
        <w:ind w:left="648"/>
        <w:jc w:val="both"/>
        <w:rPr>
          <w:rFonts w:eastAsia="Times New Roman" w:cs="Times New Roman"/>
          <w:color w:val="000000"/>
          <w:sz w:val="20"/>
          <w:szCs w:val="20"/>
        </w:rPr>
      </w:pPr>
      <w:r w:rsidRPr="00160653">
        <w:rPr>
          <w:rFonts w:eastAsia="Times New Roman" w:cs="Times New Roman"/>
          <w:color w:val="000000"/>
          <w:sz w:val="20"/>
          <w:szCs w:val="20"/>
        </w:rPr>
        <w:t>Exhibit 2 attached to my testimony</w:t>
      </w:r>
      <w:r w:rsidR="00FB2F01">
        <w:rPr>
          <w:rFonts w:eastAsia="Times New Roman" w:cs="Times New Roman"/>
          <w:color w:val="000000"/>
          <w:sz w:val="20"/>
          <w:szCs w:val="20"/>
        </w:rPr>
        <w:t>.</w:t>
      </w:r>
      <w:r w:rsidR="00BB0372" w:rsidRPr="00160653">
        <w:rPr>
          <w:rFonts w:eastAsia="Times New Roman" w:cs="Times New Roman"/>
          <w:color w:val="000000"/>
          <w:sz w:val="20"/>
          <w:szCs w:val="20"/>
        </w:rPr>
        <w:t xml:space="preserve"> </w:t>
      </w:r>
    </w:p>
    <w:p w14:paraId="38752095" w14:textId="77777777" w:rsidR="00160653" w:rsidRDefault="00BB0372" w:rsidP="00687877">
      <w:pPr>
        <w:pStyle w:val="ListParagraph"/>
        <w:numPr>
          <w:ilvl w:val="0"/>
          <w:numId w:val="30"/>
        </w:numPr>
        <w:spacing w:after="0" w:line="240" w:lineRule="auto"/>
        <w:ind w:left="648"/>
        <w:jc w:val="both"/>
        <w:rPr>
          <w:rFonts w:eastAsia="Times New Roman" w:cs="Times New Roman"/>
          <w:color w:val="000000"/>
          <w:sz w:val="20"/>
          <w:szCs w:val="20"/>
        </w:rPr>
      </w:pPr>
      <w:r w:rsidRPr="00160653">
        <w:rPr>
          <w:rFonts w:eastAsia="Times New Roman" w:cs="Times New Roman"/>
          <w:color w:val="000000"/>
          <w:sz w:val="20"/>
          <w:szCs w:val="20"/>
        </w:rPr>
        <w:t>Wilson, J., M. O’Boyle, R. Lehr, and M. Detsky</w:t>
      </w:r>
      <w:r w:rsidR="00EA4402" w:rsidRPr="00160653">
        <w:rPr>
          <w:rFonts w:eastAsia="Times New Roman" w:cs="Times New Roman"/>
          <w:color w:val="000000"/>
          <w:sz w:val="20"/>
          <w:szCs w:val="20"/>
        </w:rPr>
        <w:t xml:space="preserve">, April 2020, </w:t>
      </w:r>
      <w:r w:rsidR="00EA4402" w:rsidRPr="00617520">
        <w:rPr>
          <w:rFonts w:eastAsia="Times New Roman" w:cs="Times New Roman"/>
          <w:i/>
          <w:iCs/>
          <w:color w:val="000000"/>
          <w:sz w:val="20"/>
          <w:szCs w:val="20"/>
        </w:rPr>
        <w:t>Making the Most of the Power Plant Market: Best Practices for All-Source Electric Generation Procurement</w:t>
      </w:r>
      <w:r w:rsidR="005E6280" w:rsidRPr="00160653">
        <w:rPr>
          <w:rFonts w:eastAsia="Times New Roman" w:cs="Times New Roman"/>
          <w:color w:val="000000"/>
          <w:sz w:val="20"/>
          <w:szCs w:val="20"/>
        </w:rPr>
        <w:t xml:space="preserve">. San Francisco, CA: Energy Innovations. pp 63. Available at: </w:t>
      </w:r>
      <w:hyperlink r:id="rId10" w:history="1">
        <w:r w:rsidR="003E2BD7" w:rsidRPr="00160653">
          <w:rPr>
            <w:rStyle w:val="Hyperlink"/>
            <w:rFonts w:eastAsia="Times New Roman" w:cs="Times New Roman"/>
            <w:sz w:val="20"/>
            <w:szCs w:val="20"/>
          </w:rPr>
          <w:t>https://cleanenergy.org/wp-content/uploads/All-Source-Utility-Electricity-Generation-Procurement-Best-Practices_EI_SACE.pdf?msclkid=f81081acbe7211ec973f0aca3b2a1050</w:t>
        </w:r>
      </w:hyperlink>
      <w:r w:rsidR="00C16F6E" w:rsidRPr="00160653">
        <w:rPr>
          <w:rFonts w:eastAsia="Times New Roman" w:cs="Times New Roman"/>
          <w:color w:val="000000"/>
          <w:sz w:val="20"/>
          <w:szCs w:val="20"/>
        </w:rPr>
        <w:t>.</w:t>
      </w:r>
      <w:r w:rsidR="005E6280" w:rsidRPr="00160653">
        <w:rPr>
          <w:rFonts w:eastAsia="Times New Roman" w:cs="Times New Roman"/>
          <w:color w:val="000000"/>
          <w:sz w:val="20"/>
          <w:szCs w:val="20"/>
        </w:rPr>
        <w:t xml:space="preserve"> </w:t>
      </w:r>
    </w:p>
    <w:p w14:paraId="6CABCCE4" w14:textId="2796FF39" w:rsidR="00FF25D8" w:rsidRPr="00160653" w:rsidRDefault="00FF25D8" w:rsidP="00687877">
      <w:pPr>
        <w:pStyle w:val="ListParagraph"/>
        <w:numPr>
          <w:ilvl w:val="0"/>
          <w:numId w:val="30"/>
        </w:numPr>
        <w:spacing w:after="0" w:line="240" w:lineRule="auto"/>
        <w:ind w:left="648"/>
        <w:jc w:val="both"/>
        <w:rPr>
          <w:rFonts w:eastAsia="Times New Roman" w:cs="Times New Roman"/>
          <w:color w:val="000000"/>
          <w:sz w:val="20"/>
          <w:szCs w:val="20"/>
        </w:rPr>
      </w:pPr>
      <w:r w:rsidRPr="00160653">
        <w:rPr>
          <w:rFonts w:eastAsia="Times New Roman" w:cs="Times New Roman"/>
          <w:sz w:val="20"/>
          <w:szCs w:val="20"/>
        </w:rPr>
        <w:t>Anderson, M</w:t>
      </w:r>
      <w:r w:rsidR="00160653">
        <w:rPr>
          <w:rFonts w:eastAsia="Times New Roman" w:cs="Times New Roman"/>
          <w:sz w:val="20"/>
          <w:szCs w:val="20"/>
        </w:rPr>
        <w:t>.</w:t>
      </w:r>
      <w:r w:rsidRPr="00160653">
        <w:rPr>
          <w:rFonts w:eastAsia="Times New Roman" w:cs="Times New Roman"/>
          <w:sz w:val="20"/>
          <w:szCs w:val="20"/>
        </w:rPr>
        <w:t xml:space="preserve">, </w:t>
      </w:r>
      <w:r w:rsidR="00160653">
        <w:rPr>
          <w:rFonts w:eastAsia="Times New Roman" w:cs="Times New Roman"/>
          <w:sz w:val="20"/>
          <w:szCs w:val="20"/>
        </w:rPr>
        <w:t xml:space="preserve">M. </w:t>
      </w:r>
      <w:r w:rsidRPr="00160653">
        <w:rPr>
          <w:rFonts w:eastAsia="Times New Roman" w:cs="Times New Roman"/>
          <w:sz w:val="20"/>
          <w:szCs w:val="20"/>
        </w:rPr>
        <w:t xml:space="preserve">Dyson, </w:t>
      </w:r>
      <w:r w:rsidR="00160653">
        <w:rPr>
          <w:rFonts w:eastAsia="Times New Roman" w:cs="Times New Roman"/>
          <w:sz w:val="20"/>
          <w:szCs w:val="20"/>
        </w:rPr>
        <w:t>G</w:t>
      </w:r>
      <w:r w:rsidRPr="00160653">
        <w:rPr>
          <w:rFonts w:eastAsia="Times New Roman" w:cs="Times New Roman"/>
          <w:sz w:val="20"/>
          <w:szCs w:val="20"/>
        </w:rPr>
        <w:t xml:space="preserve">. Glazer, </w:t>
      </w:r>
      <w:r w:rsidR="00160653">
        <w:rPr>
          <w:rFonts w:eastAsia="Times New Roman" w:cs="Times New Roman"/>
          <w:sz w:val="20"/>
          <w:szCs w:val="20"/>
        </w:rPr>
        <w:t>C.</w:t>
      </w:r>
      <w:r w:rsidRPr="00160653">
        <w:rPr>
          <w:rFonts w:eastAsia="Times New Roman" w:cs="Times New Roman"/>
          <w:sz w:val="20"/>
          <w:szCs w:val="20"/>
        </w:rPr>
        <w:t xml:space="preserve">, Linvill, </w:t>
      </w:r>
      <w:r w:rsidR="00160653">
        <w:rPr>
          <w:rFonts w:eastAsia="Times New Roman" w:cs="Times New Roman"/>
          <w:sz w:val="20"/>
          <w:szCs w:val="20"/>
        </w:rPr>
        <w:t>and L.</w:t>
      </w:r>
      <w:r w:rsidRPr="00160653">
        <w:rPr>
          <w:rFonts w:eastAsia="Times New Roman" w:cs="Times New Roman"/>
          <w:sz w:val="20"/>
          <w:szCs w:val="20"/>
        </w:rPr>
        <w:t>, Shwisberg,</w:t>
      </w:r>
      <w:r w:rsidR="00617520">
        <w:rPr>
          <w:rFonts w:eastAsia="Times New Roman" w:cs="Times New Roman"/>
          <w:sz w:val="20"/>
          <w:szCs w:val="20"/>
        </w:rPr>
        <w:t xml:space="preserve"> 2018,</w:t>
      </w:r>
      <w:r w:rsidRPr="00160653">
        <w:rPr>
          <w:rFonts w:eastAsia="Times New Roman" w:cs="Times New Roman"/>
          <w:sz w:val="20"/>
          <w:szCs w:val="20"/>
        </w:rPr>
        <w:t xml:space="preserve"> </w:t>
      </w:r>
      <w:r w:rsidRPr="00617520">
        <w:rPr>
          <w:rFonts w:eastAsia="Times New Roman" w:cs="Times New Roman"/>
          <w:i/>
          <w:iCs/>
          <w:sz w:val="20"/>
          <w:szCs w:val="20"/>
        </w:rPr>
        <w:t>How to Build Clean Energy Portfolios: A Practical Guide to Next-Generation Procurement Practices</w:t>
      </w:r>
      <w:r w:rsidR="00617520">
        <w:rPr>
          <w:rFonts w:eastAsia="Times New Roman" w:cs="Times New Roman"/>
          <w:sz w:val="20"/>
          <w:szCs w:val="20"/>
        </w:rPr>
        <w:t xml:space="preserve">. </w:t>
      </w:r>
      <w:r w:rsidR="00687877">
        <w:rPr>
          <w:rFonts w:eastAsia="Times New Roman" w:cs="Times New Roman"/>
          <w:sz w:val="20"/>
          <w:szCs w:val="20"/>
        </w:rPr>
        <w:t>Boulder</w:t>
      </w:r>
      <w:r w:rsidR="00617520">
        <w:rPr>
          <w:rFonts w:eastAsia="Times New Roman" w:cs="Times New Roman"/>
          <w:sz w:val="20"/>
          <w:szCs w:val="20"/>
        </w:rPr>
        <w:t>, CO:</w:t>
      </w:r>
      <w:r w:rsidRPr="00160653">
        <w:rPr>
          <w:rFonts w:eastAsia="Times New Roman" w:cs="Times New Roman"/>
          <w:sz w:val="20"/>
          <w:szCs w:val="20"/>
        </w:rPr>
        <w:t xml:space="preserve"> Rocky Mountain Institute.</w:t>
      </w:r>
      <w:r w:rsidR="00617520">
        <w:rPr>
          <w:rFonts w:eastAsia="Times New Roman" w:cs="Times New Roman"/>
          <w:sz w:val="20"/>
          <w:szCs w:val="20"/>
        </w:rPr>
        <w:t xml:space="preserve"> Available at:</w:t>
      </w:r>
      <w:r w:rsidRPr="00160653">
        <w:rPr>
          <w:rFonts w:eastAsia="Times New Roman" w:cs="Times New Roman"/>
          <w:sz w:val="20"/>
          <w:szCs w:val="20"/>
        </w:rPr>
        <w:t xml:space="preserve"> </w:t>
      </w:r>
      <w:hyperlink r:id="rId11">
        <w:r w:rsidRPr="00160653">
          <w:rPr>
            <w:rFonts w:eastAsia="Times New Roman" w:cs="Times New Roman"/>
            <w:color w:val="0000FF"/>
            <w:sz w:val="20"/>
            <w:szCs w:val="20"/>
            <w:u w:val="single"/>
          </w:rPr>
          <w:t>https://rmi.org/wp-content/uploads/dlm_uploads/2021/02/rmi_how_build_ceps.pdf</w:t>
        </w:r>
      </w:hyperlink>
    </w:p>
  </w:footnote>
  <w:footnote w:id="21">
    <w:p w14:paraId="15E03520" w14:textId="4A69508A" w:rsidR="00FF25D8" w:rsidRPr="00396C9A" w:rsidRDefault="00FF25D8" w:rsidP="00A6438A">
      <w:pPr>
        <w:pBdr>
          <w:top w:val="nil"/>
          <w:left w:val="nil"/>
          <w:bottom w:val="nil"/>
          <w:right w:val="nil"/>
          <w:between w:val="nil"/>
        </w:pBdr>
        <w:spacing w:after="0" w:line="240" w:lineRule="auto"/>
        <w:ind w:left="0"/>
        <w:jc w:val="both"/>
        <w:rPr>
          <w:rFonts w:eastAsia="Times New Roman" w:cs="Times New Roman"/>
          <w:color w:val="000000"/>
          <w:sz w:val="20"/>
          <w:szCs w:val="20"/>
        </w:rPr>
      </w:pPr>
      <w:r w:rsidRPr="00396C9A">
        <w:rPr>
          <w:rFonts w:cs="Times New Roman"/>
          <w:sz w:val="20"/>
          <w:szCs w:val="20"/>
          <w:vertAlign w:val="superscript"/>
        </w:rPr>
        <w:footnoteRef/>
      </w:r>
      <w:r w:rsidRPr="00396C9A">
        <w:rPr>
          <w:rFonts w:eastAsia="Times New Roman" w:cs="Times New Roman"/>
          <w:color w:val="000000"/>
          <w:sz w:val="20"/>
          <w:szCs w:val="20"/>
        </w:rPr>
        <w:t xml:space="preserve"> </w:t>
      </w:r>
      <w:r w:rsidR="00396C9A" w:rsidRPr="00396C9A">
        <w:rPr>
          <w:rFonts w:eastAsia="Times New Roman" w:cs="Times New Roman"/>
          <w:color w:val="000000" w:themeColor="text1"/>
          <w:sz w:val="20"/>
          <w:szCs w:val="20"/>
        </w:rPr>
        <w:t xml:space="preserve">Binz, R.J., R. Sedano, D. Furey, and D. Mullen, April 2012, </w:t>
      </w:r>
      <w:r w:rsidR="00396C9A" w:rsidRPr="00396C9A">
        <w:rPr>
          <w:rFonts w:eastAsia="Times New Roman" w:cs="Times New Roman"/>
          <w:i/>
          <w:iCs/>
          <w:color w:val="000000" w:themeColor="text1"/>
          <w:sz w:val="20"/>
          <w:szCs w:val="20"/>
        </w:rPr>
        <w:t>Practicing Risk-Aware Electricity Regulation: What Every State Regulator Needs to Know</w:t>
      </w:r>
      <w:r w:rsidR="00396C9A" w:rsidRPr="00396C9A">
        <w:rPr>
          <w:rFonts w:eastAsia="Times New Roman" w:cs="Times New Roman"/>
          <w:color w:val="000000" w:themeColor="text1"/>
          <w:sz w:val="20"/>
          <w:szCs w:val="20"/>
        </w:rPr>
        <w:t>, Boston, MA: Ceres. pp. 55.</w:t>
      </w:r>
    </w:p>
  </w:footnote>
  <w:footnote w:id="22">
    <w:p w14:paraId="6084A8BB" w14:textId="2498E286" w:rsidR="00E242BF" w:rsidRDefault="00FF25D8" w:rsidP="003E1EBA">
      <w:pPr>
        <w:pBdr>
          <w:top w:val="nil"/>
          <w:left w:val="nil"/>
          <w:bottom w:val="nil"/>
          <w:right w:val="nil"/>
          <w:between w:val="nil"/>
        </w:pBdr>
        <w:spacing w:after="0" w:line="240" w:lineRule="auto"/>
        <w:ind w:left="0"/>
        <w:jc w:val="both"/>
        <w:rPr>
          <w:rFonts w:eastAsia="Times New Roman" w:cs="Times New Roman"/>
          <w:color w:val="000000"/>
          <w:sz w:val="20"/>
          <w:szCs w:val="20"/>
        </w:rPr>
      </w:pPr>
      <w:r w:rsidRPr="00486B9D">
        <w:rPr>
          <w:rFonts w:cs="Times New Roman"/>
          <w:sz w:val="20"/>
          <w:szCs w:val="20"/>
          <w:vertAlign w:val="superscript"/>
        </w:rPr>
        <w:footnoteRef/>
      </w:r>
      <w:r w:rsidRPr="00486B9D">
        <w:rPr>
          <w:rFonts w:eastAsia="Times New Roman" w:cs="Times New Roman"/>
          <w:color w:val="000000"/>
          <w:sz w:val="20"/>
          <w:szCs w:val="20"/>
        </w:rPr>
        <w:t xml:space="preserve"> </w:t>
      </w:r>
      <w:r w:rsidR="00677011">
        <w:rPr>
          <w:rFonts w:eastAsia="Times New Roman" w:cs="Times New Roman"/>
          <w:color w:val="000000"/>
          <w:sz w:val="20"/>
          <w:szCs w:val="20"/>
        </w:rPr>
        <w:t>In Sweeney</w:t>
      </w:r>
      <w:r w:rsidR="00D63B57">
        <w:rPr>
          <w:rFonts w:eastAsia="Times New Roman" w:cs="Times New Roman"/>
          <w:color w:val="000000"/>
          <w:sz w:val="20"/>
          <w:szCs w:val="20"/>
        </w:rPr>
        <w:t xml:space="preserve">, D., December 2019, </w:t>
      </w:r>
      <w:r w:rsidR="00D63B57" w:rsidRPr="008A2817">
        <w:rPr>
          <w:rFonts w:eastAsia="Times New Roman" w:cs="Times New Roman"/>
          <w:i/>
          <w:iCs/>
          <w:color w:val="000000"/>
          <w:sz w:val="20"/>
          <w:szCs w:val="20"/>
        </w:rPr>
        <w:t>Morgan Stanley:</w:t>
      </w:r>
      <w:r w:rsidR="008A2817" w:rsidRPr="008A2817">
        <w:rPr>
          <w:rFonts w:eastAsia="Times New Roman" w:cs="Times New Roman"/>
          <w:i/>
          <w:iCs/>
          <w:color w:val="000000"/>
          <w:sz w:val="20"/>
          <w:szCs w:val="20"/>
        </w:rPr>
        <w:t xml:space="preserve"> ‘</w:t>
      </w:r>
      <w:r w:rsidR="00D63B57" w:rsidRPr="008A2817">
        <w:rPr>
          <w:rFonts w:eastAsia="Times New Roman" w:cs="Times New Roman"/>
          <w:i/>
          <w:iCs/>
          <w:color w:val="000000"/>
          <w:sz w:val="20"/>
          <w:szCs w:val="20"/>
        </w:rPr>
        <w:t xml:space="preserve">Second Wave of Renewables’ to Drive </w:t>
      </w:r>
      <w:r w:rsidR="00901865" w:rsidRPr="008A2817">
        <w:rPr>
          <w:rFonts w:eastAsia="Times New Roman" w:cs="Times New Roman"/>
          <w:i/>
          <w:iCs/>
          <w:color w:val="000000"/>
          <w:sz w:val="20"/>
          <w:szCs w:val="20"/>
        </w:rPr>
        <w:t>70 GW of Coal Retirements</w:t>
      </w:r>
      <w:r w:rsidR="00901865">
        <w:rPr>
          <w:rFonts w:eastAsia="Times New Roman" w:cs="Times New Roman"/>
          <w:color w:val="000000"/>
          <w:sz w:val="20"/>
          <w:szCs w:val="20"/>
        </w:rPr>
        <w:t>, S&amp;P Global Market Intelligence</w:t>
      </w:r>
      <w:r w:rsidR="00E242BF">
        <w:rPr>
          <w:rFonts w:eastAsia="Times New Roman" w:cs="Times New Roman"/>
          <w:color w:val="000000"/>
          <w:sz w:val="20"/>
          <w:szCs w:val="20"/>
        </w:rPr>
        <w:t>, which states,</w:t>
      </w:r>
      <w:r w:rsidRPr="00486B9D">
        <w:rPr>
          <w:rFonts w:eastAsia="Times New Roman" w:cs="Times New Roman"/>
          <w:color w:val="000000"/>
          <w:sz w:val="20"/>
          <w:szCs w:val="20"/>
        </w:rPr>
        <w:t xml:space="preserve"> “Morgan Stanley sees American Electric Power Co. Inc., Dominion Energy Inc., </w:t>
      </w:r>
      <w:r w:rsidRPr="00E242BF">
        <w:rPr>
          <w:rFonts w:eastAsia="Times New Roman" w:cs="Times New Roman"/>
          <w:bCs/>
          <w:i/>
          <w:iCs/>
          <w:color w:val="000000"/>
          <w:sz w:val="20"/>
          <w:szCs w:val="20"/>
          <w:u w:val="single"/>
        </w:rPr>
        <w:t>Southern Co</w:t>
      </w:r>
      <w:r w:rsidRPr="00486B9D">
        <w:rPr>
          <w:rFonts w:eastAsia="Times New Roman" w:cs="Times New Roman"/>
          <w:color w:val="000000"/>
          <w:sz w:val="20"/>
          <w:szCs w:val="20"/>
        </w:rPr>
        <w:t xml:space="preserve">., Pinnacle West Capital Corp., PPL Corp. and Duke Energy Corp. as the utilities with the </w:t>
      </w:r>
      <w:r w:rsidR="00E242BF">
        <w:rPr>
          <w:rFonts w:eastAsia="Times New Roman" w:cs="Times New Roman"/>
          <w:color w:val="000000"/>
          <w:sz w:val="20"/>
          <w:szCs w:val="20"/>
        </w:rPr>
        <w:t>‘</w:t>
      </w:r>
      <w:r w:rsidRPr="00486B9D">
        <w:rPr>
          <w:rFonts w:eastAsia="Times New Roman" w:cs="Times New Roman"/>
          <w:color w:val="000000"/>
          <w:sz w:val="20"/>
          <w:szCs w:val="20"/>
        </w:rPr>
        <w:t>largest opportunity</w:t>
      </w:r>
      <w:r w:rsidR="00E242BF">
        <w:rPr>
          <w:rFonts w:eastAsia="Times New Roman" w:cs="Times New Roman"/>
          <w:color w:val="000000"/>
          <w:sz w:val="20"/>
          <w:szCs w:val="20"/>
        </w:rPr>
        <w:t>’</w:t>
      </w:r>
      <w:r w:rsidRPr="00486B9D">
        <w:rPr>
          <w:rFonts w:eastAsia="Times New Roman" w:cs="Times New Roman"/>
          <w:color w:val="000000"/>
          <w:sz w:val="20"/>
          <w:szCs w:val="20"/>
        </w:rPr>
        <w:t xml:space="preserve"> to achieve a valuation rerating under this approach.” </w:t>
      </w:r>
      <w:r w:rsidR="00E242BF">
        <w:rPr>
          <w:rFonts w:eastAsia="Times New Roman" w:cs="Times New Roman"/>
          <w:color w:val="000000"/>
          <w:sz w:val="20"/>
          <w:szCs w:val="20"/>
        </w:rPr>
        <w:t>Available at:</w:t>
      </w:r>
      <w:r w:rsidR="00E242BF" w:rsidRPr="00E242BF">
        <w:t xml:space="preserve"> </w:t>
      </w:r>
      <w:hyperlink r:id="rId12" w:history="1">
        <w:r w:rsidR="00E242BF" w:rsidRPr="00E242BF">
          <w:rPr>
            <w:rStyle w:val="Hyperlink"/>
            <w:rFonts w:eastAsia="Times New Roman" w:cs="Times New Roman"/>
            <w:sz w:val="20"/>
            <w:szCs w:val="20"/>
          </w:rPr>
          <w:t>https://www.spglobal.com/marketintelligence/en/news-insights/trending/n2V18rq_af4OBgqaW6CmkQ2</w:t>
        </w:r>
      </w:hyperlink>
    </w:p>
    <w:p w14:paraId="28B3F0EC" w14:textId="77777777" w:rsidR="00E242BF" w:rsidRDefault="00E242BF" w:rsidP="003E1EBA">
      <w:pPr>
        <w:pBdr>
          <w:top w:val="nil"/>
          <w:left w:val="nil"/>
          <w:bottom w:val="nil"/>
          <w:right w:val="nil"/>
          <w:between w:val="nil"/>
        </w:pBdr>
        <w:spacing w:after="0" w:line="240" w:lineRule="auto"/>
        <w:ind w:left="0"/>
        <w:jc w:val="both"/>
        <w:rPr>
          <w:rFonts w:eastAsia="Times New Roman" w:cs="Times New Roman"/>
          <w:color w:val="000000"/>
          <w:sz w:val="20"/>
          <w:szCs w:val="20"/>
        </w:rPr>
      </w:pPr>
    </w:p>
    <w:p w14:paraId="5562CE7C" w14:textId="26260F11" w:rsidR="00FF25D8" w:rsidRDefault="00514905" w:rsidP="003E1EBA">
      <w:pPr>
        <w:pBdr>
          <w:top w:val="nil"/>
          <w:left w:val="nil"/>
          <w:bottom w:val="nil"/>
          <w:right w:val="nil"/>
          <w:between w:val="nil"/>
        </w:pBdr>
        <w:spacing w:after="0" w:line="240" w:lineRule="auto"/>
        <w:ind w:left="0"/>
        <w:jc w:val="both"/>
        <w:rPr>
          <w:rFonts w:eastAsia="Times New Roman" w:cs="Times New Roman"/>
          <w:color w:val="000000"/>
          <w:sz w:val="20"/>
          <w:szCs w:val="20"/>
        </w:rPr>
      </w:pPr>
      <w:r>
        <w:rPr>
          <w:rFonts w:eastAsia="Times New Roman" w:cs="Times New Roman"/>
          <w:color w:val="000000"/>
          <w:sz w:val="20"/>
          <w:szCs w:val="20"/>
        </w:rPr>
        <w:t xml:space="preserve">In </w:t>
      </w:r>
      <w:r w:rsidR="00043DFB">
        <w:rPr>
          <w:rFonts w:eastAsia="Times New Roman" w:cs="Times New Roman"/>
          <w:color w:val="000000"/>
          <w:sz w:val="20"/>
          <w:szCs w:val="20"/>
        </w:rPr>
        <w:t xml:space="preserve">Duquiatan, A., T. Kuykendall, D. Sweeney, </w:t>
      </w:r>
      <w:r w:rsidR="008860B0">
        <w:rPr>
          <w:rFonts w:eastAsia="Times New Roman" w:cs="Times New Roman"/>
          <w:color w:val="000000"/>
          <w:sz w:val="20"/>
          <w:szCs w:val="20"/>
        </w:rPr>
        <w:t>and L. Thomas, January 2020, US Power Generators Set for Another Big Year in Coal</w:t>
      </w:r>
      <w:r w:rsidR="004069A0">
        <w:rPr>
          <w:rFonts w:eastAsia="Times New Roman" w:cs="Times New Roman"/>
          <w:color w:val="000000"/>
          <w:sz w:val="20"/>
          <w:szCs w:val="20"/>
        </w:rPr>
        <w:t xml:space="preserve"> Plant Closures in 2020. S&amp;P Global Market Intelligence, which states, “</w:t>
      </w:r>
      <w:r w:rsidR="00FF25D8" w:rsidRPr="00486B9D">
        <w:rPr>
          <w:rFonts w:eastAsia="Times New Roman" w:cs="Times New Roman"/>
          <w:color w:val="000000"/>
          <w:sz w:val="20"/>
          <w:szCs w:val="20"/>
        </w:rPr>
        <w:t xml:space="preserve">Low-cost renewables and gas plus cooperative state commissions make the decision to retire coal units </w:t>
      </w:r>
      <w:r w:rsidR="004069A0">
        <w:rPr>
          <w:rFonts w:eastAsia="Times New Roman" w:cs="Times New Roman"/>
          <w:color w:val="000000"/>
          <w:sz w:val="20"/>
          <w:szCs w:val="20"/>
        </w:rPr>
        <w:t>–</w:t>
      </w:r>
      <w:r w:rsidR="00FF25D8" w:rsidRPr="00486B9D">
        <w:rPr>
          <w:rFonts w:eastAsia="Times New Roman" w:cs="Times New Roman"/>
          <w:color w:val="000000"/>
          <w:sz w:val="20"/>
          <w:szCs w:val="20"/>
        </w:rPr>
        <w:t xml:space="preserve"> especially those that need capital to comply with environmental regulations </w:t>
      </w:r>
      <w:r w:rsidR="004069A0">
        <w:rPr>
          <w:rFonts w:eastAsia="Times New Roman" w:cs="Times New Roman"/>
          <w:color w:val="000000"/>
          <w:sz w:val="20"/>
          <w:szCs w:val="20"/>
        </w:rPr>
        <w:t>–</w:t>
      </w:r>
      <w:r w:rsidR="00FF25D8" w:rsidRPr="00486B9D">
        <w:rPr>
          <w:rFonts w:eastAsia="Times New Roman" w:cs="Times New Roman"/>
          <w:color w:val="000000"/>
          <w:sz w:val="20"/>
          <w:szCs w:val="20"/>
        </w:rPr>
        <w:t xml:space="preserve"> an easy one.</w:t>
      </w:r>
      <w:r w:rsidR="004069A0">
        <w:rPr>
          <w:rFonts w:eastAsia="Times New Roman" w:cs="Times New Roman"/>
          <w:color w:val="000000"/>
          <w:sz w:val="20"/>
          <w:szCs w:val="20"/>
        </w:rPr>
        <w:t xml:space="preserve">” Available at: </w:t>
      </w:r>
      <w:hyperlink r:id="rId13" w:history="1">
        <w:r w:rsidR="00F000A0" w:rsidRPr="00A70826">
          <w:rPr>
            <w:rStyle w:val="Hyperlink"/>
            <w:rFonts w:eastAsia="Times New Roman" w:cs="Times New Roman"/>
            <w:sz w:val="20"/>
            <w:szCs w:val="20"/>
          </w:rPr>
          <w:t>https://www.spglobal.com/marketintelligence</w:t>
        </w:r>
        <w:r w:rsidR="00F000A0" w:rsidRPr="00A70826">
          <w:rPr>
            <w:rStyle w:val="Hyperlink"/>
            <w:rFonts w:eastAsia="Times New Roman" w:cs="Times New Roman"/>
            <w:sz w:val="20"/>
            <w:szCs w:val="20"/>
          </w:rPr>
          <w:br/>
          <w:t>/en/news-insights/trending/1-Ve3d8MnTMmiZGR2Rbshw2</w:t>
        </w:r>
      </w:hyperlink>
    </w:p>
    <w:p w14:paraId="585B6B25" w14:textId="77777777" w:rsidR="004069A0" w:rsidRPr="004069A0" w:rsidRDefault="004069A0" w:rsidP="003E1EBA">
      <w:pPr>
        <w:pBdr>
          <w:top w:val="nil"/>
          <w:left w:val="nil"/>
          <w:bottom w:val="nil"/>
          <w:right w:val="nil"/>
          <w:between w:val="nil"/>
        </w:pBdr>
        <w:spacing w:after="0" w:line="240" w:lineRule="auto"/>
        <w:ind w:left="0"/>
        <w:jc w:val="both"/>
        <w:rPr>
          <w:rFonts w:eastAsia="Times New Roman" w:cs="Times New Roman"/>
          <w:color w:val="000000"/>
          <w:sz w:val="20"/>
          <w:szCs w:val="20"/>
        </w:rPr>
      </w:pPr>
    </w:p>
  </w:footnote>
  <w:footnote w:id="23">
    <w:p w14:paraId="4A985E49" w14:textId="6CEFB3D2" w:rsidR="00FF25D8" w:rsidRDefault="00FF25D8" w:rsidP="003E1EBA">
      <w:pPr>
        <w:pBdr>
          <w:top w:val="nil"/>
          <w:left w:val="nil"/>
          <w:bottom w:val="nil"/>
          <w:right w:val="nil"/>
          <w:between w:val="nil"/>
        </w:pBdr>
        <w:spacing w:after="0" w:line="240" w:lineRule="auto"/>
        <w:ind w:left="0"/>
        <w:jc w:val="both"/>
        <w:rPr>
          <w:rFonts w:eastAsia="Times New Roman" w:cs="Times New Roman"/>
          <w:color w:val="000000"/>
          <w:sz w:val="20"/>
          <w:szCs w:val="20"/>
        </w:rPr>
      </w:pPr>
      <w:r w:rsidRPr="00486B9D">
        <w:rPr>
          <w:rFonts w:cs="Times New Roman"/>
          <w:sz w:val="20"/>
          <w:szCs w:val="20"/>
          <w:vertAlign w:val="superscript"/>
        </w:rPr>
        <w:footnoteRef/>
      </w:r>
      <w:r w:rsidRPr="00486B9D">
        <w:rPr>
          <w:rFonts w:eastAsia="Times New Roman" w:cs="Times New Roman"/>
          <w:color w:val="000000"/>
          <w:sz w:val="20"/>
          <w:szCs w:val="20"/>
        </w:rPr>
        <w:t xml:space="preserve"> </w:t>
      </w:r>
      <w:r w:rsidR="00F12569" w:rsidRPr="00486B9D">
        <w:rPr>
          <w:rFonts w:eastAsia="Times New Roman" w:cs="Times New Roman"/>
          <w:color w:val="000000"/>
          <w:sz w:val="20"/>
          <w:szCs w:val="20"/>
        </w:rPr>
        <w:t>United States Securities and Exchange Commission</w:t>
      </w:r>
      <w:r w:rsidR="0092285C">
        <w:rPr>
          <w:rFonts w:eastAsia="Times New Roman" w:cs="Times New Roman"/>
          <w:color w:val="000000"/>
          <w:sz w:val="20"/>
          <w:szCs w:val="20"/>
        </w:rPr>
        <w:t xml:space="preserve">, March 21, 2022, </w:t>
      </w:r>
      <w:r w:rsidRPr="0092285C">
        <w:rPr>
          <w:rFonts w:eastAsia="Times New Roman" w:cs="Times New Roman"/>
          <w:i/>
          <w:iCs/>
          <w:color w:val="000000"/>
          <w:sz w:val="20"/>
          <w:szCs w:val="20"/>
        </w:rPr>
        <w:t>SEC Proposes Rules to Enhance and Standardize Climate-Related Disclosures for Investors</w:t>
      </w:r>
      <w:r w:rsidR="0092285C">
        <w:rPr>
          <w:rFonts w:eastAsia="Times New Roman" w:cs="Times New Roman"/>
          <w:color w:val="000000"/>
          <w:sz w:val="20"/>
          <w:szCs w:val="20"/>
        </w:rPr>
        <w:t>,</w:t>
      </w:r>
      <w:r w:rsidRPr="00486B9D">
        <w:rPr>
          <w:rFonts w:eastAsia="Times New Roman" w:cs="Times New Roman"/>
          <w:color w:val="000000"/>
          <w:sz w:val="20"/>
          <w:szCs w:val="20"/>
        </w:rPr>
        <w:t xml:space="preserve"> Press Release.</w:t>
      </w:r>
      <w:r w:rsidR="0092285C">
        <w:rPr>
          <w:rFonts w:eastAsia="Times New Roman" w:cs="Times New Roman"/>
          <w:color w:val="000000"/>
          <w:sz w:val="20"/>
          <w:szCs w:val="20"/>
        </w:rPr>
        <w:t xml:space="preserve"> </w:t>
      </w:r>
      <w:r w:rsidRPr="00486B9D">
        <w:rPr>
          <w:rFonts w:eastAsia="Times New Roman" w:cs="Times New Roman"/>
          <w:color w:val="000000"/>
          <w:sz w:val="20"/>
          <w:szCs w:val="20"/>
        </w:rPr>
        <w:t>Washington D.C.</w:t>
      </w:r>
      <w:r w:rsidR="002F6E83">
        <w:rPr>
          <w:rFonts w:eastAsia="Times New Roman" w:cs="Times New Roman"/>
          <w:color w:val="000000"/>
          <w:sz w:val="20"/>
          <w:szCs w:val="20"/>
        </w:rPr>
        <w:t xml:space="preserve"> Available at: </w:t>
      </w:r>
      <w:hyperlink r:id="rId14" w:history="1">
        <w:r w:rsidR="002F6E83" w:rsidRPr="002F6E83">
          <w:rPr>
            <w:rStyle w:val="Hyperlink"/>
            <w:rFonts w:eastAsia="Times New Roman" w:cs="Times New Roman"/>
            <w:sz w:val="20"/>
            <w:szCs w:val="20"/>
          </w:rPr>
          <w:t>https://www.sec.gov/news/press-release/2022-46</w:t>
        </w:r>
      </w:hyperlink>
      <w:r w:rsidR="002F6E83">
        <w:rPr>
          <w:rFonts w:eastAsia="Times New Roman" w:cs="Times New Roman"/>
          <w:color w:val="000000"/>
          <w:sz w:val="20"/>
          <w:szCs w:val="20"/>
        </w:rPr>
        <w:t>.</w:t>
      </w:r>
      <w:r w:rsidRPr="00486B9D">
        <w:rPr>
          <w:rFonts w:eastAsia="Times New Roman" w:cs="Times New Roman"/>
          <w:color w:val="000000"/>
          <w:sz w:val="20"/>
          <w:szCs w:val="20"/>
        </w:rPr>
        <w:br/>
      </w:r>
      <w:r w:rsidRPr="00486B9D">
        <w:rPr>
          <w:rFonts w:eastAsia="Times New Roman" w:cs="Times New Roman"/>
          <w:color w:val="000000"/>
          <w:sz w:val="20"/>
          <w:szCs w:val="20"/>
        </w:rPr>
        <w:br/>
      </w:r>
      <w:r w:rsidRPr="00AE4FD8">
        <w:rPr>
          <w:rFonts w:eastAsia="Times New Roman" w:cs="Times New Roman"/>
          <w:color w:val="000000"/>
          <w:sz w:val="20"/>
          <w:szCs w:val="20"/>
        </w:rPr>
        <w:t xml:space="preserve">The proposed </w:t>
      </w:r>
      <w:r w:rsidR="00B7350A" w:rsidRPr="00AE4FD8">
        <w:rPr>
          <w:rFonts w:eastAsia="Times New Roman" w:cs="Times New Roman"/>
          <w:color w:val="000000"/>
          <w:sz w:val="20"/>
          <w:szCs w:val="20"/>
        </w:rPr>
        <w:t xml:space="preserve">SEC </w:t>
      </w:r>
      <w:r w:rsidRPr="00AE4FD8">
        <w:rPr>
          <w:rFonts w:eastAsia="Times New Roman" w:cs="Times New Roman"/>
          <w:color w:val="000000"/>
          <w:sz w:val="20"/>
          <w:szCs w:val="20"/>
        </w:rPr>
        <w:t>rule</w:t>
      </w:r>
      <w:r w:rsidR="00AE4FD8">
        <w:rPr>
          <w:rFonts w:eastAsia="Times New Roman" w:cs="Times New Roman"/>
          <w:color w:val="000000"/>
          <w:sz w:val="20"/>
          <w:szCs w:val="20"/>
        </w:rPr>
        <w:t xml:space="preserve"> (</w:t>
      </w:r>
      <w:r w:rsidR="00AE4FD8" w:rsidRPr="00AE4FD8">
        <w:rPr>
          <w:rFonts w:cs="Times New Roman"/>
          <w:sz w:val="20"/>
          <w:szCs w:val="20"/>
        </w:rPr>
        <w:t>Release Nos. 33-11042; 34-94478; File No. S7-10-22</w:t>
      </w:r>
      <w:r w:rsidR="00AE4FD8">
        <w:rPr>
          <w:rFonts w:cs="Times New Roman"/>
          <w:sz w:val="20"/>
          <w:szCs w:val="20"/>
        </w:rPr>
        <w:t>)</w:t>
      </w:r>
      <w:r w:rsidRPr="00AE4FD8">
        <w:rPr>
          <w:rFonts w:eastAsia="Times New Roman" w:cs="Times New Roman"/>
          <w:color w:val="000000"/>
          <w:sz w:val="20"/>
          <w:szCs w:val="20"/>
        </w:rPr>
        <w:t xml:space="preserve"> is available at: </w:t>
      </w:r>
      <w:hyperlink r:id="rId15" w:history="1">
        <w:r w:rsidRPr="00AE4FD8">
          <w:rPr>
            <w:rStyle w:val="Hyperlink"/>
            <w:rFonts w:eastAsia="Times New Roman" w:cs="Times New Roman"/>
            <w:sz w:val="20"/>
            <w:szCs w:val="20"/>
          </w:rPr>
          <w:t>https://www.sec.</w:t>
        </w:r>
        <w:r w:rsidR="00AE4FD8" w:rsidRPr="00AE4FD8">
          <w:rPr>
            <w:rStyle w:val="Hyperlink"/>
            <w:rFonts w:eastAsia="Times New Roman" w:cs="Times New Roman"/>
            <w:sz w:val="20"/>
            <w:szCs w:val="20"/>
          </w:rPr>
          <w:br/>
        </w:r>
        <w:r w:rsidRPr="00AE4FD8">
          <w:rPr>
            <w:rStyle w:val="Hyperlink"/>
            <w:rFonts w:eastAsia="Times New Roman" w:cs="Times New Roman"/>
            <w:sz w:val="20"/>
            <w:szCs w:val="20"/>
          </w:rPr>
          <w:t>gov/rules/proposed/2022/33-11042.pdf</w:t>
        </w:r>
      </w:hyperlink>
      <w:r w:rsidR="00AE4FD8">
        <w:rPr>
          <w:rFonts w:eastAsia="Times New Roman" w:cs="Times New Roman"/>
          <w:color w:val="000000"/>
          <w:sz w:val="20"/>
          <w:szCs w:val="20"/>
        </w:rPr>
        <w:t>.</w:t>
      </w:r>
    </w:p>
  </w:footnote>
  <w:footnote w:id="24">
    <w:p w14:paraId="5265FE4B" w14:textId="3C1CDBCB" w:rsidR="00FF25D8" w:rsidRPr="0059483E" w:rsidRDefault="00FF25D8" w:rsidP="0059483E">
      <w:pPr>
        <w:spacing w:after="0" w:line="240" w:lineRule="auto"/>
        <w:ind w:left="0"/>
        <w:rPr>
          <w:rFonts w:eastAsia="Times New Roman" w:cs="Times New Roman"/>
          <w:sz w:val="20"/>
          <w:szCs w:val="20"/>
        </w:rPr>
      </w:pPr>
      <w:r w:rsidRPr="0059483E">
        <w:rPr>
          <w:sz w:val="20"/>
          <w:szCs w:val="20"/>
          <w:vertAlign w:val="superscript"/>
        </w:rPr>
        <w:footnoteRef/>
      </w:r>
      <w:r w:rsidR="0059483E">
        <w:rPr>
          <w:rFonts w:eastAsia="Times New Roman" w:cs="Times New Roman"/>
          <w:sz w:val="20"/>
          <w:szCs w:val="20"/>
        </w:rPr>
        <w:t xml:space="preserve"> See </w:t>
      </w:r>
      <w:hyperlink r:id="rId16" w:history="1">
        <w:r w:rsidRPr="003627CA">
          <w:rPr>
            <w:rStyle w:val="Hyperlink"/>
            <w:rFonts w:eastAsia="Times New Roman" w:cs="Times New Roman"/>
            <w:sz w:val="20"/>
            <w:szCs w:val="20"/>
          </w:rPr>
          <w:t>https://www.law.cornell.edu/uscode/text/16/chapter-46</w:t>
        </w:r>
      </w:hyperlink>
      <w:r w:rsidR="003627CA">
        <w:rPr>
          <w:rFonts w:eastAsia="Times New Roman" w:cs="Times New Roman"/>
          <w:sz w:val="20"/>
          <w:szCs w:val="20"/>
        </w:rPr>
        <w:t>.</w:t>
      </w:r>
    </w:p>
  </w:footnote>
  <w:footnote w:id="25">
    <w:p w14:paraId="60046E5D" w14:textId="77777777" w:rsidR="00640F3C" w:rsidRPr="00640F3C" w:rsidRDefault="00640F3C" w:rsidP="00640F3C">
      <w:pPr>
        <w:pBdr>
          <w:top w:val="nil"/>
          <w:left w:val="nil"/>
          <w:bottom w:val="nil"/>
          <w:right w:val="nil"/>
          <w:between w:val="nil"/>
        </w:pBdr>
        <w:spacing w:after="0" w:line="240" w:lineRule="auto"/>
        <w:ind w:left="0"/>
        <w:rPr>
          <w:rFonts w:eastAsia="Times New Roman" w:cs="Times New Roman"/>
          <w:color w:val="000000"/>
          <w:sz w:val="20"/>
          <w:szCs w:val="20"/>
        </w:rPr>
      </w:pPr>
      <w:r w:rsidRPr="00640F3C">
        <w:rPr>
          <w:sz w:val="20"/>
          <w:szCs w:val="20"/>
          <w:vertAlign w:val="superscript"/>
        </w:rPr>
        <w:footnoteRef/>
      </w:r>
      <w:r w:rsidRPr="00640F3C">
        <w:rPr>
          <w:rFonts w:eastAsia="Times New Roman" w:cs="Times New Roman"/>
          <w:color w:val="000000"/>
          <w:sz w:val="20"/>
          <w:szCs w:val="20"/>
        </w:rPr>
        <w:t xml:space="preserve"> </w:t>
      </w:r>
      <w:r w:rsidRPr="00D07E7A">
        <w:rPr>
          <w:rFonts w:eastAsia="Times New Roman" w:cs="Times New Roman"/>
          <w:color w:val="000000" w:themeColor="text1"/>
          <w:sz w:val="20"/>
          <w:szCs w:val="20"/>
        </w:rPr>
        <w:t xml:space="preserve">Kahrl, F., March 2021, </w:t>
      </w:r>
      <w:r w:rsidRPr="00D07E7A">
        <w:rPr>
          <w:rFonts w:eastAsia="Times New Roman" w:cs="Times New Roman"/>
          <w:i/>
          <w:iCs/>
          <w:color w:val="000000" w:themeColor="text1"/>
          <w:sz w:val="20"/>
          <w:szCs w:val="20"/>
        </w:rPr>
        <w:t>All-Source Competitive Solicitations: State and Electricity Utility Practices</w:t>
      </w:r>
      <w:r w:rsidRPr="00D07E7A">
        <w:rPr>
          <w:rFonts w:eastAsia="Times New Roman" w:cs="Times New Roman"/>
          <w:color w:val="000000" w:themeColor="text1"/>
          <w:sz w:val="20"/>
          <w:szCs w:val="20"/>
        </w:rPr>
        <w:t>, Berkeley, CA: Lawrence Berkeley National Laboratory. pp. 59.</w:t>
      </w:r>
    </w:p>
  </w:footnote>
  <w:footnote w:id="26">
    <w:p w14:paraId="20FD922A" w14:textId="79C85A15" w:rsidR="006672BB" w:rsidRPr="00CD0C18" w:rsidRDefault="006672BB" w:rsidP="006672BB">
      <w:pPr>
        <w:pStyle w:val="FootnoteText"/>
        <w:ind w:left="0"/>
        <w:jc w:val="both"/>
        <w:rPr>
          <w:rFonts w:cs="Times New Roman"/>
        </w:rPr>
      </w:pPr>
      <w:r w:rsidRPr="00CD0C18">
        <w:rPr>
          <w:rStyle w:val="FootnoteReference"/>
          <w:rFonts w:cs="Times New Roman"/>
        </w:rPr>
        <w:footnoteRef/>
      </w:r>
      <w:r w:rsidRPr="00CD0C18">
        <w:rPr>
          <w:rFonts w:cs="Times New Roman"/>
        </w:rPr>
        <w:t xml:space="preserve"> See</w:t>
      </w:r>
      <w:r w:rsidR="00FC037F">
        <w:rPr>
          <w:rFonts w:cs="Times New Roman"/>
        </w:rPr>
        <w:t>, for example,</w:t>
      </w:r>
      <w:r w:rsidRPr="00CD0C18">
        <w:rPr>
          <w:rFonts w:cs="Times New Roman"/>
        </w:rPr>
        <w:t xml:space="preserve"> </w:t>
      </w:r>
      <w:hyperlink r:id="rId17" w:history="1">
        <w:r w:rsidRPr="00CD0C18">
          <w:rPr>
            <w:rStyle w:val="Hyperlink"/>
            <w:rFonts w:cs="Times New Roman"/>
          </w:rPr>
          <w:t>https://regulationbodyofknowledge.org/glossary/a/averch-johnson-effect-aj-effect/</w:t>
        </w:r>
      </w:hyperlink>
      <w:r w:rsidR="00FC037F">
        <w:rPr>
          <w:rStyle w:val="Hyperlink"/>
          <w:rFonts w:cs="Times New Roman"/>
        </w:rPr>
        <w:t>.</w:t>
      </w:r>
    </w:p>
    <w:p w14:paraId="3ADD1EB0" w14:textId="77777777" w:rsidR="006672BB" w:rsidRDefault="006672BB" w:rsidP="006672BB">
      <w:pPr>
        <w:pStyle w:val="FootnoteText"/>
      </w:pPr>
    </w:p>
  </w:footnote>
  <w:footnote w:id="27">
    <w:p w14:paraId="69C31FA6" w14:textId="38F946B0" w:rsidR="000376BC" w:rsidRPr="00CD0C18" w:rsidRDefault="000376BC" w:rsidP="00CD0C18">
      <w:pPr>
        <w:pBdr>
          <w:top w:val="nil"/>
          <w:left w:val="nil"/>
          <w:bottom w:val="nil"/>
          <w:right w:val="nil"/>
          <w:between w:val="nil"/>
        </w:pBdr>
        <w:spacing w:after="0" w:line="240" w:lineRule="auto"/>
        <w:ind w:left="0"/>
        <w:rPr>
          <w:rFonts w:eastAsia="Times New Roman" w:cs="Times New Roman"/>
          <w:color w:val="000000"/>
          <w:sz w:val="20"/>
          <w:szCs w:val="20"/>
        </w:rPr>
      </w:pPr>
      <w:r w:rsidRPr="00CD0C18">
        <w:rPr>
          <w:rFonts w:cs="Times New Roman"/>
          <w:sz w:val="20"/>
          <w:szCs w:val="20"/>
          <w:vertAlign w:val="superscript"/>
        </w:rPr>
        <w:footnoteRef/>
      </w:r>
      <w:r w:rsidRPr="00CD0C18">
        <w:rPr>
          <w:rFonts w:eastAsia="Times New Roman" w:cs="Times New Roman"/>
          <w:color w:val="000000"/>
          <w:sz w:val="20"/>
          <w:szCs w:val="20"/>
        </w:rPr>
        <w:t xml:space="preserve"> See, for example</w:t>
      </w:r>
      <w:r w:rsidR="00384AD3">
        <w:rPr>
          <w:rFonts w:eastAsia="Times New Roman" w:cs="Times New Roman"/>
          <w:color w:val="000000"/>
          <w:sz w:val="20"/>
          <w:szCs w:val="20"/>
        </w:rPr>
        <w:t>,</w:t>
      </w:r>
      <w:r w:rsidRPr="00CD0C18">
        <w:rPr>
          <w:rFonts w:eastAsia="Times New Roman" w:cs="Times New Roman"/>
          <w:sz w:val="20"/>
          <w:szCs w:val="20"/>
        </w:rPr>
        <w:t xml:space="preserve"> </w:t>
      </w:r>
      <w:hyperlink r:id="rId18" w:history="1">
        <w:r w:rsidRPr="00384AD3">
          <w:rPr>
            <w:rStyle w:val="Hyperlink"/>
            <w:rFonts w:eastAsia="Times New Roman" w:cs="Times New Roman"/>
            <w:sz w:val="20"/>
            <w:szCs w:val="20"/>
          </w:rPr>
          <w:t>http://epis.com/powermarketinsights/index.php/2017/05/18/how-good-is-the-eia-at-predicting-henry-hub/</w:t>
        </w:r>
      </w:hyperlink>
      <w:r w:rsidRPr="00CD0C18">
        <w:rPr>
          <w:rFonts w:eastAsia="Times New Roman" w:cs="Times New Roman"/>
          <w:color w:val="000000"/>
          <w:sz w:val="20"/>
          <w:szCs w:val="20"/>
        </w:rPr>
        <w:t xml:space="preserve"> and</w:t>
      </w:r>
      <w:r w:rsidRPr="00CD0C18">
        <w:rPr>
          <w:rFonts w:eastAsia="Times New Roman" w:cs="Times New Roman"/>
          <w:sz w:val="20"/>
          <w:szCs w:val="20"/>
        </w:rPr>
        <w:t xml:space="preserve"> </w:t>
      </w:r>
      <w:hyperlink r:id="rId19">
        <w:r w:rsidRPr="00CD0C18">
          <w:rPr>
            <w:rFonts w:eastAsia="Times New Roman" w:cs="Times New Roman"/>
            <w:color w:val="0000FF"/>
            <w:sz w:val="20"/>
            <w:szCs w:val="20"/>
            <w:u w:val="single"/>
          </w:rPr>
          <w:t>https://www.researchgate.net/figure/1-EIA-Forecasts-of-Natural-Gas-Price_fig1_237290540</w:t>
        </w:r>
      </w:hyperlink>
      <w:r w:rsidRPr="00CD0C18">
        <w:rPr>
          <w:rFonts w:eastAsia="Times New Roman" w:cs="Times New Roman"/>
          <w:color w:val="000000"/>
          <w:sz w:val="20"/>
          <w:szCs w:val="20"/>
        </w:rPr>
        <w:t>.</w:t>
      </w:r>
    </w:p>
  </w:footnote>
  <w:footnote w:id="28">
    <w:p w14:paraId="7DA2212E" w14:textId="77777777" w:rsidR="000376BC" w:rsidRDefault="000376BC" w:rsidP="00CD0C18">
      <w:pPr>
        <w:pBdr>
          <w:top w:val="nil"/>
          <w:left w:val="nil"/>
          <w:bottom w:val="nil"/>
          <w:right w:val="nil"/>
          <w:between w:val="nil"/>
        </w:pBdr>
        <w:spacing w:after="0" w:line="240" w:lineRule="auto"/>
        <w:ind w:left="0"/>
        <w:jc w:val="both"/>
        <w:rPr>
          <w:rFonts w:eastAsia="Times New Roman" w:cs="Times New Roman"/>
          <w:color w:val="000000"/>
          <w:sz w:val="20"/>
          <w:szCs w:val="20"/>
        </w:rPr>
      </w:pPr>
      <w:r w:rsidRPr="00CD0C18">
        <w:rPr>
          <w:rFonts w:cs="Times New Roman"/>
          <w:sz w:val="20"/>
          <w:szCs w:val="20"/>
          <w:vertAlign w:val="superscript"/>
        </w:rPr>
        <w:footnoteRef/>
      </w:r>
      <w:r w:rsidRPr="00CD0C18">
        <w:rPr>
          <w:rFonts w:eastAsia="Times New Roman" w:cs="Times New Roman"/>
          <w:color w:val="000000"/>
          <w:sz w:val="20"/>
          <w:szCs w:val="20"/>
        </w:rPr>
        <w:t xml:space="preserve"> A commonplace response to gas risks is to consider financial hedging.</w:t>
      </w:r>
      <w:r w:rsidRPr="00CD0C18">
        <w:rPr>
          <w:rFonts w:eastAsia="Times New Roman" w:cs="Times New Roman"/>
          <w:sz w:val="20"/>
          <w:szCs w:val="20"/>
        </w:rPr>
        <w:t xml:space="preserve"> </w:t>
      </w:r>
      <w:r w:rsidRPr="00CD0C18">
        <w:rPr>
          <w:rFonts w:eastAsia="Times New Roman" w:cs="Times New Roman"/>
          <w:color w:val="000000"/>
          <w:sz w:val="20"/>
          <w:szCs w:val="20"/>
        </w:rPr>
        <w:t>This practice replaces gas price risk with risks of hedge providers’ financial positions.</w:t>
      </w:r>
      <w:r w:rsidRPr="00CD0C18">
        <w:rPr>
          <w:rFonts w:eastAsia="Times New Roman" w:cs="Times New Roman"/>
          <w:sz w:val="20"/>
          <w:szCs w:val="20"/>
        </w:rPr>
        <w:t xml:space="preserve"> </w:t>
      </w:r>
      <w:r w:rsidRPr="00CD0C18">
        <w:rPr>
          <w:rFonts w:eastAsia="Times New Roman" w:cs="Times New Roman"/>
          <w:color w:val="000000"/>
          <w:sz w:val="20"/>
          <w:szCs w:val="20"/>
        </w:rPr>
        <w:t>Financial hedges don’t always provide insurance against risks.</w:t>
      </w:r>
      <w:r w:rsidRPr="00CD0C18">
        <w:rPr>
          <w:rFonts w:eastAsia="Times New Roman" w:cs="Times New Roman"/>
          <w:sz w:val="20"/>
          <w:szCs w:val="20"/>
        </w:rPr>
        <w:t xml:space="preserve"> </w:t>
      </w:r>
      <w:r w:rsidRPr="00CD0C18">
        <w:rPr>
          <w:rFonts w:eastAsia="Times New Roman" w:cs="Times New Roman"/>
          <w:color w:val="000000"/>
          <w:sz w:val="20"/>
          <w:szCs w:val="20"/>
        </w:rPr>
        <w:t>For example, the best hedge in the business in 1999 would have resulted in a claim in the Enron bankruptcy in 2001, not money, and not gas.</w:t>
      </w:r>
      <w:r w:rsidRPr="00CD0C18">
        <w:rPr>
          <w:rFonts w:eastAsia="Times New Roman" w:cs="Times New Roman"/>
          <w:sz w:val="20"/>
          <w:szCs w:val="20"/>
        </w:rPr>
        <w:t xml:space="preserve"> </w:t>
      </w:r>
      <w:r w:rsidRPr="00CD0C18">
        <w:rPr>
          <w:rFonts w:eastAsia="Times New Roman" w:cs="Times New Roman"/>
          <w:color w:val="000000"/>
          <w:sz w:val="20"/>
          <w:szCs w:val="20"/>
        </w:rPr>
        <w:t>And that claim would have been subordinate to debt holders, who in bankruptcy tend to leave crumbs, not bread, for other claimants.</w:t>
      </w:r>
    </w:p>
  </w:footnote>
  <w:footnote w:id="29">
    <w:p w14:paraId="6D8C8CFC" w14:textId="1959500E" w:rsidR="00571DCA" w:rsidRDefault="002D51F6" w:rsidP="00180B78">
      <w:pPr>
        <w:pStyle w:val="FootnoteText"/>
        <w:ind w:left="0"/>
        <w:jc w:val="both"/>
      </w:pPr>
      <w:r>
        <w:rPr>
          <w:rStyle w:val="FootnoteReference"/>
        </w:rPr>
        <w:footnoteRef/>
      </w:r>
      <w:r>
        <w:t xml:space="preserve"> Otarola, M., </w:t>
      </w:r>
      <w:r w:rsidR="00B2767B">
        <w:t>February 2022, Xcel Energy could Overcharge Customers ‘Tens of Millions of Dollars’ After Last Year’s Cold Snap, State Watchdos Says</w:t>
      </w:r>
      <w:r w:rsidR="00180B78">
        <w:t xml:space="preserve">, CPR News. Available at: </w:t>
      </w:r>
      <w:hyperlink r:id="rId20" w:history="1">
        <w:r w:rsidR="00180B78" w:rsidRPr="00180B78">
          <w:rPr>
            <w:rStyle w:val="Hyperlink"/>
          </w:rPr>
          <w:t>https://www.cpr.org/2022/02/24/xcel-energy-overcharging-customers-cold-weather/</w:t>
        </w:r>
      </w:hyperlink>
      <w:r w:rsidR="00571DCA">
        <w:t>.</w:t>
      </w:r>
    </w:p>
  </w:footnote>
  <w:footnote w:id="30">
    <w:p w14:paraId="4FDFE7E8" w14:textId="562EC872" w:rsidR="000376BC" w:rsidRPr="00CD0C18" w:rsidRDefault="000376BC" w:rsidP="00CD0C18">
      <w:pPr>
        <w:pBdr>
          <w:top w:val="nil"/>
          <w:left w:val="nil"/>
          <w:bottom w:val="nil"/>
          <w:right w:val="nil"/>
          <w:between w:val="nil"/>
        </w:pBdr>
        <w:spacing w:after="0" w:line="240" w:lineRule="auto"/>
        <w:ind w:left="0"/>
        <w:jc w:val="both"/>
        <w:rPr>
          <w:rFonts w:eastAsia="Times New Roman" w:cs="Times New Roman"/>
          <w:sz w:val="20"/>
          <w:szCs w:val="20"/>
        </w:rPr>
      </w:pPr>
      <w:r w:rsidRPr="00CD0C18">
        <w:rPr>
          <w:rFonts w:cs="Times New Roman"/>
          <w:sz w:val="20"/>
          <w:szCs w:val="20"/>
          <w:vertAlign w:val="superscript"/>
        </w:rPr>
        <w:footnoteRef/>
      </w:r>
      <w:r w:rsidRPr="00CD0C18">
        <w:rPr>
          <w:rFonts w:eastAsia="Times New Roman" w:cs="Times New Roman"/>
          <w:sz w:val="20"/>
          <w:szCs w:val="20"/>
        </w:rPr>
        <w:t xml:space="preserve"> </w:t>
      </w:r>
      <w:r w:rsidR="00571DCA">
        <w:rPr>
          <w:rFonts w:eastAsia="Times New Roman" w:cs="Times New Roman"/>
          <w:color w:val="000000"/>
          <w:sz w:val="20"/>
          <w:szCs w:val="20"/>
        </w:rPr>
        <w:t xml:space="preserve">See the </w:t>
      </w:r>
      <w:r w:rsidRPr="00CD0C18">
        <w:rPr>
          <w:rFonts w:eastAsia="Times New Roman" w:cs="Times New Roman"/>
          <w:color w:val="000000"/>
          <w:sz w:val="20"/>
          <w:szCs w:val="20"/>
        </w:rPr>
        <w:t xml:space="preserve">Colorado PUC </w:t>
      </w:r>
      <w:r w:rsidR="00571DCA">
        <w:rPr>
          <w:rFonts w:eastAsia="Times New Roman" w:cs="Times New Roman"/>
          <w:color w:val="000000"/>
          <w:sz w:val="20"/>
          <w:szCs w:val="20"/>
        </w:rPr>
        <w:t>R</w:t>
      </w:r>
      <w:r w:rsidRPr="00CD0C18">
        <w:rPr>
          <w:rFonts w:eastAsia="Times New Roman" w:cs="Times New Roman"/>
          <w:color w:val="000000"/>
          <w:sz w:val="20"/>
          <w:szCs w:val="20"/>
        </w:rPr>
        <w:t>esponse</w:t>
      </w:r>
      <w:r w:rsidR="00571DCA">
        <w:rPr>
          <w:rFonts w:eastAsia="Times New Roman" w:cs="Times New Roman"/>
          <w:color w:val="000000"/>
          <w:sz w:val="20"/>
          <w:szCs w:val="20"/>
        </w:rPr>
        <w:t>, available at:</w:t>
      </w:r>
      <w:r w:rsidRPr="00CD0C18">
        <w:rPr>
          <w:rFonts w:eastAsia="Times New Roman" w:cs="Times New Roman"/>
          <w:sz w:val="20"/>
          <w:szCs w:val="20"/>
        </w:rPr>
        <w:t xml:space="preserve"> </w:t>
      </w:r>
      <w:hyperlink r:id="rId21">
        <w:r w:rsidRPr="00CD0C18">
          <w:rPr>
            <w:rFonts w:eastAsia="Times New Roman" w:cs="Times New Roman"/>
            <w:color w:val="0000FF"/>
            <w:sz w:val="20"/>
            <w:szCs w:val="20"/>
            <w:u w:val="single"/>
          </w:rPr>
          <w:t>https://puc.colorado.gov/uri</w:t>
        </w:r>
      </w:hyperlink>
      <w:r w:rsidR="00571DCA">
        <w:rPr>
          <w:rFonts w:eastAsia="Times New Roman" w:cs="Times New Roman"/>
          <w:color w:val="0000FF"/>
          <w:sz w:val="20"/>
          <w:szCs w:val="20"/>
          <w:u w:val="single"/>
        </w:rPr>
        <w:t>.</w:t>
      </w:r>
      <w:r w:rsidRPr="00CD0C18">
        <w:rPr>
          <w:rFonts w:eastAsia="Times New Roman" w:cs="Times New Roman"/>
          <w:sz w:val="20"/>
          <w:szCs w:val="20"/>
        </w:rPr>
        <w:t xml:space="preserve"> </w:t>
      </w:r>
    </w:p>
    <w:p w14:paraId="5BD09568" w14:textId="77777777" w:rsidR="000376BC" w:rsidRDefault="000376BC" w:rsidP="000376BC">
      <w:pPr>
        <w:pBdr>
          <w:top w:val="nil"/>
          <w:left w:val="nil"/>
          <w:bottom w:val="nil"/>
          <w:right w:val="nil"/>
          <w:between w:val="nil"/>
        </w:pBdr>
        <w:spacing w:after="0" w:line="240" w:lineRule="auto"/>
        <w:rPr>
          <w:rFonts w:eastAsia="Times New Roman" w:cs="Times New Roman"/>
          <w:color w:val="000000"/>
          <w:sz w:val="20"/>
          <w:szCs w:val="20"/>
        </w:rPr>
      </w:pPr>
      <w:r>
        <w:rPr>
          <w:rFonts w:eastAsia="Times New Roman" w:cs="Times New Roman"/>
          <w:color w:val="000000"/>
          <w:sz w:val="20"/>
          <w:szCs w:val="20"/>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4C147E" w14:textId="57664326" w:rsidR="00B945C0" w:rsidRDefault="00B945C0" w:rsidP="00B945C0">
    <w:pPr>
      <w:shd w:val="clear" w:color="auto" w:fill="FFFFFF"/>
      <w:spacing w:after="0" w:line="240" w:lineRule="auto"/>
      <w:ind w:left="0"/>
      <w:rPr>
        <w:rFonts w:eastAsia="Times New Roman" w:cs="Times New Roman"/>
        <w:szCs w:val="24"/>
      </w:rPr>
    </w:pPr>
    <w:r>
      <w:rPr>
        <w:rFonts w:eastAsia="Times New Roman" w:cs="Times New Roman"/>
        <w:szCs w:val="24"/>
      </w:rPr>
      <w:t>Direct Testimony of Ronald J. Binz</w:t>
    </w:r>
  </w:p>
  <w:p w14:paraId="55BB1C75" w14:textId="77777777" w:rsidR="00B945C0" w:rsidRDefault="00B945C0" w:rsidP="00B945C0">
    <w:pPr>
      <w:shd w:val="clear" w:color="auto" w:fill="FFFFFF"/>
      <w:spacing w:after="0" w:line="240" w:lineRule="auto"/>
      <w:ind w:left="0"/>
      <w:rPr>
        <w:rFonts w:eastAsia="Times New Roman" w:cs="Times New Roman"/>
        <w:szCs w:val="24"/>
      </w:rPr>
    </w:pPr>
    <w:r>
      <w:rPr>
        <w:rFonts w:eastAsia="Times New Roman" w:cs="Times New Roman"/>
        <w:szCs w:val="24"/>
      </w:rPr>
      <w:t>Southern Alliance for Clean Energy &amp; Southface Energy Institute, Inc.</w:t>
    </w:r>
  </w:p>
  <w:p w14:paraId="063FA9EC" w14:textId="1A88324E" w:rsidR="00B945C0" w:rsidRDefault="00B945C0" w:rsidP="00B945C0">
    <w:pPr>
      <w:shd w:val="clear" w:color="auto" w:fill="FFFFFF"/>
      <w:spacing w:after="0" w:line="240" w:lineRule="auto"/>
      <w:ind w:left="0"/>
      <w:rPr>
        <w:rFonts w:eastAsia="Times New Roman" w:cs="Times New Roman"/>
        <w:szCs w:val="24"/>
      </w:rPr>
    </w:pPr>
    <w:r>
      <w:rPr>
        <w:rFonts w:eastAsia="Times New Roman" w:cs="Times New Roman"/>
        <w:szCs w:val="24"/>
      </w:rPr>
      <w:t>Georgia PSC, Docket No. 44160</w:t>
    </w:r>
  </w:p>
  <w:p w14:paraId="4CA5D953" w14:textId="578DDDC9" w:rsidR="00B945C0" w:rsidRDefault="00B945C0" w:rsidP="00B945C0">
    <w:pPr>
      <w:pStyle w:val="Header"/>
      <w:ind w:left="0"/>
    </w:pPr>
  </w:p>
  <w:p w14:paraId="7882448E" w14:textId="77777777" w:rsidR="00861135" w:rsidRDefault="00861135" w:rsidP="00B945C0">
    <w:pPr>
      <w:pStyle w:val="Header"/>
      <w:ind w:left="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185FBF" w14:textId="77777777" w:rsidR="00B945C0" w:rsidRDefault="00B945C0" w:rsidP="00B945C0">
    <w:pPr>
      <w:shd w:val="clear" w:color="auto" w:fill="FFFFFF"/>
      <w:spacing w:after="0" w:line="240" w:lineRule="auto"/>
      <w:ind w:left="0"/>
      <w:rPr>
        <w:rFonts w:eastAsia="Times New Roman" w:cs="Times New Roman"/>
        <w:szCs w:val="24"/>
      </w:rPr>
    </w:pPr>
    <w:r>
      <w:rPr>
        <w:rFonts w:eastAsia="Times New Roman" w:cs="Times New Roman"/>
        <w:szCs w:val="24"/>
      </w:rPr>
      <w:t>Direct Testimony of Ronald J. Binz</w:t>
    </w:r>
  </w:p>
  <w:p w14:paraId="371E0D9C" w14:textId="77777777" w:rsidR="00B945C0" w:rsidRDefault="00B945C0" w:rsidP="00B945C0">
    <w:pPr>
      <w:shd w:val="clear" w:color="auto" w:fill="FFFFFF"/>
      <w:spacing w:after="0" w:line="240" w:lineRule="auto"/>
      <w:ind w:left="0"/>
      <w:rPr>
        <w:rFonts w:eastAsia="Times New Roman" w:cs="Times New Roman"/>
        <w:szCs w:val="24"/>
      </w:rPr>
    </w:pPr>
    <w:r>
      <w:rPr>
        <w:rFonts w:eastAsia="Times New Roman" w:cs="Times New Roman"/>
        <w:szCs w:val="24"/>
      </w:rPr>
      <w:t>Southern Alliance for Clean Energy &amp; Southface Energy Institute, Inc.</w:t>
    </w:r>
  </w:p>
  <w:p w14:paraId="16FCF0D1" w14:textId="77777777" w:rsidR="00B945C0" w:rsidRDefault="00B945C0" w:rsidP="00B945C0">
    <w:pPr>
      <w:shd w:val="clear" w:color="auto" w:fill="FFFFFF"/>
      <w:spacing w:after="0" w:line="240" w:lineRule="auto"/>
      <w:ind w:left="0"/>
      <w:rPr>
        <w:rFonts w:eastAsia="Times New Roman" w:cs="Times New Roman"/>
        <w:szCs w:val="24"/>
      </w:rPr>
    </w:pPr>
    <w:r>
      <w:rPr>
        <w:rFonts w:eastAsia="Times New Roman" w:cs="Times New Roman"/>
        <w:szCs w:val="24"/>
      </w:rPr>
      <w:t>Georgia PSC, Docket No. 44160/44161</w:t>
    </w:r>
  </w:p>
  <w:p w14:paraId="6D127B7D" w14:textId="77777777" w:rsidR="00B945C0" w:rsidRDefault="00B945C0" w:rsidP="00B945C0">
    <w:pPr>
      <w:pStyle w:val="Header"/>
      <w:ind w:left="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9DFC6E42"/>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4D0AEA0E"/>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4260D672"/>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EC92244E"/>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A948B480"/>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3948E108"/>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46BAAFD0"/>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BB80A234"/>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23387BEE"/>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F20427A2"/>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8222EDF"/>
    <w:multiLevelType w:val="hybridMultilevel"/>
    <w:tmpl w:val="BDA046C4"/>
    <w:lvl w:ilvl="0" w:tplc="99CCCEBC">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18007AD9"/>
    <w:multiLevelType w:val="hybridMultilevel"/>
    <w:tmpl w:val="DFE883B2"/>
    <w:lvl w:ilvl="0" w:tplc="654CAFBA">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228D2AE1"/>
    <w:multiLevelType w:val="multilevel"/>
    <w:tmpl w:val="32F8AC6E"/>
    <w:lvl w:ilvl="0">
      <w:start w:val="1"/>
      <w:numFmt w:val="lowerLetter"/>
      <w:lvlText w:val="%1."/>
      <w:lvlJc w:val="left"/>
      <w:pPr>
        <w:ind w:left="1440" w:hanging="360"/>
      </w:pPr>
      <w:rPr>
        <w:rFonts w:hint="default"/>
      </w:rPr>
    </w:lvl>
    <w:lvl w:ilvl="1">
      <w:start w:val="1"/>
      <w:numFmt w:val="lowerLetter"/>
      <w:lvlText w:val="%2."/>
      <w:lvlJc w:val="left"/>
      <w:pPr>
        <w:ind w:left="2160" w:hanging="360"/>
      </w:pPr>
      <w:rPr>
        <w:rFonts w:hint="default"/>
      </w:rPr>
    </w:lvl>
    <w:lvl w:ilvl="2">
      <w:start w:val="1"/>
      <w:numFmt w:val="lowerRoman"/>
      <w:lvlText w:val="%3."/>
      <w:lvlJc w:val="right"/>
      <w:pPr>
        <w:ind w:left="2880" w:hanging="180"/>
      </w:pPr>
      <w:rPr>
        <w:rFonts w:hint="default"/>
      </w:rPr>
    </w:lvl>
    <w:lvl w:ilvl="3">
      <w:start w:val="1"/>
      <w:numFmt w:val="decimal"/>
      <w:lvlText w:val="%4."/>
      <w:lvlJc w:val="left"/>
      <w:pPr>
        <w:ind w:left="3600" w:hanging="360"/>
      </w:pPr>
      <w:rPr>
        <w:rFonts w:hint="default"/>
      </w:rPr>
    </w:lvl>
    <w:lvl w:ilvl="4">
      <w:start w:val="1"/>
      <w:numFmt w:val="lowerLetter"/>
      <w:lvlText w:val="%5."/>
      <w:lvlJc w:val="left"/>
      <w:pPr>
        <w:ind w:left="4320" w:hanging="360"/>
      </w:pPr>
      <w:rPr>
        <w:rFonts w:hint="default"/>
      </w:rPr>
    </w:lvl>
    <w:lvl w:ilvl="5">
      <w:start w:val="1"/>
      <w:numFmt w:val="lowerRoman"/>
      <w:lvlText w:val="%6."/>
      <w:lvlJc w:val="right"/>
      <w:pPr>
        <w:ind w:left="5040" w:hanging="180"/>
      </w:pPr>
      <w:rPr>
        <w:rFonts w:hint="default"/>
      </w:rPr>
    </w:lvl>
    <w:lvl w:ilvl="6">
      <w:start w:val="1"/>
      <w:numFmt w:val="decimal"/>
      <w:lvlText w:val="%7."/>
      <w:lvlJc w:val="left"/>
      <w:pPr>
        <w:ind w:left="5760" w:hanging="360"/>
      </w:pPr>
      <w:rPr>
        <w:rFonts w:hint="default"/>
      </w:rPr>
    </w:lvl>
    <w:lvl w:ilvl="7">
      <w:start w:val="1"/>
      <w:numFmt w:val="lowerLetter"/>
      <w:lvlText w:val="%8."/>
      <w:lvlJc w:val="left"/>
      <w:pPr>
        <w:ind w:left="6480" w:hanging="360"/>
      </w:pPr>
      <w:rPr>
        <w:rFonts w:hint="default"/>
      </w:rPr>
    </w:lvl>
    <w:lvl w:ilvl="8">
      <w:start w:val="1"/>
      <w:numFmt w:val="lowerRoman"/>
      <w:lvlText w:val="%9."/>
      <w:lvlJc w:val="right"/>
      <w:pPr>
        <w:ind w:left="7200" w:hanging="180"/>
      </w:pPr>
      <w:rPr>
        <w:rFonts w:hint="default"/>
      </w:rPr>
    </w:lvl>
  </w:abstractNum>
  <w:abstractNum w:abstractNumId="13" w15:restartNumberingAfterBreak="0">
    <w:nsid w:val="246B5A8E"/>
    <w:multiLevelType w:val="multilevel"/>
    <w:tmpl w:val="A7C01588"/>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bullet"/>
      <w:lvlText w:val="▪"/>
      <w:lvlJc w:val="left"/>
      <w:pPr>
        <w:ind w:left="2520" w:hanging="360"/>
      </w:pPr>
      <w:rPr>
        <w:rFonts w:ascii="Noto Sans Symbols" w:eastAsia="Noto Sans Symbols" w:hAnsi="Noto Sans Symbols" w:cs="Noto Sans Symbols" w:hint="default"/>
      </w:rPr>
    </w:lvl>
    <w:lvl w:ilvl="3">
      <w:start w:val="1"/>
      <w:numFmt w:val="bullet"/>
      <w:lvlText w:val="●"/>
      <w:lvlJc w:val="left"/>
      <w:pPr>
        <w:ind w:left="3240" w:hanging="360"/>
      </w:pPr>
      <w:rPr>
        <w:rFonts w:ascii="Noto Sans Symbols" w:eastAsia="Noto Sans Symbols" w:hAnsi="Noto Sans Symbols" w:cs="Noto Sans Symbols" w:hint="default"/>
      </w:rPr>
    </w:lvl>
    <w:lvl w:ilvl="4">
      <w:start w:val="1"/>
      <w:numFmt w:val="bullet"/>
      <w:lvlText w:val="o"/>
      <w:lvlJc w:val="left"/>
      <w:pPr>
        <w:ind w:left="3960" w:hanging="360"/>
      </w:pPr>
      <w:rPr>
        <w:rFonts w:ascii="Courier New" w:eastAsia="Courier New" w:hAnsi="Courier New" w:cs="Courier New" w:hint="default"/>
      </w:rPr>
    </w:lvl>
    <w:lvl w:ilvl="5">
      <w:start w:val="1"/>
      <w:numFmt w:val="bullet"/>
      <w:lvlText w:val="▪"/>
      <w:lvlJc w:val="left"/>
      <w:pPr>
        <w:ind w:left="4680" w:hanging="360"/>
      </w:pPr>
      <w:rPr>
        <w:rFonts w:ascii="Noto Sans Symbols" w:eastAsia="Noto Sans Symbols" w:hAnsi="Noto Sans Symbols" w:cs="Noto Sans Symbols" w:hint="default"/>
      </w:rPr>
    </w:lvl>
    <w:lvl w:ilvl="6">
      <w:start w:val="1"/>
      <w:numFmt w:val="bullet"/>
      <w:lvlText w:val="●"/>
      <w:lvlJc w:val="left"/>
      <w:pPr>
        <w:ind w:left="5400" w:hanging="360"/>
      </w:pPr>
      <w:rPr>
        <w:rFonts w:ascii="Noto Sans Symbols" w:eastAsia="Noto Sans Symbols" w:hAnsi="Noto Sans Symbols" w:cs="Noto Sans Symbols" w:hint="default"/>
      </w:rPr>
    </w:lvl>
    <w:lvl w:ilvl="7">
      <w:start w:val="1"/>
      <w:numFmt w:val="bullet"/>
      <w:lvlText w:val="o"/>
      <w:lvlJc w:val="left"/>
      <w:pPr>
        <w:ind w:left="6120" w:hanging="360"/>
      </w:pPr>
      <w:rPr>
        <w:rFonts w:ascii="Courier New" w:eastAsia="Courier New" w:hAnsi="Courier New" w:cs="Courier New" w:hint="default"/>
      </w:rPr>
    </w:lvl>
    <w:lvl w:ilvl="8">
      <w:start w:val="1"/>
      <w:numFmt w:val="bullet"/>
      <w:lvlText w:val="▪"/>
      <w:lvlJc w:val="left"/>
      <w:pPr>
        <w:ind w:left="6840" w:hanging="360"/>
      </w:pPr>
      <w:rPr>
        <w:rFonts w:ascii="Noto Sans Symbols" w:eastAsia="Noto Sans Symbols" w:hAnsi="Noto Sans Symbols" w:cs="Noto Sans Symbols" w:hint="default"/>
      </w:rPr>
    </w:lvl>
  </w:abstractNum>
  <w:abstractNum w:abstractNumId="14" w15:restartNumberingAfterBreak="0">
    <w:nsid w:val="2DDC0BD3"/>
    <w:multiLevelType w:val="multilevel"/>
    <w:tmpl w:val="38CE8F1A"/>
    <w:lvl w:ilvl="0">
      <w:start w:val="1"/>
      <w:numFmt w:val="lowerLetter"/>
      <w:lvlText w:val="%1."/>
      <w:lvlJc w:val="left"/>
      <w:pPr>
        <w:ind w:left="1440" w:hanging="360"/>
      </w:pPr>
      <w:rPr>
        <w:rFonts w:hint="default"/>
      </w:rPr>
    </w:lvl>
    <w:lvl w:ilvl="1">
      <w:start w:val="1"/>
      <w:numFmt w:val="lowerLetter"/>
      <w:lvlText w:val="%2."/>
      <w:lvlJc w:val="left"/>
      <w:pPr>
        <w:ind w:left="2160" w:hanging="360"/>
      </w:pPr>
      <w:rPr>
        <w:rFonts w:hint="default"/>
      </w:rPr>
    </w:lvl>
    <w:lvl w:ilvl="2">
      <w:start w:val="1"/>
      <w:numFmt w:val="lowerRoman"/>
      <w:lvlText w:val="%3."/>
      <w:lvlJc w:val="right"/>
      <w:pPr>
        <w:ind w:left="2880" w:hanging="180"/>
      </w:pPr>
      <w:rPr>
        <w:rFonts w:hint="default"/>
      </w:rPr>
    </w:lvl>
    <w:lvl w:ilvl="3">
      <w:start w:val="1"/>
      <w:numFmt w:val="decimal"/>
      <w:lvlText w:val="%4."/>
      <w:lvlJc w:val="left"/>
      <w:pPr>
        <w:ind w:left="3600" w:hanging="360"/>
      </w:pPr>
      <w:rPr>
        <w:rFonts w:hint="default"/>
      </w:rPr>
    </w:lvl>
    <w:lvl w:ilvl="4">
      <w:start w:val="1"/>
      <w:numFmt w:val="lowerLetter"/>
      <w:lvlText w:val="%5."/>
      <w:lvlJc w:val="left"/>
      <w:pPr>
        <w:ind w:left="4320" w:hanging="360"/>
      </w:pPr>
      <w:rPr>
        <w:rFonts w:hint="default"/>
      </w:rPr>
    </w:lvl>
    <w:lvl w:ilvl="5">
      <w:start w:val="1"/>
      <w:numFmt w:val="lowerRoman"/>
      <w:lvlText w:val="%6."/>
      <w:lvlJc w:val="right"/>
      <w:pPr>
        <w:ind w:left="5040" w:hanging="180"/>
      </w:pPr>
      <w:rPr>
        <w:rFonts w:hint="default"/>
      </w:rPr>
    </w:lvl>
    <w:lvl w:ilvl="6">
      <w:start w:val="1"/>
      <w:numFmt w:val="decimal"/>
      <w:lvlText w:val="%7."/>
      <w:lvlJc w:val="left"/>
      <w:pPr>
        <w:ind w:left="5760" w:hanging="360"/>
      </w:pPr>
      <w:rPr>
        <w:rFonts w:hint="default"/>
      </w:rPr>
    </w:lvl>
    <w:lvl w:ilvl="7">
      <w:start w:val="1"/>
      <w:numFmt w:val="lowerLetter"/>
      <w:lvlText w:val="%8."/>
      <w:lvlJc w:val="left"/>
      <w:pPr>
        <w:ind w:left="6480" w:hanging="360"/>
      </w:pPr>
      <w:rPr>
        <w:rFonts w:hint="default"/>
      </w:rPr>
    </w:lvl>
    <w:lvl w:ilvl="8">
      <w:start w:val="1"/>
      <w:numFmt w:val="lowerRoman"/>
      <w:lvlText w:val="%9."/>
      <w:lvlJc w:val="right"/>
      <w:pPr>
        <w:ind w:left="7200" w:hanging="180"/>
      </w:pPr>
      <w:rPr>
        <w:rFonts w:hint="default"/>
      </w:rPr>
    </w:lvl>
  </w:abstractNum>
  <w:abstractNum w:abstractNumId="15" w15:restartNumberingAfterBreak="0">
    <w:nsid w:val="33976307"/>
    <w:multiLevelType w:val="hybridMultilevel"/>
    <w:tmpl w:val="DC449B20"/>
    <w:lvl w:ilvl="0" w:tplc="ECB6BE60">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3D081F3E"/>
    <w:multiLevelType w:val="multilevel"/>
    <w:tmpl w:val="A7C01588"/>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bullet"/>
      <w:lvlText w:val="▪"/>
      <w:lvlJc w:val="left"/>
      <w:pPr>
        <w:ind w:left="2520" w:hanging="360"/>
      </w:pPr>
      <w:rPr>
        <w:rFonts w:ascii="Noto Sans Symbols" w:eastAsia="Noto Sans Symbols" w:hAnsi="Noto Sans Symbols" w:cs="Noto Sans Symbols" w:hint="default"/>
      </w:rPr>
    </w:lvl>
    <w:lvl w:ilvl="3">
      <w:start w:val="1"/>
      <w:numFmt w:val="bullet"/>
      <w:lvlText w:val="●"/>
      <w:lvlJc w:val="left"/>
      <w:pPr>
        <w:ind w:left="3240" w:hanging="360"/>
      </w:pPr>
      <w:rPr>
        <w:rFonts w:ascii="Noto Sans Symbols" w:eastAsia="Noto Sans Symbols" w:hAnsi="Noto Sans Symbols" w:cs="Noto Sans Symbols" w:hint="default"/>
      </w:rPr>
    </w:lvl>
    <w:lvl w:ilvl="4">
      <w:start w:val="1"/>
      <w:numFmt w:val="bullet"/>
      <w:lvlText w:val="o"/>
      <w:lvlJc w:val="left"/>
      <w:pPr>
        <w:ind w:left="3960" w:hanging="360"/>
      </w:pPr>
      <w:rPr>
        <w:rFonts w:ascii="Courier New" w:eastAsia="Courier New" w:hAnsi="Courier New" w:cs="Courier New" w:hint="default"/>
      </w:rPr>
    </w:lvl>
    <w:lvl w:ilvl="5">
      <w:start w:val="1"/>
      <w:numFmt w:val="bullet"/>
      <w:lvlText w:val="▪"/>
      <w:lvlJc w:val="left"/>
      <w:pPr>
        <w:ind w:left="4680" w:hanging="360"/>
      </w:pPr>
      <w:rPr>
        <w:rFonts w:ascii="Noto Sans Symbols" w:eastAsia="Noto Sans Symbols" w:hAnsi="Noto Sans Symbols" w:cs="Noto Sans Symbols" w:hint="default"/>
      </w:rPr>
    </w:lvl>
    <w:lvl w:ilvl="6">
      <w:start w:val="1"/>
      <w:numFmt w:val="bullet"/>
      <w:lvlText w:val="●"/>
      <w:lvlJc w:val="left"/>
      <w:pPr>
        <w:ind w:left="5400" w:hanging="360"/>
      </w:pPr>
      <w:rPr>
        <w:rFonts w:ascii="Noto Sans Symbols" w:eastAsia="Noto Sans Symbols" w:hAnsi="Noto Sans Symbols" w:cs="Noto Sans Symbols" w:hint="default"/>
      </w:rPr>
    </w:lvl>
    <w:lvl w:ilvl="7">
      <w:start w:val="1"/>
      <w:numFmt w:val="bullet"/>
      <w:lvlText w:val="o"/>
      <w:lvlJc w:val="left"/>
      <w:pPr>
        <w:ind w:left="6120" w:hanging="360"/>
      </w:pPr>
      <w:rPr>
        <w:rFonts w:ascii="Courier New" w:eastAsia="Courier New" w:hAnsi="Courier New" w:cs="Courier New" w:hint="default"/>
      </w:rPr>
    </w:lvl>
    <w:lvl w:ilvl="8">
      <w:start w:val="1"/>
      <w:numFmt w:val="bullet"/>
      <w:lvlText w:val="▪"/>
      <w:lvlJc w:val="left"/>
      <w:pPr>
        <w:ind w:left="6840" w:hanging="360"/>
      </w:pPr>
      <w:rPr>
        <w:rFonts w:ascii="Noto Sans Symbols" w:eastAsia="Noto Sans Symbols" w:hAnsi="Noto Sans Symbols" w:cs="Noto Sans Symbols" w:hint="default"/>
      </w:rPr>
    </w:lvl>
  </w:abstractNum>
  <w:abstractNum w:abstractNumId="17" w15:restartNumberingAfterBreak="0">
    <w:nsid w:val="496D11D8"/>
    <w:multiLevelType w:val="hybridMultilevel"/>
    <w:tmpl w:val="D876E7F4"/>
    <w:lvl w:ilvl="0" w:tplc="E7868F5A">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49934BBD"/>
    <w:multiLevelType w:val="hybridMultilevel"/>
    <w:tmpl w:val="59CC503E"/>
    <w:lvl w:ilvl="0" w:tplc="43BAA5C0">
      <w:start w:val="1"/>
      <w:numFmt w:val="upperRoman"/>
      <w:lvlText w:val="%1."/>
      <w:lvlJc w:val="left"/>
      <w:pPr>
        <w:ind w:left="720" w:hanging="72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9" w15:restartNumberingAfterBreak="0">
    <w:nsid w:val="4C906359"/>
    <w:multiLevelType w:val="multilevel"/>
    <w:tmpl w:val="6FA4852C"/>
    <w:lvl w:ilvl="0">
      <w:start w:val="1"/>
      <w:numFmt w:val="bullet"/>
      <w:lvlText w:val="●"/>
      <w:lvlJc w:val="left"/>
      <w:pPr>
        <w:ind w:left="1440" w:hanging="360"/>
      </w:pPr>
      <w:rPr>
        <w:rFonts w:ascii="Noto Sans Symbols" w:eastAsia="Noto Sans Symbols" w:hAnsi="Noto Sans Symbols" w:cs="Noto Sans Symbols"/>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20" w15:restartNumberingAfterBreak="0">
    <w:nsid w:val="516302F1"/>
    <w:multiLevelType w:val="multilevel"/>
    <w:tmpl w:val="30102664"/>
    <w:lvl w:ilvl="0">
      <w:start w:val="1"/>
      <w:numFmt w:val="decimal"/>
      <w:lvlText w:val="%1."/>
      <w:lvlJc w:val="left"/>
      <w:pPr>
        <w:ind w:left="3960" w:hanging="360"/>
      </w:pPr>
    </w:lvl>
    <w:lvl w:ilvl="1">
      <w:start w:val="1"/>
      <w:numFmt w:val="lowerLetter"/>
      <w:lvlText w:val="%2."/>
      <w:lvlJc w:val="left"/>
      <w:pPr>
        <w:ind w:left="4320" w:hanging="360"/>
      </w:pPr>
    </w:lvl>
    <w:lvl w:ilvl="2">
      <w:start w:val="1"/>
      <w:numFmt w:val="lowerRoman"/>
      <w:lvlText w:val="%3."/>
      <w:lvlJc w:val="right"/>
      <w:pPr>
        <w:ind w:left="5040" w:hanging="180"/>
      </w:pPr>
    </w:lvl>
    <w:lvl w:ilvl="3">
      <w:start w:val="1"/>
      <w:numFmt w:val="decimal"/>
      <w:lvlText w:val="%4."/>
      <w:lvlJc w:val="left"/>
      <w:pPr>
        <w:ind w:left="5760" w:hanging="360"/>
      </w:pPr>
    </w:lvl>
    <w:lvl w:ilvl="4">
      <w:start w:val="1"/>
      <w:numFmt w:val="lowerLetter"/>
      <w:lvlText w:val="%5."/>
      <w:lvlJc w:val="left"/>
      <w:pPr>
        <w:ind w:left="6480" w:hanging="360"/>
      </w:pPr>
    </w:lvl>
    <w:lvl w:ilvl="5">
      <w:start w:val="1"/>
      <w:numFmt w:val="lowerRoman"/>
      <w:lvlText w:val="%6."/>
      <w:lvlJc w:val="right"/>
      <w:pPr>
        <w:ind w:left="7200" w:hanging="180"/>
      </w:pPr>
    </w:lvl>
    <w:lvl w:ilvl="6">
      <w:start w:val="1"/>
      <w:numFmt w:val="decimal"/>
      <w:lvlText w:val="%7."/>
      <w:lvlJc w:val="left"/>
      <w:pPr>
        <w:ind w:left="7920" w:hanging="360"/>
      </w:pPr>
    </w:lvl>
    <w:lvl w:ilvl="7">
      <w:start w:val="1"/>
      <w:numFmt w:val="lowerLetter"/>
      <w:lvlText w:val="%8."/>
      <w:lvlJc w:val="left"/>
      <w:pPr>
        <w:ind w:left="8640" w:hanging="360"/>
      </w:pPr>
    </w:lvl>
    <w:lvl w:ilvl="8">
      <w:start w:val="1"/>
      <w:numFmt w:val="lowerRoman"/>
      <w:lvlText w:val="%9."/>
      <w:lvlJc w:val="right"/>
      <w:pPr>
        <w:ind w:left="9360" w:hanging="180"/>
      </w:pPr>
    </w:lvl>
  </w:abstractNum>
  <w:abstractNum w:abstractNumId="21" w15:restartNumberingAfterBreak="0">
    <w:nsid w:val="51BC580E"/>
    <w:multiLevelType w:val="hybridMultilevel"/>
    <w:tmpl w:val="7F3234E4"/>
    <w:lvl w:ilvl="0" w:tplc="580E7B02">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5C805422"/>
    <w:multiLevelType w:val="hybridMultilevel"/>
    <w:tmpl w:val="4740D2BA"/>
    <w:lvl w:ilvl="0" w:tplc="EBB04B62">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676A14A2"/>
    <w:multiLevelType w:val="hybridMultilevel"/>
    <w:tmpl w:val="EC448A64"/>
    <w:lvl w:ilvl="0" w:tplc="4E3CBF86">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6778281E"/>
    <w:multiLevelType w:val="hybridMultilevel"/>
    <w:tmpl w:val="9FA8648A"/>
    <w:lvl w:ilvl="0" w:tplc="3848A6E2">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69122779"/>
    <w:multiLevelType w:val="multilevel"/>
    <w:tmpl w:val="F858CF1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6" w15:restartNumberingAfterBreak="0">
    <w:nsid w:val="6E0A3D4E"/>
    <w:multiLevelType w:val="hybridMultilevel"/>
    <w:tmpl w:val="84D4304E"/>
    <w:lvl w:ilvl="0" w:tplc="0008A1A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73F54149"/>
    <w:multiLevelType w:val="hybridMultilevel"/>
    <w:tmpl w:val="17A8D264"/>
    <w:lvl w:ilvl="0" w:tplc="32C65CDE">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7BD60124"/>
    <w:multiLevelType w:val="multilevel"/>
    <w:tmpl w:val="E69ED14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9" w15:restartNumberingAfterBreak="0">
    <w:nsid w:val="7F0823D5"/>
    <w:multiLevelType w:val="multilevel"/>
    <w:tmpl w:val="AEBCE936"/>
    <w:lvl w:ilvl="0">
      <w:start w:val="1"/>
      <w:numFmt w:val="decimal"/>
      <w:lvlText w:val="%1."/>
      <w:lvlJc w:val="left"/>
      <w:pPr>
        <w:ind w:left="1080" w:hanging="360"/>
      </w:pPr>
      <w:rPr>
        <w:rFonts w:hint="default"/>
      </w:rPr>
    </w:lvl>
    <w:lvl w:ilvl="1">
      <w:start w:val="1"/>
      <w:numFmt w:val="lowerLetter"/>
      <w:lvlText w:val="%2."/>
      <w:lvlJc w:val="left"/>
      <w:pPr>
        <w:ind w:left="4320" w:hanging="360"/>
      </w:pPr>
      <w:rPr>
        <w:rFonts w:hint="default"/>
      </w:rPr>
    </w:lvl>
    <w:lvl w:ilvl="2">
      <w:start w:val="1"/>
      <w:numFmt w:val="lowerRoman"/>
      <w:lvlText w:val="%3."/>
      <w:lvlJc w:val="right"/>
      <w:pPr>
        <w:ind w:left="5040" w:hanging="180"/>
      </w:pPr>
      <w:rPr>
        <w:rFonts w:hint="default"/>
      </w:rPr>
    </w:lvl>
    <w:lvl w:ilvl="3">
      <w:start w:val="1"/>
      <w:numFmt w:val="decimal"/>
      <w:lvlText w:val="%4."/>
      <w:lvlJc w:val="left"/>
      <w:pPr>
        <w:ind w:left="5760" w:hanging="360"/>
      </w:pPr>
      <w:rPr>
        <w:rFonts w:hint="default"/>
      </w:rPr>
    </w:lvl>
    <w:lvl w:ilvl="4">
      <w:start w:val="1"/>
      <w:numFmt w:val="lowerLetter"/>
      <w:lvlText w:val="%5."/>
      <w:lvlJc w:val="left"/>
      <w:pPr>
        <w:ind w:left="6480" w:hanging="360"/>
      </w:pPr>
      <w:rPr>
        <w:rFonts w:hint="default"/>
      </w:rPr>
    </w:lvl>
    <w:lvl w:ilvl="5">
      <w:start w:val="1"/>
      <w:numFmt w:val="lowerRoman"/>
      <w:lvlText w:val="%6."/>
      <w:lvlJc w:val="right"/>
      <w:pPr>
        <w:ind w:left="7200" w:hanging="180"/>
      </w:pPr>
      <w:rPr>
        <w:rFonts w:hint="default"/>
      </w:rPr>
    </w:lvl>
    <w:lvl w:ilvl="6">
      <w:start w:val="1"/>
      <w:numFmt w:val="decimal"/>
      <w:lvlText w:val="%7."/>
      <w:lvlJc w:val="left"/>
      <w:pPr>
        <w:ind w:left="7920" w:hanging="360"/>
      </w:pPr>
      <w:rPr>
        <w:rFonts w:hint="default"/>
      </w:rPr>
    </w:lvl>
    <w:lvl w:ilvl="7">
      <w:start w:val="1"/>
      <w:numFmt w:val="lowerLetter"/>
      <w:lvlText w:val="%8."/>
      <w:lvlJc w:val="left"/>
      <w:pPr>
        <w:ind w:left="8640" w:hanging="360"/>
      </w:pPr>
      <w:rPr>
        <w:rFonts w:hint="default"/>
      </w:rPr>
    </w:lvl>
    <w:lvl w:ilvl="8">
      <w:start w:val="1"/>
      <w:numFmt w:val="lowerRoman"/>
      <w:lvlText w:val="%9."/>
      <w:lvlJc w:val="right"/>
      <w:pPr>
        <w:ind w:left="9360" w:hanging="180"/>
      </w:pPr>
      <w:rPr>
        <w:rFonts w:hint="default"/>
      </w:rPr>
    </w:lvl>
  </w:abstractNum>
  <w:num w:numId="1" w16cid:durableId="188109317">
    <w:abstractNumId w:val="20"/>
  </w:num>
  <w:num w:numId="2" w16cid:durableId="1259753312">
    <w:abstractNumId w:val="16"/>
  </w:num>
  <w:num w:numId="3" w16cid:durableId="804932687">
    <w:abstractNumId w:val="28"/>
  </w:num>
  <w:num w:numId="4" w16cid:durableId="327682910">
    <w:abstractNumId w:val="25"/>
  </w:num>
  <w:num w:numId="5" w16cid:durableId="842815445">
    <w:abstractNumId w:val="19"/>
  </w:num>
  <w:num w:numId="6" w16cid:durableId="881478386">
    <w:abstractNumId w:val="9"/>
  </w:num>
  <w:num w:numId="7" w16cid:durableId="240723476">
    <w:abstractNumId w:val="7"/>
  </w:num>
  <w:num w:numId="8" w16cid:durableId="2133011592">
    <w:abstractNumId w:val="6"/>
  </w:num>
  <w:num w:numId="9" w16cid:durableId="1040087974">
    <w:abstractNumId w:val="5"/>
  </w:num>
  <w:num w:numId="10" w16cid:durableId="1979917185">
    <w:abstractNumId w:val="4"/>
  </w:num>
  <w:num w:numId="11" w16cid:durableId="1321882449">
    <w:abstractNumId w:val="8"/>
  </w:num>
  <w:num w:numId="12" w16cid:durableId="213856988">
    <w:abstractNumId w:val="3"/>
  </w:num>
  <w:num w:numId="13" w16cid:durableId="1925139450">
    <w:abstractNumId w:val="2"/>
  </w:num>
  <w:num w:numId="14" w16cid:durableId="1646735910">
    <w:abstractNumId w:val="1"/>
  </w:num>
  <w:num w:numId="15" w16cid:durableId="1236547190">
    <w:abstractNumId w:val="0"/>
  </w:num>
  <w:num w:numId="16" w16cid:durableId="1049259497">
    <w:abstractNumId w:val="10"/>
  </w:num>
  <w:num w:numId="17" w16cid:durableId="328604850">
    <w:abstractNumId w:val="18"/>
  </w:num>
  <w:num w:numId="18" w16cid:durableId="254822725">
    <w:abstractNumId w:val="27"/>
  </w:num>
  <w:num w:numId="19" w16cid:durableId="354382372">
    <w:abstractNumId w:val="24"/>
  </w:num>
  <w:num w:numId="20" w16cid:durableId="172694083">
    <w:abstractNumId w:val="11"/>
  </w:num>
  <w:num w:numId="21" w16cid:durableId="1126310236">
    <w:abstractNumId w:val="15"/>
  </w:num>
  <w:num w:numId="22" w16cid:durableId="1958174115">
    <w:abstractNumId w:val="22"/>
  </w:num>
  <w:num w:numId="23" w16cid:durableId="213783106">
    <w:abstractNumId w:val="23"/>
  </w:num>
  <w:num w:numId="24" w16cid:durableId="690105457">
    <w:abstractNumId w:val="21"/>
  </w:num>
  <w:num w:numId="25" w16cid:durableId="516699942">
    <w:abstractNumId w:val="17"/>
  </w:num>
  <w:num w:numId="26" w16cid:durableId="1595169095">
    <w:abstractNumId w:val="16"/>
    <w:lvlOverride w:ilvl="0">
      <w:lvl w:ilvl="0">
        <w:start w:val="1"/>
        <w:numFmt w:val="bullet"/>
        <w:lvlText w:val="●"/>
        <w:lvlJc w:val="left"/>
        <w:pPr>
          <w:ind w:left="720" w:firstLine="144"/>
        </w:pPr>
        <w:rPr>
          <w:rFonts w:ascii="Noto Sans Symbols" w:hAnsi="Noto Sans Symbols" w:hint="default"/>
        </w:rPr>
      </w:lvl>
    </w:lvlOverride>
    <w:lvlOverride w:ilvl="1">
      <w:lvl w:ilvl="1">
        <w:start w:val="1"/>
        <w:numFmt w:val="bullet"/>
        <w:lvlText w:val="o"/>
        <w:lvlJc w:val="left"/>
        <w:pPr>
          <w:ind w:left="1800" w:hanging="360"/>
        </w:pPr>
        <w:rPr>
          <w:rFonts w:ascii="Courier New" w:eastAsia="Courier New" w:hAnsi="Courier New" w:cs="Courier New" w:hint="default"/>
        </w:rPr>
      </w:lvl>
    </w:lvlOverride>
    <w:lvlOverride w:ilvl="2">
      <w:lvl w:ilvl="2">
        <w:start w:val="1"/>
        <w:numFmt w:val="bullet"/>
        <w:lvlText w:val="▪"/>
        <w:lvlJc w:val="left"/>
        <w:pPr>
          <w:ind w:left="2520" w:hanging="360"/>
        </w:pPr>
        <w:rPr>
          <w:rFonts w:ascii="Noto Sans Symbols" w:eastAsia="Noto Sans Symbols" w:hAnsi="Noto Sans Symbols" w:cs="Noto Sans Symbols" w:hint="default"/>
        </w:rPr>
      </w:lvl>
    </w:lvlOverride>
    <w:lvlOverride w:ilvl="3">
      <w:lvl w:ilvl="3">
        <w:start w:val="1"/>
        <w:numFmt w:val="bullet"/>
        <w:lvlText w:val="●"/>
        <w:lvlJc w:val="left"/>
        <w:pPr>
          <w:ind w:left="3240" w:hanging="360"/>
        </w:pPr>
        <w:rPr>
          <w:rFonts w:ascii="Noto Sans Symbols" w:eastAsia="Noto Sans Symbols" w:hAnsi="Noto Sans Symbols" w:cs="Noto Sans Symbols" w:hint="default"/>
        </w:rPr>
      </w:lvl>
    </w:lvlOverride>
    <w:lvlOverride w:ilvl="4">
      <w:lvl w:ilvl="4">
        <w:start w:val="1"/>
        <w:numFmt w:val="bullet"/>
        <w:lvlText w:val="o"/>
        <w:lvlJc w:val="left"/>
        <w:pPr>
          <w:ind w:left="3960" w:hanging="360"/>
        </w:pPr>
        <w:rPr>
          <w:rFonts w:ascii="Courier New" w:eastAsia="Courier New" w:hAnsi="Courier New" w:cs="Courier New" w:hint="default"/>
        </w:rPr>
      </w:lvl>
    </w:lvlOverride>
    <w:lvlOverride w:ilvl="5">
      <w:lvl w:ilvl="5">
        <w:start w:val="1"/>
        <w:numFmt w:val="bullet"/>
        <w:lvlText w:val="▪"/>
        <w:lvlJc w:val="left"/>
        <w:pPr>
          <w:ind w:left="4680" w:hanging="360"/>
        </w:pPr>
        <w:rPr>
          <w:rFonts w:ascii="Noto Sans Symbols" w:eastAsia="Noto Sans Symbols" w:hAnsi="Noto Sans Symbols" w:cs="Noto Sans Symbols" w:hint="default"/>
        </w:rPr>
      </w:lvl>
    </w:lvlOverride>
    <w:lvlOverride w:ilvl="6">
      <w:lvl w:ilvl="6">
        <w:start w:val="1"/>
        <w:numFmt w:val="bullet"/>
        <w:lvlText w:val="●"/>
        <w:lvlJc w:val="left"/>
        <w:pPr>
          <w:ind w:left="5400" w:hanging="360"/>
        </w:pPr>
        <w:rPr>
          <w:rFonts w:ascii="Noto Sans Symbols" w:eastAsia="Noto Sans Symbols" w:hAnsi="Noto Sans Symbols" w:cs="Noto Sans Symbols" w:hint="default"/>
        </w:rPr>
      </w:lvl>
    </w:lvlOverride>
    <w:lvlOverride w:ilvl="7">
      <w:lvl w:ilvl="7">
        <w:start w:val="1"/>
        <w:numFmt w:val="bullet"/>
        <w:lvlText w:val="o"/>
        <w:lvlJc w:val="left"/>
        <w:pPr>
          <w:ind w:left="6120" w:hanging="360"/>
        </w:pPr>
        <w:rPr>
          <w:rFonts w:ascii="Courier New" w:eastAsia="Courier New" w:hAnsi="Courier New" w:cs="Courier New" w:hint="default"/>
        </w:rPr>
      </w:lvl>
    </w:lvlOverride>
    <w:lvlOverride w:ilvl="8">
      <w:lvl w:ilvl="8">
        <w:start w:val="1"/>
        <w:numFmt w:val="bullet"/>
        <w:lvlText w:val="▪"/>
        <w:lvlJc w:val="left"/>
        <w:pPr>
          <w:ind w:left="6840" w:hanging="360"/>
        </w:pPr>
        <w:rPr>
          <w:rFonts w:ascii="Noto Sans Symbols" w:eastAsia="Noto Sans Symbols" w:hAnsi="Noto Sans Symbols" w:cs="Noto Sans Symbols" w:hint="default"/>
        </w:rPr>
      </w:lvl>
    </w:lvlOverride>
  </w:num>
  <w:num w:numId="27" w16cid:durableId="450517408">
    <w:abstractNumId w:val="16"/>
    <w:lvlOverride w:ilvl="0">
      <w:lvl w:ilvl="0">
        <w:start w:val="1"/>
        <w:numFmt w:val="lowerLetter"/>
        <w:lvlText w:val="%1."/>
        <w:lvlJc w:val="left"/>
        <w:pPr>
          <w:ind w:left="1440" w:hanging="360"/>
        </w:pPr>
      </w:lvl>
    </w:lvlOverride>
    <w:lvlOverride w:ilvl="1">
      <w:lvl w:ilvl="1">
        <w:start w:val="1"/>
        <w:numFmt w:val="lowerLetter"/>
        <w:lvlText w:val="%2."/>
        <w:lvlJc w:val="left"/>
        <w:pPr>
          <w:ind w:left="2160" w:hanging="360"/>
        </w:pPr>
      </w:lvl>
    </w:lvlOverride>
    <w:lvlOverride w:ilvl="2">
      <w:lvl w:ilvl="2" w:tentative="1">
        <w:start w:val="1"/>
        <w:numFmt w:val="lowerRoman"/>
        <w:lvlText w:val="%3."/>
        <w:lvlJc w:val="right"/>
        <w:pPr>
          <w:ind w:left="2880" w:hanging="180"/>
        </w:pPr>
      </w:lvl>
    </w:lvlOverride>
    <w:lvlOverride w:ilvl="3">
      <w:lvl w:ilvl="3" w:tentative="1">
        <w:start w:val="1"/>
        <w:numFmt w:val="decimal"/>
        <w:lvlText w:val="%4."/>
        <w:lvlJc w:val="left"/>
        <w:pPr>
          <w:ind w:left="3600" w:hanging="360"/>
        </w:pPr>
      </w:lvl>
    </w:lvlOverride>
    <w:lvlOverride w:ilvl="4">
      <w:lvl w:ilvl="4" w:tentative="1">
        <w:start w:val="1"/>
        <w:numFmt w:val="lowerLetter"/>
        <w:lvlText w:val="%5."/>
        <w:lvlJc w:val="left"/>
        <w:pPr>
          <w:ind w:left="4320" w:hanging="360"/>
        </w:pPr>
      </w:lvl>
    </w:lvlOverride>
    <w:lvlOverride w:ilvl="5">
      <w:lvl w:ilvl="5" w:tentative="1">
        <w:start w:val="1"/>
        <w:numFmt w:val="lowerRoman"/>
        <w:lvlText w:val="%6."/>
        <w:lvlJc w:val="right"/>
        <w:pPr>
          <w:ind w:left="5040" w:hanging="180"/>
        </w:pPr>
      </w:lvl>
    </w:lvlOverride>
    <w:lvlOverride w:ilvl="6">
      <w:lvl w:ilvl="6" w:tentative="1">
        <w:start w:val="1"/>
        <w:numFmt w:val="decimal"/>
        <w:lvlText w:val="%7."/>
        <w:lvlJc w:val="left"/>
        <w:pPr>
          <w:ind w:left="5760" w:hanging="360"/>
        </w:pPr>
      </w:lvl>
    </w:lvlOverride>
    <w:lvlOverride w:ilvl="7">
      <w:lvl w:ilvl="7" w:tentative="1">
        <w:start w:val="1"/>
        <w:numFmt w:val="lowerLetter"/>
        <w:lvlText w:val="%8."/>
        <w:lvlJc w:val="left"/>
        <w:pPr>
          <w:ind w:left="6480" w:hanging="360"/>
        </w:pPr>
      </w:lvl>
    </w:lvlOverride>
    <w:lvlOverride w:ilvl="8">
      <w:lvl w:ilvl="8" w:tentative="1">
        <w:start w:val="1"/>
        <w:numFmt w:val="lowerRoman"/>
        <w:lvlText w:val="%9."/>
        <w:lvlJc w:val="right"/>
        <w:pPr>
          <w:ind w:left="7200" w:hanging="180"/>
        </w:pPr>
      </w:lvl>
    </w:lvlOverride>
  </w:num>
  <w:num w:numId="28" w16cid:durableId="1319460007">
    <w:abstractNumId w:val="16"/>
    <w:lvlOverride w:ilvl="0">
      <w:lvl w:ilvl="0">
        <w:start w:val="1"/>
        <w:numFmt w:val="lowerLetter"/>
        <w:lvlText w:val="%1."/>
        <w:lvlJc w:val="left"/>
        <w:pPr>
          <w:ind w:left="1440" w:hanging="360"/>
        </w:pPr>
      </w:lvl>
    </w:lvlOverride>
    <w:lvlOverride w:ilvl="1">
      <w:lvl w:ilvl="1">
        <w:start w:val="1"/>
        <w:numFmt w:val="lowerLetter"/>
        <w:lvlText w:val="%2."/>
        <w:lvlJc w:val="left"/>
        <w:pPr>
          <w:ind w:left="2160" w:hanging="360"/>
        </w:pPr>
      </w:lvl>
    </w:lvlOverride>
    <w:lvlOverride w:ilvl="2">
      <w:lvl w:ilvl="2" w:tentative="1">
        <w:start w:val="1"/>
        <w:numFmt w:val="lowerRoman"/>
        <w:lvlText w:val="%3."/>
        <w:lvlJc w:val="right"/>
        <w:pPr>
          <w:ind w:left="2880" w:hanging="180"/>
        </w:pPr>
      </w:lvl>
    </w:lvlOverride>
    <w:lvlOverride w:ilvl="3">
      <w:lvl w:ilvl="3" w:tentative="1">
        <w:start w:val="1"/>
        <w:numFmt w:val="decimal"/>
        <w:lvlText w:val="%4."/>
        <w:lvlJc w:val="left"/>
        <w:pPr>
          <w:ind w:left="3600" w:hanging="360"/>
        </w:pPr>
      </w:lvl>
    </w:lvlOverride>
    <w:lvlOverride w:ilvl="4">
      <w:lvl w:ilvl="4" w:tentative="1">
        <w:start w:val="1"/>
        <w:numFmt w:val="lowerLetter"/>
        <w:lvlText w:val="%5."/>
        <w:lvlJc w:val="left"/>
        <w:pPr>
          <w:ind w:left="4320" w:hanging="360"/>
        </w:pPr>
      </w:lvl>
    </w:lvlOverride>
    <w:lvlOverride w:ilvl="5">
      <w:lvl w:ilvl="5" w:tentative="1">
        <w:start w:val="1"/>
        <w:numFmt w:val="lowerRoman"/>
        <w:lvlText w:val="%6."/>
        <w:lvlJc w:val="right"/>
        <w:pPr>
          <w:ind w:left="5040" w:hanging="180"/>
        </w:pPr>
      </w:lvl>
    </w:lvlOverride>
    <w:lvlOverride w:ilvl="6">
      <w:lvl w:ilvl="6" w:tentative="1">
        <w:start w:val="1"/>
        <w:numFmt w:val="decimal"/>
        <w:lvlText w:val="%7."/>
        <w:lvlJc w:val="left"/>
        <w:pPr>
          <w:ind w:left="5760" w:hanging="360"/>
        </w:pPr>
      </w:lvl>
    </w:lvlOverride>
    <w:lvlOverride w:ilvl="7">
      <w:lvl w:ilvl="7" w:tentative="1">
        <w:start w:val="1"/>
        <w:numFmt w:val="lowerLetter"/>
        <w:lvlText w:val="%8."/>
        <w:lvlJc w:val="left"/>
        <w:pPr>
          <w:ind w:left="6480" w:hanging="360"/>
        </w:pPr>
      </w:lvl>
    </w:lvlOverride>
    <w:lvlOverride w:ilvl="8">
      <w:lvl w:ilvl="8" w:tentative="1">
        <w:start w:val="1"/>
        <w:numFmt w:val="lowerRoman"/>
        <w:lvlText w:val="%9."/>
        <w:lvlJc w:val="right"/>
        <w:pPr>
          <w:ind w:left="7200" w:hanging="180"/>
        </w:pPr>
      </w:lvl>
    </w:lvlOverride>
  </w:num>
  <w:num w:numId="29" w16cid:durableId="20479090">
    <w:abstractNumId w:val="29"/>
  </w:num>
  <w:num w:numId="30" w16cid:durableId="961417690">
    <w:abstractNumId w:val="26"/>
  </w:num>
  <w:num w:numId="31" w16cid:durableId="1095907485">
    <w:abstractNumId w:val="13"/>
  </w:num>
  <w:num w:numId="32" w16cid:durableId="861405958">
    <w:abstractNumId w:val="12"/>
  </w:num>
  <w:num w:numId="33" w16cid:durableId="944536882">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2"/>
    <w:compatSetting w:name="allowHyphenationAtTrackBottom" w:uri="http://schemas.microsoft.com/office/word" w:val="1"/>
    <w:compatSetting w:name="useWord2013TrackBottomHyphenation" w:uri="http://schemas.microsoft.com/office/word" w:val="1"/>
  </w:compat>
  <w:rsids>
    <w:rsidRoot w:val="004F60DA"/>
    <w:rsid w:val="00020EDD"/>
    <w:rsid w:val="00021A0F"/>
    <w:rsid w:val="0003358C"/>
    <w:rsid w:val="00036DE2"/>
    <w:rsid w:val="000376BC"/>
    <w:rsid w:val="0004228C"/>
    <w:rsid w:val="00043DFB"/>
    <w:rsid w:val="00054DE9"/>
    <w:rsid w:val="00062645"/>
    <w:rsid w:val="0006461E"/>
    <w:rsid w:val="000656E2"/>
    <w:rsid w:val="00067201"/>
    <w:rsid w:val="000677A5"/>
    <w:rsid w:val="00071C05"/>
    <w:rsid w:val="00073481"/>
    <w:rsid w:val="00074432"/>
    <w:rsid w:val="00082CCC"/>
    <w:rsid w:val="00086584"/>
    <w:rsid w:val="000903FE"/>
    <w:rsid w:val="000A747F"/>
    <w:rsid w:val="000A7FA9"/>
    <w:rsid w:val="000B53E3"/>
    <w:rsid w:val="000C0A90"/>
    <w:rsid w:val="000C2838"/>
    <w:rsid w:val="000F207B"/>
    <w:rsid w:val="001009D4"/>
    <w:rsid w:val="0010707C"/>
    <w:rsid w:val="001129B1"/>
    <w:rsid w:val="001134EE"/>
    <w:rsid w:val="0011762A"/>
    <w:rsid w:val="00117FA1"/>
    <w:rsid w:val="00123E76"/>
    <w:rsid w:val="001261AD"/>
    <w:rsid w:val="00126EF2"/>
    <w:rsid w:val="00130071"/>
    <w:rsid w:val="00131328"/>
    <w:rsid w:val="00133A6E"/>
    <w:rsid w:val="001343C7"/>
    <w:rsid w:val="001352C4"/>
    <w:rsid w:val="00136E54"/>
    <w:rsid w:val="00137DBA"/>
    <w:rsid w:val="0015396D"/>
    <w:rsid w:val="001574B8"/>
    <w:rsid w:val="00160653"/>
    <w:rsid w:val="00166170"/>
    <w:rsid w:val="001671C0"/>
    <w:rsid w:val="00167A98"/>
    <w:rsid w:val="00180B78"/>
    <w:rsid w:val="001811E7"/>
    <w:rsid w:val="00181DDF"/>
    <w:rsid w:val="00183C46"/>
    <w:rsid w:val="00185411"/>
    <w:rsid w:val="00187705"/>
    <w:rsid w:val="00191821"/>
    <w:rsid w:val="00192755"/>
    <w:rsid w:val="001A48FF"/>
    <w:rsid w:val="001A5CBA"/>
    <w:rsid w:val="001B14CF"/>
    <w:rsid w:val="001B16D2"/>
    <w:rsid w:val="001B1930"/>
    <w:rsid w:val="001B2F0D"/>
    <w:rsid w:val="001C64F9"/>
    <w:rsid w:val="001D1FA3"/>
    <w:rsid w:val="001D596C"/>
    <w:rsid w:val="001D6402"/>
    <w:rsid w:val="001E7352"/>
    <w:rsid w:val="001E741E"/>
    <w:rsid w:val="001F76C9"/>
    <w:rsid w:val="00201089"/>
    <w:rsid w:val="00202A20"/>
    <w:rsid w:val="00206F52"/>
    <w:rsid w:val="00217D1E"/>
    <w:rsid w:val="00226EA9"/>
    <w:rsid w:val="0024063E"/>
    <w:rsid w:val="00245A7E"/>
    <w:rsid w:val="0025361C"/>
    <w:rsid w:val="00255756"/>
    <w:rsid w:val="002722D1"/>
    <w:rsid w:val="00272321"/>
    <w:rsid w:val="002758CE"/>
    <w:rsid w:val="0027638A"/>
    <w:rsid w:val="00280A6B"/>
    <w:rsid w:val="00290574"/>
    <w:rsid w:val="002A3FC0"/>
    <w:rsid w:val="002C7788"/>
    <w:rsid w:val="002D052E"/>
    <w:rsid w:val="002D1717"/>
    <w:rsid w:val="002D51F6"/>
    <w:rsid w:val="002D5CBF"/>
    <w:rsid w:val="002E2A33"/>
    <w:rsid w:val="002E70DB"/>
    <w:rsid w:val="002E79E0"/>
    <w:rsid w:val="002F6E83"/>
    <w:rsid w:val="00316145"/>
    <w:rsid w:val="003165EE"/>
    <w:rsid w:val="00321291"/>
    <w:rsid w:val="00321AF8"/>
    <w:rsid w:val="00330CE9"/>
    <w:rsid w:val="00344238"/>
    <w:rsid w:val="00356CD0"/>
    <w:rsid w:val="00360434"/>
    <w:rsid w:val="0036171B"/>
    <w:rsid w:val="003627CA"/>
    <w:rsid w:val="00364BF6"/>
    <w:rsid w:val="00365FEC"/>
    <w:rsid w:val="00371EA1"/>
    <w:rsid w:val="00375B24"/>
    <w:rsid w:val="00380C47"/>
    <w:rsid w:val="00384AD3"/>
    <w:rsid w:val="00384D36"/>
    <w:rsid w:val="003875E5"/>
    <w:rsid w:val="00396C9A"/>
    <w:rsid w:val="003A0E6C"/>
    <w:rsid w:val="003A1574"/>
    <w:rsid w:val="003A223C"/>
    <w:rsid w:val="003A6CDA"/>
    <w:rsid w:val="003B15C5"/>
    <w:rsid w:val="003B4289"/>
    <w:rsid w:val="003C303B"/>
    <w:rsid w:val="003C38D8"/>
    <w:rsid w:val="003C7D50"/>
    <w:rsid w:val="003D4E78"/>
    <w:rsid w:val="003D569E"/>
    <w:rsid w:val="003E1EBA"/>
    <w:rsid w:val="003E2BD7"/>
    <w:rsid w:val="003E5196"/>
    <w:rsid w:val="003E6256"/>
    <w:rsid w:val="004012A1"/>
    <w:rsid w:val="0040435F"/>
    <w:rsid w:val="004056E4"/>
    <w:rsid w:val="004069A0"/>
    <w:rsid w:val="00421F4F"/>
    <w:rsid w:val="0042718A"/>
    <w:rsid w:val="00430E86"/>
    <w:rsid w:val="004326EE"/>
    <w:rsid w:val="0043702B"/>
    <w:rsid w:val="00444DB3"/>
    <w:rsid w:val="00447F55"/>
    <w:rsid w:val="00452C0E"/>
    <w:rsid w:val="004570BD"/>
    <w:rsid w:val="00462AFC"/>
    <w:rsid w:val="00465C35"/>
    <w:rsid w:val="00471459"/>
    <w:rsid w:val="00471D02"/>
    <w:rsid w:val="0047615F"/>
    <w:rsid w:val="00481A48"/>
    <w:rsid w:val="0048409C"/>
    <w:rsid w:val="004853B2"/>
    <w:rsid w:val="00486634"/>
    <w:rsid w:val="00486B9D"/>
    <w:rsid w:val="00492FD0"/>
    <w:rsid w:val="00494644"/>
    <w:rsid w:val="004A100D"/>
    <w:rsid w:val="004A5A0A"/>
    <w:rsid w:val="004B47F4"/>
    <w:rsid w:val="004D1612"/>
    <w:rsid w:val="004D27EE"/>
    <w:rsid w:val="004D486C"/>
    <w:rsid w:val="004E0708"/>
    <w:rsid w:val="004E26EF"/>
    <w:rsid w:val="004E5024"/>
    <w:rsid w:val="004F60DA"/>
    <w:rsid w:val="005001F6"/>
    <w:rsid w:val="005018DC"/>
    <w:rsid w:val="00503D98"/>
    <w:rsid w:val="00514905"/>
    <w:rsid w:val="005247F9"/>
    <w:rsid w:val="005332CB"/>
    <w:rsid w:val="005378C1"/>
    <w:rsid w:val="00543492"/>
    <w:rsid w:val="00557049"/>
    <w:rsid w:val="00566F37"/>
    <w:rsid w:val="00571DCA"/>
    <w:rsid w:val="0057274E"/>
    <w:rsid w:val="005755C4"/>
    <w:rsid w:val="00580290"/>
    <w:rsid w:val="00585DCF"/>
    <w:rsid w:val="0058789C"/>
    <w:rsid w:val="00594225"/>
    <w:rsid w:val="0059483E"/>
    <w:rsid w:val="00597394"/>
    <w:rsid w:val="005A3577"/>
    <w:rsid w:val="005B7F4F"/>
    <w:rsid w:val="005C052A"/>
    <w:rsid w:val="005C73D1"/>
    <w:rsid w:val="005D09E1"/>
    <w:rsid w:val="005E6280"/>
    <w:rsid w:val="005F08D9"/>
    <w:rsid w:val="005F71A3"/>
    <w:rsid w:val="00613574"/>
    <w:rsid w:val="00617520"/>
    <w:rsid w:val="00635765"/>
    <w:rsid w:val="00635D33"/>
    <w:rsid w:val="00640F3C"/>
    <w:rsid w:val="00646C37"/>
    <w:rsid w:val="00653F2D"/>
    <w:rsid w:val="006672BB"/>
    <w:rsid w:val="006703FC"/>
    <w:rsid w:val="0067464D"/>
    <w:rsid w:val="00674D89"/>
    <w:rsid w:val="00677011"/>
    <w:rsid w:val="00677CAF"/>
    <w:rsid w:val="0068214B"/>
    <w:rsid w:val="0068234A"/>
    <w:rsid w:val="00687877"/>
    <w:rsid w:val="00690A6D"/>
    <w:rsid w:val="00691C5B"/>
    <w:rsid w:val="006A1C0D"/>
    <w:rsid w:val="006A6BBF"/>
    <w:rsid w:val="006B0980"/>
    <w:rsid w:val="006B6D11"/>
    <w:rsid w:val="006C0737"/>
    <w:rsid w:val="006C0C74"/>
    <w:rsid w:val="006C4833"/>
    <w:rsid w:val="006D3B60"/>
    <w:rsid w:val="006E0DEF"/>
    <w:rsid w:val="006F17A3"/>
    <w:rsid w:val="006F43EE"/>
    <w:rsid w:val="006F445E"/>
    <w:rsid w:val="006F6025"/>
    <w:rsid w:val="00704C0E"/>
    <w:rsid w:val="00705647"/>
    <w:rsid w:val="0070784F"/>
    <w:rsid w:val="00710D3B"/>
    <w:rsid w:val="00715D86"/>
    <w:rsid w:val="00717C75"/>
    <w:rsid w:val="00720B5F"/>
    <w:rsid w:val="00721AE5"/>
    <w:rsid w:val="007239EE"/>
    <w:rsid w:val="007318D9"/>
    <w:rsid w:val="00735F86"/>
    <w:rsid w:val="0073711B"/>
    <w:rsid w:val="00741A3C"/>
    <w:rsid w:val="00744AFF"/>
    <w:rsid w:val="00746F1C"/>
    <w:rsid w:val="00747CDC"/>
    <w:rsid w:val="00754D2C"/>
    <w:rsid w:val="0076021D"/>
    <w:rsid w:val="00760525"/>
    <w:rsid w:val="00763B78"/>
    <w:rsid w:val="00765754"/>
    <w:rsid w:val="00770640"/>
    <w:rsid w:val="007747D3"/>
    <w:rsid w:val="007774FC"/>
    <w:rsid w:val="007812AB"/>
    <w:rsid w:val="007876B3"/>
    <w:rsid w:val="007A0ED0"/>
    <w:rsid w:val="007A5A80"/>
    <w:rsid w:val="007B0ADF"/>
    <w:rsid w:val="007B6922"/>
    <w:rsid w:val="007C141F"/>
    <w:rsid w:val="007C27B1"/>
    <w:rsid w:val="007D09DE"/>
    <w:rsid w:val="007D2D8E"/>
    <w:rsid w:val="007D70DE"/>
    <w:rsid w:val="007E42C3"/>
    <w:rsid w:val="007E5BBE"/>
    <w:rsid w:val="007E75D0"/>
    <w:rsid w:val="0080154A"/>
    <w:rsid w:val="00805461"/>
    <w:rsid w:val="00805677"/>
    <w:rsid w:val="00815264"/>
    <w:rsid w:val="008228E1"/>
    <w:rsid w:val="00822E4A"/>
    <w:rsid w:val="00824671"/>
    <w:rsid w:val="00824975"/>
    <w:rsid w:val="00833A02"/>
    <w:rsid w:val="00860B91"/>
    <w:rsid w:val="00861135"/>
    <w:rsid w:val="008651B2"/>
    <w:rsid w:val="00866162"/>
    <w:rsid w:val="00870986"/>
    <w:rsid w:val="00872DBA"/>
    <w:rsid w:val="00876EB8"/>
    <w:rsid w:val="008860B0"/>
    <w:rsid w:val="00892593"/>
    <w:rsid w:val="00896367"/>
    <w:rsid w:val="008A0037"/>
    <w:rsid w:val="008A06BB"/>
    <w:rsid w:val="008A2817"/>
    <w:rsid w:val="008A53C2"/>
    <w:rsid w:val="008A67CD"/>
    <w:rsid w:val="008B438B"/>
    <w:rsid w:val="008B4AC4"/>
    <w:rsid w:val="008B7090"/>
    <w:rsid w:val="008C2690"/>
    <w:rsid w:val="008C5E8A"/>
    <w:rsid w:val="008E141B"/>
    <w:rsid w:val="008E3847"/>
    <w:rsid w:val="008E3F32"/>
    <w:rsid w:val="008E5E5A"/>
    <w:rsid w:val="008E7D8D"/>
    <w:rsid w:val="008F027B"/>
    <w:rsid w:val="008F0AEF"/>
    <w:rsid w:val="008F1DA9"/>
    <w:rsid w:val="008F6246"/>
    <w:rsid w:val="008F6A42"/>
    <w:rsid w:val="00901865"/>
    <w:rsid w:val="009022FA"/>
    <w:rsid w:val="00904CB5"/>
    <w:rsid w:val="00906070"/>
    <w:rsid w:val="00914049"/>
    <w:rsid w:val="009161F4"/>
    <w:rsid w:val="009208A0"/>
    <w:rsid w:val="00920F67"/>
    <w:rsid w:val="009217AF"/>
    <w:rsid w:val="0092285C"/>
    <w:rsid w:val="00924BEF"/>
    <w:rsid w:val="0093321A"/>
    <w:rsid w:val="009371FD"/>
    <w:rsid w:val="00942333"/>
    <w:rsid w:val="009474B9"/>
    <w:rsid w:val="0096059D"/>
    <w:rsid w:val="009621BD"/>
    <w:rsid w:val="009634F5"/>
    <w:rsid w:val="009634F8"/>
    <w:rsid w:val="0096506F"/>
    <w:rsid w:val="00980BE5"/>
    <w:rsid w:val="009818A0"/>
    <w:rsid w:val="00981E1D"/>
    <w:rsid w:val="00994B8C"/>
    <w:rsid w:val="009A7BBD"/>
    <w:rsid w:val="009B1D48"/>
    <w:rsid w:val="009B53BD"/>
    <w:rsid w:val="009C0234"/>
    <w:rsid w:val="009C0A27"/>
    <w:rsid w:val="009C113E"/>
    <w:rsid w:val="009C187A"/>
    <w:rsid w:val="009C6899"/>
    <w:rsid w:val="009D14F6"/>
    <w:rsid w:val="009D2AE3"/>
    <w:rsid w:val="009D647E"/>
    <w:rsid w:val="009D6F8B"/>
    <w:rsid w:val="009E2C71"/>
    <w:rsid w:val="009E5EBB"/>
    <w:rsid w:val="009F13FA"/>
    <w:rsid w:val="009F1F12"/>
    <w:rsid w:val="009F23A8"/>
    <w:rsid w:val="009F60F5"/>
    <w:rsid w:val="009F72C7"/>
    <w:rsid w:val="00A01834"/>
    <w:rsid w:val="00A14E4C"/>
    <w:rsid w:val="00A15949"/>
    <w:rsid w:val="00A31E1E"/>
    <w:rsid w:val="00A576B5"/>
    <w:rsid w:val="00A57A52"/>
    <w:rsid w:val="00A60ACD"/>
    <w:rsid w:val="00A6438A"/>
    <w:rsid w:val="00A653F1"/>
    <w:rsid w:val="00A66A6E"/>
    <w:rsid w:val="00A678BD"/>
    <w:rsid w:val="00A70826"/>
    <w:rsid w:val="00A73232"/>
    <w:rsid w:val="00A83AC4"/>
    <w:rsid w:val="00A87529"/>
    <w:rsid w:val="00AA49B7"/>
    <w:rsid w:val="00AA683D"/>
    <w:rsid w:val="00AC01E0"/>
    <w:rsid w:val="00AC4F0B"/>
    <w:rsid w:val="00AD2E63"/>
    <w:rsid w:val="00AD3C75"/>
    <w:rsid w:val="00AE061C"/>
    <w:rsid w:val="00AE201D"/>
    <w:rsid w:val="00AE4FD8"/>
    <w:rsid w:val="00AF1ACF"/>
    <w:rsid w:val="00AF6A51"/>
    <w:rsid w:val="00AF7A3E"/>
    <w:rsid w:val="00B00E6C"/>
    <w:rsid w:val="00B01264"/>
    <w:rsid w:val="00B05FD0"/>
    <w:rsid w:val="00B15267"/>
    <w:rsid w:val="00B24914"/>
    <w:rsid w:val="00B2767B"/>
    <w:rsid w:val="00B313C3"/>
    <w:rsid w:val="00B317EF"/>
    <w:rsid w:val="00B343B0"/>
    <w:rsid w:val="00B407EE"/>
    <w:rsid w:val="00B42D83"/>
    <w:rsid w:val="00B46EE6"/>
    <w:rsid w:val="00B47D13"/>
    <w:rsid w:val="00B5018B"/>
    <w:rsid w:val="00B53A29"/>
    <w:rsid w:val="00B57782"/>
    <w:rsid w:val="00B62B06"/>
    <w:rsid w:val="00B65916"/>
    <w:rsid w:val="00B66905"/>
    <w:rsid w:val="00B72095"/>
    <w:rsid w:val="00B7350A"/>
    <w:rsid w:val="00B8520F"/>
    <w:rsid w:val="00B85ABB"/>
    <w:rsid w:val="00B945C0"/>
    <w:rsid w:val="00B95E96"/>
    <w:rsid w:val="00BA2998"/>
    <w:rsid w:val="00BB0372"/>
    <w:rsid w:val="00BB6E23"/>
    <w:rsid w:val="00BB6F46"/>
    <w:rsid w:val="00BC39E9"/>
    <w:rsid w:val="00BC73C4"/>
    <w:rsid w:val="00BD0DC4"/>
    <w:rsid w:val="00BE1009"/>
    <w:rsid w:val="00BF1B84"/>
    <w:rsid w:val="00BF3AE0"/>
    <w:rsid w:val="00C03938"/>
    <w:rsid w:val="00C05001"/>
    <w:rsid w:val="00C07286"/>
    <w:rsid w:val="00C15FD6"/>
    <w:rsid w:val="00C16F6E"/>
    <w:rsid w:val="00C22559"/>
    <w:rsid w:val="00C4406C"/>
    <w:rsid w:val="00C4437F"/>
    <w:rsid w:val="00C549A4"/>
    <w:rsid w:val="00C5500B"/>
    <w:rsid w:val="00C6210C"/>
    <w:rsid w:val="00C627CB"/>
    <w:rsid w:val="00C64EEC"/>
    <w:rsid w:val="00C66F03"/>
    <w:rsid w:val="00C73AB4"/>
    <w:rsid w:val="00C76880"/>
    <w:rsid w:val="00C802D1"/>
    <w:rsid w:val="00C81B47"/>
    <w:rsid w:val="00CA20F5"/>
    <w:rsid w:val="00CA7E58"/>
    <w:rsid w:val="00CB39C6"/>
    <w:rsid w:val="00CB7C8F"/>
    <w:rsid w:val="00CC18AC"/>
    <w:rsid w:val="00CC679C"/>
    <w:rsid w:val="00CC6B32"/>
    <w:rsid w:val="00CD0288"/>
    <w:rsid w:val="00CD0C18"/>
    <w:rsid w:val="00CD2441"/>
    <w:rsid w:val="00CD4479"/>
    <w:rsid w:val="00CD50C0"/>
    <w:rsid w:val="00CD67CD"/>
    <w:rsid w:val="00CD6D2A"/>
    <w:rsid w:val="00CE19B6"/>
    <w:rsid w:val="00CE38FF"/>
    <w:rsid w:val="00CE7182"/>
    <w:rsid w:val="00CE7DED"/>
    <w:rsid w:val="00CF75E9"/>
    <w:rsid w:val="00D02941"/>
    <w:rsid w:val="00D05E92"/>
    <w:rsid w:val="00D07E7A"/>
    <w:rsid w:val="00D158E1"/>
    <w:rsid w:val="00D2771F"/>
    <w:rsid w:val="00D30C0A"/>
    <w:rsid w:val="00D372CD"/>
    <w:rsid w:val="00D464A0"/>
    <w:rsid w:val="00D47502"/>
    <w:rsid w:val="00D560F0"/>
    <w:rsid w:val="00D57C2C"/>
    <w:rsid w:val="00D63B57"/>
    <w:rsid w:val="00D67516"/>
    <w:rsid w:val="00D72D76"/>
    <w:rsid w:val="00D76812"/>
    <w:rsid w:val="00D775C1"/>
    <w:rsid w:val="00D77CD8"/>
    <w:rsid w:val="00D85CAB"/>
    <w:rsid w:val="00D906A9"/>
    <w:rsid w:val="00DA19F5"/>
    <w:rsid w:val="00DA504C"/>
    <w:rsid w:val="00DA625A"/>
    <w:rsid w:val="00DC48AF"/>
    <w:rsid w:val="00DD35DE"/>
    <w:rsid w:val="00DD403B"/>
    <w:rsid w:val="00DD478C"/>
    <w:rsid w:val="00DD735A"/>
    <w:rsid w:val="00DF15BE"/>
    <w:rsid w:val="00E028D5"/>
    <w:rsid w:val="00E02FBA"/>
    <w:rsid w:val="00E1188F"/>
    <w:rsid w:val="00E2298C"/>
    <w:rsid w:val="00E242BF"/>
    <w:rsid w:val="00E26B49"/>
    <w:rsid w:val="00E30391"/>
    <w:rsid w:val="00E31E40"/>
    <w:rsid w:val="00E35E7F"/>
    <w:rsid w:val="00E50914"/>
    <w:rsid w:val="00E50E69"/>
    <w:rsid w:val="00E520D0"/>
    <w:rsid w:val="00E53CBF"/>
    <w:rsid w:val="00E5411F"/>
    <w:rsid w:val="00E54751"/>
    <w:rsid w:val="00E56028"/>
    <w:rsid w:val="00E6268E"/>
    <w:rsid w:val="00E638C7"/>
    <w:rsid w:val="00E70234"/>
    <w:rsid w:val="00E70C5D"/>
    <w:rsid w:val="00E71ECA"/>
    <w:rsid w:val="00E76883"/>
    <w:rsid w:val="00E76FA3"/>
    <w:rsid w:val="00E842A5"/>
    <w:rsid w:val="00E85FE9"/>
    <w:rsid w:val="00E947E0"/>
    <w:rsid w:val="00E94950"/>
    <w:rsid w:val="00E951D9"/>
    <w:rsid w:val="00EA0C5F"/>
    <w:rsid w:val="00EA299F"/>
    <w:rsid w:val="00EA4402"/>
    <w:rsid w:val="00EB1072"/>
    <w:rsid w:val="00EB2317"/>
    <w:rsid w:val="00EC3E95"/>
    <w:rsid w:val="00ED63A6"/>
    <w:rsid w:val="00EE4E0C"/>
    <w:rsid w:val="00EE64CF"/>
    <w:rsid w:val="00EF3DB6"/>
    <w:rsid w:val="00F000A0"/>
    <w:rsid w:val="00F12569"/>
    <w:rsid w:val="00F1545D"/>
    <w:rsid w:val="00F21585"/>
    <w:rsid w:val="00F4063F"/>
    <w:rsid w:val="00F452E1"/>
    <w:rsid w:val="00F51FD1"/>
    <w:rsid w:val="00F52780"/>
    <w:rsid w:val="00F55126"/>
    <w:rsid w:val="00F56BDC"/>
    <w:rsid w:val="00F61589"/>
    <w:rsid w:val="00F6508F"/>
    <w:rsid w:val="00F6668C"/>
    <w:rsid w:val="00F67D0D"/>
    <w:rsid w:val="00F876C2"/>
    <w:rsid w:val="00F9076F"/>
    <w:rsid w:val="00F91F0F"/>
    <w:rsid w:val="00F96117"/>
    <w:rsid w:val="00FA4FF9"/>
    <w:rsid w:val="00FA5295"/>
    <w:rsid w:val="00FB0C2D"/>
    <w:rsid w:val="00FB22A8"/>
    <w:rsid w:val="00FB2F01"/>
    <w:rsid w:val="00FC037F"/>
    <w:rsid w:val="00FC33E9"/>
    <w:rsid w:val="00FC4772"/>
    <w:rsid w:val="00FC50F1"/>
    <w:rsid w:val="00FC5385"/>
    <w:rsid w:val="00FD054C"/>
    <w:rsid w:val="00FD0D93"/>
    <w:rsid w:val="00FD0F1C"/>
    <w:rsid w:val="00FE016B"/>
    <w:rsid w:val="00FE5EEC"/>
    <w:rsid w:val="00FE6FA1"/>
    <w:rsid w:val="00FF0C75"/>
    <w:rsid w:val="00FF25D8"/>
    <w:rsid w:val="00FF3E21"/>
    <w:rsid w:val="00FF43D8"/>
    <w:rsid w:val="00FF6BA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B7A643A"/>
  <w15:docId w15:val="{D709B86F-EE24-4361-8E8A-70F2681902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Calibr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56028"/>
    <w:pPr>
      <w:spacing w:after="360" w:line="480" w:lineRule="auto"/>
      <w:ind w:left="720"/>
    </w:pPr>
    <w:rPr>
      <w:rFonts w:ascii="Times New Roman" w:hAnsi="Times New Roman"/>
      <w:sz w:val="24"/>
    </w:rPr>
  </w:style>
  <w:style w:type="paragraph" w:styleId="Heading1">
    <w:name w:val="heading 1"/>
    <w:basedOn w:val="Normal"/>
    <w:next w:val="Normal"/>
    <w:uiPriority w:val="9"/>
    <w:qFormat/>
    <w:pPr>
      <w:keepNext/>
      <w:keepLines/>
      <w:spacing w:before="360" w:line="240" w:lineRule="auto"/>
      <w:jc w:val="center"/>
      <w:outlineLvl w:val="0"/>
    </w:pPr>
    <w:rPr>
      <w:color w:val="2F5496"/>
      <w:sz w:val="32"/>
      <w:szCs w:val="32"/>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 w:type="paragraph" w:styleId="CommentSubject">
    <w:name w:val="annotation subject"/>
    <w:basedOn w:val="CommentText"/>
    <w:next w:val="CommentText"/>
    <w:link w:val="CommentSubjectChar"/>
    <w:uiPriority w:val="99"/>
    <w:semiHidden/>
    <w:unhideWhenUsed/>
    <w:rsid w:val="0003358C"/>
    <w:rPr>
      <w:b/>
      <w:bCs/>
    </w:rPr>
  </w:style>
  <w:style w:type="character" w:customStyle="1" w:styleId="CommentSubjectChar">
    <w:name w:val="Comment Subject Char"/>
    <w:basedOn w:val="CommentTextChar"/>
    <w:link w:val="CommentSubject"/>
    <w:uiPriority w:val="99"/>
    <w:semiHidden/>
    <w:rsid w:val="0003358C"/>
    <w:rPr>
      <w:b/>
      <w:bCs/>
      <w:sz w:val="20"/>
      <w:szCs w:val="20"/>
    </w:rPr>
  </w:style>
  <w:style w:type="paragraph" w:styleId="FootnoteText">
    <w:name w:val="footnote text"/>
    <w:basedOn w:val="Normal"/>
    <w:link w:val="FootnoteTextChar"/>
    <w:uiPriority w:val="99"/>
    <w:semiHidden/>
    <w:unhideWhenUsed/>
    <w:rsid w:val="00613574"/>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613574"/>
    <w:rPr>
      <w:sz w:val="20"/>
      <w:szCs w:val="20"/>
    </w:rPr>
  </w:style>
  <w:style w:type="character" w:styleId="FootnoteReference">
    <w:name w:val="footnote reference"/>
    <w:basedOn w:val="DefaultParagraphFont"/>
    <w:uiPriority w:val="99"/>
    <w:semiHidden/>
    <w:unhideWhenUsed/>
    <w:rsid w:val="00613574"/>
    <w:rPr>
      <w:vertAlign w:val="superscript"/>
    </w:rPr>
  </w:style>
  <w:style w:type="paragraph" w:styleId="Caption">
    <w:name w:val="caption"/>
    <w:basedOn w:val="Normal"/>
    <w:next w:val="Normal"/>
    <w:uiPriority w:val="35"/>
    <w:unhideWhenUsed/>
    <w:qFormat/>
    <w:rsid w:val="004012A1"/>
    <w:pPr>
      <w:spacing w:after="200" w:line="240" w:lineRule="auto"/>
    </w:pPr>
    <w:rPr>
      <w:rFonts w:asciiTheme="minorHAnsi" w:eastAsiaTheme="minorHAnsi" w:hAnsiTheme="minorHAnsi" w:cstheme="minorBidi"/>
      <w:i/>
      <w:iCs/>
      <w:color w:val="1F497D" w:themeColor="text2"/>
      <w:sz w:val="18"/>
      <w:szCs w:val="18"/>
    </w:rPr>
  </w:style>
  <w:style w:type="paragraph" w:customStyle="1" w:styleId="Question">
    <w:name w:val="Question"/>
    <w:basedOn w:val="Normal"/>
    <w:link w:val="QuestionChar"/>
    <w:qFormat/>
    <w:rsid w:val="00167A98"/>
    <w:pPr>
      <w:keepNext/>
      <w:pBdr>
        <w:top w:val="nil"/>
        <w:left w:val="nil"/>
        <w:bottom w:val="nil"/>
        <w:right w:val="nil"/>
        <w:between w:val="nil"/>
      </w:pBdr>
      <w:spacing w:after="0"/>
      <w:ind w:hanging="720"/>
    </w:pPr>
    <w:rPr>
      <w:rFonts w:ascii="Times New Roman Bold" w:eastAsia="Times New Roman" w:hAnsi="Times New Roman Bold" w:cs="Times New Roman"/>
      <w:b/>
      <w:caps/>
      <w:color w:val="000000"/>
      <w:szCs w:val="24"/>
    </w:rPr>
  </w:style>
  <w:style w:type="paragraph" w:customStyle="1" w:styleId="Answer">
    <w:name w:val="Answer"/>
    <w:basedOn w:val="Normal"/>
    <w:qFormat/>
    <w:rsid w:val="009474B9"/>
    <w:pPr>
      <w:spacing w:before="120" w:after="400"/>
      <w:ind w:hanging="720"/>
    </w:pPr>
  </w:style>
  <w:style w:type="character" w:customStyle="1" w:styleId="QuestionChar">
    <w:name w:val="Question Char"/>
    <w:basedOn w:val="DefaultParagraphFont"/>
    <w:link w:val="Question"/>
    <w:rsid w:val="00167A98"/>
    <w:rPr>
      <w:rFonts w:ascii="Times New Roman Bold" w:eastAsia="Times New Roman" w:hAnsi="Times New Roman Bold" w:cs="Times New Roman"/>
      <w:b/>
      <w:caps/>
      <w:color w:val="000000"/>
      <w:sz w:val="24"/>
      <w:szCs w:val="24"/>
    </w:rPr>
  </w:style>
  <w:style w:type="character" w:styleId="Hyperlink">
    <w:name w:val="Hyperlink"/>
    <w:basedOn w:val="DefaultParagraphFont"/>
    <w:uiPriority w:val="99"/>
    <w:unhideWhenUsed/>
    <w:rsid w:val="00E53CBF"/>
    <w:rPr>
      <w:color w:val="0000FF" w:themeColor="hyperlink"/>
      <w:u w:val="single"/>
    </w:rPr>
  </w:style>
  <w:style w:type="character" w:styleId="UnresolvedMention">
    <w:name w:val="Unresolved Mention"/>
    <w:basedOn w:val="DefaultParagraphFont"/>
    <w:uiPriority w:val="99"/>
    <w:semiHidden/>
    <w:unhideWhenUsed/>
    <w:rsid w:val="00E53CBF"/>
    <w:rPr>
      <w:color w:val="605E5C"/>
      <w:shd w:val="clear" w:color="auto" w:fill="E1DFDD"/>
    </w:rPr>
  </w:style>
  <w:style w:type="character" w:styleId="FollowedHyperlink">
    <w:name w:val="FollowedHyperlink"/>
    <w:basedOn w:val="DefaultParagraphFont"/>
    <w:uiPriority w:val="99"/>
    <w:semiHidden/>
    <w:unhideWhenUsed/>
    <w:rsid w:val="00E53CBF"/>
    <w:rPr>
      <w:color w:val="800080" w:themeColor="followedHyperlink"/>
      <w:u w:val="single"/>
    </w:rPr>
  </w:style>
  <w:style w:type="paragraph" w:styleId="ListParagraph">
    <w:name w:val="List Paragraph"/>
    <w:basedOn w:val="Normal"/>
    <w:uiPriority w:val="34"/>
    <w:qFormat/>
    <w:rsid w:val="00167A98"/>
    <w:pPr>
      <w:contextualSpacing/>
    </w:pPr>
  </w:style>
  <w:style w:type="paragraph" w:styleId="Header">
    <w:name w:val="header"/>
    <w:basedOn w:val="Normal"/>
    <w:link w:val="HeaderChar"/>
    <w:uiPriority w:val="99"/>
    <w:unhideWhenUsed/>
    <w:rsid w:val="00B945C0"/>
    <w:pPr>
      <w:tabs>
        <w:tab w:val="center" w:pos="4680"/>
        <w:tab w:val="right" w:pos="9360"/>
      </w:tabs>
      <w:spacing w:after="0" w:line="240" w:lineRule="auto"/>
    </w:pPr>
  </w:style>
  <w:style w:type="character" w:customStyle="1" w:styleId="HeaderChar">
    <w:name w:val="Header Char"/>
    <w:basedOn w:val="DefaultParagraphFont"/>
    <w:link w:val="Header"/>
    <w:uiPriority w:val="99"/>
    <w:rsid w:val="00B945C0"/>
    <w:rPr>
      <w:rFonts w:ascii="Times New Roman" w:hAnsi="Times New Roman"/>
      <w:sz w:val="24"/>
    </w:rPr>
  </w:style>
  <w:style w:type="paragraph" w:styleId="Footer">
    <w:name w:val="footer"/>
    <w:basedOn w:val="Normal"/>
    <w:link w:val="FooterChar"/>
    <w:uiPriority w:val="99"/>
    <w:unhideWhenUsed/>
    <w:rsid w:val="00B945C0"/>
    <w:pPr>
      <w:tabs>
        <w:tab w:val="center" w:pos="4680"/>
        <w:tab w:val="right" w:pos="9360"/>
      </w:tabs>
      <w:spacing w:after="0" w:line="240" w:lineRule="auto"/>
    </w:pPr>
  </w:style>
  <w:style w:type="character" w:customStyle="1" w:styleId="FooterChar">
    <w:name w:val="Footer Char"/>
    <w:basedOn w:val="DefaultParagraphFont"/>
    <w:link w:val="Footer"/>
    <w:uiPriority w:val="99"/>
    <w:rsid w:val="00B945C0"/>
    <w:rPr>
      <w:rFonts w:ascii="Times New Roman" w:hAnsi="Times New Roman"/>
      <w:sz w:val="24"/>
    </w:rPr>
  </w:style>
  <w:style w:type="character" w:styleId="LineNumber">
    <w:name w:val="line number"/>
    <w:basedOn w:val="DefaultParagraphFont"/>
    <w:uiPriority w:val="99"/>
    <w:semiHidden/>
    <w:unhideWhenUsed/>
    <w:rsid w:val="00E56028"/>
    <w:rPr>
      <w:rFonts w:ascii="Times New Roman" w:hAnsi="Times New Roman"/>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6846791">
      <w:bodyDiv w:val="1"/>
      <w:marLeft w:val="0"/>
      <w:marRight w:val="0"/>
      <w:marTop w:val="0"/>
      <w:marBottom w:val="0"/>
      <w:divBdr>
        <w:top w:val="none" w:sz="0" w:space="0" w:color="auto"/>
        <w:left w:val="none" w:sz="0" w:space="0" w:color="auto"/>
        <w:bottom w:val="none" w:sz="0" w:space="0" w:color="auto"/>
        <w:right w:val="none" w:sz="0" w:space="0" w:color="auto"/>
      </w:divBdr>
    </w:div>
    <w:div w:id="233439589">
      <w:bodyDiv w:val="1"/>
      <w:marLeft w:val="0"/>
      <w:marRight w:val="0"/>
      <w:marTop w:val="0"/>
      <w:marBottom w:val="0"/>
      <w:divBdr>
        <w:top w:val="none" w:sz="0" w:space="0" w:color="auto"/>
        <w:left w:val="none" w:sz="0" w:space="0" w:color="auto"/>
        <w:bottom w:val="none" w:sz="0" w:space="0" w:color="auto"/>
        <w:right w:val="none" w:sz="0" w:space="0" w:color="auto"/>
      </w:divBdr>
    </w:div>
    <w:div w:id="49010051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header" Target="header2.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_rels/footnotes.xml.rels><?xml version="1.0" encoding="UTF-8" standalone="yes"?>
<Relationships xmlns="http://schemas.openxmlformats.org/package/2006/relationships"><Relationship Id="rId8" Type="http://schemas.openxmlformats.org/officeDocument/2006/relationships/hyperlink" Target="https://law.justia.com/citations.html" TargetMode="External"/><Relationship Id="rId13" Type="http://schemas.openxmlformats.org/officeDocument/2006/relationships/hyperlink" Target="https://www.spglobal.com/marketintelligence/en/news-insights/trending/1-Ve3d8MnTMmiZGR2Rbshw2" TargetMode="External"/><Relationship Id="rId18" Type="http://schemas.openxmlformats.org/officeDocument/2006/relationships/hyperlink" Target="http://epis.com/powermarketinsights/index.php/2017/05/18/how-good-is-the-eia-at-predicting-henry-hub/" TargetMode="External"/><Relationship Id="rId3" Type="http://schemas.openxmlformats.org/officeDocument/2006/relationships/hyperlink" Target="https://emp.lbl.gov/projects/competitive-procurement" TargetMode="External"/><Relationship Id="rId21" Type="http://schemas.openxmlformats.org/officeDocument/2006/relationships/hyperlink" Target="https://puc.colorado.gov/uri" TargetMode="External"/><Relationship Id="rId7" Type="http://schemas.openxmlformats.org/officeDocument/2006/relationships/hyperlink" Target="https://emp.lbl.gov/sites/default/files/2020_utility-scale_solar_data_update.pdf" TargetMode="External"/><Relationship Id="rId12" Type="http://schemas.openxmlformats.org/officeDocument/2006/relationships/hyperlink" Target="https://www.spglobal.com/marketintelligence/en/news-insights/trending/n2V18rq_af4OBgqaW6CmkQ2" TargetMode="External"/><Relationship Id="rId17" Type="http://schemas.openxmlformats.org/officeDocument/2006/relationships/hyperlink" Target="https://regulationbodyofknowledge.org/glossary/a/averch-johnson-effect-aj-effect/" TargetMode="External"/><Relationship Id="rId2" Type="http://schemas.openxmlformats.org/officeDocument/2006/relationships/hyperlink" Target="https://law.justia.com/citations.html" TargetMode="External"/><Relationship Id="rId16" Type="http://schemas.openxmlformats.org/officeDocument/2006/relationships/hyperlink" Target="https://www.law.cornell.edu/uscode/text/16/chapter-46" TargetMode="External"/><Relationship Id="rId20" Type="http://schemas.openxmlformats.org/officeDocument/2006/relationships/hyperlink" Target="https://www.cpr.org/2022/02/24/xcel-energy-overcharging-customers-cold-weather/" TargetMode="External"/><Relationship Id="rId1" Type="http://schemas.openxmlformats.org/officeDocument/2006/relationships/hyperlink" Target="http://www.rbinz.com/Binz%20Marritz%20Paper%20071812.pdf" TargetMode="External"/><Relationship Id="rId6" Type="http://schemas.openxmlformats.org/officeDocument/2006/relationships/hyperlink" Target="https://tinyurl.com/y4d4re5c" TargetMode="External"/><Relationship Id="rId11" Type="http://schemas.openxmlformats.org/officeDocument/2006/relationships/hyperlink" Target="https://rmi.org/wp-content/uploads/dlm_uploads/2021/02/rmi_how_build_ceps.pdf" TargetMode="External"/><Relationship Id="rId5" Type="http://schemas.openxmlformats.org/officeDocument/2006/relationships/hyperlink" Target="https://emp.lbl.gov/sites/default/files/2020_utility-scale_solar_data_update.pdf" TargetMode="External"/><Relationship Id="rId15" Type="http://schemas.openxmlformats.org/officeDocument/2006/relationships/hyperlink" Target="https://www.sec.gov/rules/proposed/2022/33-11042.pdf" TargetMode="External"/><Relationship Id="rId10" Type="http://schemas.openxmlformats.org/officeDocument/2006/relationships/hyperlink" Target="https://cleanenergy.org/wp-content/uploads/All-Source-Utility-Electricity-Generation-Procurement-Best-Practices_EI_SACE.pdf?msclkid=f81081acbe7211ec973f0aca3b2a1050" TargetMode="External"/><Relationship Id="rId19" Type="http://schemas.openxmlformats.org/officeDocument/2006/relationships/hyperlink" Target="https://www.researchgate.net/figure/1-EIA-Forecasts-of-Natural-Gas-Price_fig1_237290540" TargetMode="External"/><Relationship Id="rId4" Type="http://schemas.openxmlformats.org/officeDocument/2006/relationships/hyperlink" Target="https://emp.lbl.gov/projects/utility-resource-planning" TargetMode="External"/><Relationship Id="rId9" Type="http://schemas.openxmlformats.org/officeDocument/2006/relationships/hyperlink" Target="https://www.documentcloud.org/documents/4340162-Xcel-Solicitation-Report.html" TargetMode="External"/><Relationship Id="rId14" Type="http://schemas.openxmlformats.org/officeDocument/2006/relationships/hyperlink" Target="https://www.sec.gov/news/press-release/2022-46"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ABEA34B-F86C-4310-943B-6880B7927BF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1032</TotalTime>
  <Pages>45</Pages>
  <Words>9290</Words>
  <Characters>50539</Characters>
  <Application>Microsoft Office Word</Application>
  <DocSecurity>0</DocSecurity>
  <Lines>902</Lines>
  <Paragraphs>245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59584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Ronald Binz</dc:creator>
  <cp:keywords/>
  <dc:description/>
  <cp:lastModifiedBy>William Collier</cp:lastModifiedBy>
  <cp:revision>425</cp:revision>
  <dcterms:created xsi:type="dcterms:W3CDTF">2022-05-04T19:23:00Z</dcterms:created>
  <dcterms:modified xsi:type="dcterms:W3CDTF">2022-05-06T12:01:00Z</dcterms:modified>
</cp:coreProperties>
</file>