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5D504" w14:textId="77777777" w:rsidR="008E66B3" w:rsidRPr="00DB7156" w:rsidRDefault="008E66B3" w:rsidP="004F7B7F">
      <w:pPr>
        <w:spacing w:after="0"/>
        <w:rPr>
          <w:rFonts w:cs="Arial"/>
          <w:b/>
          <w:sz w:val="28"/>
          <w:szCs w:val="28"/>
        </w:rPr>
      </w:pPr>
      <w:bookmarkStart w:id="0" w:name="_Hlk100579549"/>
    </w:p>
    <w:p w14:paraId="2919DCC2" w14:textId="77777777" w:rsidR="004F7B7F" w:rsidRPr="00DB7156" w:rsidRDefault="004F7B7F" w:rsidP="004F7B7F">
      <w:pPr>
        <w:spacing w:after="0"/>
        <w:rPr>
          <w:rFonts w:cs="Arial"/>
          <w:b/>
          <w:sz w:val="28"/>
          <w:szCs w:val="28"/>
        </w:rPr>
      </w:pPr>
    </w:p>
    <w:p w14:paraId="2FA2F4CD" w14:textId="7CA2F5ED" w:rsidR="004F7B7F" w:rsidRPr="00DB7156" w:rsidRDefault="004F7B7F" w:rsidP="004F7B7F">
      <w:pPr>
        <w:autoSpaceDE w:val="0"/>
        <w:autoSpaceDN w:val="0"/>
        <w:adjustRightInd w:val="0"/>
        <w:spacing w:after="0"/>
        <w:jc w:val="center"/>
        <w:rPr>
          <w:rFonts w:cs="Arial"/>
          <w:b/>
          <w:color w:val="000080"/>
          <w:sz w:val="44"/>
          <w:szCs w:val="44"/>
        </w:rPr>
      </w:pPr>
      <w:r w:rsidRPr="25EDA888">
        <w:rPr>
          <w:rFonts w:cs="Arial"/>
          <w:b/>
          <w:color w:val="000080"/>
          <w:sz w:val="44"/>
          <w:szCs w:val="44"/>
        </w:rPr>
        <w:t>Environmental Compliance Strategy</w:t>
      </w:r>
    </w:p>
    <w:p w14:paraId="1996350A" w14:textId="77777777" w:rsidR="004F7B7F" w:rsidRPr="00DB7156" w:rsidRDefault="004F7B7F" w:rsidP="004F7B7F">
      <w:pPr>
        <w:autoSpaceDE w:val="0"/>
        <w:autoSpaceDN w:val="0"/>
        <w:adjustRightInd w:val="0"/>
        <w:spacing w:after="0"/>
        <w:jc w:val="center"/>
        <w:rPr>
          <w:rFonts w:cs="Arial"/>
          <w:b/>
          <w:bCs/>
          <w:color w:val="000080"/>
          <w:sz w:val="44"/>
          <w:szCs w:val="28"/>
        </w:rPr>
      </w:pPr>
    </w:p>
    <w:p w14:paraId="327D8EEF" w14:textId="3D08E18F" w:rsidR="004F7B7F" w:rsidRPr="00DB7156" w:rsidRDefault="004F7B7F" w:rsidP="004F7B7F">
      <w:pPr>
        <w:autoSpaceDE w:val="0"/>
        <w:autoSpaceDN w:val="0"/>
        <w:adjustRightInd w:val="0"/>
        <w:spacing w:after="0"/>
        <w:jc w:val="center"/>
        <w:rPr>
          <w:rFonts w:cs="Arial"/>
          <w:b/>
          <w:color w:val="000080"/>
          <w:sz w:val="36"/>
          <w:szCs w:val="36"/>
        </w:rPr>
      </w:pPr>
      <w:r w:rsidRPr="16982F57">
        <w:rPr>
          <w:rFonts w:cs="Arial"/>
          <w:b/>
          <w:color w:val="000080"/>
          <w:sz w:val="36"/>
          <w:szCs w:val="36"/>
        </w:rPr>
        <w:t xml:space="preserve">Update for </w:t>
      </w:r>
      <w:r w:rsidR="00BB24BD" w:rsidRPr="16982F57">
        <w:rPr>
          <w:rFonts w:cs="Arial"/>
          <w:b/>
          <w:color w:val="000080"/>
          <w:sz w:val="36"/>
          <w:szCs w:val="36"/>
        </w:rPr>
        <w:t>2022</w:t>
      </w:r>
    </w:p>
    <w:p w14:paraId="15E1398C" w14:textId="77777777" w:rsidR="004F7B7F" w:rsidRPr="00DB7156" w:rsidRDefault="004F7B7F" w:rsidP="004F7B7F">
      <w:pPr>
        <w:spacing w:after="0"/>
        <w:jc w:val="center"/>
        <w:rPr>
          <w:rFonts w:cs="Arial"/>
          <w:szCs w:val="24"/>
        </w:rPr>
      </w:pPr>
    </w:p>
    <w:p w14:paraId="7C6977B6" w14:textId="77777777" w:rsidR="004F7B7F" w:rsidRPr="00DB7156" w:rsidRDefault="004F7B7F" w:rsidP="004F7B7F">
      <w:pPr>
        <w:spacing w:after="0"/>
        <w:jc w:val="center"/>
        <w:rPr>
          <w:rFonts w:cs="Arial"/>
          <w:sz w:val="28"/>
          <w:szCs w:val="28"/>
        </w:rPr>
      </w:pPr>
    </w:p>
    <w:p w14:paraId="752288BC" w14:textId="77777777" w:rsidR="004F7B7F" w:rsidRPr="00DB7156" w:rsidRDefault="004F7B7F" w:rsidP="004F7B7F">
      <w:pPr>
        <w:spacing w:after="0"/>
        <w:jc w:val="center"/>
        <w:rPr>
          <w:rFonts w:cs="Arial"/>
          <w:sz w:val="36"/>
          <w:szCs w:val="40"/>
        </w:rPr>
      </w:pPr>
      <w:r w:rsidRPr="00DB7156">
        <w:rPr>
          <w:rFonts w:cs="Arial"/>
          <w:sz w:val="36"/>
          <w:szCs w:val="40"/>
        </w:rPr>
        <w:t>Georgia Power Company</w:t>
      </w:r>
    </w:p>
    <w:p w14:paraId="48E48BCF" w14:textId="77777777" w:rsidR="004F7B7F" w:rsidRPr="00DB7156" w:rsidRDefault="004F7B7F" w:rsidP="004F7B7F">
      <w:pPr>
        <w:spacing w:after="0"/>
        <w:rPr>
          <w:rFonts w:cs="Arial"/>
          <w:b/>
          <w:bCs/>
          <w:szCs w:val="24"/>
        </w:rPr>
      </w:pPr>
    </w:p>
    <w:p w14:paraId="02D45341" w14:textId="77777777" w:rsidR="004F7B7F" w:rsidRPr="00DB7156" w:rsidRDefault="004F7B7F" w:rsidP="004F7B7F">
      <w:pPr>
        <w:spacing w:after="0"/>
        <w:rPr>
          <w:rFonts w:cs="Arial"/>
          <w:b/>
          <w:bCs/>
          <w:szCs w:val="24"/>
        </w:rPr>
      </w:pPr>
    </w:p>
    <w:p w14:paraId="268A89EE" w14:textId="77777777" w:rsidR="004F7B7F" w:rsidRPr="00DB7156" w:rsidRDefault="004F7B7F" w:rsidP="004F7B7F">
      <w:pPr>
        <w:pBdr>
          <w:bottom w:val="single" w:sz="18" w:space="1" w:color="CC0000"/>
        </w:pBdr>
        <w:tabs>
          <w:tab w:val="left" w:pos="900"/>
        </w:tabs>
        <w:spacing w:after="0"/>
        <w:ind w:left="540" w:right="540"/>
        <w:rPr>
          <w:rFonts w:cs="Arial"/>
          <w:b/>
          <w:bCs/>
          <w:kern w:val="28"/>
          <w:szCs w:val="32"/>
        </w:rPr>
      </w:pPr>
    </w:p>
    <w:p w14:paraId="2BDA3479" w14:textId="77777777" w:rsidR="004F7B7F" w:rsidRPr="00DB7156" w:rsidRDefault="004F7B7F" w:rsidP="004F7B7F">
      <w:pPr>
        <w:tabs>
          <w:tab w:val="left" w:pos="360"/>
          <w:tab w:val="left" w:pos="900"/>
        </w:tabs>
        <w:spacing w:after="0"/>
        <w:rPr>
          <w:rFonts w:cs="Arial"/>
          <w:b/>
          <w:bCs/>
          <w:kern w:val="28"/>
          <w:szCs w:val="32"/>
        </w:rPr>
      </w:pPr>
    </w:p>
    <w:p w14:paraId="0B082EF9" w14:textId="77777777" w:rsidR="004F7B7F" w:rsidRPr="00DB7156" w:rsidRDefault="004F7B7F" w:rsidP="004F7B7F">
      <w:pPr>
        <w:tabs>
          <w:tab w:val="left" w:pos="2520"/>
          <w:tab w:val="left" w:pos="8190"/>
        </w:tabs>
        <w:spacing w:after="0"/>
        <w:ind w:right="-72"/>
        <w:rPr>
          <w:rFonts w:cs="Arial"/>
          <w:szCs w:val="24"/>
        </w:rPr>
      </w:pPr>
    </w:p>
    <w:p w14:paraId="53FECF5D" w14:textId="77777777" w:rsidR="004F7B7F" w:rsidRPr="00DB7156" w:rsidRDefault="004F7B7F" w:rsidP="004F7B7F">
      <w:pPr>
        <w:tabs>
          <w:tab w:val="left" w:pos="2520"/>
          <w:tab w:val="left" w:pos="8190"/>
        </w:tabs>
        <w:spacing w:after="0"/>
        <w:ind w:right="-72"/>
        <w:rPr>
          <w:rFonts w:cs="Arial"/>
          <w:szCs w:val="24"/>
        </w:rPr>
      </w:pPr>
    </w:p>
    <w:p w14:paraId="7165F282" w14:textId="77777777" w:rsidR="004F7B7F" w:rsidRPr="00DB7156" w:rsidRDefault="004F7B7F" w:rsidP="004F7B7F">
      <w:pPr>
        <w:tabs>
          <w:tab w:val="left" w:pos="2520"/>
          <w:tab w:val="left" w:pos="8190"/>
        </w:tabs>
        <w:spacing w:after="0"/>
        <w:ind w:right="-72"/>
        <w:rPr>
          <w:rFonts w:cs="Arial"/>
          <w:szCs w:val="24"/>
        </w:rPr>
      </w:pPr>
    </w:p>
    <w:p w14:paraId="10B3A446" w14:textId="3B54549D" w:rsidR="004F7B7F" w:rsidRPr="00F762C7" w:rsidDel="00BB24BD" w:rsidRDefault="00B065B3" w:rsidP="0083001D">
      <w:pPr>
        <w:spacing w:after="0"/>
        <w:jc w:val="center"/>
        <w:rPr>
          <w:rFonts w:cs="Arial"/>
          <w:i/>
          <w:sz w:val="32"/>
          <w:szCs w:val="32"/>
        </w:rPr>
        <w:sectPr w:rsidR="004F7B7F" w:rsidRPr="00F762C7" w:rsidDel="00BB24BD" w:rsidSect="004F7B7F">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pgNumType w:fmt="lowerRoman" w:start="1"/>
          <w:cols w:space="720"/>
        </w:sectPr>
      </w:pPr>
      <w:r w:rsidRPr="00F762C7">
        <w:rPr>
          <w:rFonts w:cs="Arial"/>
          <w:i/>
          <w:iCs/>
          <w:sz w:val="32"/>
          <w:szCs w:val="32"/>
        </w:rPr>
        <w:t xml:space="preserve">April 2022 </w:t>
      </w:r>
      <w:r w:rsidR="006277C5">
        <w:rPr>
          <w:rFonts w:cs="Arial"/>
          <w:i/>
          <w:iCs/>
          <w:sz w:val="32"/>
          <w:szCs w:val="32"/>
        </w:rPr>
        <w:t>Revision</w:t>
      </w:r>
    </w:p>
    <w:p w14:paraId="56B1C6DA" w14:textId="77777777" w:rsidR="004F7B7F" w:rsidRPr="00DB7156" w:rsidRDefault="004F7B7F" w:rsidP="004F7B7F">
      <w:pPr>
        <w:spacing w:after="0"/>
        <w:rPr>
          <w:rFonts w:cs="Arial"/>
          <w:b/>
          <w:color w:val="000080"/>
          <w:szCs w:val="24"/>
        </w:rPr>
      </w:pPr>
      <w:bookmarkStart w:id="1" w:name="_Hlk528175979"/>
      <w:bookmarkEnd w:id="0"/>
    </w:p>
    <w:p w14:paraId="7D268696" w14:textId="2792CF9D" w:rsidR="004F7B7F" w:rsidRPr="00DB7156" w:rsidRDefault="004F7B7F" w:rsidP="008025DB">
      <w:pPr>
        <w:rPr>
          <w:rFonts w:cs="Arial"/>
          <w:b/>
          <w:color w:val="000080"/>
          <w:szCs w:val="24"/>
        </w:rPr>
      </w:pPr>
      <w:r w:rsidRPr="00DB7156">
        <w:rPr>
          <w:rFonts w:cs="Arial"/>
          <w:b/>
          <w:color w:val="000080"/>
          <w:szCs w:val="24"/>
        </w:rPr>
        <w:t>FORWARD-LOOKING STATEMENT CAUTIONARY NOTE</w:t>
      </w:r>
    </w:p>
    <w:bookmarkEnd w:id="1"/>
    <w:p w14:paraId="5FED9ABB" w14:textId="77777777" w:rsidR="00B4052B" w:rsidRPr="00676E5E" w:rsidRDefault="00B4052B" w:rsidP="00B4052B">
      <w:pPr>
        <w:spacing w:after="0"/>
        <w:rPr>
          <w:rFonts w:cs="Arial"/>
          <w:szCs w:val="24"/>
        </w:rPr>
      </w:pPr>
      <w:r w:rsidRPr="00676E5E">
        <w:rPr>
          <w:rFonts w:cs="Arial"/>
          <w:szCs w:val="24"/>
        </w:rPr>
        <w:t xml:space="preserve">Certain information contained in this report is forward-looking information based on current expectations and plans that involve risks and uncertainties. Forward-looking information includes, among </w:t>
      </w:r>
      <w:r w:rsidRPr="002A3430">
        <w:rPr>
          <w:rFonts w:cs="Arial"/>
          <w:szCs w:val="24"/>
        </w:rPr>
        <w:t xml:space="preserve">other things, statements concerning </w:t>
      </w:r>
      <w:r w:rsidRPr="00AE2594">
        <w:rPr>
          <w:rFonts w:cs="Arial"/>
          <w:szCs w:val="24"/>
        </w:rPr>
        <w:t>environmental regulations and related compliance plans and estimated expenditures</w:t>
      </w:r>
      <w:r w:rsidRPr="00676E5E">
        <w:rPr>
          <w:rFonts w:cs="Arial"/>
          <w:szCs w:val="24"/>
        </w:rPr>
        <w:t xml:space="preserve">. Georgia Power cautions that there are certain factors that can cause actual results to differ materially from the forward-looking information that has been provided. </w:t>
      </w:r>
      <w:r w:rsidRPr="00676E5E">
        <w:rPr>
          <w:rFonts w:cs="Arial"/>
          <w:iCs/>
          <w:szCs w:val="24"/>
        </w:rPr>
        <w:t xml:space="preserve">The reader is cautioned not to put undue reliance on this forward-looking information, which is not a guarantee of future performance and is subject to a number of uncertainties and other factors, many of which are outside the control of Georgia Power; accordingly, there can be no assurance that such suggested results will be realized. The following factors, in addition to those </w:t>
      </w:r>
      <w:r w:rsidRPr="004116F8">
        <w:rPr>
          <w:rFonts w:cs="Arial"/>
          <w:iCs/>
          <w:szCs w:val="24"/>
        </w:rPr>
        <w:t>discussed in Georgia Power’s Annual Report on Form 10-</w:t>
      </w:r>
      <w:r w:rsidRPr="00FB61DD">
        <w:rPr>
          <w:rFonts w:cs="Arial"/>
          <w:iCs/>
          <w:szCs w:val="24"/>
        </w:rPr>
        <w:t>K for the fiscal year ended December 31, 2020 and subsequent securities filings, could cause actual results to differ materially from management expectations as suggested by such forward-looking information:</w:t>
      </w:r>
      <w:r w:rsidRPr="00FB61DD">
        <w:rPr>
          <w:rFonts w:cs="Arial"/>
          <w:b/>
          <w:bCs/>
          <w:szCs w:val="24"/>
        </w:rPr>
        <w:t xml:space="preserve"> </w:t>
      </w:r>
      <w:r w:rsidRPr="00FB61DD">
        <w:rPr>
          <w:rFonts w:cs="Arial"/>
          <w:szCs w:val="24"/>
        </w:rPr>
        <w:t xml:space="preserve">the impact of recent and future federal and state regulatory changes, including tax, environmental, and other laws and regulations to which Georgia Power is subject, as well as changes in application of existing laws and regulations; </w:t>
      </w:r>
      <w:r w:rsidRPr="00AE50A9">
        <w:rPr>
          <w:rFonts w:cs="Arial"/>
          <w:szCs w:val="24"/>
        </w:rPr>
        <w:t>the</w:t>
      </w:r>
      <w:r w:rsidRPr="00FB61DD">
        <w:rPr>
          <w:rFonts w:cs="Arial"/>
          <w:szCs w:val="24"/>
        </w:rPr>
        <w:t xml:space="preserve"> extent and timing of costs and legal requirements related to coal combustion residuals;</w:t>
      </w:r>
      <w:r w:rsidRPr="00FB61DD">
        <w:t xml:space="preserve"> </w:t>
      </w:r>
      <w:r w:rsidRPr="00FB61DD">
        <w:rPr>
          <w:rFonts w:cs="Arial"/>
          <w:szCs w:val="24"/>
        </w:rPr>
        <w:t xml:space="preserve">current and future litigation or regulatory investigations, proceedings, or inquiries; the ability to control costs and avoid cost and schedule overruns during the development, construction and operation of facilities or other projects; </w:t>
      </w:r>
      <w:r>
        <w:rPr>
          <w:rFonts w:cs="Arial"/>
          <w:szCs w:val="24"/>
        </w:rPr>
        <w:t xml:space="preserve">the ability to construct facilities in accordance with the requirements of permits and licenses and to satisfy any environmental performance standards and the requirements of tax credits and other incentives; </w:t>
      </w:r>
      <w:r w:rsidRPr="00FB61DD">
        <w:rPr>
          <w:rFonts w:cs="Arial"/>
          <w:szCs w:val="24"/>
        </w:rPr>
        <w:t>advances in technology; state and federal rate regulations and the impact of pending and future rate cases and negotiations, including rate actions relating to cost recovery mechanisms; catastrophic events such as fires, earthquakes, explosions, floods, tornadoes, hurricanes and other storms, droughts, pandemic health events,</w:t>
      </w:r>
      <w:r>
        <w:rPr>
          <w:rFonts w:cs="Arial"/>
          <w:szCs w:val="24"/>
        </w:rPr>
        <w:t xml:space="preserve"> political unrest,</w:t>
      </w:r>
      <w:r w:rsidRPr="00FB61DD">
        <w:rPr>
          <w:rFonts w:cs="Arial"/>
          <w:szCs w:val="24"/>
        </w:rPr>
        <w:t xml:space="preserve"> or other similar occurrences; and the effect of accounting procurements issued periodically by standard-setting bodies.  </w:t>
      </w:r>
      <w:r w:rsidRPr="00FB61DD">
        <w:rPr>
          <w:rFonts w:cs="Arial"/>
          <w:iCs/>
          <w:szCs w:val="24"/>
        </w:rPr>
        <w:t>Georgia</w:t>
      </w:r>
      <w:r w:rsidRPr="004116F8">
        <w:rPr>
          <w:rFonts w:cs="Arial"/>
          <w:iCs/>
          <w:szCs w:val="24"/>
        </w:rPr>
        <w:t xml:space="preserve"> Power expressly disclaims any obligation to update any forward-looking information.</w:t>
      </w:r>
    </w:p>
    <w:p w14:paraId="6B082791" w14:textId="77777777" w:rsidR="004F7B7F" w:rsidRPr="00DB7156" w:rsidRDefault="004F7B7F" w:rsidP="004F7B7F">
      <w:pPr>
        <w:spacing w:after="0"/>
        <w:rPr>
          <w:rFonts w:cs="Arial"/>
          <w:b/>
          <w:color w:val="000080"/>
          <w:szCs w:val="24"/>
        </w:rPr>
      </w:pPr>
      <w:r w:rsidRPr="00DB7156">
        <w:rPr>
          <w:rFonts w:cs="Arial"/>
          <w:iCs/>
          <w:color w:val="000000"/>
          <w:szCs w:val="24"/>
        </w:rPr>
        <w:br w:type="page"/>
      </w:r>
      <w:r w:rsidRPr="00DB7156">
        <w:rPr>
          <w:rFonts w:cs="Arial"/>
          <w:b/>
          <w:color w:val="000080"/>
          <w:szCs w:val="24"/>
        </w:rPr>
        <w:lastRenderedPageBreak/>
        <w:t>ENVIRONMENTAL COMPLIANCE STRATEGY</w:t>
      </w:r>
    </w:p>
    <w:p w14:paraId="32E2D53F" w14:textId="77777777" w:rsidR="004F7B7F" w:rsidRPr="00DB7156" w:rsidRDefault="004F7B7F" w:rsidP="004F7B7F">
      <w:pPr>
        <w:spacing w:after="0"/>
        <w:ind w:right="-270"/>
        <w:rPr>
          <w:rFonts w:cs="Arial"/>
          <w:b/>
          <w:color w:val="000080"/>
          <w:szCs w:val="24"/>
        </w:rPr>
      </w:pPr>
      <w:r w:rsidRPr="00DB7156">
        <w:rPr>
          <w:rFonts w:cs="Arial"/>
          <w:b/>
          <w:color w:val="000080"/>
          <w:szCs w:val="24"/>
        </w:rPr>
        <w:t>TABLE OF CONTENTS</w:t>
      </w:r>
    </w:p>
    <w:p w14:paraId="431B9732" w14:textId="77777777" w:rsidR="004F7B7F" w:rsidRPr="00DB7156" w:rsidRDefault="004F7B7F" w:rsidP="006F1038">
      <w:pPr>
        <w:spacing w:after="0"/>
        <w:ind w:right="-270"/>
        <w:rPr>
          <w:rFonts w:cs="Arial"/>
          <w:color w:val="000080"/>
          <w:sz w:val="16"/>
          <w:szCs w:val="16"/>
        </w:rPr>
      </w:pPr>
    </w:p>
    <w:p w14:paraId="0131D1B8" w14:textId="0B2BE66D" w:rsidR="003C37DE" w:rsidRPr="003C37DE" w:rsidRDefault="004F7B7F">
      <w:pPr>
        <w:pStyle w:val="TOC1"/>
        <w:rPr>
          <w:rFonts w:eastAsiaTheme="minorEastAsia" w:cs="Arial"/>
          <w:noProof/>
          <w:sz w:val="22"/>
        </w:rPr>
      </w:pPr>
      <w:r w:rsidRPr="008A55D6">
        <w:rPr>
          <w:rFonts w:cs="Arial"/>
          <w:i/>
        </w:rPr>
        <w:fldChar w:fldCharType="begin"/>
      </w:r>
      <w:r w:rsidRPr="008A55D6">
        <w:rPr>
          <w:rFonts w:cs="Arial"/>
          <w:color w:val="000080"/>
          <w:szCs w:val="24"/>
        </w:rPr>
        <w:instrText xml:space="preserve"> TOC \o "1-3" \h \z \u </w:instrText>
      </w:r>
      <w:r w:rsidRPr="008A55D6">
        <w:rPr>
          <w:rFonts w:cs="Arial"/>
          <w:i/>
        </w:rPr>
        <w:fldChar w:fldCharType="separate"/>
      </w:r>
      <w:hyperlink w:anchor="_Toc94197857" w:history="1">
        <w:r w:rsidR="003C37DE" w:rsidRPr="003C37DE">
          <w:rPr>
            <w:rStyle w:val="Hyperlink"/>
            <w:rFonts w:ascii="Arial" w:hAnsi="Arial" w:cs="Arial"/>
            <w:noProof/>
          </w:rPr>
          <w:t>1.0 Environmental Compliance Strategy Executive Summary</w:t>
        </w:r>
        <w:r w:rsidR="003C37DE" w:rsidRPr="003C37DE">
          <w:rPr>
            <w:rFonts w:cs="Arial"/>
            <w:noProof/>
            <w:webHidden/>
          </w:rPr>
          <w:tab/>
        </w:r>
        <w:r w:rsidR="003C37DE" w:rsidRPr="003C37DE">
          <w:rPr>
            <w:rFonts w:cs="Arial"/>
            <w:noProof/>
            <w:webHidden/>
          </w:rPr>
          <w:fldChar w:fldCharType="begin"/>
        </w:r>
        <w:r w:rsidR="003C37DE" w:rsidRPr="003C37DE">
          <w:rPr>
            <w:rFonts w:cs="Arial"/>
            <w:noProof/>
            <w:webHidden/>
          </w:rPr>
          <w:instrText xml:space="preserve"> PAGEREF _Toc94197857 \h </w:instrText>
        </w:r>
        <w:r w:rsidR="003C37DE" w:rsidRPr="003C37DE">
          <w:rPr>
            <w:rFonts w:cs="Arial"/>
            <w:noProof/>
            <w:webHidden/>
          </w:rPr>
        </w:r>
        <w:r w:rsidR="003C37DE" w:rsidRPr="003C37DE">
          <w:rPr>
            <w:rFonts w:cs="Arial"/>
            <w:noProof/>
            <w:webHidden/>
          </w:rPr>
          <w:fldChar w:fldCharType="separate"/>
        </w:r>
        <w:r w:rsidR="00E00F8B">
          <w:rPr>
            <w:rFonts w:cs="Arial"/>
            <w:noProof/>
            <w:webHidden/>
          </w:rPr>
          <w:t>1</w:t>
        </w:r>
        <w:r w:rsidR="003C37DE" w:rsidRPr="003C37DE">
          <w:rPr>
            <w:rFonts w:cs="Arial"/>
            <w:noProof/>
            <w:webHidden/>
          </w:rPr>
          <w:fldChar w:fldCharType="end"/>
        </w:r>
      </w:hyperlink>
    </w:p>
    <w:p w14:paraId="6F47435A" w14:textId="6E664212" w:rsidR="003C37DE" w:rsidRPr="003C37DE" w:rsidRDefault="006E47BF">
      <w:pPr>
        <w:pStyle w:val="TOC2"/>
        <w:rPr>
          <w:rFonts w:eastAsiaTheme="minorEastAsia"/>
          <w:i w:val="0"/>
          <w:iCs w:val="0"/>
          <w:sz w:val="22"/>
          <w:szCs w:val="22"/>
        </w:rPr>
      </w:pPr>
      <w:hyperlink w:anchor="_Toc94197858" w:history="1">
        <w:r w:rsidR="003C37DE" w:rsidRPr="003C37DE">
          <w:rPr>
            <w:rStyle w:val="Hyperlink"/>
            <w:rFonts w:ascii="Arial" w:hAnsi="Arial" w:cs="Arial"/>
          </w:rPr>
          <w:t>1.1 Introduction</w:t>
        </w:r>
        <w:r w:rsidR="003C37DE" w:rsidRPr="003C37DE">
          <w:rPr>
            <w:webHidden/>
          </w:rPr>
          <w:tab/>
        </w:r>
        <w:r w:rsidR="003C37DE" w:rsidRPr="003C37DE">
          <w:rPr>
            <w:webHidden/>
          </w:rPr>
          <w:fldChar w:fldCharType="begin"/>
        </w:r>
        <w:r w:rsidR="003C37DE" w:rsidRPr="003C37DE">
          <w:rPr>
            <w:webHidden/>
          </w:rPr>
          <w:instrText xml:space="preserve"> PAGEREF _Toc94197858 \h </w:instrText>
        </w:r>
        <w:r w:rsidR="003C37DE" w:rsidRPr="003C37DE">
          <w:rPr>
            <w:webHidden/>
          </w:rPr>
        </w:r>
        <w:r w:rsidR="003C37DE" w:rsidRPr="003C37DE">
          <w:rPr>
            <w:webHidden/>
          </w:rPr>
          <w:fldChar w:fldCharType="separate"/>
        </w:r>
        <w:r w:rsidR="00E00F8B">
          <w:rPr>
            <w:webHidden/>
          </w:rPr>
          <w:t>1</w:t>
        </w:r>
        <w:r w:rsidR="003C37DE" w:rsidRPr="003C37DE">
          <w:rPr>
            <w:webHidden/>
          </w:rPr>
          <w:fldChar w:fldCharType="end"/>
        </w:r>
      </w:hyperlink>
    </w:p>
    <w:p w14:paraId="1BEFC6CA" w14:textId="25956828" w:rsidR="003C37DE" w:rsidRPr="003C37DE" w:rsidRDefault="006E47BF">
      <w:pPr>
        <w:pStyle w:val="TOC2"/>
        <w:rPr>
          <w:rFonts w:eastAsiaTheme="minorEastAsia"/>
          <w:i w:val="0"/>
          <w:iCs w:val="0"/>
          <w:sz w:val="22"/>
          <w:szCs w:val="22"/>
        </w:rPr>
      </w:pPr>
      <w:hyperlink w:anchor="_Toc94197859" w:history="1">
        <w:r w:rsidR="003C37DE" w:rsidRPr="003C37DE">
          <w:rPr>
            <w:rStyle w:val="Hyperlink"/>
            <w:rFonts w:ascii="Arial" w:hAnsi="Arial" w:cs="Arial"/>
          </w:rPr>
          <w:t>1.2 Summary of the 2022 ECS</w:t>
        </w:r>
        <w:r w:rsidR="003C37DE" w:rsidRPr="003C37DE">
          <w:rPr>
            <w:webHidden/>
          </w:rPr>
          <w:tab/>
        </w:r>
        <w:r w:rsidR="003C37DE" w:rsidRPr="003C37DE">
          <w:rPr>
            <w:webHidden/>
          </w:rPr>
          <w:fldChar w:fldCharType="begin"/>
        </w:r>
        <w:r w:rsidR="003C37DE" w:rsidRPr="003C37DE">
          <w:rPr>
            <w:webHidden/>
          </w:rPr>
          <w:instrText xml:space="preserve"> PAGEREF _Toc94197859 \h </w:instrText>
        </w:r>
        <w:r w:rsidR="003C37DE" w:rsidRPr="003C37DE">
          <w:rPr>
            <w:webHidden/>
          </w:rPr>
        </w:r>
        <w:r w:rsidR="003C37DE" w:rsidRPr="003C37DE">
          <w:rPr>
            <w:webHidden/>
          </w:rPr>
          <w:fldChar w:fldCharType="separate"/>
        </w:r>
        <w:r w:rsidR="00E00F8B">
          <w:rPr>
            <w:webHidden/>
          </w:rPr>
          <w:t>2</w:t>
        </w:r>
        <w:r w:rsidR="003C37DE" w:rsidRPr="003C37DE">
          <w:rPr>
            <w:webHidden/>
          </w:rPr>
          <w:fldChar w:fldCharType="end"/>
        </w:r>
      </w:hyperlink>
    </w:p>
    <w:p w14:paraId="58A9F265" w14:textId="2028033D" w:rsidR="003C37DE" w:rsidRPr="003C37DE" w:rsidRDefault="006E47BF">
      <w:pPr>
        <w:pStyle w:val="TOC2"/>
        <w:rPr>
          <w:rFonts w:eastAsiaTheme="minorEastAsia"/>
          <w:i w:val="0"/>
          <w:iCs w:val="0"/>
          <w:sz w:val="22"/>
          <w:szCs w:val="22"/>
        </w:rPr>
      </w:pPr>
      <w:hyperlink w:anchor="_Toc94197860" w:history="1">
        <w:r w:rsidR="003C37DE" w:rsidRPr="003C37DE">
          <w:rPr>
            <w:rStyle w:val="Hyperlink"/>
            <w:rFonts w:ascii="Arial" w:hAnsi="Arial" w:cs="Arial"/>
          </w:rPr>
          <w:t>1.3 Highlights of the 2022 ECS</w:t>
        </w:r>
        <w:r w:rsidR="003C37DE" w:rsidRPr="003C37DE">
          <w:rPr>
            <w:webHidden/>
          </w:rPr>
          <w:tab/>
        </w:r>
        <w:r w:rsidR="003C37DE" w:rsidRPr="003C37DE">
          <w:rPr>
            <w:webHidden/>
          </w:rPr>
          <w:fldChar w:fldCharType="begin"/>
        </w:r>
        <w:r w:rsidR="003C37DE" w:rsidRPr="003C37DE">
          <w:rPr>
            <w:webHidden/>
          </w:rPr>
          <w:instrText xml:space="preserve"> PAGEREF _Toc94197860 \h </w:instrText>
        </w:r>
        <w:r w:rsidR="003C37DE" w:rsidRPr="003C37DE">
          <w:rPr>
            <w:webHidden/>
          </w:rPr>
        </w:r>
        <w:r w:rsidR="003C37DE" w:rsidRPr="003C37DE">
          <w:rPr>
            <w:webHidden/>
          </w:rPr>
          <w:fldChar w:fldCharType="separate"/>
        </w:r>
        <w:r w:rsidR="00E00F8B">
          <w:rPr>
            <w:webHidden/>
          </w:rPr>
          <w:t>4</w:t>
        </w:r>
        <w:r w:rsidR="003C37DE" w:rsidRPr="003C37DE">
          <w:rPr>
            <w:webHidden/>
          </w:rPr>
          <w:fldChar w:fldCharType="end"/>
        </w:r>
      </w:hyperlink>
    </w:p>
    <w:p w14:paraId="0AC503AE" w14:textId="507788BB" w:rsidR="003C37DE" w:rsidRPr="003C37DE" w:rsidRDefault="006E47BF">
      <w:pPr>
        <w:pStyle w:val="TOC2"/>
        <w:rPr>
          <w:rFonts w:eastAsiaTheme="minorEastAsia"/>
          <w:i w:val="0"/>
          <w:iCs w:val="0"/>
          <w:sz w:val="22"/>
          <w:szCs w:val="22"/>
        </w:rPr>
      </w:pPr>
      <w:hyperlink w:anchor="_Toc94197861" w:history="1">
        <w:r w:rsidR="003C37DE" w:rsidRPr="003C37DE">
          <w:rPr>
            <w:rStyle w:val="Hyperlink"/>
            <w:rFonts w:ascii="Arial" w:hAnsi="Arial" w:cs="Arial"/>
          </w:rPr>
          <w:t>1.4 Conclusion</w:t>
        </w:r>
        <w:r w:rsidR="003C37DE" w:rsidRPr="003C37DE">
          <w:rPr>
            <w:webHidden/>
          </w:rPr>
          <w:tab/>
        </w:r>
        <w:r w:rsidR="003C37DE" w:rsidRPr="003C37DE">
          <w:rPr>
            <w:webHidden/>
          </w:rPr>
          <w:fldChar w:fldCharType="begin"/>
        </w:r>
        <w:r w:rsidR="003C37DE" w:rsidRPr="003C37DE">
          <w:rPr>
            <w:webHidden/>
          </w:rPr>
          <w:instrText xml:space="preserve"> PAGEREF _Toc94197861 \h </w:instrText>
        </w:r>
        <w:r w:rsidR="003C37DE" w:rsidRPr="003C37DE">
          <w:rPr>
            <w:webHidden/>
          </w:rPr>
        </w:r>
        <w:r w:rsidR="003C37DE" w:rsidRPr="003C37DE">
          <w:rPr>
            <w:webHidden/>
          </w:rPr>
          <w:fldChar w:fldCharType="separate"/>
        </w:r>
        <w:r w:rsidR="00E00F8B">
          <w:rPr>
            <w:webHidden/>
          </w:rPr>
          <w:t>10</w:t>
        </w:r>
        <w:r w:rsidR="003C37DE" w:rsidRPr="003C37DE">
          <w:rPr>
            <w:webHidden/>
          </w:rPr>
          <w:fldChar w:fldCharType="end"/>
        </w:r>
      </w:hyperlink>
    </w:p>
    <w:p w14:paraId="432AEEC5" w14:textId="083D3A96" w:rsidR="003C37DE" w:rsidRPr="003C37DE" w:rsidRDefault="006E47BF">
      <w:pPr>
        <w:pStyle w:val="TOC1"/>
        <w:rPr>
          <w:rFonts w:eastAsiaTheme="minorEastAsia" w:cs="Arial"/>
          <w:noProof/>
          <w:sz w:val="22"/>
        </w:rPr>
      </w:pPr>
      <w:hyperlink w:anchor="_Toc94197862" w:history="1">
        <w:r w:rsidR="003C37DE" w:rsidRPr="003C37DE">
          <w:rPr>
            <w:rStyle w:val="Hyperlink"/>
            <w:rFonts w:ascii="Arial" w:hAnsi="Arial" w:cs="Arial"/>
            <w:noProof/>
          </w:rPr>
          <w:t>2.0 Environmental Strategy</w:t>
        </w:r>
        <w:r w:rsidR="003C37DE" w:rsidRPr="003C37DE">
          <w:rPr>
            <w:rFonts w:cs="Arial"/>
            <w:noProof/>
            <w:webHidden/>
          </w:rPr>
          <w:tab/>
        </w:r>
        <w:r w:rsidR="003C37DE" w:rsidRPr="003C37DE">
          <w:rPr>
            <w:rFonts w:cs="Arial"/>
            <w:noProof/>
            <w:webHidden/>
          </w:rPr>
          <w:fldChar w:fldCharType="begin"/>
        </w:r>
        <w:r w:rsidR="003C37DE" w:rsidRPr="003C37DE">
          <w:rPr>
            <w:rFonts w:cs="Arial"/>
            <w:noProof/>
            <w:webHidden/>
          </w:rPr>
          <w:instrText xml:space="preserve"> PAGEREF _Toc94197862 \h </w:instrText>
        </w:r>
        <w:r w:rsidR="003C37DE" w:rsidRPr="003C37DE">
          <w:rPr>
            <w:rFonts w:cs="Arial"/>
            <w:noProof/>
            <w:webHidden/>
          </w:rPr>
        </w:r>
        <w:r w:rsidR="003C37DE" w:rsidRPr="003C37DE">
          <w:rPr>
            <w:rFonts w:cs="Arial"/>
            <w:noProof/>
            <w:webHidden/>
          </w:rPr>
          <w:fldChar w:fldCharType="separate"/>
        </w:r>
        <w:r w:rsidR="00E00F8B">
          <w:rPr>
            <w:rFonts w:cs="Arial"/>
            <w:noProof/>
            <w:webHidden/>
          </w:rPr>
          <w:t>11</w:t>
        </w:r>
        <w:r w:rsidR="003C37DE" w:rsidRPr="003C37DE">
          <w:rPr>
            <w:rFonts w:cs="Arial"/>
            <w:noProof/>
            <w:webHidden/>
          </w:rPr>
          <w:fldChar w:fldCharType="end"/>
        </w:r>
      </w:hyperlink>
    </w:p>
    <w:p w14:paraId="6116DD1F" w14:textId="6262ADB0" w:rsidR="003C37DE" w:rsidRPr="003C37DE" w:rsidRDefault="006E47BF">
      <w:pPr>
        <w:pStyle w:val="TOC2"/>
        <w:rPr>
          <w:rFonts w:eastAsiaTheme="minorEastAsia"/>
          <w:i w:val="0"/>
          <w:iCs w:val="0"/>
          <w:sz w:val="22"/>
          <w:szCs w:val="22"/>
        </w:rPr>
      </w:pPr>
      <w:hyperlink w:anchor="_Toc94197863" w:history="1">
        <w:r w:rsidR="003C37DE" w:rsidRPr="003C37DE">
          <w:rPr>
            <w:rStyle w:val="Hyperlink"/>
            <w:rFonts w:ascii="Arial" w:hAnsi="Arial" w:cs="Arial"/>
          </w:rPr>
          <w:t>2.1 Strategy Process</w:t>
        </w:r>
        <w:r w:rsidR="003C37DE" w:rsidRPr="003C37DE">
          <w:rPr>
            <w:webHidden/>
          </w:rPr>
          <w:tab/>
        </w:r>
        <w:r w:rsidR="003C37DE" w:rsidRPr="003C37DE">
          <w:rPr>
            <w:webHidden/>
          </w:rPr>
          <w:fldChar w:fldCharType="begin"/>
        </w:r>
        <w:r w:rsidR="003C37DE" w:rsidRPr="003C37DE">
          <w:rPr>
            <w:webHidden/>
          </w:rPr>
          <w:instrText xml:space="preserve"> PAGEREF _Toc94197863 \h </w:instrText>
        </w:r>
        <w:r w:rsidR="003C37DE" w:rsidRPr="003C37DE">
          <w:rPr>
            <w:webHidden/>
          </w:rPr>
        </w:r>
        <w:r w:rsidR="003C37DE" w:rsidRPr="003C37DE">
          <w:rPr>
            <w:webHidden/>
          </w:rPr>
          <w:fldChar w:fldCharType="separate"/>
        </w:r>
        <w:r w:rsidR="00E00F8B">
          <w:rPr>
            <w:webHidden/>
          </w:rPr>
          <w:t>11</w:t>
        </w:r>
        <w:r w:rsidR="003C37DE" w:rsidRPr="003C37DE">
          <w:rPr>
            <w:webHidden/>
          </w:rPr>
          <w:fldChar w:fldCharType="end"/>
        </w:r>
      </w:hyperlink>
    </w:p>
    <w:p w14:paraId="452DDB22" w14:textId="177D24A3" w:rsidR="003C37DE" w:rsidRPr="003C37DE" w:rsidRDefault="006E47BF">
      <w:pPr>
        <w:pStyle w:val="TOC2"/>
        <w:rPr>
          <w:rFonts w:eastAsiaTheme="minorEastAsia"/>
          <w:i w:val="0"/>
          <w:iCs w:val="0"/>
          <w:sz w:val="22"/>
          <w:szCs w:val="22"/>
        </w:rPr>
      </w:pPr>
      <w:hyperlink w:anchor="_Toc94197864" w:history="1">
        <w:r w:rsidR="003C37DE" w:rsidRPr="003C37DE">
          <w:rPr>
            <w:rStyle w:val="Hyperlink"/>
            <w:rFonts w:ascii="Arial" w:hAnsi="Arial" w:cs="Arial"/>
          </w:rPr>
          <w:t>2.2 Strategy Assumptions</w:t>
        </w:r>
        <w:r w:rsidR="003C37DE" w:rsidRPr="003C37DE">
          <w:rPr>
            <w:webHidden/>
          </w:rPr>
          <w:tab/>
        </w:r>
        <w:r w:rsidR="003C37DE" w:rsidRPr="003C37DE">
          <w:rPr>
            <w:webHidden/>
          </w:rPr>
          <w:fldChar w:fldCharType="begin"/>
        </w:r>
        <w:r w:rsidR="003C37DE" w:rsidRPr="003C37DE">
          <w:rPr>
            <w:webHidden/>
          </w:rPr>
          <w:instrText xml:space="preserve"> PAGEREF _Toc94197864 \h </w:instrText>
        </w:r>
        <w:r w:rsidR="003C37DE" w:rsidRPr="003C37DE">
          <w:rPr>
            <w:webHidden/>
          </w:rPr>
        </w:r>
        <w:r w:rsidR="003C37DE" w:rsidRPr="003C37DE">
          <w:rPr>
            <w:webHidden/>
          </w:rPr>
          <w:fldChar w:fldCharType="separate"/>
        </w:r>
        <w:r w:rsidR="00E00F8B">
          <w:rPr>
            <w:webHidden/>
          </w:rPr>
          <w:t>14</w:t>
        </w:r>
        <w:r w:rsidR="003C37DE" w:rsidRPr="003C37DE">
          <w:rPr>
            <w:webHidden/>
          </w:rPr>
          <w:fldChar w:fldCharType="end"/>
        </w:r>
      </w:hyperlink>
    </w:p>
    <w:p w14:paraId="0B3C7E46" w14:textId="3BE5E5A1" w:rsidR="003C37DE" w:rsidRPr="003C37DE" w:rsidRDefault="006E47BF">
      <w:pPr>
        <w:pStyle w:val="TOC2"/>
        <w:rPr>
          <w:rFonts w:eastAsiaTheme="minorEastAsia"/>
          <w:i w:val="0"/>
          <w:iCs w:val="0"/>
          <w:sz w:val="22"/>
          <w:szCs w:val="22"/>
        </w:rPr>
      </w:pPr>
      <w:hyperlink w:anchor="_Toc94197865" w:history="1">
        <w:r w:rsidR="003C37DE" w:rsidRPr="003C37DE">
          <w:rPr>
            <w:rStyle w:val="Hyperlink"/>
            <w:rFonts w:ascii="Arial" w:hAnsi="Arial" w:cs="Arial"/>
          </w:rPr>
          <w:t>2.3 Environmental Compliance Technologies</w:t>
        </w:r>
        <w:r w:rsidR="003C37DE" w:rsidRPr="003C37DE">
          <w:rPr>
            <w:webHidden/>
          </w:rPr>
          <w:tab/>
        </w:r>
        <w:r w:rsidR="003C37DE" w:rsidRPr="003C37DE">
          <w:rPr>
            <w:webHidden/>
          </w:rPr>
          <w:fldChar w:fldCharType="begin"/>
        </w:r>
        <w:r w:rsidR="003C37DE" w:rsidRPr="003C37DE">
          <w:rPr>
            <w:webHidden/>
          </w:rPr>
          <w:instrText xml:space="preserve"> PAGEREF _Toc94197865 \h </w:instrText>
        </w:r>
        <w:r w:rsidR="003C37DE" w:rsidRPr="003C37DE">
          <w:rPr>
            <w:webHidden/>
          </w:rPr>
        </w:r>
        <w:r w:rsidR="003C37DE" w:rsidRPr="003C37DE">
          <w:rPr>
            <w:webHidden/>
          </w:rPr>
          <w:fldChar w:fldCharType="separate"/>
        </w:r>
        <w:r w:rsidR="00E00F8B">
          <w:rPr>
            <w:webHidden/>
          </w:rPr>
          <w:t>14</w:t>
        </w:r>
        <w:r w:rsidR="003C37DE" w:rsidRPr="003C37DE">
          <w:rPr>
            <w:webHidden/>
          </w:rPr>
          <w:fldChar w:fldCharType="end"/>
        </w:r>
      </w:hyperlink>
    </w:p>
    <w:p w14:paraId="2AC4EB85" w14:textId="42E0F8C5" w:rsidR="003C37DE" w:rsidRPr="003C37DE" w:rsidRDefault="006E47BF">
      <w:pPr>
        <w:pStyle w:val="TOC3"/>
        <w:rPr>
          <w:rFonts w:eastAsiaTheme="minorEastAsia"/>
          <w:noProof/>
          <w:sz w:val="22"/>
        </w:rPr>
      </w:pPr>
      <w:hyperlink w:anchor="_Toc94197866" w:history="1">
        <w:r w:rsidR="003C37DE" w:rsidRPr="003C37DE">
          <w:rPr>
            <w:rStyle w:val="Hyperlink"/>
            <w:rFonts w:ascii="Arial" w:hAnsi="Arial" w:cs="Arial"/>
            <w:noProof/>
          </w:rPr>
          <w:t>2.3.1 Water Research and Conservation Center</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_Toc94197866 \h </w:instrText>
        </w:r>
        <w:r w:rsidR="003C37DE" w:rsidRPr="003C37DE">
          <w:rPr>
            <w:noProof/>
            <w:webHidden/>
          </w:rPr>
        </w:r>
        <w:r w:rsidR="003C37DE" w:rsidRPr="003C37DE">
          <w:rPr>
            <w:noProof/>
            <w:webHidden/>
          </w:rPr>
          <w:fldChar w:fldCharType="separate"/>
        </w:r>
        <w:r w:rsidR="00E00F8B">
          <w:rPr>
            <w:noProof/>
            <w:webHidden/>
          </w:rPr>
          <w:t>15</w:t>
        </w:r>
        <w:r w:rsidR="003C37DE" w:rsidRPr="003C37DE">
          <w:rPr>
            <w:noProof/>
            <w:webHidden/>
          </w:rPr>
          <w:fldChar w:fldCharType="end"/>
        </w:r>
      </w:hyperlink>
    </w:p>
    <w:p w14:paraId="5F8C079C" w14:textId="3D3CCE9A" w:rsidR="003C37DE" w:rsidRPr="003C37DE" w:rsidRDefault="006E47BF">
      <w:pPr>
        <w:pStyle w:val="TOC3"/>
        <w:rPr>
          <w:rFonts w:eastAsiaTheme="minorEastAsia"/>
          <w:noProof/>
          <w:sz w:val="22"/>
        </w:rPr>
      </w:pPr>
      <w:hyperlink w:anchor="_Toc94197867" w:history="1">
        <w:r w:rsidR="003C37DE" w:rsidRPr="003C37DE">
          <w:rPr>
            <w:rStyle w:val="Hyperlink"/>
            <w:rFonts w:ascii="Arial" w:hAnsi="Arial" w:cs="Arial"/>
            <w:noProof/>
          </w:rPr>
          <w:t>2.3.2 Ash Beneficial Use Center</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_Toc94197867 \h </w:instrText>
        </w:r>
        <w:r w:rsidR="003C37DE" w:rsidRPr="003C37DE">
          <w:rPr>
            <w:noProof/>
            <w:webHidden/>
          </w:rPr>
        </w:r>
        <w:r w:rsidR="003C37DE" w:rsidRPr="003C37DE">
          <w:rPr>
            <w:noProof/>
            <w:webHidden/>
          </w:rPr>
          <w:fldChar w:fldCharType="separate"/>
        </w:r>
        <w:r w:rsidR="00E00F8B">
          <w:rPr>
            <w:noProof/>
            <w:webHidden/>
          </w:rPr>
          <w:t>16</w:t>
        </w:r>
        <w:r w:rsidR="003C37DE" w:rsidRPr="003C37DE">
          <w:rPr>
            <w:noProof/>
            <w:webHidden/>
          </w:rPr>
          <w:fldChar w:fldCharType="end"/>
        </w:r>
      </w:hyperlink>
    </w:p>
    <w:p w14:paraId="1A0CD1A7" w14:textId="5F85BB06" w:rsidR="003C37DE" w:rsidRPr="003C37DE" w:rsidRDefault="006E47BF">
      <w:pPr>
        <w:pStyle w:val="TOC1"/>
        <w:rPr>
          <w:rFonts w:eastAsiaTheme="minorEastAsia" w:cs="Arial"/>
          <w:noProof/>
          <w:sz w:val="22"/>
        </w:rPr>
      </w:pPr>
      <w:hyperlink w:anchor="_Toc94197868" w:history="1">
        <w:r w:rsidR="003C37DE" w:rsidRPr="003C37DE">
          <w:rPr>
            <w:rStyle w:val="Hyperlink"/>
            <w:rFonts w:ascii="Arial" w:hAnsi="Arial" w:cs="Arial"/>
            <w:noProof/>
          </w:rPr>
          <w:t>3.0 Federal and State Regulatory, Legislation and Judicial Review</w:t>
        </w:r>
        <w:r w:rsidR="003C37DE" w:rsidRPr="003C37DE">
          <w:rPr>
            <w:rFonts w:cs="Arial"/>
            <w:noProof/>
            <w:webHidden/>
          </w:rPr>
          <w:tab/>
        </w:r>
        <w:r w:rsidR="003C37DE" w:rsidRPr="003C37DE">
          <w:rPr>
            <w:rFonts w:cs="Arial"/>
            <w:noProof/>
            <w:webHidden/>
          </w:rPr>
          <w:fldChar w:fldCharType="begin"/>
        </w:r>
        <w:r w:rsidR="003C37DE" w:rsidRPr="003C37DE">
          <w:rPr>
            <w:rFonts w:cs="Arial"/>
            <w:noProof/>
            <w:webHidden/>
          </w:rPr>
          <w:instrText xml:space="preserve"> PAGEREF _Toc94197868 \h </w:instrText>
        </w:r>
        <w:r w:rsidR="003C37DE" w:rsidRPr="003C37DE">
          <w:rPr>
            <w:rFonts w:cs="Arial"/>
            <w:noProof/>
            <w:webHidden/>
          </w:rPr>
        </w:r>
        <w:r w:rsidR="003C37DE" w:rsidRPr="003C37DE">
          <w:rPr>
            <w:rFonts w:cs="Arial"/>
            <w:noProof/>
            <w:webHidden/>
          </w:rPr>
          <w:fldChar w:fldCharType="separate"/>
        </w:r>
        <w:r w:rsidR="00E00F8B">
          <w:rPr>
            <w:rFonts w:cs="Arial"/>
            <w:noProof/>
            <w:webHidden/>
          </w:rPr>
          <w:t>18</w:t>
        </w:r>
        <w:r w:rsidR="003C37DE" w:rsidRPr="003C37DE">
          <w:rPr>
            <w:rFonts w:cs="Arial"/>
            <w:noProof/>
            <w:webHidden/>
          </w:rPr>
          <w:fldChar w:fldCharType="end"/>
        </w:r>
      </w:hyperlink>
    </w:p>
    <w:p w14:paraId="78D3AF4F" w14:textId="44269F61" w:rsidR="003C37DE" w:rsidRPr="003C37DE" w:rsidRDefault="006E47BF">
      <w:pPr>
        <w:pStyle w:val="TOC2"/>
        <w:rPr>
          <w:rFonts w:eastAsiaTheme="minorEastAsia"/>
          <w:i w:val="0"/>
          <w:iCs w:val="0"/>
          <w:sz w:val="22"/>
          <w:szCs w:val="22"/>
        </w:rPr>
      </w:pPr>
      <w:hyperlink w:anchor="_Toc94197869" w:history="1">
        <w:r w:rsidR="003C37DE" w:rsidRPr="003C37DE">
          <w:rPr>
            <w:rStyle w:val="Hyperlink"/>
            <w:rFonts w:ascii="Arial" w:hAnsi="Arial" w:cs="Arial"/>
          </w:rPr>
          <w:t>3.1 Major US Environmental Laws</w:t>
        </w:r>
        <w:r w:rsidR="003C37DE" w:rsidRPr="003C37DE">
          <w:rPr>
            <w:webHidden/>
          </w:rPr>
          <w:tab/>
        </w:r>
        <w:r w:rsidR="003C37DE" w:rsidRPr="003C37DE">
          <w:rPr>
            <w:webHidden/>
          </w:rPr>
          <w:fldChar w:fldCharType="begin"/>
        </w:r>
        <w:r w:rsidR="003C37DE" w:rsidRPr="003C37DE">
          <w:rPr>
            <w:webHidden/>
          </w:rPr>
          <w:instrText xml:space="preserve"> PAGEREF _Toc94197869 \h </w:instrText>
        </w:r>
        <w:r w:rsidR="003C37DE" w:rsidRPr="003C37DE">
          <w:rPr>
            <w:webHidden/>
          </w:rPr>
        </w:r>
        <w:r w:rsidR="003C37DE" w:rsidRPr="003C37DE">
          <w:rPr>
            <w:webHidden/>
          </w:rPr>
          <w:fldChar w:fldCharType="separate"/>
        </w:r>
        <w:r w:rsidR="00E00F8B">
          <w:rPr>
            <w:webHidden/>
          </w:rPr>
          <w:t>18</w:t>
        </w:r>
        <w:r w:rsidR="003C37DE" w:rsidRPr="003C37DE">
          <w:rPr>
            <w:webHidden/>
          </w:rPr>
          <w:fldChar w:fldCharType="end"/>
        </w:r>
      </w:hyperlink>
    </w:p>
    <w:p w14:paraId="6BF95A04" w14:textId="420DCA58" w:rsidR="003C37DE" w:rsidRPr="003C37DE" w:rsidRDefault="006E47BF">
      <w:pPr>
        <w:pStyle w:val="TOC3"/>
        <w:rPr>
          <w:rFonts w:eastAsiaTheme="minorEastAsia"/>
          <w:noProof/>
          <w:sz w:val="22"/>
        </w:rPr>
      </w:pPr>
      <w:hyperlink w:anchor="_Toc94197870" w:history="1">
        <w:r w:rsidR="003C37DE" w:rsidRPr="003C37DE">
          <w:rPr>
            <w:rStyle w:val="Hyperlink"/>
            <w:rFonts w:ascii="Arial" w:hAnsi="Arial" w:cs="Arial"/>
            <w:noProof/>
          </w:rPr>
          <w:t>Clean Air Act</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_Toc94197870 \h </w:instrText>
        </w:r>
        <w:r w:rsidR="003C37DE" w:rsidRPr="003C37DE">
          <w:rPr>
            <w:noProof/>
            <w:webHidden/>
          </w:rPr>
        </w:r>
        <w:r w:rsidR="003C37DE" w:rsidRPr="003C37DE">
          <w:rPr>
            <w:noProof/>
            <w:webHidden/>
          </w:rPr>
          <w:fldChar w:fldCharType="separate"/>
        </w:r>
        <w:r w:rsidR="00E00F8B">
          <w:rPr>
            <w:noProof/>
            <w:webHidden/>
          </w:rPr>
          <w:t>18</w:t>
        </w:r>
        <w:r w:rsidR="003C37DE" w:rsidRPr="003C37DE">
          <w:rPr>
            <w:noProof/>
            <w:webHidden/>
          </w:rPr>
          <w:fldChar w:fldCharType="end"/>
        </w:r>
      </w:hyperlink>
    </w:p>
    <w:p w14:paraId="57FF3015" w14:textId="40CBCB30" w:rsidR="003C37DE" w:rsidRPr="003C37DE" w:rsidRDefault="006E47BF">
      <w:pPr>
        <w:pStyle w:val="TOC3"/>
        <w:rPr>
          <w:rFonts w:eastAsiaTheme="minorEastAsia"/>
          <w:noProof/>
          <w:sz w:val="22"/>
        </w:rPr>
      </w:pPr>
      <w:hyperlink w:anchor="_Toc94197871" w:history="1">
        <w:r w:rsidR="003C37DE" w:rsidRPr="003C37DE">
          <w:rPr>
            <w:rStyle w:val="Hyperlink"/>
            <w:rFonts w:ascii="Arial" w:hAnsi="Arial" w:cs="Arial"/>
            <w:noProof/>
          </w:rPr>
          <w:t>Clean Water Act</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_Toc94197871 \h </w:instrText>
        </w:r>
        <w:r w:rsidR="003C37DE" w:rsidRPr="003C37DE">
          <w:rPr>
            <w:noProof/>
            <w:webHidden/>
          </w:rPr>
        </w:r>
        <w:r w:rsidR="003C37DE" w:rsidRPr="003C37DE">
          <w:rPr>
            <w:noProof/>
            <w:webHidden/>
          </w:rPr>
          <w:fldChar w:fldCharType="separate"/>
        </w:r>
        <w:r w:rsidR="00E00F8B">
          <w:rPr>
            <w:noProof/>
            <w:webHidden/>
          </w:rPr>
          <w:t>19</w:t>
        </w:r>
        <w:r w:rsidR="003C37DE" w:rsidRPr="003C37DE">
          <w:rPr>
            <w:noProof/>
            <w:webHidden/>
          </w:rPr>
          <w:fldChar w:fldCharType="end"/>
        </w:r>
      </w:hyperlink>
    </w:p>
    <w:p w14:paraId="73E46D5E" w14:textId="2AC3C17B" w:rsidR="003C37DE" w:rsidRPr="003C37DE" w:rsidRDefault="006E47BF">
      <w:pPr>
        <w:pStyle w:val="TOC3"/>
        <w:rPr>
          <w:rFonts w:eastAsiaTheme="minorEastAsia"/>
          <w:noProof/>
          <w:sz w:val="22"/>
        </w:rPr>
      </w:pPr>
      <w:hyperlink w:anchor="_Toc94197872" w:history="1">
        <w:r w:rsidR="003C37DE" w:rsidRPr="003C37DE">
          <w:rPr>
            <w:rStyle w:val="Hyperlink"/>
            <w:rFonts w:ascii="Arial" w:hAnsi="Arial" w:cs="Arial"/>
            <w:noProof/>
          </w:rPr>
          <w:t>Resource Conservation and Recovery Act (“RCRA”)</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_Toc94197872 \h </w:instrText>
        </w:r>
        <w:r w:rsidR="003C37DE" w:rsidRPr="003C37DE">
          <w:rPr>
            <w:noProof/>
            <w:webHidden/>
          </w:rPr>
        </w:r>
        <w:r w:rsidR="003C37DE" w:rsidRPr="003C37DE">
          <w:rPr>
            <w:noProof/>
            <w:webHidden/>
          </w:rPr>
          <w:fldChar w:fldCharType="separate"/>
        </w:r>
        <w:r w:rsidR="00E00F8B">
          <w:rPr>
            <w:noProof/>
            <w:webHidden/>
          </w:rPr>
          <w:t>20</w:t>
        </w:r>
        <w:r w:rsidR="003C37DE" w:rsidRPr="003C37DE">
          <w:rPr>
            <w:noProof/>
            <w:webHidden/>
          </w:rPr>
          <w:fldChar w:fldCharType="end"/>
        </w:r>
      </w:hyperlink>
    </w:p>
    <w:p w14:paraId="1D44A3E4" w14:textId="6980EB53" w:rsidR="003C37DE" w:rsidRPr="003C37DE" w:rsidRDefault="006E47BF">
      <w:pPr>
        <w:pStyle w:val="TOC2"/>
        <w:rPr>
          <w:rFonts w:eastAsiaTheme="minorEastAsia"/>
          <w:i w:val="0"/>
          <w:iCs w:val="0"/>
          <w:sz w:val="22"/>
          <w:szCs w:val="22"/>
        </w:rPr>
      </w:pPr>
      <w:hyperlink w:anchor="_Toc94197873" w:history="1">
        <w:r w:rsidR="003C37DE" w:rsidRPr="003C37DE">
          <w:rPr>
            <w:rStyle w:val="Hyperlink"/>
            <w:rFonts w:ascii="Arial" w:hAnsi="Arial" w:cs="Arial"/>
          </w:rPr>
          <w:t>3.2 Notable Regulatory Related Events</w:t>
        </w:r>
        <w:r w:rsidR="003C37DE" w:rsidRPr="003C37DE">
          <w:rPr>
            <w:webHidden/>
          </w:rPr>
          <w:tab/>
        </w:r>
        <w:r w:rsidR="003C37DE" w:rsidRPr="003C37DE">
          <w:rPr>
            <w:webHidden/>
          </w:rPr>
          <w:fldChar w:fldCharType="begin"/>
        </w:r>
        <w:r w:rsidR="003C37DE" w:rsidRPr="003C37DE">
          <w:rPr>
            <w:webHidden/>
          </w:rPr>
          <w:instrText xml:space="preserve"> PAGEREF _Toc94197873 \h </w:instrText>
        </w:r>
        <w:r w:rsidR="003C37DE" w:rsidRPr="003C37DE">
          <w:rPr>
            <w:webHidden/>
          </w:rPr>
        </w:r>
        <w:r w:rsidR="003C37DE" w:rsidRPr="003C37DE">
          <w:rPr>
            <w:webHidden/>
          </w:rPr>
          <w:fldChar w:fldCharType="separate"/>
        </w:r>
        <w:r w:rsidR="00E00F8B">
          <w:rPr>
            <w:webHidden/>
          </w:rPr>
          <w:t>20</w:t>
        </w:r>
        <w:r w:rsidR="003C37DE" w:rsidRPr="003C37DE">
          <w:rPr>
            <w:webHidden/>
          </w:rPr>
          <w:fldChar w:fldCharType="end"/>
        </w:r>
      </w:hyperlink>
    </w:p>
    <w:p w14:paraId="6D50154D" w14:textId="62B7A083" w:rsidR="003C37DE" w:rsidRPr="003C37DE" w:rsidRDefault="006E47BF">
      <w:pPr>
        <w:pStyle w:val="TOC3"/>
        <w:rPr>
          <w:rFonts w:eastAsiaTheme="minorEastAsia"/>
          <w:noProof/>
          <w:sz w:val="22"/>
        </w:rPr>
      </w:pPr>
      <w:hyperlink w:anchor="_Toc94197874" w:history="1">
        <w:r w:rsidR="003C37DE" w:rsidRPr="003C37DE">
          <w:rPr>
            <w:rStyle w:val="Hyperlink"/>
            <w:rFonts w:ascii="Arial" w:hAnsi="Arial" w:cs="Arial"/>
            <w:noProof/>
          </w:rPr>
          <w:t>Regulatory Review</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_Toc94197874 \h </w:instrText>
        </w:r>
        <w:r w:rsidR="003C37DE" w:rsidRPr="003C37DE">
          <w:rPr>
            <w:noProof/>
            <w:webHidden/>
          </w:rPr>
        </w:r>
        <w:r w:rsidR="003C37DE" w:rsidRPr="003C37DE">
          <w:rPr>
            <w:noProof/>
            <w:webHidden/>
          </w:rPr>
          <w:fldChar w:fldCharType="separate"/>
        </w:r>
        <w:r w:rsidR="00E00F8B">
          <w:rPr>
            <w:noProof/>
            <w:webHidden/>
          </w:rPr>
          <w:t>21</w:t>
        </w:r>
        <w:r w:rsidR="003C37DE" w:rsidRPr="003C37DE">
          <w:rPr>
            <w:noProof/>
            <w:webHidden/>
          </w:rPr>
          <w:fldChar w:fldCharType="end"/>
        </w:r>
      </w:hyperlink>
    </w:p>
    <w:p w14:paraId="344E2302" w14:textId="22943E39" w:rsidR="003C37DE" w:rsidRPr="003C37DE" w:rsidRDefault="006E47BF">
      <w:pPr>
        <w:pStyle w:val="TOC3"/>
        <w:rPr>
          <w:rFonts w:eastAsiaTheme="minorEastAsia"/>
          <w:noProof/>
          <w:sz w:val="22"/>
        </w:rPr>
      </w:pPr>
      <w:hyperlink w:anchor="_Toc94197875" w:history="1">
        <w:r w:rsidR="003C37DE" w:rsidRPr="003C37DE">
          <w:rPr>
            <w:rStyle w:val="Hyperlink"/>
            <w:rFonts w:ascii="Arial" w:hAnsi="Arial" w:cs="Arial"/>
            <w:noProof/>
          </w:rPr>
          <w:t>Environmental Regulatory Timeline</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_Toc94197875 \h </w:instrText>
        </w:r>
        <w:r w:rsidR="003C37DE" w:rsidRPr="003C37DE">
          <w:rPr>
            <w:noProof/>
            <w:webHidden/>
          </w:rPr>
        </w:r>
        <w:r w:rsidR="003C37DE" w:rsidRPr="003C37DE">
          <w:rPr>
            <w:noProof/>
            <w:webHidden/>
          </w:rPr>
          <w:fldChar w:fldCharType="separate"/>
        </w:r>
        <w:r w:rsidR="00E00F8B">
          <w:rPr>
            <w:noProof/>
            <w:webHidden/>
          </w:rPr>
          <w:t>22</w:t>
        </w:r>
        <w:r w:rsidR="003C37DE" w:rsidRPr="003C37DE">
          <w:rPr>
            <w:noProof/>
            <w:webHidden/>
          </w:rPr>
          <w:fldChar w:fldCharType="end"/>
        </w:r>
      </w:hyperlink>
    </w:p>
    <w:p w14:paraId="34A1DD44" w14:textId="6CD7D592" w:rsidR="003C37DE" w:rsidRPr="003C37DE" w:rsidRDefault="006E47BF">
      <w:pPr>
        <w:pStyle w:val="TOC3"/>
        <w:rPr>
          <w:rFonts w:eastAsiaTheme="minorEastAsia"/>
          <w:noProof/>
          <w:sz w:val="22"/>
        </w:rPr>
      </w:pPr>
      <w:hyperlink w:anchor="_Toc94197876" w:history="1">
        <w:r w:rsidR="003C37DE" w:rsidRPr="003C37DE">
          <w:rPr>
            <w:rStyle w:val="Hyperlink"/>
            <w:rFonts w:ascii="Arial" w:hAnsi="Arial" w:cs="Arial"/>
            <w:noProof/>
          </w:rPr>
          <w:t>Air</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_Toc94197876 \h </w:instrText>
        </w:r>
        <w:r w:rsidR="003C37DE" w:rsidRPr="003C37DE">
          <w:rPr>
            <w:noProof/>
            <w:webHidden/>
          </w:rPr>
        </w:r>
        <w:r w:rsidR="003C37DE" w:rsidRPr="003C37DE">
          <w:rPr>
            <w:noProof/>
            <w:webHidden/>
          </w:rPr>
          <w:fldChar w:fldCharType="separate"/>
        </w:r>
        <w:r w:rsidR="00E00F8B">
          <w:rPr>
            <w:noProof/>
            <w:webHidden/>
          </w:rPr>
          <w:t>23</w:t>
        </w:r>
        <w:r w:rsidR="003C37DE" w:rsidRPr="003C37DE">
          <w:rPr>
            <w:noProof/>
            <w:webHidden/>
          </w:rPr>
          <w:fldChar w:fldCharType="end"/>
        </w:r>
      </w:hyperlink>
    </w:p>
    <w:p w14:paraId="40B255DD" w14:textId="61E4D85B" w:rsidR="003C37DE" w:rsidRPr="003C37DE" w:rsidRDefault="006E47BF">
      <w:pPr>
        <w:pStyle w:val="TOC3"/>
        <w:rPr>
          <w:rFonts w:eastAsiaTheme="minorEastAsia"/>
          <w:noProof/>
          <w:sz w:val="22"/>
        </w:rPr>
      </w:pPr>
      <w:hyperlink w:anchor="_Toc94197877" w:history="1">
        <w:r w:rsidR="003C37DE" w:rsidRPr="003C37DE">
          <w:rPr>
            <w:rStyle w:val="Hyperlink"/>
            <w:rFonts w:ascii="Arial" w:hAnsi="Arial" w:cs="Arial"/>
            <w:noProof/>
          </w:rPr>
          <w:t>Water</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_Toc94197877 \h </w:instrText>
        </w:r>
        <w:r w:rsidR="003C37DE" w:rsidRPr="003C37DE">
          <w:rPr>
            <w:noProof/>
            <w:webHidden/>
          </w:rPr>
        </w:r>
        <w:r w:rsidR="003C37DE" w:rsidRPr="003C37DE">
          <w:rPr>
            <w:noProof/>
            <w:webHidden/>
          </w:rPr>
          <w:fldChar w:fldCharType="separate"/>
        </w:r>
        <w:r w:rsidR="00E00F8B">
          <w:rPr>
            <w:noProof/>
            <w:webHidden/>
          </w:rPr>
          <w:t>25</w:t>
        </w:r>
        <w:r w:rsidR="003C37DE" w:rsidRPr="003C37DE">
          <w:rPr>
            <w:noProof/>
            <w:webHidden/>
          </w:rPr>
          <w:fldChar w:fldCharType="end"/>
        </w:r>
      </w:hyperlink>
    </w:p>
    <w:p w14:paraId="1494E929" w14:textId="56068521" w:rsidR="003C37DE" w:rsidRPr="003C37DE" w:rsidRDefault="006E47BF">
      <w:pPr>
        <w:pStyle w:val="TOC3"/>
        <w:rPr>
          <w:rFonts w:eastAsiaTheme="minorEastAsia"/>
          <w:noProof/>
          <w:sz w:val="22"/>
        </w:rPr>
      </w:pPr>
      <w:hyperlink w:anchor="_Toc94197878" w:history="1">
        <w:r w:rsidR="003C37DE" w:rsidRPr="003C37DE">
          <w:rPr>
            <w:rStyle w:val="Hyperlink"/>
            <w:rFonts w:ascii="Arial" w:hAnsi="Arial" w:cs="Arial"/>
            <w:noProof/>
          </w:rPr>
          <w:t>Land</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_Toc94197878 \h </w:instrText>
        </w:r>
        <w:r w:rsidR="003C37DE" w:rsidRPr="003C37DE">
          <w:rPr>
            <w:noProof/>
            <w:webHidden/>
          </w:rPr>
        </w:r>
        <w:r w:rsidR="003C37DE" w:rsidRPr="003C37DE">
          <w:rPr>
            <w:noProof/>
            <w:webHidden/>
          </w:rPr>
          <w:fldChar w:fldCharType="separate"/>
        </w:r>
        <w:r w:rsidR="00E00F8B">
          <w:rPr>
            <w:noProof/>
            <w:webHidden/>
          </w:rPr>
          <w:t>27</w:t>
        </w:r>
        <w:r w:rsidR="003C37DE" w:rsidRPr="003C37DE">
          <w:rPr>
            <w:noProof/>
            <w:webHidden/>
          </w:rPr>
          <w:fldChar w:fldCharType="end"/>
        </w:r>
      </w:hyperlink>
    </w:p>
    <w:p w14:paraId="2FC1969F" w14:textId="3735A68F" w:rsidR="003C37DE" w:rsidRPr="003C37DE" w:rsidRDefault="006E47BF">
      <w:pPr>
        <w:pStyle w:val="TOC3"/>
        <w:rPr>
          <w:rFonts w:eastAsiaTheme="minorEastAsia"/>
          <w:noProof/>
          <w:sz w:val="22"/>
        </w:rPr>
      </w:pPr>
      <w:hyperlink w:anchor="_Toc94197879" w:history="1">
        <w:r w:rsidR="003C37DE" w:rsidRPr="003C37DE">
          <w:rPr>
            <w:rStyle w:val="Hyperlink"/>
            <w:rFonts w:ascii="Arial" w:hAnsi="Arial" w:cs="Arial"/>
            <w:noProof/>
          </w:rPr>
          <w:t>Other Considerations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_Toc94197879 \h </w:instrText>
        </w:r>
        <w:r w:rsidR="003C37DE" w:rsidRPr="003C37DE">
          <w:rPr>
            <w:noProof/>
            <w:webHidden/>
          </w:rPr>
        </w:r>
        <w:r w:rsidR="003C37DE" w:rsidRPr="003C37DE">
          <w:rPr>
            <w:noProof/>
            <w:webHidden/>
          </w:rPr>
          <w:fldChar w:fldCharType="separate"/>
        </w:r>
        <w:r w:rsidR="00E00F8B">
          <w:rPr>
            <w:noProof/>
            <w:webHidden/>
          </w:rPr>
          <w:t>29</w:t>
        </w:r>
        <w:r w:rsidR="003C37DE" w:rsidRPr="003C37DE">
          <w:rPr>
            <w:noProof/>
            <w:webHidden/>
          </w:rPr>
          <w:fldChar w:fldCharType="end"/>
        </w:r>
      </w:hyperlink>
    </w:p>
    <w:p w14:paraId="30BC2B9A" w14:textId="6FFAB597" w:rsidR="003C37DE" w:rsidRPr="003C37DE" w:rsidRDefault="006E47BF">
      <w:pPr>
        <w:pStyle w:val="TOC2"/>
        <w:rPr>
          <w:rFonts w:eastAsiaTheme="minorEastAsia"/>
          <w:i w:val="0"/>
          <w:iCs w:val="0"/>
          <w:sz w:val="22"/>
          <w:szCs w:val="22"/>
        </w:rPr>
      </w:pPr>
      <w:hyperlink w:anchor="_Toc94197880" w:history="1">
        <w:r w:rsidR="003C37DE" w:rsidRPr="003C37DE">
          <w:rPr>
            <w:rStyle w:val="Hyperlink"/>
            <w:rFonts w:ascii="Arial" w:hAnsi="Arial" w:cs="Arial"/>
          </w:rPr>
          <w:t>3.3 Future Key Environmental Regulatory Events</w:t>
        </w:r>
        <w:r w:rsidR="003C37DE" w:rsidRPr="003C37DE">
          <w:rPr>
            <w:webHidden/>
          </w:rPr>
          <w:tab/>
        </w:r>
        <w:r w:rsidR="003C37DE" w:rsidRPr="003C37DE">
          <w:rPr>
            <w:webHidden/>
          </w:rPr>
          <w:fldChar w:fldCharType="begin"/>
        </w:r>
        <w:r w:rsidR="003C37DE" w:rsidRPr="003C37DE">
          <w:rPr>
            <w:webHidden/>
          </w:rPr>
          <w:instrText xml:space="preserve"> PAGEREF _Toc94197880 \h </w:instrText>
        </w:r>
        <w:r w:rsidR="003C37DE" w:rsidRPr="003C37DE">
          <w:rPr>
            <w:webHidden/>
          </w:rPr>
        </w:r>
        <w:r w:rsidR="003C37DE" w:rsidRPr="003C37DE">
          <w:rPr>
            <w:webHidden/>
          </w:rPr>
          <w:fldChar w:fldCharType="separate"/>
        </w:r>
        <w:r w:rsidR="00E00F8B">
          <w:rPr>
            <w:webHidden/>
          </w:rPr>
          <w:t>29</w:t>
        </w:r>
        <w:r w:rsidR="003C37DE" w:rsidRPr="003C37DE">
          <w:rPr>
            <w:webHidden/>
          </w:rPr>
          <w:fldChar w:fldCharType="end"/>
        </w:r>
      </w:hyperlink>
    </w:p>
    <w:p w14:paraId="3DE1849E" w14:textId="54292837" w:rsidR="003C37DE" w:rsidRPr="003C37DE" w:rsidRDefault="006E47BF">
      <w:pPr>
        <w:pStyle w:val="TOC3"/>
        <w:rPr>
          <w:rFonts w:eastAsiaTheme="minorEastAsia"/>
          <w:noProof/>
          <w:sz w:val="22"/>
        </w:rPr>
      </w:pPr>
      <w:hyperlink w:anchor="_Toc94197881" w:history="1">
        <w:r w:rsidR="003C37DE" w:rsidRPr="003C37DE">
          <w:rPr>
            <w:rStyle w:val="Hyperlink"/>
            <w:rFonts w:ascii="Arial" w:hAnsi="Arial" w:cs="Arial"/>
            <w:noProof/>
          </w:rPr>
          <w:t>Air</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_Toc94197881 \h </w:instrText>
        </w:r>
        <w:r w:rsidR="003C37DE" w:rsidRPr="003C37DE">
          <w:rPr>
            <w:noProof/>
            <w:webHidden/>
          </w:rPr>
        </w:r>
        <w:r w:rsidR="003C37DE" w:rsidRPr="003C37DE">
          <w:rPr>
            <w:noProof/>
            <w:webHidden/>
          </w:rPr>
          <w:fldChar w:fldCharType="separate"/>
        </w:r>
        <w:r w:rsidR="00E00F8B">
          <w:rPr>
            <w:noProof/>
            <w:webHidden/>
          </w:rPr>
          <w:t>29</w:t>
        </w:r>
        <w:r w:rsidR="003C37DE" w:rsidRPr="003C37DE">
          <w:rPr>
            <w:noProof/>
            <w:webHidden/>
          </w:rPr>
          <w:fldChar w:fldCharType="end"/>
        </w:r>
      </w:hyperlink>
    </w:p>
    <w:p w14:paraId="0FA97ACB" w14:textId="143912B5" w:rsidR="003C37DE" w:rsidRPr="003C37DE" w:rsidRDefault="006E47BF">
      <w:pPr>
        <w:pStyle w:val="TOC3"/>
        <w:rPr>
          <w:rFonts w:eastAsiaTheme="minorEastAsia"/>
          <w:noProof/>
          <w:sz w:val="22"/>
        </w:rPr>
      </w:pPr>
      <w:hyperlink w:anchor="_Toc94197882" w:history="1">
        <w:r w:rsidR="003C37DE" w:rsidRPr="003C37DE">
          <w:rPr>
            <w:rStyle w:val="Hyperlink"/>
            <w:rFonts w:ascii="Arial" w:hAnsi="Arial" w:cs="Arial"/>
            <w:noProof/>
          </w:rPr>
          <w:t>Water</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_Toc94197882 \h </w:instrText>
        </w:r>
        <w:r w:rsidR="003C37DE" w:rsidRPr="003C37DE">
          <w:rPr>
            <w:noProof/>
            <w:webHidden/>
          </w:rPr>
        </w:r>
        <w:r w:rsidR="003C37DE" w:rsidRPr="003C37DE">
          <w:rPr>
            <w:noProof/>
            <w:webHidden/>
          </w:rPr>
          <w:fldChar w:fldCharType="separate"/>
        </w:r>
        <w:r w:rsidR="00E00F8B">
          <w:rPr>
            <w:noProof/>
            <w:webHidden/>
          </w:rPr>
          <w:t>30</w:t>
        </w:r>
        <w:r w:rsidR="003C37DE" w:rsidRPr="003C37DE">
          <w:rPr>
            <w:noProof/>
            <w:webHidden/>
          </w:rPr>
          <w:fldChar w:fldCharType="end"/>
        </w:r>
      </w:hyperlink>
    </w:p>
    <w:p w14:paraId="73D8659B" w14:textId="1883A1EA" w:rsidR="003C37DE" w:rsidRPr="003C37DE" w:rsidRDefault="006E47BF">
      <w:pPr>
        <w:pStyle w:val="TOC3"/>
        <w:rPr>
          <w:rFonts w:eastAsiaTheme="minorEastAsia"/>
          <w:noProof/>
          <w:sz w:val="22"/>
        </w:rPr>
      </w:pPr>
      <w:hyperlink w:anchor="_Toc94197883" w:history="1">
        <w:r w:rsidR="003C37DE" w:rsidRPr="003C37DE">
          <w:rPr>
            <w:rStyle w:val="Hyperlink"/>
            <w:rFonts w:ascii="Arial" w:hAnsi="Arial" w:cs="Arial"/>
            <w:noProof/>
          </w:rPr>
          <w:t>Land</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_Toc94197883 \h </w:instrText>
        </w:r>
        <w:r w:rsidR="003C37DE" w:rsidRPr="003C37DE">
          <w:rPr>
            <w:noProof/>
            <w:webHidden/>
          </w:rPr>
        </w:r>
        <w:r w:rsidR="003C37DE" w:rsidRPr="003C37DE">
          <w:rPr>
            <w:noProof/>
            <w:webHidden/>
          </w:rPr>
          <w:fldChar w:fldCharType="separate"/>
        </w:r>
        <w:r w:rsidR="00E00F8B">
          <w:rPr>
            <w:noProof/>
            <w:webHidden/>
          </w:rPr>
          <w:t>30</w:t>
        </w:r>
        <w:r w:rsidR="003C37DE" w:rsidRPr="003C37DE">
          <w:rPr>
            <w:noProof/>
            <w:webHidden/>
          </w:rPr>
          <w:fldChar w:fldCharType="end"/>
        </w:r>
      </w:hyperlink>
    </w:p>
    <w:p w14:paraId="4FBEDD6C" w14:textId="2B644339" w:rsidR="003C37DE" w:rsidRPr="003C37DE" w:rsidRDefault="006E47BF">
      <w:pPr>
        <w:pStyle w:val="TOC3"/>
        <w:rPr>
          <w:rFonts w:eastAsiaTheme="minorEastAsia"/>
          <w:noProof/>
          <w:sz w:val="22"/>
        </w:rPr>
      </w:pPr>
      <w:hyperlink w:anchor="_Toc94197884" w:history="1">
        <w:r w:rsidR="003C37DE" w:rsidRPr="003C37DE">
          <w:rPr>
            <w:rStyle w:val="Hyperlink"/>
            <w:rFonts w:ascii="Arial" w:hAnsi="Arial" w:cs="Arial"/>
            <w:noProof/>
          </w:rPr>
          <w:t>Other Considerations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_Toc94197884 \h </w:instrText>
        </w:r>
        <w:r w:rsidR="003C37DE" w:rsidRPr="003C37DE">
          <w:rPr>
            <w:noProof/>
            <w:webHidden/>
          </w:rPr>
        </w:r>
        <w:r w:rsidR="003C37DE" w:rsidRPr="003C37DE">
          <w:rPr>
            <w:noProof/>
            <w:webHidden/>
          </w:rPr>
          <w:fldChar w:fldCharType="separate"/>
        </w:r>
        <w:r w:rsidR="00E00F8B">
          <w:rPr>
            <w:noProof/>
            <w:webHidden/>
          </w:rPr>
          <w:t>30</w:t>
        </w:r>
        <w:r w:rsidR="003C37DE" w:rsidRPr="003C37DE">
          <w:rPr>
            <w:noProof/>
            <w:webHidden/>
          </w:rPr>
          <w:fldChar w:fldCharType="end"/>
        </w:r>
      </w:hyperlink>
    </w:p>
    <w:p w14:paraId="68416AA6" w14:textId="2FCB04A8" w:rsidR="003C37DE" w:rsidRPr="003C37DE" w:rsidRDefault="006E47BF">
      <w:pPr>
        <w:pStyle w:val="TOC2"/>
        <w:rPr>
          <w:rFonts w:eastAsiaTheme="minorEastAsia"/>
          <w:i w:val="0"/>
          <w:iCs w:val="0"/>
          <w:sz w:val="22"/>
          <w:szCs w:val="22"/>
        </w:rPr>
      </w:pPr>
      <w:hyperlink w:anchor="_Toc94197885" w:history="1">
        <w:r w:rsidR="003C37DE" w:rsidRPr="003C37DE">
          <w:rPr>
            <w:rStyle w:val="Hyperlink"/>
            <w:rFonts w:ascii="Arial" w:hAnsi="Arial" w:cs="Arial"/>
          </w:rPr>
          <w:t>3.4 Federal and State Detailed Regulatory, Legislative, and Judicial Review</w:t>
        </w:r>
        <w:r w:rsidR="003C37DE" w:rsidRPr="003C37DE">
          <w:rPr>
            <w:webHidden/>
          </w:rPr>
          <w:tab/>
        </w:r>
        <w:r w:rsidR="003C37DE" w:rsidRPr="003C37DE">
          <w:rPr>
            <w:webHidden/>
          </w:rPr>
          <w:fldChar w:fldCharType="begin"/>
        </w:r>
        <w:r w:rsidR="003C37DE" w:rsidRPr="003C37DE">
          <w:rPr>
            <w:webHidden/>
          </w:rPr>
          <w:instrText xml:space="preserve"> PAGEREF _Toc94197885 \h </w:instrText>
        </w:r>
        <w:r w:rsidR="003C37DE" w:rsidRPr="003C37DE">
          <w:rPr>
            <w:webHidden/>
          </w:rPr>
        </w:r>
        <w:r w:rsidR="003C37DE" w:rsidRPr="003C37DE">
          <w:rPr>
            <w:webHidden/>
          </w:rPr>
          <w:fldChar w:fldCharType="separate"/>
        </w:r>
        <w:r w:rsidR="00E00F8B">
          <w:rPr>
            <w:webHidden/>
          </w:rPr>
          <w:t>30</w:t>
        </w:r>
        <w:r w:rsidR="003C37DE" w:rsidRPr="003C37DE">
          <w:rPr>
            <w:webHidden/>
          </w:rPr>
          <w:fldChar w:fldCharType="end"/>
        </w:r>
      </w:hyperlink>
    </w:p>
    <w:p w14:paraId="30A54A28" w14:textId="2ECCF24A" w:rsidR="003C37DE" w:rsidRPr="003C37DE" w:rsidRDefault="006E47BF">
      <w:pPr>
        <w:pStyle w:val="TOC3"/>
        <w:rPr>
          <w:rFonts w:eastAsiaTheme="minorEastAsia"/>
          <w:noProof/>
          <w:sz w:val="22"/>
        </w:rPr>
      </w:pPr>
      <w:hyperlink w:anchor="_Toc94197886" w:history="1">
        <w:r w:rsidR="003C37DE" w:rsidRPr="003C37DE">
          <w:rPr>
            <w:rStyle w:val="Hyperlink"/>
            <w:rFonts w:ascii="Arial" w:hAnsi="Arial" w:cs="Arial"/>
            <w:noProof/>
          </w:rPr>
          <w:t>3.4.1 New Source Review</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_Toc94197886 \h </w:instrText>
        </w:r>
        <w:r w:rsidR="003C37DE" w:rsidRPr="003C37DE">
          <w:rPr>
            <w:noProof/>
            <w:webHidden/>
          </w:rPr>
        </w:r>
        <w:r w:rsidR="003C37DE" w:rsidRPr="003C37DE">
          <w:rPr>
            <w:noProof/>
            <w:webHidden/>
          </w:rPr>
          <w:fldChar w:fldCharType="separate"/>
        </w:r>
        <w:r w:rsidR="00E00F8B">
          <w:rPr>
            <w:noProof/>
            <w:webHidden/>
          </w:rPr>
          <w:t>31</w:t>
        </w:r>
        <w:r w:rsidR="003C37DE" w:rsidRPr="003C37DE">
          <w:rPr>
            <w:noProof/>
            <w:webHidden/>
          </w:rPr>
          <w:fldChar w:fldCharType="end"/>
        </w:r>
      </w:hyperlink>
    </w:p>
    <w:p w14:paraId="501AB0EE" w14:textId="783732DE" w:rsidR="003C37DE" w:rsidRPr="003C37DE" w:rsidRDefault="006E47BF">
      <w:pPr>
        <w:pStyle w:val="TOC3"/>
        <w:rPr>
          <w:rFonts w:eastAsiaTheme="minorEastAsia"/>
          <w:noProof/>
          <w:sz w:val="22"/>
        </w:rPr>
      </w:pPr>
      <w:hyperlink w:anchor="_Toc94197887" w:history="1">
        <w:r w:rsidR="003C37DE" w:rsidRPr="003C37DE">
          <w:rPr>
            <w:rStyle w:val="Hyperlink"/>
            <w:rFonts w:ascii="Arial" w:hAnsi="Arial" w:cs="Arial"/>
            <w:noProof/>
          </w:rPr>
          <w:t>3.4.2 Acid Rain Program</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_Toc94197887 \h </w:instrText>
        </w:r>
        <w:r w:rsidR="003C37DE" w:rsidRPr="003C37DE">
          <w:rPr>
            <w:noProof/>
            <w:webHidden/>
          </w:rPr>
        </w:r>
        <w:r w:rsidR="003C37DE" w:rsidRPr="003C37DE">
          <w:rPr>
            <w:noProof/>
            <w:webHidden/>
          </w:rPr>
          <w:fldChar w:fldCharType="separate"/>
        </w:r>
        <w:r w:rsidR="00E00F8B">
          <w:rPr>
            <w:noProof/>
            <w:webHidden/>
          </w:rPr>
          <w:t>31</w:t>
        </w:r>
        <w:r w:rsidR="003C37DE" w:rsidRPr="003C37DE">
          <w:rPr>
            <w:noProof/>
            <w:webHidden/>
          </w:rPr>
          <w:fldChar w:fldCharType="end"/>
        </w:r>
      </w:hyperlink>
    </w:p>
    <w:p w14:paraId="2B02707B" w14:textId="20EBA15F" w:rsidR="003C37DE" w:rsidRPr="003C37DE" w:rsidRDefault="006E47BF">
      <w:pPr>
        <w:pStyle w:val="TOC3"/>
        <w:rPr>
          <w:rFonts w:eastAsiaTheme="minorEastAsia"/>
          <w:noProof/>
          <w:sz w:val="22"/>
        </w:rPr>
      </w:pPr>
      <w:hyperlink w:anchor="_Toc94197888" w:history="1">
        <w:r w:rsidR="003C37DE" w:rsidRPr="003C37DE">
          <w:rPr>
            <w:rStyle w:val="Hyperlink"/>
            <w:rFonts w:ascii="Arial" w:hAnsi="Arial" w:cs="Arial"/>
            <w:noProof/>
          </w:rPr>
          <w:t>3.4.3 National Ambient Air Quality Standards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_Toc94197888 \h </w:instrText>
        </w:r>
        <w:r w:rsidR="003C37DE" w:rsidRPr="003C37DE">
          <w:rPr>
            <w:noProof/>
            <w:webHidden/>
          </w:rPr>
        </w:r>
        <w:r w:rsidR="003C37DE" w:rsidRPr="003C37DE">
          <w:rPr>
            <w:noProof/>
            <w:webHidden/>
          </w:rPr>
          <w:fldChar w:fldCharType="separate"/>
        </w:r>
        <w:r w:rsidR="00E00F8B">
          <w:rPr>
            <w:noProof/>
            <w:webHidden/>
          </w:rPr>
          <w:t>31</w:t>
        </w:r>
        <w:r w:rsidR="003C37DE" w:rsidRPr="003C37DE">
          <w:rPr>
            <w:noProof/>
            <w:webHidden/>
          </w:rPr>
          <w:fldChar w:fldCharType="end"/>
        </w:r>
      </w:hyperlink>
    </w:p>
    <w:p w14:paraId="17A1E63E" w14:textId="12C715E9" w:rsidR="003C37DE" w:rsidRPr="003C37DE" w:rsidRDefault="006E47BF">
      <w:pPr>
        <w:pStyle w:val="TOC3"/>
        <w:rPr>
          <w:rFonts w:eastAsiaTheme="minorEastAsia"/>
          <w:noProof/>
          <w:sz w:val="22"/>
        </w:rPr>
      </w:pPr>
      <w:hyperlink w:anchor="_Toc94197889" w:history="1">
        <w:r w:rsidR="003C37DE" w:rsidRPr="003C37DE">
          <w:rPr>
            <w:rStyle w:val="Hyperlink"/>
            <w:rFonts w:ascii="Arial" w:hAnsi="Arial" w:cs="Arial"/>
            <w:noProof/>
          </w:rPr>
          <w:t>3.4.4 CSAPR</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_Toc94197889 \h </w:instrText>
        </w:r>
        <w:r w:rsidR="003C37DE" w:rsidRPr="003C37DE">
          <w:rPr>
            <w:noProof/>
            <w:webHidden/>
          </w:rPr>
        </w:r>
        <w:r w:rsidR="003C37DE" w:rsidRPr="003C37DE">
          <w:rPr>
            <w:noProof/>
            <w:webHidden/>
          </w:rPr>
          <w:fldChar w:fldCharType="separate"/>
        </w:r>
        <w:r w:rsidR="00E00F8B">
          <w:rPr>
            <w:noProof/>
            <w:webHidden/>
          </w:rPr>
          <w:t>33</w:t>
        </w:r>
        <w:r w:rsidR="003C37DE" w:rsidRPr="003C37DE">
          <w:rPr>
            <w:noProof/>
            <w:webHidden/>
          </w:rPr>
          <w:fldChar w:fldCharType="end"/>
        </w:r>
      </w:hyperlink>
    </w:p>
    <w:p w14:paraId="390A9DE8" w14:textId="22F08D21" w:rsidR="003C37DE" w:rsidRPr="003C37DE" w:rsidRDefault="006E47BF">
      <w:pPr>
        <w:pStyle w:val="TOC3"/>
        <w:rPr>
          <w:rFonts w:eastAsiaTheme="minorEastAsia"/>
          <w:noProof/>
          <w:sz w:val="22"/>
        </w:rPr>
      </w:pPr>
      <w:hyperlink w:anchor="_Toc94197890" w:history="1">
        <w:r w:rsidR="003C37DE" w:rsidRPr="003C37DE">
          <w:rPr>
            <w:rStyle w:val="Hyperlink"/>
            <w:rFonts w:ascii="Arial" w:hAnsi="Arial" w:cs="Arial"/>
            <w:noProof/>
          </w:rPr>
          <w:t>3.4.5 Mercury and Air Toxics Standards for Coal-Fired EGUs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_Toc94197890 \h </w:instrText>
        </w:r>
        <w:r w:rsidR="003C37DE" w:rsidRPr="003C37DE">
          <w:rPr>
            <w:noProof/>
            <w:webHidden/>
          </w:rPr>
        </w:r>
        <w:r w:rsidR="003C37DE" w:rsidRPr="003C37DE">
          <w:rPr>
            <w:noProof/>
            <w:webHidden/>
          </w:rPr>
          <w:fldChar w:fldCharType="separate"/>
        </w:r>
        <w:r w:rsidR="00E00F8B">
          <w:rPr>
            <w:noProof/>
            <w:webHidden/>
          </w:rPr>
          <w:t>34</w:t>
        </w:r>
        <w:r w:rsidR="003C37DE" w:rsidRPr="003C37DE">
          <w:rPr>
            <w:noProof/>
            <w:webHidden/>
          </w:rPr>
          <w:fldChar w:fldCharType="end"/>
        </w:r>
      </w:hyperlink>
    </w:p>
    <w:p w14:paraId="6758AEC3" w14:textId="671A5DB2" w:rsidR="003C37DE" w:rsidRPr="003C37DE" w:rsidRDefault="006E47BF">
      <w:pPr>
        <w:pStyle w:val="TOC3"/>
        <w:rPr>
          <w:rFonts w:eastAsiaTheme="minorEastAsia"/>
          <w:noProof/>
          <w:sz w:val="22"/>
        </w:rPr>
      </w:pPr>
      <w:hyperlink w:anchor="_Toc94197891" w:history="1">
        <w:r w:rsidR="003C37DE" w:rsidRPr="003C37DE">
          <w:rPr>
            <w:rStyle w:val="Hyperlink"/>
            <w:rFonts w:ascii="Arial" w:hAnsi="Arial" w:cs="Arial"/>
            <w:noProof/>
          </w:rPr>
          <w:t>3.4.6 Combustion Turbine Maximum Achievable Control Technology</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_Toc94197891 \h </w:instrText>
        </w:r>
        <w:r w:rsidR="003C37DE" w:rsidRPr="003C37DE">
          <w:rPr>
            <w:noProof/>
            <w:webHidden/>
          </w:rPr>
        </w:r>
        <w:r w:rsidR="003C37DE" w:rsidRPr="003C37DE">
          <w:rPr>
            <w:noProof/>
            <w:webHidden/>
          </w:rPr>
          <w:fldChar w:fldCharType="separate"/>
        </w:r>
        <w:r w:rsidR="00E00F8B">
          <w:rPr>
            <w:noProof/>
            <w:webHidden/>
          </w:rPr>
          <w:t>35</w:t>
        </w:r>
        <w:r w:rsidR="003C37DE" w:rsidRPr="003C37DE">
          <w:rPr>
            <w:noProof/>
            <w:webHidden/>
          </w:rPr>
          <w:fldChar w:fldCharType="end"/>
        </w:r>
      </w:hyperlink>
    </w:p>
    <w:p w14:paraId="503554BE" w14:textId="5EA47E42" w:rsidR="003C37DE" w:rsidRPr="003C37DE" w:rsidRDefault="006E47BF">
      <w:pPr>
        <w:pStyle w:val="TOC3"/>
        <w:rPr>
          <w:rFonts w:eastAsiaTheme="minorEastAsia"/>
          <w:noProof/>
          <w:sz w:val="22"/>
        </w:rPr>
      </w:pPr>
      <w:hyperlink w:anchor="_Toc94197892" w:history="1">
        <w:r w:rsidR="003C37DE" w:rsidRPr="003C37DE">
          <w:rPr>
            <w:rStyle w:val="Hyperlink"/>
            <w:rFonts w:ascii="Arial" w:hAnsi="Arial" w:cs="Arial"/>
            <w:noProof/>
          </w:rPr>
          <w:t>3.4.7 Regional Haze Rule</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_Toc94197892 \h </w:instrText>
        </w:r>
        <w:r w:rsidR="003C37DE" w:rsidRPr="003C37DE">
          <w:rPr>
            <w:noProof/>
            <w:webHidden/>
          </w:rPr>
        </w:r>
        <w:r w:rsidR="003C37DE" w:rsidRPr="003C37DE">
          <w:rPr>
            <w:noProof/>
            <w:webHidden/>
          </w:rPr>
          <w:fldChar w:fldCharType="separate"/>
        </w:r>
        <w:r w:rsidR="00E00F8B">
          <w:rPr>
            <w:noProof/>
            <w:webHidden/>
          </w:rPr>
          <w:t>35</w:t>
        </w:r>
        <w:r w:rsidR="003C37DE" w:rsidRPr="003C37DE">
          <w:rPr>
            <w:noProof/>
            <w:webHidden/>
          </w:rPr>
          <w:fldChar w:fldCharType="end"/>
        </w:r>
      </w:hyperlink>
    </w:p>
    <w:p w14:paraId="2900D810" w14:textId="7B3EDC66" w:rsidR="003C37DE" w:rsidRPr="003C37DE" w:rsidRDefault="006E47BF">
      <w:pPr>
        <w:pStyle w:val="TOC3"/>
        <w:rPr>
          <w:rFonts w:eastAsiaTheme="minorEastAsia"/>
          <w:noProof/>
          <w:sz w:val="22"/>
        </w:rPr>
      </w:pPr>
      <w:hyperlink w:anchor="_Toc94197893" w:history="1">
        <w:r w:rsidR="003C37DE" w:rsidRPr="003C37DE">
          <w:rPr>
            <w:rStyle w:val="Hyperlink"/>
            <w:rFonts w:ascii="Arial" w:hAnsi="Arial" w:cs="Arial"/>
            <w:noProof/>
          </w:rPr>
          <w:t>3.4.8 Georgia Multipollutant Rule and Georgia SO</w:t>
        </w:r>
        <w:r w:rsidR="003C37DE" w:rsidRPr="003C37DE">
          <w:rPr>
            <w:rStyle w:val="Hyperlink"/>
            <w:rFonts w:ascii="Arial" w:hAnsi="Arial" w:cs="Arial"/>
            <w:noProof/>
            <w:vertAlign w:val="subscript"/>
          </w:rPr>
          <w:t>2</w:t>
        </w:r>
        <w:r w:rsidR="003C37DE" w:rsidRPr="003C37DE">
          <w:rPr>
            <w:rStyle w:val="Hyperlink"/>
            <w:rFonts w:ascii="Arial" w:hAnsi="Arial" w:cs="Arial"/>
            <w:noProof/>
          </w:rPr>
          <w:t xml:space="preserve"> Emissions Rule</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_Toc94197893 \h </w:instrText>
        </w:r>
        <w:r w:rsidR="003C37DE" w:rsidRPr="003C37DE">
          <w:rPr>
            <w:noProof/>
            <w:webHidden/>
          </w:rPr>
        </w:r>
        <w:r w:rsidR="003C37DE" w:rsidRPr="003C37DE">
          <w:rPr>
            <w:noProof/>
            <w:webHidden/>
          </w:rPr>
          <w:fldChar w:fldCharType="separate"/>
        </w:r>
        <w:r w:rsidR="00E00F8B">
          <w:rPr>
            <w:noProof/>
            <w:webHidden/>
          </w:rPr>
          <w:t>36</w:t>
        </w:r>
        <w:r w:rsidR="003C37DE" w:rsidRPr="003C37DE">
          <w:rPr>
            <w:noProof/>
            <w:webHidden/>
          </w:rPr>
          <w:fldChar w:fldCharType="end"/>
        </w:r>
      </w:hyperlink>
    </w:p>
    <w:p w14:paraId="206DABE4" w14:textId="4D61DBA1" w:rsidR="003C37DE" w:rsidRPr="003C37DE" w:rsidRDefault="006E47BF">
      <w:pPr>
        <w:pStyle w:val="TOC3"/>
        <w:rPr>
          <w:rFonts w:eastAsiaTheme="minorEastAsia"/>
          <w:noProof/>
          <w:sz w:val="22"/>
        </w:rPr>
      </w:pPr>
      <w:hyperlink w:anchor="_Toc94197894" w:history="1">
        <w:r w:rsidR="003C37DE" w:rsidRPr="003C37DE">
          <w:rPr>
            <w:rStyle w:val="Hyperlink"/>
            <w:rFonts w:ascii="Arial" w:hAnsi="Arial" w:cs="Arial"/>
            <w:noProof/>
          </w:rPr>
          <w:t>3.4.9 Startup, Shutdown and Malfunction SIP Call</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_Toc94197894 \h </w:instrText>
        </w:r>
        <w:r w:rsidR="003C37DE" w:rsidRPr="003C37DE">
          <w:rPr>
            <w:noProof/>
            <w:webHidden/>
          </w:rPr>
        </w:r>
        <w:r w:rsidR="003C37DE" w:rsidRPr="003C37DE">
          <w:rPr>
            <w:noProof/>
            <w:webHidden/>
          </w:rPr>
          <w:fldChar w:fldCharType="separate"/>
        </w:r>
        <w:r w:rsidR="00E00F8B">
          <w:rPr>
            <w:noProof/>
            <w:webHidden/>
          </w:rPr>
          <w:t>37</w:t>
        </w:r>
        <w:r w:rsidR="003C37DE" w:rsidRPr="003C37DE">
          <w:rPr>
            <w:noProof/>
            <w:webHidden/>
          </w:rPr>
          <w:fldChar w:fldCharType="end"/>
        </w:r>
      </w:hyperlink>
    </w:p>
    <w:p w14:paraId="2A6807A5" w14:textId="42A6CEE3" w:rsidR="003C37DE" w:rsidRPr="003C37DE" w:rsidRDefault="006E47BF">
      <w:pPr>
        <w:pStyle w:val="TOC3"/>
        <w:rPr>
          <w:rFonts w:eastAsiaTheme="minorEastAsia"/>
          <w:noProof/>
          <w:sz w:val="22"/>
        </w:rPr>
      </w:pPr>
      <w:hyperlink w:anchor="_Toc94197895" w:history="1">
        <w:r w:rsidR="003C37DE" w:rsidRPr="003C37DE">
          <w:rPr>
            <w:rStyle w:val="Hyperlink"/>
            <w:rFonts w:ascii="Arial" w:hAnsi="Arial" w:cs="Arial"/>
            <w:noProof/>
          </w:rPr>
          <w:t>3.4.10 GHG Policies and Emissions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_Toc94197895 \h </w:instrText>
        </w:r>
        <w:r w:rsidR="003C37DE" w:rsidRPr="003C37DE">
          <w:rPr>
            <w:noProof/>
            <w:webHidden/>
          </w:rPr>
        </w:r>
        <w:r w:rsidR="003C37DE" w:rsidRPr="003C37DE">
          <w:rPr>
            <w:noProof/>
            <w:webHidden/>
          </w:rPr>
          <w:fldChar w:fldCharType="separate"/>
        </w:r>
        <w:r w:rsidR="00E00F8B">
          <w:rPr>
            <w:noProof/>
            <w:webHidden/>
          </w:rPr>
          <w:t>38</w:t>
        </w:r>
        <w:r w:rsidR="003C37DE" w:rsidRPr="003C37DE">
          <w:rPr>
            <w:noProof/>
            <w:webHidden/>
          </w:rPr>
          <w:fldChar w:fldCharType="end"/>
        </w:r>
      </w:hyperlink>
    </w:p>
    <w:p w14:paraId="73FA1928" w14:textId="0BD47665" w:rsidR="003C37DE" w:rsidRPr="003C37DE" w:rsidRDefault="006E47BF">
      <w:pPr>
        <w:pStyle w:val="TOC3"/>
        <w:rPr>
          <w:rFonts w:eastAsiaTheme="minorEastAsia"/>
          <w:noProof/>
          <w:sz w:val="22"/>
        </w:rPr>
      </w:pPr>
      <w:hyperlink w:anchor="_Toc94197896" w:history="1">
        <w:r w:rsidR="003C37DE" w:rsidRPr="003C37DE">
          <w:rPr>
            <w:rStyle w:val="Hyperlink"/>
            <w:rFonts w:ascii="Arial" w:hAnsi="Arial" w:cs="Arial"/>
            <w:noProof/>
          </w:rPr>
          <w:t>3.4.11 316(b) Regulations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_Toc94197896 \h </w:instrText>
        </w:r>
        <w:r w:rsidR="003C37DE" w:rsidRPr="003C37DE">
          <w:rPr>
            <w:noProof/>
            <w:webHidden/>
          </w:rPr>
        </w:r>
        <w:r w:rsidR="003C37DE" w:rsidRPr="003C37DE">
          <w:rPr>
            <w:noProof/>
            <w:webHidden/>
          </w:rPr>
          <w:fldChar w:fldCharType="separate"/>
        </w:r>
        <w:r w:rsidR="00E00F8B">
          <w:rPr>
            <w:noProof/>
            <w:webHidden/>
          </w:rPr>
          <w:t>44</w:t>
        </w:r>
        <w:r w:rsidR="003C37DE" w:rsidRPr="003C37DE">
          <w:rPr>
            <w:noProof/>
            <w:webHidden/>
          </w:rPr>
          <w:fldChar w:fldCharType="end"/>
        </w:r>
      </w:hyperlink>
    </w:p>
    <w:p w14:paraId="5CA41A07" w14:textId="485DDFEA" w:rsidR="003C37DE" w:rsidRPr="003C37DE" w:rsidRDefault="006E47BF">
      <w:pPr>
        <w:pStyle w:val="TOC3"/>
        <w:rPr>
          <w:rFonts w:eastAsiaTheme="minorEastAsia"/>
          <w:noProof/>
          <w:sz w:val="22"/>
        </w:rPr>
      </w:pPr>
      <w:hyperlink w:anchor="_Toc94197897" w:history="1">
        <w:r w:rsidR="003C37DE" w:rsidRPr="003C37DE">
          <w:rPr>
            <w:rStyle w:val="Hyperlink"/>
            <w:rFonts w:ascii="Arial" w:hAnsi="Arial" w:cs="Arial"/>
            <w:noProof/>
          </w:rPr>
          <w:t>3.4.12 Effluent Limitations Guidelines Revision</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_Toc94197897 \h </w:instrText>
        </w:r>
        <w:r w:rsidR="003C37DE" w:rsidRPr="003C37DE">
          <w:rPr>
            <w:noProof/>
            <w:webHidden/>
          </w:rPr>
        </w:r>
        <w:r w:rsidR="003C37DE" w:rsidRPr="003C37DE">
          <w:rPr>
            <w:noProof/>
            <w:webHidden/>
          </w:rPr>
          <w:fldChar w:fldCharType="separate"/>
        </w:r>
        <w:r w:rsidR="00E00F8B">
          <w:rPr>
            <w:noProof/>
            <w:webHidden/>
          </w:rPr>
          <w:t>45</w:t>
        </w:r>
        <w:r w:rsidR="003C37DE" w:rsidRPr="003C37DE">
          <w:rPr>
            <w:noProof/>
            <w:webHidden/>
          </w:rPr>
          <w:fldChar w:fldCharType="end"/>
        </w:r>
      </w:hyperlink>
    </w:p>
    <w:p w14:paraId="1E875A2F" w14:textId="63B5C39B" w:rsidR="003C37DE" w:rsidRPr="003C37DE" w:rsidRDefault="006E47BF">
      <w:pPr>
        <w:pStyle w:val="TOC3"/>
        <w:rPr>
          <w:rFonts w:eastAsiaTheme="minorEastAsia"/>
          <w:noProof/>
          <w:sz w:val="22"/>
        </w:rPr>
      </w:pPr>
      <w:hyperlink w:anchor="_Toc94197898" w:history="1">
        <w:r w:rsidR="003C37DE" w:rsidRPr="003C37DE">
          <w:rPr>
            <w:rStyle w:val="Hyperlink"/>
            <w:rFonts w:ascii="Arial" w:hAnsi="Arial" w:cs="Arial"/>
            <w:noProof/>
          </w:rPr>
          <w:t>3.4.13 County of Maui</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_Toc94197898 \h </w:instrText>
        </w:r>
        <w:r w:rsidR="003C37DE" w:rsidRPr="003C37DE">
          <w:rPr>
            <w:noProof/>
            <w:webHidden/>
          </w:rPr>
        </w:r>
        <w:r w:rsidR="003C37DE" w:rsidRPr="003C37DE">
          <w:rPr>
            <w:noProof/>
            <w:webHidden/>
          </w:rPr>
          <w:fldChar w:fldCharType="separate"/>
        </w:r>
        <w:r w:rsidR="00E00F8B">
          <w:rPr>
            <w:noProof/>
            <w:webHidden/>
          </w:rPr>
          <w:t>48</w:t>
        </w:r>
        <w:r w:rsidR="003C37DE" w:rsidRPr="003C37DE">
          <w:rPr>
            <w:noProof/>
            <w:webHidden/>
          </w:rPr>
          <w:fldChar w:fldCharType="end"/>
        </w:r>
      </w:hyperlink>
    </w:p>
    <w:p w14:paraId="499B762B" w14:textId="2DE4FA79" w:rsidR="003C37DE" w:rsidRPr="003C37DE" w:rsidRDefault="006E47BF">
      <w:pPr>
        <w:pStyle w:val="TOC3"/>
        <w:rPr>
          <w:rFonts w:eastAsiaTheme="minorEastAsia"/>
          <w:noProof/>
          <w:sz w:val="22"/>
        </w:rPr>
      </w:pPr>
      <w:hyperlink w:anchor="_Toc94197899" w:history="1">
        <w:r w:rsidR="003C37DE" w:rsidRPr="003C37DE">
          <w:rPr>
            <w:rStyle w:val="Hyperlink"/>
            <w:rFonts w:ascii="Arial" w:hAnsi="Arial" w:cs="Arial"/>
            <w:noProof/>
          </w:rPr>
          <w:t>3.4.14 Clean Water Act Section 401 Certifications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_Toc94197899 \h </w:instrText>
        </w:r>
        <w:r w:rsidR="003C37DE" w:rsidRPr="003C37DE">
          <w:rPr>
            <w:noProof/>
            <w:webHidden/>
          </w:rPr>
        </w:r>
        <w:r w:rsidR="003C37DE" w:rsidRPr="003C37DE">
          <w:rPr>
            <w:noProof/>
            <w:webHidden/>
          </w:rPr>
          <w:fldChar w:fldCharType="separate"/>
        </w:r>
        <w:r w:rsidR="00E00F8B">
          <w:rPr>
            <w:noProof/>
            <w:webHidden/>
          </w:rPr>
          <w:t>49</w:t>
        </w:r>
        <w:r w:rsidR="003C37DE" w:rsidRPr="003C37DE">
          <w:rPr>
            <w:noProof/>
            <w:webHidden/>
          </w:rPr>
          <w:fldChar w:fldCharType="end"/>
        </w:r>
      </w:hyperlink>
    </w:p>
    <w:p w14:paraId="6C113931" w14:textId="080202BF" w:rsidR="003C37DE" w:rsidRPr="003C37DE" w:rsidRDefault="006E47BF">
      <w:pPr>
        <w:pStyle w:val="TOC3"/>
        <w:rPr>
          <w:rFonts w:eastAsiaTheme="minorEastAsia"/>
          <w:noProof/>
          <w:sz w:val="22"/>
        </w:rPr>
      </w:pPr>
      <w:hyperlink w:anchor="_Toc94197900" w:history="1">
        <w:r w:rsidR="003C37DE" w:rsidRPr="003C37DE">
          <w:rPr>
            <w:rStyle w:val="Hyperlink"/>
            <w:rFonts w:ascii="Arial" w:hAnsi="Arial" w:cs="Arial"/>
            <w:noProof/>
          </w:rPr>
          <w:t>3.4.15 Navigable Waters Protection Rule</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_Toc94197900 \h </w:instrText>
        </w:r>
        <w:r w:rsidR="003C37DE" w:rsidRPr="003C37DE">
          <w:rPr>
            <w:noProof/>
            <w:webHidden/>
          </w:rPr>
        </w:r>
        <w:r w:rsidR="003C37DE" w:rsidRPr="003C37DE">
          <w:rPr>
            <w:noProof/>
            <w:webHidden/>
          </w:rPr>
          <w:fldChar w:fldCharType="separate"/>
        </w:r>
        <w:r w:rsidR="00E00F8B">
          <w:rPr>
            <w:noProof/>
            <w:webHidden/>
          </w:rPr>
          <w:t>50</w:t>
        </w:r>
        <w:r w:rsidR="003C37DE" w:rsidRPr="003C37DE">
          <w:rPr>
            <w:noProof/>
            <w:webHidden/>
          </w:rPr>
          <w:fldChar w:fldCharType="end"/>
        </w:r>
      </w:hyperlink>
    </w:p>
    <w:p w14:paraId="6BCC0A61" w14:textId="36CA99DD" w:rsidR="003C37DE" w:rsidRPr="003C37DE" w:rsidRDefault="006E47BF">
      <w:pPr>
        <w:pStyle w:val="TOC3"/>
        <w:rPr>
          <w:rFonts w:eastAsiaTheme="minorEastAsia"/>
          <w:noProof/>
          <w:sz w:val="22"/>
        </w:rPr>
      </w:pPr>
      <w:hyperlink w:anchor="_Toc94197901" w:history="1">
        <w:r w:rsidR="003C37DE" w:rsidRPr="003C37DE">
          <w:rPr>
            <w:rStyle w:val="Hyperlink"/>
            <w:rFonts w:ascii="Arial" w:hAnsi="Arial" w:cs="Arial"/>
            <w:noProof/>
          </w:rPr>
          <w:t>3.4.16 Nationwide Permits (NWPs)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_Toc94197901 \h </w:instrText>
        </w:r>
        <w:r w:rsidR="003C37DE" w:rsidRPr="003C37DE">
          <w:rPr>
            <w:noProof/>
            <w:webHidden/>
          </w:rPr>
        </w:r>
        <w:r w:rsidR="003C37DE" w:rsidRPr="003C37DE">
          <w:rPr>
            <w:noProof/>
            <w:webHidden/>
          </w:rPr>
          <w:fldChar w:fldCharType="separate"/>
        </w:r>
        <w:r w:rsidR="00E00F8B">
          <w:rPr>
            <w:noProof/>
            <w:webHidden/>
          </w:rPr>
          <w:t>51</w:t>
        </w:r>
        <w:r w:rsidR="003C37DE" w:rsidRPr="003C37DE">
          <w:rPr>
            <w:noProof/>
            <w:webHidden/>
          </w:rPr>
          <w:fldChar w:fldCharType="end"/>
        </w:r>
      </w:hyperlink>
    </w:p>
    <w:p w14:paraId="0DB71591" w14:textId="3417D24B" w:rsidR="003C37DE" w:rsidRPr="003C37DE" w:rsidRDefault="006E47BF">
      <w:pPr>
        <w:pStyle w:val="TOC3"/>
        <w:rPr>
          <w:rFonts w:eastAsiaTheme="minorEastAsia"/>
          <w:noProof/>
          <w:sz w:val="22"/>
        </w:rPr>
      </w:pPr>
      <w:hyperlink w:anchor="_Toc94197902" w:history="1">
        <w:r w:rsidR="003C37DE" w:rsidRPr="003C37DE">
          <w:rPr>
            <w:rStyle w:val="Hyperlink"/>
            <w:rFonts w:ascii="Arial" w:hAnsi="Arial" w:cs="Arial"/>
            <w:noProof/>
          </w:rPr>
          <w:t>3.4.17 Coal Combustion Residuals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_Toc94197902 \h </w:instrText>
        </w:r>
        <w:r w:rsidR="003C37DE" w:rsidRPr="003C37DE">
          <w:rPr>
            <w:noProof/>
            <w:webHidden/>
          </w:rPr>
        </w:r>
        <w:r w:rsidR="003C37DE" w:rsidRPr="003C37DE">
          <w:rPr>
            <w:noProof/>
            <w:webHidden/>
          </w:rPr>
          <w:fldChar w:fldCharType="separate"/>
        </w:r>
        <w:r w:rsidR="00E00F8B">
          <w:rPr>
            <w:noProof/>
            <w:webHidden/>
          </w:rPr>
          <w:t>51</w:t>
        </w:r>
        <w:r w:rsidR="003C37DE" w:rsidRPr="003C37DE">
          <w:rPr>
            <w:noProof/>
            <w:webHidden/>
          </w:rPr>
          <w:fldChar w:fldCharType="end"/>
        </w:r>
      </w:hyperlink>
    </w:p>
    <w:p w14:paraId="43C30590" w14:textId="7806E494" w:rsidR="003C37DE" w:rsidRPr="003C37DE" w:rsidRDefault="006E47BF">
      <w:pPr>
        <w:pStyle w:val="TOC3"/>
        <w:rPr>
          <w:rFonts w:eastAsiaTheme="minorEastAsia"/>
          <w:noProof/>
          <w:sz w:val="22"/>
        </w:rPr>
      </w:pPr>
      <w:hyperlink w:anchor="_Toc94197903" w:history="1">
        <w:r w:rsidR="003C37DE" w:rsidRPr="003C37DE">
          <w:rPr>
            <w:rStyle w:val="Hyperlink"/>
            <w:rFonts w:ascii="Arial" w:hAnsi="Arial" w:cs="Arial"/>
            <w:noProof/>
          </w:rPr>
          <w:t>3.4.18 Other Considerations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_Toc94197903 \h </w:instrText>
        </w:r>
        <w:r w:rsidR="003C37DE" w:rsidRPr="003C37DE">
          <w:rPr>
            <w:noProof/>
            <w:webHidden/>
          </w:rPr>
        </w:r>
        <w:r w:rsidR="003C37DE" w:rsidRPr="003C37DE">
          <w:rPr>
            <w:noProof/>
            <w:webHidden/>
          </w:rPr>
          <w:fldChar w:fldCharType="separate"/>
        </w:r>
        <w:r w:rsidR="00E00F8B">
          <w:rPr>
            <w:noProof/>
            <w:webHidden/>
          </w:rPr>
          <w:t>59</w:t>
        </w:r>
        <w:r w:rsidR="003C37DE" w:rsidRPr="003C37DE">
          <w:rPr>
            <w:noProof/>
            <w:webHidden/>
          </w:rPr>
          <w:fldChar w:fldCharType="end"/>
        </w:r>
      </w:hyperlink>
    </w:p>
    <w:p w14:paraId="2BB92D65" w14:textId="3A5B38BC" w:rsidR="003C37DE" w:rsidRPr="003C37DE" w:rsidRDefault="006E47BF">
      <w:pPr>
        <w:pStyle w:val="TOC1"/>
        <w:rPr>
          <w:rFonts w:eastAsiaTheme="minorEastAsia" w:cs="Arial"/>
          <w:noProof/>
          <w:sz w:val="22"/>
        </w:rPr>
      </w:pPr>
      <w:hyperlink w:anchor="_Toc94197904" w:history="1">
        <w:r w:rsidR="003C37DE" w:rsidRPr="003C37DE">
          <w:rPr>
            <w:rStyle w:val="Hyperlink"/>
            <w:rFonts w:ascii="Arial" w:hAnsi="Arial" w:cs="Arial"/>
            <w:noProof/>
          </w:rPr>
          <w:t>4.0 Strategy Results and Financial Summary</w:t>
        </w:r>
        <w:r w:rsidR="003C37DE" w:rsidRPr="003C37DE">
          <w:rPr>
            <w:rFonts w:cs="Arial"/>
            <w:noProof/>
            <w:webHidden/>
          </w:rPr>
          <w:tab/>
        </w:r>
        <w:r w:rsidR="003C37DE" w:rsidRPr="003C37DE">
          <w:rPr>
            <w:rFonts w:cs="Arial"/>
            <w:noProof/>
            <w:webHidden/>
          </w:rPr>
          <w:fldChar w:fldCharType="begin"/>
        </w:r>
        <w:r w:rsidR="003C37DE" w:rsidRPr="003C37DE">
          <w:rPr>
            <w:rFonts w:cs="Arial"/>
            <w:noProof/>
            <w:webHidden/>
          </w:rPr>
          <w:instrText xml:space="preserve"> PAGEREF _Toc94197904 \h </w:instrText>
        </w:r>
        <w:r w:rsidR="003C37DE" w:rsidRPr="003C37DE">
          <w:rPr>
            <w:rFonts w:cs="Arial"/>
            <w:noProof/>
            <w:webHidden/>
          </w:rPr>
        </w:r>
        <w:r w:rsidR="003C37DE" w:rsidRPr="003C37DE">
          <w:rPr>
            <w:rFonts w:cs="Arial"/>
            <w:noProof/>
            <w:webHidden/>
          </w:rPr>
          <w:fldChar w:fldCharType="separate"/>
        </w:r>
        <w:r w:rsidR="00E00F8B">
          <w:rPr>
            <w:rFonts w:cs="Arial"/>
            <w:noProof/>
            <w:webHidden/>
          </w:rPr>
          <w:t>61</w:t>
        </w:r>
        <w:r w:rsidR="003C37DE" w:rsidRPr="003C37DE">
          <w:rPr>
            <w:rFonts w:cs="Arial"/>
            <w:noProof/>
            <w:webHidden/>
          </w:rPr>
          <w:fldChar w:fldCharType="end"/>
        </w:r>
      </w:hyperlink>
    </w:p>
    <w:p w14:paraId="7A0F4B7D" w14:textId="1DF65903" w:rsidR="003C37DE" w:rsidRPr="003C37DE" w:rsidRDefault="006E47BF">
      <w:pPr>
        <w:pStyle w:val="TOC2"/>
        <w:rPr>
          <w:rFonts w:eastAsiaTheme="minorEastAsia"/>
          <w:i w:val="0"/>
          <w:iCs w:val="0"/>
          <w:sz w:val="22"/>
          <w:szCs w:val="22"/>
        </w:rPr>
      </w:pPr>
      <w:hyperlink w:anchor="_Toc94197905" w:history="1">
        <w:r w:rsidR="003C37DE" w:rsidRPr="003C37DE">
          <w:rPr>
            <w:rStyle w:val="Hyperlink"/>
            <w:rFonts w:ascii="Arial" w:hAnsi="Arial" w:cs="Arial"/>
          </w:rPr>
          <w:t>4.1 Air Compliance Strategy Review</w:t>
        </w:r>
        <w:r w:rsidR="003C37DE" w:rsidRPr="003C37DE">
          <w:rPr>
            <w:webHidden/>
          </w:rPr>
          <w:tab/>
        </w:r>
        <w:r w:rsidR="003C37DE" w:rsidRPr="003C37DE">
          <w:rPr>
            <w:webHidden/>
          </w:rPr>
          <w:fldChar w:fldCharType="begin"/>
        </w:r>
        <w:r w:rsidR="003C37DE" w:rsidRPr="003C37DE">
          <w:rPr>
            <w:webHidden/>
          </w:rPr>
          <w:instrText xml:space="preserve"> PAGEREF _Toc94197905 \h </w:instrText>
        </w:r>
        <w:r w:rsidR="003C37DE" w:rsidRPr="003C37DE">
          <w:rPr>
            <w:webHidden/>
          </w:rPr>
        </w:r>
        <w:r w:rsidR="003C37DE" w:rsidRPr="003C37DE">
          <w:rPr>
            <w:webHidden/>
          </w:rPr>
          <w:fldChar w:fldCharType="separate"/>
        </w:r>
        <w:r w:rsidR="00E00F8B">
          <w:rPr>
            <w:webHidden/>
          </w:rPr>
          <w:t>61</w:t>
        </w:r>
        <w:r w:rsidR="003C37DE" w:rsidRPr="003C37DE">
          <w:rPr>
            <w:webHidden/>
          </w:rPr>
          <w:fldChar w:fldCharType="end"/>
        </w:r>
      </w:hyperlink>
    </w:p>
    <w:p w14:paraId="37CFE569" w14:textId="4FCDC01B" w:rsidR="003C37DE" w:rsidRPr="003C37DE" w:rsidRDefault="006E47BF">
      <w:pPr>
        <w:pStyle w:val="TOC3"/>
        <w:rPr>
          <w:rFonts w:eastAsiaTheme="minorEastAsia"/>
          <w:noProof/>
          <w:sz w:val="22"/>
        </w:rPr>
      </w:pPr>
      <w:hyperlink w:anchor="_Toc94197906" w:history="1">
        <w:r w:rsidR="003C37DE" w:rsidRPr="003C37DE">
          <w:rPr>
            <w:rStyle w:val="Hyperlink"/>
            <w:rFonts w:ascii="Arial" w:hAnsi="Arial" w:cs="Arial"/>
            <w:noProof/>
          </w:rPr>
          <w:t>4.1.1 SO2 Compliance</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_Toc94197906 \h </w:instrText>
        </w:r>
        <w:r w:rsidR="003C37DE" w:rsidRPr="003C37DE">
          <w:rPr>
            <w:noProof/>
            <w:webHidden/>
          </w:rPr>
        </w:r>
        <w:r w:rsidR="003C37DE" w:rsidRPr="003C37DE">
          <w:rPr>
            <w:noProof/>
            <w:webHidden/>
          </w:rPr>
          <w:fldChar w:fldCharType="separate"/>
        </w:r>
        <w:r w:rsidR="00E00F8B">
          <w:rPr>
            <w:noProof/>
            <w:webHidden/>
          </w:rPr>
          <w:t>62</w:t>
        </w:r>
        <w:r w:rsidR="003C37DE" w:rsidRPr="003C37DE">
          <w:rPr>
            <w:noProof/>
            <w:webHidden/>
          </w:rPr>
          <w:fldChar w:fldCharType="end"/>
        </w:r>
      </w:hyperlink>
    </w:p>
    <w:p w14:paraId="3DA0AF4F" w14:textId="5F063DAA" w:rsidR="003C37DE" w:rsidRPr="003C37DE" w:rsidRDefault="006E47BF">
      <w:pPr>
        <w:pStyle w:val="TOC3"/>
        <w:rPr>
          <w:rFonts w:eastAsiaTheme="minorEastAsia"/>
          <w:noProof/>
          <w:sz w:val="22"/>
        </w:rPr>
      </w:pPr>
      <w:hyperlink w:anchor="_Toc94197907" w:history="1">
        <w:r w:rsidR="003C37DE" w:rsidRPr="003C37DE">
          <w:rPr>
            <w:rStyle w:val="Hyperlink"/>
            <w:rFonts w:ascii="Arial" w:hAnsi="Arial" w:cs="Arial"/>
            <w:noProof/>
          </w:rPr>
          <w:t>4.1.2 NO</w:t>
        </w:r>
        <w:r w:rsidR="003C37DE" w:rsidRPr="003C37DE">
          <w:rPr>
            <w:rStyle w:val="Hyperlink"/>
            <w:rFonts w:ascii="Arial" w:hAnsi="Arial" w:cs="Arial"/>
            <w:noProof/>
            <w:vertAlign w:val="subscript"/>
          </w:rPr>
          <w:t>X</w:t>
        </w:r>
        <w:r w:rsidR="003C37DE" w:rsidRPr="003C37DE">
          <w:rPr>
            <w:rStyle w:val="Hyperlink"/>
            <w:rFonts w:ascii="Arial" w:hAnsi="Arial" w:cs="Arial"/>
            <w:noProof/>
          </w:rPr>
          <w:t xml:space="preserve"> Compliance</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_Toc94197907 \h </w:instrText>
        </w:r>
        <w:r w:rsidR="003C37DE" w:rsidRPr="003C37DE">
          <w:rPr>
            <w:noProof/>
            <w:webHidden/>
          </w:rPr>
        </w:r>
        <w:r w:rsidR="003C37DE" w:rsidRPr="003C37DE">
          <w:rPr>
            <w:noProof/>
            <w:webHidden/>
          </w:rPr>
          <w:fldChar w:fldCharType="separate"/>
        </w:r>
        <w:r w:rsidR="00E00F8B">
          <w:rPr>
            <w:noProof/>
            <w:webHidden/>
          </w:rPr>
          <w:t>63</w:t>
        </w:r>
        <w:r w:rsidR="003C37DE" w:rsidRPr="003C37DE">
          <w:rPr>
            <w:noProof/>
            <w:webHidden/>
          </w:rPr>
          <w:fldChar w:fldCharType="end"/>
        </w:r>
      </w:hyperlink>
    </w:p>
    <w:p w14:paraId="58722C16" w14:textId="6A25B694" w:rsidR="003C37DE" w:rsidRPr="003C37DE" w:rsidRDefault="006E47BF">
      <w:pPr>
        <w:pStyle w:val="TOC3"/>
        <w:rPr>
          <w:rFonts w:eastAsiaTheme="minorEastAsia"/>
          <w:noProof/>
          <w:sz w:val="22"/>
        </w:rPr>
      </w:pPr>
      <w:hyperlink w:anchor="_Toc94197908" w:history="1">
        <w:r w:rsidR="003C37DE" w:rsidRPr="003C37DE">
          <w:rPr>
            <w:rStyle w:val="Hyperlink"/>
            <w:rFonts w:ascii="Arial" w:hAnsi="Arial" w:cs="Arial"/>
            <w:noProof/>
          </w:rPr>
          <w:t>4.1.3 Mercury and Air Toxics Standards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_Toc94197908 \h </w:instrText>
        </w:r>
        <w:r w:rsidR="003C37DE" w:rsidRPr="003C37DE">
          <w:rPr>
            <w:noProof/>
            <w:webHidden/>
          </w:rPr>
        </w:r>
        <w:r w:rsidR="003C37DE" w:rsidRPr="003C37DE">
          <w:rPr>
            <w:noProof/>
            <w:webHidden/>
          </w:rPr>
          <w:fldChar w:fldCharType="separate"/>
        </w:r>
        <w:r w:rsidR="00E00F8B">
          <w:rPr>
            <w:noProof/>
            <w:webHidden/>
          </w:rPr>
          <w:t>64</w:t>
        </w:r>
        <w:r w:rsidR="003C37DE" w:rsidRPr="003C37DE">
          <w:rPr>
            <w:noProof/>
            <w:webHidden/>
          </w:rPr>
          <w:fldChar w:fldCharType="end"/>
        </w:r>
      </w:hyperlink>
    </w:p>
    <w:p w14:paraId="2F121F49" w14:textId="07971070" w:rsidR="003C37DE" w:rsidRPr="003C37DE" w:rsidRDefault="006E47BF">
      <w:pPr>
        <w:pStyle w:val="TOC3"/>
        <w:rPr>
          <w:rFonts w:eastAsiaTheme="minorEastAsia"/>
          <w:noProof/>
          <w:sz w:val="22"/>
        </w:rPr>
      </w:pPr>
      <w:hyperlink w:anchor="_Toc94197909" w:history="1">
        <w:r w:rsidR="003C37DE" w:rsidRPr="003C37DE">
          <w:rPr>
            <w:rStyle w:val="Hyperlink"/>
            <w:rFonts w:ascii="Arial" w:hAnsi="Arial" w:cs="Arial"/>
            <w:noProof/>
          </w:rPr>
          <w:t>4.1.4 Greenhouse Gases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_Toc94197909 \h </w:instrText>
        </w:r>
        <w:r w:rsidR="003C37DE" w:rsidRPr="003C37DE">
          <w:rPr>
            <w:noProof/>
            <w:webHidden/>
          </w:rPr>
        </w:r>
        <w:r w:rsidR="003C37DE" w:rsidRPr="003C37DE">
          <w:rPr>
            <w:noProof/>
            <w:webHidden/>
          </w:rPr>
          <w:fldChar w:fldCharType="separate"/>
        </w:r>
        <w:r w:rsidR="00E00F8B">
          <w:rPr>
            <w:noProof/>
            <w:webHidden/>
          </w:rPr>
          <w:t>65</w:t>
        </w:r>
        <w:r w:rsidR="003C37DE" w:rsidRPr="003C37DE">
          <w:rPr>
            <w:noProof/>
            <w:webHidden/>
          </w:rPr>
          <w:fldChar w:fldCharType="end"/>
        </w:r>
      </w:hyperlink>
    </w:p>
    <w:p w14:paraId="6546FE72" w14:textId="24DAE405" w:rsidR="003C37DE" w:rsidRPr="003C37DE" w:rsidRDefault="006E47BF">
      <w:pPr>
        <w:pStyle w:val="TOC2"/>
        <w:rPr>
          <w:rFonts w:eastAsiaTheme="minorEastAsia"/>
          <w:i w:val="0"/>
          <w:iCs w:val="0"/>
          <w:sz w:val="22"/>
          <w:szCs w:val="22"/>
        </w:rPr>
      </w:pPr>
      <w:hyperlink w:anchor="_Toc94197910" w:history="1">
        <w:r w:rsidR="003C37DE" w:rsidRPr="003C37DE">
          <w:rPr>
            <w:rStyle w:val="Hyperlink"/>
            <w:rFonts w:ascii="Arial" w:hAnsi="Arial" w:cs="Arial"/>
          </w:rPr>
          <w:t>4.2 Water Compliance Strategy Review</w:t>
        </w:r>
        <w:r w:rsidR="003C37DE" w:rsidRPr="003C37DE">
          <w:rPr>
            <w:webHidden/>
          </w:rPr>
          <w:tab/>
        </w:r>
        <w:r w:rsidR="003C37DE" w:rsidRPr="003C37DE">
          <w:rPr>
            <w:webHidden/>
          </w:rPr>
          <w:fldChar w:fldCharType="begin"/>
        </w:r>
        <w:r w:rsidR="003C37DE" w:rsidRPr="003C37DE">
          <w:rPr>
            <w:webHidden/>
          </w:rPr>
          <w:instrText xml:space="preserve"> PAGEREF _Toc94197910 \h </w:instrText>
        </w:r>
        <w:r w:rsidR="003C37DE" w:rsidRPr="003C37DE">
          <w:rPr>
            <w:webHidden/>
          </w:rPr>
        </w:r>
        <w:r w:rsidR="003C37DE" w:rsidRPr="003C37DE">
          <w:rPr>
            <w:webHidden/>
          </w:rPr>
          <w:fldChar w:fldCharType="separate"/>
        </w:r>
        <w:r w:rsidR="00E00F8B">
          <w:rPr>
            <w:webHidden/>
          </w:rPr>
          <w:t>66</w:t>
        </w:r>
        <w:r w:rsidR="003C37DE" w:rsidRPr="003C37DE">
          <w:rPr>
            <w:webHidden/>
          </w:rPr>
          <w:fldChar w:fldCharType="end"/>
        </w:r>
      </w:hyperlink>
    </w:p>
    <w:p w14:paraId="6F9C4DD4" w14:textId="2AFD01BD" w:rsidR="003C37DE" w:rsidRPr="003C37DE" w:rsidRDefault="006E47BF">
      <w:pPr>
        <w:pStyle w:val="TOC3"/>
        <w:rPr>
          <w:rFonts w:eastAsiaTheme="minorEastAsia"/>
          <w:noProof/>
          <w:sz w:val="22"/>
        </w:rPr>
      </w:pPr>
      <w:hyperlink w:anchor="_Toc94197911" w:history="1">
        <w:r w:rsidR="003C37DE" w:rsidRPr="003C37DE">
          <w:rPr>
            <w:rStyle w:val="Hyperlink"/>
            <w:rFonts w:ascii="Arial" w:hAnsi="Arial" w:cs="Arial"/>
            <w:noProof/>
          </w:rPr>
          <w:t>4.2.1 Cooling Water Intake Structures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_Toc94197911 \h </w:instrText>
        </w:r>
        <w:r w:rsidR="003C37DE" w:rsidRPr="003C37DE">
          <w:rPr>
            <w:noProof/>
            <w:webHidden/>
          </w:rPr>
        </w:r>
        <w:r w:rsidR="003C37DE" w:rsidRPr="003C37DE">
          <w:rPr>
            <w:noProof/>
            <w:webHidden/>
          </w:rPr>
          <w:fldChar w:fldCharType="separate"/>
        </w:r>
        <w:r w:rsidR="00E00F8B">
          <w:rPr>
            <w:noProof/>
            <w:webHidden/>
          </w:rPr>
          <w:t>66</w:t>
        </w:r>
        <w:r w:rsidR="003C37DE" w:rsidRPr="003C37DE">
          <w:rPr>
            <w:noProof/>
            <w:webHidden/>
          </w:rPr>
          <w:fldChar w:fldCharType="end"/>
        </w:r>
      </w:hyperlink>
    </w:p>
    <w:p w14:paraId="5A62A5DD" w14:textId="600F400B" w:rsidR="003C37DE" w:rsidRPr="003C37DE" w:rsidRDefault="006E47BF">
      <w:pPr>
        <w:pStyle w:val="TOC3"/>
        <w:rPr>
          <w:rFonts w:eastAsiaTheme="minorEastAsia"/>
          <w:noProof/>
          <w:sz w:val="22"/>
        </w:rPr>
      </w:pPr>
      <w:hyperlink w:anchor="_Toc94197912" w:history="1">
        <w:r w:rsidR="003C37DE" w:rsidRPr="003C37DE">
          <w:rPr>
            <w:rStyle w:val="Hyperlink"/>
            <w:rFonts w:ascii="Arial" w:hAnsi="Arial" w:cs="Arial"/>
            <w:noProof/>
          </w:rPr>
          <w:t>4.2.2 Wastewater Treatment Facilities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_Toc94197912 \h </w:instrText>
        </w:r>
        <w:r w:rsidR="003C37DE" w:rsidRPr="003C37DE">
          <w:rPr>
            <w:noProof/>
            <w:webHidden/>
          </w:rPr>
        </w:r>
        <w:r w:rsidR="003C37DE" w:rsidRPr="003C37DE">
          <w:rPr>
            <w:noProof/>
            <w:webHidden/>
          </w:rPr>
          <w:fldChar w:fldCharType="separate"/>
        </w:r>
        <w:r w:rsidR="00E00F8B">
          <w:rPr>
            <w:noProof/>
            <w:webHidden/>
          </w:rPr>
          <w:t>67</w:t>
        </w:r>
        <w:r w:rsidR="003C37DE" w:rsidRPr="003C37DE">
          <w:rPr>
            <w:noProof/>
            <w:webHidden/>
          </w:rPr>
          <w:fldChar w:fldCharType="end"/>
        </w:r>
      </w:hyperlink>
    </w:p>
    <w:p w14:paraId="15820633" w14:textId="1FE0093A" w:rsidR="003C37DE" w:rsidRPr="003C37DE" w:rsidRDefault="006E47BF">
      <w:pPr>
        <w:pStyle w:val="TOC2"/>
        <w:rPr>
          <w:rFonts w:eastAsiaTheme="minorEastAsia"/>
          <w:i w:val="0"/>
          <w:iCs w:val="0"/>
          <w:sz w:val="22"/>
          <w:szCs w:val="22"/>
        </w:rPr>
      </w:pPr>
      <w:hyperlink w:anchor="_Toc94197913" w:history="1">
        <w:r w:rsidR="003C37DE" w:rsidRPr="003C37DE">
          <w:rPr>
            <w:rStyle w:val="Hyperlink"/>
            <w:rFonts w:ascii="Arial" w:hAnsi="Arial" w:cs="Arial"/>
          </w:rPr>
          <w:t>4.3 Solid Waste Management Compliance Strategy Review</w:t>
        </w:r>
        <w:r w:rsidR="003C37DE" w:rsidRPr="003C37DE">
          <w:rPr>
            <w:webHidden/>
          </w:rPr>
          <w:tab/>
        </w:r>
        <w:r w:rsidR="003C37DE" w:rsidRPr="003C37DE">
          <w:rPr>
            <w:webHidden/>
          </w:rPr>
          <w:fldChar w:fldCharType="begin"/>
        </w:r>
        <w:r w:rsidR="003C37DE" w:rsidRPr="003C37DE">
          <w:rPr>
            <w:webHidden/>
          </w:rPr>
          <w:instrText xml:space="preserve"> PAGEREF _Toc94197913 \h </w:instrText>
        </w:r>
        <w:r w:rsidR="003C37DE" w:rsidRPr="003C37DE">
          <w:rPr>
            <w:webHidden/>
          </w:rPr>
        </w:r>
        <w:r w:rsidR="003C37DE" w:rsidRPr="003C37DE">
          <w:rPr>
            <w:webHidden/>
          </w:rPr>
          <w:fldChar w:fldCharType="separate"/>
        </w:r>
        <w:r w:rsidR="00E00F8B">
          <w:rPr>
            <w:webHidden/>
          </w:rPr>
          <w:t>73</w:t>
        </w:r>
        <w:r w:rsidR="003C37DE" w:rsidRPr="003C37DE">
          <w:rPr>
            <w:webHidden/>
          </w:rPr>
          <w:fldChar w:fldCharType="end"/>
        </w:r>
      </w:hyperlink>
    </w:p>
    <w:p w14:paraId="3834901F" w14:textId="0333EF66" w:rsidR="003C37DE" w:rsidRPr="003C37DE" w:rsidRDefault="006E47BF">
      <w:pPr>
        <w:pStyle w:val="TOC3"/>
        <w:rPr>
          <w:rFonts w:eastAsiaTheme="minorEastAsia"/>
          <w:noProof/>
          <w:sz w:val="22"/>
        </w:rPr>
      </w:pPr>
      <w:hyperlink w:anchor="_Toc94197914" w:history="1">
        <w:r w:rsidR="003C37DE" w:rsidRPr="003C37DE">
          <w:rPr>
            <w:rStyle w:val="Hyperlink"/>
            <w:rFonts w:ascii="Arial" w:hAnsi="Arial" w:cs="Arial"/>
            <w:noProof/>
          </w:rPr>
          <w:t>4.3.1 Background and Compliance Requirements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_Toc94197914 \h </w:instrText>
        </w:r>
        <w:r w:rsidR="003C37DE" w:rsidRPr="003C37DE">
          <w:rPr>
            <w:noProof/>
            <w:webHidden/>
          </w:rPr>
        </w:r>
        <w:r w:rsidR="003C37DE" w:rsidRPr="003C37DE">
          <w:rPr>
            <w:noProof/>
            <w:webHidden/>
          </w:rPr>
          <w:fldChar w:fldCharType="separate"/>
        </w:r>
        <w:r w:rsidR="00E00F8B">
          <w:rPr>
            <w:noProof/>
            <w:webHidden/>
          </w:rPr>
          <w:t>73</w:t>
        </w:r>
        <w:r w:rsidR="003C37DE" w:rsidRPr="003C37DE">
          <w:rPr>
            <w:noProof/>
            <w:webHidden/>
          </w:rPr>
          <w:fldChar w:fldCharType="end"/>
        </w:r>
      </w:hyperlink>
    </w:p>
    <w:p w14:paraId="5389B493" w14:textId="29284E03" w:rsidR="003C37DE" w:rsidRPr="003C37DE" w:rsidRDefault="006E47BF">
      <w:pPr>
        <w:pStyle w:val="TOC3"/>
        <w:rPr>
          <w:rFonts w:eastAsiaTheme="minorEastAsia"/>
          <w:noProof/>
          <w:sz w:val="22"/>
        </w:rPr>
      </w:pPr>
      <w:hyperlink w:anchor="_Toc94197915" w:history="1">
        <w:r w:rsidR="003C37DE" w:rsidRPr="003C37DE">
          <w:rPr>
            <w:rStyle w:val="Hyperlink"/>
            <w:rFonts w:ascii="Arial" w:hAnsi="Arial" w:cs="Arial"/>
            <w:noProof/>
          </w:rPr>
          <w:t>4.3.2 Ash Pond Closure and Landfill Compliance Strategy</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_Toc94197915 \h </w:instrText>
        </w:r>
        <w:r w:rsidR="003C37DE" w:rsidRPr="003C37DE">
          <w:rPr>
            <w:noProof/>
            <w:webHidden/>
          </w:rPr>
        </w:r>
        <w:r w:rsidR="003C37DE" w:rsidRPr="003C37DE">
          <w:rPr>
            <w:noProof/>
            <w:webHidden/>
          </w:rPr>
          <w:fldChar w:fldCharType="separate"/>
        </w:r>
        <w:r w:rsidR="00E00F8B">
          <w:rPr>
            <w:noProof/>
            <w:webHidden/>
          </w:rPr>
          <w:t>73</w:t>
        </w:r>
        <w:r w:rsidR="003C37DE" w:rsidRPr="003C37DE">
          <w:rPr>
            <w:noProof/>
            <w:webHidden/>
          </w:rPr>
          <w:fldChar w:fldCharType="end"/>
        </w:r>
      </w:hyperlink>
    </w:p>
    <w:p w14:paraId="64E157E6" w14:textId="29AA27B6" w:rsidR="003C37DE" w:rsidRPr="003C37DE" w:rsidRDefault="006E47BF">
      <w:pPr>
        <w:pStyle w:val="TOC3"/>
        <w:rPr>
          <w:rFonts w:eastAsiaTheme="minorEastAsia"/>
          <w:noProof/>
          <w:sz w:val="22"/>
        </w:rPr>
      </w:pPr>
      <w:hyperlink w:anchor="_Toc94197916" w:history="1">
        <w:r w:rsidR="003C37DE" w:rsidRPr="003C37DE">
          <w:rPr>
            <w:rStyle w:val="Hyperlink"/>
            <w:rFonts w:ascii="Arial" w:hAnsi="Arial" w:cs="Arial"/>
            <w:noProof/>
          </w:rPr>
          <w:t>4.3.3 Ash Pond Dewatering</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_Toc94197916 \h </w:instrText>
        </w:r>
        <w:r w:rsidR="003C37DE" w:rsidRPr="003C37DE">
          <w:rPr>
            <w:noProof/>
            <w:webHidden/>
          </w:rPr>
        </w:r>
        <w:r w:rsidR="003C37DE" w:rsidRPr="003C37DE">
          <w:rPr>
            <w:noProof/>
            <w:webHidden/>
          </w:rPr>
          <w:fldChar w:fldCharType="separate"/>
        </w:r>
        <w:r w:rsidR="00E00F8B">
          <w:rPr>
            <w:noProof/>
            <w:webHidden/>
          </w:rPr>
          <w:t>84</w:t>
        </w:r>
        <w:r w:rsidR="003C37DE" w:rsidRPr="003C37DE">
          <w:rPr>
            <w:noProof/>
            <w:webHidden/>
          </w:rPr>
          <w:fldChar w:fldCharType="end"/>
        </w:r>
      </w:hyperlink>
    </w:p>
    <w:p w14:paraId="33F5ECFF" w14:textId="70B1233F" w:rsidR="003C37DE" w:rsidRPr="003C37DE" w:rsidRDefault="006E47BF">
      <w:pPr>
        <w:pStyle w:val="TOC3"/>
        <w:rPr>
          <w:rFonts w:eastAsiaTheme="minorEastAsia"/>
          <w:noProof/>
          <w:sz w:val="22"/>
        </w:rPr>
      </w:pPr>
      <w:hyperlink w:anchor="_Toc94197917" w:history="1">
        <w:r w:rsidR="003C37DE" w:rsidRPr="003C37DE">
          <w:rPr>
            <w:rStyle w:val="Hyperlink"/>
            <w:rFonts w:ascii="Arial" w:hAnsi="Arial" w:cs="Arial"/>
            <w:noProof/>
          </w:rPr>
          <w:t>4.3.4 Ongoing and Post Closure Requirements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_Toc94197917 \h </w:instrText>
        </w:r>
        <w:r w:rsidR="003C37DE" w:rsidRPr="003C37DE">
          <w:rPr>
            <w:noProof/>
            <w:webHidden/>
          </w:rPr>
        </w:r>
        <w:r w:rsidR="003C37DE" w:rsidRPr="003C37DE">
          <w:rPr>
            <w:noProof/>
            <w:webHidden/>
          </w:rPr>
          <w:fldChar w:fldCharType="separate"/>
        </w:r>
        <w:r w:rsidR="00E00F8B">
          <w:rPr>
            <w:noProof/>
            <w:webHidden/>
          </w:rPr>
          <w:t>84</w:t>
        </w:r>
        <w:r w:rsidR="003C37DE" w:rsidRPr="003C37DE">
          <w:rPr>
            <w:noProof/>
            <w:webHidden/>
          </w:rPr>
          <w:fldChar w:fldCharType="end"/>
        </w:r>
      </w:hyperlink>
    </w:p>
    <w:p w14:paraId="7C91AF53" w14:textId="24D532A5" w:rsidR="003C37DE" w:rsidRPr="003C37DE" w:rsidRDefault="006E47BF">
      <w:pPr>
        <w:pStyle w:val="TOC3"/>
        <w:rPr>
          <w:rFonts w:eastAsiaTheme="minorEastAsia"/>
          <w:noProof/>
          <w:sz w:val="22"/>
        </w:rPr>
      </w:pPr>
      <w:hyperlink w:anchor="_Toc94197918" w:history="1">
        <w:r w:rsidR="003C37DE" w:rsidRPr="003C37DE">
          <w:rPr>
            <w:rStyle w:val="Hyperlink"/>
            <w:rFonts w:ascii="Arial" w:hAnsi="Arial" w:cs="Arial"/>
            <w:noProof/>
          </w:rPr>
          <w:t xml:space="preserve">4.3.5 Beneficial </w:t>
        </w:r>
        <w:r w:rsidR="003C37DE" w:rsidRPr="003C37DE">
          <w:rPr>
            <w:rStyle w:val="Hyperlink"/>
            <w:rFonts w:ascii="Arial" w:hAnsi="Arial" w:cs="Arial"/>
            <w:bCs/>
            <w:noProof/>
          </w:rPr>
          <w:t>Use</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_Toc94197918 \h </w:instrText>
        </w:r>
        <w:r w:rsidR="003C37DE" w:rsidRPr="003C37DE">
          <w:rPr>
            <w:noProof/>
            <w:webHidden/>
          </w:rPr>
        </w:r>
        <w:r w:rsidR="003C37DE" w:rsidRPr="003C37DE">
          <w:rPr>
            <w:noProof/>
            <w:webHidden/>
          </w:rPr>
          <w:fldChar w:fldCharType="separate"/>
        </w:r>
        <w:r w:rsidR="00E00F8B">
          <w:rPr>
            <w:noProof/>
            <w:webHidden/>
          </w:rPr>
          <w:t>85</w:t>
        </w:r>
        <w:r w:rsidR="003C37DE" w:rsidRPr="003C37DE">
          <w:rPr>
            <w:noProof/>
            <w:webHidden/>
          </w:rPr>
          <w:fldChar w:fldCharType="end"/>
        </w:r>
      </w:hyperlink>
    </w:p>
    <w:p w14:paraId="7C00084C" w14:textId="25D2EECE" w:rsidR="003C37DE" w:rsidRPr="003C37DE" w:rsidRDefault="006E47BF">
      <w:pPr>
        <w:pStyle w:val="TOC2"/>
        <w:rPr>
          <w:rFonts w:eastAsiaTheme="minorEastAsia"/>
          <w:i w:val="0"/>
          <w:iCs w:val="0"/>
          <w:sz w:val="22"/>
          <w:szCs w:val="22"/>
        </w:rPr>
      </w:pPr>
      <w:hyperlink w:anchor="_Toc94197919" w:history="1">
        <w:r w:rsidR="003C37DE" w:rsidRPr="003C37DE">
          <w:rPr>
            <w:rStyle w:val="Hyperlink"/>
            <w:rFonts w:ascii="Arial" w:hAnsi="Arial" w:cs="Arial"/>
          </w:rPr>
          <w:t>4.4 Strategy and Schedule</w:t>
        </w:r>
        <w:r w:rsidR="003C37DE" w:rsidRPr="003C37DE">
          <w:rPr>
            <w:webHidden/>
          </w:rPr>
          <w:tab/>
        </w:r>
        <w:r w:rsidR="003C37DE" w:rsidRPr="003C37DE">
          <w:rPr>
            <w:webHidden/>
          </w:rPr>
          <w:fldChar w:fldCharType="begin"/>
        </w:r>
        <w:r w:rsidR="003C37DE" w:rsidRPr="003C37DE">
          <w:rPr>
            <w:webHidden/>
          </w:rPr>
          <w:instrText xml:space="preserve"> PAGEREF _Toc94197919 \h </w:instrText>
        </w:r>
        <w:r w:rsidR="003C37DE" w:rsidRPr="003C37DE">
          <w:rPr>
            <w:webHidden/>
          </w:rPr>
        </w:r>
        <w:r w:rsidR="003C37DE" w:rsidRPr="003C37DE">
          <w:rPr>
            <w:webHidden/>
          </w:rPr>
          <w:fldChar w:fldCharType="separate"/>
        </w:r>
        <w:r w:rsidR="00E00F8B">
          <w:rPr>
            <w:webHidden/>
          </w:rPr>
          <w:t>86</w:t>
        </w:r>
        <w:r w:rsidR="003C37DE" w:rsidRPr="003C37DE">
          <w:rPr>
            <w:webHidden/>
          </w:rPr>
          <w:fldChar w:fldCharType="end"/>
        </w:r>
      </w:hyperlink>
    </w:p>
    <w:p w14:paraId="284B4346" w14:textId="245AF631" w:rsidR="003C37DE" w:rsidRPr="003C37DE" w:rsidRDefault="006E47BF">
      <w:pPr>
        <w:pStyle w:val="TOC2"/>
        <w:rPr>
          <w:rFonts w:eastAsiaTheme="minorEastAsia"/>
          <w:i w:val="0"/>
          <w:iCs w:val="0"/>
          <w:sz w:val="22"/>
          <w:szCs w:val="22"/>
        </w:rPr>
      </w:pPr>
      <w:hyperlink w:anchor="_Toc94197920" w:history="1">
        <w:r w:rsidR="003C37DE" w:rsidRPr="003C37DE">
          <w:rPr>
            <w:rStyle w:val="Hyperlink"/>
            <w:rFonts w:ascii="Arial" w:hAnsi="Arial" w:cs="Arial"/>
          </w:rPr>
          <w:t>4.5 Financial Summary</w:t>
        </w:r>
        <w:r w:rsidR="003C37DE" w:rsidRPr="003C37DE">
          <w:rPr>
            <w:webHidden/>
          </w:rPr>
          <w:tab/>
        </w:r>
        <w:r w:rsidR="003C37DE" w:rsidRPr="003C37DE">
          <w:rPr>
            <w:webHidden/>
          </w:rPr>
          <w:fldChar w:fldCharType="begin"/>
        </w:r>
        <w:r w:rsidR="003C37DE" w:rsidRPr="003C37DE">
          <w:rPr>
            <w:webHidden/>
          </w:rPr>
          <w:instrText xml:space="preserve"> PAGEREF _Toc94197920 \h </w:instrText>
        </w:r>
        <w:r w:rsidR="003C37DE" w:rsidRPr="003C37DE">
          <w:rPr>
            <w:webHidden/>
          </w:rPr>
        </w:r>
        <w:r w:rsidR="003C37DE" w:rsidRPr="003C37DE">
          <w:rPr>
            <w:webHidden/>
          </w:rPr>
          <w:fldChar w:fldCharType="separate"/>
        </w:r>
        <w:r w:rsidR="00E00F8B">
          <w:rPr>
            <w:webHidden/>
          </w:rPr>
          <w:t>87</w:t>
        </w:r>
        <w:r w:rsidR="003C37DE" w:rsidRPr="003C37DE">
          <w:rPr>
            <w:webHidden/>
          </w:rPr>
          <w:fldChar w:fldCharType="end"/>
        </w:r>
      </w:hyperlink>
    </w:p>
    <w:p w14:paraId="6A608B0D" w14:textId="33A38000" w:rsidR="003C37DE" w:rsidRPr="003C37DE" w:rsidRDefault="006E47BF">
      <w:pPr>
        <w:pStyle w:val="TOC3"/>
        <w:rPr>
          <w:rFonts w:eastAsiaTheme="minorEastAsia"/>
          <w:noProof/>
          <w:sz w:val="22"/>
        </w:rPr>
      </w:pPr>
      <w:hyperlink w:anchor="_Toc94197921" w:history="1">
        <w:r w:rsidR="003C37DE" w:rsidRPr="003C37DE">
          <w:rPr>
            <w:rStyle w:val="Hyperlink"/>
            <w:rFonts w:ascii="Arial" w:hAnsi="Arial" w:cs="Arial"/>
            <w:noProof/>
          </w:rPr>
          <w:t>4.5.1 CCR Asset Retirement Obligations</w:t>
        </w:r>
        <w:r w:rsidR="003C37DE" w:rsidRPr="003C37DE">
          <w:rPr>
            <w:noProof/>
            <w:webHidden/>
          </w:rPr>
          <w:tab/>
        </w:r>
        <w:r w:rsidR="003C37DE" w:rsidRPr="003C37DE">
          <w:rPr>
            <w:noProof/>
            <w:webHidden/>
          </w:rPr>
          <w:fldChar w:fldCharType="begin"/>
        </w:r>
        <w:r w:rsidR="003C37DE" w:rsidRPr="003C37DE">
          <w:rPr>
            <w:noProof/>
            <w:webHidden/>
          </w:rPr>
          <w:instrText xml:space="preserve"> PAGEREF _Toc94197921 \h </w:instrText>
        </w:r>
        <w:r w:rsidR="003C37DE" w:rsidRPr="003C37DE">
          <w:rPr>
            <w:noProof/>
            <w:webHidden/>
          </w:rPr>
        </w:r>
        <w:r w:rsidR="003C37DE" w:rsidRPr="003C37DE">
          <w:rPr>
            <w:noProof/>
            <w:webHidden/>
          </w:rPr>
          <w:fldChar w:fldCharType="separate"/>
        </w:r>
        <w:r w:rsidR="00E00F8B">
          <w:rPr>
            <w:noProof/>
            <w:webHidden/>
          </w:rPr>
          <w:t>88</w:t>
        </w:r>
        <w:r w:rsidR="003C37DE" w:rsidRPr="003C37DE">
          <w:rPr>
            <w:noProof/>
            <w:webHidden/>
          </w:rPr>
          <w:fldChar w:fldCharType="end"/>
        </w:r>
      </w:hyperlink>
    </w:p>
    <w:p w14:paraId="14C35B86" w14:textId="17EE4984" w:rsidR="003C37DE" w:rsidRPr="003C37DE" w:rsidRDefault="006E47BF">
      <w:pPr>
        <w:pStyle w:val="TOC1"/>
        <w:rPr>
          <w:rFonts w:eastAsiaTheme="minorEastAsia" w:cs="Arial"/>
          <w:noProof/>
          <w:sz w:val="22"/>
        </w:rPr>
      </w:pPr>
      <w:hyperlink w:anchor="_Toc94197922" w:history="1">
        <w:r w:rsidR="003C37DE" w:rsidRPr="003C37DE">
          <w:rPr>
            <w:rStyle w:val="Hyperlink"/>
            <w:rFonts w:ascii="Arial" w:hAnsi="Arial" w:cs="Arial"/>
            <w:b/>
            <w:noProof/>
          </w:rPr>
          <w:t>ECS-APPENDIX A</w:t>
        </w:r>
        <w:r w:rsidR="003C37DE" w:rsidRPr="003C37DE">
          <w:rPr>
            <w:rFonts w:cs="Arial"/>
            <w:noProof/>
            <w:webHidden/>
          </w:rPr>
          <w:tab/>
        </w:r>
        <w:r w:rsidR="003C37DE" w:rsidRPr="003C37DE">
          <w:rPr>
            <w:rFonts w:cs="Arial"/>
            <w:noProof/>
            <w:webHidden/>
          </w:rPr>
          <w:fldChar w:fldCharType="begin"/>
        </w:r>
        <w:r w:rsidR="003C37DE" w:rsidRPr="003C37DE">
          <w:rPr>
            <w:rFonts w:cs="Arial"/>
            <w:noProof/>
            <w:webHidden/>
          </w:rPr>
          <w:instrText xml:space="preserve"> PAGEREF _Toc94197922 \h </w:instrText>
        </w:r>
        <w:r w:rsidR="003C37DE" w:rsidRPr="003C37DE">
          <w:rPr>
            <w:rFonts w:cs="Arial"/>
            <w:noProof/>
            <w:webHidden/>
          </w:rPr>
        </w:r>
        <w:r w:rsidR="003C37DE" w:rsidRPr="003C37DE">
          <w:rPr>
            <w:rFonts w:cs="Arial"/>
            <w:noProof/>
            <w:webHidden/>
          </w:rPr>
          <w:fldChar w:fldCharType="separate"/>
        </w:r>
        <w:r w:rsidR="00E00F8B">
          <w:rPr>
            <w:rFonts w:cs="Arial"/>
            <w:noProof/>
            <w:webHidden/>
          </w:rPr>
          <w:t>90</w:t>
        </w:r>
        <w:r w:rsidR="003C37DE" w:rsidRPr="003C37DE">
          <w:rPr>
            <w:rFonts w:cs="Arial"/>
            <w:noProof/>
            <w:webHidden/>
          </w:rPr>
          <w:fldChar w:fldCharType="end"/>
        </w:r>
      </w:hyperlink>
    </w:p>
    <w:p w14:paraId="259AE971" w14:textId="2F7B5359" w:rsidR="003C37DE" w:rsidRPr="003C37DE" w:rsidRDefault="006E47BF">
      <w:pPr>
        <w:pStyle w:val="TOC1"/>
        <w:rPr>
          <w:rFonts w:eastAsiaTheme="minorEastAsia" w:cs="Arial"/>
          <w:noProof/>
          <w:sz w:val="22"/>
        </w:rPr>
      </w:pPr>
      <w:hyperlink w:anchor="_Toc94197923" w:history="1">
        <w:r w:rsidR="003C37DE" w:rsidRPr="003C37DE">
          <w:rPr>
            <w:rStyle w:val="Hyperlink"/>
            <w:rFonts w:ascii="Arial" w:hAnsi="Arial" w:cs="Arial"/>
            <w:b/>
            <w:noProof/>
          </w:rPr>
          <w:t>ECS-APPENDIX B</w:t>
        </w:r>
        <w:r w:rsidR="003C37DE" w:rsidRPr="003C37DE">
          <w:rPr>
            <w:rFonts w:cs="Arial"/>
            <w:noProof/>
            <w:webHidden/>
          </w:rPr>
          <w:tab/>
        </w:r>
        <w:r w:rsidR="003C37DE" w:rsidRPr="003C37DE">
          <w:rPr>
            <w:rFonts w:cs="Arial"/>
            <w:noProof/>
            <w:webHidden/>
          </w:rPr>
          <w:fldChar w:fldCharType="begin"/>
        </w:r>
        <w:r w:rsidR="003C37DE" w:rsidRPr="003C37DE">
          <w:rPr>
            <w:rFonts w:cs="Arial"/>
            <w:noProof/>
            <w:webHidden/>
          </w:rPr>
          <w:instrText xml:space="preserve"> PAGEREF _Toc94197923 \h </w:instrText>
        </w:r>
        <w:r w:rsidR="003C37DE" w:rsidRPr="003C37DE">
          <w:rPr>
            <w:rFonts w:cs="Arial"/>
            <w:noProof/>
            <w:webHidden/>
          </w:rPr>
        </w:r>
        <w:r w:rsidR="003C37DE" w:rsidRPr="003C37DE">
          <w:rPr>
            <w:rFonts w:cs="Arial"/>
            <w:noProof/>
            <w:webHidden/>
          </w:rPr>
          <w:fldChar w:fldCharType="separate"/>
        </w:r>
        <w:r w:rsidR="00E00F8B">
          <w:rPr>
            <w:rFonts w:cs="Arial"/>
            <w:noProof/>
            <w:webHidden/>
          </w:rPr>
          <w:t>95</w:t>
        </w:r>
        <w:r w:rsidR="003C37DE" w:rsidRPr="003C37DE">
          <w:rPr>
            <w:rFonts w:cs="Arial"/>
            <w:noProof/>
            <w:webHidden/>
          </w:rPr>
          <w:fldChar w:fldCharType="end"/>
        </w:r>
      </w:hyperlink>
    </w:p>
    <w:p w14:paraId="42FA4BA6" w14:textId="208791BB" w:rsidR="003C37DE" w:rsidRPr="003C37DE" w:rsidRDefault="006E47BF">
      <w:pPr>
        <w:pStyle w:val="TOC1"/>
        <w:rPr>
          <w:rFonts w:eastAsiaTheme="minorEastAsia" w:cs="Arial"/>
          <w:noProof/>
          <w:sz w:val="22"/>
        </w:rPr>
      </w:pPr>
      <w:hyperlink w:anchor="_Toc94197924" w:history="1">
        <w:r w:rsidR="003C37DE" w:rsidRPr="003C37DE">
          <w:rPr>
            <w:rStyle w:val="Hyperlink"/>
            <w:rFonts w:ascii="Arial" w:hAnsi="Arial" w:cs="Arial"/>
            <w:b/>
            <w:noProof/>
          </w:rPr>
          <w:t>ECS-APPENDIX C</w:t>
        </w:r>
        <w:r w:rsidR="003C37DE" w:rsidRPr="003C37DE">
          <w:rPr>
            <w:rFonts w:cs="Arial"/>
            <w:noProof/>
            <w:webHidden/>
          </w:rPr>
          <w:tab/>
        </w:r>
        <w:r w:rsidR="003C37DE" w:rsidRPr="003C37DE">
          <w:rPr>
            <w:rFonts w:cs="Arial"/>
            <w:noProof/>
            <w:webHidden/>
          </w:rPr>
          <w:fldChar w:fldCharType="begin"/>
        </w:r>
        <w:r w:rsidR="003C37DE" w:rsidRPr="003C37DE">
          <w:rPr>
            <w:rFonts w:cs="Arial"/>
            <w:noProof/>
            <w:webHidden/>
          </w:rPr>
          <w:instrText xml:space="preserve"> PAGEREF _Toc94197924 \h </w:instrText>
        </w:r>
        <w:r w:rsidR="003C37DE" w:rsidRPr="003C37DE">
          <w:rPr>
            <w:rFonts w:cs="Arial"/>
            <w:noProof/>
            <w:webHidden/>
          </w:rPr>
        </w:r>
        <w:r w:rsidR="003C37DE" w:rsidRPr="003C37DE">
          <w:rPr>
            <w:rFonts w:cs="Arial"/>
            <w:noProof/>
            <w:webHidden/>
          </w:rPr>
          <w:fldChar w:fldCharType="separate"/>
        </w:r>
        <w:r w:rsidR="00E00F8B">
          <w:rPr>
            <w:rFonts w:cs="Arial"/>
            <w:noProof/>
            <w:webHidden/>
          </w:rPr>
          <w:t>107</w:t>
        </w:r>
        <w:r w:rsidR="003C37DE" w:rsidRPr="003C37DE">
          <w:rPr>
            <w:rFonts w:cs="Arial"/>
            <w:noProof/>
            <w:webHidden/>
          </w:rPr>
          <w:fldChar w:fldCharType="end"/>
        </w:r>
      </w:hyperlink>
    </w:p>
    <w:p w14:paraId="435D8190" w14:textId="4CE36940" w:rsidR="0083001D" w:rsidRDefault="004F7B7F" w:rsidP="001C3D47">
      <w:pPr>
        <w:spacing w:after="0"/>
        <w:rPr>
          <w:rFonts w:cs="Arial"/>
          <w:b/>
        </w:rPr>
        <w:sectPr w:rsidR="0083001D" w:rsidSect="0083001D">
          <w:headerReference w:type="default" r:id="rId17"/>
          <w:footerReference w:type="default" r:id="rId18"/>
          <w:pgSz w:w="12240" w:h="15840"/>
          <w:pgMar w:top="1440" w:right="1440" w:bottom="1440" w:left="1440" w:header="720" w:footer="720" w:gutter="0"/>
          <w:pgNumType w:fmt="lowerRoman" w:start="1"/>
          <w:cols w:space="720"/>
          <w:docGrid w:linePitch="360"/>
        </w:sectPr>
      </w:pPr>
      <w:r w:rsidRPr="008A55D6">
        <w:rPr>
          <w:rFonts w:cs="Arial"/>
        </w:rPr>
        <w:fldChar w:fldCharType="end"/>
      </w:r>
    </w:p>
    <w:p w14:paraId="40DD60B1" w14:textId="290FEF53" w:rsidR="00447DFE" w:rsidRDefault="006078A1" w:rsidP="00F9508B">
      <w:pPr>
        <w:pStyle w:val="Heading1"/>
      </w:pPr>
      <w:bookmarkStart w:id="2" w:name="_Toc92530480"/>
      <w:bookmarkStart w:id="3" w:name="_Toc94197857"/>
      <w:r>
        <w:lastRenderedPageBreak/>
        <w:t>1.0</w:t>
      </w:r>
      <w:r w:rsidR="00EA6160">
        <w:t xml:space="preserve"> </w:t>
      </w:r>
      <w:r w:rsidR="00F445AB">
        <w:t xml:space="preserve">Environmental Compliance Strategy </w:t>
      </w:r>
      <w:r w:rsidR="00DF0BC1">
        <w:t>Executive Summary</w:t>
      </w:r>
      <w:bookmarkEnd w:id="2"/>
      <w:bookmarkEnd w:id="3"/>
    </w:p>
    <w:p w14:paraId="778B71DF" w14:textId="77777777" w:rsidR="007527AF" w:rsidRPr="009D5FBC" w:rsidRDefault="007527AF" w:rsidP="009D5FBC">
      <w:pPr>
        <w:spacing w:after="0"/>
      </w:pPr>
    </w:p>
    <w:p w14:paraId="05E6644F" w14:textId="559E62CD" w:rsidR="009C796C" w:rsidRPr="009D5FBC" w:rsidRDefault="00D059DA" w:rsidP="00CE151D">
      <w:pPr>
        <w:pStyle w:val="Heading2"/>
      </w:pPr>
      <w:bookmarkStart w:id="4" w:name="_Toc94197858"/>
      <w:r>
        <w:t>1.1 I</w:t>
      </w:r>
      <w:r w:rsidR="009C796C" w:rsidRPr="009D5FBC">
        <w:t>ntroduction</w:t>
      </w:r>
      <w:bookmarkEnd w:id="4"/>
    </w:p>
    <w:p w14:paraId="72A2D628" w14:textId="69B64896" w:rsidR="009C796C" w:rsidRPr="009C796C" w:rsidRDefault="009C796C" w:rsidP="00660F6D">
      <w:pPr>
        <w:spacing w:before="120"/>
      </w:pPr>
      <w:r w:rsidRPr="009C796C">
        <w:t>Georgia Power Company (“Georgia Power” or the “Company” or “GPC”) is committed to meeting its environmental compliance obligations while also providing customers with clean, safe, reliable, and affordable energy. The Company’s Environmental Compliance Strategy (“ECS”) seeks to continually optimize compliance plans in an increasingly dynamic regulatory environment. The comprehensive annual strategy development process considers existing and potential legislative and regulatory requirements and determines plant-specific compliance options. These options are evaluated based on</w:t>
      </w:r>
      <w:r w:rsidR="00CE22CE">
        <w:t xml:space="preserve"> available</w:t>
      </w:r>
      <w:r w:rsidRPr="009C796C">
        <w:t xml:space="preserve"> technology, cost, schedule, impact to plant operations, the environment, and surrounding communities. This iterative approach is designed to provide</w:t>
      </w:r>
      <w:r>
        <w:t xml:space="preserve"> the </w:t>
      </w:r>
      <w:r w:rsidR="4D605944">
        <w:t>Company</w:t>
      </w:r>
      <w:r w:rsidRPr="009C796C">
        <w:t xml:space="preserve"> the necessary flexibility to develop and refine compliance plans that are in the best </w:t>
      </w:r>
      <w:r>
        <w:t>interest</w:t>
      </w:r>
      <w:r w:rsidR="1FD5B2E4">
        <w:t>s</w:t>
      </w:r>
      <w:r w:rsidRPr="009C796C">
        <w:t xml:space="preserve"> of customers.</w:t>
      </w:r>
    </w:p>
    <w:p w14:paraId="7B71BB91" w14:textId="4D187BE8" w:rsidR="009C796C" w:rsidRPr="009C796C" w:rsidRDefault="009C796C" w:rsidP="009C796C">
      <w:r w:rsidRPr="009C796C">
        <w:t xml:space="preserve">The ECS process has resulted in environmental compliance investments that have enabled the Company to </w:t>
      </w:r>
      <w:r w:rsidR="4257FD05">
        <w:t>cost-effectively</w:t>
      </w:r>
      <w:r w:rsidRPr="009C796C">
        <w:t xml:space="preserve"> maintain and operate a diverse generation mix to serve customers. In doing so, Georgia Power has achieved nitrogen oxides (“NO</w:t>
      </w:r>
      <w:r w:rsidRPr="009C796C">
        <w:rPr>
          <w:vertAlign w:val="subscript"/>
        </w:rPr>
        <w:t>x</w:t>
      </w:r>
      <w:r w:rsidRPr="009C796C">
        <w:t>”) and sulfur dioxide (“SO</w:t>
      </w:r>
      <w:r w:rsidRPr="009C796C">
        <w:rPr>
          <w:vertAlign w:val="subscript"/>
        </w:rPr>
        <w:t>2</w:t>
      </w:r>
      <w:r w:rsidRPr="009C796C">
        <w:t>”) emission reductions of approximately 96 and 99 percent, respectively, since 1990 and mercury emission reductions of approximately 99 percent since 200</w:t>
      </w:r>
      <w:r w:rsidR="0024537C">
        <w:t>7</w:t>
      </w:r>
      <w:r w:rsidRPr="009C796C">
        <w:t xml:space="preserve">. </w:t>
      </w:r>
      <w:r w:rsidR="00E710BF" w:rsidRPr="009C796C">
        <w:t>Georgia Power has reduced carbon dioxide (“CO</w:t>
      </w:r>
      <w:r w:rsidR="00E710BF" w:rsidRPr="009C796C">
        <w:rPr>
          <w:vertAlign w:val="subscript"/>
        </w:rPr>
        <w:t>2</w:t>
      </w:r>
      <w:r w:rsidR="00E710BF" w:rsidRPr="009C796C">
        <w:t xml:space="preserve">”) emissions by more than 60 percent between 2007 and </w:t>
      </w:r>
      <w:r w:rsidR="00B52931">
        <w:t xml:space="preserve">2020 </w:t>
      </w:r>
      <w:r w:rsidR="00E710BF">
        <w:t xml:space="preserve">through </w:t>
      </w:r>
      <w:r w:rsidRPr="009C796C">
        <w:t>the transition of the generation fleet, including the retirement of over 4,500 megawatts of coal and oil capacity</w:t>
      </w:r>
      <w:r w:rsidR="00B63FAA">
        <w:t>,</w:t>
      </w:r>
      <w:r w:rsidRPr="009C796C">
        <w:t xml:space="preserve"> the addition of </w:t>
      </w:r>
      <w:r w:rsidR="00B63FAA">
        <w:t>2,500 megawatts of natural gas-fired combined cycle units</w:t>
      </w:r>
      <w:r w:rsidR="6982BCA2">
        <w:t>,</w:t>
      </w:r>
      <w:r w:rsidR="00E710BF">
        <w:t xml:space="preserve"> and </w:t>
      </w:r>
      <w:r w:rsidRPr="009C796C">
        <w:t xml:space="preserve">the addition of </w:t>
      </w:r>
      <w:r w:rsidR="00346F0D">
        <w:t>over</w:t>
      </w:r>
      <w:r w:rsidR="00346F0D" w:rsidRPr="009C796C">
        <w:t xml:space="preserve"> </w:t>
      </w:r>
      <w:r w:rsidR="0010524C">
        <w:t>2,500</w:t>
      </w:r>
      <w:r w:rsidRPr="009C796C">
        <w:t xml:space="preserve"> megawatts of </w:t>
      </w:r>
      <w:r w:rsidR="00346F0D">
        <w:t>rene</w:t>
      </w:r>
      <w:r w:rsidR="00C262CA">
        <w:t>wable resources</w:t>
      </w:r>
      <w:r w:rsidR="00E710BF">
        <w:t xml:space="preserve">. </w:t>
      </w:r>
      <w:r w:rsidR="00520B9A">
        <w:t xml:space="preserve">The Company remains committed to cost-effectively providing clean, safe, reliable and affordable energy for its customers and the communities it serves as it responsibly transitions its generation fleet toward more cost-effective, low-carbon resources. </w:t>
      </w:r>
    </w:p>
    <w:p w14:paraId="4D9F2C1B" w14:textId="3AA29907" w:rsidR="002641C6" w:rsidRDefault="006D5CFA" w:rsidP="006D5CFA">
      <w:pPr>
        <w:jc w:val="center"/>
      </w:pPr>
      <w:r>
        <w:rPr>
          <w:noProof/>
        </w:rPr>
        <w:lastRenderedPageBreak/>
        <w:drawing>
          <wp:inline distT="0" distB="0" distL="0" distR="0" wp14:anchorId="561EC348" wp14:editId="37C9D392">
            <wp:extent cx="5943600" cy="338391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3383915"/>
                    </a:xfrm>
                    <a:prstGeom prst="rect">
                      <a:avLst/>
                    </a:prstGeom>
                  </pic:spPr>
                </pic:pic>
              </a:graphicData>
            </a:graphic>
          </wp:inline>
        </w:drawing>
      </w:r>
    </w:p>
    <w:p w14:paraId="20FDB8CD" w14:textId="17D26A89" w:rsidR="006F0B3D" w:rsidRPr="00DB7156" w:rsidRDefault="006F0B3D" w:rsidP="006F0B3D">
      <w:pPr>
        <w:spacing w:after="0"/>
        <w:rPr>
          <w:rFonts w:cs="Arial"/>
          <w:b/>
          <w:bCs/>
          <w:sz w:val="20"/>
          <w:szCs w:val="20"/>
        </w:rPr>
      </w:pPr>
      <w:r w:rsidRPr="00DB7156">
        <w:rPr>
          <w:rFonts w:cs="Arial"/>
          <w:b/>
          <w:bCs/>
          <w:sz w:val="20"/>
          <w:szCs w:val="20"/>
        </w:rPr>
        <w:t>Figure 1</w:t>
      </w:r>
      <w:r w:rsidRPr="00DB7156">
        <w:rPr>
          <w:rFonts w:cs="Arial"/>
          <w:b/>
          <w:bCs/>
          <w:sz w:val="20"/>
          <w:szCs w:val="20"/>
        </w:rPr>
        <w:noBreakHyphen/>
      </w:r>
      <w:r w:rsidRPr="00DB7156">
        <w:rPr>
          <w:rFonts w:cs="Arial"/>
          <w:b/>
          <w:bCs/>
          <w:sz w:val="20"/>
          <w:szCs w:val="20"/>
        </w:rPr>
        <w:fldChar w:fldCharType="begin"/>
      </w:r>
      <w:r w:rsidRPr="00DB7156">
        <w:rPr>
          <w:rFonts w:cs="Arial"/>
          <w:b/>
          <w:bCs/>
          <w:sz w:val="20"/>
          <w:szCs w:val="20"/>
        </w:rPr>
        <w:instrText xml:space="preserve"> SEQ Figure \* ARABIC \s 3 </w:instrText>
      </w:r>
      <w:r w:rsidRPr="00DB7156">
        <w:rPr>
          <w:rFonts w:cs="Arial"/>
          <w:b/>
          <w:bCs/>
          <w:sz w:val="20"/>
          <w:szCs w:val="20"/>
        </w:rPr>
        <w:fldChar w:fldCharType="separate"/>
      </w:r>
      <w:r w:rsidR="00BF60FC">
        <w:rPr>
          <w:rFonts w:cs="Arial"/>
          <w:b/>
          <w:bCs/>
          <w:noProof/>
          <w:sz w:val="20"/>
          <w:szCs w:val="20"/>
        </w:rPr>
        <w:t>1</w:t>
      </w:r>
      <w:r w:rsidRPr="00DB7156">
        <w:rPr>
          <w:rFonts w:cs="Arial"/>
          <w:b/>
          <w:bCs/>
          <w:sz w:val="20"/>
          <w:szCs w:val="20"/>
        </w:rPr>
        <w:fldChar w:fldCharType="end"/>
      </w:r>
      <w:r w:rsidRPr="00DB7156">
        <w:rPr>
          <w:rFonts w:cs="Arial"/>
          <w:b/>
          <w:bCs/>
          <w:sz w:val="20"/>
          <w:szCs w:val="20"/>
        </w:rPr>
        <w:t xml:space="preserve">  Georgia Power Emissions</w:t>
      </w:r>
      <w:r w:rsidR="70B5D2D7" w:rsidRPr="00DB7156">
        <w:rPr>
          <w:rFonts w:cs="Arial"/>
          <w:b/>
          <w:bCs/>
          <w:sz w:val="20"/>
          <w:szCs w:val="20"/>
        </w:rPr>
        <w:t xml:space="preserve"> </w:t>
      </w:r>
    </w:p>
    <w:p w14:paraId="22E0F4FB" w14:textId="40A748F8" w:rsidR="009C796C" w:rsidRPr="009C796C" w:rsidRDefault="009C796C" w:rsidP="009C796C"/>
    <w:p w14:paraId="2B2314BB" w14:textId="7180A370" w:rsidR="009C796C" w:rsidRPr="009C796C" w:rsidRDefault="009C796C" w:rsidP="009C796C">
      <w:r w:rsidRPr="009C796C">
        <w:t xml:space="preserve">Further, to-date, requirements for additional wastewater treatment and ash pond closures have resulted in the installation of fourteen wastewater treatment systems, </w:t>
      </w:r>
      <w:r w:rsidR="2CA6DD1C">
        <w:t xml:space="preserve">the installation of </w:t>
      </w:r>
      <w:r w:rsidRPr="009C796C">
        <w:t>dry</w:t>
      </w:r>
      <w:r w:rsidR="7B91E4F3">
        <w:t xml:space="preserve"> or </w:t>
      </w:r>
      <w:r w:rsidRPr="009C796C">
        <w:t xml:space="preserve">zero discharge ash handling equipment for nine units, active closure construction activities at 22 ash ponds, and preliminary sitework and final design at the remaining 7 ash ponds. </w:t>
      </w:r>
      <w:r w:rsidR="3DDB084C">
        <w:t>I</w:t>
      </w:r>
      <w:r w:rsidR="5B803A9D">
        <w:t xml:space="preserve">n </w:t>
      </w:r>
      <w:r w:rsidR="1BC2E106">
        <w:t>202</w:t>
      </w:r>
      <w:r w:rsidR="3E6AD231">
        <w:t>1</w:t>
      </w:r>
      <w:r w:rsidR="7EED0AA0">
        <w:t>,</w:t>
      </w:r>
      <w:r w:rsidR="5C1F1B35">
        <w:t xml:space="preserve"> the Company</w:t>
      </w:r>
      <w:r w:rsidRPr="009C796C">
        <w:t xml:space="preserve"> </w:t>
      </w:r>
      <w:r>
        <w:t>secure</w:t>
      </w:r>
      <w:r w:rsidR="1AE1B0FC">
        <w:t>d</w:t>
      </w:r>
      <w:r w:rsidRPr="009C796C">
        <w:t xml:space="preserve"> beneficial use for </w:t>
      </w:r>
      <w:r w:rsidR="00346220">
        <w:t>85</w:t>
      </w:r>
      <w:r w:rsidRPr="009C796C">
        <w:rPr>
          <w:lang w:val="en"/>
        </w:rPr>
        <w:t xml:space="preserve"> percent of the </w:t>
      </w:r>
      <w:r w:rsidR="7B6263BE" w:rsidRPr="0AC6FB4E">
        <w:rPr>
          <w:lang w:val="en"/>
        </w:rPr>
        <w:t>coal combustion residuals (“</w:t>
      </w:r>
      <w:r w:rsidR="00755F14">
        <w:rPr>
          <w:lang w:val="en"/>
        </w:rPr>
        <w:t>CCR</w:t>
      </w:r>
      <w:r w:rsidR="33F5B990" w:rsidRPr="0AC6FB4E">
        <w:rPr>
          <w:lang w:val="en"/>
        </w:rPr>
        <w:t>”)</w:t>
      </w:r>
      <w:r w:rsidRPr="009C796C">
        <w:rPr>
          <w:lang w:val="en"/>
        </w:rPr>
        <w:t xml:space="preserve"> generated from operations, significantly reducing waste streams for the benefit of customers and the environment</w:t>
      </w:r>
      <w:r w:rsidRPr="009C796C">
        <w:t>.</w:t>
      </w:r>
    </w:p>
    <w:p w14:paraId="7BDF11B6" w14:textId="77777777" w:rsidR="009C796C" w:rsidRDefault="009C796C" w:rsidP="00660F6D">
      <w:pPr>
        <w:spacing w:before="120"/>
      </w:pPr>
      <w:r w:rsidRPr="009C796C">
        <w:t>As provided in the Georgia Public Service Commission (“PSC” or “Commission”) Rule 515-3-4-.04(1)(c), the Company’s ECS, a part of the 2022 Integrated Resource Plan (“IRP”), includes a detailed overview of the applicable current and proposed environmental regulations, existing environmental law, potential legislation, and a comprehensive strategy for compliance. The summary and highlights of this strategy are provided below.</w:t>
      </w:r>
    </w:p>
    <w:p w14:paraId="37B773C5" w14:textId="16EEEE27" w:rsidR="009C796C" w:rsidRPr="009D5FBC" w:rsidRDefault="00D059DA" w:rsidP="00CE151D">
      <w:pPr>
        <w:pStyle w:val="Heading2"/>
      </w:pPr>
      <w:bookmarkStart w:id="5" w:name="_Toc94197859"/>
      <w:r>
        <w:t xml:space="preserve">1.2 </w:t>
      </w:r>
      <w:r w:rsidR="009C796C" w:rsidRPr="009D5FBC">
        <w:t>Summary of the 2022 ECS</w:t>
      </w:r>
      <w:bookmarkEnd w:id="5"/>
    </w:p>
    <w:p w14:paraId="13E121C3" w14:textId="77777777" w:rsidR="009C796C" w:rsidRPr="009C796C" w:rsidRDefault="009C796C" w:rsidP="009C796C">
      <w:pPr>
        <w:rPr>
          <w:b/>
          <w:bCs/>
          <w:i/>
          <w:iCs/>
        </w:rPr>
      </w:pPr>
    </w:p>
    <w:p w14:paraId="3ED8FD79" w14:textId="77777777" w:rsidR="009C796C" w:rsidRPr="009C796C" w:rsidRDefault="009C796C" w:rsidP="009C796C">
      <w:pPr>
        <w:numPr>
          <w:ilvl w:val="0"/>
          <w:numId w:val="36"/>
        </w:numPr>
        <w:rPr>
          <w:b/>
          <w:bCs/>
          <w:i/>
          <w:iCs/>
        </w:rPr>
      </w:pPr>
      <w:r w:rsidRPr="009C796C">
        <w:rPr>
          <w:b/>
          <w:bCs/>
          <w:i/>
          <w:iCs/>
        </w:rPr>
        <w:t xml:space="preserve">Georgia Power’s environmental compliance strategy carefully balances various considerations in a manner that is in the best interest of customers. </w:t>
      </w:r>
    </w:p>
    <w:p w14:paraId="2580D750" w14:textId="72057667" w:rsidR="009C796C" w:rsidRPr="009C796C" w:rsidRDefault="009C796C" w:rsidP="009C796C">
      <w:r w:rsidRPr="009C796C">
        <w:lastRenderedPageBreak/>
        <w:t xml:space="preserve">Various key environmental rules </w:t>
      </w:r>
      <w:r w:rsidR="34188170">
        <w:t>continue</w:t>
      </w:r>
      <w:r w:rsidR="007B7B89">
        <w:t xml:space="preserve"> to </w:t>
      </w:r>
      <w:r w:rsidR="00E71495">
        <w:t>evolve</w:t>
      </w:r>
      <w:r w:rsidRPr="009C796C">
        <w:t>, including the Effluent Limitations Guidelines (“ELG”), CCR Rule, and power plant carbon emission regulations. However, even with significant shifts in policy from the federal government amidst administration changes, overall trends are clear. Coal-fired power plants</w:t>
      </w:r>
      <w:r w:rsidRPr="009C796C" w:rsidDel="006C2303">
        <w:t xml:space="preserve"> </w:t>
      </w:r>
      <w:r w:rsidRPr="009C796C">
        <w:t xml:space="preserve">continue to face </w:t>
      </w:r>
      <w:r>
        <w:t>increasing</w:t>
      </w:r>
      <w:r w:rsidR="0A5AE15D">
        <w:t>ly</w:t>
      </w:r>
      <w:r>
        <w:t xml:space="preserve"> </w:t>
      </w:r>
      <w:r w:rsidR="5C1F1B35">
        <w:t>stringen</w:t>
      </w:r>
      <w:r w:rsidR="6F597480">
        <w:t>t</w:t>
      </w:r>
      <w:r w:rsidRPr="009C796C">
        <w:t xml:space="preserve"> requirements from existing and new environmental regulations. </w:t>
      </w:r>
      <w:r w:rsidR="004C1E28">
        <w:t xml:space="preserve">Through </w:t>
      </w:r>
      <w:r w:rsidR="370FAD04">
        <w:t xml:space="preserve">a </w:t>
      </w:r>
      <w:r w:rsidR="004C1E28">
        <w:t xml:space="preserve">constructive regulatory process, the Company and Commission have </w:t>
      </w:r>
      <w:r w:rsidR="11D57B08">
        <w:t>effectively</w:t>
      </w:r>
      <w:r w:rsidR="004C1E28">
        <w:t xml:space="preserve"> consider</w:t>
      </w:r>
      <w:r w:rsidR="6836E05D">
        <w:t>ed</w:t>
      </w:r>
      <w:r w:rsidR="004C1E28">
        <w:t xml:space="preserve"> the impacts of compliance with these requirements </w:t>
      </w:r>
      <w:r w:rsidR="1F90FAE7">
        <w:t xml:space="preserve">to </w:t>
      </w:r>
      <w:r w:rsidR="004C1E28">
        <w:t xml:space="preserve">make decisions that are in the best interests of customers. The continued pressure from control requirements and </w:t>
      </w:r>
      <w:r w:rsidR="6A52C19F">
        <w:t xml:space="preserve">regulatory activity </w:t>
      </w:r>
      <w:r w:rsidR="26B64FB3">
        <w:t>targeted towards</w:t>
      </w:r>
      <w:r w:rsidR="004C1E28">
        <w:t xml:space="preserve"> coal-fired power plants supports the continued </w:t>
      </w:r>
      <w:r w:rsidR="00FD14DB">
        <w:t xml:space="preserve">planned </w:t>
      </w:r>
      <w:r w:rsidR="004C1E28">
        <w:t>transition of Georgia Power’s coal fleet</w:t>
      </w:r>
      <w:r w:rsidR="33D88FEC">
        <w:t>.</w:t>
      </w:r>
    </w:p>
    <w:p w14:paraId="5AD0CF0F" w14:textId="0EDA0F90" w:rsidR="009C796C" w:rsidRPr="005C05E9" w:rsidRDefault="580517C2" w:rsidP="009C796C">
      <w:r w:rsidRPr="005C05E9">
        <w:t>The Company’s</w:t>
      </w:r>
      <w:r w:rsidR="009C796C" w:rsidRPr="005C05E9">
        <w:t xml:space="preserve"> comprehensive compliance strategy </w:t>
      </w:r>
      <w:r w:rsidR="10E28A95" w:rsidRPr="005C05E9">
        <w:t>support</w:t>
      </w:r>
      <w:r w:rsidR="6E2BEE6F" w:rsidRPr="005C05E9">
        <w:t>s</w:t>
      </w:r>
      <w:r w:rsidR="10E28A95" w:rsidRPr="005C05E9">
        <w:t xml:space="preserve"> </w:t>
      </w:r>
      <w:r w:rsidR="3A3A96F5" w:rsidRPr="005C05E9">
        <w:t>the</w:t>
      </w:r>
      <w:r w:rsidR="10E28A95" w:rsidRPr="005C05E9">
        <w:t xml:space="preserve"> </w:t>
      </w:r>
      <w:r w:rsidR="00D72A86" w:rsidRPr="005C05E9">
        <w:t xml:space="preserve">planned </w:t>
      </w:r>
      <w:r w:rsidR="10E28A95" w:rsidRPr="005C05E9">
        <w:t>fleet</w:t>
      </w:r>
      <w:r w:rsidR="28E78578" w:rsidRPr="005C05E9">
        <w:t xml:space="preserve"> </w:t>
      </w:r>
      <w:r w:rsidR="009C796C" w:rsidRPr="005C05E9">
        <w:t>transition,</w:t>
      </w:r>
      <w:r w:rsidR="28E78578" w:rsidRPr="005C05E9">
        <w:t xml:space="preserve"> </w:t>
      </w:r>
      <w:r w:rsidR="51516C19" w:rsidRPr="005C05E9">
        <w:t>which</w:t>
      </w:r>
      <w:r w:rsidR="009C796C" w:rsidRPr="005C05E9">
        <w:t xml:space="preserve"> is best accomplished through long</w:t>
      </w:r>
      <w:r w:rsidR="778942A8" w:rsidRPr="005C05E9">
        <w:t>-</w:t>
      </w:r>
      <w:r w:rsidR="009C796C" w:rsidRPr="005C05E9">
        <w:t xml:space="preserve">term planning </w:t>
      </w:r>
      <w:r w:rsidR="5989674F" w:rsidRPr="005C05E9">
        <w:t>that</w:t>
      </w:r>
      <w:r w:rsidR="1F875C7B" w:rsidRPr="005C05E9">
        <w:t xml:space="preserve"> appropriately balances</w:t>
      </w:r>
      <w:r w:rsidR="009C796C" w:rsidRPr="005C05E9">
        <w:t xml:space="preserve"> a variety of factors, including </w:t>
      </w:r>
      <w:r w:rsidR="00C92C4D" w:rsidRPr="005C05E9">
        <w:t xml:space="preserve">necessary environmental controls and compliance actions, </w:t>
      </w:r>
      <w:r w:rsidR="009C796C" w:rsidRPr="005C05E9">
        <w:t>system reliability</w:t>
      </w:r>
      <w:r w:rsidR="00C36A9D" w:rsidRPr="005C05E9">
        <w:t xml:space="preserve">, </w:t>
      </w:r>
      <w:r w:rsidR="051C9CD9" w:rsidRPr="005C05E9">
        <w:t>cost-effective replacement generation,</w:t>
      </w:r>
      <w:r w:rsidR="6C64F423" w:rsidRPr="005C05E9">
        <w:t xml:space="preserve"> </w:t>
      </w:r>
      <w:r w:rsidR="00C36A9D" w:rsidRPr="005C05E9">
        <w:t xml:space="preserve">the growth of renewables and nuclear, and future opportunities that </w:t>
      </w:r>
      <w:r w:rsidR="664C1DD0" w:rsidRPr="005C05E9">
        <w:t>stem</w:t>
      </w:r>
      <w:r w:rsidR="287F7239" w:rsidRPr="005C05E9">
        <w:t xml:space="preserve"> from</w:t>
      </w:r>
      <w:r w:rsidR="00C36A9D" w:rsidRPr="005C05E9">
        <w:t xml:space="preserve"> innovation and the advancement of technology</w:t>
      </w:r>
      <w:r w:rsidR="009C796C" w:rsidRPr="005C05E9">
        <w:t xml:space="preserve">. With compliance deadlines for existing environmental requirements approaching and regulatory uncertainty likely to continue for the foreseeable future, it is critical </w:t>
      </w:r>
      <w:r w:rsidR="00496C31" w:rsidRPr="005C05E9">
        <w:t xml:space="preserve">that the Company continue to </w:t>
      </w:r>
      <w:r w:rsidR="009C796C" w:rsidRPr="005C05E9">
        <w:t xml:space="preserve">take a long-term view on planning decisions, including investing in </w:t>
      </w:r>
      <w:r w:rsidR="00113094" w:rsidRPr="005C05E9">
        <w:t xml:space="preserve">appropriate </w:t>
      </w:r>
      <w:r w:rsidR="009C796C" w:rsidRPr="005C05E9">
        <w:t xml:space="preserve">environmental controls and making plans for fleet transition, to ensure </w:t>
      </w:r>
      <w:r w:rsidR="00FD435B" w:rsidRPr="005C05E9">
        <w:t xml:space="preserve">that </w:t>
      </w:r>
      <w:r w:rsidR="009C796C" w:rsidRPr="005C05E9">
        <w:t xml:space="preserve">customer needs are met. </w:t>
      </w:r>
    </w:p>
    <w:p w14:paraId="17A458BB" w14:textId="77777777" w:rsidR="009C796C" w:rsidRPr="005C05E9" w:rsidRDefault="009C796C" w:rsidP="009C796C">
      <w:r w:rsidRPr="005C05E9">
        <w:t>Georgia Power’s environmental compliance strategy includes the following major components:</w:t>
      </w:r>
    </w:p>
    <w:p w14:paraId="16ECAF17" w14:textId="0F3AFDB8" w:rsidR="009C796C" w:rsidRPr="005C05E9" w:rsidRDefault="009C796C" w:rsidP="00660F6D">
      <w:pPr>
        <w:numPr>
          <w:ilvl w:val="0"/>
          <w:numId w:val="39"/>
        </w:numPr>
        <w:ind w:left="720"/>
      </w:pPr>
      <w:r w:rsidRPr="005C05E9">
        <w:rPr>
          <w:b/>
          <w:bCs/>
        </w:rPr>
        <w:t>ELG:</w:t>
      </w:r>
      <w:r w:rsidRPr="005C05E9">
        <w:t xml:space="preserve"> The Company’s ELG strategy, including unit retirements </w:t>
      </w:r>
      <w:r w:rsidR="00551A62" w:rsidRPr="005C05E9">
        <w:t>and</w:t>
      </w:r>
      <w:r w:rsidRPr="005C05E9">
        <w:t xml:space="preserve"> </w:t>
      </w:r>
      <w:r w:rsidR="00246510" w:rsidRPr="005C05E9">
        <w:t xml:space="preserve">the </w:t>
      </w:r>
      <w:r w:rsidRPr="005C05E9">
        <w:t xml:space="preserve">installation of additional environmental controls, has been developed in the best interest of customers, considering increasing environmental regulatory </w:t>
      </w:r>
      <w:r w:rsidR="009C2F75" w:rsidRPr="005C05E9">
        <w:t xml:space="preserve">requirements, </w:t>
      </w:r>
      <w:r w:rsidRPr="005C05E9">
        <w:t>pressures</w:t>
      </w:r>
      <w:r w:rsidR="00C75B5D" w:rsidRPr="005C05E9">
        <w:t xml:space="preserve"> and costs</w:t>
      </w:r>
      <w:r w:rsidRPr="005C05E9">
        <w:t>, the continued cost-effectiveness of low- and zero-carbon resources, and future system reliability and resiliency needs.</w:t>
      </w:r>
    </w:p>
    <w:p w14:paraId="24768AB5" w14:textId="24655FBF" w:rsidR="009C796C" w:rsidRPr="005C05E9" w:rsidRDefault="009C796C" w:rsidP="00660F6D">
      <w:pPr>
        <w:numPr>
          <w:ilvl w:val="0"/>
          <w:numId w:val="39"/>
        </w:numPr>
        <w:ind w:left="720"/>
      </w:pPr>
      <w:r w:rsidRPr="005C05E9">
        <w:rPr>
          <w:b/>
          <w:bCs/>
        </w:rPr>
        <w:t>CCR:</w:t>
      </w:r>
      <w:r w:rsidRPr="005C05E9">
        <w:t xml:space="preserve"> The Company’s CCR strategy, approved in the 2019 IRP, continues to be </w:t>
      </w:r>
      <w:r w:rsidR="003541D5" w:rsidRPr="005C05E9">
        <w:t xml:space="preserve">effectively </w:t>
      </w:r>
      <w:r w:rsidRPr="005C05E9">
        <w:t>implemented with significant progress made over the last three years.  The Company will continue to evaluate opportunities to refine and optimize</w:t>
      </w:r>
      <w:r w:rsidR="00FD435B" w:rsidRPr="005C05E9">
        <w:t xml:space="preserve"> its</w:t>
      </w:r>
      <w:r w:rsidRPr="005C05E9">
        <w:t xml:space="preserve"> closure plans</w:t>
      </w:r>
      <w:r w:rsidR="00302D40" w:rsidRPr="005C05E9">
        <w:t>, such as the</w:t>
      </w:r>
      <w:r w:rsidR="008E2FEC" w:rsidRPr="005C05E9">
        <w:t xml:space="preserve"> site-specific opportunit</w:t>
      </w:r>
      <w:r w:rsidR="00B73564" w:rsidRPr="005C05E9">
        <w:t>y</w:t>
      </w:r>
      <w:r w:rsidR="008E2FEC" w:rsidRPr="005C05E9">
        <w:t xml:space="preserve"> presented by the proposed retirement </w:t>
      </w:r>
      <w:r w:rsidR="00A776BA" w:rsidRPr="005C05E9">
        <w:t xml:space="preserve">of Plant Wansley Units 1 and 2. </w:t>
      </w:r>
      <w:r w:rsidR="00BD1CFA" w:rsidRPr="005C05E9">
        <w:t xml:space="preserve">As outlined further </w:t>
      </w:r>
      <w:r w:rsidR="00F934AE" w:rsidRPr="005C05E9">
        <w:t>in Section 4</w:t>
      </w:r>
      <w:r w:rsidR="00BD1CFA" w:rsidRPr="005C05E9">
        <w:t xml:space="preserve">, </w:t>
      </w:r>
      <w:r w:rsidR="00653BC1" w:rsidRPr="005C05E9">
        <w:t>should</w:t>
      </w:r>
      <w:r w:rsidR="00BD1CFA" w:rsidRPr="005C05E9">
        <w:t xml:space="preserve"> </w:t>
      </w:r>
      <w:r w:rsidR="00A776BA" w:rsidRPr="005C05E9">
        <w:t>the Commission approve retirement of the coal units at Plant Wansley, Georgia Power recommends modifying its ash pond closure plans at the site from closure in place to closure by removal</w:t>
      </w:r>
      <w:r w:rsidR="00BD1CFA" w:rsidRPr="005C05E9">
        <w:t xml:space="preserve"> in order to maximize the use of the existing landfill asset, manage </w:t>
      </w:r>
      <w:r w:rsidR="005E7C4B" w:rsidRPr="005C05E9">
        <w:t>schedule and construction</w:t>
      </w:r>
      <w:r w:rsidR="00BD1CFA" w:rsidRPr="005C05E9">
        <w:t xml:space="preserve"> risks associated with the current closure in place design, and preserve the option for future beneficial use of ash as driven by the market</w:t>
      </w:r>
      <w:r w:rsidR="00DF643E" w:rsidRPr="005C05E9">
        <w:t>.</w:t>
      </w:r>
      <w:r w:rsidR="00302D40" w:rsidRPr="005C05E9">
        <w:t xml:space="preserve"> </w:t>
      </w:r>
    </w:p>
    <w:p w14:paraId="7F184FFA" w14:textId="64598065" w:rsidR="009C796C" w:rsidRPr="009C796C" w:rsidRDefault="009C796C" w:rsidP="00660F6D">
      <w:pPr>
        <w:numPr>
          <w:ilvl w:val="0"/>
          <w:numId w:val="39"/>
        </w:numPr>
        <w:ind w:left="720"/>
      </w:pPr>
      <w:r w:rsidRPr="005C05E9">
        <w:rPr>
          <w:b/>
          <w:bCs/>
        </w:rPr>
        <w:t xml:space="preserve">Climate: </w:t>
      </w:r>
      <w:r w:rsidRPr="005C05E9">
        <w:t>The Company’s climate approach includ</w:t>
      </w:r>
      <w:r w:rsidR="00FA31D4" w:rsidRPr="005C05E9">
        <w:t>e</w:t>
      </w:r>
      <w:r w:rsidR="009346CE" w:rsidRPr="005C05E9">
        <w:t>s</w:t>
      </w:r>
      <w:r w:rsidRPr="005C05E9">
        <w:t xml:space="preserve"> long-term planning scenarios </w:t>
      </w:r>
      <w:r w:rsidR="00FA498E" w:rsidRPr="005C05E9">
        <w:t>that consider</w:t>
      </w:r>
      <w:r w:rsidRPr="005C05E9">
        <w:t xml:space="preserve"> </w:t>
      </w:r>
      <w:r w:rsidR="009346CE" w:rsidRPr="005C05E9">
        <w:t xml:space="preserve">a range of </w:t>
      </w:r>
      <w:r w:rsidRPr="005C05E9">
        <w:t>carbon costs</w:t>
      </w:r>
      <w:r w:rsidR="008C178D" w:rsidRPr="005C05E9">
        <w:t>,</w:t>
      </w:r>
      <w:r w:rsidRPr="005C05E9">
        <w:t xml:space="preserve"> </w:t>
      </w:r>
      <w:r w:rsidR="00374B21" w:rsidRPr="005C05E9">
        <w:t>including</w:t>
      </w:r>
      <w:r w:rsidR="00D259D3" w:rsidRPr="005C05E9">
        <w:t xml:space="preserve"> </w:t>
      </w:r>
      <w:r w:rsidRPr="005C05E9">
        <w:t>$50</w:t>
      </w:r>
      <w:r w:rsidR="00F017E1" w:rsidRPr="005C05E9">
        <w:t xml:space="preserve"> per metric ton</w:t>
      </w:r>
      <w:r w:rsidR="00DF3BF3" w:rsidRPr="005C05E9">
        <w:t xml:space="preserve"> that escalate</w:t>
      </w:r>
      <w:r w:rsidR="00DF3BF3">
        <w:t xml:space="preserve"> </w:t>
      </w:r>
      <w:r w:rsidR="00DF3BF3">
        <w:lastRenderedPageBreak/>
        <w:t>over time</w:t>
      </w:r>
      <w:r w:rsidRPr="009C796C">
        <w:t xml:space="preserve">, emphasizes the importance of proactively preparing for </w:t>
      </w:r>
      <w:r w:rsidR="64B2BED2">
        <w:t xml:space="preserve">risks </w:t>
      </w:r>
      <w:r w:rsidR="008D0347">
        <w:t>associated with</w:t>
      </w:r>
      <w:r w:rsidR="64B2BED2">
        <w:t xml:space="preserve"> </w:t>
      </w:r>
      <w:r w:rsidRPr="009C796C">
        <w:t xml:space="preserve">future carbon </w:t>
      </w:r>
      <w:r w:rsidR="00B41386">
        <w:t>policy</w:t>
      </w:r>
      <w:r w:rsidR="00B41386" w:rsidRPr="009C796C">
        <w:t xml:space="preserve"> </w:t>
      </w:r>
      <w:r w:rsidRPr="009C796C">
        <w:t>and challenges that could impact customer</w:t>
      </w:r>
      <w:r w:rsidR="008D0347">
        <w:t>s.</w:t>
      </w:r>
      <w:r w:rsidRPr="009C796C" w:rsidDel="008D0347">
        <w:t xml:space="preserve"> </w:t>
      </w:r>
      <w:r w:rsidR="2F9C746F">
        <w:t xml:space="preserve">  </w:t>
      </w:r>
    </w:p>
    <w:p w14:paraId="62C1351C" w14:textId="7A32942F" w:rsidR="009C796C" w:rsidRPr="009C796C" w:rsidRDefault="009C796C" w:rsidP="009C796C">
      <w:r w:rsidRPr="009C796C">
        <w:t xml:space="preserve">The ten-year outlook for these strategic compliance decisions for environmental compliance strategy projects are provided below, with key items explained in subsequent highlights </w:t>
      </w:r>
      <w:r w:rsidR="53D453DA">
        <w:t>in</w:t>
      </w:r>
      <w:r w:rsidR="00AD5024">
        <w:t xml:space="preserve"> Section 1</w:t>
      </w:r>
      <w:r w:rsidRPr="009C796C">
        <w:t>.</w:t>
      </w:r>
    </w:p>
    <w:p w14:paraId="621ED58C" w14:textId="0967C08D" w:rsidR="00D059DA" w:rsidRPr="009C796C" w:rsidRDefault="008509D8" w:rsidP="009C796C">
      <w:pPr>
        <w:rPr>
          <w:rFonts w:eastAsia="Calibri" w:cs="Arial"/>
        </w:rPr>
      </w:pPr>
      <w:r w:rsidRPr="008509D8">
        <w:rPr>
          <w:noProof/>
        </w:rPr>
        <w:t xml:space="preserve"> </w:t>
      </w:r>
      <w:r w:rsidR="00415B4F" w:rsidRPr="00415B4F">
        <w:rPr>
          <w:noProof/>
        </w:rPr>
        <w:t xml:space="preserve"> </w:t>
      </w:r>
      <w:r w:rsidR="00F71059" w:rsidRPr="00F71059">
        <w:rPr>
          <w:noProof/>
        </w:rPr>
        <w:t xml:space="preserve"> </w:t>
      </w:r>
      <w:r w:rsidR="002601D3" w:rsidRPr="002601D3">
        <w:rPr>
          <w:noProof/>
        </w:rPr>
        <w:t xml:space="preserve"> </w:t>
      </w:r>
      <w:r w:rsidR="00BB7775" w:rsidRPr="00BB7775">
        <w:rPr>
          <w:noProof/>
        </w:rPr>
        <w:t xml:space="preserve"> </w:t>
      </w:r>
      <w:r w:rsidR="005E6430" w:rsidRPr="005E6430">
        <w:rPr>
          <w:noProof/>
        </w:rPr>
        <w:t xml:space="preserve"> </w:t>
      </w:r>
      <w:r w:rsidR="008B1D16">
        <w:rPr>
          <w:noProof/>
        </w:rPr>
        <w:drawing>
          <wp:inline distT="0" distB="0" distL="0" distR="0" wp14:anchorId="16726239" wp14:editId="507A930A">
            <wp:extent cx="5943600" cy="41662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4166235"/>
                    </a:xfrm>
                    <a:prstGeom prst="rect">
                      <a:avLst/>
                    </a:prstGeom>
                  </pic:spPr>
                </pic:pic>
              </a:graphicData>
            </a:graphic>
          </wp:inline>
        </w:drawing>
      </w:r>
    </w:p>
    <w:p w14:paraId="12A5FCA7" w14:textId="04DA611F" w:rsidR="00AD79F2" w:rsidRPr="00AD79F2" w:rsidRDefault="00AD79F2" w:rsidP="00AD79F2">
      <w:pPr>
        <w:spacing w:after="0"/>
        <w:ind w:left="720"/>
        <w:rPr>
          <w:b/>
          <w:bCs/>
        </w:rPr>
      </w:pPr>
    </w:p>
    <w:p w14:paraId="3F6F8E91" w14:textId="6C50EF6E" w:rsidR="009C796C" w:rsidRPr="009C796C" w:rsidRDefault="009D5FBC" w:rsidP="00CE151D">
      <w:pPr>
        <w:pStyle w:val="Heading2"/>
      </w:pPr>
      <w:bookmarkStart w:id="6" w:name="_Toc94197860"/>
      <w:r>
        <w:t>1.3 H</w:t>
      </w:r>
      <w:r w:rsidR="009C796C" w:rsidRPr="009C796C">
        <w:t>ighlights of the 2022 ECS</w:t>
      </w:r>
      <w:bookmarkEnd w:id="6"/>
    </w:p>
    <w:p w14:paraId="35BD1EC1" w14:textId="77777777" w:rsidR="009C796C" w:rsidRPr="009C796C" w:rsidRDefault="009C796C" w:rsidP="009C796C">
      <w:pPr>
        <w:rPr>
          <w:b/>
          <w:u w:val="single"/>
        </w:rPr>
      </w:pPr>
    </w:p>
    <w:p w14:paraId="33518FEE" w14:textId="114931E8" w:rsidR="009C796C" w:rsidRPr="009C796C" w:rsidRDefault="009C796C" w:rsidP="009C796C">
      <w:pPr>
        <w:numPr>
          <w:ilvl w:val="0"/>
          <w:numId w:val="36"/>
        </w:numPr>
      </w:pPr>
      <w:r w:rsidRPr="009C796C">
        <w:rPr>
          <w:b/>
          <w:i/>
        </w:rPr>
        <w:t>Considering</w:t>
      </w:r>
      <w:r w:rsidRPr="009C796C" w:rsidDel="00AA53B3">
        <w:rPr>
          <w:b/>
          <w:i/>
        </w:rPr>
        <w:t xml:space="preserve"> </w:t>
      </w:r>
      <w:r w:rsidRPr="009C796C">
        <w:rPr>
          <w:b/>
          <w:i/>
        </w:rPr>
        <w:t xml:space="preserve">overarching environmental regulatory pressures, system reliability considerations, </w:t>
      </w:r>
      <w:r w:rsidR="6970F1CE" w:rsidRPr="2B8E396F">
        <w:rPr>
          <w:b/>
          <w:bCs/>
          <w:i/>
          <w:iCs/>
        </w:rPr>
        <w:t>cost</w:t>
      </w:r>
      <w:r w:rsidR="6970F1CE" w:rsidRPr="6C6C8546">
        <w:rPr>
          <w:b/>
          <w:bCs/>
          <w:i/>
          <w:iCs/>
        </w:rPr>
        <w:t>-effective replacement generation</w:t>
      </w:r>
      <w:r w:rsidRPr="2B8E396F">
        <w:rPr>
          <w:b/>
          <w:bCs/>
          <w:i/>
          <w:iCs/>
        </w:rPr>
        <w:t xml:space="preserve"> </w:t>
      </w:r>
      <w:r w:rsidR="00E50DD0">
        <w:rPr>
          <w:b/>
          <w:i/>
        </w:rPr>
        <w:t xml:space="preserve">and long-term generation planning needs, </w:t>
      </w:r>
      <w:r w:rsidRPr="009C796C">
        <w:rPr>
          <w:b/>
          <w:i/>
        </w:rPr>
        <w:t>the</w:t>
      </w:r>
      <w:r w:rsidR="00AA53B3">
        <w:rPr>
          <w:b/>
          <w:i/>
        </w:rPr>
        <w:t xml:space="preserve"> Company’s</w:t>
      </w:r>
      <w:r w:rsidRPr="009C796C">
        <w:rPr>
          <w:b/>
          <w:i/>
        </w:rPr>
        <w:t xml:space="preserve"> ELG strategy for </w:t>
      </w:r>
      <w:r w:rsidR="38A75CF3" w:rsidRPr="37612734">
        <w:rPr>
          <w:b/>
          <w:bCs/>
          <w:i/>
          <w:iCs/>
        </w:rPr>
        <w:t>its</w:t>
      </w:r>
      <w:r w:rsidRPr="009C796C" w:rsidDel="00AA53B3">
        <w:rPr>
          <w:b/>
          <w:i/>
        </w:rPr>
        <w:t xml:space="preserve"> </w:t>
      </w:r>
      <w:r w:rsidRPr="009C796C">
        <w:rPr>
          <w:b/>
          <w:i/>
        </w:rPr>
        <w:t>coal-fired generating fleet is in the best interest</w:t>
      </w:r>
      <w:r w:rsidR="00AA53B3">
        <w:rPr>
          <w:b/>
          <w:i/>
        </w:rPr>
        <w:t>s</w:t>
      </w:r>
      <w:r w:rsidRPr="009C796C">
        <w:rPr>
          <w:b/>
          <w:i/>
        </w:rPr>
        <w:t xml:space="preserve"> of customers.</w:t>
      </w:r>
      <w:r w:rsidRPr="009C796C">
        <w:t xml:space="preserve"> </w:t>
      </w:r>
    </w:p>
    <w:p w14:paraId="5B0B71AE" w14:textId="77777777" w:rsidR="009C796C" w:rsidRPr="009C796C" w:rsidRDefault="009C796C" w:rsidP="00294515">
      <w:r w:rsidRPr="009C796C">
        <w:t xml:space="preserve">The Company’s ELG compliance strategy has been continually refined since the initial ELG Rule publication in November 2015. While legal challenges and new Environmental Protection Agency (“EPA”) actions have resulted in an ever-changing ELG regulatory </w:t>
      </w:r>
      <w:r w:rsidRPr="009C796C">
        <w:lastRenderedPageBreak/>
        <w:t xml:space="preserve">landscape, the Company’s environmental compliance strategy process has provided the ability to update and optimize plans with each rule iteration and continue to study technologies, while meeting compliance obligations. </w:t>
      </w:r>
    </w:p>
    <w:p w14:paraId="61150058" w14:textId="0A68A669" w:rsidR="009C796C" w:rsidRPr="009C796C" w:rsidRDefault="009C796C" w:rsidP="009C796C">
      <w:r w:rsidRPr="009C796C">
        <w:t>In October 2020, EPA</w:t>
      </w:r>
      <w:r w:rsidR="00D843B0">
        <w:t xml:space="preserve"> published the “Steam Electric Reconsideration Rule”</w:t>
      </w:r>
      <w:r w:rsidRPr="009C796C">
        <w:t xml:space="preserve"> </w:t>
      </w:r>
      <w:r w:rsidR="00D843B0">
        <w:t>(“</w:t>
      </w:r>
      <w:r w:rsidRPr="009C796C">
        <w:t>ELG Reconsideration Rule</w:t>
      </w:r>
      <w:r w:rsidR="00D843B0">
        <w:t>”) which</w:t>
      </w:r>
      <w:r w:rsidRPr="009C796C">
        <w:t xml:space="preserve"> provided important new and updated compliance pathways for the Company’s</w:t>
      </w:r>
      <w:r w:rsidRPr="009C796C" w:rsidDel="00AA620C">
        <w:t xml:space="preserve"> </w:t>
      </w:r>
      <w:r w:rsidRPr="009C796C">
        <w:t xml:space="preserve">flue gas desulfurization (“FGD”) wastewater. First, the </w:t>
      </w:r>
      <w:r w:rsidR="00B15FF7">
        <w:t>ELG</w:t>
      </w:r>
      <w:r w:rsidRPr="009C796C">
        <w:t xml:space="preserve"> Reconsideration Rule adjusted the latest possible compliance date for the generally applicable FGD wastewater effluent limitations from December 31, 2023, to December 31, 2025. Second, the rule </w:t>
      </w:r>
      <w:r w:rsidR="00C008D1">
        <w:t>added</w:t>
      </w:r>
      <w:r w:rsidRPr="009C796C">
        <w:t xml:space="preserve"> the following alternative options that included necessary additional time for compliance, provided notification of intent is made to the state environmental agency by October 13, 2021: </w:t>
      </w:r>
    </w:p>
    <w:p w14:paraId="7DBB0B87" w14:textId="77777777" w:rsidR="009C796C" w:rsidRPr="009C796C" w:rsidRDefault="009C796C" w:rsidP="00660F6D">
      <w:pPr>
        <w:numPr>
          <w:ilvl w:val="0"/>
          <w:numId w:val="35"/>
        </w:numPr>
        <w:ind w:left="720"/>
      </w:pPr>
      <w:r w:rsidRPr="009C796C">
        <w:t>Comply through the Voluntary Incentives Program (“VIP”) with more stringent FGD wastewater effluent limitations by December 31, 2028.</w:t>
      </w:r>
    </w:p>
    <w:p w14:paraId="0BB638E6" w14:textId="77777777" w:rsidR="009C796C" w:rsidRPr="009C796C" w:rsidRDefault="009C796C" w:rsidP="00660F6D">
      <w:pPr>
        <w:numPr>
          <w:ilvl w:val="0"/>
          <w:numId w:val="35"/>
        </w:numPr>
        <w:ind w:left="720"/>
      </w:pPr>
      <w:r w:rsidRPr="009C796C">
        <w:t>Comply with the ELG’s by permanently ceasing coal combustion by December 31, 2028.</w:t>
      </w:r>
    </w:p>
    <w:p w14:paraId="68B196F6" w14:textId="68123C10" w:rsidR="009C796C" w:rsidRPr="009C796C" w:rsidRDefault="009C796C" w:rsidP="009C796C">
      <w:r w:rsidRPr="009C796C">
        <w:t xml:space="preserve">Most recently, </w:t>
      </w:r>
      <w:r w:rsidR="00E76FCB" w:rsidRPr="009C796C">
        <w:t xml:space="preserve">EPA </w:t>
      </w:r>
      <w:r w:rsidR="20668B03">
        <w:t>announce</w:t>
      </w:r>
      <w:r w:rsidR="78C5C2A1">
        <w:t>d</w:t>
      </w:r>
      <w:r w:rsidR="00E9713E" w:rsidRPr="009C796C">
        <w:t xml:space="preserve"> </w:t>
      </w:r>
      <w:r w:rsidRPr="009C796C">
        <w:t xml:space="preserve">future revisions to the ELG rule. EPA plans to undertake proposed rulemaking by the fall of 2022 to consider more stringent limitations and standards. These developments make </w:t>
      </w:r>
      <w:r w:rsidR="00882233">
        <w:t xml:space="preserve">it </w:t>
      </w:r>
      <w:r w:rsidRPr="009C796C">
        <w:t xml:space="preserve">clear that the Company must make thoughtful decisions on continued investments in the coal fleet.   </w:t>
      </w:r>
    </w:p>
    <w:p w14:paraId="7FF9392D" w14:textId="7EADF5A8" w:rsidR="009C796C" w:rsidRPr="009C796C" w:rsidRDefault="009C796C" w:rsidP="009C796C">
      <w:r w:rsidRPr="009C796C">
        <w:t xml:space="preserve">The Company closely evaluated </w:t>
      </w:r>
      <w:r w:rsidR="00882233">
        <w:t xml:space="preserve">the </w:t>
      </w:r>
      <w:r w:rsidRPr="009C796C">
        <w:t>impacts the recent ELG rulemaking will have on the continued operations of coal-fired generating units and has determined that a mix of unit retirements and</w:t>
      </w:r>
      <w:r w:rsidR="004958BA">
        <w:t xml:space="preserve"> the</w:t>
      </w:r>
      <w:r w:rsidRPr="009C796C">
        <w:t xml:space="preserve"> addition of new environmental controls is in the best interest of customers. On October 13, 2021, the Company submitted ELG compliance filings to the Georgia Environmental Protection Division (“EPD”), that stated:</w:t>
      </w:r>
    </w:p>
    <w:p w14:paraId="17135D13" w14:textId="4C8C55C0" w:rsidR="009C796C" w:rsidRPr="009C796C" w:rsidRDefault="009C796C" w:rsidP="009C796C">
      <w:pPr>
        <w:numPr>
          <w:ilvl w:val="0"/>
          <w:numId w:val="20"/>
        </w:numPr>
      </w:pPr>
      <w:r w:rsidRPr="009C796C">
        <w:t xml:space="preserve">Georgia Power’s intent to permanently cease coal combustion no later than December 31, 2028, for </w:t>
      </w:r>
      <w:r w:rsidR="00E61325">
        <w:t xml:space="preserve">Plant </w:t>
      </w:r>
      <w:r w:rsidRPr="009C796C">
        <w:t xml:space="preserve">Bowen Units 1 and 2, </w:t>
      </w:r>
      <w:r w:rsidR="00E61325">
        <w:t>Plant Scherer</w:t>
      </w:r>
      <w:r w:rsidRPr="009C796C">
        <w:t xml:space="preserve"> Unit 3, and </w:t>
      </w:r>
      <w:r w:rsidR="00E61325">
        <w:t xml:space="preserve">Plant </w:t>
      </w:r>
      <w:r w:rsidRPr="009C796C">
        <w:t xml:space="preserve">Wansley Units 1 and 2.  </w:t>
      </w:r>
    </w:p>
    <w:p w14:paraId="5CE660C4" w14:textId="74100D11" w:rsidR="009C796C" w:rsidRPr="009C796C" w:rsidRDefault="44B24A22" w:rsidP="009C796C">
      <w:pPr>
        <w:numPr>
          <w:ilvl w:val="0"/>
          <w:numId w:val="20"/>
        </w:numPr>
      </w:pPr>
      <w:r>
        <w:t>Georgia Power’s</w:t>
      </w:r>
      <w:r w:rsidR="009C796C" w:rsidRPr="009C796C">
        <w:t xml:space="preserve"> intent to pursue ELG compliance through the Voluntary Incentive Program subcategory with a compliance deadline of December 31, 2028</w:t>
      </w:r>
      <w:r w:rsidR="67005E7E">
        <w:t xml:space="preserve">, for </w:t>
      </w:r>
      <w:r w:rsidR="00E61325">
        <w:t>Plant Scherer</w:t>
      </w:r>
      <w:r w:rsidR="67005E7E">
        <w:t xml:space="preserve"> Units 1 and 2.</w:t>
      </w:r>
      <w:r w:rsidR="009C796C" w:rsidRPr="009C796C">
        <w:t xml:space="preserve">  </w:t>
      </w:r>
    </w:p>
    <w:p w14:paraId="68C987DF" w14:textId="6AA5989A" w:rsidR="00837F98" w:rsidRDefault="75FAD6A7" w:rsidP="00957D2D">
      <w:pPr>
        <w:numPr>
          <w:ilvl w:val="0"/>
          <w:numId w:val="20"/>
        </w:numPr>
      </w:pPr>
      <w:r>
        <w:t>Georgia Power’s</w:t>
      </w:r>
      <w:r w:rsidR="00624697">
        <w:t xml:space="preserve"> </w:t>
      </w:r>
      <w:r w:rsidR="009C796C" w:rsidRPr="009C796C">
        <w:t>intent to comply with the generally applicable</w:t>
      </w:r>
      <w:r w:rsidR="68672EA7">
        <w:t xml:space="preserve"> requirements by December 31, 2025, for Plant Bowen Units 3 and 4</w:t>
      </w:r>
      <w:r w:rsidR="00837F98">
        <w:t>.</w:t>
      </w:r>
    </w:p>
    <w:p w14:paraId="704C1D1A" w14:textId="4F75FA9C" w:rsidR="0041493E" w:rsidRDefault="66D74BA8" w:rsidP="009C796C">
      <w:r>
        <w:t xml:space="preserve">On October 13, 2021, Alabama Power filed a </w:t>
      </w:r>
      <w:r w:rsidR="00417239">
        <w:t>N</w:t>
      </w:r>
      <w:r w:rsidR="005B6588">
        <w:t xml:space="preserve">otice of </w:t>
      </w:r>
      <w:r w:rsidR="00417239">
        <w:t>P</w:t>
      </w:r>
      <w:r w:rsidR="005B6588">
        <w:t xml:space="preserve">lanned </w:t>
      </w:r>
      <w:r w:rsidR="00417239">
        <w:t>P</w:t>
      </w:r>
      <w:r w:rsidR="005B6588">
        <w:t xml:space="preserve">articipation (“NOPP”) </w:t>
      </w:r>
      <w:r>
        <w:t>for Plant Gaston</w:t>
      </w:r>
      <w:r w:rsidR="561A83CC">
        <w:t xml:space="preserve"> Units 1 through 4</w:t>
      </w:r>
      <w:r w:rsidR="00A14C41">
        <w:t xml:space="preserve"> on behalf of SEGCO</w:t>
      </w:r>
      <w:r w:rsidR="00D61980">
        <w:t xml:space="preserve"> to </w:t>
      </w:r>
      <w:r w:rsidR="596D9DC4">
        <w:t xml:space="preserve">the </w:t>
      </w:r>
      <w:r w:rsidR="004F366B">
        <w:t xml:space="preserve">Alabama Department of </w:t>
      </w:r>
      <w:r w:rsidR="006C48B3">
        <w:t>Environmental Management</w:t>
      </w:r>
      <w:r w:rsidR="00BD558C">
        <w:t>. The</w:t>
      </w:r>
      <w:r w:rsidR="0CD9C920">
        <w:t xml:space="preserve"> NOPP</w:t>
      </w:r>
      <w:r w:rsidR="0C3BD558">
        <w:t xml:space="preserve"> filed stated that Plant Gaston Units 1-4 would permanently cease coal combustion </w:t>
      </w:r>
      <w:r w:rsidR="005C72E4">
        <w:t>through retirement</w:t>
      </w:r>
      <w:r w:rsidR="0C3BD558">
        <w:t xml:space="preserve"> no later than December 3</w:t>
      </w:r>
      <w:r w:rsidR="001F2ADB">
        <w:t>1</w:t>
      </w:r>
      <w:r w:rsidR="0C3BD558">
        <w:t>, 2028.</w:t>
      </w:r>
      <w:r w:rsidR="00D56207">
        <w:t xml:space="preserve"> </w:t>
      </w:r>
    </w:p>
    <w:p w14:paraId="49EE7072" w14:textId="6937BFC2" w:rsidR="007A654C" w:rsidRDefault="287C0FD3" w:rsidP="009C796C">
      <w:r>
        <w:lastRenderedPageBreak/>
        <w:t>C</w:t>
      </w:r>
      <w:r w:rsidR="5C1F1B35">
        <w:t>ertifying</w:t>
      </w:r>
      <w:r w:rsidR="009C796C" w:rsidRPr="009C796C">
        <w:t xml:space="preserve"> </w:t>
      </w:r>
      <w:r w:rsidR="001E13C3">
        <w:t xml:space="preserve">the </w:t>
      </w:r>
      <w:r w:rsidR="009C796C" w:rsidRPr="009C796C">
        <w:t>retirement</w:t>
      </w:r>
      <w:r w:rsidR="001E13C3">
        <w:t xml:space="preserve"> of units</w:t>
      </w:r>
      <w:r w:rsidR="009C796C" w:rsidRPr="009C796C">
        <w:t xml:space="preserve"> </w:t>
      </w:r>
      <w:r w:rsidR="00D140A7">
        <w:t>by December 31, 2028</w:t>
      </w:r>
      <w:r w:rsidR="009C796C" w:rsidRPr="009C796C">
        <w:t xml:space="preserve">, </w:t>
      </w:r>
      <w:r w:rsidR="753E3914">
        <w:t xml:space="preserve">would </w:t>
      </w:r>
      <w:r w:rsidR="5C1F1B35">
        <w:t>provide</w:t>
      </w:r>
      <w:r w:rsidR="009C796C" w:rsidRPr="009C796C">
        <w:t xml:space="preserve"> a cost-effective alternative </w:t>
      </w:r>
      <w:r w:rsidR="00754987">
        <w:t>to</w:t>
      </w:r>
      <w:r w:rsidR="00754987" w:rsidRPr="009C796C">
        <w:t xml:space="preserve"> </w:t>
      </w:r>
      <w:r w:rsidR="0002616A">
        <w:t>installation of cont</w:t>
      </w:r>
      <w:r w:rsidR="00C46988">
        <w:t xml:space="preserve">rols for </w:t>
      </w:r>
      <w:r w:rsidR="009C796C" w:rsidRPr="009C796C">
        <w:t xml:space="preserve">ELG compliance at the </w:t>
      </w:r>
      <w:r w:rsidR="3B79B7AD">
        <w:t xml:space="preserve">nine </w:t>
      </w:r>
      <w:r w:rsidR="009C796C" w:rsidRPr="009C796C">
        <w:t xml:space="preserve">units at Plants Bowen, </w:t>
      </w:r>
      <w:r w:rsidR="28A598C8">
        <w:t xml:space="preserve">Gaston, </w:t>
      </w:r>
      <w:r w:rsidR="009C796C" w:rsidRPr="009C796C">
        <w:t>Scherer, and Wansley</w:t>
      </w:r>
      <w:r w:rsidR="00D47C3C">
        <w:t>.</w:t>
      </w:r>
    </w:p>
    <w:p w14:paraId="79A34D50" w14:textId="07D3F3AC" w:rsidR="009C796C" w:rsidRPr="009C796C" w:rsidRDefault="005141B2" w:rsidP="009C796C">
      <w:r w:rsidRPr="005141B2">
        <w:t xml:space="preserve">Establishing a known retirement date provides the Company with an opportunity to reduce operating costs </w:t>
      </w:r>
      <w:r w:rsidR="008613CC">
        <w:t xml:space="preserve">associated with these units, </w:t>
      </w:r>
      <w:r w:rsidRPr="005141B2">
        <w:t xml:space="preserve">while </w:t>
      </w:r>
      <w:r w:rsidR="008B5414">
        <w:t>provi</w:t>
      </w:r>
      <w:r w:rsidR="00EE25D9">
        <w:t>di</w:t>
      </w:r>
      <w:r w:rsidR="008B5414">
        <w:t xml:space="preserve">ng necessary time to </w:t>
      </w:r>
      <w:r w:rsidRPr="005141B2">
        <w:t>prepar</w:t>
      </w:r>
      <w:r w:rsidR="00CE494C">
        <w:t>e</w:t>
      </w:r>
      <w:r w:rsidRPr="005141B2">
        <w:t xml:space="preserve"> the system for</w:t>
      </w:r>
      <w:r w:rsidR="005D2324">
        <w:t xml:space="preserve"> the</w:t>
      </w:r>
      <w:r w:rsidRPr="005141B2">
        <w:t xml:space="preserve"> retirement</w:t>
      </w:r>
      <w:r w:rsidR="000D4AAA">
        <w:t xml:space="preserve"> of these units</w:t>
      </w:r>
      <w:r>
        <w:t>.</w:t>
      </w:r>
    </w:p>
    <w:p w14:paraId="47FE23D0" w14:textId="77777777" w:rsidR="00D35BE5" w:rsidRDefault="009C796C" w:rsidP="009C796C">
      <w:r w:rsidRPr="009C796C">
        <w:t xml:space="preserve">The Company’s election to install controls at Plant Bowen Units 3 and 4 and Plant Scherer Units 1 and 2 was also carefully considered. Recognizing </w:t>
      </w:r>
      <w:r w:rsidR="0056473D">
        <w:t xml:space="preserve">the necessary </w:t>
      </w:r>
      <w:r w:rsidRPr="009C796C">
        <w:t xml:space="preserve">system </w:t>
      </w:r>
      <w:r w:rsidR="00731B2C">
        <w:t xml:space="preserve">planning and reliability </w:t>
      </w:r>
      <w:r w:rsidR="00532F5C">
        <w:t>projects</w:t>
      </w:r>
      <w:r w:rsidR="00532F5C" w:rsidRPr="009C796C">
        <w:t xml:space="preserve"> </w:t>
      </w:r>
      <w:r w:rsidRPr="009C796C">
        <w:t xml:space="preserve">to </w:t>
      </w:r>
      <w:r w:rsidR="00B0709E">
        <w:t>provide</w:t>
      </w:r>
      <w:r w:rsidR="00B0709E" w:rsidRPr="009C796C">
        <w:t xml:space="preserve"> </w:t>
      </w:r>
      <w:r w:rsidRPr="009C796C">
        <w:t xml:space="preserve">for the retirement of all units at </w:t>
      </w:r>
      <w:r w:rsidR="00E61325">
        <w:t xml:space="preserve">Plant </w:t>
      </w:r>
      <w:r w:rsidRPr="009C796C">
        <w:t xml:space="preserve">Bowen cannot be completed by </w:t>
      </w:r>
      <w:r w:rsidR="006D59A7">
        <w:t xml:space="preserve">December 31, </w:t>
      </w:r>
      <w:r w:rsidRPr="009C796C">
        <w:t>2028 and considering the Company’s unit retirement study</w:t>
      </w:r>
      <w:r w:rsidR="009B79CF">
        <w:t xml:space="preserve"> (“URS”)</w:t>
      </w:r>
      <w:r w:rsidRPr="009C796C">
        <w:t xml:space="preserve">, Plant Bowen Units 3 and 4 </w:t>
      </w:r>
      <w:r w:rsidR="006A6076">
        <w:t>must</w:t>
      </w:r>
      <w:r w:rsidR="006A6076" w:rsidRPr="009C796C">
        <w:t xml:space="preserve"> </w:t>
      </w:r>
      <w:r w:rsidRPr="009C796C">
        <w:t>pursu</w:t>
      </w:r>
      <w:r w:rsidR="006A6076">
        <w:t>e</w:t>
      </w:r>
      <w:r w:rsidRPr="009C796C">
        <w:t xml:space="preserve"> compliance with the generally applicable effluent limits through installation of physical-chemical-biological FGD wastewater treatment.  </w:t>
      </w:r>
    </w:p>
    <w:p w14:paraId="213A3A64" w14:textId="6D2B0602" w:rsidR="0034680C" w:rsidRDefault="009C796C" w:rsidP="009C796C">
      <w:r w:rsidRPr="009C796C">
        <w:t>Continued operation of</w:t>
      </w:r>
      <w:r>
        <w:t xml:space="preserve"> </w:t>
      </w:r>
      <w:r w:rsidR="00E61325">
        <w:t>Plant</w:t>
      </w:r>
      <w:r w:rsidRPr="009C796C">
        <w:t xml:space="preserve"> Scherer Units 1 and 2</w:t>
      </w:r>
      <w:r w:rsidR="3669D2AE">
        <w:t>,</w:t>
      </w:r>
      <w:r w:rsidRPr="009C796C">
        <w:t xml:space="preserve"> in conjunction with the site’s co-owners</w:t>
      </w:r>
      <w:r w:rsidR="08A87B2D">
        <w:t>,</w:t>
      </w:r>
      <w:r w:rsidRPr="009C796C">
        <w:t xml:space="preserve"> </w:t>
      </w:r>
      <w:r w:rsidR="00790A16">
        <w:t xml:space="preserve">allows time for </w:t>
      </w:r>
      <w:r w:rsidR="006E19A8">
        <w:t xml:space="preserve">continued planning </w:t>
      </w:r>
      <w:r w:rsidR="008E6DBB">
        <w:t xml:space="preserve">activities </w:t>
      </w:r>
      <w:r w:rsidR="00E713E3">
        <w:t>considering</w:t>
      </w:r>
      <w:r w:rsidR="008E6DBB">
        <w:t xml:space="preserve"> </w:t>
      </w:r>
      <w:r w:rsidR="00790A16" w:rsidRPr="00790A16">
        <w:t xml:space="preserve">long-term </w:t>
      </w:r>
      <w:r w:rsidR="008E6DBB">
        <w:t>system</w:t>
      </w:r>
      <w:r w:rsidR="00790A16" w:rsidRPr="00790A16">
        <w:t xml:space="preserve"> reliability</w:t>
      </w:r>
      <w:r w:rsidR="2C74A425">
        <w:t>.</w:t>
      </w:r>
      <w:r w:rsidR="00D35BE5">
        <w:t xml:space="preserve"> </w:t>
      </w:r>
      <w:r w:rsidRPr="009C796C">
        <w:t>Due to plant-specific equipment and operational characteristics, Plant Scherer may benefit from the VIP compliance option using membrane</w:t>
      </w:r>
      <w:r w:rsidR="008C68C2">
        <w:t>-based</w:t>
      </w:r>
      <w:r w:rsidRPr="009C796C">
        <w:t xml:space="preserve"> technology as an alternative to physical-chemical-biological treatment. Therefore, for</w:t>
      </w:r>
      <w:r>
        <w:t xml:space="preserve"> </w:t>
      </w:r>
      <w:r w:rsidR="00E61325">
        <w:t>Plant</w:t>
      </w:r>
      <w:r w:rsidRPr="009C796C">
        <w:t xml:space="preserve"> Scherer Units 1 and 2, the 2022 ECS reflects the Company’s </w:t>
      </w:r>
      <w:r w:rsidR="1C06A67E">
        <w:t xml:space="preserve">and co-owners' </w:t>
      </w:r>
      <w:r w:rsidRPr="009C796C">
        <w:t xml:space="preserve">plans to maintain flexible options by pursuing parallel paths of: 1) maintaining plans for installing physical-chemical-biological controls to meet the generally applicable effluent limits by December 31, 2025, and 2) </w:t>
      </w:r>
      <w:r w:rsidR="00F30080">
        <w:t>evaluating</w:t>
      </w:r>
      <w:r w:rsidR="00F30080" w:rsidRPr="009C796C">
        <w:t xml:space="preserve"> </w:t>
      </w:r>
      <w:r w:rsidRPr="009C796C">
        <w:t xml:space="preserve">the membrane-based treatment systems that would be required to comply with the VIP pathway by December 31, 2028. </w:t>
      </w:r>
    </w:p>
    <w:p w14:paraId="2AF1F5A9" w14:textId="1689ED28" w:rsidR="009C796C" w:rsidRPr="009C796C" w:rsidRDefault="00255BC3" w:rsidP="009C796C">
      <w:r>
        <w:t xml:space="preserve">Controls will be installed for continued operation of Plant Scherer Units 1 and 2. </w:t>
      </w:r>
      <w:r w:rsidR="00E77788">
        <w:t xml:space="preserve">Should the </w:t>
      </w:r>
      <w:r w:rsidR="00FD4968">
        <w:t>evaluation of</w:t>
      </w:r>
      <w:r w:rsidR="0094051D">
        <w:t xml:space="preserve"> </w:t>
      </w:r>
      <w:r w:rsidR="00924B34">
        <w:t xml:space="preserve">the membrane-based treatment system </w:t>
      </w:r>
      <w:r w:rsidR="00E3518C">
        <w:t xml:space="preserve">show </w:t>
      </w:r>
      <w:r w:rsidR="00960CC4">
        <w:t xml:space="preserve">appropriate technical performance, reliability, operational </w:t>
      </w:r>
      <w:r w:rsidR="00500DDE">
        <w:t>flexibility</w:t>
      </w:r>
      <w:r w:rsidR="00960CC4">
        <w:t xml:space="preserve"> and </w:t>
      </w:r>
      <w:r w:rsidR="00A66B9E">
        <w:t xml:space="preserve">cost compared against </w:t>
      </w:r>
      <w:r w:rsidR="0034680C">
        <w:t>the physical-chemical-biological controls</w:t>
      </w:r>
      <w:r w:rsidR="007028AF">
        <w:t>, the Company will install the membrane-based system</w:t>
      </w:r>
      <w:r w:rsidR="00E6258C">
        <w:t>.</w:t>
      </w:r>
    </w:p>
    <w:p w14:paraId="46433391" w14:textId="51A9F2A3" w:rsidR="009C796C" w:rsidRPr="005C05E9" w:rsidRDefault="009C796C" w:rsidP="009C796C">
      <w:r w:rsidRPr="009C796C">
        <w:t>Georgia Power’s ELG strategy benefits customers by maintaining the essential flexibility to choose the best unit-specific compliance options, while also addressing reliability risks</w:t>
      </w:r>
      <w:r w:rsidR="007C293C">
        <w:t xml:space="preserve"> and</w:t>
      </w:r>
      <w:r w:rsidRPr="009C796C">
        <w:t xml:space="preserve"> enabling a continued orderly and staged fleet transition. This plan also best addresses the continuing uncertainty around the ultimate outcome of EPA’s latest review </w:t>
      </w:r>
      <w:r w:rsidRPr="005C05E9">
        <w:t>of the ELG rule.</w:t>
      </w:r>
      <w:r w:rsidR="004315AB" w:rsidRPr="005C05E9">
        <w:t xml:space="preserve"> </w:t>
      </w:r>
      <w:r w:rsidR="00AB0248" w:rsidRPr="005C05E9">
        <w:t xml:space="preserve">By </w:t>
      </w:r>
      <w:r w:rsidR="004315AB" w:rsidRPr="005C05E9">
        <w:t>remain</w:t>
      </w:r>
      <w:r w:rsidR="00AB0248" w:rsidRPr="005C05E9">
        <w:t>ing</w:t>
      </w:r>
      <w:r w:rsidR="004315AB" w:rsidRPr="005C05E9">
        <w:t xml:space="preserve"> flexible in determining the best path forward</w:t>
      </w:r>
      <w:r w:rsidR="00910C49" w:rsidRPr="005C05E9">
        <w:t>,</w:t>
      </w:r>
      <w:r w:rsidR="004315AB" w:rsidRPr="005C05E9">
        <w:t xml:space="preserve"> the Company </w:t>
      </w:r>
      <w:r w:rsidR="11EE6386" w:rsidRPr="005C05E9">
        <w:t>can</w:t>
      </w:r>
      <w:r w:rsidR="004315AB" w:rsidRPr="005C05E9">
        <w:t xml:space="preserve"> prepare for compliance while also allowing additional information to be collected and plans to be adjusted as needed</w:t>
      </w:r>
      <w:r w:rsidR="003E54FF" w:rsidRPr="005C05E9">
        <w:t xml:space="preserve"> in order to make the best decision for customers</w:t>
      </w:r>
      <w:r w:rsidR="004315AB" w:rsidRPr="005C05E9">
        <w:t>.</w:t>
      </w:r>
    </w:p>
    <w:p w14:paraId="1B1E0FE7" w14:textId="74F249D6" w:rsidR="009C796C" w:rsidRPr="005C05E9" w:rsidRDefault="009C796C" w:rsidP="009C796C">
      <w:pPr>
        <w:numPr>
          <w:ilvl w:val="0"/>
          <w:numId w:val="36"/>
        </w:numPr>
      </w:pPr>
      <w:r w:rsidRPr="005C05E9">
        <w:rPr>
          <w:b/>
          <w:bCs/>
          <w:i/>
          <w:iCs/>
        </w:rPr>
        <w:t xml:space="preserve">The Company’s CCR strategy </w:t>
      </w:r>
      <w:r w:rsidRPr="005C05E9">
        <w:rPr>
          <w:b/>
          <w:i/>
        </w:rPr>
        <w:t xml:space="preserve">approved in </w:t>
      </w:r>
      <w:r w:rsidR="004A7FF2" w:rsidRPr="005C05E9">
        <w:rPr>
          <w:b/>
          <w:i/>
        </w:rPr>
        <w:t xml:space="preserve">the </w:t>
      </w:r>
      <w:r w:rsidRPr="005C05E9">
        <w:rPr>
          <w:b/>
          <w:i/>
        </w:rPr>
        <w:t>2019</w:t>
      </w:r>
      <w:r w:rsidR="004A7FF2" w:rsidRPr="005C05E9">
        <w:rPr>
          <w:b/>
          <w:i/>
        </w:rPr>
        <w:t xml:space="preserve"> IRP</w:t>
      </w:r>
      <w:r w:rsidRPr="005C05E9">
        <w:rPr>
          <w:b/>
          <w:bCs/>
          <w:i/>
          <w:iCs/>
        </w:rPr>
        <w:t xml:space="preserve"> continues to be implemented and refined to optimize closure plans, with significant progress made over the last three years. </w:t>
      </w:r>
      <w:r w:rsidR="008E53B7" w:rsidRPr="005C05E9">
        <w:rPr>
          <w:b/>
          <w:bCs/>
          <w:i/>
          <w:iCs/>
        </w:rPr>
        <w:t>Based on the Company’s proposed</w:t>
      </w:r>
      <w:r w:rsidR="009C526A" w:rsidRPr="005C05E9">
        <w:rPr>
          <w:b/>
          <w:bCs/>
          <w:i/>
          <w:iCs/>
        </w:rPr>
        <w:t xml:space="preserve"> 202</w:t>
      </w:r>
      <w:r w:rsidR="000679EE" w:rsidRPr="005C05E9">
        <w:rPr>
          <w:b/>
          <w:bCs/>
          <w:i/>
          <w:iCs/>
        </w:rPr>
        <w:t>2 IRP</w:t>
      </w:r>
      <w:r w:rsidR="008E53B7" w:rsidRPr="005C05E9">
        <w:rPr>
          <w:b/>
          <w:bCs/>
          <w:i/>
          <w:iCs/>
        </w:rPr>
        <w:t>, t</w:t>
      </w:r>
      <w:r w:rsidR="004A5329" w:rsidRPr="005C05E9">
        <w:rPr>
          <w:b/>
          <w:bCs/>
          <w:i/>
          <w:iCs/>
        </w:rPr>
        <w:t xml:space="preserve">he </w:t>
      </w:r>
      <w:r w:rsidR="0055565C" w:rsidRPr="005C05E9">
        <w:rPr>
          <w:b/>
          <w:bCs/>
          <w:i/>
          <w:iCs/>
        </w:rPr>
        <w:t xml:space="preserve">recommended </w:t>
      </w:r>
      <w:r w:rsidR="004A5329" w:rsidRPr="005C05E9">
        <w:rPr>
          <w:b/>
          <w:bCs/>
          <w:i/>
          <w:iCs/>
        </w:rPr>
        <w:t>Plant Wansley ash pond closure strategy</w:t>
      </w:r>
      <w:r w:rsidR="004A5329" w:rsidRPr="005C05E9">
        <w:rPr>
          <w:b/>
          <w:i/>
        </w:rPr>
        <w:t xml:space="preserve"> </w:t>
      </w:r>
      <w:r w:rsidR="00D120BD" w:rsidRPr="005C05E9">
        <w:rPr>
          <w:b/>
          <w:bCs/>
          <w:i/>
          <w:iCs/>
        </w:rPr>
        <w:t>modification</w:t>
      </w:r>
      <w:r w:rsidR="004A5329" w:rsidRPr="005C05E9">
        <w:rPr>
          <w:b/>
          <w:bCs/>
          <w:i/>
          <w:iCs/>
        </w:rPr>
        <w:t xml:space="preserve"> </w:t>
      </w:r>
      <w:r w:rsidR="00BF2CD7" w:rsidRPr="005C05E9">
        <w:rPr>
          <w:b/>
          <w:bCs/>
          <w:i/>
          <w:iCs/>
        </w:rPr>
        <w:t>is</w:t>
      </w:r>
      <w:r w:rsidR="00BF2CD7" w:rsidRPr="005C05E9">
        <w:rPr>
          <w:b/>
          <w:i/>
        </w:rPr>
        <w:t xml:space="preserve"> </w:t>
      </w:r>
      <w:r w:rsidR="00291E48" w:rsidRPr="005C05E9">
        <w:rPr>
          <w:b/>
          <w:bCs/>
          <w:i/>
          <w:iCs/>
        </w:rPr>
        <w:t>in the best interest of customers.</w:t>
      </w:r>
    </w:p>
    <w:p w14:paraId="6B54DCAB" w14:textId="260ADDE7" w:rsidR="009C796C" w:rsidRPr="009C796C" w:rsidRDefault="009C796C" w:rsidP="009C796C">
      <w:r w:rsidRPr="009C796C">
        <w:lastRenderedPageBreak/>
        <w:t xml:space="preserve">Georgia Power is required to comply with both the Federal </w:t>
      </w:r>
      <w:r w:rsidR="00DC5006">
        <w:t>CCR</w:t>
      </w:r>
      <w:r w:rsidRPr="009C796C">
        <w:t xml:space="preserve"> Rule and Georgia’s CCR Rule at its CCR ash ponds and landfills. Georgia Power presented its compliance strategy </w:t>
      </w:r>
      <w:r w:rsidR="002B5477">
        <w:t>t</w:t>
      </w:r>
      <w:r w:rsidR="002B5477" w:rsidRPr="009C796C">
        <w:t xml:space="preserve">o comply with these rules </w:t>
      </w:r>
      <w:r w:rsidRPr="009C796C">
        <w:t>in the 2019 ECS</w:t>
      </w:r>
      <w:r w:rsidR="006D6551">
        <w:t>,</w:t>
      </w:r>
      <w:r w:rsidRPr="009C796C">
        <w:t xml:space="preserve"> which was reviewed and approved by the PSC in the Company’s 2019 IRP (Docket No. 42310). Since the 2019 IRP Final Order, CCR project progress and cost updates have been submitted semi-annually to the PSC through Docket No. </w:t>
      </w:r>
      <w:r w:rsidR="00EC3AD7">
        <w:t>43083</w:t>
      </w:r>
      <w:r w:rsidRPr="009C796C">
        <w:t>.</w:t>
      </w:r>
    </w:p>
    <w:p w14:paraId="31A27E76" w14:textId="5388A2EF" w:rsidR="009C796C" w:rsidRPr="009C796C" w:rsidRDefault="009C796C" w:rsidP="009C796C">
      <w:r w:rsidRPr="009C796C">
        <w:t xml:space="preserve">After the CCR Rule was finalized in 2015, EPA </w:t>
      </w:r>
      <w:r w:rsidR="005C57AA">
        <w:t>amended</w:t>
      </w:r>
      <w:r w:rsidR="005C57AA" w:rsidRPr="009C796C">
        <w:t xml:space="preserve"> </w:t>
      </w:r>
      <w:r w:rsidRPr="009C796C">
        <w:t xml:space="preserve">the rule numerous times, and the Company expects Federal and Georgia requirements to continue to be reviewed and updated in the future. </w:t>
      </w:r>
      <w:r w:rsidR="00941652" w:rsidRPr="009C796C">
        <w:t xml:space="preserve">The Company’s CCR compliance </w:t>
      </w:r>
      <w:r w:rsidRPr="009C796C">
        <w:t xml:space="preserve">strategy process is </w:t>
      </w:r>
      <w:r w:rsidR="00941652" w:rsidRPr="009C796C">
        <w:t>developed</w:t>
      </w:r>
      <w:r w:rsidRPr="009C796C">
        <w:t xml:space="preserve"> to </w:t>
      </w:r>
      <w:r w:rsidR="00941652" w:rsidRPr="009C796C">
        <w:t xml:space="preserve">respond to changing regulations and </w:t>
      </w:r>
      <w:r w:rsidRPr="009C796C">
        <w:t>incorporate new information as it becomes available</w:t>
      </w:r>
      <w:r w:rsidR="00941652" w:rsidRPr="009C796C">
        <w:t xml:space="preserve">.  While the strategy itself will continue to necessarily evolve, the purpose of the process has </w:t>
      </w:r>
      <w:r w:rsidR="00941652" w:rsidRPr="009C796C" w:rsidDel="008319A9">
        <w:t>always been</w:t>
      </w:r>
      <w:r w:rsidRPr="009C796C">
        <w:t xml:space="preserve"> to maintain flexibility </w:t>
      </w:r>
      <w:r w:rsidR="00D13471">
        <w:t>while producing</w:t>
      </w:r>
      <w:r w:rsidR="00941652" w:rsidRPr="009C796C">
        <w:t xml:space="preserve"> cost-effective compliance solutions that will </w:t>
      </w:r>
      <w:r w:rsidR="00941652">
        <w:t>minimize</w:t>
      </w:r>
      <w:r w:rsidR="00941652" w:rsidRPr="009C796C">
        <w:t xml:space="preserve"> the impact to customers while </w:t>
      </w:r>
      <w:r w:rsidR="006A7A1C">
        <w:t>ensuring</w:t>
      </w:r>
      <w:r w:rsidR="006A7A1C" w:rsidRPr="009C796C">
        <w:t xml:space="preserve"> </w:t>
      </w:r>
      <w:r w:rsidR="00941652" w:rsidRPr="009C796C">
        <w:t>environmental compliance with all requirements</w:t>
      </w:r>
      <w:r w:rsidR="00EE579C">
        <w:t>.</w:t>
      </w:r>
      <w:r w:rsidRPr="009C796C">
        <w:t xml:space="preserve"> </w:t>
      </w:r>
    </w:p>
    <w:p w14:paraId="41DA55E6" w14:textId="60E08345" w:rsidR="009C796C" w:rsidRPr="009C796C" w:rsidRDefault="009C796C" w:rsidP="009C796C">
      <w:r w:rsidRPr="009C796C">
        <w:t xml:space="preserve">The Company has 29 ash ponds, 12 existing CCR landfills, </w:t>
      </w:r>
      <w:r w:rsidRPr="009C796C">
        <w:rPr>
          <w:lang w:val="en"/>
        </w:rPr>
        <w:t>and 2 future landfills that will be permitted to support ash pond closures in the future</w:t>
      </w:r>
      <w:r w:rsidRPr="009C796C">
        <w:t>. Georgia Power’s ash pond and landfill closure plans and compliance strategy are designed to comply with the Federal CCR Rule, as well as the more stringent requirements of the Georgia CCR Rule. The Company’s closure plans are complex, with site-specific considerations around ash</w:t>
      </w:r>
      <w:r w:rsidR="003C13E5">
        <w:t xml:space="preserve"> </w:t>
      </w:r>
      <w:r w:rsidRPr="009C796C">
        <w:t xml:space="preserve">pond size, volume of material, dewatering, location, geology, safety and the surrounding environment, making each project unique. Closure construction activities will continue for at least the next 15 years, </w:t>
      </w:r>
      <w:r w:rsidRPr="003612AE">
        <w:t xml:space="preserve">while post closure care requirements are currently expected to span over </w:t>
      </w:r>
      <w:r w:rsidR="005D6747" w:rsidRPr="003612AE">
        <w:t xml:space="preserve">approximately the next </w:t>
      </w:r>
      <w:r w:rsidRPr="003612AE">
        <w:t>60 years.</w:t>
      </w:r>
      <w:r w:rsidRPr="009C796C">
        <w:t xml:space="preserve"> </w:t>
      </w:r>
    </w:p>
    <w:p w14:paraId="701E3B02" w14:textId="1464D59B" w:rsidR="009474A3" w:rsidRDefault="009C796C" w:rsidP="009C796C">
      <w:r w:rsidRPr="009C796C">
        <w:t>The Company, relying on the experience and knowledge of third-party experts</w:t>
      </w:r>
      <w:r w:rsidR="005941ED">
        <w:t xml:space="preserve"> with </w:t>
      </w:r>
      <w:r w:rsidR="00F37534">
        <w:t>expertise in solid waste permitting</w:t>
      </w:r>
      <w:r w:rsidR="00AB19DA">
        <w:t xml:space="preserve"> and design</w:t>
      </w:r>
      <w:r w:rsidRPr="009C796C">
        <w:t>, has evaluated the volume, complexity, and duration of these required activities on a site-specific basis and created comprehensive closure plans</w:t>
      </w:r>
      <w:r w:rsidR="00470E97">
        <w:t>, designs,</w:t>
      </w:r>
      <w:r w:rsidRPr="009C796C">
        <w:t xml:space="preserve"> and construction schedules necessary to comply with the </w:t>
      </w:r>
      <w:r w:rsidR="00117D41">
        <w:t>requirements and co</w:t>
      </w:r>
      <w:r w:rsidR="00117D41" w:rsidRPr="005C05E9">
        <w:t xml:space="preserve">mpliance </w:t>
      </w:r>
      <w:r w:rsidR="003B6EA0" w:rsidRPr="005C05E9">
        <w:t>deadlines</w:t>
      </w:r>
      <w:r w:rsidR="00117D41" w:rsidRPr="005C05E9">
        <w:t xml:space="preserve"> of the </w:t>
      </w:r>
      <w:r w:rsidRPr="005C05E9">
        <w:t xml:space="preserve">CCR Rules. </w:t>
      </w:r>
      <w:bookmarkStart w:id="7" w:name="_Hlk535314680"/>
      <w:r w:rsidR="00DF2F75" w:rsidRPr="005C05E9">
        <w:rPr>
          <w:lang w:val="en"/>
        </w:rPr>
        <w:t>These</w:t>
      </w:r>
      <w:r w:rsidRPr="005C05E9" w:rsidDel="00470E97">
        <w:rPr>
          <w:lang w:val="en"/>
        </w:rPr>
        <w:t xml:space="preserve"> </w:t>
      </w:r>
      <w:r w:rsidR="00470E97" w:rsidRPr="005C05E9">
        <w:rPr>
          <w:lang w:val="en"/>
        </w:rPr>
        <w:t xml:space="preserve">plans </w:t>
      </w:r>
      <w:r w:rsidRPr="005C05E9">
        <w:rPr>
          <w:lang w:val="en"/>
        </w:rPr>
        <w:t>are certified by independent professional engineers</w:t>
      </w:r>
      <w:r w:rsidRPr="005C05E9">
        <w:t xml:space="preserve"> following a detailed, site-specific engineering analysis. </w:t>
      </w:r>
      <w:r w:rsidR="00ED7514" w:rsidRPr="005C05E9">
        <w:rPr>
          <w:lang w:val="en"/>
        </w:rPr>
        <w:t>The Company’s plans are based on long-</w:t>
      </w:r>
      <w:r w:rsidR="00ED7514" w:rsidRPr="005C05E9">
        <w:t>standing rule interpretation held by both industry and environmental regulators. In addition, the Company used industry- and agency- accepted engineering practices utilized for closure designs that are consistent with solid waste regulatory requirements, on which the CCR rule is based.</w:t>
      </w:r>
      <w:r w:rsidR="00B52E79" w:rsidRPr="005C05E9">
        <w:t xml:space="preserve"> </w:t>
      </w:r>
      <w:r w:rsidR="00DA6393" w:rsidRPr="005C05E9" w:rsidDel="00ED7514">
        <w:rPr>
          <w:lang w:val="en"/>
        </w:rPr>
        <w:t xml:space="preserve">The </w:t>
      </w:r>
      <w:r w:rsidRPr="005C05E9">
        <w:rPr>
          <w:lang w:val="en"/>
        </w:rPr>
        <w:t>Company’s compliance strategy</w:t>
      </w:r>
      <w:r w:rsidR="00297EAA" w:rsidRPr="005C05E9">
        <w:rPr>
          <w:lang w:val="en"/>
        </w:rPr>
        <w:t>,</w:t>
      </w:r>
      <w:r w:rsidRPr="005C05E9">
        <w:rPr>
          <w:lang w:val="en"/>
        </w:rPr>
        <w:t xml:space="preserve"> </w:t>
      </w:r>
      <w:r w:rsidR="00297EAA" w:rsidRPr="005C05E9">
        <w:rPr>
          <w:lang w:val="en"/>
        </w:rPr>
        <w:t xml:space="preserve">with the update to the Wansley </w:t>
      </w:r>
      <w:r w:rsidR="00CC4614" w:rsidRPr="005C05E9">
        <w:rPr>
          <w:lang w:val="en"/>
        </w:rPr>
        <w:t>ash pond closure strategy</w:t>
      </w:r>
      <w:r w:rsidR="00297EAA" w:rsidRPr="005C05E9">
        <w:rPr>
          <w:lang w:val="en"/>
        </w:rPr>
        <w:t xml:space="preserve">, </w:t>
      </w:r>
      <w:r w:rsidRPr="005C05E9">
        <w:rPr>
          <w:lang w:val="en"/>
        </w:rPr>
        <w:t xml:space="preserve">includes permanently closing all 29 ash ponds </w:t>
      </w:r>
      <w:r w:rsidRPr="005C05E9">
        <w:t xml:space="preserve">by removing the ash from </w:t>
      </w:r>
      <w:r w:rsidR="003650AD" w:rsidRPr="005C05E9">
        <w:t>20</w:t>
      </w:r>
      <w:r w:rsidRPr="005C05E9">
        <w:t xml:space="preserve"> ponds and closing the remaining </w:t>
      </w:r>
      <w:r w:rsidR="003650AD" w:rsidRPr="005C05E9">
        <w:t xml:space="preserve">9 </w:t>
      </w:r>
      <w:r w:rsidRPr="005C05E9">
        <w:t>ponds in place using proven engineering methods designed to meet the requirements of the regulations. The table below summarizes the individual ash pond closure strategy across Georgia Power</w:t>
      </w:r>
      <w:r w:rsidR="0063222A" w:rsidRPr="005C05E9">
        <w:t xml:space="preserve">, pending </w:t>
      </w:r>
      <w:r w:rsidR="00DB04EA" w:rsidRPr="005C05E9">
        <w:t>Commission</w:t>
      </w:r>
      <w:r w:rsidR="00433277" w:rsidRPr="005C05E9">
        <w:t xml:space="preserve"> </w:t>
      </w:r>
      <w:r w:rsidR="0063222A" w:rsidRPr="005C05E9">
        <w:t xml:space="preserve">approval of the </w:t>
      </w:r>
      <w:r w:rsidR="00EE7BC5" w:rsidRPr="005C05E9">
        <w:t>IRP and</w:t>
      </w:r>
      <w:r w:rsidR="0063222A" w:rsidRPr="005C05E9">
        <w:t xml:space="preserve"> retirement of Plant Wansley Units 1 </w:t>
      </w:r>
      <w:r w:rsidR="00641870" w:rsidRPr="005C05E9">
        <w:t>and</w:t>
      </w:r>
      <w:r w:rsidR="0063222A" w:rsidRPr="005C05E9">
        <w:t xml:space="preserve"> 2</w:t>
      </w:r>
      <w:r w:rsidRPr="005C05E9">
        <w:t>.</w:t>
      </w:r>
      <w:bookmarkEnd w:id="7"/>
    </w:p>
    <w:p w14:paraId="7B634EB5" w14:textId="77777777" w:rsidR="009474A3" w:rsidRDefault="009474A3">
      <w:pPr>
        <w:spacing w:after="160" w:line="259" w:lineRule="auto"/>
        <w:jc w:val="left"/>
      </w:pPr>
      <w:r>
        <w:br w:type="page"/>
      </w:r>
    </w:p>
    <w:tbl>
      <w:tblPr>
        <w:tblW w:w="0" w:type="auto"/>
        <w:jc w:val="center"/>
        <w:tblLook w:val="04A0" w:firstRow="1" w:lastRow="0" w:firstColumn="1" w:lastColumn="0" w:noHBand="0" w:noVBand="1"/>
      </w:tblPr>
      <w:tblGrid>
        <w:gridCol w:w="1511"/>
        <w:gridCol w:w="2524"/>
        <w:gridCol w:w="2084"/>
        <w:gridCol w:w="790"/>
      </w:tblGrid>
      <w:tr w:rsidR="009C796C" w:rsidRPr="009C796C" w14:paraId="453526F4" w14:textId="77777777" w:rsidTr="00C5796A">
        <w:trPr>
          <w:trHeight w:val="20"/>
          <w:jc w:val="center"/>
        </w:trPr>
        <w:tc>
          <w:tcPr>
            <w:tcW w:w="0" w:type="auto"/>
            <w:tcBorders>
              <w:top w:val="single" w:sz="4" w:space="0" w:color="757171"/>
              <w:left w:val="single" w:sz="4" w:space="0" w:color="757171"/>
              <w:bottom w:val="single" w:sz="4" w:space="0" w:color="757171"/>
              <w:right w:val="single" w:sz="4" w:space="0" w:color="757171"/>
            </w:tcBorders>
            <w:shd w:val="clear" w:color="auto" w:fill="404040" w:themeFill="text1" w:themeFillTint="BF"/>
            <w:noWrap/>
            <w:vAlign w:val="center"/>
            <w:hideMark/>
          </w:tcPr>
          <w:p w14:paraId="52CAAF7D" w14:textId="77777777" w:rsidR="009C796C" w:rsidRPr="002A7043" w:rsidRDefault="009C796C" w:rsidP="002A7043">
            <w:pPr>
              <w:spacing w:after="0"/>
              <w:rPr>
                <w:b/>
                <w:bCs/>
                <w:color w:val="FFFFFF" w:themeColor="background1"/>
              </w:rPr>
            </w:pPr>
            <w:r w:rsidRPr="002A7043">
              <w:rPr>
                <w:b/>
                <w:bCs/>
                <w:color w:val="FFFFFF" w:themeColor="background1"/>
              </w:rPr>
              <w:t>Plant</w:t>
            </w:r>
          </w:p>
        </w:tc>
        <w:tc>
          <w:tcPr>
            <w:tcW w:w="0" w:type="auto"/>
            <w:tcBorders>
              <w:top w:val="single" w:sz="4" w:space="0" w:color="757171"/>
              <w:left w:val="nil"/>
              <w:bottom w:val="single" w:sz="4" w:space="0" w:color="757171"/>
              <w:right w:val="single" w:sz="4" w:space="0" w:color="757171"/>
            </w:tcBorders>
            <w:shd w:val="clear" w:color="auto" w:fill="404040" w:themeFill="text1" w:themeFillTint="BF"/>
            <w:vAlign w:val="center"/>
            <w:hideMark/>
          </w:tcPr>
          <w:p w14:paraId="44BB40AD" w14:textId="77777777" w:rsidR="009C796C" w:rsidRPr="002A7043" w:rsidRDefault="009C796C" w:rsidP="002A7043">
            <w:pPr>
              <w:spacing w:after="0"/>
              <w:rPr>
                <w:b/>
                <w:bCs/>
                <w:color w:val="FFFFFF" w:themeColor="background1"/>
              </w:rPr>
            </w:pPr>
            <w:r w:rsidRPr="002A7043">
              <w:rPr>
                <w:b/>
                <w:bCs/>
                <w:color w:val="FFFFFF" w:themeColor="background1"/>
              </w:rPr>
              <w:t>Closure by Removal</w:t>
            </w:r>
          </w:p>
        </w:tc>
        <w:tc>
          <w:tcPr>
            <w:tcW w:w="0" w:type="auto"/>
            <w:tcBorders>
              <w:top w:val="single" w:sz="4" w:space="0" w:color="757171"/>
              <w:left w:val="nil"/>
              <w:bottom w:val="single" w:sz="4" w:space="0" w:color="757171"/>
              <w:right w:val="single" w:sz="4" w:space="0" w:color="757171"/>
            </w:tcBorders>
            <w:shd w:val="clear" w:color="auto" w:fill="404040" w:themeFill="text1" w:themeFillTint="BF"/>
            <w:vAlign w:val="center"/>
            <w:hideMark/>
          </w:tcPr>
          <w:p w14:paraId="5EAD06C3" w14:textId="77777777" w:rsidR="009C796C" w:rsidRPr="002A7043" w:rsidRDefault="009C796C" w:rsidP="002A7043">
            <w:pPr>
              <w:spacing w:after="0"/>
              <w:rPr>
                <w:b/>
                <w:bCs/>
                <w:color w:val="FFFFFF" w:themeColor="background1"/>
              </w:rPr>
            </w:pPr>
            <w:r w:rsidRPr="002A7043">
              <w:rPr>
                <w:b/>
                <w:bCs/>
                <w:color w:val="FFFFFF" w:themeColor="background1"/>
              </w:rPr>
              <w:t>Closure in Place</w:t>
            </w:r>
          </w:p>
        </w:tc>
        <w:tc>
          <w:tcPr>
            <w:tcW w:w="0" w:type="auto"/>
            <w:tcBorders>
              <w:top w:val="single" w:sz="4" w:space="0" w:color="757171"/>
              <w:left w:val="nil"/>
              <w:bottom w:val="single" w:sz="4" w:space="0" w:color="757171"/>
              <w:right w:val="single" w:sz="4" w:space="0" w:color="757171"/>
            </w:tcBorders>
            <w:shd w:val="clear" w:color="auto" w:fill="404040" w:themeFill="text1" w:themeFillTint="BF"/>
            <w:vAlign w:val="center"/>
            <w:hideMark/>
          </w:tcPr>
          <w:p w14:paraId="2EE93F7B" w14:textId="77777777" w:rsidR="009C796C" w:rsidRPr="002A7043" w:rsidRDefault="009C796C" w:rsidP="002A7043">
            <w:pPr>
              <w:spacing w:after="0"/>
              <w:rPr>
                <w:b/>
                <w:bCs/>
                <w:color w:val="FFFFFF" w:themeColor="background1"/>
              </w:rPr>
            </w:pPr>
            <w:r w:rsidRPr="002A7043">
              <w:rPr>
                <w:b/>
                <w:bCs/>
                <w:color w:val="FFFFFF" w:themeColor="background1"/>
              </w:rPr>
              <w:t>Total</w:t>
            </w:r>
          </w:p>
        </w:tc>
      </w:tr>
      <w:tr w:rsidR="009C796C" w:rsidRPr="009C796C" w14:paraId="5641B6C4" w14:textId="77777777" w:rsidTr="00C5796A">
        <w:trPr>
          <w:trHeight w:val="20"/>
          <w:jc w:val="center"/>
        </w:trPr>
        <w:tc>
          <w:tcPr>
            <w:tcW w:w="0" w:type="auto"/>
            <w:tcBorders>
              <w:top w:val="nil"/>
              <w:left w:val="single" w:sz="4" w:space="0" w:color="757171"/>
              <w:bottom w:val="single" w:sz="4" w:space="0" w:color="757171"/>
              <w:right w:val="single" w:sz="4" w:space="0" w:color="757171"/>
            </w:tcBorders>
            <w:shd w:val="clear" w:color="auto" w:fill="auto"/>
            <w:vAlign w:val="center"/>
            <w:hideMark/>
          </w:tcPr>
          <w:p w14:paraId="23242D3E" w14:textId="77777777" w:rsidR="009C796C" w:rsidRPr="009C796C" w:rsidRDefault="009C796C" w:rsidP="002A7043">
            <w:pPr>
              <w:spacing w:after="0"/>
            </w:pPr>
            <w:r w:rsidRPr="009C796C">
              <w:t>Bowen</w:t>
            </w:r>
          </w:p>
        </w:tc>
        <w:tc>
          <w:tcPr>
            <w:tcW w:w="0" w:type="auto"/>
            <w:tcBorders>
              <w:top w:val="nil"/>
              <w:left w:val="nil"/>
              <w:bottom w:val="single" w:sz="4" w:space="0" w:color="757171"/>
              <w:right w:val="single" w:sz="4" w:space="0" w:color="757171"/>
            </w:tcBorders>
            <w:shd w:val="clear" w:color="auto" w:fill="auto"/>
            <w:noWrap/>
            <w:vAlign w:val="center"/>
            <w:hideMark/>
          </w:tcPr>
          <w:p w14:paraId="3DE86BC1" w14:textId="5B36FC7A" w:rsidR="009C796C" w:rsidRPr="009C796C" w:rsidRDefault="009C796C" w:rsidP="004A2BD9">
            <w:pPr>
              <w:spacing w:after="0"/>
              <w:jc w:val="center"/>
            </w:pPr>
          </w:p>
        </w:tc>
        <w:tc>
          <w:tcPr>
            <w:tcW w:w="0" w:type="auto"/>
            <w:tcBorders>
              <w:top w:val="nil"/>
              <w:left w:val="nil"/>
              <w:bottom w:val="single" w:sz="4" w:space="0" w:color="757171"/>
              <w:right w:val="single" w:sz="4" w:space="0" w:color="757171"/>
            </w:tcBorders>
            <w:shd w:val="clear" w:color="auto" w:fill="auto"/>
            <w:noWrap/>
            <w:vAlign w:val="center"/>
            <w:hideMark/>
          </w:tcPr>
          <w:p w14:paraId="187AA8DA" w14:textId="77777777" w:rsidR="009C796C" w:rsidRPr="009C796C" w:rsidRDefault="009C796C" w:rsidP="004A2BD9">
            <w:pPr>
              <w:spacing w:after="0"/>
              <w:jc w:val="center"/>
            </w:pPr>
            <w:r w:rsidRPr="009C796C">
              <w:t>1</w:t>
            </w:r>
          </w:p>
        </w:tc>
        <w:tc>
          <w:tcPr>
            <w:tcW w:w="0" w:type="auto"/>
            <w:tcBorders>
              <w:top w:val="nil"/>
              <w:left w:val="nil"/>
              <w:bottom w:val="single" w:sz="4" w:space="0" w:color="757171"/>
              <w:right w:val="single" w:sz="4" w:space="0" w:color="757171"/>
            </w:tcBorders>
            <w:shd w:val="clear" w:color="auto" w:fill="auto"/>
            <w:noWrap/>
            <w:vAlign w:val="center"/>
            <w:hideMark/>
          </w:tcPr>
          <w:p w14:paraId="34AC6F97" w14:textId="77777777" w:rsidR="009C796C" w:rsidRPr="009C796C" w:rsidRDefault="009C796C" w:rsidP="004A2BD9">
            <w:pPr>
              <w:spacing w:after="0"/>
              <w:jc w:val="center"/>
            </w:pPr>
            <w:r w:rsidRPr="009C796C">
              <w:t>1</w:t>
            </w:r>
          </w:p>
        </w:tc>
      </w:tr>
      <w:tr w:rsidR="009C796C" w:rsidRPr="009C796C" w14:paraId="0216216D" w14:textId="77777777" w:rsidTr="00C5796A">
        <w:trPr>
          <w:trHeight w:val="20"/>
          <w:jc w:val="center"/>
        </w:trPr>
        <w:tc>
          <w:tcPr>
            <w:tcW w:w="0" w:type="auto"/>
            <w:tcBorders>
              <w:top w:val="nil"/>
              <w:left w:val="single" w:sz="4" w:space="0" w:color="757171"/>
              <w:bottom w:val="single" w:sz="4" w:space="0" w:color="757171"/>
              <w:right w:val="single" w:sz="4" w:space="0" w:color="757171"/>
            </w:tcBorders>
            <w:shd w:val="clear" w:color="auto" w:fill="auto"/>
            <w:vAlign w:val="center"/>
            <w:hideMark/>
          </w:tcPr>
          <w:p w14:paraId="320D5EE9" w14:textId="77777777" w:rsidR="009C796C" w:rsidRPr="009C796C" w:rsidRDefault="009C796C" w:rsidP="002A7043">
            <w:pPr>
              <w:spacing w:after="0"/>
            </w:pPr>
            <w:r w:rsidRPr="009C796C">
              <w:t>Branch</w:t>
            </w:r>
          </w:p>
        </w:tc>
        <w:tc>
          <w:tcPr>
            <w:tcW w:w="0" w:type="auto"/>
            <w:tcBorders>
              <w:top w:val="nil"/>
              <w:left w:val="nil"/>
              <w:bottom w:val="single" w:sz="4" w:space="0" w:color="757171"/>
              <w:right w:val="single" w:sz="4" w:space="0" w:color="757171"/>
            </w:tcBorders>
            <w:shd w:val="clear" w:color="auto" w:fill="auto"/>
            <w:noWrap/>
            <w:vAlign w:val="center"/>
            <w:hideMark/>
          </w:tcPr>
          <w:p w14:paraId="45FEE517" w14:textId="77777777" w:rsidR="009C796C" w:rsidRPr="009C796C" w:rsidRDefault="009C796C" w:rsidP="004A2BD9">
            <w:pPr>
              <w:spacing w:after="0"/>
              <w:jc w:val="center"/>
            </w:pPr>
            <w:r w:rsidRPr="009C796C">
              <w:t>5</w:t>
            </w:r>
          </w:p>
        </w:tc>
        <w:tc>
          <w:tcPr>
            <w:tcW w:w="0" w:type="auto"/>
            <w:tcBorders>
              <w:top w:val="nil"/>
              <w:left w:val="nil"/>
              <w:bottom w:val="single" w:sz="4" w:space="0" w:color="757171"/>
              <w:right w:val="single" w:sz="4" w:space="0" w:color="757171"/>
            </w:tcBorders>
            <w:shd w:val="clear" w:color="auto" w:fill="auto"/>
            <w:noWrap/>
            <w:vAlign w:val="center"/>
            <w:hideMark/>
          </w:tcPr>
          <w:p w14:paraId="5EA77207" w14:textId="6780B414" w:rsidR="009C796C" w:rsidRPr="009C796C" w:rsidRDefault="009C796C" w:rsidP="004A2BD9">
            <w:pPr>
              <w:spacing w:after="0"/>
              <w:jc w:val="center"/>
            </w:pPr>
          </w:p>
        </w:tc>
        <w:tc>
          <w:tcPr>
            <w:tcW w:w="0" w:type="auto"/>
            <w:tcBorders>
              <w:top w:val="nil"/>
              <w:left w:val="nil"/>
              <w:bottom w:val="single" w:sz="4" w:space="0" w:color="757171"/>
              <w:right w:val="single" w:sz="4" w:space="0" w:color="757171"/>
            </w:tcBorders>
            <w:shd w:val="clear" w:color="auto" w:fill="auto"/>
            <w:noWrap/>
            <w:vAlign w:val="center"/>
            <w:hideMark/>
          </w:tcPr>
          <w:p w14:paraId="58CE6C1B" w14:textId="77777777" w:rsidR="009C796C" w:rsidRPr="009C796C" w:rsidRDefault="009C796C" w:rsidP="004A2BD9">
            <w:pPr>
              <w:spacing w:after="0"/>
              <w:jc w:val="center"/>
            </w:pPr>
            <w:r w:rsidRPr="009C796C">
              <w:t>5</w:t>
            </w:r>
          </w:p>
        </w:tc>
      </w:tr>
      <w:tr w:rsidR="009C796C" w:rsidRPr="009C796C" w14:paraId="76A13765" w14:textId="77777777" w:rsidTr="00C5796A">
        <w:trPr>
          <w:trHeight w:val="20"/>
          <w:jc w:val="center"/>
        </w:trPr>
        <w:tc>
          <w:tcPr>
            <w:tcW w:w="0" w:type="auto"/>
            <w:tcBorders>
              <w:top w:val="nil"/>
              <w:left w:val="single" w:sz="4" w:space="0" w:color="757171"/>
              <w:bottom w:val="single" w:sz="4" w:space="0" w:color="757171"/>
              <w:right w:val="single" w:sz="4" w:space="0" w:color="757171"/>
            </w:tcBorders>
            <w:shd w:val="clear" w:color="auto" w:fill="auto"/>
            <w:noWrap/>
            <w:vAlign w:val="center"/>
            <w:hideMark/>
          </w:tcPr>
          <w:p w14:paraId="260D0F5E" w14:textId="77777777" w:rsidR="009C796C" w:rsidRPr="009C796C" w:rsidRDefault="009C796C" w:rsidP="002A7043">
            <w:pPr>
              <w:spacing w:after="0"/>
            </w:pPr>
            <w:r w:rsidRPr="009C796C">
              <w:t>Hammond</w:t>
            </w:r>
          </w:p>
        </w:tc>
        <w:tc>
          <w:tcPr>
            <w:tcW w:w="0" w:type="auto"/>
            <w:tcBorders>
              <w:top w:val="nil"/>
              <w:left w:val="nil"/>
              <w:bottom w:val="single" w:sz="4" w:space="0" w:color="757171"/>
              <w:right w:val="single" w:sz="4" w:space="0" w:color="757171"/>
            </w:tcBorders>
            <w:shd w:val="clear" w:color="auto" w:fill="auto"/>
            <w:noWrap/>
            <w:vAlign w:val="center"/>
            <w:hideMark/>
          </w:tcPr>
          <w:p w14:paraId="5E13488A" w14:textId="77777777" w:rsidR="009C796C" w:rsidRPr="009C796C" w:rsidRDefault="009C796C" w:rsidP="004A2BD9">
            <w:pPr>
              <w:spacing w:after="0"/>
              <w:jc w:val="center"/>
            </w:pPr>
            <w:r w:rsidRPr="009C796C">
              <w:t>3</w:t>
            </w:r>
          </w:p>
        </w:tc>
        <w:tc>
          <w:tcPr>
            <w:tcW w:w="0" w:type="auto"/>
            <w:tcBorders>
              <w:top w:val="nil"/>
              <w:left w:val="nil"/>
              <w:bottom w:val="single" w:sz="4" w:space="0" w:color="757171"/>
              <w:right w:val="single" w:sz="4" w:space="0" w:color="757171"/>
            </w:tcBorders>
            <w:shd w:val="clear" w:color="auto" w:fill="auto"/>
            <w:noWrap/>
            <w:vAlign w:val="center"/>
            <w:hideMark/>
          </w:tcPr>
          <w:p w14:paraId="24D2BA3D" w14:textId="77777777" w:rsidR="009C796C" w:rsidRPr="009C796C" w:rsidRDefault="009C796C" w:rsidP="004A2BD9">
            <w:pPr>
              <w:spacing w:after="0"/>
              <w:jc w:val="center"/>
            </w:pPr>
            <w:r w:rsidRPr="009C796C">
              <w:t>1</w:t>
            </w:r>
          </w:p>
        </w:tc>
        <w:tc>
          <w:tcPr>
            <w:tcW w:w="0" w:type="auto"/>
            <w:tcBorders>
              <w:top w:val="nil"/>
              <w:left w:val="nil"/>
              <w:bottom w:val="single" w:sz="4" w:space="0" w:color="757171"/>
              <w:right w:val="single" w:sz="4" w:space="0" w:color="757171"/>
            </w:tcBorders>
            <w:shd w:val="clear" w:color="auto" w:fill="auto"/>
            <w:noWrap/>
            <w:vAlign w:val="center"/>
            <w:hideMark/>
          </w:tcPr>
          <w:p w14:paraId="433F8369" w14:textId="77777777" w:rsidR="009C796C" w:rsidRPr="009C796C" w:rsidRDefault="009C796C" w:rsidP="004A2BD9">
            <w:pPr>
              <w:spacing w:after="0"/>
              <w:jc w:val="center"/>
            </w:pPr>
            <w:r w:rsidRPr="009C796C">
              <w:t>4</w:t>
            </w:r>
          </w:p>
        </w:tc>
      </w:tr>
      <w:tr w:rsidR="009C796C" w:rsidRPr="009C796C" w14:paraId="6FB64E7F" w14:textId="77777777" w:rsidTr="00C5796A">
        <w:trPr>
          <w:trHeight w:val="20"/>
          <w:jc w:val="center"/>
        </w:trPr>
        <w:tc>
          <w:tcPr>
            <w:tcW w:w="0" w:type="auto"/>
            <w:tcBorders>
              <w:top w:val="nil"/>
              <w:left w:val="single" w:sz="4" w:space="0" w:color="757171"/>
              <w:bottom w:val="single" w:sz="4" w:space="0" w:color="757171"/>
              <w:right w:val="single" w:sz="4" w:space="0" w:color="757171"/>
            </w:tcBorders>
            <w:shd w:val="clear" w:color="auto" w:fill="auto"/>
            <w:noWrap/>
            <w:vAlign w:val="center"/>
            <w:hideMark/>
          </w:tcPr>
          <w:p w14:paraId="21D71F3F" w14:textId="77777777" w:rsidR="009C796C" w:rsidRPr="009C796C" w:rsidRDefault="009C796C" w:rsidP="002A7043">
            <w:pPr>
              <w:spacing w:after="0"/>
            </w:pPr>
            <w:r w:rsidRPr="009C796C">
              <w:t>Kraft</w:t>
            </w:r>
          </w:p>
        </w:tc>
        <w:tc>
          <w:tcPr>
            <w:tcW w:w="0" w:type="auto"/>
            <w:tcBorders>
              <w:top w:val="nil"/>
              <w:left w:val="nil"/>
              <w:bottom w:val="single" w:sz="4" w:space="0" w:color="757171"/>
              <w:right w:val="single" w:sz="4" w:space="0" w:color="757171"/>
            </w:tcBorders>
            <w:shd w:val="clear" w:color="auto" w:fill="auto"/>
            <w:noWrap/>
            <w:vAlign w:val="center"/>
            <w:hideMark/>
          </w:tcPr>
          <w:p w14:paraId="54D6699C" w14:textId="77777777" w:rsidR="009C796C" w:rsidRPr="009C796C" w:rsidRDefault="009C796C" w:rsidP="004A2BD9">
            <w:pPr>
              <w:spacing w:after="0"/>
              <w:jc w:val="center"/>
            </w:pPr>
            <w:r w:rsidRPr="009C796C">
              <w:t>1</w:t>
            </w:r>
          </w:p>
        </w:tc>
        <w:tc>
          <w:tcPr>
            <w:tcW w:w="0" w:type="auto"/>
            <w:tcBorders>
              <w:top w:val="nil"/>
              <w:left w:val="nil"/>
              <w:bottom w:val="single" w:sz="4" w:space="0" w:color="757171"/>
              <w:right w:val="single" w:sz="4" w:space="0" w:color="757171"/>
            </w:tcBorders>
            <w:shd w:val="clear" w:color="auto" w:fill="auto"/>
            <w:noWrap/>
            <w:vAlign w:val="center"/>
            <w:hideMark/>
          </w:tcPr>
          <w:p w14:paraId="409E6894" w14:textId="4F894259" w:rsidR="009C796C" w:rsidRPr="009C796C" w:rsidRDefault="009C796C" w:rsidP="004A2BD9">
            <w:pPr>
              <w:spacing w:after="0"/>
              <w:jc w:val="center"/>
            </w:pPr>
          </w:p>
        </w:tc>
        <w:tc>
          <w:tcPr>
            <w:tcW w:w="0" w:type="auto"/>
            <w:tcBorders>
              <w:top w:val="nil"/>
              <w:left w:val="nil"/>
              <w:bottom w:val="single" w:sz="4" w:space="0" w:color="757171"/>
              <w:right w:val="single" w:sz="4" w:space="0" w:color="757171"/>
            </w:tcBorders>
            <w:shd w:val="clear" w:color="auto" w:fill="auto"/>
            <w:noWrap/>
            <w:vAlign w:val="center"/>
            <w:hideMark/>
          </w:tcPr>
          <w:p w14:paraId="181EC69E" w14:textId="77777777" w:rsidR="009C796C" w:rsidRPr="009C796C" w:rsidRDefault="009C796C" w:rsidP="004A2BD9">
            <w:pPr>
              <w:spacing w:after="0"/>
              <w:jc w:val="center"/>
            </w:pPr>
            <w:r w:rsidRPr="009C796C">
              <w:t>1</w:t>
            </w:r>
          </w:p>
        </w:tc>
      </w:tr>
      <w:tr w:rsidR="009C796C" w:rsidRPr="009C796C" w14:paraId="409C7C0D" w14:textId="77777777" w:rsidTr="171DE73B">
        <w:trPr>
          <w:trHeight w:val="20"/>
          <w:jc w:val="center"/>
        </w:trPr>
        <w:tc>
          <w:tcPr>
            <w:tcW w:w="0" w:type="auto"/>
            <w:tcBorders>
              <w:top w:val="nil"/>
              <w:left w:val="single" w:sz="4" w:space="0" w:color="757171"/>
              <w:bottom w:val="single" w:sz="4" w:space="0" w:color="757171"/>
              <w:right w:val="single" w:sz="4" w:space="0" w:color="757171"/>
            </w:tcBorders>
            <w:shd w:val="clear" w:color="auto" w:fill="auto"/>
            <w:noWrap/>
            <w:vAlign w:val="center"/>
            <w:hideMark/>
          </w:tcPr>
          <w:p w14:paraId="3FEE59B2" w14:textId="77777777" w:rsidR="009C796C" w:rsidRPr="009C796C" w:rsidRDefault="009C796C" w:rsidP="002A7043">
            <w:pPr>
              <w:spacing w:after="0"/>
            </w:pPr>
            <w:r w:rsidRPr="009C796C">
              <w:t>McDonough</w:t>
            </w:r>
          </w:p>
        </w:tc>
        <w:tc>
          <w:tcPr>
            <w:tcW w:w="0" w:type="auto"/>
            <w:tcBorders>
              <w:top w:val="nil"/>
              <w:left w:val="nil"/>
              <w:bottom w:val="single" w:sz="4" w:space="0" w:color="757171"/>
              <w:right w:val="single" w:sz="4" w:space="0" w:color="757171"/>
            </w:tcBorders>
            <w:shd w:val="clear" w:color="auto" w:fill="auto"/>
            <w:noWrap/>
            <w:vAlign w:val="center"/>
            <w:hideMark/>
          </w:tcPr>
          <w:p w14:paraId="35F3C95F" w14:textId="77777777" w:rsidR="009C796C" w:rsidRPr="009C796C" w:rsidRDefault="009C796C" w:rsidP="004A2BD9">
            <w:pPr>
              <w:spacing w:after="0"/>
              <w:jc w:val="center"/>
            </w:pPr>
            <w:r w:rsidRPr="009C796C">
              <w:t>1</w:t>
            </w:r>
          </w:p>
        </w:tc>
        <w:tc>
          <w:tcPr>
            <w:tcW w:w="0" w:type="auto"/>
            <w:tcBorders>
              <w:top w:val="nil"/>
              <w:left w:val="nil"/>
              <w:bottom w:val="single" w:sz="4" w:space="0" w:color="757171"/>
              <w:right w:val="single" w:sz="4" w:space="0" w:color="757171"/>
            </w:tcBorders>
            <w:shd w:val="clear" w:color="auto" w:fill="auto"/>
            <w:noWrap/>
            <w:vAlign w:val="center"/>
            <w:hideMark/>
          </w:tcPr>
          <w:p w14:paraId="648114D4" w14:textId="77777777" w:rsidR="009C796C" w:rsidRPr="009C796C" w:rsidRDefault="009C796C" w:rsidP="004A2BD9">
            <w:pPr>
              <w:spacing w:after="0"/>
              <w:jc w:val="center"/>
            </w:pPr>
            <w:r w:rsidRPr="009C796C">
              <w:t>3</w:t>
            </w:r>
          </w:p>
        </w:tc>
        <w:tc>
          <w:tcPr>
            <w:tcW w:w="0" w:type="auto"/>
            <w:tcBorders>
              <w:top w:val="nil"/>
              <w:left w:val="nil"/>
              <w:bottom w:val="single" w:sz="4" w:space="0" w:color="757171"/>
              <w:right w:val="single" w:sz="4" w:space="0" w:color="757171"/>
            </w:tcBorders>
            <w:shd w:val="clear" w:color="auto" w:fill="auto"/>
            <w:noWrap/>
            <w:vAlign w:val="center"/>
            <w:hideMark/>
          </w:tcPr>
          <w:p w14:paraId="4709089E" w14:textId="77777777" w:rsidR="009C796C" w:rsidRPr="009C796C" w:rsidRDefault="009C796C" w:rsidP="004A2BD9">
            <w:pPr>
              <w:spacing w:after="0"/>
              <w:jc w:val="center"/>
            </w:pPr>
            <w:r w:rsidRPr="009C796C">
              <w:t>4</w:t>
            </w:r>
          </w:p>
        </w:tc>
      </w:tr>
      <w:tr w:rsidR="009C796C" w:rsidRPr="009C796C" w14:paraId="04A46D7C" w14:textId="77777777" w:rsidTr="171DE73B">
        <w:trPr>
          <w:trHeight w:val="20"/>
          <w:jc w:val="center"/>
        </w:trPr>
        <w:tc>
          <w:tcPr>
            <w:tcW w:w="0" w:type="auto"/>
            <w:tcBorders>
              <w:top w:val="nil"/>
              <w:left w:val="single" w:sz="4" w:space="0" w:color="757171"/>
              <w:bottom w:val="single" w:sz="4" w:space="0" w:color="757171"/>
              <w:right w:val="single" w:sz="4" w:space="0" w:color="757171"/>
            </w:tcBorders>
            <w:shd w:val="clear" w:color="auto" w:fill="auto"/>
            <w:noWrap/>
            <w:vAlign w:val="center"/>
            <w:hideMark/>
          </w:tcPr>
          <w:p w14:paraId="4E4FD2B7" w14:textId="77777777" w:rsidR="009C796C" w:rsidRPr="009C796C" w:rsidRDefault="009C796C" w:rsidP="002A7043">
            <w:pPr>
              <w:spacing w:after="0"/>
            </w:pPr>
            <w:r w:rsidRPr="009C796C">
              <w:t>McIntosh</w:t>
            </w:r>
          </w:p>
        </w:tc>
        <w:tc>
          <w:tcPr>
            <w:tcW w:w="0" w:type="auto"/>
            <w:tcBorders>
              <w:top w:val="nil"/>
              <w:left w:val="nil"/>
              <w:bottom w:val="single" w:sz="4" w:space="0" w:color="757171"/>
              <w:right w:val="single" w:sz="4" w:space="0" w:color="757171"/>
            </w:tcBorders>
            <w:shd w:val="clear" w:color="auto" w:fill="auto"/>
            <w:noWrap/>
            <w:vAlign w:val="center"/>
            <w:hideMark/>
          </w:tcPr>
          <w:p w14:paraId="6753A812" w14:textId="77777777" w:rsidR="009C796C" w:rsidRPr="009C796C" w:rsidRDefault="009C796C" w:rsidP="004A2BD9">
            <w:pPr>
              <w:spacing w:after="0"/>
              <w:jc w:val="center"/>
            </w:pPr>
            <w:r w:rsidRPr="009C796C">
              <w:t>1</w:t>
            </w:r>
          </w:p>
        </w:tc>
        <w:tc>
          <w:tcPr>
            <w:tcW w:w="0" w:type="auto"/>
            <w:tcBorders>
              <w:top w:val="nil"/>
              <w:left w:val="nil"/>
              <w:bottom w:val="single" w:sz="4" w:space="0" w:color="757171"/>
              <w:right w:val="single" w:sz="4" w:space="0" w:color="757171"/>
            </w:tcBorders>
            <w:shd w:val="clear" w:color="auto" w:fill="auto"/>
            <w:noWrap/>
            <w:vAlign w:val="center"/>
            <w:hideMark/>
          </w:tcPr>
          <w:p w14:paraId="0F63A278" w14:textId="5FC33D6D" w:rsidR="009C796C" w:rsidRPr="009C796C" w:rsidRDefault="009C796C" w:rsidP="004A2BD9">
            <w:pPr>
              <w:spacing w:after="0"/>
              <w:jc w:val="center"/>
            </w:pPr>
          </w:p>
        </w:tc>
        <w:tc>
          <w:tcPr>
            <w:tcW w:w="0" w:type="auto"/>
            <w:tcBorders>
              <w:top w:val="nil"/>
              <w:left w:val="nil"/>
              <w:bottom w:val="single" w:sz="4" w:space="0" w:color="757171"/>
              <w:right w:val="single" w:sz="4" w:space="0" w:color="757171"/>
            </w:tcBorders>
            <w:shd w:val="clear" w:color="auto" w:fill="auto"/>
            <w:noWrap/>
            <w:vAlign w:val="center"/>
            <w:hideMark/>
          </w:tcPr>
          <w:p w14:paraId="7C5C8698" w14:textId="77777777" w:rsidR="009C796C" w:rsidRPr="009C796C" w:rsidRDefault="009C796C" w:rsidP="004A2BD9">
            <w:pPr>
              <w:spacing w:after="0"/>
              <w:jc w:val="center"/>
            </w:pPr>
            <w:r w:rsidRPr="009C796C">
              <w:t>1</w:t>
            </w:r>
          </w:p>
        </w:tc>
      </w:tr>
      <w:tr w:rsidR="009C796C" w:rsidRPr="009C796C" w14:paraId="378BFD26" w14:textId="77777777" w:rsidTr="171DE73B">
        <w:trPr>
          <w:trHeight w:val="20"/>
          <w:jc w:val="center"/>
        </w:trPr>
        <w:tc>
          <w:tcPr>
            <w:tcW w:w="0" w:type="auto"/>
            <w:tcBorders>
              <w:top w:val="nil"/>
              <w:left w:val="single" w:sz="4" w:space="0" w:color="757171"/>
              <w:bottom w:val="single" w:sz="4" w:space="0" w:color="757171"/>
              <w:right w:val="single" w:sz="4" w:space="0" w:color="757171"/>
            </w:tcBorders>
            <w:shd w:val="clear" w:color="auto" w:fill="auto"/>
            <w:noWrap/>
            <w:vAlign w:val="center"/>
            <w:hideMark/>
          </w:tcPr>
          <w:p w14:paraId="3308CFB1" w14:textId="77777777" w:rsidR="009C796C" w:rsidRPr="009C796C" w:rsidRDefault="009C796C" w:rsidP="002A7043">
            <w:pPr>
              <w:spacing w:after="0"/>
            </w:pPr>
            <w:r w:rsidRPr="009C796C">
              <w:t>McManus</w:t>
            </w:r>
          </w:p>
        </w:tc>
        <w:tc>
          <w:tcPr>
            <w:tcW w:w="0" w:type="auto"/>
            <w:tcBorders>
              <w:top w:val="nil"/>
              <w:left w:val="nil"/>
              <w:bottom w:val="single" w:sz="4" w:space="0" w:color="757171"/>
              <w:right w:val="single" w:sz="4" w:space="0" w:color="757171"/>
            </w:tcBorders>
            <w:shd w:val="clear" w:color="auto" w:fill="auto"/>
            <w:noWrap/>
            <w:vAlign w:val="center"/>
            <w:hideMark/>
          </w:tcPr>
          <w:p w14:paraId="74148221" w14:textId="77777777" w:rsidR="009C796C" w:rsidRPr="009C796C" w:rsidRDefault="009C796C" w:rsidP="004A2BD9">
            <w:pPr>
              <w:spacing w:after="0"/>
              <w:jc w:val="center"/>
            </w:pPr>
            <w:r w:rsidRPr="009C796C">
              <w:t>1</w:t>
            </w:r>
          </w:p>
        </w:tc>
        <w:tc>
          <w:tcPr>
            <w:tcW w:w="0" w:type="auto"/>
            <w:tcBorders>
              <w:top w:val="nil"/>
              <w:left w:val="nil"/>
              <w:bottom w:val="single" w:sz="4" w:space="0" w:color="757171"/>
              <w:right w:val="single" w:sz="4" w:space="0" w:color="757171"/>
            </w:tcBorders>
            <w:shd w:val="clear" w:color="auto" w:fill="auto"/>
            <w:noWrap/>
            <w:vAlign w:val="center"/>
            <w:hideMark/>
          </w:tcPr>
          <w:p w14:paraId="51D11B1B" w14:textId="60186A6B" w:rsidR="009C796C" w:rsidRPr="009C796C" w:rsidRDefault="009C796C" w:rsidP="004A2BD9">
            <w:pPr>
              <w:spacing w:after="0"/>
              <w:jc w:val="center"/>
            </w:pPr>
          </w:p>
        </w:tc>
        <w:tc>
          <w:tcPr>
            <w:tcW w:w="0" w:type="auto"/>
            <w:tcBorders>
              <w:top w:val="nil"/>
              <w:left w:val="nil"/>
              <w:bottom w:val="single" w:sz="4" w:space="0" w:color="757171"/>
              <w:right w:val="single" w:sz="4" w:space="0" w:color="757171"/>
            </w:tcBorders>
            <w:shd w:val="clear" w:color="auto" w:fill="auto"/>
            <w:noWrap/>
            <w:vAlign w:val="center"/>
            <w:hideMark/>
          </w:tcPr>
          <w:p w14:paraId="5E09C308" w14:textId="77777777" w:rsidR="009C796C" w:rsidRPr="009C796C" w:rsidRDefault="009C796C" w:rsidP="004A2BD9">
            <w:pPr>
              <w:spacing w:after="0"/>
              <w:jc w:val="center"/>
            </w:pPr>
            <w:r w:rsidRPr="009C796C">
              <w:t>1</w:t>
            </w:r>
          </w:p>
        </w:tc>
      </w:tr>
      <w:tr w:rsidR="009C796C" w:rsidRPr="009C796C" w14:paraId="2F5AAA1D" w14:textId="77777777" w:rsidTr="171DE73B">
        <w:trPr>
          <w:trHeight w:val="20"/>
          <w:jc w:val="center"/>
        </w:trPr>
        <w:tc>
          <w:tcPr>
            <w:tcW w:w="0" w:type="auto"/>
            <w:tcBorders>
              <w:top w:val="nil"/>
              <w:left w:val="single" w:sz="4" w:space="0" w:color="757171"/>
              <w:bottom w:val="single" w:sz="4" w:space="0" w:color="757171"/>
              <w:right w:val="single" w:sz="4" w:space="0" w:color="757171"/>
            </w:tcBorders>
            <w:shd w:val="clear" w:color="auto" w:fill="auto"/>
            <w:vAlign w:val="center"/>
            <w:hideMark/>
          </w:tcPr>
          <w:p w14:paraId="107B5C38" w14:textId="77777777" w:rsidR="009C796C" w:rsidRPr="009C796C" w:rsidRDefault="009C796C" w:rsidP="002A7043">
            <w:pPr>
              <w:spacing w:after="0"/>
            </w:pPr>
            <w:r w:rsidRPr="009C796C">
              <w:t>Mitchell</w:t>
            </w:r>
          </w:p>
        </w:tc>
        <w:tc>
          <w:tcPr>
            <w:tcW w:w="0" w:type="auto"/>
            <w:tcBorders>
              <w:top w:val="nil"/>
              <w:left w:val="nil"/>
              <w:bottom w:val="single" w:sz="4" w:space="0" w:color="757171"/>
              <w:right w:val="single" w:sz="4" w:space="0" w:color="757171"/>
            </w:tcBorders>
            <w:shd w:val="clear" w:color="auto" w:fill="auto"/>
            <w:noWrap/>
            <w:vAlign w:val="center"/>
            <w:hideMark/>
          </w:tcPr>
          <w:p w14:paraId="678D99C5" w14:textId="77777777" w:rsidR="009C796C" w:rsidRPr="009C796C" w:rsidRDefault="009C796C" w:rsidP="004A2BD9">
            <w:pPr>
              <w:spacing w:after="0"/>
              <w:jc w:val="center"/>
            </w:pPr>
            <w:r w:rsidRPr="009C796C">
              <w:t>3</w:t>
            </w:r>
          </w:p>
        </w:tc>
        <w:tc>
          <w:tcPr>
            <w:tcW w:w="0" w:type="auto"/>
            <w:tcBorders>
              <w:top w:val="nil"/>
              <w:left w:val="nil"/>
              <w:bottom w:val="single" w:sz="4" w:space="0" w:color="757171"/>
              <w:right w:val="single" w:sz="4" w:space="0" w:color="757171"/>
            </w:tcBorders>
            <w:shd w:val="clear" w:color="auto" w:fill="auto"/>
            <w:noWrap/>
            <w:vAlign w:val="center"/>
            <w:hideMark/>
          </w:tcPr>
          <w:p w14:paraId="3E511B12" w14:textId="23B77353" w:rsidR="009C796C" w:rsidRPr="009C796C" w:rsidRDefault="009C796C" w:rsidP="004A2BD9">
            <w:pPr>
              <w:spacing w:after="0"/>
              <w:jc w:val="center"/>
            </w:pPr>
          </w:p>
        </w:tc>
        <w:tc>
          <w:tcPr>
            <w:tcW w:w="0" w:type="auto"/>
            <w:tcBorders>
              <w:top w:val="nil"/>
              <w:left w:val="nil"/>
              <w:bottom w:val="single" w:sz="4" w:space="0" w:color="757171"/>
              <w:right w:val="single" w:sz="4" w:space="0" w:color="757171"/>
            </w:tcBorders>
            <w:shd w:val="clear" w:color="auto" w:fill="auto"/>
            <w:noWrap/>
            <w:vAlign w:val="center"/>
            <w:hideMark/>
          </w:tcPr>
          <w:p w14:paraId="488848B9" w14:textId="77777777" w:rsidR="009C796C" w:rsidRPr="009C796C" w:rsidRDefault="009C796C" w:rsidP="004A2BD9">
            <w:pPr>
              <w:spacing w:after="0"/>
              <w:jc w:val="center"/>
            </w:pPr>
            <w:r w:rsidRPr="009C796C">
              <w:t>3</w:t>
            </w:r>
          </w:p>
        </w:tc>
      </w:tr>
      <w:tr w:rsidR="009C796C" w:rsidRPr="009C796C" w14:paraId="199E9E14" w14:textId="77777777" w:rsidTr="171DE73B">
        <w:trPr>
          <w:trHeight w:val="20"/>
          <w:jc w:val="center"/>
        </w:trPr>
        <w:tc>
          <w:tcPr>
            <w:tcW w:w="0" w:type="auto"/>
            <w:tcBorders>
              <w:top w:val="nil"/>
              <w:left w:val="single" w:sz="4" w:space="0" w:color="757171"/>
              <w:bottom w:val="single" w:sz="4" w:space="0" w:color="757171"/>
              <w:right w:val="single" w:sz="4" w:space="0" w:color="757171"/>
            </w:tcBorders>
            <w:shd w:val="clear" w:color="auto" w:fill="auto"/>
            <w:noWrap/>
            <w:vAlign w:val="center"/>
            <w:hideMark/>
          </w:tcPr>
          <w:p w14:paraId="443CEA42" w14:textId="77777777" w:rsidR="009C796C" w:rsidRPr="009C796C" w:rsidRDefault="009C796C" w:rsidP="002A7043">
            <w:pPr>
              <w:spacing w:after="0"/>
            </w:pPr>
            <w:r w:rsidRPr="009C796C">
              <w:t>Scherer</w:t>
            </w:r>
          </w:p>
        </w:tc>
        <w:tc>
          <w:tcPr>
            <w:tcW w:w="0" w:type="auto"/>
            <w:tcBorders>
              <w:top w:val="nil"/>
              <w:left w:val="nil"/>
              <w:bottom w:val="single" w:sz="4" w:space="0" w:color="757171"/>
              <w:right w:val="single" w:sz="4" w:space="0" w:color="757171"/>
            </w:tcBorders>
            <w:shd w:val="clear" w:color="auto" w:fill="auto"/>
            <w:noWrap/>
            <w:vAlign w:val="center"/>
            <w:hideMark/>
          </w:tcPr>
          <w:p w14:paraId="6FF3CA01" w14:textId="4FCFF292" w:rsidR="009C796C" w:rsidRPr="009C796C" w:rsidRDefault="009C796C" w:rsidP="004A2BD9">
            <w:pPr>
              <w:spacing w:after="0"/>
              <w:jc w:val="center"/>
            </w:pPr>
          </w:p>
        </w:tc>
        <w:tc>
          <w:tcPr>
            <w:tcW w:w="0" w:type="auto"/>
            <w:tcBorders>
              <w:top w:val="nil"/>
              <w:left w:val="nil"/>
              <w:bottom w:val="single" w:sz="4" w:space="0" w:color="757171"/>
              <w:right w:val="single" w:sz="4" w:space="0" w:color="757171"/>
            </w:tcBorders>
            <w:shd w:val="clear" w:color="auto" w:fill="auto"/>
            <w:noWrap/>
            <w:vAlign w:val="center"/>
            <w:hideMark/>
          </w:tcPr>
          <w:p w14:paraId="76997502" w14:textId="77777777" w:rsidR="009C796C" w:rsidRPr="009C796C" w:rsidRDefault="009C796C" w:rsidP="004A2BD9">
            <w:pPr>
              <w:spacing w:after="0"/>
              <w:jc w:val="center"/>
            </w:pPr>
            <w:r w:rsidRPr="009C796C">
              <w:t>1</w:t>
            </w:r>
          </w:p>
        </w:tc>
        <w:tc>
          <w:tcPr>
            <w:tcW w:w="0" w:type="auto"/>
            <w:tcBorders>
              <w:top w:val="nil"/>
              <w:left w:val="nil"/>
              <w:bottom w:val="single" w:sz="4" w:space="0" w:color="757171"/>
              <w:right w:val="single" w:sz="4" w:space="0" w:color="757171"/>
            </w:tcBorders>
            <w:shd w:val="clear" w:color="auto" w:fill="auto"/>
            <w:noWrap/>
            <w:vAlign w:val="center"/>
            <w:hideMark/>
          </w:tcPr>
          <w:p w14:paraId="782AB640" w14:textId="77777777" w:rsidR="009C796C" w:rsidRPr="009C796C" w:rsidRDefault="009C796C" w:rsidP="004A2BD9">
            <w:pPr>
              <w:spacing w:after="0"/>
              <w:jc w:val="center"/>
            </w:pPr>
            <w:r w:rsidRPr="009C796C">
              <w:t>1</w:t>
            </w:r>
          </w:p>
        </w:tc>
      </w:tr>
      <w:tr w:rsidR="009C796C" w:rsidRPr="009C796C" w14:paraId="11EF41BD" w14:textId="77777777" w:rsidTr="00C5796A">
        <w:trPr>
          <w:trHeight w:val="20"/>
          <w:jc w:val="center"/>
        </w:trPr>
        <w:tc>
          <w:tcPr>
            <w:tcW w:w="0" w:type="auto"/>
            <w:tcBorders>
              <w:top w:val="nil"/>
              <w:left w:val="single" w:sz="4" w:space="0" w:color="757171"/>
              <w:bottom w:val="single" w:sz="4" w:space="0" w:color="757171"/>
              <w:right w:val="single" w:sz="4" w:space="0" w:color="757171"/>
            </w:tcBorders>
            <w:shd w:val="clear" w:color="auto" w:fill="auto"/>
            <w:vAlign w:val="center"/>
            <w:hideMark/>
          </w:tcPr>
          <w:p w14:paraId="75231D3C" w14:textId="77777777" w:rsidR="009C796C" w:rsidRPr="005C05E9" w:rsidRDefault="009C796C" w:rsidP="002A7043">
            <w:pPr>
              <w:spacing w:after="0"/>
            </w:pPr>
            <w:r w:rsidRPr="005C05E9">
              <w:t>Wansley</w:t>
            </w:r>
          </w:p>
        </w:tc>
        <w:tc>
          <w:tcPr>
            <w:tcW w:w="0" w:type="auto"/>
            <w:tcBorders>
              <w:top w:val="nil"/>
              <w:left w:val="nil"/>
              <w:bottom w:val="single" w:sz="4" w:space="0" w:color="757171"/>
              <w:right w:val="single" w:sz="4" w:space="0" w:color="757171"/>
            </w:tcBorders>
            <w:shd w:val="clear" w:color="auto" w:fill="auto"/>
            <w:noWrap/>
            <w:vAlign w:val="center"/>
            <w:hideMark/>
          </w:tcPr>
          <w:p w14:paraId="5F257AEF" w14:textId="0E8ECAB3" w:rsidR="009C796C" w:rsidRPr="005C05E9" w:rsidRDefault="00126847" w:rsidP="004A2BD9">
            <w:pPr>
              <w:spacing w:after="0"/>
              <w:jc w:val="center"/>
            </w:pPr>
            <w:r w:rsidRPr="005C05E9">
              <w:t>1</w:t>
            </w:r>
          </w:p>
        </w:tc>
        <w:tc>
          <w:tcPr>
            <w:tcW w:w="0" w:type="auto"/>
            <w:tcBorders>
              <w:top w:val="nil"/>
              <w:left w:val="nil"/>
              <w:bottom w:val="single" w:sz="4" w:space="0" w:color="757171"/>
              <w:right w:val="single" w:sz="4" w:space="0" w:color="757171"/>
            </w:tcBorders>
            <w:shd w:val="clear" w:color="auto" w:fill="auto"/>
            <w:noWrap/>
            <w:vAlign w:val="center"/>
            <w:hideMark/>
          </w:tcPr>
          <w:p w14:paraId="3BEA11A5" w14:textId="4D6A0C28" w:rsidR="009C796C" w:rsidRPr="005C05E9" w:rsidRDefault="009C796C" w:rsidP="004A2BD9">
            <w:pPr>
              <w:spacing w:after="0"/>
              <w:jc w:val="center"/>
            </w:pPr>
          </w:p>
        </w:tc>
        <w:tc>
          <w:tcPr>
            <w:tcW w:w="0" w:type="auto"/>
            <w:tcBorders>
              <w:top w:val="nil"/>
              <w:left w:val="nil"/>
              <w:bottom w:val="single" w:sz="4" w:space="0" w:color="757171"/>
              <w:right w:val="single" w:sz="4" w:space="0" w:color="757171"/>
            </w:tcBorders>
            <w:shd w:val="clear" w:color="auto" w:fill="auto"/>
            <w:noWrap/>
            <w:vAlign w:val="center"/>
            <w:hideMark/>
          </w:tcPr>
          <w:p w14:paraId="1DB3B339" w14:textId="77777777" w:rsidR="009C796C" w:rsidRPr="005C05E9" w:rsidRDefault="009C796C" w:rsidP="004A2BD9">
            <w:pPr>
              <w:spacing w:after="0"/>
              <w:jc w:val="center"/>
            </w:pPr>
            <w:r w:rsidRPr="005C05E9">
              <w:t>1</w:t>
            </w:r>
          </w:p>
        </w:tc>
      </w:tr>
      <w:tr w:rsidR="009C796C" w:rsidRPr="009C796C" w14:paraId="213F7FD3" w14:textId="77777777" w:rsidTr="00C5796A">
        <w:trPr>
          <w:trHeight w:val="20"/>
          <w:jc w:val="center"/>
        </w:trPr>
        <w:tc>
          <w:tcPr>
            <w:tcW w:w="0" w:type="auto"/>
            <w:tcBorders>
              <w:top w:val="nil"/>
              <w:left w:val="single" w:sz="4" w:space="0" w:color="757171"/>
              <w:bottom w:val="single" w:sz="4" w:space="0" w:color="757171"/>
              <w:right w:val="single" w:sz="4" w:space="0" w:color="757171"/>
            </w:tcBorders>
            <w:shd w:val="clear" w:color="auto" w:fill="auto"/>
            <w:noWrap/>
            <w:vAlign w:val="center"/>
            <w:hideMark/>
          </w:tcPr>
          <w:p w14:paraId="22B9B3B2" w14:textId="77777777" w:rsidR="009C796C" w:rsidRPr="009C796C" w:rsidRDefault="009C796C" w:rsidP="002A7043">
            <w:pPr>
              <w:spacing w:after="0"/>
            </w:pPr>
            <w:r w:rsidRPr="009C796C">
              <w:t>Yates</w:t>
            </w:r>
          </w:p>
        </w:tc>
        <w:tc>
          <w:tcPr>
            <w:tcW w:w="0" w:type="auto"/>
            <w:tcBorders>
              <w:top w:val="nil"/>
              <w:left w:val="nil"/>
              <w:bottom w:val="single" w:sz="4" w:space="0" w:color="757171"/>
              <w:right w:val="single" w:sz="4" w:space="0" w:color="757171"/>
            </w:tcBorders>
            <w:shd w:val="clear" w:color="auto" w:fill="auto"/>
            <w:noWrap/>
            <w:vAlign w:val="center"/>
            <w:hideMark/>
          </w:tcPr>
          <w:p w14:paraId="492F8ACE" w14:textId="77777777" w:rsidR="009C796C" w:rsidRPr="009C796C" w:rsidRDefault="009C796C" w:rsidP="004A2BD9">
            <w:pPr>
              <w:spacing w:after="0"/>
              <w:jc w:val="center"/>
            </w:pPr>
            <w:r w:rsidRPr="009C796C">
              <w:t>4</w:t>
            </w:r>
          </w:p>
        </w:tc>
        <w:tc>
          <w:tcPr>
            <w:tcW w:w="0" w:type="auto"/>
            <w:tcBorders>
              <w:top w:val="nil"/>
              <w:left w:val="nil"/>
              <w:bottom w:val="single" w:sz="4" w:space="0" w:color="757171"/>
              <w:right w:val="single" w:sz="4" w:space="0" w:color="757171"/>
            </w:tcBorders>
            <w:shd w:val="clear" w:color="auto" w:fill="auto"/>
            <w:noWrap/>
            <w:vAlign w:val="center"/>
            <w:hideMark/>
          </w:tcPr>
          <w:p w14:paraId="3FECE431" w14:textId="77777777" w:rsidR="009C796C" w:rsidRPr="009C796C" w:rsidRDefault="009C796C" w:rsidP="004A2BD9">
            <w:pPr>
              <w:spacing w:after="0"/>
              <w:jc w:val="center"/>
            </w:pPr>
            <w:r w:rsidRPr="009C796C">
              <w:t>3</w:t>
            </w:r>
          </w:p>
        </w:tc>
        <w:tc>
          <w:tcPr>
            <w:tcW w:w="0" w:type="auto"/>
            <w:tcBorders>
              <w:top w:val="nil"/>
              <w:left w:val="nil"/>
              <w:bottom w:val="single" w:sz="4" w:space="0" w:color="757171"/>
              <w:right w:val="single" w:sz="4" w:space="0" w:color="757171"/>
            </w:tcBorders>
            <w:shd w:val="clear" w:color="auto" w:fill="auto"/>
            <w:noWrap/>
            <w:vAlign w:val="center"/>
            <w:hideMark/>
          </w:tcPr>
          <w:p w14:paraId="7DFB0017" w14:textId="77777777" w:rsidR="009C796C" w:rsidRPr="009C796C" w:rsidRDefault="009C796C" w:rsidP="004A2BD9">
            <w:pPr>
              <w:spacing w:after="0"/>
              <w:jc w:val="center"/>
            </w:pPr>
            <w:r w:rsidRPr="009C796C">
              <w:t>7</w:t>
            </w:r>
          </w:p>
        </w:tc>
      </w:tr>
      <w:tr w:rsidR="009C796C" w:rsidRPr="009C796C" w14:paraId="782049D4" w14:textId="77777777" w:rsidTr="171DE73B">
        <w:trPr>
          <w:trHeight w:val="20"/>
          <w:jc w:val="center"/>
        </w:trPr>
        <w:tc>
          <w:tcPr>
            <w:tcW w:w="0" w:type="auto"/>
            <w:tcBorders>
              <w:top w:val="nil"/>
              <w:left w:val="single" w:sz="4" w:space="0" w:color="757171"/>
              <w:bottom w:val="single" w:sz="4" w:space="0" w:color="757171"/>
              <w:right w:val="single" w:sz="4" w:space="0" w:color="757171"/>
            </w:tcBorders>
            <w:shd w:val="clear" w:color="auto" w:fill="404040" w:themeFill="text1" w:themeFillTint="BF"/>
            <w:noWrap/>
            <w:vAlign w:val="center"/>
            <w:hideMark/>
          </w:tcPr>
          <w:p w14:paraId="1C1772BC" w14:textId="77777777" w:rsidR="009C796C" w:rsidRPr="002A7043" w:rsidRDefault="009C796C" w:rsidP="002A7043">
            <w:pPr>
              <w:spacing w:after="0"/>
              <w:rPr>
                <w:b/>
                <w:bCs/>
                <w:color w:val="FFFFFF" w:themeColor="background1"/>
              </w:rPr>
            </w:pPr>
            <w:r w:rsidRPr="002A7043">
              <w:rPr>
                <w:b/>
                <w:bCs/>
                <w:color w:val="FFFFFF" w:themeColor="background1"/>
              </w:rPr>
              <w:t>Total</w:t>
            </w:r>
          </w:p>
        </w:tc>
        <w:tc>
          <w:tcPr>
            <w:tcW w:w="0" w:type="auto"/>
            <w:tcBorders>
              <w:top w:val="nil"/>
              <w:left w:val="nil"/>
              <w:bottom w:val="single" w:sz="4" w:space="0" w:color="757171"/>
              <w:right w:val="single" w:sz="4" w:space="0" w:color="757171"/>
            </w:tcBorders>
            <w:shd w:val="clear" w:color="auto" w:fill="404040" w:themeFill="text1" w:themeFillTint="BF"/>
            <w:noWrap/>
            <w:vAlign w:val="center"/>
            <w:hideMark/>
          </w:tcPr>
          <w:p w14:paraId="4A9948CC" w14:textId="78614035" w:rsidR="009C796C" w:rsidRPr="002A7043" w:rsidRDefault="00EE1A31" w:rsidP="004A2BD9">
            <w:pPr>
              <w:spacing w:after="0"/>
              <w:jc w:val="center"/>
              <w:rPr>
                <w:b/>
                <w:bCs/>
                <w:color w:val="FFFFFF" w:themeColor="background1"/>
              </w:rPr>
            </w:pPr>
            <w:r>
              <w:rPr>
                <w:b/>
                <w:bCs/>
                <w:color w:val="FFFFFF" w:themeColor="background1"/>
              </w:rPr>
              <w:t>20</w:t>
            </w:r>
          </w:p>
        </w:tc>
        <w:tc>
          <w:tcPr>
            <w:tcW w:w="0" w:type="auto"/>
            <w:tcBorders>
              <w:top w:val="nil"/>
              <w:left w:val="nil"/>
              <w:bottom w:val="single" w:sz="4" w:space="0" w:color="757171"/>
              <w:right w:val="single" w:sz="4" w:space="0" w:color="757171"/>
            </w:tcBorders>
            <w:shd w:val="clear" w:color="auto" w:fill="404040" w:themeFill="text1" w:themeFillTint="BF"/>
            <w:vAlign w:val="center"/>
            <w:hideMark/>
          </w:tcPr>
          <w:p w14:paraId="758AA448" w14:textId="45E91DC0" w:rsidR="009C796C" w:rsidRPr="002A7043" w:rsidRDefault="00EE1A31" w:rsidP="004A2BD9">
            <w:pPr>
              <w:spacing w:after="0"/>
              <w:jc w:val="center"/>
              <w:rPr>
                <w:b/>
                <w:bCs/>
                <w:color w:val="FFFFFF" w:themeColor="background1"/>
              </w:rPr>
            </w:pPr>
            <w:r>
              <w:rPr>
                <w:b/>
                <w:bCs/>
                <w:color w:val="FFFFFF" w:themeColor="background1"/>
              </w:rPr>
              <w:t>9</w:t>
            </w:r>
          </w:p>
        </w:tc>
        <w:tc>
          <w:tcPr>
            <w:tcW w:w="0" w:type="auto"/>
            <w:tcBorders>
              <w:top w:val="nil"/>
              <w:left w:val="nil"/>
              <w:bottom w:val="single" w:sz="4" w:space="0" w:color="757171"/>
              <w:right w:val="single" w:sz="4" w:space="0" w:color="757171"/>
            </w:tcBorders>
            <w:shd w:val="clear" w:color="auto" w:fill="404040" w:themeFill="text1" w:themeFillTint="BF"/>
            <w:vAlign w:val="center"/>
            <w:hideMark/>
          </w:tcPr>
          <w:p w14:paraId="62CD46C1" w14:textId="77777777" w:rsidR="009C796C" w:rsidRPr="002A7043" w:rsidRDefault="009C796C" w:rsidP="004A2BD9">
            <w:pPr>
              <w:spacing w:after="0"/>
              <w:jc w:val="center"/>
              <w:rPr>
                <w:b/>
                <w:bCs/>
                <w:color w:val="FFFFFF" w:themeColor="background1"/>
              </w:rPr>
            </w:pPr>
            <w:r w:rsidRPr="002A7043">
              <w:rPr>
                <w:b/>
                <w:bCs/>
                <w:color w:val="FFFFFF" w:themeColor="background1"/>
              </w:rPr>
              <w:t>29</w:t>
            </w:r>
          </w:p>
        </w:tc>
      </w:tr>
    </w:tbl>
    <w:p w14:paraId="7A092421" w14:textId="75474A16" w:rsidR="171DE73B" w:rsidRDefault="171DE73B"/>
    <w:p w14:paraId="3CD543AD" w14:textId="6F71F243" w:rsidR="009C796C" w:rsidRPr="005C05E9" w:rsidRDefault="009C796C" w:rsidP="009C796C">
      <w:r w:rsidRPr="005C05E9">
        <w:t xml:space="preserve">In November 2018, Georgia Power </w:t>
      </w:r>
      <w:r w:rsidR="4563DA13" w:rsidRPr="005C05E9">
        <w:t>submitted</w:t>
      </w:r>
      <w:r w:rsidR="00993074" w:rsidRPr="005C05E9">
        <w:t xml:space="preserve"> to EPD</w:t>
      </w:r>
      <w:r w:rsidRPr="005C05E9">
        <w:t xml:space="preserve"> 29 CCR permit applications as required by the Georgia CCR Rule for ash ponds and CCR landfills. These permit applications outlined significant and detailed engineering information about Georgia Power's ash pond closure plans and landfill operations plans. To date, the Georgia EPD has issued </w:t>
      </w:r>
      <w:r w:rsidR="008277C2" w:rsidRPr="005C05E9">
        <w:t xml:space="preserve">seven </w:t>
      </w:r>
      <w:r w:rsidRPr="005C05E9">
        <w:t xml:space="preserve">final permits for closure by removal units.  </w:t>
      </w:r>
      <w:r w:rsidR="00BA6E01" w:rsidRPr="005C05E9">
        <w:t xml:space="preserve">Additionally, </w:t>
      </w:r>
      <w:r w:rsidRPr="005C05E9">
        <w:t xml:space="preserve">Georgia EPD has issued </w:t>
      </w:r>
      <w:r w:rsidR="007350CB" w:rsidRPr="005C05E9">
        <w:t xml:space="preserve">one </w:t>
      </w:r>
      <w:r w:rsidRPr="005C05E9">
        <w:t>draft permit</w:t>
      </w:r>
      <w:r w:rsidR="007350CB" w:rsidRPr="005C05E9">
        <w:t xml:space="preserve"> and one final permit</w:t>
      </w:r>
      <w:r w:rsidRPr="005C05E9">
        <w:t xml:space="preserve"> for closure in place projects</w:t>
      </w:r>
      <w:r w:rsidR="114E65FE" w:rsidRPr="005C05E9">
        <w:t>.</w:t>
      </w:r>
      <w:r w:rsidR="5C1F1B35" w:rsidRPr="005C05E9">
        <w:t xml:space="preserve"> </w:t>
      </w:r>
      <w:r w:rsidRPr="005C05E9">
        <w:t xml:space="preserve">The Company continues to respond to EPD’s requests for information and comments on the permit applications submitted in 2018. </w:t>
      </w:r>
      <w:r w:rsidR="001A2CB3" w:rsidRPr="005C05E9">
        <w:t xml:space="preserve">Should the Commission approve the IRP and </w:t>
      </w:r>
      <w:r w:rsidR="00894267" w:rsidRPr="005C05E9">
        <w:t>retirement of</w:t>
      </w:r>
      <w:r w:rsidR="001A2CB3" w:rsidRPr="005C05E9">
        <w:t xml:space="preserve"> Plant Wansley</w:t>
      </w:r>
      <w:r w:rsidR="00894267" w:rsidRPr="005C05E9">
        <w:t xml:space="preserve"> Units 1 and 2</w:t>
      </w:r>
      <w:r w:rsidR="001A2CB3" w:rsidRPr="005C05E9">
        <w:t xml:space="preserve">, the Company will work </w:t>
      </w:r>
      <w:r w:rsidR="007658F7" w:rsidRPr="005C05E9">
        <w:t xml:space="preserve">with EPD to </w:t>
      </w:r>
      <w:r w:rsidR="00E27735" w:rsidRPr="005C05E9">
        <w:t xml:space="preserve">modify the permit application </w:t>
      </w:r>
      <w:r w:rsidR="001A2CB3" w:rsidRPr="005C05E9">
        <w:t>to reflect the change in closure strategy</w:t>
      </w:r>
      <w:r w:rsidRPr="005C05E9">
        <w:t xml:space="preserve">. EPD permitting activities for the remaining projects </w:t>
      </w:r>
      <w:r w:rsidRPr="005C05E9" w:rsidDel="00443873">
        <w:t xml:space="preserve">are currently expected to </w:t>
      </w:r>
      <w:r w:rsidRPr="005C05E9">
        <w:t xml:space="preserve">continue through 2023, and this timeline for permit issuance is important to gain certainty for the projects.  </w:t>
      </w:r>
      <w:r w:rsidR="001E3EF6" w:rsidRPr="005C05E9">
        <w:t>I</w:t>
      </w:r>
      <w:r w:rsidRPr="005C05E9">
        <w:t xml:space="preserve">n order to advance ash pond closures and meet the stringent regulatory deadlines associated with the Federal CCR Rule and Georgia CCR Rule, regardless of permit issuance, the Company must </w:t>
      </w:r>
      <w:r w:rsidR="001E3EF6" w:rsidRPr="005C05E9">
        <w:t xml:space="preserve">continue to </w:t>
      </w:r>
      <w:r w:rsidRPr="005C05E9">
        <w:t xml:space="preserve">complete certain compliance requirements and proceed with closure construction. </w:t>
      </w:r>
    </w:p>
    <w:p w14:paraId="5C921A50" w14:textId="6DBD52E5" w:rsidR="009C796C" w:rsidRPr="005C05E9" w:rsidRDefault="009C796C" w:rsidP="009C796C">
      <w:r w:rsidRPr="005C05E9">
        <w:t>The Company has made significant progress toward effe</w:t>
      </w:r>
      <w:r w:rsidRPr="009C796C">
        <w:t xml:space="preserve">ctuating the approved compliance strategy. This includes active closure construction at 22 ash ponds and preliminary sitework and final design at the remaining ponds to prepare the sites to enter closure construction activities in the near future. To date, Georgia Power has provided landfill and ash pond closure certifications to EPD for certain CCR Units at Plants Branch, Hammond, Kraft, McDonough, McManus, McIntosh, and Yates. These closure certifications document important information regarding the closure activities, quality control, and verification of compliance with the CCR </w:t>
      </w:r>
      <w:r w:rsidR="0684BEF1">
        <w:t>R</w:t>
      </w:r>
      <w:r w:rsidR="2F9C746F">
        <w:t>ule</w:t>
      </w:r>
      <w:r w:rsidR="0684BEF1">
        <w:t>s</w:t>
      </w:r>
      <w:r w:rsidR="2F9C746F">
        <w:t>.</w:t>
      </w:r>
      <w:r w:rsidRPr="009C796C">
        <w:t xml:space="preserve"> </w:t>
      </w:r>
      <w:r w:rsidR="00E17F5B">
        <w:t xml:space="preserve">Georgia </w:t>
      </w:r>
      <w:r w:rsidRPr="009C796C">
        <w:t>EPD has issued acknowledgement letters for completion of CCR removal for certain CCR Units at Plants McManus, McDonough, McIntosh, and Yates, demonstrating the Company’s compliance w</w:t>
      </w:r>
      <w:r w:rsidRPr="005C05E9">
        <w:t xml:space="preserve">ith the closure requirements of the </w:t>
      </w:r>
      <w:r w:rsidR="0061465B" w:rsidRPr="005C05E9">
        <w:t xml:space="preserve">Georgia </w:t>
      </w:r>
      <w:r w:rsidRPr="005C05E9">
        <w:t xml:space="preserve">CCR </w:t>
      </w:r>
      <w:r w:rsidR="0061465B" w:rsidRPr="005C05E9">
        <w:t>R</w:t>
      </w:r>
      <w:r w:rsidRPr="005C05E9">
        <w:t>ule as well as EPD’s active oversight regardless of final permit status.</w:t>
      </w:r>
    </w:p>
    <w:p w14:paraId="38D81FD9" w14:textId="625A128C" w:rsidR="006E323E" w:rsidRPr="005C05E9" w:rsidRDefault="005350E6" w:rsidP="009C796C">
      <w:r w:rsidRPr="005C05E9">
        <w:t xml:space="preserve">Recent </w:t>
      </w:r>
      <w:r w:rsidR="00C274D2" w:rsidRPr="005C05E9">
        <w:t xml:space="preserve">fleet transition </w:t>
      </w:r>
      <w:r w:rsidR="00A22774" w:rsidRPr="005C05E9">
        <w:t xml:space="preserve">plans </w:t>
      </w:r>
      <w:r w:rsidR="00B24395" w:rsidRPr="005C05E9">
        <w:t xml:space="preserve">provide </w:t>
      </w:r>
      <w:r w:rsidR="00E658B5" w:rsidRPr="005C05E9">
        <w:t xml:space="preserve">an opportunity </w:t>
      </w:r>
      <w:r w:rsidR="00596A67" w:rsidRPr="005C05E9">
        <w:t xml:space="preserve">to </w:t>
      </w:r>
      <w:r w:rsidR="00777E42" w:rsidRPr="005C05E9">
        <w:t xml:space="preserve">modify </w:t>
      </w:r>
      <w:r w:rsidR="00596A67" w:rsidRPr="005C05E9">
        <w:t xml:space="preserve">the current </w:t>
      </w:r>
      <w:r w:rsidR="001453DA" w:rsidRPr="005C05E9">
        <w:t>ash pond closure plans at Plant Wansley</w:t>
      </w:r>
      <w:r w:rsidR="00E617D7" w:rsidRPr="005C05E9">
        <w:t>.</w:t>
      </w:r>
      <w:r w:rsidR="001453DA" w:rsidRPr="005C05E9">
        <w:t xml:space="preserve"> </w:t>
      </w:r>
      <w:r w:rsidR="006B75EA" w:rsidRPr="005C05E9">
        <w:t>This opportunity</w:t>
      </w:r>
      <w:r w:rsidR="00E617D7" w:rsidRPr="005C05E9">
        <w:t xml:space="preserve"> </w:t>
      </w:r>
      <w:r w:rsidR="001453DA" w:rsidRPr="005C05E9">
        <w:t>w</w:t>
      </w:r>
      <w:r w:rsidR="006B75EA" w:rsidRPr="005C05E9">
        <w:t>as</w:t>
      </w:r>
      <w:r w:rsidR="001453DA" w:rsidRPr="005C05E9">
        <w:t xml:space="preserve"> previ</w:t>
      </w:r>
      <w:r w:rsidR="003F7AB2" w:rsidRPr="005C05E9">
        <w:t xml:space="preserve">ously </w:t>
      </w:r>
      <w:r w:rsidR="3F53AD3D" w:rsidRPr="005C05E9">
        <w:rPr>
          <w:rFonts w:cs="Arial"/>
        </w:rPr>
        <w:t>not</w:t>
      </w:r>
      <w:r w:rsidR="00837DB1" w:rsidRPr="005C05E9">
        <w:rPr>
          <w:rFonts w:cs="Arial"/>
        </w:rPr>
        <w:t xml:space="preserve"> available </w:t>
      </w:r>
      <w:r w:rsidR="001453DA" w:rsidRPr="005C05E9">
        <w:t xml:space="preserve">due to </w:t>
      </w:r>
      <w:r w:rsidR="00D513D1" w:rsidRPr="005C05E9">
        <w:t xml:space="preserve">the need </w:t>
      </w:r>
      <w:r w:rsidR="00E617D7" w:rsidRPr="005C05E9">
        <w:t xml:space="preserve">to maintain </w:t>
      </w:r>
      <w:r w:rsidR="00084DA6" w:rsidRPr="005C05E9">
        <w:t xml:space="preserve">the </w:t>
      </w:r>
      <w:r w:rsidR="008B618C" w:rsidRPr="005C05E9">
        <w:t>availability</w:t>
      </w:r>
      <w:r w:rsidR="00084DA6" w:rsidRPr="005C05E9">
        <w:t xml:space="preserve"> of </w:t>
      </w:r>
      <w:r w:rsidR="00D513D1" w:rsidRPr="005C05E9">
        <w:t>the on</w:t>
      </w:r>
      <w:r w:rsidR="00196897" w:rsidRPr="005C05E9">
        <w:t>-</w:t>
      </w:r>
      <w:r w:rsidR="00D513D1" w:rsidRPr="005C05E9">
        <w:t xml:space="preserve">site landfill </w:t>
      </w:r>
      <w:r w:rsidR="00685AF0" w:rsidRPr="005C05E9">
        <w:t xml:space="preserve">to support </w:t>
      </w:r>
      <w:r w:rsidR="001453DA" w:rsidRPr="005C05E9">
        <w:t xml:space="preserve">continued operation of the </w:t>
      </w:r>
      <w:r w:rsidR="00153BB2" w:rsidRPr="005C05E9">
        <w:t xml:space="preserve">coal </w:t>
      </w:r>
      <w:r w:rsidR="001453DA" w:rsidRPr="005C05E9">
        <w:t>units.</w:t>
      </w:r>
      <w:r w:rsidR="009C796C" w:rsidRPr="005C05E9">
        <w:t xml:space="preserve"> </w:t>
      </w:r>
      <w:r w:rsidR="55A9C8D8" w:rsidRPr="005C05E9">
        <w:t>Given</w:t>
      </w:r>
      <w:r w:rsidR="009C796C" w:rsidRPr="005C05E9">
        <w:t xml:space="preserve"> the request to retire </w:t>
      </w:r>
      <w:r w:rsidR="00E61325" w:rsidRPr="005C05E9">
        <w:t xml:space="preserve">Plant </w:t>
      </w:r>
      <w:r w:rsidR="009C796C" w:rsidRPr="005C05E9">
        <w:t xml:space="preserve">Wansley Units 1 and 2, </w:t>
      </w:r>
      <w:r w:rsidR="00297CE0" w:rsidRPr="005C05E9">
        <w:t xml:space="preserve">the Company </w:t>
      </w:r>
      <w:r w:rsidR="00DB04EA" w:rsidRPr="005C05E9">
        <w:t xml:space="preserve">has </w:t>
      </w:r>
      <w:r w:rsidR="00C4282F" w:rsidRPr="005C05E9">
        <w:t xml:space="preserve">assessed </w:t>
      </w:r>
      <w:r w:rsidR="00AE2FA0" w:rsidRPr="005C05E9">
        <w:t xml:space="preserve">utilizing the </w:t>
      </w:r>
      <w:r w:rsidR="00F7085E" w:rsidRPr="005C05E9">
        <w:t xml:space="preserve">existing </w:t>
      </w:r>
      <w:r w:rsidR="00AE2FA0" w:rsidRPr="005C05E9">
        <w:t>on</w:t>
      </w:r>
      <w:r w:rsidR="00D63A5D" w:rsidRPr="005C05E9">
        <w:t>-</w:t>
      </w:r>
      <w:r w:rsidR="00AE2FA0" w:rsidRPr="005C05E9">
        <w:t xml:space="preserve">site landfill as part of the site’s ash pond closure. This assessment considered </w:t>
      </w:r>
      <w:r w:rsidR="00410BEE" w:rsidRPr="005C05E9">
        <w:t>current</w:t>
      </w:r>
      <w:r w:rsidR="006075A8" w:rsidRPr="005C05E9">
        <w:t xml:space="preserve"> capacity and expansion capability of the on-site</w:t>
      </w:r>
      <w:r w:rsidR="00297CE0" w:rsidRPr="005C05E9">
        <w:t xml:space="preserve"> landfill</w:t>
      </w:r>
      <w:r w:rsidR="009C796C" w:rsidRPr="005C05E9">
        <w:t xml:space="preserve">, </w:t>
      </w:r>
      <w:r w:rsidR="005267BF" w:rsidRPr="005C05E9">
        <w:t xml:space="preserve">schedule and construction risk, </w:t>
      </w:r>
      <w:r w:rsidR="009C796C" w:rsidRPr="005C05E9">
        <w:t xml:space="preserve">and long-term </w:t>
      </w:r>
      <w:r w:rsidR="00575BE5" w:rsidRPr="005C05E9">
        <w:t xml:space="preserve">considerations </w:t>
      </w:r>
      <w:r w:rsidR="009C796C" w:rsidRPr="005C05E9">
        <w:t>associated with post closure care</w:t>
      </w:r>
      <w:r w:rsidR="00AE2FA0" w:rsidRPr="005C05E9">
        <w:t>.</w:t>
      </w:r>
      <w:r w:rsidR="00D73564" w:rsidRPr="005C05E9">
        <w:t xml:space="preserve"> </w:t>
      </w:r>
      <w:r w:rsidR="00305A5E" w:rsidRPr="005C05E9">
        <w:t>M</w:t>
      </w:r>
      <w:r w:rsidR="00C97706" w:rsidRPr="005C05E9">
        <w:t>odify</w:t>
      </w:r>
      <w:r w:rsidR="006B1F2B" w:rsidRPr="005C05E9">
        <w:t>ing</w:t>
      </w:r>
      <w:r w:rsidR="00C97706" w:rsidRPr="005C05E9">
        <w:t xml:space="preserve"> </w:t>
      </w:r>
      <w:r w:rsidR="007C7A63" w:rsidRPr="005C05E9">
        <w:t>the</w:t>
      </w:r>
      <w:r w:rsidR="00C97706" w:rsidRPr="005C05E9">
        <w:t xml:space="preserve"> ash pond closure plans at the site from</w:t>
      </w:r>
      <w:r w:rsidR="00443589" w:rsidRPr="005C05E9">
        <w:t xml:space="preserve"> </w:t>
      </w:r>
      <w:r w:rsidR="00C97706" w:rsidRPr="005C05E9">
        <w:t xml:space="preserve">closure in place to </w:t>
      </w:r>
      <w:r w:rsidR="009C796C" w:rsidRPr="005C05E9">
        <w:t xml:space="preserve">closure by removal </w:t>
      </w:r>
      <w:r w:rsidR="00A554B2" w:rsidRPr="005C05E9">
        <w:t>utilizing</w:t>
      </w:r>
      <w:r w:rsidR="00257965" w:rsidRPr="005C05E9">
        <w:t xml:space="preserve"> the existing on</w:t>
      </w:r>
      <w:r w:rsidR="00D63A5D" w:rsidRPr="005C05E9">
        <w:t>-</w:t>
      </w:r>
      <w:r w:rsidR="00257965" w:rsidRPr="005C05E9">
        <w:t>site landfill</w:t>
      </w:r>
      <w:r w:rsidR="00B725C8" w:rsidRPr="005C05E9">
        <w:t>, will benefit customers</w:t>
      </w:r>
      <w:r w:rsidR="00A3460A" w:rsidRPr="005C05E9">
        <w:t xml:space="preserve"> by maximizing the use of the existing landfill asset, managing </w:t>
      </w:r>
      <w:r w:rsidR="00C731EF" w:rsidRPr="005C05E9">
        <w:t>schedule</w:t>
      </w:r>
      <w:r w:rsidR="00A3460A" w:rsidRPr="005C05E9">
        <w:t xml:space="preserve"> and </w:t>
      </w:r>
      <w:r w:rsidR="00C731EF" w:rsidRPr="005C05E9">
        <w:t>construction</w:t>
      </w:r>
      <w:r w:rsidR="00A3460A" w:rsidRPr="005C05E9">
        <w:t xml:space="preserve"> </w:t>
      </w:r>
      <w:r w:rsidR="00B63633" w:rsidRPr="005C05E9">
        <w:t xml:space="preserve">execution </w:t>
      </w:r>
      <w:r w:rsidR="00A3460A" w:rsidRPr="005C05E9">
        <w:t>risks associated with the current closure in place design, and providing for future beneficial use of the ash as driven by the market.</w:t>
      </w:r>
    </w:p>
    <w:p w14:paraId="6FDF36E9" w14:textId="261F1770" w:rsidR="009C796C" w:rsidRPr="009C796C" w:rsidRDefault="009C796C" w:rsidP="009C796C">
      <w:r w:rsidRPr="005C05E9">
        <w:t xml:space="preserve">Georgia Power is also seeking to identify opportunities and maximize the value for the beneficial use of stored coal ash at its active and retired plants across the state. </w:t>
      </w:r>
      <w:r w:rsidRPr="005C05E9">
        <w:rPr>
          <w:lang w:val="en"/>
        </w:rPr>
        <w:t>For example, at Plant Mitchell, the</w:t>
      </w:r>
      <w:r w:rsidRPr="009C796C">
        <w:rPr>
          <w:lang w:val="en"/>
        </w:rPr>
        <w:t xml:space="preserve"> Company continues with plans to remove the stored coal ash at its three ash ponds for beneficial use. </w:t>
      </w:r>
      <w:r w:rsidRPr="009C796C">
        <w:t>Over the next several years, up to two million tons of ash are planned to be removed from Plant Mitchell to create Portland cement. Additionally, Georgia Power</w:t>
      </w:r>
      <w:r w:rsidRPr="009C796C" w:rsidDel="007C64F9">
        <w:t xml:space="preserve"> </w:t>
      </w:r>
      <w:r w:rsidR="007C64F9">
        <w:t>issued</w:t>
      </w:r>
      <w:r w:rsidR="007C64F9" w:rsidRPr="009C796C">
        <w:t xml:space="preserve"> </w:t>
      </w:r>
      <w:r w:rsidRPr="009C796C">
        <w:t>a request for proposals (“RFP”) in December 2019 for the beneficial use of stored coal ash at Georgia Power facilities. Currently</w:t>
      </w:r>
      <w:r w:rsidR="009639E3">
        <w:t>,</w:t>
      </w:r>
      <w:r w:rsidRPr="009C796C">
        <w:t xml:space="preserve"> the Company is in the final stages of the RFP evaluations and will move forward with opportunities that present value to the </w:t>
      </w:r>
      <w:r w:rsidR="00434CD9">
        <w:t xml:space="preserve">ash pond </w:t>
      </w:r>
      <w:r w:rsidRPr="009C796C">
        <w:t>closure strategy in</w:t>
      </w:r>
      <w:r w:rsidR="00D90A08">
        <w:t>cluding</w:t>
      </w:r>
      <w:r w:rsidRPr="009C796C">
        <w:t xml:space="preserve"> potential reduction in long term liability or potential in reduced project costs. </w:t>
      </w:r>
      <w:r w:rsidR="009822EB" w:rsidRPr="008D57B1">
        <w:rPr>
          <w:spacing w:val="20"/>
          <w:szCs w:val="24"/>
        </w:rPr>
        <w:t>REDACTED</w:t>
      </w:r>
      <w:r w:rsidR="00C17ECB" w:rsidRPr="008D57B1">
        <w:rPr>
          <w:spacing w:val="20"/>
          <w:szCs w:val="24"/>
        </w:rPr>
        <w:t xml:space="preserve"> REDACTED REDACTED REDACTED REDACTED REDACTED REDACTED REDACTED REDACTED</w:t>
      </w:r>
      <w:r w:rsidR="008D57B1">
        <w:rPr>
          <w:spacing w:val="20"/>
          <w:szCs w:val="24"/>
        </w:rPr>
        <w:t>,</w:t>
      </w:r>
      <w:r w:rsidR="00C17ECB" w:rsidRPr="008D57B1">
        <w:rPr>
          <w:spacing w:val="20"/>
          <w:szCs w:val="24"/>
        </w:rPr>
        <w:t xml:space="preserve"> </w:t>
      </w:r>
      <w:r w:rsidRPr="009C796C">
        <w:t xml:space="preserve">there is great potential for long-term benefits by reducing the amount of ash that must be managed during closure and in post closure care. </w:t>
      </w:r>
    </w:p>
    <w:p w14:paraId="0214EE4E" w14:textId="1E549D4C" w:rsidR="009C796C" w:rsidRPr="009C796C" w:rsidRDefault="00C26304" w:rsidP="009C796C">
      <w:r>
        <w:t>T</w:t>
      </w:r>
      <w:r w:rsidR="009C796C">
        <w:t xml:space="preserve">he Company will continue to refine and optimize the CCR compliance strategy to ensure plans remain in the best interest of customers. In addition, Georgia Power consistently monitors </w:t>
      </w:r>
      <w:r w:rsidR="009C796C" w:rsidRPr="005C05E9">
        <w:t xml:space="preserve">and evaluates project assumptions, including, but not limited to, timing and schedule assumptions for permits and construction, project scope, post-closure activities, and estimated future escalation.  Georgia Power’s forecast applicable to retail customers over </w:t>
      </w:r>
      <w:r w:rsidR="001861CA" w:rsidRPr="005C05E9">
        <w:t>approximately</w:t>
      </w:r>
      <w:r w:rsidR="009C796C" w:rsidRPr="005C05E9">
        <w:t xml:space="preserve"> the next 60 years is $8.</w:t>
      </w:r>
      <w:r w:rsidR="005D3E2F" w:rsidRPr="005C05E9">
        <w:t xml:space="preserve">89 </w:t>
      </w:r>
      <w:r w:rsidR="009C796C" w:rsidRPr="005C05E9">
        <w:t>billion</w:t>
      </w:r>
      <w:r w:rsidR="00727BDF" w:rsidRPr="005C05E9">
        <w:t xml:space="preserve"> as outlined in </w:t>
      </w:r>
      <w:r w:rsidR="006C472D" w:rsidRPr="005C05E9">
        <w:t xml:space="preserve">the April 2022 </w:t>
      </w:r>
      <w:r w:rsidR="00727BDF" w:rsidRPr="005C05E9">
        <w:t>updated Selected Supporting Information Volume 2</w:t>
      </w:r>
      <w:r w:rsidR="00266607" w:rsidRPr="005C05E9">
        <w:t>. This forecast is</w:t>
      </w:r>
      <w:r w:rsidR="00246EA2" w:rsidRPr="005C05E9">
        <w:t xml:space="preserve"> based on </w:t>
      </w:r>
      <w:r w:rsidR="003A6DDB" w:rsidRPr="005C05E9">
        <w:t xml:space="preserve">current estimates for </w:t>
      </w:r>
      <w:r w:rsidR="00246EA2" w:rsidRPr="005C05E9">
        <w:t>a Plant Wansley closure by removal strategy</w:t>
      </w:r>
      <w:r w:rsidR="00813D00" w:rsidRPr="005C05E9">
        <w:t>, which is dependent on Commission approval</w:t>
      </w:r>
      <w:r w:rsidR="004844B9" w:rsidRPr="005C05E9">
        <w:t xml:space="preserve"> of </w:t>
      </w:r>
      <w:r w:rsidR="003916BD" w:rsidRPr="005C05E9">
        <w:t xml:space="preserve">retirement of </w:t>
      </w:r>
      <w:r w:rsidR="00131E81" w:rsidRPr="005C05E9">
        <w:t>Plant Wansley Units 1 and 2</w:t>
      </w:r>
      <w:r w:rsidR="00246EA2" w:rsidRPr="005C05E9">
        <w:t xml:space="preserve">. The $8.89 billion estimate </w:t>
      </w:r>
      <w:r w:rsidR="009C796C" w:rsidRPr="005C05E9">
        <w:t>includes $</w:t>
      </w:r>
      <w:r w:rsidR="13207F96" w:rsidRPr="005C05E9">
        <w:t>944</w:t>
      </w:r>
      <w:r w:rsidR="009C796C" w:rsidRPr="005C05E9">
        <w:t xml:space="preserve"> million in </w:t>
      </w:r>
      <w:r w:rsidR="13207F96" w:rsidRPr="005C05E9">
        <w:t>project to date</w:t>
      </w:r>
      <w:r w:rsidR="02D5C52F" w:rsidRPr="005C05E9">
        <w:t xml:space="preserve"> </w:t>
      </w:r>
      <w:r w:rsidR="009C796C" w:rsidRPr="005C05E9">
        <w:t>actual costs incurred</w:t>
      </w:r>
      <w:r w:rsidR="13207F96" w:rsidRPr="005C05E9">
        <w:t xml:space="preserve"> through December 31, 2021</w:t>
      </w:r>
      <w:r w:rsidR="02D5C52F" w:rsidRPr="005C05E9">
        <w:t>.</w:t>
      </w:r>
      <w:r w:rsidR="009C796C">
        <w:t xml:space="preserve"> </w:t>
      </w:r>
      <w:r w:rsidR="00C85FFA">
        <w:t xml:space="preserve"> </w:t>
      </w:r>
    </w:p>
    <w:p w14:paraId="7B560F9A" w14:textId="695CDF30" w:rsidR="009C796C" w:rsidRPr="009C796C" w:rsidRDefault="009C796C" w:rsidP="009C796C">
      <w:pPr>
        <w:rPr>
          <w:i/>
          <w:iCs/>
        </w:rPr>
      </w:pPr>
    </w:p>
    <w:p w14:paraId="4B56AC74" w14:textId="63862101" w:rsidR="009C796C" w:rsidRPr="009C796C" w:rsidRDefault="009C796C" w:rsidP="7627664D">
      <w:pPr>
        <w:pStyle w:val="ListParagraph"/>
        <w:numPr>
          <w:ilvl w:val="0"/>
          <w:numId w:val="36"/>
        </w:numPr>
        <w:rPr>
          <w:rFonts w:asciiTheme="minorHAnsi" w:eastAsiaTheme="minorEastAsia" w:hAnsiTheme="minorHAnsi"/>
          <w:b/>
          <w:i/>
          <w:szCs w:val="24"/>
        </w:rPr>
      </w:pPr>
      <w:r w:rsidRPr="009C796C">
        <w:rPr>
          <w:b/>
          <w:bCs/>
          <w:i/>
          <w:iCs/>
        </w:rPr>
        <w:t xml:space="preserve">With a long-term outlook, the Company is proactively planning for a carbon-constrained future to mitigate risks and challenges associated with </w:t>
      </w:r>
      <w:r w:rsidR="007C380E">
        <w:rPr>
          <w:b/>
          <w:bCs/>
          <w:i/>
          <w:iCs/>
        </w:rPr>
        <w:t>potential</w:t>
      </w:r>
      <w:r w:rsidRPr="009C796C">
        <w:rPr>
          <w:b/>
          <w:bCs/>
          <w:i/>
          <w:iCs/>
        </w:rPr>
        <w:t xml:space="preserve"> climate </w:t>
      </w:r>
      <w:r w:rsidR="007C048B">
        <w:rPr>
          <w:b/>
          <w:bCs/>
          <w:i/>
          <w:iCs/>
        </w:rPr>
        <w:t>polic</w:t>
      </w:r>
      <w:r w:rsidR="007C380E">
        <w:rPr>
          <w:b/>
          <w:bCs/>
          <w:i/>
          <w:iCs/>
        </w:rPr>
        <w:t>ies</w:t>
      </w:r>
      <w:r w:rsidR="007C048B" w:rsidRPr="009C796C">
        <w:rPr>
          <w:b/>
          <w:bCs/>
          <w:i/>
          <w:iCs/>
        </w:rPr>
        <w:t xml:space="preserve"> </w:t>
      </w:r>
      <w:r w:rsidRPr="009C796C">
        <w:rPr>
          <w:b/>
          <w:bCs/>
          <w:i/>
          <w:iCs/>
        </w:rPr>
        <w:t>that could impact customer</w:t>
      </w:r>
      <w:r w:rsidR="00F64CB0">
        <w:rPr>
          <w:b/>
          <w:bCs/>
          <w:i/>
          <w:iCs/>
        </w:rPr>
        <w:t>s.</w:t>
      </w:r>
      <w:r w:rsidDel="00F64CB0">
        <w:t xml:space="preserve"> </w:t>
      </w:r>
    </w:p>
    <w:p w14:paraId="5722B50E" w14:textId="0C0E0BAF" w:rsidR="009C796C" w:rsidRPr="009C796C" w:rsidRDefault="009C796C" w:rsidP="009C796C">
      <w:r w:rsidRPr="009C796C">
        <w:t xml:space="preserve">Environmental policy and requirements have become more stringent </w:t>
      </w:r>
      <w:r w:rsidR="00550B45">
        <w:t xml:space="preserve">over time </w:t>
      </w:r>
      <w:r w:rsidRPr="009C796C">
        <w:t xml:space="preserve">and coal-fired power plants </w:t>
      </w:r>
      <w:r w:rsidR="00550B45">
        <w:t xml:space="preserve">are likely to </w:t>
      </w:r>
      <w:r w:rsidR="00582208">
        <w:t xml:space="preserve">face </w:t>
      </w:r>
      <w:r w:rsidR="00497973">
        <w:t xml:space="preserve">additional </w:t>
      </w:r>
      <w:r w:rsidR="00655C47">
        <w:t xml:space="preserve">environmental compliance </w:t>
      </w:r>
      <w:r w:rsidR="00582208">
        <w:t>cost</w:t>
      </w:r>
      <w:r w:rsidR="2C206A9D">
        <w:t>s</w:t>
      </w:r>
      <w:r w:rsidR="00582208">
        <w:t xml:space="preserve"> </w:t>
      </w:r>
      <w:r w:rsidR="00E061BF">
        <w:t>in the future</w:t>
      </w:r>
      <w:r w:rsidRPr="009C796C">
        <w:t xml:space="preserve">.  In addition, in the last five years, there has been a significant shift </w:t>
      </w:r>
      <w:r w:rsidR="00EF62B7">
        <w:t>upward</w:t>
      </w:r>
      <w:r w:rsidRPr="009C796C">
        <w:t xml:space="preserve"> in the projected magnitude and impact of potential carbon-constraining programs, as demonstrated by numerous legislative proposals and climate policy analyses.  To mitigate risks and optimize costs to customers, the </w:t>
      </w:r>
      <w:r w:rsidR="00765F3D">
        <w:t xml:space="preserve">Company must </w:t>
      </w:r>
      <w:r w:rsidRPr="009C796C">
        <w:t>proactively plan long-term for increased carbon pressure.</w:t>
      </w:r>
    </w:p>
    <w:p w14:paraId="10D7B399" w14:textId="249F8990" w:rsidR="009C796C" w:rsidRPr="009C796C" w:rsidRDefault="00E37B50" w:rsidP="00624697">
      <w:r>
        <w:t xml:space="preserve">Georgia Power has already reduced and will continue to reduce carbon emissions effectively through the constructive regulatory planning process with this Commission. </w:t>
      </w:r>
      <w:r w:rsidR="009C796C" w:rsidRPr="009C796C">
        <w:t>The utility industry, as a whole, has also already reduced carbon emissions significantly</w:t>
      </w:r>
      <w:r w:rsidR="009B52D8">
        <w:t xml:space="preserve"> compare</w:t>
      </w:r>
      <w:r w:rsidR="000A665E">
        <w:t>d</w:t>
      </w:r>
      <w:r w:rsidR="009B52D8">
        <w:t xml:space="preserve"> to other sectors</w:t>
      </w:r>
      <w:r w:rsidR="009C796C" w:rsidRPr="009C796C">
        <w:t xml:space="preserve">. </w:t>
      </w:r>
      <w:r w:rsidR="00212D20">
        <w:t xml:space="preserve">In order to </w:t>
      </w:r>
      <w:r w:rsidR="00675293">
        <w:t>achieve</w:t>
      </w:r>
      <w:r w:rsidR="00212D20">
        <w:t xml:space="preserve"> further </w:t>
      </w:r>
      <w:r w:rsidR="00212D20" w:rsidRPr="009C796C">
        <w:t xml:space="preserve">considerable incremental reductions </w:t>
      </w:r>
      <w:r w:rsidR="00212D20">
        <w:t>across the economy</w:t>
      </w:r>
      <w:r w:rsidR="00212D20" w:rsidRPr="009C796C">
        <w:t xml:space="preserve"> </w:t>
      </w:r>
      <w:r w:rsidR="00675293">
        <w:t xml:space="preserve">that are sought by </w:t>
      </w:r>
      <w:r w:rsidR="009C796C" w:rsidRPr="009C796C">
        <w:t>Federal or state climate programs</w:t>
      </w:r>
      <w:r w:rsidR="00C161B8">
        <w:t>,</w:t>
      </w:r>
      <w:r w:rsidR="009C796C" w:rsidRPr="009C796C" w:rsidDel="00C161B8">
        <w:t xml:space="preserve"> </w:t>
      </w:r>
      <w:r w:rsidR="00264432">
        <w:t>increasing</w:t>
      </w:r>
      <w:r w:rsidR="00264432" w:rsidRPr="009C796C">
        <w:t xml:space="preserve"> </w:t>
      </w:r>
      <w:r w:rsidR="009C796C" w:rsidRPr="009C796C">
        <w:t>carbon price pressure</w:t>
      </w:r>
      <w:r w:rsidR="00D55571">
        <w:t xml:space="preserve"> will be required</w:t>
      </w:r>
      <w:r w:rsidR="009C796C" w:rsidRPr="009C796C">
        <w:t xml:space="preserve">. </w:t>
      </w:r>
      <w:r w:rsidR="006917B6">
        <w:t>As such, t</w:t>
      </w:r>
      <w:r w:rsidR="006917B6" w:rsidRPr="009C796C">
        <w:t xml:space="preserve">he overall shift to higher costs and impacts from future carbon requirements is a lasting trend that will continue into the future as climate programs are </w:t>
      </w:r>
      <w:r w:rsidR="00FC29BB">
        <w:t>deployed</w:t>
      </w:r>
      <w:r w:rsidR="006917B6">
        <w:t>.</w:t>
      </w:r>
      <w:r w:rsidR="006917B6" w:rsidRPr="009C796C">
        <w:t xml:space="preserve">  </w:t>
      </w:r>
      <w:r w:rsidR="00E76919">
        <w:t xml:space="preserve">Figure </w:t>
      </w:r>
      <w:r w:rsidR="003D02EA">
        <w:t>4</w:t>
      </w:r>
      <w:r w:rsidR="00E76919">
        <w:t xml:space="preserve">-1 in Section </w:t>
      </w:r>
      <w:r w:rsidR="003D02EA">
        <w:t>4</w:t>
      </w:r>
      <w:r w:rsidR="00E76919">
        <w:t xml:space="preserve"> provides an example, plotting the carbon price points of various legislative proposals from 2021 with the Georgia Power CO</w:t>
      </w:r>
      <w:r w:rsidR="00E76919" w:rsidRPr="00AF46C7">
        <w:rPr>
          <w:vertAlign w:val="subscript"/>
        </w:rPr>
        <w:t>2</w:t>
      </w:r>
      <w:r w:rsidR="00E76919">
        <w:t xml:space="preserve"> planning scenarios.</w:t>
      </w:r>
      <w:r w:rsidR="006917B6" w:rsidRPr="009C796C">
        <w:t xml:space="preserve"> </w:t>
      </w:r>
    </w:p>
    <w:p w14:paraId="3E11B03A" w14:textId="3331FF18" w:rsidR="009C796C" w:rsidRPr="009C796C" w:rsidRDefault="00E823DB" w:rsidP="009C796C">
      <w:pPr>
        <w:rPr>
          <w:b/>
          <w:bCs/>
          <w:u w:val="single"/>
        </w:rPr>
      </w:pPr>
      <w:r>
        <w:t xml:space="preserve">In addition to the potential for </w:t>
      </w:r>
      <w:r w:rsidR="00A15654">
        <w:t xml:space="preserve">climate legislation, </w:t>
      </w:r>
      <w:r w:rsidR="00E45123">
        <w:t xml:space="preserve">EPA is required </w:t>
      </w:r>
      <w:r w:rsidR="00A72C39">
        <w:t xml:space="preserve">to </w:t>
      </w:r>
      <w:r w:rsidR="002B02AB">
        <w:t xml:space="preserve">promulgate </w:t>
      </w:r>
      <w:r w:rsidR="00B00EA0">
        <w:t>carbon emissions standards for power plants</w:t>
      </w:r>
      <w:r w:rsidR="00825C1D">
        <w:t xml:space="preserve"> under the Clean Air Act</w:t>
      </w:r>
      <w:r w:rsidR="00DA0B9C">
        <w:t xml:space="preserve"> (“CAA”)</w:t>
      </w:r>
      <w:r w:rsidR="00B00EA0">
        <w:t xml:space="preserve">. </w:t>
      </w:r>
      <w:r w:rsidR="00346040">
        <w:t>Following the vacatur of the Affordable Clean Energy (“ACE”) Rule in January 2021, EPA is</w:t>
      </w:r>
      <w:r w:rsidR="00881A17" w:rsidRPr="009C796C">
        <w:t xml:space="preserve"> </w:t>
      </w:r>
      <w:r w:rsidR="002C07BA">
        <w:t xml:space="preserve">expected to </w:t>
      </w:r>
      <w:r w:rsidR="007D4901">
        <w:t xml:space="preserve">take a more aggressive approach with respect </w:t>
      </w:r>
      <w:r w:rsidR="00932BCB">
        <w:t>to</w:t>
      </w:r>
      <w:r w:rsidR="007D4901">
        <w:t xml:space="preserve"> carbon emission reductions. Considering all of these factors</w:t>
      </w:r>
      <w:r w:rsidR="003C2963" w:rsidRPr="009C796C">
        <w:t>, in addition to the impact of existing environmental regulatory drivers, such as Mercury and Air Toxics Standards (“MATS”), ELG, and CCR</w:t>
      </w:r>
      <w:r w:rsidR="00FA4EEA">
        <w:t xml:space="preserve"> rules</w:t>
      </w:r>
      <w:r w:rsidR="003C2963" w:rsidRPr="009C796C">
        <w:t xml:space="preserve">, the Company’s long-term planning process must </w:t>
      </w:r>
      <w:r w:rsidR="00F0366B">
        <w:t xml:space="preserve">continue to </w:t>
      </w:r>
      <w:r w:rsidR="003C2963" w:rsidRPr="009C796C">
        <w:t xml:space="preserve">consider future carbon constraints and other potential requirements in order to make the best decisions on behalf of customers.  </w:t>
      </w:r>
    </w:p>
    <w:p w14:paraId="47A26B06" w14:textId="373FABBC" w:rsidR="009C796C" w:rsidRPr="009D5FBC" w:rsidRDefault="009D5FBC" w:rsidP="00CE151D">
      <w:pPr>
        <w:pStyle w:val="Heading2"/>
      </w:pPr>
      <w:bookmarkStart w:id="8" w:name="_Toc94197861"/>
      <w:r>
        <w:t xml:space="preserve">1.4 </w:t>
      </w:r>
      <w:r w:rsidR="009C796C" w:rsidRPr="009D5FBC">
        <w:t>Conclusion</w:t>
      </w:r>
      <w:bookmarkEnd w:id="8"/>
    </w:p>
    <w:p w14:paraId="3CF0A9BC" w14:textId="4C2F40C6" w:rsidR="009C796C" w:rsidRPr="009C796C" w:rsidRDefault="009C796C" w:rsidP="009C796C">
      <w:r w:rsidRPr="009C796C">
        <w:t>Georgia Power’s environmental compliance strategy seeks to achieve the goals of cost effective short and long-term decision-making, maintaining flexibility to adjust to new regulations and other new information, and ultimately implementing solutions in the best interest of customers. The Company has carefully considered the risks of future environmental requirements and other key factors in making compliance plans. The 2022 ECS includes</w:t>
      </w:r>
      <w:r w:rsidR="0004706E">
        <w:t>, among others,</w:t>
      </w:r>
      <w:r w:rsidRPr="009C796C">
        <w:t xml:space="preserve"> plans to ensure compliance with the ELG and CCR rules, while allowing for the </w:t>
      </w:r>
      <w:r w:rsidR="0030710E">
        <w:t>planned</w:t>
      </w:r>
      <w:r w:rsidR="0030710E" w:rsidRPr="009C796C">
        <w:t xml:space="preserve"> </w:t>
      </w:r>
      <w:r w:rsidRPr="009C796C">
        <w:t xml:space="preserve">transition of the coal fleet, for the benefit of customers and reliability of our system. </w:t>
      </w:r>
    </w:p>
    <w:p w14:paraId="77AC61FE" w14:textId="77777777" w:rsidR="009C796C" w:rsidRPr="009C796C" w:rsidRDefault="009C796C" w:rsidP="009C796C">
      <w:r w:rsidRPr="009C796C">
        <w:t>Details of the Georgia Power environmental compliance strategy process, additional information on the highlights discussed above, and all information responding PSC Rule 515-3-4-.04(1)(c) are included in the ECS filed herein. The ECS sections include:</w:t>
      </w:r>
    </w:p>
    <w:p w14:paraId="27DC0BB2" w14:textId="77777777" w:rsidR="009C796C" w:rsidRPr="009C796C" w:rsidRDefault="009C796C" w:rsidP="009C796C">
      <w:pPr>
        <w:numPr>
          <w:ilvl w:val="0"/>
          <w:numId w:val="20"/>
        </w:numPr>
      </w:pPr>
      <w:r w:rsidRPr="009C796C">
        <w:t>Environmental Strategy Process</w:t>
      </w:r>
    </w:p>
    <w:p w14:paraId="3FB9728C" w14:textId="77777777" w:rsidR="009C796C" w:rsidRPr="009C796C" w:rsidRDefault="009C796C" w:rsidP="009C796C">
      <w:pPr>
        <w:numPr>
          <w:ilvl w:val="0"/>
          <w:numId w:val="20"/>
        </w:numPr>
      </w:pPr>
      <w:r w:rsidRPr="009C796C">
        <w:t>Federal and State Regulatory, Legislation and Judicial Review</w:t>
      </w:r>
    </w:p>
    <w:p w14:paraId="37426420" w14:textId="40869D37" w:rsidR="009D5FBC" w:rsidRDefault="009C796C" w:rsidP="00F53715">
      <w:pPr>
        <w:numPr>
          <w:ilvl w:val="0"/>
          <w:numId w:val="20"/>
        </w:numPr>
      </w:pPr>
      <w:r w:rsidRPr="009C796C">
        <w:t>Strategy Results and Financial Summary</w:t>
      </w:r>
      <w:r w:rsidR="009D5FBC">
        <w:br w:type="page"/>
      </w:r>
    </w:p>
    <w:p w14:paraId="17D075A8" w14:textId="72845B42" w:rsidR="00591C3E" w:rsidRDefault="00424DC8" w:rsidP="00F9508B">
      <w:pPr>
        <w:pStyle w:val="Heading1"/>
      </w:pPr>
      <w:bookmarkStart w:id="9" w:name="_Toc94197862"/>
      <w:r>
        <w:t xml:space="preserve">2.0 </w:t>
      </w:r>
      <w:r w:rsidR="00B86993" w:rsidRPr="67F86674">
        <w:t>Environmental Strategy</w:t>
      </w:r>
      <w:bookmarkStart w:id="10" w:name="_Hlk531356720"/>
      <w:bookmarkEnd w:id="9"/>
    </w:p>
    <w:p w14:paraId="21B29A1C" w14:textId="2F498CBF" w:rsidR="00B86993" w:rsidRDefault="00591C3E" w:rsidP="00B86993">
      <w:pPr>
        <w:rPr>
          <w:rFonts w:cs="Arial"/>
        </w:rPr>
      </w:pPr>
      <w:r w:rsidRPr="36A37EEC">
        <w:rPr>
          <w:rFonts w:cs="Arial"/>
        </w:rPr>
        <w:t xml:space="preserve">Based on the extensive regulatory and legislative </w:t>
      </w:r>
      <w:r w:rsidR="00F428F8" w:rsidRPr="36A37EEC">
        <w:rPr>
          <w:rFonts w:cs="Arial"/>
        </w:rPr>
        <w:t>activities</w:t>
      </w:r>
      <w:r w:rsidR="00867BA9" w:rsidRPr="36A37EEC">
        <w:rPr>
          <w:rFonts w:cs="Arial"/>
        </w:rPr>
        <w:t xml:space="preserve"> and </w:t>
      </w:r>
      <w:r w:rsidR="00F428F8" w:rsidRPr="36A37EEC">
        <w:rPr>
          <w:rFonts w:cs="Arial"/>
        </w:rPr>
        <w:t xml:space="preserve">events </w:t>
      </w:r>
      <w:r w:rsidRPr="36A37EEC">
        <w:rPr>
          <w:rFonts w:cs="Arial"/>
        </w:rPr>
        <w:t>described</w:t>
      </w:r>
      <w:r w:rsidR="006F0938" w:rsidRPr="36A37EEC">
        <w:rPr>
          <w:rFonts w:cs="Arial"/>
        </w:rPr>
        <w:t xml:space="preserve"> in Section</w:t>
      </w:r>
      <w:r w:rsidR="00860D73" w:rsidRPr="36A37EEC">
        <w:rPr>
          <w:rFonts w:cs="Arial"/>
        </w:rPr>
        <w:t xml:space="preserve"> 3.0</w:t>
      </w:r>
      <w:r w:rsidR="004B367D" w:rsidRPr="36A37EEC">
        <w:rPr>
          <w:rFonts w:cs="Arial"/>
        </w:rPr>
        <w:t xml:space="preserve"> below</w:t>
      </w:r>
      <w:r w:rsidRPr="36A37EEC">
        <w:rPr>
          <w:rFonts w:cs="Arial"/>
        </w:rPr>
        <w:t xml:space="preserve">, Georgia Power has developed a comprehensive </w:t>
      </w:r>
      <w:r w:rsidR="00E63CDB" w:rsidRPr="36A37EEC">
        <w:rPr>
          <w:rFonts w:cs="Arial"/>
        </w:rPr>
        <w:t xml:space="preserve">environmental </w:t>
      </w:r>
      <w:r w:rsidRPr="36A37EEC">
        <w:rPr>
          <w:rFonts w:cs="Arial"/>
        </w:rPr>
        <w:t>compliance strategy designed to provide cost-effective plans to comply with applicable environmental requirements. Georgia Power’s environmental</w:t>
      </w:r>
      <w:r w:rsidR="003770F2" w:rsidRPr="36A37EEC">
        <w:rPr>
          <w:rFonts w:cs="Arial"/>
        </w:rPr>
        <w:t xml:space="preserve"> compliance</w:t>
      </w:r>
      <w:r w:rsidRPr="36A37EEC">
        <w:rPr>
          <w:rFonts w:cs="Arial"/>
        </w:rPr>
        <w:t xml:space="preserve"> strategy process has evolved and been refined over the years </w:t>
      </w:r>
      <w:r w:rsidR="002D6D72" w:rsidRPr="36A37EEC">
        <w:rPr>
          <w:rFonts w:cs="Arial"/>
        </w:rPr>
        <w:t>to</w:t>
      </w:r>
      <w:r w:rsidRPr="36A37EEC">
        <w:rPr>
          <w:rFonts w:cs="Arial"/>
        </w:rPr>
        <w:t xml:space="preserve"> adapt to changing regulations</w:t>
      </w:r>
      <w:r w:rsidR="00295FBC" w:rsidRPr="36A37EEC">
        <w:rPr>
          <w:rFonts w:cs="Arial"/>
        </w:rPr>
        <w:t xml:space="preserve"> and</w:t>
      </w:r>
      <w:r w:rsidR="00907FAF" w:rsidRPr="36A37EEC">
        <w:rPr>
          <w:rFonts w:cs="Arial"/>
        </w:rPr>
        <w:t xml:space="preserve"> </w:t>
      </w:r>
      <w:r w:rsidR="003D4B90" w:rsidRPr="36A37EEC">
        <w:rPr>
          <w:rFonts w:cs="Arial"/>
        </w:rPr>
        <w:t>assure compliance</w:t>
      </w:r>
      <w:r w:rsidR="00295FBC" w:rsidRPr="36A37EEC">
        <w:rPr>
          <w:rFonts w:cs="Arial"/>
        </w:rPr>
        <w:t xml:space="preserve"> while </w:t>
      </w:r>
      <w:r w:rsidR="00266EF1" w:rsidRPr="36A37EEC">
        <w:rPr>
          <w:rFonts w:cs="Arial"/>
        </w:rPr>
        <w:t xml:space="preserve">providing </w:t>
      </w:r>
      <w:r w:rsidR="00EE1D34" w:rsidRPr="36A37EEC">
        <w:rPr>
          <w:rFonts w:cs="Arial"/>
        </w:rPr>
        <w:t xml:space="preserve">clean, safe, reliable and affordable </w:t>
      </w:r>
      <w:r w:rsidR="006C4E9B" w:rsidRPr="36A37EEC">
        <w:rPr>
          <w:rFonts w:cs="Arial"/>
        </w:rPr>
        <w:t>electricity to our customers.</w:t>
      </w:r>
      <w:r w:rsidR="00FB690B" w:rsidRPr="36A37EEC">
        <w:rPr>
          <w:rFonts w:cs="Arial"/>
        </w:rPr>
        <w:t xml:space="preserve"> </w:t>
      </w:r>
      <w:bookmarkEnd w:id="10"/>
      <w:r w:rsidR="00254B37" w:rsidRPr="36A37EEC">
        <w:rPr>
          <w:rFonts w:cs="Arial"/>
        </w:rPr>
        <w:t xml:space="preserve">This environmental planning or strategy process is illustrated in the figure below (Fig. </w:t>
      </w:r>
      <w:r w:rsidR="00AD53BE" w:rsidRPr="36A37EEC">
        <w:rPr>
          <w:rFonts w:cs="Arial"/>
        </w:rPr>
        <w:t>2</w:t>
      </w:r>
      <w:r w:rsidR="00254B37" w:rsidRPr="36A37EEC">
        <w:rPr>
          <w:rFonts w:cs="Arial"/>
        </w:rPr>
        <w:t>-1)</w:t>
      </w:r>
      <w:r w:rsidR="00B717E4" w:rsidRPr="36A37EEC">
        <w:rPr>
          <w:rFonts w:cs="Arial"/>
        </w:rPr>
        <w:t xml:space="preserve"> and is</w:t>
      </w:r>
      <w:r w:rsidR="00254B37" w:rsidRPr="36A37EEC">
        <w:rPr>
          <w:rFonts w:cs="Arial"/>
        </w:rPr>
        <w:t xml:space="preserve"> essential for decision making and communication.</w:t>
      </w:r>
    </w:p>
    <w:p w14:paraId="1DC2E53B" w14:textId="1DCFA730" w:rsidR="007204BE" w:rsidRDefault="007204BE" w:rsidP="00B86993">
      <w:pPr>
        <w:rPr>
          <w:rFonts w:cs="Arial"/>
          <w:szCs w:val="24"/>
        </w:rPr>
      </w:pPr>
    </w:p>
    <w:p w14:paraId="39E0F77C" w14:textId="77777777" w:rsidR="00C96751" w:rsidRDefault="000D1CE1" w:rsidP="0013537E">
      <w:pPr>
        <w:pStyle w:val="Caption"/>
        <w:rPr>
          <w:rFonts w:ascii="Arial" w:hAnsi="Arial" w:cs="Arial"/>
          <w:sz w:val="24"/>
        </w:rPr>
      </w:pPr>
      <w:r>
        <w:rPr>
          <w:noProof/>
        </w:rPr>
        <w:drawing>
          <wp:inline distT="0" distB="0" distL="0" distR="0" wp14:anchorId="67F48D48" wp14:editId="06831775">
            <wp:extent cx="5906262" cy="3200400"/>
            <wp:effectExtent l="0" t="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53770687" w14:textId="5A2AE005" w:rsidR="0013537E" w:rsidRPr="00A40796" w:rsidRDefault="0013537E" w:rsidP="006D5CFA">
      <w:pPr>
        <w:pStyle w:val="Caption"/>
        <w:spacing w:before="240"/>
        <w:rPr>
          <w:rFonts w:ascii="Arial" w:hAnsi="Arial" w:cs="Arial"/>
          <w:noProof/>
          <w:sz w:val="32"/>
          <w:szCs w:val="24"/>
        </w:rPr>
      </w:pPr>
      <w:r w:rsidRPr="00A40796">
        <w:rPr>
          <w:rFonts w:ascii="Arial" w:hAnsi="Arial" w:cs="Arial"/>
          <w:sz w:val="24"/>
        </w:rPr>
        <w:t xml:space="preserve">Figure </w:t>
      </w:r>
      <w:r w:rsidR="00AD53BE">
        <w:rPr>
          <w:rFonts w:ascii="Arial" w:hAnsi="Arial" w:cs="Arial"/>
          <w:sz w:val="24"/>
        </w:rPr>
        <w:t>2</w:t>
      </w:r>
      <w:r w:rsidRPr="00A40796">
        <w:rPr>
          <w:rFonts w:ascii="Arial" w:hAnsi="Arial" w:cs="Arial"/>
          <w:sz w:val="24"/>
        </w:rPr>
        <w:t xml:space="preserve">-1 Annual Environmental </w:t>
      </w:r>
      <w:r w:rsidR="000945F4">
        <w:rPr>
          <w:rFonts w:ascii="Arial" w:hAnsi="Arial" w:cs="Arial"/>
          <w:sz w:val="24"/>
        </w:rPr>
        <w:t xml:space="preserve">Compliance </w:t>
      </w:r>
      <w:r w:rsidRPr="00A40796">
        <w:rPr>
          <w:rFonts w:ascii="Arial" w:hAnsi="Arial" w:cs="Arial"/>
          <w:sz w:val="24"/>
        </w:rPr>
        <w:t xml:space="preserve">Strategy Development Process for Existing Generation </w:t>
      </w:r>
    </w:p>
    <w:p w14:paraId="6BEEEB06" w14:textId="77777777" w:rsidR="0013537E" w:rsidRPr="0084296F" w:rsidRDefault="0013537E" w:rsidP="00B86993">
      <w:pPr>
        <w:rPr>
          <w:szCs w:val="24"/>
        </w:rPr>
      </w:pPr>
    </w:p>
    <w:p w14:paraId="323581B1" w14:textId="1F99160D" w:rsidR="007937CB" w:rsidRPr="00424DC8" w:rsidRDefault="00447DFE" w:rsidP="00CE151D">
      <w:pPr>
        <w:pStyle w:val="Heading2"/>
      </w:pPr>
      <w:bookmarkStart w:id="11" w:name="_Toc94197863"/>
      <w:r w:rsidRPr="00424DC8">
        <w:t>2.</w:t>
      </w:r>
      <w:r w:rsidR="007937CB" w:rsidRPr="00424DC8" w:rsidDel="00447DFE">
        <w:t>1</w:t>
      </w:r>
      <w:r w:rsidR="007937CB" w:rsidRPr="00424DC8">
        <w:t xml:space="preserve"> Strategy Process</w:t>
      </w:r>
      <w:bookmarkEnd w:id="11"/>
    </w:p>
    <w:p w14:paraId="740F4771" w14:textId="64521A62" w:rsidR="00E8216D" w:rsidRPr="00DB7156" w:rsidRDefault="00E8216D" w:rsidP="00E8216D">
      <w:pPr>
        <w:spacing w:after="0"/>
        <w:rPr>
          <w:rFonts w:cs="Arial"/>
          <w:szCs w:val="24"/>
        </w:rPr>
      </w:pPr>
      <w:r w:rsidRPr="00DB7156">
        <w:rPr>
          <w:rFonts w:cs="Arial"/>
          <w:szCs w:val="24"/>
        </w:rPr>
        <w:t xml:space="preserve">The process for developing the environmental compliance </w:t>
      </w:r>
      <w:r>
        <w:rPr>
          <w:rFonts w:cs="Arial"/>
          <w:szCs w:val="24"/>
        </w:rPr>
        <w:t>strategy</w:t>
      </w:r>
      <w:r w:rsidRPr="00DB7156">
        <w:rPr>
          <w:rFonts w:cs="Arial"/>
          <w:szCs w:val="24"/>
        </w:rPr>
        <w:t xml:space="preserve"> includes the comprehensive involvement of a number of organizations within the </w:t>
      </w:r>
      <w:r>
        <w:rPr>
          <w:rFonts w:cs="Arial"/>
          <w:szCs w:val="24"/>
        </w:rPr>
        <w:t>C</w:t>
      </w:r>
      <w:r w:rsidRPr="00DB7156">
        <w:rPr>
          <w:rFonts w:cs="Arial"/>
          <w:szCs w:val="24"/>
        </w:rPr>
        <w:t>ompany</w:t>
      </w:r>
      <w:r w:rsidR="00B62BFE">
        <w:rPr>
          <w:rFonts w:cs="Arial"/>
          <w:szCs w:val="24"/>
        </w:rPr>
        <w:t xml:space="preserve">. </w:t>
      </w:r>
      <w:r w:rsidRPr="00DB7156">
        <w:rPr>
          <w:rFonts w:cs="Arial"/>
          <w:szCs w:val="24"/>
        </w:rPr>
        <w:t>This integrated process includes four steps as discussed below.</w:t>
      </w:r>
    </w:p>
    <w:p w14:paraId="0934AB32" w14:textId="77777777" w:rsidR="00E8216D" w:rsidRPr="00DB7156" w:rsidRDefault="00E8216D" w:rsidP="00E8216D">
      <w:pPr>
        <w:spacing w:after="0"/>
        <w:rPr>
          <w:rFonts w:cs="Arial"/>
          <w:szCs w:val="24"/>
        </w:rPr>
      </w:pPr>
    </w:p>
    <w:p w14:paraId="44985B6E" w14:textId="52978755" w:rsidR="00E8216D" w:rsidRDefault="00A425C2" w:rsidP="005D2968">
      <w:pPr>
        <w:numPr>
          <w:ilvl w:val="0"/>
          <w:numId w:val="4"/>
        </w:numPr>
        <w:tabs>
          <w:tab w:val="num" w:pos="540"/>
        </w:tabs>
        <w:spacing w:after="0"/>
        <w:ind w:left="540" w:hanging="540"/>
        <w:rPr>
          <w:rFonts w:cs="Arial"/>
        </w:rPr>
      </w:pPr>
      <w:r w:rsidRPr="7B651508">
        <w:rPr>
          <w:rFonts w:cs="Arial"/>
          <w:b/>
        </w:rPr>
        <w:t>Anticipating</w:t>
      </w:r>
      <w:r w:rsidR="00E8216D" w:rsidRPr="7B651508">
        <w:rPr>
          <w:rFonts w:cs="Arial"/>
          <w:b/>
        </w:rPr>
        <w:t xml:space="preserve"> and integrating the outcome of new environmental requirements</w:t>
      </w:r>
      <w:r w:rsidR="00E8216D" w:rsidRPr="7B651508">
        <w:rPr>
          <w:rFonts w:cs="Arial"/>
        </w:rPr>
        <w:t xml:space="preserve">.  The first step involves gathering all available knowledge about current and </w:t>
      </w:r>
      <w:r w:rsidR="452B4227" w:rsidRPr="7B651508">
        <w:rPr>
          <w:rFonts w:cs="Arial"/>
        </w:rPr>
        <w:t>potential</w:t>
      </w:r>
      <w:r w:rsidR="00E8216D" w:rsidRPr="7B651508">
        <w:rPr>
          <w:rFonts w:cs="Arial"/>
        </w:rPr>
        <w:t xml:space="preserve"> future local, state, regional, and federal environmental requirements. The future requirements may be in the form of legislation that will need future rulemakings</w:t>
      </w:r>
      <w:r w:rsidR="001242D1" w:rsidRPr="7B651508">
        <w:rPr>
          <w:rFonts w:cs="Arial"/>
        </w:rPr>
        <w:t xml:space="preserve">, </w:t>
      </w:r>
      <w:r w:rsidR="00E8216D" w:rsidRPr="7B651508">
        <w:rPr>
          <w:rFonts w:cs="Arial"/>
        </w:rPr>
        <w:t xml:space="preserve">in the form of draft or proposed new rules that must go through the </w:t>
      </w:r>
      <w:r w:rsidR="001242D1" w:rsidRPr="7B651508">
        <w:rPr>
          <w:rFonts w:cs="Arial"/>
        </w:rPr>
        <w:t xml:space="preserve">formal </w:t>
      </w:r>
      <w:r w:rsidR="00E8216D" w:rsidRPr="7B651508">
        <w:rPr>
          <w:rFonts w:cs="Arial"/>
        </w:rPr>
        <w:t>rulemaking process</w:t>
      </w:r>
      <w:r w:rsidR="00991526" w:rsidRPr="7B651508">
        <w:rPr>
          <w:rFonts w:cs="Arial"/>
        </w:rPr>
        <w:t>, or through a reconciliation process</w:t>
      </w:r>
      <w:r w:rsidR="00E8216D" w:rsidRPr="7B651508">
        <w:rPr>
          <w:rFonts w:cs="Arial"/>
        </w:rPr>
        <w:t xml:space="preserve"> to become final. Some rules may be part of an allowance-based cap and trade program over a regional or national scale and others may be local or state requirements that mandate specific requirements on specific plants</w:t>
      </w:r>
      <w:r w:rsidR="006167C1" w:rsidRPr="7B651508">
        <w:rPr>
          <w:rFonts w:cs="Arial"/>
        </w:rPr>
        <w:t xml:space="preserve"> or assets</w:t>
      </w:r>
      <w:r w:rsidR="00E8216D" w:rsidRPr="7B651508">
        <w:rPr>
          <w:rFonts w:cs="Arial"/>
        </w:rPr>
        <w:t>. For many rules, the possibility that litigation will result in changes to the rule creates additional uncertainty.</w:t>
      </w:r>
    </w:p>
    <w:p w14:paraId="23F862A1" w14:textId="77777777" w:rsidR="00DF11FF" w:rsidRDefault="00DF11FF" w:rsidP="00DF11FF">
      <w:pPr>
        <w:spacing w:after="0"/>
        <w:ind w:left="540"/>
        <w:rPr>
          <w:rFonts w:cs="Arial"/>
          <w:szCs w:val="24"/>
        </w:rPr>
      </w:pPr>
    </w:p>
    <w:p w14:paraId="2E400C01" w14:textId="08E4D1E3" w:rsidR="00E8216D" w:rsidRPr="00DF11FF" w:rsidRDefault="00E8216D" w:rsidP="005D2968">
      <w:pPr>
        <w:numPr>
          <w:ilvl w:val="0"/>
          <w:numId w:val="4"/>
        </w:numPr>
        <w:tabs>
          <w:tab w:val="num" w:pos="540"/>
        </w:tabs>
        <w:spacing w:after="0"/>
        <w:ind w:left="540" w:hanging="540"/>
        <w:rPr>
          <w:rFonts w:cs="Arial"/>
        </w:rPr>
      </w:pPr>
      <w:r w:rsidRPr="14517B98">
        <w:rPr>
          <w:rFonts w:cs="Arial"/>
          <w:b/>
        </w:rPr>
        <w:t xml:space="preserve">Developing assumptions on </w:t>
      </w:r>
      <w:r w:rsidR="00044F01" w:rsidRPr="0CDD8AA5">
        <w:rPr>
          <w:rFonts w:cs="Arial"/>
          <w:b/>
          <w:bCs/>
        </w:rPr>
        <w:t>federal</w:t>
      </w:r>
      <w:r w:rsidRPr="14517B98">
        <w:rPr>
          <w:rFonts w:cs="Arial"/>
          <w:b/>
        </w:rPr>
        <w:t xml:space="preserve"> and </w:t>
      </w:r>
      <w:r w:rsidR="00044F01" w:rsidRPr="0CDD8AA5">
        <w:rPr>
          <w:rFonts w:cs="Arial"/>
          <w:b/>
          <w:bCs/>
        </w:rPr>
        <w:t>state</w:t>
      </w:r>
      <w:r w:rsidRPr="14517B98">
        <w:rPr>
          <w:rFonts w:cs="Arial"/>
          <w:b/>
        </w:rPr>
        <w:t xml:space="preserve"> levels.</w:t>
      </w:r>
      <w:r w:rsidRPr="14517B98">
        <w:rPr>
          <w:rFonts w:cs="Arial"/>
        </w:rPr>
        <w:t xml:space="preserve"> In order to </w:t>
      </w:r>
      <w:r w:rsidR="00FD10D5" w:rsidRPr="14517B98">
        <w:rPr>
          <w:rFonts w:cs="Arial"/>
        </w:rPr>
        <w:t>anticipate</w:t>
      </w:r>
      <w:r w:rsidRPr="14517B98">
        <w:rPr>
          <w:rFonts w:cs="Arial"/>
        </w:rPr>
        <w:t xml:space="preserve"> the impacts of the requirements on the generating plants</w:t>
      </w:r>
      <w:r w:rsidR="001117D5" w:rsidRPr="0CDD8AA5">
        <w:rPr>
          <w:rFonts w:cs="Arial"/>
        </w:rPr>
        <w:t xml:space="preserve"> based </w:t>
      </w:r>
      <w:r w:rsidR="22A96EFA" w:rsidRPr="0CDD8AA5">
        <w:rPr>
          <w:rFonts w:cs="Arial"/>
        </w:rPr>
        <w:t>on</w:t>
      </w:r>
      <w:r w:rsidR="001117D5" w:rsidRPr="0CDD8AA5">
        <w:rPr>
          <w:rFonts w:cs="Arial"/>
        </w:rPr>
        <w:t xml:space="preserve"> federal and state </w:t>
      </w:r>
      <w:r w:rsidR="006D56C1" w:rsidRPr="0CDD8AA5">
        <w:rPr>
          <w:rFonts w:cs="Arial"/>
        </w:rPr>
        <w:t>requirements</w:t>
      </w:r>
      <w:r w:rsidRPr="14517B98">
        <w:rPr>
          <w:rFonts w:cs="Arial"/>
        </w:rPr>
        <w:t xml:space="preserve">, the Company </w:t>
      </w:r>
      <w:r w:rsidR="73C3FFA0" w:rsidRPr="14517B98">
        <w:rPr>
          <w:rFonts w:cs="Arial"/>
        </w:rPr>
        <w:t>engages in a robust integrated resource planning process.  This process evaluates the economic and reliability impacts of numerous generating resource decisions across a range of sc</w:t>
      </w:r>
      <w:r w:rsidR="70429B35" w:rsidRPr="14517B98">
        <w:rPr>
          <w:rFonts w:cs="Arial"/>
        </w:rPr>
        <w:t>enarios.</w:t>
      </w:r>
      <w:r w:rsidR="32F760C2" w:rsidRPr="14517B98">
        <w:rPr>
          <w:rFonts w:cs="Arial"/>
        </w:rPr>
        <w:t xml:space="preserve">  The scenarios include a range of assumptions that appropriately consider future regulatory and market uncertainty</w:t>
      </w:r>
      <w:r w:rsidR="00092F08" w:rsidRPr="14517B98">
        <w:rPr>
          <w:rFonts w:cs="Arial"/>
        </w:rPr>
        <w:t xml:space="preserve"> and risk</w:t>
      </w:r>
      <w:r w:rsidR="32F760C2" w:rsidRPr="14517B98">
        <w:rPr>
          <w:rFonts w:cs="Arial"/>
        </w:rPr>
        <w:t>.  The Company makes a</w:t>
      </w:r>
      <w:r w:rsidR="32F760C2" w:rsidRPr="14517B98" w:rsidDel="00547416">
        <w:rPr>
          <w:rFonts w:cs="Arial"/>
        </w:rPr>
        <w:t xml:space="preserve"> </w:t>
      </w:r>
      <w:r w:rsidR="00547416" w:rsidRPr="14517B98">
        <w:rPr>
          <w:rFonts w:cs="Arial"/>
        </w:rPr>
        <w:t>trienn</w:t>
      </w:r>
      <w:r w:rsidR="00A27DDB" w:rsidRPr="14517B98">
        <w:rPr>
          <w:rFonts w:cs="Arial"/>
        </w:rPr>
        <w:t>ial</w:t>
      </w:r>
      <w:r w:rsidR="00547416" w:rsidRPr="14517B98">
        <w:rPr>
          <w:rFonts w:cs="Arial"/>
        </w:rPr>
        <w:t xml:space="preserve"> </w:t>
      </w:r>
      <w:r w:rsidR="32F760C2" w:rsidRPr="14517B98">
        <w:rPr>
          <w:rFonts w:cs="Arial"/>
        </w:rPr>
        <w:t xml:space="preserve">filing with the </w:t>
      </w:r>
      <w:r w:rsidR="00270895" w:rsidRPr="14517B98">
        <w:rPr>
          <w:rFonts w:cs="Arial"/>
        </w:rPr>
        <w:t>G</w:t>
      </w:r>
      <w:r w:rsidR="00270895">
        <w:rPr>
          <w:rFonts w:cs="Arial"/>
        </w:rPr>
        <w:t xml:space="preserve">eorgia </w:t>
      </w:r>
      <w:r w:rsidR="2589DDB3" w:rsidRPr="14517B98">
        <w:rPr>
          <w:rFonts w:cs="Arial"/>
        </w:rPr>
        <w:t>PSC see</w:t>
      </w:r>
      <w:r w:rsidR="00F30860" w:rsidRPr="14517B98">
        <w:rPr>
          <w:rFonts w:cs="Arial"/>
        </w:rPr>
        <w:t>k</w:t>
      </w:r>
      <w:r w:rsidR="2589DDB3" w:rsidRPr="14517B98">
        <w:rPr>
          <w:rFonts w:cs="Arial"/>
        </w:rPr>
        <w:t xml:space="preserve">ing approval of the IRP, which includes </w:t>
      </w:r>
      <w:r w:rsidR="007D5209" w:rsidRPr="14517B98">
        <w:rPr>
          <w:rFonts w:cs="Arial"/>
        </w:rPr>
        <w:t>economic evaluations</w:t>
      </w:r>
      <w:r w:rsidR="00445EE1" w:rsidRPr="14517B98">
        <w:rPr>
          <w:rFonts w:cs="Arial"/>
        </w:rPr>
        <w:t xml:space="preserve"> of generating plants</w:t>
      </w:r>
      <w:r w:rsidR="007D5209" w:rsidRPr="14517B98">
        <w:rPr>
          <w:rFonts w:cs="Arial"/>
        </w:rPr>
        <w:t xml:space="preserve"> </w:t>
      </w:r>
      <w:r w:rsidR="00912098" w:rsidRPr="14517B98">
        <w:rPr>
          <w:rFonts w:cs="Arial"/>
        </w:rPr>
        <w:t>that consider load growth, compliance costs,</w:t>
      </w:r>
      <w:r w:rsidR="005B0307" w:rsidRPr="14517B98">
        <w:rPr>
          <w:rFonts w:cs="Arial"/>
        </w:rPr>
        <w:t xml:space="preserve"> and </w:t>
      </w:r>
      <w:r w:rsidR="000F00CA" w:rsidRPr="14517B98">
        <w:rPr>
          <w:rFonts w:cs="Arial"/>
        </w:rPr>
        <w:t>other economic pressures (</w:t>
      </w:r>
      <w:r w:rsidR="262B4B5D" w:rsidRPr="0FB55A7E">
        <w:rPr>
          <w:rFonts w:cs="Arial"/>
        </w:rPr>
        <w:t>fuel</w:t>
      </w:r>
      <w:r w:rsidR="005B0307" w:rsidRPr="14517B98">
        <w:rPr>
          <w:rFonts w:cs="Arial"/>
        </w:rPr>
        <w:t xml:space="preserve"> prices</w:t>
      </w:r>
      <w:r w:rsidR="000F00CA" w:rsidRPr="14517B98">
        <w:rPr>
          <w:rFonts w:cs="Arial"/>
        </w:rPr>
        <w:t>)</w:t>
      </w:r>
      <w:r w:rsidR="0086550C" w:rsidRPr="14517B98">
        <w:rPr>
          <w:rFonts w:cs="Arial"/>
        </w:rPr>
        <w:t>.</w:t>
      </w:r>
    </w:p>
    <w:p w14:paraId="591A24BD" w14:textId="77777777" w:rsidR="00E8216D" w:rsidRPr="000B3259" w:rsidRDefault="00E8216D" w:rsidP="000B3259">
      <w:pPr>
        <w:spacing w:after="0"/>
        <w:ind w:left="540"/>
        <w:rPr>
          <w:rFonts w:cs="Arial"/>
          <w:b/>
          <w:bCs/>
          <w:szCs w:val="24"/>
        </w:rPr>
      </w:pPr>
    </w:p>
    <w:p w14:paraId="5B0055C7" w14:textId="368EC207" w:rsidR="00E8216D" w:rsidRPr="000B3259" w:rsidRDefault="00E8216D" w:rsidP="005D2968">
      <w:pPr>
        <w:numPr>
          <w:ilvl w:val="0"/>
          <w:numId w:val="4"/>
        </w:numPr>
        <w:tabs>
          <w:tab w:val="num" w:pos="540"/>
        </w:tabs>
        <w:spacing w:after="0"/>
        <w:ind w:left="540" w:hanging="540"/>
        <w:rPr>
          <w:rFonts w:cs="Arial"/>
          <w:szCs w:val="24"/>
        </w:rPr>
      </w:pPr>
      <w:r w:rsidRPr="000B3259">
        <w:rPr>
          <w:rFonts w:cs="Arial"/>
          <w:b/>
          <w:bCs/>
          <w:szCs w:val="24"/>
        </w:rPr>
        <w:t xml:space="preserve">Application of generating unit-specific cost-effective control technology options. </w:t>
      </w:r>
      <w:r w:rsidRPr="000B3259">
        <w:rPr>
          <w:rFonts w:cs="Arial"/>
          <w:szCs w:val="24"/>
        </w:rPr>
        <w:t xml:space="preserve">The application of control technology is dictated initially by the environmental requirements for each specific generating plant and/or unit.  In some cases, the plant or unit’s environmental control requirements are mandated, such as a plant-specific limit to meet </w:t>
      </w:r>
      <w:r w:rsidR="00C67955">
        <w:rPr>
          <w:rFonts w:cs="Arial"/>
          <w:szCs w:val="24"/>
        </w:rPr>
        <w:t>the National</w:t>
      </w:r>
      <w:r w:rsidR="003F2C51">
        <w:rPr>
          <w:rFonts w:cs="Arial"/>
          <w:szCs w:val="24"/>
        </w:rPr>
        <w:t xml:space="preserve"> Pollutant Discharge Elimination System</w:t>
      </w:r>
      <w:r w:rsidR="00C67955">
        <w:rPr>
          <w:rFonts w:cs="Arial"/>
          <w:szCs w:val="24"/>
        </w:rPr>
        <w:t xml:space="preserve"> </w:t>
      </w:r>
      <w:r w:rsidR="001960F2">
        <w:rPr>
          <w:rFonts w:cs="Arial"/>
          <w:szCs w:val="24"/>
        </w:rPr>
        <w:t>(</w:t>
      </w:r>
      <w:r w:rsidR="00870AA0">
        <w:rPr>
          <w:rFonts w:cs="Arial"/>
          <w:szCs w:val="24"/>
        </w:rPr>
        <w:t>“</w:t>
      </w:r>
      <w:r w:rsidR="00AF6007">
        <w:rPr>
          <w:rFonts w:cs="Arial"/>
          <w:szCs w:val="24"/>
        </w:rPr>
        <w:t>NPDES</w:t>
      </w:r>
      <w:r w:rsidR="00870AA0">
        <w:rPr>
          <w:rFonts w:cs="Arial"/>
          <w:szCs w:val="24"/>
        </w:rPr>
        <w:t>”</w:t>
      </w:r>
      <w:r w:rsidR="001960F2">
        <w:rPr>
          <w:rFonts w:cs="Arial"/>
          <w:szCs w:val="24"/>
        </w:rPr>
        <w:t>)</w:t>
      </w:r>
      <w:r w:rsidR="00AF6007">
        <w:rPr>
          <w:rFonts w:cs="Arial"/>
          <w:szCs w:val="24"/>
        </w:rPr>
        <w:t xml:space="preserve"> permit</w:t>
      </w:r>
      <w:r w:rsidRPr="000B3259">
        <w:rPr>
          <w:rFonts w:cs="Arial"/>
          <w:szCs w:val="24"/>
        </w:rPr>
        <w:t xml:space="preserve"> requirements. In other cases, such as the </w:t>
      </w:r>
      <w:r w:rsidR="0079076C" w:rsidRPr="000B3259">
        <w:rPr>
          <w:rFonts w:cs="Arial"/>
          <w:szCs w:val="24"/>
        </w:rPr>
        <w:t>cap-and-trade</w:t>
      </w:r>
      <w:r w:rsidRPr="000B3259">
        <w:rPr>
          <w:rFonts w:cs="Arial"/>
          <w:szCs w:val="24"/>
        </w:rPr>
        <w:t xml:space="preserve"> program for SO</w:t>
      </w:r>
      <w:r w:rsidRPr="00370EA9">
        <w:rPr>
          <w:rFonts w:cs="Arial"/>
          <w:szCs w:val="24"/>
          <w:vertAlign w:val="subscript"/>
        </w:rPr>
        <w:t>2</w:t>
      </w:r>
      <w:r w:rsidRPr="000B3259">
        <w:rPr>
          <w:rFonts w:cs="Arial"/>
          <w:szCs w:val="24"/>
        </w:rPr>
        <w:t xml:space="preserve"> established to address acid rain, utilities can choose the most cost-effective option, including fuel switching, applying a control technology, or purchasing emission allowances. The decision process reviews the cost, control effectiveness, regulatory timing requirements</w:t>
      </w:r>
      <w:r w:rsidR="00340AD7" w:rsidRPr="000B3259">
        <w:rPr>
          <w:rFonts w:cs="Arial"/>
          <w:szCs w:val="24"/>
        </w:rPr>
        <w:t>, system reliability impacts,</w:t>
      </w:r>
      <w:r w:rsidRPr="000B3259">
        <w:rPr>
          <w:rFonts w:cs="Arial"/>
          <w:szCs w:val="24"/>
        </w:rPr>
        <w:t xml:space="preserve"> and operational considerations of each of these options for each unit. All of these considerations are taken into account in developing a unit-specific decision on the application of environmental control technologies. Several of the most important environmental control technologies for Georgia Power compliance are described in the technology review discussion that follows.</w:t>
      </w:r>
    </w:p>
    <w:p w14:paraId="36E79B72" w14:textId="77777777" w:rsidR="00E8216D" w:rsidRPr="00DB7156" w:rsidRDefault="00E8216D" w:rsidP="00E8216D">
      <w:pPr>
        <w:spacing w:after="0"/>
        <w:rPr>
          <w:rFonts w:cs="Arial"/>
          <w:szCs w:val="24"/>
        </w:rPr>
      </w:pPr>
    </w:p>
    <w:p w14:paraId="2FEB63FE" w14:textId="30D81918" w:rsidR="00E8216D" w:rsidRDefault="00E8216D" w:rsidP="00E8216D">
      <w:pPr>
        <w:spacing w:after="0"/>
        <w:ind w:left="540"/>
        <w:rPr>
          <w:rFonts w:cs="Arial"/>
          <w:szCs w:val="24"/>
        </w:rPr>
      </w:pPr>
      <w:r w:rsidRPr="12E428E8">
        <w:rPr>
          <w:rFonts w:cs="Arial"/>
        </w:rPr>
        <w:t xml:space="preserve">The availability or options for control technology can vary by pollutant, by process and by plant specifics. For example, </w:t>
      </w:r>
      <w:r w:rsidR="00225A57">
        <w:rPr>
          <w:rFonts w:cs="Arial"/>
          <w:szCs w:val="24"/>
        </w:rPr>
        <w:t>i</w:t>
      </w:r>
      <w:r w:rsidRPr="00DB7156">
        <w:rPr>
          <w:rFonts w:cs="Arial"/>
          <w:szCs w:val="24"/>
        </w:rPr>
        <w:t>n</w:t>
      </w:r>
      <w:bookmarkStart w:id="12" w:name="_Hlk529265734"/>
      <w:r w:rsidRPr="00DB7156">
        <w:rPr>
          <w:rFonts w:cs="Arial"/>
          <w:szCs w:val="24"/>
        </w:rPr>
        <w:t xml:space="preserve"> cases where the Company is responding to compliance with the CCR Rule or compliance with ELG requirements, technology choices include closure of ash ponds and </w:t>
      </w:r>
      <w:r>
        <w:rPr>
          <w:rFonts w:cs="Arial"/>
          <w:szCs w:val="24"/>
        </w:rPr>
        <w:t xml:space="preserve">installation of </w:t>
      </w:r>
      <w:r w:rsidRPr="00DB7156">
        <w:rPr>
          <w:rFonts w:cs="Arial"/>
          <w:szCs w:val="24"/>
        </w:rPr>
        <w:t xml:space="preserve">controls that allow facilities to eliminate the discharge of ash transport water, such as dry ash handling equipment, </w:t>
      </w:r>
      <w:r>
        <w:rPr>
          <w:rFonts w:cs="Arial"/>
          <w:szCs w:val="24"/>
        </w:rPr>
        <w:t xml:space="preserve">including </w:t>
      </w:r>
      <w:r w:rsidRPr="00DB7156">
        <w:rPr>
          <w:rFonts w:cs="Arial"/>
          <w:szCs w:val="24"/>
        </w:rPr>
        <w:t xml:space="preserve">remote drag chain conveyors and ash coolers. Similar options apply to potential treatment of FGD wastewater, where </w:t>
      </w:r>
      <w:r>
        <w:rPr>
          <w:rFonts w:cs="Arial"/>
          <w:szCs w:val="24"/>
        </w:rPr>
        <w:t>FGD</w:t>
      </w:r>
      <w:r w:rsidRPr="00DB7156">
        <w:rPr>
          <w:rFonts w:cs="Arial"/>
          <w:szCs w:val="24"/>
        </w:rPr>
        <w:t xml:space="preserve"> operations, coal type and </w:t>
      </w:r>
      <w:r w:rsidR="0045425C" w:rsidRPr="517C0F68">
        <w:rPr>
          <w:rFonts w:cs="Arial"/>
          <w:szCs w:val="24"/>
        </w:rPr>
        <w:t>process</w:t>
      </w:r>
      <w:r w:rsidRPr="00DB7156">
        <w:rPr>
          <w:rFonts w:cs="Arial"/>
          <w:szCs w:val="24"/>
        </w:rPr>
        <w:t xml:space="preserve"> flows influence wastewater chemistry and the treatment technology that may be most appropriate, such as physical</w:t>
      </w:r>
      <w:r w:rsidR="008A105F">
        <w:rPr>
          <w:rFonts w:cs="Arial"/>
          <w:szCs w:val="24"/>
        </w:rPr>
        <w:t>-</w:t>
      </w:r>
      <w:r w:rsidRPr="00DB7156">
        <w:rPr>
          <w:rFonts w:cs="Arial"/>
          <w:szCs w:val="24"/>
        </w:rPr>
        <w:t>chemical</w:t>
      </w:r>
      <w:r w:rsidR="008A105F">
        <w:rPr>
          <w:rFonts w:cs="Arial"/>
          <w:szCs w:val="24"/>
        </w:rPr>
        <w:t>-</w:t>
      </w:r>
      <w:r w:rsidRPr="00DB7156">
        <w:rPr>
          <w:rFonts w:cs="Arial"/>
          <w:szCs w:val="24"/>
        </w:rPr>
        <w:t>biological treatment</w:t>
      </w:r>
      <w:r w:rsidR="00BA0A09">
        <w:rPr>
          <w:rFonts w:cs="Arial"/>
          <w:szCs w:val="24"/>
        </w:rPr>
        <w:t xml:space="preserve"> or </w:t>
      </w:r>
      <w:r w:rsidR="00DC3F3B">
        <w:rPr>
          <w:rFonts w:cs="Arial"/>
          <w:szCs w:val="24"/>
        </w:rPr>
        <w:t>membrane</w:t>
      </w:r>
      <w:r w:rsidR="00C0795D">
        <w:rPr>
          <w:rFonts w:cs="Arial"/>
          <w:szCs w:val="24"/>
        </w:rPr>
        <w:t>-based</w:t>
      </w:r>
      <w:r w:rsidR="00DC3F3B">
        <w:rPr>
          <w:rFonts w:cs="Arial"/>
          <w:szCs w:val="24"/>
        </w:rPr>
        <w:t xml:space="preserve"> </w:t>
      </w:r>
      <w:r w:rsidR="00BA0A09">
        <w:rPr>
          <w:rFonts w:cs="Arial"/>
          <w:szCs w:val="24"/>
        </w:rPr>
        <w:t>technology</w:t>
      </w:r>
      <w:r w:rsidRPr="00DB7156">
        <w:rPr>
          <w:rFonts w:cs="Arial"/>
          <w:szCs w:val="24"/>
        </w:rPr>
        <w:t xml:space="preserve">.  </w:t>
      </w:r>
    </w:p>
    <w:p w14:paraId="59D6E483" w14:textId="5E84B45A" w:rsidR="0059071D" w:rsidRDefault="0059071D" w:rsidP="1ACC5B7C">
      <w:pPr>
        <w:spacing w:after="0"/>
        <w:ind w:left="540"/>
        <w:rPr>
          <w:rFonts w:cs="Arial"/>
          <w:b/>
          <w:bCs/>
        </w:rPr>
      </w:pPr>
    </w:p>
    <w:p w14:paraId="798C1B5A" w14:textId="08DFD6A0" w:rsidR="000A1798" w:rsidRDefault="000A1798" w:rsidP="1ACC5B7C">
      <w:pPr>
        <w:spacing w:after="0"/>
        <w:ind w:left="540"/>
        <w:rPr>
          <w:rFonts w:cs="Arial"/>
        </w:rPr>
      </w:pPr>
      <w:r w:rsidRPr="1ACC5B7C">
        <w:rPr>
          <w:rFonts w:cs="Arial"/>
        </w:rPr>
        <w:t xml:space="preserve">The following figure (Figure </w:t>
      </w:r>
      <w:r w:rsidR="005855DD" w:rsidRPr="1ACC5B7C">
        <w:rPr>
          <w:rFonts w:cs="Arial"/>
        </w:rPr>
        <w:t>2</w:t>
      </w:r>
      <w:r w:rsidRPr="1ACC5B7C">
        <w:rPr>
          <w:rFonts w:cs="Arial"/>
        </w:rPr>
        <w:t xml:space="preserve">.1-1) illustrates possible control technologies and applications for coal-fired boilers.  </w:t>
      </w:r>
    </w:p>
    <w:p w14:paraId="2173B71D" w14:textId="0ACBEE28" w:rsidR="00076CE5" w:rsidRDefault="00076CE5" w:rsidP="000A1798">
      <w:pPr>
        <w:spacing w:after="0"/>
        <w:ind w:left="540"/>
        <w:rPr>
          <w:rFonts w:cs="Arial"/>
          <w:szCs w:val="24"/>
        </w:rPr>
      </w:pPr>
    </w:p>
    <w:p w14:paraId="43EFB70B" w14:textId="41D35239" w:rsidR="00AA2305" w:rsidRDefault="00AA2305" w:rsidP="00660F6D">
      <w:pPr>
        <w:pStyle w:val="Caption"/>
        <w:tabs>
          <w:tab w:val="left" w:pos="720"/>
        </w:tabs>
        <w:ind w:left="180"/>
        <w:jc w:val="center"/>
        <w:rPr>
          <w:rFonts w:ascii="Arial" w:hAnsi="Arial" w:cs="Arial"/>
          <w:sz w:val="24"/>
        </w:rPr>
      </w:pPr>
      <w:r>
        <w:rPr>
          <w:noProof/>
        </w:rPr>
        <w:drawing>
          <wp:inline distT="0" distB="0" distL="0" distR="0" wp14:anchorId="63062AF3" wp14:editId="79AA0698">
            <wp:extent cx="5943600" cy="3510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3600" cy="3510280"/>
                    </a:xfrm>
                    <a:prstGeom prst="rect">
                      <a:avLst/>
                    </a:prstGeom>
                  </pic:spPr>
                </pic:pic>
              </a:graphicData>
            </a:graphic>
          </wp:inline>
        </w:drawing>
      </w:r>
    </w:p>
    <w:p w14:paraId="22B0B70B" w14:textId="2024EEF4" w:rsidR="00A06DDB" w:rsidRPr="00A40796" w:rsidRDefault="00A06DDB" w:rsidP="00A06DDB">
      <w:pPr>
        <w:pStyle w:val="Caption"/>
        <w:tabs>
          <w:tab w:val="left" w:pos="720"/>
        </w:tabs>
        <w:ind w:left="630"/>
        <w:rPr>
          <w:rFonts w:ascii="Arial" w:hAnsi="Arial" w:cs="Arial"/>
          <w:sz w:val="24"/>
        </w:rPr>
      </w:pPr>
      <w:r w:rsidRPr="00A40796">
        <w:rPr>
          <w:rFonts w:ascii="Arial" w:hAnsi="Arial" w:cs="Arial"/>
          <w:sz w:val="24"/>
        </w:rPr>
        <w:t xml:space="preserve">Figure </w:t>
      </w:r>
      <w:r w:rsidR="005855DD">
        <w:rPr>
          <w:rFonts w:ascii="Arial" w:hAnsi="Arial" w:cs="Arial"/>
          <w:sz w:val="24"/>
        </w:rPr>
        <w:t>2</w:t>
      </w:r>
      <w:r w:rsidRPr="00A40796">
        <w:rPr>
          <w:rFonts w:ascii="Arial" w:hAnsi="Arial" w:cs="Arial"/>
          <w:sz w:val="24"/>
        </w:rPr>
        <w:t>.1-1 Possible Environmental Control Technologies for Coal-Fired Boilers</w:t>
      </w:r>
    </w:p>
    <w:p w14:paraId="2D91DC33" w14:textId="77777777" w:rsidR="00076CE5" w:rsidRPr="00DB7156" w:rsidRDefault="00076CE5" w:rsidP="000A1798">
      <w:pPr>
        <w:spacing w:after="0"/>
        <w:ind w:left="540"/>
        <w:rPr>
          <w:rFonts w:cs="Arial"/>
          <w:szCs w:val="24"/>
        </w:rPr>
      </w:pPr>
    </w:p>
    <w:p w14:paraId="2407C780" w14:textId="77777777" w:rsidR="000A1798" w:rsidRPr="000B3259" w:rsidRDefault="000A1798" w:rsidP="00970ED8">
      <w:pPr>
        <w:spacing w:after="0"/>
        <w:ind w:left="540"/>
        <w:rPr>
          <w:rFonts w:cs="Arial"/>
          <w:b/>
          <w:bCs/>
          <w:szCs w:val="24"/>
        </w:rPr>
      </w:pPr>
    </w:p>
    <w:bookmarkEnd w:id="12"/>
    <w:p w14:paraId="4CF284F1" w14:textId="2A73EE5E" w:rsidR="004B50BE" w:rsidRPr="000B3259" w:rsidRDefault="004B50BE" w:rsidP="005D2968">
      <w:pPr>
        <w:numPr>
          <w:ilvl w:val="0"/>
          <w:numId w:val="4"/>
        </w:numPr>
        <w:tabs>
          <w:tab w:val="num" w:pos="540"/>
        </w:tabs>
        <w:spacing w:after="0"/>
        <w:ind w:left="540" w:hanging="540"/>
        <w:rPr>
          <w:rFonts w:cs="Arial"/>
          <w:b/>
        </w:rPr>
      </w:pPr>
      <w:r w:rsidRPr="12E428E8">
        <w:rPr>
          <w:rFonts w:cs="Arial"/>
          <w:b/>
        </w:rPr>
        <w:t xml:space="preserve">Determining and evaluating the financial </w:t>
      </w:r>
      <w:r w:rsidR="003951FA" w:rsidRPr="12E428E8">
        <w:rPr>
          <w:rFonts w:cs="Arial"/>
          <w:b/>
        </w:rPr>
        <w:t>requirements</w:t>
      </w:r>
      <w:r w:rsidRPr="12E428E8">
        <w:rPr>
          <w:rFonts w:cs="Arial"/>
          <w:b/>
        </w:rPr>
        <w:t xml:space="preserve"> of the strategy. </w:t>
      </w:r>
      <w:r w:rsidRPr="12E428E8">
        <w:rPr>
          <w:rFonts w:cs="Arial"/>
        </w:rPr>
        <w:t xml:space="preserve">The final step is to include the environmental compliance strategy into </w:t>
      </w:r>
      <w:r w:rsidR="60562159" w:rsidRPr="12E428E8">
        <w:rPr>
          <w:rFonts w:cs="Arial"/>
        </w:rPr>
        <w:t>a</w:t>
      </w:r>
      <w:r w:rsidR="08D3D514" w:rsidRPr="12E428E8">
        <w:rPr>
          <w:rFonts w:cs="Arial"/>
        </w:rPr>
        <w:t xml:space="preserve"> </w:t>
      </w:r>
      <w:r w:rsidRPr="12E428E8">
        <w:rPr>
          <w:rFonts w:cs="Arial"/>
        </w:rPr>
        <w:t xml:space="preserve">unit retirement study </w:t>
      </w:r>
      <w:r w:rsidR="0D01379F" w:rsidRPr="12E428E8">
        <w:rPr>
          <w:rFonts w:cs="Arial"/>
        </w:rPr>
        <w:t>or asset valuation</w:t>
      </w:r>
      <w:r w:rsidR="08D3D514" w:rsidRPr="12E428E8">
        <w:rPr>
          <w:rFonts w:cs="Arial"/>
        </w:rPr>
        <w:t>.</w:t>
      </w:r>
      <w:r w:rsidRPr="12E428E8">
        <w:rPr>
          <w:rFonts w:cs="Arial"/>
        </w:rPr>
        <w:t xml:space="preserve"> Some units and plants may not be able to achieve the required environmental limits in a cost-effective manner and would need </w:t>
      </w:r>
      <w:r w:rsidR="00EE1599" w:rsidRPr="12E428E8">
        <w:rPr>
          <w:rFonts w:cs="Arial"/>
        </w:rPr>
        <w:t xml:space="preserve">to </w:t>
      </w:r>
      <w:r w:rsidR="002A18E0" w:rsidRPr="12E428E8">
        <w:rPr>
          <w:rFonts w:cs="Arial"/>
        </w:rPr>
        <w:t>consider</w:t>
      </w:r>
      <w:r w:rsidR="008D4893" w:rsidRPr="12E428E8">
        <w:rPr>
          <w:rFonts w:cs="Arial"/>
        </w:rPr>
        <w:t xml:space="preserve"> other compliance options such as</w:t>
      </w:r>
      <w:r w:rsidRPr="12E428E8">
        <w:rPr>
          <w:rFonts w:cs="Arial"/>
        </w:rPr>
        <w:t xml:space="preserve"> </w:t>
      </w:r>
      <w:r w:rsidR="4AB030A6" w:rsidRPr="12E428E8">
        <w:rPr>
          <w:rFonts w:cs="Arial"/>
        </w:rPr>
        <w:t>acquiring</w:t>
      </w:r>
      <w:r w:rsidRPr="12E428E8">
        <w:rPr>
          <w:rFonts w:cs="Arial"/>
        </w:rPr>
        <w:t xml:space="preserve"> additional allowances, switch</w:t>
      </w:r>
      <w:r w:rsidR="00941C0C">
        <w:rPr>
          <w:rFonts w:cs="Arial"/>
        </w:rPr>
        <w:t>ing</w:t>
      </w:r>
      <w:r w:rsidRPr="12E428E8">
        <w:rPr>
          <w:rFonts w:cs="Arial"/>
        </w:rPr>
        <w:t xml:space="preserve"> fuels, or retir</w:t>
      </w:r>
      <w:r w:rsidR="00941C0C">
        <w:rPr>
          <w:rFonts w:cs="Arial"/>
        </w:rPr>
        <w:t>ing</w:t>
      </w:r>
      <w:r w:rsidRPr="12E428E8">
        <w:rPr>
          <w:rFonts w:cs="Arial"/>
        </w:rPr>
        <w:t xml:space="preserve"> to comply. If environmental controls are mandated for a specific unit, then the economic value of the generating asset including future operating costs </w:t>
      </w:r>
      <w:r w:rsidR="005A115F">
        <w:rPr>
          <w:rFonts w:cs="Arial"/>
        </w:rPr>
        <w:t xml:space="preserve">and any reliability impact to the system </w:t>
      </w:r>
      <w:r w:rsidRPr="12E428E8">
        <w:rPr>
          <w:rFonts w:cs="Arial"/>
        </w:rPr>
        <w:t xml:space="preserve">must be considered </w:t>
      </w:r>
      <w:r w:rsidR="0090456C" w:rsidRPr="12E428E8">
        <w:rPr>
          <w:rFonts w:cs="Arial"/>
        </w:rPr>
        <w:t xml:space="preserve">in the Company’s integrated planning process </w:t>
      </w:r>
      <w:r w:rsidRPr="12E428E8">
        <w:rPr>
          <w:rFonts w:cs="Arial"/>
        </w:rPr>
        <w:t>before application of the technology.</w:t>
      </w:r>
    </w:p>
    <w:p w14:paraId="0EE300AC" w14:textId="77777777" w:rsidR="004B50BE" w:rsidRPr="00DB7156" w:rsidRDefault="004B50BE" w:rsidP="004B50BE">
      <w:pPr>
        <w:tabs>
          <w:tab w:val="left" w:pos="540"/>
        </w:tabs>
        <w:spacing w:after="0"/>
        <w:rPr>
          <w:rFonts w:cs="Arial"/>
          <w:szCs w:val="24"/>
          <w:u w:val="single"/>
        </w:rPr>
      </w:pPr>
    </w:p>
    <w:p w14:paraId="359D8846" w14:textId="1406DFAB" w:rsidR="004B50BE" w:rsidRPr="00DB7156" w:rsidRDefault="004B50BE" w:rsidP="00BD6A07">
      <w:pPr>
        <w:spacing w:after="0"/>
        <w:ind w:left="540"/>
        <w:rPr>
          <w:rFonts w:cs="Arial"/>
          <w:szCs w:val="24"/>
        </w:rPr>
      </w:pPr>
      <w:r w:rsidRPr="00DB7156">
        <w:rPr>
          <w:rFonts w:cs="Arial"/>
          <w:szCs w:val="24"/>
        </w:rPr>
        <w:t xml:space="preserve">After the </w:t>
      </w:r>
      <w:r>
        <w:rPr>
          <w:rFonts w:cs="Arial"/>
          <w:szCs w:val="24"/>
        </w:rPr>
        <w:t xml:space="preserve">compliance strategy </w:t>
      </w:r>
      <w:r w:rsidRPr="00DB7156">
        <w:rPr>
          <w:rFonts w:cs="Arial"/>
          <w:szCs w:val="24"/>
        </w:rPr>
        <w:t xml:space="preserve">process is completed and analyzed across the various planning scenarios, a strategy is compiled on a unit level and reviewed annually based on the most current information. One major goal of the environmental </w:t>
      </w:r>
      <w:r w:rsidR="00D528A6">
        <w:rPr>
          <w:rFonts w:cs="Arial"/>
          <w:szCs w:val="24"/>
        </w:rPr>
        <w:t>compliance</w:t>
      </w:r>
      <w:r w:rsidRPr="00DB7156">
        <w:rPr>
          <w:rFonts w:cs="Arial"/>
          <w:szCs w:val="24"/>
        </w:rPr>
        <w:t xml:space="preserve"> strategy process is to maintain flexibility in compliance options and operations across the generating fleet.  </w:t>
      </w:r>
    </w:p>
    <w:p w14:paraId="7781AB56" w14:textId="77777777" w:rsidR="004B50BE" w:rsidRPr="00DB7156" w:rsidRDefault="004B50BE" w:rsidP="00BD6A07">
      <w:pPr>
        <w:spacing w:after="0"/>
        <w:ind w:left="540"/>
        <w:rPr>
          <w:rFonts w:cs="Arial"/>
          <w:szCs w:val="24"/>
        </w:rPr>
      </w:pPr>
    </w:p>
    <w:p w14:paraId="4496EE24" w14:textId="263D8331" w:rsidR="004B50BE" w:rsidRPr="00DB7156" w:rsidRDefault="004B50BE" w:rsidP="00BD6A07">
      <w:pPr>
        <w:spacing w:after="0"/>
        <w:ind w:left="540"/>
        <w:rPr>
          <w:rFonts w:cs="Arial"/>
        </w:rPr>
      </w:pPr>
      <w:r w:rsidRPr="12E428E8">
        <w:rPr>
          <w:rFonts w:cs="Arial"/>
        </w:rPr>
        <w:t xml:space="preserve">A key advantage of this process is that it allows decision making on an incremental basis.  While the strategy includes environmental control plans for the next 10 years, final decisions on specific environmental control projects are not made until the </w:t>
      </w:r>
      <w:r w:rsidR="00E90A66" w:rsidRPr="12E428E8">
        <w:rPr>
          <w:rFonts w:cs="Arial"/>
        </w:rPr>
        <w:t>C</w:t>
      </w:r>
      <w:r w:rsidRPr="12E428E8">
        <w:rPr>
          <w:rFonts w:cs="Arial"/>
        </w:rPr>
        <w:t xml:space="preserve">ompany </w:t>
      </w:r>
      <w:r w:rsidR="00107A2F" w:rsidRPr="12E428E8">
        <w:rPr>
          <w:rFonts w:cs="Arial"/>
        </w:rPr>
        <w:t>has</w:t>
      </w:r>
      <w:r w:rsidR="009B0F26" w:rsidRPr="12E428E8">
        <w:rPr>
          <w:rFonts w:cs="Arial"/>
        </w:rPr>
        <w:t xml:space="preserve"> sufficient</w:t>
      </w:r>
      <w:r w:rsidRPr="12E428E8">
        <w:rPr>
          <w:rFonts w:cs="Arial"/>
        </w:rPr>
        <w:t xml:space="preserve"> </w:t>
      </w:r>
      <w:r w:rsidR="002160FA" w:rsidRPr="12E428E8">
        <w:rPr>
          <w:rFonts w:cs="Arial"/>
        </w:rPr>
        <w:t>information</w:t>
      </w:r>
      <w:r w:rsidRPr="12E428E8">
        <w:rPr>
          <w:rFonts w:cs="Arial"/>
        </w:rPr>
        <w:t xml:space="preserve"> (such as the </w:t>
      </w:r>
      <w:r w:rsidR="009B0F26" w:rsidRPr="12E428E8">
        <w:rPr>
          <w:rFonts w:cs="Arial"/>
        </w:rPr>
        <w:t xml:space="preserve">results of rules stemming from a </w:t>
      </w:r>
      <w:r w:rsidRPr="12E428E8">
        <w:rPr>
          <w:rFonts w:cs="Arial"/>
        </w:rPr>
        <w:t>delay or change in scope</w:t>
      </w:r>
      <w:r w:rsidR="009B0F26" w:rsidRPr="12E428E8">
        <w:rPr>
          <w:rFonts w:cs="Arial"/>
        </w:rPr>
        <w:t xml:space="preserve">) </w:t>
      </w:r>
      <w:r w:rsidR="002160FA" w:rsidRPr="12E428E8">
        <w:rPr>
          <w:rFonts w:cs="Arial"/>
        </w:rPr>
        <w:t xml:space="preserve">to complete technical and economic analysis in support of </w:t>
      </w:r>
      <w:r w:rsidR="001B45A4" w:rsidRPr="12E428E8">
        <w:rPr>
          <w:rFonts w:cs="Arial"/>
        </w:rPr>
        <w:t>IRP proceedings</w:t>
      </w:r>
      <w:r w:rsidR="00A14592" w:rsidRPr="12E428E8">
        <w:rPr>
          <w:rFonts w:cs="Arial"/>
        </w:rPr>
        <w:t xml:space="preserve">. This process provides </w:t>
      </w:r>
      <w:r w:rsidR="002E3E67" w:rsidRPr="12E428E8">
        <w:rPr>
          <w:rFonts w:cs="Arial"/>
        </w:rPr>
        <w:t xml:space="preserve">a balanced approach to providing </w:t>
      </w:r>
      <w:r w:rsidR="00EF0273" w:rsidRPr="12E428E8">
        <w:rPr>
          <w:rFonts w:cs="Arial"/>
        </w:rPr>
        <w:t>cost</w:t>
      </w:r>
      <w:r w:rsidR="1F03F085" w:rsidRPr="12E428E8">
        <w:rPr>
          <w:rFonts w:cs="Arial"/>
        </w:rPr>
        <w:t>-effective</w:t>
      </w:r>
      <w:r w:rsidR="00EF0273" w:rsidRPr="12E428E8">
        <w:rPr>
          <w:rFonts w:cs="Arial"/>
        </w:rPr>
        <w:t xml:space="preserve"> solutions to environmental regulations for our customers</w:t>
      </w:r>
      <w:r w:rsidRPr="12E428E8">
        <w:rPr>
          <w:rFonts w:cs="Arial"/>
        </w:rPr>
        <w:t>.</w:t>
      </w:r>
    </w:p>
    <w:p w14:paraId="6D3AA421" w14:textId="77777777" w:rsidR="004B50BE" w:rsidRPr="00DB7156" w:rsidRDefault="004B50BE" w:rsidP="004B50BE">
      <w:pPr>
        <w:spacing w:after="0"/>
        <w:rPr>
          <w:rFonts w:cs="Arial"/>
        </w:rPr>
      </w:pPr>
    </w:p>
    <w:p w14:paraId="7DB78A02" w14:textId="47530292" w:rsidR="004B50BE" w:rsidRPr="00DB7156" w:rsidRDefault="004B50BE" w:rsidP="00F0580B">
      <w:pPr>
        <w:spacing w:after="0"/>
        <w:ind w:left="540"/>
        <w:rPr>
          <w:rFonts w:cs="Arial"/>
          <w:szCs w:val="24"/>
        </w:rPr>
      </w:pPr>
      <w:r w:rsidRPr="00DB7156">
        <w:rPr>
          <w:rFonts w:cs="Arial"/>
          <w:szCs w:val="24"/>
        </w:rPr>
        <w:t xml:space="preserve">Future regulatory and legislative requirements that could significantly impact both the scope and the cost of compliance over the next decade are incorporated into the strategy. Georgia Power will continue </w:t>
      </w:r>
      <w:r w:rsidR="007E0950" w:rsidRPr="14E2D939">
        <w:rPr>
          <w:rFonts w:cs="Arial"/>
          <w:szCs w:val="24"/>
        </w:rPr>
        <w:t>to</w:t>
      </w:r>
      <w:r w:rsidR="007E0950">
        <w:rPr>
          <w:rFonts w:cs="Arial"/>
          <w:szCs w:val="24"/>
        </w:rPr>
        <w:t xml:space="preserve"> monitor</w:t>
      </w:r>
      <w:r w:rsidRPr="00DB7156">
        <w:rPr>
          <w:rFonts w:cs="Arial"/>
          <w:szCs w:val="24"/>
        </w:rPr>
        <w:t xml:space="preserve"> emerging regulations</w:t>
      </w:r>
      <w:r w:rsidR="00FD48EF">
        <w:rPr>
          <w:rFonts w:cs="Arial"/>
          <w:szCs w:val="24"/>
        </w:rPr>
        <w:t xml:space="preserve"> and </w:t>
      </w:r>
      <w:r w:rsidR="00FD13DA">
        <w:rPr>
          <w:rFonts w:cs="Arial"/>
          <w:szCs w:val="24"/>
        </w:rPr>
        <w:t xml:space="preserve">Executive </w:t>
      </w:r>
      <w:r w:rsidR="00B219CE">
        <w:rPr>
          <w:rFonts w:cs="Arial"/>
          <w:szCs w:val="24"/>
        </w:rPr>
        <w:t>Orders</w:t>
      </w:r>
      <w:r w:rsidR="00862DBD">
        <w:rPr>
          <w:rFonts w:cs="Arial"/>
          <w:szCs w:val="24"/>
        </w:rPr>
        <w:t xml:space="preserve"> (“EO”)</w:t>
      </w:r>
      <w:r w:rsidRPr="00DB7156">
        <w:rPr>
          <w:rFonts w:cs="Arial"/>
          <w:szCs w:val="24"/>
        </w:rPr>
        <w:t>, and these requirements will be incorporated into future strategy updates, as appropriate.</w:t>
      </w:r>
    </w:p>
    <w:p w14:paraId="05367108" w14:textId="77777777" w:rsidR="004B50BE" w:rsidRPr="00F0580B" w:rsidRDefault="004B50BE" w:rsidP="00F0580B">
      <w:pPr>
        <w:spacing w:after="0"/>
        <w:ind w:left="540"/>
        <w:rPr>
          <w:rFonts w:cs="Arial"/>
          <w:szCs w:val="24"/>
        </w:rPr>
      </w:pPr>
    </w:p>
    <w:p w14:paraId="7CB15BC2" w14:textId="67D1CD98" w:rsidR="00E8216D" w:rsidRPr="00A00119" w:rsidRDefault="004B50BE" w:rsidP="00A00119">
      <w:pPr>
        <w:ind w:left="540"/>
        <w:rPr>
          <w:rFonts w:cs="Arial"/>
          <w:szCs w:val="24"/>
        </w:rPr>
      </w:pPr>
      <w:r w:rsidRPr="00DB7156">
        <w:rPr>
          <w:rFonts w:cs="Arial"/>
          <w:szCs w:val="24"/>
        </w:rPr>
        <w:t xml:space="preserve">The uncertainty surrounding the legislative and regulatory environment reinforces the need for a flexible, robust compliance </w:t>
      </w:r>
      <w:r>
        <w:rPr>
          <w:rFonts w:cs="Arial"/>
          <w:szCs w:val="24"/>
        </w:rPr>
        <w:t>strategy</w:t>
      </w:r>
      <w:r w:rsidRPr="00DB7156">
        <w:rPr>
          <w:rFonts w:cs="Arial"/>
          <w:szCs w:val="24"/>
        </w:rPr>
        <w:t xml:space="preserve">. Accordingly, the </w:t>
      </w:r>
      <w:r>
        <w:rPr>
          <w:rFonts w:cs="Arial"/>
          <w:szCs w:val="24"/>
        </w:rPr>
        <w:t>strategy</w:t>
      </w:r>
      <w:r w:rsidRPr="00DB7156">
        <w:rPr>
          <w:rFonts w:cs="Arial"/>
          <w:szCs w:val="24"/>
        </w:rPr>
        <w:t xml:space="preserve"> balances the need to make decisions on certain timelines (such as fuel and equipment purchases) with the need for more information relative to regulatory</w:t>
      </w:r>
      <w:r w:rsidR="071ED35D" w:rsidRPr="3C983EF4">
        <w:rPr>
          <w:rFonts w:cs="Arial"/>
          <w:szCs w:val="24"/>
        </w:rPr>
        <w:t>, reliability,</w:t>
      </w:r>
      <w:r w:rsidRPr="00DB7156">
        <w:rPr>
          <w:rFonts w:cs="Arial"/>
          <w:szCs w:val="24"/>
        </w:rPr>
        <w:t xml:space="preserve"> and economic drivers. The analysis will be updated to determine the most cost-effective compliance decisions while maintaining future flexibility </w:t>
      </w:r>
      <w:r w:rsidR="79000EC0" w:rsidRPr="3C983EF4">
        <w:rPr>
          <w:rFonts w:cs="Arial"/>
          <w:szCs w:val="24"/>
        </w:rPr>
        <w:t>and preserving system reliability</w:t>
      </w:r>
      <w:r w:rsidRPr="3C983EF4" w:rsidDel="08D3D514">
        <w:rPr>
          <w:rFonts w:cs="Arial"/>
          <w:szCs w:val="24"/>
        </w:rPr>
        <w:t xml:space="preserve"> </w:t>
      </w:r>
      <w:r w:rsidR="08D3D514" w:rsidRPr="3C983EF4">
        <w:rPr>
          <w:rFonts w:cs="Arial"/>
          <w:szCs w:val="24"/>
        </w:rPr>
        <w:t>in the strategy.</w:t>
      </w:r>
      <w:r w:rsidRPr="00DB7156">
        <w:rPr>
          <w:rFonts w:cs="Arial"/>
          <w:szCs w:val="24"/>
        </w:rPr>
        <w:t xml:space="preserve"> Because the Company’s </w:t>
      </w:r>
      <w:r w:rsidR="001C0FC8">
        <w:rPr>
          <w:rFonts w:cs="Arial"/>
          <w:szCs w:val="24"/>
        </w:rPr>
        <w:t xml:space="preserve">environmental </w:t>
      </w:r>
      <w:r w:rsidRPr="00DB7156">
        <w:rPr>
          <w:rFonts w:cs="Arial"/>
          <w:szCs w:val="24"/>
        </w:rPr>
        <w:t xml:space="preserve">compliance strategy is impacted by factors such as new regulations, new legislation, </w:t>
      </w:r>
      <w:r w:rsidR="00862DBD">
        <w:rPr>
          <w:rFonts w:cs="Arial"/>
          <w:szCs w:val="24"/>
        </w:rPr>
        <w:t>EOs</w:t>
      </w:r>
      <w:r w:rsidR="00012411">
        <w:rPr>
          <w:rFonts w:cs="Arial"/>
          <w:szCs w:val="24"/>
        </w:rPr>
        <w:t xml:space="preserve">, </w:t>
      </w:r>
      <w:r w:rsidRPr="00DB7156">
        <w:rPr>
          <w:rFonts w:cs="Arial"/>
          <w:szCs w:val="24"/>
        </w:rPr>
        <w:t>changes to existing environmental laws and regulations, the cost of emissions allowances, technology advancements, and changes in fuel use, future environmental compliance costs will continue to be incurred.</w:t>
      </w:r>
    </w:p>
    <w:p w14:paraId="1269C75B" w14:textId="6E2C8F2F" w:rsidR="00253188" w:rsidRPr="00756915" w:rsidRDefault="00865FF2" w:rsidP="00CE151D">
      <w:pPr>
        <w:pStyle w:val="Heading2"/>
      </w:pPr>
      <w:bookmarkStart w:id="13" w:name="_Toc94197864"/>
      <w:r w:rsidRPr="00756915">
        <w:t>2</w:t>
      </w:r>
      <w:r w:rsidR="005F090E" w:rsidRPr="00756915">
        <w:t>.2</w:t>
      </w:r>
      <w:r w:rsidR="0040220E" w:rsidRPr="00756915">
        <w:t xml:space="preserve"> </w:t>
      </w:r>
      <w:r w:rsidR="005F090E" w:rsidRPr="00756915">
        <w:t>Strategy Assumptions</w:t>
      </w:r>
      <w:bookmarkEnd w:id="13"/>
    </w:p>
    <w:p w14:paraId="1B664A8E" w14:textId="65F20DA7" w:rsidR="00C5690C" w:rsidRDefault="00253188" w:rsidP="009C7652">
      <w:pPr>
        <w:rPr>
          <w:rFonts w:cs="Arial"/>
          <w:szCs w:val="24"/>
        </w:rPr>
      </w:pPr>
      <w:r w:rsidRPr="00DB7156">
        <w:t xml:space="preserve">Based on this extensive strategy process and the regulatory and legislative requirements discussed in </w:t>
      </w:r>
      <w:r w:rsidRPr="00260AD0">
        <w:t xml:space="preserve">Section </w:t>
      </w:r>
      <w:r w:rsidR="00094DC0" w:rsidRPr="00260AD0">
        <w:t>3</w:t>
      </w:r>
      <w:r w:rsidRPr="00260AD0">
        <w:t>.0</w:t>
      </w:r>
      <w:r w:rsidRPr="00DB7156">
        <w:t xml:space="preserve">, the Georgia Power environmental </w:t>
      </w:r>
      <w:r w:rsidR="00F61901">
        <w:t xml:space="preserve">compliance </w:t>
      </w:r>
      <w:r w:rsidRPr="00DB7156">
        <w:t xml:space="preserve">strategy is reviewed and updated each year. The </w:t>
      </w:r>
      <w:r w:rsidRPr="00BB5839">
        <w:t xml:space="preserve">environmental </w:t>
      </w:r>
      <w:r w:rsidR="00A20FE2">
        <w:t xml:space="preserve">compliance </w:t>
      </w:r>
      <w:r w:rsidRPr="00BB5839">
        <w:t xml:space="preserve">strategy </w:t>
      </w:r>
      <w:r w:rsidRPr="00DB7156">
        <w:t>combines the assumptions surrounding the regulatory requirements with the most cost</w:t>
      </w:r>
      <w:r>
        <w:t>-</w:t>
      </w:r>
      <w:r w:rsidRPr="00DB7156">
        <w:t>effective environmental control technology that is commercially available and results in specific environmental control applications across Georgia Power.</w:t>
      </w:r>
    </w:p>
    <w:p w14:paraId="215A671F" w14:textId="3F615B9D" w:rsidR="00591C3E" w:rsidRPr="00A00119" w:rsidRDefault="00253188" w:rsidP="00A00119">
      <w:r w:rsidRPr="00DB7156">
        <w:t>While there is uncertainty surrounding the stringency and timing of many of these rules,</w:t>
      </w:r>
      <w:r w:rsidRPr="00DB7156" w:rsidDel="00EA03B9">
        <w:t xml:space="preserve"> </w:t>
      </w:r>
      <w:r w:rsidRPr="00DB7156">
        <w:t xml:space="preserve">they must be, and are currently, considered in the development of the Company’s environmental </w:t>
      </w:r>
      <w:r w:rsidR="00C17069">
        <w:t xml:space="preserve">compliance </w:t>
      </w:r>
      <w:r w:rsidRPr="00DB7156">
        <w:t>strategy.</w:t>
      </w:r>
    </w:p>
    <w:p w14:paraId="44EE9729" w14:textId="4B23FAF4" w:rsidR="00E51A91" w:rsidRPr="008375BC" w:rsidRDefault="00C56ED8" w:rsidP="00CE151D">
      <w:pPr>
        <w:pStyle w:val="Heading2"/>
      </w:pPr>
      <w:bookmarkStart w:id="14" w:name="_Toc94197865"/>
      <w:r w:rsidRPr="008375BC">
        <w:t>2</w:t>
      </w:r>
      <w:r w:rsidR="00E51A91" w:rsidRPr="008375BC">
        <w:t>.3 Environmental Compliance Technologies</w:t>
      </w:r>
      <w:bookmarkEnd w:id="14"/>
    </w:p>
    <w:p w14:paraId="18A9DC33" w14:textId="3FFDA9B6" w:rsidR="008F4B49" w:rsidRDefault="008F4B49" w:rsidP="00A00119">
      <w:r w:rsidRPr="00DB7156">
        <w:t xml:space="preserve">Research and </w:t>
      </w:r>
      <w:r w:rsidR="006C50D5">
        <w:t>D</w:t>
      </w:r>
      <w:r w:rsidRPr="00DB7156">
        <w:t xml:space="preserve">evelopment </w:t>
      </w:r>
      <w:r>
        <w:t xml:space="preserve">(“R&amp;D”) continues to be </w:t>
      </w:r>
      <w:r w:rsidRPr="00DB7156">
        <w:t xml:space="preserve">an integral part of the overall Georgia Power environmental strategy and compliance plan. Through research, </w:t>
      </w:r>
      <w:r w:rsidR="0016238C">
        <w:t xml:space="preserve">development, and demonstration, </w:t>
      </w:r>
      <w:r w:rsidRPr="00DB7156">
        <w:t>technologies are evaluated, and selected for possible implementation to meet compliance with federal and state regulatory requirements. Technology-related decisions are made based on compliance alternatives, technical review (often following actual testing), schedules, equipment-vendor price quotes, total costs over the useful life, specific unit issues, and performance guarantees. Operations, maintenance, and cost</w:t>
      </w:r>
      <w:r w:rsidR="0016238C">
        <w:t>-</w:t>
      </w:r>
      <w:r w:rsidRPr="00DB7156">
        <w:t xml:space="preserve">effectiveness are important parts of the decision-making process.  </w:t>
      </w:r>
    </w:p>
    <w:p w14:paraId="1B0E85B2" w14:textId="6D76B9D5" w:rsidR="00C05C83" w:rsidRPr="00DB7156" w:rsidRDefault="00C05C83" w:rsidP="00A00119">
      <w:r w:rsidRPr="00DB7156">
        <w:t xml:space="preserve">Since </w:t>
      </w:r>
      <w:r>
        <w:t>the implementation of the C</w:t>
      </w:r>
      <w:r w:rsidR="00DA4CBA">
        <w:t xml:space="preserve">lean </w:t>
      </w:r>
      <w:r>
        <w:t>A</w:t>
      </w:r>
      <w:r w:rsidR="00DA4CBA">
        <w:t xml:space="preserve">ir </w:t>
      </w:r>
      <w:r>
        <w:t>A</w:t>
      </w:r>
      <w:r w:rsidR="00DA4CBA">
        <w:t xml:space="preserve">ct </w:t>
      </w:r>
      <w:r>
        <w:t>A</w:t>
      </w:r>
      <w:r w:rsidR="00DA4CBA">
        <w:t>mendments (</w:t>
      </w:r>
      <w:r w:rsidR="005162AB">
        <w:t>“</w:t>
      </w:r>
      <w:r w:rsidR="00DA4CBA">
        <w:t>CAAA</w:t>
      </w:r>
      <w:r w:rsidR="005162AB">
        <w:t>”</w:t>
      </w:r>
      <w:r w:rsidR="00DA4CBA">
        <w:t>)</w:t>
      </w:r>
      <w:r>
        <w:t xml:space="preserve"> of 1990</w:t>
      </w:r>
      <w:r w:rsidRPr="00DB7156">
        <w:t xml:space="preserve">, </w:t>
      </w:r>
      <w:r>
        <w:t>R&amp;D</w:t>
      </w:r>
      <w:r w:rsidRPr="00DB7156">
        <w:t xml:space="preserve"> </w:t>
      </w:r>
      <w:r>
        <w:t>has</w:t>
      </w:r>
      <w:r w:rsidRPr="00DB7156">
        <w:t xml:space="preserve"> been crucial for Southern Company in assuring that the best</w:t>
      </w:r>
      <w:r w:rsidR="0059799C">
        <w:t>-</w:t>
      </w:r>
      <w:r w:rsidRPr="00DB7156">
        <w:t xml:space="preserve">possible environmental compliance strategies are selected for implementation at Georgia Power. ECS-Appendix B provides a list of </w:t>
      </w:r>
      <w:r w:rsidR="00C945C8">
        <w:t xml:space="preserve">control </w:t>
      </w:r>
      <w:r w:rsidRPr="00DB7156">
        <w:t>technologies considered in an ongoing effort to meet mandated requirements in a timely manner, maintain system reliability, and assure cost-effective generation for customers.</w:t>
      </w:r>
    </w:p>
    <w:p w14:paraId="47714128" w14:textId="14F87869" w:rsidR="008F4B49" w:rsidRPr="00DB7156" w:rsidRDefault="00293D16" w:rsidP="00A00119">
      <w:pPr>
        <w:rPr>
          <w:rFonts w:cs="Arial"/>
        </w:rPr>
      </w:pPr>
      <w:r>
        <w:t>Georgia Power and Southern Company</w:t>
      </w:r>
      <w:r w:rsidR="002B1841">
        <w:t xml:space="preserve"> continue a decades-long history of industry leading R&amp;D designed to identify future opportunities and create cost-effective solutions.  The Company leverages</w:t>
      </w:r>
      <w:r w:rsidR="00C05C83" w:rsidRPr="00DB7156">
        <w:t xml:space="preserve"> </w:t>
      </w:r>
      <w:r w:rsidR="09978563">
        <w:t xml:space="preserve">existing knowledge through </w:t>
      </w:r>
      <w:r w:rsidR="00C05C83" w:rsidRPr="00DB7156">
        <w:t>industry affiliations across the U.S. and around the world</w:t>
      </w:r>
      <w:r w:rsidR="00FD711C">
        <w:t xml:space="preserve"> to identify these opportunities</w:t>
      </w:r>
      <w:r w:rsidR="4CBDBCC2">
        <w:t xml:space="preserve"> and help </w:t>
      </w:r>
      <w:r w:rsidR="15E9BCAD">
        <w:t>reach</w:t>
      </w:r>
      <w:r w:rsidR="4CBDBCC2">
        <w:t xml:space="preserve"> cost-effective paths forward</w:t>
      </w:r>
      <w:r w:rsidR="54E22942">
        <w:t>.</w:t>
      </w:r>
      <w:r w:rsidR="00C05C83" w:rsidRPr="00DB7156" w:rsidDel="009905E4">
        <w:t xml:space="preserve"> </w:t>
      </w:r>
      <w:r w:rsidR="00C05C83" w:rsidRPr="00DB7156">
        <w:t xml:space="preserve">To minimize cost and risk, only proven technologies should be implemented commercially. These industry R&amp;D efforts </w:t>
      </w:r>
      <w:r w:rsidR="0004175F">
        <w:t>have successfully</w:t>
      </w:r>
      <w:r w:rsidR="00C05C83" w:rsidRPr="00DB7156">
        <w:t xml:space="preserve"> test</w:t>
      </w:r>
      <w:r w:rsidR="0004175F">
        <w:t>ed</w:t>
      </w:r>
      <w:r w:rsidR="00C05C83" w:rsidRPr="00DB7156">
        <w:t xml:space="preserve"> low-NO</w:t>
      </w:r>
      <w:r w:rsidR="00C05C83" w:rsidRPr="00DB7156">
        <w:rPr>
          <w:vertAlign w:val="subscript"/>
        </w:rPr>
        <w:t>X</w:t>
      </w:r>
      <w:r w:rsidR="00C05C83" w:rsidRPr="00DB7156">
        <w:t xml:space="preserve"> burners, precipitators, catalyst materials for</w:t>
      </w:r>
      <w:r w:rsidR="008E1971">
        <w:t xml:space="preserve"> selective catalytic reduction systems</w:t>
      </w:r>
      <w:r w:rsidR="00C05C83" w:rsidRPr="00DB7156">
        <w:t xml:space="preserve"> </w:t>
      </w:r>
      <w:r w:rsidR="008E1971">
        <w:t>(“</w:t>
      </w:r>
      <w:r w:rsidR="00C05C83" w:rsidRPr="00DB7156">
        <w:t>SCRs</w:t>
      </w:r>
      <w:r w:rsidR="008E1971">
        <w:t>”)</w:t>
      </w:r>
      <w:r w:rsidR="00C05C83" w:rsidRPr="00DB7156">
        <w:t>, FGDs, mercury reduction systems, and other equipment and have contributed to Georgia Power’s ability to meet stringent requirements while continuing to provide affordable energy for customers</w:t>
      </w:r>
      <w:r w:rsidR="00A00119">
        <w:t>.</w:t>
      </w:r>
      <w:r w:rsidR="00871F68">
        <w:t xml:space="preserve"> Insight from this research </w:t>
      </w:r>
      <w:r w:rsidR="58091CFE">
        <w:t>benefited</w:t>
      </w:r>
      <w:r w:rsidR="00871F68">
        <w:t xml:space="preserve"> vendor and material selection, construction, and long-term operation, efficiency, and flexibility.   </w:t>
      </w:r>
    </w:p>
    <w:p w14:paraId="22E942A5" w14:textId="270EDA96" w:rsidR="008F4B49" w:rsidRPr="00A77C36" w:rsidRDefault="00C56ED8" w:rsidP="008C0425">
      <w:pPr>
        <w:pStyle w:val="Heading3"/>
      </w:pPr>
      <w:bookmarkStart w:id="15" w:name="_Toc94197866"/>
      <w:r w:rsidRPr="0093182B">
        <w:t>2</w:t>
      </w:r>
      <w:r w:rsidR="008F4B49" w:rsidRPr="00A77C36">
        <w:t xml:space="preserve">.3.1 Water Research </w:t>
      </w:r>
      <w:r w:rsidR="00BD3AF6" w:rsidRPr="00A77C36">
        <w:t xml:space="preserve">and Conservation </w:t>
      </w:r>
      <w:r w:rsidR="008F4B49" w:rsidRPr="00A77C36">
        <w:t>Center</w:t>
      </w:r>
      <w:bookmarkEnd w:id="15"/>
      <w:r w:rsidR="008F4B49" w:rsidRPr="00A77C36">
        <w:t xml:space="preserve"> </w:t>
      </w:r>
    </w:p>
    <w:p w14:paraId="352B5489" w14:textId="5D5F3650" w:rsidR="00900DCF" w:rsidRPr="00900DCF" w:rsidRDefault="1096D73A" w:rsidP="00A00119">
      <w:r w:rsidRPr="015F527C">
        <w:t xml:space="preserve">Originally developed in 2012 through collaboration with </w:t>
      </w:r>
      <w:r w:rsidR="009905E4">
        <w:t>the Electric Power Research Institute (“EPRI”)</w:t>
      </w:r>
      <w:r w:rsidRPr="015F527C">
        <w:t xml:space="preserve"> and Southern Company,</w:t>
      </w:r>
      <w:r w:rsidR="00264D41">
        <w:t xml:space="preserve"> </w:t>
      </w:r>
      <w:r w:rsidRPr="015F527C">
        <w:t>the Water Research Center (“WRC”) at Georgia Power’s Plant Bowen provided a venue for technology evaluations to address water use, withdrawal, consumption, treatment, and recycling throughout the power generation process. The WRC generated new information regarding current and future regulatory compliance issues related to water withdrawal, use, and discharge restrictions in</w:t>
      </w:r>
      <w:r w:rsidRPr="00E966A5">
        <w:t xml:space="preserve"> direct support of the Company’s ongoing evaluation of the 2015 ELG Rule and ELG Reconsideration Rule and associated strategy. Testing at the WRC successfully informed technology strategies for achieving cost-effective environmental compliance. Several technologies have been implemented throughout the energy industry and across the Southern Company fleet.</w:t>
      </w:r>
      <w:r w:rsidR="00104AD6">
        <w:t xml:space="preserve"> For example, t</w:t>
      </w:r>
      <w:r w:rsidR="00104AD6" w:rsidRPr="00EA7201">
        <w:t xml:space="preserve">he WRC has hosted tests of several different technologies for the treatment of FGD wastewater. This </w:t>
      </w:r>
      <w:r w:rsidR="00104AD6">
        <w:t xml:space="preserve">R&amp;D </w:t>
      </w:r>
      <w:r w:rsidR="00104AD6" w:rsidRPr="00EA7201">
        <w:t>resulted in decreased costs and improved performance for physical</w:t>
      </w:r>
      <w:r w:rsidR="00104AD6">
        <w:t xml:space="preserve">, </w:t>
      </w:r>
      <w:r w:rsidR="00104AD6" w:rsidRPr="00EA7201">
        <w:t>chemical</w:t>
      </w:r>
      <w:r w:rsidR="00104AD6">
        <w:t>, and</w:t>
      </w:r>
      <w:r w:rsidR="00104AD6" w:rsidRPr="00EA7201">
        <w:t xml:space="preserve"> biological treatment systems, which G</w:t>
      </w:r>
      <w:r w:rsidR="00104AD6">
        <w:t>eorgia Power</w:t>
      </w:r>
      <w:r w:rsidR="00104AD6" w:rsidRPr="00EA7201">
        <w:t xml:space="preserve"> is evaluating for FGD wastewater compliance. </w:t>
      </w:r>
      <w:r w:rsidRPr="1F9EA5FF">
        <w:t xml:space="preserve">Due to the success of the WRC, Southern Company and EPRI </w:t>
      </w:r>
      <w:r w:rsidR="00104AD6">
        <w:t>expanded the WRC to become the</w:t>
      </w:r>
      <w:r w:rsidRPr="1F9EA5FF">
        <w:t xml:space="preserve"> Water Research and Conservation Center (“WRCC”) </w:t>
      </w:r>
      <w:r w:rsidR="007F204E">
        <w:t xml:space="preserve">adding a state-of-the </w:t>
      </w:r>
      <w:r w:rsidR="002549CA">
        <w:t xml:space="preserve">art facility </w:t>
      </w:r>
      <w:r w:rsidRPr="1F9EA5FF">
        <w:t>at Georgia Power's Plant McDonough. This research center provides the infrastructure needed to test and identify the most promising water technologies. To better manage and conserve water across our thermoelectric power generation sites, the WRCC at Plant McDonough promotes advancements in power plant cooling systems leading to reduced freshwater withdrawal and consumption as well as improved plant efficiency while optimizing total cost and energy generation.</w:t>
      </w:r>
    </w:p>
    <w:p w14:paraId="61ECB8A8" w14:textId="66FF8B37" w:rsidR="00551362" w:rsidRDefault="00802FB5">
      <w:r>
        <w:t>T</w:t>
      </w:r>
      <w:r w:rsidR="00737D00">
        <w:t>he WRCC</w:t>
      </w:r>
      <w:r w:rsidR="1096D73A">
        <w:t xml:space="preserve"> </w:t>
      </w:r>
      <w:r w:rsidR="1096D73A" w:rsidRPr="009D3F79">
        <w:t>commissioning was completed in October 2020</w:t>
      </w:r>
      <w:r w:rsidR="00737D00">
        <w:t>, and</w:t>
      </w:r>
      <w:r w:rsidR="1096D73A" w:rsidRPr="009D3F79">
        <w:t xml:space="preserve"> </w:t>
      </w:r>
      <w:r w:rsidR="1096D73A">
        <w:t xml:space="preserve">testing </w:t>
      </w:r>
      <w:r w:rsidR="1096D73A" w:rsidRPr="009D3F79">
        <w:t xml:space="preserve">has begun </w:t>
      </w:r>
      <w:r w:rsidR="00737D00">
        <w:t>on</w:t>
      </w:r>
      <w:r w:rsidR="1096D73A" w:rsidRPr="009D3F79">
        <w:t xml:space="preserve"> condenser tube coatings and surface modifications in the Heat Transfer Loop (“HTL”). This testing is a part of a project funded by </w:t>
      </w:r>
      <w:r w:rsidR="00CC60A6">
        <w:t xml:space="preserve">the U.S. </w:t>
      </w:r>
      <w:r w:rsidR="1096D73A">
        <w:t xml:space="preserve">Department of Energy (“DOE”) to investigate technologies to improve heat transfer and mitigate heat transfer losses due to condenser tube fouling.  </w:t>
      </w:r>
      <w:r w:rsidR="34FED546">
        <w:t xml:space="preserve"> </w:t>
      </w:r>
      <w:r w:rsidR="00DA6C25">
        <w:t>T</w:t>
      </w:r>
      <w:r w:rsidR="34FED546">
        <w:t xml:space="preserve">esting </w:t>
      </w:r>
      <w:r w:rsidR="233255B5">
        <w:t xml:space="preserve">of this technology improvement process </w:t>
      </w:r>
      <w:r w:rsidR="266CBD74">
        <w:t>will continue into 2022</w:t>
      </w:r>
      <w:r w:rsidR="1B16BD9A">
        <w:t>.</w:t>
      </w:r>
    </w:p>
    <w:p w14:paraId="4F3D2894" w14:textId="139BD083" w:rsidR="00551362" w:rsidRDefault="1B16BD9A" w:rsidP="12E428E8">
      <w:pPr>
        <w:rPr>
          <w:rFonts w:eastAsia="Calibri" w:cs="Arial"/>
        </w:rPr>
      </w:pPr>
      <w:r w:rsidRPr="0A1DDBC0">
        <w:rPr>
          <w:rFonts w:eastAsia="Calibri" w:cs="Arial"/>
        </w:rPr>
        <w:t xml:space="preserve">Currently, testing is underway on biocide technology that could be an alternative to </w:t>
      </w:r>
      <w:r w:rsidR="007A54F6" w:rsidRPr="0A1DDBC0">
        <w:rPr>
          <w:rFonts w:eastAsia="Calibri" w:cs="Arial"/>
        </w:rPr>
        <w:t xml:space="preserve">using </w:t>
      </w:r>
      <w:r w:rsidRPr="0A1DDBC0">
        <w:rPr>
          <w:rFonts w:eastAsia="Calibri" w:cs="Arial"/>
        </w:rPr>
        <w:t>chlorine</w:t>
      </w:r>
      <w:r w:rsidR="005A44F3" w:rsidRPr="0A1DDBC0">
        <w:rPr>
          <w:rFonts w:eastAsia="Calibri" w:cs="Arial"/>
        </w:rPr>
        <w:t>-</w:t>
      </w:r>
      <w:r w:rsidR="007A54F6" w:rsidRPr="0A1DDBC0">
        <w:rPr>
          <w:rFonts w:eastAsia="Calibri" w:cs="Arial"/>
        </w:rPr>
        <w:t xml:space="preserve">based </w:t>
      </w:r>
      <w:r w:rsidR="4614FEA4" w:rsidRPr="0A1DDBC0">
        <w:rPr>
          <w:rFonts w:eastAsia="Calibri" w:cs="Arial"/>
        </w:rPr>
        <w:t xml:space="preserve">chemicals to </w:t>
      </w:r>
      <w:r w:rsidR="00836364" w:rsidRPr="0A1DDBC0">
        <w:rPr>
          <w:rFonts w:eastAsia="Calibri" w:cs="Arial"/>
        </w:rPr>
        <w:t>control</w:t>
      </w:r>
      <w:r w:rsidR="19CDEC3A" w:rsidRPr="0A1DDBC0">
        <w:rPr>
          <w:rFonts w:eastAsia="Calibri" w:cs="Arial"/>
        </w:rPr>
        <w:t xml:space="preserve"> algae and biofouling that interfere with cooling tower performance</w:t>
      </w:r>
      <w:r w:rsidRPr="0A1DDBC0">
        <w:rPr>
          <w:rFonts w:eastAsia="Calibri" w:cs="Arial"/>
        </w:rPr>
        <w:t xml:space="preserve">.  </w:t>
      </w:r>
      <w:r w:rsidR="008C59AF" w:rsidRPr="0A1DDBC0">
        <w:rPr>
          <w:rFonts w:eastAsia="Calibri" w:cs="Arial"/>
        </w:rPr>
        <w:t>The WRCC is also</w:t>
      </w:r>
      <w:r w:rsidR="3D807D16" w:rsidRPr="0A1DDBC0">
        <w:rPr>
          <w:rFonts w:eastAsia="Calibri" w:cs="Arial"/>
        </w:rPr>
        <w:t xml:space="preserve"> conducting test</w:t>
      </w:r>
      <w:r w:rsidR="1EB469B7" w:rsidRPr="0A1DDBC0">
        <w:rPr>
          <w:rFonts w:eastAsia="Calibri" w:cs="Arial"/>
        </w:rPr>
        <w:t xml:space="preserve">s </w:t>
      </w:r>
      <w:r w:rsidR="3D807D16" w:rsidRPr="0A1DDBC0">
        <w:rPr>
          <w:rFonts w:eastAsia="Calibri" w:cs="Arial"/>
        </w:rPr>
        <w:t>to improv</w:t>
      </w:r>
      <w:r w:rsidR="58C7D86F" w:rsidRPr="0A1DDBC0">
        <w:rPr>
          <w:rFonts w:eastAsia="Calibri" w:cs="Arial"/>
        </w:rPr>
        <w:t>e</w:t>
      </w:r>
      <w:r w:rsidR="3D807D16" w:rsidRPr="0A1DDBC0">
        <w:rPr>
          <w:rFonts w:eastAsia="Calibri" w:cs="Arial"/>
        </w:rPr>
        <w:t xml:space="preserve"> condenser heat transfer, as well as a technology to mon</w:t>
      </w:r>
      <w:r w:rsidR="06352915" w:rsidRPr="0A1DDBC0">
        <w:rPr>
          <w:rFonts w:eastAsia="Calibri" w:cs="Arial"/>
        </w:rPr>
        <w:t>itor deposit</w:t>
      </w:r>
      <w:r w:rsidR="3C2438E3" w:rsidRPr="0A1DDBC0">
        <w:rPr>
          <w:rFonts w:eastAsia="Calibri" w:cs="Arial"/>
        </w:rPr>
        <w:t>i</w:t>
      </w:r>
      <w:r w:rsidR="06352915" w:rsidRPr="0A1DDBC0">
        <w:rPr>
          <w:rFonts w:eastAsia="Calibri" w:cs="Arial"/>
        </w:rPr>
        <w:t xml:space="preserve">on on heat transfer surfaces for better </w:t>
      </w:r>
      <w:r w:rsidR="00402791" w:rsidRPr="0A1DDBC0">
        <w:rPr>
          <w:rFonts w:eastAsia="Calibri" w:cs="Arial"/>
        </w:rPr>
        <w:t>identification</w:t>
      </w:r>
      <w:r w:rsidR="06352915" w:rsidRPr="0A1DDBC0">
        <w:rPr>
          <w:rFonts w:eastAsia="Calibri" w:cs="Arial"/>
        </w:rPr>
        <w:t xml:space="preserve"> and control of fouling and scaling.</w:t>
      </w:r>
    </w:p>
    <w:p w14:paraId="6F9698BC" w14:textId="2E05558C" w:rsidR="008F4B49" w:rsidRPr="00A77C36" w:rsidRDefault="00C56ED8" w:rsidP="008C0425">
      <w:pPr>
        <w:pStyle w:val="Heading3"/>
      </w:pPr>
      <w:bookmarkStart w:id="16" w:name="_Toc94197867"/>
      <w:r w:rsidRPr="16982F57">
        <w:t>2</w:t>
      </w:r>
      <w:r w:rsidR="008F4B49" w:rsidRPr="00A77C36">
        <w:t>.3.</w:t>
      </w:r>
      <w:r w:rsidR="00BD3AF6" w:rsidRPr="00A77C36">
        <w:t>2</w:t>
      </w:r>
      <w:r w:rsidR="008F4B49" w:rsidRPr="00A77C36">
        <w:t xml:space="preserve"> Ash Beneficial Use Center</w:t>
      </w:r>
      <w:bookmarkEnd w:id="16"/>
      <w:r w:rsidR="008F4B49" w:rsidRPr="00A77C36">
        <w:t xml:space="preserve"> </w:t>
      </w:r>
    </w:p>
    <w:p w14:paraId="73C0EB36" w14:textId="61FBACD3" w:rsidR="008F4B49" w:rsidRPr="00551362" w:rsidRDefault="005A397A" w:rsidP="00A00119">
      <w:pPr>
        <w:rPr>
          <w:rFonts w:eastAsia="Times New Roman"/>
        </w:rPr>
      </w:pPr>
      <w:bookmarkStart w:id="17" w:name="_Hlk535655759"/>
      <w:r>
        <w:t>The</w:t>
      </w:r>
      <w:r w:rsidR="008F4B49" w:rsidRPr="0084580B">
        <w:t xml:space="preserve"> Company</w:t>
      </w:r>
      <w:r w:rsidR="00D03903">
        <w:t>,</w:t>
      </w:r>
      <w:r w:rsidR="008F4B49" w:rsidRPr="0084580B">
        <w:t xml:space="preserve"> </w:t>
      </w:r>
      <w:r w:rsidR="008F4B49">
        <w:t xml:space="preserve">in partnership with EPRI </w:t>
      </w:r>
      <w:r>
        <w:t>and other utilities across the industry</w:t>
      </w:r>
      <w:r w:rsidR="00D03903">
        <w:t>,</w:t>
      </w:r>
      <w:r>
        <w:t xml:space="preserve"> </w:t>
      </w:r>
      <w:r w:rsidR="00617209">
        <w:t xml:space="preserve">has </w:t>
      </w:r>
      <w:r w:rsidR="008F4B49" w:rsidRPr="0084580B">
        <w:t>develop</w:t>
      </w:r>
      <w:r w:rsidR="001C40CF">
        <w:t>ed</w:t>
      </w:r>
      <w:r w:rsidR="008F4B49">
        <w:t xml:space="preserve"> </w:t>
      </w:r>
      <w:r w:rsidR="008F4B49" w:rsidRPr="0084580B">
        <w:t>a center</w:t>
      </w:r>
      <w:r w:rsidR="00912F4A">
        <w:t>,</w:t>
      </w:r>
      <w:r w:rsidR="008F4B49" w:rsidRPr="0084580B">
        <w:t xml:space="preserve"> </w:t>
      </w:r>
      <w:r w:rsidR="00912F4A">
        <w:t>located at Plant Bowen,</w:t>
      </w:r>
      <w:r w:rsidR="00912F4A" w:rsidRPr="0084580B">
        <w:t xml:space="preserve"> </w:t>
      </w:r>
      <w:r w:rsidR="008F4B49" w:rsidRPr="0084580B">
        <w:t xml:space="preserve">for </w:t>
      </w:r>
      <w:r w:rsidR="008F4B49">
        <w:t>b</w:t>
      </w:r>
      <w:r w:rsidR="008F4B49" w:rsidRPr="0084580B">
        <w:t xml:space="preserve">eneficial </w:t>
      </w:r>
      <w:r w:rsidR="008F4B49">
        <w:t>u</w:t>
      </w:r>
      <w:r w:rsidR="008F4B49" w:rsidRPr="0084580B">
        <w:t xml:space="preserve">se of </w:t>
      </w:r>
      <w:r w:rsidR="008F4B49">
        <w:t>h</w:t>
      </w:r>
      <w:r w:rsidR="008F4B49" w:rsidRPr="0084580B">
        <w:t>arvested CCR.</w:t>
      </w:r>
      <w:r w:rsidR="008F4B49">
        <w:t xml:space="preserve"> </w:t>
      </w:r>
      <w:r w:rsidR="00551362" w:rsidRPr="12E428E8">
        <w:rPr>
          <w:rFonts w:eastAsia="Times New Roman"/>
        </w:rPr>
        <w:t>The</w:t>
      </w:r>
      <w:r w:rsidR="00551362" w:rsidRPr="00264EA7" w:rsidDel="000A18B8">
        <w:rPr>
          <w:rFonts w:eastAsia="Times New Roman"/>
        </w:rPr>
        <w:t xml:space="preserve"> </w:t>
      </w:r>
      <w:r w:rsidR="000A18B8">
        <w:rPr>
          <w:rFonts w:eastAsia="Times New Roman"/>
        </w:rPr>
        <w:t xml:space="preserve">Ash Beneficial Use Center (“ABUC”) </w:t>
      </w:r>
      <w:r w:rsidR="00637B90" w:rsidRPr="00911162">
        <w:rPr>
          <w:rFonts w:eastAsia="Times New Roman"/>
        </w:rPr>
        <w:t>will strive to develop additional beneficial uses and better technologies to process the ash for beneficial use with an aim to reduce future costs to CCR closure projects</w:t>
      </w:r>
      <w:r w:rsidR="001F0D85">
        <w:rPr>
          <w:rFonts w:eastAsia="Times New Roman"/>
        </w:rPr>
        <w:t xml:space="preserve"> and </w:t>
      </w:r>
      <w:r w:rsidR="00C44952">
        <w:rPr>
          <w:rFonts w:eastAsia="Times New Roman"/>
        </w:rPr>
        <w:t>further open opportunities to re</w:t>
      </w:r>
      <w:r w:rsidR="00262822">
        <w:rPr>
          <w:rFonts w:eastAsia="Times New Roman"/>
        </w:rPr>
        <w:t>use</w:t>
      </w:r>
      <w:r w:rsidR="00E122DC">
        <w:rPr>
          <w:rFonts w:eastAsia="Times New Roman"/>
        </w:rPr>
        <w:t xml:space="preserve"> </w:t>
      </w:r>
      <w:r w:rsidR="00404C2C">
        <w:rPr>
          <w:rFonts w:eastAsia="Times New Roman"/>
        </w:rPr>
        <w:t>this byproduct</w:t>
      </w:r>
      <w:r w:rsidR="00637B90" w:rsidRPr="6A44F22A">
        <w:rPr>
          <w:rFonts w:eastAsia="Times New Roman"/>
        </w:rPr>
        <w:t>.</w:t>
      </w:r>
    </w:p>
    <w:p w14:paraId="088DFB3F" w14:textId="17C70C09" w:rsidR="00B30B8A" w:rsidRPr="00A00119" w:rsidRDefault="008F4B49" w:rsidP="00A00119">
      <w:r w:rsidRPr="00931504">
        <w:rPr>
          <w:rFonts w:cs="Arial"/>
        </w:rPr>
        <w:t>Th</w:t>
      </w:r>
      <w:r w:rsidR="00D03286">
        <w:rPr>
          <w:rFonts w:cs="Arial"/>
        </w:rPr>
        <w:t>e</w:t>
      </w:r>
      <w:r w:rsidRPr="00931504">
        <w:rPr>
          <w:rFonts w:cs="Arial"/>
        </w:rPr>
        <w:t xml:space="preserve"> </w:t>
      </w:r>
      <w:r>
        <w:rPr>
          <w:rFonts w:cs="Arial"/>
        </w:rPr>
        <w:t>center</w:t>
      </w:r>
      <w:r w:rsidRPr="00931504">
        <w:rPr>
          <w:rFonts w:cs="Arial"/>
        </w:rPr>
        <w:t xml:space="preserve"> </w:t>
      </w:r>
      <w:r>
        <w:rPr>
          <w:rFonts w:cs="Arial"/>
        </w:rPr>
        <w:t>aims to develop</w:t>
      </w:r>
      <w:r w:rsidRPr="00931504">
        <w:rPr>
          <w:rFonts w:cs="Arial"/>
        </w:rPr>
        <w:t xml:space="preserve"> new technologies </w:t>
      </w:r>
      <w:r>
        <w:rPr>
          <w:rFonts w:cs="Arial"/>
        </w:rPr>
        <w:t xml:space="preserve">or processes </w:t>
      </w:r>
      <w:r w:rsidRPr="00931504">
        <w:rPr>
          <w:rFonts w:cs="Arial"/>
        </w:rPr>
        <w:t xml:space="preserve">that </w:t>
      </w:r>
      <w:r>
        <w:rPr>
          <w:rFonts w:cs="Arial"/>
        </w:rPr>
        <w:t xml:space="preserve">drive downward cost pressure associated with </w:t>
      </w:r>
      <w:r w:rsidR="00DE4528">
        <w:rPr>
          <w:rFonts w:cs="Arial"/>
        </w:rPr>
        <w:t xml:space="preserve">beneficial </w:t>
      </w:r>
      <w:r w:rsidR="0014280F">
        <w:rPr>
          <w:rFonts w:cs="Arial"/>
        </w:rPr>
        <w:t>use</w:t>
      </w:r>
      <w:r w:rsidR="00DE4528" w:rsidRPr="00EC2E02">
        <w:rPr>
          <w:rFonts w:cs="Arial"/>
        </w:rPr>
        <w:t xml:space="preserve"> </w:t>
      </w:r>
      <w:r>
        <w:rPr>
          <w:rFonts w:cs="Arial"/>
        </w:rPr>
        <w:t xml:space="preserve">and expand current and potential markets. This downward cost pressure would create an adjustable mechanism to obtain market equilibrium such that beneficial reuse from operating power plants is preserved. In addition, technology developments or enhancements to </w:t>
      </w:r>
      <w:r w:rsidR="00BF29D2">
        <w:rPr>
          <w:rFonts w:cs="Arial"/>
        </w:rPr>
        <w:t>beneficially use</w:t>
      </w:r>
      <w:r w:rsidR="00BF29D2" w:rsidRPr="00931504">
        <w:rPr>
          <w:rFonts w:cs="Arial"/>
        </w:rPr>
        <w:t xml:space="preserve"> </w:t>
      </w:r>
      <w:r w:rsidRPr="00931504">
        <w:rPr>
          <w:rFonts w:cs="Arial"/>
        </w:rPr>
        <w:t xml:space="preserve">CCR </w:t>
      </w:r>
      <w:r>
        <w:rPr>
          <w:rFonts w:cs="Arial"/>
        </w:rPr>
        <w:t>could</w:t>
      </w:r>
      <w:r w:rsidRPr="00931504">
        <w:rPr>
          <w:rFonts w:cs="Arial"/>
        </w:rPr>
        <w:t xml:space="preserve"> ultimately allow G</w:t>
      </w:r>
      <w:r>
        <w:rPr>
          <w:rFonts w:cs="Arial"/>
        </w:rPr>
        <w:t>eorgia Power</w:t>
      </w:r>
      <w:r w:rsidRPr="00931504">
        <w:rPr>
          <w:rFonts w:cs="Arial"/>
        </w:rPr>
        <w:t xml:space="preserve"> to reduce the amount of CCR that </w:t>
      </w:r>
      <w:r>
        <w:rPr>
          <w:rFonts w:cs="Arial"/>
        </w:rPr>
        <w:t>is</w:t>
      </w:r>
      <w:r w:rsidRPr="00931504">
        <w:rPr>
          <w:rFonts w:cs="Arial"/>
        </w:rPr>
        <w:t xml:space="preserve"> stored in landfills</w:t>
      </w:r>
      <w:r>
        <w:rPr>
          <w:rFonts w:cs="Arial"/>
        </w:rPr>
        <w:t xml:space="preserve"> or reclaim CCR already stored in landfills and ash ponds. This </w:t>
      </w:r>
      <w:r w:rsidR="001A4B9D">
        <w:rPr>
          <w:rFonts w:cs="Arial"/>
        </w:rPr>
        <w:t xml:space="preserve">may </w:t>
      </w:r>
      <w:r>
        <w:rPr>
          <w:rFonts w:cs="Arial"/>
        </w:rPr>
        <w:t xml:space="preserve">result in </w:t>
      </w:r>
      <w:r w:rsidR="318EA61F" w:rsidRPr="67F86674">
        <w:rPr>
          <w:rFonts w:cs="Arial"/>
        </w:rPr>
        <w:t>reduce</w:t>
      </w:r>
      <w:r w:rsidR="001578EC">
        <w:rPr>
          <w:rFonts w:cs="Arial"/>
        </w:rPr>
        <w:t>d</w:t>
      </w:r>
      <w:r>
        <w:rPr>
          <w:rFonts w:cs="Arial"/>
        </w:rPr>
        <w:t xml:space="preserve"> capital and </w:t>
      </w:r>
      <w:r w:rsidR="00E320FB">
        <w:rPr>
          <w:rFonts w:cs="Arial"/>
        </w:rPr>
        <w:t>operation and maintenance (“</w:t>
      </w:r>
      <w:r>
        <w:rPr>
          <w:rFonts w:cs="Arial"/>
        </w:rPr>
        <w:t>O&amp;M</w:t>
      </w:r>
      <w:r w:rsidR="00E320FB">
        <w:rPr>
          <w:rFonts w:cs="Arial"/>
        </w:rPr>
        <w:t>”)</w:t>
      </w:r>
      <w:r>
        <w:rPr>
          <w:rFonts w:cs="Arial"/>
        </w:rPr>
        <w:t xml:space="preserve"> costs for CCR </w:t>
      </w:r>
      <w:r w:rsidR="00964DE5">
        <w:rPr>
          <w:rFonts w:cs="Arial"/>
        </w:rPr>
        <w:t>man</w:t>
      </w:r>
      <w:r w:rsidR="008E4940">
        <w:rPr>
          <w:rFonts w:cs="Arial"/>
        </w:rPr>
        <w:t>agement</w:t>
      </w:r>
      <w:r>
        <w:rPr>
          <w:rFonts w:cs="Arial"/>
        </w:rPr>
        <w:t xml:space="preserve">. The strategy associated with </w:t>
      </w:r>
      <w:r w:rsidR="00BD3AF6">
        <w:rPr>
          <w:rFonts w:cs="Arial"/>
        </w:rPr>
        <w:t>introduc</w:t>
      </w:r>
      <w:r w:rsidR="008E7E91">
        <w:rPr>
          <w:rFonts w:cs="Arial"/>
        </w:rPr>
        <w:t>ing additional</w:t>
      </w:r>
      <w:r w:rsidR="00BD3AF6">
        <w:rPr>
          <w:rFonts w:cs="Arial"/>
        </w:rPr>
        <w:t xml:space="preserve"> </w:t>
      </w:r>
      <w:r>
        <w:rPr>
          <w:rFonts w:cs="Arial"/>
        </w:rPr>
        <w:t xml:space="preserve">beneficiated ash into the market, as well as limiting the quantity of CCR in landfills, </w:t>
      </w:r>
      <w:r w:rsidR="003F0582">
        <w:rPr>
          <w:rFonts w:cs="Arial"/>
        </w:rPr>
        <w:t>benefits both current and future customers</w:t>
      </w:r>
      <w:r>
        <w:rPr>
          <w:rFonts w:cs="Arial"/>
        </w:rPr>
        <w:t xml:space="preserve">. </w:t>
      </w:r>
    </w:p>
    <w:bookmarkEnd w:id="17"/>
    <w:p w14:paraId="0F4BF6F4" w14:textId="12186152" w:rsidR="007443EF" w:rsidRDefault="4FE42015" w:rsidP="00A00119">
      <w:pPr>
        <w:rPr>
          <w:rFonts w:cs="Arial"/>
        </w:rPr>
      </w:pPr>
      <w:r w:rsidRPr="7C8901C1">
        <w:rPr>
          <w:rFonts w:cs="Arial"/>
        </w:rPr>
        <w:t xml:space="preserve">The </w:t>
      </w:r>
      <w:r w:rsidR="16BDF3B4" w:rsidRPr="7C8901C1">
        <w:rPr>
          <w:rFonts w:cs="Arial"/>
        </w:rPr>
        <w:t xml:space="preserve">core capability of the center is pre-processing </w:t>
      </w:r>
      <w:r w:rsidR="002851A5">
        <w:rPr>
          <w:rFonts w:cs="Arial"/>
        </w:rPr>
        <w:t>harvested</w:t>
      </w:r>
      <w:r w:rsidR="002851A5" w:rsidRPr="7C8901C1">
        <w:rPr>
          <w:rFonts w:cs="Arial"/>
        </w:rPr>
        <w:t xml:space="preserve"> </w:t>
      </w:r>
      <w:r w:rsidR="3CDBCDAA" w:rsidRPr="7C8901C1">
        <w:rPr>
          <w:rFonts w:cs="Arial"/>
        </w:rPr>
        <w:t xml:space="preserve">ash for use in technology demonstrations. Pre-processing includes </w:t>
      </w:r>
      <w:r w:rsidR="16BDF3B4" w:rsidRPr="7C8901C1">
        <w:rPr>
          <w:rFonts w:cs="Arial"/>
        </w:rPr>
        <w:t xml:space="preserve">drying, classifying, storing and delivering </w:t>
      </w:r>
      <w:r w:rsidR="1C9805BD" w:rsidRPr="7C8901C1">
        <w:rPr>
          <w:rFonts w:cs="Arial"/>
        </w:rPr>
        <w:t>the ash</w:t>
      </w:r>
      <w:r w:rsidR="00E27A68">
        <w:rPr>
          <w:rFonts w:cs="Arial"/>
        </w:rPr>
        <w:t xml:space="preserve"> for beneficial use</w:t>
      </w:r>
      <w:r w:rsidR="4797993D" w:rsidRPr="7C8901C1">
        <w:rPr>
          <w:rFonts w:cs="Arial"/>
        </w:rPr>
        <w:t>.</w:t>
      </w:r>
      <w:r w:rsidR="1BD1B2CA" w:rsidRPr="7C8901C1">
        <w:rPr>
          <w:rFonts w:cs="Arial"/>
        </w:rPr>
        <w:t xml:space="preserve"> The major mechanical components of the center were completed in February of 2021</w:t>
      </w:r>
      <w:r w:rsidR="00B156DD">
        <w:rPr>
          <w:rFonts w:cs="Arial"/>
        </w:rPr>
        <w:t>,</w:t>
      </w:r>
      <w:r w:rsidR="1BD1B2CA" w:rsidRPr="7C8901C1">
        <w:rPr>
          <w:rFonts w:cs="Arial"/>
        </w:rPr>
        <w:t xml:space="preserve"> and </w:t>
      </w:r>
      <w:r w:rsidR="00CC7692">
        <w:rPr>
          <w:rFonts w:cs="Arial"/>
        </w:rPr>
        <w:t>full commissioning and acceptance testing were completed in July 2021.</w:t>
      </w:r>
      <w:r w:rsidR="1BD1B2CA" w:rsidRPr="7C8901C1">
        <w:rPr>
          <w:rFonts w:cs="Arial"/>
        </w:rPr>
        <w:t xml:space="preserve"> </w:t>
      </w:r>
      <w:r w:rsidR="4E2D9D55" w:rsidRPr="7C8901C1">
        <w:rPr>
          <w:rFonts w:cs="Arial"/>
        </w:rPr>
        <w:t>The first project</w:t>
      </w:r>
      <w:r w:rsidR="721CC2D9" w:rsidRPr="7C8901C1">
        <w:rPr>
          <w:rFonts w:cs="Arial"/>
        </w:rPr>
        <w:t xml:space="preserve">, </w:t>
      </w:r>
      <w:r w:rsidR="7C3E11AC" w:rsidRPr="4B41DC77">
        <w:rPr>
          <w:rFonts w:cs="Arial"/>
        </w:rPr>
        <w:t>involving</w:t>
      </w:r>
      <w:r w:rsidR="721CC2D9" w:rsidRPr="7C8901C1">
        <w:rPr>
          <w:rFonts w:cs="Arial"/>
        </w:rPr>
        <w:t xml:space="preserve"> the processing and characterization of different </w:t>
      </w:r>
      <w:r w:rsidR="00BE15CF">
        <w:rPr>
          <w:rFonts w:cs="Arial"/>
        </w:rPr>
        <w:t>harvested</w:t>
      </w:r>
      <w:r w:rsidR="00BE15CF" w:rsidRPr="7C8901C1">
        <w:rPr>
          <w:rFonts w:cs="Arial"/>
        </w:rPr>
        <w:t xml:space="preserve"> </w:t>
      </w:r>
      <w:r w:rsidR="721CC2D9" w:rsidRPr="7C8901C1">
        <w:rPr>
          <w:rFonts w:cs="Arial"/>
        </w:rPr>
        <w:t xml:space="preserve">ashes from multiple ponds, </w:t>
      </w:r>
      <w:r w:rsidR="4E2D9D55" w:rsidRPr="7C8901C1">
        <w:rPr>
          <w:rFonts w:cs="Arial"/>
        </w:rPr>
        <w:t xml:space="preserve">is </w:t>
      </w:r>
      <w:r w:rsidR="5FF163F1" w:rsidRPr="7C8901C1">
        <w:rPr>
          <w:rFonts w:cs="Arial"/>
        </w:rPr>
        <w:t xml:space="preserve">currently </w:t>
      </w:r>
      <w:r w:rsidR="4E2D9D55" w:rsidRPr="7C8901C1">
        <w:rPr>
          <w:rFonts w:cs="Arial"/>
        </w:rPr>
        <w:t xml:space="preserve">under development. This project will </w:t>
      </w:r>
      <w:r w:rsidR="0C63B9DD" w:rsidRPr="7C8901C1">
        <w:rPr>
          <w:rFonts w:cs="Arial"/>
        </w:rPr>
        <w:t>provide baseline information about the performance and energy requirements of the center components as well as providing</w:t>
      </w:r>
      <w:r w:rsidR="4E2D9D55" w:rsidRPr="7C8901C1">
        <w:rPr>
          <w:rFonts w:cs="Arial"/>
        </w:rPr>
        <w:t xml:space="preserve"> </w:t>
      </w:r>
      <w:r w:rsidR="25B0BAE4" w:rsidRPr="7C8901C1">
        <w:rPr>
          <w:rFonts w:cs="Arial"/>
        </w:rPr>
        <w:t>a comparison of the relative beneficiation potential of the different ashes.</w:t>
      </w:r>
      <w:r w:rsidR="3CCEF335" w:rsidRPr="7C8901C1">
        <w:rPr>
          <w:rFonts w:cs="Arial"/>
        </w:rPr>
        <w:t xml:space="preserve"> Additionally, the first round of emerging technologies </w:t>
      </w:r>
      <w:r w:rsidR="72FA542D" w:rsidRPr="7C8901C1">
        <w:rPr>
          <w:rFonts w:cs="Arial"/>
        </w:rPr>
        <w:t xml:space="preserve">for development and demonstration </w:t>
      </w:r>
      <w:r w:rsidR="780AD74C" w:rsidRPr="7C8901C1">
        <w:rPr>
          <w:rFonts w:cs="Arial"/>
        </w:rPr>
        <w:t>is under evaluation</w:t>
      </w:r>
      <w:r w:rsidR="060453D7" w:rsidRPr="7C8901C1">
        <w:rPr>
          <w:rFonts w:cs="Arial"/>
        </w:rPr>
        <w:t>,</w:t>
      </w:r>
      <w:r w:rsidR="3CCEF335" w:rsidRPr="7C8901C1">
        <w:rPr>
          <w:rFonts w:cs="Arial"/>
        </w:rPr>
        <w:t xml:space="preserve"> </w:t>
      </w:r>
      <w:r w:rsidR="5D3B2E54" w:rsidRPr="7C8901C1">
        <w:rPr>
          <w:rFonts w:cs="Arial"/>
        </w:rPr>
        <w:t xml:space="preserve">and projects involving the </w:t>
      </w:r>
      <w:r w:rsidR="7F8B4D65" w:rsidRPr="7C8901C1">
        <w:rPr>
          <w:rFonts w:cs="Arial"/>
        </w:rPr>
        <w:t>production of lightweight aggregate from ash and the extraction of valuable minerals</w:t>
      </w:r>
      <w:r w:rsidR="40A48A93" w:rsidRPr="7C8901C1">
        <w:rPr>
          <w:rFonts w:cs="Arial"/>
        </w:rPr>
        <w:t xml:space="preserve"> are being considered</w:t>
      </w:r>
      <w:r w:rsidR="7F8B4D65" w:rsidRPr="7C8901C1">
        <w:rPr>
          <w:rFonts w:cs="Arial"/>
        </w:rPr>
        <w:t xml:space="preserve">. </w:t>
      </w:r>
    </w:p>
    <w:p w14:paraId="4E91D580" w14:textId="628492B7" w:rsidR="00992045" w:rsidRDefault="5041F024" w:rsidP="00A00119">
      <w:pPr>
        <w:rPr>
          <w:rFonts w:cs="Arial"/>
        </w:rPr>
      </w:pPr>
      <w:r w:rsidRPr="7C8901C1">
        <w:rPr>
          <w:rFonts w:cs="Arial"/>
        </w:rPr>
        <w:t xml:space="preserve">EPRI is </w:t>
      </w:r>
      <w:r w:rsidR="0200B4CF" w:rsidRPr="7C8901C1">
        <w:rPr>
          <w:rFonts w:cs="Arial"/>
        </w:rPr>
        <w:t xml:space="preserve">also </w:t>
      </w:r>
      <w:r w:rsidR="3CCEF335" w:rsidRPr="7C8901C1">
        <w:rPr>
          <w:rFonts w:cs="Arial"/>
        </w:rPr>
        <w:t>pursuing external funding opportunities</w:t>
      </w:r>
      <w:r w:rsidR="7CA5CB19" w:rsidRPr="7C8901C1">
        <w:rPr>
          <w:rFonts w:cs="Arial"/>
        </w:rPr>
        <w:t xml:space="preserve"> through grant proposals submitted to the </w:t>
      </w:r>
      <w:r w:rsidR="00510046">
        <w:rPr>
          <w:rFonts w:cs="Arial"/>
        </w:rPr>
        <w:t>DOE</w:t>
      </w:r>
      <w:r w:rsidR="3CCEF335" w:rsidRPr="7C8901C1">
        <w:rPr>
          <w:rFonts w:cs="Arial"/>
        </w:rPr>
        <w:t xml:space="preserve">. </w:t>
      </w:r>
      <w:r w:rsidR="007D6ED9" w:rsidRPr="00FB1A03">
        <w:t>The Company will continue to be engaged in these various efforts as appropriate.</w:t>
      </w:r>
    </w:p>
    <w:p w14:paraId="2F5F2505" w14:textId="4A05573B" w:rsidR="002A16B0" w:rsidRPr="00992045" w:rsidRDefault="00CA2841" w:rsidP="00A00119">
      <w:pPr>
        <w:rPr>
          <w:rFonts w:cs="Arial"/>
          <w:color w:val="171717" w:themeColor="background2" w:themeShade="1A"/>
        </w:rPr>
      </w:pPr>
      <w:r w:rsidRPr="00CA2841">
        <w:rPr>
          <w:rFonts w:cs="Arial"/>
          <w:color w:val="171717" w:themeColor="background2" w:themeShade="1A"/>
        </w:rPr>
        <w:t xml:space="preserve">Additionally, Georgia Power and Southern Company are involved as participants with several DOE-supported projects, which are working to evaluate coal ash as a domestic source for rare earth elements and critical minerals. One project supported and managed by the National Energy Technology Laboratory aims to develop a framework and conceptual design for a facility that would extract rare earth elements and critical minerals from coal ash at a commercial scale, taking advantage of coal ash deposits </w:t>
      </w:r>
      <w:r w:rsidR="076C3311" w:rsidRPr="4E2FAECE">
        <w:rPr>
          <w:rFonts w:cs="Arial"/>
          <w:color w:val="171717" w:themeColor="background2" w:themeShade="1A"/>
        </w:rPr>
        <w:t>stored</w:t>
      </w:r>
      <w:r w:rsidRPr="00CA2841">
        <w:rPr>
          <w:rFonts w:cs="Arial"/>
          <w:color w:val="171717" w:themeColor="background2" w:themeShade="1A"/>
        </w:rPr>
        <w:t xml:space="preserve"> throughout the southeast</w:t>
      </w:r>
      <w:r w:rsidR="001F159D">
        <w:rPr>
          <w:rFonts w:cs="Arial"/>
          <w:color w:val="171717" w:themeColor="background2" w:themeShade="1A"/>
        </w:rPr>
        <w:t>ern</w:t>
      </w:r>
      <w:r w:rsidRPr="00CA2841">
        <w:rPr>
          <w:rFonts w:cs="Arial"/>
          <w:color w:val="171717" w:themeColor="background2" w:themeShade="1A"/>
        </w:rPr>
        <w:t xml:space="preserve"> U.S. Georgia Power is also participating through Southern Company on two project teams as part of DOE’s Carbon Ore, Rare Earths and Critical Minerals (CORE-CM) Initiative with the goal of driving regional economic development to establish a domestic supply chain, using coal ash as an important resource.</w:t>
      </w:r>
    </w:p>
    <w:p w14:paraId="1B58CE7E" w14:textId="48B97546" w:rsidR="00EC6C90" w:rsidRPr="00C337A3" w:rsidRDefault="00452A7E" w:rsidP="000A681E">
      <w:pPr>
        <w:rPr>
          <w:rFonts w:cs="Arial"/>
          <w:color w:val="171717" w:themeColor="background2" w:themeShade="1A"/>
        </w:rPr>
      </w:pPr>
      <w:r>
        <w:rPr>
          <w:rFonts w:cs="Arial"/>
          <w:color w:val="171717" w:themeColor="background2" w:themeShade="1A"/>
        </w:rPr>
        <w:br w:type="page"/>
      </w:r>
    </w:p>
    <w:p w14:paraId="721AD4B5" w14:textId="769D3135" w:rsidR="00EF4F28" w:rsidRDefault="00C56ED8" w:rsidP="00F9508B">
      <w:pPr>
        <w:pStyle w:val="Heading1"/>
      </w:pPr>
      <w:bookmarkStart w:id="18" w:name="_Toc94197868"/>
      <w:r w:rsidRPr="0093182B">
        <w:t>3</w:t>
      </w:r>
      <w:r w:rsidR="00447DFE" w:rsidRPr="16982F57">
        <w:t>.0</w:t>
      </w:r>
      <w:r w:rsidR="00654526">
        <w:t xml:space="preserve"> </w:t>
      </w:r>
      <w:r w:rsidR="00EF4F28" w:rsidRPr="16982F57">
        <w:t>Federal and State Regulatory, Legislation and Judicial Review</w:t>
      </w:r>
      <w:bookmarkEnd w:id="18"/>
    </w:p>
    <w:p w14:paraId="3BB67025" w14:textId="150CC85A" w:rsidR="00110E8C" w:rsidRDefault="00533DF2" w:rsidP="00110E8C">
      <w:pPr>
        <w:rPr>
          <w:rFonts w:cs="Arial"/>
        </w:rPr>
      </w:pPr>
      <w:r w:rsidRPr="1C0516EC">
        <w:rPr>
          <w:rFonts w:cs="Arial"/>
        </w:rPr>
        <w:t>T</w:t>
      </w:r>
      <w:r w:rsidR="00D4243A" w:rsidRPr="1C0516EC">
        <w:rPr>
          <w:rFonts w:cs="Arial"/>
        </w:rPr>
        <w:t xml:space="preserve">he </w:t>
      </w:r>
      <w:r w:rsidR="00270851" w:rsidRPr="1C0516EC">
        <w:rPr>
          <w:rFonts w:cs="Arial"/>
        </w:rPr>
        <w:t>environmental</w:t>
      </w:r>
      <w:r w:rsidR="003700C7" w:rsidRPr="1C0516EC">
        <w:rPr>
          <w:rFonts w:cs="Arial"/>
        </w:rPr>
        <w:t xml:space="preserve"> policy</w:t>
      </w:r>
      <w:r w:rsidR="00F92441" w:rsidRPr="1C0516EC">
        <w:rPr>
          <w:rFonts w:cs="Arial"/>
        </w:rPr>
        <w:t xml:space="preserve"> landscape</w:t>
      </w:r>
      <w:r w:rsidR="00D4243A" w:rsidRPr="1C0516EC">
        <w:rPr>
          <w:rFonts w:cs="Arial"/>
        </w:rPr>
        <w:t xml:space="preserve"> experienced several regulatory, </w:t>
      </w:r>
      <w:r w:rsidR="003679FC" w:rsidRPr="1C0516EC">
        <w:rPr>
          <w:rFonts w:cs="Arial"/>
        </w:rPr>
        <w:t>legislative</w:t>
      </w:r>
      <w:r w:rsidR="00D4243A" w:rsidRPr="1C0516EC">
        <w:rPr>
          <w:rFonts w:cs="Arial"/>
        </w:rPr>
        <w:t xml:space="preserve">, and judicial actions since the 2019 IRP filing. </w:t>
      </w:r>
      <w:r w:rsidR="000A64CD" w:rsidRPr="1C0516EC">
        <w:rPr>
          <w:rFonts w:cs="Arial"/>
        </w:rPr>
        <w:t xml:space="preserve">The following section provides a summary of the major US environmental laws, </w:t>
      </w:r>
      <w:r w:rsidR="00942549" w:rsidRPr="1C0516EC">
        <w:rPr>
          <w:rFonts w:cs="Arial"/>
        </w:rPr>
        <w:t>notable regulatory related events, ex</w:t>
      </w:r>
      <w:r w:rsidR="00AB5250" w:rsidRPr="1C0516EC">
        <w:rPr>
          <w:rFonts w:cs="Arial"/>
        </w:rPr>
        <w:t xml:space="preserve">pected future </w:t>
      </w:r>
      <w:r w:rsidR="00551E5C" w:rsidRPr="1C0516EC">
        <w:rPr>
          <w:rFonts w:cs="Arial"/>
        </w:rPr>
        <w:t>environmental</w:t>
      </w:r>
      <w:r w:rsidR="00AB5250" w:rsidRPr="1C0516EC">
        <w:rPr>
          <w:rFonts w:cs="Arial"/>
        </w:rPr>
        <w:t xml:space="preserve"> regulatory </w:t>
      </w:r>
      <w:r w:rsidR="00551E5C" w:rsidRPr="1C0516EC">
        <w:rPr>
          <w:rFonts w:cs="Arial"/>
        </w:rPr>
        <w:t>actions</w:t>
      </w:r>
      <w:r w:rsidR="00E72298" w:rsidRPr="1C0516EC">
        <w:rPr>
          <w:rFonts w:cs="Arial"/>
        </w:rPr>
        <w:t>,</w:t>
      </w:r>
      <w:r w:rsidR="00835BAB" w:rsidRPr="1C0516EC">
        <w:rPr>
          <w:rFonts w:cs="Arial"/>
        </w:rPr>
        <w:t xml:space="preserve"> and detailed </w:t>
      </w:r>
      <w:r w:rsidR="00873608" w:rsidRPr="1C0516EC">
        <w:rPr>
          <w:rFonts w:cs="Arial"/>
        </w:rPr>
        <w:t>description</w:t>
      </w:r>
      <w:r w:rsidR="00552D5A" w:rsidRPr="1C0516EC">
        <w:rPr>
          <w:rFonts w:cs="Arial"/>
        </w:rPr>
        <w:t xml:space="preserve"> of </w:t>
      </w:r>
      <w:r w:rsidR="005B2A77" w:rsidRPr="1C0516EC">
        <w:rPr>
          <w:rFonts w:cs="Arial"/>
        </w:rPr>
        <w:t xml:space="preserve">the </w:t>
      </w:r>
      <w:r w:rsidR="00552D5A" w:rsidRPr="1C0516EC">
        <w:rPr>
          <w:rFonts w:cs="Arial"/>
        </w:rPr>
        <w:t xml:space="preserve">changes </w:t>
      </w:r>
      <w:r w:rsidR="005B2A77" w:rsidRPr="1C0516EC">
        <w:rPr>
          <w:rFonts w:cs="Arial"/>
        </w:rPr>
        <w:t>to</w:t>
      </w:r>
      <w:r w:rsidR="002C7706" w:rsidRPr="1C0516EC">
        <w:rPr>
          <w:rFonts w:cs="Arial"/>
        </w:rPr>
        <w:t xml:space="preserve"> regulation</w:t>
      </w:r>
      <w:r w:rsidR="006116F0" w:rsidRPr="1C0516EC">
        <w:rPr>
          <w:rFonts w:cs="Arial"/>
        </w:rPr>
        <w:t>s impacting the electric utility industry</w:t>
      </w:r>
      <w:r w:rsidR="00551E5C" w:rsidRPr="1C0516EC">
        <w:rPr>
          <w:rFonts w:cs="Arial"/>
        </w:rPr>
        <w:t>.</w:t>
      </w:r>
      <w:r w:rsidR="0FB7E264" w:rsidRPr="1C0516EC">
        <w:rPr>
          <w:rFonts w:cs="Arial"/>
        </w:rPr>
        <w:t xml:space="preserve">  </w:t>
      </w:r>
      <w:r w:rsidR="33E6BE10" w:rsidRPr="1B741160">
        <w:rPr>
          <w:rFonts w:cs="Arial"/>
        </w:rPr>
        <w:t xml:space="preserve">Georgia Power has taken into account all of </w:t>
      </w:r>
      <w:r w:rsidR="00642540">
        <w:rPr>
          <w:rFonts w:cs="Arial"/>
        </w:rPr>
        <w:t>these</w:t>
      </w:r>
      <w:r w:rsidR="33E6BE10" w:rsidRPr="1B741160">
        <w:rPr>
          <w:rFonts w:cs="Arial"/>
        </w:rPr>
        <w:t xml:space="preserve"> issues in addressing the compliance strategy later in Section 4.</w:t>
      </w:r>
      <w:r w:rsidR="00556C36">
        <w:rPr>
          <w:rFonts w:cs="Arial"/>
        </w:rPr>
        <w:t>0</w:t>
      </w:r>
      <w:r w:rsidR="33E6BE10" w:rsidRPr="1B741160">
        <w:rPr>
          <w:rFonts w:cs="Arial"/>
        </w:rPr>
        <w:t xml:space="preserve">. </w:t>
      </w:r>
    </w:p>
    <w:p w14:paraId="10F8BD89" w14:textId="1C767807" w:rsidR="00D53DA5" w:rsidRPr="002C486A" w:rsidRDefault="00D53DA5" w:rsidP="00CE151D">
      <w:pPr>
        <w:pStyle w:val="Heading2"/>
      </w:pPr>
      <w:bookmarkStart w:id="19" w:name="_Toc94197869"/>
      <w:r>
        <w:t>3.1 Major US Environmental Laws</w:t>
      </w:r>
      <w:bookmarkEnd w:id="19"/>
    </w:p>
    <w:p w14:paraId="318BFCAC" w14:textId="24431745" w:rsidR="00D53DA5" w:rsidRPr="00110E8C" w:rsidRDefault="00D53DA5" w:rsidP="008C0425">
      <w:pPr>
        <w:pStyle w:val="Heading3"/>
      </w:pPr>
      <w:bookmarkStart w:id="20" w:name="_Toc94197870"/>
      <w:r w:rsidRPr="00110E8C">
        <w:t>Clean Air Act</w:t>
      </w:r>
      <w:bookmarkEnd w:id="20"/>
      <w:r w:rsidRPr="00110E8C">
        <w:t xml:space="preserve"> </w:t>
      </w:r>
    </w:p>
    <w:p w14:paraId="62692C66" w14:textId="2C8C9C66" w:rsidR="00D53DA5" w:rsidRPr="00DB7156" w:rsidRDefault="00D53DA5" w:rsidP="00D53DA5">
      <w:pPr>
        <w:spacing w:after="0"/>
        <w:rPr>
          <w:rFonts w:cs="Arial"/>
          <w:szCs w:val="24"/>
        </w:rPr>
      </w:pPr>
      <w:r w:rsidRPr="0093182B">
        <w:rPr>
          <w:rFonts w:cs="Arial"/>
          <w:szCs w:val="24"/>
        </w:rPr>
        <w:t>The</w:t>
      </w:r>
      <w:r w:rsidRPr="00DB7156">
        <w:rPr>
          <w:rFonts w:cs="Arial"/>
          <w:szCs w:val="24"/>
        </w:rPr>
        <w:t xml:space="preserve"> portions of the </w:t>
      </w:r>
      <w:r>
        <w:rPr>
          <w:rFonts w:cs="Arial"/>
          <w:szCs w:val="24"/>
        </w:rPr>
        <w:t>CAA</w:t>
      </w:r>
      <w:r w:rsidRPr="00DB7156">
        <w:rPr>
          <w:rFonts w:cs="Arial"/>
          <w:szCs w:val="24"/>
        </w:rPr>
        <w:t xml:space="preserve"> and the 1990 </w:t>
      </w:r>
      <w:r>
        <w:rPr>
          <w:rFonts w:cs="Arial"/>
          <w:szCs w:val="24"/>
        </w:rPr>
        <w:t>CAAA</w:t>
      </w:r>
      <w:r w:rsidRPr="00DB7156">
        <w:rPr>
          <w:rFonts w:cs="Arial"/>
          <w:szCs w:val="24"/>
        </w:rPr>
        <w:t xml:space="preserve"> that impact the electric utility industry most directly are:</w:t>
      </w:r>
    </w:p>
    <w:p w14:paraId="77D91DB1" w14:textId="77777777" w:rsidR="00D53DA5" w:rsidRPr="00DB7156" w:rsidRDefault="00D53DA5" w:rsidP="00D53DA5">
      <w:pPr>
        <w:spacing w:after="0"/>
        <w:ind w:left="765"/>
        <w:rPr>
          <w:rFonts w:cs="Arial"/>
          <w:szCs w:val="24"/>
        </w:rPr>
      </w:pPr>
    </w:p>
    <w:p w14:paraId="5F550AEE" w14:textId="526866CF" w:rsidR="00D53DA5" w:rsidRPr="00DB7156" w:rsidRDefault="00D53DA5" w:rsidP="005D2968">
      <w:pPr>
        <w:numPr>
          <w:ilvl w:val="0"/>
          <w:numId w:val="12"/>
        </w:numPr>
        <w:spacing w:after="0"/>
        <w:rPr>
          <w:rFonts w:cs="Arial"/>
        </w:rPr>
      </w:pPr>
      <w:r w:rsidRPr="0B10EE18">
        <w:rPr>
          <w:rFonts w:cs="Arial"/>
        </w:rPr>
        <w:t xml:space="preserve">Title I, </w:t>
      </w:r>
      <w:r w:rsidR="00BB1DFC">
        <w:rPr>
          <w:rFonts w:cs="Arial"/>
        </w:rPr>
        <w:t>National A</w:t>
      </w:r>
      <w:r w:rsidR="00171A53">
        <w:rPr>
          <w:rFonts w:cs="Arial"/>
        </w:rPr>
        <w:t xml:space="preserve">mbient </w:t>
      </w:r>
      <w:r w:rsidR="00BB1DFC">
        <w:rPr>
          <w:rFonts w:cs="Arial"/>
        </w:rPr>
        <w:t xml:space="preserve">Air </w:t>
      </w:r>
      <w:r w:rsidR="00171A53">
        <w:rPr>
          <w:rFonts w:cs="Arial"/>
        </w:rPr>
        <w:t>Quality Standards (</w:t>
      </w:r>
      <w:r w:rsidR="00EA37BC">
        <w:rPr>
          <w:rFonts w:cs="Arial"/>
        </w:rPr>
        <w:t>“</w:t>
      </w:r>
      <w:r w:rsidRPr="0B10EE18">
        <w:rPr>
          <w:rFonts w:cs="Arial"/>
        </w:rPr>
        <w:t>NAAQS</w:t>
      </w:r>
      <w:r w:rsidR="00EA37BC">
        <w:rPr>
          <w:rFonts w:cs="Arial"/>
        </w:rPr>
        <w:t>”</w:t>
      </w:r>
      <w:r w:rsidR="00171A53">
        <w:rPr>
          <w:rFonts w:cs="Arial"/>
        </w:rPr>
        <w:t>)</w:t>
      </w:r>
      <w:r w:rsidRPr="0B10EE18">
        <w:rPr>
          <w:rFonts w:cs="Arial"/>
        </w:rPr>
        <w:t xml:space="preserve"> and New and Existing Source Performance Standards</w:t>
      </w:r>
    </w:p>
    <w:p w14:paraId="5C914193" w14:textId="77777777" w:rsidR="00D53DA5" w:rsidRPr="00DB7156" w:rsidRDefault="00D53DA5" w:rsidP="005D2968">
      <w:pPr>
        <w:numPr>
          <w:ilvl w:val="0"/>
          <w:numId w:val="12"/>
        </w:numPr>
        <w:spacing w:after="0"/>
        <w:rPr>
          <w:rFonts w:cs="Arial"/>
        </w:rPr>
      </w:pPr>
      <w:r w:rsidRPr="0B10EE18">
        <w:rPr>
          <w:rFonts w:cs="Arial"/>
        </w:rPr>
        <w:t>Title III, Air Toxics</w:t>
      </w:r>
    </w:p>
    <w:p w14:paraId="4B8D7A92" w14:textId="77777777" w:rsidR="00D53DA5" w:rsidRPr="00DB7156" w:rsidRDefault="00D53DA5" w:rsidP="005D2968">
      <w:pPr>
        <w:numPr>
          <w:ilvl w:val="0"/>
          <w:numId w:val="12"/>
        </w:numPr>
        <w:spacing w:after="0"/>
        <w:rPr>
          <w:rFonts w:cs="Arial"/>
        </w:rPr>
      </w:pPr>
      <w:r w:rsidRPr="0B10EE18">
        <w:rPr>
          <w:rFonts w:cs="Arial"/>
        </w:rPr>
        <w:t>Title IV, Acid Rain</w:t>
      </w:r>
    </w:p>
    <w:p w14:paraId="0DA40889" w14:textId="77777777" w:rsidR="00D53DA5" w:rsidRPr="00DB7156" w:rsidRDefault="00D53DA5" w:rsidP="005D2968">
      <w:pPr>
        <w:numPr>
          <w:ilvl w:val="0"/>
          <w:numId w:val="12"/>
        </w:numPr>
        <w:spacing w:after="0"/>
        <w:rPr>
          <w:rFonts w:cs="Arial"/>
        </w:rPr>
      </w:pPr>
      <w:r w:rsidRPr="0B10EE18">
        <w:rPr>
          <w:rFonts w:cs="Arial"/>
        </w:rPr>
        <w:t>Title V, Permits</w:t>
      </w:r>
    </w:p>
    <w:p w14:paraId="68E82CE9" w14:textId="77777777" w:rsidR="00D53DA5" w:rsidRPr="00DB7156" w:rsidRDefault="00D53DA5" w:rsidP="00D53DA5">
      <w:pPr>
        <w:spacing w:after="0"/>
        <w:rPr>
          <w:rFonts w:cs="Arial"/>
          <w:szCs w:val="24"/>
        </w:rPr>
      </w:pPr>
    </w:p>
    <w:p w14:paraId="2E0FC8E0" w14:textId="39A5B5D2" w:rsidR="00D53DA5" w:rsidRPr="00DB7156" w:rsidRDefault="00D53DA5" w:rsidP="00D53DA5">
      <w:r w:rsidRPr="00DB7156">
        <w:t>The core of the CAA is the NAAQS. The CAA requires that the EPA determine what level of six specific pollutants (ozone, PM, SO</w:t>
      </w:r>
      <w:r w:rsidRPr="00DB7156">
        <w:rPr>
          <w:vertAlign w:val="subscript"/>
        </w:rPr>
        <w:t>2</w:t>
      </w:r>
      <w:r w:rsidRPr="00DB7156">
        <w:t>, lead, carbon monoxide (</w:t>
      </w:r>
      <w:r>
        <w:t>“</w:t>
      </w:r>
      <w:r w:rsidRPr="00DB7156">
        <w:t>CO</w:t>
      </w:r>
      <w:r>
        <w:t>”</w:t>
      </w:r>
      <w:r w:rsidRPr="00DB7156">
        <w:t xml:space="preserve">), and NOx) in the ambient air is protective of human health </w:t>
      </w:r>
      <w:r w:rsidR="00C45E09">
        <w:t xml:space="preserve">and the environment </w:t>
      </w:r>
      <w:r w:rsidRPr="00DB7156">
        <w:t xml:space="preserve">with a margin of safety. </w:t>
      </w:r>
      <w:r w:rsidR="005C37CE">
        <w:t xml:space="preserve">EPA </w:t>
      </w:r>
      <w:r w:rsidR="00257841">
        <w:t>sets a primary standard designed to protect human health and can set a secondary standard focused on protecting the environment.</w:t>
      </w:r>
      <w:r w:rsidRPr="00DB7156">
        <w:t xml:space="preserve"> Areas of the country where levels of these pollutants exceed the NAAQS are known as nonattainment areas. States must dev</w:t>
      </w:r>
      <w:r>
        <w:t xml:space="preserve">elop </w:t>
      </w:r>
      <w:r w:rsidR="00542775">
        <w:t>state implementation plans</w:t>
      </w:r>
      <w:r>
        <w:t xml:space="preserve"> </w:t>
      </w:r>
      <w:r w:rsidR="00542775">
        <w:t>(“</w:t>
      </w:r>
      <w:r w:rsidRPr="00DB7156">
        <w:t>SIPs</w:t>
      </w:r>
      <w:r w:rsidR="00542775">
        <w:t>”)</w:t>
      </w:r>
      <w:r w:rsidRPr="00DB7156">
        <w:t xml:space="preserve"> with control strategies designed to bring these areas into attainment. EPA is required to review the NAAQS every five years, update them if necessary</w:t>
      </w:r>
      <w:r>
        <w:t xml:space="preserve">, and is authorized to </w:t>
      </w:r>
      <w:r w:rsidRPr="00DB7156">
        <w:t>issue regulations necessary to prevent emissions in one or more states from contributing to nonattainment in other states. EPA has implemented four programs for managing interstate impacts on nonattainment that have been applicable to Georgia Power units – the NO</w:t>
      </w:r>
      <w:r w:rsidRPr="00DB7156">
        <w:rPr>
          <w:vertAlign w:val="subscript"/>
        </w:rPr>
        <w:t>x</w:t>
      </w:r>
      <w:r w:rsidRPr="00DB7156">
        <w:t xml:space="preserve"> Budget Trading Program (NO</w:t>
      </w:r>
      <w:r w:rsidRPr="00DB7156">
        <w:rPr>
          <w:vertAlign w:val="subscript"/>
        </w:rPr>
        <w:t>x</w:t>
      </w:r>
      <w:r w:rsidRPr="00DB7156">
        <w:t xml:space="preserve"> SIP Call), CAIR, and </w:t>
      </w:r>
      <w:r w:rsidR="005B1885">
        <w:t xml:space="preserve">Cross State Air </w:t>
      </w:r>
      <w:r w:rsidR="00CA1E4F">
        <w:t>Pollution Rule</w:t>
      </w:r>
      <w:r w:rsidRPr="00DB7156">
        <w:t xml:space="preserve"> </w:t>
      </w:r>
      <w:r w:rsidR="00CA1E4F">
        <w:t>(“</w:t>
      </w:r>
      <w:r w:rsidRPr="00DB7156">
        <w:t>CSAPR</w:t>
      </w:r>
      <w:r w:rsidR="00CA1E4F">
        <w:t>”)</w:t>
      </w:r>
      <w:r w:rsidRPr="00DB7156">
        <w:t xml:space="preserve"> (as a replacement to </w:t>
      </w:r>
      <w:r w:rsidR="00ED4651">
        <w:t>Clean Air Interstate Rule (“</w:t>
      </w:r>
      <w:r w:rsidRPr="00DB7156">
        <w:t>CAIR</w:t>
      </w:r>
      <w:r w:rsidR="00ED4651">
        <w:t>”)</w:t>
      </w:r>
      <w:r w:rsidRPr="00DB7156">
        <w:t xml:space="preserve">) and the CSAPR Update Rule. </w:t>
      </w:r>
    </w:p>
    <w:p w14:paraId="2E9A183C" w14:textId="77777777" w:rsidR="00D53DA5" w:rsidRDefault="00D53DA5" w:rsidP="00D53DA5">
      <w:r>
        <w:t xml:space="preserve">Title I of the CAA authorizes EPA to establish a list of categories of stationary sources that cause or contribute significantly to air pollution which may reasonably be anticipated to endanger public health or welfare. Subsequently, EPA is authorized to establish standards of performance for new, modified and reconstructed sources within such categories. EPA is also directed to prescribe regulations which shall establish a procedure under which each State shall submit to EPA a plan which establishes standards of performance for any existing source for any air pollutant to which a standard of performance would apply if such existing source were a new source. </w:t>
      </w:r>
    </w:p>
    <w:p w14:paraId="68A08DFC" w14:textId="611E7FC3" w:rsidR="00D53DA5" w:rsidRPr="00DB7156" w:rsidRDefault="00D53DA5" w:rsidP="00D53DA5">
      <w:pPr>
        <w:rPr>
          <w:color w:val="000000"/>
        </w:rPr>
      </w:pPr>
      <w:r w:rsidRPr="00DB7156">
        <w:t>Title III of the CAA requires regulation of listed Hazardous Air Pollutants (</w:t>
      </w:r>
      <w:r>
        <w:t>“</w:t>
      </w:r>
      <w:r w:rsidRPr="00DB7156">
        <w:t>HAPs</w:t>
      </w:r>
      <w:r>
        <w:t>”</w:t>
      </w:r>
      <w:r w:rsidRPr="00DB7156">
        <w:t xml:space="preserve">) and requires implementation of emission limits equivalent to the </w:t>
      </w:r>
      <w:r w:rsidR="00567C78">
        <w:t>Maximum Achievable Control Technology (“</w:t>
      </w:r>
      <w:r w:rsidRPr="00DB7156">
        <w:t>MACT</w:t>
      </w:r>
      <w:r w:rsidR="00567C78">
        <w:t>”)</w:t>
      </w:r>
      <w:r w:rsidRPr="00DB7156">
        <w:t xml:space="preserve"> for specific source categories, as determined by EPA. </w:t>
      </w:r>
      <w:r>
        <w:t>Several different MACT R</w:t>
      </w:r>
      <w:r w:rsidRPr="00DB7156">
        <w:t xml:space="preserve">ules affect </w:t>
      </w:r>
      <w:r>
        <w:t>Georgia Power</w:t>
      </w:r>
      <w:r w:rsidRPr="00DB7156">
        <w:t>, including, notably, the final MATS Rule</w:t>
      </w:r>
      <w:r>
        <w:t xml:space="preserve">. </w:t>
      </w:r>
      <w:r w:rsidRPr="00DB7156">
        <w:t>Once in place, MACT standards are to be reviewed by EPA every eight years.</w:t>
      </w:r>
    </w:p>
    <w:p w14:paraId="7273F4BB" w14:textId="77777777" w:rsidR="00D53DA5" w:rsidRPr="00DB7156" w:rsidRDefault="00D53DA5" w:rsidP="00D53DA5">
      <w:pPr>
        <w:rPr>
          <w:color w:val="000000"/>
        </w:rPr>
      </w:pPr>
      <w:r w:rsidRPr="00DB7156">
        <w:t>The CAAA also added the Acid Rain Program (Title IV). This program requires reductions of SO</w:t>
      </w:r>
      <w:r w:rsidRPr="00DB7156">
        <w:rPr>
          <w:vertAlign w:val="subscript"/>
        </w:rPr>
        <w:t>2</w:t>
      </w:r>
      <w:r w:rsidRPr="00DB7156">
        <w:t xml:space="preserve"> and NOx emissions to reduce </w:t>
      </w:r>
      <w:r w:rsidRPr="00DB7156">
        <w:rPr>
          <w:color w:val="000000"/>
        </w:rPr>
        <w:t xml:space="preserve">acid rain. The Acid Rain Program had the most immediate impact on </w:t>
      </w:r>
      <w:r>
        <w:rPr>
          <w:color w:val="000000"/>
        </w:rPr>
        <w:t>Georgia Power</w:t>
      </w:r>
      <w:r w:rsidRPr="00DB7156">
        <w:rPr>
          <w:color w:val="000000"/>
        </w:rPr>
        <w:t xml:space="preserve"> and the electric utility industry following the 1990 amendments.</w:t>
      </w:r>
    </w:p>
    <w:p w14:paraId="65809142" w14:textId="77777777" w:rsidR="00D53DA5" w:rsidRPr="00DB7156" w:rsidRDefault="00D53DA5" w:rsidP="00D53DA5">
      <w:pPr>
        <w:rPr>
          <w:color w:val="000000"/>
        </w:rPr>
      </w:pPr>
      <w:r w:rsidRPr="12E428E8">
        <w:rPr>
          <w:color w:val="000000" w:themeColor="text1"/>
        </w:rPr>
        <w:t xml:space="preserve">Title V of the CAAA added requirements for facilities to obtain federally enforceable operating permits. The permits are meant to clearly lay out most of the applicable air quality-related regulations for affected facilities by compiling all applicable requirements into one document. Georgia Power’s Title V permits include both state and federal requirements and are issued by the Georgia EPD. </w:t>
      </w:r>
    </w:p>
    <w:p w14:paraId="10517D67" w14:textId="77777777" w:rsidR="00D53DA5" w:rsidRPr="00DB7156" w:rsidRDefault="00D53DA5" w:rsidP="008C0425">
      <w:pPr>
        <w:pStyle w:val="Heading3"/>
      </w:pPr>
      <w:bookmarkStart w:id="21" w:name="_Toc94197871"/>
      <w:r w:rsidRPr="00DB7156">
        <w:t>Clean Water Act</w:t>
      </w:r>
      <w:bookmarkEnd w:id="21"/>
      <w:r w:rsidRPr="00DB7156">
        <w:t xml:space="preserve"> </w:t>
      </w:r>
    </w:p>
    <w:p w14:paraId="21448587" w14:textId="77777777" w:rsidR="00D53DA5" w:rsidRDefault="00D53DA5" w:rsidP="00D53DA5">
      <w:r w:rsidRPr="00DB7156">
        <w:t xml:space="preserve">The </w:t>
      </w:r>
      <w:r w:rsidRPr="53ADDA6E">
        <w:t>Clean Water Act (“</w:t>
      </w:r>
      <w:r w:rsidRPr="00DB7156">
        <w:t>CWA</w:t>
      </w:r>
      <w:r w:rsidRPr="53ADDA6E">
        <w:t>”)</w:t>
      </w:r>
      <w:r w:rsidRPr="00DB7156">
        <w:t xml:space="preserve"> </w:t>
      </w:r>
      <w:r>
        <w:t xml:space="preserve">was established to </w:t>
      </w:r>
      <w:r w:rsidRPr="00DB7156">
        <w:t xml:space="preserve">restore and maintain the chemical, physical and biological integrity of the </w:t>
      </w:r>
      <w:r w:rsidRPr="53ADDA6E">
        <w:t>Waters of the U.S. (“</w:t>
      </w:r>
      <w:r w:rsidRPr="00DB7156">
        <w:t>WOTUS</w:t>
      </w:r>
      <w:r w:rsidRPr="53ADDA6E">
        <w:t>”).</w:t>
      </w:r>
      <w:r w:rsidRPr="00DB7156">
        <w:t xml:space="preserve"> </w:t>
      </w:r>
    </w:p>
    <w:p w14:paraId="5CC34CDB" w14:textId="5A921B4F" w:rsidR="00D53DA5" w:rsidRPr="004F6F5F" w:rsidRDefault="00D53DA5" w:rsidP="00D53DA5">
      <w:r w:rsidRPr="00DB7156">
        <w:t xml:space="preserve">Pursuant to </w:t>
      </w:r>
      <w:r>
        <w:t>Section 402 of</w:t>
      </w:r>
      <w:r w:rsidRPr="00DB7156">
        <w:t xml:space="preserve"> the CWA, the NPDES permit program was developed and implemented to regulate pollutant discharges to WOTUS. Authority to discharge under the CWA may be granted through a NPDES permit issued by EPA, or by a state that has been delegated such authority by EPA. The NPDES permit program is used as a means of achieving and enforcing technology-based </w:t>
      </w:r>
      <w:r w:rsidR="00895A8B">
        <w:t>effluent limitations</w:t>
      </w:r>
      <w:r w:rsidRPr="53ADDA6E">
        <w:t xml:space="preserve"> </w:t>
      </w:r>
      <w:r w:rsidRPr="00DB7156">
        <w:t>and water quality-based effluent limitations. Georgia EPD has been delegated the authority to issue NPDES permits in Georgia.</w:t>
      </w:r>
    </w:p>
    <w:p w14:paraId="114C254B" w14:textId="24A3A54C" w:rsidR="00D53DA5" w:rsidRPr="00DB7156" w:rsidRDefault="00D53DA5" w:rsidP="00D53DA5">
      <w:r w:rsidRPr="00DB7156">
        <w:t xml:space="preserve">EPA has established ELGs for the steam electric industry and other industrial source categories based on treatment technologies. </w:t>
      </w:r>
      <w:r w:rsidRPr="53ADDA6E">
        <w:t>The steam electric ELGs</w:t>
      </w:r>
      <w:r w:rsidRPr="00DB7156">
        <w:t xml:space="preserve"> were promulgated in 1974, amended in 1982, and most recently updated in 2015</w:t>
      </w:r>
      <w:r w:rsidRPr="53ADDA6E">
        <w:t xml:space="preserve"> and in 2020.</w:t>
      </w:r>
      <w:r w:rsidRPr="00DB7156">
        <w:t xml:space="preserve"> </w:t>
      </w:r>
      <w:r w:rsidR="00644F4A">
        <w:t xml:space="preserve"> EPA has announced that it will revisit the rule </w:t>
      </w:r>
      <w:r w:rsidR="00CD4A1C">
        <w:t>and issue revisions in the fall of 2022.</w:t>
      </w:r>
      <w:r w:rsidRPr="00DB7156">
        <w:t xml:space="preserve"> EPA is responsible for periodically reviewing and updating these ELGs, which serve as the basis of the technology-based permit limits that appear in individual NPDES wastewater discharge permits. </w:t>
      </w:r>
    </w:p>
    <w:p w14:paraId="719FD297" w14:textId="6E48B8E9" w:rsidR="00A4107E" w:rsidRDefault="00D53DA5" w:rsidP="00A4107E">
      <w:pPr>
        <w:rPr>
          <w:color w:val="000000" w:themeColor="text1"/>
        </w:rPr>
      </w:pPr>
      <w:r w:rsidRPr="00DB7156">
        <w:t xml:space="preserve">Section 316(b) of the CWA, which regulates cooling water intake structures, is implemented through NPDES permits. Section 316(b) regulations are intended to protect fish and other aquatic species in the vicinity of utility cooling water intake structures. The focus of Section 316(b) is to ensure that the location, design, construction, operation, and capacity of cooling water intake structures reflect the best technology available </w:t>
      </w:r>
      <w:r w:rsidR="00877FE5">
        <w:t>(“BTA”)</w:t>
      </w:r>
      <w:r w:rsidRPr="00DB7156">
        <w:t xml:space="preserve"> to </w:t>
      </w:r>
      <w:r w:rsidRPr="53ADDA6E">
        <w:rPr>
          <w:color w:val="000000" w:themeColor="text1"/>
        </w:rPr>
        <w:t>minimize adverse impacts from impingement and entrainment of fish, shellfish, and other aquatic organisms.</w:t>
      </w:r>
    </w:p>
    <w:p w14:paraId="26597B05" w14:textId="5FA0403D" w:rsidR="00A4107E" w:rsidRDefault="00A4107E" w:rsidP="00A4107E">
      <w:pPr>
        <w:rPr>
          <w:rFonts w:eastAsia="Calibri" w:cs="Arial"/>
        </w:rPr>
      </w:pPr>
      <w:r>
        <w:rPr>
          <w:rFonts w:eastAsia="Calibri" w:cs="Arial"/>
        </w:rPr>
        <w:t>Section 401 of the CWA gives states and authorized tribes authority to assess potential water quality impacts of discharges from federally permitted or licensed projects that may affect navigable waters within their borders. Section 401 is</w:t>
      </w:r>
      <w:r w:rsidDel="00144BBB">
        <w:rPr>
          <w:rFonts w:eastAsia="Calibri" w:cs="Arial"/>
        </w:rPr>
        <w:t xml:space="preserve"> </w:t>
      </w:r>
      <w:r>
        <w:rPr>
          <w:rFonts w:eastAsia="Calibri" w:cs="Arial"/>
        </w:rPr>
        <w:t>used to help protect water quality while allowing federal permitting and licensing processes to proceed in a timely manner.</w:t>
      </w:r>
      <w:r w:rsidR="00411C52">
        <w:rPr>
          <w:rFonts w:eastAsia="Calibri" w:cs="Arial"/>
        </w:rPr>
        <w:t xml:space="preserve"> For Georgia Power, power delivery projects</w:t>
      </w:r>
      <w:r w:rsidR="00AA5231">
        <w:rPr>
          <w:rFonts w:eastAsia="Calibri" w:cs="Arial"/>
        </w:rPr>
        <w:t xml:space="preserve">, </w:t>
      </w:r>
      <w:r w:rsidR="00411C52">
        <w:rPr>
          <w:rFonts w:eastAsia="Calibri" w:cs="Arial"/>
        </w:rPr>
        <w:t>hydroelectric relicensing</w:t>
      </w:r>
      <w:r w:rsidR="00AA5231">
        <w:rPr>
          <w:rFonts w:eastAsia="Calibri" w:cs="Arial"/>
        </w:rPr>
        <w:t>, and other projects</w:t>
      </w:r>
      <w:r w:rsidR="00411C52">
        <w:rPr>
          <w:rFonts w:eastAsia="Calibri" w:cs="Arial"/>
        </w:rPr>
        <w:t xml:space="preserve"> will require reviews under Section 401.</w:t>
      </w:r>
    </w:p>
    <w:p w14:paraId="51D13207" w14:textId="473ECF34" w:rsidR="00A4107E" w:rsidRDefault="00A4107E" w:rsidP="00A4107E">
      <w:pPr>
        <w:rPr>
          <w:rFonts w:eastAsia="Calibri" w:cs="Arial"/>
        </w:rPr>
      </w:pPr>
      <w:r>
        <w:rPr>
          <w:rFonts w:eastAsia="Calibri" w:cs="Arial"/>
        </w:rPr>
        <w:t>Section 404 of the CWA establishes a program to regulate the discharge of dredged or fill materials into WOTUS, including wetlands. Individual permits are reviewed by the U.S. Army Corps of Engineers</w:t>
      </w:r>
      <w:r w:rsidR="00411C52">
        <w:rPr>
          <w:rFonts w:eastAsia="Calibri" w:cs="Arial"/>
        </w:rPr>
        <w:t xml:space="preserve"> (“USACE”)</w:t>
      </w:r>
      <w:r>
        <w:rPr>
          <w:rFonts w:eastAsia="Calibri" w:cs="Arial"/>
        </w:rPr>
        <w:t>.  Nationwide permits (“NWP”) are general permits established on a national basis for certain categories of activities to streamline the permitting process</w:t>
      </w:r>
      <w:r w:rsidR="0089646D">
        <w:rPr>
          <w:rFonts w:eastAsia="Calibri" w:cs="Arial"/>
        </w:rPr>
        <w:t xml:space="preserve"> some of which require agency coordination through preconstruction notifications</w:t>
      </w:r>
      <w:r w:rsidR="00411C52">
        <w:rPr>
          <w:rFonts w:eastAsia="Calibri" w:cs="Arial"/>
        </w:rPr>
        <w:t>. Maintenance and construction of power delivery infrastructure and new or expanded generation projects</w:t>
      </w:r>
      <w:r w:rsidR="00850212">
        <w:rPr>
          <w:rFonts w:eastAsia="Calibri" w:cs="Arial"/>
        </w:rPr>
        <w:t xml:space="preserve"> are a few examples of how Georgia Power</w:t>
      </w:r>
      <w:r w:rsidR="00411C52">
        <w:rPr>
          <w:rFonts w:eastAsia="Calibri" w:cs="Arial"/>
        </w:rPr>
        <w:t xml:space="preserve"> can utilize the NWP program.</w:t>
      </w:r>
    </w:p>
    <w:p w14:paraId="4B93BB82" w14:textId="16370203" w:rsidR="00D53DA5" w:rsidRPr="00DB7156" w:rsidRDefault="00D53DA5" w:rsidP="008C0425">
      <w:pPr>
        <w:pStyle w:val="Heading3"/>
      </w:pPr>
      <w:bookmarkStart w:id="22" w:name="_Toc94197872"/>
      <w:r w:rsidRPr="00DB7156">
        <w:t xml:space="preserve">Resource Conservation and Recovery Act </w:t>
      </w:r>
      <w:r w:rsidR="00E45C78">
        <w:t>(“RCRA”)</w:t>
      </w:r>
      <w:bookmarkEnd w:id="22"/>
    </w:p>
    <w:p w14:paraId="56ACA566" w14:textId="5BD96716" w:rsidR="00A178F6" w:rsidRDefault="00D53DA5" w:rsidP="009C7652">
      <w:r w:rsidRPr="00DB7156">
        <w:t xml:space="preserve">This law governs the generation, transportation, treatment, storage and disposal of solid and hazardous waste. </w:t>
      </w:r>
      <w:r w:rsidR="003E734D">
        <w:t>While there</w:t>
      </w:r>
      <w:r w:rsidR="0086525A">
        <w:t xml:space="preserve"> are multiple subtitles of the law</w:t>
      </w:r>
      <w:r w:rsidR="00716FB9">
        <w:t>,</w:t>
      </w:r>
      <w:r w:rsidR="003E734D">
        <w:t xml:space="preserve"> the</w:t>
      </w:r>
      <w:r w:rsidR="0086525A">
        <w:t xml:space="preserve"> two </w:t>
      </w:r>
      <w:r w:rsidR="00CE455B">
        <w:t>with the</w:t>
      </w:r>
      <w:r w:rsidR="0086525A">
        <w:t xml:space="preserve"> greatest impact to </w:t>
      </w:r>
      <w:r w:rsidR="001E02EE">
        <w:t xml:space="preserve">the </w:t>
      </w:r>
      <w:r w:rsidR="003E734D">
        <w:t>electric utility</w:t>
      </w:r>
      <w:r w:rsidR="001E02EE">
        <w:t xml:space="preserve"> industry</w:t>
      </w:r>
      <w:r w:rsidR="00774817">
        <w:t xml:space="preserve"> are</w:t>
      </w:r>
      <w:r w:rsidR="001E02EE">
        <w:t xml:space="preserve"> Subtitle C</w:t>
      </w:r>
      <w:r w:rsidR="00B43CF4">
        <w:t xml:space="preserve"> and Subtitle D. Subtitle C</w:t>
      </w:r>
      <w:r w:rsidR="00774817">
        <w:t xml:space="preserve"> </w:t>
      </w:r>
      <w:r w:rsidR="001E02EE">
        <w:t xml:space="preserve">lays out a </w:t>
      </w:r>
      <w:r w:rsidR="00140D52">
        <w:t xml:space="preserve">comprehensive program </w:t>
      </w:r>
      <w:r w:rsidR="001B52A3">
        <w:t>for hazardous waste management</w:t>
      </w:r>
      <w:r w:rsidR="00B43CF4">
        <w:t xml:space="preserve">. </w:t>
      </w:r>
      <w:r w:rsidR="001B52A3">
        <w:t xml:space="preserve">Subtitle D </w:t>
      </w:r>
      <w:r w:rsidR="00774817">
        <w:t xml:space="preserve">outlines criteria for </w:t>
      </w:r>
      <w:r w:rsidR="2290C3BE">
        <w:t xml:space="preserve">siting, </w:t>
      </w:r>
      <w:r w:rsidR="2594A963">
        <w:t>ope</w:t>
      </w:r>
      <w:r w:rsidR="50A5527C">
        <w:t>r</w:t>
      </w:r>
      <w:r w:rsidR="2594A963">
        <w:t>ations, closure and post-closure</w:t>
      </w:r>
      <w:r w:rsidR="4DC779ED">
        <w:t xml:space="preserve"> care of </w:t>
      </w:r>
      <w:r w:rsidR="001C1DD4">
        <w:t xml:space="preserve">solid waste facilities, including </w:t>
      </w:r>
      <w:r w:rsidR="4DC779ED">
        <w:t>CCR landfills and ash ponds</w:t>
      </w:r>
      <w:r w:rsidR="777A5928">
        <w:t>.</w:t>
      </w:r>
      <w:r w:rsidR="005C7CC3">
        <w:t xml:space="preserve">  </w:t>
      </w:r>
      <w:r w:rsidR="000F72DE">
        <w:t xml:space="preserve">Both Subtitles allow for state implementation of </w:t>
      </w:r>
      <w:r w:rsidR="005654AC">
        <w:t>waste management</w:t>
      </w:r>
      <w:r w:rsidR="000F72DE">
        <w:t xml:space="preserve"> criteria</w:t>
      </w:r>
      <w:r w:rsidR="007257A1">
        <w:t>.</w:t>
      </w:r>
      <w:r w:rsidR="00CF6063">
        <w:t xml:space="preserve">  Georgia </w:t>
      </w:r>
      <w:r w:rsidR="00F4203E">
        <w:t xml:space="preserve">has received approval </w:t>
      </w:r>
      <w:r w:rsidR="00323A01">
        <w:t xml:space="preserve">for state implementation </w:t>
      </w:r>
      <w:r w:rsidR="001B44F8">
        <w:t xml:space="preserve">of </w:t>
      </w:r>
      <w:r w:rsidR="00243DB2" w:rsidRPr="0B10EE18">
        <w:rPr>
          <w:rFonts w:cs="Arial"/>
          <w:color w:val="171717" w:themeColor="background2" w:themeShade="1A"/>
        </w:rPr>
        <w:t>EPD’s CCR Program Permitting Program</w:t>
      </w:r>
      <w:r w:rsidR="00243DB2">
        <w:t xml:space="preserve"> </w:t>
      </w:r>
      <w:r w:rsidR="00F4203E">
        <w:t>from the EPA</w:t>
      </w:r>
      <w:r w:rsidR="00B11B9A">
        <w:t xml:space="preserve"> with the exception of provisions for endangered species</w:t>
      </w:r>
      <w:r w:rsidR="000F72DE">
        <w:t>.</w:t>
      </w:r>
    </w:p>
    <w:p w14:paraId="7D8D4B08" w14:textId="03D64306" w:rsidR="00D53DA5" w:rsidRPr="00DB7156" w:rsidRDefault="00860A4F" w:rsidP="00D53DA5">
      <w:r>
        <w:t xml:space="preserve">EPA </w:t>
      </w:r>
      <w:r w:rsidR="00C863C8">
        <w:t>finalized</w:t>
      </w:r>
      <w:r>
        <w:t xml:space="preserve"> a rule</w:t>
      </w:r>
      <w:r w:rsidR="00494927">
        <w:t xml:space="preserve"> in </w:t>
      </w:r>
      <w:r>
        <w:t xml:space="preserve">April 2015 </w:t>
      </w:r>
      <w:r w:rsidR="006D7268">
        <w:t>which</w:t>
      </w:r>
      <w:r>
        <w:t xml:space="preserve"> regulates CCR under RCRA subtitle D</w:t>
      </w:r>
      <w:r w:rsidR="63A68343">
        <w:t xml:space="preserve"> as non-hazardous waste</w:t>
      </w:r>
      <w:r>
        <w:t>.</w:t>
      </w:r>
      <w:r w:rsidR="00FA177D">
        <w:t xml:space="preserve">  </w:t>
      </w:r>
      <w:r w:rsidR="65096EC7" w:rsidRPr="3C8DE61D">
        <w:rPr>
          <w:rFonts w:eastAsiaTheme="minorEastAsia"/>
        </w:rPr>
        <w:t>T</w:t>
      </w:r>
      <w:r w:rsidR="7CA5F456" w:rsidRPr="3C8DE61D">
        <w:rPr>
          <w:rFonts w:eastAsiaTheme="minorEastAsia"/>
        </w:rPr>
        <w:t>he</w:t>
      </w:r>
      <w:r w:rsidR="65096EC7" w:rsidRPr="3C8DE61D">
        <w:rPr>
          <w:rFonts w:eastAsiaTheme="minorEastAsia"/>
        </w:rPr>
        <w:t xml:space="preserve"> final rule was the result of extensive study by EPA of the effects of CCR on human health and the environment and represented a decision by EPA to uphold decades of previous Agency determinations that coal ash should be regulated as non-hazardous waste. </w:t>
      </w:r>
    </w:p>
    <w:p w14:paraId="308465D2" w14:textId="77777777" w:rsidR="00D53DA5" w:rsidRPr="00DB7156" w:rsidRDefault="00D53DA5" w:rsidP="00D53DA5">
      <w:pPr>
        <w:rPr>
          <w:b/>
          <w:bCs/>
        </w:rPr>
      </w:pPr>
      <w:r w:rsidRPr="00DB7156">
        <w:t>Th</w:t>
      </w:r>
      <w:r w:rsidRPr="00DB7156">
        <w:rPr>
          <w:bCs/>
        </w:rPr>
        <w:t>e relevant programs and regulations derived from these laws are discussed in more detail in the following sections.</w:t>
      </w:r>
    </w:p>
    <w:p w14:paraId="699D6EF8" w14:textId="7DE65149" w:rsidR="00865FF2" w:rsidRPr="008375BC" w:rsidRDefault="00B34D2B" w:rsidP="00CE151D">
      <w:pPr>
        <w:pStyle w:val="Heading2"/>
      </w:pPr>
      <w:bookmarkStart w:id="23" w:name="_Toc94197873"/>
      <w:r w:rsidRPr="008375BC">
        <w:t>3.</w:t>
      </w:r>
      <w:r w:rsidR="00B24715">
        <w:t>2</w:t>
      </w:r>
      <w:r w:rsidR="00654526">
        <w:t xml:space="preserve"> </w:t>
      </w:r>
      <w:r w:rsidR="00865FF2" w:rsidRPr="008375BC">
        <w:t>Notable Regulatory Related Events</w:t>
      </w:r>
      <w:bookmarkEnd w:id="23"/>
    </w:p>
    <w:p w14:paraId="41E69F02" w14:textId="20D1F918" w:rsidR="006618AD" w:rsidRPr="00764E94" w:rsidRDefault="00A34081" w:rsidP="00A00119">
      <w:r>
        <w:t xml:space="preserve">Georgia Power tracks environmental regulatory developments on an ongoing basis to anticipate and determine any impacts to Company operations. </w:t>
      </w:r>
      <w:r w:rsidR="00181F78">
        <w:t>With the</w:t>
      </w:r>
      <w:r w:rsidR="00181F78" w:rsidDel="00AC2F0E">
        <w:t xml:space="preserve"> </w:t>
      </w:r>
      <w:r>
        <w:t xml:space="preserve">change in </w:t>
      </w:r>
      <w:r w:rsidR="00555128">
        <w:t>presidential a</w:t>
      </w:r>
      <w:r>
        <w:t>dministration</w:t>
      </w:r>
      <w:r w:rsidR="00B600C8">
        <w:t xml:space="preserve"> in 2021</w:t>
      </w:r>
      <w:r w:rsidR="00FB47CF">
        <w:t xml:space="preserve">, </w:t>
      </w:r>
      <w:r>
        <w:t>the direction and priorities of environmental policies</w:t>
      </w:r>
      <w:r w:rsidR="00895CAD">
        <w:t xml:space="preserve"> are </w:t>
      </w:r>
      <w:r>
        <w:t>significantly</w:t>
      </w:r>
      <w:r w:rsidR="000B11D0" w:rsidRPr="000B11D0">
        <w:t xml:space="preserve"> </w:t>
      </w:r>
      <w:r w:rsidR="000B11D0">
        <w:t>shifting</w:t>
      </w:r>
      <w:r>
        <w:t xml:space="preserve">. The following section highlights the </w:t>
      </w:r>
      <w:r w:rsidR="00AB6FEE">
        <w:t>EO</w:t>
      </w:r>
      <w:r w:rsidR="00862DBD">
        <w:t>s</w:t>
      </w:r>
      <w:r w:rsidR="00DD23AD">
        <w:t xml:space="preserve"> from </w:t>
      </w:r>
      <w:r>
        <w:t xml:space="preserve">the Biden Administration </w:t>
      </w:r>
      <w:r w:rsidR="00DD23AD">
        <w:t>that outline</w:t>
      </w:r>
      <w:r w:rsidR="007B26C4">
        <w:t xml:space="preserve"> its </w:t>
      </w:r>
      <w:r w:rsidR="00AE0C98">
        <w:t xml:space="preserve">environmental </w:t>
      </w:r>
      <w:r w:rsidR="007B26C4">
        <w:t xml:space="preserve">policy strategies </w:t>
      </w:r>
      <w:r>
        <w:t>and provides a timeline of recent and anticipated regulatory events.</w:t>
      </w:r>
      <w:r w:rsidR="007023FB" w:rsidRPr="00764E94" w:rsidDel="007023FB">
        <w:t xml:space="preserve"> </w:t>
      </w:r>
    </w:p>
    <w:p w14:paraId="7E77F219" w14:textId="77777777" w:rsidR="002E3416" w:rsidRPr="00005E0D" w:rsidRDefault="002E3416" w:rsidP="008C0425">
      <w:pPr>
        <w:pStyle w:val="Heading3"/>
      </w:pPr>
      <w:bookmarkStart w:id="24" w:name="_Toc94197874"/>
      <w:r w:rsidRPr="00005E0D">
        <w:t>Regulatory Review</w:t>
      </w:r>
      <w:bookmarkEnd w:id="24"/>
    </w:p>
    <w:p w14:paraId="5A8FB785" w14:textId="62C43DE6" w:rsidR="00BB67D1" w:rsidRDefault="0057392B" w:rsidP="00BB67D1">
      <w:r>
        <w:t>Since assuming office i</w:t>
      </w:r>
      <w:r w:rsidR="00BB67D1" w:rsidRPr="00991EAF">
        <w:t>n</w:t>
      </w:r>
      <w:r w:rsidR="00BB67D1">
        <w:t xml:space="preserve"> early 2021, President Biden </w:t>
      </w:r>
      <w:r>
        <w:t xml:space="preserve">has </w:t>
      </w:r>
      <w:r w:rsidR="00BB67D1">
        <w:t>issued several statements and</w:t>
      </w:r>
      <w:r w:rsidR="006D5CFA">
        <w:t xml:space="preserve"> an</w:t>
      </w:r>
      <w:r w:rsidR="00BB67D1">
        <w:t xml:space="preserve"> EO pertaining to the review and potential repeal, replacement, or modification of federal actions and regulations</w:t>
      </w:r>
      <w:r w:rsidR="00B12EA0">
        <w:t xml:space="preserve">, marking a change in direction </w:t>
      </w:r>
      <w:r w:rsidR="00365473">
        <w:t xml:space="preserve">on environmental policies from the previous </w:t>
      </w:r>
      <w:r w:rsidR="005C522C">
        <w:t>administration</w:t>
      </w:r>
      <w:r w:rsidR="002E3416">
        <w:t>.</w:t>
      </w:r>
      <w:r w:rsidR="00BB67D1">
        <w:t xml:space="preserve">  </w:t>
      </w:r>
    </w:p>
    <w:p w14:paraId="7E1FC0B3" w14:textId="7A2BEBE7" w:rsidR="00BB67D1" w:rsidRDefault="00BB67D1" w:rsidP="009C7652">
      <w:pPr>
        <w:rPr>
          <w:rFonts w:cs="Arial"/>
        </w:rPr>
      </w:pPr>
      <w:r w:rsidRPr="00005E0D">
        <w:t xml:space="preserve">On </w:t>
      </w:r>
      <w:r>
        <w:t xml:space="preserve">January 20, </w:t>
      </w:r>
      <w:r w:rsidRPr="00005E0D">
        <w:t>20</w:t>
      </w:r>
      <w:r>
        <w:t>21</w:t>
      </w:r>
      <w:r w:rsidRPr="00005E0D">
        <w:t xml:space="preserve">, President </w:t>
      </w:r>
      <w:r>
        <w:t>Biden</w:t>
      </w:r>
      <w:r w:rsidRPr="00005E0D">
        <w:t xml:space="preserve"> issued </w:t>
      </w:r>
      <w:r>
        <w:t xml:space="preserve">a statement </w:t>
      </w:r>
      <w:r w:rsidRPr="5F31A53A">
        <w:t>accepting</w:t>
      </w:r>
      <w:r>
        <w:t xml:space="preserve"> the full terms of the Paris Agreement on behalf of the United States</w:t>
      </w:r>
      <w:r w:rsidR="000D2D9E">
        <w:t>, after the withdrawal by the previous administration</w:t>
      </w:r>
      <w:r>
        <w:t xml:space="preserve">. </w:t>
      </w:r>
      <w:r w:rsidR="00FD16D6">
        <w:t>On that same day</w:t>
      </w:r>
      <w:r>
        <w:t xml:space="preserve">, President Biden </w:t>
      </w:r>
      <w:r w:rsidR="00FD16D6">
        <w:t>also</w:t>
      </w:r>
      <w:r>
        <w:t xml:space="preserve"> signed EO </w:t>
      </w:r>
      <w:r w:rsidR="00C045FD">
        <w:t>13990 titled,</w:t>
      </w:r>
      <w:r w:rsidRPr="00005E0D">
        <w:t xml:space="preserve"> </w:t>
      </w:r>
      <w:r>
        <w:t xml:space="preserve">“Protecting Public Health and the </w:t>
      </w:r>
      <w:r w:rsidRPr="5F31A53A">
        <w:t>Environment</w:t>
      </w:r>
      <w:r>
        <w:t xml:space="preserve"> and Restoring </w:t>
      </w:r>
      <w:r w:rsidRPr="5F31A53A">
        <w:t>Science</w:t>
      </w:r>
      <w:r>
        <w:t xml:space="preserve"> to Tackle the Climate Crisis.</w:t>
      </w:r>
      <w:r w:rsidRPr="05D6D28C">
        <w:t>”</w:t>
      </w:r>
      <w:r>
        <w:t xml:space="preserve"> The EO established a goal to publish a social cost of </w:t>
      </w:r>
      <w:r w:rsidR="00DF7787">
        <w:t>greenhouse gases</w:t>
      </w:r>
      <w:r>
        <w:t xml:space="preserve"> (</w:t>
      </w:r>
      <w:r w:rsidR="00BA43F0">
        <w:t>“</w:t>
      </w:r>
      <w:r>
        <w:t>SC-GHGs</w:t>
      </w:r>
      <w:r w:rsidR="00BA43F0">
        <w:t>”</w:t>
      </w:r>
      <w:r>
        <w:t xml:space="preserve">) for use by all federal agencies, also ordering that the SC-GHGs adequately take </w:t>
      </w:r>
      <w:r w:rsidR="30EB7521">
        <w:t>into</w:t>
      </w:r>
      <w:r>
        <w:t xml:space="preserve"> account</w:t>
      </w:r>
      <w:r w:rsidDel="00BA11C7">
        <w:t xml:space="preserve"> </w:t>
      </w:r>
      <w:r>
        <w:t>environmental justice.  The EO o</w:t>
      </w:r>
      <w:r w:rsidRPr="05D6D28C">
        <w:t>rder</w:t>
      </w:r>
      <w:r>
        <w:t>ed</w:t>
      </w:r>
      <w:r w:rsidRPr="744658EA">
        <w:t xml:space="preserve"> </w:t>
      </w:r>
      <w:r>
        <w:t xml:space="preserve">all </w:t>
      </w:r>
      <w:r w:rsidRPr="744658EA">
        <w:t xml:space="preserve">executive departments and </w:t>
      </w:r>
      <w:r>
        <w:t xml:space="preserve">agencies to </w:t>
      </w:r>
      <w:r w:rsidRPr="744658EA">
        <w:t xml:space="preserve">immediately </w:t>
      </w:r>
      <w:r>
        <w:t xml:space="preserve">review and, </w:t>
      </w:r>
      <w:r w:rsidRPr="05D6D28C">
        <w:t>as</w:t>
      </w:r>
      <w:r>
        <w:t xml:space="preserve"> </w:t>
      </w:r>
      <w:r w:rsidRPr="2029BD2F">
        <w:t xml:space="preserve">appropriate </w:t>
      </w:r>
      <w:r w:rsidRPr="75F79207">
        <w:t xml:space="preserve">and consistent with applicable law, take action to address the promulgation of Federal regulations and other actions during the last </w:t>
      </w:r>
      <w:r w:rsidR="007C0542">
        <w:t>four</w:t>
      </w:r>
      <w:r w:rsidR="007C0542" w:rsidRPr="75F79207">
        <w:t xml:space="preserve"> </w:t>
      </w:r>
      <w:r w:rsidRPr="75F79207">
        <w:t xml:space="preserve">years that </w:t>
      </w:r>
      <w:r w:rsidR="00457601">
        <w:t xml:space="preserve">are deemed to </w:t>
      </w:r>
      <w:r w:rsidRPr="75F79207">
        <w:t>conflic</w:t>
      </w:r>
      <w:r>
        <w:t xml:space="preserve">t with the national objectives to promote and protect public health and the </w:t>
      </w:r>
      <w:r w:rsidRPr="5F31A53A">
        <w:t>environment.</w:t>
      </w:r>
      <w:r>
        <w:t xml:space="preserve"> </w:t>
      </w:r>
    </w:p>
    <w:p w14:paraId="511F7560" w14:textId="368DA993" w:rsidR="00BB67D1" w:rsidRDefault="00A92E9E" w:rsidP="00BB67D1">
      <w:pPr>
        <w:spacing w:after="0"/>
        <w:rPr>
          <w:rFonts w:cs="Arial"/>
          <w:szCs w:val="24"/>
        </w:rPr>
      </w:pPr>
      <w:r>
        <w:rPr>
          <w:rFonts w:cs="Arial"/>
          <w:szCs w:val="24"/>
        </w:rPr>
        <w:t xml:space="preserve">On January 27, 2021, </w:t>
      </w:r>
      <w:r w:rsidR="00BB67D1">
        <w:rPr>
          <w:rFonts w:cs="Arial"/>
          <w:szCs w:val="24"/>
        </w:rPr>
        <w:t>President Biden</w:t>
      </w:r>
      <w:r>
        <w:rPr>
          <w:rFonts w:cs="Arial"/>
          <w:szCs w:val="24"/>
        </w:rPr>
        <w:t xml:space="preserve"> issued</w:t>
      </w:r>
      <w:r w:rsidR="00BB67D1">
        <w:rPr>
          <w:rFonts w:cs="Arial"/>
          <w:szCs w:val="24"/>
        </w:rPr>
        <w:t xml:space="preserve"> EO</w:t>
      </w:r>
      <w:r w:rsidR="00D00240">
        <w:rPr>
          <w:rFonts w:cs="Arial"/>
          <w:szCs w:val="24"/>
        </w:rPr>
        <w:t xml:space="preserve"> 14008</w:t>
      </w:r>
      <w:r w:rsidR="00BB67D1">
        <w:rPr>
          <w:rFonts w:cs="Arial"/>
          <w:szCs w:val="24"/>
        </w:rPr>
        <w:t xml:space="preserve">, “Tackling the Climate Crisis at Home and Abroad,” </w:t>
      </w:r>
      <w:r w:rsidR="00EF267B">
        <w:rPr>
          <w:rFonts w:cs="Arial"/>
          <w:szCs w:val="24"/>
        </w:rPr>
        <w:t xml:space="preserve">which includes </w:t>
      </w:r>
      <w:r w:rsidR="00873867">
        <w:rPr>
          <w:rFonts w:cs="Arial"/>
          <w:szCs w:val="24"/>
        </w:rPr>
        <w:t>the following topics</w:t>
      </w:r>
      <w:r w:rsidR="00786A7F">
        <w:rPr>
          <w:rFonts w:cs="Arial"/>
          <w:szCs w:val="24"/>
        </w:rPr>
        <w:t>, goals,</w:t>
      </w:r>
      <w:r w:rsidR="00873867">
        <w:rPr>
          <w:rFonts w:cs="Arial"/>
          <w:szCs w:val="24"/>
        </w:rPr>
        <w:t xml:space="preserve"> and</w:t>
      </w:r>
      <w:r w:rsidR="00786A7F">
        <w:rPr>
          <w:rFonts w:cs="Arial"/>
          <w:szCs w:val="24"/>
        </w:rPr>
        <w:t>/or</w:t>
      </w:r>
      <w:r w:rsidR="00873867">
        <w:rPr>
          <w:rFonts w:cs="Arial"/>
          <w:szCs w:val="24"/>
        </w:rPr>
        <w:t xml:space="preserve"> the associated </w:t>
      </w:r>
      <w:r w:rsidR="00AE2479">
        <w:rPr>
          <w:rFonts w:cs="Arial"/>
          <w:szCs w:val="24"/>
        </w:rPr>
        <w:t>actions</w:t>
      </w:r>
      <w:r w:rsidR="00873867">
        <w:rPr>
          <w:rFonts w:cs="Arial"/>
          <w:szCs w:val="24"/>
        </w:rPr>
        <w:t xml:space="preserve"> that have been taken so far</w:t>
      </w:r>
      <w:r w:rsidR="00BB67D1">
        <w:rPr>
          <w:rFonts w:cs="Arial"/>
          <w:szCs w:val="24"/>
        </w:rPr>
        <w:t>:</w:t>
      </w:r>
    </w:p>
    <w:p w14:paraId="3EE6B6D2" w14:textId="77777777" w:rsidR="00BB67D1" w:rsidRDefault="00BB67D1" w:rsidP="00BB67D1">
      <w:pPr>
        <w:spacing w:after="0"/>
        <w:rPr>
          <w:rFonts w:cs="Arial"/>
          <w:szCs w:val="24"/>
        </w:rPr>
      </w:pPr>
    </w:p>
    <w:p w14:paraId="3400730D" w14:textId="3B87A773" w:rsidR="00BB67D1" w:rsidRPr="004922E0" w:rsidRDefault="00BB67D1" w:rsidP="0034029A">
      <w:pPr>
        <w:pStyle w:val="ListParagraph"/>
        <w:numPr>
          <w:ilvl w:val="0"/>
          <w:numId w:val="2"/>
        </w:numPr>
        <w:rPr>
          <w:rFonts w:cs="Arial"/>
        </w:rPr>
      </w:pPr>
      <w:r w:rsidRPr="0B10EE18">
        <w:rPr>
          <w:rFonts w:cs="Arial"/>
        </w:rPr>
        <w:t>Put the Climate Crisis at the Center of US Foreign Policy and Nation Security:</w:t>
      </w:r>
    </w:p>
    <w:p w14:paraId="104A8E9F" w14:textId="4C5FAFE9" w:rsidR="00BB67D1" w:rsidRPr="004922E0" w:rsidRDefault="00E41E22" w:rsidP="005D2968">
      <w:pPr>
        <w:pStyle w:val="ListParagraph"/>
        <w:numPr>
          <w:ilvl w:val="0"/>
          <w:numId w:val="6"/>
        </w:numPr>
        <w:rPr>
          <w:rFonts w:cs="Arial"/>
        </w:rPr>
      </w:pPr>
      <w:r>
        <w:rPr>
          <w:rFonts w:cs="Arial"/>
        </w:rPr>
        <w:t>E</w:t>
      </w:r>
      <w:r w:rsidR="00BB67D1" w:rsidRPr="0B10EE18">
        <w:rPr>
          <w:rFonts w:cs="Arial"/>
        </w:rPr>
        <w:t xml:space="preserve">xercise </w:t>
      </w:r>
      <w:r>
        <w:rPr>
          <w:rFonts w:cs="Arial"/>
        </w:rPr>
        <w:t>U.S.</w:t>
      </w:r>
      <w:r w:rsidR="00BB67D1" w:rsidRPr="0B10EE18">
        <w:rPr>
          <w:rFonts w:cs="Arial"/>
        </w:rPr>
        <w:t xml:space="preserve"> leadership to promote global ambition through short term global emission</w:t>
      </w:r>
      <w:r w:rsidR="0031629F">
        <w:rPr>
          <w:rFonts w:cs="Arial"/>
        </w:rPr>
        <w:t>s</w:t>
      </w:r>
      <w:r w:rsidR="00BB67D1" w:rsidRPr="0B10EE18">
        <w:rPr>
          <w:rFonts w:cs="Arial"/>
        </w:rPr>
        <w:t xml:space="preserve"> reductions and net zero global emission</w:t>
      </w:r>
      <w:r w:rsidR="00DC1EEE">
        <w:rPr>
          <w:rFonts w:cs="Arial"/>
        </w:rPr>
        <w:t>s</w:t>
      </w:r>
      <w:r w:rsidR="00BB67D1" w:rsidRPr="0B10EE18">
        <w:rPr>
          <w:rFonts w:cs="Arial"/>
        </w:rPr>
        <w:t xml:space="preserve"> by mid-century or before.</w:t>
      </w:r>
    </w:p>
    <w:p w14:paraId="299C6C27" w14:textId="1939AB99" w:rsidR="00BB67D1" w:rsidRDefault="003C0F1F" w:rsidP="005D2968">
      <w:pPr>
        <w:pStyle w:val="ListParagraph"/>
        <w:numPr>
          <w:ilvl w:val="0"/>
          <w:numId w:val="6"/>
        </w:numPr>
        <w:rPr>
          <w:rFonts w:cs="Arial"/>
          <w:szCs w:val="24"/>
        </w:rPr>
      </w:pPr>
      <w:r>
        <w:rPr>
          <w:rFonts w:cs="Arial"/>
        </w:rPr>
        <w:t>H</w:t>
      </w:r>
      <w:r w:rsidR="00BB67D1" w:rsidRPr="0B10EE18">
        <w:rPr>
          <w:rFonts w:cs="Arial"/>
        </w:rPr>
        <w:t>ost</w:t>
      </w:r>
      <w:r w:rsidR="00BB67D1">
        <w:rPr>
          <w:rFonts w:cs="Arial"/>
        </w:rPr>
        <w:t>ed</w:t>
      </w:r>
      <w:r w:rsidR="00BB67D1" w:rsidRPr="0B10EE18">
        <w:rPr>
          <w:rFonts w:cs="Arial"/>
        </w:rPr>
        <w:t xml:space="preserve"> a Leaders’ Climate Summit on Earth Day </w:t>
      </w:r>
      <w:r w:rsidR="00886B21">
        <w:rPr>
          <w:rFonts w:cs="Arial"/>
        </w:rPr>
        <w:t>on</w:t>
      </w:r>
      <w:r w:rsidR="00BB67D1" w:rsidRPr="0B10EE18">
        <w:rPr>
          <w:rFonts w:cs="Arial"/>
        </w:rPr>
        <w:t xml:space="preserve"> April 22, </w:t>
      </w:r>
      <w:r w:rsidR="00465E52" w:rsidRPr="0B10EE18">
        <w:rPr>
          <w:rFonts w:cs="Arial"/>
        </w:rPr>
        <w:t>2021,</w:t>
      </w:r>
      <w:r w:rsidR="00BB67D1">
        <w:t xml:space="preserve"> </w:t>
      </w:r>
      <w:r w:rsidR="0096654C">
        <w:t>where President Biden</w:t>
      </w:r>
      <w:r w:rsidR="00BB67D1">
        <w:t xml:space="preserve"> announced</w:t>
      </w:r>
      <w:r w:rsidR="00BB67D1" w:rsidRPr="00B1709D">
        <w:t xml:space="preserve"> the</w:t>
      </w:r>
      <w:r w:rsidR="00BB67D1">
        <w:t xml:space="preserve"> updated</w:t>
      </w:r>
      <w:r w:rsidR="00BB67D1" w:rsidRPr="00B1709D">
        <w:t xml:space="preserve"> United States nationally determined </w:t>
      </w:r>
      <w:r w:rsidR="00BB67D1" w:rsidRPr="00BB67D1">
        <w:t>contribution (“NDC”), a</w:t>
      </w:r>
      <w:r w:rsidR="00BB67D1">
        <w:t xml:space="preserve"> requirement</w:t>
      </w:r>
      <w:r w:rsidR="00BB67D1" w:rsidRPr="00B1709D">
        <w:t xml:space="preserve"> under the Paris Agreement</w:t>
      </w:r>
      <w:r w:rsidR="00BB67D1">
        <w:t xml:space="preserve">, committing to achieving an economy-wide </w:t>
      </w:r>
      <w:r w:rsidR="00380D95">
        <w:t>greenhouse gas (“</w:t>
      </w:r>
      <w:r w:rsidR="00BB67D1">
        <w:t>GHG</w:t>
      </w:r>
      <w:r w:rsidR="00380D95">
        <w:t>”)</w:t>
      </w:r>
      <w:r w:rsidR="00BB67D1">
        <w:t xml:space="preserve"> emission reduction target of 50-52% from 2005 levels by 2030</w:t>
      </w:r>
      <w:r w:rsidR="00BB67D1" w:rsidRPr="00B1709D">
        <w:t>.</w:t>
      </w:r>
      <w:r w:rsidR="00BB67D1">
        <w:t xml:space="preserve">  </w:t>
      </w:r>
    </w:p>
    <w:p w14:paraId="70EDF007" w14:textId="6936BC7B" w:rsidR="00BB67D1" w:rsidRPr="004922E0" w:rsidRDefault="00BB67D1" w:rsidP="0034029A">
      <w:pPr>
        <w:pStyle w:val="ListParagraph"/>
        <w:numPr>
          <w:ilvl w:val="0"/>
          <w:numId w:val="2"/>
        </w:numPr>
        <w:rPr>
          <w:rFonts w:cs="Arial"/>
        </w:rPr>
      </w:pPr>
      <w:r w:rsidRPr="0B10EE18">
        <w:rPr>
          <w:rFonts w:cs="Arial"/>
        </w:rPr>
        <w:t>Take a Government-Wide Approach to the Climate Crisis:</w:t>
      </w:r>
    </w:p>
    <w:p w14:paraId="731E30E7" w14:textId="7C04C518" w:rsidR="00BB67D1" w:rsidRPr="004922E0" w:rsidRDefault="3D7CC648" w:rsidP="005D2968">
      <w:pPr>
        <w:pStyle w:val="ListParagraph"/>
        <w:numPr>
          <w:ilvl w:val="0"/>
          <w:numId w:val="7"/>
        </w:numPr>
        <w:rPr>
          <w:rFonts w:cs="Arial"/>
        </w:rPr>
      </w:pPr>
      <w:r w:rsidRPr="4B41DC77">
        <w:rPr>
          <w:rFonts w:cs="Arial"/>
        </w:rPr>
        <w:t>E</w:t>
      </w:r>
      <w:r w:rsidR="12D2AD9B" w:rsidRPr="4B41DC77">
        <w:rPr>
          <w:rFonts w:cs="Arial"/>
        </w:rPr>
        <w:t>stablished</w:t>
      </w:r>
      <w:r w:rsidR="00BB67D1" w:rsidRPr="0B10EE18">
        <w:rPr>
          <w:rFonts w:cs="Arial"/>
        </w:rPr>
        <w:t xml:space="preserve"> the White House Office of Domestic Climate Policy, led by the first ever National Climate Advisor </w:t>
      </w:r>
      <w:r w:rsidR="00BB67D1">
        <w:rPr>
          <w:rFonts w:cs="Arial"/>
        </w:rPr>
        <w:t xml:space="preserve">(Gina McCarthy) </w:t>
      </w:r>
      <w:r w:rsidR="00BB67D1" w:rsidRPr="0B10EE18">
        <w:rPr>
          <w:rFonts w:cs="Arial"/>
        </w:rPr>
        <w:t>and Deputy National Climate Advisor</w:t>
      </w:r>
      <w:r w:rsidR="00BB67D1">
        <w:rPr>
          <w:rFonts w:cs="Arial"/>
        </w:rPr>
        <w:t xml:space="preserve"> (Ali Zaidi)</w:t>
      </w:r>
      <w:r w:rsidR="00BB67D1" w:rsidRPr="0B10EE18">
        <w:rPr>
          <w:rFonts w:cs="Arial"/>
        </w:rPr>
        <w:t xml:space="preserve"> and their staff</w:t>
      </w:r>
      <w:r w:rsidR="00114F1C">
        <w:rPr>
          <w:rFonts w:cs="Arial"/>
        </w:rPr>
        <w:t>.</w:t>
      </w:r>
    </w:p>
    <w:p w14:paraId="68471191" w14:textId="2E9CF887" w:rsidR="00BB67D1" w:rsidRPr="004922E0" w:rsidRDefault="00BB67D1" w:rsidP="005D2968">
      <w:pPr>
        <w:pStyle w:val="ListParagraph"/>
        <w:numPr>
          <w:ilvl w:val="0"/>
          <w:numId w:val="7"/>
        </w:numPr>
        <w:rPr>
          <w:rFonts w:cs="Arial"/>
        </w:rPr>
      </w:pPr>
      <w:r w:rsidRPr="0B10EE18">
        <w:rPr>
          <w:rFonts w:cs="Arial"/>
        </w:rPr>
        <w:t>Establish</w:t>
      </w:r>
      <w:r>
        <w:rPr>
          <w:rFonts w:cs="Arial"/>
        </w:rPr>
        <w:t>ed</w:t>
      </w:r>
      <w:r w:rsidRPr="0B10EE18">
        <w:rPr>
          <w:rFonts w:cs="Arial"/>
        </w:rPr>
        <w:t xml:space="preserve"> the National Climate Task Force, with 2</w:t>
      </w:r>
      <w:r w:rsidR="00091095">
        <w:rPr>
          <w:rFonts w:cs="Arial"/>
        </w:rPr>
        <w:t>2</w:t>
      </w:r>
      <w:r w:rsidRPr="0B10EE18">
        <w:rPr>
          <w:rFonts w:cs="Arial"/>
        </w:rPr>
        <w:t xml:space="preserve"> members, to enable a whole of government approach to combatting climate crisis.</w:t>
      </w:r>
    </w:p>
    <w:p w14:paraId="1FD66D0F" w14:textId="67C7B2BD" w:rsidR="00BB67D1" w:rsidRPr="004922E0" w:rsidRDefault="00BB67D1" w:rsidP="0034029A">
      <w:pPr>
        <w:pStyle w:val="ListParagraph"/>
        <w:numPr>
          <w:ilvl w:val="0"/>
          <w:numId w:val="2"/>
        </w:numPr>
        <w:rPr>
          <w:rFonts w:cs="Arial"/>
        </w:rPr>
      </w:pPr>
      <w:r w:rsidRPr="0B10EE18">
        <w:rPr>
          <w:rFonts w:cs="Arial"/>
        </w:rPr>
        <w:t>Use the Federal Government’s Buying Power and Real Property and Asset Management:</w:t>
      </w:r>
    </w:p>
    <w:p w14:paraId="00228D6E" w14:textId="5979F734" w:rsidR="00BB67D1" w:rsidRPr="004922E0" w:rsidRDefault="00BB67D1" w:rsidP="005D2968">
      <w:pPr>
        <w:pStyle w:val="ListParagraph"/>
        <w:numPr>
          <w:ilvl w:val="0"/>
          <w:numId w:val="8"/>
        </w:numPr>
        <w:rPr>
          <w:rFonts w:cs="Arial"/>
        </w:rPr>
      </w:pPr>
      <w:r w:rsidRPr="0B10EE18">
        <w:rPr>
          <w:rFonts w:cs="Arial"/>
        </w:rPr>
        <w:t>Direct</w:t>
      </w:r>
      <w:r>
        <w:rPr>
          <w:rFonts w:cs="Arial"/>
        </w:rPr>
        <w:t>ed</w:t>
      </w:r>
      <w:r w:rsidRPr="0B10EE18">
        <w:rPr>
          <w:rFonts w:cs="Arial"/>
        </w:rPr>
        <w:t xml:space="preserve"> </w:t>
      </w:r>
      <w:r w:rsidR="0090535A">
        <w:rPr>
          <w:rFonts w:cs="Arial"/>
        </w:rPr>
        <w:t>the establ</w:t>
      </w:r>
      <w:r w:rsidR="00413C50">
        <w:rPr>
          <w:rFonts w:cs="Arial"/>
        </w:rPr>
        <w:t>ishment of a plan</w:t>
      </w:r>
      <w:r w:rsidR="00B418F9">
        <w:rPr>
          <w:rFonts w:cs="Arial"/>
        </w:rPr>
        <w:t>, within 90 days,</w:t>
      </w:r>
      <w:r w:rsidR="00413C50">
        <w:rPr>
          <w:rFonts w:cs="Arial"/>
        </w:rPr>
        <w:t xml:space="preserve"> </w:t>
      </w:r>
      <w:r w:rsidR="008B4EEF">
        <w:rPr>
          <w:rFonts w:cs="Arial"/>
        </w:rPr>
        <w:t>t</w:t>
      </w:r>
      <w:r w:rsidR="00717433">
        <w:rPr>
          <w:rFonts w:cs="Arial"/>
        </w:rPr>
        <w:t>hat</w:t>
      </w:r>
      <w:r w:rsidR="00B92A52">
        <w:rPr>
          <w:rFonts w:cs="Arial"/>
        </w:rPr>
        <w:t xml:space="preserve"> revitaliz</w:t>
      </w:r>
      <w:r w:rsidR="00EB35A3">
        <w:rPr>
          <w:rFonts w:cs="Arial"/>
        </w:rPr>
        <w:t>es</w:t>
      </w:r>
      <w:r w:rsidR="00B92A52">
        <w:rPr>
          <w:rFonts w:cs="Arial"/>
        </w:rPr>
        <w:t xml:space="preserve"> the Federal Government’s sustainability goals</w:t>
      </w:r>
      <w:r w:rsidR="008B4EEF">
        <w:rPr>
          <w:rFonts w:cs="Arial"/>
        </w:rPr>
        <w:t xml:space="preserve"> and </w:t>
      </w:r>
      <w:r w:rsidR="004D43E0">
        <w:rPr>
          <w:rFonts w:cs="Arial"/>
        </w:rPr>
        <w:t>uses all available procurement authorities to achi</w:t>
      </w:r>
      <w:r w:rsidR="005D5F1F">
        <w:rPr>
          <w:rFonts w:cs="Arial"/>
        </w:rPr>
        <w:t>eve</w:t>
      </w:r>
      <w:r w:rsidR="004D43E0">
        <w:rPr>
          <w:rFonts w:cs="Arial"/>
        </w:rPr>
        <w:t xml:space="preserve"> or facilitate</w:t>
      </w:r>
      <w:r w:rsidR="00F0375B">
        <w:rPr>
          <w:rFonts w:cs="Arial"/>
        </w:rPr>
        <w:t xml:space="preserve"> </w:t>
      </w:r>
      <w:r w:rsidRPr="0B10EE18">
        <w:rPr>
          <w:rFonts w:cs="Arial"/>
        </w:rPr>
        <w:t>a carbon pollution-free electric sector no later than 2035</w:t>
      </w:r>
      <w:r w:rsidR="00DD03BC">
        <w:rPr>
          <w:rFonts w:cs="Arial"/>
        </w:rPr>
        <w:t xml:space="preserve"> and clean and zero-emission ve</w:t>
      </w:r>
      <w:r w:rsidR="008E6B86">
        <w:rPr>
          <w:rFonts w:cs="Arial"/>
        </w:rPr>
        <w:t>hicle</w:t>
      </w:r>
      <w:r w:rsidR="00102554">
        <w:rPr>
          <w:rFonts w:cs="Arial"/>
        </w:rPr>
        <w:t>s</w:t>
      </w:r>
      <w:r w:rsidR="008E6B86">
        <w:rPr>
          <w:rFonts w:cs="Arial"/>
        </w:rPr>
        <w:t xml:space="preserve"> for Federal, State, local, and Tribal </w:t>
      </w:r>
      <w:r w:rsidR="00246F3A">
        <w:rPr>
          <w:rFonts w:cs="Arial"/>
        </w:rPr>
        <w:t>government fleets</w:t>
      </w:r>
      <w:r w:rsidRPr="0B10EE18">
        <w:rPr>
          <w:rFonts w:cs="Arial"/>
        </w:rPr>
        <w:t>.</w:t>
      </w:r>
    </w:p>
    <w:p w14:paraId="1695A8C6" w14:textId="26B17B38" w:rsidR="00BB67D1" w:rsidRPr="00823253" w:rsidRDefault="00BB67D1" w:rsidP="005D2968">
      <w:pPr>
        <w:pStyle w:val="ListParagraph"/>
        <w:numPr>
          <w:ilvl w:val="0"/>
          <w:numId w:val="8"/>
        </w:numPr>
        <w:rPr>
          <w:rFonts w:cs="Arial"/>
          <w:szCs w:val="24"/>
        </w:rPr>
      </w:pPr>
      <w:r w:rsidRPr="00823253">
        <w:rPr>
          <w:rFonts w:cs="Arial"/>
        </w:rPr>
        <w:t>Direct federal agencies to eliminate by 2022 fossil fuel subsidies and identify opportunities to spur innovation and deployment of clean energy technologies and infrastructure.</w:t>
      </w:r>
    </w:p>
    <w:p w14:paraId="067871AD" w14:textId="77777777" w:rsidR="00BB67D1" w:rsidRPr="004922E0" w:rsidRDefault="00BB67D1" w:rsidP="0034029A">
      <w:pPr>
        <w:pStyle w:val="ListParagraph"/>
        <w:numPr>
          <w:ilvl w:val="0"/>
          <w:numId w:val="2"/>
        </w:numPr>
        <w:rPr>
          <w:rFonts w:cs="Arial"/>
        </w:rPr>
      </w:pPr>
      <w:r w:rsidRPr="0B10EE18">
        <w:rPr>
          <w:rFonts w:cs="Arial"/>
        </w:rPr>
        <w:t>Empower Workers Through Revitalizing Energy Communities:</w:t>
      </w:r>
    </w:p>
    <w:p w14:paraId="602DBB1D" w14:textId="5CB21CAD" w:rsidR="002003B1" w:rsidRDefault="00601227" w:rsidP="005D2968">
      <w:pPr>
        <w:pStyle w:val="ListParagraph"/>
        <w:numPr>
          <w:ilvl w:val="0"/>
          <w:numId w:val="9"/>
        </w:numPr>
        <w:rPr>
          <w:rFonts w:cs="Arial"/>
        </w:rPr>
      </w:pPr>
      <w:r>
        <w:rPr>
          <w:rFonts w:cs="Arial"/>
        </w:rPr>
        <w:t>Established t</w:t>
      </w:r>
      <w:r w:rsidR="00BB67D1" w:rsidRPr="0B10EE18">
        <w:rPr>
          <w:rFonts w:cs="Arial"/>
        </w:rPr>
        <w:t xml:space="preserve">he Interagency Working Group </w:t>
      </w:r>
      <w:r w:rsidR="00BF14FB">
        <w:rPr>
          <w:rFonts w:cs="Arial"/>
        </w:rPr>
        <w:t xml:space="preserve">focused on </w:t>
      </w:r>
      <w:r w:rsidR="00BB67D1" w:rsidRPr="0B10EE18">
        <w:rPr>
          <w:rFonts w:cs="Arial"/>
        </w:rPr>
        <w:t>revitaliz</w:t>
      </w:r>
      <w:r w:rsidR="00BF14FB">
        <w:rPr>
          <w:rFonts w:cs="Arial"/>
        </w:rPr>
        <w:t>ing</w:t>
      </w:r>
      <w:r w:rsidR="00BB67D1" w:rsidRPr="0B10EE18">
        <w:rPr>
          <w:rFonts w:cs="Arial"/>
        </w:rPr>
        <w:t xml:space="preserve"> the </w:t>
      </w:r>
      <w:r w:rsidR="0028102E">
        <w:rPr>
          <w:rFonts w:cs="Arial"/>
        </w:rPr>
        <w:t>economies of</w:t>
      </w:r>
      <w:r w:rsidR="00BB67D1" w:rsidRPr="0B10EE18">
        <w:rPr>
          <w:rFonts w:cs="Arial"/>
        </w:rPr>
        <w:t xml:space="preserve"> </w:t>
      </w:r>
      <w:r w:rsidR="00A311F0">
        <w:rPr>
          <w:rFonts w:cs="Arial"/>
        </w:rPr>
        <w:t>fossil fuel</w:t>
      </w:r>
      <w:r w:rsidR="00BF14FB">
        <w:rPr>
          <w:rFonts w:cs="Arial"/>
        </w:rPr>
        <w:t xml:space="preserve"> and </w:t>
      </w:r>
      <w:r w:rsidR="00BB67D1" w:rsidRPr="0B10EE18">
        <w:rPr>
          <w:rFonts w:cs="Arial"/>
        </w:rPr>
        <w:t>power plant communities</w:t>
      </w:r>
      <w:r w:rsidR="009C0D20">
        <w:rPr>
          <w:rFonts w:cs="Arial"/>
        </w:rPr>
        <w:t xml:space="preserve">, </w:t>
      </w:r>
      <w:r w:rsidR="00017EE0">
        <w:rPr>
          <w:rFonts w:cs="Arial"/>
        </w:rPr>
        <w:t xml:space="preserve">including </w:t>
      </w:r>
      <w:r w:rsidR="009C0D20" w:rsidRPr="0B10EE18">
        <w:rPr>
          <w:rFonts w:cs="Arial"/>
        </w:rPr>
        <w:t>projects that reduce emissions from existing and abandoned infrastructure and prevent environmental damage.</w:t>
      </w:r>
    </w:p>
    <w:p w14:paraId="72FF9343" w14:textId="10501A9E" w:rsidR="007B115B" w:rsidRDefault="00F060E2" w:rsidP="0067190B">
      <w:pPr>
        <w:rPr>
          <w:rFonts w:cs="Arial"/>
        </w:rPr>
      </w:pPr>
      <w:r>
        <w:rPr>
          <w:rFonts w:cs="Arial"/>
        </w:rPr>
        <w:t xml:space="preserve">In December 2021, </w:t>
      </w:r>
      <w:r w:rsidR="00384819">
        <w:rPr>
          <w:rFonts w:cs="Arial"/>
        </w:rPr>
        <w:t xml:space="preserve">President Biden issued </w:t>
      </w:r>
      <w:r w:rsidR="00384819" w:rsidRPr="008A0FB4">
        <w:rPr>
          <w:rFonts w:cs="Arial"/>
        </w:rPr>
        <w:t>EO</w:t>
      </w:r>
      <w:r w:rsidR="00C3265D" w:rsidRPr="008A0FB4">
        <w:rPr>
          <w:rFonts w:cs="Arial"/>
        </w:rPr>
        <w:t xml:space="preserve"> #</w:t>
      </w:r>
      <w:r w:rsidR="002705AC">
        <w:rPr>
          <w:rFonts w:cs="Arial"/>
        </w:rPr>
        <w:t>14057</w:t>
      </w:r>
      <w:r w:rsidR="00C3265D">
        <w:rPr>
          <w:rFonts w:cs="Arial"/>
        </w:rPr>
        <w:t xml:space="preserve"> </w:t>
      </w:r>
      <w:r w:rsidR="009277B3">
        <w:rPr>
          <w:rFonts w:cs="Arial"/>
        </w:rPr>
        <w:t xml:space="preserve">“Catalyzing Clean Energy Industries and Jobs Through Federal Sustainability” </w:t>
      </w:r>
      <w:r w:rsidR="00A31C3F">
        <w:rPr>
          <w:rFonts w:cs="Arial"/>
        </w:rPr>
        <w:t>establishing</w:t>
      </w:r>
      <w:r w:rsidR="00DA1D02">
        <w:rPr>
          <w:rFonts w:cs="Arial"/>
        </w:rPr>
        <w:t xml:space="preserve"> a net-zero </w:t>
      </w:r>
      <w:r w:rsidR="0098321A">
        <w:rPr>
          <w:rFonts w:cs="Arial"/>
        </w:rPr>
        <w:t xml:space="preserve">carbon </w:t>
      </w:r>
      <w:r w:rsidR="00283ABA">
        <w:rPr>
          <w:rFonts w:cs="Arial"/>
        </w:rPr>
        <w:t xml:space="preserve">goal for the </w:t>
      </w:r>
      <w:r w:rsidR="00E33BFF">
        <w:rPr>
          <w:rFonts w:cs="Arial"/>
        </w:rPr>
        <w:t>f</w:t>
      </w:r>
      <w:r w:rsidR="00A81CB5">
        <w:rPr>
          <w:rFonts w:cs="Arial"/>
        </w:rPr>
        <w:t>ederal government to meet</w:t>
      </w:r>
      <w:r w:rsidR="00DA1D02">
        <w:rPr>
          <w:rFonts w:cs="Arial"/>
        </w:rPr>
        <w:t xml:space="preserve"> by 2050</w:t>
      </w:r>
      <w:r w:rsidR="0098321A">
        <w:rPr>
          <w:rFonts w:cs="Arial"/>
        </w:rPr>
        <w:t>. This EO</w:t>
      </w:r>
      <w:r w:rsidR="00A76728">
        <w:rPr>
          <w:rFonts w:cs="Arial"/>
        </w:rPr>
        <w:t xml:space="preserve"> </w:t>
      </w:r>
      <w:r w:rsidR="00AA68E6">
        <w:rPr>
          <w:rFonts w:cs="Arial"/>
        </w:rPr>
        <w:t>builds</w:t>
      </w:r>
      <w:r w:rsidR="00D70BFE">
        <w:rPr>
          <w:rFonts w:cs="Arial"/>
        </w:rPr>
        <w:t xml:space="preserve"> on the earlier climate action commitments by the administration</w:t>
      </w:r>
      <w:r w:rsidR="00AA68E6">
        <w:rPr>
          <w:rFonts w:cs="Arial"/>
        </w:rPr>
        <w:t xml:space="preserve"> outlined above</w:t>
      </w:r>
      <w:r w:rsidR="00A81CB5">
        <w:rPr>
          <w:rFonts w:cs="Arial"/>
        </w:rPr>
        <w:t>. The E</w:t>
      </w:r>
      <w:r w:rsidR="00BD3571">
        <w:rPr>
          <w:rFonts w:cs="Arial"/>
        </w:rPr>
        <w:t xml:space="preserve">O </w:t>
      </w:r>
      <w:r w:rsidR="00B50B2B">
        <w:rPr>
          <w:rFonts w:cs="Arial"/>
          <w:szCs w:val="24"/>
        </w:rPr>
        <w:t>includes the following topics, goals, and/or the associated actions:</w:t>
      </w:r>
    </w:p>
    <w:p w14:paraId="00FC308E" w14:textId="7D2A0B6F" w:rsidR="00BB67D1" w:rsidRPr="00AB3B60" w:rsidRDefault="0040333A" w:rsidP="007B115B">
      <w:pPr>
        <w:pStyle w:val="ListParagraph"/>
        <w:numPr>
          <w:ilvl w:val="3"/>
          <w:numId w:val="9"/>
        </w:numPr>
        <w:ind w:left="720"/>
        <w:rPr>
          <w:rFonts w:cs="Arial"/>
        </w:rPr>
      </w:pPr>
      <w:r>
        <w:rPr>
          <w:rFonts w:cs="Arial"/>
        </w:rPr>
        <w:t xml:space="preserve">Electricity: Each </w:t>
      </w:r>
      <w:r w:rsidR="004464F8">
        <w:rPr>
          <w:rFonts w:cs="Arial"/>
        </w:rPr>
        <w:t>agency</w:t>
      </w:r>
      <w:r w:rsidR="000D1646">
        <w:rPr>
          <w:rFonts w:cs="Arial"/>
        </w:rPr>
        <w:t xml:space="preserve"> shall increase the percentage use of carbon pollution-</w:t>
      </w:r>
      <w:r w:rsidR="002F5061">
        <w:rPr>
          <w:rFonts w:cs="Arial"/>
        </w:rPr>
        <w:t xml:space="preserve">free electricity to </w:t>
      </w:r>
      <w:r w:rsidR="004464F8">
        <w:rPr>
          <w:rFonts w:cs="Arial"/>
        </w:rPr>
        <w:t xml:space="preserve">reach </w:t>
      </w:r>
      <w:r w:rsidR="007B115B">
        <w:rPr>
          <w:rFonts w:cs="Arial"/>
        </w:rPr>
        <w:t xml:space="preserve">100 percent </w:t>
      </w:r>
      <w:r w:rsidR="004464F8">
        <w:rPr>
          <w:rFonts w:cs="Arial"/>
        </w:rPr>
        <w:t>of facility electrical energy use</w:t>
      </w:r>
      <w:r w:rsidR="007B115B">
        <w:rPr>
          <w:rFonts w:cs="Arial"/>
        </w:rPr>
        <w:t xml:space="preserve"> on a</w:t>
      </w:r>
      <w:r w:rsidR="00A97D0C">
        <w:rPr>
          <w:rFonts w:cs="Arial"/>
        </w:rPr>
        <w:t xml:space="preserve"> net</w:t>
      </w:r>
      <w:r w:rsidR="007B115B">
        <w:rPr>
          <w:rFonts w:cs="Arial"/>
        </w:rPr>
        <w:t xml:space="preserve"> annual basis by 2030,</w:t>
      </w:r>
      <w:r w:rsidR="009900B7">
        <w:rPr>
          <w:rFonts w:cs="Arial"/>
        </w:rPr>
        <w:t xml:space="preserve"> each agency </w:t>
      </w:r>
      <w:r w:rsidR="000372C9">
        <w:rPr>
          <w:rFonts w:cs="Arial"/>
        </w:rPr>
        <w:t xml:space="preserve">shall seek to match use on an hourly basis to </w:t>
      </w:r>
      <w:r w:rsidR="00F94DF3">
        <w:rPr>
          <w:rFonts w:cs="Arial"/>
        </w:rPr>
        <w:t>achieve</w:t>
      </w:r>
      <w:r w:rsidR="000372C9">
        <w:rPr>
          <w:rFonts w:cs="Arial"/>
        </w:rPr>
        <w:t xml:space="preserve"> 50 percent of 24/7 carbon pollution-free ele</w:t>
      </w:r>
      <w:r w:rsidR="00FB60E2">
        <w:rPr>
          <w:rFonts w:cs="Arial"/>
        </w:rPr>
        <w:t>c</w:t>
      </w:r>
      <w:r w:rsidR="00F94DF3">
        <w:rPr>
          <w:rFonts w:cs="Arial"/>
        </w:rPr>
        <w:t>tricity, by fiscal year 2030.</w:t>
      </w:r>
    </w:p>
    <w:p w14:paraId="5FF4D814" w14:textId="5477AA21" w:rsidR="007B115B" w:rsidRDefault="00F94DF3" w:rsidP="007B115B">
      <w:pPr>
        <w:pStyle w:val="ListParagraph"/>
        <w:numPr>
          <w:ilvl w:val="3"/>
          <w:numId w:val="9"/>
        </w:numPr>
        <w:ind w:left="720"/>
        <w:rPr>
          <w:rFonts w:cs="Arial"/>
        </w:rPr>
      </w:pPr>
      <w:r>
        <w:rPr>
          <w:rFonts w:cs="Arial"/>
        </w:rPr>
        <w:t xml:space="preserve">Vehicles: </w:t>
      </w:r>
      <w:r w:rsidR="007B115B">
        <w:rPr>
          <w:rFonts w:cs="Arial"/>
        </w:rPr>
        <w:t xml:space="preserve">100 percent zero-emissions vehicle acquisitions by 2035, including 100 percent zero-emission light-duty </w:t>
      </w:r>
      <w:r w:rsidR="00BE7058">
        <w:rPr>
          <w:rFonts w:cs="Arial"/>
        </w:rPr>
        <w:t>vehicle</w:t>
      </w:r>
      <w:r w:rsidR="007B115B">
        <w:rPr>
          <w:rFonts w:cs="Arial"/>
        </w:rPr>
        <w:t xml:space="preserve"> acquisitions by 2027</w:t>
      </w:r>
      <w:r w:rsidR="00A31C3F">
        <w:rPr>
          <w:rFonts w:cs="Arial"/>
        </w:rPr>
        <w:t>.</w:t>
      </w:r>
    </w:p>
    <w:p w14:paraId="4B09F054" w14:textId="05547899" w:rsidR="007B115B" w:rsidRDefault="00426066" w:rsidP="007B115B">
      <w:pPr>
        <w:pStyle w:val="ListParagraph"/>
        <w:numPr>
          <w:ilvl w:val="3"/>
          <w:numId w:val="9"/>
        </w:numPr>
        <w:ind w:left="720"/>
        <w:rPr>
          <w:rFonts w:cs="Arial"/>
        </w:rPr>
      </w:pPr>
      <w:r>
        <w:rPr>
          <w:rFonts w:cs="Arial"/>
        </w:rPr>
        <w:t xml:space="preserve">Buildings: </w:t>
      </w:r>
      <w:r w:rsidR="007B115B">
        <w:rPr>
          <w:rFonts w:cs="Arial"/>
        </w:rPr>
        <w:t xml:space="preserve">A net-zero </w:t>
      </w:r>
      <w:r w:rsidR="00945A9D">
        <w:rPr>
          <w:rFonts w:cs="Arial"/>
        </w:rPr>
        <w:t>emissions building portfolio by 2045</w:t>
      </w:r>
      <w:r w:rsidR="00895361">
        <w:rPr>
          <w:rFonts w:cs="Arial"/>
        </w:rPr>
        <w:t xml:space="preserve">, including a 50 percent emission reduction </w:t>
      </w:r>
      <w:r w:rsidR="0075355C">
        <w:rPr>
          <w:rFonts w:cs="Arial"/>
        </w:rPr>
        <w:t>by 2032</w:t>
      </w:r>
      <w:r w:rsidR="00A31C3F">
        <w:rPr>
          <w:rFonts w:cs="Arial"/>
        </w:rPr>
        <w:t>.</w:t>
      </w:r>
    </w:p>
    <w:p w14:paraId="1FBA7D08" w14:textId="6D009659" w:rsidR="0075355C" w:rsidRDefault="00426066" w:rsidP="007B115B">
      <w:pPr>
        <w:pStyle w:val="ListParagraph"/>
        <w:numPr>
          <w:ilvl w:val="3"/>
          <w:numId w:val="9"/>
        </w:numPr>
        <w:ind w:left="720"/>
        <w:rPr>
          <w:rFonts w:cs="Arial"/>
        </w:rPr>
      </w:pPr>
      <w:r>
        <w:rPr>
          <w:rFonts w:cs="Arial"/>
        </w:rPr>
        <w:t xml:space="preserve">Emissions: </w:t>
      </w:r>
      <w:r w:rsidR="0075355C">
        <w:rPr>
          <w:rFonts w:cs="Arial"/>
        </w:rPr>
        <w:t>A 65 percent reduction in scope 1 and scope</w:t>
      </w:r>
      <w:r w:rsidR="006D1A0B">
        <w:rPr>
          <w:rFonts w:cs="Arial"/>
        </w:rPr>
        <w:t xml:space="preserve"> </w:t>
      </w:r>
      <w:r w:rsidR="008C6481">
        <w:rPr>
          <w:rFonts w:cs="Arial"/>
        </w:rPr>
        <w:t xml:space="preserve">2 </w:t>
      </w:r>
      <w:r w:rsidR="000525CE">
        <w:rPr>
          <w:rFonts w:cs="Arial"/>
        </w:rPr>
        <w:t>GHG</w:t>
      </w:r>
      <w:r w:rsidR="00CF24F0">
        <w:rPr>
          <w:rFonts w:cs="Arial"/>
        </w:rPr>
        <w:t xml:space="preserve"> emissions</w:t>
      </w:r>
      <w:r w:rsidR="00F06BC5">
        <w:rPr>
          <w:rFonts w:cs="Arial"/>
        </w:rPr>
        <w:t xml:space="preserve"> from Federal </w:t>
      </w:r>
      <w:r w:rsidR="00F44889">
        <w:rPr>
          <w:rFonts w:cs="Arial"/>
        </w:rPr>
        <w:t>operations by 2030 as compared to 2008 levels</w:t>
      </w:r>
      <w:r w:rsidR="00A31C3F">
        <w:rPr>
          <w:rFonts w:cs="Arial"/>
        </w:rPr>
        <w:t>.</w:t>
      </w:r>
    </w:p>
    <w:p w14:paraId="130E21CF" w14:textId="7CE33C70" w:rsidR="002D5B49" w:rsidRPr="007B115B" w:rsidRDefault="00426066" w:rsidP="00CF5AB8">
      <w:pPr>
        <w:pStyle w:val="ListParagraph"/>
        <w:numPr>
          <w:ilvl w:val="3"/>
          <w:numId w:val="9"/>
        </w:numPr>
        <w:ind w:left="720"/>
        <w:rPr>
          <w:rFonts w:cs="Arial"/>
        </w:rPr>
      </w:pPr>
      <w:r>
        <w:rPr>
          <w:rFonts w:cs="Arial"/>
        </w:rPr>
        <w:t xml:space="preserve">Supplier Emissions Tracking: </w:t>
      </w:r>
      <w:r w:rsidR="005B608F">
        <w:rPr>
          <w:rFonts w:cs="Arial"/>
        </w:rPr>
        <w:t xml:space="preserve">And </w:t>
      </w:r>
      <w:r w:rsidR="00E55A91">
        <w:rPr>
          <w:rFonts w:cs="Arial"/>
        </w:rPr>
        <w:t>n</w:t>
      </w:r>
      <w:r w:rsidR="005B608F">
        <w:rPr>
          <w:rFonts w:cs="Arial"/>
        </w:rPr>
        <w:t>et-zero emissions from Federal procurement</w:t>
      </w:r>
      <w:r w:rsidR="00E55A91">
        <w:rPr>
          <w:rFonts w:cs="Arial"/>
        </w:rPr>
        <w:t>, climate resilient infrastructure and operations, and climate- and sustainability-focused federal workforce.</w:t>
      </w:r>
    </w:p>
    <w:p w14:paraId="349290FF" w14:textId="46CCC6DB" w:rsidR="00426066" w:rsidRPr="007B115B" w:rsidRDefault="00B50B2B" w:rsidP="00CF5AB8">
      <w:pPr>
        <w:pStyle w:val="ListParagraph"/>
        <w:numPr>
          <w:ilvl w:val="3"/>
          <w:numId w:val="9"/>
        </w:numPr>
        <w:ind w:left="720"/>
        <w:rPr>
          <w:rFonts w:cs="Arial"/>
        </w:rPr>
      </w:pPr>
      <w:r>
        <w:rPr>
          <w:rFonts w:cs="Arial"/>
        </w:rPr>
        <w:t>Environmental</w:t>
      </w:r>
      <w:r w:rsidR="00426066">
        <w:rPr>
          <w:rFonts w:cs="Arial"/>
        </w:rPr>
        <w:t xml:space="preserve"> Justice: </w:t>
      </w:r>
      <w:r w:rsidR="00F0365E">
        <w:rPr>
          <w:rFonts w:cs="Arial"/>
        </w:rPr>
        <w:t>Recommends agencies consider in</w:t>
      </w:r>
      <w:r w:rsidR="00EB5350">
        <w:rPr>
          <w:rFonts w:cs="Arial"/>
        </w:rPr>
        <w:t xml:space="preserve">corporating the Justice40 </w:t>
      </w:r>
      <w:r w:rsidR="002D230B">
        <w:rPr>
          <w:rFonts w:cs="Arial"/>
        </w:rPr>
        <w:t>Initiative</w:t>
      </w:r>
      <w:r w:rsidR="00EB5350">
        <w:rPr>
          <w:rFonts w:cs="Arial"/>
        </w:rPr>
        <w:t xml:space="preserve"> on how federal investments mi</w:t>
      </w:r>
      <w:r w:rsidR="004352A0">
        <w:rPr>
          <w:rFonts w:cs="Arial"/>
        </w:rPr>
        <w:t>ght be made toward the goal that 40 percent of overall benefits flow to disadvantaged communities.</w:t>
      </w:r>
    </w:p>
    <w:p w14:paraId="65DF6C69" w14:textId="658ACAAA" w:rsidR="00BB67D1" w:rsidRDefault="00005053" w:rsidP="00BB67D1">
      <w:pPr>
        <w:spacing w:after="0"/>
        <w:textAlignment w:val="center"/>
        <w:rPr>
          <w:rFonts w:cs="Arial"/>
        </w:rPr>
      </w:pPr>
      <w:r>
        <w:rPr>
          <w:rFonts w:cs="Arial"/>
        </w:rPr>
        <w:t>While</w:t>
      </w:r>
      <w:r w:rsidR="00142F95">
        <w:rPr>
          <w:rFonts w:cs="Arial"/>
        </w:rPr>
        <w:t xml:space="preserve"> </w:t>
      </w:r>
      <w:r w:rsidR="00C144D7">
        <w:rPr>
          <w:rFonts w:cs="Arial"/>
        </w:rPr>
        <w:t xml:space="preserve">many of the actions outlined in </w:t>
      </w:r>
      <w:r w:rsidR="00BC567A">
        <w:rPr>
          <w:rFonts w:cs="Arial"/>
        </w:rPr>
        <w:t xml:space="preserve">these EOs </w:t>
      </w:r>
      <w:r w:rsidR="005A205D">
        <w:rPr>
          <w:rFonts w:cs="Arial"/>
        </w:rPr>
        <w:t xml:space="preserve">are </w:t>
      </w:r>
      <w:r w:rsidR="00C144D7">
        <w:rPr>
          <w:rFonts w:cs="Arial"/>
        </w:rPr>
        <w:t>still under development, the</w:t>
      </w:r>
      <w:r w:rsidR="002E5590">
        <w:rPr>
          <w:rFonts w:cs="Arial"/>
        </w:rPr>
        <w:t xml:space="preserve"> </w:t>
      </w:r>
      <w:r w:rsidR="00906833">
        <w:rPr>
          <w:rFonts w:cs="Arial"/>
        </w:rPr>
        <w:t xml:space="preserve">administration </w:t>
      </w:r>
      <w:r w:rsidR="00906833" w:rsidRPr="33A04409">
        <w:rPr>
          <w:rFonts w:cs="Arial"/>
        </w:rPr>
        <w:t>has</w:t>
      </w:r>
      <w:r w:rsidR="009F2B04">
        <w:rPr>
          <w:rFonts w:cs="Arial"/>
        </w:rPr>
        <w:t xml:space="preserve"> set in motion </w:t>
      </w:r>
      <w:r w:rsidR="000D22CF">
        <w:rPr>
          <w:rFonts w:cs="Arial"/>
        </w:rPr>
        <w:t xml:space="preserve">policies and </w:t>
      </w:r>
      <w:r w:rsidR="00CF7CDD">
        <w:rPr>
          <w:rFonts w:cs="Arial"/>
        </w:rPr>
        <w:t>regulatory actions</w:t>
      </w:r>
      <w:r w:rsidR="00C00397">
        <w:rPr>
          <w:rFonts w:cs="Arial"/>
        </w:rPr>
        <w:t xml:space="preserve"> </w:t>
      </w:r>
      <w:r w:rsidR="00C00397" w:rsidRPr="33A04409">
        <w:rPr>
          <w:rFonts w:cs="Arial"/>
        </w:rPr>
        <w:t>to</w:t>
      </w:r>
      <w:r w:rsidR="00F352C3">
        <w:rPr>
          <w:rFonts w:cs="Arial"/>
        </w:rPr>
        <w:t xml:space="preserve"> </w:t>
      </w:r>
      <w:r w:rsidR="00A21996">
        <w:rPr>
          <w:rFonts w:cs="Arial"/>
        </w:rPr>
        <w:t>implement</w:t>
      </w:r>
      <w:r w:rsidR="00B11BD0">
        <w:rPr>
          <w:rFonts w:cs="Arial"/>
        </w:rPr>
        <w:t xml:space="preserve"> more stringent</w:t>
      </w:r>
      <w:r w:rsidR="00AE0290">
        <w:rPr>
          <w:rFonts w:cs="Arial"/>
        </w:rPr>
        <w:t xml:space="preserve"> environmental requirements and</w:t>
      </w:r>
      <w:r w:rsidR="00F352C3">
        <w:rPr>
          <w:rFonts w:cs="Arial"/>
        </w:rPr>
        <w:t xml:space="preserve"> </w:t>
      </w:r>
      <w:r w:rsidR="3B9E53D2" w:rsidRPr="3C35A873">
        <w:rPr>
          <w:rFonts w:cs="Arial"/>
        </w:rPr>
        <w:t>constrain</w:t>
      </w:r>
      <w:r w:rsidR="00313400">
        <w:rPr>
          <w:rFonts w:cs="Arial"/>
        </w:rPr>
        <w:t xml:space="preserve"> </w:t>
      </w:r>
      <w:r w:rsidR="00312833">
        <w:rPr>
          <w:rFonts w:cs="Arial"/>
        </w:rPr>
        <w:t xml:space="preserve">carbon </w:t>
      </w:r>
      <w:r w:rsidR="00942414">
        <w:rPr>
          <w:rFonts w:cs="Arial"/>
        </w:rPr>
        <w:t xml:space="preserve">emissions </w:t>
      </w:r>
      <w:r w:rsidR="00313400">
        <w:rPr>
          <w:rFonts w:cs="Arial"/>
        </w:rPr>
        <w:t>in the future</w:t>
      </w:r>
      <w:r w:rsidR="003D6FB6">
        <w:rPr>
          <w:rFonts w:cs="Arial"/>
        </w:rPr>
        <w:t>.</w:t>
      </w:r>
      <w:r w:rsidR="00C353D6">
        <w:rPr>
          <w:rFonts w:cs="Arial"/>
        </w:rPr>
        <w:t xml:space="preserve"> The shifts in environmental policy </w:t>
      </w:r>
      <w:r w:rsidR="00C353D6" w:rsidDel="0022247A">
        <w:rPr>
          <w:rFonts w:cs="Arial"/>
        </w:rPr>
        <w:t>can</w:t>
      </w:r>
      <w:r w:rsidR="00FF5779" w:rsidDel="0022247A">
        <w:rPr>
          <w:rFonts w:cs="Arial"/>
        </w:rPr>
        <w:t xml:space="preserve"> be</w:t>
      </w:r>
      <w:r w:rsidR="00C353D6" w:rsidDel="0022247A">
        <w:rPr>
          <w:rFonts w:cs="Arial"/>
        </w:rPr>
        <w:t xml:space="preserve"> seen</w:t>
      </w:r>
      <w:r w:rsidR="004B4F3B" w:rsidDel="0022247A">
        <w:rPr>
          <w:rFonts w:cs="Arial"/>
        </w:rPr>
        <w:t xml:space="preserve"> </w:t>
      </w:r>
      <w:r w:rsidR="00DC36A2">
        <w:rPr>
          <w:rFonts w:cs="Arial"/>
        </w:rPr>
        <w:t xml:space="preserve">in the </w:t>
      </w:r>
      <w:r w:rsidR="007C435F">
        <w:rPr>
          <w:rFonts w:cs="Arial"/>
        </w:rPr>
        <w:t xml:space="preserve">following </w:t>
      </w:r>
      <w:r w:rsidR="006B30BB">
        <w:rPr>
          <w:rFonts w:cs="Arial"/>
        </w:rPr>
        <w:t xml:space="preserve">timeline of </w:t>
      </w:r>
      <w:r w:rsidR="0053450B">
        <w:rPr>
          <w:rFonts w:cs="Arial"/>
        </w:rPr>
        <w:t>environmental regulatory events.</w:t>
      </w:r>
    </w:p>
    <w:p w14:paraId="31DD4A2D" w14:textId="1B1E421C" w:rsidR="007E1280" w:rsidRDefault="007E1280" w:rsidP="7627664D">
      <w:pPr>
        <w:spacing w:after="0"/>
        <w:rPr>
          <w:rFonts w:eastAsia="Calibri" w:cs="Arial"/>
          <w:szCs w:val="24"/>
        </w:rPr>
      </w:pPr>
    </w:p>
    <w:p w14:paraId="43AEC524" w14:textId="7C74668B" w:rsidR="007E1280" w:rsidRDefault="005569FF" w:rsidP="008C0425">
      <w:pPr>
        <w:pStyle w:val="Heading3"/>
      </w:pPr>
      <w:bookmarkStart w:id="25" w:name="_Toc94197875"/>
      <w:r>
        <w:t>Environmental Regulatory Timeline</w:t>
      </w:r>
      <w:bookmarkEnd w:id="25"/>
    </w:p>
    <w:p w14:paraId="329994FE" w14:textId="2D12F5CF" w:rsidR="004B3EC4" w:rsidRPr="004B3EC4" w:rsidRDefault="007023FB" w:rsidP="004B3EC4">
      <w:pPr>
        <w:spacing w:after="0"/>
        <w:textAlignment w:val="center"/>
        <w:rPr>
          <w:rFonts w:cs="Arial"/>
        </w:rPr>
      </w:pPr>
      <w:r w:rsidRPr="00764E94">
        <w:t xml:space="preserve">The following is a list of notable environmental regulatory events </w:t>
      </w:r>
      <w:r>
        <w:t xml:space="preserve">since the 2019 IRP </w:t>
      </w:r>
      <w:r w:rsidRPr="00635D86">
        <w:t xml:space="preserve">through </w:t>
      </w:r>
      <w:r w:rsidR="004B7E44">
        <w:t>January 15, 2022</w:t>
      </w:r>
      <w:r w:rsidR="0079076C" w:rsidRPr="00635D86">
        <w:t>,</w:t>
      </w:r>
      <w:r w:rsidRPr="36B9142B">
        <w:t xml:space="preserve"> that </w:t>
      </w:r>
      <w:r w:rsidR="00DD3BE4">
        <w:t>are relevant to the electric sector</w:t>
      </w:r>
      <w:r>
        <w:t>.</w:t>
      </w:r>
    </w:p>
    <w:p w14:paraId="0AD531B2" w14:textId="0380B751" w:rsidR="00865FF2" w:rsidRPr="00974365" w:rsidRDefault="00865FF2" w:rsidP="008C0425">
      <w:pPr>
        <w:pStyle w:val="Heading3"/>
        <w:rPr>
          <w:rFonts w:cs="Arial"/>
          <w:bCs/>
          <w:color w:val="000080"/>
        </w:rPr>
      </w:pPr>
      <w:bookmarkStart w:id="26" w:name="_Toc94197876"/>
      <w:r w:rsidRPr="00974365">
        <w:t>Air</w:t>
      </w:r>
      <w:bookmarkEnd w:id="26"/>
    </w:p>
    <w:p w14:paraId="0AC3F400" w14:textId="5B5B290E" w:rsidR="00367C93" w:rsidRPr="00764E94" w:rsidRDefault="00367C93" w:rsidP="00367C93">
      <w:pPr>
        <w:pStyle w:val="ListParagraph"/>
        <w:numPr>
          <w:ilvl w:val="0"/>
          <w:numId w:val="1"/>
        </w:numPr>
        <w:rPr>
          <w:rFonts w:cs="Arial"/>
          <w:color w:val="171717" w:themeColor="background2" w:themeShade="1A"/>
        </w:rPr>
      </w:pPr>
      <w:r w:rsidRPr="0B10EE18">
        <w:rPr>
          <w:rFonts w:cs="Arial"/>
          <w:color w:val="171717" w:themeColor="background2" w:themeShade="1A"/>
        </w:rPr>
        <w:t>February 2019 – EPA proposes to reconsider the 2016 supplementing finding on MATS costs a</w:t>
      </w:r>
      <w:r w:rsidR="0063426C" w:rsidRPr="0B10EE18">
        <w:rPr>
          <w:rFonts w:cs="Arial"/>
          <w:color w:val="171717" w:themeColor="background2" w:themeShade="1A"/>
        </w:rPr>
        <w:t>nd conduct</w:t>
      </w:r>
      <w:r w:rsidRPr="0B10EE18">
        <w:rPr>
          <w:rFonts w:cs="Arial"/>
          <w:color w:val="171717" w:themeColor="background2" w:themeShade="1A"/>
        </w:rPr>
        <w:t xml:space="preserve"> the MATS Residual Risk and Technology Review (“RTR”)</w:t>
      </w:r>
      <w:r w:rsidR="00525D5B">
        <w:rPr>
          <w:rFonts w:cs="Arial"/>
          <w:color w:val="171717" w:themeColor="background2" w:themeShade="1A"/>
        </w:rPr>
        <w:t>.</w:t>
      </w:r>
    </w:p>
    <w:p w14:paraId="1A746C75" w14:textId="43AB9826" w:rsidR="00367C93" w:rsidRPr="00764E94" w:rsidRDefault="00367C93" w:rsidP="00367C93">
      <w:pPr>
        <w:pStyle w:val="ListParagraph"/>
        <w:numPr>
          <w:ilvl w:val="0"/>
          <w:numId w:val="1"/>
        </w:numPr>
        <w:rPr>
          <w:rFonts w:cs="Arial"/>
          <w:color w:val="171717" w:themeColor="background2" w:themeShade="1A"/>
        </w:rPr>
      </w:pPr>
      <w:r w:rsidRPr="0B10EE18">
        <w:rPr>
          <w:rFonts w:cs="Arial"/>
          <w:color w:val="171717" w:themeColor="background2" w:themeShade="1A"/>
        </w:rPr>
        <w:t xml:space="preserve">March 2019 – EPA </w:t>
      </w:r>
      <w:r w:rsidR="00EF1ED8" w:rsidRPr="0B10EE18">
        <w:rPr>
          <w:rFonts w:cs="Arial"/>
          <w:color w:val="171717" w:themeColor="background2" w:themeShade="1A"/>
        </w:rPr>
        <w:t>finalize</w:t>
      </w:r>
      <w:r w:rsidR="00EF709C" w:rsidRPr="0B10EE18">
        <w:rPr>
          <w:rFonts w:cs="Arial"/>
          <w:color w:val="171717" w:themeColor="background2" w:themeShade="1A"/>
        </w:rPr>
        <w:t>s</w:t>
      </w:r>
      <w:r w:rsidR="00EF1ED8" w:rsidRPr="0B10EE18">
        <w:rPr>
          <w:rFonts w:cs="Arial"/>
          <w:color w:val="171717" w:themeColor="background2" w:themeShade="1A"/>
        </w:rPr>
        <w:t xml:space="preserve"> </w:t>
      </w:r>
      <w:r w:rsidRPr="0B10EE18">
        <w:rPr>
          <w:rFonts w:cs="Arial"/>
          <w:color w:val="171717" w:themeColor="background2" w:themeShade="1A"/>
        </w:rPr>
        <w:t>retain</w:t>
      </w:r>
      <w:r w:rsidR="00E831A7" w:rsidRPr="0B10EE18">
        <w:rPr>
          <w:rFonts w:cs="Arial"/>
          <w:color w:val="171717" w:themeColor="background2" w:themeShade="1A"/>
        </w:rPr>
        <w:t>ing</w:t>
      </w:r>
      <w:r w:rsidRPr="0B10EE18">
        <w:rPr>
          <w:rFonts w:cs="Arial"/>
          <w:color w:val="171717" w:themeColor="background2" w:themeShade="1A"/>
        </w:rPr>
        <w:t xml:space="preserve"> the primary 1-hour SO</w:t>
      </w:r>
      <w:r w:rsidRPr="0B10EE18">
        <w:rPr>
          <w:rFonts w:cs="Arial"/>
          <w:color w:val="171717" w:themeColor="background2" w:themeShade="1A"/>
          <w:vertAlign w:val="subscript"/>
        </w:rPr>
        <w:t>2</w:t>
      </w:r>
      <w:r w:rsidRPr="0B10EE18">
        <w:rPr>
          <w:rFonts w:cs="Arial"/>
          <w:color w:val="171717" w:themeColor="background2" w:themeShade="1A"/>
        </w:rPr>
        <w:t xml:space="preserve"> NAAQS, without revision</w:t>
      </w:r>
      <w:r w:rsidR="00525D5B">
        <w:rPr>
          <w:rFonts w:cs="Arial"/>
          <w:color w:val="171717" w:themeColor="background2" w:themeShade="1A"/>
        </w:rPr>
        <w:t>.</w:t>
      </w:r>
    </w:p>
    <w:p w14:paraId="7F7190C7" w14:textId="3ACC2ECE" w:rsidR="00367C93" w:rsidRPr="00764E94" w:rsidRDefault="00367C93" w:rsidP="00367C93">
      <w:pPr>
        <w:pStyle w:val="ListParagraph"/>
        <w:numPr>
          <w:ilvl w:val="0"/>
          <w:numId w:val="1"/>
        </w:numPr>
        <w:rPr>
          <w:rFonts w:cs="Arial"/>
          <w:color w:val="171717" w:themeColor="background2" w:themeShade="1A"/>
        </w:rPr>
      </w:pPr>
      <w:r w:rsidRPr="0B10EE18">
        <w:rPr>
          <w:rFonts w:cs="Arial"/>
          <w:color w:val="171717" w:themeColor="background2" w:themeShade="1A"/>
        </w:rPr>
        <w:t xml:space="preserve">April 2019 </w:t>
      </w:r>
      <w:r w:rsidRPr="0B10EE18">
        <w:rPr>
          <w:rFonts w:cs="Arial"/>
        </w:rPr>
        <w:t>–</w:t>
      </w:r>
      <w:r w:rsidRPr="0B10EE18">
        <w:rPr>
          <w:rFonts w:cs="Arial"/>
          <w:color w:val="171717" w:themeColor="background2" w:themeShade="1A"/>
        </w:rPr>
        <w:t xml:space="preserve"> </w:t>
      </w:r>
      <w:r w:rsidRPr="0B10EE18">
        <w:rPr>
          <w:rFonts w:cs="Arial"/>
        </w:rPr>
        <w:t xml:space="preserve">EPA proposes the </w:t>
      </w:r>
      <w:r w:rsidR="00485215" w:rsidRPr="0B10EE18">
        <w:rPr>
          <w:rFonts w:cs="Arial"/>
        </w:rPr>
        <w:t>RTR of the National Emission Standards for Hazardous Air Pollutants (</w:t>
      </w:r>
      <w:r w:rsidR="00BC6337" w:rsidRPr="0B10EE18">
        <w:rPr>
          <w:rFonts w:cs="Arial"/>
        </w:rPr>
        <w:t>“</w:t>
      </w:r>
      <w:r w:rsidR="00485215" w:rsidRPr="0B10EE18">
        <w:rPr>
          <w:rFonts w:cs="Arial"/>
        </w:rPr>
        <w:t>NESHAP</w:t>
      </w:r>
      <w:r w:rsidR="00BC6337" w:rsidRPr="0B10EE18">
        <w:rPr>
          <w:rFonts w:cs="Arial"/>
        </w:rPr>
        <w:t>”</w:t>
      </w:r>
      <w:r w:rsidR="00485215" w:rsidRPr="0B10EE18">
        <w:rPr>
          <w:rFonts w:cs="Arial"/>
        </w:rPr>
        <w:t xml:space="preserve">) </w:t>
      </w:r>
      <w:r w:rsidRPr="0B10EE18">
        <w:rPr>
          <w:rFonts w:cs="Arial"/>
        </w:rPr>
        <w:t>for combustion turbines</w:t>
      </w:r>
      <w:r w:rsidR="00525D5B">
        <w:rPr>
          <w:rFonts w:cs="Arial"/>
        </w:rPr>
        <w:t>.</w:t>
      </w:r>
    </w:p>
    <w:p w14:paraId="585A20A5" w14:textId="5DA173B2" w:rsidR="00367C93" w:rsidRPr="00764E94" w:rsidRDefault="00367C93" w:rsidP="00367C93">
      <w:pPr>
        <w:pStyle w:val="ListParagraph"/>
        <w:numPr>
          <w:ilvl w:val="0"/>
          <w:numId w:val="1"/>
        </w:numPr>
        <w:rPr>
          <w:rFonts w:cs="Arial"/>
        </w:rPr>
      </w:pPr>
      <w:r w:rsidRPr="0B10EE18">
        <w:rPr>
          <w:rFonts w:cs="Arial"/>
        </w:rPr>
        <w:t xml:space="preserve">July 2019 – EPA </w:t>
      </w:r>
      <w:r w:rsidR="002D0953" w:rsidRPr="0B10EE18">
        <w:rPr>
          <w:rFonts w:cs="Arial"/>
        </w:rPr>
        <w:t xml:space="preserve">finalizes a </w:t>
      </w:r>
      <w:r w:rsidRPr="0B10EE18">
        <w:rPr>
          <w:rFonts w:cs="Arial"/>
        </w:rPr>
        <w:t xml:space="preserve">repeal </w:t>
      </w:r>
      <w:r w:rsidR="002D0953" w:rsidRPr="0B10EE18">
        <w:rPr>
          <w:rFonts w:cs="Arial"/>
        </w:rPr>
        <w:t xml:space="preserve">of </w:t>
      </w:r>
      <w:r w:rsidRPr="0B10EE18">
        <w:rPr>
          <w:rFonts w:cs="Arial"/>
        </w:rPr>
        <w:t xml:space="preserve">the Clean Power Plan </w:t>
      </w:r>
      <w:r w:rsidR="00621B71">
        <w:rPr>
          <w:rFonts w:cs="Arial"/>
        </w:rPr>
        <w:t>(“CPP”)</w:t>
      </w:r>
      <w:r w:rsidRPr="0B10EE18">
        <w:rPr>
          <w:rFonts w:cs="Arial"/>
        </w:rPr>
        <w:t xml:space="preserve"> and replaces it with the ACE rule</w:t>
      </w:r>
      <w:r w:rsidR="00525D5B">
        <w:rPr>
          <w:rFonts w:cs="Arial"/>
        </w:rPr>
        <w:t>.</w:t>
      </w:r>
    </w:p>
    <w:p w14:paraId="533FFA40" w14:textId="462C6156" w:rsidR="00367C93" w:rsidRPr="008641AD" w:rsidRDefault="00367C93" w:rsidP="00367C93">
      <w:pPr>
        <w:pStyle w:val="ListParagraph"/>
        <w:numPr>
          <w:ilvl w:val="0"/>
          <w:numId w:val="1"/>
        </w:numPr>
        <w:rPr>
          <w:rFonts w:cs="Arial"/>
          <w:color w:val="171717"/>
        </w:rPr>
      </w:pPr>
      <w:r w:rsidRPr="0B10EE18">
        <w:rPr>
          <w:rFonts w:cs="Arial"/>
          <w:color w:val="171717" w:themeColor="background2" w:themeShade="1A"/>
        </w:rPr>
        <w:t xml:space="preserve">August 2019 </w:t>
      </w:r>
      <w:r w:rsidRPr="0B10EE18">
        <w:rPr>
          <w:rFonts w:cs="Arial"/>
        </w:rPr>
        <w:t>–</w:t>
      </w:r>
      <w:r w:rsidRPr="0B10EE18">
        <w:rPr>
          <w:rFonts w:cs="Arial"/>
          <w:color w:val="171717" w:themeColor="background2" w:themeShade="1A"/>
        </w:rPr>
        <w:t xml:space="preserve"> EPA releases final guidance on developing plans to address visibility impairment for the second implementation period of the Regional Haze program</w:t>
      </w:r>
      <w:r w:rsidR="00525D5B">
        <w:rPr>
          <w:rFonts w:cs="Arial"/>
          <w:color w:val="171717" w:themeColor="background2" w:themeShade="1A"/>
        </w:rPr>
        <w:t>.</w:t>
      </w:r>
    </w:p>
    <w:p w14:paraId="58705273" w14:textId="641149DB" w:rsidR="00367C93" w:rsidRPr="00764E94" w:rsidRDefault="00367C93" w:rsidP="00367C93">
      <w:pPr>
        <w:pStyle w:val="ListParagraph"/>
        <w:numPr>
          <w:ilvl w:val="0"/>
          <w:numId w:val="1"/>
        </w:numPr>
        <w:rPr>
          <w:rFonts w:cs="Arial"/>
          <w:color w:val="171717"/>
        </w:rPr>
      </w:pPr>
      <w:r w:rsidRPr="0B10EE18">
        <w:rPr>
          <w:rFonts w:cs="Arial"/>
        </w:rPr>
        <w:t xml:space="preserve">August 2019 </w:t>
      </w:r>
      <w:r w:rsidRPr="0B10EE18">
        <w:rPr>
          <w:rFonts w:cs="Arial"/>
          <w:color w:val="171717" w:themeColor="background2" w:themeShade="1A"/>
        </w:rPr>
        <w:t xml:space="preserve">– D.C. Circuit Court upholds </w:t>
      </w:r>
      <w:r w:rsidRPr="0B10EE18">
        <w:rPr>
          <w:rFonts w:cs="Arial"/>
        </w:rPr>
        <w:t xml:space="preserve">2015 primary ozone NAAQS but remands </w:t>
      </w:r>
      <w:r w:rsidR="006D5CFA">
        <w:rPr>
          <w:rFonts w:cs="Arial"/>
        </w:rPr>
        <w:t xml:space="preserve">the </w:t>
      </w:r>
      <w:r w:rsidRPr="0B10EE18">
        <w:rPr>
          <w:rFonts w:cs="Arial"/>
        </w:rPr>
        <w:t>secondary standard</w:t>
      </w:r>
      <w:r w:rsidR="00525D5B">
        <w:rPr>
          <w:rFonts w:cs="Arial"/>
        </w:rPr>
        <w:t>.</w:t>
      </w:r>
    </w:p>
    <w:p w14:paraId="770D0084" w14:textId="3996DC22" w:rsidR="00367C93" w:rsidRPr="00764E94" w:rsidRDefault="00367C93" w:rsidP="00367C93">
      <w:pPr>
        <w:pStyle w:val="ListParagraph"/>
        <w:numPr>
          <w:ilvl w:val="0"/>
          <w:numId w:val="1"/>
        </w:numPr>
        <w:rPr>
          <w:rFonts w:cs="Arial"/>
          <w:color w:val="171717"/>
        </w:rPr>
      </w:pPr>
      <w:r w:rsidRPr="172F7B2B">
        <w:rPr>
          <w:rFonts w:cs="Arial"/>
          <w:color w:val="171717" w:themeColor="background2" w:themeShade="1A"/>
        </w:rPr>
        <w:t xml:space="preserve">September 2019 – D.C. Circuit Court dismisses the CPP litigation </w:t>
      </w:r>
      <w:r w:rsidR="002D0953" w:rsidRPr="172F7B2B">
        <w:rPr>
          <w:rFonts w:cs="Arial"/>
          <w:color w:val="171717" w:themeColor="background2" w:themeShade="1A"/>
        </w:rPr>
        <w:t xml:space="preserve">as moot </w:t>
      </w:r>
      <w:r w:rsidRPr="172F7B2B">
        <w:rPr>
          <w:rFonts w:cs="Arial"/>
          <w:color w:val="171717" w:themeColor="background2" w:themeShade="1A"/>
        </w:rPr>
        <w:t xml:space="preserve">following EPA’s repeal </w:t>
      </w:r>
      <w:r w:rsidR="004F6F5F" w:rsidRPr="172F7B2B">
        <w:rPr>
          <w:rFonts w:cs="Arial"/>
          <w:color w:val="171717" w:themeColor="background2" w:themeShade="1A"/>
        </w:rPr>
        <w:t xml:space="preserve">of the CPP </w:t>
      </w:r>
      <w:r w:rsidRPr="172F7B2B">
        <w:rPr>
          <w:rFonts w:cs="Arial"/>
          <w:color w:val="171717" w:themeColor="background2" w:themeShade="1A"/>
        </w:rPr>
        <w:t>and replacement with ACE</w:t>
      </w:r>
      <w:r w:rsidR="0033426F">
        <w:rPr>
          <w:rFonts w:cs="Arial"/>
          <w:color w:val="171717" w:themeColor="background2" w:themeShade="1A"/>
        </w:rPr>
        <w:t>.</w:t>
      </w:r>
    </w:p>
    <w:p w14:paraId="566ABF45" w14:textId="6B87CF34" w:rsidR="00367C93" w:rsidRPr="00E1746D" w:rsidRDefault="00367C93" w:rsidP="009E7405">
      <w:pPr>
        <w:pStyle w:val="ListParagraph"/>
        <w:numPr>
          <w:ilvl w:val="0"/>
          <w:numId w:val="1"/>
        </w:numPr>
        <w:spacing w:after="0"/>
        <w:jc w:val="left"/>
      </w:pPr>
      <w:r w:rsidRPr="0B10EE18">
        <w:rPr>
          <w:rFonts w:cs="Arial"/>
          <w:color w:val="171717" w:themeColor="background2" w:themeShade="1A"/>
        </w:rPr>
        <w:t xml:space="preserve">October 2019 – </w:t>
      </w:r>
      <w:r w:rsidR="00A6734F">
        <w:rPr>
          <w:rFonts w:cs="Arial"/>
          <w:color w:val="171717" w:themeColor="background2" w:themeShade="1A"/>
        </w:rPr>
        <w:t>Georgia Power</w:t>
      </w:r>
      <w:r w:rsidR="00A6734F" w:rsidRPr="0B10EE18">
        <w:rPr>
          <w:rFonts w:cs="Arial"/>
          <w:color w:val="171717" w:themeColor="background2" w:themeShade="1A"/>
        </w:rPr>
        <w:t xml:space="preserve"> </w:t>
      </w:r>
      <w:r w:rsidRPr="0B10EE18">
        <w:rPr>
          <w:rFonts w:cs="Arial"/>
          <w:color w:val="171717" w:themeColor="background2" w:themeShade="1A"/>
        </w:rPr>
        <w:t>files a motion to intervene in support of EPA in the ACE litigation</w:t>
      </w:r>
      <w:r w:rsidR="00AD7B42">
        <w:rPr>
          <w:rFonts w:cs="Arial"/>
          <w:color w:val="171717" w:themeColor="background2" w:themeShade="1A"/>
        </w:rPr>
        <w:t>.</w:t>
      </w:r>
    </w:p>
    <w:p w14:paraId="7B164E9C" w14:textId="7034F1BE" w:rsidR="00865FF2" w:rsidRPr="000E6354" w:rsidRDefault="00865FF2" w:rsidP="009E7405">
      <w:pPr>
        <w:numPr>
          <w:ilvl w:val="0"/>
          <w:numId w:val="1"/>
        </w:numPr>
        <w:spacing w:after="0"/>
        <w:contextualSpacing/>
        <w:jc w:val="left"/>
        <w:rPr>
          <w:rFonts w:cs="Arial"/>
        </w:rPr>
      </w:pPr>
      <w:r w:rsidRPr="0B10EE18">
        <w:rPr>
          <w:rFonts w:cs="Arial"/>
        </w:rPr>
        <w:t>March 2020</w:t>
      </w:r>
      <w:r w:rsidR="00510F46" w:rsidRPr="0B10EE18">
        <w:rPr>
          <w:rFonts w:cs="Arial"/>
        </w:rPr>
        <w:t xml:space="preserve"> </w:t>
      </w:r>
      <w:r w:rsidR="00510F46" w:rsidRPr="0B10EE18">
        <w:rPr>
          <w:rFonts w:cs="Arial"/>
          <w:color w:val="171717" w:themeColor="background2" w:themeShade="1A"/>
        </w:rPr>
        <w:t>–</w:t>
      </w:r>
      <w:r w:rsidRPr="0B10EE18">
        <w:rPr>
          <w:rFonts w:cs="Arial"/>
          <w:color w:val="171717" w:themeColor="background2" w:themeShade="1A"/>
        </w:rPr>
        <w:t xml:space="preserve"> </w:t>
      </w:r>
      <w:r w:rsidR="0033426F" w:rsidRPr="0B10EE18">
        <w:rPr>
          <w:rFonts w:cs="Arial"/>
        </w:rPr>
        <w:t>EPA finalizes the RTR of the NESHAP for combustion turbines</w:t>
      </w:r>
      <w:r w:rsidR="00AD7B42">
        <w:rPr>
          <w:rFonts w:cs="Arial"/>
        </w:rPr>
        <w:t>.</w:t>
      </w:r>
    </w:p>
    <w:p w14:paraId="43281A7A" w14:textId="1DAEA528" w:rsidR="00865FF2" w:rsidRPr="00505B66" w:rsidRDefault="00865FF2" w:rsidP="00505B66">
      <w:pPr>
        <w:numPr>
          <w:ilvl w:val="0"/>
          <w:numId w:val="1"/>
        </w:numPr>
        <w:spacing w:after="0"/>
        <w:contextualSpacing/>
        <w:rPr>
          <w:rFonts w:cs="Arial"/>
        </w:rPr>
      </w:pPr>
      <w:r w:rsidRPr="7A592AD6">
        <w:rPr>
          <w:rFonts w:cs="Arial"/>
        </w:rPr>
        <w:t>May 2020</w:t>
      </w:r>
      <w:r w:rsidR="00510F46" w:rsidRPr="7A592AD6">
        <w:rPr>
          <w:rFonts w:cs="Arial"/>
        </w:rPr>
        <w:t xml:space="preserve"> </w:t>
      </w:r>
      <w:r w:rsidR="00510F46" w:rsidRPr="7A592AD6">
        <w:rPr>
          <w:rFonts w:cs="Arial"/>
          <w:color w:val="171717" w:themeColor="background2" w:themeShade="1A"/>
        </w:rPr>
        <w:t>–</w:t>
      </w:r>
      <w:r w:rsidRPr="7A592AD6">
        <w:rPr>
          <w:rFonts w:cs="Arial"/>
          <w:color w:val="171717" w:themeColor="background2" w:themeShade="1A"/>
        </w:rPr>
        <w:t xml:space="preserve"> </w:t>
      </w:r>
      <w:r w:rsidRPr="7A592AD6">
        <w:rPr>
          <w:rFonts w:cs="Arial"/>
        </w:rPr>
        <w:t xml:space="preserve">EPA published the </w:t>
      </w:r>
      <w:r w:rsidR="00183087" w:rsidRPr="12E428E8">
        <w:rPr>
          <w:rFonts w:cs="Arial"/>
        </w:rPr>
        <w:t>f</w:t>
      </w:r>
      <w:r w:rsidRPr="12E428E8">
        <w:rPr>
          <w:rFonts w:cs="Arial"/>
        </w:rPr>
        <w:t>inal</w:t>
      </w:r>
      <w:r w:rsidRPr="7A592AD6">
        <w:rPr>
          <w:rFonts w:cs="Arial"/>
        </w:rPr>
        <w:t xml:space="preserve"> </w:t>
      </w:r>
      <w:r w:rsidR="005D51CE" w:rsidRPr="7A592AD6">
        <w:rPr>
          <w:rFonts w:cs="Arial"/>
        </w:rPr>
        <w:t xml:space="preserve">reconsideration of the 2016 </w:t>
      </w:r>
      <w:r w:rsidRPr="7A592AD6">
        <w:rPr>
          <w:rFonts w:cs="Arial"/>
        </w:rPr>
        <w:t>MATS</w:t>
      </w:r>
      <w:r w:rsidR="0016131F" w:rsidRPr="7A592AD6">
        <w:rPr>
          <w:rFonts w:cs="Arial"/>
        </w:rPr>
        <w:t xml:space="preserve"> supplemental finding and </w:t>
      </w:r>
      <w:r w:rsidR="006A7F2B" w:rsidRPr="7A592AD6">
        <w:rPr>
          <w:rFonts w:cs="Arial"/>
        </w:rPr>
        <w:t>the MATS RTR</w:t>
      </w:r>
      <w:r w:rsidR="00646A41">
        <w:rPr>
          <w:rFonts w:cs="Arial"/>
        </w:rPr>
        <w:t>.</w:t>
      </w:r>
      <w:r w:rsidRPr="7A592AD6">
        <w:rPr>
          <w:rFonts w:cs="Arial"/>
        </w:rPr>
        <w:t xml:space="preserve">  </w:t>
      </w:r>
    </w:p>
    <w:p w14:paraId="578F6C9B" w14:textId="0DC39167" w:rsidR="00DA40D7" w:rsidRPr="005A4C31" w:rsidRDefault="00DA40D7" w:rsidP="00865FF2">
      <w:pPr>
        <w:numPr>
          <w:ilvl w:val="0"/>
          <w:numId w:val="1"/>
        </w:numPr>
        <w:spacing w:after="0"/>
        <w:rPr>
          <w:rFonts w:cs="Arial"/>
        </w:rPr>
      </w:pPr>
      <w:r w:rsidRPr="7A592AD6">
        <w:rPr>
          <w:rFonts w:cs="Arial"/>
        </w:rPr>
        <w:t>June 2020 – EPA released a proposed rule</w:t>
      </w:r>
      <w:r w:rsidR="00AA2C18">
        <w:rPr>
          <w:rFonts w:cs="Arial"/>
        </w:rPr>
        <w:t xml:space="preserve">, </w:t>
      </w:r>
      <w:r w:rsidR="00AA2C18">
        <w:t xml:space="preserve">“Increasing Consistency and Transparency in Considering Benefits and Costs in the Clean Air Act Rulemaking Process” </w:t>
      </w:r>
      <w:r w:rsidRPr="7A592AD6">
        <w:rPr>
          <w:rFonts w:cs="Arial"/>
        </w:rPr>
        <w:t>establishing certain processes related to benefit-cost analyses that EPA will undertake when promulgating significant regulations under the CAA</w:t>
      </w:r>
      <w:r w:rsidR="00646A41">
        <w:rPr>
          <w:rFonts w:cs="Arial"/>
        </w:rPr>
        <w:t>.</w:t>
      </w:r>
    </w:p>
    <w:p w14:paraId="7FF637CF" w14:textId="1295B9FC" w:rsidR="00967DCC" w:rsidRPr="00967DCC" w:rsidRDefault="00967DCC" w:rsidP="00865FF2">
      <w:pPr>
        <w:numPr>
          <w:ilvl w:val="0"/>
          <w:numId w:val="1"/>
        </w:numPr>
        <w:spacing w:after="0"/>
      </w:pPr>
      <w:r>
        <w:t>August 2020 – EPA grant</w:t>
      </w:r>
      <w:r w:rsidR="00D03E9F">
        <w:t>s</w:t>
      </w:r>
      <w:r>
        <w:t xml:space="preserve"> a petition for reconsideration of certain aspects of the 2020</w:t>
      </w:r>
      <w:r w:rsidR="00E416E4">
        <w:t xml:space="preserve"> combustion turbines NESHAP RTR</w:t>
      </w:r>
      <w:r w:rsidR="00646A41">
        <w:t>.</w:t>
      </w:r>
    </w:p>
    <w:p w14:paraId="6C2DD408" w14:textId="579CFD2E" w:rsidR="00865FF2" w:rsidRPr="00B0540C" w:rsidRDefault="00865FF2" w:rsidP="00865FF2">
      <w:pPr>
        <w:pStyle w:val="ListParagraph"/>
        <w:numPr>
          <w:ilvl w:val="0"/>
          <w:numId w:val="1"/>
        </w:numPr>
      </w:pPr>
      <w:r w:rsidRPr="0B10EE18">
        <w:rPr>
          <w:rFonts w:cs="Arial"/>
        </w:rPr>
        <w:t>October 2020</w:t>
      </w:r>
      <w:r w:rsidR="005625A8" w:rsidRPr="0B10EE18">
        <w:rPr>
          <w:rFonts w:cs="Arial"/>
        </w:rPr>
        <w:t xml:space="preserve"> </w:t>
      </w:r>
      <w:r w:rsidR="005625A8" w:rsidRPr="0B10EE18">
        <w:rPr>
          <w:rFonts w:cs="Arial"/>
          <w:color w:val="171717" w:themeColor="background2" w:themeShade="1A"/>
        </w:rPr>
        <w:t>–</w:t>
      </w:r>
      <w:r w:rsidRPr="0B10EE18">
        <w:rPr>
          <w:rFonts w:cs="Arial"/>
        </w:rPr>
        <w:t xml:space="preserve"> EPA </w:t>
      </w:r>
      <w:r w:rsidR="00DE4EB9" w:rsidRPr="0B10EE18">
        <w:rPr>
          <w:rFonts w:cs="Arial"/>
        </w:rPr>
        <w:t xml:space="preserve">publishes </w:t>
      </w:r>
      <w:r w:rsidRPr="0B10EE18">
        <w:rPr>
          <w:rFonts w:cs="Arial"/>
        </w:rPr>
        <w:t>change</w:t>
      </w:r>
      <w:r w:rsidR="00DE4EB9" w:rsidRPr="0B10EE18">
        <w:rPr>
          <w:rFonts w:cs="Arial"/>
        </w:rPr>
        <w:t>s</w:t>
      </w:r>
      <w:r w:rsidRPr="0B10EE18">
        <w:rPr>
          <w:rFonts w:cs="Arial"/>
        </w:rPr>
        <w:t xml:space="preserve"> </w:t>
      </w:r>
      <w:r w:rsidR="00DE4EB9" w:rsidRPr="0B10EE18">
        <w:rPr>
          <w:rFonts w:cs="Arial"/>
        </w:rPr>
        <w:t>to</w:t>
      </w:r>
      <w:r w:rsidRPr="0B10EE18">
        <w:rPr>
          <w:rFonts w:cs="Arial"/>
        </w:rPr>
        <w:t xml:space="preserve"> guidance concerning the inclusion of provisions governing periods of startup, shutdown, and malfunction (“SSM”) in SIPs.</w:t>
      </w:r>
    </w:p>
    <w:p w14:paraId="352C2414" w14:textId="47F05052" w:rsidR="00865FF2" w:rsidRPr="00CE2844" w:rsidRDefault="00865FF2" w:rsidP="00865FF2">
      <w:pPr>
        <w:pStyle w:val="ListParagraph"/>
        <w:numPr>
          <w:ilvl w:val="0"/>
          <w:numId w:val="1"/>
        </w:numPr>
        <w:spacing w:after="0"/>
        <w:rPr>
          <w:rFonts w:cs="Arial"/>
        </w:rPr>
      </w:pPr>
      <w:r w:rsidRPr="0B10EE18">
        <w:rPr>
          <w:rFonts w:cs="Arial"/>
        </w:rPr>
        <w:t>October 2020</w:t>
      </w:r>
      <w:r w:rsidR="00510F46" w:rsidRPr="0B10EE18">
        <w:rPr>
          <w:rFonts w:cs="Arial"/>
        </w:rPr>
        <w:t xml:space="preserve"> </w:t>
      </w:r>
      <w:r w:rsidR="00510F46" w:rsidRPr="0B10EE18">
        <w:rPr>
          <w:rFonts w:cs="Arial"/>
          <w:color w:val="171717" w:themeColor="background2" w:themeShade="1A"/>
        </w:rPr>
        <w:t>–</w:t>
      </w:r>
      <w:r w:rsidRPr="0B10EE18">
        <w:rPr>
          <w:rFonts w:cs="Arial"/>
          <w:color w:val="171717" w:themeColor="background2" w:themeShade="1A"/>
        </w:rPr>
        <w:t xml:space="preserve"> </w:t>
      </w:r>
      <w:r w:rsidRPr="0B10EE18">
        <w:rPr>
          <w:rFonts w:cs="Arial"/>
        </w:rPr>
        <w:t xml:space="preserve">EPA published a proposal to revise the 2016 Cross-State Air Pollution Rule (“CSAPR Update Rule”) in response to the D.C. Circuit’s remand of the CSAPR Update Rule. </w:t>
      </w:r>
    </w:p>
    <w:p w14:paraId="2C17F40E" w14:textId="4D2D53B0" w:rsidR="00165766" w:rsidRDefault="00165766" w:rsidP="00865FF2">
      <w:pPr>
        <w:pStyle w:val="ListParagraph"/>
        <w:numPr>
          <w:ilvl w:val="0"/>
          <w:numId w:val="1"/>
        </w:numPr>
        <w:spacing w:after="0"/>
        <w:rPr>
          <w:rFonts w:cs="Arial"/>
        </w:rPr>
      </w:pPr>
      <w:r>
        <w:rPr>
          <w:rFonts w:cs="Arial"/>
        </w:rPr>
        <w:t xml:space="preserve">November 2020 – The U.S. </w:t>
      </w:r>
      <w:r w:rsidR="0052407B">
        <w:rPr>
          <w:rFonts w:cs="Arial"/>
        </w:rPr>
        <w:t>officially</w:t>
      </w:r>
      <w:r>
        <w:rPr>
          <w:rFonts w:cs="Arial"/>
        </w:rPr>
        <w:t xml:space="preserve"> exits the Paris Agreement.</w:t>
      </w:r>
    </w:p>
    <w:p w14:paraId="7970DFC4" w14:textId="1383386A" w:rsidR="00865FF2" w:rsidRPr="008142CB" w:rsidRDefault="00865FF2" w:rsidP="00865FF2">
      <w:pPr>
        <w:pStyle w:val="ListParagraph"/>
        <w:numPr>
          <w:ilvl w:val="0"/>
          <w:numId w:val="1"/>
        </w:numPr>
        <w:spacing w:after="0"/>
        <w:rPr>
          <w:rFonts w:cs="Arial"/>
        </w:rPr>
      </w:pPr>
      <w:r w:rsidRPr="0B10EE18">
        <w:rPr>
          <w:rFonts w:cs="Arial"/>
        </w:rPr>
        <w:t xml:space="preserve">December 2020 </w:t>
      </w:r>
      <w:r w:rsidR="00510F46" w:rsidRPr="0B10EE18">
        <w:rPr>
          <w:rFonts w:cs="Arial"/>
          <w:color w:val="171717" w:themeColor="background2" w:themeShade="1A"/>
        </w:rPr>
        <w:t>–</w:t>
      </w:r>
      <w:r w:rsidRPr="0B10EE18" w:rsidDel="00510F46">
        <w:rPr>
          <w:rFonts w:cs="Arial"/>
          <w:color w:val="171717" w:themeColor="background2" w:themeShade="1A"/>
        </w:rPr>
        <w:t xml:space="preserve"> </w:t>
      </w:r>
      <w:r w:rsidRPr="0B10EE18">
        <w:rPr>
          <w:rFonts w:cs="Arial"/>
        </w:rPr>
        <w:t xml:space="preserve">EPA published a final rule on NAAQS for PM, retaining all PM standards. </w:t>
      </w:r>
      <w:r w:rsidRPr="00FB7B01">
        <w:t xml:space="preserve"> </w:t>
      </w:r>
    </w:p>
    <w:p w14:paraId="7A454D7F" w14:textId="65ED5EC6" w:rsidR="00865FF2" w:rsidRDefault="00865FF2" w:rsidP="00865FF2">
      <w:pPr>
        <w:numPr>
          <w:ilvl w:val="0"/>
          <w:numId w:val="1"/>
        </w:numPr>
        <w:spacing w:after="0"/>
      </w:pPr>
      <w:r w:rsidRPr="0B10EE18">
        <w:rPr>
          <w:rFonts w:cs="Arial"/>
        </w:rPr>
        <w:t>December 2020</w:t>
      </w:r>
      <w:r w:rsidR="00510F46" w:rsidRPr="0B10EE18">
        <w:rPr>
          <w:rFonts w:cs="Arial"/>
        </w:rPr>
        <w:t xml:space="preserve"> </w:t>
      </w:r>
      <w:r w:rsidR="00510F46" w:rsidRPr="0B10EE18">
        <w:rPr>
          <w:rFonts w:cs="Arial"/>
          <w:color w:val="171717" w:themeColor="background2" w:themeShade="1A"/>
        </w:rPr>
        <w:t>–</w:t>
      </w:r>
      <w:r w:rsidRPr="0B10EE18">
        <w:rPr>
          <w:rFonts w:cs="Arial"/>
          <w:color w:val="171717" w:themeColor="background2" w:themeShade="1A"/>
        </w:rPr>
        <w:t xml:space="preserve"> </w:t>
      </w:r>
      <w:r w:rsidRPr="0B10EE18">
        <w:rPr>
          <w:rFonts w:cs="Arial"/>
        </w:rPr>
        <w:t>EPA finalized Round 4 designation for the 2010 SO</w:t>
      </w:r>
      <w:r w:rsidRPr="0B10EE18">
        <w:rPr>
          <w:rFonts w:cs="Arial"/>
          <w:vertAlign w:val="subscript"/>
        </w:rPr>
        <w:t xml:space="preserve">2 </w:t>
      </w:r>
      <w:r w:rsidRPr="0B10EE18">
        <w:rPr>
          <w:rFonts w:cs="Arial"/>
        </w:rPr>
        <w:t>NAAQS</w:t>
      </w:r>
      <w:r w:rsidR="00DE4EB9" w:rsidRPr="0B10EE18">
        <w:rPr>
          <w:rFonts w:cs="Arial"/>
        </w:rPr>
        <w:t xml:space="preserve"> and </w:t>
      </w:r>
      <w:r w:rsidRPr="0B10EE18">
        <w:rPr>
          <w:rFonts w:cs="Arial"/>
        </w:rPr>
        <w:t xml:space="preserve">designated Floyd County as Attainment/Unclassifiable. </w:t>
      </w:r>
    </w:p>
    <w:p w14:paraId="4FBB0589" w14:textId="532508FD" w:rsidR="00865FF2" w:rsidRDefault="00865FF2" w:rsidP="00865FF2">
      <w:pPr>
        <w:numPr>
          <w:ilvl w:val="0"/>
          <w:numId w:val="1"/>
        </w:numPr>
        <w:spacing w:after="0"/>
        <w:contextualSpacing/>
        <w:rPr>
          <w:rFonts w:cs="Arial"/>
        </w:rPr>
      </w:pPr>
      <w:r w:rsidRPr="0B10EE18">
        <w:rPr>
          <w:rFonts w:cs="Arial"/>
        </w:rPr>
        <w:t>Decembe</w:t>
      </w:r>
      <w:r w:rsidR="00510F46" w:rsidRPr="0B10EE18">
        <w:rPr>
          <w:rFonts w:cs="Arial"/>
        </w:rPr>
        <w:t>r</w:t>
      </w:r>
      <w:r w:rsidRPr="0B10EE18">
        <w:rPr>
          <w:rFonts w:cs="Arial"/>
        </w:rPr>
        <w:t xml:space="preserve"> 2020</w:t>
      </w:r>
      <w:r w:rsidR="00510F46" w:rsidRPr="0B10EE18">
        <w:rPr>
          <w:rFonts w:cs="Arial"/>
        </w:rPr>
        <w:t xml:space="preserve"> </w:t>
      </w:r>
      <w:r w:rsidR="00510F46" w:rsidRPr="0B10EE18">
        <w:rPr>
          <w:rFonts w:cs="Arial"/>
          <w:color w:val="171717" w:themeColor="background2" w:themeShade="1A"/>
        </w:rPr>
        <w:t>–</w:t>
      </w:r>
      <w:r w:rsidRPr="0B10EE18">
        <w:rPr>
          <w:rFonts w:cs="Arial"/>
          <w:color w:val="171717" w:themeColor="background2" w:themeShade="1A"/>
        </w:rPr>
        <w:t xml:space="preserve"> </w:t>
      </w:r>
      <w:r w:rsidRPr="0B10EE18">
        <w:rPr>
          <w:rFonts w:cs="Arial"/>
        </w:rPr>
        <w:t xml:space="preserve">EPA published a final rule </w:t>
      </w:r>
      <w:r w:rsidR="00075745">
        <w:t xml:space="preserve">“Increasing Consistency and Transparency in Considering Benefits and Costs in the Clean Air Act Rulemaking Process” </w:t>
      </w:r>
      <w:r w:rsidRPr="0B10EE18">
        <w:rPr>
          <w:rFonts w:cs="Arial"/>
        </w:rPr>
        <w:t xml:space="preserve">that establishes certain processes related to benefit-cost analyses that EPA will undertake when promulgating </w:t>
      </w:r>
      <w:r w:rsidR="002A728C" w:rsidRPr="0B10EE18">
        <w:rPr>
          <w:rFonts w:cs="Arial"/>
        </w:rPr>
        <w:t xml:space="preserve">significant </w:t>
      </w:r>
      <w:r w:rsidRPr="0B10EE18">
        <w:rPr>
          <w:rFonts w:cs="Arial"/>
        </w:rPr>
        <w:t>regulations under the CAA.</w:t>
      </w:r>
    </w:p>
    <w:p w14:paraId="54D0311C" w14:textId="5E59AC84" w:rsidR="00865FF2" w:rsidRDefault="00865FF2" w:rsidP="00865FF2">
      <w:pPr>
        <w:numPr>
          <w:ilvl w:val="0"/>
          <w:numId w:val="1"/>
        </w:numPr>
        <w:spacing w:after="0"/>
        <w:contextualSpacing/>
        <w:rPr>
          <w:rFonts w:cs="Arial"/>
        </w:rPr>
      </w:pPr>
      <w:r w:rsidRPr="0B10EE18">
        <w:rPr>
          <w:rFonts w:cs="Arial"/>
        </w:rPr>
        <w:t>Decembe</w:t>
      </w:r>
      <w:r w:rsidR="00510F46" w:rsidRPr="0B10EE18">
        <w:rPr>
          <w:rFonts w:cs="Arial"/>
        </w:rPr>
        <w:t>r</w:t>
      </w:r>
      <w:r w:rsidRPr="0B10EE18">
        <w:rPr>
          <w:rFonts w:cs="Arial"/>
        </w:rPr>
        <w:t xml:space="preserve"> 2020 </w:t>
      </w:r>
      <w:r w:rsidR="00510F46" w:rsidRPr="0B10EE18">
        <w:rPr>
          <w:rFonts w:cs="Arial"/>
          <w:color w:val="171717" w:themeColor="background2" w:themeShade="1A"/>
        </w:rPr>
        <w:t>–</w:t>
      </w:r>
      <w:r w:rsidRPr="0B10EE18" w:rsidDel="00510F46">
        <w:rPr>
          <w:rFonts w:cs="Arial"/>
          <w:color w:val="171717" w:themeColor="background2" w:themeShade="1A"/>
        </w:rPr>
        <w:t xml:space="preserve"> </w:t>
      </w:r>
      <w:r w:rsidRPr="0B10EE18">
        <w:rPr>
          <w:rFonts w:cs="Arial"/>
        </w:rPr>
        <w:t xml:space="preserve">EPA published a final rule to retain the primary and secondary Ozone NAAQS.  </w:t>
      </w:r>
    </w:p>
    <w:p w14:paraId="208BD7BB" w14:textId="3BBC0BDF" w:rsidR="004671B1" w:rsidRDefault="00865FF2" w:rsidP="00865FF2">
      <w:pPr>
        <w:numPr>
          <w:ilvl w:val="0"/>
          <w:numId w:val="1"/>
        </w:numPr>
        <w:spacing w:after="0"/>
        <w:contextualSpacing/>
        <w:rPr>
          <w:rFonts w:cs="Arial"/>
        </w:rPr>
      </w:pPr>
      <w:r w:rsidRPr="0B10EE18">
        <w:rPr>
          <w:rFonts w:cs="Arial"/>
        </w:rPr>
        <w:t>January 2021</w:t>
      </w:r>
      <w:r w:rsidR="00F02E9C" w:rsidRPr="0B10EE18">
        <w:rPr>
          <w:rFonts w:cs="Arial"/>
        </w:rPr>
        <w:t xml:space="preserve"> </w:t>
      </w:r>
      <w:r w:rsidR="00F02E9C" w:rsidRPr="0B10EE18">
        <w:rPr>
          <w:rFonts w:cs="Arial"/>
          <w:color w:val="171717" w:themeColor="background2" w:themeShade="1A"/>
        </w:rPr>
        <w:t>–</w:t>
      </w:r>
      <w:r w:rsidRPr="0B10EE18">
        <w:rPr>
          <w:rFonts w:cs="Arial"/>
        </w:rPr>
        <w:t xml:space="preserve"> EPA published a framework</w:t>
      </w:r>
      <w:r w:rsidR="00EF55C2">
        <w:rPr>
          <w:rFonts w:cs="Arial"/>
        </w:rPr>
        <w:t>, “</w:t>
      </w:r>
      <w:r w:rsidR="00EF55C2">
        <w:t>Pollutant-Specific Significant Contribution Finding for Greenhouse Gas Emissions from New, Modified, and Reconstructed Stationary Sources: Electric Utility Generating Units, and Process for Determining Significance of Other NSPS Source Categories”</w:t>
      </w:r>
      <w:r w:rsidRPr="0B10EE18">
        <w:rPr>
          <w:rFonts w:cs="Arial"/>
        </w:rPr>
        <w:t xml:space="preserve"> for determining when standards are appropriate for </w:t>
      </w:r>
      <w:r w:rsidR="00541036" w:rsidRPr="0B10EE18">
        <w:rPr>
          <w:rFonts w:cs="Arial"/>
        </w:rPr>
        <w:t xml:space="preserve">GHG </w:t>
      </w:r>
      <w:r w:rsidRPr="0B10EE18">
        <w:rPr>
          <w:rFonts w:cs="Arial"/>
        </w:rPr>
        <w:t>emissions</w:t>
      </w:r>
      <w:r w:rsidRPr="0B10EE18" w:rsidDel="00541036">
        <w:rPr>
          <w:rFonts w:cs="Arial"/>
        </w:rPr>
        <w:t xml:space="preserve"> </w:t>
      </w:r>
      <w:r w:rsidRPr="0B10EE18">
        <w:rPr>
          <w:rFonts w:cs="Arial"/>
        </w:rPr>
        <w:t xml:space="preserve">under </w:t>
      </w:r>
      <w:r w:rsidR="00150D24">
        <w:rPr>
          <w:rFonts w:cs="Arial"/>
        </w:rPr>
        <w:t>CAA</w:t>
      </w:r>
      <w:r w:rsidRPr="0B10EE18">
        <w:rPr>
          <w:rFonts w:cs="Arial"/>
        </w:rPr>
        <w:t xml:space="preserve"> section 111.  </w:t>
      </w:r>
    </w:p>
    <w:p w14:paraId="538D2F8B" w14:textId="296F0331" w:rsidR="00865FF2" w:rsidRDefault="00865FF2" w:rsidP="00865FF2">
      <w:pPr>
        <w:numPr>
          <w:ilvl w:val="0"/>
          <w:numId w:val="1"/>
        </w:numPr>
        <w:spacing w:after="0"/>
        <w:contextualSpacing/>
        <w:rPr>
          <w:rFonts w:cs="Arial"/>
        </w:rPr>
      </w:pPr>
      <w:r w:rsidRPr="0B10EE18">
        <w:rPr>
          <w:rFonts w:cs="Arial"/>
        </w:rPr>
        <w:t>January 2021</w:t>
      </w:r>
      <w:r w:rsidR="00A5639C" w:rsidRPr="0B10EE18">
        <w:rPr>
          <w:rFonts w:cs="Arial"/>
        </w:rPr>
        <w:t xml:space="preserve"> </w:t>
      </w:r>
      <w:r w:rsidR="00A5639C" w:rsidRPr="0B10EE18">
        <w:rPr>
          <w:rFonts w:cs="Arial"/>
          <w:color w:val="171717" w:themeColor="background2" w:themeShade="1A"/>
        </w:rPr>
        <w:t>–</w:t>
      </w:r>
      <w:r w:rsidRPr="0B10EE18">
        <w:rPr>
          <w:rFonts w:cs="Arial"/>
        </w:rPr>
        <w:t xml:space="preserve"> </w:t>
      </w:r>
      <w:r w:rsidR="00A5639C" w:rsidRPr="0B10EE18">
        <w:rPr>
          <w:rFonts w:cs="Arial"/>
        </w:rPr>
        <w:t>T</w:t>
      </w:r>
      <w:r w:rsidRPr="0B10EE18">
        <w:rPr>
          <w:rFonts w:cs="Arial"/>
        </w:rPr>
        <w:t xml:space="preserve">he D.C. Circuit vacated and remanded the ACE rule back to EPA.  </w:t>
      </w:r>
    </w:p>
    <w:p w14:paraId="5F9990AD" w14:textId="34E081E1" w:rsidR="00865FF2" w:rsidRDefault="00865FF2" w:rsidP="00865FF2">
      <w:pPr>
        <w:numPr>
          <w:ilvl w:val="0"/>
          <w:numId w:val="1"/>
        </w:numPr>
        <w:spacing w:after="0"/>
        <w:contextualSpacing/>
        <w:rPr>
          <w:rFonts w:cs="Arial"/>
        </w:rPr>
      </w:pPr>
      <w:r w:rsidRPr="0B10EE18">
        <w:rPr>
          <w:rFonts w:cs="Arial"/>
        </w:rPr>
        <w:t>January</w:t>
      </w:r>
      <w:r w:rsidR="00510F46" w:rsidRPr="0B10EE18">
        <w:rPr>
          <w:rFonts w:cs="Arial"/>
        </w:rPr>
        <w:t xml:space="preserve"> </w:t>
      </w:r>
      <w:r w:rsidRPr="0B10EE18">
        <w:rPr>
          <w:rFonts w:cs="Arial"/>
        </w:rPr>
        <w:t xml:space="preserve">2021 </w:t>
      </w:r>
      <w:r w:rsidR="00192694" w:rsidRPr="0B10EE18">
        <w:rPr>
          <w:rFonts w:cs="Arial"/>
          <w:color w:val="171717" w:themeColor="background2" w:themeShade="1A"/>
        </w:rPr>
        <w:t>–</w:t>
      </w:r>
      <w:r w:rsidRPr="0B10EE18" w:rsidDel="00192694">
        <w:rPr>
          <w:rFonts w:cs="Arial"/>
          <w:color w:val="171717" w:themeColor="background2" w:themeShade="1A"/>
        </w:rPr>
        <w:t xml:space="preserve"> </w:t>
      </w:r>
      <w:r w:rsidRPr="0B10EE18">
        <w:rPr>
          <w:rFonts w:cs="Arial"/>
        </w:rPr>
        <w:t xml:space="preserve">President Biden issued a number of statements and </w:t>
      </w:r>
      <w:r w:rsidR="00135BF5">
        <w:rPr>
          <w:rFonts w:cs="Arial"/>
        </w:rPr>
        <w:t>EOs</w:t>
      </w:r>
      <w:r w:rsidR="00DA41B3" w:rsidRPr="0B10EE18">
        <w:rPr>
          <w:rFonts w:cs="Arial"/>
        </w:rPr>
        <w:t>,</w:t>
      </w:r>
      <w:r w:rsidRPr="0B10EE18">
        <w:rPr>
          <w:rFonts w:cs="Arial"/>
        </w:rPr>
        <w:t xml:space="preserve"> including reentering the Paris Agreement</w:t>
      </w:r>
      <w:r w:rsidR="0033426F" w:rsidRPr="0B10EE18">
        <w:rPr>
          <w:rFonts w:cs="Arial"/>
        </w:rPr>
        <w:t>,</w:t>
      </w:r>
      <w:r w:rsidRPr="0B10EE18">
        <w:rPr>
          <w:rFonts w:cs="Arial"/>
        </w:rPr>
        <w:t xml:space="preserve"> reviewing regulations issued during the Trump Administration</w:t>
      </w:r>
      <w:r w:rsidR="0033426F" w:rsidRPr="0B10EE18">
        <w:rPr>
          <w:rFonts w:cs="Arial"/>
        </w:rPr>
        <w:t>, and commitments to</w:t>
      </w:r>
      <w:r w:rsidRPr="0B10EE18">
        <w:rPr>
          <w:rFonts w:cs="Arial"/>
        </w:rPr>
        <w:t xml:space="preserve"> address climate change and other environmental issues.</w:t>
      </w:r>
    </w:p>
    <w:p w14:paraId="1DCC5216" w14:textId="10A949D2" w:rsidR="00F7533F" w:rsidRPr="000C1C09" w:rsidRDefault="00192694" w:rsidP="00F7533F">
      <w:pPr>
        <w:numPr>
          <w:ilvl w:val="0"/>
          <w:numId w:val="1"/>
        </w:numPr>
        <w:spacing w:after="0"/>
        <w:textAlignment w:val="center"/>
        <w:rPr>
          <w:rFonts w:cs="Arial"/>
        </w:rPr>
      </w:pPr>
      <w:r w:rsidRPr="0B10EE18">
        <w:rPr>
          <w:rFonts w:cs="Arial"/>
        </w:rPr>
        <w:t xml:space="preserve">February 2021 </w:t>
      </w:r>
      <w:r w:rsidRPr="0B10EE18">
        <w:rPr>
          <w:rFonts w:cs="Arial"/>
          <w:color w:val="171717" w:themeColor="background2" w:themeShade="1A"/>
        </w:rPr>
        <w:t xml:space="preserve">– </w:t>
      </w:r>
      <w:r w:rsidR="00F7533F" w:rsidRPr="0B10EE18">
        <w:rPr>
          <w:rFonts w:cs="Arial"/>
        </w:rPr>
        <w:t xml:space="preserve">The D.C. Circuit granted </w:t>
      </w:r>
      <w:r w:rsidR="00116B87" w:rsidRPr="0B10EE18">
        <w:rPr>
          <w:rFonts w:cs="Arial"/>
        </w:rPr>
        <w:t xml:space="preserve">EPA’s </w:t>
      </w:r>
      <w:r w:rsidR="00F7533F" w:rsidRPr="0B10EE18">
        <w:rPr>
          <w:rFonts w:cs="Arial"/>
        </w:rPr>
        <w:t xml:space="preserve">motion </w:t>
      </w:r>
      <w:r w:rsidR="00A24CE5" w:rsidRPr="0B10EE18">
        <w:rPr>
          <w:rFonts w:cs="Arial"/>
        </w:rPr>
        <w:t xml:space="preserve">to hold </w:t>
      </w:r>
      <w:r w:rsidR="001F5227" w:rsidRPr="0B10EE18">
        <w:rPr>
          <w:rFonts w:cs="Arial"/>
        </w:rPr>
        <w:t xml:space="preserve">the </w:t>
      </w:r>
      <w:r w:rsidR="00DE1E0F" w:rsidRPr="0B10EE18">
        <w:rPr>
          <w:rFonts w:cs="Arial"/>
        </w:rPr>
        <w:t xml:space="preserve">final 2020 MATS rule </w:t>
      </w:r>
      <w:r w:rsidR="00A472C2" w:rsidRPr="0B10EE18">
        <w:rPr>
          <w:rFonts w:cs="Arial"/>
        </w:rPr>
        <w:t xml:space="preserve">litigation </w:t>
      </w:r>
      <w:r w:rsidR="00DE1E0F" w:rsidRPr="0B10EE18">
        <w:rPr>
          <w:rFonts w:cs="Arial"/>
        </w:rPr>
        <w:t xml:space="preserve">in </w:t>
      </w:r>
      <w:r w:rsidR="00560B09" w:rsidRPr="0B10EE18">
        <w:rPr>
          <w:rFonts w:cs="Arial"/>
        </w:rPr>
        <w:t>abeyance</w:t>
      </w:r>
      <w:r w:rsidR="00C9485B" w:rsidRPr="0B10EE18">
        <w:rPr>
          <w:rFonts w:cs="Arial"/>
        </w:rPr>
        <w:t>.</w:t>
      </w:r>
    </w:p>
    <w:p w14:paraId="15C08AB4" w14:textId="692E82E2" w:rsidR="001B1247" w:rsidRPr="00EB20B7" w:rsidRDefault="00865FF2" w:rsidP="00EB20B7">
      <w:pPr>
        <w:numPr>
          <w:ilvl w:val="0"/>
          <w:numId w:val="1"/>
        </w:numPr>
        <w:spacing w:after="0"/>
        <w:contextualSpacing/>
        <w:rPr>
          <w:rFonts w:cs="Arial"/>
        </w:rPr>
      </w:pPr>
      <w:r w:rsidRPr="0B10EE18">
        <w:rPr>
          <w:rFonts w:cs="Arial"/>
        </w:rPr>
        <w:t xml:space="preserve">February 2021 </w:t>
      </w:r>
      <w:r w:rsidR="00192694" w:rsidRPr="0B10EE18">
        <w:rPr>
          <w:rFonts w:cs="Arial"/>
          <w:color w:val="171717" w:themeColor="background2" w:themeShade="1A"/>
        </w:rPr>
        <w:t>–</w:t>
      </w:r>
      <w:r w:rsidRPr="0B10EE18" w:rsidDel="00192694">
        <w:rPr>
          <w:rFonts w:cs="Arial"/>
          <w:color w:val="171717" w:themeColor="background2" w:themeShade="1A"/>
        </w:rPr>
        <w:t xml:space="preserve"> </w:t>
      </w:r>
      <w:r w:rsidR="0052123A" w:rsidRPr="0B10EE18">
        <w:rPr>
          <w:rFonts w:cs="Arial"/>
          <w:color w:val="171717" w:themeColor="background2" w:themeShade="1A"/>
        </w:rPr>
        <w:t xml:space="preserve">EPA, as part of </w:t>
      </w:r>
      <w:r w:rsidRPr="0B10EE18">
        <w:rPr>
          <w:rFonts w:cs="Arial"/>
        </w:rPr>
        <w:t>the Interagency Working Group</w:t>
      </w:r>
      <w:r w:rsidR="00CB3ED4" w:rsidRPr="0B10EE18">
        <w:rPr>
          <w:rFonts w:cs="Arial"/>
        </w:rPr>
        <w:t xml:space="preserve"> on the Social Cost of GHGs</w:t>
      </w:r>
      <w:r w:rsidR="0052123A" w:rsidRPr="0B10EE18">
        <w:rPr>
          <w:rFonts w:cs="Arial"/>
        </w:rPr>
        <w:t>,</w:t>
      </w:r>
      <w:r w:rsidRPr="0B10EE18">
        <w:rPr>
          <w:rFonts w:cs="Arial"/>
        </w:rPr>
        <w:t xml:space="preserve"> released </w:t>
      </w:r>
      <w:r w:rsidR="00E92B15">
        <w:rPr>
          <w:rFonts w:cs="Arial"/>
        </w:rPr>
        <w:t xml:space="preserve">interim </w:t>
      </w:r>
      <w:r w:rsidRPr="0B10EE18">
        <w:rPr>
          <w:rFonts w:cs="Arial"/>
        </w:rPr>
        <w:t>updates to the social cost of GHGs with a</w:t>
      </w:r>
      <w:r w:rsidR="00624697">
        <w:rPr>
          <w:rFonts w:cs="Arial"/>
        </w:rPr>
        <w:t xml:space="preserve"> </w:t>
      </w:r>
      <w:r w:rsidR="00227805">
        <w:rPr>
          <w:rFonts w:cs="Arial"/>
        </w:rPr>
        <w:t xml:space="preserve">starting value </w:t>
      </w:r>
      <w:r w:rsidRPr="0B10EE18">
        <w:rPr>
          <w:rFonts w:cs="Arial"/>
        </w:rPr>
        <w:t>of $51/ton CO</w:t>
      </w:r>
      <w:r w:rsidRPr="0B10EE18">
        <w:rPr>
          <w:rFonts w:cs="Arial"/>
          <w:vertAlign w:val="subscript"/>
        </w:rPr>
        <w:t>2</w:t>
      </w:r>
      <w:r w:rsidR="0052123A" w:rsidRPr="0B10EE18">
        <w:rPr>
          <w:rFonts w:cs="Arial"/>
          <w:vertAlign w:val="subscript"/>
        </w:rPr>
        <w:t>.</w:t>
      </w:r>
      <w:r w:rsidRPr="0B10EE18">
        <w:rPr>
          <w:rFonts w:cs="Arial"/>
        </w:rPr>
        <w:t xml:space="preserve"> </w:t>
      </w:r>
    </w:p>
    <w:p w14:paraId="11F21393" w14:textId="16E8707D" w:rsidR="00DC62CA" w:rsidRPr="00EB20B7" w:rsidRDefault="005713F2" w:rsidP="00CB10E4">
      <w:pPr>
        <w:numPr>
          <w:ilvl w:val="0"/>
          <w:numId w:val="1"/>
        </w:numPr>
        <w:spacing w:after="0"/>
        <w:textAlignment w:val="center"/>
        <w:rPr>
          <w:rFonts w:cs="Arial"/>
        </w:rPr>
      </w:pPr>
      <w:r w:rsidRPr="0B10EE18">
        <w:rPr>
          <w:rFonts w:cs="Arial"/>
        </w:rPr>
        <w:t>April 2021 – The</w:t>
      </w:r>
      <w:r w:rsidR="00DC62CA" w:rsidRPr="0B10EE18">
        <w:rPr>
          <w:rFonts w:cs="Arial"/>
        </w:rPr>
        <w:t xml:space="preserve"> D</w:t>
      </w:r>
      <w:r w:rsidR="00846E2C" w:rsidRPr="0B10EE18">
        <w:rPr>
          <w:rFonts w:cs="Arial"/>
        </w:rPr>
        <w:t>.</w:t>
      </w:r>
      <w:r w:rsidR="00DC62CA" w:rsidRPr="0B10EE18">
        <w:rPr>
          <w:rFonts w:cs="Arial"/>
        </w:rPr>
        <w:t>C</w:t>
      </w:r>
      <w:r w:rsidR="00846E2C" w:rsidRPr="0B10EE18">
        <w:rPr>
          <w:rFonts w:cs="Arial"/>
        </w:rPr>
        <w:t>.</w:t>
      </w:r>
      <w:r w:rsidR="00DC62CA" w:rsidRPr="0B10EE18" w:rsidDel="005713F2">
        <w:rPr>
          <w:rFonts w:cs="Arial"/>
        </w:rPr>
        <w:t xml:space="preserve"> </w:t>
      </w:r>
      <w:r w:rsidRPr="0B10EE18">
        <w:rPr>
          <w:rFonts w:cs="Arial"/>
        </w:rPr>
        <w:t xml:space="preserve">Circuit </w:t>
      </w:r>
      <w:r w:rsidR="00DC62CA" w:rsidRPr="0B10EE18">
        <w:rPr>
          <w:rFonts w:cs="Arial"/>
        </w:rPr>
        <w:t>issued</w:t>
      </w:r>
      <w:r w:rsidRPr="0B10EE18">
        <w:rPr>
          <w:rFonts w:cs="Arial"/>
        </w:rPr>
        <w:t xml:space="preserve"> an</w:t>
      </w:r>
      <w:r w:rsidR="00DC62CA" w:rsidRPr="0B10EE18">
        <w:rPr>
          <w:rFonts w:cs="Arial"/>
        </w:rPr>
        <w:t xml:space="preserve"> order granting EPA's motion to vacate the </w:t>
      </w:r>
      <w:r w:rsidR="00396EAF" w:rsidRPr="0B10EE18">
        <w:rPr>
          <w:rFonts w:cs="Arial"/>
        </w:rPr>
        <w:t>EPA published framework</w:t>
      </w:r>
      <w:r w:rsidR="00530529">
        <w:rPr>
          <w:rFonts w:cs="Arial"/>
        </w:rPr>
        <w:t>, “</w:t>
      </w:r>
      <w:r w:rsidR="00530529">
        <w:t>Pollutant-Specific Significant Contribution Finding for Greenhouse Gas Emissions from New, Modified, and Reconstructed Stationary Sources: Electric Utility Generating Units, and Process for Determining Significance of Other NSPS Source Categories”</w:t>
      </w:r>
      <w:r w:rsidR="00530529" w:rsidRPr="0B10EE18">
        <w:rPr>
          <w:rFonts w:cs="Arial"/>
        </w:rPr>
        <w:t xml:space="preserve"> </w:t>
      </w:r>
      <w:r w:rsidR="00396EAF" w:rsidRPr="0B10EE18">
        <w:rPr>
          <w:rFonts w:cs="Arial"/>
        </w:rPr>
        <w:t>for determining when standards are appropriate for GHG emissions</w:t>
      </w:r>
      <w:r w:rsidR="00396EAF" w:rsidRPr="0B10EE18" w:rsidDel="00541036">
        <w:rPr>
          <w:rFonts w:cs="Arial"/>
        </w:rPr>
        <w:t xml:space="preserve"> </w:t>
      </w:r>
      <w:r w:rsidR="00396EAF" w:rsidRPr="0B10EE18">
        <w:rPr>
          <w:rFonts w:cs="Arial"/>
        </w:rPr>
        <w:t xml:space="preserve">under </w:t>
      </w:r>
      <w:r w:rsidR="00EC4B9B">
        <w:rPr>
          <w:rFonts w:cs="Arial"/>
        </w:rPr>
        <w:t>CAA</w:t>
      </w:r>
      <w:r w:rsidR="00396EAF" w:rsidRPr="0B10EE18">
        <w:rPr>
          <w:rFonts w:cs="Arial"/>
        </w:rPr>
        <w:t xml:space="preserve"> section 111.</w:t>
      </w:r>
    </w:p>
    <w:p w14:paraId="2DA24B7D" w14:textId="0D007A1A" w:rsidR="00CB10E4" w:rsidRPr="00EB20B7" w:rsidRDefault="00E81CA2" w:rsidP="00CB10E4">
      <w:pPr>
        <w:numPr>
          <w:ilvl w:val="0"/>
          <w:numId w:val="1"/>
        </w:numPr>
        <w:spacing w:after="0"/>
        <w:textAlignment w:val="center"/>
        <w:rPr>
          <w:rFonts w:cs="Arial"/>
        </w:rPr>
      </w:pPr>
      <w:r w:rsidRPr="12E428E8">
        <w:rPr>
          <w:rFonts w:cs="Arial"/>
        </w:rPr>
        <w:t>April 2021 – President</w:t>
      </w:r>
      <w:r w:rsidR="00CB10E4" w:rsidRPr="12E428E8">
        <w:rPr>
          <w:rFonts w:cs="Arial"/>
        </w:rPr>
        <w:t xml:space="preserve"> Biden </w:t>
      </w:r>
      <w:r w:rsidR="00107F90" w:rsidRPr="12E428E8">
        <w:rPr>
          <w:rFonts w:cs="Arial"/>
        </w:rPr>
        <w:t>announced</w:t>
      </w:r>
      <w:r w:rsidR="00E60653" w:rsidRPr="12E428E8">
        <w:rPr>
          <w:rFonts w:cs="Arial"/>
        </w:rPr>
        <w:t xml:space="preserve"> the</w:t>
      </w:r>
      <w:r w:rsidR="001C0F0A" w:rsidRPr="12E428E8">
        <w:rPr>
          <w:rFonts w:cs="Arial"/>
        </w:rPr>
        <w:t xml:space="preserve"> updated</w:t>
      </w:r>
      <w:r w:rsidR="00107F90" w:rsidRPr="12E428E8">
        <w:rPr>
          <w:rFonts w:cs="Arial"/>
        </w:rPr>
        <w:t xml:space="preserve"> </w:t>
      </w:r>
      <w:r w:rsidR="00CB10E4" w:rsidRPr="12E428E8">
        <w:rPr>
          <w:rFonts w:cs="Arial"/>
        </w:rPr>
        <w:t>U</w:t>
      </w:r>
      <w:r w:rsidR="004F7B90">
        <w:rPr>
          <w:rFonts w:cs="Arial"/>
        </w:rPr>
        <w:t>.</w:t>
      </w:r>
      <w:r w:rsidR="00CB10E4" w:rsidRPr="12E428E8">
        <w:rPr>
          <w:rFonts w:cs="Arial"/>
        </w:rPr>
        <w:t>S</w:t>
      </w:r>
      <w:r w:rsidR="004F7B90">
        <w:rPr>
          <w:rFonts w:cs="Arial"/>
        </w:rPr>
        <w:t xml:space="preserve">. </w:t>
      </w:r>
      <w:r w:rsidR="00CB10E4" w:rsidRPr="12E428E8">
        <w:rPr>
          <w:rFonts w:cs="Arial"/>
        </w:rPr>
        <w:t>NDC</w:t>
      </w:r>
      <w:r w:rsidR="00AF4A2B" w:rsidRPr="12E428E8">
        <w:rPr>
          <w:rFonts w:cs="Arial"/>
        </w:rPr>
        <w:t xml:space="preserve"> under the </w:t>
      </w:r>
      <w:r w:rsidR="00152939" w:rsidRPr="12E428E8">
        <w:rPr>
          <w:rFonts w:cs="Arial"/>
        </w:rPr>
        <w:t xml:space="preserve">United Nations’ </w:t>
      </w:r>
      <w:r w:rsidR="00AF4A2B" w:rsidRPr="12E428E8">
        <w:rPr>
          <w:rFonts w:cs="Arial"/>
        </w:rPr>
        <w:t>Paris Agreement</w:t>
      </w:r>
      <w:r w:rsidR="00CB10E4" w:rsidRPr="12E428E8">
        <w:rPr>
          <w:rFonts w:cs="Arial"/>
        </w:rPr>
        <w:t xml:space="preserve">. </w:t>
      </w:r>
    </w:p>
    <w:p w14:paraId="65BE2793" w14:textId="62A07AC5" w:rsidR="0046783B" w:rsidRPr="00EB20B7" w:rsidRDefault="00CB10E4" w:rsidP="00865FF2">
      <w:pPr>
        <w:numPr>
          <w:ilvl w:val="0"/>
          <w:numId w:val="1"/>
        </w:numPr>
        <w:spacing w:after="0"/>
        <w:contextualSpacing/>
        <w:rPr>
          <w:rFonts w:cs="Arial"/>
        </w:rPr>
      </w:pPr>
      <w:r w:rsidRPr="0B10EE18">
        <w:rPr>
          <w:rFonts w:cs="Arial"/>
        </w:rPr>
        <w:t>April</w:t>
      </w:r>
      <w:r w:rsidR="00C9273C" w:rsidRPr="0B10EE18">
        <w:rPr>
          <w:rFonts w:cs="Arial"/>
        </w:rPr>
        <w:t xml:space="preserve"> </w:t>
      </w:r>
      <w:r w:rsidR="00B9136B" w:rsidRPr="0B10EE18">
        <w:rPr>
          <w:rFonts w:cs="Arial"/>
        </w:rPr>
        <w:t>2021</w:t>
      </w:r>
      <w:r w:rsidRPr="0B10EE18">
        <w:rPr>
          <w:rFonts w:cs="Arial"/>
        </w:rPr>
        <w:t xml:space="preserve"> </w:t>
      </w:r>
      <w:r w:rsidR="00B9136B" w:rsidRPr="0B10EE18">
        <w:rPr>
          <w:rFonts w:cs="Arial"/>
        </w:rPr>
        <w:t xml:space="preserve">– </w:t>
      </w:r>
      <w:r w:rsidRPr="0B10EE18">
        <w:rPr>
          <w:rFonts w:cs="Arial"/>
        </w:rPr>
        <w:t xml:space="preserve">A coalition of States (including Georgia) and the North American Coal Corporation filed petitions asking the Supreme Court to review the D.C. Circuit’s decision to vacate and remand </w:t>
      </w:r>
      <w:r w:rsidRPr="0B10EE18" w:rsidDel="0018598E">
        <w:rPr>
          <w:rFonts w:cs="Arial"/>
        </w:rPr>
        <w:t xml:space="preserve">the </w:t>
      </w:r>
      <w:r w:rsidRPr="0B10EE18">
        <w:rPr>
          <w:rFonts w:cs="Arial"/>
        </w:rPr>
        <w:t>ACE Rule.</w:t>
      </w:r>
      <w:r w:rsidR="00012465" w:rsidRPr="0B10EE18">
        <w:rPr>
          <w:rFonts w:cs="Arial"/>
        </w:rPr>
        <w:t xml:space="preserve"> </w:t>
      </w:r>
    </w:p>
    <w:p w14:paraId="1FF1E55F" w14:textId="74911DF0" w:rsidR="00845ADA" w:rsidRDefault="00845ADA" w:rsidP="0079758A">
      <w:pPr>
        <w:numPr>
          <w:ilvl w:val="0"/>
          <w:numId w:val="1"/>
        </w:numPr>
        <w:spacing w:after="0"/>
        <w:textAlignment w:val="center"/>
        <w:rPr>
          <w:rFonts w:cs="Arial"/>
        </w:rPr>
      </w:pPr>
      <w:r>
        <w:rPr>
          <w:rFonts w:cs="Arial"/>
        </w:rPr>
        <w:t xml:space="preserve">May 201 </w:t>
      </w:r>
      <w:r w:rsidR="000413E0">
        <w:rPr>
          <w:rFonts w:cs="Arial"/>
        </w:rPr>
        <w:t>–</w:t>
      </w:r>
      <w:r>
        <w:rPr>
          <w:rFonts w:cs="Arial"/>
        </w:rPr>
        <w:t xml:space="preserve"> </w:t>
      </w:r>
      <w:r w:rsidR="000413E0">
        <w:rPr>
          <w:rFonts w:cs="Arial"/>
        </w:rPr>
        <w:t xml:space="preserve">EPA rescinds </w:t>
      </w:r>
      <w:r w:rsidR="000413E0">
        <w:t>“Increasing Consistency and Transparency in Considering Benefits and Costs in the Clean Air Act Rulemaking Process”</w:t>
      </w:r>
      <w:r w:rsidR="006071B0">
        <w:t>.</w:t>
      </w:r>
      <w:r w:rsidR="009D52DD">
        <w:t xml:space="preserve"> </w:t>
      </w:r>
    </w:p>
    <w:p w14:paraId="6535A125" w14:textId="1CA5CE8E" w:rsidR="001430E7" w:rsidRPr="001430E7" w:rsidRDefault="001430E7" w:rsidP="0059358A">
      <w:pPr>
        <w:numPr>
          <w:ilvl w:val="0"/>
          <w:numId w:val="1"/>
        </w:numPr>
        <w:spacing w:after="0"/>
        <w:textAlignment w:val="center"/>
        <w:rPr>
          <w:rFonts w:cs="Arial"/>
        </w:rPr>
      </w:pPr>
      <w:r>
        <w:rPr>
          <w:rFonts w:cs="Arial"/>
        </w:rPr>
        <w:t xml:space="preserve">May 2021 – </w:t>
      </w:r>
      <w:r w:rsidRPr="001430E7">
        <w:rPr>
          <w:rFonts w:cs="Arial"/>
        </w:rPr>
        <w:t xml:space="preserve">EPA </w:t>
      </w:r>
      <w:r w:rsidR="00367F9E">
        <w:rPr>
          <w:rFonts w:cs="Arial"/>
        </w:rPr>
        <w:t>published</w:t>
      </w:r>
      <w:r w:rsidRPr="001430E7">
        <w:rPr>
          <w:rFonts w:cs="Arial"/>
        </w:rPr>
        <w:t xml:space="preserve"> a </w:t>
      </w:r>
      <w:r>
        <w:rPr>
          <w:rFonts w:cs="Arial"/>
        </w:rPr>
        <w:t>proposed</w:t>
      </w:r>
      <w:r w:rsidRPr="001430E7">
        <w:rPr>
          <w:rFonts w:cs="Arial"/>
        </w:rPr>
        <w:t xml:space="preserve"> rule</w:t>
      </w:r>
      <w:r w:rsidR="0079758A" w:rsidRPr="0079758A">
        <w:rPr>
          <w:rFonts w:cs="Arial"/>
        </w:rPr>
        <w:t>, “Phasedown of Hydrofluorocarbons: Establishing the Allowance Allocation and Trading Program Under the American Innovation and Manufacturing Act”</w:t>
      </w:r>
      <w:r w:rsidRPr="001430E7">
        <w:rPr>
          <w:rFonts w:cs="Arial"/>
        </w:rPr>
        <w:t xml:space="preserve"> developing an allocation and trading program and procedures intended to reduce the production and consumption of hydrofluorocarbons (</w:t>
      </w:r>
      <w:r w:rsidR="00974470">
        <w:rPr>
          <w:rFonts w:cs="Arial"/>
        </w:rPr>
        <w:t>“</w:t>
      </w:r>
      <w:r w:rsidRPr="001430E7">
        <w:rPr>
          <w:rFonts w:cs="Arial"/>
        </w:rPr>
        <w:t>HFCs</w:t>
      </w:r>
      <w:r w:rsidR="00974470">
        <w:rPr>
          <w:rFonts w:cs="Arial"/>
        </w:rPr>
        <w:t>”</w:t>
      </w:r>
      <w:r w:rsidRPr="001430E7">
        <w:rPr>
          <w:rFonts w:cs="Arial"/>
        </w:rPr>
        <w:t>) by 85 percent by 2036.</w:t>
      </w:r>
    </w:p>
    <w:p w14:paraId="2850231B" w14:textId="07DE419D" w:rsidR="008673AE" w:rsidRPr="0059358A" w:rsidRDefault="008673AE" w:rsidP="0059358A">
      <w:pPr>
        <w:numPr>
          <w:ilvl w:val="0"/>
          <w:numId w:val="1"/>
        </w:numPr>
        <w:spacing w:after="0"/>
        <w:textAlignment w:val="center"/>
        <w:rPr>
          <w:rFonts w:cs="Arial"/>
        </w:rPr>
      </w:pPr>
      <w:r w:rsidRPr="00002B0D">
        <w:t>May</w:t>
      </w:r>
      <w:r>
        <w:t xml:space="preserve"> 2021</w:t>
      </w:r>
      <w:r w:rsidR="0059358A">
        <w:t xml:space="preserve"> – T</w:t>
      </w:r>
      <w:r w:rsidRPr="00002B0D">
        <w:t>he White House Office of Management and Budget (</w:t>
      </w:r>
      <w:r w:rsidR="006F4D16">
        <w:t>“</w:t>
      </w:r>
      <w:r w:rsidRPr="00002B0D">
        <w:t>OMB</w:t>
      </w:r>
      <w:r w:rsidR="006F4D16">
        <w:t>”</w:t>
      </w:r>
      <w:r w:rsidRPr="00002B0D">
        <w:t>) published a notice of availability and request for comments on the interim values for the social cost of carbon, methane, and nitrous oxide.</w:t>
      </w:r>
    </w:p>
    <w:p w14:paraId="075E9334" w14:textId="1E5C73E1" w:rsidR="00C53589" w:rsidRPr="00304AC0" w:rsidRDefault="00986590" w:rsidP="00C53589">
      <w:pPr>
        <w:numPr>
          <w:ilvl w:val="0"/>
          <w:numId w:val="1"/>
        </w:numPr>
        <w:spacing w:after="0"/>
        <w:textAlignment w:val="center"/>
        <w:rPr>
          <w:rFonts w:cs="Arial"/>
        </w:rPr>
      </w:pPr>
      <w:r w:rsidRPr="0B10EE18">
        <w:rPr>
          <w:rFonts w:cs="Arial"/>
        </w:rPr>
        <w:t xml:space="preserve">June 2021 </w:t>
      </w:r>
      <w:r w:rsidRPr="0B10EE18">
        <w:rPr>
          <w:rFonts w:cs="Arial"/>
          <w:color w:val="171717" w:themeColor="background2" w:themeShade="1A"/>
        </w:rPr>
        <w:t>–</w:t>
      </w:r>
      <w:r w:rsidR="00C53589" w:rsidRPr="0B10EE18">
        <w:rPr>
          <w:rFonts w:cs="Arial"/>
          <w:color w:val="171717" w:themeColor="background2" w:themeShade="1A"/>
        </w:rPr>
        <w:t xml:space="preserve"> </w:t>
      </w:r>
      <w:r w:rsidR="00C53589" w:rsidRPr="0B10EE18">
        <w:rPr>
          <w:rFonts w:cs="Arial"/>
        </w:rPr>
        <w:t xml:space="preserve">EPA announced that it is reconsidering the decision to retain the primary and secondary NAAQS for PM published on December 18, 2020.  </w:t>
      </w:r>
    </w:p>
    <w:p w14:paraId="3FAC7CFB" w14:textId="511AB4BD" w:rsidR="00012465" w:rsidRPr="005768EA" w:rsidRDefault="00986590" w:rsidP="00865FF2">
      <w:pPr>
        <w:numPr>
          <w:ilvl w:val="0"/>
          <w:numId w:val="1"/>
        </w:numPr>
        <w:spacing w:after="0"/>
        <w:contextualSpacing/>
        <w:rPr>
          <w:rFonts w:cs="Arial"/>
        </w:rPr>
      </w:pPr>
      <w:r w:rsidRPr="0B10EE18">
        <w:rPr>
          <w:rFonts w:cs="Arial"/>
        </w:rPr>
        <w:t xml:space="preserve">July 2021 </w:t>
      </w:r>
      <w:r w:rsidRPr="0B10EE18">
        <w:rPr>
          <w:rFonts w:cs="Arial"/>
          <w:color w:val="171717" w:themeColor="background2" w:themeShade="1A"/>
        </w:rPr>
        <w:t>–</w:t>
      </w:r>
      <w:r w:rsidR="00940021" w:rsidRPr="0B10EE18">
        <w:rPr>
          <w:rFonts w:cs="Arial"/>
          <w:color w:val="171717" w:themeColor="background2" w:themeShade="1A"/>
        </w:rPr>
        <w:t xml:space="preserve"> </w:t>
      </w:r>
      <w:r w:rsidR="00940021" w:rsidRPr="0B10EE18">
        <w:rPr>
          <w:rFonts w:cs="Arial"/>
        </w:rPr>
        <w:t xml:space="preserve">EPA released a memorandum </w:t>
      </w:r>
      <w:r w:rsidR="00DE4EB9" w:rsidRPr="0B10EE18">
        <w:rPr>
          <w:rFonts w:cs="Arial"/>
        </w:rPr>
        <w:t xml:space="preserve">updating its position on guidance </w:t>
      </w:r>
      <w:r w:rsidR="00940021" w:rsidRPr="0B10EE18">
        <w:rPr>
          <w:rFonts w:cs="Arial"/>
        </w:rPr>
        <w:t>regarding the development, submittal, and review of SIPs for the Regional Haze second planning period</w:t>
      </w:r>
      <w:r w:rsidR="00A92EB0" w:rsidRPr="0B10EE18">
        <w:rPr>
          <w:rFonts w:cs="Arial"/>
        </w:rPr>
        <w:t>.</w:t>
      </w:r>
      <w:r w:rsidR="00940021" w:rsidRPr="0B10EE18">
        <w:rPr>
          <w:rFonts w:cs="Arial"/>
        </w:rPr>
        <w:t> </w:t>
      </w:r>
    </w:p>
    <w:p w14:paraId="2F6088E8" w14:textId="68663A30" w:rsidR="008A6D4A" w:rsidRPr="008A6D4A" w:rsidRDefault="008A6D4A" w:rsidP="688F18A1">
      <w:pPr>
        <w:pStyle w:val="ListParagraph"/>
        <w:numPr>
          <w:ilvl w:val="0"/>
          <w:numId w:val="1"/>
        </w:numPr>
        <w:rPr>
          <w:rFonts w:cs="Arial"/>
        </w:rPr>
      </w:pPr>
      <w:r w:rsidRPr="688F18A1">
        <w:rPr>
          <w:rFonts w:cs="Arial"/>
        </w:rPr>
        <w:t xml:space="preserve">August 2021 </w:t>
      </w:r>
      <w:r w:rsidR="008402D4" w:rsidRPr="688F18A1">
        <w:rPr>
          <w:rFonts w:cs="Arial"/>
          <w:color w:val="171717" w:themeColor="background2" w:themeShade="1A"/>
        </w:rPr>
        <w:t>–</w:t>
      </w:r>
      <w:r w:rsidRPr="688F18A1">
        <w:rPr>
          <w:rFonts w:cs="Arial"/>
          <w:color w:val="171717" w:themeColor="background2" w:themeShade="1A"/>
        </w:rPr>
        <w:t xml:space="preserve"> </w:t>
      </w:r>
      <w:r w:rsidRPr="688F18A1">
        <w:rPr>
          <w:rFonts w:cs="Arial"/>
        </w:rPr>
        <w:t xml:space="preserve">EPA sent a proposal to revise the </w:t>
      </w:r>
      <w:r w:rsidR="004F3D19" w:rsidRPr="00F51702">
        <w:rPr>
          <w:rFonts w:cs="Arial"/>
        </w:rPr>
        <w:t xml:space="preserve">2020 </w:t>
      </w:r>
      <w:r w:rsidRPr="00F51702">
        <w:rPr>
          <w:rFonts w:cs="Arial"/>
        </w:rPr>
        <w:t>MATS</w:t>
      </w:r>
      <w:r w:rsidR="009E7398" w:rsidRPr="00F51702">
        <w:rPr>
          <w:rFonts w:cs="Arial"/>
        </w:rPr>
        <w:t xml:space="preserve"> rule</w:t>
      </w:r>
      <w:r w:rsidRPr="00F51702">
        <w:rPr>
          <w:rFonts w:cs="Arial"/>
        </w:rPr>
        <w:t xml:space="preserve"> to the OMB for</w:t>
      </w:r>
      <w:r w:rsidRPr="688F18A1">
        <w:rPr>
          <w:rFonts w:cs="Arial"/>
        </w:rPr>
        <w:t xml:space="preserve"> regulatory review.</w:t>
      </w:r>
    </w:p>
    <w:p w14:paraId="5DCAF02B" w14:textId="4AF7AF36" w:rsidR="1363C750" w:rsidRPr="00CE0A64" w:rsidRDefault="1363C750" w:rsidP="6F95C434">
      <w:pPr>
        <w:pStyle w:val="ListParagraph"/>
        <w:numPr>
          <w:ilvl w:val="0"/>
          <w:numId w:val="1"/>
        </w:numPr>
      </w:pPr>
      <w:r w:rsidRPr="0B10EE18">
        <w:rPr>
          <w:rFonts w:eastAsia="Calibri" w:cs="Arial"/>
        </w:rPr>
        <w:t xml:space="preserve">September 2021 – </w:t>
      </w:r>
      <w:r w:rsidR="002B5036" w:rsidRPr="0B10EE18">
        <w:rPr>
          <w:rFonts w:eastAsia="Calibri" w:cs="Arial"/>
        </w:rPr>
        <w:t xml:space="preserve">Environmental groups </w:t>
      </w:r>
      <w:r w:rsidRPr="0B10EE18">
        <w:rPr>
          <w:rFonts w:eastAsia="Calibri" w:cs="Arial"/>
        </w:rPr>
        <w:t xml:space="preserve">filed </w:t>
      </w:r>
      <w:r w:rsidR="00E71549" w:rsidRPr="0B10EE18">
        <w:rPr>
          <w:rFonts w:eastAsia="Calibri" w:cs="Arial"/>
        </w:rPr>
        <w:t>a suit</w:t>
      </w:r>
      <w:r w:rsidRPr="0B10EE18">
        <w:rPr>
          <w:rFonts w:eastAsia="Calibri" w:cs="Arial"/>
        </w:rPr>
        <w:t xml:space="preserve"> in Northern District of California </w:t>
      </w:r>
      <w:r w:rsidR="0036305A" w:rsidRPr="0B10EE18">
        <w:rPr>
          <w:rFonts w:eastAsia="Calibri" w:cs="Arial"/>
        </w:rPr>
        <w:t>suing</w:t>
      </w:r>
      <w:r w:rsidRPr="0B10EE18">
        <w:rPr>
          <w:rFonts w:eastAsia="Calibri" w:cs="Arial"/>
        </w:rPr>
        <w:t xml:space="preserve"> EPA to force </w:t>
      </w:r>
      <w:r w:rsidR="00B151F4" w:rsidRPr="0B10EE18">
        <w:rPr>
          <w:rFonts w:eastAsia="Calibri" w:cs="Arial"/>
        </w:rPr>
        <w:t>action</w:t>
      </w:r>
      <w:r w:rsidRPr="0B10EE18">
        <w:rPr>
          <w:rFonts w:eastAsia="Calibri" w:cs="Arial"/>
        </w:rPr>
        <w:t xml:space="preserve"> on pending </w:t>
      </w:r>
      <w:r w:rsidR="00825DAC">
        <w:rPr>
          <w:rFonts w:eastAsia="Calibri" w:cs="Arial"/>
        </w:rPr>
        <w:t xml:space="preserve">2015 </w:t>
      </w:r>
      <w:r w:rsidRPr="0B10EE18">
        <w:rPr>
          <w:rFonts w:eastAsia="Calibri" w:cs="Arial"/>
        </w:rPr>
        <w:t xml:space="preserve">SSM SIP </w:t>
      </w:r>
      <w:r w:rsidR="00825DAC">
        <w:rPr>
          <w:rFonts w:eastAsia="Calibri" w:cs="Arial"/>
        </w:rPr>
        <w:t>Call</w:t>
      </w:r>
      <w:r w:rsidRPr="0B10EE18">
        <w:rPr>
          <w:rFonts w:eastAsia="Calibri" w:cs="Arial"/>
        </w:rPr>
        <w:t xml:space="preserve"> revisions.</w:t>
      </w:r>
    </w:p>
    <w:p w14:paraId="362FDD39" w14:textId="2D84921B" w:rsidR="00CE349A" w:rsidRPr="00A920A7" w:rsidRDefault="00CE349A" w:rsidP="6F95C434">
      <w:pPr>
        <w:pStyle w:val="ListParagraph"/>
        <w:numPr>
          <w:ilvl w:val="0"/>
          <w:numId w:val="1"/>
        </w:numPr>
      </w:pPr>
      <w:r>
        <w:rPr>
          <w:rFonts w:eastAsia="Calibri" w:cs="Arial"/>
        </w:rPr>
        <w:t xml:space="preserve">September 2021 </w:t>
      </w:r>
      <w:r w:rsidR="00C64411">
        <w:rPr>
          <w:rFonts w:eastAsia="Calibri" w:cs="Arial"/>
        </w:rPr>
        <w:t>–</w:t>
      </w:r>
      <w:r>
        <w:rPr>
          <w:rFonts w:eastAsia="Calibri" w:cs="Arial"/>
        </w:rPr>
        <w:t xml:space="preserve"> </w:t>
      </w:r>
      <w:r w:rsidR="00C64411">
        <w:rPr>
          <w:rFonts w:eastAsia="Calibri" w:cs="Arial"/>
        </w:rPr>
        <w:t xml:space="preserve">EPA released a memorandum </w:t>
      </w:r>
      <w:r w:rsidR="004862E5">
        <w:rPr>
          <w:rFonts w:eastAsia="Calibri" w:cs="Arial"/>
        </w:rPr>
        <w:t xml:space="preserve">withdrawing its October 2020 guidance that approved certain SSM provisions in SIPs and </w:t>
      </w:r>
      <w:r w:rsidR="00CF33EA">
        <w:rPr>
          <w:rFonts w:eastAsia="Calibri" w:cs="Arial"/>
        </w:rPr>
        <w:t xml:space="preserve">reinstated the Agency’s prior position as articulated in the </w:t>
      </w:r>
      <w:r w:rsidR="00956B1B">
        <w:rPr>
          <w:rFonts w:eastAsia="Calibri" w:cs="Arial"/>
        </w:rPr>
        <w:t>2015 SSM SIP Call</w:t>
      </w:r>
      <w:r w:rsidR="001E31FB">
        <w:rPr>
          <w:rFonts w:eastAsia="Calibri" w:cs="Arial"/>
        </w:rPr>
        <w:t>.</w:t>
      </w:r>
    </w:p>
    <w:p w14:paraId="37453B61" w14:textId="7E9F987F" w:rsidR="00D8639D" w:rsidRPr="00897864" w:rsidRDefault="00D8639D" w:rsidP="6F95C434">
      <w:pPr>
        <w:pStyle w:val="ListParagraph"/>
        <w:numPr>
          <w:ilvl w:val="0"/>
          <w:numId w:val="1"/>
        </w:numPr>
      </w:pPr>
      <w:r>
        <w:t xml:space="preserve">October 2021 </w:t>
      </w:r>
      <w:r w:rsidR="0095237D">
        <w:t>–</w:t>
      </w:r>
      <w:r>
        <w:t xml:space="preserve"> </w:t>
      </w:r>
      <w:r w:rsidR="0095237D">
        <w:t>EPA</w:t>
      </w:r>
      <w:r w:rsidR="00600226">
        <w:t xml:space="preserve"> published a final rule</w:t>
      </w:r>
      <w:r w:rsidR="009E7701">
        <w:t xml:space="preserve">, </w:t>
      </w:r>
      <w:r w:rsidR="009E7701" w:rsidRPr="0079758A">
        <w:rPr>
          <w:rFonts w:cs="Arial"/>
        </w:rPr>
        <w:t>“Phasedown of Hydrofluorocarbons: Establishing the Allowance Allocation and Trading Program Under the American Innovation and Manufacturing Act</w:t>
      </w:r>
      <w:r w:rsidR="009E7701">
        <w:rPr>
          <w:rFonts w:cs="Arial"/>
        </w:rPr>
        <w:t>,</w:t>
      </w:r>
      <w:r w:rsidR="009E7701" w:rsidRPr="0079758A">
        <w:rPr>
          <w:rFonts w:cs="Arial"/>
        </w:rPr>
        <w:t xml:space="preserve">” </w:t>
      </w:r>
      <w:r w:rsidR="00862C20">
        <w:t xml:space="preserve">developing an allocation and trading program and procedures </w:t>
      </w:r>
      <w:r w:rsidR="002E3EC8">
        <w:t xml:space="preserve">intended to reduce the production and </w:t>
      </w:r>
      <w:r w:rsidR="000A7C97">
        <w:t xml:space="preserve">consumption of HFCs by 85 percent </w:t>
      </w:r>
      <w:r w:rsidR="00143FC2">
        <w:t>by 2036.</w:t>
      </w:r>
    </w:p>
    <w:p w14:paraId="7DE6E54A" w14:textId="4857C55A" w:rsidR="001E7B02" w:rsidRDefault="001E7B02" w:rsidP="009C7652">
      <w:pPr>
        <w:pStyle w:val="ListParagraph"/>
        <w:numPr>
          <w:ilvl w:val="0"/>
          <w:numId w:val="1"/>
        </w:numPr>
      </w:pPr>
      <w:r>
        <w:rPr>
          <w:rFonts w:eastAsia="Calibri" w:cs="Arial"/>
        </w:rPr>
        <w:t xml:space="preserve">October 2021 – The Supreme Court </w:t>
      </w:r>
      <w:r w:rsidR="0018650E">
        <w:rPr>
          <w:rFonts w:eastAsia="Calibri" w:cs="Arial"/>
        </w:rPr>
        <w:t xml:space="preserve">accepted the petition </w:t>
      </w:r>
      <w:r w:rsidR="006D3F7E">
        <w:rPr>
          <w:rFonts w:eastAsia="Calibri" w:cs="Arial"/>
        </w:rPr>
        <w:t xml:space="preserve">made by a coalition of industry and states </w:t>
      </w:r>
      <w:r w:rsidR="000352F2">
        <w:rPr>
          <w:rFonts w:eastAsia="Calibri" w:cs="Arial"/>
        </w:rPr>
        <w:t xml:space="preserve">to consider the </w:t>
      </w:r>
      <w:r w:rsidR="007C0542">
        <w:rPr>
          <w:rFonts w:eastAsia="Calibri" w:cs="Arial"/>
        </w:rPr>
        <w:t xml:space="preserve">D.C. </w:t>
      </w:r>
      <w:r w:rsidR="000352F2">
        <w:rPr>
          <w:rFonts w:eastAsia="Calibri" w:cs="Arial"/>
        </w:rPr>
        <w:t>Circuit’s ruling that vacated the ACE rule.</w:t>
      </w:r>
      <w:r>
        <w:rPr>
          <w:rFonts w:eastAsia="Calibri" w:cs="Arial"/>
        </w:rPr>
        <w:t xml:space="preserve"> </w:t>
      </w:r>
    </w:p>
    <w:p w14:paraId="03F67166" w14:textId="7FAF1F15" w:rsidR="00670A67" w:rsidRPr="00670A67" w:rsidRDefault="00670A67" w:rsidP="009C7652">
      <w:pPr>
        <w:pStyle w:val="ListParagraph"/>
        <w:numPr>
          <w:ilvl w:val="0"/>
          <w:numId w:val="1"/>
        </w:numPr>
      </w:pPr>
      <w:r>
        <w:rPr>
          <w:rFonts w:eastAsia="Calibri" w:cs="Arial"/>
        </w:rPr>
        <w:t xml:space="preserve">October 2021 – EPA announced it will reconsider the December 2020 </w:t>
      </w:r>
      <w:r w:rsidR="00FD58FC">
        <w:rPr>
          <w:rFonts w:eastAsia="Calibri" w:cs="Arial"/>
        </w:rPr>
        <w:t>decision to retain the primary and secondary 8-hour ozone NAAQS</w:t>
      </w:r>
      <w:r w:rsidR="49C0300C" w:rsidRPr="52891DBD">
        <w:rPr>
          <w:rFonts w:eastAsia="Calibri" w:cs="Arial"/>
        </w:rPr>
        <w:t>.</w:t>
      </w:r>
    </w:p>
    <w:p w14:paraId="0EA8821E" w14:textId="23DB6B25" w:rsidR="74D5062B" w:rsidRDefault="10784772" w:rsidP="74D5062B">
      <w:pPr>
        <w:pStyle w:val="ListParagraph"/>
        <w:numPr>
          <w:ilvl w:val="0"/>
          <w:numId w:val="1"/>
        </w:numPr>
      </w:pPr>
      <w:r w:rsidRPr="07B1283E">
        <w:rPr>
          <w:rFonts w:eastAsia="Calibri" w:cs="Arial"/>
        </w:rPr>
        <w:t>November 2021</w:t>
      </w:r>
      <w:r w:rsidR="2EC60BC4" w:rsidRPr="07B1283E">
        <w:rPr>
          <w:rFonts w:eastAsia="Calibri" w:cs="Arial"/>
        </w:rPr>
        <w:t xml:space="preserve"> – EPD </w:t>
      </w:r>
      <w:r w:rsidR="00AE2F0B" w:rsidRPr="07B1283E">
        <w:rPr>
          <w:rFonts w:eastAsia="Calibri" w:cs="Arial"/>
        </w:rPr>
        <w:t xml:space="preserve">proposed to </w:t>
      </w:r>
      <w:r w:rsidR="2EC60BC4" w:rsidRPr="07B1283E">
        <w:rPr>
          <w:rFonts w:eastAsia="Calibri" w:cs="Arial"/>
        </w:rPr>
        <w:t xml:space="preserve">request </w:t>
      </w:r>
      <w:r w:rsidR="5689CC3F" w:rsidRPr="06F3CF98">
        <w:rPr>
          <w:rFonts w:eastAsia="Calibri" w:cs="Arial"/>
        </w:rPr>
        <w:t>the</w:t>
      </w:r>
      <w:r w:rsidR="2EC60BC4" w:rsidRPr="06F3CF98">
        <w:rPr>
          <w:rFonts w:eastAsia="Calibri" w:cs="Arial"/>
        </w:rPr>
        <w:t xml:space="preserve"> </w:t>
      </w:r>
      <w:r w:rsidR="001F548E" w:rsidRPr="06F3CF98">
        <w:rPr>
          <w:rFonts w:eastAsia="Calibri" w:cs="Arial"/>
        </w:rPr>
        <w:t>redesignation</w:t>
      </w:r>
      <w:r w:rsidR="006D5CFA">
        <w:rPr>
          <w:rFonts w:eastAsia="Calibri" w:cs="Arial"/>
        </w:rPr>
        <w:t xml:space="preserve"> of</w:t>
      </w:r>
      <w:r w:rsidR="2EC60BC4" w:rsidRPr="07B1283E">
        <w:rPr>
          <w:rFonts w:eastAsia="Calibri" w:cs="Arial"/>
        </w:rPr>
        <w:t xml:space="preserve"> the Atlanta area </w:t>
      </w:r>
      <w:r w:rsidR="3DCDD1E9" w:rsidRPr="07B1283E">
        <w:rPr>
          <w:rFonts w:eastAsia="Calibri" w:cs="Arial"/>
        </w:rPr>
        <w:t>as</w:t>
      </w:r>
      <w:r w:rsidR="1675D2DE" w:rsidRPr="07B1283E">
        <w:rPr>
          <w:rFonts w:eastAsia="Calibri" w:cs="Arial"/>
        </w:rPr>
        <w:t xml:space="preserve"> attaining the 2015 8-hour Ozone NAAQS</w:t>
      </w:r>
    </w:p>
    <w:p w14:paraId="08EC7346" w14:textId="5A67E341" w:rsidR="4C01AC36" w:rsidRDefault="4C01AC36" w:rsidP="170984C6">
      <w:pPr>
        <w:pStyle w:val="ListParagraph"/>
        <w:numPr>
          <w:ilvl w:val="0"/>
          <w:numId w:val="1"/>
        </w:numPr>
      </w:pPr>
      <w:r w:rsidRPr="3368922D">
        <w:rPr>
          <w:rFonts w:eastAsia="Calibri" w:cs="Arial"/>
        </w:rPr>
        <w:t>November 2021 – EPA proposed a new Clean Air Act rule</w:t>
      </w:r>
      <w:r w:rsidR="00A61561">
        <w:rPr>
          <w:rFonts w:eastAsia="Calibri" w:cs="Arial"/>
        </w:rPr>
        <w:t>, “</w:t>
      </w:r>
      <w:r w:rsidR="00A61561" w:rsidRPr="00A61561">
        <w:rPr>
          <w:rFonts w:eastAsia="Calibri" w:cs="Arial"/>
        </w:rPr>
        <w:t>Standards of Performance for New, Reconstructed, and Modified Sources and Emissions Guidelines for Existing Sources: Oil and Natural Gas Sector Climate Review</w:t>
      </w:r>
      <w:r w:rsidR="00A61561">
        <w:rPr>
          <w:rFonts w:eastAsia="Calibri" w:cs="Arial"/>
        </w:rPr>
        <w:t>,”</w:t>
      </w:r>
      <w:r w:rsidRPr="3368922D">
        <w:rPr>
          <w:rFonts w:eastAsia="Calibri" w:cs="Arial"/>
        </w:rPr>
        <w:t xml:space="preserve"> that would lead to significant reductions in methane emissions</w:t>
      </w:r>
      <w:r w:rsidR="00632EB6" w:rsidRPr="3368922D">
        <w:rPr>
          <w:rFonts w:eastAsia="Calibri" w:cs="Arial"/>
        </w:rPr>
        <w:t xml:space="preserve"> from </w:t>
      </w:r>
      <w:r w:rsidR="7E2FCFC3" w:rsidRPr="3368922D">
        <w:rPr>
          <w:rFonts w:eastAsia="Calibri" w:cs="Arial"/>
        </w:rPr>
        <w:t xml:space="preserve">new, modified, and reconstructed </w:t>
      </w:r>
      <w:r w:rsidR="00632EB6" w:rsidRPr="3368922D">
        <w:rPr>
          <w:rFonts w:eastAsia="Calibri" w:cs="Arial"/>
        </w:rPr>
        <w:t xml:space="preserve">oil and natural gas </w:t>
      </w:r>
      <w:r w:rsidR="384AAE71" w:rsidRPr="3368922D">
        <w:rPr>
          <w:rFonts w:eastAsia="Calibri" w:cs="Arial"/>
        </w:rPr>
        <w:t>sources</w:t>
      </w:r>
      <w:r w:rsidRPr="3368922D">
        <w:rPr>
          <w:rFonts w:eastAsia="Calibri" w:cs="Arial"/>
        </w:rPr>
        <w:t>.</w:t>
      </w:r>
      <w:r w:rsidR="60E6B502" w:rsidRPr="3368922D">
        <w:rPr>
          <w:rFonts w:eastAsia="Calibri" w:cs="Arial"/>
        </w:rPr>
        <w:t xml:space="preserve">  </w:t>
      </w:r>
    </w:p>
    <w:p w14:paraId="0AC9F7A6" w14:textId="26745B30" w:rsidR="00A44565" w:rsidRDefault="00E46898" w:rsidP="00FA6003">
      <w:pPr>
        <w:pStyle w:val="ListParagraph"/>
        <w:numPr>
          <w:ilvl w:val="0"/>
          <w:numId w:val="1"/>
        </w:numPr>
        <w:autoSpaceDE w:val="0"/>
        <w:autoSpaceDN w:val="0"/>
        <w:adjustRightInd w:val="0"/>
        <w:spacing w:after="0"/>
        <w:rPr>
          <w:rFonts w:eastAsia="Calibri" w:cs="Arial"/>
        </w:rPr>
      </w:pPr>
      <w:r>
        <w:rPr>
          <w:rFonts w:eastAsia="Calibri" w:cs="Arial"/>
        </w:rPr>
        <w:t xml:space="preserve">December 2021 – The D.C. Circuit Court </w:t>
      </w:r>
      <w:r w:rsidR="00E8744E">
        <w:rPr>
          <w:rFonts w:eastAsia="Calibri" w:cs="Arial"/>
        </w:rPr>
        <w:t xml:space="preserve">reactivated the SSM SIP Call litigation and set an expedited </w:t>
      </w:r>
      <w:r w:rsidR="005815C0">
        <w:rPr>
          <w:rFonts w:eastAsia="Calibri" w:cs="Arial"/>
        </w:rPr>
        <w:t>supplemental briefing schedule.</w:t>
      </w:r>
    </w:p>
    <w:p w14:paraId="2547E225" w14:textId="77777777" w:rsidR="00FF3497" w:rsidRDefault="00FF3497" w:rsidP="00FF3497">
      <w:pPr>
        <w:pStyle w:val="ListParagraph"/>
        <w:numPr>
          <w:ilvl w:val="0"/>
          <w:numId w:val="1"/>
        </w:numPr>
        <w:autoSpaceDE w:val="0"/>
        <w:autoSpaceDN w:val="0"/>
        <w:spacing w:after="0"/>
        <w:rPr>
          <w:sz w:val="20"/>
        </w:rPr>
      </w:pPr>
      <w:r>
        <w:t>January 2022 – EPA published in the Federal Register that 12 states and local air pollution control agencies, including Alabama, failed to submit SIP revisions as required by the 2015 SSM SIP call.</w:t>
      </w:r>
    </w:p>
    <w:p w14:paraId="012E4F75" w14:textId="793303C8" w:rsidR="00A44565" w:rsidRPr="00974365" w:rsidRDefault="00A44565" w:rsidP="002531D4">
      <w:pPr>
        <w:pStyle w:val="Heading3"/>
        <w:rPr>
          <w:color w:val="000080"/>
        </w:rPr>
      </w:pPr>
      <w:bookmarkStart w:id="27" w:name="_Toc94197877"/>
      <w:r w:rsidRPr="00974365">
        <w:t>Water</w:t>
      </w:r>
      <w:bookmarkEnd w:id="27"/>
    </w:p>
    <w:p w14:paraId="5D371B53" w14:textId="77777777" w:rsidR="004804DF" w:rsidRPr="00505306" w:rsidRDefault="004804DF" w:rsidP="009C7652">
      <w:pPr>
        <w:pStyle w:val="ListParagraph"/>
        <w:numPr>
          <w:ilvl w:val="0"/>
          <w:numId w:val="1"/>
        </w:numPr>
        <w:rPr>
          <w:rFonts w:cs="Arial"/>
        </w:rPr>
      </w:pPr>
      <w:r w:rsidRPr="0B10EE18">
        <w:rPr>
          <w:rFonts w:cs="Arial"/>
        </w:rPr>
        <w:t xml:space="preserve">February 2019 – The Supreme Court announced that it had granted certiorari to the petitioners in </w:t>
      </w:r>
      <w:r w:rsidRPr="007C0542">
        <w:rPr>
          <w:rFonts w:cs="Arial"/>
          <w:i/>
          <w:iCs/>
        </w:rPr>
        <w:t>County of Maui v. Hawaii Wildlife Fund</w:t>
      </w:r>
      <w:r w:rsidRPr="0B10EE18">
        <w:rPr>
          <w:rFonts w:cs="Arial"/>
        </w:rPr>
        <w:t>.</w:t>
      </w:r>
    </w:p>
    <w:p w14:paraId="5D5FAE82" w14:textId="2B781F5D" w:rsidR="6A447B7E" w:rsidRDefault="35249414" w:rsidP="384F2DD2">
      <w:pPr>
        <w:pStyle w:val="ListParagraph"/>
        <w:numPr>
          <w:ilvl w:val="0"/>
          <w:numId w:val="1"/>
        </w:numPr>
        <w:rPr>
          <w:color w:val="171717" w:themeColor="background2" w:themeShade="1A"/>
        </w:rPr>
      </w:pPr>
      <w:r w:rsidRPr="0B10EE18">
        <w:rPr>
          <w:rFonts w:cs="Arial"/>
          <w:color w:val="171717" w:themeColor="background2" w:themeShade="1A"/>
        </w:rPr>
        <w:t>April 2019 –</w:t>
      </w:r>
      <w:r w:rsidR="5B80A666" w:rsidRPr="0B10EE18">
        <w:rPr>
          <w:rFonts w:cs="Arial"/>
          <w:color w:val="171717" w:themeColor="background2" w:themeShade="1A"/>
        </w:rPr>
        <w:t xml:space="preserve"> </w:t>
      </w:r>
      <w:r w:rsidRPr="0B10EE18">
        <w:rPr>
          <w:rFonts w:cs="Arial"/>
          <w:color w:val="171717" w:themeColor="background2" w:themeShade="1A"/>
        </w:rPr>
        <w:t xml:space="preserve">The U.S. Court of Appeals for the Fifth Circuit </w:t>
      </w:r>
      <w:r w:rsidR="0001394C">
        <w:rPr>
          <w:rFonts w:cs="Arial"/>
          <w:color w:val="171717" w:themeColor="background2" w:themeShade="1A"/>
        </w:rPr>
        <w:t>vacated</w:t>
      </w:r>
      <w:r w:rsidR="4342B4C1" w:rsidRPr="0B10EE18">
        <w:rPr>
          <w:rFonts w:cs="Arial"/>
          <w:color w:val="171717" w:themeColor="background2" w:themeShade="1A"/>
        </w:rPr>
        <w:t xml:space="preserve"> portions of the 2015 </w:t>
      </w:r>
      <w:r w:rsidR="6EE8C6A2" w:rsidRPr="0B10EE18">
        <w:rPr>
          <w:rFonts w:cs="Arial"/>
          <w:color w:val="171717" w:themeColor="background2" w:themeShade="1A"/>
        </w:rPr>
        <w:t xml:space="preserve">ELG </w:t>
      </w:r>
      <w:r w:rsidR="4342B4C1" w:rsidRPr="0B10EE18">
        <w:rPr>
          <w:rFonts w:cs="Arial"/>
          <w:color w:val="171717" w:themeColor="background2" w:themeShade="1A"/>
        </w:rPr>
        <w:t xml:space="preserve">Rule regulating </w:t>
      </w:r>
      <w:r w:rsidR="335A28E5" w:rsidRPr="0B10EE18">
        <w:rPr>
          <w:rFonts w:cs="Arial"/>
          <w:color w:val="171717" w:themeColor="background2" w:themeShade="1A"/>
        </w:rPr>
        <w:t xml:space="preserve">combustion residual </w:t>
      </w:r>
      <w:r w:rsidR="4342B4C1" w:rsidRPr="0B10EE18">
        <w:rPr>
          <w:rFonts w:cs="Arial"/>
          <w:color w:val="171717" w:themeColor="background2" w:themeShade="1A"/>
        </w:rPr>
        <w:t>leachate and legacy wastewater and remanded them to EPA for reconsideration</w:t>
      </w:r>
      <w:r w:rsidR="67C562F1" w:rsidRPr="0B10EE18">
        <w:rPr>
          <w:rFonts w:cs="Arial"/>
          <w:color w:val="171717" w:themeColor="background2" w:themeShade="1A"/>
        </w:rPr>
        <w:t xml:space="preserve">.  </w:t>
      </w:r>
    </w:p>
    <w:p w14:paraId="41A11558" w14:textId="2DE18188" w:rsidR="35D076C0" w:rsidRDefault="4216B4F7" w:rsidP="1924B242">
      <w:pPr>
        <w:pStyle w:val="ListParagraph"/>
        <w:numPr>
          <w:ilvl w:val="0"/>
          <w:numId w:val="1"/>
        </w:numPr>
        <w:rPr>
          <w:color w:val="171717" w:themeColor="background2" w:themeShade="1A"/>
        </w:rPr>
      </w:pPr>
      <w:r w:rsidRPr="0B10EE18">
        <w:rPr>
          <w:rFonts w:cs="Arial"/>
          <w:color w:val="171717" w:themeColor="background2" w:themeShade="1A"/>
        </w:rPr>
        <w:t>August 2019 – The U.S. Court of Appeals for the Fifth Circuit</w:t>
      </w:r>
      <w:r w:rsidR="01B42080" w:rsidRPr="0B10EE18">
        <w:rPr>
          <w:rFonts w:cs="Arial"/>
          <w:color w:val="171717" w:themeColor="background2" w:themeShade="1A"/>
        </w:rPr>
        <w:t xml:space="preserve"> </w:t>
      </w:r>
      <w:r w:rsidR="6CC19137" w:rsidRPr="0B10EE18">
        <w:rPr>
          <w:rFonts w:cs="Arial"/>
          <w:color w:val="171717" w:themeColor="background2" w:themeShade="1A"/>
        </w:rPr>
        <w:t xml:space="preserve">ruled </w:t>
      </w:r>
      <w:r w:rsidR="23475DEC" w:rsidRPr="0B10EE18">
        <w:rPr>
          <w:rFonts w:cs="Arial"/>
          <w:color w:val="171717" w:themeColor="background2" w:themeShade="1A"/>
        </w:rPr>
        <w:t>that</w:t>
      </w:r>
      <w:r w:rsidR="6CC19137" w:rsidRPr="0B10EE18">
        <w:rPr>
          <w:rFonts w:cs="Arial"/>
          <w:color w:val="171717" w:themeColor="background2" w:themeShade="1A"/>
        </w:rPr>
        <w:t xml:space="preserve"> EPA had the </w:t>
      </w:r>
      <w:r w:rsidR="4D5A1463" w:rsidRPr="0B10EE18">
        <w:rPr>
          <w:rFonts w:cs="Arial"/>
          <w:color w:val="171717" w:themeColor="background2" w:themeShade="1A"/>
        </w:rPr>
        <w:t>statutory</w:t>
      </w:r>
      <w:r w:rsidR="393DC06D" w:rsidRPr="0B10EE18">
        <w:rPr>
          <w:rFonts w:cs="Arial"/>
          <w:color w:val="171717" w:themeColor="background2" w:themeShade="1A"/>
        </w:rPr>
        <w:t xml:space="preserve"> authority to delay the “as </w:t>
      </w:r>
      <w:r w:rsidR="77E08E3E" w:rsidRPr="0B10EE18">
        <w:rPr>
          <w:rFonts w:cs="Arial"/>
          <w:color w:val="171717" w:themeColor="background2" w:themeShade="1A"/>
        </w:rPr>
        <w:t>soon as possible</w:t>
      </w:r>
      <w:r w:rsidR="6174E0D5" w:rsidRPr="0B10EE18">
        <w:rPr>
          <w:rFonts w:cs="Arial"/>
          <w:color w:val="171717" w:themeColor="background2" w:themeShade="1A"/>
        </w:rPr>
        <w:t>”</w:t>
      </w:r>
      <w:r w:rsidR="45D0488C" w:rsidRPr="0B10EE18">
        <w:rPr>
          <w:rFonts w:cs="Arial"/>
          <w:color w:val="171717" w:themeColor="background2" w:themeShade="1A"/>
        </w:rPr>
        <w:t xml:space="preserve"> </w:t>
      </w:r>
      <w:r w:rsidR="78D31000" w:rsidRPr="0B10EE18">
        <w:rPr>
          <w:rFonts w:cs="Arial"/>
          <w:color w:val="171717" w:themeColor="background2" w:themeShade="1A"/>
        </w:rPr>
        <w:t>compliance</w:t>
      </w:r>
      <w:r w:rsidR="77E08E3E" w:rsidRPr="0B10EE18">
        <w:rPr>
          <w:rFonts w:cs="Arial"/>
          <w:color w:val="171717" w:themeColor="background2" w:themeShade="1A"/>
        </w:rPr>
        <w:t xml:space="preserve"> date for FGD wastewater and bottom ash transport water </w:t>
      </w:r>
      <w:r w:rsidR="00E2039D">
        <w:rPr>
          <w:rFonts w:cs="Arial"/>
          <w:color w:val="171717" w:themeColor="background2" w:themeShade="1A"/>
        </w:rPr>
        <w:t>from</w:t>
      </w:r>
      <w:r w:rsidR="00EE3BE2">
        <w:rPr>
          <w:rFonts w:cs="Arial"/>
          <w:color w:val="171717" w:themeColor="background2" w:themeShade="1A"/>
        </w:rPr>
        <w:t xml:space="preserve"> the </w:t>
      </w:r>
      <w:r w:rsidR="00F7414F">
        <w:rPr>
          <w:rFonts w:cs="Arial"/>
          <w:color w:val="171717" w:themeColor="background2" w:themeShade="1A"/>
        </w:rPr>
        <w:t xml:space="preserve">2015 ELG rule </w:t>
      </w:r>
      <w:r w:rsidR="77E08E3E" w:rsidRPr="0B10EE18">
        <w:rPr>
          <w:rFonts w:cs="Arial"/>
          <w:color w:val="171717" w:themeColor="background2" w:themeShade="1A"/>
        </w:rPr>
        <w:t>until November 1, 2020</w:t>
      </w:r>
      <w:r w:rsidR="762D233B" w:rsidRPr="0B10EE18">
        <w:rPr>
          <w:rFonts w:cs="Arial"/>
          <w:color w:val="171717" w:themeColor="background2" w:themeShade="1A"/>
        </w:rPr>
        <w:t>.</w:t>
      </w:r>
    </w:p>
    <w:p w14:paraId="078E3A62" w14:textId="34AA1C3E" w:rsidR="00271E1E" w:rsidRPr="0078262D" w:rsidRDefault="00C74C05" w:rsidP="00D82DA2">
      <w:pPr>
        <w:pStyle w:val="ListParagraph"/>
        <w:numPr>
          <w:ilvl w:val="0"/>
          <w:numId w:val="1"/>
        </w:numPr>
        <w:spacing w:after="0"/>
        <w:rPr>
          <w:rFonts w:cs="Arial"/>
          <w:color w:val="171717"/>
        </w:rPr>
      </w:pPr>
      <w:r w:rsidRPr="0B10EE18">
        <w:rPr>
          <w:rFonts w:cs="Arial"/>
          <w:color w:val="171717" w:themeColor="background2" w:themeShade="1A"/>
        </w:rPr>
        <w:t xml:space="preserve">October 2019 – EPA and </w:t>
      </w:r>
      <w:r w:rsidR="00EC1D3E">
        <w:rPr>
          <w:rFonts w:cs="Arial"/>
          <w:color w:val="171717" w:themeColor="background2" w:themeShade="1A"/>
        </w:rPr>
        <w:t>USACE</w:t>
      </w:r>
      <w:r w:rsidRPr="0B10EE18">
        <w:rPr>
          <w:rFonts w:cs="Arial"/>
          <w:color w:val="171717" w:themeColor="background2" w:themeShade="1A"/>
        </w:rPr>
        <w:t xml:space="preserve"> (“the agencies'') published a final rule to repeal the 2015 </w:t>
      </w:r>
      <w:r w:rsidR="00FB4368">
        <w:rPr>
          <w:rFonts w:cs="Arial"/>
          <w:color w:val="171717" w:themeColor="background2" w:themeShade="1A"/>
        </w:rPr>
        <w:t>“</w:t>
      </w:r>
      <w:r w:rsidRPr="0B10EE18">
        <w:rPr>
          <w:rFonts w:cs="Arial"/>
          <w:color w:val="171717" w:themeColor="background2" w:themeShade="1A"/>
        </w:rPr>
        <w:t xml:space="preserve">Clean Water Rule: Definition of </w:t>
      </w:r>
      <w:r w:rsidR="00FB4368">
        <w:rPr>
          <w:rFonts w:cs="Arial"/>
          <w:color w:val="171717" w:themeColor="background2" w:themeShade="1A"/>
        </w:rPr>
        <w:t>‘</w:t>
      </w:r>
      <w:r w:rsidRPr="0B10EE18">
        <w:rPr>
          <w:rFonts w:cs="Arial"/>
          <w:color w:val="171717" w:themeColor="background2" w:themeShade="1A"/>
        </w:rPr>
        <w:t>Waters of the United States</w:t>
      </w:r>
      <w:r w:rsidR="00FB4368">
        <w:rPr>
          <w:rFonts w:cs="Arial"/>
          <w:color w:val="171717" w:themeColor="background2" w:themeShade="1A"/>
        </w:rPr>
        <w:t>’</w:t>
      </w:r>
      <w:r w:rsidRPr="0B10EE18">
        <w:rPr>
          <w:rFonts w:cs="Arial"/>
          <w:color w:val="171717" w:themeColor="background2" w:themeShade="1A"/>
        </w:rPr>
        <w:t>” and to restore the regulatory text that existed prior to the 2015</w:t>
      </w:r>
      <w:r w:rsidR="004F049E" w:rsidRPr="0B10EE18">
        <w:rPr>
          <w:rFonts w:cs="Arial"/>
          <w:color w:val="171717" w:themeColor="background2" w:themeShade="1A"/>
        </w:rPr>
        <w:t xml:space="preserve"> Clean Water</w:t>
      </w:r>
      <w:r w:rsidRPr="0B10EE18">
        <w:rPr>
          <w:rFonts w:cs="Arial"/>
          <w:color w:val="171717" w:themeColor="background2" w:themeShade="1A"/>
        </w:rPr>
        <w:t xml:space="preserve"> Rule</w:t>
      </w:r>
    </w:p>
    <w:p w14:paraId="259DC6EF" w14:textId="08D873A2" w:rsidR="581F2AD3" w:rsidRPr="00C77761" w:rsidRDefault="581F2AD3" w:rsidP="00A6492D">
      <w:pPr>
        <w:numPr>
          <w:ilvl w:val="0"/>
          <w:numId w:val="1"/>
        </w:numPr>
        <w:spacing w:after="0"/>
      </w:pPr>
      <w:r w:rsidRPr="0B10EE18">
        <w:rPr>
          <w:rFonts w:cs="Arial"/>
        </w:rPr>
        <w:t xml:space="preserve">November 2019 – EPA published </w:t>
      </w:r>
      <w:r w:rsidR="000223D3">
        <w:rPr>
          <w:rFonts w:cs="Arial"/>
        </w:rPr>
        <w:t>the</w:t>
      </w:r>
      <w:r w:rsidRPr="0B10EE18">
        <w:rPr>
          <w:rFonts w:cs="Arial"/>
        </w:rPr>
        <w:t xml:space="preserve"> proposed ELG</w:t>
      </w:r>
      <w:r w:rsidR="000223D3">
        <w:rPr>
          <w:rFonts w:cs="Arial"/>
        </w:rPr>
        <w:t>-related “Steam Electric</w:t>
      </w:r>
      <w:r w:rsidRPr="0B10EE18">
        <w:rPr>
          <w:rFonts w:cs="Arial"/>
        </w:rPr>
        <w:t xml:space="preserve"> Reconsideration Rule</w:t>
      </w:r>
      <w:r w:rsidR="00EE2C8D">
        <w:rPr>
          <w:rFonts w:cs="Arial"/>
        </w:rPr>
        <w:t>”</w:t>
      </w:r>
      <w:r w:rsidRPr="0B10EE18">
        <w:rPr>
          <w:rFonts w:cs="Arial"/>
        </w:rPr>
        <w:t xml:space="preserve"> </w:t>
      </w:r>
      <w:r w:rsidR="001D4395">
        <w:rPr>
          <w:rFonts w:cs="Arial"/>
        </w:rPr>
        <w:t>(“ELG Reconsideration Rule”)</w:t>
      </w:r>
      <w:r w:rsidRPr="0B10EE18">
        <w:rPr>
          <w:rFonts w:cs="Arial"/>
        </w:rPr>
        <w:t xml:space="preserve"> establishing revised technology</w:t>
      </w:r>
      <w:r w:rsidR="03ECEC95" w:rsidRPr="0B10EE18">
        <w:rPr>
          <w:rFonts w:cs="Arial"/>
        </w:rPr>
        <w:t>-</w:t>
      </w:r>
      <w:r w:rsidR="295E3797" w:rsidRPr="0B10EE18">
        <w:rPr>
          <w:rFonts w:cs="Arial"/>
        </w:rPr>
        <w:t>based ELG</w:t>
      </w:r>
      <w:r w:rsidR="19D9B5FC" w:rsidRPr="0B10EE18">
        <w:rPr>
          <w:rFonts w:cs="Arial"/>
        </w:rPr>
        <w:t>s</w:t>
      </w:r>
      <w:r w:rsidR="295E3797" w:rsidRPr="0B10EE18">
        <w:rPr>
          <w:rFonts w:cs="Arial"/>
        </w:rPr>
        <w:t xml:space="preserve"> and applicability dates for bottom ash transport water and FGD wastewater.</w:t>
      </w:r>
    </w:p>
    <w:p w14:paraId="72D8D21C" w14:textId="12AD1786" w:rsidR="00C77761" w:rsidRDefault="00C77761" w:rsidP="00A6492D">
      <w:pPr>
        <w:numPr>
          <w:ilvl w:val="0"/>
          <w:numId w:val="1"/>
        </w:numPr>
        <w:spacing w:after="0"/>
      </w:pPr>
      <w:r>
        <w:rPr>
          <w:rFonts w:cs="Arial"/>
        </w:rPr>
        <w:t>April 2020</w:t>
      </w:r>
      <w:r w:rsidR="00164182">
        <w:rPr>
          <w:rFonts w:cs="Arial"/>
        </w:rPr>
        <w:t xml:space="preserve"> – The Supreme Court </w:t>
      </w:r>
      <w:r w:rsidR="007C6401">
        <w:rPr>
          <w:rFonts w:cs="Arial"/>
        </w:rPr>
        <w:t xml:space="preserve">issued its decision in </w:t>
      </w:r>
      <w:r w:rsidR="007C6401" w:rsidRPr="007C0542">
        <w:rPr>
          <w:rFonts w:cs="Arial"/>
          <w:i/>
          <w:iCs/>
        </w:rPr>
        <w:t>County of Maui v. Hawaii Wildlife Fund</w:t>
      </w:r>
      <w:r w:rsidR="00C737C9">
        <w:rPr>
          <w:rFonts w:cs="Arial"/>
        </w:rPr>
        <w:t xml:space="preserve"> that the CWA requires a permit for </w:t>
      </w:r>
      <w:r w:rsidR="002D47FE">
        <w:rPr>
          <w:rFonts w:cs="Arial"/>
        </w:rPr>
        <w:t>both a direct</w:t>
      </w:r>
      <w:r w:rsidR="00C6073E">
        <w:rPr>
          <w:rFonts w:cs="Arial"/>
        </w:rPr>
        <w:t xml:space="preserve"> discharge from a point source and where pollutants from a point source reach </w:t>
      </w:r>
      <w:r w:rsidR="00AE08E8">
        <w:rPr>
          <w:rFonts w:cs="Arial"/>
        </w:rPr>
        <w:t>navig</w:t>
      </w:r>
      <w:r w:rsidR="00C035DC">
        <w:rPr>
          <w:rFonts w:cs="Arial"/>
        </w:rPr>
        <w:t>able water</w:t>
      </w:r>
      <w:r w:rsidR="003C7497">
        <w:rPr>
          <w:rFonts w:cs="Arial"/>
        </w:rPr>
        <w:t>s</w:t>
      </w:r>
      <w:r w:rsidR="00275A7C">
        <w:rPr>
          <w:rFonts w:cs="Arial"/>
        </w:rPr>
        <w:t xml:space="preserve"> after passing through groundwater</w:t>
      </w:r>
      <w:r w:rsidR="007A56A8">
        <w:rPr>
          <w:rFonts w:cs="Arial"/>
        </w:rPr>
        <w:t xml:space="preserve"> if the</w:t>
      </w:r>
      <w:r w:rsidR="00275A7C">
        <w:rPr>
          <w:rFonts w:cs="Arial"/>
        </w:rPr>
        <w:t xml:space="preserve"> facts demonstrate the “functional equivalent of a direct discharge.”</w:t>
      </w:r>
    </w:p>
    <w:p w14:paraId="68AAFF29" w14:textId="0CC012ED" w:rsidR="00A44565" w:rsidRPr="009510C4" w:rsidRDefault="00A44565" w:rsidP="00A44565">
      <w:pPr>
        <w:numPr>
          <w:ilvl w:val="0"/>
          <w:numId w:val="1"/>
        </w:numPr>
        <w:spacing w:after="0"/>
        <w:contextualSpacing/>
        <w:rPr>
          <w:rFonts w:cs="Arial"/>
        </w:rPr>
      </w:pPr>
      <w:r w:rsidRPr="0B10EE18">
        <w:rPr>
          <w:rFonts w:cs="Arial"/>
        </w:rPr>
        <w:t xml:space="preserve">April 2020 </w:t>
      </w:r>
      <w:r w:rsidR="008402D4" w:rsidRPr="0B10EE18">
        <w:rPr>
          <w:rFonts w:cs="Arial"/>
          <w:color w:val="171717" w:themeColor="background2" w:themeShade="1A"/>
        </w:rPr>
        <w:t>–</w:t>
      </w:r>
      <w:r w:rsidRPr="0B10EE18" w:rsidDel="008402D4">
        <w:rPr>
          <w:rFonts w:cs="Arial"/>
          <w:color w:val="171717" w:themeColor="background2" w:themeShade="1A"/>
        </w:rPr>
        <w:t xml:space="preserve"> </w:t>
      </w:r>
      <w:r w:rsidRPr="0B10EE18">
        <w:rPr>
          <w:rFonts w:cs="Arial"/>
        </w:rPr>
        <w:t xml:space="preserve">EPA and </w:t>
      </w:r>
      <w:r w:rsidR="00411C52">
        <w:rPr>
          <w:rFonts w:cs="Arial"/>
        </w:rPr>
        <w:t>USACE</w:t>
      </w:r>
      <w:r w:rsidRPr="0B10EE18">
        <w:rPr>
          <w:rFonts w:cs="Arial"/>
        </w:rPr>
        <w:t xml:space="preserve"> published </w:t>
      </w:r>
      <w:r w:rsidR="00117823">
        <w:rPr>
          <w:rFonts w:cs="Arial"/>
        </w:rPr>
        <w:t xml:space="preserve">“The </w:t>
      </w:r>
      <w:r w:rsidRPr="0B10EE18">
        <w:rPr>
          <w:rFonts w:cs="Arial"/>
        </w:rPr>
        <w:t>Navigable Waters Protection Rule</w:t>
      </w:r>
      <w:r w:rsidR="00117823">
        <w:rPr>
          <w:rFonts w:cs="Arial"/>
        </w:rPr>
        <w:t>: Definition of “Waters of the United States”</w:t>
      </w:r>
      <w:r w:rsidRPr="0B10EE18">
        <w:rPr>
          <w:rFonts w:cs="Arial"/>
        </w:rPr>
        <w:t xml:space="preserve">, revising the definition of WOTUS under the CWA. </w:t>
      </w:r>
    </w:p>
    <w:p w14:paraId="030BC8ED" w14:textId="27E5AE5B" w:rsidR="00A44565" w:rsidRPr="00C4445E" w:rsidRDefault="00A44565" w:rsidP="00A44565">
      <w:pPr>
        <w:numPr>
          <w:ilvl w:val="0"/>
          <w:numId w:val="1"/>
        </w:numPr>
        <w:spacing w:after="0"/>
        <w:contextualSpacing/>
        <w:rPr>
          <w:rFonts w:cs="Arial"/>
        </w:rPr>
      </w:pPr>
      <w:r w:rsidRPr="0B10EE18">
        <w:rPr>
          <w:rFonts w:cs="Arial"/>
        </w:rPr>
        <w:t xml:space="preserve">July </w:t>
      </w:r>
      <w:r w:rsidR="008402D4" w:rsidRPr="0B10EE18">
        <w:rPr>
          <w:rFonts w:cs="Arial"/>
        </w:rPr>
        <w:t>2</w:t>
      </w:r>
      <w:r w:rsidRPr="0B10EE18">
        <w:rPr>
          <w:rFonts w:cs="Arial"/>
        </w:rPr>
        <w:t>020</w:t>
      </w:r>
      <w:r w:rsidR="008402D4" w:rsidRPr="0B10EE18">
        <w:rPr>
          <w:rFonts w:cs="Arial"/>
        </w:rPr>
        <w:t xml:space="preserve"> </w:t>
      </w:r>
      <w:r w:rsidR="008402D4" w:rsidRPr="0B10EE18">
        <w:rPr>
          <w:rFonts w:cs="Arial"/>
          <w:color w:val="171717" w:themeColor="background2" w:themeShade="1A"/>
        </w:rPr>
        <w:t>–</w:t>
      </w:r>
      <w:r w:rsidRPr="0B10EE18">
        <w:rPr>
          <w:rFonts w:cs="Arial"/>
          <w:color w:val="171717" w:themeColor="background2" w:themeShade="1A"/>
        </w:rPr>
        <w:t xml:space="preserve"> </w:t>
      </w:r>
      <w:r w:rsidRPr="0B10EE18">
        <w:rPr>
          <w:rFonts w:cs="Arial"/>
        </w:rPr>
        <w:t xml:space="preserve">EPA and </w:t>
      </w:r>
      <w:r w:rsidR="00411C52">
        <w:rPr>
          <w:rFonts w:cs="Arial"/>
        </w:rPr>
        <w:t>USACE</w:t>
      </w:r>
      <w:r w:rsidRPr="0B10EE18">
        <w:rPr>
          <w:rFonts w:cs="Arial"/>
        </w:rPr>
        <w:t xml:space="preserve"> published a final rule</w:t>
      </w:r>
      <w:r w:rsidR="00AB1CD6">
        <w:rPr>
          <w:rFonts w:cs="Arial"/>
        </w:rPr>
        <w:t>, “</w:t>
      </w:r>
      <w:r w:rsidR="00884367" w:rsidRPr="00884367">
        <w:rPr>
          <w:rFonts w:cs="Arial"/>
        </w:rPr>
        <w:t>Clean Water Act Section 401 Certification Rule</w:t>
      </w:r>
      <w:r w:rsidR="00884367">
        <w:rPr>
          <w:rFonts w:cs="Arial"/>
        </w:rPr>
        <w:t>,”</w:t>
      </w:r>
      <w:r w:rsidRPr="0B10EE18">
        <w:rPr>
          <w:rFonts w:cs="Arial"/>
        </w:rPr>
        <w:t xml:space="preserve"> addressing procedural requirements for water quality certification under Clean Water Act Section 401.  </w:t>
      </w:r>
    </w:p>
    <w:p w14:paraId="7627E2CB" w14:textId="3FA2D056" w:rsidR="00A44565" w:rsidRDefault="00A44565" w:rsidP="00A44565">
      <w:pPr>
        <w:numPr>
          <w:ilvl w:val="0"/>
          <w:numId w:val="1"/>
        </w:numPr>
        <w:spacing w:after="0"/>
        <w:rPr>
          <w:rFonts w:cs="Arial"/>
        </w:rPr>
      </w:pPr>
      <w:r w:rsidRPr="0B10EE18">
        <w:rPr>
          <w:rFonts w:cs="Arial"/>
        </w:rPr>
        <w:t xml:space="preserve">October 2020 </w:t>
      </w:r>
      <w:r w:rsidR="008402D4" w:rsidRPr="0B10EE18">
        <w:rPr>
          <w:rFonts w:cs="Arial"/>
          <w:color w:val="171717" w:themeColor="background2" w:themeShade="1A"/>
        </w:rPr>
        <w:t>–</w:t>
      </w:r>
      <w:r w:rsidRPr="0B10EE18" w:rsidDel="008402D4">
        <w:rPr>
          <w:rFonts w:cs="Arial"/>
          <w:color w:val="171717" w:themeColor="background2" w:themeShade="1A"/>
        </w:rPr>
        <w:t xml:space="preserve"> </w:t>
      </w:r>
      <w:r w:rsidRPr="0B10EE18">
        <w:rPr>
          <w:rFonts w:cs="Arial"/>
        </w:rPr>
        <w:t>EPA published the final ELG Reconsideration Rule</w:t>
      </w:r>
      <w:r w:rsidR="00EE2C8D">
        <w:rPr>
          <w:rFonts w:cs="Arial"/>
        </w:rPr>
        <w:t xml:space="preserve"> </w:t>
      </w:r>
      <w:r w:rsidRPr="0B10EE18">
        <w:rPr>
          <w:rFonts w:cs="Arial"/>
        </w:rPr>
        <w:t xml:space="preserve">establishing revised technology-based effluent limits and </w:t>
      </w:r>
      <w:r w:rsidR="6CDD83A8" w:rsidRPr="0B10EE18">
        <w:rPr>
          <w:rFonts w:cs="Arial"/>
        </w:rPr>
        <w:t>applicability</w:t>
      </w:r>
      <w:r w:rsidR="301DD716" w:rsidRPr="0B10EE18">
        <w:rPr>
          <w:rFonts w:cs="Arial"/>
        </w:rPr>
        <w:t xml:space="preserve"> dates</w:t>
      </w:r>
      <w:r w:rsidRPr="0B10EE18">
        <w:rPr>
          <w:rFonts w:cs="Arial"/>
        </w:rPr>
        <w:t xml:space="preserve"> for bottom ash transport water and FGD wastewater. </w:t>
      </w:r>
    </w:p>
    <w:p w14:paraId="78EFE7EE" w14:textId="445A6E6C" w:rsidR="0054297F" w:rsidRDefault="0054297F" w:rsidP="53ADDA6E">
      <w:pPr>
        <w:numPr>
          <w:ilvl w:val="0"/>
          <w:numId w:val="1"/>
        </w:numPr>
        <w:spacing w:after="0"/>
      </w:pPr>
      <w:r w:rsidRPr="0B10EE18">
        <w:rPr>
          <w:rFonts w:cs="Arial"/>
        </w:rPr>
        <w:t>November 2020 –</w:t>
      </w:r>
      <w:r w:rsidR="00EE2C8D">
        <w:rPr>
          <w:rFonts w:cs="Arial"/>
        </w:rPr>
        <w:t xml:space="preserve"> </w:t>
      </w:r>
      <w:r w:rsidR="0024787A">
        <w:rPr>
          <w:rFonts w:cs="Arial"/>
        </w:rPr>
        <w:t>S</w:t>
      </w:r>
      <w:r w:rsidR="1C967F92" w:rsidRPr="0B10EE18">
        <w:rPr>
          <w:rFonts w:cs="Arial"/>
        </w:rPr>
        <w:t xml:space="preserve">everal </w:t>
      </w:r>
      <w:r w:rsidR="0024787A">
        <w:rPr>
          <w:rFonts w:cs="Arial"/>
        </w:rPr>
        <w:t>environmental</w:t>
      </w:r>
      <w:r w:rsidR="1C967F92" w:rsidRPr="0B10EE18">
        <w:rPr>
          <w:rFonts w:cs="Arial"/>
        </w:rPr>
        <w:t xml:space="preserve"> groups filed </w:t>
      </w:r>
      <w:r w:rsidR="4A2ECF09" w:rsidRPr="0B10EE18">
        <w:rPr>
          <w:rFonts w:cs="Arial"/>
        </w:rPr>
        <w:t>petitions challenging the</w:t>
      </w:r>
      <w:r w:rsidR="1C967F92" w:rsidRPr="0B10EE18">
        <w:rPr>
          <w:rFonts w:cs="Arial"/>
        </w:rPr>
        <w:t xml:space="preserve"> ELG Reconsideration Rule</w:t>
      </w:r>
      <w:r w:rsidR="0024787A">
        <w:rPr>
          <w:rFonts w:cs="Arial"/>
        </w:rPr>
        <w:t>, which were ultimately</w:t>
      </w:r>
      <w:r w:rsidR="1C967F92" w:rsidRPr="0B10EE18">
        <w:rPr>
          <w:rFonts w:cs="Arial"/>
        </w:rPr>
        <w:t xml:space="preserve"> con</w:t>
      </w:r>
      <w:r w:rsidR="342740F8" w:rsidRPr="0B10EE18">
        <w:rPr>
          <w:rFonts w:cs="Arial"/>
        </w:rPr>
        <w:t xml:space="preserve">solidated in the </w:t>
      </w:r>
      <w:r w:rsidR="00197225">
        <w:rPr>
          <w:rFonts w:cs="Arial"/>
        </w:rPr>
        <w:t xml:space="preserve">U.S. Court of Appeals for the </w:t>
      </w:r>
      <w:r w:rsidR="342740F8" w:rsidRPr="0B10EE18">
        <w:rPr>
          <w:rFonts w:cs="Arial"/>
        </w:rPr>
        <w:t>Fourth Circuit.</w:t>
      </w:r>
    </w:p>
    <w:p w14:paraId="40308207" w14:textId="6DBC3866" w:rsidR="00D13AA8" w:rsidRPr="008A5652" w:rsidRDefault="00A44565" w:rsidP="008A5652">
      <w:pPr>
        <w:pStyle w:val="ListParagraph"/>
        <w:numPr>
          <w:ilvl w:val="0"/>
          <w:numId w:val="1"/>
        </w:numPr>
        <w:spacing w:after="0"/>
        <w:textAlignment w:val="center"/>
        <w:rPr>
          <w:rFonts w:cs="Arial"/>
        </w:rPr>
      </w:pPr>
      <w:r w:rsidRPr="008A5652">
        <w:rPr>
          <w:rFonts w:cs="Arial"/>
        </w:rPr>
        <w:t>January 2021</w:t>
      </w:r>
      <w:r w:rsidR="008402D4" w:rsidRPr="008A5652">
        <w:rPr>
          <w:rFonts w:cs="Arial"/>
        </w:rPr>
        <w:t xml:space="preserve"> </w:t>
      </w:r>
      <w:r w:rsidR="008402D4" w:rsidRPr="008A5652">
        <w:rPr>
          <w:rFonts w:cs="Arial"/>
          <w:color w:val="171717" w:themeColor="background2" w:themeShade="1A"/>
        </w:rPr>
        <w:t>–</w:t>
      </w:r>
      <w:r w:rsidRPr="008A5652">
        <w:rPr>
          <w:rFonts w:cs="Arial"/>
        </w:rPr>
        <w:t xml:space="preserve"> </w:t>
      </w:r>
      <w:r w:rsidR="00AA7BF0" w:rsidRPr="008A5652">
        <w:rPr>
          <w:rFonts w:cs="Arial"/>
        </w:rPr>
        <w:t xml:space="preserve">EPA and the </w:t>
      </w:r>
      <w:r w:rsidR="00411C52">
        <w:rPr>
          <w:rFonts w:cs="Arial"/>
        </w:rPr>
        <w:t>USACE</w:t>
      </w:r>
      <w:r w:rsidR="00AA7BF0" w:rsidRPr="008A5652">
        <w:rPr>
          <w:rFonts w:cs="Arial"/>
        </w:rPr>
        <w:t xml:space="preserve"> </w:t>
      </w:r>
      <w:r w:rsidR="00327F2E" w:rsidRPr="008A5652">
        <w:rPr>
          <w:rFonts w:cs="Arial"/>
        </w:rPr>
        <w:t>publish</w:t>
      </w:r>
      <w:r w:rsidR="001678DE" w:rsidRPr="008A5652">
        <w:rPr>
          <w:rFonts w:cs="Arial"/>
        </w:rPr>
        <w:t>ed</w:t>
      </w:r>
      <w:r w:rsidR="00327F2E" w:rsidRPr="008A5652">
        <w:rPr>
          <w:rFonts w:cs="Arial"/>
        </w:rPr>
        <w:t xml:space="preserve"> </w:t>
      </w:r>
      <w:r w:rsidRPr="008A5652">
        <w:rPr>
          <w:rFonts w:cs="Arial"/>
        </w:rPr>
        <w:t>the final rule</w:t>
      </w:r>
      <w:r w:rsidR="00577722">
        <w:rPr>
          <w:rFonts w:cs="Arial"/>
        </w:rPr>
        <w:t>, “</w:t>
      </w:r>
      <w:r w:rsidR="00FD17BB" w:rsidRPr="00FD17BB">
        <w:rPr>
          <w:rFonts w:cs="Arial"/>
        </w:rPr>
        <w:t>Reissuance and Modification of Nationwide Permits</w:t>
      </w:r>
      <w:r w:rsidR="00FD17BB">
        <w:rPr>
          <w:rFonts w:cs="Arial"/>
        </w:rPr>
        <w:t>”</w:t>
      </w:r>
      <w:r w:rsidRPr="008A5652">
        <w:rPr>
          <w:rFonts w:cs="Arial"/>
        </w:rPr>
        <w:t xml:space="preserve"> </w:t>
      </w:r>
      <w:r w:rsidR="00FD17BB">
        <w:rPr>
          <w:rFonts w:cs="Arial"/>
        </w:rPr>
        <w:t>including</w:t>
      </w:r>
      <w:r w:rsidRPr="008A5652">
        <w:rPr>
          <w:rFonts w:cs="Arial"/>
        </w:rPr>
        <w:t xml:space="preserve"> 16 nationwide permits </w:t>
      </w:r>
      <w:r w:rsidR="00DF7FD6" w:rsidRPr="008A5652">
        <w:rPr>
          <w:rFonts w:cs="Arial"/>
        </w:rPr>
        <w:t>for CWA Section 404 Permitting</w:t>
      </w:r>
      <w:r w:rsidR="00826C8D" w:rsidRPr="008A5652">
        <w:rPr>
          <w:rFonts w:cs="Arial"/>
        </w:rPr>
        <w:t xml:space="preserve"> </w:t>
      </w:r>
      <w:r w:rsidR="00BA0C02" w:rsidRPr="008A5652">
        <w:rPr>
          <w:rFonts w:cs="Arial"/>
        </w:rPr>
        <w:t xml:space="preserve">for </w:t>
      </w:r>
      <w:r w:rsidR="00FC3DFB" w:rsidRPr="008A5652">
        <w:rPr>
          <w:rFonts w:cs="Arial"/>
        </w:rPr>
        <w:t xml:space="preserve">impacts to jurisdictional </w:t>
      </w:r>
      <w:r w:rsidR="002D1FBC" w:rsidRPr="008A5652">
        <w:rPr>
          <w:rFonts w:cs="Arial"/>
        </w:rPr>
        <w:t>wetlands</w:t>
      </w:r>
      <w:r w:rsidRPr="008A5652">
        <w:rPr>
          <w:rFonts w:cs="Arial"/>
        </w:rPr>
        <w:t xml:space="preserve"> and </w:t>
      </w:r>
      <w:r w:rsidR="00636F06" w:rsidRPr="008A5652">
        <w:rPr>
          <w:rFonts w:cs="Arial"/>
        </w:rPr>
        <w:t>waterways</w:t>
      </w:r>
      <w:r w:rsidRPr="008A5652">
        <w:rPr>
          <w:rFonts w:cs="Arial"/>
        </w:rPr>
        <w:t>.</w:t>
      </w:r>
    </w:p>
    <w:p w14:paraId="3C4DA401" w14:textId="77777777" w:rsidR="009317FC" w:rsidRPr="00D0583B" w:rsidRDefault="009317FC" w:rsidP="009C7652">
      <w:pPr>
        <w:numPr>
          <w:ilvl w:val="0"/>
          <w:numId w:val="1"/>
        </w:numPr>
        <w:spacing w:after="0"/>
      </w:pPr>
      <w:r w:rsidRPr="0B10EE18">
        <w:rPr>
          <w:rFonts w:cs="Arial"/>
        </w:rPr>
        <w:t xml:space="preserve">January 2021 </w:t>
      </w:r>
      <w:r w:rsidRPr="0B10EE18">
        <w:rPr>
          <w:rFonts w:cs="Arial"/>
          <w:color w:val="171717" w:themeColor="background2" w:themeShade="1A"/>
        </w:rPr>
        <w:t xml:space="preserve">– </w:t>
      </w:r>
      <w:r w:rsidRPr="0B10EE18">
        <w:rPr>
          <w:rFonts w:cs="Arial"/>
        </w:rPr>
        <w:t>EPA published their guidance “Applying the Supreme Court’s County of Maui v. Hawaii Wildlife Fund Decision in the Clean Water Act Section 402 National Pollutant Discharge Elimination System Permit Program</w:t>
      </w:r>
      <w:r>
        <w:rPr>
          <w:rFonts w:cs="Arial"/>
        </w:rPr>
        <w:t>”</w:t>
      </w:r>
      <w:r w:rsidRPr="0B10EE18">
        <w:rPr>
          <w:rFonts w:cs="Arial"/>
        </w:rPr>
        <w:t xml:space="preserve">. </w:t>
      </w:r>
    </w:p>
    <w:p w14:paraId="577CFC54" w14:textId="5FEA86E2" w:rsidR="00381ED0" w:rsidRPr="00D13AA8" w:rsidRDefault="007A2809" w:rsidP="00D13AA8">
      <w:pPr>
        <w:numPr>
          <w:ilvl w:val="0"/>
          <w:numId w:val="1"/>
        </w:numPr>
        <w:spacing w:after="0"/>
        <w:textAlignment w:val="center"/>
        <w:rPr>
          <w:rFonts w:cs="Arial"/>
        </w:rPr>
      </w:pPr>
      <w:r w:rsidRPr="00D13AA8">
        <w:rPr>
          <w:rFonts w:cs="Arial"/>
        </w:rPr>
        <w:t xml:space="preserve">May 2021 </w:t>
      </w:r>
      <w:r w:rsidRPr="00D13AA8">
        <w:rPr>
          <w:rFonts w:cs="Arial"/>
          <w:color w:val="171717" w:themeColor="background2" w:themeShade="1A"/>
        </w:rPr>
        <w:t>–</w:t>
      </w:r>
      <w:r w:rsidR="00012465" w:rsidRPr="00D13AA8">
        <w:rPr>
          <w:rFonts w:cs="Arial"/>
          <w:color w:val="171717" w:themeColor="background2" w:themeShade="1A"/>
        </w:rPr>
        <w:t xml:space="preserve"> </w:t>
      </w:r>
      <w:r w:rsidR="00023D4A" w:rsidRPr="00D13AA8">
        <w:rPr>
          <w:rFonts w:cs="Arial"/>
        </w:rPr>
        <w:t>A</w:t>
      </w:r>
      <w:r w:rsidR="00012465" w:rsidRPr="00D13AA8">
        <w:rPr>
          <w:rFonts w:cs="Arial"/>
        </w:rPr>
        <w:t xml:space="preserve"> coalition of environmental </w:t>
      </w:r>
      <w:r w:rsidR="009E0199" w:rsidRPr="00D13AA8">
        <w:rPr>
          <w:rFonts w:cs="Arial"/>
        </w:rPr>
        <w:t>groups</w:t>
      </w:r>
      <w:r w:rsidR="00012465" w:rsidRPr="00D13AA8">
        <w:rPr>
          <w:rFonts w:cs="Arial"/>
        </w:rPr>
        <w:t xml:space="preserve"> sued the </w:t>
      </w:r>
      <w:r w:rsidR="00411C52">
        <w:rPr>
          <w:rFonts w:cs="Arial"/>
        </w:rPr>
        <w:t>USACE</w:t>
      </w:r>
      <w:r w:rsidR="00012465" w:rsidRPr="00D13AA8">
        <w:rPr>
          <w:rFonts w:cs="Arial"/>
        </w:rPr>
        <w:t xml:space="preserve"> to vacate the newly reissued Nationwide Permit 12 (</w:t>
      </w:r>
      <w:r w:rsidR="00974470">
        <w:rPr>
          <w:rFonts w:cs="Arial"/>
        </w:rPr>
        <w:t>“</w:t>
      </w:r>
      <w:r w:rsidR="00012465" w:rsidRPr="00D13AA8">
        <w:rPr>
          <w:rFonts w:cs="Arial"/>
        </w:rPr>
        <w:t>NWP 12</w:t>
      </w:r>
      <w:r w:rsidR="00974470">
        <w:rPr>
          <w:rFonts w:cs="Arial"/>
        </w:rPr>
        <w:t>”</w:t>
      </w:r>
      <w:r w:rsidR="00012465" w:rsidRPr="00D13AA8">
        <w:rPr>
          <w:rFonts w:cs="Arial"/>
        </w:rPr>
        <w:t xml:space="preserve">).  </w:t>
      </w:r>
    </w:p>
    <w:p w14:paraId="416B5BC4" w14:textId="4D07452D" w:rsidR="00F67ADB" w:rsidRPr="00394812" w:rsidRDefault="00F67ADB" w:rsidP="00CC3526">
      <w:pPr>
        <w:numPr>
          <w:ilvl w:val="0"/>
          <w:numId w:val="1"/>
        </w:numPr>
        <w:spacing w:after="0"/>
        <w:textAlignment w:val="center"/>
        <w:rPr>
          <w:rFonts w:cs="Arial"/>
        </w:rPr>
      </w:pPr>
      <w:r w:rsidRPr="0B10EE18">
        <w:rPr>
          <w:rFonts w:cs="Arial"/>
        </w:rPr>
        <w:t xml:space="preserve">June </w:t>
      </w:r>
      <w:r w:rsidR="0078262D" w:rsidRPr="0B10EE18">
        <w:rPr>
          <w:rFonts w:cs="Arial"/>
        </w:rPr>
        <w:t>2021</w:t>
      </w:r>
      <w:r w:rsidR="00B93480" w:rsidRPr="0B10EE18">
        <w:rPr>
          <w:rFonts w:cs="Arial"/>
        </w:rPr>
        <w:t xml:space="preserve"> </w:t>
      </w:r>
      <w:r w:rsidR="00B93480" w:rsidRPr="0B10EE18">
        <w:rPr>
          <w:rFonts w:cs="Arial"/>
          <w:color w:val="171717" w:themeColor="background2" w:themeShade="1A"/>
        </w:rPr>
        <w:t>–</w:t>
      </w:r>
      <w:r w:rsidRPr="0B10EE18">
        <w:rPr>
          <w:rFonts w:cs="Arial"/>
        </w:rPr>
        <w:t xml:space="preserve"> </w:t>
      </w:r>
      <w:r w:rsidR="72260295" w:rsidRPr="0B10EE18">
        <w:rPr>
          <w:rFonts w:cs="Arial"/>
        </w:rPr>
        <w:t>T</w:t>
      </w:r>
      <w:r w:rsidRPr="0B10EE18">
        <w:rPr>
          <w:rFonts w:cs="Arial"/>
        </w:rPr>
        <w:t xml:space="preserve">he U.S. Court of Appeals for the Fourth Circuit granted DOJ’s motion to extend the </w:t>
      </w:r>
      <w:r w:rsidR="302ED465" w:rsidRPr="0B10EE18">
        <w:rPr>
          <w:rFonts w:cs="Arial"/>
        </w:rPr>
        <w:t>abeyance</w:t>
      </w:r>
      <w:r w:rsidRPr="0B10EE18">
        <w:rPr>
          <w:rFonts w:cs="Arial"/>
        </w:rPr>
        <w:t xml:space="preserve"> of the case on the </w:t>
      </w:r>
      <w:r w:rsidR="3723C6C2" w:rsidRPr="0B10EE18">
        <w:rPr>
          <w:rFonts w:cs="Arial"/>
        </w:rPr>
        <w:t>ELG</w:t>
      </w:r>
      <w:r w:rsidRPr="0B10EE18">
        <w:rPr>
          <w:rFonts w:cs="Arial"/>
        </w:rPr>
        <w:t xml:space="preserve"> Reconsideration Rule until July 24, 2021</w:t>
      </w:r>
      <w:r w:rsidR="04A651B0" w:rsidRPr="0B10EE18">
        <w:rPr>
          <w:rFonts w:cs="Arial"/>
        </w:rPr>
        <w:t>.</w:t>
      </w:r>
      <w:r w:rsidRPr="0B10EE18">
        <w:rPr>
          <w:rFonts w:cs="Arial"/>
        </w:rPr>
        <w:t xml:space="preserve"> </w:t>
      </w:r>
    </w:p>
    <w:p w14:paraId="539F9968" w14:textId="67D7D9BA" w:rsidR="008B257F" w:rsidRPr="0078262D" w:rsidRDefault="006F5401" w:rsidP="00D82DA2">
      <w:pPr>
        <w:pStyle w:val="ListParagraph"/>
        <w:numPr>
          <w:ilvl w:val="0"/>
          <w:numId w:val="1"/>
        </w:numPr>
        <w:spacing w:after="0"/>
        <w:rPr>
          <w:rFonts w:cs="Arial"/>
        </w:rPr>
      </w:pPr>
      <w:r w:rsidRPr="0B10EE18">
        <w:rPr>
          <w:rFonts w:cs="Arial"/>
        </w:rPr>
        <w:t xml:space="preserve">June 2021 </w:t>
      </w:r>
      <w:r w:rsidRPr="0B10EE18">
        <w:rPr>
          <w:rFonts w:cs="Arial"/>
          <w:color w:val="171717" w:themeColor="background2" w:themeShade="1A"/>
        </w:rPr>
        <w:t>–</w:t>
      </w:r>
      <w:r w:rsidR="00F67ADB" w:rsidRPr="0B10EE18">
        <w:rPr>
          <w:rFonts w:cs="Arial"/>
          <w:color w:val="171717" w:themeColor="background2" w:themeShade="1A"/>
        </w:rPr>
        <w:t xml:space="preserve"> </w:t>
      </w:r>
      <w:r w:rsidR="00F67ADB" w:rsidRPr="0B10EE18">
        <w:rPr>
          <w:rFonts w:cs="Arial"/>
        </w:rPr>
        <w:t xml:space="preserve">EPA </w:t>
      </w:r>
      <w:r w:rsidR="00F67ADB" w:rsidRPr="5B5936D7">
        <w:rPr>
          <w:rFonts w:cs="Arial"/>
        </w:rPr>
        <w:t>publishe</w:t>
      </w:r>
      <w:r w:rsidR="000F499E">
        <w:rPr>
          <w:rFonts w:cs="Arial"/>
        </w:rPr>
        <w:t>d</w:t>
      </w:r>
      <w:r w:rsidR="00F67ADB" w:rsidRPr="0B10EE18">
        <w:rPr>
          <w:rFonts w:cs="Arial"/>
        </w:rPr>
        <w:t xml:space="preserve"> the Notice of Intent to Reconsider and Revise the Clean Water Act Section 401 Certification Rule</w:t>
      </w:r>
      <w:r w:rsidR="00084835">
        <w:rPr>
          <w:rFonts w:cs="Arial"/>
        </w:rPr>
        <w:t>.</w:t>
      </w:r>
      <w:r w:rsidR="00F67ADB" w:rsidRPr="0B10EE18">
        <w:rPr>
          <w:rFonts w:cs="Arial"/>
        </w:rPr>
        <w:t xml:space="preserve"> </w:t>
      </w:r>
    </w:p>
    <w:p w14:paraId="33FA9581" w14:textId="75FD127C" w:rsidR="003F5480" w:rsidRPr="0078262D" w:rsidRDefault="003F5480" w:rsidP="00D82DA2">
      <w:pPr>
        <w:pStyle w:val="ListParagraph"/>
        <w:numPr>
          <w:ilvl w:val="0"/>
          <w:numId w:val="1"/>
        </w:numPr>
        <w:spacing w:after="0"/>
        <w:rPr>
          <w:rFonts w:cs="Arial"/>
        </w:rPr>
      </w:pPr>
      <w:r w:rsidRPr="0B10EE18">
        <w:rPr>
          <w:rFonts w:cs="Arial"/>
        </w:rPr>
        <w:t xml:space="preserve">June 2021 – EPA </w:t>
      </w:r>
      <w:r w:rsidR="005346EA" w:rsidRPr="0B10EE18">
        <w:rPr>
          <w:rFonts w:cs="Arial"/>
        </w:rPr>
        <w:t xml:space="preserve">published </w:t>
      </w:r>
      <w:r w:rsidR="00617402">
        <w:rPr>
          <w:rFonts w:cs="Arial"/>
        </w:rPr>
        <w:t xml:space="preserve">their </w:t>
      </w:r>
      <w:r w:rsidR="005346EA" w:rsidRPr="0B10EE18">
        <w:rPr>
          <w:rFonts w:cs="Arial"/>
        </w:rPr>
        <w:t xml:space="preserve">regulatory agenda indicating </w:t>
      </w:r>
      <w:r w:rsidR="00617402">
        <w:rPr>
          <w:rFonts w:cs="Arial"/>
        </w:rPr>
        <w:t xml:space="preserve">a </w:t>
      </w:r>
      <w:r w:rsidR="005346EA" w:rsidRPr="0B10EE18">
        <w:rPr>
          <w:rFonts w:cs="Arial"/>
        </w:rPr>
        <w:t xml:space="preserve">new rule making for </w:t>
      </w:r>
      <w:r w:rsidR="438F5BB7" w:rsidRPr="35E18316">
        <w:rPr>
          <w:rFonts w:cs="Arial"/>
        </w:rPr>
        <w:t xml:space="preserve">reviewing </w:t>
      </w:r>
      <w:r w:rsidR="438F5BB7" w:rsidRPr="4B6421CE">
        <w:rPr>
          <w:rFonts w:cs="Arial"/>
        </w:rPr>
        <w:t xml:space="preserve">and potentially </w:t>
      </w:r>
      <w:r w:rsidR="005346EA" w:rsidRPr="0B10EE18">
        <w:rPr>
          <w:rFonts w:cs="Arial"/>
        </w:rPr>
        <w:t xml:space="preserve">revising ELGs for legacy wastewater and </w:t>
      </w:r>
      <w:r w:rsidR="00771FAA" w:rsidRPr="0B10EE18">
        <w:rPr>
          <w:rFonts w:cs="Arial"/>
        </w:rPr>
        <w:t>combustion residual leachate.</w:t>
      </w:r>
    </w:p>
    <w:p w14:paraId="1F5FDE94" w14:textId="0CF71279" w:rsidR="00F67ADB" w:rsidRPr="0078262D" w:rsidRDefault="006F5401" w:rsidP="00863953">
      <w:pPr>
        <w:pStyle w:val="ListParagraph"/>
        <w:numPr>
          <w:ilvl w:val="0"/>
          <w:numId w:val="1"/>
        </w:numPr>
        <w:rPr>
          <w:rFonts w:cs="Arial"/>
        </w:rPr>
      </w:pPr>
      <w:r w:rsidRPr="172F7B2B">
        <w:rPr>
          <w:rFonts w:cs="Arial"/>
        </w:rPr>
        <w:t xml:space="preserve">July 2021 </w:t>
      </w:r>
      <w:r w:rsidRPr="172F7B2B">
        <w:rPr>
          <w:rFonts w:cs="Arial"/>
          <w:color w:val="171717" w:themeColor="background2" w:themeShade="1A"/>
        </w:rPr>
        <w:t>–</w:t>
      </w:r>
      <w:r w:rsidR="00940021" w:rsidRPr="172F7B2B">
        <w:rPr>
          <w:rFonts w:cs="Arial"/>
          <w:color w:val="171717" w:themeColor="background2" w:themeShade="1A"/>
        </w:rPr>
        <w:t xml:space="preserve"> </w:t>
      </w:r>
      <w:r w:rsidR="00E94FD0">
        <w:rPr>
          <w:rFonts w:cs="Arial"/>
        </w:rPr>
        <w:t>T</w:t>
      </w:r>
      <w:r w:rsidR="00940021" w:rsidRPr="172F7B2B">
        <w:rPr>
          <w:rFonts w:cs="Arial"/>
        </w:rPr>
        <w:t>he District of South Carolina granted the government's request for a voluntary remand of the Navigable Waters Protection Rule (</w:t>
      </w:r>
      <w:r w:rsidR="00974470">
        <w:rPr>
          <w:rFonts w:cs="Arial"/>
        </w:rPr>
        <w:t>“</w:t>
      </w:r>
      <w:r w:rsidR="00940021" w:rsidRPr="172F7B2B">
        <w:rPr>
          <w:rFonts w:cs="Arial"/>
        </w:rPr>
        <w:t>NWPR</w:t>
      </w:r>
      <w:r w:rsidR="00974470">
        <w:rPr>
          <w:rFonts w:cs="Arial"/>
        </w:rPr>
        <w:t>”</w:t>
      </w:r>
      <w:r w:rsidR="00940021" w:rsidRPr="172F7B2B">
        <w:rPr>
          <w:rFonts w:cs="Arial"/>
        </w:rPr>
        <w:t xml:space="preserve">) </w:t>
      </w:r>
      <w:r w:rsidR="00940021" w:rsidRPr="00946E10">
        <w:rPr>
          <w:rFonts w:cs="Arial"/>
        </w:rPr>
        <w:t>without vacatur</w:t>
      </w:r>
      <w:r w:rsidR="00940021" w:rsidRPr="172F7B2B">
        <w:rPr>
          <w:rFonts w:cs="Arial"/>
        </w:rPr>
        <w:t xml:space="preserve"> in </w:t>
      </w:r>
      <w:r w:rsidR="00940021" w:rsidRPr="172F7B2B">
        <w:rPr>
          <w:rFonts w:cs="Arial"/>
          <w:i/>
        </w:rPr>
        <w:t>South Carolina Coastal Conservation League v. EPA</w:t>
      </w:r>
      <w:r w:rsidR="00940021" w:rsidRPr="172F7B2B">
        <w:rPr>
          <w:rFonts w:cs="Arial"/>
        </w:rPr>
        <w:t xml:space="preserve"> and dismissed the environmental groups' lawsuit.</w:t>
      </w:r>
    </w:p>
    <w:p w14:paraId="781A4AC8" w14:textId="2EE31C38" w:rsidR="00C210EA" w:rsidRPr="00394812" w:rsidRDefault="754A078A" w:rsidP="00863953">
      <w:pPr>
        <w:pStyle w:val="ListParagraph"/>
        <w:numPr>
          <w:ilvl w:val="0"/>
          <w:numId w:val="1"/>
        </w:numPr>
        <w:rPr>
          <w:rFonts w:cs="Arial"/>
        </w:rPr>
      </w:pPr>
      <w:r w:rsidRPr="0B10EE18">
        <w:rPr>
          <w:rFonts w:cs="Arial"/>
        </w:rPr>
        <w:t>August</w:t>
      </w:r>
      <w:r w:rsidR="006F5401" w:rsidRPr="0B10EE18">
        <w:rPr>
          <w:rFonts w:cs="Arial"/>
        </w:rPr>
        <w:t xml:space="preserve"> 2021 </w:t>
      </w:r>
      <w:r w:rsidR="006F5401" w:rsidRPr="0B10EE18">
        <w:rPr>
          <w:rFonts w:cs="Arial"/>
          <w:color w:val="171717" w:themeColor="background2" w:themeShade="1A"/>
        </w:rPr>
        <w:t>–</w:t>
      </w:r>
      <w:r w:rsidR="00C210EA" w:rsidRPr="0B10EE18">
        <w:rPr>
          <w:rFonts w:cs="Arial"/>
          <w:color w:val="171717" w:themeColor="background2" w:themeShade="1A"/>
        </w:rPr>
        <w:t xml:space="preserve"> </w:t>
      </w:r>
      <w:r w:rsidR="00C210EA" w:rsidRPr="0B10EE18">
        <w:rPr>
          <w:rFonts w:cs="Arial"/>
        </w:rPr>
        <w:t xml:space="preserve">EPA </w:t>
      </w:r>
      <w:r w:rsidR="37D39CA7" w:rsidRPr="0B10EE18">
        <w:rPr>
          <w:rFonts w:cs="Arial"/>
        </w:rPr>
        <w:t>published</w:t>
      </w:r>
      <w:r w:rsidR="00C210EA" w:rsidRPr="0B10EE18">
        <w:rPr>
          <w:rFonts w:cs="Arial"/>
        </w:rPr>
        <w:t xml:space="preserve"> </w:t>
      </w:r>
      <w:r w:rsidR="00E7419C">
        <w:rPr>
          <w:rFonts w:cs="Arial"/>
        </w:rPr>
        <w:t xml:space="preserve">its </w:t>
      </w:r>
      <w:r w:rsidR="00C210EA" w:rsidRPr="0B10EE18">
        <w:rPr>
          <w:rFonts w:cs="Arial"/>
        </w:rPr>
        <w:t>deci</w:t>
      </w:r>
      <w:r w:rsidR="00E7419C">
        <w:rPr>
          <w:rFonts w:cs="Arial"/>
        </w:rPr>
        <w:t>sion</w:t>
      </w:r>
      <w:r w:rsidR="00C210EA" w:rsidRPr="0B10EE18">
        <w:rPr>
          <w:rFonts w:cs="Arial"/>
        </w:rPr>
        <w:t xml:space="preserve"> to </w:t>
      </w:r>
      <w:r w:rsidR="15B2B8F5" w:rsidRPr="0B10EE18">
        <w:rPr>
          <w:rFonts w:cs="Arial"/>
        </w:rPr>
        <w:t>undertake</w:t>
      </w:r>
      <w:r w:rsidR="00C210EA" w:rsidRPr="0B10EE18">
        <w:rPr>
          <w:rFonts w:cs="Arial"/>
        </w:rPr>
        <w:t xml:space="preserve"> a notice-and-comment rulemaking to determine whether more stringent ELG limitations and standards are appropriate for FGD wastewater and bottom ash transport water.</w:t>
      </w:r>
      <w:r w:rsidR="26EB1D11" w:rsidRPr="0B10EE18">
        <w:rPr>
          <w:rFonts w:cs="Arial"/>
        </w:rPr>
        <w:t xml:space="preserve"> </w:t>
      </w:r>
    </w:p>
    <w:p w14:paraId="7E24945C" w14:textId="77777777" w:rsidR="00541E83" w:rsidRDefault="00A93DD9" w:rsidP="009C7652">
      <w:pPr>
        <w:pStyle w:val="ListParagraph"/>
        <w:numPr>
          <w:ilvl w:val="0"/>
          <w:numId w:val="1"/>
        </w:numPr>
        <w:spacing w:after="0"/>
        <w:textAlignment w:val="center"/>
        <w:rPr>
          <w:rFonts w:cs="Arial"/>
        </w:rPr>
      </w:pPr>
      <w:r w:rsidRPr="00541E83">
        <w:rPr>
          <w:rFonts w:cs="Arial"/>
        </w:rPr>
        <w:t xml:space="preserve">August 2021 </w:t>
      </w:r>
      <w:r w:rsidR="00643A2E" w:rsidRPr="00541E83">
        <w:rPr>
          <w:rFonts w:cs="Arial"/>
        </w:rPr>
        <w:t>–</w:t>
      </w:r>
      <w:r w:rsidRPr="00541E83">
        <w:rPr>
          <w:rFonts w:cs="Arial"/>
        </w:rPr>
        <w:t xml:space="preserve"> </w:t>
      </w:r>
      <w:r w:rsidR="00643A2E" w:rsidRPr="00541E83">
        <w:rPr>
          <w:rFonts w:cs="Arial"/>
        </w:rPr>
        <w:t>U.S. District Court for the District of Arizona vacated and remanded the 2020 NWPR.</w:t>
      </w:r>
      <w:r w:rsidR="0008499F" w:rsidRPr="001D2940">
        <w:rPr>
          <w:rFonts w:cs="Arial"/>
        </w:rPr>
        <w:t xml:space="preserve"> The EPA and </w:t>
      </w:r>
      <w:r w:rsidR="00411C52" w:rsidRPr="00271816">
        <w:rPr>
          <w:rFonts w:cs="Arial"/>
        </w:rPr>
        <w:t>USACE</w:t>
      </w:r>
      <w:r w:rsidR="0008499F" w:rsidRPr="00271816">
        <w:rPr>
          <w:rFonts w:cs="Arial"/>
        </w:rPr>
        <w:t xml:space="preserve"> </w:t>
      </w:r>
      <w:r w:rsidR="0008499F" w:rsidRPr="001E41F4">
        <w:rPr>
          <w:rFonts w:cs="Arial"/>
        </w:rPr>
        <w:t>announced they are abandoning the NWPR and will interpret WOT</w:t>
      </w:r>
      <w:r w:rsidR="0008499F" w:rsidRPr="000168E2">
        <w:rPr>
          <w:rFonts w:cs="Arial"/>
        </w:rPr>
        <w:t>US consistent with the framework in place prior t</w:t>
      </w:r>
      <w:r w:rsidR="003C1209" w:rsidRPr="00F15187">
        <w:rPr>
          <w:rFonts w:cs="Arial"/>
        </w:rPr>
        <w:t>o</w:t>
      </w:r>
      <w:r w:rsidR="0008499F" w:rsidRPr="00C0795D">
        <w:rPr>
          <w:rFonts w:cs="Arial"/>
        </w:rPr>
        <w:t xml:space="preserve"> 2015</w:t>
      </w:r>
      <w:r w:rsidR="00643A2E" w:rsidRPr="00C0795D">
        <w:rPr>
          <w:rFonts w:cs="Arial"/>
        </w:rPr>
        <w:t>.</w:t>
      </w:r>
    </w:p>
    <w:p w14:paraId="0FD3411A" w14:textId="0CAFAC9B" w:rsidR="00D82BB2" w:rsidRPr="00541E83" w:rsidRDefault="0021544B" w:rsidP="009C7652">
      <w:pPr>
        <w:pStyle w:val="ListParagraph"/>
        <w:numPr>
          <w:ilvl w:val="0"/>
          <w:numId w:val="1"/>
        </w:numPr>
        <w:spacing w:after="0"/>
        <w:textAlignment w:val="center"/>
        <w:rPr>
          <w:rFonts w:cs="Arial"/>
        </w:rPr>
      </w:pPr>
      <w:r w:rsidRPr="00541E83">
        <w:rPr>
          <w:rFonts w:cs="Arial"/>
        </w:rPr>
        <w:t xml:space="preserve">September 2021 – EPA </w:t>
      </w:r>
      <w:r>
        <w:t>rescind</w:t>
      </w:r>
      <w:r w:rsidR="00D31798">
        <w:t>ed</w:t>
      </w:r>
      <w:r>
        <w:t xml:space="preserve"> the guidance document “</w:t>
      </w:r>
      <w:r w:rsidRPr="00F20A31">
        <w:t>Applying the Supreme Court’s County of Maui v. Hawaii Wildlife Fund Decision in the Clean Water Act Section 402 National Pollutant Discharge Elimination System Permit Program.</w:t>
      </w:r>
      <w:r>
        <w:t>”</w:t>
      </w:r>
    </w:p>
    <w:p w14:paraId="2B7522C1" w14:textId="56716123" w:rsidR="002D578B" w:rsidRPr="002D578B" w:rsidRDefault="00C31C1B" w:rsidP="002D578B">
      <w:pPr>
        <w:pStyle w:val="ListParagraph"/>
        <w:numPr>
          <w:ilvl w:val="0"/>
          <w:numId w:val="1"/>
        </w:numPr>
        <w:spacing w:after="0"/>
        <w:textAlignment w:val="center"/>
      </w:pPr>
      <w:r>
        <w:t xml:space="preserve">December 2021 – </w:t>
      </w:r>
      <w:r w:rsidR="00B106F2">
        <w:rPr>
          <w:rFonts w:cs="Arial"/>
        </w:rPr>
        <w:t>EPA and the USACE published proposed rule</w:t>
      </w:r>
      <w:r w:rsidR="004A1CA3">
        <w:rPr>
          <w:rFonts w:cs="Arial"/>
        </w:rPr>
        <w:t>, “</w:t>
      </w:r>
      <w:r w:rsidR="003B20C5">
        <w:t xml:space="preserve">Revised Definition of </w:t>
      </w:r>
      <w:r w:rsidR="00415EA4">
        <w:t>‘</w:t>
      </w:r>
      <w:r w:rsidR="003B20C5">
        <w:t>Waters of the United States,</w:t>
      </w:r>
      <w:r w:rsidR="006C10AE">
        <w:t>’</w:t>
      </w:r>
      <w:r w:rsidR="003B20C5">
        <w:t>’’</w:t>
      </w:r>
      <w:r w:rsidR="00B106F2">
        <w:rPr>
          <w:rFonts w:cs="Arial"/>
        </w:rPr>
        <w:t xml:space="preserve"> to revise the </w:t>
      </w:r>
      <w:r w:rsidR="00B106F2" w:rsidRPr="002D578B">
        <w:t>NWPR</w:t>
      </w:r>
      <w:r w:rsidR="005A4FB4">
        <w:t>.</w:t>
      </w:r>
    </w:p>
    <w:p w14:paraId="57F0049C" w14:textId="70D57B3E" w:rsidR="00C40334" w:rsidRPr="002D578B" w:rsidRDefault="00C40334" w:rsidP="002D578B">
      <w:pPr>
        <w:pStyle w:val="ListParagraph"/>
        <w:numPr>
          <w:ilvl w:val="0"/>
          <w:numId w:val="1"/>
        </w:numPr>
        <w:spacing w:after="0"/>
        <w:textAlignment w:val="center"/>
      </w:pPr>
      <w:r>
        <w:t>December 2021 – USACE published in Federal Register a final rule reissuing 40 existing NWPs and one new NWP.  The 41 NWPs will take effect on February 25, 2022</w:t>
      </w:r>
      <w:r w:rsidR="00AA4FC1">
        <w:t>.</w:t>
      </w:r>
    </w:p>
    <w:p w14:paraId="7B68F5BD" w14:textId="3EC367A7" w:rsidR="00865FF2" w:rsidRPr="00974365" w:rsidRDefault="00865FF2" w:rsidP="008C0425">
      <w:pPr>
        <w:pStyle w:val="Heading3"/>
        <w:rPr>
          <w:rFonts w:cs="Arial"/>
          <w:bCs/>
          <w:color w:val="000080"/>
        </w:rPr>
      </w:pPr>
      <w:bookmarkStart w:id="28" w:name="_Toc94197878"/>
      <w:r w:rsidRPr="00974365">
        <w:t>Land</w:t>
      </w:r>
      <w:bookmarkEnd w:id="28"/>
    </w:p>
    <w:p w14:paraId="6B1C7F06" w14:textId="35B84343" w:rsidR="00883BE9" w:rsidRPr="00505306" w:rsidRDefault="00883BE9" w:rsidP="00883BE9">
      <w:pPr>
        <w:pStyle w:val="ListParagraph"/>
        <w:numPr>
          <w:ilvl w:val="0"/>
          <w:numId w:val="1"/>
        </w:numPr>
        <w:rPr>
          <w:rFonts w:cs="Arial"/>
        </w:rPr>
      </w:pPr>
      <w:r w:rsidRPr="0B10EE18">
        <w:rPr>
          <w:rFonts w:cs="Arial"/>
        </w:rPr>
        <w:t xml:space="preserve">January 2019 </w:t>
      </w:r>
      <w:r w:rsidR="00970021" w:rsidRPr="0B10EE18">
        <w:rPr>
          <w:rFonts w:cs="Arial"/>
        </w:rPr>
        <w:t>–</w:t>
      </w:r>
      <w:r w:rsidRPr="0B10EE18">
        <w:rPr>
          <w:rFonts w:cs="Arial"/>
        </w:rPr>
        <w:t xml:space="preserve"> </w:t>
      </w:r>
      <w:r w:rsidRPr="0B10EE18">
        <w:rPr>
          <w:rFonts w:eastAsia="Cambria" w:cs="Arial"/>
        </w:rPr>
        <w:t>The U D.C. Circuit</w:t>
      </w:r>
      <w:r w:rsidR="00D31798">
        <w:rPr>
          <w:rFonts w:eastAsia="Cambria" w:cs="Arial"/>
        </w:rPr>
        <w:t xml:space="preserve"> Court</w:t>
      </w:r>
      <w:r w:rsidRPr="0B10EE18">
        <w:rPr>
          <w:rFonts w:eastAsia="Cambria" w:cs="Arial"/>
        </w:rPr>
        <w:t xml:space="preserve"> granted the Government’s motion in the </w:t>
      </w:r>
      <w:r w:rsidR="00243AAC" w:rsidRPr="0B10EE18">
        <w:rPr>
          <w:rFonts w:eastAsia="Cambria" w:cs="Arial"/>
        </w:rPr>
        <w:t xml:space="preserve">CCR Rule </w:t>
      </w:r>
      <w:r w:rsidRPr="0B10EE18">
        <w:rPr>
          <w:rFonts w:eastAsia="Cambria" w:cs="Arial"/>
        </w:rPr>
        <w:t xml:space="preserve">Phase 1, Part 1 litigation, extending the timeframe for the filing of briefs in the case.  </w:t>
      </w:r>
    </w:p>
    <w:p w14:paraId="3F41E890" w14:textId="64508601" w:rsidR="00883BE9" w:rsidRPr="00505306" w:rsidRDefault="00883BE9" w:rsidP="00883BE9">
      <w:pPr>
        <w:pStyle w:val="ListParagraph"/>
        <w:numPr>
          <w:ilvl w:val="0"/>
          <w:numId w:val="1"/>
        </w:numPr>
        <w:rPr>
          <w:rFonts w:cs="Arial"/>
        </w:rPr>
      </w:pPr>
      <w:r w:rsidRPr="0B10EE18">
        <w:rPr>
          <w:rFonts w:cs="Arial"/>
        </w:rPr>
        <w:t xml:space="preserve">February 2019 – Final comments were filed in response to the </w:t>
      </w:r>
      <w:r w:rsidR="00243AAC" w:rsidRPr="0B10EE18">
        <w:rPr>
          <w:rFonts w:cs="Arial"/>
        </w:rPr>
        <w:t xml:space="preserve">CCR Rule </w:t>
      </w:r>
      <w:r w:rsidRPr="0B10EE18">
        <w:rPr>
          <w:rFonts w:cs="Arial"/>
        </w:rPr>
        <w:t>Phase 1, Part 1 litigation.</w:t>
      </w:r>
    </w:p>
    <w:p w14:paraId="7F42F893" w14:textId="1090018E" w:rsidR="00883BE9" w:rsidRPr="00505306" w:rsidRDefault="00883BE9" w:rsidP="00883BE9">
      <w:pPr>
        <w:pStyle w:val="ListParagraph"/>
        <w:numPr>
          <w:ilvl w:val="0"/>
          <w:numId w:val="1"/>
        </w:numPr>
        <w:rPr>
          <w:rFonts w:cs="Arial"/>
        </w:rPr>
      </w:pPr>
      <w:r w:rsidRPr="0B10EE18">
        <w:rPr>
          <w:rFonts w:cs="Arial"/>
        </w:rPr>
        <w:t xml:space="preserve">March 2019 – </w:t>
      </w:r>
      <w:r w:rsidR="00D31798">
        <w:rPr>
          <w:rFonts w:cs="Arial"/>
        </w:rPr>
        <w:t xml:space="preserve">The </w:t>
      </w:r>
      <w:r w:rsidRPr="0B10EE18">
        <w:rPr>
          <w:rFonts w:cs="Arial"/>
        </w:rPr>
        <w:t>D.C. Circuit Court denied environmental groups’ motion to vacate or stay certain deadlines under the CCR rule and granted EPA’s motion seeking a remand of the rule</w:t>
      </w:r>
      <w:r w:rsidR="00243AAC" w:rsidRPr="0B10EE18">
        <w:rPr>
          <w:rFonts w:cs="Arial"/>
        </w:rPr>
        <w:t>.</w:t>
      </w:r>
      <w:r w:rsidRPr="0B10EE18">
        <w:rPr>
          <w:rFonts w:cs="Arial"/>
        </w:rPr>
        <w:t xml:space="preserve"> </w:t>
      </w:r>
    </w:p>
    <w:p w14:paraId="47472B98" w14:textId="68C5BB07" w:rsidR="00883BE9" w:rsidRPr="00505306" w:rsidRDefault="00883BE9" w:rsidP="00883BE9">
      <w:pPr>
        <w:pStyle w:val="ListParagraph"/>
        <w:numPr>
          <w:ilvl w:val="0"/>
          <w:numId w:val="1"/>
        </w:numPr>
        <w:rPr>
          <w:rFonts w:cs="Arial"/>
        </w:rPr>
      </w:pPr>
      <w:r w:rsidRPr="0B10EE18">
        <w:rPr>
          <w:rFonts w:cs="Arial"/>
        </w:rPr>
        <w:t>March 2019 – EPA publishes CCR Rule Final Phase 1, Part 2 Rule</w:t>
      </w:r>
      <w:r w:rsidR="00243AAC" w:rsidRPr="0B10EE18">
        <w:rPr>
          <w:rFonts w:cs="Arial"/>
        </w:rPr>
        <w:t>.</w:t>
      </w:r>
    </w:p>
    <w:p w14:paraId="10603A5E" w14:textId="1AD36861" w:rsidR="00883BE9" w:rsidRPr="00505306" w:rsidRDefault="00883BE9" w:rsidP="00883BE9">
      <w:pPr>
        <w:pStyle w:val="ListParagraph"/>
        <w:numPr>
          <w:ilvl w:val="0"/>
          <w:numId w:val="1"/>
        </w:numPr>
        <w:rPr>
          <w:rFonts w:cs="Arial"/>
        </w:rPr>
      </w:pPr>
      <w:r w:rsidRPr="0B10EE18">
        <w:rPr>
          <w:rFonts w:cs="Arial"/>
        </w:rPr>
        <w:t xml:space="preserve">April 2019 – EPA released its interpretive </w:t>
      </w:r>
      <w:r w:rsidR="00B176E7">
        <w:rPr>
          <w:rFonts w:cs="Arial"/>
        </w:rPr>
        <w:t>statement, “</w:t>
      </w:r>
      <w:r w:rsidR="002B3D0C">
        <w:t>EPA</w:t>
      </w:r>
      <w:r w:rsidR="00B176E7">
        <w:t xml:space="preserve"> Interpretative Statement on The Application of the NPDES Program to Releases of Pollutants </w:t>
      </w:r>
      <w:r w:rsidR="002B3D0C">
        <w:t>f</w:t>
      </w:r>
      <w:r w:rsidR="00B176E7">
        <w:t xml:space="preserve">rom Point Sources </w:t>
      </w:r>
      <w:r w:rsidR="002B3D0C">
        <w:t>t</w:t>
      </w:r>
      <w:r w:rsidR="00B176E7">
        <w:t>o Groundwater”</w:t>
      </w:r>
      <w:r w:rsidR="00B176E7" w:rsidRPr="0B10EE18">
        <w:rPr>
          <w:rFonts w:cs="Arial"/>
        </w:rPr>
        <w:t xml:space="preserve"> </w:t>
      </w:r>
      <w:r w:rsidRPr="0B10EE18">
        <w:rPr>
          <w:rFonts w:cs="Arial"/>
        </w:rPr>
        <w:t xml:space="preserve">on the issue of hydrologically-connected groundwater. </w:t>
      </w:r>
    </w:p>
    <w:p w14:paraId="19FB7BF7" w14:textId="2F82D6E2" w:rsidR="00883BE9" w:rsidRPr="00505306" w:rsidRDefault="00883BE9" w:rsidP="00883BE9">
      <w:pPr>
        <w:pStyle w:val="ListParagraph"/>
        <w:numPr>
          <w:ilvl w:val="0"/>
          <w:numId w:val="1"/>
        </w:numPr>
        <w:rPr>
          <w:rFonts w:cs="Arial"/>
        </w:rPr>
      </w:pPr>
      <w:r w:rsidRPr="0B10EE18">
        <w:rPr>
          <w:rFonts w:cs="Arial"/>
        </w:rPr>
        <w:t>June 2019 – EPA published proposed partial approval of Georgia’s state CCR permit program and published to the Federal Register.</w:t>
      </w:r>
    </w:p>
    <w:p w14:paraId="324EB3E7" w14:textId="459DD82A" w:rsidR="00883BE9" w:rsidRPr="00505306" w:rsidRDefault="00883BE9" w:rsidP="00883BE9">
      <w:pPr>
        <w:pStyle w:val="ListParagraph"/>
        <w:numPr>
          <w:ilvl w:val="0"/>
          <w:numId w:val="1"/>
        </w:numPr>
        <w:rPr>
          <w:rFonts w:cs="Arial"/>
        </w:rPr>
      </w:pPr>
      <w:r w:rsidRPr="0B10EE18">
        <w:rPr>
          <w:rFonts w:cs="Arial"/>
        </w:rPr>
        <w:t xml:space="preserve">July 2019 – The D.C. Circuit </w:t>
      </w:r>
      <w:r w:rsidR="00D31798">
        <w:rPr>
          <w:rFonts w:cs="Arial"/>
        </w:rPr>
        <w:t xml:space="preserve">Court </w:t>
      </w:r>
      <w:r w:rsidR="003F6298">
        <w:rPr>
          <w:rFonts w:cs="Arial"/>
        </w:rPr>
        <w:t>denied</w:t>
      </w:r>
      <w:r w:rsidRPr="0B10EE18">
        <w:rPr>
          <w:rFonts w:cs="Arial"/>
        </w:rPr>
        <w:t xml:space="preserve"> environmental groups’ challenge to the final Definition of Solid Waste rule for the RCRA hazardous waste program.</w:t>
      </w:r>
    </w:p>
    <w:p w14:paraId="10586A01" w14:textId="51854CEC" w:rsidR="00883BE9" w:rsidRPr="00505306" w:rsidRDefault="00883BE9" w:rsidP="00883BE9">
      <w:pPr>
        <w:pStyle w:val="ListParagraph"/>
        <w:numPr>
          <w:ilvl w:val="0"/>
          <w:numId w:val="1"/>
        </w:numPr>
        <w:rPr>
          <w:rFonts w:cs="Arial"/>
        </w:rPr>
      </w:pPr>
      <w:r w:rsidRPr="0B10EE18">
        <w:rPr>
          <w:rFonts w:cs="Arial"/>
        </w:rPr>
        <w:t>August 2019 – EPA held a public meeting in Atlanta, GA regarding approval of Georgia EPD’s CCR program</w:t>
      </w:r>
      <w:r w:rsidR="00056B1C">
        <w:rPr>
          <w:rFonts w:cs="Arial"/>
        </w:rPr>
        <w:t>.</w:t>
      </w:r>
    </w:p>
    <w:p w14:paraId="2AE76DF9" w14:textId="074BB5AE" w:rsidR="00883BE9" w:rsidRDefault="00883BE9" w:rsidP="00883BE9">
      <w:pPr>
        <w:pStyle w:val="ListParagraph"/>
        <w:numPr>
          <w:ilvl w:val="0"/>
          <w:numId w:val="1"/>
        </w:numPr>
        <w:rPr>
          <w:rFonts w:cs="Arial"/>
          <w:color w:val="171717"/>
        </w:rPr>
      </w:pPr>
      <w:r w:rsidRPr="0B10EE18">
        <w:rPr>
          <w:rFonts w:cs="Arial"/>
          <w:color w:val="171717" w:themeColor="background2" w:themeShade="1A"/>
        </w:rPr>
        <w:t xml:space="preserve">August 2019 </w:t>
      </w:r>
      <w:r w:rsidRPr="0B10EE18">
        <w:rPr>
          <w:rFonts w:cs="Arial"/>
        </w:rPr>
        <w:t>–</w:t>
      </w:r>
      <w:r w:rsidRPr="0B10EE18">
        <w:rPr>
          <w:rFonts w:cs="Arial"/>
          <w:color w:val="171717" w:themeColor="background2" w:themeShade="1A"/>
        </w:rPr>
        <w:t xml:space="preserve"> EPA published </w:t>
      </w:r>
      <w:r w:rsidR="00390CCB">
        <w:rPr>
          <w:rFonts w:cs="Arial"/>
          <w:color w:val="171717" w:themeColor="background2" w:themeShade="1A"/>
        </w:rPr>
        <w:t xml:space="preserve">a proposed </w:t>
      </w:r>
      <w:r w:rsidR="00DE6B01">
        <w:rPr>
          <w:rFonts w:cs="Arial"/>
          <w:color w:val="171717" w:themeColor="background2" w:themeShade="1A"/>
        </w:rPr>
        <w:t>CCR</w:t>
      </w:r>
      <w:r w:rsidR="00390CCB">
        <w:rPr>
          <w:rFonts w:cs="Arial"/>
          <w:color w:val="171717" w:themeColor="background2" w:themeShade="1A"/>
        </w:rPr>
        <w:t xml:space="preserve"> rule</w:t>
      </w:r>
      <w:r w:rsidR="005B3350">
        <w:rPr>
          <w:rFonts w:cs="Arial"/>
          <w:color w:val="171717" w:themeColor="background2" w:themeShade="1A"/>
        </w:rPr>
        <w:t>, “</w:t>
      </w:r>
      <w:r w:rsidR="00DB3328" w:rsidRPr="00DB3328">
        <w:rPr>
          <w:rFonts w:cs="Arial"/>
          <w:color w:val="171717" w:themeColor="background2" w:themeShade="1A"/>
        </w:rPr>
        <w:t>Hazardous and Solid Waste Management System: Disposal of Coal Combustion Residuals From Electric Utilities; Enhancing Public Access to Information; Reconsideration of Beneficial Use Criteria and Piles</w:t>
      </w:r>
      <w:r w:rsidR="00DB3328">
        <w:rPr>
          <w:rFonts w:cs="Arial"/>
          <w:color w:val="171717" w:themeColor="background2" w:themeShade="1A"/>
        </w:rPr>
        <w:t>”</w:t>
      </w:r>
      <w:r w:rsidR="00390CCB">
        <w:rPr>
          <w:rFonts w:cs="Arial"/>
          <w:color w:val="171717" w:themeColor="background2" w:themeShade="1A"/>
        </w:rPr>
        <w:t xml:space="preserve"> </w:t>
      </w:r>
      <w:r w:rsidR="000B36AC">
        <w:rPr>
          <w:rFonts w:cs="Arial"/>
          <w:color w:val="171717" w:themeColor="background2" w:themeShade="1A"/>
        </w:rPr>
        <w:t>to address beneficial use</w:t>
      </w:r>
      <w:r w:rsidR="00840589">
        <w:rPr>
          <w:rFonts w:cs="Arial"/>
          <w:color w:val="171717" w:themeColor="background2" w:themeShade="1A"/>
        </w:rPr>
        <w:t>, alternate groundwater protection standards</w:t>
      </w:r>
      <w:r w:rsidR="005E3C8F">
        <w:rPr>
          <w:rFonts w:cs="Arial"/>
          <w:color w:val="171717" w:themeColor="background2" w:themeShade="1A"/>
        </w:rPr>
        <w:t>, and groundwater reporting.</w:t>
      </w:r>
      <w:r w:rsidRPr="0B10EE18">
        <w:rPr>
          <w:rFonts w:cs="Arial"/>
          <w:color w:val="171717" w:themeColor="background2" w:themeShade="1A"/>
        </w:rPr>
        <w:t xml:space="preserve">  </w:t>
      </w:r>
    </w:p>
    <w:p w14:paraId="0B72B97C" w14:textId="77777777" w:rsidR="00883BE9" w:rsidRDefault="00883BE9" w:rsidP="00883BE9">
      <w:pPr>
        <w:pStyle w:val="ListParagraph"/>
        <w:numPr>
          <w:ilvl w:val="0"/>
          <w:numId w:val="1"/>
        </w:numPr>
        <w:rPr>
          <w:rFonts w:cs="Arial"/>
          <w:color w:val="171717"/>
        </w:rPr>
      </w:pPr>
      <w:r w:rsidRPr="0B10EE18">
        <w:rPr>
          <w:rFonts w:cs="Arial"/>
          <w:color w:val="171717" w:themeColor="background2" w:themeShade="1A"/>
        </w:rPr>
        <w:t>August 2019 – EPA published its proposed rule CCR Rule Phase 2 amendments.</w:t>
      </w:r>
    </w:p>
    <w:p w14:paraId="50CACFDE" w14:textId="2C20A877" w:rsidR="00883BE9" w:rsidRPr="00505306" w:rsidRDefault="00883BE9" w:rsidP="00883BE9">
      <w:pPr>
        <w:pStyle w:val="ListParagraph"/>
        <w:numPr>
          <w:ilvl w:val="0"/>
          <w:numId w:val="1"/>
        </w:numPr>
        <w:rPr>
          <w:rFonts w:cs="Arial"/>
        </w:rPr>
      </w:pPr>
      <w:r w:rsidRPr="0B10EE18">
        <w:rPr>
          <w:rFonts w:cs="Arial"/>
        </w:rPr>
        <w:t>September 2019</w:t>
      </w:r>
      <w:r w:rsidR="00243AAC" w:rsidRPr="0B10EE18">
        <w:rPr>
          <w:rFonts w:cs="Arial"/>
          <w:color w:val="171717" w:themeColor="background2" w:themeShade="1A"/>
        </w:rPr>
        <w:t xml:space="preserve"> – </w:t>
      </w:r>
      <w:r w:rsidRPr="0B10EE18">
        <w:rPr>
          <w:rFonts w:cs="Arial"/>
        </w:rPr>
        <w:t xml:space="preserve">EPA sent the proposed Federal </w:t>
      </w:r>
      <w:r w:rsidR="00EA65A0">
        <w:rPr>
          <w:rFonts w:cs="Arial"/>
        </w:rPr>
        <w:t>CCR</w:t>
      </w:r>
      <w:r w:rsidRPr="0B10EE18">
        <w:rPr>
          <w:rFonts w:cs="Arial"/>
        </w:rPr>
        <w:t xml:space="preserve"> Permit Program to OMB for review.</w:t>
      </w:r>
    </w:p>
    <w:p w14:paraId="0F956187" w14:textId="07A844DE" w:rsidR="00883BE9" w:rsidRPr="00A57C69" w:rsidRDefault="00883BE9" w:rsidP="00883BE9">
      <w:pPr>
        <w:pStyle w:val="ListParagraph"/>
        <w:numPr>
          <w:ilvl w:val="0"/>
          <w:numId w:val="1"/>
        </w:numPr>
        <w:rPr>
          <w:rFonts w:cs="Arial"/>
          <w:color w:val="171717"/>
        </w:rPr>
      </w:pPr>
      <w:r w:rsidRPr="0B10EE18">
        <w:rPr>
          <w:rFonts w:cs="Arial"/>
          <w:color w:val="171717" w:themeColor="background2" w:themeShade="1A"/>
        </w:rPr>
        <w:t xml:space="preserve">November 2019 – EPA releases its proposed rule </w:t>
      </w:r>
      <w:r w:rsidR="005A5634">
        <w:rPr>
          <w:rFonts w:cs="Arial"/>
          <w:color w:val="171717" w:themeColor="background2" w:themeShade="1A"/>
        </w:rPr>
        <w:t>“</w:t>
      </w:r>
      <w:r w:rsidR="005A5634" w:rsidRPr="005A5634">
        <w:rPr>
          <w:rFonts w:cs="Arial"/>
          <w:color w:val="171717" w:themeColor="background2" w:themeShade="1A"/>
        </w:rPr>
        <w:t>Hazardous and Solid Waste Management System: Disposal of Coal Combustion Residuals From Electric Utilities; A Holistic Approach to Closure Part A: Deadline To Initiate Closure</w:t>
      </w:r>
      <w:r w:rsidR="005A5634">
        <w:rPr>
          <w:rFonts w:cs="Arial"/>
          <w:color w:val="171717" w:themeColor="background2" w:themeShade="1A"/>
        </w:rPr>
        <w:t xml:space="preserve">” </w:t>
      </w:r>
      <w:r w:rsidRPr="0B10EE18">
        <w:rPr>
          <w:rFonts w:cs="Arial"/>
          <w:color w:val="171717" w:themeColor="background2" w:themeShade="1A"/>
        </w:rPr>
        <w:t xml:space="preserve">for the CCR Rule Part A Closure </w:t>
      </w:r>
      <w:r w:rsidR="00A34929" w:rsidRPr="0B10EE18">
        <w:rPr>
          <w:rFonts w:cs="Arial"/>
          <w:color w:val="171717" w:themeColor="background2" w:themeShade="1A"/>
        </w:rPr>
        <w:t>Rule Revised</w:t>
      </w:r>
      <w:r w:rsidRPr="0B10EE18">
        <w:rPr>
          <w:rFonts w:cs="Arial"/>
          <w:color w:val="171717" w:themeColor="background2" w:themeShade="1A"/>
        </w:rPr>
        <w:t xml:space="preserve"> initiation of closure for unlined impoundments from October 2020 to August 31, 2020</w:t>
      </w:r>
      <w:r w:rsidR="00056B1C">
        <w:rPr>
          <w:rFonts w:cs="Arial"/>
          <w:color w:val="171717" w:themeColor="background2" w:themeShade="1A"/>
        </w:rPr>
        <w:t>.</w:t>
      </w:r>
    </w:p>
    <w:p w14:paraId="011E42B8" w14:textId="3361D388" w:rsidR="00476FE6" w:rsidRPr="002E3281" w:rsidRDefault="007A39D9" w:rsidP="00650FDB">
      <w:pPr>
        <w:pStyle w:val="ListParagraph"/>
        <w:numPr>
          <w:ilvl w:val="0"/>
          <w:numId w:val="1"/>
        </w:numPr>
        <w:spacing w:after="0"/>
        <w:rPr>
          <w:rFonts w:eastAsiaTheme="minorEastAsia"/>
        </w:rPr>
      </w:pPr>
      <w:r w:rsidRPr="00650FDB">
        <w:rPr>
          <w:rFonts w:cs="Arial"/>
          <w:color w:val="171717" w:themeColor="background2" w:themeShade="1A"/>
        </w:rPr>
        <w:t>January</w:t>
      </w:r>
      <w:r w:rsidR="00883BE9" w:rsidRPr="00650FDB">
        <w:rPr>
          <w:rFonts w:cs="Arial"/>
          <w:color w:val="171717" w:themeColor="background2" w:themeShade="1A"/>
        </w:rPr>
        <w:t xml:space="preserve"> 20</w:t>
      </w:r>
      <w:r w:rsidRPr="00650FDB">
        <w:rPr>
          <w:rFonts w:cs="Arial"/>
          <w:color w:val="171717" w:themeColor="background2" w:themeShade="1A"/>
        </w:rPr>
        <w:t>20</w:t>
      </w:r>
      <w:r w:rsidR="00883BE9" w:rsidRPr="0B10EE18">
        <w:rPr>
          <w:rFonts w:cs="Arial"/>
          <w:color w:val="171717" w:themeColor="background2" w:themeShade="1A"/>
        </w:rPr>
        <w:t xml:space="preserve"> – EPA approves Georgia EPD’s CCR Program Permitting Program under the</w:t>
      </w:r>
      <w:r w:rsidR="00E93358">
        <w:rPr>
          <w:rFonts w:cs="Arial"/>
          <w:color w:val="171717" w:themeColor="background2" w:themeShade="1A"/>
        </w:rPr>
        <w:t xml:space="preserve"> </w:t>
      </w:r>
      <w:r w:rsidR="00E93358" w:rsidRPr="00E93358">
        <w:t>Water Infrastructure Improvements for the Nation</w:t>
      </w:r>
      <w:r w:rsidR="00883BE9" w:rsidRPr="0B10EE18">
        <w:rPr>
          <w:rFonts w:cs="Arial"/>
          <w:color w:val="171717" w:themeColor="background2" w:themeShade="1A"/>
        </w:rPr>
        <w:t xml:space="preserve"> Act</w:t>
      </w:r>
      <w:r w:rsidR="00600840">
        <w:rPr>
          <w:rFonts w:cs="Arial"/>
          <w:color w:val="171717" w:themeColor="background2" w:themeShade="1A"/>
        </w:rPr>
        <w:t xml:space="preserve"> </w:t>
      </w:r>
      <w:r w:rsidR="00E93358">
        <w:rPr>
          <w:rFonts w:cs="Arial"/>
          <w:color w:val="171717" w:themeColor="background2" w:themeShade="1A"/>
        </w:rPr>
        <w:t>(“</w:t>
      </w:r>
      <w:r w:rsidR="00883BE9" w:rsidRPr="0B10EE18">
        <w:rPr>
          <w:rFonts w:cs="Arial"/>
          <w:color w:val="171717" w:themeColor="background2" w:themeShade="1A"/>
        </w:rPr>
        <w:t>WIIN Act</w:t>
      </w:r>
      <w:r w:rsidR="00600840">
        <w:rPr>
          <w:rFonts w:cs="Arial"/>
          <w:color w:val="171717" w:themeColor="background2" w:themeShade="1A"/>
        </w:rPr>
        <w:t>”)</w:t>
      </w:r>
      <w:r w:rsidR="00883BE9" w:rsidRPr="0B10EE18">
        <w:rPr>
          <w:rFonts w:cs="Arial"/>
          <w:color w:val="171717" w:themeColor="background2" w:themeShade="1A"/>
        </w:rPr>
        <w:t xml:space="preserve">. </w:t>
      </w:r>
    </w:p>
    <w:p w14:paraId="0628899A" w14:textId="1AC13516" w:rsidR="00883BE9" w:rsidRPr="00D0583B" w:rsidRDefault="00883BE9" w:rsidP="00650FDB">
      <w:pPr>
        <w:pStyle w:val="ListParagraph"/>
        <w:numPr>
          <w:ilvl w:val="0"/>
          <w:numId w:val="1"/>
        </w:numPr>
        <w:spacing w:after="0"/>
        <w:rPr>
          <w:rFonts w:eastAsiaTheme="minorEastAsia"/>
        </w:rPr>
      </w:pPr>
      <w:r w:rsidRPr="0B10EE18">
        <w:rPr>
          <w:rFonts w:cs="Arial"/>
        </w:rPr>
        <w:t xml:space="preserve">February 2020 </w:t>
      </w:r>
      <w:r w:rsidRPr="0B10EE18">
        <w:rPr>
          <w:rFonts w:cs="Arial"/>
          <w:color w:val="171717" w:themeColor="background2" w:themeShade="1A"/>
        </w:rPr>
        <w:t xml:space="preserve">– </w:t>
      </w:r>
      <w:r w:rsidRPr="0B10EE18">
        <w:rPr>
          <w:rFonts w:cs="Arial"/>
        </w:rPr>
        <w:t>EPA published a proposal establishing a Federal Permitting Program for CCR.</w:t>
      </w:r>
    </w:p>
    <w:p w14:paraId="5C337EB5" w14:textId="2C031808" w:rsidR="00883BE9" w:rsidRPr="00883BE9" w:rsidRDefault="00883BE9" w:rsidP="00883BE9">
      <w:pPr>
        <w:numPr>
          <w:ilvl w:val="0"/>
          <w:numId w:val="1"/>
        </w:numPr>
        <w:spacing w:after="0"/>
        <w:contextualSpacing/>
        <w:rPr>
          <w:rFonts w:eastAsiaTheme="minorEastAsia"/>
        </w:rPr>
      </w:pPr>
      <w:r w:rsidRPr="0B10EE18">
        <w:rPr>
          <w:rFonts w:cs="Arial"/>
        </w:rPr>
        <w:t xml:space="preserve">March 2020 </w:t>
      </w:r>
      <w:r w:rsidR="00243AAC" w:rsidRPr="0B10EE18">
        <w:rPr>
          <w:rFonts w:cs="Arial"/>
        </w:rPr>
        <w:t>–</w:t>
      </w:r>
      <w:r w:rsidRPr="0B10EE18">
        <w:rPr>
          <w:rFonts w:cs="Arial"/>
        </w:rPr>
        <w:t xml:space="preserve"> EPA publishes proposed “</w:t>
      </w:r>
      <w:r w:rsidR="008F3F84" w:rsidRPr="008F3F84">
        <w:rPr>
          <w:rFonts w:cs="Arial"/>
        </w:rPr>
        <w:t>Hazardous and Solid Waste Management System: Disposal of CCR;</w:t>
      </w:r>
      <w:r w:rsidR="008F3F84">
        <w:rPr>
          <w:rFonts w:cs="Arial"/>
        </w:rPr>
        <w:t xml:space="preserve"> </w:t>
      </w:r>
      <w:r w:rsidRPr="0B10EE18">
        <w:rPr>
          <w:rFonts w:cs="Arial"/>
        </w:rPr>
        <w:t>Holistic Approach to Closure Part B</w:t>
      </w:r>
      <w:r w:rsidR="008F3F84">
        <w:rPr>
          <w:rFonts w:cs="Arial"/>
        </w:rPr>
        <w:t>:</w:t>
      </w:r>
      <w:r w:rsidR="008F3F84" w:rsidRPr="008F3F84">
        <w:t xml:space="preserve"> </w:t>
      </w:r>
      <w:r w:rsidR="008F3F84" w:rsidRPr="008F3F84">
        <w:rPr>
          <w:rFonts w:cs="Arial"/>
        </w:rPr>
        <w:t>Alternate Demonstration for Unlined Surface Impoundments; Implementation of Closure</w:t>
      </w:r>
      <w:r w:rsidRPr="0B10EE18">
        <w:rPr>
          <w:rFonts w:cs="Arial"/>
        </w:rPr>
        <w:t>” and comments due April 17, 2020.</w:t>
      </w:r>
    </w:p>
    <w:p w14:paraId="3E90D493" w14:textId="75E19583" w:rsidR="00883BE9" w:rsidRPr="00883BE9" w:rsidRDefault="00883BE9" w:rsidP="00883BE9">
      <w:pPr>
        <w:numPr>
          <w:ilvl w:val="0"/>
          <w:numId w:val="1"/>
        </w:numPr>
        <w:spacing w:after="0"/>
        <w:contextualSpacing/>
        <w:rPr>
          <w:rFonts w:eastAsiaTheme="minorEastAsia"/>
        </w:rPr>
      </w:pPr>
      <w:r w:rsidRPr="0B10EE18">
        <w:rPr>
          <w:rFonts w:cs="Arial"/>
        </w:rPr>
        <w:t>March 2020</w:t>
      </w:r>
      <w:r w:rsidR="00243AAC" w:rsidRPr="0B10EE18">
        <w:rPr>
          <w:rFonts w:cs="Arial"/>
        </w:rPr>
        <w:t xml:space="preserve"> – </w:t>
      </w:r>
      <w:r w:rsidRPr="0B10EE18">
        <w:rPr>
          <w:rFonts w:cs="Arial"/>
        </w:rPr>
        <w:t xml:space="preserve">Earthjustice </w:t>
      </w:r>
      <w:r w:rsidR="00E93E98">
        <w:rPr>
          <w:rFonts w:cs="Arial"/>
        </w:rPr>
        <w:t>requests</w:t>
      </w:r>
      <w:r w:rsidR="00E93E98" w:rsidRPr="0B10EE18">
        <w:rPr>
          <w:rFonts w:cs="Arial"/>
        </w:rPr>
        <w:t xml:space="preserve"> </w:t>
      </w:r>
      <w:r w:rsidRPr="0B10EE18">
        <w:rPr>
          <w:rFonts w:cs="Arial"/>
        </w:rPr>
        <w:t>comment period extension of the federal CCR permit program due to COVID-19 Pandemic.</w:t>
      </w:r>
      <w:r w:rsidR="00374D84">
        <w:rPr>
          <w:rFonts w:cs="Arial"/>
        </w:rPr>
        <w:t xml:space="preserve"> EPA granted extension to August 7, 2020.</w:t>
      </w:r>
    </w:p>
    <w:p w14:paraId="5A5A049A" w14:textId="54869ACE" w:rsidR="00883BE9" w:rsidRDefault="00883BE9" w:rsidP="00883BE9">
      <w:pPr>
        <w:numPr>
          <w:ilvl w:val="0"/>
          <w:numId w:val="1"/>
        </w:numPr>
        <w:spacing w:after="0"/>
        <w:contextualSpacing/>
        <w:rPr>
          <w:rStyle w:val="normaltextrun1"/>
          <w:rFonts w:cs="Arial"/>
        </w:rPr>
      </w:pPr>
      <w:r w:rsidRPr="0B10EE18">
        <w:rPr>
          <w:rStyle w:val="normaltextrun1"/>
          <w:rFonts w:cs="Arial"/>
        </w:rPr>
        <w:t>August 2020</w:t>
      </w:r>
      <w:r w:rsidRPr="0B10EE18">
        <w:rPr>
          <w:rFonts w:cs="Arial"/>
        </w:rPr>
        <w:t xml:space="preserve"> </w:t>
      </w:r>
      <w:r w:rsidRPr="0B10EE18">
        <w:rPr>
          <w:rFonts w:cs="Arial"/>
          <w:color w:val="171717" w:themeColor="background2" w:themeShade="1A"/>
        </w:rPr>
        <w:t xml:space="preserve">– </w:t>
      </w:r>
      <w:r w:rsidRPr="0B10EE18">
        <w:rPr>
          <w:rStyle w:val="normaltextrun1"/>
          <w:rFonts w:cs="Arial"/>
        </w:rPr>
        <w:t>EPA published the final rulemaking “</w:t>
      </w:r>
      <w:r w:rsidR="00220CEF" w:rsidRPr="00220CEF">
        <w:rPr>
          <w:rStyle w:val="normaltextrun1"/>
          <w:rFonts w:cs="Arial"/>
        </w:rPr>
        <w:t>Hazardous and Solid Waste Management System: Disposal of Coal Combustion Residuals From Electric Utilities; A Holistic Approach to Closure Part A: Deadline To Initiate Closure</w:t>
      </w:r>
      <w:r w:rsidRPr="0B10EE18">
        <w:rPr>
          <w:rStyle w:val="normaltextrun1"/>
          <w:rFonts w:cs="Arial"/>
        </w:rPr>
        <w:t>”.</w:t>
      </w:r>
    </w:p>
    <w:p w14:paraId="4A6F7258" w14:textId="6F4954B2" w:rsidR="00883BE9" w:rsidRPr="002A72ED" w:rsidRDefault="00883BE9" w:rsidP="00883BE9">
      <w:pPr>
        <w:numPr>
          <w:ilvl w:val="0"/>
          <w:numId w:val="1"/>
        </w:numPr>
        <w:spacing w:after="0"/>
        <w:contextualSpacing/>
        <w:rPr>
          <w:rStyle w:val="normaltextrun1"/>
          <w:rFonts w:cs="Arial"/>
        </w:rPr>
      </w:pPr>
      <w:r w:rsidRPr="0B10EE18">
        <w:rPr>
          <w:rStyle w:val="normaltextrun1"/>
          <w:rFonts w:cs="Arial"/>
        </w:rPr>
        <w:t>September 2020 – EPA sends final “</w:t>
      </w:r>
      <w:r w:rsidR="00220CEF" w:rsidRPr="008F3F84">
        <w:rPr>
          <w:rFonts w:cs="Arial"/>
        </w:rPr>
        <w:t>Disposal of CCR;</w:t>
      </w:r>
      <w:r w:rsidR="00220CEF">
        <w:rPr>
          <w:rFonts w:cs="Arial"/>
        </w:rPr>
        <w:t xml:space="preserve"> </w:t>
      </w:r>
      <w:r w:rsidRPr="0B10EE18">
        <w:rPr>
          <w:rStyle w:val="normaltextrun1"/>
          <w:rFonts w:cs="Arial"/>
        </w:rPr>
        <w:t>Holistic Approach to Closure: Part B” to OMB for interagency review.</w:t>
      </w:r>
    </w:p>
    <w:p w14:paraId="3082711D" w14:textId="4633F54C" w:rsidR="00883BE9" w:rsidRDefault="00883BE9" w:rsidP="00883BE9">
      <w:pPr>
        <w:numPr>
          <w:ilvl w:val="0"/>
          <w:numId w:val="1"/>
        </w:numPr>
        <w:spacing w:after="0"/>
        <w:rPr>
          <w:rStyle w:val="normaltextrun1"/>
        </w:rPr>
      </w:pPr>
      <w:r w:rsidRPr="0B10EE18">
        <w:rPr>
          <w:rStyle w:val="normaltextrun1"/>
          <w:rFonts w:cs="Arial"/>
        </w:rPr>
        <w:t>October 2020</w:t>
      </w:r>
      <w:r w:rsidRPr="0B10EE18">
        <w:rPr>
          <w:rFonts w:cs="Arial"/>
        </w:rPr>
        <w:t xml:space="preserve"> </w:t>
      </w:r>
      <w:r w:rsidRPr="0B10EE18">
        <w:rPr>
          <w:rFonts w:cs="Arial"/>
          <w:color w:val="171717" w:themeColor="background2" w:themeShade="1A"/>
        </w:rPr>
        <w:t>–</w:t>
      </w:r>
      <w:r w:rsidRPr="0B10EE18">
        <w:rPr>
          <w:rStyle w:val="normaltextrun1"/>
          <w:rFonts w:cs="Arial"/>
        </w:rPr>
        <w:t xml:space="preserve"> EPA published an Advanced Notice of Proposed Rulemaking </w:t>
      </w:r>
      <w:r w:rsidR="00171A53">
        <w:rPr>
          <w:rStyle w:val="normaltextrun1"/>
          <w:rFonts w:cs="Arial"/>
        </w:rPr>
        <w:t>(“ANPRM”)</w:t>
      </w:r>
      <w:r w:rsidRPr="0B10EE18">
        <w:rPr>
          <w:rStyle w:val="normaltextrun1"/>
          <w:rFonts w:cs="Arial"/>
        </w:rPr>
        <w:t xml:space="preserve"> applicable to inactive CCR surface impoundments located at inactive electricity generation facilities, or “legacy impoundments.”</w:t>
      </w:r>
    </w:p>
    <w:p w14:paraId="173A2288" w14:textId="6802B934" w:rsidR="00883BE9" w:rsidRPr="009510C4" w:rsidRDefault="00883BE9" w:rsidP="00883BE9">
      <w:pPr>
        <w:numPr>
          <w:ilvl w:val="0"/>
          <w:numId w:val="1"/>
        </w:numPr>
        <w:spacing w:after="0"/>
        <w:contextualSpacing/>
        <w:rPr>
          <w:rFonts w:cs="Arial"/>
        </w:rPr>
      </w:pPr>
      <w:r w:rsidRPr="0B10EE18">
        <w:rPr>
          <w:rFonts w:cs="Arial"/>
        </w:rPr>
        <w:t xml:space="preserve">November 2020 </w:t>
      </w:r>
      <w:r w:rsidRPr="0B10EE18">
        <w:rPr>
          <w:rFonts w:cs="Arial"/>
          <w:color w:val="171717" w:themeColor="background2" w:themeShade="1A"/>
        </w:rPr>
        <w:t>–</w:t>
      </w:r>
      <w:r w:rsidRPr="0B10EE18">
        <w:rPr>
          <w:rFonts w:cs="Arial"/>
        </w:rPr>
        <w:t xml:space="preserve"> EPA finalized “</w:t>
      </w:r>
      <w:r w:rsidR="00A774AF" w:rsidRPr="00A774AF">
        <w:rPr>
          <w:rFonts w:cs="Arial"/>
        </w:rPr>
        <w:t>Hazardous and Solid Waste Management System: Disposal of CCR;</w:t>
      </w:r>
      <w:r w:rsidR="00A774AF">
        <w:rPr>
          <w:rFonts w:cs="Arial"/>
        </w:rPr>
        <w:t xml:space="preserve"> </w:t>
      </w:r>
      <w:r w:rsidRPr="0B10EE18">
        <w:rPr>
          <w:rFonts w:cs="Arial"/>
        </w:rPr>
        <w:t>A Holistic Approach to Closure Part B: Alternate Demonstration for Unlined Surface Impoundments.”</w:t>
      </w:r>
    </w:p>
    <w:p w14:paraId="2C4B6957" w14:textId="2F2A2466" w:rsidR="00883BE9" w:rsidRPr="00CD4CA5" w:rsidRDefault="00883BE9" w:rsidP="00883BE9">
      <w:pPr>
        <w:numPr>
          <w:ilvl w:val="0"/>
          <w:numId w:val="1"/>
        </w:numPr>
        <w:spacing w:after="0"/>
      </w:pPr>
      <w:r w:rsidRPr="0B10EE18">
        <w:rPr>
          <w:rFonts w:cs="Arial"/>
        </w:rPr>
        <w:t xml:space="preserve">December 2020 </w:t>
      </w:r>
      <w:r w:rsidRPr="0B10EE18">
        <w:rPr>
          <w:rFonts w:cs="Arial"/>
          <w:color w:val="171717" w:themeColor="background2" w:themeShade="1A"/>
        </w:rPr>
        <w:t>–</w:t>
      </w:r>
      <w:r w:rsidRPr="0B10EE18">
        <w:rPr>
          <w:rFonts w:cs="Arial"/>
        </w:rPr>
        <w:t xml:space="preserve"> EPA published a </w:t>
      </w:r>
      <w:r w:rsidR="00156499">
        <w:rPr>
          <w:rFonts w:cs="Arial"/>
        </w:rPr>
        <w:t>N</w:t>
      </w:r>
      <w:r w:rsidRPr="0B10EE18">
        <w:rPr>
          <w:rFonts w:cs="Arial"/>
        </w:rPr>
        <w:t xml:space="preserve">otice of </w:t>
      </w:r>
      <w:r w:rsidR="00156499">
        <w:rPr>
          <w:rFonts w:cs="Arial"/>
        </w:rPr>
        <w:t>D</w:t>
      </w:r>
      <w:r w:rsidRPr="0B10EE18">
        <w:rPr>
          <w:rFonts w:cs="Arial"/>
        </w:rPr>
        <w:t xml:space="preserve">ata </w:t>
      </w:r>
      <w:r w:rsidR="00156499">
        <w:rPr>
          <w:rFonts w:cs="Arial"/>
        </w:rPr>
        <w:t>A</w:t>
      </w:r>
      <w:r w:rsidRPr="0B10EE18">
        <w:rPr>
          <w:rFonts w:cs="Arial"/>
        </w:rPr>
        <w:t xml:space="preserve">vailability and request for comment related to the beneficial use and temporary storage of CCR. </w:t>
      </w:r>
    </w:p>
    <w:p w14:paraId="2A7DC703" w14:textId="7DC043C0" w:rsidR="00883BE9" w:rsidRPr="00537629" w:rsidRDefault="00883BE9" w:rsidP="00883BE9">
      <w:pPr>
        <w:numPr>
          <w:ilvl w:val="0"/>
          <w:numId w:val="1"/>
        </w:numPr>
        <w:spacing w:after="0"/>
      </w:pPr>
      <w:r w:rsidRPr="0B10EE18">
        <w:rPr>
          <w:rFonts w:cs="Arial"/>
        </w:rPr>
        <w:t xml:space="preserve">March 2021 </w:t>
      </w:r>
      <w:r w:rsidRPr="0B10EE18">
        <w:rPr>
          <w:rFonts w:cs="Arial"/>
          <w:color w:val="171717" w:themeColor="background2" w:themeShade="1A"/>
        </w:rPr>
        <w:t>–</w:t>
      </w:r>
      <w:r w:rsidR="00EC7AC5">
        <w:rPr>
          <w:rFonts w:cs="Arial"/>
          <w:color w:val="171717" w:themeColor="background2" w:themeShade="1A"/>
        </w:rPr>
        <w:t xml:space="preserve"> </w:t>
      </w:r>
      <w:r w:rsidRPr="0B10EE18">
        <w:rPr>
          <w:rFonts w:cs="Arial"/>
          <w:color w:val="171717" w:themeColor="background2" w:themeShade="1A"/>
        </w:rPr>
        <w:t>T</w:t>
      </w:r>
      <w:r w:rsidRPr="0B10EE18">
        <w:rPr>
          <w:rFonts w:cs="Arial"/>
        </w:rPr>
        <w:t>he D.C. Circuit</w:t>
      </w:r>
      <w:r w:rsidR="00D31798">
        <w:rPr>
          <w:rFonts w:cs="Arial"/>
        </w:rPr>
        <w:t xml:space="preserve"> Court</w:t>
      </w:r>
      <w:r w:rsidRPr="0B10EE18">
        <w:rPr>
          <w:rFonts w:cs="Arial"/>
        </w:rPr>
        <w:t xml:space="preserve"> granted environmental groups’ unopposed motion to voluntarily dismiss their February 11, </w:t>
      </w:r>
      <w:r w:rsidR="0079076C" w:rsidRPr="0B10EE18">
        <w:rPr>
          <w:rFonts w:cs="Arial"/>
        </w:rPr>
        <w:t>2021,</w:t>
      </w:r>
      <w:r w:rsidRPr="0B10EE18">
        <w:rPr>
          <w:rFonts w:cs="Arial"/>
        </w:rPr>
        <w:t xml:space="preserve"> petition for review of EPA’s final CCR “Part B” Rule.  </w:t>
      </w:r>
    </w:p>
    <w:p w14:paraId="364881E7" w14:textId="11423D72" w:rsidR="00883BE9" w:rsidRPr="00537629" w:rsidRDefault="00883BE9" w:rsidP="00883BE9">
      <w:pPr>
        <w:numPr>
          <w:ilvl w:val="0"/>
          <w:numId w:val="1"/>
        </w:numPr>
        <w:spacing w:after="0"/>
        <w:textAlignment w:val="center"/>
        <w:rPr>
          <w:rFonts w:cs="Arial"/>
        </w:rPr>
      </w:pPr>
      <w:r w:rsidRPr="0B10EE18">
        <w:rPr>
          <w:rFonts w:cs="Arial"/>
        </w:rPr>
        <w:t xml:space="preserve">March 2021 </w:t>
      </w:r>
      <w:r w:rsidRPr="0B10EE18">
        <w:rPr>
          <w:rFonts w:cs="Arial"/>
          <w:color w:val="171717" w:themeColor="background2" w:themeShade="1A"/>
        </w:rPr>
        <w:t xml:space="preserve">– </w:t>
      </w:r>
      <w:r w:rsidRPr="0B10EE18">
        <w:rPr>
          <w:rFonts w:cs="Arial"/>
        </w:rPr>
        <w:t>EPA reopen</w:t>
      </w:r>
      <w:r w:rsidR="00940D50">
        <w:rPr>
          <w:rFonts w:cs="Arial"/>
        </w:rPr>
        <w:t>ed</w:t>
      </w:r>
      <w:r w:rsidRPr="0B10EE18">
        <w:rPr>
          <w:rFonts w:cs="Arial"/>
        </w:rPr>
        <w:t xml:space="preserve"> the comment period on the N</w:t>
      </w:r>
      <w:r w:rsidR="001A301A">
        <w:rPr>
          <w:rFonts w:cs="Arial"/>
        </w:rPr>
        <w:t xml:space="preserve">otice </w:t>
      </w:r>
      <w:r w:rsidR="00925CCC">
        <w:rPr>
          <w:rFonts w:cs="Arial"/>
        </w:rPr>
        <w:t>o</w:t>
      </w:r>
      <w:r w:rsidR="001A301A">
        <w:rPr>
          <w:rFonts w:cs="Arial"/>
        </w:rPr>
        <w:t xml:space="preserve">f </w:t>
      </w:r>
      <w:r w:rsidRPr="0B10EE18">
        <w:rPr>
          <w:rFonts w:cs="Arial"/>
        </w:rPr>
        <w:t>D</w:t>
      </w:r>
      <w:r w:rsidR="001A301A">
        <w:rPr>
          <w:rFonts w:cs="Arial"/>
        </w:rPr>
        <w:t xml:space="preserve">ata </w:t>
      </w:r>
      <w:r w:rsidR="001A301A" w:rsidRPr="0B10EE18">
        <w:rPr>
          <w:rFonts w:cs="Arial"/>
        </w:rPr>
        <w:t>A</w:t>
      </w:r>
      <w:r w:rsidR="001A301A">
        <w:rPr>
          <w:rFonts w:cs="Arial"/>
        </w:rPr>
        <w:t xml:space="preserve">vailability </w:t>
      </w:r>
      <w:r w:rsidRPr="0B10EE18">
        <w:rPr>
          <w:rFonts w:cs="Arial"/>
        </w:rPr>
        <w:t xml:space="preserve">pertaining to beneficial use criteria and </w:t>
      </w:r>
      <w:r w:rsidR="00050332">
        <w:rPr>
          <w:rFonts w:cs="Arial"/>
        </w:rPr>
        <w:t>temporary storage of CCR</w:t>
      </w:r>
      <w:r w:rsidRPr="0B10EE18">
        <w:rPr>
          <w:rFonts w:cs="Arial"/>
        </w:rPr>
        <w:t>.</w:t>
      </w:r>
    </w:p>
    <w:p w14:paraId="16AC3D28" w14:textId="0D4586EC" w:rsidR="00883BE9" w:rsidRPr="00537629" w:rsidRDefault="00883BE9" w:rsidP="005D2968">
      <w:pPr>
        <w:numPr>
          <w:ilvl w:val="0"/>
          <w:numId w:val="10"/>
        </w:numPr>
        <w:tabs>
          <w:tab w:val="clear" w:pos="720"/>
          <w:tab w:val="num" w:pos="180"/>
        </w:tabs>
        <w:spacing w:after="0"/>
        <w:textAlignment w:val="center"/>
        <w:rPr>
          <w:rFonts w:cs="Arial"/>
        </w:rPr>
      </w:pPr>
      <w:r w:rsidRPr="0B10EE18">
        <w:rPr>
          <w:rFonts w:cs="Arial"/>
        </w:rPr>
        <w:t xml:space="preserve">June 2021 </w:t>
      </w:r>
      <w:r w:rsidRPr="0B10EE18">
        <w:rPr>
          <w:rFonts w:cs="Arial"/>
          <w:color w:val="171717" w:themeColor="background2" w:themeShade="1A"/>
        </w:rPr>
        <w:t>–</w:t>
      </w:r>
      <w:r w:rsidR="00EC7AC5">
        <w:rPr>
          <w:rFonts w:cs="Arial"/>
          <w:color w:val="171717" w:themeColor="background2" w:themeShade="1A"/>
        </w:rPr>
        <w:t xml:space="preserve"> </w:t>
      </w:r>
      <w:r w:rsidRPr="0B10EE18">
        <w:rPr>
          <w:rFonts w:cs="Arial"/>
        </w:rPr>
        <w:t xml:space="preserve">EPA will not reconsider the previous administration’s final CCR rules after review of these rules per </w:t>
      </w:r>
      <w:r w:rsidR="00AB6FEE">
        <w:rPr>
          <w:rFonts w:cs="Arial"/>
        </w:rPr>
        <w:t>EO</w:t>
      </w:r>
      <w:r w:rsidRPr="0B10EE18">
        <w:rPr>
          <w:rFonts w:cs="Arial"/>
        </w:rPr>
        <w:t xml:space="preserve"> 13990.  These rules included:</w:t>
      </w:r>
    </w:p>
    <w:p w14:paraId="68B2F0E2" w14:textId="0818ABAB" w:rsidR="00883BE9" w:rsidRPr="00537629" w:rsidRDefault="00883BE9" w:rsidP="005D2968">
      <w:pPr>
        <w:numPr>
          <w:ilvl w:val="1"/>
          <w:numId w:val="10"/>
        </w:numPr>
        <w:spacing w:after="0"/>
        <w:textAlignment w:val="center"/>
        <w:rPr>
          <w:rFonts w:cs="Arial"/>
        </w:rPr>
      </w:pPr>
      <w:r w:rsidRPr="0B10EE18">
        <w:rPr>
          <w:rFonts w:cs="Arial"/>
        </w:rPr>
        <w:t>Phase One, Part One (cease receipt of waste deadline extended to October 31, 2020)</w:t>
      </w:r>
    </w:p>
    <w:p w14:paraId="33D007A3" w14:textId="5A67E341" w:rsidR="00883BE9" w:rsidRPr="00537629" w:rsidRDefault="00883BE9" w:rsidP="005D2968">
      <w:pPr>
        <w:numPr>
          <w:ilvl w:val="1"/>
          <w:numId w:val="10"/>
        </w:numPr>
        <w:spacing w:after="0"/>
        <w:textAlignment w:val="center"/>
        <w:rPr>
          <w:rFonts w:cs="Arial"/>
        </w:rPr>
      </w:pPr>
      <w:r w:rsidRPr="0B10EE18">
        <w:rPr>
          <w:rFonts w:cs="Arial"/>
        </w:rPr>
        <w:t>Part A (cease receipt of waste deadline extended from October 31, 2020 to April 11, 2021)</w:t>
      </w:r>
    </w:p>
    <w:p w14:paraId="0E320DBD" w14:textId="77777777" w:rsidR="00883BE9" w:rsidRPr="00537629" w:rsidRDefault="00883BE9" w:rsidP="005D2968">
      <w:pPr>
        <w:numPr>
          <w:ilvl w:val="1"/>
          <w:numId w:val="10"/>
        </w:numPr>
        <w:spacing w:after="0"/>
        <w:textAlignment w:val="center"/>
        <w:rPr>
          <w:rFonts w:cs="Arial"/>
        </w:rPr>
      </w:pPr>
      <w:r w:rsidRPr="0B10EE18">
        <w:rPr>
          <w:rFonts w:cs="Arial"/>
        </w:rPr>
        <w:t>Part B (provides ability to continue operating with clay liner systems)</w:t>
      </w:r>
    </w:p>
    <w:p w14:paraId="2FF3D91E" w14:textId="60B97411" w:rsidR="00AB04E1" w:rsidRPr="00163287" w:rsidRDefault="00AB04E1" w:rsidP="00AB04E1">
      <w:pPr>
        <w:numPr>
          <w:ilvl w:val="0"/>
          <w:numId w:val="1"/>
        </w:numPr>
        <w:rPr>
          <w:rFonts w:cs="Arial"/>
          <w:color w:val="171717" w:themeColor="background2" w:themeShade="1A"/>
        </w:rPr>
      </w:pPr>
      <w:r w:rsidDel="00AB04E1">
        <w:rPr>
          <w:rFonts w:cs="Arial"/>
          <w:color w:val="171717" w:themeColor="background2" w:themeShade="1A"/>
        </w:rPr>
        <w:t xml:space="preserve">January 2022 </w:t>
      </w:r>
      <w:r>
        <w:rPr>
          <w:rFonts w:cs="Arial"/>
          <w:color w:val="171717" w:themeColor="background2" w:themeShade="1A"/>
        </w:rPr>
        <w:t>-</w:t>
      </w:r>
      <w:r w:rsidRPr="48E19DE0" w:rsidDel="00AB04E1">
        <w:rPr>
          <w:rFonts w:cs="Arial"/>
          <w:color w:val="171717" w:themeColor="background2" w:themeShade="1A"/>
        </w:rPr>
        <w:t xml:space="preserve"> </w:t>
      </w:r>
      <w:r w:rsidRPr="48E19DE0">
        <w:rPr>
          <w:rFonts w:cs="Arial"/>
          <w:color w:val="171717" w:themeColor="background2" w:themeShade="1A"/>
        </w:rPr>
        <w:t xml:space="preserve">EPA </w:t>
      </w:r>
      <w:r w:rsidR="002B424E" w:rsidRPr="48E19DE0">
        <w:rPr>
          <w:rFonts w:cs="Arial"/>
          <w:color w:val="171717" w:themeColor="background2" w:themeShade="1A"/>
        </w:rPr>
        <w:t xml:space="preserve">published </w:t>
      </w:r>
      <w:r w:rsidRPr="48E19DE0">
        <w:rPr>
          <w:rFonts w:cs="Arial"/>
          <w:color w:val="171717" w:themeColor="background2" w:themeShade="1A"/>
        </w:rPr>
        <w:t xml:space="preserve">proposed determinations for the CCR Rule Part A for </w:t>
      </w:r>
      <w:r w:rsidR="002B424E">
        <w:rPr>
          <w:rFonts w:cs="Arial"/>
          <w:color w:val="171717" w:themeColor="background2" w:themeShade="1A"/>
        </w:rPr>
        <w:t>nine</w:t>
      </w:r>
      <w:r w:rsidRPr="48E19DE0">
        <w:rPr>
          <w:rFonts w:cs="Arial"/>
          <w:color w:val="171717" w:themeColor="background2" w:themeShade="1A"/>
        </w:rPr>
        <w:t xml:space="preserve"> facilities across the Midwest and Northeast which had requested extensions for compliance. In these determinations, EPA </w:t>
      </w:r>
      <w:r>
        <w:rPr>
          <w:rFonts w:cs="Arial"/>
          <w:color w:val="171717" w:themeColor="background2" w:themeShade="1A"/>
        </w:rPr>
        <w:t>provides new</w:t>
      </w:r>
      <w:r w:rsidR="00504CCD">
        <w:rPr>
          <w:rFonts w:cs="Arial"/>
          <w:color w:val="171717" w:themeColor="background2" w:themeShade="1A"/>
        </w:rPr>
        <w:t xml:space="preserve"> </w:t>
      </w:r>
      <w:r w:rsidR="00284345">
        <w:rPr>
          <w:rFonts w:cs="Arial"/>
          <w:color w:val="171717" w:themeColor="background2" w:themeShade="1A"/>
        </w:rPr>
        <w:t>position</w:t>
      </w:r>
      <w:r w:rsidR="00504CCD">
        <w:rPr>
          <w:rFonts w:cs="Arial"/>
          <w:color w:val="171717" w:themeColor="background2" w:themeShade="1A"/>
        </w:rPr>
        <w:t>s</w:t>
      </w:r>
      <w:r w:rsidRPr="48E19DE0">
        <w:rPr>
          <w:rFonts w:cs="Arial"/>
          <w:color w:val="171717" w:themeColor="background2" w:themeShade="1A"/>
        </w:rPr>
        <w:t xml:space="preserve"> regarding closure performance standards for closure in place</w:t>
      </w:r>
      <w:r w:rsidR="00721F51">
        <w:rPr>
          <w:rFonts w:cs="Arial"/>
          <w:color w:val="171717" w:themeColor="background2" w:themeShade="1A"/>
        </w:rPr>
        <w:t xml:space="preserve"> requirements </w:t>
      </w:r>
      <w:r w:rsidR="00654C5A">
        <w:rPr>
          <w:rFonts w:cs="Arial"/>
          <w:color w:val="171717" w:themeColor="background2" w:themeShade="1A"/>
        </w:rPr>
        <w:t>in its 2015 rule</w:t>
      </w:r>
      <w:r w:rsidRPr="48E19DE0">
        <w:rPr>
          <w:rFonts w:cs="Arial"/>
          <w:color w:val="171717" w:themeColor="background2" w:themeShade="1A"/>
        </w:rPr>
        <w:t xml:space="preserve">. The Company is in the process of reviewing </w:t>
      </w:r>
      <w:r w:rsidR="00654C5A">
        <w:rPr>
          <w:rFonts w:cs="Arial"/>
          <w:color w:val="171717" w:themeColor="background2" w:themeShade="1A"/>
        </w:rPr>
        <w:t>the new information provided in</w:t>
      </w:r>
      <w:r w:rsidRPr="48E19DE0" w:rsidDel="00654C5A">
        <w:rPr>
          <w:rFonts w:cs="Arial"/>
          <w:color w:val="171717" w:themeColor="background2" w:themeShade="1A"/>
        </w:rPr>
        <w:t xml:space="preserve"> </w:t>
      </w:r>
      <w:r w:rsidRPr="48E19DE0">
        <w:rPr>
          <w:rFonts w:cs="Arial"/>
          <w:color w:val="171717" w:themeColor="background2" w:themeShade="1A"/>
        </w:rPr>
        <w:t>EPA’s determinations.</w:t>
      </w:r>
    </w:p>
    <w:p w14:paraId="3154AFEE" w14:textId="38DD1FE0" w:rsidR="000941C6" w:rsidRDefault="000941C6" w:rsidP="16982F57">
      <w:pPr>
        <w:spacing w:after="0"/>
        <w:ind w:left="720"/>
        <w:rPr>
          <w:szCs w:val="24"/>
        </w:rPr>
      </w:pPr>
    </w:p>
    <w:p w14:paraId="1C008E9B" w14:textId="408E99C5" w:rsidR="00865FF2" w:rsidRPr="004A0859" w:rsidRDefault="00865FF2" w:rsidP="008C0425">
      <w:pPr>
        <w:pStyle w:val="Heading3"/>
        <w:rPr>
          <w:rFonts w:eastAsiaTheme="minorEastAsia"/>
        </w:rPr>
      </w:pPr>
      <w:bookmarkStart w:id="29" w:name="_Toc94197879"/>
      <w:r w:rsidRPr="0032207D">
        <w:t>Other Considerations</w:t>
      </w:r>
      <w:bookmarkEnd w:id="29"/>
    </w:p>
    <w:p w14:paraId="1DAE656B" w14:textId="4D364593" w:rsidR="00DD4430" w:rsidRPr="00346C9A" w:rsidRDefault="00C4305B" w:rsidP="00C4305B">
      <w:pPr>
        <w:pStyle w:val="ListParagraph"/>
        <w:numPr>
          <w:ilvl w:val="0"/>
          <w:numId w:val="1"/>
        </w:numPr>
        <w:rPr>
          <w:rFonts w:cs="Arial"/>
        </w:rPr>
      </w:pPr>
      <w:r w:rsidRPr="00346C9A">
        <w:rPr>
          <w:rFonts w:cs="Arial"/>
        </w:rPr>
        <w:t xml:space="preserve">June 2019 – </w:t>
      </w:r>
      <w:r w:rsidR="00940D50" w:rsidRPr="00346C9A">
        <w:rPr>
          <w:rFonts w:cs="Arial"/>
        </w:rPr>
        <w:t>T</w:t>
      </w:r>
      <w:r w:rsidRPr="00346C9A">
        <w:rPr>
          <w:rFonts w:cs="Arial"/>
        </w:rPr>
        <w:t xml:space="preserve">he Council on Environmental Quality released draft National Environmental Policy Act guidance regarding consideration of </w:t>
      </w:r>
      <w:r w:rsidR="005736E8">
        <w:rPr>
          <w:rFonts w:cs="Arial"/>
        </w:rPr>
        <w:t xml:space="preserve">GHG </w:t>
      </w:r>
      <w:r w:rsidRPr="00346C9A">
        <w:rPr>
          <w:rFonts w:cs="Arial"/>
        </w:rPr>
        <w:t>emissions by federal agencies in environmental assessments and impact statements</w:t>
      </w:r>
      <w:r w:rsidR="00DD4430" w:rsidRPr="00346C9A">
        <w:rPr>
          <w:rFonts w:cs="Arial"/>
        </w:rPr>
        <w:t>.</w:t>
      </w:r>
    </w:p>
    <w:p w14:paraId="5C6BA0DB" w14:textId="534B194E" w:rsidR="00865FF2" w:rsidRPr="00346C9A" w:rsidRDefault="00865FF2" w:rsidP="00DD4430">
      <w:pPr>
        <w:pStyle w:val="ListParagraph"/>
        <w:numPr>
          <w:ilvl w:val="0"/>
          <w:numId w:val="1"/>
        </w:numPr>
        <w:spacing w:after="0"/>
        <w:rPr>
          <w:rFonts w:cs="Arial"/>
        </w:rPr>
      </w:pPr>
      <w:r w:rsidRPr="00346C9A">
        <w:rPr>
          <w:rFonts w:cs="Arial"/>
        </w:rPr>
        <w:t>July 2020</w:t>
      </w:r>
      <w:r w:rsidR="007D3D52" w:rsidRPr="00346C9A">
        <w:rPr>
          <w:rFonts w:cs="Arial"/>
        </w:rPr>
        <w:t xml:space="preserve"> –</w:t>
      </w:r>
      <w:r w:rsidRPr="00346C9A">
        <w:rPr>
          <w:rFonts w:cs="Arial"/>
        </w:rPr>
        <w:t xml:space="preserve"> Council on Environmental Quality published a final rule </w:t>
      </w:r>
      <w:r w:rsidRPr="00346C9A">
        <w:rPr>
          <w:rFonts w:cs="Arial"/>
          <w:i/>
        </w:rPr>
        <w:t>Update to the Regulations Implementing the Procedural Provisions of the National Environmental Policy Act</w:t>
      </w:r>
      <w:r w:rsidRPr="00346C9A">
        <w:rPr>
          <w:rFonts w:cs="Arial"/>
        </w:rPr>
        <w:t xml:space="preserve"> (“NEPA”). </w:t>
      </w:r>
    </w:p>
    <w:p w14:paraId="2806D584" w14:textId="560591BF" w:rsidR="00865FF2" w:rsidRPr="00346C9A" w:rsidRDefault="00865FF2" w:rsidP="00865FF2">
      <w:pPr>
        <w:numPr>
          <w:ilvl w:val="0"/>
          <w:numId w:val="1"/>
        </w:numPr>
        <w:spacing w:after="0"/>
        <w:rPr>
          <w:rFonts w:eastAsiaTheme="minorEastAsia"/>
        </w:rPr>
      </w:pPr>
      <w:r w:rsidRPr="00346C9A">
        <w:rPr>
          <w:rFonts w:cs="Arial"/>
        </w:rPr>
        <w:t xml:space="preserve">December 2020 </w:t>
      </w:r>
      <w:r w:rsidR="007D3D52" w:rsidRPr="00346C9A">
        <w:rPr>
          <w:rFonts w:cs="Arial"/>
        </w:rPr>
        <w:t>–</w:t>
      </w:r>
      <w:r w:rsidRPr="00346C9A" w:rsidDel="007D3D52">
        <w:rPr>
          <w:rFonts w:cs="Arial"/>
        </w:rPr>
        <w:t xml:space="preserve"> </w:t>
      </w:r>
      <w:r w:rsidR="00721910" w:rsidRPr="00346C9A">
        <w:rPr>
          <w:rFonts w:cs="Arial"/>
        </w:rPr>
        <w:t>T</w:t>
      </w:r>
      <w:r w:rsidRPr="00346C9A">
        <w:rPr>
          <w:rFonts w:cs="Arial"/>
        </w:rPr>
        <w:t>he U.S. Fish and Wildlife Service (“USFWS”) and the National Marine Fisheries Service (</w:t>
      </w:r>
      <w:r w:rsidR="00236CDB">
        <w:rPr>
          <w:rFonts w:cs="Arial"/>
        </w:rPr>
        <w:t>“</w:t>
      </w:r>
      <w:r w:rsidRPr="00346C9A">
        <w:rPr>
          <w:rFonts w:cs="Arial"/>
        </w:rPr>
        <w:t>NMFS</w:t>
      </w:r>
      <w:r w:rsidR="00236CDB">
        <w:rPr>
          <w:rFonts w:cs="Arial"/>
        </w:rPr>
        <w:t>”</w:t>
      </w:r>
      <w:r w:rsidRPr="00346C9A">
        <w:rPr>
          <w:rFonts w:cs="Arial"/>
        </w:rPr>
        <w:t xml:space="preserve">) published a final rule defining “habitat” under the Endangered Species Act (“ESA”).  </w:t>
      </w:r>
    </w:p>
    <w:p w14:paraId="2939E845" w14:textId="18E4D07E" w:rsidR="00865FF2" w:rsidRPr="00346C9A" w:rsidRDefault="00865FF2" w:rsidP="00865FF2">
      <w:pPr>
        <w:numPr>
          <w:ilvl w:val="0"/>
          <w:numId w:val="1"/>
        </w:numPr>
        <w:spacing w:after="0"/>
        <w:rPr>
          <w:rFonts w:eastAsiaTheme="minorEastAsia"/>
        </w:rPr>
      </w:pPr>
      <w:r w:rsidRPr="00346C9A">
        <w:rPr>
          <w:rFonts w:cs="Arial"/>
        </w:rPr>
        <w:t>December 2020</w:t>
      </w:r>
      <w:r w:rsidR="007D3D52" w:rsidRPr="00346C9A">
        <w:rPr>
          <w:rFonts w:cs="Arial"/>
        </w:rPr>
        <w:t xml:space="preserve"> –</w:t>
      </w:r>
      <w:r w:rsidRPr="00346C9A">
        <w:rPr>
          <w:rFonts w:cs="Arial"/>
        </w:rPr>
        <w:t xml:space="preserve"> </w:t>
      </w:r>
      <w:r w:rsidR="00721910" w:rsidRPr="00346C9A">
        <w:rPr>
          <w:rFonts w:cs="Arial"/>
        </w:rPr>
        <w:t>T</w:t>
      </w:r>
      <w:r w:rsidRPr="00346C9A">
        <w:rPr>
          <w:rFonts w:cs="Arial"/>
        </w:rPr>
        <w:t xml:space="preserve">he USFWS published a final rule revising the ESA Section 4(b)(2) which outlines the framework for analysis of whether to exclude certain areas when designating critical habitat. </w:t>
      </w:r>
    </w:p>
    <w:p w14:paraId="2D906533" w14:textId="0A72C2A2" w:rsidR="00865FF2" w:rsidRPr="00346C9A" w:rsidRDefault="00865FF2" w:rsidP="00DD4430">
      <w:pPr>
        <w:pStyle w:val="ListParagraph"/>
        <w:numPr>
          <w:ilvl w:val="0"/>
          <w:numId w:val="1"/>
        </w:numPr>
        <w:spacing w:after="0"/>
        <w:rPr>
          <w:rFonts w:cs="Arial"/>
        </w:rPr>
      </w:pPr>
      <w:r w:rsidRPr="00346C9A">
        <w:rPr>
          <w:rFonts w:eastAsia="Arial" w:cs="Arial"/>
        </w:rPr>
        <w:t>February 2021</w:t>
      </w:r>
      <w:r w:rsidR="007D3D52" w:rsidRPr="00346C9A">
        <w:rPr>
          <w:rFonts w:cs="Arial"/>
        </w:rPr>
        <w:t xml:space="preserve"> –</w:t>
      </w:r>
      <w:r w:rsidRPr="00346C9A">
        <w:rPr>
          <w:rFonts w:cs="Arial"/>
        </w:rPr>
        <w:t xml:space="preserve"> </w:t>
      </w:r>
      <w:r w:rsidR="00721910" w:rsidRPr="00346C9A">
        <w:rPr>
          <w:rFonts w:eastAsia="Arial" w:cs="Arial"/>
        </w:rPr>
        <w:t>E</w:t>
      </w:r>
      <w:r w:rsidRPr="00346C9A">
        <w:rPr>
          <w:rFonts w:eastAsia="Arial" w:cs="Arial"/>
        </w:rPr>
        <w:t xml:space="preserve">nvironmental groups sent the </w:t>
      </w:r>
      <w:r w:rsidR="00411C52">
        <w:rPr>
          <w:rFonts w:eastAsia="Arial" w:cs="Arial"/>
        </w:rPr>
        <w:t>USACE</w:t>
      </w:r>
      <w:r w:rsidRPr="00346C9A">
        <w:rPr>
          <w:rFonts w:eastAsia="Arial" w:cs="Arial"/>
        </w:rPr>
        <w:t xml:space="preserve"> a notice of intent to sue for </w:t>
      </w:r>
      <w:r w:rsidR="00EC7AC5">
        <w:rPr>
          <w:rFonts w:eastAsia="Arial" w:cs="Arial"/>
        </w:rPr>
        <w:t>ESA</w:t>
      </w:r>
      <w:r w:rsidRPr="00346C9A">
        <w:rPr>
          <w:rFonts w:eastAsia="Arial" w:cs="Arial"/>
        </w:rPr>
        <w:t xml:space="preserve"> violations in connection with the January 2021 issuance, reissuance, and modification of 16 nationwide permits. </w:t>
      </w:r>
    </w:p>
    <w:p w14:paraId="6FA175AC" w14:textId="77777777" w:rsidR="00897864" w:rsidRPr="00346C9A" w:rsidRDefault="00897864" w:rsidP="009C7652">
      <w:pPr>
        <w:pStyle w:val="ListParagraph"/>
        <w:spacing w:after="0"/>
        <w:rPr>
          <w:rFonts w:cs="Arial"/>
        </w:rPr>
      </w:pPr>
    </w:p>
    <w:p w14:paraId="17872FF8" w14:textId="68FA3761" w:rsidR="00865FF2" w:rsidRPr="005058B8" w:rsidRDefault="00447DFE" w:rsidP="00CE151D">
      <w:pPr>
        <w:pStyle w:val="Heading2"/>
      </w:pPr>
      <w:bookmarkStart w:id="30" w:name="_Toc94197880"/>
      <w:r w:rsidRPr="005058B8">
        <w:t>3.</w:t>
      </w:r>
      <w:r w:rsidR="00942BA0">
        <w:t>3</w:t>
      </w:r>
      <w:r w:rsidRPr="005058B8">
        <w:t xml:space="preserve"> </w:t>
      </w:r>
      <w:r w:rsidR="00865FF2" w:rsidRPr="005058B8">
        <w:t>Future Key Environmental Regulatory Events</w:t>
      </w:r>
      <w:bookmarkEnd w:id="30"/>
      <w:r w:rsidR="00865FF2" w:rsidRPr="005058B8">
        <w:t xml:space="preserve"> </w:t>
      </w:r>
    </w:p>
    <w:p w14:paraId="3C4672CE" w14:textId="181A68BF" w:rsidR="00865FF2" w:rsidRDefault="00865FF2" w:rsidP="00A00119">
      <w:pPr>
        <w:rPr>
          <w:b/>
          <w:bCs/>
          <w:color w:val="000080"/>
        </w:rPr>
      </w:pPr>
      <w:r>
        <w:t>The following is a summary of upcoming key environmental developments expected to occur</w:t>
      </w:r>
      <w:r w:rsidR="004D4EAA">
        <w:t xml:space="preserve"> in th</w:t>
      </w:r>
      <w:r w:rsidR="00266EE4">
        <w:t>e next few years</w:t>
      </w:r>
      <w:r>
        <w:t>.  The Company</w:t>
      </w:r>
      <w:r w:rsidDel="000835CD">
        <w:t xml:space="preserve"> </w:t>
      </w:r>
      <w:r w:rsidR="00D711F9">
        <w:t xml:space="preserve">evaluates </w:t>
      </w:r>
      <w:r w:rsidR="00861206">
        <w:t xml:space="preserve">new </w:t>
      </w:r>
      <w:r>
        <w:t xml:space="preserve">regulations and </w:t>
      </w:r>
      <w:r w:rsidR="001C79B6">
        <w:t xml:space="preserve">events </w:t>
      </w:r>
      <w:r w:rsidR="00093902">
        <w:t xml:space="preserve">on an ongoing basis </w:t>
      </w:r>
      <w:r w:rsidR="001C79B6">
        <w:t>and</w:t>
      </w:r>
      <w:r w:rsidR="00266EE4">
        <w:t xml:space="preserve"> </w:t>
      </w:r>
      <w:r w:rsidR="00093902">
        <w:t xml:space="preserve">incorporates </w:t>
      </w:r>
      <w:r w:rsidR="0062177B">
        <w:t xml:space="preserve">any additional information into the </w:t>
      </w:r>
      <w:r w:rsidR="00B34B92">
        <w:t>strategy process</w:t>
      </w:r>
      <w:r w:rsidR="00FE16CE">
        <w:t xml:space="preserve"> to optimize compliance plans</w:t>
      </w:r>
      <w:r w:rsidR="00B03CE5">
        <w:t xml:space="preserve"> as needed</w:t>
      </w:r>
      <w:r>
        <w:t>.</w:t>
      </w:r>
    </w:p>
    <w:p w14:paraId="75AF1A0E" w14:textId="77777777" w:rsidR="00865FF2" w:rsidRPr="00764E94" w:rsidRDefault="00865FF2" w:rsidP="002531D4">
      <w:pPr>
        <w:pStyle w:val="Heading3"/>
        <w:rPr>
          <w:rFonts w:cs="Arial"/>
          <w:color w:val="000080"/>
        </w:rPr>
      </w:pPr>
      <w:bookmarkStart w:id="31" w:name="_Toc94197881"/>
      <w:r w:rsidRPr="00764E94">
        <w:t>Air</w:t>
      </w:r>
      <w:bookmarkEnd w:id="31"/>
    </w:p>
    <w:p w14:paraId="0C1C6035" w14:textId="77777777" w:rsidR="00091FEE" w:rsidRPr="00764E94" w:rsidRDefault="2613AC4D" w:rsidP="00091FEE">
      <w:pPr>
        <w:numPr>
          <w:ilvl w:val="0"/>
          <w:numId w:val="1"/>
        </w:numPr>
        <w:contextualSpacing/>
        <w:rPr>
          <w:rFonts w:cs="Arial"/>
        </w:rPr>
      </w:pPr>
      <w:r w:rsidRPr="7627664D">
        <w:rPr>
          <w:rFonts w:cs="Arial"/>
        </w:rPr>
        <w:t>Interagency Working Group, including EPA, expected to release a more complete update of the social cost of GHGs in early 2022.</w:t>
      </w:r>
    </w:p>
    <w:p w14:paraId="5B1C4D3D" w14:textId="48311DC9" w:rsidR="00567841" w:rsidRDefault="00567841" w:rsidP="00567841">
      <w:pPr>
        <w:numPr>
          <w:ilvl w:val="0"/>
          <w:numId w:val="1"/>
        </w:numPr>
        <w:contextualSpacing/>
        <w:rPr>
          <w:rFonts w:cs="Arial"/>
        </w:rPr>
      </w:pPr>
      <w:r w:rsidRPr="0B10EE18">
        <w:rPr>
          <w:rFonts w:cs="Arial"/>
        </w:rPr>
        <w:t xml:space="preserve">Georgia EPD is expected to submit a state plan to EPA for the second-round Regional Haze Rule evaluation, which includes Plant Bowen, in </w:t>
      </w:r>
      <w:r w:rsidR="00F4033B">
        <w:rPr>
          <w:rFonts w:cs="Arial"/>
        </w:rPr>
        <w:t>mid-</w:t>
      </w:r>
      <w:r w:rsidRPr="0B10EE18">
        <w:rPr>
          <w:rFonts w:cs="Arial"/>
        </w:rPr>
        <w:t>2022.</w:t>
      </w:r>
    </w:p>
    <w:p w14:paraId="04BE3539" w14:textId="4ABC3D56" w:rsidR="005C64C9" w:rsidRDefault="005C64C9" w:rsidP="00865FF2">
      <w:pPr>
        <w:numPr>
          <w:ilvl w:val="0"/>
          <w:numId w:val="1"/>
        </w:numPr>
        <w:contextualSpacing/>
        <w:rPr>
          <w:rFonts w:asciiTheme="minorHAnsi" w:eastAsiaTheme="minorEastAsia" w:hAnsiTheme="minorHAnsi"/>
          <w:szCs w:val="24"/>
        </w:rPr>
      </w:pPr>
      <w:r w:rsidRPr="0B10EE18">
        <w:rPr>
          <w:rFonts w:cs="Arial"/>
        </w:rPr>
        <w:t>EPA is expected to review and</w:t>
      </w:r>
      <w:r w:rsidR="00FB2F19">
        <w:rPr>
          <w:rFonts w:cs="Arial"/>
        </w:rPr>
        <w:t>, if appropriate,</w:t>
      </w:r>
      <w:r w:rsidRPr="0B10EE18">
        <w:rPr>
          <w:rFonts w:cs="Arial"/>
        </w:rPr>
        <w:t xml:space="preserve"> </w:t>
      </w:r>
      <w:r w:rsidR="009E34D4">
        <w:rPr>
          <w:rFonts w:cs="Arial"/>
        </w:rPr>
        <w:t xml:space="preserve">propose </w:t>
      </w:r>
      <w:r w:rsidRPr="0B10EE18">
        <w:rPr>
          <w:rFonts w:cs="Arial"/>
        </w:rPr>
        <w:t>revis</w:t>
      </w:r>
      <w:r w:rsidR="009E34D4">
        <w:rPr>
          <w:rFonts w:cs="Arial"/>
        </w:rPr>
        <w:t>ions to</w:t>
      </w:r>
      <w:r w:rsidRPr="0B10EE18">
        <w:rPr>
          <w:rFonts w:cs="Arial"/>
        </w:rPr>
        <w:t xml:space="preserve"> the </w:t>
      </w:r>
      <w:r w:rsidR="00FB2F19">
        <w:rPr>
          <w:rFonts w:cs="Arial"/>
        </w:rPr>
        <w:t>PM</w:t>
      </w:r>
      <w:r w:rsidR="00982355" w:rsidRPr="0B10EE18">
        <w:rPr>
          <w:rFonts w:cs="Arial"/>
        </w:rPr>
        <w:t xml:space="preserve"> </w:t>
      </w:r>
      <w:r w:rsidR="005675A3" w:rsidRPr="0B10EE18">
        <w:rPr>
          <w:rFonts w:cs="Arial"/>
        </w:rPr>
        <w:t>N</w:t>
      </w:r>
      <w:r w:rsidR="00FB2F19">
        <w:rPr>
          <w:rFonts w:cs="Arial"/>
        </w:rPr>
        <w:t>AAQS</w:t>
      </w:r>
      <w:r w:rsidR="00F3108D">
        <w:rPr>
          <w:rFonts w:cs="Arial"/>
        </w:rPr>
        <w:t xml:space="preserve"> in </w:t>
      </w:r>
      <w:r w:rsidR="00E43433">
        <w:rPr>
          <w:rFonts w:cs="Arial"/>
        </w:rPr>
        <w:t>mid-</w:t>
      </w:r>
      <w:r w:rsidR="00F3108D">
        <w:rPr>
          <w:rFonts w:cs="Arial"/>
        </w:rPr>
        <w:t>2022</w:t>
      </w:r>
    </w:p>
    <w:p w14:paraId="572D2F66" w14:textId="542CBFE6" w:rsidR="005675A3" w:rsidRDefault="005675A3" w:rsidP="00865FF2">
      <w:pPr>
        <w:numPr>
          <w:ilvl w:val="0"/>
          <w:numId w:val="1"/>
        </w:numPr>
        <w:contextualSpacing/>
        <w:rPr>
          <w:rFonts w:cs="Arial"/>
        </w:rPr>
      </w:pPr>
      <w:r w:rsidRPr="0B10EE18">
        <w:rPr>
          <w:rFonts w:cs="Arial"/>
        </w:rPr>
        <w:t xml:space="preserve">EPA is expected to </w:t>
      </w:r>
      <w:r w:rsidR="00916768" w:rsidRPr="0B10EE18">
        <w:rPr>
          <w:rFonts w:cs="Arial"/>
        </w:rPr>
        <w:t>review and</w:t>
      </w:r>
      <w:r w:rsidR="00FB2F19">
        <w:rPr>
          <w:rFonts w:cs="Arial"/>
        </w:rPr>
        <w:t>, if appropriate,</w:t>
      </w:r>
      <w:r w:rsidR="00916768" w:rsidRPr="0B10EE18">
        <w:rPr>
          <w:rFonts w:cs="Arial"/>
        </w:rPr>
        <w:t xml:space="preserve"> </w:t>
      </w:r>
      <w:r w:rsidR="009E34D4">
        <w:rPr>
          <w:rFonts w:cs="Arial"/>
        </w:rPr>
        <w:t xml:space="preserve">propose </w:t>
      </w:r>
      <w:r w:rsidR="00916768" w:rsidRPr="0B10EE18">
        <w:rPr>
          <w:rFonts w:cs="Arial"/>
        </w:rPr>
        <w:t>revis</w:t>
      </w:r>
      <w:r w:rsidR="009E34D4">
        <w:rPr>
          <w:rFonts w:cs="Arial"/>
        </w:rPr>
        <w:t>ions</w:t>
      </w:r>
      <w:r w:rsidR="00916768" w:rsidRPr="0B10EE18">
        <w:rPr>
          <w:rFonts w:cs="Arial"/>
        </w:rPr>
        <w:t xml:space="preserve"> </w:t>
      </w:r>
      <w:r w:rsidR="009E34D4">
        <w:rPr>
          <w:rFonts w:cs="Arial"/>
        </w:rPr>
        <w:t>to</w:t>
      </w:r>
      <w:r w:rsidR="00916768" w:rsidRPr="0B10EE18">
        <w:rPr>
          <w:rFonts w:cs="Arial"/>
        </w:rPr>
        <w:t xml:space="preserve"> the ozone N</w:t>
      </w:r>
      <w:r w:rsidR="00FB2F19">
        <w:rPr>
          <w:rFonts w:cs="Arial"/>
        </w:rPr>
        <w:t>AAQS</w:t>
      </w:r>
      <w:r w:rsidR="00F3108D">
        <w:rPr>
          <w:rFonts w:cs="Arial"/>
        </w:rPr>
        <w:t xml:space="preserve"> in </w:t>
      </w:r>
      <w:r w:rsidR="00122C57">
        <w:rPr>
          <w:rFonts w:cs="Arial"/>
        </w:rPr>
        <w:t xml:space="preserve">late </w:t>
      </w:r>
      <w:r w:rsidR="00F3108D">
        <w:rPr>
          <w:rFonts w:cs="Arial"/>
        </w:rPr>
        <w:t>2022</w:t>
      </w:r>
      <w:r w:rsidR="00916768" w:rsidRPr="0B10EE18">
        <w:rPr>
          <w:rFonts w:cs="Arial"/>
        </w:rPr>
        <w:t>.</w:t>
      </w:r>
    </w:p>
    <w:p w14:paraId="1AD1CA62" w14:textId="448EE85E" w:rsidR="00F0173B" w:rsidRDefault="00F0173B" w:rsidP="00865FF2">
      <w:pPr>
        <w:numPr>
          <w:ilvl w:val="0"/>
          <w:numId w:val="1"/>
        </w:numPr>
        <w:contextualSpacing/>
        <w:rPr>
          <w:rFonts w:cs="Arial"/>
        </w:rPr>
      </w:pPr>
      <w:r w:rsidRPr="0B10EE18">
        <w:rPr>
          <w:rFonts w:cs="Arial"/>
        </w:rPr>
        <w:t xml:space="preserve">EPA is expected to </w:t>
      </w:r>
      <w:r w:rsidR="00B23E8E">
        <w:rPr>
          <w:rFonts w:cs="Arial"/>
        </w:rPr>
        <w:t xml:space="preserve">propose rules </w:t>
      </w:r>
      <w:r w:rsidR="0013394A" w:rsidRPr="0B10EE18">
        <w:rPr>
          <w:rFonts w:cs="Arial"/>
        </w:rPr>
        <w:t>reconsider</w:t>
      </w:r>
      <w:r w:rsidR="00B23E8E">
        <w:rPr>
          <w:rFonts w:cs="Arial"/>
        </w:rPr>
        <w:t>ing</w:t>
      </w:r>
      <w:r w:rsidR="0013394A" w:rsidRPr="0B10EE18">
        <w:rPr>
          <w:rFonts w:cs="Arial"/>
        </w:rPr>
        <w:t xml:space="preserve"> </w:t>
      </w:r>
      <w:r w:rsidR="00493575" w:rsidRPr="0B10EE18">
        <w:rPr>
          <w:rFonts w:cs="Arial"/>
        </w:rPr>
        <w:t>the</w:t>
      </w:r>
      <w:r w:rsidR="005A7333" w:rsidRPr="0B10EE18">
        <w:rPr>
          <w:rFonts w:cs="Arial"/>
        </w:rPr>
        <w:t xml:space="preserve"> MATS Supplemental Cost finding and Risk and Technology Review</w:t>
      </w:r>
      <w:r w:rsidR="00E842BD">
        <w:rPr>
          <w:rFonts w:cs="Arial"/>
        </w:rPr>
        <w:t xml:space="preserve"> in </w:t>
      </w:r>
      <w:r w:rsidR="00960D21">
        <w:rPr>
          <w:rFonts w:cs="Arial"/>
        </w:rPr>
        <w:t>early and mid-</w:t>
      </w:r>
      <w:r w:rsidR="00E842BD">
        <w:rPr>
          <w:rFonts w:cs="Arial"/>
        </w:rPr>
        <w:t>2022</w:t>
      </w:r>
      <w:r w:rsidR="00960D21">
        <w:rPr>
          <w:rFonts w:cs="Arial"/>
        </w:rPr>
        <w:t xml:space="preserve"> respectively</w:t>
      </w:r>
      <w:r w:rsidR="0074052B" w:rsidRPr="0B10EE18">
        <w:rPr>
          <w:rFonts w:cs="Arial"/>
        </w:rPr>
        <w:t>.</w:t>
      </w:r>
    </w:p>
    <w:p w14:paraId="64C3DF61" w14:textId="0333E13B" w:rsidR="0074052B" w:rsidRDefault="0074052B" w:rsidP="00865FF2">
      <w:pPr>
        <w:numPr>
          <w:ilvl w:val="0"/>
          <w:numId w:val="1"/>
        </w:numPr>
        <w:contextualSpacing/>
        <w:rPr>
          <w:rFonts w:cs="Arial"/>
        </w:rPr>
      </w:pPr>
      <w:r w:rsidRPr="0B10EE18">
        <w:rPr>
          <w:rFonts w:cs="Arial"/>
        </w:rPr>
        <w:t xml:space="preserve">EPA is expected to </w:t>
      </w:r>
      <w:r w:rsidR="00895F9E" w:rsidRPr="0B10EE18">
        <w:rPr>
          <w:rFonts w:cs="Arial"/>
        </w:rPr>
        <w:t xml:space="preserve">develop </w:t>
      </w:r>
      <w:r w:rsidR="00343EE6" w:rsidRPr="0B10EE18">
        <w:rPr>
          <w:rFonts w:cs="Arial"/>
        </w:rPr>
        <w:t xml:space="preserve">greenhouse gas </w:t>
      </w:r>
      <w:r w:rsidR="00DA642C" w:rsidRPr="0B10EE18">
        <w:rPr>
          <w:rFonts w:cs="Arial"/>
        </w:rPr>
        <w:t>emission guidelines for</w:t>
      </w:r>
      <w:r w:rsidR="00343EE6" w:rsidRPr="0B10EE18">
        <w:rPr>
          <w:rFonts w:cs="Arial"/>
        </w:rPr>
        <w:t xml:space="preserve"> existing </w:t>
      </w:r>
      <w:r w:rsidR="00AA0AFC" w:rsidRPr="0B10EE18">
        <w:rPr>
          <w:rFonts w:cs="Arial"/>
        </w:rPr>
        <w:t>electric generating units</w:t>
      </w:r>
      <w:r w:rsidR="00D0130F" w:rsidRPr="0B10EE18">
        <w:rPr>
          <w:rFonts w:cs="Arial"/>
        </w:rPr>
        <w:t xml:space="preserve"> to replace the </w:t>
      </w:r>
      <w:r w:rsidR="00584F6C" w:rsidRPr="0B10EE18">
        <w:rPr>
          <w:rFonts w:cs="Arial"/>
        </w:rPr>
        <w:t>vacated ACE rule</w:t>
      </w:r>
      <w:r w:rsidR="00C80561">
        <w:rPr>
          <w:rFonts w:cs="Arial"/>
        </w:rPr>
        <w:t>, in mid-2022</w:t>
      </w:r>
      <w:r w:rsidR="00AA0AFC" w:rsidRPr="0B10EE18">
        <w:rPr>
          <w:rFonts w:cs="Arial"/>
        </w:rPr>
        <w:t>.</w:t>
      </w:r>
    </w:p>
    <w:p w14:paraId="59878764" w14:textId="156C7DD5" w:rsidR="00865FF2" w:rsidRPr="00764E94" w:rsidRDefault="00865FF2" w:rsidP="00865FF2">
      <w:pPr>
        <w:numPr>
          <w:ilvl w:val="0"/>
          <w:numId w:val="1"/>
        </w:numPr>
        <w:contextualSpacing/>
        <w:rPr>
          <w:rFonts w:cs="Arial"/>
        </w:rPr>
      </w:pPr>
      <w:r w:rsidRPr="3226141B">
        <w:rPr>
          <w:rFonts w:cs="Arial"/>
        </w:rPr>
        <w:t xml:space="preserve">EPA is expected to </w:t>
      </w:r>
      <w:r w:rsidR="00C22232" w:rsidRPr="3226141B">
        <w:rPr>
          <w:rFonts w:cs="Arial"/>
        </w:rPr>
        <w:t>review and potentially revise</w:t>
      </w:r>
      <w:r w:rsidRPr="3226141B">
        <w:rPr>
          <w:rFonts w:cs="Arial"/>
        </w:rPr>
        <w:t xml:space="preserve"> </w:t>
      </w:r>
      <w:r w:rsidR="002A1800">
        <w:rPr>
          <w:rFonts w:cs="Arial"/>
        </w:rPr>
        <w:t>GHG</w:t>
      </w:r>
      <w:r w:rsidRPr="3226141B">
        <w:rPr>
          <w:rFonts w:cs="Arial"/>
        </w:rPr>
        <w:t xml:space="preserve"> standards for new, modified and reconstructed electric generating units</w:t>
      </w:r>
      <w:r w:rsidR="008A4BCD">
        <w:rPr>
          <w:rFonts w:cs="Arial"/>
        </w:rPr>
        <w:t>, in mid-2022</w:t>
      </w:r>
      <w:r w:rsidR="18B26EB6" w:rsidRPr="2E05B6FC">
        <w:rPr>
          <w:rFonts w:cs="Arial"/>
        </w:rPr>
        <w:t xml:space="preserve"> with a</w:t>
      </w:r>
      <w:r w:rsidR="18B26EB6" w:rsidRPr="45B321B8">
        <w:rPr>
          <w:rFonts w:cs="Arial"/>
        </w:rPr>
        <w:t xml:space="preserve"> potential final rule in mid to late 2023</w:t>
      </w:r>
      <w:r w:rsidRPr="3226141B">
        <w:rPr>
          <w:rFonts w:cs="Arial"/>
        </w:rPr>
        <w:t>.</w:t>
      </w:r>
    </w:p>
    <w:p w14:paraId="460FD586" w14:textId="3DDE14E7" w:rsidR="5F22EEEF" w:rsidRDefault="5F22EEEF" w:rsidP="00994D52">
      <w:pPr>
        <w:numPr>
          <w:ilvl w:val="0"/>
          <w:numId w:val="1"/>
        </w:numPr>
        <w:spacing w:after="0"/>
      </w:pPr>
      <w:r w:rsidRPr="07316984">
        <w:rPr>
          <w:rFonts w:eastAsia="Calibri" w:cs="Arial"/>
        </w:rPr>
        <w:t>EPA is expected to review and potentially revise GHG standards for existing sources</w:t>
      </w:r>
      <w:r w:rsidRPr="07316984">
        <w:rPr>
          <w:rFonts w:eastAsia="Calibri" w:cs="Arial"/>
          <w:szCs w:val="24"/>
        </w:rPr>
        <w:t xml:space="preserve"> in mid-2022 with a potential final rule in mid to late 2023.</w:t>
      </w:r>
    </w:p>
    <w:p w14:paraId="35FF1B22" w14:textId="58531FDB" w:rsidR="00412915" w:rsidRPr="00D0698F" w:rsidRDefault="00396EAF" w:rsidP="00994D52">
      <w:pPr>
        <w:numPr>
          <w:ilvl w:val="0"/>
          <w:numId w:val="1"/>
        </w:numPr>
        <w:spacing w:after="0"/>
        <w:contextualSpacing/>
        <w:rPr>
          <w:rFonts w:cs="Arial"/>
        </w:rPr>
      </w:pPr>
      <w:r w:rsidRPr="00D0698F">
        <w:rPr>
          <w:rFonts w:cs="Arial"/>
        </w:rPr>
        <w:t>EPA is expected to act on SSM SIPs for states</w:t>
      </w:r>
      <w:r w:rsidR="00E46898">
        <w:rPr>
          <w:rFonts w:cs="Arial"/>
        </w:rPr>
        <w:t>, while the D.C. Circuit Court is expected to rule on challenges to the SSM SIP Call rule</w:t>
      </w:r>
      <w:r w:rsidR="00E842BD">
        <w:rPr>
          <w:rFonts w:cs="Arial"/>
        </w:rPr>
        <w:t xml:space="preserve"> in </w:t>
      </w:r>
      <w:r w:rsidR="00E46898">
        <w:rPr>
          <w:rFonts w:cs="Arial"/>
        </w:rPr>
        <w:t>mid-</w:t>
      </w:r>
      <w:r w:rsidR="00E842BD">
        <w:rPr>
          <w:rFonts w:cs="Arial"/>
        </w:rPr>
        <w:t>2022</w:t>
      </w:r>
      <w:r w:rsidR="000E68FD">
        <w:rPr>
          <w:rFonts w:cs="Arial"/>
        </w:rPr>
        <w:t>.</w:t>
      </w:r>
      <w:r w:rsidRPr="00D0698F">
        <w:rPr>
          <w:rFonts w:cs="Arial"/>
        </w:rPr>
        <w:t xml:space="preserve"> </w:t>
      </w:r>
    </w:p>
    <w:p w14:paraId="28DCFD59" w14:textId="088A55E7" w:rsidR="00865FF2" w:rsidRPr="00DC707F" w:rsidRDefault="00412915" w:rsidP="004B3EC4">
      <w:pPr>
        <w:numPr>
          <w:ilvl w:val="0"/>
          <w:numId w:val="1"/>
        </w:numPr>
        <w:spacing w:after="0"/>
        <w:contextualSpacing/>
        <w:rPr>
          <w:rFonts w:cs="Arial"/>
          <w:b/>
          <w:bCs/>
          <w:color w:val="171717" w:themeColor="background2" w:themeShade="1A"/>
          <w:szCs w:val="24"/>
        </w:rPr>
      </w:pPr>
      <w:r w:rsidRPr="00D0698F">
        <w:rPr>
          <w:rFonts w:cs="Arial"/>
        </w:rPr>
        <w:t>EPA is expected to</w:t>
      </w:r>
      <w:r w:rsidR="00396EAF" w:rsidRPr="00D0698F">
        <w:rPr>
          <w:rFonts w:cs="Arial"/>
        </w:rPr>
        <w:t xml:space="preserve"> reconsider portions of CT</w:t>
      </w:r>
      <w:r w:rsidRPr="00D0698F">
        <w:rPr>
          <w:rFonts w:cs="Arial"/>
        </w:rPr>
        <w:t xml:space="preserve"> NESHAP RTR</w:t>
      </w:r>
      <w:r w:rsidR="00E842BD">
        <w:rPr>
          <w:rFonts w:cs="Arial"/>
        </w:rPr>
        <w:t xml:space="preserve"> in 2022</w:t>
      </w:r>
      <w:r w:rsidR="000E68FD">
        <w:rPr>
          <w:rFonts w:cs="Arial"/>
        </w:rPr>
        <w:t>.</w:t>
      </w:r>
      <w:r w:rsidR="00396EAF" w:rsidRPr="00D0698F">
        <w:rPr>
          <w:rFonts w:cs="Arial"/>
        </w:rPr>
        <w:t xml:space="preserve"> </w:t>
      </w:r>
    </w:p>
    <w:p w14:paraId="395E1885" w14:textId="3C3515DE" w:rsidR="00A44565" w:rsidRDefault="00A44565" w:rsidP="002531D4">
      <w:pPr>
        <w:pStyle w:val="Heading3"/>
        <w:rPr>
          <w:rFonts w:cs="Arial"/>
          <w:color w:val="000080"/>
        </w:rPr>
      </w:pPr>
      <w:bookmarkStart w:id="32" w:name="_Toc94197882"/>
      <w:r w:rsidRPr="3226141B">
        <w:t>Water</w:t>
      </w:r>
      <w:bookmarkEnd w:id="32"/>
    </w:p>
    <w:p w14:paraId="2D23B45A" w14:textId="479B6B16" w:rsidR="00597640" w:rsidRPr="0032207D" w:rsidRDefault="002E62B1" w:rsidP="0034029A">
      <w:pPr>
        <w:pStyle w:val="ListParagraph"/>
        <w:numPr>
          <w:ilvl w:val="0"/>
          <w:numId w:val="2"/>
        </w:numPr>
      </w:pPr>
      <w:r w:rsidRPr="5B5936D7">
        <w:rPr>
          <w:rFonts w:cs="Arial"/>
          <w:color w:val="171717" w:themeColor="background2" w:themeShade="1A"/>
        </w:rPr>
        <w:t xml:space="preserve">EPA </w:t>
      </w:r>
      <w:r>
        <w:rPr>
          <w:rFonts w:cs="Arial"/>
          <w:color w:val="171717" w:themeColor="background2" w:themeShade="1A"/>
        </w:rPr>
        <w:t>is expected to propose an updated ELG rule in the fall of 2022</w:t>
      </w:r>
      <w:r w:rsidR="00F10FA8">
        <w:rPr>
          <w:rFonts w:cs="Arial"/>
        </w:rPr>
        <w:t xml:space="preserve"> to</w:t>
      </w:r>
      <w:r w:rsidR="00397CB6" w:rsidRPr="12E428E8">
        <w:rPr>
          <w:rFonts w:cs="Arial"/>
          <w:color w:val="171717" w:themeColor="background2" w:themeShade="1A"/>
        </w:rPr>
        <w:t xml:space="preserve"> determine whether more stringent ELGs are appropriate </w:t>
      </w:r>
      <w:r w:rsidR="0527CFCC" w:rsidRPr="01031FA6">
        <w:rPr>
          <w:rFonts w:cs="Arial"/>
          <w:color w:val="171717" w:themeColor="background2" w:themeShade="1A"/>
        </w:rPr>
        <w:t xml:space="preserve">for </w:t>
      </w:r>
      <w:r w:rsidR="0527CFCC" w:rsidRPr="09604A10">
        <w:rPr>
          <w:rFonts w:cs="Arial"/>
          <w:color w:val="171717" w:themeColor="background2" w:themeShade="1A"/>
        </w:rPr>
        <w:t>FGD wastewater and bottom ash transport water</w:t>
      </w:r>
      <w:r w:rsidR="00F10FA8">
        <w:rPr>
          <w:rFonts w:cs="Arial"/>
          <w:color w:val="171717" w:themeColor="background2" w:themeShade="1A"/>
        </w:rPr>
        <w:t>.</w:t>
      </w:r>
      <w:r w:rsidR="00397CB6" w:rsidRPr="12E428E8">
        <w:rPr>
          <w:rFonts w:cs="Arial"/>
          <w:color w:val="171717" w:themeColor="background2" w:themeShade="1A"/>
        </w:rPr>
        <w:t xml:space="preserve"> </w:t>
      </w:r>
      <w:r w:rsidR="00F10FA8">
        <w:rPr>
          <w:rFonts w:cs="Arial"/>
          <w:color w:val="171717" w:themeColor="background2" w:themeShade="1A"/>
        </w:rPr>
        <w:t>P</w:t>
      </w:r>
      <w:r w:rsidR="00397CB6" w:rsidRPr="12E428E8">
        <w:rPr>
          <w:rFonts w:cs="Arial"/>
          <w:color w:val="171717" w:themeColor="background2" w:themeShade="1A"/>
        </w:rPr>
        <w:t>ermitting authorities are expected to continue to implement the</w:t>
      </w:r>
      <w:r w:rsidR="008A2C63">
        <w:rPr>
          <w:rFonts w:cs="Arial"/>
          <w:color w:val="171717" w:themeColor="background2" w:themeShade="1A"/>
        </w:rPr>
        <w:t xml:space="preserve"> 2020</w:t>
      </w:r>
      <w:r w:rsidR="00397CB6" w:rsidRPr="12E428E8">
        <w:rPr>
          <w:rFonts w:cs="Arial"/>
          <w:color w:val="171717" w:themeColor="background2" w:themeShade="1A"/>
        </w:rPr>
        <w:t xml:space="preserve"> </w:t>
      </w:r>
      <w:r w:rsidR="009F5018">
        <w:rPr>
          <w:rFonts w:cs="Arial"/>
          <w:color w:val="171717" w:themeColor="background2" w:themeShade="1A"/>
        </w:rPr>
        <w:t>ELG</w:t>
      </w:r>
      <w:r w:rsidR="00397CB6" w:rsidRPr="12E428E8">
        <w:rPr>
          <w:rFonts w:cs="Arial"/>
          <w:color w:val="171717" w:themeColor="background2" w:themeShade="1A"/>
        </w:rPr>
        <w:t xml:space="preserve"> Reconsideration Rule while the </w:t>
      </w:r>
      <w:r w:rsidR="00A1481C">
        <w:rPr>
          <w:rFonts w:cs="Arial"/>
          <w:color w:val="171717" w:themeColor="background2" w:themeShade="1A"/>
        </w:rPr>
        <w:t>EPA</w:t>
      </w:r>
      <w:r w:rsidR="00397CB6" w:rsidRPr="12E428E8">
        <w:rPr>
          <w:rFonts w:cs="Arial"/>
          <w:color w:val="171717" w:themeColor="background2" w:themeShade="1A"/>
        </w:rPr>
        <w:t xml:space="preserve"> undertakes a new rulemaking. </w:t>
      </w:r>
    </w:p>
    <w:p w14:paraId="0ED674E0" w14:textId="30FE8D38" w:rsidR="00DA0264" w:rsidRPr="00E169EE" w:rsidRDefault="494BC21F" w:rsidP="0034029A">
      <w:pPr>
        <w:pStyle w:val="ListParagraph"/>
        <w:numPr>
          <w:ilvl w:val="0"/>
          <w:numId w:val="2"/>
        </w:numPr>
        <w:rPr>
          <w:rFonts w:asciiTheme="minorHAnsi" w:eastAsiaTheme="minorEastAsia" w:hAnsiTheme="minorHAnsi"/>
        </w:rPr>
      </w:pPr>
      <w:r w:rsidRPr="1025AFC4">
        <w:rPr>
          <w:rFonts w:cs="Arial"/>
        </w:rPr>
        <w:t>EPA</w:t>
      </w:r>
      <w:r w:rsidR="6F385865" w:rsidRPr="1025AFC4">
        <w:rPr>
          <w:rFonts w:cs="Arial"/>
        </w:rPr>
        <w:t xml:space="preserve"> </w:t>
      </w:r>
      <w:r w:rsidR="00FD5810" w:rsidRPr="1025AFC4">
        <w:rPr>
          <w:rFonts w:cs="Arial"/>
        </w:rPr>
        <w:t xml:space="preserve">is </w:t>
      </w:r>
      <w:r w:rsidR="00BE1813">
        <w:rPr>
          <w:rFonts w:cs="Arial"/>
        </w:rPr>
        <w:t>required</w:t>
      </w:r>
      <w:r w:rsidR="5509D2AD" w:rsidRPr="1025AFC4">
        <w:rPr>
          <w:rFonts w:cs="Arial"/>
        </w:rPr>
        <w:t xml:space="preserve"> to </w:t>
      </w:r>
      <w:r w:rsidR="25E0CEBD" w:rsidRPr="1025AFC4">
        <w:rPr>
          <w:rFonts w:cs="Arial"/>
        </w:rPr>
        <w:t>rev</w:t>
      </w:r>
      <w:r w:rsidR="7EF8ACED" w:rsidRPr="1025AFC4">
        <w:rPr>
          <w:rFonts w:cs="Arial"/>
        </w:rPr>
        <w:t>ise</w:t>
      </w:r>
      <w:r w:rsidR="0CA274CD" w:rsidRPr="1025AFC4">
        <w:rPr>
          <w:rFonts w:cs="Arial"/>
        </w:rPr>
        <w:t xml:space="preserve"> the ELGs for </w:t>
      </w:r>
      <w:r w:rsidR="5509D2AD" w:rsidRPr="1025AFC4">
        <w:rPr>
          <w:rFonts w:cs="Arial"/>
        </w:rPr>
        <w:t>legacy wastewater</w:t>
      </w:r>
      <w:r w:rsidR="633D52A6" w:rsidRPr="1025AFC4">
        <w:rPr>
          <w:rFonts w:cs="Arial"/>
        </w:rPr>
        <w:t xml:space="preserve"> and combustion residual leachate </w:t>
      </w:r>
      <w:r w:rsidR="00FD5810" w:rsidRPr="1025AFC4">
        <w:rPr>
          <w:rFonts w:cs="Arial"/>
        </w:rPr>
        <w:t xml:space="preserve">with </w:t>
      </w:r>
      <w:r w:rsidR="00FD5810" w:rsidRPr="6CA8CEA4">
        <w:rPr>
          <w:rFonts w:cs="Arial"/>
        </w:rPr>
        <w:t>a</w:t>
      </w:r>
      <w:r w:rsidR="6641C9C5" w:rsidRPr="1025AFC4">
        <w:rPr>
          <w:rFonts w:cs="Arial"/>
        </w:rPr>
        <w:t xml:space="preserve"> proposed rule scheduled by Sept</w:t>
      </w:r>
      <w:r w:rsidR="4C639E0E" w:rsidRPr="1025AFC4">
        <w:rPr>
          <w:rFonts w:cs="Arial"/>
        </w:rPr>
        <w:t>ember</w:t>
      </w:r>
      <w:r w:rsidR="6641C9C5" w:rsidRPr="1025AFC4">
        <w:rPr>
          <w:rFonts w:cs="Arial"/>
        </w:rPr>
        <w:t xml:space="preserve"> 2022 and a final rule by Sept</w:t>
      </w:r>
      <w:r w:rsidR="097DBCC2" w:rsidRPr="1025AFC4">
        <w:rPr>
          <w:rFonts w:cs="Arial"/>
        </w:rPr>
        <w:t>ember</w:t>
      </w:r>
      <w:r w:rsidR="6641C9C5" w:rsidRPr="1025AFC4">
        <w:rPr>
          <w:rFonts w:cs="Arial"/>
        </w:rPr>
        <w:t xml:space="preserve"> 2023.</w:t>
      </w:r>
      <w:r w:rsidR="33787DB1" w:rsidRPr="1025AFC4">
        <w:rPr>
          <w:rFonts w:cs="Arial"/>
        </w:rPr>
        <w:t xml:space="preserve"> </w:t>
      </w:r>
    </w:p>
    <w:p w14:paraId="1EDA2C8A" w14:textId="28D37F19" w:rsidR="008F56FC" w:rsidRDefault="0E0C3266" w:rsidP="0034029A">
      <w:pPr>
        <w:pStyle w:val="ListParagraph"/>
        <w:numPr>
          <w:ilvl w:val="0"/>
          <w:numId w:val="2"/>
        </w:numPr>
        <w:rPr>
          <w:rFonts w:asciiTheme="minorHAnsi" w:eastAsiaTheme="minorEastAsia" w:hAnsiTheme="minorHAnsi"/>
        </w:rPr>
      </w:pPr>
      <w:r>
        <w:t xml:space="preserve">EPA </w:t>
      </w:r>
      <w:r w:rsidR="00C84884">
        <w:t xml:space="preserve">is expected to propose </w:t>
      </w:r>
      <w:r w:rsidR="002A459D">
        <w:t xml:space="preserve">a rule revising </w:t>
      </w:r>
      <w:r>
        <w:t>the Clean Water Act Section 401 Certification Rule</w:t>
      </w:r>
      <w:r w:rsidR="002E62B1">
        <w:t xml:space="preserve"> </w:t>
      </w:r>
      <w:r w:rsidR="002A459D" w:rsidRPr="004E5D9A">
        <w:t xml:space="preserve">in </w:t>
      </w:r>
      <w:r w:rsidR="00C57CC0" w:rsidRPr="004E5D9A">
        <w:t>mid</w:t>
      </w:r>
      <w:r w:rsidR="00A16C69" w:rsidRPr="004E5D9A">
        <w:t>-</w:t>
      </w:r>
      <w:r w:rsidR="00C57CC0">
        <w:t>2022</w:t>
      </w:r>
      <w:r>
        <w:t xml:space="preserve">. </w:t>
      </w:r>
    </w:p>
    <w:p w14:paraId="010A5A68" w14:textId="3DD84545" w:rsidR="004038D4" w:rsidRPr="00E169EE" w:rsidRDefault="004038D4" w:rsidP="0034029A">
      <w:pPr>
        <w:pStyle w:val="ListParagraph"/>
        <w:numPr>
          <w:ilvl w:val="0"/>
          <w:numId w:val="2"/>
        </w:numPr>
        <w:rPr>
          <w:rFonts w:asciiTheme="minorHAnsi" w:eastAsiaTheme="minorEastAsia" w:hAnsiTheme="minorHAnsi"/>
          <w:color w:val="171717" w:themeColor="background2" w:themeShade="1A"/>
        </w:rPr>
      </w:pPr>
      <w:r>
        <w:t xml:space="preserve">Georgia EPD </w:t>
      </w:r>
      <w:r w:rsidR="00D03381">
        <w:t xml:space="preserve">reissued the NPDES </w:t>
      </w:r>
      <w:r w:rsidR="004D0077">
        <w:t xml:space="preserve">permit </w:t>
      </w:r>
      <w:r w:rsidR="00D03381">
        <w:t>for Plant Bowen in 2021</w:t>
      </w:r>
      <w:r>
        <w:t xml:space="preserve"> </w:t>
      </w:r>
      <w:r w:rsidR="7CA97981">
        <w:t xml:space="preserve">and </w:t>
      </w:r>
      <w:r>
        <w:t xml:space="preserve">is </w:t>
      </w:r>
      <w:r w:rsidR="002A459D">
        <w:t xml:space="preserve">expected to </w:t>
      </w:r>
      <w:r>
        <w:t>reissu</w:t>
      </w:r>
      <w:r w:rsidR="002A459D">
        <w:t>e</w:t>
      </w:r>
      <w:r>
        <w:t xml:space="preserve"> the NPDES permit for Plant Scherer</w:t>
      </w:r>
      <w:r w:rsidR="00A91ABF">
        <w:t xml:space="preserve"> in 2022</w:t>
      </w:r>
      <w:r w:rsidR="004D0077">
        <w:t xml:space="preserve">. These permits </w:t>
      </w:r>
      <w:r w:rsidR="00F049A9">
        <w:t>address</w:t>
      </w:r>
      <w:r>
        <w:t xml:space="preserve"> amo</w:t>
      </w:r>
      <w:r w:rsidR="005C78AE">
        <w:t xml:space="preserve">ngst other things, the </w:t>
      </w:r>
      <w:r w:rsidR="004E6564">
        <w:t xml:space="preserve">ELG </w:t>
      </w:r>
      <w:r w:rsidR="009B1C3C">
        <w:t>imple</w:t>
      </w:r>
      <w:r w:rsidR="004E6564">
        <w:t xml:space="preserve">mentation </w:t>
      </w:r>
      <w:r w:rsidR="008E43B3">
        <w:t xml:space="preserve">schedule </w:t>
      </w:r>
      <w:r w:rsidR="00814B55">
        <w:t xml:space="preserve">for both </w:t>
      </w:r>
      <w:r w:rsidR="001768CF">
        <w:t>bottom ash transport water (“</w:t>
      </w:r>
      <w:r w:rsidR="00814B55">
        <w:t>BATW</w:t>
      </w:r>
      <w:r w:rsidR="001768CF">
        <w:t>”)</w:t>
      </w:r>
      <w:r w:rsidR="00814B55">
        <w:t xml:space="preserve"> and </w:t>
      </w:r>
      <w:r w:rsidR="003370CE">
        <w:t>FGD wastewater</w:t>
      </w:r>
      <w:r w:rsidR="00814B55">
        <w:t>.</w:t>
      </w:r>
    </w:p>
    <w:p w14:paraId="54BACD66" w14:textId="1AB49B58" w:rsidR="00865FF2" w:rsidRPr="00764E94" w:rsidRDefault="00865FF2" w:rsidP="002531D4">
      <w:pPr>
        <w:pStyle w:val="Heading3"/>
        <w:rPr>
          <w:rFonts w:cs="Arial"/>
          <w:color w:val="000080"/>
        </w:rPr>
      </w:pPr>
      <w:bookmarkStart w:id="33" w:name="_Toc94197883"/>
      <w:r w:rsidRPr="00764E94">
        <w:t>Land</w:t>
      </w:r>
      <w:bookmarkEnd w:id="33"/>
    </w:p>
    <w:p w14:paraId="1D66A4E3" w14:textId="2FF446F6" w:rsidR="00865FF2" w:rsidRPr="00764E94" w:rsidRDefault="00865FF2" w:rsidP="00865FF2">
      <w:pPr>
        <w:numPr>
          <w:ilvl w:val="0"/>
          <w:numId w:val="1"/>
        </w:numPr>
        <w:contextualSpacing/>
        <w:rPr>
          <w:rFonts w:cs="Arial"/>
          <w:color w:val="171717" w:themeColor="background2" w:themeShade="1A"/>
        </w:rPr>
      </w:pPr>
      <w:r w:rsidRPr="0B10EE18">
        <w:rPr>
          <w:rFonts w:cs="Arial"/>
          <w:color w:val="171717" w:themeColor="background2" w:themeShade="1A"/>
        </w:rPr>
        <w:t>Georgia EPD is currently reviewing CCR permit applications initially submitted in November 2018 and expected to issue additional CCR permits in 2021 continuing through 202</w:t>
      </w:r>
      <w:r w:rsidR="00CB4CB0" w:rsidRPr="0B10EE18">
        <w:rPr>
          <w:rFonts w:cs="Arial"/>
          <w:color w:val="171717" w:themeColor="background2" w:themeShade="1A"/>
        </w:rPr>
        <w:t>3</w:t>
      </w:r>
      <w:r w:rsidRPr="0B10EE18">
        <w:rPr>
          <w:rFonts w:cs="Arial"/>
          <w:color w:val="171717" w:themeColor="background2" w:themeShade="1A"/>
        </w:rPr>
        <w:t xml:space="preserve">. </w:t>
      </w:r>
    </w:p>
    <w:p w14:paraId="05D06259" w14:textId="57D455E8" w:rsidR="00865FF2" w:rsidRPr="00764E94" w:rsidRDefault="00865FF2" w:rsidP="00865FF2">
      <w:pPr>
        <w:numPr>
          <w:ilvl w:val="0"/>
          <w:numId w:val="1"/>
        </w:numPr>
        <w:contextualSpacing/>
        <w:rPr>
          <w:rFonts w:cs="Arial"/>
          <w:color w:val="171717" w:themeColor="background2" w:themeShade="1A"/>
        </w:rPr>
      </w:pPr>
      <w:r w:rsidRPr="0B10EE18">
        <w:rPr>
          <w:rFonts w:cs="Arial"/>
        </w:rPr>
        <w:t xml:space="preserve">EPA is expected to finalize </w:t>
      </w:r>
      <w:r w:rsidR="00747F94">
        <w:rPr>
          <w:rFonts w:cs="Arial"/>
        </w:rPr>
        <w:t xml:space="preserve">the </w:t>
      </w:r>
      <w:r w:rsidRPr="0B10EE18">
        <w:rPr>
          <w:rFonts w:cs="Arial"/>
        </w:rPr>
        <w:t xml:space="preserve">previously proposed amendment </w:t>
      </w:r>
      <w:r w:rsidR="00747F94" w:rsidRPr="0B10EE18">
        <w:rPr>
          <w:rStyle w:val="normaltextrun1"/>
          <w:rFonts w:cs="Arial"/>
        </w:rPr>
        <w:t>“</w:t>
      </w:r>
      <w:r w:rsidR="00747F94" w:rsidRPr="00220CEF">
        <w:rPr>
          <w:rStyle w:val="normaltextrun1"/>
          <w:rFonts w:cs="Arial"/>
        </w:rPr>
        <w:t xml:space="preserve">Hazardous and Solid Waste Management System: Disposal of Coal Combustion Residuals From Electric Utilities; A Holistic Approach to Closure Part </w:t>
      </w:r>
      <w:r w:rsidR="008238F0">
        <w:rPr>
          <w:rStyle w:val="normaltextrun1"/>
          <w:rFonts w:cs="Arial"/>
        </w:rPr>
        <w:t>B</w:t>
      </w:r>
      <w:r w:rsidR="00747F94" w:rsidRPr="00220CEF">
        <w:rPr>
          <w:rStyle w:val="normaltextrun1"/>
          <w:rFonts w:cs="Arial"/>
        </w:rPr>
        <w:t xml:space="preserve">: </w:t>
      </w:r>
      <w:r w:rsidR="008238F0">
        <w:rPr>
          <w:rStyle w:val="normaltextrun1"/>
          <w:rFonts w:cs="Arial"/>
        </w:rPr>
        <w:t>Implementation of Closure” in 2022. The amendment</w:t>
      </w:r>
      <w:r w:rsidRPr="0B10EE18">
        <w:rPr>
          <w:rFonts w:cs="Arial"/>
        </w:rPr>
        <w:t xml:space="preserve"> </w:t>
      </w:r>
      <w:r w:rsidR="00EE6D7D">
        <w:rPr>
          <w:rFonts w:cs="Arial"/>
        </w:rPr>
        <w:t>would</w:t>
      </w:r>
      <w:r w:rsidRPr="0B10EE18">
        <w:rPr>
          <w:rFonts w:cs="Arial"/>
        </w:rPr>
        <w:t xml:space="preserve"> modify closure by removal requirements to allow additional time to meet groundwater performance requirements as well as the ability to beneficially use CCR for purposes of impoundment closure.</w:t>
      </w:r>
    </w:p>
    <w:p w14:paraId="7FC4ADC9" w14:textId="0189D043" w:rsidR="0069613A" w:rsidRPr="00764E94" w:rsidRDefault="00865FF2" w:rsidP="00865FF2">
      <w:pPr>
        <w:numPr>
          <w:ilvl w:val="0"/>
          <w:numId w:val="1"/>
        </w:numPr>
        <w:contextualSpacing/>
        <w:rPr>
          <w:rFonts w:cs="Arial"/>
          <w:color w:val="171717" w:themeColor="background2" w:themeShade="1A"/>
        </w:rPr>
      </w:pPr>
      <w:r w:rsidRPr="0B10EE18">
        <w:rPr>
          <w:rFonts w:cs="Arial"/>
          <w:color w:val="171717" w:themeColor="background2" w:themeShade="1A"/>
        </w:rPr>
        <w:t xml:space="preserve">EPA </w:t>
      </w:r>
      <w:r w:rsidRPr="0B10EE18">
        <w:rPr>
          <w:rFonts w:cs="Arial"/>
        </w:rPr>
        <w:t xml:space="preserve">is </w:t>
      </w:r>
      <w:r w:rsidRPr="0B10EE18">
        <w:rPr>
          <w:rFonts w:cs="Arial"/>
          <w:color w:val="171717" w:themeColor="background2" w:themeShade="1A"/>
        </w:rPr>
        <w:t>expected to finalize the Federal CCR Permit Program</w:t>
      </w:r>
      <w:r w:rsidR="00C2282D">
        <w:rPr>
          <w:rFonts w:cs="Arial"/>
          <w:color w:val="171717" w:themeColor="background2" w:themeShade="1A"/>
        </w:rPr>
        <w:t xml:space="preserve"> in 2022</w:t>
      </w:r>
      <w:r w:rsidRPr="0B10EE18">
        <w:rPr>
          <w:rFonts w:cs="Arial"/>
          <w:color w:val="171717" w:themeColor="background2" w:themeShade="1A"/>
        </w:rPr>
        <w:t xml:space="preserve">.  </w:t>
      </w:r>
    </w:p>
    <w:p w14:paraId="34D472D6" w14:textId="19312926" w:rsidR="00865FF2" w:rsidRPr="00163287" w:rsidRDefault="00865FF2" w:rsidP="00E03ACB">
      <w:pPr>
        <w:numPr>
          <w:ilvl w:val="0"/>
          <w:numId w:val="1"/>
        </w:numPr>
        <w:rPr>
          <w:rFonts w:cs="Arial"/>
          <w:color w:val="171717" w:themeColor="background2" w:themeShade="1A"/>
        </w:rPr>
      </w:pPr>
      <w:r w:rsidRPr="6DC43244">
        <w:rPr>
          <w:rFonts w:cs="Arial"/>
          <w:color w:val="171717" w:themeColor="background2" w:themeShade="1A"/>
        </w:rPr>
        <w:t xml:space="preserve">Georgia EPD </w:t>
      </w:r>
      <w:r w:rsidR="0074547C">
        <w:rPr>
          <w:rFonts w:cs="Arial"/>
          <w:color w:val="171717" w:themeColor="background2" w:themeShade="1A"/>
        </w:rPr>
        <w:t xml:space="preserve">has initiated </w:t>
      </w:r>
      <w:r w:rsidR="2E714CCE" w:rsidRPr="7627664D">
        <w:rPr>
          <w:rFonts w:cs="Arial"/>
          <w:color w:val="171717" w:themeColor="background2" w:themeShade="1A"/>
        </w:rPr>
        <w:t>a</w:t>
      </w:r>
      <w:r w:rsidRPr="6DC43244">
        <w:rPr>
          <w:rFonts w:cs="Arial"/>
          <w:color w:val="171717" w:themeColor="background2" w:themeShade="1A"/>
        </w:rPr>
        <w:t xml:space="preserve"> propose</w:t>
      </w:r>
      <w:r w:rsidR="000233B4">
        <w:rPr>
          <w:rFonts w:cs="Arial"/>
          <w:color w:val="171717" w:themeColor="background2" w:themeShade="1A"/>
        </w:rPr>
        <w:t>d</w:t>
      </w:r>
      <w:r w:rsidRPr="6DC43244">
        <w:rPr>
          <w:rFonts w:cs="Arial"/>
          <w:color w:val="171717" w:themeColor="background2" w:themeShade="1A"/>
        </w:rPr>
        <w:t xml:space="preserve"> rule </w:t>
      </w:r>
      <w:r w:rsidR="084960C7" w:rsidRPr="7627664D">
        <w:rPr>
          <w:rFonts w:cs="Arial"/>
          <w:color w:val="171717" w:themeColor="background2" w:themeShade="1A"/>
        </w:rPr>
        <w:t>change</w:t>
      </w:r>
      <w:r w:rsidRPr="6DC43244">
        <w:rPr>
          <w:rFonts w:cs="Arial"/>
          <w:color w:val="171717" w:themeColor="background2" w:themeShade="1A"/>
        </w:rPr>
        <w:t xml:space="preserve"> to the Georgia CCR Rule in order to incorporate updates in the Federal CCR Rule. </w:t>
      </w:r>
    </w:p>
    <w:p w14:paraId="13AA627E" w14:textId="01BF0027" w:rsidR="0050418D" w:rsidRDefault="0050418D" w:rsidP="002531D4">
      <w:pPr>
        <w:pStyle w:val="Heading3"/>
        <w:rPr>
          <w:rFonts w:eastAsiaTheme="minorEastAsia"/>
          <w:color w:val="000080"/>
        </w:rPr>
      </w:pPr>
      <w:bookmarkStart w:id="34" w:name="_Toc94197884"/>
      <w:r w:rsidRPr="00134DE9">
        <w:t>Other Considerations</w:t>
      </w:r>
      <w:bookmarkEnd w:id="34"/>
    </w:p>
    <w:p w14:paraId="364C7FF5" w14:textId="08C408C0" w:rsidR="3226141B" w:rsidRPr="00CA1B9E" w:rsidRDefault="002A459D" w:rsidP="005D2968">
      <w:pPr>
        <w:pStyle w:val="ListParagraph"/>
        <w:numPr>
          <w:ilvl w:val="0"/>
          <w:numId w:val="19"/>
        </w:numPr>
        <w:rPr>
          <w:rFonts w:eastAsia="Calibri" w:cs="Arial"/>
        </w:rPr>
      </w:pPr>
      <w:r>
        <w:rPr>
          <w:rFonts w:eastAsia="Calibri" w:cs="Arial"/>
        </w:rPr>
        <w:t>T</w:t>
      </w:r>
      <w:r w:rsidR="5E37594D" w:rsidRPr="172F7B2B">
        <w:rPr>
          <w:rFonts w:eastAsia="Calibri" w:cs="Arial"/>
        </w:rPr>
        <w:t>he U</w:t>
      </w:r>
      <w:r w:rsidR="0006190F">
        <w:rPr>
          <w:rFonts w:eastAsia="Calibri" w:cs="Arial"/>
        </w:rPr>
        <w:t>S</w:t>
      </w:r>
      <w:r w:rsidR="5E37594D" w:rsidRPr="172F7B2B">
        <w:rPr>
          <w:rFonts w:eastAsia="Calibri" w:cs="Arial"/>
        </w:rPr>
        <w:t xml:space="preserve">FWS and the NMFS </w:t>
      </w:r>
      <w:r>
        <w:rPr>
          <w:rFonts w:eastAsia="Calibri" w:cs="Arial"/>
        </w:rPr>
        <w:t xml:space="preserve">are expected </w:t>
      </w:r>
      <w:r w:rsidR="5E37594D" w:rsidRPr="172F7B2B">
        <w:rPr>
          <w:rFonts w:eastAsia="Calibri" w:cs="Arial"/>
        </w:rPr>
        <w:t xml:space="preserve">to revise, rescind, or reinstate five ESA regulations finalized by the </w:t>
      </w:r>
      <w:r w:rsidR="009963F6">
        <w:rPr>
          <w:rFonts w:eastAsia="Calibri" w:cs="Arial"/>
        </w:rPr>
        <w:t>previous</w:t>
      </w:r>
      <w:r w:rsidR="009963F6" w:rsidRPr="172F7B2B">
        <w:rPr>
          <w:rFonts w:eastAsia="Calibri" w:cs="Arial"/>
        </w:rPr>
        <w:t xml:space="preserve"> </w:t>
      </w:r>
      <w:r w:rsidR="5E37594D" w:rsidRPr="172F7B2B">
        <w:rPr>
          <w:rFonts w:eastAsia="Calibri" w:cs="Arial"/>
        </w:rPr>
        <w:t>administration</w:t>
      </w:r>
      <w:r w:rsidR="00405494">
        <w:rPr>
          <w:rFonts w:eastAsia="Calibri" w:cs="Arial"/>
        </w:rPr>
        <w:t xml:space="preserve"> in 2022</w:t>
      </w:r>
      <w:r w:rsidR="5E37594D" w:rsidRPr="172F7B2B">
        <w:rPr>
          <w:rFonts w:eastAsia="Calibri" w:cs="Arial"/>
        </w:rPr>
        <w:t>.</w:t>
      </w:r>
    </w:p>
    <w:p w14:paraId="56722871" w14:textId="01C0DB3C" w:rsidR="00CA1B9E" w:rsidRDefault="00B95B15" w:rsidP="005D2968">
      <w:pPr>
        <w:pStyle w:val="ListParagraph"/>
        <w:numPr>
          <w:ilvl w:val="0"/>
          <w:numId w:val="19"/>
        </w:numPr>
        <w:rPr>
          <w:rFonts w:eastAsia="Calibri" w:cs="Arial"/>
          <w:szCs w:val="24"/>
        </w:rPr>
      </w:pPr>
      <w:r>
        <w:rPr>
          <w:rFonts w:eastAsia="Calibri" w:cs="Arial"/>
        </w:rPr>
        <w:t xml:space="preserve">The Council on Environmental Quality </w:t>
      </w:r>
      <w:r w:rsidR="00CA1B9E">
        <w:rPr>
          <w:rFonts w:eastAsia="Calibri" w:cs="Arial"/>
        </w:rPr>
        <w:t>is expected to review the 202</w:t>
      </w:r>
      <w:r w:rsidR="00BB6F73">
        <w:rPr>
          <w:rFonts w:eastAsia="Calibri" w:cs="Arial"/>
        </w:rPr>
        <w:t>0</w:t>
      </w:r>
      <w:r w:rsidR="00CA1B9E">
        <w:rPr>
          <w:rFonts w:eastAsia="Calibri" w:cs="Arial"/>
        </w:rPr>
        <w:t xml:space="preserve"> NEPA regulations in a two phased approach</w:t>
      </w:r>
      <w:r w:rsidR="00093531">
        <w:rPr>
          <w:rFonts w:eastAsia="Calibri" w:cs="Arial"/>
        </w:rPr>
        <w:t xml:space="preserve">, with the first phase final rule expected mid-2022 and </w:t>
      </w:r>
      <w:r w:rsidR="00642E4D">
        <w:rPr>
          <w:rFonts w:eastAsia="Calibri" w:cs="Arial"/>
        </w:rPr>
        <w:t xml:space="preserve">a proposed </w:t>
      </w:r>
      <w:r w:rsidR="00093531">
        <w:rPr>
          <w:rFonts w:eastAsia="Calibri" w:cs="Arial"/>
        </w:rPr>
        <w:t xml:space="preserve">phase two </w:t>
      </w:r>
      <w:r w:rsidR="0054515C">
        <w:rPr>
          <w:rFonts w:eastAsia="Calibri" w:cs="Arial"/>
        </w:rPr>
        <w:t>rule expected in mid-2022.</w:t>
      </w:r>
    </w:p>
    <w:p w14:paraId="054B5272" w14:textId="2B4C194B" w:rsidR="00865FF2" w:rsidRPr="000C0AEC" w:rsidRDefault="00447DFE" w:rsidP="00CE151D">
      <w:pPr>
        <w:pStyle w:val="Heading2"/>
      </w:pPr>
      <w:bookmarkStart w:id="35" w:name="_Toc94197885"/>
      <w:r w:rsidRPr="00983F96">
        <w:t>3.</w:t>
      </w:r>
      <w:r w:rsidR="00BF40D8" w:rsidRPr="000C0AEC">
        <w:t>4</w:t>
      </w:r>
      <w:r w:rsidR="00865FF2" w:rsidRPr="00983F96">
        <w:t xml:space="preserve"> </w:t>
      </w:r>
      <w:r w:rsidR="00A01BCA" w:rsidRPr="00983F96">
        <w:t xml:space="preserve">Federal and State Detailed </w:t>
      </w:r>
      <w:r w:rsidR="00865FF2" w:rsidRPr="00983F96">
        <w:t>Regulatory, Legislative, and Judicial Review</w:t>
      </w:r>
      <w:bookmarkEnd w:id="35"/>
    </w:p>
    <w:p w14:paraId="50641D43" w14:textId="3508E743" w:rsidR="00865FF2" w:rsidRDefault="00865FF2" w:rsidP="00865FF2">
      <w:pPr>
        <w:autoSpaceDE w:val="0"/>
        <w:autoSpaceDN w:val="0"/>
        <w:adjustRightInd w:val="0"/>
        <w:spacing w:after="0"/>
        <w:rPr>
          <w:rFonts w:cs="Arial"/>
          <w:szCs w:val="24"/>
        </w:rPr>
      </w:pPr>
      <w:r w:rsidRPr="00764E94">
        <w:rPr>
          <w:rFonts w:cs="Arial"/>
          <w:szCs w:val="24"/>
        </w:rPr>
        <w:t xml:space="preserve">Environmental compliance and regulation for Georgia Power is principally governed by EPA, EPD, and other state and </w:t>
      </w:r>
      <w:r>
        <w:rPr>
          <w:rFonts w:cs="Arial"/>
          <w:szCs w:val="24"/>
        </w:rPr>
        <w:t>federal</w:t>
      </w:r>
      <w:r w:rsidRPr="00764E94">
        <w:rPr>
          <w:rFonts w:cs="Arial"/>
          <w:szCs w:val="24"/>
        </w:rPr>
        <w:t xml:space="preserve"> authorities. The major environmental laws and regulations impacting Georgia Power, including </w:t>
      </w:r>
      <w:r w:rsidR="008103F3">
        <w:rPr>
          <w:rFonts w:cs="Arial"/>
          <w:szCs w:val="24"/>
        </w:rPr>
        <w:t xml:space="preserve">2020 and </w:t>
      </w:r>
      <w:r w:rsidR="00220AAD">
        <w:rPr>
          <w:rFonts w:cs="Arial"/>
          <w:szCs w:val="24"/>
        </w:rPr>
        <w:t>2021</w:t>
      </w:r>
      <w:r w:rsidR="00E67402">
        <w:rPr>
          <w:rFonts w:cs="Arial"/>
          <w:szCs w:val="24"/>
        </w:rPr>
        <w:t xml:space="preserve"> </w:t>
      </w:r>
      <w:r w:rsidRPr="00764E94">
        <w:rPr>
          <w:rFonts w:cs="Arial"/>
          <w:szCs w:val="24"/>
        </w:rPr>
        <w:t>legislative</w:t>
      </w:r>
      <w:r w:rsidR="00E00BA6">
        <w:rPr>
          <w:rFonts w:cs="Arial"/>
          <w:szCs w:val="24"/>
        </w:rPr>
        <w:t xml:space="preserve"> activities</w:t>
      </w:r>
      <w:r w:rsidRPr="00764E94">
        <w:rPr>
          <w:rFonts w:cs="Arial"/>
          <w:szCs w:val="24"/>
        </w:rPr>
        <w:t xml:space="preserve">, regulatory, or judicial developments, are detailed in this section.  </w:t>
      </w:r>
    </w:p>
    <w:p w14:paraId="20F8B6F4" w14:textId="77777777" w:rsidR="00B77A2A" w:rsidRPr="00764E94" w:rsidRDefault="00B77A2A" w:rsidP="00865FF2">
      <w:pPr>
        <w:autoSpaceDE w:val="0"/>
        <w:autoSpaceDN w:val="0"/>
        <w:adjustRightInd w:val="0"/>
        <w:spacing w:after="0"/>
        <w:rPr>
          <w:rFonts w:cs="Arial"/>
          <w:b/>
          <w:color w:val="000080"/>
          <w:szCs w:val="24"/>
          <w:u w:val="single"/>
        </w:rPr>
      </w:pPr>
    </w:p>
    <w:p w14:paraId="505E3284" w14:textId="41BD22E9" w:rsidR="00444FB8" w:rsidRPr="000D1E60" w:rsidRDefault="006E47BF" w:rsidP="002531D4">
      <w:pPr>
        <w:pStyle w:val="Heading3"/>
      </w:pPr>
      <w:hyperlink r:id="rId27" w:anchor="_Toc535908079" w:history="1">
        <w:bookmarkStart w:id="36" w:name="_Toc94197886"/>
        <w:r w:rsidR="00444FB8" w:rsidRPr="000D1E60">
          <w:t>3.</w:t>
        </w:r>
        <w:r w:rsidR="00444FB8">
          <w:t>4</w:t>
        </w:r>
        <w:r w:rsidR="00444FB8" w:rsidRPr="000D1E60">
          <w:t>.</w:t>
        </w:r>
        <w:r w:rsidR="00444FB8">
          <w:t>1</w:t>
        </w:r>
        <w:r w:rsidR="00444FB8" w:rsidRPr="000D1E60">
          <w:t xml:space="preserve"> New Source Review</w:t>
        </w:r>
        <w:bookmarkEnd w:id="36"/>
      </w:hyperlink>
    </w:p>
    <w:p w14:paraId="48C4E02C" w14:textId="77777777" w:rsidR="00444FB8" w:rsidRPr="00DB7156" w:rsidRDefault="00444FB8" w:rsidP="00444FB8">
      <w:r>
        <w:t>New Source Review (“NSR”)</w:t>
      </w:r>
      <w:r w:rsidRPr="00DB7156">
        <w:t xml:space="preserve"> is a pre-construction permitting program under the </w:t>
      </w:r>
      <w:r>
        <w:t>CAA</w:t>
      </w:r>
      <w:r w:rsidRPr="00DB7156">
        <w:t xml:space="preserve"> that </w:t>
      </w:r>
      <w:r>
        <w:t xml:space="preserve">is required of new sources or </w:t>
      </w:r>
      <w:r w:rsidRPr="00DB7156">
        <w:t>can be triggered by changes to an</w:t>
      </w:r>
      <w:r>
        <w:t xml:space="preserve"> existing</w:t>
      </w:r>
      <w:r w:rsidRPr="00DB7156">
        <w:t xml:space="preserve"> emissions source (e.g., electric generating unit) that result in a “significant” increase of a regulated NSR pollutant. </w:t>
      </w:r>
      <w:r>
        <w:t xml:space="preserve">While the NSR program was established by the 1977 CAAA, </w:t>
      </w:r>
      <w:r w:rsidRPr="00DB7156">
        <w:t>NSR regulations</w:t>
      </w:r>
      <w:r>
        <w:t xml:space="preserve">, EPA’s </w:t>
      </w:r>
      <w:r w:rsidRPr="00DB7156">
        <w:t xml:space="preserve">interpretation </w:t>
      </w:r>
      <w:r>
        <w:t xml:space="preserve">of the requirements, and EPA’s NSR guidance have changed over time. While the Trump Administration stated that NSR regulatory reform was a priority, the regulations finalized by EPA during that time were generally not impactful to the electric utility industry. Under the Biden Administration, EPA’s priorities under NSR are not yet clear.  </w:t>
      </w:r>
    </w:p>
    <w:p w14:paraId="43D8D93E" w14:textId="77777777" w:rsidR="00444FB8" w:rsidRPr="00E654CE" w:rsidRDefault="00444FB8" w:rsidP="00444FB8">
      <w:r w:rsidRPr="00DB7156">
        <w:t xml:space="preserve">In 1999, </w:t>
      </w:r>
      <w:r>
        <w:t>under a broad nationwide enforcement initiative</w:t>
      </w:r>
      <w:r w:rsidRPr="00DB7156">
        <w:t xml:space="preserve">, EPA brought a civil action in the U.S. District Court for the Northern District of Georgia against Georgia Power, alleging that these subsidiaries had violated the NSR provisions of the CAA and related state laws at certain coal-fired generating facilities. The civil action sought penalties and injunctive relief, including an order requiring installation of the best available control technology at the affected units. The case against Georgia Power was administratively closed in 2001 and has not been reopened.  </w:t>
      </w:r>
    </w:p>
    <w:p w14:paraId="71FB6025" w14:textId="0FF1218F" w:rsidR="00865FF2" w:rsidRPr="008957B3" w:rsidRDefault="006E47BF" w:rsidP="002531D4">
      <w:pPr>
        <w:pStyle w:val="Heading3"/>
      </w:pPr>
      <w:hyperlink r:id="rId28" w:anchor="_Toc535908068" w:history="1">
        <w:bookmarkStart w:id="37" w:name="_Toc94197887"/>
        <w:r w:rsidR="00304977" w:rsidRPr="008957B3">
          <w:t>3.</w:t>
        </w:r>
        <w:r w:rsidR="00BF6990" w:rsidRPr="008957B3">
          <w:t>4</w:t>
        </w:r>
        <w:r w:rsidR="00304977" w:rsidRPr="008957B3">
          <w:t>.</w:t>
        </w:r>
        <w:r w:rsidR="00A547FF">
          <w:t>2</w:t>
        </w:r>
        <w:r w:rsidR="00613BFC" w:rsidRPr="008957B3">
          <w:t xml:space="preserve"> </w:t>
        </w:r>
        <w:r w:rsidR="00304977" w:rsidRPr="008957B3">
          <w:t>Acid Rain Program</w:t>
        </w:r>
        <w:bookmarkEnd w:id="37"/>
      </w:hyperlink>
    </w:p>
    <w:p w14:paraId="0BFFB293" w14:textId="2D10B6AE" w:rsidR="009B5291" w:rsidRPr="00DB7156" w:rsidRDefault="00CD42AE" w:rsidP="008957B3">
      <w:pPr>
        <w:tabs>
          <w:tab w:val="left" w:pos="1428"/>
          <w:tab w:val="left" w:pos="4716"/>
          <w:tab w:val="left" w:pos="4896"/>
          <w:tab w:val="left" w:pos="6718"/>
        </w:tabs>
        <w:suppressAutoHyphens/>
        <w:spacing w:after="0"/>
        <w:rPr>
          <w:rFonts w:cs="Arial"/>
          <w:szCs w:val="24"/>
        </w:rPr>
      </w:pPr>
      <w:r w:rsidRPr="00DB7156">
        <w:rPr>
          <w:rFonts w:cs="Arial"/>
          <w:szCs w:val="24"/>
        </w:rPr>
        <w:t>The Acid Rain Program sets a cap on SO</w:t>
      </w:r>
      <w:r w:rsidRPr="00DB7156">
        <w:rPr>
          <w:rFonts w:cs="Arial"/>
          <w:szCs w:val="24"/>
          <w:vertAlign w:val="subscript"/>
        </w:rPr>
        <w:t>2</w:t>
      </w:r>
      <w:r w:rsidRPr="00DB7156">
        <w:rPr>
          <w:rFonts w:cs="Arial"/>
          <w:szCs w:val="24"/>
        </w:rPr>
        <w:t xml:space="preserve"> emissions from power plants by allocating a fixed number of allowances to each unit subject to the program. </w:t>
      </w:r>
      <w:r>
        <w:rPr>
          <w:rFonts w:cs="Arial"/>
          <w:szCs w:val="24"/>
        </w:rPr>
        <w:t xml:space="preserve"> </w:t>
      </w:r>
      <w:r w:rsidRPr="00DB7156">
        <w:rPr>
          <w:rFonts w:cs="Arial"/>
          <w:szCs w:val="24"/>
        </w:rPr>
        <w:t>At the end of each year, a unit must surrender allowances in an amount equal to the number of tons of SO</w:t>
      </w:r>
      <w:r w:rsidRPr="00DB7156">
        <w:rPr>
          <w:rFonts w:cs="Arial"/>
          <w:szCs w:val="24"/>
          <w:vertAlign w:val="subscript"/>
        </w:rPr>
        <w:t>2</w:t>
      </w:r>
      <w:r w:rsidRPr="00DB7156">
        <w:rPr>
          <w:rFonts w:cs="Arial"/>
          <w:szCs w:val="24"/>
        </w:rPr>
        <w:t xml:space="preserve"> emitted. </w:t>
      </w:r>
      <w:r>
        <w:rPr>
          <w:rFonts w:cs="Arial"/>
          <w:szCs w:val="24"/>
        </w:rPr>
        <w:t xml:space="preserve"> </w:t>
      </w:r>
      <w:r w:rsidRPr="00DB7156">
        <w:rPr>
          <w:rFonts w:cs="Arial"/>
          <w:szCs w:val="24"/>
        </w:rPr>
        <w:t xml:space="preserve">Unused allowances may be sold to offset the cost of compliance or saved, i.e., banked, for future use. </w:t>
      </w:r>
      <w:r>
        <w:rPr>
          <w:rFonts w:cs="Arial"/>
          <w:szCs w:val="24"/>
        </w:rPr>
        <w:t xml:space="preserve"> </w:t>
      </w:r>
      <w:r w:rsidRPr="00DB7156">
        <w:rPr>
          <w:rFonts w:cs="Arial"/>
          <w:szCs w:val="24"/>
        </w:rPr>
        <w:t xml:space="preserve">Initial allowance allocations were received in 1995 when Phase I of the program began. </w:t>
      </w:r>
      <w:r>
        <w:rPr>
          <w:rFonts w:cs="Arial"/>
          <w:szCs w:val="24"/>
        </w:rPr>
        <w:t xml:space="preserve"> </w:t>
      </w:r>
      <w:r w:rsidRPr="00DB7156">
        <w:rPr>
          <w:rFonts w:cs="Arial"/>
          <w:szCs w:val="24"/>
        </w:rPr>
        <w:t>When Phase II began in 2000, the number of allowances available was reduced to limit SO</w:t>
      </w:r>
      <w:r w:rsidRPr="00DB7156">
        <w:rPr>
          <w:rFonts w:cs="Arial"/>
          <w:szCs w:val="24"/>
          <w:vertAlign w:val="subscript"/>
        </w:rPr>
        <w:t>2</w:t>
      </w:r>
      <w:r w:rsidRPr="00DB7156">
        <w:rPr>
          <w:rFonts w:cs="Arial"/>
          <w:szCs w:val="24"/>
        </w:rPr>
        <w:t xml:space="preserve"> emissions to 50% below 1980 levels by 2010.</w:t>
      </w:r>
      <w:r>
        <w:rPr>
          <w:rFonts w:cs="Arial"/>
          <w:szCs w:val="24"/>
        </w:rPr>
        <w:t xml:space="preserve"> </w:t>
      </w:r>
      <w:r w:rsidR="009B5291" w:rsidRPr="00DB7156">
        <w:rPr>
          <w:rFonts w:cs="Arial"/>
          <w:szCs w:val="24"/>
        </w:rPr>
        <w:t xml:space="preserve">The regulations also set </w:t>
      </w:r>
      <w:r>
        <w:rPr>
          <w:rFonts w:cs="Arial"/>
          <w:szCs w:val="24"/>
        </w:rPr>
        <w:t xml:space="preserve">emission rate </w:t>
      </w:r>
      <w:r w:rsidR="009B5291" w:rsidRPr="00DB7156">
        <w:rPr>
          <w:rFonts w:cs="Arial"/>
          <w:szCs w:val="24"/>
        </w:rPr>
        <w:t>limitations on NO</w:t>
      </w:r>
      <w:r w:rsidR="009B5291" w:rsidRPr="00DB7156">
        <w:rPr>
          <w:rFonts w:cs="Arial"/>
          <w:szCs w:val="24"/>
          <w:vertAlign w:val="subscript"/>
        </w:rPr>
        <w:t>X</w:t>
      </w:r>
      <w:r w:rsidR="009B5291" w:rsidRPr="00DB7156">
        <w:rPr>
          <w:rFonts w:cs="Arial"/>
          <w:szCs w:val="24"/>
        </w:rPr>
        <w:t xml:space="preserve"> emissions</w:t>
      </w:r>
      <w:r>
        <w:rPr>
          <w:rFonts w:cs="Arial"/>
          <w:szCs w:val="24"/>
        </w:rPr>
        <w:t>, which can be met by individual units or by a group of units under an averaging plan</w:t>
      </w:r>
      <w:r w:rsidR="009B5291" w:rsidRPr="00DB7156">
        <w:rPr>
          <w:rFonts w:cs="Arial"/>
          <w:szCs w:val="24"/>
        </w:rPr>
        <w:t xml:space="preserve">. </w:t>
      </w:r>
    </w:p>
    <w:p w14:paraId="62E28BCB" w14:textId="77777777" w:rsidR="00865FF2" w:rsidRPr="00D15E5A" w:rsidRDefault="00865FF2" w:rsidP="00865FF2">
      <w:pPr>
        <w:spacing w:after="0"/>
        <w:rPr>
          <w:rFonts w:cs="Arial"/>
          <w:i/>
          <w:iCs/>
        </w:rPr>
      </w:pPr>
    </w:p>
    <w:p w14:paraId="2819DE4A" w14:textId="30A1276B" w:rsidR="00865FF2" w:rsidRPr="007E4188" w:rsidRDefault="006E47BF" w:rsidP="002531D4">
      <w:pPr>
        <w:pStyle w:val="Heading3"/>
      </w:pPr>
      <w:hyperlink r:id="rId29" w:anchor="_Toc535908069" w:history="1">
        <w:bookmarkStart w:id="38" w:name="_Toc94197888"/>
        <w:r w:rsidR="00304977" w:rsidRPr="007E4188">
          <w:t>3.</w:t>
        </w:r>
        <w:r w:rsidR="005825B6">
          <w:t>4</w:t>
        </w:r>
        <w:r w:rsidR="00304977" w:rsidRPr="007E4188">
          <w:t>.</w:t>
        </w:r>
        <w:r w:rsidR="00A547FF">
          <w:t>3</w:t>
        </w:r>
        <w:r w:rsidR="007E4188" w:rsidRPr="007E4188">
          <w:t xml:space="preserve"> </w:t>
        </w:r>
        <w:r w:rsidR="00304977" w:rsidRPr="007E4188">
          <w:t>National Ambient Air Quality Standards</w:t>
        </w:r>
        <w:bookmarkEnd w:id="38"/>
      </w:hyperlink>
    </w:p>
    <w:p w14:paraId="5554646E" w14:textId="7AEBF30A" w:rsidR="0074404E" w:rsidRDefault="0074404E" w:rsidP="0074404E">
      <w:pPr>
        <w:autoSpaceDE w:val="0"/>
        <w:autoSpaceDN w:val="0"/>
        <w:adjustRightInd w:val="0"/>
        <w:spacing w:after="0"/>
        <w:rPr>
          <w:rFonts w:cs="Arial"/>
          <w:bCs/>
          <w:szCs w:val="24"/>
        </w:rPr>
      </w:pPr>
      <w:r w:rsidRPr="00DB7156">
        <w:rPr>
          <w:rFonts w:cs="Arial"/>
          <w:bCs/>
          <w:szCs w:val="24"/>
        </w:rPr>
        <w:t xml:space="preserve">The CAA specifically requires EPA to review the primary and secondary NAAQS every </w:t>
      </w:r>
      <w:r>
        <w:rPr>
          <w:rFonts w:cs="Arial"/>
          <w:bCs/>
          <w:szCs w:val="24"/>
        </w:rPr>
        <w:t>five</w:t>
      </w:r>
      <w:r w:rsidRPr="00DB7156">
        <w:rPr>
          <w:rFonts w:cs="Arial"/>
          <w:bCs/>
          <w:szCs w:val="24"/>
        </w:rPr>
        <w:t xml:space="preserve"> years and to revise them as necessary. These reviews have resulted in multiple, significant changes to the ozone and PM NAAQS, the addition of short-term primary SO</w:t>
      </w:r>
      <w:r w:rsidRPr="00DB7156">
        <w:rPr>
          <w:rFonts w:cs="Arial"/>
          <w:bCs/>
          <w:szCs w:val="24"/>
          <w:vertAlign w:val="subscript"/>
        </w:rPr>
        <w:t>2</w:t>
      </w:r>
      <w:r w:rsidRPr="00DB7156">
        <w:rPr>
          <w:rFonts w:cs="Arial"/>
          <w:bCs/>
          <w:szCs w:val="24"/>
        </w:rPr>
        <w:t xml:space="preserve"> and </w:t>
      </w:r>
      <w:r w:rsidR="003146EA" w:rsidRPr="003146EA">
        <w:rPr>
          <w:rFonts w:cs="Arial"/>
          <w:bCs/>
          <w:szCs w:val="24"/>
        </w:rPr>
        <w:t>nitrogen dioxide</w:t>
      </w:r>
      <w:r w:rsidR="003146EA">
        <w:rPr>
          <w:rFonts w:cs="Arial"/>
          <w:bCs/>
          <w:szCs w:val="24"/>
        </w:rPr>
        <w:t xml:space="preserve"> (“</w:t>
      </w:r>
      <w:r w:rsidRPr="00DB7156">
        <w:rPr>
          <w:rFonts w:cs="Arial"/>
          <w:bCs/>
          <w:szCs w:val="24"/>
        </w:rPr>
        <w:t>NO</w:t>
      </w:r>
      <w:r w:rsidRPr="00DB7156">
        <w:rPr>
          <w:rFonts w:cs="Arial"/>
          <w:bCs/>
          <w:szCs w:val="24"/>
          <w:vertAlign w:val="subscript"/>
        </w:rPr>
        <w:t>2</w:t>
      </w:r>
      <w:r w:rsidR="003146EA">
        <w:rPr>
          <w:rFonts w:cs="Arial"/>
          <w:bCs/>
          <w:szCs w:val="24"/>
        </w:rPr>
        <w:t>“)</w:t>
      </w:r>
      <w:r w:rsidRPr="00DB7156">
        <w:rPr>
          <w:rFonts w:cs="Arial"/>
          <w:bCs/>
          <w:szCs w:val="24"/>
        </w:rPr>
        <w:t xml:space="preserve"> NAAQS</w:t>
      </w:r>
      <w:r w:rsidR="00DC0422">
        <w:rPr>
          <w:rFonts w:cs="Arial"/>
          <w:bCs/>
          <w:szCs w:val="24"/>
        </w:rPr>
        <w:t>, and other air quality standards updates</w:t>
      </w:r>
      <w:r w:rsidRPr="00DB7156">
        <w:rPr>
          <w:rFonts w:cs="Arial"/>
          <w:bCs/>
          <w:szCs w:val="24"/>
        </w:rPr>
        <w:t>.  Implementing these standards is generally a state responsibility; however, EPA has also issued rules, such as the NO</w:t>
      </w:r>
      <w:r w:rsidRPr="00DB7156">
        <w:rPr>
          <w:rFonts w:cs="Arial"/>
          <w:bCs/>
          <w:szCs w:val="24"/>
          <w:vertAlign w:val="subscript"/>
        </w:rPr>
        <w:t>x</w:t>
      </w:r>
      <w:r w:rsidRPr="00DB7156">
        <w:rPr>
          <w:rFonts w:cs="Arial"/>
          <w:bCs/>
          <w:szCs w:val="24"/>
        </w:rPr>
        <w:t xml:space="preserve"> SIP Call, CAIR, and CSAPR, that deal with the transport of pollutants on a regional or multi-state basis to facilitate attainment with the NAAQS.   </w:t>
      </w:r>
    </w:p>
    <w:p w14:paraId="704F8492" w14:textId="77777777" w:rsidR="00861AA6" w:rsidRPr="00233529" w:rsidRDefault="00861AA6" w:rsidP="00233529">
      <w:pPr>
        <w:autoSpaceDE w:val="0"/>
        <w:autoSpaceDN w:val="0"/>
        <w:adjustRightInd w:val="0"/>
        <w:spacing w:after="0"/>
        <w:rPr>
          <w:rFonts w:cs="Arial"/>
          <w:bCs/>
          <w:szCs w:val="24"/>
        </w:rPr>
      </w:pPr>
    </w:p>
    <w:p w14:paraId="037173CF" w14:textId="35F3641C" w:rsidR="00865FF2" w:rsidRPr="007E4188" w:rsidRDefault="00865FF2" w:rsidP="00877775">
      <w:pPr>
        <w:pStyle w:val="Heading4"/>
      </w:pPr>
      <w:r w:rsidRPr="007E4188">
        <w:t>Ozone</w:t>
      </w:r>
    </w:p>
    <w:p w14:paraId="251202C1" w14:textId="225266B6" w:rsidR="00626762" w:rsidRDefault="00626762" w:rsidP="00626762">
      <w:pPr>
        <w:spacing w:after="0"/>
        <w:rPr>
          <w:rFonts w:cs="Arial"/>
        </w:rPr>
      </w:pPr>
      <w:r w:rsidRPr="57F1A317">
        <w:rPr>
          <w:rFonts w:cs="Arial"/>
        </w:rPr>
        <w:t>Ozone is formed by a chemical reaction in the atmosphere between NO</w:t>
      </w:r>
      <w:r w:rsidRPr="57F1A317">
        <w:rPr>
          <w:rFonts w:cs="Arial"/>
          <w:vertAlign w:val="subscript"/>
        </w:rPr>
        <w:t>X</w:t>
      </w:r>
      <w:r w:rsidRPr="57F1A317">
        <w:rPr>
          <w:rFonts w:cs="Arial"/>
        </w:rPr>
        <w:t xml:space="preserve"> and volatile organic compounds (“VOCs”). This reaction is driven by sunlight, and thus ozone formation is typically much more significant during the summer months.</w:t>
      </w:r>
      <w:r w:rsidR="00BE24A7" w:rsidRPr="57F1A317">
        <w:rPr>
          <w:rFonts w:cs="Arial"/>
        </w:rPr>
        <w:t xml:space="preserve"> </w:t>
      </w:r>
      <w:r w:rsidRPr="57F1A317">
        <w:rPr>
          <w:rFonts w:cs="Arial"/>
        </w:rPr>
        <w:t xml:space="preserve"> In 1979, EPA put into place a</w:t>
      </w:r>
      <w:r w:rsidR="005A6EE3" w:rsidRPr="57F1A317">
        <w:rPr>
          <w:rFonts w:cs="Arial"/>
        </w:rPr>
        <w:t>n air quality standard</w:t>
      </w:r>
      <w:r w:rsidR="00772E27">
        <w:rPr>
          <w:rFonts w:cs="Arial"/>
        </w:rPr>
        <w:t xml:space="preserve"> </w:t>
      </w:r>
      <w:r w:rsidRPr="57F1A317">
        <w:rPr>
          <w:rFonts w:cs="Arial"/>
        </w:rPr>
        <w:t xml:space="preserve">on 1-hour ozone concentrations of 120 </w:t>
      </w:r>
      <w:r w:rsidR="006B73EC" w:rsidRPr="57F1A317">
        <w:rPr>
          <w:rFonts w:cs="Arial"/>
        </w:rPr>
        <w:t>parts per billion</w:t>
      </w:r>
      <w:r w:rsidRPr="57F1A317">
        <w:rPr>
          <w:rFonts w:cs="Arial"/>
        </w:rPr>
        <w:t>.</w:t>
      </w:r>
      <w:r w:rsidR="00BE24A7" w:rsidRPr="57F1A317">
        <w:rPr>
          <w:rFonts w:cs="Arial"/>
        </w:rPr>
        <w:t xml:space="preserve"> </w:t>
      </w:r>
      <w:r w:rsidRPr="57F1A317">
        <w:rPr>
          <w:rFonts w:cs="Arial"/>
        </w:rPr>
        <w:t xml:space="preserve"> Subsequently, the Agency replaced the 1-hour standard with an 8-hour standard of 80 ppb in 1997, which was lowered to 75 ppb in 2008.  For each ozone standard, portions of the Atlanta metropolitan area were designated as nonattainment during implementation. However, those areas have since been redesignated to attainment for the 1979, 1997, and 2008 standards.</w:t>
      </w:r>
    </w:p>
    <w:p w14:paraId="02745578" w14:textId="77777777" w:rsidR="00626762" w:rsidRDefault="00626762" w:rsidP="00865FF2">
      <w:pPr>
        <w:spacing w:after="0"/>
        <w:rPr>
          <w:rFonts w:cs="Arial"/>
          <w:szCs w:val="24"/>
        </w:rPr>
      </w:pPr>
    </w:p>
    <w:p w14:paraId="15C54E8B" w14:textId="27374E93" w:rsidR="002F2B79" w:rsidRDefault="00CB38AC" w:rsidP="00865FF2">
      <w:pPr>
        <w:spacing w:after="0"/>
        <w:rPr>
          <w:rFonts w:cs="Arial"/>
          <w:highlight w:val="cyan"/>
        </w:rPr>
      </w:pPr>
      <w:r w:rsidRPr="172F7B2B">
        <w:rPr>
          <w:rFonts w:cs="Arial"/>
        </w:rPr>
        <w:t xml:space="preserve">In October 2015, EPA lowered the 8-hour primary </w:t>
      </w:r>
      <w:r w:rsidR="001D4852">
        <w:rPr>
          <w:rFonts w:cs="Arial"/>
        </w:rPr>
        <w:t xml:space="preserve">and secondary </w:t>
      </w:r>
      <w:r w:rsidRPr="172F7B2B">
        <w:rPr>
          <w:rFonts w:cs="Arial"/>
        </w:rPr>
        <w:t xml:space="preserve">standard from 75 to 70 ppb. </w:t>
      </w:r>
      <w:r w:rsidR="001D4852">
        <w:rPr>
          <w:rFonts w:cs="Arial"/>
        </w:rPr>
        <w:t>M</w:t>
      </w:r>
      <w:r w:rsidR="00DC0422">
        <w:rPr>
          <w:rFonts w:cs="Arial"/>
        </w:rPr>
        <w:t xml:space="preserve">ultiple parties </w:t>
      </w:r>
      <w:r w:rsidR="00865FF2" w:rsidRPr="172F7B2B">
        <w:rPr>
          <w:rFonts w:cs="Arial"/>
        </w:rPr>
        <w:t xml:space="preserve">challenged the standards as </w:t>
      </w:r>
      <w:r w:rsidR="00DC0422">
        <w:rPr>
          <w:rFonts w:cs="Arial"/>
        </w:rPr>
        <w:t xml:space="preserve">either </w:t>
      </w:r>
      <w:r w:rsidR="00865FF2" w:rsidRPr="172F7B2B">
        <w:rPr>
          <w:rFonts w:cs="Arial"/>
        </w:rPr>
        <w:t>too stringent</w:t>
      </w:r>
      <w:r w:rsidR="00DC0422">
        <w:rPr>
          <w:rFonts w:cs="Arial"/>
        </w:rPr>
        <w:t xml:space="preserve"> or not stringent enough</w:t>
      </w:r>
      <w:r w:rsidR="00865FF2" w:rsidRPr="172F7B2B">
        <w:rPr>
          <w:rFonts w:cs="Arial"/>
        </w:rPr>
        <w:t xml:space="preserve">. In August 2019, the Court of Appeals for the District of Columbia Circuit upheld the health-based primary standard but remanded to EPA the welfare-based secondary standard for additional explanation.  EPA was required to complete the next review of the ozone standards by October 2020 to meet the statutory deadline and, in December 2020, EPA issued a final rule to retain the current standards for ozone without revision based on EPA’s review of the air quality criteria and the NAAQS.  EPA stated that the final rule addresses the D.C. Circuit’s remand of the secondary standard. </w:t>
      </w:r>
      <w:r w:rsidR="00394DE6">
        <w:rPr>
          <w:rFonts w:cs="Arial"/>
        </w:rPr>
        <w:t xml:space="preserve"> </w:t>
      </w:r>
      <w:r w:rsidR="00865FF2" w:rsidRPr="172F7B2B">
        <w:rPr>
          <w:rFonts w:cs="Arial"/>
        </w:rPr>
        <w:t xml:space="preserve">All areas in Alabama </w:t>
      </w:r>
      <w:r w:rsidR="00865FF2" w:rsidRPr="00E12286">
        <w:rPr>
          <w:rFonts w:cs="Arial"/>
        </w:rPr>
        <w:t xml:space="preserve">and Georgia, except the Atlanta area, are </w:t>
      </w:r>
      <w:r w:rsidR="00DC0422" w:rsidRPr="00E12286">
        <w:rPr>
          <w:rFonts w:cs="Arial"/>
        </w:rPr>
        <w:t>designated as</w:t>
      </w:r>
      <w:r w:rsidR="00865FF2" w:rsidRPr="00E12286">
        <w:rPr>
          <w:rFonts w:cs="Arial"/>
        </w:rPr>
        <w:t xml:space="preserve"> in attainment with the current standards. </w:t>
      </w:r>
      <w:r w:rsidR="00DC0422" w:rsidRPr="00E12286">
        <w:rPr>
          <w:rFonts w:cs="Arial"/>
        </w:rPr>
        <w:t>Ambient air quality monitoring showed the Atlanta area attaining the standards in 202</w:t>
      </w:r>
      <w:r w:rsidR="00471D12" w:rsidRPr="00E12286">
        <w:rPr>
          <w:rFonts w:cs="Arial"/>
        </w:rPr>
        <w:t>0</w:t>
      </w:r>
      <w:r w:rsidR="5F378D3D" w:rsidRPr="00E12286">
        <w:rPr>
          <w:rFonts w:cs="Arial"/>
        </w:rPr>
        <w:t xml:space="preserve">.  </w:t>
      </w:r>
      <w:r w:rsidR="058A4E36" w:rsidRPr="00E12286">
        <w:rPr>
          <w:rFonts w:cs="Arial"/>
        </w:rPr>
        <w:t>On</w:t>
      </w:r>
      <w:r w:rsidR="5F378D3D" w:rsidRPr="00E12286">
        <w:rPr>
          <w:rFonts w:cs="Arial"/>
        </w:rPr>
        <w:t xml:space="preserve"> November 17, 2021, EPD </w:t>
      </w:r>
      <w:r w:rsidR="2AE64C9E" w:rsidRPr="00E12286">
        <w:rPr>
          <w:rFonts w:cs="Arial"/>
        </w:rPr>
        <w:t>proposed a revision to the</w:t>
      </w:r>
      <w:r w:rsidR="0FD5C71B" w:rsidRPr="00E12286">
        <w:rPr>
          <w:rFonts w:cs="Arial"/>
        </w:rPr>
        <w:t xml:space="preserve"> Georgia SIP</w:t>
      </w:r>
      <w:r w:rsidR="2AE64C9E" w:rsidRPr="00E12286">
        <w:rPr>
          <w:rFonts w:cs="Arial"/>
        </w:rPr>
        <w:t xml:space="preserve"> to</w:t>
      </w:r>
      <w:r w:rsidR="24B7CACC" w:rsidRPr="00E12286">
        <w:rPr>
          <w:rFonts w:cs="Arial"/>
        </w:rPr>
        <w:t xml:space="preserve"> request that the Atlanta area be redesignated as attaining the 2015 8-</w:t>
      </w:r>
      <w:r w:rsidR="091477EE" w:rsidRPr="00E12286">
        <w:rPr>
          <w:rFonts w:cs="Arial"/>
        </w:rPr>
        <w:t>hour Ozone NAAQS.</w:t>
      </w:r>
      <w:r w:rsidR="5C044FAC" w:rsidRPr="00E12286">
        <w:rPr>
          <w:rFonts w:cs="Arial"/>
        </w:rPr>
        <w:t xml:space="preserve">  This</w:t>
      </w:r>
      <w:r w:rsidR="173E5A3D" w:rsidRPr="00E12286">
        <w:rPr>
          <w:rFonts w:cs="Arial"/>
        </w:rPr>
        <w:t xml:space="preserve"> proposed revision is expected to be submitted for EPA approval in early 2022.</w:t>
      </w:r>
    </w:p>
    <w:p w14:paraId="69261A5F" w14:textId="77777777" w:rsidR="002F2B79" w:rsidRDefault="002F2B79" w:rsidP="00865FF2">
      <w:pPr>
        <w:spacing w:after="0"/>
        <w:rPr>
          <w:rFonts w:cs="Arial"/>
        </w:rPr>
      </w:pPr>
    </w:p>
    <w:p w14:paraId="32748525" w14:textId="4864DCA6" w:rsidR="00865FF2" w:rsidRDefault="097916BD" w:rsidP="00865FF2">
      <w:pPr>
        <w:spacing w:after="0"/>
        <w:rPr>
          <w:rFonts w:cs="Arial"/>
        </w:rPr>
      </w:pPr>
      <w:r w:rsidRPr="65507565">
        <w:rPr>
          <w:rFonts w:cs="Arial"/>
        </w:rPr>
        <w:t xml:space="preserve">As a result of President </w:t>
      </w:r>
      <w:r w:rsidRPr="1492DB28">
        <w:rPr>
          <w:rFonts w:cs="Arial"/>
        </w:rPr>
        <w:t>Biden</w:t>
      </w:r>
      <w:r w:rsidR="01A9366E" w:rsidRPr="1492DB28">
        <w:rPr>
          <w:rFonts w:cs="Arial"/>
        </w:rPr>
        <w:t>’s</w:t>
      </w:r>
      <w:r w:rsidRPr="65507565">
        <w:rPr>
          <w:rFonts w:cs="Arial"/>
        </w:rPr>
        <w:t xml:space="preserve"> EO</w:t>
      </w:r>
      <w:r w:rsidR="006D77EA">
        <w:rPr>
          <w:rFonts w:cs="Arial"/>
        </w:rPr>
        <w:t xml:space="preserve"> 13990</w:t>
      </w:r>
      <w:r w:rsidRPr="65507565">
        <w:rPr>
          <w:rFonts w:cs="Arial"/>
        </w:rPr>
        <w:t xml:space="preserve">, </w:t>
      </w:r>
      <w:r w:rsidR="0083338D" w:rsidRPr="5EFA5C3E">
        <w:rPr>
          <w:rFonts w:cs="Arial"/>
        </w:rPr>
        <w:t>EPA</w:t>
      </w:r>
      <w:r w:rsidR="58EEC7BE" w:rsidRPr="5EFA5C3E">
        <w:rPr>
          <w:rFonts w:cs="Arial"/>
        </w:rPr>
        <w:t xml:space="preserve"> </w:t>
      </w:r>
      <w:r w:rsidR="00F319A0">
        <w:rPr>
          <w:rFonts w:cs="Arial"/>
        </w:rPr>
        <w:t xml:space="preserve">announced </w:t>
      </w:r>
      <w:r w:rsidR="002F2B79">
        <w:rPr>
          <w:rFonts w:cs="Arial"/>
        </w:rPr>
        <w:t xml:space="preserve">in October 2021 </w:t>
      </w:r>
      <w:r w:rsidR="00F319A0">
        <w:rPr>
          <w:rFonts w:cs="Arial"/>
        </w:rPr>
        <w:t xml:space="preserve">that it intends to reconsider </w:t>
      </w:r>
      <w:r w:rsidR="58EEC7BE" w:rsidRPr="5EFA5C3E">
        <w:rPr>
          <w:rFonts w:cs="Arial"/>
        </w:rPr>
        <w:t xml:space="preserve">the 2020 </w:t>
      </w:r>
      <w:r w:rsidR="00F319A0">
        <w:rPr>
          <w:rFonts w:cs="Arial"/>
        </w:rPr>
        <w:t xml:space="preserve">ozone </w:t>
      </w:r>
      <w:r w:rsidR="58EEC7BE" w:rsidRPr="5EFA5C3E">
        <w:rPr>
          <w:rFonts w:cs="Arial"/>
        </w:rPr>
        <w:t>NAAQS to determine whether</w:t>
      </w:r>
      <w:r w:rsidR="36367846" w:rsidRPr="5EFA5C3E">
        <w:rPr>
          <w:rFonts w:cs="Arial"/>
        </w:rPr>
        <w:t xml:space="preserve"> </w:t>
      </w:r>
      <w:r w:rsidR="00D32363">
        <w:rPr>
          <w:rFonts w:cs="Arial"/>
        </w:rPr>
        <w:t>more stringent</w:t>
      </w:r>
      <w:r w:rsidR="36367846" w:rsidRPr="5EFA5C3E">
        <w:rPr>
          <w:rFonts w:cs="Arial"/>
        </w:rPr>
        <w:t xml:space="preserve"> standards should be </w:t>
      </w:r>
      <w:r w:rsidR="00D32363">
        <w:rPr>
          <w:rFonts w:cs="Arial"/>
        </w:rPr>
        <w:t>adopted</w:t>
      </w:r>
      <w:r w:rsidR="36367846" w:rsidRPr="5EFA5C3E">
        <w:rPr>
          <w:rFonts w:cs="Arial"/>
        </w:rPr>
        <w:t xml:space="preserve">. </w:t>
      </w:r>
      <w:r w:rsidR="1A1DE5B6" w:rsidRPr="65507565">
        <w:rPr>
          <w:rFonts w:cs="Arial"/>
        </w:rPr>
        <w:t xml:space="preserve"> </w:t>
      </w:r>
      <w:r w:rsidR="1A1DE5B6" w:rsidRPr="5362D897">
        <w:rPr>
          <w:rFonts w:cs="Arial"/>
        </w:rPr>
        <w:t xml:space="preserve">EPA </w:t>
      </w:r>
      <w:r w:rsidR="00ED2859">
        <w:rPr>
          <w:rFonts w:cs="Arial"/>
        </w:rPr>
        <w:t xml:space="preserve">stated </w:t>
      </w:r>
      <w:r w:rsidR="00504F54">
        <w:rPr>
          <w:rFonts w:cs="Arial"/>
        </w:rPr>
        <w:t>the re</w:t>
      </w:r>
      <w:r w:rsidR="00C70D5E">
        <w:rPr>
          <w:rFonts w:cs="Arial"/>
        </w:rPr>
        <w:t>consideration is expected to conclude by the end of 2023</w:t>
      </w:r>
      <w:r w:rsidR="71B09456" w:rsidRPr="1492DB28">
        <w:rPr>
          <w:rFonts w:cs="Arial"/>
        </w:rPr>
        <w:t>.</w:t>
      </w:r>
    </w:p>
    <w:p w14:paraId="3B24B814" w14:textId="77777777" w:rsidR="00865FF2" w:rsidRDefault="00865FF2" w:rsidP="00865FF2">
      <w:pPr>
        <w:spacing w:after="0"/>
        <w:rPr>
          <w:rFonts w:cs="Arial"/>
          <w:szCs w:val="24"/>
        </w:rPr>
      </w:pPr>
    </w:p>
    <w:p w14:paraId="0AB6B6BA" w14:textId="467F72EE" w:rsidR="00865FF2" w:rsidRDefault="00865FF2" w:rsidP="00877775">
      <w:pPr>
        <w:pStyle w:val="Heading4"/>
      </w:pPr>
      <w:r w:rsidRPr="0062034A">
        <w:t>Particulate Matter</w:t>
      </w:r>
      <w:r w:rsidR="006E5963">
        <w:t xml:space="preserve"> (“PM”)</w:t>
      </w:r>
    </w:p>
    <w:p w14:paraId="0A9D7700" w14:textId="0A5B4D60" w:rsidR="00487D07" w:rsidRPr="00DB7156" w:rsidRDefault="00487D07" w:rsidP="002468FD">
      <w:r w:rsidRPr="16982F57">
        <w:t>In 1997, EPA revised the PM NAAQS to add fine particulate matter, i.e., PM</w:t>
      </w:r>
      <w:r w:rsidRPr="16982F57">
        <w:rPr>
          <w:vertAlign w:val="subscript"/>
        </w:rPr>
        <w:t>2.5</w:t>
      </w:r>
      <w:r w:rsidR="09B62343">
        <w:t>,</w:t>
      </w:r>
      <w:r w:rsidRPr="16982F57">
        <w:t xml:space="preserve"> as an indicator for the standard</w:t>
      </w:r>
      <w:r w:rsidR="003E1115">
        <w:t xml:space="preserve">, while previous standards </w:t>
      </w:r>
      <w:r w:rsidR="00D6264D">
        <w:t>were based on particulate matter that was inclusive of larger size particles</w:t>
      </w:r>
      <w:r w:rsidRPr="16982F57">
        <w:t>. The first PM</w:t>
      </w:r>
      <w:r w:rsidRPr="16982F57">
        <w:rPr>
          <w:vertAlign w:val="subscript"/>
        </w:rPr>
        <w:t>2.5</w:t>
      </w:r>
      <w:r w:rsidRPr="16982F57">
        <w:t xml:space="preserve"> standards were set at a level of 15 micrograms per cubic meter (µg/m</w:t>
      </w:r>
      <w:r w:rsidRPr="16982F57">
        <w:rPr>
          <w:vertAlign w:val="superscript"/>
        </w:rPr>
        <w:t>3</w:t>
      </w:r>
      <w:r w:rsidRPr="16982F57">
        <w:t>) on an annual average and 65 µg/m</w:t>
      </w:r>
      <w:r w:rsidRPr="16982F57">
        <w:rPr>
          <w:vertAlign w:val="superscript"/>
        </w:rPr>
        <w:t>3</w:t>
      </w:r>
      <w:r w:rsidRPr="16982F57">
        <w:t xml:space="preserve"> on a 24-hour average. In 2005, several areas within Georgia were designated as nonattainment for the PM</w:t>
      </w:r>
      <w:r w:rsidRPr="16982F57">
        <w:rPr>
          <w:vertAlign w:val="subscript"/>
        </w:rPr>
        <w:t xml:space="preserve">2.5 </w:t>
      </w:r>
      <w:r w:rsidRPr="16982F57">
        <w:t xml:space="preserve">annual standard, including the Atlanta, Floyd County, Macon, and Chattanooga areas. </w:t>
      </w:r>
      <w:r w:rsidRPr="00DB7156">
        <w:t xml:space="preserve">All areas in Georgia have since been redesignated to attainment </w:t>
      </w:r>
      <w:r w:rsidR="001834DA">
        <w:t>for</w:t>
      </w:r>
      <w:r w:rsidR="001834DA" w:rsidRPr="00DB7156">
        <w:t xml:space="preserve"> </w:t>
      </w:r>
      <w:r w:rsidRPr="00DB7156">
        <w:t xml:space="preserve">the </w:t>
      </w:r>
      <w:r w:rsidRPr="16982F57">
        <w:t>1997 PM</w:t>
      </w:r>
      <w:r w:rsidRPr="16982F57">
        <w:rPr>
          <w:vertAlign w:val="subscript"/>
        </w:rPr>
        <w:t>2.5</w:t>
      </w:r>
      <w:r w:rsidRPr="16982F57">
        <w:t xml:space="preserve"> annual standard</w:t>
      </w:r>
      <w:r w:rsidRPr="00DB7156">
        <w:t xml:space="preserve">.  </w:t>
      </w:r>
    </w:p>
    <w:p w14:paraId="33BF8DFB" w14:textId="0B43C19B" w:rsidR="00487D07" w:rsidRPr="002468FD" w:rsidRDefault="00487D07" w:rsidP="002468FD">
      <w:r w:rsidRPr="16982F57">
        <w:t>In September 2006, EPA retained the annual standard but lowered the 24-hour standard from 65 µg/m</w:t>
      </w:r>
      <w:r w:rsidRPr="16982F57">
        <w:rPr>
          <w:vertAlign w:val="superscript"/>
        </w:rPr>
        <w:t>3</w:t>
      </w:r>
      <w:r w:rsidRPr="16982F57">
        <w:t xml:space="preserve"> to 35 µg/m</w:t>
      </w:r>
      <w:r w:rsidRPr="16982F57">
        <w:rPr>
          <w:vertAlign w:val="superscript"/>
        </w:rPr>
        <w:t>3</w:t>
      </w:r>
      <w:r w:rsidRPr="16982F57">
        <w:t xml:space="preserve">. In 2009, all areas in Georgia were designated as attainment for </w:t>
      </w:r>
      <w:r w:rsidRPr="00DB7156">
        <w:t xml:space="preserve">the more stringent 24-hour standard.      </w:t>
      </w:r>
    </w:p>
    <w:p w14:paraId="5D7E37B5" w14:textId="61C90C3E" w:rsidR="00487D07" w:rsidRDefault="00487D07" w:rsidP="002468FD">
      <w:r w:rsidRPr="00DB7156">
        <w:t xml:space="preserve">In December 2012, EPA lowered the annual standard </w:t>
      </w:r>
      <w:r>
        <w:t>for PM</w:t>
      </w:r>
      <w:r w:rsidRPr="00690F00">
        <w:rPr>
          <w:vertAlign w:val="subscript"/>
        </w:rPr>
        <w:t>2.5</w:t>
      </w:r>
      <w:r>
        <w:t xml:space="preserve"> </w:t>
      </w:r>
      <w:r w:rsidRPr="00DB7156">
        <w:t>to 12 µg/m</w:t>
      </w:r>
      <w:r w:rsidRPr="00DB7156">
        <w:rPr>
          <w:vertAlign w:val="superscript"/>
        </w:rPr>
        <w:t>3</w:t>
      </w:r>
      <w:r w:rsidRPr="00DB7156">
        <w:t>. In April 2015, most areas in Georgia were designated as attainment for the more stringent annual standard</w:t>
      </w:r>
      <w:r>
        <w:t xml:space="preserve"> and o</w:t>
      </w:r>
      <w:r w:rsidRPr="00DB7156">
        <w:t>ne year later, EPA designated the remaining areas as attainment for the 2012 standard</w:t>
      </w:r>
      <w:r w:rsidR="00646234">
        <w:t xml:space="preserve"> after </w:t>
      </w:r>
      <w:r w:rsidR="005C4A14">
        <w:t xml:space="preserve">the state of Georgia collected </w:t>
      </w:r>
      <w:r w:rsidR="00646234">
        <w:t>additional monitoring data</w:t>
      </w:r>
      <w:r w:rsidRPr="00DB7156">
        <w:t>.</w:t>
      </w:r>
    </w:p>
    <w:p w14:paraId="1E8CC0C9" w14:textId="71B5CC8A" w:rsidR="00865FF2" w:rsidRPr="00A726D8" w:rsidRDefault="00865FF2" w:rsidP="002468FD">
      <w:r>
        <w:t>In December 2020,</w:t>
      </w:r>
      <w:r w:rsidRPr="00A726D8">
        <w:t xml:space="preserve"> EPA published a </w:t>
      </w:r>
      <w:r>
        <w:t>final rule</w:t>
      </w:r>
      <w:r w:rsidRPr="00A726D8">
        <w:t xml:space="preserve"> to retain the particulate matter NAAQS</w:t>
      </w:r>
      <w:r>
        <w:t xml:space="preserve"> last updated in 2012</w:t>
      </w:r>
      <w:r w:rsidRPr="00A726D8">
        <w:t xml:space="preserve">, without revision.  </w:t>
      </w:r>
      <w:r w:rsidRPr="00764E94">
        <w:t xml:space="preserve">All areas in Georgia </w:t>
      </w:r>
      <w:r>
        <w:t xml:space="preserve">and Alabama </w:t>
      </w:r>
      <w:r w:rsidRPr="00764E94">
        <w:t xml:space="preserve">continue to be in attainment with the current standards. </w:t>
      </w:r>
    </w:p>
    <w:p w14:paraId="10A599F0" w14:textId="172A767B" w:rsidR="00C53589" w:rsidRPr="002468FD" w:rsidRDefault="452F723E" w:rsidP="00865FF2">
      <w:r w:rsidRPr="00505306">
        <w:t>In June 2021,</w:t>
      </w:r>
      <w:r w:rsidR="00C53589" w:rsidRPr="00505306">
        <w:t xml:space="preserve"> EPA announced that it is reconsidering the </w:t>
      </w:r>
      <w:r w:rsidR="00941F04">
        <w:t xml:space="preserve">December 2020 </w:t>
      </w:r>
      <w:r w:rsidR="00C53589" w:rsidRPr="00505306">
        <w:t xml:space="preserve">decision to retain the primary and secondary NAAQS for PM </w:t>
      </w:r>
      <w:r w:rsidR="00437BF4">
        <w:t>because it now believes the standards may not be protective enough</w:t>
      </w:r>
      <w:r w:rsidR="00C53589" w:rsidRPr="00505306">
        <w:t xml:space="preserve">.  </w:t>
      </w:r>
      <w:r w:rsidR="00951E35" w:rsidRPr="00951E35">
        <w:t>EPA expects to issue a proposed rulemaking in Summer 2022 and a final rule in Spring 2023.</w:t>
      </w:r>
    </w:p>
    <w:p w14:paraId="18CC8FE0" w14:textId="18008377" w:rsidR="00865FF2" w:rsidRPr="0062034A" w:rsidRDefault="00865FF2" w:rsidP="00877775">
      <w:pPr>
        <w:pStyle w:val="Heading4"/>
        <w:rPr>
          <w:rFonts w:cs="Arial"/>
          <w:color w:val="000080"/>
          <w:szCs w:val="24"/>
        </w:rPr>
      </w:pPr>
      <w:r w:rsidRPr="0062034A">
        <w:t>NO</w:t>
      </w:r>
      <w:r w:rsidR="003D7D7F" w:rsidRPr="002A1FB4">
        <w:rPr>
          <w:vertAlign w:val="subscript"/>
        </w:rPr>
        <w:t>2</w:t>
      </w:r>
      <w:r w:rsidRPr="0062034A">
        <w:t xml:space="preserve"> and SO</w:t>
      </w:r>
      <w:r w:rsidRPr="00B018EC">
        <w:rPr>
          <w:rFonts w:cs="Arial"/>
          <w:color w:val="000080"/>
          <w:szCs w:val="24"/>
          <w:vertAlign w:val="subscript"/>
        </w:rPr>
        <w:t>2</w:t>
      </w:r>
    </w:p>
    <w:p w14:paraId="6F210FB0" w14:textId="0372A5F2" w:rsidR="00437BF4" w:rsidRDefault="00865FF2" w:rsidP="00437BF4">
      <w:r w:rsidRPr="00764E94">
        <w:t>In 2010, EPA significantly revised the NO</w:t>
      </w:r>
      <w:r w:rsidRPr="00764E94">
        <w:rPr>
          <w:vertAlign w:val="subscript"/>
        </w:rPr>
        <w:t>2</w:t>
      </w:r>
      <w:r w:rsidR="4C467168" w:rsidRPr="6017A90B">
        <w:rPr>
          <w:vertAlign w:val="subscript"/>
        </w:rPr>
        <w:t>,</w:t>
      </w:r>
      <w:r w:rsidR="0022531D">
        <w:rPr>
          <w:vertAlign w:val="subscript"/>
        </w:rPr>
        <w:t xml:space="preserve"> </w:t>
      </w:r>
      <w:r w:rsidRPr="00764E94">
        <w:t>and SO</w:t>
      </w:r>
      <w:r w:rsidRPr="00764E94">
        <w:rPr>
          <w:vertAlign w:val="subscript"/>
        </w:rPr>
        <w:t>2</w:t>
      </w:r>
      <w:r>
        <w:t xml:space="preserve"> </w:t>
      </w:r>
      <w:r w:rsidRPr="00764E94">
        <w:t>NAAQS to include new primary 1-hour standards</w:t>
      </w:r>
      <w:r>
        <w:t xml:space="preserve">. </w:t>
      </w:r>
      <w:r w:rsidR="001D7557">
        <w:t xml:space="preserve">No areas in Georgia or Alabama were designated as nonattainment for </w:t>
      </w:r>
      <w:r w:rsidR="003E7062" w:rsidRPr="00764E94">
        <w:t>NO</w:t>
      </w:r>
      <w:r w:rsidR="003E7062" w:rsidRPr="00764E94">
        <w:rPr>
          <w:vertAlign w:val="subscript"/>
        </w:rPr>
        <w:t>2</w:t>
      </w:r>
      <w:r w:rsidR="001D7557">
        <w:t xml:space="preserve">, and the </w:t>
      </w:r>
      <w:r w:rsidR="00E524F9">
        <w:t xml:space="preserve">main </w:t>
      </w:r>
      <w:r w:rsidR="001D7557">
        <w:t xml:space="preserve">impact of the more stringent </w:t>
      </w:r>
      <w:r w:rsidR="003E7062" w:rsidRPr="00764E94">
        <w:t>NO</w:t>
      </w:r>
      <w:r w:rsidR="003E7062" w:rsidRPr="00764E94">
        <w:rPr>
          <w:vertAlign w:val="subscript"/>
        </w:rPr>
        <w:t>2</w:t>
      </w:r>
      <w:r w:rsidR="001D7557">
        <w:t xml:space="preserve"> standard has been on </w:t>
      </w:r>
      <w:r w:rsidR="009B7260">
        <w:t xml:space="preserve">modeling requirements related to </w:t>
      </w:r>
      <w:r w:rsidR="001D7557">
        <w:t xml:space="preserve">permitting of </w:t>
      </w:r>
      <w:r w:rsidR="00E524F9">
        <w:t xml:space="preserve">new facilities. For </w:t>
      </w:r>
      <w:r w:rsidR="003E7062" w:rsidRPr="00764E94">
        <w:t>SO</w:t>
      </w:r>
      <w:r w:rsidR="003E7062" w:rsidRPr="00764E94">
        <w:rPr>
          <w:vertAlign w:val="subscript"/>
        </w:rPr>
        <w:t>2</w:t>
      </w:r>
      <w:r w:rsidR="00E524F9">
        <w:t>, b</w:t>
      </w:r>
      <w:r w:rsidRPr="00764E94">
        <w:t xml:space="preserve">eginning in 2012, EPA embarked on a stepwise approach to making initial area designations for the </w:t>
      </w:r>
      <w:r>
        <w:t xml:space="preserve">2010 </w:t>
      </w:r>
      <w:r w:rsidRPr="00764E94">
        <w:t>standard</w:t>
      </w:r>
      <w:r w:rsidR="009C7297">
        <w:t xml:space="preserve">, ultimately concluding </w:t>
      </w:r>
      <w:r w:rsidR="00347BDE">
        <w:t xml:space="preserve">the process in 2020 and </w:t>
      </w:r>
      <w:r w:rsidR="009A56CC">
        <w:t xml:space="preserve">resulting in </w:t>
      </w:r>
      <w:r w:rsidR="003A0930">
        <w:t xml:space="preserve">no areas </w:t>
      </w:r>
      <w:r w:rsidR="009C7297">
        <w:t xml:space="preserve">in Georgia </w:t>
      </w:r>
      <w:r w:rsidR="003A0930">
        <w:t xml:space="preserve">or Alabama </w:t>
      </w:r>
      <w:r w:rsidR="009C7297">
        <w:t xml:space="preserve">designated as </w:t>
      </w:r>
      <w:r w:rsidR="003A0930">
        <w:t>non</w:t>
      </w:r>
      <w:r w:rsidR="009C7297">
        <w:t>attainment</w:t>
      </w:r>
      <w:r w:rsidRPr="00764E94">
        <w:t xml:space="preserve">. </w:t>
      </w:r>
    </w:p>
    <w:p w14:paraId="563886A2" w14:textId="6C94AD23" w:rsidR="00865FF2" w:rsidRDefault="00865FF2" w:rsidP="002468FD">
      <w:r w:rsidRPr="00764E94">
        <w:t>In April 2018 and March 2019, respectively, EPA retained the primary NO</w:t>
      </w:r>
      <w:r w:rsidRPr="00764E94">
        <w:rPr>
          <w:vertAlign w:val="subscript"/>
        </w:rPr>
        <w:t>2</w:t>
      </w:r>
      <w:r w:rsidRPr="00764E94">
        <w:t xml:space="preserve"> and SO</w:t>
      </w:r>
      <w:r w:rsidRPr="00764E94">
        <w:rPr>
          <w:vertAlign w:val="subscript"/>
        </w:rPr>
        <w:t>2</w:t>
      </w:r>
      <w:r w:rsidRPr="00764E94">
        <w:t xml:space="preserve"> standards, without revision.  </w:t>
      </w:r>
    </w:p>
    <w:p w14:paraId="648A6D40" w14:textId="6054DC8D" w:rsidR="00865FF2" w:rsidRPr="007A0D81" w:rsidRDefault="009006A7" w:rsidP="002531D4">
      <w:pPr>
        <w:pStyle w:val="Heading3"/>
      </w:pPr>
      <w:bookmarkStart w:id="39" w:name="_Toc94197889"/>
      <w:r>
        <w:t>3.</w:t>
      </w:r>
      <w:r w:rsidR="009A61AB">
        <w:t>4.</w:t>
      </w:r>
      <w:r w:rsidR="00A547FF">
        <w:t>4</w:t>
      </w:r>
      <w:r>
        <w:t xml:space="preserve"> CSAPR</w:t>
      </w:r>
      <w:bookmarkEnd w:id="39"/>
    </w:p>
    <w:p w14:paraId="6C7CD903" w14:textId="7BFF9932" w:rsidR="00E861F9" w:rsidRDefault="00E861F9" w:rsidP="002468FD">
      <w:pPr>
        <w:rPr>
          <w:rFonts w:eastAsia="Calibri" w:cs="Arial"/>
        </w:rPr>
      </w:pPr>
      <w:r>
        <w:t>I</w:t>
      </w:r>
      <w:r w:rsidRPr="00DB7156">
        <w:t>n July</w:t>
      </w:r>
      <w:r>
        <w:t xml:space="preserve"> </w:t>
      </w:r>
      <w:r w:rsidRPr="00DB7156">
        <w:t>2011</w:t>
      </w:r>
      <w:r w:rsidR="00296E63">
        <w:t>,</w:t>
      </w:r>
      <w:r w:rsidRPr="00DB7156">
        <w:t xml:space="preserve"> EPA released the final CSAPR </w:t>
      </w:r>
      <w:r w:rsidR="00502FFB">
        <w:t>Rule</w:t>
      </w:r>
      <w:r w:rsidR="252F8F53">
        <w:t xml:space="preserve"> </w:t>
      </w:r>
      <w:r w:rsidR="726914C7">
        <w:t>(</w:t>
      </w:r>
      <w:r w:rsidR="00AD4035">
        <w:t xml:space="preserve">40 CFR </w:t>
      </w:r>
      <w:r w:rsidR="002D5E53">
        <w:t>Part 97)</w:t>
      </w:r>
      <w:r w:rsidR="24A0FB92">
        <w:t>,</w:t>
      </w:r>
      <w:r w:rsidR="00C04596">
        <w:t xml:space="preserve"> </w:t>
      </w:r>
      <w:r w:rsidR="00C04596" w:rsidRPr="00CC0123">
        <w:t>which has replaced previous interstate transport rules such as the CAIR an</w:t>
      </w:r>
      <w:r w:rsidR="00C04596" w:rsidRPr="00A51F39">
        <w:t xml:space="preserve">d the </w:t>
      </w:r>
      <w:r w:rsidR="005C6FB7" w:rsidRPr="00DB7156">
        <w:t>NO</w:t>
      </w:r>
      <w:r w:rsidR="005C6FB7" w:rsidRPr="00DB7156">
        <w:rPr>
          <w:vertAlign w:val="subscript"/>
        </w:rPr>
        <w:t>x</w:t>
      </w:r>
      <w:r w:rsidR="005C6FB7" w:rsidRPr="00A51F39" w:rsidDel="005C6FB7">
        <w:t xml:space="preserve"> </w:t>
      </w:r>
      <w:r w:rsidR="00C04596" w:rsidRPr="00A51F39">
        <w:t>Budget Trading Program</w:t>
      </w:r>
      <w:r w:rsidR="00502FFB">
        <w:t xml:space="preserve">. </w:t>
      </w:r>
      <w:r w:rsidRPr="00DB7156">
        <w:t>The final rule applied to 27 states, including Georgia and Alabama. CSAPR established annual allowance trading program</w:t>
      </w:r>
      <w:r>
        <w:t>s</w:t>
      </w:r>
      <w:r w:rsidRPr="00DB7156">
        <w:t xml:space="preserve"> for SO</w:t>
      </w:r>
      <w:r w:rsidRPr="00DB7156">
        <w:rPr>
          <w:vertAlign w:val="subscript"/>
        </w:rPr>
        <w:t>2</w:t>
      </w:r>
      <w:r w:rsidR="510204B4" w:rsidRPr="1FD948F7">
        <w:rPr>
          <w:vertAlign w:val="subscript"/>
        </w:rPr>
        <w:t>,</w:t>
      </w:r>
      <w:r w:rsidRPr="00DB7156">
        <w:t xml:space="preserve"> and </w:t>
      </w:r>
      <w:r w:rsidR="005C6FB7" w:rsidRPr="00DB7156">
        <w:t>NO</w:t>
      </w:r>
      <w:r w:rsidR="005C6FB7" w:rsidRPr="00DB7156">
        <w:rPr>
          <w:vertAlign w:val="subscript"/>
        </w:rPr>
        <w:t>x</w:t>
      </w:r>
      <w:r w:rsidR="7FB4BB1C" w:rsidRPr="494D61FE">
        <w:rPr>
          <w:vertAlign w:val="subscript"/>
        </w:rPr>
        <w:t>,</w:t>
      </w:r>
      <w:r w:rsidRPr="00DB7156">
        <w:t xml:space="preserve"> to reduce transport of fine particulate matter under the 1997 NAAQS and a separate ozone season NO</w:t>
      </w:r>
      <w:r w:rsidRPr="00DB7156">
        <w:rPr>
          <w:vertAlign w:val="subscript"/>
        </w:rPr>
        <w:t>x</w:t>
      </w:r>
      <w:r w:rsidRPr="00DB7156">
        <w:t xml:space="preserve"> allowance trading program to reduce ground-level ozone under the 1997 standard. However, </w:t>
      </w:r>
      <w:r>
        <w:t>i</w:t>
      </w:r>
      <w:r w:rsidRPr="00DB7156">
        <w:t>n a significant departure from past federal allowance trading programs, CSAPR only allowed for limited interstate trading. The rule divided states into two groups for purposes of SO</w:t>
      </w:r>
      <w:r w:rsidRPr="00DB7156">
        <w:rPr>
          <w:vertAlign w:val="subscript"/>
        </w:rPr>
        <w:t>2</w:t>
      </w:r>
      <w:r w:rsidRPr="00DB7156">
        <w:t xml:space="preserve"> allowance trading – Group 1 and Group 2</w:t>
      </w:r>
      <w:r w:rsidR="0061599E">
        <w:t xml:space="preserve"> and </w:t>
      </w:r>
      <w:r w:rsidRPr="00DB7156">
        <w:t>prohibited trading across the two groups.  In addition, CSAPR established SO</w:t>
      </w:r>
      <w:r w:rsidRPr="00DB7156">
        <w:rPr>
          <w:vertAlign w:val="subscript"/>
        </w:rPr>
        <w:t>2</w:t>
      </w:r>
      <w:r w:rsidRPr="00DB7156">
        <w:t xml:space="preserve"> and NO</w:t>
      </w:r>
      <w:r w:rsidRPr="00DB7156">
        <w:rPr>
          <w:vertAlign w:val="subscript"/>
        </w:rPr>
        <w:t>x</w:t>
      </w:r>
      <w:r w:rsidRPr="00DB7156">
        <w:t xml:space="preserve"> emissions budgets for each affected state</w:t>
      </w:r>
      <w:r w:rsidR="54B7834B">
        <w:t>,</w:t>
      </w:r>
      <w:r w:rsidRPr="00DB7156">
        <w:t xml:space="preserve"> but CSAPR prohibited states from exceeding their state-wide budgets by more than a set percentage, referred to as the “variability limit.” </w:t>
      </w:r>
    </w:p>
    <w:p w14:paraId="359D3EBE" w14:textId="25751C94" w:rsidR="00E861F9" w:rsidRDefault="00507D4C" w:rsidP="002468FD">
      <w:r>
        <w:t>I</w:t>
      </w:r>
      <w:r w:rsidRPr="00DB7156">
        <w:t xml:space="preserve">n August 2012, the D.C. Circuit Court vacated and remanded CSAPR and directed EPA to continue administering CAIR pending completion of a remand rulemaking to replace CSAPR with a valid rule. </w:t>
      </w:r>
      <w:r>
        <w:t>I</w:t>
      </w:r>
      <w:r w:rsidRPr="00DB7156">
        <w:t>n October 2014, the D.C. Circuit</w:t>
      </w:r>
      <w:r>
        <w:t xml:space="preserve"> Court</w:t>
      </w:r>
      <w:r w:rsidRPr="00DB7156">
        <w:t xml:space="preserve"> granted</w:t>
      </w:r>
      <w:r w:rsidR="0061599E">
        <w:t xml:space="preserve"> an</w:t>
      </w:r>
      <w:r w:rsidRPr="00DB7156">
        <w:t xml:space="preserve"> EPA motion to lift the stay of CSAPR and toll the compliance deadlines by three years, so that CSAPR's Phase 1 emission budgets would apply in 2015 and Phase 2 emission budgets would apply in 2017 and subsequent years. This reinstatement of CSAPR replaced CAIR.</w:t>
      </w:r>
    </w:p>
    <w:p w14:paraId="6F806A32" w14:textId="5F5832F8" w:rsidR="00865FF2" w:rsidRPr="002E0A92" w:rsidRDefault="00941814" w:rsidP="002468FD">
      <w:r>
        <w:t xml:space="preserve">In September 2016, EPA finalized the </w:t>
      </w:r>
      <w:r w:rsidRPr="00100693">
        <w:t xml:space="preserve">Cross State Air Pollution Rule Update </w:t>
      </w:r>
      <w:r w:rsidRPr="0AF8DB6F">
        <w:t>(“</w:t>
      </w:r>
      <w:r w:rsidRPr="00100693">
        <w:t>CSAPR Update Rule</w:t>
      </w:r>
      <w:r w:rsidRPr="0AF8DB6F">
        <w:t>”)</w:t>
      </w:r>
      <w:r w:rsidR="00A3466E">
        <w:t xml:space="preserve"> to address interstate transport related to the 2008 ozone NAAQS</w:t>
      </w:r>
      <w:r w:rsidR="0087279F">
        <w:t>, creating two groups for ozone allowances</w:t>
      </w:r>
      <w:r w:rsidR="00A3466E">
        <w:t xml:space="preserve">. </w:t>
      </w:r>
      <w:r w:rsidR="0087279F">
        <w:t xml:space="preserve">Georgia </w:t>
      </w:r>
      <w:r w:rsidR="006C4F51">
        <w:t>wa</w:t>
      </w:r>
      <w:r w:rsidR="0087279F">
        <w:t xml:space="preserve">s the only state </w:t>
      </w:r>
      <w:r w:rsidR="006C4F51">
        <w:t xml:space="preserve">remaining </w:t>
      </w:r>
      <w:r w:rsidR="0087279F">
        <w:t xml:space="preserve">in Group 1, which means </w:t>
      </w:r>
      <w:r w:rsidR="003048CB">
        <w:t xml:space="preserve">allowance allocations were unchanged but </w:t>
      </w:r>
      <w:r w:rsidR="0087279F">
        <w:t xml:space="preserve">facilities in Georgia </w:t>
      </w:r>
      <w:r w:rsidR="003048CB">
        <w:t xml:space="preserve">could no longer </w:t>
      </w:r>
      <w:r w:rsidR="0087279F">
        <w:t xml:space="preserve">trade allowances outside of the state. Alabama </w:t>
      </w:r>
      <w:r w:rsidR="006C4F51">
        <w:t>wa</w:t>
      </w:r>
      <w:r w:rsidR="0087279F">
        <w:t xml:space="preserve">s </w:t>
      </w:r>
      <w:r w:rsidR="003048CB">
        <w:t xml:space="preserve">among 22 states </w:t>
      </w:r>
      <w:r w:rsidR="00301D52">
        <w:t xml:space="preserve">placed in Group 2 </w:t>
      </w:r>
      <w:r w:rsidR="003048CB">
        <w:t xml:space="preserve">that </w:t>
      </w:r>
      <w:r w:rsidR="00D70FD8">
        <w:t xml:space="preserve">could trade with each other but </w:t>
      </w:r>
      <w:r w:rsidR="00301D52">
        <w:t xml:space="preserve">had allowance allocations reduced as a result of the CSAPR Update Rule. </w:t>
      </w:r>
      <w:r w:rsidR="00865FF2" w:rsidRPr="00100693">
        <w:t xml:space="preserve">In October 2020, EPA </w:t>
      </w:r>
      <w:r w:rsidR="00865FF2">
        <w:t>issued</w:t>
      </w:r>
      <w:r w:rsidR="00865FF2" w:rsidRPr="00100693">
        <w:t xml:space="preserve"> a proposal to revise the </w:t>
      </w:r>
      <w:r w:rsidR="00A3466E">
        <w:t xml:space="preserve">CSAPR Update Rule </w:t>
      </w:r>
      <w:r w:rsidR="00865FF2" w:rsidRPr="00100693">
        <w:t>in response to the D.C. Circuit Court</w:t>
      </w:r>
      <w:r w:rsidR="00865FF2" w:rsidRPr="2B377831">
        <w:t xml:space="preserve"> of Appeal’s </w:t>
      </w:r>
      <w:r w:rsidR="00A3466E">
        <w:t xml:space="preserve">decision to </w:t>
      </w:r>
      <w:r w:rsidR="00865FF2" w:rsidRPr="2B377831">
        <w:t xml:space="preserve">remand </w:t>
      </w:r>
      <w:r w:rsidR="00A3466E">
        <w:t>the rule back to EPA</w:t>
      </w:r>
      <w:r w:rsidR="00865FF2" w:rsidRPr="2B377831">
        <w:t>.</w:t>
      </w:r>
      <w:r w:rsidR="00865FF2" w:rsidRPr="00100693">
        <w:t> </w:t>
      </w:r>
      <w:r w:rsidR="00865FF2">
        <w:t>Alabama’s emissions budget remains unchanged</w:t>
      </w:r>
      <w:r w:rsidR="00F4207C">
        <w:t>, and</w:t>
      </w:r>
      <w:r w:rsidR="00865FF2" w:rsidRPr="00100693">
        <w:t xml:space="preserve"> this rule does not include Georgia, which is covered in Group 1.</w:t>
      </w:r>
      <w:r w:rsidR="00D911D9">
        <w:t xml:space="preserve"> However, the revision led to the creation of Group 3</w:t>
      </w:r>
      <w:r w:rsidR="00FC7C74">
        <w:t xml:space="preserve"> and a reduction in the number of states in Group 2, which may affect the allowance market for both groups.</w:t>
      </w:r>
    </w:p>
    <w:p w14:paraId="1DAA5C44" w14:textId="22ED8569" w:rsidR="00A90A56" w:rsidRDefault="00B80322" w:rsidP="00A90A56">
      <w:r>
        <w:t>In</w:t>
      </w:r>
      <w:r w:rsidRPr="00B80322">
        <w:t xml:space="preserve"> October </w:t>
      </w:r>
      <w:r>
        <w:t>2021</w:t>
      </w:r>
      <w:r w:rsidRPr="00B80322">
        <w:t>, EPA published a Federal Register notice announcing that the Agency has proposed a consent decree with several environmental groups related to the 2015 ozone NAAQS.  The proposed consent decree would establish deadlines for EPA to act on 32 SIP submissions</w:t>
      </w:r>
      <w:r w:rsidR="00DC0D41">
        <w:t>, including Alabama and Georgia,</w:t>
      </w:r>
      <w:r w:rsidRPr="00B80322">
        <w:t xml:space="preserve"> addressing interstate pollution transport for the 2015 ozone NAAQS.</w:t>
      </w:r>
      <w:r w:rsidR="00A90A56">
        <w:t xml:space="preserve">  </w:t>
      </w:r>
      <w:r w:rsidR="00B8453C" w:rsidRPr="00B8453C">
        <w:t xml:space="preserve"> </w:t>
      </w:r>
      <w:r w:rsidR="00B8453C">
        <w:t xml:space="preserve">On December 1, EPA issued a final rule approving interstate transport provisions for the 2015 8-Hour ozone </w:t>
      </w:r>
      <w:r w:rsidR="00E75813">
        <w:t xml:space="preserve">standard </w:t>
      </w:r>
      <w:r w:rsidR="00B8453C">
        <w:t xml:space="preserve">for </w:t>
      </w:r>
      <w:r w:rsidR="00FF383C">
        <w:t>Georgia but</w:t>
      </w:r>
      <w:r w:rsidR="00573C28">
        <w:t xml:space="preserve"> has not yet acted on the Alabama SIP</w:t>
      </w:r>
      <w:r w:rsidR="00B8453C">
        <w:t>. </w:t>
      </w:r>
      <w:r w:rsidR="776A933D">
        <w:t xml:space="preserve"> EPA’s most recent regulatory agenda indicates that it may issue a proposed rule addressing interstate transport related to the 2015 ozone standard in March of 2022</w:t>
      </w:r>
      <w:r w:rsidR="38D11078">
        <w:t xml:space="preserve">, which would likely not </w:t>
      </w:r>
      <w:r w:rsidR="22A790C3">
        <w:t xml:space="preserve">affect states like Georgia for which these </w:t>
      </w:r>
      <w:r w:rsidR="58A37019">
        <w:t>requirements</w:t>
      </w:r>
      <w:r w:rsidR="22A790C3">
        <w:t xml:space="preserve"> </w:t>
      </w:r>
      <w:r w:rsidR="4EE959E6">
        <w:t>are already</w:t>
      </w:r>
      <w:r w:rsidR="58A37019">
        <w:t xml:space="preserve"> resolved.</w:t>
      </w:r>
    </w:p>
    <w:p w14:paraId="2C76EE9C" w14:textId="5A56AAE8" w:rsidR="00865FF2" w:rsidRPr="00624405" w:rsidRDefault="006E47BF" w:rsidP="002531D4">
      <w:pPr>
        <w:pStyle w:val="Heading3"/>
        <w:rPr>
          <w:rFonts w:cs="Arial"/>
          <w:color w:val="000080"/>
        </w:rPr>
      </w:pPr>
      <w:hyperlink r:id="rId30" w:anchor="_Toc535908073">
        <w:bookmarkStart w:id="40" w:name="_Toc94197890"/>
        <w:r w:rsidR="00304977" w:rsidRPr="00444A50">
          <w:t>3.</w:t>
        </w:r>
      </w:hyperlink>
      <w:r w:rsidR="009A61AB" w:rsidRPr="00444A50">
        <w:t>4.</w:t>
      </w:r>
      <w:r w:rsidR="00A547FF">
        <w:t>5</w:t>
      </w:r>
      <w:r w:rsidR="00504CED">
        <w:t xml:space="preserve"> </w:t>
      </w:r>
      <w:r w:rsidR="00865FF2" w:rsidRPr="00444A50">
        <w:t xml:space="preserve">Mercury and Air Toxics Standards </w:t>
      </w:r>
      <w:r w:rsidR="00406E50" w:rsidRPr="00444A50">
        <w:t xml:space="preserve">for </w:t>
      </w:r>
      <w:r w:rsidR="00865FF2" w:rsidRPr="00624405">
        <w:rPr>
          <w:rFonts w:cs="Arial"/>
          <w:color w:val="000080"/>
        </w:rPr>
        <w:t>Coal-Fired EGUs</w:t>
      </w:r>
      <w:bookmarkEnd w:id="40"/>
    </w:p>
    <w:p w14:paraId="5EAF6D4C" w14:textId="416664E9" w:rsidR="0035504B" w:rsidRPr="00DB7156" w:rsidRDefault="00567CBB" w:rsidP="002468FD">
      <w:r>
        <w:rPr>
          <w:bCs/>
        </w:rPr>
        <w:t>EPA issued the MATS R</w:t>
      </w:r>
      <w:r w:rsidRPr="00DB7156">
        <w:rPr>
          <w:bCs/>
        </w:rPr>
        <w:t>ule</w:t>
      </w:r>
      <w:r w:rsidR="013ECB3D">
        <w:t xml:space="preserve"> </w:t>
      </w:r>
      <w:r w:rsidR="000376ED">
        <w:t>(</w:t>
      </w:r>
      <w:r w:rsidR="013ECB3D" w:rsidRPr="743B6A0E">
        <w:rPr>
          <w:rFonts w:eastAsia="Arial" w:cs="Arial"/>
          <w:color w:val="000000" w:themeColor="text1"/>
        </w:rPr>
        <w:t xml:space="preserve">40 CFR </w:t>
      </w:r>
      <w:r w:rsidR="00D14DFF">
        <w:rPr>
          <w:rFonts w:eastAsia="Arial" w:cs="Arial"/>
          <w:color w:val="000000" w:themeColor="text1"/>
        </w:rPr>
        <w:t>Part</w:t>
      </w:r>
      <w:r w:rsidR="013ECB3D" w:rsidRPr="743B6A0E">
        <w:rPr>
          <w:rFonts w:eastAsia="Arial" w:cs="Arial"/>
          <w:color w:val="000000" w:themeColor="text1"/>
        </w:rPr>
        <w:t xml:space="preserve"> 63</w:t>
      </w:r>
      <w:r w:rsidR="00677E75">
        <w:rPr>
          <w:rFonts w:eastAsia="Arial" w:cs="Arial"/>
          <w:color w:val="000000" w:themeColor="text1"/>
        </w:rPr>
        <w:t xml:space="preserve"> Subpart UUUUU</w:t>
      </w:r>
      <w:r w:rsidR="000376ED">
        <w:rPr>
          <w:rFonts w:eastAsia="Arial" w:cs="Arial"/>
          <w:color w:val="000000" w:themeColor="text1"/>
        </w:rPr>
        <w:t>)</w:t>
      </w:r>
      <w:r w:rsidRPr="00DB7156">
        <w:rPr>
          <w:bCs/>
        </w:rPr>
        <w:t xml:space="preserve"> under Section 112 of the CAA</w:t>
      </w:r>
      <w:r>
        <w:rPr>
          <w:bCs/>
        </w:rPr>
        <w:t>.</w:t>
      </w:r>
      <w:r w:rsidRPr="00DB7156">
        <w:t xml:space="preserve"> The MATS </w:t>
      </w:r>
      <w:r>
        <w:t>R</w:t>
      </w:r>
      <w:r w:rsidRPr="00DB7156">
        <w:t xml:space="preserve">ule, which was finalized in April 2012, </w:t>
      </w:r>
      <w:r w:rsidRPr="00DB7156">
        <w:rPr>
          <w:bCs/>
        </w:rPr>
        <w:t>is a technology-based</w:t>
      </w:r>
      <w:r>
        <w:rPr>
          <w:bCs/>
        </w:rPr>
        <w:t xml:space="preserve"> command-and-control rule that</w:t>
      </w:r>
      <w:r w:rsidRPr="00DB7156">
        <w:t xml:space="preserve"> regulates mercury, acid gases and certain metal emissions from coal- and oil-fired </w:t>
      </w:r>
      <w:r w:rsidR="00CC71EB">
        <w:t>electric generating units</w:t>
      </w:r>
      <w:r w:rsidRPr="00DB7156">
        <w:t xml:space="preserve">. MATS establishes stringent emission limits based on </w:t>
      </w:r>
      <w:r w:rsidR="00E35036">
        <w:t xml:space="preserve">Maximum Achievable Control Technology </w:t>
      </w:r>
      <w:r w:rsidRPr="00DB7156">
        <w:t>for hazardous air pollutants. While the rule contains limited emissions averaging provisions, in general, the limits must be met on a unit-by-unit basis.</w:t>
      </w:r>
      <w:r w:rsidR="00A422B1">
        <w:t xml:space="preserve"> The </w:t>
      </w:r>
      <w:r w:rsidR="0035504B" w:rsidRPr="00DB7156">
        <w:t xml:space="preserve">compliance deadline for existing sources </w:t>
      </w:r>
      <w:r w:rsidR="00A422B1">
        <w:t>was</w:t>
      </w:r>
      <w:r w:rsidR="0035504B" w:rsidRPr="00DB7156">
        <w:t xml:space="preserve"> April 16, 2015</w:t>
      </w:r>
      <w:r w:rsidR="00C04596">
        <w:t>, with the possibility of extensions granted on a case-by-case basis</w:t>
      </w:r>
      <w:r w:rsidR="001462C7">
        <w:t>.</w:t>
      </w:r>
    </w:p>
    <w:p w14:paraId="5D4E24D2" w14:textId="394ABE5B" w:rsidR="63C35A69" w:rsidRDefault="310A1E72">
      <w:r>
        <w:t xml:space="preserve">In April 2016, EPA published </w:t>
      </w:r>
      <w:r w:rsidR="00A422B1">
        <w:t xml:space="preserve">a </w:t>
      </w:r>
      <w:r>
        <w:t xml:space="preserve">final </w:t>
      </w:r>
      <w:r w:rsidR="00A422B1">
        <w:t>rule</w:t>
      </w:r>
      <w:r>
        <w:t xml:space="preserve"> </w:t>
      </w:r>
      <w:r w:rsidR="02C95C7B">
        <w:t>f</w:t>
      </w:r>
      <w:r>
        <w:t xml:space="preserve">inding that it is </w:t>
      </w:r>
      <w:r w:rsidR="222EDF99">
        <w:t>a</w:t>
      </w:r>
      <w:r>
        <w:t>pp</w:t>
      </w:r>
      <w:r w:rsidR="092A25AF">
        <w:t xml:space="preserve">ropriate and </w:t>
      </w:r>
      <w:r w:rsidR="731C72AB">
        <w:t>n</w:t>
      </w:r>
      <w:r w:rsidR="092A25AF">
        <w:t xml:space="preserve">ecessary to </w:t>
      </w:r>
      <w:r w:rsidR="1A32DD7C">
        <w:t>r</w:t>
      </w:r>
      <w:r w:rsidR="092A25AF">
        <w:t xml:space="preserve">egulate </w:t>
      </w:r>
      <w:r w:rsidR="3A891CDA">
        <w:t>h</w:t>
      </w:r>
      <w:r w:rsidR="092A25AF">
        <w:t xml:space="preserve">azardous </w:t>
      </w:r>
      <w:r w:rsidR="186C8F00">
        <w:t>a</w:t>
      </w:r>
      <w:r w:rsidR="092A25AF">
        <w:t xml:space="preserve">ir </w:t>
      </w:r>
      <w:r w:rsidR="6F75A3A1">
        <w:t>p</w:t>
      </w:r>
      <w:r w:rsidR="092A25AF">
        <w:t xml:space="preserve">ollutants from </w:t>
      </w:r>
      <w:r w:rsidR="0E3DB242">
        <w:t>c</w:t>
      </w:r>
      <w:r w:rsidR="092A25AF">
        <w:t>oal</w:t>
      </w:r>
      <w:r w:rsidR="00B009F2">
        <w:t xml:space="preserve"> </w:t>
      </w:r>
      <w:r w:rsidR="01FE0400">
        <w:t>and oil-fired electric generating units</w:t>
      </w:r>
      <w:r w:rsidR="00A422B1">
        <w:t xml:space="preserve"> </w:t>
      </w:r>
      <w:r w:rsidR="01FE0400">
        <w:t>to address</w:t>
      </w:r>
      <w:r w:rsidR="58BCB50C">
        <w:t xml:space="preserve"> </w:t>
      </w:r>
      <w:r w:rsidR="141DCF99">
        <w:t xml:space="preserve">the </w:t>
      </w:r>
      <w:r w:rsidR="58BCB50C">
        <w:t xml:space="preserve">Supreme Court’s June 2015 decision that EPA </w:t>
      </w:r>
      <w:r w:rsidR="00121EAE">
        <w:t xml:space="preserve">did not appropriately </w:t>
      </w:r>
      <w:r w:rsidR="58BCB50C">
        <w:t>consider</w:t>
      </w:r>
      <w:r w:rsidR="16A7CD7B">
        <w:t xml:space="preserve"> the cost of compliance with the MATS rule before deciding whether the regulation </w:t>
      </w:r>
      <w:r w:rsidR="00121EAE">
        <w:t>wa</w:t>
      </w:r>
      <w:r w:rsidR="16A7CD7B">
        <w:t xml:space="preserve">s “appropriate and necessary.”  </w:t>
      </w:r>
      <w:r w:rsidR="6DA38772">
        <w:t xml:space="preserve">EPA concluded that a consideration of cost does not cause them to change the determination that regulation of HAP emissions from EGUs is appropriate and </w:t>
      </w:r>
      <w:r w:rsidR="680AB29F">
        <w:t>necessary.</w:t>
      </w:r>
    </w:p>
    <w:p w14:paraId="312A412A" w14:textId="6EA970DD" w:rsidR="00865FF2" w:rsidRPr="00680AB0" w:rsidRDefault="00865FF2" w:rsidP="002468FD">
      <w:r>
        <w:t>I</w:t>
      </w:r>
      <w:r w:rsidRPr="00680AB0">
        <w:t xml:space="preserve">n May 2020, EPA </w:t>
      </w:r>
      <w:r w:rsidR="003C54B1">
        <w:t xml:space="preserve">changed course and </w:t>
      </w:r>
      <w:r w:rsidRPr="00680AB0">
        <w:t xml:space="preserve">published a final rule </w:t>
      </w:r>
      <w:r w:rsidRPr="00680AB0">
        <w:rPr>
          <w:i/>
          <w:iCs/>
        </w:rPr>
        <w:t xml:space="preserve">Reconsideration of Supplemental Finding and Residual Risk and Technology Review </w:t>
      </w:r>
      <w:r w:rsidRPr="0AF8DB6F">
        <w:rPr>
          <w:i/>
          <w:iCs/>
        </w:rPr>
        <w:t>(“</w:t>
      </w:r>
      <w:r w:rsidRPr="00680AB0">
        <w:rPr>
          <w:i/>
          <w:iCs/>
        </w:rPr>
        <w:t>RTR</w:t>
      </w:r>
      <w:r w:rsidRPr="0AF8DB6F">
        <w:rPr>
          <w:i/>
          <w:iCs/>
        </w:rPr>
        <w:t>”)</w:t>
      </w:r>
      <w:r w:rsidR="000428C8">
        <w:rPr>
          <w:i/>
          <w:iCs/>
        </w:rPr>
        <w:t>.</w:t>
      </w:r>
      <w:r w:rsidRPr="00326C04">
        <w:t xml:space="preserve"> The rule concludes that the </w:t>
      </w:r>
      <w:r w:rsidR="000428C8">
        <w:t xml:space="preserve">2016 action </w:t>
      </w:r>
      <w:r w:rsidRPr="00326C04">
        <w:t>was made in error and that it is not “appropriate and necessary” to regulate hazardous air pollutant emissions from EGUs under the CAA</w:t>
      </w:r>
      <w:r w:rsidR="000428C8">
        <w:t xml:space="preserve"> after all</w:t>
      </w:r>
      <w:r w:rsidRPr="00326C04">
        <w:t>.  However, EPA did not remove EGUs from the list of sources that are regulated under Section 112</w:t>
      </w:r>
      <w:r w:rsidRPr="2B377831">
        <w:t>; therefore, EPA concluded that the MATS standards must remain in place.</w:t>
      </w:r>
      <w:r w:rsidRPr="00326C04">
        <w:t xml:space="preserve"> </w:t>
      </w:r>
      <w:r w:rsidRPr="00680AB0">
        <w:t xml:space="preserve"> Also, EPA concluded in the RTR that the remaining risk </w:t>
      </w:r>
      <w:r w:rsidRPr="2B377831">
        <w:t xml:space="preserve">did </w:t>
      </w:r>
      <w:r w:rsidRPr="00680AB0">
        <w:t>not warrant additional standards and a technology review did not identify any new control technologies that would further reduce emissions beyond the original standard.</w:t>
      </w:r>
      <w:r>
        <w:t xml:space="preserve"> This rule </w:t>
      </w:r>
      <w:r w:rsidR="000428C8">
        <w:t>wa</w:t>
      </w:r>
      <w:r>
        <w:t>s challenged in the D.C. Circuit</w:t>
      </w:r>
      <w:r w:rsidR="000428C8">
        <w:t xml:space="preserve"> and was subsequently included in the list of regulations </w:t>
      </w:r>
      <w:r>
        <w:t>the Biden Administration directed EPA to review.</w:t>
      </w:r>
    </w:p>
    <w:p w14:paraId="42AD30A3" w14:textId="5F8CCED8" w:rsidR="00EC3F6F" w:rsidRPr="00680AB0" w:rsidRDefault="00FC75D3" w:rsidP="002468FD">
      <w:r>
        <w:t xml:space="preserve">In February 2021, the D.C. Circuit granted EPA’s motion to hold in abeyance the </w:t>
      </w:r>
      <w:r w:rsidR="00283986">
        <w:t>challenges to the 2020</w:t>
      </w:r>
      <w:r w:rsidR="000E1C1E">
        <w:t xml:space="preserve"> </w:t>
      </w:r>
      <w:r w:rsidR="000E1C1E" w:rsidRPr="00680AB0">
        <w:t>final rule</w:t>
      </w:r>
      <w:r w:rsidR="00933CA2">
        <w:t xml:space="preserve"> </w:t>
      </w:r>
      <w:r w:rsidR="009370D2">
        <w:t xml:space="preserve">pending the Agency’s review of the </w:t>
      </w:r>
      <w:r w:rsidR="00C73B62">
        <w:t>2020 rule</w:t>
      </w:r>
      <w:r w:rsidR="00890A78">
        <w:t xml:space="preserve"> in accordance with the Biden Administration</w:t>
      </w:r>
      <w:r w:rsidR="00011B03">
        <w:t>’s policies.</w:t>
      </w:r>
      <w:r w:rsidR="00A13FA6">
        <w:t xml:space="preserve"> </w:t>
      </w:r>
      <w:r w:rsidR="00865FF2">
        <w:t>The litigation challenging the 2016 MATS Supplemental Cost Finding remains in abeyance in the D.C. Circuit. Georgia Power is a party to that litigation.</w:t>
      </w:r>
      <w:r w:rsidR="000428C8">
        <w:t xml:space="preserve"> </w:t>
      </w:r>
      <w:r w:rsidR="002D7E74">
        <w:t>I</w:t>
      </w:r>
      <w:r w:rsidR="00EC3F6F">
        <w:t xml:space="preserve">n </w:t>
      </w:r>
      <w:r w:rsidR="00810105">
        <w:t>A</w:t>
      </w:r>
      <w:r w:rsidR="00EC3F6F">
        <w:t xml:space="preserve">ugust 2021, </w:t>
      </w:r>
      <w:r w:rsidR="00810105" w:rsidRPr="009E1035">
        <w:t xml:space="preserve">EPA </w:t>
      </w:r>
      <w:r w:rsidR="00CE4A7D">
        <w:t>submitted</w:t>
      </w:r>
      <w:r w:rsidR="00810105" w:rsidRPr="009E1035">
        <w:t xml:space="preserve"> a proposal</w:t>
      </w:r>
      <w:r w:rsidR="00810105" w:rsidRPr="009E1035" w:rsidDel="005F2D20">
        <w:t xml:space="preserve"> </w:t>
      </w:r>
      <w:r w:rsidR="00E70ED4">
        <w:t>reconside</w:t>
      </w:r>
      <w:r w:rsidR="002C2114">
        <w:t>r</w:t>
      </w:r>
      <w:r w:rsidR="005F2D20">
        <w:t>ing</w:t>
      </w:r>
      <w:r w:rsidR="002C2114">
        <w:t xml:space="preserve"> the 2020</w:t>
      </w:r>
      <w:r w:rsidR="00432481">
        <w:t xml:space="preserve"> </w:t>
      </w:r>
      <w:r w:rsidR="00432481" w:rsidRPr="00680AB0">
        <w:t>final rule</w:t>
      </w:r>
      <w:r w:rsidR="00C34DB7">
        <w:t>,</w:t>
      </w:r>
      <w:r w:rsidR="00432481" w:rsidRPr="00680AB0">
        <w:t xml:space="preserve"> </w:t>
      </w:r>
      <w:r w:rsidR="00432481" w:rsidRPr="00680AB0">
        <w:rPr>
          <w:i/>
          <w:iCs/>
        </w:rPr>
        <w:t>Reconsideration of Supplemental Finding and</w:t>
      </w:r>
      <w:r w:rsidR="00432481">
        <w:rPr>
          <w:i/>
          <w:iCs/>
        </w:rPr>
        <w:t xml:space="preserve"> </w:t>
      </w:r>
      <w:r w:rsidR="00432481" w:rsidRPr="00680AB0">
        <w:rPr>
          <w:i/>
          <w:iCs/>
        </w:rPr>
        <w:t>RTR</w:t>
      </w:r>
      <w:r w:rsidR="00C34DB7">
        <w:rPr>
          <w:i/>
          <w:iCs/>
        </w:rPr>
        <w:t>,</w:t>
      </w:r>
      <w:r w:rsidR="00432481" w:rsidRPr="009E1035">
        <w:t xml:space="preserve"> </w:t>
      </w:r>
      <w:r w:rsidR="00171ED3">
        <w:t xml:space="preserve">to the White </w:t>
      </w:r>
      <w:r w:rsidR="00171ED3" w:rsidRPr="00FC257E">
        <w:t>House</w:t>
      </w:r>
      <w:r w:rsidR="00063C94" w:rsidRPr="00FC257E">
        <w:t xml:space="preserve"> </w:t>
      </w:r>
      <w:r w:rsidR="00810105" w:rsidRPr="00FC257E">
        <w:t>OMB for regulatory</w:t>
      </w:r>
      <w:r w:rsidR="00810105" w:rsidRPr="009E1035">
        <w:t xml:space="preserve"> review</w:t>
      </w:r>
      <w:r w:rsidR="008A6D4A">
        <w:t>.</w:t>
      </w:r>
    </w:p>
    <w:p w14:paraId="57FDEB60" w14:textId="612B8674" w:rsidR="00865FF2" w:rsidRPr="003F2E58" w:rsidRDefault="006E47BF" w:rsidP="002531D4">
      <w:pPr>
        <w:pStyle w:val="Heading3"/>
      </w:pPr>
      <w:hyperlink r:id="rId31" w:anchor="_Toc535908073" w:history="1">
        <w:bookmarkStart w:id="41" w:name="_Toc94197891"/>
        <w:r w:rsidR="00304977" w:rsidRPr="003F2E58">
          <w:t>3.</w:t>
        </w:r>
        <w:r w:rsidR="006E7067">
          <w:t>4.</w:t>
        </w:r>
        <w:r w:rsidR="008D0D02">
          <w:t>6</w:t>
        </w:r>
        <w:r w:rsidR="00504CED">
          <w:t xml:space="preserve"> </w:t>
        </w:r>
        <w:r w:rsidR="00865FF2" w:rsidRPr="003F2E58">
          <w:t>Combustion Turbine Maximum Achievable Control Technology</w:t>
        </w:r>
        <w:bookmarkEnd w:id="41"/>
        <w:r w:rsidR="00865FF2" w:rsidRPr="003F2E58">
          <w:t xml:space="preserve"> </w:t>
        </w:r>
      </w:hyperlink>
    </w:p>
    <w:p w14:paraId="0D2906C5" w14:textId="60064146" w:rsidR="4B0FAB6D" w:rsidRDefault="00A92298" w:rsidP="1EED2BE3">
      <w:pPr>
        <w:rPr>
          <w:rFonts w:eastAsia="Calibri" w:cs="Arial"/>
        </w:rPr>
      </w:pPr>
      <w:r w:rsidRPr="00DB7156">
        <w:t xml:space="preserve">Simple-cycle and combined-cycle combustion turbines can </w:t>
      </w:r>
      <w:r w:rsidR="0079329D">
        <w:t>also</w:t>
      </w:r>
      <w:r w:rsidRPr="00DB7156">
        <w:t xml:space="preserve"> be subject to existing requirements under MACT rules</w:t>
      </w:r>
      <w:r w:rsidR="5523B6CB">
        <w:t>.</w:t>
      </w:r>
      <w:r w:rsidR="48F99696">
        <w:t xml:space="preserve">  </w:t>
      </w:r>
      <w:r w:rsidR="00314292" w:rsidRPr="76E8101A">
        <w:rPr>
          <w:rFonts w:eastAsia="Calibri" w:cs="Arial"/>
        </w:rPr>
        <w:t>In March 2004</w:t>
      </w:r>
      <w:r w:rsidR="0BF83EE7" w:rsidRPr="3A1EBFD3">
        <w:rPr>
          <w:rFonts w:eastAsia="Calibri" w:cs="Arial"/>
        </w:rPr>
        <w:t>,</w:t>
      </w:r>
      <w:r w:rsidR="3E8D9116" w:rsidRPr="76E8101A">
        <w:rPr>
          <w:rFonts w:eastAsia="Calibri" w:cs="Arial"/>
        </w:rPr>
        <w:t xml:space="preserve"> </w:t>
      </w:r>
      <w:r w:rsidR="6A355185" w:rsidRPr="76E8101A">
        <w:rPr>
          <w:rFonts w:eastAsia="Calibri" w:cs="Arial"/>
        </w:rPr>
        <w:t xml:space="preserve">EPA issued a </w:t>
      </w:r>
      <w:r w:rsidR="3E8D9116" w:rsidRPr="76E8101A">
        <w:rPr>
          <w:rFonts w:eastAsia="Calibri" w:cs="Arial"/>
        </w:rPr>
        <w:t xml:space="preserve">final </w:t>
      </w:r>
      <w:r w:rsidR="6A355185" w:rsidRPr="76E8101A">
        <w:rPr>
          <w:rFonts w:eastAsia="Calibri" w:cs="Arial"/>
        </w:rPr>
        <w:t xml:space="preserve">MACT </w:t>
      </w:r>
      <w:r w:rsidR="3E8D9116" w:rsidRPr="76E8101A">
        <w:rPr>
          <w:rFonts w:eastAsia="Calibri" w:cs="Arial"/>
        </w:rPr>
        <w:t>rule</w:t>
      </w:r>
      <w:r w:rsidR="1FA1D8FC" w:rsidRPr="76E8101A">
        <w:rPr>
          <w:rFonts w:eastAsia="Calibri" w:cs="Arial"/>
        </w:rPr>
        <w:t xml:space="preserve"> for combustion turbines</w:t>
      </w:r>
      <w:r w:rsidR="00171271">
        <w:rPr>
          <w:rFonts w:eastAsia="Calibri" w:cs="Arial"/>
        </w:rPr>
        <w:t xml:space="preserve"> (40 CFR Part 63 Subpart YYYY)</w:t>
      </w:r>
      <w:r w:rsidR="471CC894" w:rsidRPr="7749C5D3">
        <w:rPr>
          <w:rFonts w:eastAsia="Calibri" w:cs="Arial"/>
        </w:rPr>
        <w:t>,</w:t>
      </w:r>
      <w:r w:rsidR="4D0AAE11" w:rsidRPr="76E8101A">
        <w:rPr>
          <w:rFonts w:eastAsia="Calibri" w:cs="Arial"/>
        </w:rPr>
        <w:t xml:space="preserve"> </w:t>
      </w:r>
      <w:r w:rsidR="1B416B5B" w:rsidRPr="3A1EBFD3">
        <w:rPr>
          <w:rFonts w:eastAsia="Calibri" w:cs="Arial"/>
        </w:rPr>
        <w:t xml:space="preserve">setting standards for </w:t>
      </w:r>
      <w:r w:rsidR="1B7A5C97" w:rsidRPr="612A07B5">
        <w:rPr>
          <w:rFonts w:eastAsia="Calibri" w:cs="Arial"/>
        </w:rPr>
        <w:t>HAP emissions</w:t>
      </w:r>
      <w:r w:rsidR="44851DB0" w:rsidRPr="3A1EBFD3">
        <w:rPr>
          <w:rFonts w:eastAsia="Calibri" w:cs="Arial"/>
        </w:rPr>
        <w:t>,</w:t>
      </w:r>
      <w:r w:rsidR="1B7A5C97" w:rsidRPr="612A07B5">
        <w:rPr>
          <w:rFonts w:eastAsia="Calibri" w:cs="Arial"/>
        </w:rPr>
        <w:t xml:space="preserve"> such as formaldehyde, toluene, benzene and acetal</w:t>
      </w:r>
      <w:r w:rsidR="59803E93" w:rsidRPr="612A07B5">
        <w:rPr>
          <w:rFonts w:eastAsia="Calibri" w:cs="Arial"/>
        </w:rPr>
        <w:t xml:space="preserve">dehyde from </w:t>
      </w:r>
      <w:r w:rsidR="00A9398F">
        <w:rPr>
          <w:rFonts w:eastAsia="Calibri" w:cs="Arial"/>
        </w:rPr>
        <w:t xml:space="preserve">new </w:t>
      </w:r>
      <w:r w:rsidR="59803E93" w:rsidRPr="612A07B5">
        <w:rPr>
          <w:rFonts w:eastAsia="Calibri" w:cs="Arial"/>
        </w:rPr>
        <w:t>gas and oil</w:t>
      </w:r>
      <w:r w:rsidR="05B2F6F3" w:rsidRPr="612A07B5">
        <w:rPr>
          <w:rFonts w:eastAsia="Calibri" w:cs="Arial"/>
        </w:rPr>
        <w:t>-</w:t>
      </w:r>
      <w:r w:rsidR="59803E93" w:rsidRPr="612A07B5">
        <w:rPr>
          <w:rFonts w:eastAsia="Calibri" w:cs="Arial"/>
        </w:rPr>
        <w:t>fired combustion turbines.</w:t>
      </w:r>
      <w:r w:rsidR="1FB612B6" w:rsidRPr="612A07B5">
        <w:rPr>
          <w:rFonts w:eastAsia="Calibri" w:cs="Arial"/>
        </w:rPr>
        <w:t xml:space="preserve">  </w:t>
      </w:r>
      <w:r w:rsidR="7E2B4A11" w:rsidRPr="27EF851A">
        <w:rPr>
          <w:rFonts w:eastAsia="Calibri" w:cs="Arial"/>
        </w:rPr>
        <w:t>In August 2004</w:t>
      </w:r>
      <w:r w:rsidR="6EEA3C99" w:rsidRPr="3A1EBFD3">
        <w:rPr>
          <w:rFonts w:eastAsia="Calibri" w:cs="Arial"/>
        </w:rPr>
        <w:t>,</w:t>
      </w:r>
      <w:r w:rsidR="7E2B4A11" w:rsidRPr="27EF851A">
        <w:rPr>
          <w:rFonts w:eastAsia="Calibri" w:cs="Arial"/>
        </w:rPr>
        <w:t xml:space="preserve"> EP</w:t>
      </w:r>
      <w:r w:rsidR="19B3CBDD" w:rsidRPr="27EF851A">
        <w:rPr>
          <w:rFonts w:eastAsia="Calibri" w:cs="Arial"/>
        </w:rPr>
        <w:t xml:space="preserve">A issued a stay </w:t>
      </w:r>
      <w:r w:rsidR="3EC61990" w:rsidRPr="27EF851A">
        <w:rPr>
          <w:rFonts w:eastAsia="Calibri" w:cs="Arial"/>
        </w:rPr>
        <w:t xml:space="preserve">for new sources </w:t>
      </w:r>
      <w:r w:rsidR="7D3F5801" w:rsidRPr="334244A3">
        <w:rPr>
          <w:rFonts w:eastAsia="Calibri" w:cs="Arial"/>
        </w:rPr>
        <w:t>for</w:t>
      </w:r>
      <w:r w:rsidR="13F63414" w:rsidRPr="27EF851A">
        <w:rPr>
          <w:rFonts w:eastAsia="Calibri" w:cs="Arial"/>
        </w:rPr>
        <w:t xml:space="preserve"> </w:t>
      </w:r>
      <w:r w:rsidR="163786E9" w:rsidRPr="3A1EBFD3">
        <w:rPr>
          <w:rFonts w:eastAsia="Calibri" w:cs="Arial"/>
        </w:rPr>
        <w:t xml:space="preserve">gas-fired turbine </w:t>
      </w:r>
      <w:r w:rsidR="13F63414" w:rsidRPr="27EF851A">
        <w:rPr>
          <w:rFonts w:eastAsia="Calibri" w:cs="Arial"/>
        </w:rPr>
        <w:t>subcategories of the rule</w:t>
      </w:r>
      <w:r w:rsidR="00AD5E3C">
        <w:rPr>
          <w:rFonts w:eastAsia="Calibri" w:cs="Arial"/>
        </w:rPr>
        <w:t xml:space="preserve"> because of ongoing deliberation about whether gas-fired units should be </w:t>
      </w:r>
      <w:r w:rsidR="001E0856">
        <w:rPr>
          <w:rFonts w:eastAsia="Calibri" w:cs="Arial"/>
        </w:rPr>
        <w:t>regulated</w:t>
      </w:r>
      <w:r w:rsidR="1AA0FBCF" w:rsidRPr="27EF851A">
        <w:rPr>
          <w:rFonts w:eastAsia="Calibri" w:cs="Arial"/>
        </w:rPr>
        <w:t>.  EPA viewed this action as necessary to avoid wasteful and unwarranted expenditures on t</w:t>
      </w:r>
      <w:r w:rsidR="04F357D1" w:rsidRPr="27EF851A">
        <w:rPr>
          <w:rFonts w:eastAsia="Calibri" w:cs="Arial"/>
        </w:rPr>
        <w:t>he installation of emission controls that would otherwise not be required</w:t>
      </w:r>
      <w:r w:rsidR="077066EA" w:rsidRPr="27EF851A">
        <w:rPr>
          <w:rFonts w:eastAsia="Calibri" w:cs="Arial"/>
        </w:rPr>
        <w:t xml:space="preserve"> if these </w:t>
      </w:r>
      <w:r w:rsidR="14457711" w:rsidRPr="3A1EBFD3">
        <w:rPr>
          <w:rFonts w:eastAsia="Calibri" w:cs="Arial"/>
        </w:rPr>
        <w:t xml:space="preserve">gas-fired </w:t>
      </w:r>
      <w:r w:rsidR="077066EA" w:rsidRPr="27EF851A">
        <w:rPr>
          <w:rFonts w:eastAsia="Calibri" w:cs="Arial"/>
        </w:rPr>
        <w:t>sub-categories were delisted.</w:t>
      </w:r>
    </w:p>
    <w:p w14:paraId="433BB171" w14:textId="47C9EED5" w:rsidR="00865FF2" w:rsidRPr="004435C5" w:rsidRDefault="00865FF2" w:rsidP="002468FD">
      <w:r w:rsidRPr="00764E94">
        <w:t xml:space="preserve">In </w:t>
      </w:r>
      <w:r>
        <w:t>March 2020</w:t>
      </w:r>
      <w:r w:rsidRPr="00764E94">
        <w:t xml:space="preserve">, EPA </w:t>
      </w:r>
      <w:r>
        <w:t xml:space="preserve">finalized a </w:t>
      </w:r>
      <w:r w:rsidR="00F353C1">
        <w:t>RTR</w:t>
      </w:r>
      <w:r>
        <w:t xml:space="preserve"> for combustion turbines</w:t>
      </w:r>
      <w:r w:rsidR="00C04596">
        <w:t>, leaving the existing standards largely unchanged</w:t>
      </w:r>
      <w:r>
        <w:t xml:space="preserve">. In the final rule, </w:t>
      </w:r>
      <w:r w:rsidRPr="004435C5">
        <w:t>EPA determin</w:t>
      </w:r>
      <w:r>
        <w:t>ed</w:t>
      </w:r>
      <w:r w:rsidRPr="004435C5">
        <w:t xml:space="preserve"> that the risks from this source category </w:t>
      </w:r>
      <w:r w:rsidRPr="0F2889DC">
        <w:t>of</w:t>
      </w:r>
      <w:r w:rsidRPr="004435C5">
        <w:t xml:space="preserve"> emissions are acceptable and that the existing NESHAP provides an ample margin of safety to protect public health. EPA also determin</w:t>
      </w:r>
      <w:r>
        <w:t>ed</w:t>
      </w:r>
      <w:r w:rsidRPr="004435C5">
        <w:t xml:space="preserve"> that </w:t>
      </w:r>
      <w:r>
        <w:t>no</w:t>
      </w:r>
      <w:r w:rsidRPr="004435C5">
        <w:t xml:space="preserve"> new cost-effective controls under the technology review would achieve further emissions reductions from the source category.</w:t>
      </w:r>
    </w:p>
    <w:p w14:paraId="641327A5" w14:textId="661C98D4" w:rsidR="00865FF2" w:rsidRDefault="00865FF2" w:rsidP="002468FD">
      <w:r w:rsidRPr="004435C5">
        <w:t xml:space="preserve">Contrary to the proposal, EPA did not </w:t>
      </w:r>
      <w:r>
        <w:t>lift</w:t>
      </w:r>
      <w:r w:rsidRPr="004435C5">
        <w:t xml:space="preserve"> the stay of the standards for new gas-fire</w:t>
      </w:r>
      <w:r>
        <w:t>d</w:t>
      </w:r>
      <w:r w:rsidRPr="004435C5">
        <w:t xml:space="preserve"> turbines that has been in effect since the agency proposed to delist the subcategory in 2004.  Therefore, the stay of the standards for new gas-fired turbines remains in place.</w:t>
      </w:r>
    </w:p>
    <w:p w14:paraId="591EB118" w14:textId="6011285A" w:rsidR="00F5262B" w:rsidRPr="00DA2FC7" w:rsidRDefault="00865FF2" w:rsidP="002468FD">
      <w:r>
        <w:t>In</w:t>
      </w:r>
      <w:r w:rsidRPr="612D8CB3">
        <w:t xml:space="preserve"> August </w:t>
      </w:r>
      <w:r>
        <w:t>2020</w:t>
      </w:r>
      <w:r w:rsidRPr="2B377831">
        <w:t>, EPA</w:t>
      </w:r>
      <w:r w:rsidRPr="612D8CB3">
        <w:t xml:space="preserve"> </w:t>
      </w:r>
      <w:r w:rsidRPr="2B377831">
        <w:t xml:space="preserve">granted </w:t>
      </w:r>
      <w:r w:rsidRPr="612D8CB3">
        <w:t>a petition for reconsideration of the final Stationary Combustion Turbines Residual Risk and Technology Review</w:t>
      </w:r>
      <w:r>
        <w:t xml:space="preserve">. </w:t>
      </w:r>
      <w:r w:rsidRPr="612D8CB3">
        <w:t xml:space="preserve"> EPA intends to address the issues raised in the petition</w:t>
      </w:r>
      <w:r w:rsidRPr="2B377831">
        <w:t>, including:</w:t>
      </w:r>
      <w:r w:rsidR="00DD4CF4">
        <w:t xml:space="preserve"> </w:t>
      </w:r>
      <w:r w:rsidRPr="612D8CB3">
        <w:t xml:space="preserve">1) the stay of the emission standards </w:t>
      </w:r>
      <w:r>
        <w:t>for new gas-fired turbines</w:t>
      </w:r>
      <w:r w:rsidRPr="2B377831">
        <w:t>,</w:t>
      </w:r>
      <w:r w:rsidRPr="612D8CB3">
        <w:t xml:space="preserve"> and 2) in light of the decision of the U.S. Court of Appeals for the District of Columbia Circuit in </w:t>
      </w:r>
      <w:r w:rsidRPr="00157D80">
        <w:rPr>
          <w:i/>
        </w:rPr>
        <w:t>Louisiana Environmental Action Network v. Environmental Prot</w:t>
      </w:r>
      <w:r>
        <w:rPr>
          <w:i/>
        </w:rPr>
        <w:t>ection</w:t>
      </w:r>
      <w:r w:rsidRPr="00157D80">
        <w:rPr>
          <w:i/>
        </w:rPr>
        <w:t xml:space="preserve"> Agency</w:t>
      </w:r>
      <w:r w:rsidRPr="612D8CB3">
        <w:t>, 955 F.3d 1088(D.C. Cir. 2020), the lack of standards for certain hazardous air pollutants</w:t>
      </w:r>
      <w:r w:rsidR="00C04596">
        <w:t xml:space="preserve"> not currently covered by the rule</w:t>
      </w:r>
      <w:r w:rsidRPr="612D8CB3">
        <w:t xml:space="preserve">.   </w:t>
      </w:r>
    </w:p>
    <w:p w14:paraId="331F4C4B" w14:textId="418E9CE9" w:rsidR="00865FF2" w:rsidRPr="00AF757A" w:rsidRDefault="006E47BF" w:rsidP="002531D4">
      <w:pPr>
        <w:pStyle w:val="Heading3"/>
      </w:pPr>
      <w:hyperlink r:id="rId32" w:anchor="_Toc535908075" w:history="1">
        <w:bookmarkStart w:id="42" w:name="_Toc94197892"/>
        <w:r w:rsidR="00304977" w:rsidRPr="00AF757A">
          <w:t>3.</w:t>
        </w:r>
        <w:r w:rsidR="00E2493E">
          <w:t>4</w:t>
        </w:r>
        <w:r w:rsidR="00865FF2" w:rsidRPr="00AF757A">
          <w:t>.</w:t>
        </w:r>
        <w:r w:rsidR="008D0D02">
          <w:t>7</w:t>
        </w:r>
        <w:r w:rsidR="00A92499">
          <w:t xml:space="preserve"> </w:t>
        </w:r>
        <w:r w:rsidR="00865FF2" w:rsidRPr="00AF757A">
          <w:t>Regional Haze</w:t>
        </w:r>
      </w:hyperlink>
      <w:r w:rsidR="001D14DB" w:rsidRPr="00AF757A">
        <w:t xml:space="preserve"> Rule</w:t>
      </w:r>
      <w:bookmarkEnd w:id="42"/>
    </w:p>
    <w:p w14:paraId="03416850" w14:textId="30070ACC" w:rsidR="00A516EC" w:rsidRPr="00DB7156" w:rsidRDefault="0031605D" w:rsidP="002468FD">
      <w:pPr>
        <w:rPr>
          <w:color w:val="000000"/>
        </w:rPr>
      </w:pPr>
      <w:r>
        <w:rPr>
          <w:color w:val="000000" w:themeColor="text1"/>
        </w:rPr>
        <w:t>T</w:t>
      </w:r>
      <w:r w:rsidR="00A516EC" w:rsidRPr="172F7B2B">
        <w:rPr>
          <w:color w:val="000000" w:themeColor="text1"/>
        </w:rPr>
        <w:t>he Regional Haze Rule</w:t>
      </w:r>
      <w:r w:rsidR="00D97AE7">
        <w:rPr>
          <w:color w:val="000000" w:themeColor="text1"/>
        </w:rPr>
        <w:t xml:space="preserve"> </w:t>
      </w:r>
      <w:r w:rsidR="00CE0A0E">
        <w:rPr>
          <w:color w:val="000000" w:themeColor="text1"/>
        </w:rPr>
        <w:t xml:space="preserve">(40 CFR </w:t>
      </w:r>
      <w:r w:rsidR="000254E5">
        <w:t xml:space="preserve">§ </w:t>
      </w:r>
      <w:r w:rsidR="00CE0A0E">
        <w:rPr>
          <w:color w:val="000000" w:themeColor="text1"/>
        </w:rPr>
        <w:t>51.308)</w:t>
      </w:r>
      <w:r w:rsidR="00D97AE7">
        <w:rPr>
          <w:color w:val="000000" w:themeColor="text1"/>
        </w:rPr>
        <w:t xml:space="preserve"> was finalized in July 1999</w:t>
      </w:r>
      <w:r w:rsidR="00D30DF8">
        <w:rPr>
          <w:color w:val="000000" w:themeColor="text1"/>
        </w:rPr>
        <w:t xml:space="preserve"> with the goal</w:t>
      </w:r>
      <w:r w:rsidR="00A516EC" w:rsidRPr="172F7B2B" w:rsidDel="00D30DF8">
        <w:rPr>
          <w:color w:val="000000" w:themeColor="text1"/>
        </w:rPr>
        <w:t xml:space="preserve"> </w:t>
      </w:r>
      <w:r w:rsidR="00A516EC" w:rsidRPr="172F7B2B">
        <w:rPr>
          <w:color w:val="000000" w:themeColor="text1"/>
        </w:rPr>
        <w:t>to</w:t>
      </w:r>
      <w:r w:rsidR="00D30DF8">
        <w:rPr>
          <w:color w:val="000000" w:themeColor="text1"/>
        </w:rPr>
        <w:t xml:space="preserve"> improve</w:t>
      </w:r>
      <w:r w:rsidR="00A516EC" w:rsidRPr="172F7B2B" w:rsidDel="00D30DF8">
        <w:rPr>
          <w:color w:val="000000" w:themeColor="text1"/>
        </w:rPr>
        <w:t xml:space="preserve"> </w:t>
      </w:r>
      <w:r w:rsidR="00A516EC" w:rsidRPr="172F7B2B">
        <w:rPr>
          <w:color w:val="000000" w:themeColor="text1"/>
        </w:rPr>
        <w:t xml:space="preserve">visibility conditions in specified </w:t>
      </w:r>
      <w:r w:rsidR="00D30DF8">
        <w:rPr>
          <w:color w:val="000000" w:themeColor="text1"/>
        </w:rPr>
        <w:t>federal</w:t>
      </w:r>
      <w:r w:rsidR="00B41190">
        <w:rPr>
          <w:color w:val="000000" w:themeColor="text1"/>
        </w:rPr>
        <w:t xml:space="preserve"> </w:t>
      </w:r>
      <w:r w:rsidR="00A516EC" w:rsidRPr="172F7B2B">
        <w:rPr>
          <w:color w:val="000000" w:themeColor="text1"/>
        </w:rPr>
        <w:t xml:space="preserve">Class </w:t>
      </w:r>
      <w:r>
        <w:rPr>
          <w:color w:val="000000" w:themeColor="text1"/>
        </w:rPr>
        <w:t>I</w:t>
      </w:r>
      <w:r w:rsidR="00A516EC" w:rsidRPr="172F7B2B">
        <w:rPr>
          <w:color w:val="000000" w:themeColor="text1"/>
        </w:rPr>
        <w:t xml:space="preserve"> areas</w:t>
      </w:r>
      <w:r w:rsidR="00B41190">
        <w:rPr>
          <w:color w:val="000000" w:themeColor="text1"/>
        </w:rPr>
        <w:t>,</w:t>
      </w:r>
      <w:r w:rsidR="00A516EC" w:rsidRPr="172F7B2B">
        <w:rPr>
          <w:color w:val="000000" w:themeColor="text1"/>
        </w:rPr>
        <w:t xml:space="preserve"> </w:t>
      </w:r>
      <w:r w:rsidR="00B41190">
        <w:rPr>
          <w:color w:val="000000" w:themeColor="text1"/>
        </w:rPr>
        <w:t xml:space="preserve">including </w:t>
      </w:r>
      <w:r w:rsidR="00A516EC" w:rsidRPr="172F7B2B">
        <w:rPr>
          <w:color w:val="000000" w:themeColor="text1"/>
        </w:rPr>
        <w:t>primarily national parks and wilderness areas</w:t>
      </w:r>
      <w:r w:rsidR="00922FFC">
        <w:rPr>
          <w:color w:val="000000" w:themeColor="text1"/>
        </w:rPr>
        <w:t>, back to natural conditions by 2064</w:t>
      </w:r>
      <w:r w:rsidR="00A516EC" w:rsidRPr="172F7B2B">
        <w:rPr>
          <w:color w:val="000000" w:themeColor="text1"/>
        </w:rPr>
        <w:t xml:space="preserve">. The rule </w:t>
      </w:r>
      <w:r w:rsidR="00A05073">
        <w:rPr>
          <w:color w:val="000000" w:themeColor="text1"/>
        </w:rPr>
        <w:t xml:space="preserve">requires states to develop a SIP to determine and address any </w:t>
      </w:r>
      <w:r w:rsidR="00A05073" w:rsidRPr="00A05073">
        <w:rPr>
          <w:color w:val="000000" w:themeColor="text1"/>
        </w:rPr>
        <w:t>SO</w:t>
      </w:r>
      <w:r w:rsidR="00A05073" w:rsidRPr="00A05073">
        <w:rPr>
          <w:color w:val="000000" w:themeColor="text1"/>
          <w:vertAlign w:val="subscript"/>
        </w:rPr>
        <w:t>2</w:t>
      </w:r>
      <w:r w:rsidR="00A05073">
        <w:rPr>
          <w:color w:val="000000" w:themeColor="text1"/>
        </w:rPr>
        <w:t xml:space="preserve"> or NO</w:t>
      </w:r>
      <w:r w:rsidR="00A05073" w:rsidRPr="00A05073">
        <w:rPr>
          <w:color w:val="000000" w:themeColor="text1"/>
          <w:vertAlign w:val="subscript"/>
        </w:rPr>
        <w:t>X</w:t>
      </w:r>
      <w:r w:rsidR="00A05073">
        <w:rPr>
          <w:color w:val="000000" w:themeColor="text1"/>
        </w:rPr>
        <w:t xml:space="preserve"> emissions control measures necessary to make reasonable progress toward natural visibility conditions for each 10-year planning period.  The first implementation period involved the </w:t>
      </w:r>
      <w:r w:rsidR="00A516EC" w:rsidRPr="172F7B2B">
        <w:rPr>
          <w:color w:val="000000" w:themeColor="text1"/>
        </w:rPr>
        <w:t xml:space="preserve">application of </w:t>
      </w:r>
      <w:r w:rsidR="00A05073">
        <w:rPr>
          <w:color w:val="000000" w:themeColor="text1"/>
        </w:rPr>
        <w:t>best available retrofit technology (</w:t>
      </w:r>
      <w:r w:rsidR="00A516EC" w:rsidRPr="172F7B2B">
        <w:rPr>
          <w:color w:val="000000" w:themeColor="text1"/>
        </w:rPr>
        <w:t>BART</w:t>
      </w:r>
      <w:r w:rsidR="00A05073">
        <w:rPr>
          <w:color w:val="000000" w:themeColor="text1"/>
        </w:rPr>
        <w:t>) requirements, which</w:t>
      </w:r>
      <w:r w:rsidR="00A516EC" w:rsidRPr="172F7B2B">
        <w:rPr>
          <w:color w:val="000000" w:themeColor="text1"/>
        </w:rPr>
        <w:t xml:space="preserve"> </w:t>
      </w:r>
      <w:r w:rsidR="00473892">
        <w:rPr>
          <w:color w:val="000000" w:themeColor="text1"/>
        </w:rPr>
        <w:t xml:space="preserve">was determined to be satisfied </w:t>
      </w:r>
      <w:r w:rsidR="0017685E">
        <w:rPr>
          <w:color w:val="000000" w:themeColor="text1"/>
        </w:rPr>
        <w:t>for power plants</w:t>
      </w:r>
      <w:r w:rsidR="00473892">
        <w:rPr>
          <w:color w:val="000000" w:themeColor="text1"/>
        </w:rPr>
        <w:t xml:space="preserve"> by CSAPR </w:t>
      </w:r>
      <w:r w:rsidR="00362BBD">
        <w:rPr>
          <w:color w:val="000000" w:themeColor="text1"/>
        </w:rPr>
        <w:t xml:space="preserve">requirements </w:t>
      </w:r>
      <w:r w:rsidR="00473892">
        <w:rPr>
          <w:color w:val="000000" w:themeColor="text1"/>
        </w:rPr>
        <w:t xml:space="preserve">for </w:t>
      </w:r>
      <w:r w:rsidR="00473892" w:rsidRPr="00473892">
        <w:rPr>
          <w:color w:val="000000" w:themeColor="text1"/>
        </w:rPr>
        <w:t>SO</w:t>
      </w:r>
      <w:r w:rsidR="00473892" w:rsidRPr="00473892">
        <w:rPr>
          <w:color w:val="000000" w:themeColor="text1"/>
          <w:vertAlign w:val="subscript"/>
        </w:rPr>
        <w:t>2</w:t>
      </w:r>
      <w:r w:rsidR="00473892">
        <w:rPr>
          <w:color w:val="000000" w:themeColor="text1"/>
        </w:rPr>
        <w:t xml:space="preserve"> and NO</w:t>
      </w:r>
      <w:r w:rsidR="00A21F53">
        <w:rPr>
          <w:color w:val="000000" w:themeColor="text1"/>
        </w:rPr>
        <w:t>x</w:t>
      </w:r>
      <w:r w:rsidR="00473892">
        <w:rPr>
          <w:color w:val="000000" w:themeColor="text1"/>
        </w:rPr>
        <w:t xml:space="preserve">. </w:t>
      </w:r>
      <w:r w:rsidR="00A516EC" w:rsidDel="00664FDA">
        <w:t xml:space="preserve">  </w:t>
      </w:r>
    </w:p>
    <w:p w14:paraId="53AEB30E" w14:textId="1AD39AD9" w:rsidR="00A4131A" w:rsidRPr="00764E94" w:rsidRDefault="001C358F" w:rsidP="002468FD">
      <w:pPr>
        <w:rPr>
          <w:rFonts w:eastAsia="Times New Roman"/>
        </w:rPr>
      </w:pPr>
      <w:r>
        <w:rPr>
          <w:color w:val="000000"/>
        </w:rPr>
        <w:t>I</w:t>
      </w:r>
      <w:r w:rsidRPr="00DB7156">
        <w:rPr>
          <w:color w:val="000000"/>
        </w:rPr>
        <w:t xml:space="preserve">n January 2017, EPA finalized revisions to the second planning period under the </w:t>
      </w:r>
      <w:r w:rsidR="00664FDA">
        <w:rPr>
          <w:color w:val="000000"/>
        </w:rPr>
        <w:t>R</w:t>
      </w:r>
      <w:r w:rsidR="00664FDA" w:rsidRPr="00DB7156">
        <w:rPr>
          <w:color w:val="000000"/>
        </w:rPr>
        <w:t xml:space="preserve">egional </w:t>
      </w:r>
      <w:r w:rsidR="00664FDA">
        <w:rPr>
          <w:color w:val="000000"/>
        </w:rPr>
        <w:t>H</w:t>
      </w:r>
      <w:r w:rsidR="00664FDA" w:rsidRPr="00DB7156">
        <w:rPr>
          <w:color w:val="000000"/>
        </w:rPr>
        <w:t xml:space="preserve">aze </w:t>
      </w:r>
      <w:r w:rsidR="00664FDA">
        <w:rPr>
          <w:color w:val="000000"/>
        </w:rPr>
        <w:t>R</w:t>
      </w:r>
      <w:r w:rsidR="00664FDA" w:rsidRPr="00DB7156">
        <w:rPr>
          <w:color w:val="000000"/>
        </w:rPr>
        <w:t>ule</w:t>
      </w:r>
      <w:r w:rsidRPr="00DB7156">
        <w:rPr>
          <w:color w:val="000000"/>
        </w:rPr>
        <w:t xml:space="preserve">, </w:t>
      </w:r>
      <w:r w:rsidR="00F87CE0">
        <w:rPr>
          <w:color w:val="000000"/>
        </w:rPr>
        <w:t xml:space="preserve">which covers through </w:t>
      </w:r>
      <w:r w:rsidRPr="00DB7156">
        <w:rPr>
          <w:color w:val="000000"/>
        </w:rPr>
        <w:t>2028</w:t>
      </w:r>
      <w:r>
        <w:rPr>
          <w:color w:val="000000"/>
        </w:rPr>
        <w:t xml:space="preserve">. </w:t>
      </w:r>
      <w:r w:rsidR="00362BBD">
        <w:rPr>
          <w:color w:val="000000"/>
        </w:rPr>
        <w:t xml:space="preserve"> </w:t>
      </w:r>
      <w:r>
        <w:rPr>
          <w:color w:val="000000"/>
        </w:rPr>
        <w:t>These</w:t>
      </w:r>
      <w:r w:rsidRPr="00DB7156">
        <w:rPr>
          <w:color w:val="000000"/>
        </w:rPr>
        <w:t xml:space="preserve"> </w:t>
      </w:r>
      <w:r w:rsidR="00362BBD">
        <w:rPr>
          <w:color w:val="000000"/>
        </w:rPr>
        <w:t xml:space="preserve">revisions </w:t>
      </w:r>
      <w:r w:rsidRPr="00DB7156">
        <w:rPr>
          <w:color w:val="000000"/>
        </w:rPr>
        <w:t xml:space="preserve">include </w:t>
      </w:r>
      <w:r w:rsidR="00362BBD">
        <w:rPr>
          <w:color w:val="000000"/>
        </w:rPr>
        <w:t xml:space="preserve">the </w:t>
      </w:r>
      <w:r w:rsidRPr="00DB7156">
        <w:rPr>
          <w:color w:val="000000"/>
        </w:rPr>
        <w:t>extension of the deadline for the next SIP submittal from July 2018 to July 2021 and increased requirements for state consultations with F</w:t>
      </w:r>
      <w:r>
        <w:rPr>
          <w:color w:val="000000"/>
        </w:rPr>
        <w:t>ederal Land Managers</w:t>
      </w:r>
      <w:r w:rsidRPr="00DB7156">
        <w:rPr>
          <w:color w:val="000000"/>
        </w:rPr>
        <w:t xml:space="preserve">. </w:t>
      </w:r>
      <w:r w:rsidR="00461E9B">
        <w:rPr>
          <w:color w:val="000000"/>
        </w:rPr>
        <w:t xml:space="preserve"> In addition to this rulemaking, EPA has released guidance documents for </w:t>
      </w:r>
      <w:r w:rsidR="00362BBD">
        <w:rPr>
          <w:color w:val="000000"/>
        </w:rPr>
        <w:t xml:space="preserve">Regional Haze </w:t>
      </w:r>
      <w:r w:rsidR="00461E9B">
        <w:rPr>
          <w:color w:val="000000"/>
        </w:rPr>
        <w:t xml:space="preserve">SIP development </w:t>
      </w:r>
      <w:r w:rsidR="00394985">
        <w:rPr>
          <w:color w:val="000000"/>
        </w:rPr>
        <w:t>for</w:t>
      </w:r>
      <w:r w:rsidR="00461E9B">
        <w:rPr>
          <w:color w:val="000000"/>
        </w:rPr>
        <w:t xml:space="preserve"> the second implementation period in 2016</w:t>
      </w:r>
      <w:r w:rsidR="00F87CE0">
        <w:rPr>
          <w:color w:val="000000"/>
        </w:rPr>
        <w:t>, 2019,</w:t>
      </w:r>
      <w:r w:rsidR="00461E9B">
        <w:rPr>
          <w:color w:val="000000"/>
        </w:rPr>
        <w:t xml:space="preserve"> and 20</w:t>
      </w:r>
      <w:r w:rsidR="00F87CE0">
        <w:rPr>
          <w:color w:val="000000"/>
        </w:rPr>
        <w:t>21</w:t>
      </w:r>
      <w:r w:rsidR="00B8090A">
        <w:rPr>
          <w:color w:val="000000"/>
        </w:rPr>
        <w:t>, changing course in at least certain elements each time</w:t>
      </w:r>
      <w:r w:rsidR="00394985">
        <w:rPr>
          <w:color w:val="000000"/>
        </w:rPr>
        <w:t>.</w:t>
      </w:r>
      <w:r w:rsidR="00461E9B">
        <w:rPr>
          <w:color w:val="000000"/>
        </w:rPr>
        <w:t xml:space="preserve"> </w:t>
      </w:r>
    </w:p>
    <w:p w14:paraId="4C019181" w14:textId="4B51ADBA" w:rsidR="004B15F2" w:rsidRPr="008520F4" w:rsidRDefault="004B15F2" w:rsidP="002468FD">
      <w:pPr>
        <w:rPr>
          <w:b/>
          <w:bCs/>
          <w:color w:val="000080"/>
        </w:rPr>
      </w:pPr>
      <w:r w:rsidRPr="6ED84A44">
        <w:rPr>
          <w:rFonts w:cs="Arial"/>
        </w:rPr>
        <w:t xml:space="preserve">For </w:t>
      </w:r>
      <w:r w:rsidR="00362BBD">
        <w:rPr>
          <w:rFonts w:cs="Arial"/>
        </w:rPr>
        <w:t xml:space="preserve">the </w:t>
      </w:r>
      <w:r w:rsidRPr="6ED84A44">
        <w:rPr>
          <w:rFonts w:cs="Arial"/>
        </w:rPr>
        <w:t>Regional Haze</w:t>
      </w:r>
      <w:r w:rsidR="00362BBD">
        <w:rPr>
          <w:rFonts w:cs="Arial"/>
        </w:rPr>
        <w:t xml:space="preserve"> Rule</w:t>
      </w:r>
      <w:r w:rsidRPr="6ED84A44">
        <w:rPr>
          <w:rFonts w:cs="Arial"/>
        </w:rPr>
        <w:t xml:space="preserve">, Georgia EPD has ongoing participation in a regional planning organization for the Southeast U.S., which has assessed ambient air quality data for the 2028 planning period. </w:t>
      </w:r>
      <w:r w:rsidR="00F87CE0">
        <w:rPr>
          <w:rFonts w:cs="Arial"/>
        </w:rPr>
        <w:t xml:space="preserve"> </w:t>
      </w:r>
      <w:r w:rsidRPr="6ED84A44">
        <w:rPr>
          <w:rFonts w:cs="Arial"/>
        </w:rPr>
        <w:t>Based on this analysis, in July 2020, Georgia EPD selected Plant Bowen for further evaluation of SO</w:t>
      </w:r>
      <w:r w:rsidRPr="6ED84A44">
        <w:rPr>
          <w:rFonts w:cs="Arial"/>
          <w:vertAlign w:val="subscript"/>
        </w:rPr>
        <w:t>2</w:t>
      </w:r>
      <w:r w:rsidRPr="6ED84A44">
        <w:rPr>
          <w:rFonts w:cs="Arial"/>
        </w:rPr>
        <w:t xml:space="preserve"> emissions to determine whether additional control measures are required to make reasonable process toward achieving the program’s goals.  Georgia Power submitted the Regional Haze four-factor analysis for Plant Bowen in November 2020</w:t>
      </w:r>
      <w:r w:rsidR="00B41190">
        <w:rPr>
          <w:rFonts w:cs="Arial"/>
        </w:rPr>
        <w:t xml:space="preserve">, recommending that no additional </w:t>
      </w:r>
      <w:r w:rsidR="00B41190" w:rsidRPr="00B41190">
        <w:rPr>
          <w:rFonts w:cs="Arial"/>
        </w:rPr>
        <w:t>SO</w:t>
      </w:r>
      <w:r w:rsidR="00B41190" w:rsidRPr="00B41190">
        <w:rPr>
          <w:rFonts w:cs="Arial"/>
          <w:vertAlign w:val="subscript"/>
        </w:rPr>
        <w:t>2</w:t>
      </w:r>
      <w:r w:rsidR="00B41190">
        <w:rPr>
          <w:rFonts w:cs="Arial"/>
        </w:rPr>
        <w:t xml:space="preserve"> emission controls were necessary</w:t>
      </w:r>
      <w:r w:rsidRPr="6ED84A44">
        <w:rPr>
          <w:rFonts w:cs="Arial"/>
        </w:rPr>
        <w:t xml:space="preserve">.  </w:t>
      </w:r>
      <w:r w:rsidR="00F87CE0">
        <w:rPr>
          <w:rFonts w:cs="Arial"/>
        </w:rPr>
        <w:t>Regional Haze SIPs</w:t>
      </w:r>
      <w:r w:rsidRPr="6ED84A44">
        <w:rPr>
          <w:rFonts w:cs="Arial"/>
        </w:rPr>
        <w:t xml:space="preserve"> for the 2028 planning period </w:t>
      </w:r>
      <w:r>
        <w:rPr>
          <w:rFonts w:cs="Arial"/>
        </w:rPr>
        <w:t>were</w:t>
      </w:r>
      <w:r w:rsidRPr="6ED84A44">
        <w:rPr>
          <w:rFonts w:cs="Arial"/>
        </w:rPr>
        <w:t xml:space="preserve"> due to EP</w:t>
      </w:r>
      <w:r>
        <w:rPr>
          <w:rFonts w:cs="Arial"/>
        </w:rPr>
        <w:t>A</w:t>
      </w:r>
      <w:r w:rsidRPr="6ED84A44">
        <w:rPr>
          <w:rFonts w:cs="Arial"/>
        </w:rPr>
        <w:t xml:space="preserve"> </w:t>
      </w:r>
      <w:r w:rsidRPr="00A10388">
        <w:rPr>
          <w:rFonts w:cs="Arial"/>
        </w:rPr>
        <w:t>by July 2021</w:t>
      </w:r>
      <w:r w:rsidRPr="00141DDD">
        <w:rPr>
          <w:rFonts w:cs="Arial"/>
        </w:rPr>
        <w:t>.</w:t>
      </w:r>
      <w:r>
        <w:rPr>
          <w:rFonts w:cs="Arial"/>
        </w:rPr>
        <w:t xml:space="preserve"> </w:t>
      </w:r>
      <w:r w:rsidR="00141DDD">
        <w:rPr>
          <w:rFonts w:cs="Arial"/>
        </w:rPr>
        <w:t xml:space="preserve"> </w:t>
      </w:r>
      <w:r>
        <w:rPr>
          <w:rFonts w:cs="Arial"/>
        </w:rPr>
        <w:t xml:space="preserve">Georgia EPD, along with a majority of states, did not meet this deadline and is expected to submit a </w:t>
      </w:r>
      <w:r w:rsidR="00C71B08">
        <w:rPr>
          <w:rFonts w:cs="Arial"/>
        </w:rPr>
        <w:t xml:space="preserve">SIP </w:t>
      </w:r>
      <w:r w:rsidRPr="00770024">
        <w:rPr>
          <w:rFonts w:cs="Arial"/>
        </w:rPr>
        <w:t xml:space="preserve">submission in </w:t>
      </w:r>
      <w:r w:rsidR="00445473" w:rsidRPr="00770024">
        <w:rPr>
          <w:rFonts w:cs="Arial"/>
        </w:rPr>
        <w:t>mid-</w:t>
      </w:r>
      <w:r w:rsidRPr="00770024">
        <w:rPr>
          <w:rFonts w:cs="Arial"/>
        </w:rPr>
        <w:t>2022.</w:t>
      </w:r>
      <w:r w:rsidRPr="6ED84A44">
        <w:rPr>
          <w:rFonts w:cs="Arial"/>
        </w:rPr>
        <w:t xml:space="preserve">  </w:t>
      </w:r>
    </w:p>
    <w:p w14:paraId="66C56BE2" w14:textId="303302DC" w:rsidR="00865FF2" w:rsidRPr="00520836" w:rsidRDefault="006E47BF" w:rsidP="002531D4">
      <w:pPr>
        <w:pStyle w:val="Heading3"/>
      </w:pPr>
      <w:hyperlink r:id="rId33" w:anchor="_Toc535908076">
        <w:bookmarkStart w:id="43" w:name="_Toc94197893"/>
        <w:r w:rsidR="00304977" w:rsidRPr="00520836">
          <w:t>3.</w:t>
        </w:r>
        <w:r w:rsidR="00E2493E">
          <w:t>4</w:t>
        </w:r>
        <w:r w:rsidR="00865FF2" w:rsidRPr="00520836">
          <w:t>.</w:t>
        </w:r>
        <w:r w:rsidR="002C1316">
          <w:t>8</w:t>
        </w:r>
        <w:r w:rsidR="00520836">
          <w:t xml:space="preserve"> </w:t>
        </w:r>
        <w:r w:rsidR="00865FF2" w:rsidRPr="00520836">
          <w:t>Georgia Multipollutant Rule and Georgia SO</w:t>
        </w:r>
        <w:r w:rsidR="00865FF2" w:rsidRPr="00370EA9">
          <w:rPr>
            <w:vertAlign w:val="subscript"/>
          </w:rPr>
          <w:t>2</w:t>
        </w:r>
        <w:r w:rsidR="00865FF2" w:rsidRPr="00520836">
          <w:t xml:space="preserve"> Emissions Rule</w:t>
        </w:r>
        <w:bookmarkEnd w:id="43"/>
      </w:hyperlink>
    </w:p>
    <w:p w14:paraId="2642A725" w14:textId="63F9690A" w:rsidR="00AD64A3" w:rsidRPr="00DB7156" w:rsidRDefault="00AD64A3" w:rsidP="002468FD">
      <w:r w:rsidRPr="00DB7156">
        <w:t xml:space="preserve">In response to federal environmental rules as well as state-specific objectives, the state of Georgia implemented a set of state rules governing emissions from coal-fired power plants. The Georgia Multipollutant Rule </w:t>
      </w:r>
      <w:r w:rsidR="1ADCDA7E">
        <w:t>(391-3-1</w:t>
      </w:r>
      <w:r w:rsidR="49BC1A1F">
        <w:t>-.02</w:t>
      </w:r>
      <w:r w:rsidR="1ADCDA7E">
        <w:t>(2</w:t>
      </w:r>
      <w:r w:rsidR="69A49323">
        <w:t>)</w:t>
      </w:r>
      <w:r w:rsidR="29E2CC67">
        <w:t>(</w:t>
      </w:r>
      <w:r w:rsidR="1ADCDA7E">
        <w:t>sss</w:t>
      </w:r>
      <w:r w:rsidR="29E2CC67">
        <w:t>))</w:t>
      </w:r>
      <w:r w:rsidR="697A77F8">
        <w:t xml:space="preserve"> </w:t>
      </w:r>
      <w:r w:rsidRPr="00DB7156">
        <w:t>was finalized in June 2007, while the Georgia SO</w:t>
      </w:r>
      <w:r w:rsidRPr="00DB7156">
        <w:rPr>
          <w:vertAlign w:val="subscript"/>
        </w:rPr>
        <w:t>2</w:t>
      </w:r>
      <w:r w:rsidRPr="00DB7156">
        <w:t xml:space="preserve"> Emissions Rule </w:t>
      </w:r>
      <w:r w:rsidR="00D86CFB">
        <w:t xml:space="preserve">(391-3-1-.02(2)(uuu)) </w:t>
      </w:r>
      <w:r w:rsidRPr="00DB7156">
        <w:t xml:space="preserve">was finalized in January 2009. </w:t>
      </w:r>
    </w:p>
    <w:p w14:paraId="00879852" w14:textId="0904EC4C" w:rsidR="00AD64A3" w:rsidRPr="00DB7156" w:rsidRDefault="00AD64A3" w:rsidP="002468FD">
      <w:r w:rsidRPr="00DB7156">
        <w:t>The Georgia Multipollutant Rule was designed to reduce emissions of mercury, SO</w:t>
      </w:r>
      <w:r w:rsidRPr="00DB7156">
        <w:rPr>
          <w:vertAlign w:val="subscript"/>
        </w:rPr>
        <w:t>2</w:t>
      </w:r>
      <w:r w:rsidRPr="00DB7156">
        <w:t xml:space="preserve">, and NOx state-wide by requiring installation of specified control technologies </w:t>
      </w:r>
      <w:r w:rsidR="00B21D78">
        <w:t xml:space="preserve">on all of the larger coal-fired electric generating units </w:t>
      </w:r>
      <w:r w:rsidRPr="00DB7156">
        <w:t xml:space="preserve">by specific dates originally set between December 31, 2008, and June 1, </w:t>
      </w:r>
      <w:r w:rsidRPr="005148F0">
        <w:t>2015</w:t>
      </w:r>
      <w:r w:rsidRPr="00DB7156">
        <w:t xml:space="preserve">. </w:t>
      </w:r>
      <w:r w:rsidR="00A07E45">
        <w:t>Specified controls included flue gas desulfurization scrubbers</w:t>
      </w:r>
      <w:r w:rsidR="00813133">
        <w:t>,</w:t>
      </w:r>
      <w:r w:rsidR="00A07E45">
        <w:t xml:space="preserve"> SCR</w:t>
      </w:r>
      <w:r w:rsidR="008E1971">
        <w:t>s</w:t>
      </w:r>
      <w:r w:rsidR="00A07E45">
        <w:t>, and baghouses.</w:t>
      </w:r>
    </w:p>
    <w:p w14:paraId="16110742" w14:textId="7A187584" w:rsidR="00AD64A3" w:rsidRPr="00DB7156" w:rsidRDefault="00AD64A3" w:rsidP="002468FD">
      <w:r>
        <w:t>The Georgia SO</w:t>
      </w:r>
      <w:r w:rsidRPr="6F95C434">
        <w:rPr>
          <w:vertAlign w:val="subscript"/>
        </w:rPr>
        <w:t>2</w:t>
      </w:r>
      <w:r>
        <w:t xml:space="preserve"> Emissions Rule was designed to be a companion rule to the Georgia Multipollutant Rule. The rule requires reduction of SO</w:t>
      </w:r>
      <w:r w:rsidRPr="6F95C434">
        <w:rPr>
          <w:vertAlign w:val="subscript"/>
        </w:rPr>
        <w:t>2</w:t>
      </w:r>
      <w:r>
        <w:t xml:space="preserve"> emissions by 95% from all units required to install FGDs under the Georgia Multipollutant Rule, except Plant Yates Unit 1 where a 90% reduction was required. The rule required compliance beginning in January 2010 for units with FGDs in </w:t>
      </w:r>
      <w:r w:rsidDel="00AD64A3">
        <w:t>operation</w:t>
      </w:r>
      <w:r w:rsidR="145827A0">
        <w:t xml:space="preserve"> and</w:t>
      </w:r>
      <w:r>
        <w:t xml:space="preserve"> requires reductions from the remaining units at dates that align with or are close to the Multipollutant Rule compliance dates.   </w:t>
      </w:r>
    </w:p>
    <w:p w14:paraId="149FEDC7" w14:textId="14828E98" w:rsidR="00AD64A3" w:rsidRPr="00DB7156" w:rsidDel="0021063E" w:rsidRDefault="00AD64A3" w:rsidP="002468FD">
      <w:r w:rsidRPr="00DB7156">
        <w:t>In June 2011</w:t>
      </w:r>
      <w:r w:rsidR="00AF676B">
        <w:t xml:space="preserve"> and April 2013</w:t>
      </w:r>
      <w:r w:rsidRPr="00DB7156">
        <w:t>, revisions to both the Georgia Multipollutant Rule and Georgia SO</w:t>
      </w:r>
      <w:r w:rsidRPr="00DB7156">
        <w:rPr>
          <w:vertAlign w:val="subscript"/>
        </w:rPr>
        <w:t>2</w:t>
      </w:r>
      <w:r w:rsidRPr="00DB7156">
        <w:t xml:space="preserve"> Emissions Rule were approved by the Georgia Department of Natural Resources. These revisions moved up the </w:t>
      </w:r>
      <w:r>
        <w:t>FGD</w:t>
      </w:r>
      <w:r w:rsidRPr="00DB7156">
        <w:t xml:space="preserve"> and SCR compliance dates </w:t>
      </w:r>
      <w:r w:rsidR="00591859">
        <w:t>for certain units</w:t>
      </w:r>
      <w:r w:rsidRPr="00DB7156">
        <w:t xml:space="preserve"> and allowed for additional time to install controls </w:t>
      </w:r>
      <w:r w:rsidR="00591859">
        <w:t xml:space="preserve">at other units </w:t>
      </w:r>
      <w:r w:rsidRPr="00DB7156">
        <w:t xml:space="preserve">in an attempt to streamline the compliance deadlines in the state rules with the new MATS </w:t>
      </w:r>
      <w:r>
        <w:t>R</w:t>
      </w:r>
      <w:r w:rsidRPr="00DB7156">
        <w:t>ule</w:t>
      </w:r>
      <w:r w:rsidR="0090389F">
        <w:t>.</w:t>
      </w:r>
      <w:r w:rsidR="00A53954">
        <w:t xml:space="preserve"> The revision also provided the option for Plant Yates units to switch to natural gas instead of installing FGDs and SCRs.</w:t>
      </w:r>
      <w:r w:rsidR="001B7D4C">
        <w:t xml:space="preserve"> </w:t>
      </w:r>
      <w:r>
        <w:t>The control technology for each unit to meet the Multipollutant Rule requirements were outlined in</w:t>
      </w:r>
      <w:r w:rsidRPr="00D00086">
        <w:t xml:space="preserve"> </w:t>
      </w:r>
      <w:r w:rsidRPr="005148F0">
        <w:t>Table 2.10-1 of the 2016 Update to the ECS, found in Docket No. 40161</w:t>
      </w:r>
      <w:r>
        <w:t xml:space="preserve">. </w:t>
      </w:r>
    </w:p>
    <w:p w14:paraId="3A6E81B3" w14:textId="42E63158" w:rsidR="00865FF2" w:rsidRPr="008520F4" w:rsidRDefault="006E47BF" w:rsidP="002531D4">
      <w:pPr>
        <w:pStyle w:val="Heading3"/>
        <w:rPr>
          <w:rFonts w:eastAsiaTheme="minorEastAsia" w:cs="Arial"/>
          <w:color w:val="000080"/>
        </w:rPr>
      </w:pPr>
      <w:hyperlink r:id="rId34" w:anchor="_Toc535908077">
        <w:bookmarkStart w:id="44" w:name="_Toc94197894"/>
        <w:r w:rsidR="00932128" w:rsidRPr="00520836">
          <w:t>3.</w:t>
        </w:r>
        <w:r w:rsidR="00932128">
          <w:t>4</w:t>
        </w:r>
        <w:r w:rsidR="00932128" w:rsidRPr="00520836">
          <w:t>.</w:t>
        </w:r>
      </w:hyperlink>
      <w:r w:rsidR="002C1316">
        <w:t>9</w:t>
      </w:r>
      <w:r w:rsidR="00352D82">
        <w:t xml:space="preserve"> </w:t>
      </w:r>
      <w:r w:rsidR="00865FF2" w:rsidRPr="00520836">
        <w:t>S</w:t>
      </w:r>
      <w:r w:rsidR="00865FF2" w:rsidRPr="6B962019">
        <w:rPr>
          <w:rFonts w:eastAsiaTheme="minorEastAsia" w:cs="Arial"/>
          <w:color w:val="000080"/>
        </w:rPr>
        <w:t>tartup, Shutdown and Malfunction SIP Call</w:t>
      </w:r>
      <w:bookmarkEnd w:id="44"/>
      <w:r w:rsidR="00865FF2">
        <w:tab/>
      </w:r>
    </w:p>
    <w:p w14:paraId="31FEAEDC" w14:textId="77777777" w:rsidR="001278DB" w:rsidRDefault="00865FF2" w:rsidP="001278DB">
      <w:r>
        <w:rPr>
          <w:rFonts w:eastAsia="Times New Roman"/>
          <w:szCs w:val="24"/>
        </w:rPr>
        <w:t xml:space="preserve">In May 2015, </w:t>
      </w:r>
      <w:r w:rsidRPr="00101CF8">
        <w:rPr>
          <w:rFonts w:eastAsia="Times New Roman"/>
          <w:szCs w:val="24"/>
        </w:rPr>
        <w:t>EPA took final action on its findings of “substantial inadequacy” of the SIPs of 36 states</w:t>
      </w:r>
      <w:r>
        <w:rPr>
          <w:rFonts w:eastAsia="Times New Roman"/>
          <w:szCs w:val="24"/>
        </w:rPr>
        <w:t>, including Georgia</w:t>
      </w:r>
      <w:r w:rsidRPr="00101CF8">
        <w:rPr>
          <w:rFonts w:eastAsia="Times New Roman"/>
          <w:szCs w:val="24"/>
        </w:rPr>
        <w:t xml:space="preserve">, </w:t>
      </w:r>
      <w:r w:rsidRPr="2B377831">
        <w:rPr>
          <w:rFonts w:eastAsia="Times New Roman"/>
          <w:szCs w:val="24"/>
        </w:rPr>
        <w:t>and issued</w:t>
      </w:r>
      <w:r w:rsidRPr="00101CF8">
        <w:rPr>
          <w:rFonts w:eastAsia="Times New Roman"/>
          <w:szCs w:val="24"/>
        </w:rPr>
        <w:t xml:space="preserve"> a final </w:t>
      </w:r>
      <w:r w:rsidRPr="2B377831">
        <w:rPr>
          <w:rFonts w:eastAsia="Times New Roman"/>
          <w:szCs w:val="24"/>
        </w:rPr>
        <w:t>“</w:t>
      </w:r>
      <w:r w:rsidRPr="00101CF8">
        <w:rPr>
          <w:rFonts w:eastAsia="Times New Roman"/>
          <w:szCs w:val="24"/>
        </w:rPr>
        <w:t xml:space="preserve">SIP </w:t>
      </w:r>
      <w:r>
        <w:rPr>
          <w:rFonts w:eastAsia="Times New Roman"/>
          <w:szCs w:val="24"/>
        </w:rPr>
        <w:t>C</w:t>
      </w:r>
      <w:r w:rsidRPr="2B377831">
        <w:rPr>
          <w:rFonts w:eastAsia="Times New Roman"/>
          <w:szCs w:val="24"/>
        </w:rPr>
        <w:t>all”</w:t>
      </w:r>
      <w:r w:rsidRPr="00101CF8">
        <w:rPr>
          <w:rFonts w:eastAsia="Times New Roman"/>
          <w:szCs w:val="24"/>
        </w:rPr>
        <w:t xml:space="preserve"> requiring the affected states to remove exemptions for excess emissions that occur during periods of startup, shutdown, and malfunction.  </w:t>
      </w:r>
      <w:r w:rsidR="00D6187B" w:rsidRPr="00DB7156">
        <w:t xml:space="preserve">The Sierra Club petitioned EPA to take this action, primarily based on the arguments that such provisions allow emissions that could cause or contribute to violations of ambient air quality standards and that interfere with or preclude enforcement by agencies and citizens.  </w:t>
      </w:r>
      <w:r w:rsidR="001278DB">
        <w:t xml:space="preserve">Georgia Power is a party to ongoing litigation in the D.C. Circuit Court challenging the 2015 SSM Rule. </w:t>
      </w:r>
    </w:p>
    <w:p w14:paraId="5EFD46E4" w14:textId="6FB8D727" w:rsidR="00D71AA7" w:rsidRDefault="00912FE7" w:rsidP="00D71AA7">
      <w:pPr>
        <w:spacing w:after="0"/>
        <w:rPr>
          <w:rFonts w:cs="Arial"/>
        </w:rPr>
      </w:pPr>
      <w:r>
        <w:rPr>
          <w:rFonts w:cs="Arial"/>
        </w:rPr>
        <w:t>In</w:t>
      </w:r>
      <w:r w:rsidRPr="00DB7156">
        <w:rPr>
          <w:rFonts w:cs="Arial"/>
        </w:rPr>
        <w:t xml:space="preserve"> November 2016</w:t>
      </w:r>
      <w:r>
        <w:rPr>
          <w:rFonts w:cs="Arial"/>
        </w:rPr>
        <w:t xml:space="preserve"> to address the SIP Call</w:t>
      </w:r>
      <w:r w:rsidRPr="00DB7156">
        <w:rPr>
          <w:rFonts w:cs="Arial"/>
        </w:rPr>
        <w:t xml:space="preserve">, Georgia EPD submitted </w:t>
      </w:r>
      <w:r>
        <w:rPr>
          <w:rFonts w:cs="Arial"/>
        </w:rPr>
        <w:t>a</w:t>
      </w:r>
      <w:r w:rsidRPr="00DB7156">
        <w:rPr>
          <w:rFonts w:cs="Arial"/>
        </w:rPr>
        <w:t xml:space="preserve"> new state </w:t>
      </w:r>
      <w:r>
        <w:rPr>
          <w:rFonts w:cs="Arial"/>
        </w:rPr>
        <w:t xml:space="preserve">SSM </w:t>
      </w:r>
      <w:r w:rsidRPr="00DB7156">
        <w:rPr>
          <w:rFonts w:cs="Arial"/>
        </w:rPr>
        <w:t xml:space="preserve">rule </w:t>
      </w:r>
      <w:r w:rsidR="00FD455A">
        <w:t>(391-3-1-.02(2)(a)(11))</w:t>
      </w:r>
      <w:r w:rsidR="006A467D">
        <w:t xml:space="preserve"> </w:t>
      </w:r>
      <w:r w:rsidRPr="00DB7156">
        <w:rPr>
          <w:rFonts w:cs="Arial"/>
        </w:rPr>
        <w:t xml:space="preserve">to EPA for approval as a revision to </w:t>
      </w:r>
      <w:r w:rsidR="004D7C33">
        <w:rPr>
          <w:rFonts w:cs="Arial"/>
        </w:rPr>
        <w:t xml:space="preserve">the </w:t>
      </w:r>
      <w:r w:rsidR="00D71AA7" w:rsidRPr="00DB7156" w:rsidDel="004D7C33">
        <w:rPr>
          <w:rFonts w:cs="Arial"/>
        </w:rPr>
        <w:t xml:space="preserve">Georgia </w:t>
      </w:r>
      <w:r w:rsidRPr="00DB7156">
        <w:rPr>
          <w:rFonts w:cs="Arial"/>
        </w:rPr>
        <w:t>SIP</w:t>
      </w:r>
      <w:r w:rsidR="004D7C33">
        <w:rPr>
          <w:rFonts w:cs="Arial"/>
        </w:rPr>
        <w:t>,</w:t>
      </w:r>
      <w:r w:rsidRPr="00DB7156">
        <w:rPr>
          <w:rFonts w:cs="Arial"/>
        </w:rPr>
        <w:t xml:space="preserve"> </w:t>
      </w:r>
      <w:r w:rsidR="00D6187B">
        <w:rPr>
          <w:rFonts w:cs="Arial"/>
        </w:rPr>
        <w:t>set</w:t>
      </w:r>
      <w:r w:rsidR="004D7C33">
        <w:rPr>
          <w:rFonts w:cs="Arial"/>
        </w:rPr>
        <w:t xml:space="preserve">ting </w:t>
      </w:r>
      <w:r w:rsidR="00D71AA7" w:rsidRPr="00DB7156">
        <w:rPr>
          <w:rFonts w:cs="Arial"/>
        </w:rPr>
        <w:t xml:space="preserve">requirements for work practice standards for periods of startup, shutdown, and malfunction. </w:t>
      </w:r>
      <w:r w:rsidR="00D6187B">
        <w:rPr>
          <w:rFonts w:cs="Arial"/>
        </w:rPr>
        <w:t xml:space="preserve"> </w:t>
      </w:r>
      <w:r w:rsidR="00D71AA7" w:rsidRPr="00DB7156">
        <w:rPr>
          <w:rFonts w:cs="Arial"/>
        </w:rPr>
        <w:t>While the new state rule is final, it does not take effect unless it is approved by EPA</w:t>
      </w:r>
      <w:r w:rsidR="001673A4">
        <w:rPr>
          <w:rFonts w:cs="Arial"/>
        </w:rPr>
        <w:t>, and t</w:t>
      </w:r>
      <w:r w:rsidR="00D71AA7">
        <w:rPr>
          <w:rFonts w:cs="Arial"/>
        </w:rPr>
        <w:t>o date, EP</w:t>
      </w:r>
      <w:r w:rsidR="001673A4">
        <w:rPr>
          <w:rFonts w:cs="Arial"/>
        </w:rPr>
        <w:t>A</w:t>
      </w:r>
      <w:r w:rsidR="00D71AA7">
        <w:rPr>
          <w:rFonts w:cs="Arial"/>
        </w:rPr>
        <w:t xml:space="preserve"> has not acted on th</w:t>
      </w:r>
      <w:r w:rsidR="001673A4">
        <w:rPr>
          <w:rFonts w:cs="Arial"/>
        </w:rPr>
        <w:t>e Georgia SSM</w:t>
      </w:r>
      <w:r w:rsidR="00D71AA7">
        <w:rPr>
          <w:rFonts w:cs="Arial"/>
        </w:rPr>
        <w:t xml:space="preserve"> SIP submittal.</w:t>
      </w:r>
      <w:r w:rsidR="00D71AA7" w:rsidRPr="00DB7156">
        <w:rPr>
          <w:rFonts w:cs="Arial"/>
        </w:rPr>
        <w:t xml:space="preserve"> </w:t>
      </w:r>
    </w:p>
    <w:p w14:paraId="500D2584" w14:textId="6C298EB5" w:rsidR="00FC699B" w:rsidRDefault="00DB6E9E" w:rsidP="002468FD">
      <w:r>
        <w:rPr>
          <w:rFonts w:eastAsia="Times New Roman"/>
          <w:szCs w:val="24"/>
        </w:rPr>
        <w:br/>
      </w:r>
      <w:r w:rsidR="00865FF2" w:rsidRPr="00F02019">
        <w:rPr>
          <w:rFonts w:eastAsia="Times New Roman"/>
          <w:szCs w:val="24"/>
        </w:rPr>
        <w:t xml:space="preserve">In 2020, three EPA region offices took action on </w:t>
      </w:r>
      <w:r w:rsidR="000D7E28">
        <w:rPr>
          <w:rFonts w:eastAsia="Times New Roman"/>
          <w:szCs w:val="24"/>
        </w:rPr>
        <w:t xml:space="preserve">the SSM rules in the </w:t>
      </w:r>
      <w:r w:rsidR="00865FF2" w:rsidRPr="00F02019">
        <w:rPr>
          <w:rFonts w:eastAsia="Times New Roman"/>
          <w:szCs w:val="24"/>
        </w:rPr>
        <w:t xml:space="preserve">state implementation plans for Texas, North Carolina, and Iowa. </w:t>
      </w:r>
      <w:r w:rsidR="000D7E28">
        <w:rPr>
          <w:rFonts w:eastAsia="Times New Roman"/>
          <w:szCs w:val="24"/>
        </w:rPr>
        <w:t xml:space="preserve"> </w:t>
      </w:r>
      <w:r w:rsidR="00865FF2" w:rsidRPr="00F02019">
        <w:rPr>
          <w:rFonts w:eastAsia="Times New Roman"/>
          <w:szCs w:val="24"/>
        </w:rPr>
        <w:t xml:space="preserve">Although the actions taken were specific to rules and requirements in each state, </w:t>
      </w:r>
      <w:r w:rsidR="000D7E28">
        <w:rPr>
          <w:rFonts w:eastAsia="Times New Roman"/>
          <w:szCs w:val="24"/>
        </w:rPr>
        <w:t>each action</w:t>
      </w:r>
      <w:r w:rsidR="00865FF2" w:rsidRPr="00F02019">
        <w:rPr>
          <w:rFonts w:eastAsia="Times New Roman"/>
          <w:szCs w:val="24"/>
        </w:rPr>
        <w:t xml:space="preserve"> had the effect of withdrawing the </w:t>
      </w:r>
      <w:r w:rsidR="000D7E28">
        <w:rPr>
          <w:rFonts w:eastAsia="Times New Roman"/>
          <w:szCs w:val="24"/>
        </w:rPr>
        <w:t xml:space="preserve">SSM </w:t>
      </w:r>
      <w:r w:rsidR="00865FF2" w:rsidRPr="00F02019">
        <w:rPr>
          <w:rFonts w:eastAsia="Times New Roman"/>
          <w:szCs w:val="24"/>
        </w:rPr>
        <w:t>SIP call for those states</w:t>
      </w:r>
      <w:r w:rsidR="001E58A1">
        <w:rPr>
          <w:rFonts w:eastAsia="Times New Roman"/>
          <w:szCs w:val="24"/>
        </w:rPr>
        <w:t>, re</w:t>
      </w:r>
      <w:r>
        <w:rPr>
          <w:rFonts w:eastAsia="Times New Roman"/>
          <w:szCs w:val="24"/>
        </w:rPr>
        <w:t>versing</w:t>
      </w:r>
      <w:r w:rsidR="001E58A1">
        <w:rPr>
          <w:rFonts w:eastAsia="Times New Roman"/>
          <w:szCs w:val="24"/>
        </w:rPr>
        <w:t xml:space="preserve"> the requirement to upd</w:t>
      </w:r>
      <w:r>
        <w:rPr>
          <w:rFonts w:eastAsia="Times New Roman"/>
          <w:szCs w:val="24"/>
        </w:rPr>
        <w:t>ate or remove the state SSM rules</w:t>
      </w:r>
      <w:r w:rsidR="00865FF2" w:rsidRPr="00F02019">
        <w:rPr>
          <w:rFonts w:eastAsia="Times New Roman"/>
          <w:szCs w:val="24"/>
        </w:rPr>
        <w:t>.</w:t>
      </w:r>
      <w:r>
        <w:rPr>
          <w:rFonts w:eastAsia="Times New Roman"/>
          <w:szCs w:val="24"/>
        </w:rPr>
        <w:t xml:space="preserve">  </w:t>
      </w:r>
      <w:r w:rsidR="00865FF2" w:rsidRPr="5D582713">
        <w:rPr>
          <w:rFonts w:eastAsia="Arial"/>
          <w:szCs w:val="24"/>
        </w:rPr>
        <w:t xml:space="preserve">In </w:t>
      </w:r>
      <w:r w:rsidR="00865FF2" w:rsidRPr="00B11195">
        <w:rPr>
          <w:rFonts w:eastAsia="Arial"/>
          <w:szCs w:val="24"/>
        </w:rPr>
        <w:t xml:space="preserve">October 2020, EPA </w:t>
      </w:r>
      <w:r w:rsidR="00865FF2" w:rsidRPr="5D582713">
        <w:rPr>
          <w:rFonts w:eastAsia="Arial"/>
          <w:szCs w:val="24"/>
        </w:rPr>
        <w:t xml:space="preserve">issued </w:t>
      </w:r>
      <w:r w:rsidR="00865FF2" w:rsidRPr="00B11195">
        <w:rPr>
          <w:rFonts w:eastAsia="Arial"/>
          <w:szCs w:val="24"/>
        </w:rPr>
        <w:t>a memorandum providing guidance</w:t>
      </w:r>
      <w:r w:rsidR="00865FF2" w:rsidRPr="00B11195" w:rsidDel="00DB6E9E">
        <w:rPr>
          <w:rFonts w:eastAsia="Arial"/>
          <w:szCs w:val="24"/>
        </w:rPr>
        <w:t xml:space="preserve"> </w:t>
      </w:r>
      <w:r>
        <w:rPr>
          <w:rFonts w:eastAsia="Arial"/>
          <w:szCs w:val="24"/>
        </w:rPr>
        <w:t>that</w:t>
      </w:r>
      <w:r w:rsidR="00865FF2" w:rsidRPr="5D582713">
        <w:rPr>
          <w:rFonts w:eastAsia="Arial"/>
          <w:szCs w:val="24"/>
        </w:rPr>
        <w:t xml:space="preserve"> exemption provisions and affirmative defenses</w:t>
      </w:r>
      <w:r>
        <w:rPr>
          <w:rFonts w:eastAsia="Arial"/>
          <w:szCs w:val="24"/>
        </w:rPr>
        <w:t xml:space="preserve"> for SSM periods</w:t>
      </w:r>
      <w:r w:rsidR="00865FF2" w:rsidRPr="5D582713">
        <w:rPr>
          <w:rFonts w:eastAsia="Arial"/>
          <w:szCs w:val="24"/>
        </w:rPr>
        <w:t xml:space="preserve"> may be permissible in SIPs under certain circumstances.  However, th</w:t>
      </w:r>
      <w:r w:rsidR="005F1DA9">
        <w:rPr>
          <w:rFonts w:eastAsia="Arial"/>
          <w:szCs w:val="24"/>
        </w:rPr>
        <w:t>is</w:t>
      </w:r>
      <w:r w:rsidR="00865FF2" w:rsidRPr="5D582713">
        <w:rPr>
          <w:rFonts w:eastAsia="Arial"/>
          <w:szCs w:val="24"/>
        </w:rPr>
        <w:t xml:space="preserve"> </w:t>
      </w:r>
      <w:r w:rsidR="00865FF2">
        <w:rPr>
          <w:rFonts w:eastAsia="Arial"/>
          <w:szCs w:val="24"/>
        </w:rPr>
        <w:t>SSM</w:t>
      </w:r>
      <w:r w:rsidR="00865FF2" w:rsidRPr="5D582713" w:rsidDel="005F1DA9">
        <w:rPr>
          <w:rFonts w:eastAsia="Arial"/>
          <w:szCs w:val="24"/>
        </w:rPr>
        <w:t xml:space="preserve"> </w:t>
      </w:r>
      <w:r w:rsidR="005F1DA9">
        <w:rPr>
          <w:rFonts w:eastAsia="Arial"/>
          <w:szCs w:val="24"/>
        </w:rPr>
        <w:t>guidance</w:t>
      </w:r>
      <w:r w:rsidR="00E0209A">
        <w:rPr>
          <w:rFonts w:eastAsia="Arial"/>
          <w:szCs w:val="24"/>
        </w:rPr>
        <w:t xml:space="preserve"> was withdrawn by EPA in September 2021</w:t>
      </w:r>
      <w:r w:rsidR="00865FF2" w:rsidRPr="5D582713">
        <w:rPr>
          <w:rFonts w:eastAsia="Arial"/>
          <w:szCs w:val="24"/>
        </w:rPr>
        <w:t>.</w:t>
      </w:r>
    </w:p>
    <w:p w14:paraId="035A16D2" w14:textId="003A183C" w:rsidR="55BAC8E3" w:rsidRDefault="55BAC8E3" w:rsidP="6F95C434">
      <w:pPr>
        <w:rPr>
          <w:rStyle w:val="normaltextrun"/>
          <w:shd w:val="clear" w:color="auto" w:fill="FFFFFF"/>
        </w:rPr>
      </w:pPr>
      <w:r w:rsidRPr="37612734">
        <w:rPr>
          <w:rFonts w:eastAsia="Calibri" w:cs="Arial"/>
        </w:rPr>
        <w:t xml:space="preserve">In September 2021, environmental groups </w:t>
      </w:r>
      <w:r w:rsidR="00217E3B" w:rsidRPr="37612734">
        <w:rPr>
          <w:rFonts w:eastAsia="Calibri" w:cs="Arial"/>
        </w:rPr>
        <w:t>filed a legal suit against</w:t>
      </w:r>
      <w:r w:rsidRPr="37612734">
        <w:rPr>
          <w:rFonts w:eastAsia="Calibri" w:cs="Arial"/>
        </w:rPr>
        <w:t xml:space="preserve"> EPA in the Northern District of California </w:t>
      </w:r>
      <w:r w:rsidR="00217E3B" w:rsidRPr="37612734">
        <w:rPr>
          <w:rFonts w:eastAsia="Calibri" w:cs="Arial"/>
        </w:rPr>
        <w:t>claiming that EPA has failed to act on the SIP revisions required by the 2015 SSM SIP Call</w:t>
      </w:r>
      <w:r w:rsidR="00B44314" w:rsidRPr="37612734">
        <w:rPr>
          <w:rFonts w:eastAsia="Calibri" w:cs="Arial"/>
        </w:rPr>
        <w:t xml:space="preserve">, including </w:t>
      </w:r>
      <w:r w:rsidR="00F222DB" w:rsidRPr="00812F26">
        <w:rPr>
          <w:rStyle w:val="normaltextrun"/>
          <w:shd w:val="clear" w:color="auto" w:fill="FFFFFF"/>
        </w:rPr>
        <w:t>SIP revisions that were submitted by 29 states and air districts, including Georgia</w:t>
      </w:r>
      <w:r w:rsidR="000253C0">
        <w:rPr>
          <w:rStyle w:val="normaltextrun"/>
          <w:shd w:val="clear" w:color="auto" w:fill="FFFFFF"/>
        </w:rPr>
        <w:t>,</w:t>
      </w:r>
      <w:r w:rsidR="00AA3B1B">
        <w:rPr>
          <w:rStyle w:val="normaltextrun"/>
          <w:shd w:val="clear" w:color="auto" w:fill="FFFFFF"/>
        </w:rPr>
        <w:t xml:space="preserve"> and has failed to</w:t>
      </w:r>
      <w:r w:rsidR="00F222DB" w:rsidRPr="00812F26">
        <w:rPr>
          <w:rStyle w:val="normaltextrun"/>
          <w:shd w:val="clear" w:color="auto" w:fill="FFFFFF"/>
        </w:rPr>
        <w:t xml:space="preserve"> promulgate a Federal Implementation Plan </w:t>
      </w:r>
      <w:r w:rsidR="00AA3B1B">
        <w:rPr>
          <w:rStyle w:val="normaltextrun"/>
          <w:shd w:val="clear" w:color="auto" w:fill="FFFFFF"/>
        </w:rPr>
        <w:t>for states, including Alabama, that did not submit a SIP</w:t>
      </w:r>
      <w:r w:rsidR="00F222DB" w:rsidRPr="00812F26">
        <w:rPr>
          <w:rStyle w:val="normaltextrun"/>
          <w:shd w:val="clear" w:color="auto" w:fill="FFFFFF"/>
        </w:rPr>
        <w:t xml:space="preserve">. </w:t>
      </w:r>
    </w:p>
    <w:p w14:paraId="4FC06B72" w14:textId="02A1888D" w:rsidR="005815C0" w:rsidRDefault="005815C0" w:rsidP="6F95C434">
      <w:pPr>
        <w:rPr>
          <w:rStyle w:val="normaltextrun"/>
          <w:shd w:val="clear" w:color="auto" w:fill="FFFFFF"/>
        </w:rPr>
      </w:pPr>
      <w:r>
        <w:rPr>
          <w:rStyle w:val="normaltextrun"/>
          <w:shd w:val="clear" w:color="auto" w:fill="FFFFFF"/>
        </w:rPr>
        <w:t>In December 2021, the D.C. Circuit Court</w:t>
      </w:r>
      <w:r w:rsidRPr="005815C0">
        <w:t xml:space="preserve"> </w:t>
      </w:r>
      <w:r w:rsidRPr="005815C0">
        <w:rPr>
          <w:rStyle w:val="normaltextrun"/>
          <w:shd w:val="clear" w:color="auto" w:fill="FFFFFF"/>
        </w:rPr>
        <w:t xml:space="preserve">reactivated the SSM SIP Call litigation </w:t>
      </w:r>
      <w:r>
        <w:rPr>
          <w:rStyle w:val="normaltextrun"/>
          <w:shd w:val="clear" w:color="auto" w:fill="FFFFFF"/>
        </w:rPr>
        <w:t xml:space="preserve">at the request of EPA </w:t>
      </w:r>
      <w:r w:rsidRPr="005815C0">
        <w:rPr>
          <w:rStyle w:val="normaltextrun"/>
          <w:shd w:val="clear" w:color="auto" w:fill="FFFFFF"/>
        </w:rPr>
        <w:t>and set an expedited supplemental briefing schedule.</w:t>
      </w:r>
      <w:r w:rsidR="00F86D0E">
        <w:rPr>
          <w:rStyle w:val="normaltextrun"/>
          <w:shd w:val="clear" w:color="auto" w:fill="FFFFFF"/>
        </w:rPr>
        <w:t xml:space="preserve"> With supplemental briefing and oral argument expected to be complete by Spring of 2022, the Court may decide the case by mid-2022. </w:t>
      </w:r>
    </w:p>
    <w:p w14:paraId="709FBEAC" w14:textId="77777777" w:rsidR="00A53AA0" w:rsidRPr="00A53AA0" w:rsidRDefault="00A53AA0" w:rsidP="00A53AA0">
      <w:pPr>
        <w:autoSpaceDE w:val="0"/>
        <w:autoSpaceDN w:val="0"/>
        <w:rPr>
          <w:rFonts w:ascii="Calibri" w:hAnsi="Calibri" w:cs="Calibri"/>
          <w:sz w:val="22"/>
        </w:rPr>
      </w:pPr>
      <w:r>
        <w:t xml:space="preserve">In January 2022, the EPA published in the Federal Register a formal finding that 12 state and local air pollution control agencies, including Alabama, failed to submit SIP revisions as required by the 2015 SSM SIP call.  The finding triggers an obligation under CAA section 110(c) for the EPA to promulgate a Federal Implementation Plan, which would replace existing startup, shutdown, malfunction state regulations, within 24 months.  </w:t>
      </w:r>
    </w:p>
    <w:p w14:paraId="2F345E00" w14:textId="44F33213" w:rsidR="00865FF2" w:rsidRPr="00080486" w:rsidRDefault="006E47BF" w:rsidP="002531D4">
      <w:pPr>
        <w:pStyle w:val="Heading3"/>
      </w:pPr>
      <w:hyperlink r:id="rId35" w:anchor="_Toc535908078" w:history="1">
        <w:bookmarkStart w:id="45" w:name="_Toc94197895"/>
        <w:r w:rsidR="00304977" w:rsidRPr="00080486">
          <w:t>3.</w:t>
        </w:r>
        <w:r w:rsidR="00E2493E">
          <w:t>4</w:t>
        </w:r>
        <w:r w:rsidR="00865FF2" w:rsidRPr="00080486">
          <w:t>.</w:t>
        </w:r>
        <w:r w:rsidR="002C1316">
          <w:t>10</w:t>
        </w:r>
        <w:r w:rsidR="00352D82">
          <w:t xml:space="preserve"> </w:t>
        </w:r>
        <w:r w:rsidR="00865FF2" w:rsidRPr="00080486">
          <w:t>GHG Policies and Emissions</w:t>
        </w:r>
        <w:bookmarkEnd w:id="45"/>
      </w:hyperlink>
    </w:p>
    <w:p w14:paraId="305B6641" w14:textId="34F5DF84" w:rsidR="00865FF2" w:rsidRDefault="00865FF2" w:rsidP="00877775">
      <w:pPr>
        <w:pStyle w:val="Heading4"/>
      </w:pPr>
      <w:r w:rsidRPr="00192A3C">
        <w:t>GHG</w:t>
      </w:r>
      <w:r w:rsidRPr="00983F96">
        <w:t xml:space="preserve"> and </w:t>
      </w:r>
      <w:r w:rsidRPr="00BC5685">
        <w:t>Renewable/Clean Energy Legislation</w:t>
      </w:r>
    </w:p>
    <w:p w14:paraId="23D4518E" w14:textId="1FC1F382" w:rsidR="00630E8D" w:rsidRDefault="007A427E" w:rsidP="002468FD">
      <w:r w:rsidRPr="00DB7156">
        <w:t xml:space="preserve">Over the past </w:t>
      </w:r>
      <w:r w:rsidR="002A018D">
        <w:t xml:space="preserve">two </w:t>
      </w:r>
      <w:r w:rsidRPr="00DB7156">
        <w:t>decade</w:t>
      </w:r>
      <w:r w:rsidR="002A018D">
        <w:t>s</w:t>
      </w:r>
      <w:r w:rsidRPr="00DB7156">
        <w:t xml:space="preserve">, the U.S. Congress considered many proposals to reduce GHG emissions and mandate renewable or clean energy. </w:t>
      </w:r>
      <w:r w:rsidR="003F32AC">
        <w:t>T</w:t>
      </w:r>
      <w:r w:rsidR="00865FF2">
        <w:t xml:space="preserve">here </w:t>
      </w:r>
      <w:r w:rsidR="003F32AC">
        <w:t>h</w:t>
      </w:r>
      <w:r w:rsidR="00865FF2">
        <w:t xml:space="preserve">as </w:t>
      </w:r>
      <w:r w:rsidR="003F32AC">
        <w:t xml:space="preserve">been </w:t>
      </w:r>
      <w:r w:rsidR="00865FF2">
        <w:t>significant activity</w:t>
      </w:r>
      <w:r w:rsidR="003F32AC">
        <w:t xml:space="preserve"> in Congress</w:t>
      </w:r>
      <w:r w:rsidR="00865FF2">
        <w:t xml:space="preserve"> on climate-related legislation</w:t>
      </w:r>
      <w:r w:rsidR="00BB532C">
        <w:t xml:space="preserve"> </w:t>
      </w:r>
      <w:r w:rsidR="00E37978">
        <w:t xml:space="preserve">over </w:t>
      </w:r>
      <w:r w:rsidR="00BB532C">
        <w:t xml:space="preserve">the last </w:t>
      </w:r>
      <w:r w:rsidR="00366D20">
        <w:t xml:space="preserve">several </w:t>
      </w:r>
      <w:r w:rsidR="10BEC0CC">
        <w:t>years</w:t>
      </w:r>
      <w:r w:rsidR="3BEA0504">
        <w:t>.</w:t>
      </w:r>
      <w:r w:rsidR="00865FF2">
        <w:t xml:space="preserve"> </w:t>
      </w:r>
      <w:r w:rsidR="00AE2428">
        <w:t xml:space="preserve">Topic areas </w:t>
      </w:r>
      <w:r w:rsidR="00130FF4">
        <w:t xml:space="preserve">have </w:t>
      </w:r>
      <w:r w:rsidR="00AE2428">
        <w:t>included: international GHG commitments, carbon tax, clean/renewable energy standards, mitigation/adaptation and resiliency support, low carbon technology support, clean electricity payment program</w:t>
      </w:r>
      <w:r w:rsidR="00083F62">
        <w:t xml:space="preserve"> and Build Back Better</w:t>
      </w:r>
      <w:r w:rsidR="00F36949">
        <w:t xml:space="preserve"> Framework</w:t>
      </w:r>
      <w:r w:rsidR="00AE2428">
        <w:t>.</w:t>
      </w:r>
    </w:p>
    <w:p w14:paraId="191D9419" w14:textId="525AD511" w:rsidR="0021690F" w:rsidRDefault="001F2C0A" w:rsidP="0021690F">
      <w:pPr>
        <w:rPr>
          <w:rFonts w:asciiTheme="minorHAnsi" w:hAnsiTheme="minorHAnsi"/>
          <w:sz w:val="22"/>
        </w:rPr>
      </w:pPr>
      <w:r>
        <w:t>Specifically, a</w:t>
      </w:r>
      <w:r w:rsidR="00865FF2">
        <w:t>n economy-wide carbon tax</w:t>
      </w:r>
      <w:r w:rsidR="007D1EA5">
        <w:t xml:space="preserve"> has been contemplated</w:t>
      </w:r>
      <w:r w:rsidR="00865FF2">
        <w:t>.  These proposals typically impose an initial economy-wide price on carbon, e.g., dollars per ton CO</w:t>
      </w:r>
      <w:r w:rsidR="00865FF2" w:rsidRPr="0FC6EF7D">
        <w:rPr>
          <w:vertAlign w:val="subscript"/>
        </w:rPr>
        <w:t>2</w:t>
      </w:r>
      <w:r w:rsidR="00865FF2">
        <w:t xml:space="preserve">, with varying degrees of escalation each year until the proposal’s specific national emission reduction targets are achieved.  </w:t>
      </w:r>
      <w:r w:rsidR="0021690F">
        <w:t>Recently proposed carbon tax legislation, as shown in the table below, ha</w:t>
      </w:r>
      <w:r w:rsidR="00631E4C">
        <w:t>ve</w:t>
      </w:r>
      <w:r w:rsidR="0021690F">
        <w:t xml:space="preserve"> included carbon prices starting at well over $50</w:t>
      </w:r>
      <w:r w:rsidR="00BD4216">
        <w:t xml:space="preserve"> per ton</w:t>
      </w:r>
      <w:r w:rsidR="0021690F">
        <w:t>. A 2021 proposal from Rep. Fitzpatrick and Rep. Carbajal starts at $35, growing at 5% above inflation.  Two of the proposals that start at a lower price increase each year, by $10</w:t>
      </w:r>
      <w:r w:rsidR="006D5CFA">
        <w:t xml:space="preserve"> or more </w:t>
      </w:r>
      <w:r w:rsidR="0021690F">
        <w:t xml:space="preserve">per year plus inflation, such that the carbon tax quickly surpasses the $50 per ton threshold in just a few years, as shown </w:t>
      </w:r>
      <w:r w:rsidR="006D5CFA">
        <w:t>in Figure 4-1.</w:t>
      </w:r>
      <w:r w:rsidR="0021690F">
        <w:t xml:space="preserve"> The proposals over the last several years with higher carbon prices contrast with programs contemplated during the previous two decades, which typically sought lower initial prices that escalated more gradually.</w:t>
      </w:r>
    </w:p>
    <w:p w14:paraId="7AA8C7EE" w14:textId="77777777" w:rsidR="00652FFC" w:rsidRDefault="00652FFC">
      <w:pPr>
        <w:spacing w:after="160" w:line="259" w:lineRule="auto"/>
        <w:jc w:val="left"/>
        <w:rPr>
          <w:b/>
          <w:bCs/>
        </w:rPr>
      </w:pPr>
      <w:r>
        <w:rPr>
          <w:b/>
          <w:bCs/>
        </w:rPr>
        <w:br w:type="page"/>
      </w:r>
    </w:p>
    <w:p w14:paraId="0312C8C0" w14:textId="1C90D0D9" w:rsidR="00E76919" w:rsidRPr="000F4EEB" w:rsidRDefault="00E76919" w:rsidP="00E76919">
      <w:pPr>
        <w:rPr>
          <w:b/>
          <w:bCs/>
        </w:rPr>
      </w:pPr>
      <w:r w:rsidRPr="000F4EEB">
        <w:rPr>
          <w:b/>
          <w:bCs/>
        </w:rPr>
        <w:t>Table 3-</w:t>
      </w:r>
      <w:r>
        <w:rPr>
          <w:b/>
          <w:bCs/>
        </w:rPr>
        <w:t>1</w:t>
      </w:r>
      <w:r w:rsidRPr="000F4EEB">
        <w:rPr>
          <w:b/>
          <w:bCs/>
        </w:rPr>
        <w:t xml:space="preserve"> </w:t>
      </w:r>
      <w:r w:rsidRPr="009E3AE0">
        <w:rPr>
          <w:b/>
          <w:bCs/>
        </w:rPr>
        <w:t>Carbon tax legislation proposed in the 117</w:t>
      </w:r>
      <w:r w:rsidRPr="009E3AE0">
        <w:rPr>
          <w:b/>
          <w:bCs/>
          <w:vertAlign w:val="superscript"/>
        </w:rPr>
        <w:t>th</w:t>
      </w:r>
      <w:r w:rsidRPr="009E3AE0">
        <w:rPr>
          <w:b/>
          <w:bCs/>
        </w:rPr>
        <w:t xml:space="preserve"> Congress (2021-2022)</w:t>
      </w:r>
    </w:p>
    <w:tbl>
      <w:tblPr>
        <w:tblStyle w:val="GridTable1Light-Accent1"/>
        <w:tblW w:w="9355" w:type="dxa"/>
        <w:tblInd w:w="0" w:type="dxa"/>
        <w:tblBorders>
          <w:top w:val="single" w:sz="4" w:space="0" w:color="005D8A" w:themeColor="accent1" w:themeShade="BF"/>
          <w:left w:val="single" w:sz="4" w:space="0" w:color="005D8A" w:themeColor="accent1" w:themeShade="BF"/>
          <w:bottom w:val="single" w:sz="4" w:space="0" w:color="005D8A" w:themeColor="accent1" w:themeShade="BF"/>
          <w:right w:val="single" w:sz="4" w:space="0" w:color="005D8A" w:themeColor="accent1" w:themeShade="BF"/>
          <w:insideH w:val="single" w:sz="4" w:space="0" w:color="005D8A" w:themeColor="accent1" w:themeShade="BF"/>
          <w:insideV w:val="single" w:sz="4" w:space="0" w:color="005D8A" w:themeColor="accent1" w:themeShade="BF"/>
        </w:tblBorders>
        <w:tblLayout w:type="fixed"/>
        <w:tblLook w:val="04A0" w:firstRow="1" w:lastRow="0" w:firstColumn="1" w:lastColumn="0" w:noHBand="0" w:noVBand="1"/>
      </w:tblPr>
      <w:tblGrid>
        <w:gridCol w:w="2155"/>
        <w:gridCol w:w="1975"/>
        <w:gridCol w:w="1350"/>
        <w:gridCol w:w="1080"/>
        <w:gridCol w:w="1080"/>
        <w:gridCol w:w="1715"/>
      </w:tblGrid>
      <w:tr w:rsidR="001866EF" w14:paraId="46A0252B" w14:textId="77777777" w:rsidTr="001B7383">
        <w:trPr>
          <w:cnfStyle w:val="100000000000" w:firstRow="1" w:lastRow="0" w:firstColumn="0" w:lastColumn="0" w:oddVBand="0" w:evenVBand="0" w:oddHBand="0" w:evenHBand="0"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2155" w:type="dxa"/>
            <w:tcBorders>
              <w:top w:val="single" w:sz="8" w:space="0" w:color="005D8A" w:themeColor="accent1" w:themeShade="BF"/>
              <w:left w:val="single" w:sz="8" w:space="0" w:color="005D8A" w:themeColor="accent1" w:themeShade="BF"/>
              <w:bottom w:val="single" w:sz="12" w:space="0" w:color="005D8A" w:themeColor="accent1" w:themeShade="BF"/>
              <w:right w:val="single" w:sz="8" w:space="0" w:color="005D8A" w:themeColor="accent1" w:themeShade="BF"/>
            </w:tcBorders>
            <w:shd w:val="clear" w:color="auto" w:fill="D9D9D9" w:themeFill="background1" w:themeFillShade="D9"/>
            <w:vAlign w:val="bottom"/>
            <w:hideMark/>
          </w:tcPr>
          <w:p w14:paraId="5A1D4E96" w14:textId="77777777" w:rsidR="0021690F" w:rsidRPr="00AB7178" w:rsidRDefault="0021690F">
            <w:pPr>
              <w:spacing w:after="0"/>
              <w:jc w:val="center"/>
              <w:rPr>
                <w:rFonts w:ascii="Calibri" w:eastAsia="Times New Roman" w:hAnsi="Calibri" w:cs="Calibri"/>
              </w:rPr>
            </w:pPr>
            <w:r w:rsidRPr="00AB7178">
              <w:rPr>
                <w:rFonts w:ascii="Calibri" w:eastAsia="Times New Roman" w:hAnsi="Calibri" w:cs="Calibri"/>
              </w:rPr>
              <w:t>Bill Title</w:t>
            </w:r>
          </w:p>
        </w:tc>
        <w:tc>
          <w:tcPr>
            <w:tcW w:w="1975" w:type="dxa"/>
            <w:tcBorders>
              <w:top w:val="single" w:sz="8" w:space="0" w:color="005D8A" w:themeColor="accent1" w:themeShade="BF"/>
              <w:left w:val="single" w:sz="8" w:space="0" w:color="005D8A" w:themeColor="accent1" w:themeShade="BF"/>
              <w:bottom w:val="single" w:sz="12" w:space="0" w:color="005D8A" w:themeColor="accent1" w:themeShade="BF"/>
              <w:right w:val="single" w:sz="8" w:space="0" w:color="005D8A" w:themeColor="accent1" w:themeShade="BF"/>
            </w:tcBorders>
            <w:shd w:val="clear" w:color="auto" w:fill="D9D9D9" w:themeFill="background1" w:themeFillShade="D9"/>
            <w:vAlign w:val="bottom"/>
            <w:hideMark/>
          </w:tcPr>
          <w:p w14:paraId="315CC395" w14:textId="77777777" w:rsidR="0021690F" w:rsidRPr="00AB7178" w:rsidRDefault="0021690F">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Sponsor</w:t>
            </w:r>
          </w:p>
        </w:tc>
        <w:tc>
          <w:tcPr>
            <w:tcW w:w="1350" w:type="dxa"/>
            <w:tcBorders>
              <w:top w:val="single" w:sz="8" w:space="0" w:color="005D8A" w:themeColor="accent1" w:themeShade="BF"/>
              <w:left w:val="single" w:sz="8" w:space="0" w:color="005D8A" w:themeColor="accent1" w:themeShade="BF"/>
              <w:bottom w:val="single" w:sz="12" w:space="0" w:color="005D8A" w:themeColor="accent1" w:themeShade="BF"/>
              <w:right w:val="single" w:sz="8" w:space="0" w:color="005D8A" w:themeColor="accent1" w:themeShade="BF"/>
            </w:tcBorders>
            <w:shd w:val="clear" w:color="auto" w:fill="D9D9D9" w:themeFill="background1" w:themeFillShade="D9"/>
            <w:vAlign w:val="bottom"/>
            <w:hideMark/>
          </w:tcPr>
          <w:p w14:paraId="4EC804F8" w14:textId="77777777" w:rsidR="0021690F" w:rsidRPr="00AB7178" w:rsidRDefault="0021690F">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Bipartisan</w:t>
            </w:r>
          </w:p>
        </w:tc>
        <w:tc>
          <w:tcPr>
            <w:tcW w:w="1080" w:type="dxa"/>
            <w:tcBorders>
              <w:top w:val="single" w:sz="8" w:space="0" w:color="005D8A" w:themeColor="accent1" w:themeShade="BF"/>
              <w:left w:val="single" w:sz="8" w:space="0" w:color="005D8A" w:themeColor="accent1" w:themeShade="BF"/>
              <w:bottom w:val="single" w:sz="12" w:space="0" w:color="005D8A" w:themeColor="accent1" w:themeShade="BF"/>
              <w:right w:val="single" w:sz="8" w:space="0" w:color="005D8A" w:themeColor="accent1" w:themeShade="BF"/>
            </w:tcBorders>
            <w:shd w:val="clear" w:color="auto" w:fill="D9D9D9" w:themeFill="background1" w:themeFillShade="D9"/>
            <w:vAlign w:val="bottom"/>
            <w:hideMark/>
          </w:tcPr>
          <w:p w14:paraId="6A736FC3" w14:textId="77777777" w:rsidR="0021690F" w:rsidRPr="00AB7178" w:rsidRDefault="0021690F">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Starting Year</w:t>
            </w:r>
          </w:p>
        </w:tc>
        <w:tc>
          <w:tcPr>
            <w:tcW w:w="1080" w:type="dxa"/>
            <w:tcBorders>
              <w:top w:val="single" w:sz="8" w:space="0" w:color="005D8A" w:themeColor="accent1" w:themeShade="BF"/>
              <w:left w:val="single" w:sz="8" w:space="0" w:color="005D8A" w:themeColor="accent1" w:themeShade="BF"/>
              <w:bottom w:val="single" w:sz="12" w:space="0" w:color="005D8A" w:themeColor="accent1" w:themeShade="BF"/>
              <w:right w:val="single" w:sz="8" w:space="0" w:color="005D8A" w:themeColor="accent1" w:themeShade="BF"/>
            </w:tcBorders>
            <w:shd w:val="clear" w:color="auto" w:fill="D9D9D9" w:themeFill="background1" w:themeFillShade="D9"/>
            <w:vAlign w:val="bottom"/>
            <w:hideMark/>
          </w:tcPr>
          <w:p w14:paraId="69938B97" w14:textId="77777777" w:rsidR="0021690F" w:rsidRPr="00AB7178" w:rsidRDefault="0021690F">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Initial Tax Rate</w:t>
            </w:r>
          </w:p>
        </w:tc>
        <w:tc>
          <w:tcPr>
            <w:tcW w:w="1715" w:type="dxa"/>
            <w:tcBorders>
              <w:top w:val="single" w:sz="8" w:space="0" w:color="005D8A" w:themeColor="accent1" w:themeShade="BF"/>
              <w:left w:val="single" w:sz="8" w:space="0" w:color="005D8A" w:themeColor="accent1" w:themeShade="BF"/>
              <w:bottom w:val="single" w:sz="12" w:space="0" w:color="005D8A" w:themeColor="accent1" w:themeShade="BF"/>
              <w:right w:val="single" w:sz="8" w:space="0" w:color="005D8A" w:themeColor="accent1" w:themeShade="BF"/>
            </w:tcBorders>
            <w:shd w:val="clear" w:color="auto" w:fill="D9D9D9" w:themeFill="background1" w:themeFillShade="D9"/>
            <w:vAlign w:val="bottom"/>
            <w:hideMark/>
          </w:tcPr>
          <w:p w14:paraId="5C5F1471" w14:textId="77777777" w:rsidR="0021690F" w:rsidRPr="00AB7178" w:rsidRDefault="0021690F">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Annual Escalation</w:t>
            </w:r>
          </w:p>
        </w:tc>
      </w:tr>
      <w:tr w:rsidR="001866EF" w14:paraId="7EE2818F" w14:textId="77777777" w:rsidTr="001B7383">
        <w:trPr>
          <w:trHeight w:val="1008"/>
        </w:trPr>
        <w:tc>
          <w:tcPr>
            <w:cnfStyle w:val="001000000000" w:firstRow="0" w:lastRow="0" w:firstColumn="1" w:lastColumn="0" w:oddVBand="0" w:evenVBand="0" w:oddHBand="0" w:evenHBand="0" w:firstRowFirstColumn="0" w:firstRowLastColumn="0" w:lastRowFirstColumn="0" w:lastRowLastColumn="0"/>
            <w:tcW w:w="2155" w:type="dxa"/>
            <w:tcBorders>
              <w:top w:val="single" w:sz="12" w:space="0" w:color="005D8A" w:themeColor="accent1" w:themeShade="BF"/>
            </w:tcBorders>
            <w:hideMark/>
          </w:tcPr>
          <w:p w14:paraId="08BEAE9A" w14:textId="77777777" w:rsidR="0021690F" w:rsidRPr="00AB7178" w:rsidRDefault="0021690F" w:rsidP="001B7DC4">
            <w:pPr>
              <w:spacing w:after="0"/>
              <w:jc w:val="left"/>
              <w:rPr>
                <w:rFonts w:ascii="Calibri" w:eastAsia="Times New Roman" w:hAnsi="Calibri" w:cs="Calibri"/>
              </w:rPr>
            </w:pPr>
            <w:r w:rsidRPr="00AB7178">
              <w:rPr>
                <w:rFonts w:ascii="Calibri" w:eastAsia="Times New Roman" w:hAnsi="Calibri" w:cs="Calibri"/>
              </w:rPr>
              <w:t>S.2085 Save our Future Act</w:t>
            </w:r>
          </w:p>
        </w:tc>
        <w:tc>
          <w:tcPr>
            <w:tcW w:w="1975" w:type="dxa"/>
            <w:tcBorders>
              <w:top w:val="single" w:sz="12" w:space="0" w:color="005D8A" w:themeColor="accent1" w:themeShade="BF"/>
            </w:tcBorders>
            <w:hideMark/>
          </w:tcPr>
          <w:p w14:paraId="163D0478" w14:textId="2FDB40A0" w:rsidR="0021690F" w:rsidRPr="00AB7178" w:rsidRDefault="0021690F" w:rsidP="00674FD2">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Sheldon Whitehouse, Brian Schatz, and 8 cosponsors</w:t>
            </w:r>
          </w:p>
        </w:tc>
        <w:tc>
          <w:tcPr>
            <w:tcW w:w="1350" w:type="dxa"/>
            <w:tcBorders>
              <w:top w:val="single" w:sz="12" w:space="0" w:color="005D8A" w:themeColor="accent1" w:themeShade="BF"/>
            </w:tcBorders>
            <w:noWrap/>
            <w:hideMark/>
          </w:tcPr>
          <w:p w14:paraId="3DE11DC0"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N</w:t>
            </w:r>
          </w:p>
        </w:tc>
        <w:tc>
          <w:tcPr>
            <w:tcW w:w="1080" w:type="dxa"/>
            <w:tcBorders>
              <w:top w:val="single" w:sz="12" w:space="0" w:color="005D8A" w:themeColor="accent1" w:themeShade="BF"/>
            </w:tcBorders>
            <w:hideMark/>
          </w:tcPr>
          <w:p w14:paraId="003F2466"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2023</w:t>
            </w:r>
          </w:p>
        </w:tc>
        <w:tc>
          <w:tcPr>
            <w:tcW w:w="1080" w:type="dxa"/>
            <w:tcBorders>
              <w:top w:val="single" w:sz="12" w:space="0" w:color="005D8A" w:themeColor="accent1" w:themeShade="BF"/>
            </w:tcBorders>
            <w:hideMark/>
          </w:tcPr>
          <w:p w14:paraId="116401C6" w14:textId="77777777" w:rsidR="0021690F" w:rsidRPr="00BB7775"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BB7775">
              <w:rPr>
                <w:rFonts w:ascii="Calibri" w:eastAsia="Times New Roman" w:hAnsi="Calibri" w:cs="Calibri"/>
              </w:rPr>
              <w:t xml:space="preserve">$54 </w:t>
            </w:r>
          </w:p>
        </w:tc>
        <w:tc>
          <w:tcPr>
            <w:tcW w:w="1715" w:type="dxa"/>
            <w:tcBorders>
              <w:top w:val="single" w:sz="12" w:space="0" w:color="005D8A" w:themeColor="accent1" w:themeShade="BF"/>
            </w:tcBorders>
            <w:hideMark/>
          </w:tcPr>
          <w:p w14:paraId="44A4BC8F" w14:textId="77777777" w:rsidR="0021690F" w:rsidRPr="004C3F56" w:rsidRDefault="0021690F" w:rsidP="004C3F56">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4C3F56">
              <w:rPr>
                <w:rFonts w:ascii="Calibri" w:eastAsia="Times New Roman" w:hAnsi="Calibri" w:cs="Calibri"/>
                <w:color w:val="000000"/>
              </w:rPr>
              <w:t>6% + inflation</w:t>
            </w:r>
          </w:p>
        </w:tc>
      </w:tr>
      <w:tr w:rsidR="001866EF" w14:paraId="47882D5C" w14:textId="77777777" w:rsidTr="001B7383">
        <w:trPr>
          <w:trHeight w:val="1008"/>
        </w:trPr>
        <w:tc>
          <w:tcPr>
            <w:cnfStyle w:val="001000000000" w:firstRow="0" w:lastRow="0" w:firstColumn="1" w:lastColumn="0" w:oddVBand="0" w:evenVBand="0" w:oddHBand="0" w:evenHBand="0" w:firstRowFirstColumn="0" w:firstRowLastColumn="0" w:lastRowFirstColumn="0" w:lastRowLastColumn="0"/>
            <w:tcW w:w="2155" w:type="dxa"/>
            <w:hideMark/>
          </w:tcPr>
          <w:p w14:paraId="52914588" w14:textId="77777777" w:rsidR="0021690F" w:rsidRPr="00AB7178" w:rsidRDefault="0021690F" w:rsidP="001B7DC4">
            <w:pPr>
              <w:spacing w:after="0"/>
              <w:jc w:val="left"/>
              <w:rPr>
                <w:rFonts w:ascii="Calibri" w:eastAsia="Times New Roman" w:hAnsi="Calibri" w:cs="Calibri"/>
              </w:rPr>
            </w:pPr>
            <w:r w:rsidRPr="00AB7178">
              <w:rPr>
                <w:rFonts w:ascii="Calibri" w:eastAsia="Times New Roman" w:hAnsi="Calibri" w:cs="Calibri"/>
              </w:rPr>
              <w:t>H.R.3039 MARKET CHOICE Act</w:t>
            </w:r>
          </w:p>
        </w:tc>
        <w:tc>
          <w:tcPr>
            <w:tcW w:w="1975" w:type="dxa"/>
            <w:hideMark/>
          </w:tcPr>
          <w:p w14:paraId="2A25528A" w14:textId="1ED6ED16" w:rsidR="0021690F" w:rsidRPr="00AB7178" w:rsidRDefault="0021690F" w:rsidP="00674FD2">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 xml:space="preserve">Brian Fitzpatrick and Salud Carbajal </w:t>
            </w:r>
          </w:p>
        </w:tc>
        <w:tc>
          <w:tcPr>
            <w:tcW w:w="1350" w:type="dxa"/>
            <w:noWrap/>
            <w:hideMark/>
          </w:tcPr>
          <w:p w14:paraId="74DC53B1"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Y</w:t>
            </w:r>
          </w:p>
        </w:tc>
        <w:tc>
          <w:tcPr>
            <w:tcW w:w="1080" w:type="dxa"/>
            <w:hideMark/>
          </w:tcPr>
          <w:p w14:paraId="4383AC28"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2023</w:t>
            </w:r>
          </w:p>
        </w:tc>
        <w:tc>
          <w:tcPr>
            <w:tcW w:w="1080" w:type="dxa"/>
            <w:hideMark/>
          </w:tcPr>
          <w:p w14:paraId="2D7041F0"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 xml:space="preserve">$35 </w:t>
            </w:r>
          </w:p>
        </w:tc>
        <w:tc>
          <w:tcPr>
            <w:tcW w:w="1715" w:type="dxa"/>
            <w:hideMark/>
          </w:tcPr>
          <w:p w14:paraId="469E71FF" w14:textId="77777777" w:rsidR="0021690F" w:rsidRPr="004C3F56" w:rsidRDefault="0021690F" w:rsidP="004C3F56">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4C3F56">
              <w:rPr>
                <w:rFonts w:ascii="Calibri" w:eastAsia="Times New Roman" w:hAnsi="Calibri" w:cs="Calibri"/>
                <w:color w:val="000000"/>
              </w:rPr>
              <w:t>5% + inflation</w:t>
            </w:r>
          </w:p>
        </w:tc>
      </w:tr>
      <w:tr w:rsidR="001866EF" w14:paraId="292E721D" w14:textId="77777777" w:rsidTr="001B7383">
        <w:trPr>
          <w:trHeight w:val="1008"/>
        </w:trPr>
        <w:tc>
          <w:tcPr>
            <w:cnfStyle w:val="001000000000" w:firstRow="0" w:lastRow="0" w:firstColumn="1" w:lastColumn="0" w:oddVBand="0" w:evenVBand="0" w:oddHBand="0" w:evenHBand="0" w:firstRowFirstColumn="0" w:firstRowLastColumn="0" w:lastRowFirstColumn="0" w:lastRowLastColumn="0"/>
            <w:tcW w:w="2155" w:type="dxa"/>
            <w:hideMark/>
          </w:tcPr>
          <w:p w14:paraId="4E410793" w14:textId="77777777" w:rsidR="0021690F" w:rsidRPr="00AB7178" w:rsidRDefault="0021690F" w:rsidP="001B7DC4">
            <w:pPr>
              <w:spacing w:after="0"/>
              <w:jc w:val="left"/>
              <w:rPr>
                <w:rFonts w:ascii="Calibri" w:eastAsia="Times New Roman" w:hAnsi="Calibri" w:cs="Calibri"/>
              </w:rPr>
            </w:pPr>
            <w:r w:rsidRPr="00AB7178">
              <w:rPr>
                <w:rFonts w:ascii="Calibri" w:eastAsia="Times New Roman" w:hAnsi="Calibri" w:cs="Calibri"/>
              </w:rPr>
              <w:t>H.R.3311 America Wins Act</w:t>
            </w:r>
          </w:p>
        </w:tc>
        <w:tc>
          <w:tcPr>
            <w:tcW w:w="1975" w:type="dxa"/>
            <w:hideMark/>
          </w:tcPr>
          <w:p w14:paraId="2FCC747C" w14:textId="36FB75C0" w:rsidR="0021690F" w:rsidRPr="00AB7178" w:rsidRDefault="0021690F" w:rsidP="00674FD2">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John Larson, Eleanor Norton and Stephen Lynch</w:t>
            </w:r>
          </w:p>
        </w:tc>
        <w:tc>
          <w:tcPr>
            <w:tcW w:w="1350" w:type="dxa"/>
            <w:noWrap/>
            <w:hideMark/>
          </w:tcPr>
          <w:p w14:paraId="519D89F8"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N</w:t>
            </w:r>
          </w:p>
        </w:tc>
        <w:tc>
          <w:tcPr>
            <w:tcW w:w="1080" w:type="dxa"/>
            <w:hideMark/>
          </w:tcPr>
          <w:p w14:paraId="23C2CF87"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2022</w:t>
            </w:r>
          </w:p>
        </w:tc>
        <w:tc>
          <w:tcPr>
            <w:tcW w:w="1080" w:type="dxa"/>
            <w:hideMark/>
          </w:tcPr>
          <w:p w14:paraId="03A03F1F" w14:textId="77777777" w:rsidR="0021690F" w:rsidRPr="00BB7775"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BB7775">
              <w:rPr>
                <w:rFonts w:ascii="Calibri" w:eastAsia="Times New Roman" w:hAnsi="Calibri" w:cs="Calibri"/>
              </w:rPr>
              <w:t xml:space="preserve">$59 </w:t>
            </w:r>
          </w:p>
        </w:tc>
        <w:tc>
          <w:tcPr>
            <w:tcW w:w="1715" w:type="dxa"/>
            <w:hideMark/>
          </w:tcPr>
          <w:p w14:paraId="35A229E8" w14:textId="77777777" w:rsidR="0021690F" w:rsidRPr="004C3F56" w:rsidRDefault="0021690F" w:rsidP="004C3F56">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4C3F56">
              <w:rPr>
                <w:rFonts w:ascii="Calibri" w:eastAsia="Times New Roman" w:hAnsi="Calibri" w:cs="Calibri"/>
                <w:color w:val="000000"/>
              </w:rPr>
              <w:t>6% + inflation</w:t>
            </w:r>
          </w:p>
        </w:tc>
      </w:tr>
      <w:tr w:rsidR="001866EF" w14:paraId="1A15B904" w14:textId="77777777" w:rsidTr="001B7383">
        <w:trPr>
          <w:trHeight w:val="1008"/>
        </w:trPr>
        <w:tc>
          <w:tcPr>
            <w:cnfStyle w:val="001000000000" w:firstRow="0" w:lastRow="0" w:firstColumn="1" w:lastColumn="0" w:oddVBand="0" w:evenVBand="0" w:oddHBand="0" w:evenHBand="0" w:firstRowFirstColumn="0" w:firstRowLastColumn="0" w:lastRowFirstColumn="0" w:lastRowLastColumn="0"/>
            <w:tcW w:w="2155" w:type="dxa"/>
            <w:hideMark/>
          </w:tcPr>
          <w:p w14:paraId="75DC8B4A" w14:textId="77777777" w:rsidR="0021690F" w:rsidRPr="00AB7178" w:rsidRDefault="0021690F" w:rsidP="001B7DC4">
            <w:pPr>
              <w:spacing w:after="0"/>
              <w:jc w:val="left"/>
              <w:rPr>
                <w:rFonts w:ascii="Calibri" w:eastAsia="Times New Roman" w:hAnsi="Calibri" w:cs="Calibri"/>
              </w:rPr>
            </w:pPr>
            <w:r w:rsidRPr="00AB7178">
              <w:rPr>
                <w:rFonts w:ascii="Calibri" w:eastAsia="Times New Roman" w:hAnsi="Calibri" w:cs="Calibri"/>
              </w:rPr>
              <w:t>H.R.2307 Energy Innovation and Carbon Dividend Act of 2021</w:t>
            </w:r>
          </w:p>
        </w:tc>
        <w:tc>
          <w:tcPr>
            <w:tcW w:w="1975" w:type="dxa"/>
            <w:hideMark/>
          </w:tcPr>
          <w:p w14:paraId="28D87E09" w14:textId="67E11DBD" w:rsidR="0021690F" w:rsidRPr="00AB7178" w:rsidRDefault="0021690F" w:rsidP="00674FD2">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Ted Deutch and 88 cosponsors</w:t>
            </w:r>
          </w:p>
        </w:tc>
        <w:tc>
          <w:tcPr>
            <w:tcW w:w="1350" w:type="dxa"/>
            <w:noWrap/>
            <w:hideMark/>
          </w:tcPr>
          <w:p w14:paraId="1467E555"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N</w:t>
            </w:r>
          </w:p>
        </w:tc>
        <w:tc>
          <w:tcPr>
            <w:tcW w:w="1080" w:type="dxa"/>
            <w:hideMark/>
          </w:tcPr>
          <w:p w14:paraId="70D59AFC"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2021</w:t>
            </w:r>
          </w:p>
        </w:tc>
        <w:tc>
          <w:tcPr>
            <w:tcW w:w="1080" w:type="dxa"/>
            <w:hideMark/>
          </w:tcPr>
          <w:p w14:paraId="4DA79CB9"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 xml:space="preserve">$15 </w:t>
            </w:r>
          </w:p>
        </w:tc>
        <w:tc>
          <w:tcPr>
            <w:tcW w:w="1715" w:type="dxa"/>
            <w:hideMark/>
          </w:tcPr>
          <w:p w14:paraId="323443B1" w14:textId="77777777" w:rsidR="0021690F" w:rsidRPr="004C3F56" w:rsidRDefault="0021690F" w:rsidP="004C3F56">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4C3F56">
              <w:rPr>
                <w:rFonts w:ascii="Calibri" w:eastAsia="Times New Roman" w:hAnsi="Calibri" w:cs="Calibri"/>
                <w:color w:val="000000"/>
              </w:rPr>
              <w:t>$10 + inflation</w:t>
            </w:r>
          </w:p>
        </w:tc>
      </w:tr>
      <w:tr w:rsidR="001866EF" w14:paraId="5F1082A3" w14:textId="77777777" w:rsidTr="001B7383">
        <w:trPr>
          <w:trHeight w:val="1008"/>
        </w:trPr>
        <w:tc>
          <w:tcPr>
            <w:cnfStyle w:val="001000000000" w:firstRow="0" w:lastRow="0" w:firstColumn="1" w:lastColumn="0" w:oddVBand="0" w:evenVBand="0" w:oddHBand="0" w:evenHBand="0" w:firstRowFirstColumn="0" w:firstRowLastColumn="0" w:lastRowFirstColumn="0" w:lastRowLastColumn="0"/>
            <w:tcW w:w="2155" w:type="dxa"/>
            <w:hideMark/>
          </w:tcPr>
          <w:p w14:paraId="4E678E84" w14:textId="77777777" w:rsidR="0021690F" w:rsidRPr="00AB7178" w:rsidRDefault="0021690F" w:rsidP="001B7DC4">
            <w:pPr>
              <w:spacing w:after="0"/>
              <w:jc w:val="left"/>
              <w:rPr>
                <w:rFonts w:ascii="Calibri" w:eastAsia="Times New Roman" w:hAnsi="Calibri" w:cs="Calibri"/>
              </w:rPr>
            </w:pPr>
            <w:r w:rsidRPr="00AB7178">
              <w:rPr>
                <w:rFonts w:ascii="Calibri" w:eastAsia="Times New Roman" w:hAnsi="Calibri" w:cs="Calibri"/>
              </w:rPr>
              <w:t>H.R.2451/ S.685 America's Clean Future Fund Act</w:t>
            </w:r>
          </w:p>
        </w:tc>
        <w:tc>
          <w:tcPr>
            <w:tcW w:w="1975" w:type="dxa"/>
            <w:hideMark/>
          </w:tcPr>
          <w:p w14:paraId="75D34367" w14:textId="153534E8" w:rsidR="0021690F" w:rsidRPr="00AB7178" w:rsidRDefault="0021690F" w:rsidP="00674FD2">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Dick Durbi</w:t>
            </w:r>
            <w:r w:rsidR="00CD7480" w:rsidRPr="00AB7178">
              <w:rPr>
                <w:rFonts w:ascii="Calibri" w:eastAsia="Times New Roman" w:hAnsi="Calibri" w:cs="Calibri"/>
              </w:rPr>
              <w:t>n</w:t>
            </w:r>
            <w:r w:rsidRPr="00AB7178">
              <w:rPr>
                <w:rFonts w:ascii="Calibri" w:eastAsia="Times New Roman" w:hAnsi="Calibri" w:cs="Calibri"/>
              </w:rPr>
              <w:t>/</w:t>
            </w:r>
            <w:r w:rsidR="00CD7480" w:rsidRPr="00AB7178">
              <w:rPr>
                <w:rFonts w:ascii="Calibri" w:eastAsia="Times New Roman" w:hAnsi="Calibri" w:cs="Calibri"/>
              </w:rPr>
              <w:t>M</w:t>
            </w:r>
            <w:r w:rsidRPr="00AB7178">
              <w:rPr>
                <w:rFonts w:ascii="Calibri" w:eastAsia="Times New Roman" w:hAnsi="Calibri" w:cs="Calibri"/>
              </w:rPr>
              <w:t>arie Newman and 9 cosponsors</w:t>
            </w:r>
          </w:p>
        </w:tc>
        <w:tc>
          <w:tcPr>
            <w:tcW w:w="1350" w:type="dxa"/>
            <w:noWrap/>
            <w:hideMark/>
          </w:tcPr>
          <w:p w14:paraId="44CDC45F"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N</w:t>
            </w:r>
          </w:p>
        </w:tc>
        <w:tc>
          <w:tcPr>
            <w:tcW w:w="1080" w:type="dxa"/>
            <w:hideMark/>
          </w:tcPr>
          <w:p w14:paraId="24F35764"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2023</w:t>
            </w:r>
          </w:p>
        </w:tc>
        <w:tc>
          <w:tcPr>
            <w:tcW w:w="1080" w:type="dxa"/>
            <w:hideMark/>
          </w:tcPr>
          <w:p w14:paraId="266C59DE" w14:textId="77777777" w:rsidR="0021690F" w:rsidRPr="00AB7178" w:rsidRDefault="0021690F">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B7178">
              <w:rPr>
                <w:rFonts w:ascii="Calibri" w:eastAsia="Times New Roman" w:hAnsi="Calibri" w:cs="Calibri"/>
              </w:rPr>
              <w:t xml:space="preserve">$25 </w:t>
            </w:r>
          </w:p>
        </w:tc>
        <w:tc>
          <w:tcPr>
            <w:tcW w:w="1715" w:type="dxa"/>
            <w:hideMark/>
          </w:tcPr>
          <w:p w14:paraId="25C05884" w14:textId="77777777" w:rsidR="0021690F" w:rsidRPr="004C3F56" w:rsidRDefault="0021690F" w:rsidP="004C3F56">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4C3F56">
              <w:rPr>
                <w:rFonts w:ascii="Calibri" w:eastAsia="Times New Roman" w:hAnsi="Calibri" w:cs="Calibri"/>
                <w:color w:val="000000"/>
              </w:rPr>
              <w:t>$10 + inflation</w:t>
            </w:r>
          </w:p>
        </w:tc>
      </w:tr>
    </w:tbl>
    <w:p w14:paraId="6B6DEDFF" w14:textId="77777777" w:rsidR="00D243F5" w:rsidRDefault="00D243F5" w:rsidP="00320F2A"/>
    <w:p w14:paraId="0E8749A4" w14:textId="1F3FBE22" w:rsidR="00320F2A" w:rsidRDefault="00320F2A" w:rsidP="00320F2A">
      <w:pPr>
        <w:rPr>
          <w:rFonts w:asciiTheme="minorHAnsi" w:hAnsiTheme="minorHAnsi"/>
          <w:sz w:val="22"/>
        </w:rPr>
      </w:pPr>
      <w:r>
        <w:t xml:space="preserve">Another approach to climate legislation is a clean electricity standard, which does not impose a direct fee on carbon emissions but typically requires utilities to supply an annually increasing percentage of low- and/or zero-emission electricity to end users.  This type of program would require significant investment by utilities to meet the standard, potentially resulting in higher costs for electricity. </w:t>
      </w:r>
    </w:p>
    <w:p w14:paraId="7720DCFC" w14:textId="0345EE38" w:rsidR="00320F2A" w:rsidRDefault="00320F2A" w:rsidP="00320F2A">
      <w:r>
        <w:t xml:space="preserve">As with a carbon tax, there have been both Democratic and bipartisan proposals for clean electricity standards.  The recent proposals range from 100% clean electricity by 2035 to an 80% emission reduction for the electricity sector by 2050.  </w:t>
      </w:r>
    </w:p>
    <w:p w14:paraId="16CD1487" w14:textId="77777777" w:rsidR="00652FFC" w:rsidRDefault="00652FFC">
      <w:pPr>
        <w:spacing w:after="160" w:line="259" w:lineRule="auto"/>
        <w:jc w:val="left"/>
        <w:rPr>
          <w:b/>
          <w:bCs/>
        </w:rPr>
      </w:pPr>
      <w:r>
        <w:rPr>
          <w:b/>
          <w:bCs/>
        </w:rPr>
        <w:br w:type="page"/>
      </w:r>
    </w:p>
    <w:p w14:paraId="73D69527" w14:textId="380AF105" w:rsidR="00320F2A" w:rsidRDefault="00E76919" w:rsidP="00320F2A">
      <w:pPr>
        <w:rPr>
          <w:b/>
          <w:bCs/>
        </w:rPr>
      </w:pPr>
      <w:r>
        <w:rPr>
          <w:b/>
          <w:bCs/>
        </w:rPr>
        <w:t xml:space="preserve">Table 3-2 </w:t>
      </w:r>
      <w:r w:rsidR="00320F2A">
        <w:rPr>
          <w:b/>
          <w:bCs/>
        </w:rPr>
        <w:t>Clean Electricity Standard (CES) Legislation proposed in the 117</w:t>
      </w:r>
      <w:r w:rsidR="00320F2A">
        <w:rPr>
          <w:b/>
          <w:bCs/>
          <w:vertAlign w:val="superscript"/>
        </w:rPr>
        <w:t>th</w:t>
      </w:r>
      <w:r w:rsidR="00320F2A">
        <w:rPr>
          <w:b/>
          <w:bCs/>
        </w:rPr>
        <w:t xml:space="preserve"> Congress (2021-2022)</w:t>
      </w:r>
    </w:p>
    <w:tbl>
      <w:tblPr>
        <w:tblStyle w:val="GridTable1Light-Accent1"/>
        <w:tblW w:w="9350" w:type="dxa"/>
        <w:tblInd w:w="0" w:type="dxa"/>
        <w:tblLook w:val="04A0" w:firstRow="1" w:lastRow="0" w:firstColumn="1" w:lastColumn="0" w:noHBand="0" w:noVBand="1"/>
      </w:tblPr>
      <w:tblGrid>
        <w:gridCol w:w="3289"/>
        <w:gridCol w:w="2673"/>
        <w:gridCol w:w="1228"/>
        <w:gridCol w:w="2160"/>
      </w:tblGrid>
      <w:tr w:rsidR="00320F2A" w14:paraId="4E088595" w14:textId="77777777" w:rsidTr="001B7383">
        <w:trPr>
          <w:cnfStyle w:val="100000000000" w:firstRow="1" w:lastRow="0" w:firstColumn="0" w:lastColumn="0" w:oddVBand="0" w:evenVBand="0" w:oddHBand="0"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3289" w:type="dxa"/>
            <w:tcBorders>
              <w:top w:val="single" w:sz="8" w:space="0" w:color="005D8A" w:themeColor="accent1" w:themeShade="BF"/>
              <w:left w:val="single" w:sz="8" w:space="0" w:color="005D8A" w:themeColor="accent1" w:themeShade="BF"/>
              <w:bottom w:val="single" w:sz="12" w:space="0" w:color="005D8A" w:themeColor="accent1" w:themeShade="BF"/>
              <w:right w:val="single" w:sz="8" w:space="0" w:color="005D8A" w:themeColor="accent1" w:themeShade="BF"/>
            </w:tcBorders>
            <w:shd w:val="clear" w:color="auto" w:fill="D9D9D9" w:themeFill="background1" w:themeFillShade="D9"/>
            <w:vAlign w:val="bottom"/>
            <w:hideMark/>
          </w:tcPr>
          <w:p w14:paraId="0A24F5B4" w14:textId="77777777" w:rsidR="00320F2A" w:rsidRDefault="00320F2A" w:rsidP="00307074">
            <w:pPr>
              <w:spacing w:after="0"/>
              <w:jc w:val="center"/>
              <w:rPr>
                <w:rFonts w:ascii="Calibri" w:eastAsia="Times New Roman" w:hAnsi="Calibri" w:cs="Calibri"/>
                <w:color w:val="000000"/>
              </w:rPr>
            </w:pPr>
            <w:r>
              <w:rPr>
                <w:rFonts w:ascii="Calibri" w:eastAsia="Times New Roman" w:hAnsi="Calibri" w:cs="Calibri"/>
                <w:color w:val="000000"/>
              </w:rPr>
              <w:t>Clean Electricity Standard Bill</w:t>
            </w:r>
          </w:p>
        </w:tc>
        <w:tc>
          <w:tcPr>
            <w:tcW w:w="2673" w:type="dxa"/>
            <w:tcBorders>
              <w:top w:val="single" w:sz="8" w:space="0" w:color="005D8A" w:themeColor="accent1" w:themeShade="BF"/>
              <w:left w:val="single" w:sz="8" w:space="0" w:color="005D8A" w:themeColor="accent1" w:themeShade="BF"/>
              <w:bottom w:val="single" w:sz="12" w:space="0" w:color="005D8A" w:themeColor="accent1" w:themeShade="BF"/>
              <w:right w:val="single" w:sz="8" w:space="0" w:color="005D8A" w:themeColor="accent1" w:themeShade="BF"/>
            </w:tcBorders>
            <w:shd w:val="clear" w:color="auto" w:fill="D9D9D9" w:themeFill="background1" w:themeFillShade="D9"/>
            <w:vAlign w:val="bottom"/>
            <w:hideMark/>
          </w:tcPr>
          <w:p w14:paraId="46F2A9AC" w14:textId="77777777" w:rsidR="00320F2A" w:rsidRDefault="00320F2A" w:rsidP="00307074">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rPr>
            </w:pPr>
            <w:r>
              <w:rPr>
                <w:rFonts w:ascii="Calibri" w:eastAsia="Times New Roman" w:hAnsi="Calibri" w:cs="Calibri"/>
                <w:color w:val="000000"/>
              </w:rPr>
              <w:t>Sponsor</w:t>
            </w:r>
          </w:p>
        </w:tc>
        <w:tc>
          <w:tcPr>
            <w:tcW w:w="1228" w:type="dxa"/>
            <w:tcBorders>
              <w:top w:val="single" w:sz="8" w:space="0" w:color="005D8A" w:themeColor="accent1" w:themeShade="BF"/>
              <w:left w:val="single" w:sz="8" w:space="0" w:color="005D8A" w:themeColor="accent1" w:themeShade="BF"/>
              <w:bottom w:val="single" w:sz="12" w:space="0" w:color="005D8A" w:themeColor="accent1" w:themeShade="BF"/>
              <w:right w:val="single" w:sz="8" w:space="0" w:color="005D8A" w:themeColor="accent1" w:themeShade="BF"/>
            </w:tcBorders>
            <w:shd w:val="clear" w:color="auto" w:fill="D9D9D9" w:themeFill="background1" w:themeFillShade="D9"/>
            <w:vAlign w:val="bottom"/>
            <w:hideMark/>
          </w:tcPr>
          <w:p w14:paraId="6663F68F" w14:textId="77777777" w:rsidR="00320F2A" w:rsidRDefault="00320F2A" w:rsidP="00307074">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rPr>
            </w:pPr>
            <w:r>
              <w:rPr>
                <w:rFonts w:ascii="Calibri" w:eastAsia="Times New Roman" w:hAnsi="Calibri" w:cs="Calibri"/>
                <w:color w:val="000000"/>
              </w:rPr>
              <w:t>Bipartisan</w:t>
            </w:r>
          </w:p>
        </w:tc>
        <w:tc>
          <w:tcPr>
            <w:tcW w:w="2160" w:type="dxa"/>
            <w:tcBorders>
              <w:top w:val="single" w:sz="8" w:space="0" w:color="005D8A" w:themeColor="accent1" w:themeShade="BF"/>
              <w:left w:val="single" w:sz="8" w:space="0" w:color="005D8A" w:themeColor="accent1" w:themeShade="BF"/>
              <w:bottom w:val="single" w:sz="12" w:space="0" w:color="005D8A" w:themeColor="accent1" w:themeShade="BF"/>
              <w:right w:val="single" w:sz="8" w:space="0" w:color="005D8A" w:themeColor="accent1" w:themeShade="BF"/>
            </w:tcBorders>
            <w:shd w:val="clear" w:color="auto" w:fill="D9D9D9" w:themeFill="background1" w:themeFillShade="D9"/>
            <w:vAlign w:val="bottom"/>
            <w:hideMark/>
          </w:tcPr>
          <w:p w14:paraId="23F6CC4E" w14:textId="77777777" w:rsidR="00320F2A" w:rsidRDefault="00320F2A" w:rsidP="00307074">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Target</w:t>
            </w:r>
          </w:p>
        </w:tc>
      </w:tr>
      <w:tr w:rsidR="00320F2A" w14:paraId="4F3C083C" w14:textId="77777777" w:rsidTr="001B7383">
        <w:trPr>
          <w:trHeight w:val="720"/>
        </w:trPr>
        <w:tc>
          <w:tcPr>
            <w:cnfStyle w:val="001000000000" w:firstRow="0" w:lastRow="0" w:firstColumn="1" w:lastColumn="0" w:oddVBand="0" w:evenVBand="0" w:oddHBand="0" w:evenHBand="0" w:firstRowFirstColumn="0" w:firstRowLastColumn="0" w:lastRowFirstColumn="0" w:lastRowLastColumn="0"/>
            <w:tcW w:w="3289" w:type="dxa"/>
            <w:tcBorders>
              <w:top w:val="single" w:sz="12"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37F97647" w14:textId="77777777" w:rsidR="00320F2A" w:rsidRDefault="00320F2A" w:rsidP="007E0E73">
            <w:pPr>
              <w:spacing w:after="0"/>
              <w:jc w:val="left"/>
              <w:rPr>
                <w:rFonts w:ascii="Calibri" w:eastAsia="Times New Roman" w:hAnsi="Calibri" w:cs="Calibri"/>
                <w:color w:val="000000"/>
              </w:rPr>
            </w:pPr>
            <w:r>
              <w:rPr>
                <w:rFonts w:ascii="Calibri" w:eastAsia="Times New Roman" w:hAnsi="Calibri" w:cs="Calibri"/>
                <w:color w:val="000000"/>
              </w:rPr>
              <w:t>H.R.1512 CLEAN Future Act</w:t>
            </w:r>
          </w:p>
        </w:tc>
        <w:tc>
          <w:tcPr>
            <w:tcW w:w="2673" w:type="dxa"/>
            <w:tcBorders>
              <w:top w:val="single" w:sz="12"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783B50C4" w14:textId="7416420E" w:rsidR="00320F2A" w:rsidRDefault="00320F2A" w:rsidP="007E0E73">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 xml:space="preserve">Frank Pallone </w:t>
            </w:r>
            <w:r w:rsidR="00950E12">
              <w:rPr>
                <w:rFonts w:ascii="Calibri" w:eastAsia="Times New Roman" w:hAnsi="Calibri" w:cs="Calibri"/>
                <w:color w:val="000000"/>
              </w:rPr>
              <w:t>a</w:t>
            </w:r>
            <w:r>
              <w:rPr>
                <w:rFonts w:ascii="Calibri" w:eastAsia="Times New Roman" w:hAnsi="Calibri" w:cs="Calibri"/>
                <w:color w:val="000000"/>
              </w:rPr>
              <w:t>nd 20 cosponsors</w:t>
            </w:r>
          </w:p>
        </w:tc>
        <w:tc>
          <w:tcPr>
            <w:tcW w:w="1228" w:type="dxa"/>
            <w:tcBorders>
              <w:top w:val="single" w:sz="12"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16965A47" w14:textId="77777777" w:rsidR="00320F2A" w:rsidRDefault="00320F2A" w:rsidP="007E0E73">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N</w:t>
            </w:r>
          </w:p>
        </w:tc>
        <w:tc>
          <w:tcPr>
            <w:tcW w:w="2160" w:type="dxa"/>
            <w:tcBorders>
              <w:top w:val="single" w:sz="12"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21121F00" w14:textId="77777777" w:rsidR="00320F2A" w:rsidRDefault="00320F2A" w:rsidP="007E0E73">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100% clean electricity by 2035</w:t>
            </w:r>
          </w:p>
        </w:tc>
      </w:tr>
      <w:tr w:rsidR="00320F2A" w14:paraId="4878ACC7" w14:textId="77777777" w:rsidTr="001B7383">
        <w:trPr>
          <w:trHeight w:val="720"/>
        </w:trPr>
        <w:tc>
          <w:tcPr>
            <w:cnfStyle w:val="001000000000" w:firstRow="0" w:lastRow="0" w:firstColumn="1" w:lastColumn="0" w:oddVBand="0" w:evenVBand="0" w:oddHBand="0" w:evenHBand="0" w:firstRowFirstColumn="0" w:firstRowLastColumn="0" w:lastRowFirstColumn="0" w:lastRowLastColumn="0"/>
            <w:tcW w:w="3289"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4D14B957" w14:textId="77777777" w:rsidR="00320F2A" w:rsidRDefault="00320F2A" w:rsidP="007E0E73">
            <w:pPr>
              <w:spacing w:after="0"/>
              <w:jc w:val="left"/>
              <w:rPr>
                <w:rFonts w:ascii="Calibri" w:eastAsia="Times New Roman" w:hAnsi="Calibri" w:cs="Calibri"/>
                <w:color w:val="000000"/>
              </w:rPr>
            </w:pPr>
            <w:r>
              <w:rPr>
                <w:rFonts w:ascii="Calibri" w:eastAsia="Times New Roman" w:hAnsi="Calibri" w:cs="Calibri"/>
                <w:color w:val="000000"/>
              </w:rPr>
              <w:t>H.R.3959 American Renewable Energy Act of 2021</w:t>
            </w:r>
          </w:p>
        </w:tc>
        <w:tc>
          <w:tcPr>
            <w:tcW w:w="2673"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2F172CC0" w14:textId="14F10C8C" w:rsidR="00320F2A" w:rsidRDefault="00320F2A" w:rsidP="007E0E73">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Peter Welch and 25 cosponsors</w:t>
            </w:r>
          </w:p>
        </w:tc>
        <w:tc>
          <w:tcPr>
            <w:tcW w:w="1228"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271C9C0A" w14:textId="77777777" w:rsidR="00320F2A" w:rsidRDefault="00320F2A" w:rsidP="007E0E73">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N</w:t>
            </w:r>
          </w:p>
        </w:tc>
        <w:tc>
          <w:tcPr>
            <w:tcW w:w="2160"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0F9B00C1" w14:textId="77777777" w:rsidR="00320F2A" w:rsidRDefault="00320F2A" w:rsidP="007E0E73">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70% renewables by 2030</w:t>
            </w:r>
          </w:p>
        </w:tc>
      </w:tr>
      <w:tr w:rsidR="00320F2A" w14:paraId="202A9755" w14:textId="77777777" w:rsidTr="001B7383">
        <w:trPr>
          <w:trHeight w:val="720"/>
        </w:trPr>
        <w:tc>
          <w:tcPr>
            <w:cnfStyle w:val="001000000000" w:firstRow="0" w:lastRow="0" w:firstColumn="1" w:lastColumn="0" w:oddVBand="0" w:evenVBand="0" w:oddHBand="0" w:evenHBand="0" w:firstRowFirstColumn="0" w:firstRowLastColumn="0" w:lastRowFirstColumn="0" w:lastRowLastColumn="0"/>
            <w:tcW w:w="3289"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58891EC4" w14:textId="77777777" w:rsidR="00320F2A" w:rsidRDefault="00320F2A" w:rsidP="007E0E73">
            <w:pPr>
              <w:spacing w:after="0"/>
              <w:jc w:val="left"/>
              <w:rPr>
                <w:rFonts w:ascii="Calibri" w:eastAsia="Times New Roman" w:hAnsi="Calibri" w:cs="Calibri"/>
                <w:color w:val="000000"/>
              </w:rPr>
            </w:pPr>
            <w:r>
              <w:rPr>
                <w:rFonts w:ascii="Calibri" w:eastAsia="Times New Roman" w:hAnsi="Calibri" w:cs="Calibri"/>
                <w:color w:val="000000"/>
              </w:rPr>
              <w:t>H.R.4153 Clean Energy Future Through Innovation Act of 2021</w:t>
            </w:r>
          </w:p>
        </w:tc>
        <w:tc>
          <w:tcPr>
            <w:tcW w:w="2673"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1F6E2231" w14:textId="53D1F9AF" w:rsidR="00320F2A" w:rsidRDefault="00320F2A" w:rsidP="007E0E73">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David McKinley, Kurt Schrader</w:t>
            </w:r>
            <w:r w:rsidR="00950E12">
              <w:rPr>
                <w:rFonts w:ascii="Calibri" w:eastAsia="Times New Roman" w:hAnsi="Calibri" w:cs="Calibri"/>
                <w:color w:val="000000"/>
              </w:rPr>
              <w:t xml:space="preserve"> </w:t>
            </w:r>
            <w:r>
              <w:rPr>
                <w:rFonts w:ascii="Calibri" w:eastAsia="Times New Roman" w:hAnsi="Calibri" w:cs="Calibri"/>
                <w:color w:val="000000"/>
              </w:rPr>
              <w:t>and 2 cosponsors</w:t>
            </w:r>
          </w:p>
        </w:tc>
        <w:tc>
          <w:tcPr>
            <w:tcW w:w="1228"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5F22753C" w14:textId="77777777" w:rsidR="00320F2A" w:rsidRDefault="00320F2A" w:rsidP="007E0E73">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Y</w:t>
            </w:r>
          </w:p>
        </w:tc>
        <w:tc>
          <w:tcPr>
            <w:tcW w:w="2160"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47F86AEB" w14:textId="77777777" w:rsidR="00320F2A" w:rsidRDefault="00320F2A" w:rsidP="007E0E73">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80% emission reduction by 2050</w:t>
            </w:r>
          </w:p>
        </w:tc>
      </w:tr>
      <w:tr w:rsidR="00320F2A" w14:paraId="3B8E45DA" w14:textId="77777777" w:rsidTr="001B7383">
        <w:trPr>
          <w:trHeight w:val="720"/>
        </w:trPr>
        <w:tc>
          <w:tcPr>
            <w:cnfStyle w:val="001000000000" w:firstRow="0" w:lastRow="0" w:firstColumn="1" w:lastColumn="0" w:oddVBand="0" w:evenVBand="0" w:oddHBand="0" w:evenHBand="0" w:firstRowFirstColumn="0" w:firstRowLastColumn="0" w:lastRowFirstColumn="0" w:lastRowLastColumn="0"/>
            <w:tcW w:w="3289"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1CFC692E" w14:textId="77777777" w:rsidR="00320F2A" w:rsidRDefault="00320F2A" w:rsidP="007E0E73">
            <w:pPr>
              <w:spacing w:after="0"/>
              <w:jc w:val="left"/>
              <w:rPr>
                <w:rFonts w:ascii="Calibri" w:eastAsia="Times New Roman" w:hAnsi="Calibri" w:cs="Calibri"/>
                <w:color w:val="000000"/>
              </w:rPr>
            </w:pPr>
            <w:r>
              <w:rPr>
                <w:rFonts w:ascii="Calibri" w:eastAsia="Times New Roman" w:hAnsi="Calibri" w:cs="Calibri"/>
                <w:color w:val="000000"/>
              </w:rPr>
              <w:t>H.R.4309 Clean Energy Innovation and Deployment Act of 2021</w:t>
            </w:r>
          </w:p>
        </w:tc>
        <w:tc>
          <w:tcPr>
            <w:tcW w:w="2673"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1A5BC043" w14:textId="3964A3B0" w:rsidR="00320F2A" w:rsidRDefault="00320F2A" w:rsidP="007E0E73">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Diana DeGette</w:t>
            </w:r>
            <w:r w:rsidR="00950E12">
              <w:rPr>
                <w:rFonts w:ascii="Calibri" w:eastAsia="Times New Roman" w:hAnsi="Calibri" w:cs="Calibri"/>
                <w:color w:val="000000"/>
              </w:rPr>
              <w:t xml:space="preserve"> </w:t>
            </w:r>
            <w:r>
              <w:rPr>
                <w:rFonts w:ascii="Calibri" w:eastAsia="Times New Roman" w:hAnsi="Calibri" w:cs="Calibri"/>
                <w:color w:val="000000"/>
              </w:rPr>
              <w:t>and 2 cosponsors</w:t>
            </w:r>
          </w:p>
        </w:tc>
        <w:tc>
          <w:tcPr>
            <w:tcW w:w="1228"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4CEB86CE" w14:textId="77777777" w:rsidR="00320F2A" w:rsidRDefault="00320F2A" w:rsidP="007E0E73">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N</w:t>
            </w:r>
          </w:p>
        </w:tc>
        <w:tc>
          <w:tcPr>
            <w:tcW w:w="2160" w:type="dxa"/>
            <w:tcBorders>
              <w:top w:val="single" w:sz="8" w:space="0" w:color="005D8A" w:themeColor="accent1" w:themeShade="BF"/>
              <w:left w:val="single" w:sz="8" w:space="0" w:color="005D8A" w:themeColor="accent1" w:themeShade="BF"/>
              <w:bottom w:val="single" w:sz="8" w:space="0" w:color="005D8A" w:themeColor="accent1" w:themeShade="BF"/>
              <w:right w:val="single" w:sz="8" w:space="0" w:color="005D8A" w:themeColor="accent1" w:themeShade="BF"/>
            </w:tcBorders>
            <w:hideMark/>
          </w:tcPr>
          <w:p w14:paraId="029F7D15" w14:textId="77777777" w:rsidR="00320F2A" w:rsidRDefault="00320F2A" w:rsidP="007E0E73">
            <w:pPr>
              <w:spacing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100% clean electricity by 2050 with accelerator</w:t>
            </w:r>
          </w:p>
        </w:tc>
      </w:tr>
    </w:tbl>
    <w:p w14:paraId="5C1A9104" w14:textId="77777777" w:rsidR="00320F2A" w:rsidRDefault="00320F2A" w:rsidP="00320F2A">
      <w:pPr>
        <w:rPr>
          <w:rFonts w:asciiTheme="minorHAnsi" w:hAnsiTheme="minorHAnsi"/>
          <w:sz w:val="22"/>
        </w:rPr>
      </w:pPr>
    </w:p>
    <w:p w14:paraId="40E174E1" w14:textId="322011D7" w:rsidR="00A8382A" w:rsidRPr="00D802D6" w:rsidRDefault="001F53E0" w:rsidP="00A8382A">
      <w:pPr>
        <w:rPr>
          <w:rFonts w:cs="Arial"/>
        </w:rPr>
      </w:pPr>
      <w:r>
        <w:t>Greenhouse gas legislative and/or regulatory activity ha</w:t>
      </w:r>
      <w:r w:rsidR="00CE6DB0">
        <w:t>s</w:t>
      </w:r>
      <w:r>
        <w:t xml:space="preserve"> also occurred that may have indirect impacts on the electric sector. </w:t>
      </w:r>
      <w:r w:rsidR="0021471F" w:rsidRPr="479E6CA9">
        <w:t xml:space="preserve">In December 2020, a COVID-19 relief and government spending bill </w:t>
      </w:r>
      <w:r w:rsidR="5A5F8BF0">
        <w:t>were</w:t>
      </w:r>
      <w:r w:rsidR="0021471F" w:rsidRPr="479E6CA9">
        <w:t xml:space="preserve"> signed into law </w:t>
      </w:r>
      <w:r w:rsidR="00AD77C9">
        <w:t xml:space="preserve">with a provision </w:t>
      </w:r>
      <w:r w:rsidR="0021471F" w:rsidRPr="479E6CA9">
        <w:t>mandat</w:t>
      </w:r>
      <w:r w:rsidR="00AD77C9">
        <w:t>ing</w:t>
      </w:r>
      <w:r w:rsidR="0021471F" w:rsidRPr="479E6CA9">
        <w:t xml:space="preserve"> the reduction </w:t>
      </w:r>
      <w:r w:rsidR="0021471F" w:rsidRPr="00770024">
        <w:t>of HFC production and</w:t>
      </w:r>
      <w:r w:rsidR="0021471F" w:rsidRPr="479E6CA9">
        <w:t xml:space="preserve"> consumption, such as used for air conditioning and refrigerants, by 85% by 2036. </w:t>
      </w:r>
      <w:r w:rsidR="0021471F">
        <w:t xml:space="preserve">In October 2021, EPA published a final rule developing an allocation and trading program and procedures intended to reduce the production and consumption of HFCs by 85% by 2036. Although </w:t>
      </w:r>
      <w:r w:rsidR="00AB2205">
        <w:t xml:space="preserve">the electric sector </w:t>
      </w:r>
      <w:r w:rsidR="0021471F">
        <w:t xml:space="preserve">is not directly regulated by the final rule, it could have indirect impacts due to the likely impact </w:t>
      </w:r>
      <w:r w:rsidR="007A7BA8">
        <w:t xml:space="preserve">on </w:t>
      </w:r>
      <w:r w:rsidR="0021471F">
        <w:t>the cost and availability of HFCs and their substitutes used in equipment for refrigeration, air conditioning, and fire suppression.</w:t>
      </w:r>
      <w:r w:rsidR="00E4536A">
        <w:rPr>
          <w:rFonts w:cs="Arial"/>
        </w:rPr>
        <w:t xml:space="preserve"> </w:t>
      </w:r>
      <w:r w:rsidR="00A8382A" w:rsidRPr="008E4178">
        <w:t xml:space="preserve">On November 15, 2021, EPA published a proposed rule to </w:t>
      </w:r>
      <w:r w:rsidR="005C7CC6">
        <w:t>(</w:t>
      </w:r>
      <w:r w:rsidR="00A8382A" w:rsidRPr="008E4178">
        <w:t>1) update, strengthen, and expand the new source performance standards (</w:t>
      </w:r>
      <w:r w:rsidR="00843AC7">
        <w:t>“</w:t>
      </w:r>
      <w:r w:rsidR="00A8382A" w:rsidRPr="008E4178">
        <w:t>NSPS</w:t>
      </w:r>
      <w:r w:rsidR="00843AC7">
        <w:t>”</w:t>
      </w:r>
      <w:r w:rsidR="00A8382A" w:rsidRPr="008E4178">
        <w:t>) for methane and VOC emissions from new, modified, and reconstructed sources in the oil and natural gas source category; and (2) establish emission guidelines for states to limit methane emissions from existing sources in the category.</w:t>
      </w:r>
      <w:r w:rsidR="00A8382A">
        <w:t xml:space="preserve">  The proposed rule applies to facilities in the production, processing, and transmission and storage segments of the oil and gas sector. </w:t>
      </w:r>
      <w:r w:rsidR="00A8382A" w:rsidRPr="00E41C9D">
        <w:t>EPA plans to issue a supplemental proposal in 2022 that will provide proposed regulatory text and may expand on or modify the 2021 proposal in response to public input.</w:t>
      </w:r>
      <w:r w:rsidR="00AE716D">
        <w:t xml:space="preserve"> This rulemaking does not apply to the electric sector but could impact</w:t>
      </w:r>
      <w:r w:rsidR="00D45722">
        <w:t xml:space="preserve"> fuel costs for power plants. </w:t>
      </w:r>
    </w:p>
    <w:p w14:paraId="639A797E" w14:textId="3AEE81C8" w:rsidR="009C02DC" w:rsidRDefault="00B7623F" w:rsidP="009C02DC">
      <w:r>
        <w:rPr>
          <w:rFonts w:cs="Arial"/>
        </w:rPr>
        <w:t>In</w:t>
      </w:r>
      <w:r w:rsidR="008D243F">
        <w:rPr>
          <w:rFonts w:cs="Arial"/>
        </w:rPr>
        <w:t xml:space="preserve"> November </w:t>
      </w:r>
      <w:r>
        <w:rPr>
          <w:rFonts w:cs="Arial"/>
        </w:rPr>
        <w:t>2021, President Biden signed into law the</w:t>
      </w:r>
      <w:r w:rsidR="008358DD">
        <w:rPr>
          <w:rFonts w:cs="Arial"/>
        </w:rPr>
        <w:t xml:space="preserve"> Infrastructure Investment and Jobs Act</w:t>
      </w:r>
      <w:r w:rsidR="00682883" w:rsidRPr="449A809C">
        <w:rPr>
          <w:rFonts w:cs="Arial"/>
        </w:rPr>
        <w:t>, a $1.2</w:t>
      </w:r>
      <w:r w:rsidR="00EA1A20" w:rsidRPr="449A809C">
        <w:rPr>
          <w:rFonts w:cs="Arial"/>
        </w:rPr>
        <w:t xml:space="preserve"> trillion</w:t>
      </w:r>
      <w:r w:rsidR="00682883" w:rsidRPr="449A809C">
        <w:rPr>
          <w:rFonts w:cs="Arial"/>
        </w:rPr>
        <w:t xml:space="preserve"> </w:t>
      </w:r>
      <w:r w:rsidR="0019404C" w:rsidRPr="449A809C">
        <w:rPr>
          <w:rFonts w:cs="Arial"/>
        </w:rPr>
        <w:t>spending bill</w:t>
      </w:r>
      <w:r w:rsidR="000A5434" w:rsidRPr="449A809C">
        <w:rPr>
          <w:rFonts w:cs="Arial"/>
        </w:rPr>
        <w:t>.</w:t>
      </w:r>
      <w:r w:rsidR="000A5434">
        <w:rPr>
          <w:rFonts w:cs="Arial"/>
        </w:rPr>
        <w:t xml:space="preserve"> </w:t>
      </w:r>
      <w:r w:rsidR="00D355DE" w:rsidRPr="449A809C">
        <w:rPr>
          <w:rFonts w:cs="Arial"/>
        </w:rPr>
        <w:t xml:space="preserve">The </w:t>
      </w:r>
      <w:r w:rsidR="00C10F18" w:rsidRPr="449A809C">
        <w:rPr>
          <w:rFonts w:cs="Arial"/>
        </w:rPr>
        <w:t xml:space="preserve">legislation </w:t>
      </w:r>
      <w:r w:rsidR="005E7F88">
        <w:rPr>
          <w:rFonts w:cs="Arial"/>
        </w:rPr>
        <w:t xml:space="preserve">includes climate-related provisions, including </w:t>
      </w:r>
      <w:r w:rsidR="00861B84">
        <w:rPr>
          <w:rFonts w:cs="Arial"/>
        </w:rPr>
        <w:t>$47 billion in climate resiliency measures and</w:t>
      </w:r>
      <w:r w:rsidR="00C10F18" w:rsidRPr="449A809C">
        <w:rPr>
          <w:rFonts w:cs="Arial"/>
        </w:rPr>
        <w:t xml:space="preserve"> </w:t>
      </w:r>
      <w:r w:rsidR="00EA1A20" w:rsidRPr="449A809C">
        <w:rPr>
          <w:rFonts w:cs="Arial"/>
        </w:rPr>
        <w:t xml:space="preserve">$65 billion for </w:t>
      </w:r>
      <w:r w:rsidR="0055108D" w:rsidRPr="449A809C">
        <w:rPr>
          <w:rFonts w:cs="Arial"/>
        </w:rPr>
        <w:t>energy and the electric grid</w:t>
      </w:r>
      <w:r w:rsidR="3806D6D3" w:rsidRPr="449A809C">
        <w:rPr>
          <w:rFonts w:cs="Arial"/>
        </w:rPr>
        <w:t xml:space="preserve"> improvements</w:t>
      </w:r>
      <w:r w:rsidR="006F46CE" w:rsidRPr="449A809C">
        <w:rPr>
          <w:rFonts w:cs="Arial"/>
        </w:rPr>
        <w:t xml:space="preserve"> and $7.5 billion </w:t>
      </w:r>
      <w:r w:rsidR="002B6D7E" w:rsidRPr="449A809C">
        <w:rPr>
          <w:rFonts w:cs="Arial"/>
        </w:rPr>
        <w:t>for electric vehicle chargin</w:t>
      </w:r>
      <w:r w:rsidR="003E5311" w:rsidRPr="449A809C">
        <w:rPr>
          <w:rFonts w:cs="Arial"/>
        </w:rPr>
        <w:t>g</w:t>
      </w:r>
      <w:r w:rsidR="002B6D7E" w:rsidRPr="449A809C">
        <w:rPr>
          <w:rFonts w:cs="Arial"/>
        </w:rPr>
        <w:t xml:space="preserve"> infrastr</w:t>
      </w:r>
      <w:r w:rsidR="00601DEE" w:rsidRPr="449A809C">
        <w:rPr>
          <w:rFonts w:cs="Arial"/>
        </w:rPr>
        <w:t>ucture</w:t>
      </w:r>
      <w:r w:rsidR="001E7ABA">
        <w:rPr>
          <w:rFonts w:cs="Arial"/>
        </w:rPr>
        <w:t xml:space="preserve"> to </w:t>
      </w:r>
      <w:r w:rsidR="000A75C1">
        <w:rPr>
          <w:rFonts w:cs="Arial"/>
        </w:rPr>
        <w:t xml:space="preserve">encourage </w:t>
      </w:r>
      <w:r w:rsidR="00B0641F">
        <w:rPr>
          <w:rFonts w:cs="Arial"/>
        </w:rPr>
        <w:t xml:space="preserve">the </w:t>
      </w:r>
      <w:r w:rsidR="00592789">
        <w:rPr>
          <w:rFonts w:cs="Arial"/>
        </w:rPr>
        <w:t xml:space="preserve">clean energy </w:t>
      </w:r>
      <w:r w:rsidR="00B0641F">
        <w:rPr>
          <w:rFonts w:cs="Arial"/>
        </w:rPr>
        <w:t>transition</w:t>
      </w:r>
      <w:r w:rsidR="0056122C" w:rsidRPr="449A809C">
        <w:rPr>
          <w:rFonts w:cs="Arial"/>
        </w:rPr>
        <w:t xml:space="preserve">. </w:t>
      </w:r>
      <w:r w:rsidR="00FF069C">
        <w:t>Also in</w:t>
      </w:r>
      <w:r w:rsidR="009C02DC">
        <w:t xml:space="preserve"> November 2021, the House passed a version of the Build Back Better Act, a $1.7T budget reconciliation package that is focused on social policy and climate change.  While the bill includes significant investment in clean energy, a provision is also included that imposes a fee on methane emissions from the production, processing, and transmission and storage segments of the oil and gas sector.  </w:t>
      </w:r>
      <w:r w:rsidR="009C02DC" w:rsidRPr="004C0626">
        <w:t xml:space="preserve">The methane fee would start at $900 per ton in 2023 and escalate to $1500 per ton for </w:t>
      </w:r>
      <w:r w:rsidR="009C02DC" w:rsidRPr="00F32637">
        <w:t xml:space="preserve">2025 and beyond. </w:t>
      </w:r>
      <w:r w:rsidR="009C02DC" w:rsidRPr="004C0626">
        <w:t xml:space="preserve">The bill has </w:t>
      </w:r>
      <w:r w:rsidR="41FD2741">
        <w:t xml:space="preserve">stalled, and additional negotiations are expected that could modify the legislative provisions </w:t>
      </w:r>
      <w:r w:rsidR="009C02DC" w:rsidRPr="004C0626">
        <w:t>passed by the House</w:t>
      </w:r>
      <w:r w:rsidR="5637DC05">
        <w:t>,</w:t>
      </w:r>
      <w:r w:rsidR="295B159E">
        <w:t xml:space="preserve"> </w:t>
      </w:r>
      <w:r w:rsidR="65E62BD4">
        <w:t>for</w:t>
      </w:r>
      <w:r w:rsidR="295B159E">
        <w:t xml:space="preserve"> possibl</w:t>
      </w:r>
      <w:r w:rsidR="169C77AA">
        <w:t>e actions i</w:t>
      </w:r>
      <w:r w:rsidR="295B159E">
        <w:t>n the Senate</w:t>
      </w:r>
      <w:r w:rsidR="009C02DC" w:rsidRPr="004C0626">
        <w:t>.</w:t>
      </w:r>
      <w:r w:rsidR="009C02DC">
        <w:t xml:space="preserve">  </w:t>
      </w:r>
    </w:p>
    <w:p w14:paraId="131BD5D1" w14:textId="60CE42E4" w:rsidR="00865FF2" w:rsidRPr="00BC5685" w:rsidRDefault="00865FF2" w:rsidP="00877775">
      <w:pPr>
        <w:pStyle w:val="Heading4"/>
        <w:rPr>
          <w:rFonts w:cs="Arial"/>
          <w:color w:val="000080"/>
          <w:szCs w:val="24"/>
        </w:rPr>
      </w:pPr>
      <w:r w:rsidRPr="00BC5685">
        <w:t>Global Climate Change – International</w:t>
      </w:r>
    </w:p>
    <w:p w14:paraId="05149F07" w14:textId="77777777" w:rsidR="00903EA8" w:rsidRPr="00DB7156" w:rsidRDefault="00903EA8" w:rsidP="002468FD">
      <w:r w:rsidRPr="00DB7156">
        <w:t>In 1992, countries negotiated an international treaty, the United Nations Framework Convention on Climate Change (</w:t>
      </w:r>
      <w:r>
        <w:t>“</w:t>
      </w:r>
      <w:r w:rsidRPr="00DB7156">
        <w:t>UNFCCC</w:t>
      </w:r>
      <w:r>
        <w:t>”</w:t>
      </w:r>
      <w:r w:rsidRPr="00DB7156">
        <w:t xml:space="preserve"> or </w:t>
      </w:r>
      <w:r>
        <w:t>“</w:t>
      </w:r>
      <w:r w:rsidRPr="00DB7156">
        <w:t>Convention</w:t>
      </w:r>
      <w:r>
        <w:t>”</w:t>
      </w:r>
      <w:r w:rsidRPr="00DB7156">
        <w:t>) to consider addressing climate change. To date, 195 countries (</w:t>
      </w:r>
      <w:r>
        <w:t>“</w:t>
      </w:r>
      <w:r w:rsidRPr="00DB7156">
        <w:t>Parties to the Convention</w:t>
      </w:r>
      <w:r>
        <w:t>”</w:t>
      </w:r>
      <w:r w:rsidRPr="00DB7156">
        <w:t>), including the United States, have ratified the Convention. The fi</w:t>
      </w:r>
      <w:r>
        <w:t>rst Conference of Parties (“COP”</w:t>
      </w:r>
      <w:r w:rsidRPr="00DB7156">
        <w:t>)</w:t>
      </w:r>
      <w:r>
        <w:t xml:space="preserve"> 1</w:t>
      </w:r>
      <w:r w:rsidRPr="00DB7156">
        <w:t xml:space="preserve"> was held in 1995, which resulted in a “mandate” to negotiate a protocol to the Convention. In 1997, the Parties to the Convention negotiated the Kyoto Protocol which sought to bind industrialized counties to commitments to reduce emissions of greenhouse gases. The </w:t>
      </w:r>
      <w:r>
        <w:t xml:space="preserve">Kyoto </w:t>
      </w:r>
      <w:r w:rsidRPr="00DB7156">
        <w:t xml:space="preserve">Protocol’s first commitment period started in 2008 and ended in 2012. The second commitment period began in 2013 and will end in 2020.  </w:t>
      </w:r>
      <w:r>
        <w:t xml:space="preserve">To date, </w:t>
      </w:r>
      <w:r w:rsidRPr="00DB7156">
        <w:t>192 countries, not including the United States, have ratified the</w:t>
      </w:r>
      <w:r>
        <w:t xml:space="preserve"> Kyoto</w:t>
      </w:r>
      <w:r w:rsidRPr="00DB7156">
        <w:t xml:space="preserve"> Protocol. </w:t>
      </w:r>
    </w:p>
    <w:p w14:paraId="4DBBFEB3" w14:textId="5714A3FA" w:rsidR="00BC4006" w:rsidRDefault="00BC4006" w:rsidP="002468FD">
      <w:r w:rsidRPr="00BC4006">
        <w:t>Since 2005, the Convention has established various “working groups” to address key issues and negotiate future climate-related international agreements.  Such key issues include future commitments under the Kyoto Protocol, long-term cooperative action, and a “legally binding” post-2020 emission reduction program.  The Working Groups meet periodically throughout the year and, along with the formal subsidiary bodies to the Convention, again at the annual COP, a Meeting of the Parties to the Kyoto Protocol (</w:t>
      </w:r>
      <w:r w:rsidR="00214244">
        <w:t>“</w:t>
      </w:r>
      <w:r w:rsidRPr="00BC4006">
        <w:t>CMP</w:t>
      </w:r>
      <w:r w:rsidR="00214244">
        <w:t>”</w:t>
      </w:r>
      <w:r w:rsidRPr="00BC4006">
        <w:t>), and a Meeting of the Parties to the Paris Agreement (</w:t>
      </w:r>
      <w:r w:rsidR="00214244">
        <w:t>“</w:t>
      </w:r>
      <w:r w:rsidRPr="00BC4006">
        <w:t>CMA</w:t>
      </w:r>
      <w:r w:rsidR="00214244">
        <w:t>”</w:t>
      </w:r>
      <w:r w:rsidRPr="00BC4006">
        <w:t>).  The COP is the supreme decision-making body of the Convention, which reviews the implementation of the Convention and other legal instruments.  The CMP reviews the implementation of the Kyoto Protocol.  The CMA oversees the implementation of the Paris Agreement and takes decision to promote its effective implementation.  To date, there have been 24 COPs, 14 CMPs, and 3 CMAs.</w:t>
      </w:r>
    </w:p>
    <w:p w14:paraId="66FCA361" w14:textId="16827F03" w:rsidR="00903EA8" w:rsidRDefault="00125864" w:rsidP="002468FD">
      <w:r w:rsidRPr="00DB7156">
        <w:t>COP 21 took place in late 2015 in Paris, France.  The result</w:t>
      </w:r>
      <w:r>
        <w:t xml:space="preserve"> of COP 21</w:t>
      </w:r>
      <w:r w:rsidRPr="00DB7156">
        <w:t xml:space="preserve"> was the adoption of the Paris Agreement, which establishes a universal framework for addressing GHG emissions based on nationally determined contributions. It also sets in place a process for increasing those commitments every five years. </w:t>
      </w:r>
      <w:r w:rsidR="003C0419">
        <w:t>In 2016</w:t>
      </w:r>
      <w:r w:rsidR="00B7211E" w:rsidRPr="00B07E80">
        <w:t xml:space="preserve">, </w:t>
      </w:r>
      <w:r w:rsidR="00866743" w:rsidRPr="00B07E80">
        <w:t>t</w:t>
      </w:r>
      <w:r w:rsidR="00B7211E" w:rsidRPr="00B7211E">
        <w:t xml:space="preserve">he U.S. Administration “accepted” the Paris Agreement via executive agreement.  The U.S.’s country-specific target as submitted in March 2015 is an economy-wide emission target to reduce emissions 26-28% below 2005 levels by 2025.  </w:t>
      </w:r>
    </w:p>
    <w:p w14:paraId="2DE67131" w14:textId="690B9829" w:rsidR="00865FF2" w:rsidRDefault="004C55E6" w:rsidP="002468FD">
      <w:r>
        <w:t>Under the Trump administration, i</w:t>
      </w:r>
      <w:r w:rsidR="00865FF2" w:rsidRPr="00764E94">
        <w:t>n November 2019, the United States began the official process of withdrawing from the Paris Agreement by submitting formal notification to the United Nations</w:t>
      </w:r>
      <w:r w:rsidR="00865FF2">
        <w:t>, with</w:t>
      </w:r>
      <w:r w:rsidR="00865FF2" w:rsidRPr="00764E94">
        <w:t xml:space="preserve"> </w:t>
      </w:r>
      <w:r w:rsidR="00865FF2">
        <w:t>t</w:t>
      </w:r>
      <w:r w:rsidR="00865FF2" w:rsidRPr="00764E94">
        <w:t>he withdrawal tak</w:t>
      </w:r>
      <w:r w:rsidR="00865FF2">
        <w:t>ing</w:t>
      </w:r>
      <w:r w:rsidR="00865FF2" w:rsidRPr="00764E94">
        <w:t xml:space="preserve"> effect </w:t>
      </w:r>
      <w:r w:rsidR="00865FF2">
        <w:t xml:space="preserve">on November 4, 2020.  </w:t>
      </w:r>
    </w:p>
    <w:p w14:paraId="6AC98F00" w14:textId="15B40B2C" w:rsidR="00865FF2" w:rsidRDefault="00865FF2" w:rsidP="002468FD">
      <w:r w:rsidRPr="00D17CD0">
        <w:t xml:space="preserve">Under the Biden administration, the United States reentered the Paris Agreement, with the </w:t>
      </w:r>
      <w:r>
        <w:t xml:space="preserve">official </w:t>
      </w:r>
      <w:r w:rsidRPr="00D17CD0">
        <w:t xml:space="preserve">reentry </w:t>
      </w:r>
      <w:r>
        <w:t>on</w:t>
      </w:r>
      <w:r w:rsidRPr="00D17CD0">
        <w:t xml:space="preserve"> February</w:t>
      </w:r>
      <w:r>
        <w:t xml:space="preserve"> 19,</w:t>
      </w:r>
      <w:r w:rsidRPr="00D17CD0">
        <w:t xml:space="preserve"> 2021. </w:t>
      </w:r>
      <w:r w:rsidR="001B04E7">
        <w:t>President Bid</w:t>
      </w:r>
      <w:r w:rsidR="00BA337C">
        <w:t>e</w:t>
      </w:r>
      <w:r w:rsidR="001B04E7">
        <w:t xml:space="preserve">n </w:t>
      </w:r>
      <w:r w:rsidR="00530D0F">
        <w:t xml:space="preserve">subsequently announced </w:t>
      </w:r>
      <w:r w:rsidR="003B3DE0">
        <w:t xml:space="preserve">a new </w:t>
      </w:r>
      <w:r w:rsidR="003C2885">
        <w:t xml:space="preserve">country-specific </w:t>
      </w:r>
      <w:r w:rsidR="003B3DE0">
        <w:t>target</w:t>
      </w:r>
      <w:r w:rsidR="00D21FF9">
        <w:t xml:space="preserve"> </w:t>
      </w:r>
      <w:r w:rsidR="007B1F2E">
        <w:t xml:space="preserve">for the United States to achieve a 50-52 percent reduction </w:t>
      </w:r>
      <w:r w:rsidR="00490900">
        <w:t xml:space="preserve">from 2005 levels in economy-wide net </w:t>
      </w:r>
      <w:r w:rsidR="00280C3D">
        <w:t xml:space="preserve">GHG emissions </w:t>
      </w:r>
      <w:r w:rsidR="00AF2D8D">
        <w:t xml:space="preserve">by </w:t>
      </w:r>
      <w:r w:rsidR="00280C3D">
        <w:t>2030</w:t>
      </w:r>
      <w:r w:rsidR="001B04E7">
        <w:t>.</w:t>
      </w:r>
    </w:p>
    <w:p w14:paraId="7D6E8332" w14:textId="1C1A649C" w:rsidR="00BE0C25" w:rsidRPr="00B07E80" w:rsidRDefault="00BE0C25">
      <w:r>
        <w:t xml:space="preserve">The annual COP, CMP, and CMA meetings that were scheduled for November 2020 in </w:t>
      </w:r>
      <w:r w:rsidR="00913B9C">
        <w:t>the</w:t>
      </w:r>
      <w:r w:rsidR="000F45EE">
        <w:t xml:space="preserve"> </w:t>
      </w:r>
      <w:r>
        <w:t xml:space="preserve">United Kingdom </w:t>
      </w:r>
      <w:r w:rsidR="0028725C">
        <w:t xml:space="preserve">occurred </w:t>
      </w:r>
      <w:r w:rsidR="0028725C" w:rsidDel="000A7716">
        <w:t>in</w:t>
      </w:r>
      <w:r w:rsidDel="000A7716">
        <w:t xml:space="preserve"> </w:t>
      </w:r>
      <w:r w:rsidR="6A508BA8">
        <w:t xml:space="preserve">October and November 2021.  </w:t>
      </w:r>
      <w:r w:rsidR="2203DB35">
        <w:t>As a result of th</w:t>
      </w:r>
      <w:r w:rsidR="4E433C78">
        <w:t xml:space="preserve">e Glasgow Climate Pact, the following pledges </w:t>
      </w:r>
      <w:r w:rsidR="002E0CFA">
        <w:t>of note for the U</w:t>
      </w:r>
      <w:r w:rsidR="0036036C">
        <w:t>.</w:t>
      </w:r>
      <w:r w:rsidR="002E0CFA">
        <w:t>S</w:t>
      </w:r>
      <w:r w:rsidR="0036036C">
        <w:t>.</w:t>
      </w:r>
      <w:r w:rsidR="002E0CFA">
        <w:t xml:space="preserve"> </w:t>
      </w:r>
      <w:r w:rsidR="4E433C78">
        <w:t>were made:</w:t>
      </w:r>
    </w:p>
    <w:p w14:paraId="4BFC55AC" w14:textId="5D71FAA5" w:rsidR="007C05D1" w:rsidRPr="007C05D1" w:rsidRDefault="4E433C78" w:rsidP="007C05D1">
      <w:pPr>
        <w:pStyle w:val="ListParagraph"/>
        <w:numPr>
          <w:ilvl w:val="0"/>
          <w:numId w:val="27"/>
        </w:numPr>
        <w:rPr>
          <w:rFonts w:eastAsia="Calibri" w:cs="Arial"/>
          <w:szCs w:val="24"/>
        </w:rPr>
      </w:pPr>
      <w:r w:rsidRPr="243F4BDE">
        <w:rPr>
          <w:rFonts w:eastAsia="Calibri" w:cs="Arial"/>
          <w:szCs w:val="24"/>
        </w:rPr>
        <w:t>A phase down of unabated coal (without carbon capture) and</w:t>
      </w:r>
      <w:r w:rsidR="00B86C01">
        <w:rPr>
          <w:rFonts w:eastAsia="Calibri" w:cs="Arial"/>
          <w:szCs w:val="24"/>
        </w:rPr>
        <w:t xml:space="preserve"> ending </w:t>
      </w:r>
      <w:r w:rsidR="007C05D1" w:rsidRPr="007C05D1">
        <w:rPr>
          <w:rFonts w:eastAsia="Calibri" w:cs="Arial"/>
          <w:szCs w:val="24"/>
        </w:rPr>
        <w:t xml:space="preserve">fossil </w:t>
      </w:r>
      <w:r w:rsidR="00B86C01">
        <w:rPr>
          <w:rFonts w:eastAsia="Calibri" w:cs="Arial"/>
          <w:szCs w:val="24"/>
        </w:rPr>
        <w:t>fuel subsidies</w:t>
      </w:r>
    </w:p>
    <w:p w14:paraId="25B6E058" w14:textId="010B6AB1" w:rsidR="243F4BDE" w:rsidRDefault="4E433C78" w:rsidP="00B10EBA">
      <w:pPr>
        <w:pStyle w:val="ListParagraph"/>
        <w:numPr>
          <w:ilvl w:val="0"/>
          <w:numId w:val="27"/>
        </w:numPr>
      </w:pPr>
      <w:r w:rsidRPr="0272E446">
        <w:rPr>
          <w:rFonts w:eastAsia="Calibri" w:cs="Arial"/>
        </w:rPr>
        <w:t>One hundred leaders</w:t>
      </w:r>
      <w:r w:rsidR="00ED0CBE">
        <w:rPr>
          <w:rFonts w:eastAsia="Calibri" w:cs="Arial"/>
        </w:rPr>
        <w:t>, including the United States,</w:t>
      </w:r>
      <w:r w:rsidRPr="0272E446">
        <w:rPr>
          <w:rFonts w:eastAsia="Calibri" w:cs="Arial"/>
        </w:rPr>
        <w:t xml:space="preserve"> agreed to cut methane emissions by 30% by 2030</w:t>
      </w:r>
      <w:r w:rsidR="00535AB6">
        <w:rPr>
          <w:rFonts w:eastAsia="Calibri" w:cs="Arial"/>
        </w:rPr>
        <w:t xml:space="preserve"> through the Global Methane Pledge</w:t>
      </w:r>
    </w:p>
    <w:p w14:paraId="5D02C574" w14:textId="193094F9" w:rsidR="00AD3B95" w:rsidRDefault="00DC62CA" w:rsidP="00877775">
      <w:pPr>
        <w:pStyle w:val="Heading4"/>
        <w:rPr>
          <w:rFonts w:eastAsia="Calibri"/>
        </w:rPr>
      </w:pPr>
      <w:r>
        <w:t xml:space="preserve">Social Cost of </w:t>
      </w:r>
      <w:r w:rsidR="007724FA">
        <w:rPr>
          <w:rFonts w:cs="Arial"/>
          <w:color w:val="000080"/>
          <w:szCs w:val="24"/>
        </w:rPr>
        <w:t>GHGs</w:t>
      </w:r>
    </w:p>
    <w:p w14:paraId="109D2D19" w14:textId="72520721" w:rsidR="00906660" w:rsidRDefault="00585D07" w:rsidP="002468FD">
      <w:r w:rsidRPr="00585D07">
        <w:t xml:space="preserve">The </w:t>
      </w:r>
      <w:r>
        <w:t>social cost of GHG</w:t>
      </w:r>
      <w:r w:rsidR="00CB4706">
        <w:t>s (</w:t>
      </w:r>
      <w:r w:rsidR="005736E8">
        <w:t>“</w:t>
      </w:r>
      <w:r w:rsidR="00CB4706">
        <w:t>SC-GHG</w:t>
      </w:r>
      <w:r w:rsidR="005736E8">
        <w:t>”</w:t>
      </w:r>
      <w:r w:rsidR="00CB4706">
        <w:t>)</w:t>
      </w:r>
      <w:r w:rsidRPr="00585D07">
        <w:t xml:space="preserve"> is a monetary estimate of the </w:t>
      </w:r>
      <w:r w:rsidR="000458BB">
        <w:t xml:space="preserve">estimated </w:t>
      </w:r>
      <w:r w:rsidRPr="00585D07">
        <w:t>damages from climate change</w:t>
      </w:r>
      <w:r>
        <w:t xml:space="preserve"> </w:t>
      </w:r>
      <w:r w:rsidR="00716FAE">
        <w:t xml:space="preserve">to society as a whole </w:t>
      </w:r>
      <w:r w:rsidRPr="00585D07">
        <w:t>from emitting a</w:t>
      </w:r>
      <w:r w:rsidR="00CB4706">
        <w:t>n</w:t>
      </w:r>
      <w:r w:rsidRPr="00585D07">
        <w:t xml:space="preserve"> </w:t>
      </w:r>
      <w:r w:rsidR="00CB4706">
        <w:t>incremental amount of GHGs</w:t>
      </w:r>
      <w:r w:rsidR="00D37F79">
        <w:t xml:space="preserve">.  </w:t>
      </w:r>
      <w:r w:rsidR="003A09DD">
        <w:t>D</w:t>
      </w:r>
      <w:r w:rsidRPr="00585D07">
        <w:t>amage estimates</w:t>
      </w:r>
      <w:r w:rsidR="008B7536">
        <w:t>, which include direct and indirect impacts,</w:t>
      </w:r>
      <w:r w:rsidRPr="00585D07">
        <w:t xml:space="preserve"> have</w:t>
      </w:r>
      <w:r w:rsidR="00642080">
        <w:t xml:space="preserve"> </w:t>
      </w:r>
      <w:r w:rsidRPr="00585D07">
        <w:t xml:space="preserve">also been created for emissions of other GHGs, including methane and nitrous oxide. </w:t>
      </w:r>
      <w:r w:rsidR="00B03715" w:rsidRPr="16982F57">
        <w:t>This</w:t>
      </w:r>
      <w:r w:rsidR="00B03715" w:rsidRPr="00C60A3A">
        <w:t xml:space="preserve"> tool is used to incorporate the social benefits of reductions</w:t>
      </w:r>
      <w:r w:rsidR="0000375B">
        <w:t>, or the harm from emitting,</w:t>
      </w:r>
      <w:r w:rsidR="00B03715" w:rsidRPr="00C60A3A">
        <w:t xml:space="preserve"> GHGs into cost-benefit analysis of regulatory actions that impact cumulative global emissions.</w:t>
      </w:r>
      <w:r w:rsidR="7C2EB85C" w:rsidRPr="16982F57">
        <w:t xml:space="preserve"> </w:t>
      </w:r>
      <w:r w:rsidR="0050478E" w:rsidRPr="00C60A3A">
        <w:t>The social cost of carbon and GHGs is a priority for the Biden Administration and currently being reviewed by agencies. Following the January 2021 EO</w:t>
      </w:r>
      <w:r w:rsidR="007227BF">
        <w:t xml:space="preserve"> 13990</w:t>
      </w:r>
      <w:r w:rsidR="0050478E" w:rsidRPr="00C60A3A">
        <w:t>, in February 2021, the Interagency Working Group on Social Cost of GHGs announced an interim Social Cost of GHGs at $51/ton for CO</w:t>
      </w:r>
      <w:r w:rsidR="0050478E" w:rsidRPr="00002B0D">
        <w:rPr>
          <w:vertAlign w:val="subscript"/>
        </w:rPr>
        <w:t>2</w:t>
      </w:r>
      <w:r w:rsidR="0050478E" w:rsidRPr="00C60A3A">
        <w:t xml:space="preserve"> at a 3% discount rate. This interim value </w:t>
      </w:r>
      <w:r w:rsidR="0050478E" w:rsidRPr="009019F7">
        <w:t>is to be</w:t>
      </w:r>
      <w:r w:rsidR="0050478E" w:rsidRPr="00F32637">
        <w:t xml:space="preserve"> used until finalization of a final SC GHGs</w:t>
      </w:r>
      <w:r w:rsidR="001D409B" w:rsidRPr="00F32637">
        <w:t>, which</w:t>
      </w:r>
      <w:r w:rsidR="00EA0C67" w:rsidRPr="00F32637">
        <w:t xml:space="preserve"> </w:t>
      </w:r>
      <w:r w:rsidR="001D409B" w:rsidRPr="00F32637">
        <w:t>is expected</w:t>
      </w:r>
      <w:r w:rsidR="00EA0C67" w:rsidRPr="00F32637">
        <w:t xml:space="preserve"> to be published</w:t>
      </w:r>
      <w:r w:rsidR="0050478E" w:rsidRPr="00F32637">
        <w:t xml:space="preserve"> by </w:t>
      </w:r>
      <w:r w:rsidR="009019F7" w:rsidRPr="00D52DF5">
        <w:t xml:space="preserve">early </w:t>
      </w:r>
      <w:r w:rsidR="0050478E" w:rsidRPr="00D52DF5">
        <w:t>2022</w:t>
      </w:r>
      <w:r w:rsidR="0050478E" w:rsidRPr="009019F7">
        <w:t>.</w:t>
      </w:r>
      <w:r w:rsidR="004D2742">
        <w:t xml:space="preserve"> </w:t>
      </w:r>
    </w:p>
    <w:p w14:paraId="77AD52A5" w14:textId="3B47DC41" w:rsidR="00865FF2" w:rsidRPr="00BC5685" w:rsidRDefault="00865FF2" w:rsidP="00877775">
      <w:pPr>
        <w:pStyle w:val="Heading4"/>
      </w:pPr>
      <w:r w:rsidRPr="00537D1B">
        <w:t>CO</w:t>
      </w:r>
      <w:r w:rsidRPr="00B018EC">
        <w:rPr>
          <w:vertAlign w:val="subscript"/>
        </w:rPr>
        <w:t>2</w:t>
      </w:r>
      <w:r w:rsidRPr="00BC5685">
        <w:t xml:space="preserve"> Regulation – Permitting</w:t>
      </w:r>
    </w:p>
    <w:p w14:paraId="42C0014F" w14:textId="0181EECF" w:rsidR="000463E9" w:rsidRDefault="000463E9" w:rsidP="002468FD">
      <w:r w:rsidRPr="00DB7156">
        <w:t>In April 2007, the U.S. Supreme Court ruled that EPA has authority under the CAA to regulate GHG emissions from new motor vehicles</w:t>
      </w:r>
      <w:r w:rsidR="004E3672">
        <w:t>,</w:t>
      </w:r>
      <w:r w:rsidRPr="00DB7156">
        <w:t xml:space="preserve"> and EPA </w:t>
      </w:r>
      <w:r w:rsidR="004E3672">
        <w:t>determined</w:t>
      </w:r>
      <w:r w:rsidR="006C1AC0">
        <w:t xml:space="preserve"> </w:t>
      </w:r>
      <w:r w:rsidRPr="00DB7156">
        <w:t>that certain GHG emissions from new motor vehicles endanger public health and welfare</w:t>
      </w:r>
      <w:r w:rsidR="00A129C2">
        <w:t>, effective January 2010</w:t>
      </w:r>
      <w:r w:rsidRPr="00DB7156">
        <w:t xml:space="preserve">. </w:t>
      </w:r>
      <w:r>
        <w:t>I</w:t>
      </w:r>
      <w:r w:rsidRPr="00DB7156">
        <w:t>n April 2010, EPA issued a final rule regulating GHG emissions from new motor vehicles under the CAA</w:t>
      </w:r>
      <w:r w:rsidR="00A129C2">
        <w:t>, taking</w:t>
      </w:r>
      <w:r w:rsidRPr="00DB7156">
        <w:t xml:space="preserve"> the position that</w:t>
      </w:r>
      <w:r w:rsidR="007E32E6">
        <w:t xml:space="preserve"> this action then triggered </w:t>
      </w:r>
      <w:r w:rsidRPr="00DB7156">
        <w:t>CO</w:t>
      </w:r>
      <w:r w:rsidRPr="00DB7156">
        <w:rPr>
          <w:vertAlign w:val="subscript"/>
        </w:rPr>
        <w:t>2</w:t>
      </w:r>
      <w:r w:rsidRPr="00DB7156">
        <w:t xml:space="preserve"> and other GHGs </w:t>
      </w:r>
      <w:r w:rsidR="007E32E6">
        <w:t xml:space="preserve">to </w:t>
      </w:r>
      <w:r w:rsidRPr="00DB7156">
        <w:t>bec</w:t>
      </w:r>
      <w:r w:rsidR="007E32E6">
        <w:t>o</w:t>
      </w:r>
      <w:r w:rsidRPr="00DB7156">
        <w:t xml:space="preserve">me regulated pollutants under the </w:t>
      </w:r>
      <w:r>
        <w:t>prevention of significant deterioration (“</w:t>
      </w:r>
      <w:r w:rsidRPr="00DB7156">
        <w:t>PSD</w:t>
      </w:r>
      <w:r>
        <w:t>”)</w:t>
      </w:r>
      <w:r w:rsidRPr="00DB7156">
        <w:t xml:space="preserve"> preconstruction permit program and the Title V operating permit program.</w:t>
      </w:r>
      <w:r w:rsidR="004E3672">
        <w:t xml:space="preserve"> </w:t>
      </w:r>
      <w:r w:rsidRPr="00DB7156">
        <w:t xml:space="preserve"> As a result, the construction of new facilities or the major modification of existing </w:t>
      </w:r>
      <w:r w:rsidR="001C57E5">
        <w:t>power plants</w:t>
      </w:r>
      <w:r w:rsidRPr="00DB7156">
        <w:t xml:space="preserve"> could trigger the requirement for a PSD permit and the installation of the Best Available Control Technology (</w:t>
      </w:r>
      <w:r>
        <w:t>“</w:t>
      </w:r>
      <w:r w:rsidRPr="00DB7156">
        <w:t>BACT</w:t>
      </w:r>
      <w:r>
        <w:t>”</w:t>
      </w:r>
      <w:r w:rsidRPr="00DB7156">
        <w:t>) for CO</w:t>
      </w:r>
      <w:r w:rsidRPr="00DB7156">
        <w:rPr>
          <w:vertAlign w:val="subscript"/>
        </w:rPr>
        <w:t>2</w:t>
      </w:r>
      <w:r w:rsidRPr="00DB7156">
        <w:t xml:space="preserve"> and other GHGs</w:t>
      </w:r>
      <w:r w:rsidR="00E96D77">
        <w:t>, under the GHG Tailoring Rule</w:t>
      </w:r>
      <w:r w:rsidR="00CD4E16">
        <w:t xml:space="preserve"> (</w:t>
      </w:r>
      <w:r w:rsidR="00CD4E16" w:rsidRPr="00CD4E16">
        <w:t xml:space="preserve">40 CFR </w:t>
      </w:r>
      <w:r w:rsidR="00CD4E16">
        <w:t xml:space="preserve">§ </w:t>
      </w:r>
      <w:r w:rsidR="00CD4E16" w:rsidRPr="00CD4E16">
        <w:t>51.166(b)(48)</w:t>
      </w:r>
      <w:r w:rsidR="00CD4E16">
        <w:t>)</w:t>
      </w:r>
      <w:r w:rsidR="003709AD">
        <w:t xml:space="preserve">, which was finalized in </w:t>
      </w:r>
      <w:r w:rsidR="00FB0509">
        <w:t>May 2010</w:t>
      </w:r>
      <w:r w:rsidR="000D7357">
        <w:t>.</w:t>
      </w:r>
    </w:p>
    <w:p w14:paraId="395B13CF" w14:textId="2D7B105E" w:rsidR="000D7357" w:rsidRDefault="006C4226" w:rsidP="002468FD">
      <w:r>
        <w:t xml:space="preserve">In June 2014, the Supreme Court ruled </w:t>
      </w:r>
      <w:r w:rsidR="0017056D">
        <w:t xml:space="preserve">against the GHG Tailoring Rule </w:t>
      </w:r>
      <w:r>
        <w:t>that EPA could not use either its PSD or Title V permitting programs to require permits solely based on GHG emissions but could require applicants that triggered permitting for other pollutants to undertake GHG analysis</w:t>
      </w:r>
      <w:r w:rsidR="004D6E9C">
        <w:t>.</w:t>
      </w:r>
    </w:p>
    <w:p w14:paraId="4F4888A4" w14:textId="38856DC3" w:rsidR="00865FF2" w:rsidRPr="00764E94" w:rsidRDefault="009102D0" w:rsidP="002468FD">
      <w:r>
        <w:t>I</w:t>
      </w:r>
      <w:r w:rsidRPr="00DB7156">
        <w:t>n October 2016, EPA released a proposed rule to revise PSD and Title V GHG permitting regulations and establishing a significant emission rate (</w:t>
      </w:r>
      <w:r>
        <w:t>“</w:t>
      </w:r>
      <w:r w:rsidRPr="00DB7156">
        <w:t>SER</w:t>
      </w:r>
      <w:r>
        <w:t>”</w:t>
      </w:r>
      <w:r w:rsidRPr="00DB7156">
        <w:t>)</w:t>
      </w:r>
      <w:r w:rsidR="004D6E9C">
        <w:t>, but</w:t>
      </w:r>
      <w:r>
        <w:t xml:space="preserve"> </w:t>
      </w:r>
      <w:r w:rsidR="00865FF2" w:rsidRPr="00764E94">
        <w:t xml:space="preserve">EPA has not yet taken action to finalize </w:t>
      </w:r>
      <w:r w:rsidR="004D6E9C">
        <w:t xml:space="preserve">these </w:t>
      </w:r>
      <w:r w:rsidR="00865FF2" w:rsidRPr="00764E94">
        <w:t>revisions</w:t>
      </w:r>
      <w:r w:rsidR="0017056D">
        <w:t>.</w:t>
      </w:r>
      <w:r w:rsidR="00865FF2" w:rsidRPr="00764E94">
        <w:t xml:space="preserve"> </w:t>
      </w:r>
    </w:p>
    <w:p w14:paraId="4872503C" w14:textId="79E4F895" w:rsidR="00865FF2" w:rsidRPr="00BC5685" w:rsidRDefault="00865FF2" w:rsidP="00877775">
      <w:pPr>
        <w:pStyle w:val="Heading4"/>
      </w:pPr>
      <w:r w:rsidRPr="00362A23">
        <w:t>CO</w:t>
      </w:r>
      <w:r w:rsidRPr="00B018EC">
        <w:rPr>
          <w:vertAlign w:val="subscript"/>
        </w:rPr>
        <w:t>2</w:t>
      </w:r>
      <w:r w:rsidRPr="00BC5685">
        <w:t xml:space="preserve"> Regulation – Performance Standards</w:t>
      </w:r>
    </w:p>
    <w:p w14:paraId="78FE439E" w14:textId="7E725DCB" w:rsidR="00D1141B" w:rsidRDefault="00AC626E" w:rsidP="002468FD">
      <w:r>
        <w:t>I</w:t>
      </w:r>
      <w:r w:rsidRPr="00DB7156">
        <w:t xml:space="preserve">n June 2013, President Obama announced his Climate Action Plan designed to reduce emissions of GHGs and take additional steps to mitigate and adapt to climate change. At the same time, President Obama released a White House memorandum on “Power Sector Carbon Pollution Standards” that directed EPA to propose and finalize standards, regulations, or guidelines for new, modified, reconstructed, and existing fossil-fired electric generating units.  </w:t>
      </w:r>
      <w:r w:rsidR="001A5D98" w:rsidRPr="00DB7156">
        <w:t xml:space="preserve">Consistent with the Climate Action Plan and subsequent memorandum, </w:t>
      </w:r>
      <w:r w:rsidR="00CD1818">
        <w:t xml:space="preserve">in October 2015, </w:t>
      </w:r>
      <w:r w:rsidR="001A5D98" w:rsidRPr="00DB7156">
        <w:t xml:space="preserve">EPA issued a </w:t>
      </w:r>
      <w:r w:rsidR="00481025">
        <w:t xml:space="preserve">final rule </w:t>
      </w:r>
      <w:r w:rsidR="00DA04DA">
        <w:t>of</w:t>
      </w:r>
      <w:r w:rsidR="00481025">
        <w:t xml:space="preserve"> </w:t>
      </w:r>
      <w:r w:rsidR="00481025" w:rsidRPr="00DB7156">
        <w:t>new, modified, and reconstructed source standards for CO</w:t>
      </w:r>
      <w:r w:rsidR="00481025" w:rsidRPr="00DB7156">
        <w:rPr>
          <w:vertAlign w:val="subscript"/>
        </w:rPr>
        <w:t>2</w:t>
      </w:r>
      <w:r w:rsidR="00481025" w:rsidRPr="00DB7156">
        <w:t xml:space="preserve"> emissions under section 111(b) of the CAA</w:t>
      </w:r>
      <w:r w:rsidR="0017056D">
        <w:t>,</w:t>
      </w:r>
      <w:r w:rsidR="00481025">
        <w:t xml:space="preserve"> as well as final guidelines for CO2 emissions for existing sources under 111(d) fo</w:t>
      </w:r>
      <w:r w:rsidR="1BF419A6">
        <w:t>r</w:t>
      </w:r>
      <w:r w:rsidR="00481025">
        <w:t xml:space="preserve"> the CAA. </w:t>
      </w:r>
    </w:p>
    <w:p w14:paraId="72A8AF62" w14:textId="2D4D23A5" w:rsidR="00E5442D" w:rsidRPr="00DB7156" w:rsidRDefault="00D1141B" w:rsidP="00EF0427">
      <w:pPr>
        <w:rPr>
          <w:rFonts w:eastAsia="Calibri" w:cs="Arial"/>
        </w:rPr>
      </w:pPr>
      <w:r>
        <w:t xml:space="preserve">For existing sources under 111(d) of the CAA, </w:t>
      </w:r>
      <w:r w:rsidRPr="7149ADA0">
        <w:rPr>
          <w:rFonts w:eastAsia="Calibri" w:cs="Arial"/>
        </w:rPr>
        <w:t>t</w:t>
      </w:r>
      <w:r w:rsidR="003C5029" w:rsidRPr="7149ADA0">
        <w:rPr>
          <w:rFonts w:eastAsia="Calibri" w:cs="Arial"/>
        </w:rPr>
        <w:t>he Clean Power Plan required states to develop a state-specific compliance plan.</w:t>
      </w:r>
      <w:r w:rsidRPr="7149ADA0">
        <w:rPr>
          <w:rFonts w:eastAsia="Calibri" w:cs="Arial"/>
        </w:rPr>
        <w:t xml:space="preserve"> </w:t>
      </w:r>
      <w:r w:rsidR="00E5442D" w:rsidRPr="7149ADA0">
        <w:rPr>
          <w:rFonts w:eastAsia="Calibri" w:cs="Arial"/>
        </w:rPr>
        <w:t xml:space="preserve">Numerous parties filed petitions for review and accompanying motions to stay the </w:t>
      </w:r>
      <w:r w:rsidR="008879C5" w:rsidRPr="7149ADA0">
        <w:rPr>
          <w:rFonts w:eastAsia="Calibri" w:cs="Arial"/>
        </w:rPr>
        <w:t>CPP,</w:t>
      </w:r>
      <w:r w:rsidR="00E5442D" w:rsidRPr="7149ADA0">
        <w:rPr>
          <w:rFonts w:eastAsia="Calibri" w:cs="Arial"/>
        </w:rPr>
        <w:t xml:space="preserve"> </w:t>
      </w:r>
      <w:r w:rsidR="00FB6869" w:rsidRPr="7149ADA0">
        <w:rPr>
          <w:rFonts w:eastAsia="Calibri" w:cs="Arial"/>
        </w:rPr>
        <w:t xml:space="preserve">including </w:t>
      </w:r>
      <w:r w:rsidR="00077F81" w:rsidRPr="7149ADA0">
        <w:rPr>
          <w:rFonts w:eastAsia="Calibri" w:cs="Arial"/>
        </w:rPr>
        <w:t>Georgia Power</w:t>
      </w:r>
      <w:r w:rsidR="00FB6869">
        <w:rPr>
          <w:rFonts w:cs="Arial"/>
          <w:color w:val="171717" w:themeColor="background2" w:themeShade="1A"/>
        </w:rPr>
        <w:t>.</w:t>
      </w:r>
      <w:r w:rsidRPr="172F7B2B">
        <w:rPr>
          <w:rFonts w:cs="Arial"/>
          <w:color w:val="171717" w:themeColor="background2" w:themeShade="1A"/>
        </w:rPr>
        <w:t xml:space="preserve"> </w:t>
      </w:r>
      <w:r w:rsidR="00E5442D" w:rsidRPr="7149ADA0">
        <w:rPr>
          <w:rFonts w:eastAsia="Calibri" w:cs="Arial"/>
        </w:rPr>
        <w:t xml:space="preserve">On February 9, 2016, the U.S. Supreme Court granted a stay of the CPP, which put the rule on hold while the legal challenge proceeds through the courts. </w:t>
      </w:r>
    </w:p>
    <w:p w14:paraId="5974E943" w14:textId="217FE2CD" w:rsidR="00D36113" w:rsidRDefault="00CE34B4" w:rsidP="002468FD">
      <w:r w:rsidRPr="00DB7156">
        <w:rPr>
          <w:rFonts w:cs="Arial"/>
          <w:szCs w:val="24"/>
        </w:rPr>
        <w:t>In October 2017, EPA began an effort to repeal and replace the CPP</w:t>
      </w:r>
      <w:r w:rsidR="00416B2D">
        <w:rPr>
          <w:rFonts w:cs="Arial"/>
          <w:szCs w:val="24"/>
        </w:rPr>
        <w:t>,</w:t>
      </w:r>
      <w:r w:rsidRPr="00DB7156">
        <w:rPr>
          <w:rFonts w:cs="Arial"/>
          <w:szCs w:val="24"/>
        </w:rPr>
        <w:t xml:space="preserve"> starting first with the CPP repeal proposal.</w:t>
      </w:r>
      <w:r w:rsidR="00416B2D">
        <w:rPr>
          <w:rFonts w:cs="Arial"/>
          <w:szCs w:val="24"/>
        </w:rPr>
        <w:t xml:space="preserve"> </w:t>
      </w:r>
      <w:r w:rsidRPr="00DB7156">
        <w:rPr>
          <w:rFonts w:cs="Arial"/>
          <w:szCs w:val="24"/>
        </w:rPr>
        <w:t xml:space="preserve"> </w:t>
      </w:r>
      <w:r>
        <w:rPr>
          <w:rFonts w:cs="Arial"/>
          <w:szCs w:val="24"/>
        </w:rPr>
        <w:t>I</w:t>
      </w:r>
      <w:r w:rsidRPr="00DB7156">
        <w:rPr>
          <w:rFonts w:cs="Arial"/>
          <w:szCs w:val="24"/>
        </w:rPr>
        <w:t>n August</w:t>
      </w:r>
      <w:r>
        <w:rPr>
          <w:rFonts w:cs="Arial"/>
          <w:szCs w:val="24"/>
        </w:rPr>
        <w:t xml:space="preserve"> 2018, EPA proposed the ACE R</w:t>
      </w:r>
      <w:r w:rsidRPr="00DB7156">
        <w:rPr>
          <w:rFonts w:cs="Arial"/>
          <w:szCs w:val="24"/>
        </w:rPr>
        <w:t>ule</w:t>
      </w:r>
      <w:r w:rsidR="00416B2D">
        <w:rPr>
          <w:rFonts w:cs="Arial"/>
          <w:szCs w:val="24"/>
        </w:rPr>
        <w:t>,</w:t>
      </w:r>
      <w:r w:rsidRPr="00DB7156">
        <w:rPr>
          <w:rFonts w:cs="Arial"/>
          <w:szCs w:val="24"/>
        </w:rPr>
        <w:t xml:space="preserve"> which would replace the CPP and establish procedures for states to develop plans to address carbon emissions from existing</w:t>
      </w:r>
      <w:r w:rsidR="00D36113">
        <w:rPr>
          <w:rFonts w:cs="Arial"/>
          <w:szCs w:val="24"/>
        </w:rPr>
        <w:t xml:space="preserve"> coal-fired</w:t>
      </w:r>
      <w:r w:rsidRPr="00DB7156">
        <w:rPr>
          <w:rFonts w:cs="Arial"/>
          <w:szCs w:val="24"/>
        </w:rPr>
        <w:t xml:space="preserve"> power plants. </w:t>
      </w:r>
      <w:r w:rsidR="00F01363">
        <w:t>There</w:t>
      </w:r>
      <w:r w:rsidR="00F01363" w:rsidDel="006F7A9F">
        <w:t xml:space="preserve"> </w:t>
      </w:r>
      <w:r w:rsidR="006F7A9F">
        <w:t xml:space="preserve">was </w:t>
      </w:r>
      <w:r w:rsidR="00F01363">
        <w:t>a series of addition</w:t>
      </w:r>
      <w:r w:rsidR="00AA0016">
        <w:t>al</w:t>
      </w:r>
      <w:r w:rsidR="00F01363">
        <w:t xml:space="preserve"> rulemaking activity and associated </w:t>
      </w:r>
      <w:r w:rsidR="151136FB" w:rsidRPr="6D33E726">
        <w:t>litigation</w:t>
      </w:r>
      <w:r w:rsidR="00F01363">
        <w:t xml:space="preserve"> over these </w:t>
      </w:r>
      <w:r w:rsidR="003A0C57">
        <w:t>rules</w:t>
      </w:r>
      <w:r w:rsidR="00515161">
        <w:t xml:space="preserve"> that </w:t>
      </w:r>
      <w:r w:rsidR="60B5D1AE" w:rsidRPr="6D33E726">
        <w:t>ultimately</w:t>
      </w:r>
      <w:r w:rsidR="00515161">
        <w:t xml:space="preserve"> led to the </w:t>
      </w:r>
      <w:r w:rsidR="00D36113">
        <w:t>CPP</w:t>
      </w:r>
      <w:r w:rsidR="00515161">
        <w:t xml:space="preserve"> being </w:t>
      </w:r>
      <w:r w:rsidR="006C049A">
        <w:t>repealed</w:t>
      </w:r>
      <w:r w:rsidR="00637774">
        <w:t xml:space="preserve"> and replaced with the ACE </w:t>
      </w:r>
      <w:r w:rsidR="00D36113">
        <w:t>Rule,</w:t>
      </w:r>
      <w:r w:rsidR="000313B7">
        <w:t xml:space="preserve"> as well as </w:t>
      </w:r>
      <w:r w:rsidR="005875BB">
        <w:t xml:space="preserve">proposed </w:t>
      </w:r>
      <w:r w:rsidR="00994F7B">
        <w:t xml:space="preserve">revisions to the 111(b) standards for </w:t>
      </w:r>
      <w:r w:rsidR="00865FF2" w:rsidRPr="00C15BFE">
        <w:t>new, modified and reconstructed sources</w:t>
      </w:r>
      <w:r w:rsidR="00865FF2">
        <w:t xml:space="preserve">. </w:t>
      </w:r>
    </w:p>
    <w:p w14:paraId="138B9DFA" w14:textId="5CC07ED1" w:rsidR="006C049A" w:rsidRDefault="00B14F34" w:rsidP="002468FD">
      <w:pPr>
        <w:rPr>
          <w:color w:val="171717" w:themeColor="background2" w:themeShade="1A"/>
        </w:rPr>
      </w:pPr>
      <w:r>
        <w:rPr>
          <w:szCs w:val="20"/>
        </w:rPr>
        <w:t>In July 2019, EPA finalized the ACE Rule</w:t>
      </w:r>
      <w:r w:rsidR="00C01B6A">
        <w:rPr>
          <w:szCs w:val="20"/>
        </w:rPr>
        <w:t>, which required states to develop plans</w:t>
      </w:r>
      <w:r>
        <w:t xml:space="preserve"> for the implementation and enforcement of the standards to be submitted to EPA by July 2022</w:t>
      </w:r>
      <w:r w:rsidR="00C01B6A">
        <w:t>.</w:t>
      </w:r>
      <w:r>
        <w:t xml:space="preserve"> </w:t>
      </w:r>
      <w:r w:rsidR="00C01B6A">
        <w:t xml:space="preserve"> Georgia EPD was</w:t>
      </w:r>
      <w:r>
        <w:t xml:space="preserve"> expected</w:t>
      </w:r>
      <w:r w:rsidDel="00C01B6A">
        <w:t xml:space="preserve"> </w:t>
      </w:r>
      <w:r>
        <w:t xml:space="preserve">to conduct a rulemaking, as well as hold a public hearing, </w:t>
      </w:r>
      <w:r w:rsidR="00C01B6A">
        <w:t xml:space="preserve">for a state ACE Rule plan </w:t>
      </w:r>
      <w:r>
        <w:t>by the end of 2021.</w:t>
      </w:r>
      <w:r>
        <w:rPr>
          <w:color w:val="171717" w:themeColor="background2" w:themeShade="1A"/>
        </w:rPr>
        <w:t xml:space="preserve"> However, in January 2021,</w:t>
      </w:r>
      <w:r w:rsidRPr="00893FC8">
        <w:rPr>
          <w:rFonts w:ascii="Calibri" w:hAnsi="Calibri" w:cs="Calibri"/>
        </w:rPr>
        <w:t xml:space="preserve"> </w:t>
      </w:r>
      <w:r w:rsidRPr="00893FC8">
        <w:rPr>
          <w:color w:val="171717" w:themeColor="background2" w:themeShade="1A"/>
        </w:rPr>
        <w:t>the D.C. Circuit vacated and remanded the ACE Rule back to EPA.</w:t>
      </w:r>
    </w:p>
    <w:p w14:paraId="4719ABD8" w14:textId="07124BA8" w:rsidR="00BE4267" w:rsidRPr="00C16356" w:rsidRDefault="00BE4267" w:rsidP="00BE4267">
      <w:r>
        <w:t xml:space="preserve">Prior to the recent court decisions </w:t>
      </w:r>
      <w:r w:rsidR="00C01B6A">
        <w:t>on the</w:t>
      </w:r>
      <w:r>
        <w:t xml:space="preserve"> ACE </w:t>
      </w:r>
      <w:r w:rsidR="00C01B6A">
        <w:t xml:space="preserve">Rule </w:t>
      </w:r>
      <w:r>
        <w:t xml:space="preserve">that led </w:t>
      </w:r>
      <w:r w:rsidR="00C01B6A">
        <w:t xml:space="preserve">Georgia </w:t>
      </w:r>
      <w:r>
        <w:t>EPD to cease</w:t>
      </w:r>
      <w:r w:rsidDel="002A1F08">
        <w:t xml:space="preserve"> </w:t>
      </w:r>
      <w:r>
        <w:t xml:space="preserve">work on the rule, </w:t>
      </w:r>
      <w:r w:rsidR="00D0324D">
        <w:t xml:space="preserve">Georgia </w:t>
      </w:r>
      <w:r w:rsidR="00C01B6A">
        <w:t>Power</w:t>
      </w:r>
      <w:r w:rsidR="00D0324D">
        <w:t>, at the request of Georgia EPD,</w:t>
      </w:r>
      <w:r w:rsidR="00C01B6A">
        <w:t xml:space="preserve"> </w:t>
      </w:r>
      <w:r>
        <w:t>performed technical evaluations for the efficiency improvements listed in the ACE rule</w:t>
      </w:r>
      <w:r w:rsidR="003E7A91">
        <w:t xml:space="preserve"> for power plants</w:t>
      </w:r>
      <w:r w:rsidR="00D0324D">
        <w:t xml:space="preserve">, which were </w:t>
      </w:r>
      <w:r>
        <w:t xml:space="preserve">submitted in October 2020. </w:t>
      </w:r>
      <w:r w:rsidR="00D0324D">
        <w:t xml:space="preserve"> T</w:t>
      </w:r>
      <w:r>
        <w:t xml:space="preserve">he </w:t>
      </w:r>
      <w:r w:rsidDel="00D0324D">
        <w:t xml:space="preserve">report of technical evaluations </w:t>
      </w:r>
      <w:r>
        <w:t>detail</w:t>
      </w:r>
      <w:r w:rsidR="00AB7833">
        <w:t>ed</w:t>
      </w:r>
      <w:r>
        <w:t xml:space="preserve"> which of the listed measures have already been implemented and their associated efficiency improvement</w:t>
      </w:r>
      <w:r w:rsidR="00D0324D">
        <w:t>,</w:t>
      </w:r>
      <w:r>
        <w:t xml:space="preserve"> as well as the potential efficiency improvement for the remaining measures and whether their expected improvement should be reflected in the emission standards based on cost or other factors.  </w:t>
      </w:r>
    </w:p>
    <w:p w14:paraId="7934A510" w14:textId="0D6C5FE3" w:rsidR="00865FF2" w:rsidRDefault="00865FF2" w:rsidP="002468FD">
      <w:r w:rsidRPr="00C15BFE">
        <w:t xml:space="preserve">With the CPP repealed and replaced by </w:t>
      </w:r>
      <w:r w:rsidR="00AB7833">
        <w:t xml:space="preserve">the </w:t>
      </w:r>
      <w:r w:rsidRPr="00C15BFE">
        <w:t>ACE</w:t>
      </w:r>
      <w:r w:rsidR="00AB7833">
        <w:t xml:space="preserve"> Rule</w:t>
      </w:r>
      <w:r w:rsidRPr="00C15BFE">
        <w:t xml:space="preserve">, in September 2019, </w:t>
      </w:r>
      <w:r w:rsidRPr="00C15BFE" w:rsidDel="00AB7833">
        <w:t xml:space="preserve">the </w:t>
      </w:r>
      <w:r w:rsidRPr="00C15BFE">
        <w:t xml:space="preserve">D.C. Circuit </w:t>
      </w:r>
      <w:r w:rsidR="00AB7833">
        <w:t xml:space="preserve">Court </w:t>
      </w:r>
      <w:r w:rsidRPr="00C15BFE">
        <w:t xml:space="preserve">dismissed the </w:t>
      </w:r>
      <w:r>
        <w:t>CPP</w:t>
      </w:r>
      <w:r w:rsidRPr="00C15BFE">
        <w:t xml:space="preserve"> litigation </w:t>
      </w:r>
      <w:r w:rsidRPr="6B962019">
        <w:t>that had been</w:t>
      </w:r>
      <w:r w:rsidRPr="00C15BFE">
        <w:t xml:space="preserve"> held in abeyance</w:t>
      </w:r>
      <w:r w:rsidRPr="6B962019">
        <w:t xml:space="preserve"> pending the outcome of EPA’s action on the CPP.</w:t>
      </w:r>
      <w:r w:rsidRPr="00C15BFE">
        <w:t xml:space="preserve">  However, numerous parties have challenged the repeal of the CPP and the ACE </w:t>
      </w:r>
      <w:r w:rsidR="00AB7833">
        <w:t>R</w:t>
      </w:r>
      <w:r w:rsidRPr="00C15BFE">
        <w:t>ule (</w:t>
      </w:r>
      <w:r w:rsidRPr="00502A2A">
        <w:rPr>
          <w:i/>
        </w:rPr>
        <w:t>American Lung Association v. EPA</w:t>
      </w:r>
      <w:r w:rsidRPr="00C15BFE">
        <w:t xml:space="preserve">, No. 19-1140).  In October 2019, </w:t>
      </w:r>
      <w:r w:rsidR="00AB7833">
        <w:t>Georgia Power</w:t>
      </w:r>
      <w:r>
        <w:t>, in addition to a number of states,</w:t>
      </w:r>
      <w:r w:rsidRPr="00C15BFE">
        <w:t xml:space="preserve"> intervened on behalf of EPA in support of these actions seeing </w:t>
      </w:r>
      <w:r w:rsidR="00AB7833">
        <w:t xml:space="preserve">the </w:t>
      </w:r>
      <w:r w:rsidRPr="00C15BFE">
        <w:t xml:space="preserve">ACE </w:t>
      </w:r>
      <w:r w:rsidR="00AB7833">
        <w:t xml:space="preserve">Rule </w:t>
      </w:r>
      <w:r w:rsidRPr="00C15BFE">
        <w:t xml:space="preserve">as a lawful exercise of EPA’s authority. </w:t>
      </w:r>
      <w:r w:rsidR="00AB7833">
        <w:t xml:space="preserve"> </w:t>
      </w:r>
      <w:r w:rsidR="00B01262">
        <w:t>In January 2021, t</w:t>
      </w:r>
      <w:r w:rsidRPr="00F350CB">
        <w:t xml:space="preserve">he Court found that both the ACE rule and EPA’s repeal of the CPP were unlawful because they rested on a fundamental misconstruction of the CAA.  </w:t>
      </w:r>
      <w:r w:rsidR="009F723B">
        <w:t xml:space="preserve">In March 2021, </w:t>
      </w:r>
      <w:r w:rsidR="00B66035" w:rsidRPr="00B66035">
        <w:t xml:space="preserve">the D.C. Circuit </w:t>
      </w:r>
      <w:r w:rsidR="009F723B">
        <w:t xml:space="preserve">Court </w:t>
      </w:r>
      <w:r w:rsidR="00B66035" w:rsidRPr="00B66035">
        <w:t>clarif</w:t>
      </w:r>
      <w:r w:rsidR="009F723B">
        <w:t>ied</w:t>
      </w:r>
      <w:r w:rsidR="00B66035" w:rsidRPr="00B66035">
        <w:t xml:space="preserve"> that neither the CPP nor the ACE Rule would be in effect while EPA addresses the court’s remand of the ACE Rule in a new rulemaking action</w:t>
      </w:r>
      <w:r w:rsidRPr="00194A1F">
        <w:t>.</w:t>
      </w:r>
      <w:r>
        <w:t xml:space="preserve"> </w:t>
      </w:r>
    </w:p>
    <w:p w14:paraId="4B49D402" w14:textId="3D015681" w:rsidR="00DD03D8" w:rsidRPr="00724769" w:rsidRDefault="00DD03D8" w:rsidP="002468FD">
      <w:pPr>
        <w:rPr>
          <w:rFonts w:eastAsiaTheme="minorEastAsia"/>
        </w:rPr>
      </w:pPr>
      <w:r w:rsidRPr="16982F57">
        <w:rPr>
          <w:rFonts w:eastAsiaTheme="minorEastAsia"/>
        </w:rPr>
        <w:t xml:space="preserve">As a result of this </w:t>
      </w:r>
      <w:r w:rsidR="00A51AB9">
        <w:rPr>
          <w:rFonts w:eastAsiaTheme="minorEastAsia"/>
        </w:rPr>
        <w:t>action</w:t>
      </w:r>
      <w:r w:rsidRPr="16982F57">
        <w:rPr>
          <w:rFonts w:eastAsiaTheme="minorEastAsia"/>
        </w:rPr>
        <w:t xml:space="preserve">, EPA is required to develop a new rule to regulate </w:t>
      </w:r>
      <w:r w:rsidR="00A51AB9">
        <w:rPr>
          <w:rFonts w:eastAsiaTheme="minorEastAsia"/>
        </w:rPr>
        <w:t>GHG</w:t>
      </w:r>
      <w:r w:rsidR="00A51AB9" w:rsidRPr="16982F57">
        <w:rPr>
          <w:rFonts w:eastAsiaTheme="minorEastAsia"/>
        </w:rPr>
        <w:t xml:space="preserve"> </w:t>
      </w:r>
      <w:r w:rsidRPr="16982F57">
        <w:rPr>
          <w:rFonts w:eastAsiaTheme="minorEastAsia"/>
        </w:rPr>
        <w:t xml:space="preserve">emissions </w:t>
      </w:r>
      <w:r w:rsidR="00A51AB9">
        <w:rPr>
          <w:rFonts w:eastAsiaTheme="minorEastAsia"/>
        </w:rPr>
        <w:t>from</w:t>
      </w:r>
      <w:r w:rsidR="00A51AB9" w:rsidRPr="16982F57">
        <w:rPr>
          <w:rFonts w:eastAsiaTheme="minorEastAsia"/>
        </w:rPr>
        <w:t xml:space="preserve"> </w:t>
      </w:r>
      <w:r w:rsidRPr="16982F57">
        <w:rPr>
          <w:rFonts w:eastAsiaTheme="minorEastAsia"/>
        </w:rPr>
        <w:t xml:space="preserve">existing </w:t>
      </w:r>
      <w:r w:rsidR="00A51AB9">
        <w:rPr>
          <w:rFonts w:eastAsiaTheme="minorEastAsia"/>
        </w:rPr>
        <w:t xml:space="preserve">fossil fuel-fired </w:t>
      </w:r>
      <w:r w:rsidRPr="16982F57">
        <w:rPr>
          <w:rFonts w:eastAsiaTheme="minorEastAsia"/>
        </w:rPr>
        <w:t>EGUs.</w:t>
      </w:r>
      <w:r w:rsidR="00811892">
        <w:rPr>
          <w:rFonts w:eastAsiaTheme="minorEastAsia"/>
        </w:rPr>
        <w:t xml:space="preserve">  While </w:t>
      </w:r>
      <w:r w:rsidR="00CA494E">
        <w:rPr>
          <w:rFonts w:eastAsiaTheme="minorEastAsia"/>
        </w:rPr>
        <w:t xml:space="preserve">EPA’s Spring 2021 Agenda </w:t>
      </w:r>
      <w:r w:rsidR="00307DA5">
        <w:rPr>
          <w:rFonts w:eastAsiaTheme="minorEastAsia"/>
        </w:rPr>
        <w:t>state</w:t>
      </w:r>
      <w:r w:rsidR="003058C6">
        <w:rPr>
          <w:rFonts w:eastAsiaTheme="minorEastAsia"/>
        </w:rPr>
        <w:t>d</w:t>
      </w:r>
      <w:r w:rsidR="00307DA5">
        <w:rPr>
          <w:rFonts w:eastAsiaTheme="minorEastAsia"/>
        </w:rPr>
        <w:t xml:space="preserve"> that EPA is </w:t>
      </w:r>
      <w:r w:rsidR="003058C6">
        <w:rPr>
          <w:rFonts w:eastAsiaTheme="minorEastAsia"/>
        </w:rPr>
        <w:t xml:space="preserve">working on a new set of </w:t>
      </w:r>
      <w:r w:rsidR="003107DC">
        <w:rPr>
          <w:rFonts w:eastAsiaTheme="minorEastAsia"/>
        </w:rPr>
        <w:t xml:space="preserve">emission guidelines </w:t>
      </w:r>
      <w:r w:rsidR="00F3565F">
        <w:rPr>
          <w:rFonts w:eastAsiaTheme="minorEastAsia"/>
        </w:rPr>
        <w:t xml:space="preserve">to direct States in </w:t>
      </w:r>
      <w:r w:rsidR="0098735E">
        <w:rPr>
          <w:rFonts w:eastAsiaTheme="minorEastAsia"/>
        </w:rPr>
        <w:t xml:space="preserve">regulating </w:t>
      </w:r>
      <w:r w:rsidR="00E30894">
        <w:rPr>
          <w:rFonts w:eastAsiaTheme="minorEastAsia"/>
        </w:rPr>
        <w:t xml:space="preserve">existing fossil-fired </w:t>
      </w:r>
      <w:r w:rsidR="00D410B9">
        <w:rPr>
          <w:rFonts w:eastAsiaTheme="minorEastAsia"/>
        </w:rPr>
        <w:t>EGUs,</w:t>
      </w:r>
      <w:r w:rsidR="00C362F7">
        <w:rPr>
          <w:rFonts w:eastAsiaTheme="minorEastAsia"/>
        </w:rPr>
        <w:t xml:space="preserve"> EPA has not provided a timeline </w:t>
      </w:r>
      <w:r w:rsidR="00C02D00">
        <w:rPr>
          <w:rFonts w:eastAsiaTheme="minorEastAsia"/>
        </w:rPr>
        <w:t>for a proposed or final rule.</w:t>
      </w:r>
    </w:p>
    <w:p w14:paraId="2CA98D9E" w14:textId="098D302E" w:rsidR="00C70FD2" w:rsidRDefault="000705AC" w:rsidP="00E2493E">
      <w:r w:rsidRPr="00D56836">
        <w:t xml:space="preserve">Meanwhile, the performance standards for new sources </w:t>
      </w:r>
      <w:r w:rsidR="00937DC0" w:rsidRPr="00C70FD2">
        <w:t xml:space="preserve">under 111(b) </w:t>
      </w:r>
      <w:r w:rsidRPr="00D56836">
        <w:t xml:space="preserve">also </w:t>
      </w:r>
      <w:r w:rsidR="0059755E" w:rsidRPr="00DB000D">
        <w:t>experienced regulatory activity after the rule was finalized in 2015.</w:t>
      </w:r>
      <w:r w:rsidR="00C735C1" w:rsidRPr="00DB000D">
        <w:t xml:space="preserve"> </w:t>
      </w:r>
      <w:r w:rsidR="00C735C1" w:rsidRPr="00C70FD2">
        <w:t xml:space="preserve">In </w:t>
      </w:r>
      <w:r w:rsidR="00DE34ED" w:rsidRPr="00C70FD2">
        <w:t>December 2018</w:t>
      </w:r>
      <w:r w:rsidR="00C735C1" w:rsidRPr="00C70FD2">
        <w:t xml:space="preserve">, EPA proposed revisions </w:t>
      </w:r>
      <w:r w:rsidR="0037376D" w:rsidRPr="00C70FD2">
        <w:t>to 111(b)</w:t>
      </w:r>
      <w:r w:rsidR="0078408B" w:rsidRPr="00C70FD2">
        <w:t>, including the</w:t>
      </w:r>
      <w:r w:rsidR="00191F88" w:rsidRPr="00C70FD2">
        <w:t xml:space="preserve"> amendment</w:t>
      </w:r>
      <w:r w:rsidR="0078408B" w:rsidRPr="00C70FD2">
        <w:t xml:space="preserve"> of </w:t>
      </w:r>
      <w:r w:rsidR="005C4EFC" w:rsidRPr="00C70FD2">
        <w:t>the best system of emission reduction (BSER) for new</w:t>
      </w:r>
      <w:r w:rsidR="0078408B" w:rsidRPr="00C70FD2">
        <w:t xml:space="preserve"> coal-fired EGUs </w:t>
      </w:r>
      <w:r w:rsidR="003C212D" w:rsidRPr="00C70FD2">
        <w:t>as</w:t>
      </w:r>
      <w:r w:rsidR="0078408B" w:rsidRPr="00C70FD2">
        <w:t xml:space="preserve"> partial carbon capture and storage (</w:t>
      </w:r>
      <w:r w:rsidR="0021154C">
        <w:t>“</w:t>
      </w:r>
      <w:r w:rsidR="0078408B" w:rsidRPr="00C70FD2">
        <w:t>CCS</w:t>
      </w:r>
      <w:r w:rsidR="0021154C">
        <w:t>”</w:t>
      </w:r>
      <w:r w:rsidR="0078408B" w:rsidRPr="00C70FD2">
        <w:t xml:space="preserve">).  </w:t>
      </w:r>
      <w:r w:rsidR="009A5413" w:rsidRPr="00C70FD2">
        <w:t>However, t</w:t>
      </w:r>
      <w:r w:rsidR="00922B00" w:rsidRPr="00C70FD2">
        <w:t>he</w:t>
      </w:r>
      <w:r w:rsidR="009A5413" w:rsidRPr="00C70FD2">
        <w:t>se updates</w:t>
      </w:r>
      <w:r w:rsidR="009A5413">
        <w:t xml:space="preserve"> have not been finalized</w:t>
      </w:r>
      <w:r w:rsidR="007C6449">
        <w:t xml:space="preserve">, and the </w:t>
      </w:r>
      <w:r w:rsidR="00245920">
        <w:t xml:space="preserve">2015 </w:t>
      </w:r>
      <w:r w:rsidR="007C6449">
        <w:t>111(b) Rul</w:t>
      </w:r>
      <w:r w:rsidR="00245920">
        <w:t>e remains in place.</w:t>
      </w:r>
    </w:p>
    <w:p w14:paraId="67AEEBC0" w14:textId="4B45E02E" w:rsidR="00EA1230" w:rsidRPr="00E654CE" w:rsidRDefault="00C70FD2" w:rsidP="00EA1230">
      <w:r>
        <w:t>I</w:t>
      </w:r>
      <w:r w:rsidR="00EA1230">
        <w:t>n January 2021</w:t>
      </w:r>
      <w:r w:rsidR="009F78AB">
        <w:t xml:space="preserve"> in the final days of the Trump Administration</w:t>
      </w:r>
      <w:r w:rsidR="00EA1230">
        <w:t xml:space="preserve">, EPA finalized </w:t>
      </w:r>
      <w:r w:rsidR="00B67330">
        <w:t xml:space="preserve">the GHG Significant Contribution Rule, </w:t>
      </w:r>
      <w:r w:rsidR="00EA1230">
        <w:t>a new framework for determining whether emissions from individual source categories contribute significantly to endangerment and warrant regulation under Section 111</w:t>
      </w:r>
      <w:r w:rsidR="00EA1230" w:rsidRPr="00C15BFE">
        <w:t xml:space="preserve">. </w:t>
      </w:r>
      <w:r w:rsidR="00245920">
        <w:t xml:space="preserve"> </w:t>
      </w:r>
      <w:r w:rsidR="00EA1230">
        <w:t>Under this new framework, EPA reaffirmed the listing of EGUs under Section 111 for GHG emissions</w:t>
      </w:r>
      <w:r w:rsidR="0006791E">
        <w:t xml:space="preserve"> but would likely limit the agency’s future regulatory actions for other sectors</w:t>
      </w:r>
      <w:r w:rsidR="00EA1230">
        <w:t xml:space="preserve">. </w:t>
      </w:r>
      <w:r w:rsidR="00245920">
        <w:t xml:space="preserve"> </w:t>
      </w:r>
      <w:r w:rsidR="0006791E">
        <w:t>However, the Biden Administration immediately took steps to pull this framework back</w:t>
      </w:r>
      <w:r w:rsidR="278ADCBC">
        <w:t xml:space="preserve"> and re-establish its historical approach, c</w:t>
      </w:r>
      <w:r w:rsidR="5C88F5E5">
        <w:t>onfirming</w:t>
      </w:r>
      <w:r w:rsidR="278ADCBC">
        <w:t xml:space="preserve"> EPA’s intent to regulate</w:t>
      </w:r>
      <w:r w:rsidR="5421584B">
        <w:t xml:space="preserve"> GHG emissions for the power sector and others as well</w:t>
      </w:r>
      <w:r w:rsidR="7A454FD7">
        <w:t>.</w:t>
      </w:r>
      <w:r w:rsidR="00763B70">
        <w:t xml:space="preserve"> </w:t>
      </w:r>
      <w:r w:rsidR="00EA1230" w:rsidRPr="00B3459B">
        <w:t xml:space="preserve">In April 2021, </w:t>
      </w:r>
      <w:r w:rsidR="00B078A1">
        <w:t xml:space="preserve">the </w:t>
      </w:r>
      <w:r w:rsidR="00EA1230" w:rsidRPr="00B3459B">
        <w:t>DC Court grant</w:t>
      </w:r>
      <w:r w:rsidR="00245920">
        <w:t>ed</w:t>
      </w:r>
      <w:r w:rsidR="00EA1230" w:rsidRPr="00B3459B">
        <w:t xml:space="preserve"> EPA's </w:t>
      </w:r>
      <w:r w:rsidR="00245920">
        <w:t xml:space="preserve">unopposed </w:t>
      </w:r>
      <w:r w:rsidR="00EA1230" w:rsidRPr="00B3459B">
        <w:t xml:space="preserve">motion </w:t>
      </w:r>
      <w:r w:rsidR="00245920">
        <w:t xml:space="preserve">for voluntary </w:t>
      </w:r>
      <w:r w:rsidR="00EA1230" w:rsidRPr="00B3459B">
        <w:t>vacat</w:t>
      </w:r>
      <w:r w:rsidR="00245920">
        <w:t>ur and remand</w:t>
      </w:r>
      <w:r w:rsidR="00EA1230" w:rsidRPr="00B3459B">
        <w:t xml:space="preserve"> </w:t>
      </w:r>
      <w:r w:rsidR="00245920">
        <w:t>of the GHG Significant Contribution Rule.</w:t>
      </w:r>
      <w:r w:rsidR="00EA1230" w:rsidRPr="00B3459B">
        <w:t xml:space="preserve"> </w:t>
      </w:r>
      <w:r w:rsidR="00245920">
        <w:t xml:space="preserve"> </w:t>
      </w:r>
    </w:p>
    <w:p w14:paraId="2591FF09" w14:textId="2459DEA0" w:rsidR="26B02E97" w:rsidRDefault="22329061" w:rsidP="26B02E97">
      <w:pPr>
        <w:rPr>
          <w:rFonts w:eastAsia="Calibri" w:cs="Arial"/>
          <w:szCs w:val="24"/>
        </w:rPr>
      </w:pPr>
      <w:r w:rsidRPr="47EA87C5">
        <w:rPr>
          <w:rFonts w:eastAsia="Calibri" w:cs="Arial"/>
          <w:szCs w:val="24"/>
        </w:rPr>
        <w:t>On October 29, 2021</w:t>
      </w:r>
      <w:r w:rsidR="00A3375E">
        <w:rPr>
          <w:rFonts w:eastAsia="Calibri" w:cs="Arial"/>
          <w:szCs w:val="24"/>
        </w:rPr>
        <w:t>,</w:t>
      </w:r>
      <w:r w:rsidRPr="47EA87C5">
        <w:rPr>
          <w:rFonts w:eastAsia="Calibri" w:cs="Arial"/>
          <w:szCs w:val="24"/>
        </w:rPr>
        <w:t xml:space="preserve"> the Supreme Court</w:t>
      </w:r>
      <w:r w:rsidR="08C0EAE7" w:rsidRPr="1E5EE490">
        <w:rPr>
          <w:rFonts w:eastAsia="Calibri" w:cs="Arial"/>
          <w:szCs w:val="24"/>
        </w:rPr>
        <w:t xml:space="preserve"> </w:t>
      </w:r>
      <w:r w:rsidR="08C0EAE7" w:rsidRPr="38192819">
        <w:rPr>
          <w:rFonts w:eastAsia="Calibri" w:cs="Arial"/>
          <w:szCs w:val="24"/>
        </w:rPr>
        <w:t xml:space="preserve">agreed to review the ACE rule </w:t>
      </w:r>
      <w:r w:rsidR="08C0EAE7" w:rsidRPr="64D44CB4">
        <w:rPr>
          <w:rFonts w:eastAsia="Calibri" w:cs="Arial"/>
          <w:szCs w:val="24"/>
        </w:rPr>
        <w:t>litigation</w:t>
      </w:r>
      <w:r w:rsidR="21E89430" w:rsidRPr="64D44CB4">
        <w:rPr>
          <w:rFonts w:eastAsia="Calibri" w:cs="Arial"/>
          <w:szCs w:val="24"/>
        </w:rPr>
        <w:t xml:space="preserve"> </w:t>
      </w:r>
      <w:r w:rsidR="0063547F">
        <w:rPr>
          <w:rFonts w:eastAsia="Calibri" w:cs="Arial"/>
          <w:szCs w:val="24"/>
        </w:rPr>
        <w:t>on limite</w:t>
      </w:r>
      <w:r w:rsidR="002A6BB4">
        <w:rPr>
          <w:rFonts w:eastAsia="Calibri" w:cs="Arial"/>
          <w:szCs w:val="24"/>
        </w:rPr>
        <w:t xml:space="preserve">d but significant questions related </w:t>
      </w:r>
      <w:r w:rsidR="1F23A7C0" w:rsidRPr="16787E00">
        <w:rPr>
          <w:rFonts w:eastAsia="Calibri" w:cs="Arial"/>
          <w:szCs w:val="24"/>
        </w:rPr>
        <w:t xml:space="preserve">to the </w:t>
      </w:r>
      <w:r w:rsidR="1F23A7C0" w:rsidRPr="2773EC6D">
        <w:rPr>
          <w:rFonts w:eastAsia="Calibri" w:cs="Arial"/>
          <w:szCs w:val="24"/>
        </w:rPr>
        <w:t>extent of EPA’s authority to regulate gre</w:t>
      </w:r>
      <w:r w:rsidR="002A6BB4">
        <w:rPr>
          <w:rFonts w:eastAsia="Calibri" w:cs="Arial"/>
          <w:szCs w:val="24"/>
        </w:rPr>
        <w:t>e</w:t>
      </w:r>
      <w:r w:rsidR="1F23A7C0" w:rsidRPr="2773EC6D">
        <w:rPr>
          <w:rFonts w:eastAsia="Calibri" w:cs="Arial"/>
          <w:szCs w:val="24"/>
        </w:rPr>
        <w:t xml:space="preserve">nhouse gas emissions from </w:t>
      </w:r>
      <w:r w:rsidR="1F23A7C0" w:rsidRPr="29DE0A23">
        <w:rPr>
          <w:rFonts w:eastAsia="Calibri" w:cs="Arial"/>
          <w:szCs w:val="24"/>
        </w:rPr>
        <w:t>existing power plants under section 111(d) of the CAA.</w:t>
      </w:r>
      <w:r w:rsidR="4E9B9714" w:rsidRPr="29DE0A23">
        <w:rPr>
          <w:rFonts w:eastAsia="Calibri" w:cs="Arial"/>
          <w:szCs w:val="24"/>
        </w:rPr>
        <w:t xml:space="preserve">  </w:t>
      </w:r>
      <w:r w:rsidR="4E9B9714" w:rsidRPr="75B72A3C">
        <w:rPr>
          <w:rFonts w:eastAsia="Calibri" w:cs="Arial"/>
          <w:szCs w:val="24"/>
        </w:rPr>
        <w:t>A decision is expected before the Court</w:t>
      </w:r>
      <w:r w:rsidR="00D45ACB">
        <w:rPr>
          <w:rFonts w:eastAsia="Calibri" w:cs="Arial"/>
          <w:szCs w:val="24"/>
        </w:rPr>
        <w:t>’</w:t>
      </w:r>
      <w:r w:rsidR="4E9B9714" w:rsidRPr="75B72A3C">
        <w:rPr>
          <w:rFonts w:eastAsia="Calibri" w:cs="Arial"/>
          <w:szCs w:val="24"/>
        </w:rPr>
        <w:t>s June 2022 recess.</w:t>
      </w:r>
    </w:p>
    <w:p w14:paraId="562303E5" w14:textId="0BC905AB" w:rsidR="00865FF2" w:rsidRPr="00D15E5A" w:rsidRDefault="007D5DA5" w:rsidP="002531D4">
      <w:pPr>
        <w:pStyle w:val="Heading3"/>
      </w:pPr>
      <w:bookmarkStart w:id="46" w:name="_Toc94197896"/>
      <w:r>
        <w:t>3.</w:t>
      </w:r>
      <w:r w:rsidR="00E2493E">
        <w:t>4</w:t>
      </w:r>
      <w:r>
        <w:t>.</w:t>
      </w:r>
      <w:r w:rsidR="0065273E">
        <w:t xml:space="preserve">11 </w:t>
      </w:r>
      <w:r>
        <w:t>316</w:t>
      </w:r>
      <w:r w:rsidR="00865FF2">
        <w:t xml:space="preserve">(b) </w:t>
      </w:r>
      <w:r w:rsidR="33BFA1D9">
        <w:t>Regulation</w:t>
      </w:r>
      <w:r w:rsidR="34E84D48">
        <w:t>s</w:t>
      </w:r>
      <w:bookmarkEnd w:id="46"/>
    </w:p>
    <w:p w14:paraId="493C71AE" w14:textId="6E5DEC96" w:rsidR="00133640" w:rsidRPr="00DB7156" w:rsidRDefault="00133640" w:rsidP="002468FD">
      <w:pPr>
        <w:rPr>
          <w:color w:val="000000"/>
        </w:rPr>
      </w:pPr>
      <w:r w:rsidRPr="53ADDA6E">
        <w:t>Section 316(b) of the CWA</w:t>
      </w:r>
      <w:r w:rsidR="0045505E">
        <w:t xml:space="preserve"> (</w:t>
      </w:r>
      <w:r w:rsidR="008F07B7">
        <w:t>“</w:t>
      </w:r>
      <w:r w:rsidR="0045505E">
        <w:t>31</w:t>
      </w:r>
      <w:r w:rsidR="008F07B7">
        <w:t>6(b)")</w:t>
      </w:r>
      <w:r w:rsidRPr="53ADDA6E">
        <w:t xml:space="preserve"> requires that the location, design, construction, and capacity of any cooling water intake structure (“CWIS”) reflect Best Technology Available (“BTA</w:t>
      </w:r>
      <w:r w:rsidR="00983F96" w:rsidRPr="53ADDA6E">
        <w:t xml:space="preserve">”) </w:t>
      </w:r>
      <w:r w:rsidR="422E9E9F" w:rsidRPr="53ADDA6E">
        <w:t>to minimize adverse impacts from impingement and entrainment of fish</w:t>
      </w:r>
      <w:r w:rsidR="7591D638" w:rsidRPr="53ADDA6E">
        <w:t xml:space="preserve">, shellfish, </w:t>
      </w:r>
      <w:r w:rsidR="72557E0C" w:rsidRPr="53ADDA6E">
        <w:t xml:space="preserve">and other </w:t>
      </w:r>
      <w:r w:rsidR="7716C21A" w:rsidRPr="53ADDA6E">
        <w:t xml:space="preserve">aquatic </w:t>
      </w:r>
      <w:r w:rsidR="422E9E9F" w:rsidRPr="53ADDA6E">
        <w:t>organisms.</w:t>
      </w:r>
      <w:r w:rsidRPr="53ADDA6E">
        <w:t xml:space="preserve"> </w:t>
      </w:r>
    </w:p>
    <w:p w14:paraId="2DF21A04" w14:textId="3F1995D7" w:rsidR="00133640" w:rsidRPr="00DB7156" w:rsidRDefault="00133640" w:rsidP="002468FD">
      <w:r>
        <w:t>I</w:t>
      </w:r>
      <w:r w:rsidRPr="00DB7156">
        <w:t xml:space="preserve">n August 2014, EPA published a final 316(b) rule that established impingement mortality and entrainment requirements for existing power generating facilities and manufacturing and industrial facilities that are designed to withdraw more than 2 million gallons per day of water from </w:t>
      </w:r>
      <w:r w:rsidR="008D3509">
        <w:t>WOTUS</w:t>
      </w:r>
      <w:r w:rsidRPr="00DB7156">
        <w:t xml:space="preserve"> and use at least 25 percent of the water they withdraw exclusively for cooling purposes. </w:t>
      </w:r>
    </w:p>
    <w:p w14:paraId="0ED8ADAA" w14:textId="439B8109" w:rsidR="00133640" w:rsidRPr="00DB7156" w:rsidRDefault="00133640" w:rsidP="002468FD">
      <w:r w:rsidRPr="00DB7156">
        <w:t xml:space="preserve">Facilities subject to the rule must comply with one of seven options identified for impingement mortality, which include modified traveling screens and closed-cycle recirculating cooling. For entrainment, the rule </w:t>
      </w:r>
      <w:r w:rsidR="002211E5">
        <w:t xml:space="preserve">relies on </w:t>
      </w:r>
      <w:r w:rsidRPr="00DB7156">
        <w:t xml:space="preserve">the determination of BTA entrainment requirements by the permitting authority on a site-specific basis. </w:t>
      </w:r>
    </w:p>
    <w:p w14:paraId="546CC9A0" w14:textId="1F9ED8BB" w:rsidR="00133640" w:rsidRDefault="00133640" w:rsidP="002468FD">
      <w:pPr>
        <w:rPr>
          <w:rFonts w:cs="Arial"/>
        </w:rPr>
      </w:pPr>
      <w:r w:rsidRPr="00DB7156">
        <w:rPr>
          <w:rFonts w:cs="Arial"/>
        </w:rPr>
        <w:t>In addition, the rule establishe</w:t>
      </w:r>
      <w:r w:rsidR="006647E1">
        <w:rPr>
          <w:rFonts w:cs="Arial"/>
        </w:rPr>
        <w:t>d</w:t>
      </w:r>
      <w:r w:rsidRPr="00DB7156">
        <w:rPr>
          <w:rFonts w:cs="Arial"/>
        </w:rPr>
        <w:t xml:space="preserve"> a process whereby the </w:t>
      </w:r>
      <w:r w:rsidR="0006190F">
        <w:rPr>
          <w:rFonts w:cs="Arial"/>
        </w:rPr>
        <w:t>USFWS</w:t>
      </w:r>
      <w:r w:rsidRPr="00DB7156">
        <w:rPr>
          <w:rFonts w:cs="Arial"/>
        </w:rPr>
        <w:t xml:space="preserve"> and the </w:t>
      </w:r>
      <w:r w:rsidR="0006190F">
        <w:rPr>
          <w:rFonts w:cs="Arial"/>
        </w:rPr>
        <w:t>NMFS</w:t>
      </w:r>
      <w:r w:rsidRPr="00DB7156">
        <w:rPr>
          <w:rFonts w:cs="Arial"/>
        </w:rPr>
        <w:t xml:space="preserve"> review permit applications </w:t>
      </w:r>
      <w:r w:rsidR="00BE42F6">
        <w:rPr>
          <w:rFonts w:cs="Arial"/>
        </w:rPr>
        <w:t>in order</w:t>
      </w:r>
      <w:r w:rsidRPr="00DB7156">
        <w:rPr>
          <w:rFonts w:cs="Arial"/>
        </w:rPr>
        <w:t xml:space="preserve"> to analyze</w:t>
      </w:r>
      <w:r w:rsidR="00BE42F6">
        <w:rPr>
          <w:rFonts w:cs="Arial"/>
        </w:rPr>
        <w:t xml:space="preserve"> an</w:t>
      </w:r>
      <w:r w:rsidR="006647E1">
        <w:rPr>
          <w:rFonts w:cs="Arial"/>
        </w:rPr>
        <w:t>y</w:t>
      </w:r>
      <w:r w:rsidR="00BE42F6">
        <w:rPr>
          <w:rFonts w:cs="Arial"/>
        </w:rPr>
        <w:t xml:space="preserve"> potential</w:t>
      </w:r>
      <w:r w:rsidRPr="00DB7156">
        <w:rPr>
          <w:rFonts w:cs="Arial"/>
        </w:rPr>
        <w:t xml:space="preserve"> impacts to federally-listed species and designated critical habitat that may result from operation of the facility’s CWIS. During this review, the Services will have an opportunity to recommend control measures, monitoring, and reporting recommendations on a site-specific and species-specific basis that will minimize adverse effects of CWIS operations.  </w:t>
      </w:r>
    </w:p>
    <w:p w14:paraId="0128D588" w14:textId="74DEAA22" w:rsidR="007F2416" w:rsidRPr="00DB7156" w:rsidRDefault="007F2416" w:rsidP="002468FD">
      <w:pPr>
        <w:rPr>
          <w:rFonts w:cs="Arial"/>
        </w:rPr>
      </w:pPr>
      <w:r>
        <w:t>Hydroelectric facilities are not covered under the 316(b) rule as the intake structures necessary for hydroelectric power necessitate a wholly different operation than traditional fossil plants. Furthermore, hydroelectric plants are heavily regulated by the Federal Energy Regulatory Commission (FERC) which addresses aquatic species protection measures.</w:t>
      </w:r>
    </w:p>
    <w:p w14:paraId="0DF2153B" w14:textId="0FD61181" w:rsidR="00865FF2" w:rsidRPr="002E7507" w:rsidRDefault="00304977" w:rsidP="002531D4">
      <w:pPr>
        <w:pStyle w:val="Heading3"/>
        <w:rPr>
          <w:rFonts w:cs="Arial"/>
          <w:color w:val="000080"/>
        </w:rPr>
      </w:pPr>
      <w:bookmarkStart w:id="47" w:name="_Toc94197897"/>
      <w:r w:rsidRPr="007D5DA5">
        <w:t>3.</w:t>
      </w:r>
      <w:r w:rsidR="00E2493E">
        <w:t>4</w:t>
      </w:r>
      <w:r w:rsidR="00865FF2" w:rsidRPr="007D5DA5">
        <w:t>.</w:t>
      </w:r>
      <w:r w:rsidR="007D5DA5" w:rsidRPr="007D5DA5">
        <w:t>1</w:t>
      </w:r>
      <w:r w:rsidR="0065273E">
        <w:t>2</w:t>
      </w:r>
      <w:r w:rsidR="007D5DA5">
        <w:t xml:space="preserve"> </w:t>
      </w:r>
      <w:r w:rsidR="00865FF2" w:rsidRPr="007D5DA5">
        <w:t>Effluent</w:t>
      </w:r>
      <w:r w:rsidR="00865FF2" w:rsidRPr="79794266">
        <w:t xml:space="preserve"> Limitations Guidelines Revision</w:t>
      </w:r>
      <w:bookmarkEnd w:id="47"/>
    </w:p>
    <w:p w14:paraId="56462EF5" w14:textId="35205507" w:rsidR="00C2285D" w:rsidRDefault="00095BD9" w:rsidP="00B07E80">
      <w:pPr>
        <w:rPr>
          <w:rFonts w:eastAsia="Arial" w:cs="Arial"/>
          <w:color w:val="000000" w:themeColor="text1"/>
        </w:rPr>
      </w:pPr>
      <w:r w:rsidRPr="4300481F">
        <w:rPr>
          <w:rFonts w:eastAsia="Arial" w:cs="Arial"/>
          <w:color w:val="000000" w:themeColor="text1"/>
        </w:rPr>
        <w:t>The effluent limitation guidelines and standards for steam electric power generating facilities</w:t>
      </w:r>
      <w:r w:rsidR="00017F5B">
        <w:rPr>
          <w:rFonts w:eastAsia="Arial" w:cs="Arial"/>
          <w:color w:val="000000" w:themeColor="text1"/>
        </w:rPr>
        <w:t xml:space="preserve">, 40 CFR </w:t>
      </w:r>
      <w:r w:rsidR="00B82E2D">
        <w:rPr>
          <w:rFonts w:eastAsia="Arial" w:cs="Arial"/>
          <w:color w:val="000000" w:themeColor="text1"/>
        </w:rPr>
        <w:t xml:space="preserve">Part </w:t>
      </w:r>
      <w:r w:rsidR="00017F5B">
        <w:rPr>
          <w:rFonts w:eastAsia="Arial" w:cs="Arial"/>
          <w:color w:val="000000" w:themeColor="text1"/>
        </w:rPr>
        <w:t>423</w:t>
      </w:r>
      <w:r w:rsidR="002C75FA">
        <w:rPr>
          <w:rFonts w:eastAsia="Arial" w:cs="Arial"/>
          <w:color w:val="000000" w:themeColor="text1"/>
        </w:rPr>
        <w:t>,</w:t>
      </w:r>
      <w:r w:rsidRPr="4300481F">
        <w:rPr>
          <w:rFonts w:eastAsia="Arial" w:cs="Arial"/>
          <w:color w:val="000000" w:themeColor="text1"/>
        </w:rPr>
        <w:t xml:space="preserve"> were </w:t>
      </w:r>
      <w:r w:rsidR="007F5005">
        <w:rPr>
          <w:rFonts w:eastAsia="Arial" w:cs="Arial"/>
          <w:color w:val="000000" w:themeColor="text1"/>
        </w:rPr>
        <w:t xml:space="preserve">previously </w:t>
      </w:r>
      <w:r w:rsidRPr="0009707B">
        <w:rPr>
          <w:rFonts w:eastAsia="Arial" w:cs="Arial"/>
          <w:color w:val="000000" w:themeColor="text1"/>
        </w:rPr>
        <w:t>promulgated in 1982</w:t>
      </w:r>
      <w:r w:rsidR="00B33799" w:rsidRPr="4300481F">
        <w:rPr>
          <w:rFonts w:eastAsia="Arial" w:cs="Arial"/>
          <w:color w:val="000000" w:themeColor="text1"/>
        </w:rPr>
        <w:t xml:space="preserve"> and established</w:t>
      </w:r>
      <w:r w:rsidR="008A205F" w:rsidRPr="4300481F">
        <w:rPr>
          <w:rFonts w:eastAsia="Arial" w:cs="Arial"/>
          <w:color w:val="000000" w:themeColor="text1"/>
        </w:rPr>
        <w:t xml:space="preserve"> technology-based effluent limitations</w:t>
      </w:r>
      <w:r w:rsidR="004E27F1" w:rsidRPr="4300481F">
        <w:rPr>
          <w:rFonts w:eastAsia="Arial" w:cs="Arial"/>
          <w:color w:val="000000" w:themeColor="text1"/>
        </w:rPr>
        <w:t xml:space="preserve"> for discharges.</w:t>
      </w:r>
      <w:r w:rsidR="00C81912" w:rsidRPr="4300481F">
        <w:rPr>
          <w:rFonts w:eastAsia="Arial" w:cs="Arial"/>
          <w:color w:val="000000" w:themeColor="text1"/>
        </w:rPr>
        <w:t xml:space="preserve">  </w:t>
      </w:r>
      <w:r w:rsidR="00E91B88" w:rsidRPr="4300481F">
        <w:rPr>
          <w:rFonts w:eastAsia="Arial" w:cs="Arial"/>
          <w:color w:val="000000" w:themeColor="text1"/>
        </w:rPr>
        <w:t xml:space="preserve">Through a multi-year rulemaking process, </w:t>
      </w:r>
      <w:r w:rsidR="00C81912" w:rsidRPr="4300481F">
        <w:rPr>
          <w:rFonts w:eastAsia="Arial" w:cs="Arial"/>
          <w:color w:val="000000" w:themeColor="text1"/>
        </w:rPr>
        <w:t>EPA revise</w:t>
      </w:r>
      <w:r w:rsidR="00AF0111" w:rsidRPr="4300481F">
        <w:rPr>
          <w:rFonts w:eastAsia="Arial" w:cs="Arial"/>
          <w:color w:val="000000" w:themeColor="text1"/>
        </w:rPr>
        <w:t>d</w:t>
      </w:r>
      <w:r w:rsidR="00C81912" w:rsidRPr="4300481F">
        <w:rPr>
          <w:rFonts w:eastAsia="Arial" w:cs="Arial"/>
          <w:color w:val="000000" w:themeColor="text1"/>
        </w:rPr>
        <w:t xml:space="preserve"> the standards </w:t>
      </w:r>
      <w:r w:rsidR="00AF0111" w:rsidRPr="4300481F">
        <w:rPr>
          <w:rFonts w:eastAsia="Arial" w:cs="Arial"/>
          <w:color w:val="000000" w:themeColor="text1"/>
        </w:rPr>
        <w:t>to address</w:t>
      </w:r>
      <w:r w:rsidR="00C52E3A" w:rsidRPr="4300481F">
        <w:rPr>
          <w:rFonts w:eastAsia="Arial" w:cs="Arial"/>
          <w:color w:val="000000" w:themeColor="text1"/>
        </w:rPr>
        <w:t xml:space="preserve"> changes in effluents associated with new air pollution controls</w:t>
      </w:r>
      <w:r w:rsidR="00AF0111" w:rsidRPr="4300481F">
        <w:rPr>
          <w:rFonts w:eastAsia="Arial" w:cs="Arial"/>
          <w:color w:val="000000" w:themeColor="text1"/>
        </w:rPr>
        <w:t xml:space="preserve">, specifically </w:t>
      </w:r>
      <w:r w:rsidR="006235AC" w:rsidRPr="4300481F">
        <w:rPr>
          <w:rFonts w:eastAsia="Arial" w:cs="Arial"/>
          <w:color w:val="000000" w:themeColor="text1"/>
        </w:rPr>
        <w:t xml:space="preserve">ash </w:t>
      </w:r>
      <w:r w:rsidR="00C52E3A" w:rsidRPr="4300481F">
        <w:rPr>
          <w:rFonts w:eastAsia="Arial" w:cs="Arial"/>
          <w:color w:val="000000" w:themeColor="text1"/>
        </w:rPr>
        <w:t>transport water and FGD wastewater.</w:t>
      </w:r>
      <w:r w:rsidR="5311E746" w:rsidRPr="373BFE13">
        <w:rPr>
          <w:rFonts w:eastAsia="Arial" w:cs="Arial"/>
          <w:color w:val="000000" w:themeColor="text1"/>
        </w:rPr>
        <w:t xml:space="preserve"> Figure </w:t>
      </w:r>
      <w:r w:rsidR="0068316E">
        <w:rPr>
          <w:rFonts w:eastAsia="Arial" w:cs="Arial"/>
          <w:color w:val="000000" w:themeColor="text1"/>
        </w:rPr>
        <w:t>3-1</w:t>
      </w:r>
      <w:r w:rsidR="5311E746" w:rsidRPr="373BFE13">
        <w:rPr>
          <w:rFonts w:eastAsia="Arial" w:cs="Arial"/>
          <w:color w:val="000000" w:themeColor="text1"/>
        </w:rPr>
        <w:t xml:space="preserve"> depicts a timeline of past and future ELG regulatory changes which are further discussed below.</w:t>
      </w:r>
    </w:p>
    <w:p w14:paraId="17D24117" w14:textId="41878D34" w:rsidR="78B22108" w:rsidRDefault="78B22108" w:rsidP="009C7652">
      <w:pPr>
        <w:jc w:val="center"/>
        <w:rPr>
          <w:rFonts w:eastAsia="Calibri" w:cs="Arial"/>
          <w:szCs w:val="24"/>
        </w:rPr>
      </w:pPr>
    </w:p>
    <w:p w14:paraId="6F6ABC34" w14:textId="1E9D2FCD" w:rsidR="00E6603D" w:rsidRDefault="00E6603D" w:rsidP="009C7652">
      <w:pPr>
        <w:jc w:val="center"/>
        <w:rPr>
          <w:rFonts w:eastAsia="Calibri" w:cs="Arial"/>
          <w:szCs w:val="24"/>
        </w:rPr>
      </w:pPr>
      <w:r>
        <w:rPr>
          <w:noProof/>
        </w:rPr>
        <w:drawing>
          <wp:inline distT="0" distB="0" distL="0" distR="0" wp14:anchorId="3A0BA700" wp14:editId="06862756">
            <wp:extent cx="5943600" cy="1671320"/>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943600" cy="1671320"/>
                    </a:xfrm>
                    <a:prstGeom prst="rect">
                      <a:avLst/>
                    </a:prstGeom>
                  </pic:spPr>
                </pic:pic>
              </a:graphicData>
            </a:graphic>
          </wp:inline>
        </w:drawing>
      </w:r>
    </w:p>
    <w:p w14:paraId="4ACD45AE" w14:textId="6B8F575D" w:rsidR="373BFE13" w:rsidRPr="00263BD7" w:rsidRDefault="00E12FEC" w:rsidP="373BFE13">
      <w:pPr>
        <w:rPr>
          <w:b/>
        </w:rPr>
      </w:pPr>
      <w:r w:rsidRPr="00263BD7">
        <w:rPr>
          <w:b/>
        </w:rPr>
        <w:t xml:space="preserve">Figure </w:t>
      </w:r>
      <w:r w:rsidR="0068316E" w:rsidRPr="00263BD7">
        <w:rPr>
          <w:b/>
          <w:bCs/>
        </w:rPr>
        <w:t>3-</w:t>
      </w:r>
      <w:r w:rsidR="00D243F5">
        <w:rPr>
          <w:b/>
          <w:bCs/>
        </w:rPr>
        <w:t>1</w:t>
      </w:r>
      <w:r w:rsidR="00F648A7" w:rsidRPr="00263BD7">
        <w:rPr>
          <w:b/>
        </w:rPr>
        <w:t xml:space="preserve"> ELG Rule Timeline</w:t>
      </w:r>
    </w:p>
    <w:p w14:paraId="31436296" w14:textId="7549B6E5" w:rsidR="00C002C7" w:rsidRDefault="00F253C5" w:rsidP="00877775">
      <w:pPr>
        <w:pStyle w:val="Heading4"/>
        <w:rPr>
          <w:rFonts w:eastAsia="Arial" w:cs="Arial"/>
          <w:color w:val="000000" w:themeColor="text1"/>
        </w:rPr>
      </w:pPr>
      <w:r>
        <w:t>2015 ELG Rule</w:t>
      </w:r>
    </w:p>
    <w:p w14:paraId="3BBA5545" w14:textId="36F0369A" w:rsidR="00434401" w:rsidRDefault="370F0E03" w:rsidP="00B07E80">
      <w:pPr>
        <w:rPr>
          <w:rFonts w:eastAsia="Arial" w:cs="Arial"/>
        </w:rPr>
      </w:pPr>
      <w:r w:rsidRPr="11BEC75A">
        <w:rPr>
          <w:rFonts w:eastAsia="Arial" w:cs="Arial"/>
          <w:color w:val="000000" w:themeColor="text1"/>
        </w:rPr>
        <w:t>I</w:t>
      </w:r>
      <w:r w:rsidRPr="11BEC75A">
        <w:rPr>
          <w:rFonts w:eastAsia="Arial" w:cs="Arial"/>
        </w:rPr>
        <w:t>n November 2015, EPA published</w:t>
      </w:r>
      <w:r w:rsidR="00C057E9">
        <w:rPr>
          <w:rFonts w:eastAsia="Arial" w:cs="Arial"/>
        </w:rPr>
        <w:t xml:space="preserve"> </w:t>
      </w:r>
      <w:r w:rsidRPr="11BEC75A">
        <w:rPr>
          <w:rFonts w:eastAsia="Arial" w:cs="Arial"/>
        </w:rPr>
        <w:t xml:space="preserve">a final rule (“2015 Rule”) </w:t>
      </w:r>
      <w:r w:rsidR="00017F5B" w:rsidRPr="00421BDF">
        <w:rPr>
          <w:rFonts w:eastAsia="Arial" w:cs="Arial"/>
          <w:szCs w:val="24"/>
        </w:rPr>
        <w:t xml:space="preserve">that revised or established limitations and standards for BPT (Best Practicable Control Technology Currently Available), BAT (Best Available Technology Economically Achievable), PSES (Pretreatment Standards for Existing Sources), NSPS (New Source Performance Standards), and PSNS (Pretreatment Standards for New Sources) that apply to six wastestreams: FGD wastewater, fly ash transport water, bottom ash transport water, combustion residual leachate from landfills and surface impoundments, gasification wastewater, and flue gas mercury control </w:t>
      </w:r>
      <w:r w:rsidRPr="00421BDF" w:rsidDel="00BD3908">
        <w:rPr>
          <w:rFonts w:eastAsia="Arial" w:cs="Arial"/>
          <w:szCs w:val="24"/>
        </w:rPr>
        <w:t>wastewater</w:t>
      </w:r>
      <w:r w:rsidRPr="11BEC75A">
        <w:rPr>
          <w:rFonts w:eastAsia="Arial" w:cs="Arial"/>
        </w:rPr>
        <w:t>. Of these six waste</w:t>
      </w:r>
      <w:r w:rsidR="4B64D2C1" w:rsidRPr="11BEC75A">
        <w:rPr>
          <w:rFonts w:eastAsia="Arial" w:cs="Arial"/>
        </w:rPr>
        <w:t xml:space="preserve"> </w:t>
      </w:r>
      <w:r w:rsidRPr="11BEC75A">
        <w:rPr>
          <w:rFonts w:eastAsia="Arial" w:cs="Arial"/>
        </w:rPr>
        <w:t xml:space="preserve">streams, </w:t>
      </w:r>
      <w:r w:rsidR="00A1643C">
        <w:rPr>
          <w:rFonts w:eastAsia="Arial" w:cs="Arial"/>
        </w:rPr>
        <w:t xml:space="preserve">only </w:t>
      </w:r>
      <w:r w:rsidRPr="11BEC75A">
        <w:rPr>
          <w:rFonts w:eastAsia="Arial" w:cs="Arial"/>
        </w:rPr>
        <w:t xml:space="preserve">fly ash transport water, bottom ash transport water, </w:t>
      </w:r>
      <w:r w:rsidR="00A1643C">
        <w:rPr>
          <w:rFonts w:eastAsia="Arial" w:cs="Arial"/>
        </w:rPr>
        <w:t>comb</w:t>
      </w:r>
      <w:r w:rsidR="00BE79B1">
        <w:rPr>
          <w:rFonts w:eastAsia="Arial" w:cs="Arial"/>
        </w:rPr>
        <w:t xml:space="preserve">ustion residual leachate, </w:t>
      </w:r>
      <w:r w:rsidRPr="11BEC75A">
        <w:rPr>
          <w:rFonts w:eastAsia="Arial" w:cs="Arial"/>
        </w:rPr>
        <w:t xml:space="preserve">and FGD wastewater are applicable to </w:t>
      </w:r>
      <w:r w:rsidR="00A6734F" w:rsidRPr="11BEC75A">
        <w:rPr>
          <w:rFonts w:eastAsia="Arial" w:cs="Arial"/>
        </w:rPr>
        <w:t xml:space="preserve">Georgia Power </w:t>
      </w:r>
      <w:r w:rsidRPr="11BEC75A">
        <w:rPr>
          <w:rFonts w:eastAsia="Arial" w:cs="Arial"/>
        </w:rPr>
        <w:t xml:space="preserve">operations. </w:t>
      </w:r>
    </w:p>
    <w:p w14:paraId="1424B945" w14:textId="2DE816AA" w:rsidR="009D5E1E" w:rsidRDefault="370F0E03" w:rsidP="00B07E80">
      <w:pPr>
        <w:rPr>
          <w:rFonts w:eastAsia="Arial" w:cs="Arial"/>
          <w:szCs w:val="24"/>
        </w:rPr>
      </w:pPr>
      <w:r w:rsidRPr="00421BDF">
        <w:rPr>
          <w:rFonts w:eastAsia="Arial" w:cs="Arial"/>
          <w:szCs w:val="24"/>
        </w:rPr>
        <w:t>The 2015 Rule</w:t>
      </w:r>
      <w:r w:rsidR="009D5E1E">
        <w:rPr>
          <w:rFonts w:eastAsia="Arial" w:cs="Arial"/>
          <w:szCs w:val="24"/>
        </w:rPr>
        <w:t>:</w:t>
      </w:r>
    </w:p>
    <w:p w14:paraId="5A611A76" w14:textId="2B66DE56" w:rsidR="009D5E1E" w:rsidRPr="000B2314" w:rsidRDefault="009D5E1E" w:rsidP="005D2968">
      <w:pPr>
        <w:pStyle w:val="ListParagraph"/>
        <w:numPr>
          <w:ilvl w:val="0"/>
          <w:numId w:val="19"/>
        </w:numPr>
        <w:rPr>
          <w:rFonts w:eastAsia="Arial" w:cs="Arial"/>
          <w:color w:val="000000" w:themeColor="text1"/>
          <w:szCs w:val="24"/>
        </w:rPr>
      </w:pPr>
      <w:r>
        <w:rPr>
          <w:rFonts w:eastAsia="Arial" w:cs="Arial"/>
          <w:szCs w:val="24"/>
        </w:rPr>
        <w:t>E</w:t>
      </w:r>
      <w:r w:rsidR="370F0E03" w:rsidRPr="000B2314">
        <w:rPr>
          <w:rFonts w:eastAsia="Arial" w:cs="Arial"/>
          <w:szCs w:val="24"/>
        </w:rPr>
        <w:t xml:space="preserve">stablished a “zero discharge” limit for bottom ash transport water and fly ash transport water, with one exception applying to bottom ash transport water being recycled for the FGD in lieu of discharge. </w:t>
      </w:r>
    </w:p>
    <w:p w14:paraId="3593E473" w14:textId="4E24EF6C" w:rsidR="00400B12" w:rsidRPr="000B2314" w:rsidRDefault="00400B12" w:rsidP="005D2968">
      <w:pPr>
        <w:pStyle w:val="ListParagraph"/>
        <w:numPr>
          <w:ilvl w:val="0"/>
          <w:numId w:val="19"/>
        </w:numPr>
        <w:rPr>
          <w:rFonts w:eastAsia="Arial" w:cs="Arial"/>
          <w:color w:val="000000" w:themeColor="text1"/>
          <w:szCs w:val="24"/>
        </w:rPr>
      </w:pPr>
      <w:r>
        <w:rPr>
          <w:rFonts w:eastAsia="Arial" w:cs="Arial"/>
          <w:szCs w:val="24"/>
        </w:rPr>
        <w:t>E</w:t>
      </w:r>
      <w:r w:rsidR="370F0E03" w:rsidRPr="009D5E1E">
        <w:rPr>
          <w:rFonts w:eastAsia="Arial" w:cs="Arial"/>
          <w:szCs w:val="24"/>
        </w:rPr>
        <w:t xml:space="preserve">stablished stringent </w:t>
      </w:r>
      <w:r w:rsidR="00A46476">
        <w:rPr>
          <w:rFonts w:eastAsia="Arial" w:cs="Arial"/>
          <w:szCs w:val="24"/>
        </w:rPr>
        <w:t xml:space="preserve">BAT </w:t>
      </w:r>
      <w:r w:rsidR="370F0E03" w:rsidRPr="009D5E1E">
        <w:rPr>
          <w:rFonts w:eastAsia="Arial" w:cs="Arial"/>
          <w:szCs w:val="24"/>
        </w:rPr>
        <w:t xml:space="preserve">limits for </w:t>
      </w:r>
      <w:r w:rsidR="002D70A1" w:rsidRPr="009D5E1E">
        <w:rPr>
          <w:rFonts w:eastAsia="Arial" w:cs="Arial"/>
          <w:szCs w:val="24"/>
        </w:rPr>
        <w:t>FGD wastewater</w:t>
      </w:r>
      <w:r w:rsidR="002D70A1">
        <w:rPr>
          <w:rFonts w:eastAsia="Arial" w:cs="Arial"/>
          <w:szCs w:val="24"/>
        </w:rPr>
        <w:t xml:space="preserve"> for</w:t>
      </w:r>
      <w:r w:rsidR="002D70A1" w:rsidRPr="009D5E1E">
        <w:rPr>
          <w:rFonts w:eastAsia="Arial" w:cs="Arial"/>
          <w:szCs w:val="24"/>
        </w:rPr>
        <w:t xml:space="preserve"> </w:t>
      </w:r>
      <w:r w:rsidR="370F0E03" w:rsidRPr="009D5E1E">
        <w:rPr>
          <w:rFonts w:eastAsia="Arial" w:cs="Arial"/>
          <w:szCs w:val="24"/>
        </w:rPr>
        <w:t xml:space="preserve">mercury, arsenic, selenium, and nitrate-nitrite. </w:t>
      </w:r>
    </w:p>
    <w:p w14:paraId="42FDD7A5" w14:textId="11402B4C" w:rsidR="00434401" w:rsidRDefault="00400B12" w:rsidP="005D2968">
      <w:pPr>
        <w:pStyle w:val="ListParagraph"/>
        <w:numPr>
          <w:ilvl w:val="0"/>
          <w:numId w:val="19"/>
        </w:numPr>
        <w:rPr>
          <w:rFonts w:asciiTheme="minorHAnsi" w:eastAsiaTheme="minorEastAsia" w:hAnsiTheme="minorHAnsi"/>
          <w:color w:val="000000" w:themeColor="text1"/>
          <w:szCs w:val="24"/>
        </w:rPr>
      </w:pPr>
      <w:r w:rsidRPr="5730457C">
        <w:rPr>
          <w:rFonts w:eastAsia="Arial" w:cs="Arial"/>
        </w:rPr>
        <w:t>E</w:t>
      </w:r>
      <w:r w:rsidR="370F0E03" w:rsidRPr="5730457C">
        <w:rPr>
          <w:rFonts w:eastAsia="Arial" w:cs="Arial"/>
        </w:rPr>
        <w:t xml:space="preserve">stablished a </w:t>
      </w:r>
      <w:r w:rsidR="001156A2" w:rsidRPr="5730457C">
        <w:rPr>
          <w:rFonts w:eastAsia="Arial" w:cs="Arial"/>
        </w:rPr>
        <w:t xml:space="preserve">voluntary incentive program </w:t>
      </w:r>
      <w:r w:rsidR="00263F83" w:rsidRPr="5730457C">
        <w:rPr>
          <w:rFonts w:eastAsia="Arial" w:cs="Arial"/>
        </w:rPr>
        <w:t>(</w:t>
      </w:r>
      <w:r w:rsidR="370F0E03" w:rsidRPr="5730457C">
        <w:rPr>
          <w:rFonts w:eastAsia="Arial" w:cs="Arial"/>
        </w:rPr>
        <w:t>VIP</w:t>
      </w:r>
      <w:r w:rsidR="001156A2" w:rsidRPr="5730457C">
        <w:rPr>
          <w:rFonts w:eastAsia="Arial" w:cs="Arial"/>
        </w:rPr>
        <w:t>)</w:t>
      </w:r>
      <w:r w:rsidR="370F0E03" w:rsidRPr="5730457C">
        <w:rPr>
          <w:rFonts w:eastAsia="Arial" w:cs="Arial"/>
        </w:rPr>
        <w:t xml:space="preserve"> </w:t>
      </w:r>
      <w:r w:rsidR="00E832FB" w:rsidRPr="5730457C">
        <w:rPr>
          <w:rFonts w:eastAsia="Arial" w:cs="Arial"/>
        </w:rPr>
        <w:t xml:space="preserve">option </w:t>
      </w:r>
      <w:r w:rsidR="007151D9" w:rsidRPr="5730457C">
        <w:rPr>
          <w:rFonts w:eastAsia="Arial" w:cs="Arial"/>
        </w:rPr>
        <w:t xml:space="preserve">for FGD wastewater </w:t>
      </w:r>
      <w:r w:rsidR="370F0E03" w:rsidRPr="5730457C">
        <w:rPr>
          <w:rFonts w:eastAsia="Arial" w:cs="Arial"/>
        </w:rPr>
        <w:t xml:space="preserve">providing </w:t>
      </w:r>
      <w:r w:rsidR="004D6AD4" w:rsidRPr="5730457C">
        <w:rPr>
          <w:rFonts w:eastAsia="Arial" w:cs="Arial"/>
        </w:rPr>
        <w:t>additional time</w:t>
      </w:r>
      <w:r w:rsidR="370F0E03" w:rsidRPr="5730457C">
        <w:rPr>
          <w:rFonts w:eastAsia="Arial" w:cs="Arial"/>
        </w:rPr>
        <w:t xml:space="preserve"> for plants willing to meet even more stringent FGD wastewater limits based on evaporation technology</w:t>
      </w:r>
      <w:r w:rsidR="004F09D2" w:rsidRPr="5730457C">
        <w:rPr>
          <w:rFonts w:eastAsia="Arial" w:cs="Arial"/>
        </w:rPr>
        <w:t>,</w:t>
      </w:r>
      <w:r w:rsidR="00BF6F9E" w:rsidRPr="5730457C">
        <w:rPr>
          <w:rFonts w:eastAsia="Arial" w:cs="Arial"/>
        </w:rPr>
        <w:t xml:space="preserve"> considered an advanced treatment at </w:t>
      </w:r>
      <w:r w:rsidR="00A13CF7" w:rsidRPr="5730457C">
        <w:rPr>
          <w:rFonts w:eastAsia="Arial" w:cs="Arial"/>
        </w:rPr>
        <w:t xml:space="preserve">a </w:t>
      </w:r>
      <w:r w:rsidR="00BF6F9E" w:rsidRPr="5730457C">
        <w:rPr>
          <w:rFonts w:eastAsia="Arial" w:cs="Arial"/>
        </w:rPr>
        <w:t>time when surface impoundments were the most prevalent treatment technology.</w:t>
      </w:r>
      <w:r w:rsidR="370F0E03" w:rsidRPr="5730457C">
        <w:rPr>
          <w:rFonts w:eastAsia="Arial" w:cs="Arial"/>
          <w:color w:val="000000" w:themeColor="text1"/>
        </w:rPr>
        <w:t xml:space="preserve"> </w:t>
      </w:r>
      <w:r w:rsidR="35E535B1" w:rsidRPr="084D4B71">
        <w:rPr>
          <w:rFonts w:eastAsia="Arial" w:cs="Arial"/>
        </w:rPr>
        <w:t>For the VIP option, the permitting authority (EPD) were required to allow up to December 31, 2023 to meet the VIP ELGs.</w:t>
      </w:r>
    </w:p>
    <w:p w14:paraId="2C8055D7" w14:textId="7BDFF3B6" w:rsidR="00EF3852" w:rsidRPr="00212550" w:rsidRDefault="0032642F" w:rsidP="005D2968">
      <w:pPr>
        <w:pStyle w:val="ListParagraph"/>
        <w:numPr>
          <w:ilvl w:val="0"/>
          <w:numId w:val="19"/>
        </w:numPr>
        <w:rPr>
          <w:rFonts w:eastAsia="Arial" w:cs="Arial"/>
          <w:color w:val="000000" w:themeColor="text1"/>
          <w:szCs w:val="24"/>
        </w:rPr>
      </w:pPr>
      <w:r w:rsidRPr="00C919E0">
        <w:rPr>
          <w:rFonts w:eastAsia="Arial" w:cs="Arial"/>
          <w:color w:val="000000" w:themeColor="text1"/>
          <w:szCs w:val="24"/>
        </w:rPr>
        <w:t>S</w:t>
      </w:r>
      <w:r w:rsidR="370F0E03" w:rsidRPr="00400B12">
        <w:rPr>
          <w:rFonts w:eastAsia="Arial" w:cs="Arial"/>
          <w:color w:val="000000" w:themeColor="text1"/>
          <w:szCs w:val="24"/>
        </w:rPr>
        <w:t>et new BAT limits for direct discharges of “legacy wastewater</w:t>
      </w:r>
      <w:r w:rsidR="370F0E03" w:rsidRPr="00400B12">
        <w:rPr>
          <w:rFonts w:eastAsia="Arial" w:cs="Arial"/>
          <w:szCs w:val="24"/>
        </w:rPr>
        <w:t>.” Legacy wastewater refers to “FGD wastewater, fly ash transport water, bottom ash transport water, flue gas mercury control wastewater, or gasification wastewater</w:t>
      </w:r>
      <w:r w:rsidR="00112917" w:rsidRPr="00400B12">
        <w:rPr>
          <w:rFonts w:eastAsia="Arial" w:cs="Arial"/>
          <w:szCs w:val="24"/>
        </w:rPr>
        <w:t>”</w:t>
      </w:r>
      <w:r w:rsidR="370F0E03" w:rsidRPr="00400B12">
        <w:rPr>
          <w:rFonts w:eastAsia="Arial" w:cs="Arial"/>
          <w:szCs w:val="24"/>
        </w:rPr>
        <w:t xml:space="preserve"> generated prior to the applicability date of the new BAT limits. </w:t>
      </w:r>
      <w:r w:rsidR="00DE37D3" w:rsidRPr="00400B12">
        <w:rPr>
          <w:rFonts w:eastAsia="Arial" w:cs="Arial"/>
          <w:szCs w:val="24"/>
        </w:rPr>
        <w:t>The water remaining in the</w:t>
      </w:r>
      <w:r w:rsidR="00E60121" w:rsidRPr="00400B12" w:rsidDel="00A6734F">
        <w:rPr>
          <w:rFonts w:eastAsia="Arial" w:cs="Arial"/>
          <w:szCs w:val="24"/>
        </w:rPr>
        <w:t xml:space="preserve"> </w:t>
      </w:r>
      <w:r w:rsidR="00A6734F" w:rsidRPr="005241BE">
        <w:rPr>
          <w:rFonts w:eastAsia="Arial" w:cs="Arial"/>
          <w:szCs w:val="24"/>
        </w:rPr>
        <w:t>Georgia Power</w:t>
      </w:r>
      <w:r w:rsidR="00E60121" w:rsidRPr="005241BE">
        <w:rPr>
          <w:rFonts w:eastAsia="Arial" w:cs="Arial"/>
          <w:szCs w:val="24"/>
        </w:rPr>
        <w:t xml:space="preserve"> ash ponds is considered legacy wastewater.</w:t>
      </w:r>
      <w:r w:rsidR="370F0E03" w:rsidRPr="005241BE" w:rsidDel="00DE37D3">
        <w:rPr>
          <w:rFonts w:eastAsia="Arial" w:cs="Arial"/>
          <w:szCs w:val="24"/>
        </w:rPr>
        <w:t xml:space="preserve"> </w:t>
      </w:r>
    </w:p>
    <w:p w14:paraId="679C4247" w14:textId="53C86127" w:rsidR="004346C8" w:rsidRPr="00E654CE" w:rsidRDefault="00EF3852" w:rsidP="004346C8">
      <w:pPr>
        <w:rPr>
          <w:rFonts w:eastAsia="Arial" w:cs="Arial"/>
          <w:color w:val="000000" w:themeColor="text1"/>
          <w:szCs w:val="24"/>
        </w:rPr>
      </w:pPr>
      <w:r w:rsidRPr="084D4B71">
        <w:rPr>
          <w:rFonts w:eastAsia="Arial" w:cs="Arial"/>
        </w:rPr>
        <w:t>The rule also established</w:t>
      </w:r>
      <w:r w:rsidR="00EB7E9B" w:rsidRPr="084D4B71">
        <w:rPr>
          <w:rFonts w:eastAsia="Arial" w:cs="Arial"/>
        </w:rPr>
        <w:t xml:space="preserve"> applicability guidelines. </w:t>
      </w:r>
      <w:r w:rsidR="370F0E03" w:rsidRPr="084D4B71">
        <w:rPr>
          <w:rFonts w:eastAsia="Arial" w:cs="Arial"/>
        </w:rPr>
        <w:t xml:space="preserve">The </w:t>
      </w:r>
      <w:r w:rsidR="00B27F2D" w:rsidRPr="084D4B71">
        <w:rPr>
          <w:rFonts w:eastAsia="Arial" w:cs="Arial"/>
        </w:rPr>
        <w:t>former</w:t>
      </w:r>
      <w:r w:rsidR="370F0E03" w:rsidRPr="084D4B71">
        <w:rPr>
          <w:rFonts w:eastAsia="Arial" w:cs="Arial"/>
        </w:rPr>
        <w:t>, more stringent BAT limits d</w:t>
      </w:r>
      <w:r w:rsidR="00B27F2D" w:rsidRPr="084D4B71">
        <w:rPr>
          <w:rFonts w:eastAsia="Arial" w:cs="Arial"/>
        </w:rPr>
        <w:t>id</w:t>
      </w:r>
      <w:r w:rsidR="370F0E03" w:rsidRPr="084D4B71">
        <w:rPr>
          <w:rFonts w:eastAsia="Arial" w:cs="Arial"/>
        </w:rPr>
        <w:t xml:space="preserve"> not apply until the permitting authority determine</w:t>
      </w:r>
      <w:r w:rsidR="00B27F2D" w:rsidRPr="084D4B71">
        <w:rPr>
          <w:rFonts w:eastAsia="Arial" w:cs="Arial"/>
        </w:rPr>
        <w:t>d</w:t>
      </w:r>
      <w:r w:rsidR="370F0E03" w:rsidRPr="084D4B71">
        <w:rPr>
          <w:rFonts w:eastAsia="Arial" w:cs="Arial"/>
        </w:rPr>
        <w:t xml:space="preserve"> what date represent</w:t>
      </w:r>
      <w:r w:rsidR="00B27F2D" w:rsidRPr="084D4B71">
        <w:rPr>
          <w:rFonts w:eastAsia="Arial" w:cs="Arial"/>
        </w:rPr>
        <w:t>ed</w:t>
      </w:r>
      <w:r w:rsidR="370F0E03" w:rsidRPr="084D4B71">
        <w:rPr>
          <w:rFonts w:eastAsia="Arial" w:cs="Arial"/>
        </w:rPr>
        <w:t xml:space="preserve"> the earliest possible date that the plant c</w:t>
      </w:r>
      <w:r w:rsidR="00B27F2D" w:rsidRPr="084D4B71">
        <w:rPr>
          <w:rFonts w:eastAsia="Arial" w:cs="Arial"/>
        </w:rPr>
        <w:t>ould</w:t>
      </w:r>
      <w:r w:rsidR="370F0E03" w:rsidRPr="084D4B71">
        <w:rPr>
          <w:rFonts w:eastAsia="Arial" w:cs="Arial"/>
        </w:rPr>
        <w:t xml:space="preserve"> meet the limits in the rule, </w:t>
      </w:r>
      <w:r w:rsidR="00234B02" w:rsidRPr="084D4B71">
        <w:rPr>
          <w:rFonts w:eastAsia="Arial" w:cs="Arial"/>
        </w:rPr>
        <w:t xml:space="preserve">which at the time of the 2015 Rule was </w:t>
      </w:r>
      <w:r w:rsidR="370F0E03" w:rsidRPr="084D4B71">
        <w:rPr>
          <w:rFonts w:eastAsia="Arial" w:cs="Arial"/>
        </w:rPr>
        <w:t>beginning November 1, 2018, but in no case later than December 31, 2023</w:t>
      </w:r>
      <w:r w:rsidR="000B121D" w:rsidRPr="084D4B71">
        <w:rPr>
          <w:rFonts w:eastAsia="Arial" w:cs="Arial"/>
        </w:rPr>
        <w:t xml:space="preserve">. </w:t>
      </w:r>
      <w:r w:rsidR="370F0E03" w:rsidRPr="084D4B71">
        <w:rPr>
          <w:rFonts w:eastAsia="Arial" w:cs="Arial"/>
        </w:rPr>
        <w:t xml:space="preserve"> </w:t>
      </w:r>
      <w:r w:rsidR="370F0E03" w:rsidRPr="3F71F704">
        <w:rPr>
          <w:rFonts w:eastAsia="Arial" w:cs="Arial"/>
          <w:color w:val="000000" w:themeColor="text1"/>
        </w:rPr>
        <w:t>In November 2015,</w:t>
      </w:r>
      <w:r w:rsidR="004346C8">
        <w:rPr>
          <w:rFonts w:eastAsia="Arial" w:cs="Arial"/>
          <w:color w:val="000000" w:themeColor="text1"/>
        </w:rPr>
        <w:t xml:space="preserve"> </w:t>
      </w:r>
      <w:r w:rsidR="004346C8">
        <w:rPr>
          <w:rFonts w:eastAsia="Arial" w:cs="Arial"/>
          <w:color w:val="000000" w:themeColor="text1"/>
          <w:szCs w:val="24"/>
        </w:rPr>
        <w:t xml:space="preserve">the 2015 Rule was challenged by industry and environmental groups and the cases were subsequently consolidated in the U.S. Court of </w:t>
      </w:r>
      <w:r w:rsidR="004346C8" w:rsidRPr="0079463A">
        <w:rPr>
          <w:rFonts w:eastAsia="Arial" w:cs="Arial"/>
          <w:color w:val="000000" w:themeColor="text1"/>
          <w:szCs w:val="24"/>
        </w:rPr>
        <w:t>Appeals</w:t>
      </w:r>
      <w:r w:rsidR="00CF5534">
        <w:rPr>
          <w:rFonts w:eastAsia="Arial" w:cs="Arial"/>
          <w:color w:val="000000" w:themeColor="text1"/>
          <w:szCs w:val="24"/>
        </w:rPr>
        <w:t xml:space="preserve"> for the Fifth Circuit</w:t>
      </w:r>
      <w:r w:rsidR="004346C8" w:rsidRPr="0079463A">
        <w:rPr>
          <w:rFonts w:eastAsia="Arial" w:cs="Arial"/>
          <w:color w:val="000000" w:themeColor="text1"/>
          <w:szCs w:val="24"/>
        </w:rPr>
        <w:t>.</w:t>
      </w:r>
    </w:p>
    <w:p w14:paraId="479854FC" w14:textId="42253743" w:rsidR="002F355A" w:rsidRDefault="00E22573" w:rsidP="00E654CE">
      <w:pPr>
        <w:rPr>
          <w:rFonts w:eastAsia="Arial" w:cs="Arial"/>
          <w:color w:val="000000" w:themeColor="text1"/>
        </w:rPr>
      </w:pPr>
      <w:r>
        <w:t xml:space="preserve">In March of 2017, </w:t>
      </w:r>
      <w:r w:rsidR="007D6793">
        <w:t xml:space="preserve">the </w:t>
      </w:r>
      <w:r w:rsidR="001552E4" w:rsidRPr="007D6793">
        <w:t>Utility Water Act Group</w:t>
      </w:r>
      <w:r w:rsidR="001552E4">
        <w:t xml:space="preserve"> </w:t>
      </w:r>
      <w:r>
        <w:t>and the Small Business Association filed separate Petitions for Reconsideration of the 2015 Rule. This action led to the EPA administrator granting the petition and staying the applicability dates of the more stringent BAT limitations of the 2015 Rule (</w:t>
      </w:r>
      <w:r>
        <w:rPr>
          <w:rFonts w:eastAsia="Arial" w:cs="Arial"/>
        </w:rPr>
        <w:t xml:space="preserve">e.g., those for fly ash transport water, bottom ash transport water, FGD wastewater, and combustion residual leachate).  </w:t>
      </w:r>
      <w:r w:rsidR="00E2137A">
        <w:rPr>
          <w:rFonts w:eastAsia="Arial" w:cs="Arial"/>
          <w:color w:val="000000" w:themeColor="text1"/>
        </w:rPr>
        <w:t>In</w:t>
      </w:r>
      <w:r w:rsidR="370F0E03" w:rsidRPr="3F71F704">
        <w:rPr>
          <w:rFonts w:eastAsia="Arial" w:cs="Arial"/>
        </w:rPr>
        <w:t xml:space="preserve"> April 2017, EPA aske</w:t>
      </w:r>
      <w:r w:rsidR="00E2137A">
        <w:rPr>
          <w:rFonts w:eastAsia="Arial" w:cs="Arial"/>
        </w:rPr>
        <w:t>d</w:t>
      </w:r>
      <w:r w:rsidR="370F0E03" w:rsidRPr="3F71F704">
        <w:rPr>
          <w:rFonts w:eastAsia="Arial" w:cs="Arial"/>
        </w:rPr>
        <w:t xml:space="preserve"> the court to hold the case in abeyance for 120 days while it reconsidered specific aspects of the rule. The court granted EPA’s request on April 24, 2017, with the administrative stay becoming effective the following day.</w:t>
      </w:r>
      <w:r w:rsidR="006738E0">
        <w:rPr>
          <w:rFonts w:eastAsia="Arial" w:cs="Arial"/>
        </w:rPr>
        <w:t xml:space="preserve"> </w:t>
      </w:r>
      <w:r w:rsidR="370F0E03" w:rsidRPr="3F71F704">
        <w:rPr>
          <w:rFonts w:eastAsia="Arial" w:cs="Arial"/>
        </w:rPr>
        <w:t xml:space="preserve"> </w:t>
      </w:r>
      <w:r w:rsidR="370F0E03" w:rsidRPr="3F71F704">
        <w:rPr>
          <w:rFonts w:eastAsia="Arial" w:cs="Arial"/>
          <w:color w:val="000000" w:themeColor="text1"/>
        </w:rPr>
        <w:t xml:space="preserve"> </w:t>
      </w:r>
    </w:p>
    <w:p w14:paraId="71FE107E" w14:textId="672AE9F6" w:rsidR="002F355A" w:rsidRPr="00FE0E11" w:rsidRDefault="00DD0D9E" w:rsidP="00877775">
      <w:pPr>
        <w:pStyle w:val="Heading4"/>
      </w:pPr>
      <w:r>
        <w:t xml:space="preserve">2017 </w:t>
      </w:r>
      <w:r w:rsidR="002F355A" w:rsidRPr="00442679">
        <w:t>Post</w:t>
      </w:r>
      <w:r w:rsidR="002F355A" w:rsidRPr="00FE0E11">
        <w:t>ponement Rule</w:t>
      </w:r>
    </w:p>
    <w:p w14:paraId="7C65C832" w14:textId="682528A5" w:rsidR="00B024F5" w:rsidRPr="00E654CE" w:rsidRDefault="370F0E03" w:rsidP="00E654CE">
      <w:pPr>
        <w:rPr>
          <w:rFonts w:eastAsia="Arial" w:cs="Arial"/>
          <w:color w:val="000000" w:themeColor="text1"/>
        </w:rPr>
      </w:pPr>
      <w:r w:rsidRPr="37612734">
        <w:rPr>
          <w:rFonts w:eastAsia="Arial" w:cs="Arial"/>
          <w:color w:val="000000" w:themeColor="text1"/>
        </w:rPr>
        <w:t>I</w:t>
      </w:r>
      <w:r w:rsidRPr="37612734">
        <w:rPr>
          <w:rFonts w:eastAsia="Arial" w:cs="Arial"/>
        </w:rPr>
        <w:t>n June 2017, EPA</w:t>
      </w:r>
      <w:r w:rsidR="003D0453" w:rsidRPr="37612734">
        <w:rPr>
          <w:rFonts w:eastAsia="Arial" w:cs="Arial"/>
        </w:rPr>
        <w:t xml:space="preserve"> (under the </w:t>
      </w:r>
      <w:r w:rsidR="00CF5534" w:rsidRPr="37612734">
        <w:rPr>
          <w:rFonts w:eastAsia="Arial" w:cs="Arial"/>
        </w:rPr>
        <w:t xml:space="preserve">then </w:t>
      </w:r>
      <w:r w:rsidR="003D0453" w:rsidRPr="37612734">
        <w:rPr>
          <w:rFonts w:eastAsia="Arial" w:cs="Arial"/>
        </w:rPr>
        <w:t xml:space="preserve">new </w:t>
      </w:r>
      <w:r w:rsidR="008F037A" w:rsidRPr="37612734">
        <w:rPr>
          <w:rFonts w:eastAsia="Arial" w:cs="Arial"/>
        </w:rPr>
        <w:t>Trump administration)</w:t>
      </w:r>
      <w:r w:rsidRPr="37612734">
        <w:rPr>
          <w:rFonts w:eastAsia="Arial" w:cs="Arial"/>
        </w:rPr>
        <w:t xml:space="preserve"> issued a proposed stay-by-rule on the postponement of the applicability dates for the more stringent BAT limitations and pretreatment standards of the 2015 Rule (“Postponement Rule”). The Postponement Rule was finalized on September 18, 2017, pushing out the earliest compliance dates for the 2015 BAT ELGs for bottom ash transport water and FGD wastewater until November 1, 2020</w:t>
      </w:r>
      <w:r w:rsidR="29443EDB" w:rsidRPr="37612734">
        <w:rPr>
          <w:rFonts w:eastAsia="Arial" w:cs="Arial"/>
        </w:rPr>
        <w:t>,</w:t>
      </w:r>
      <w:r w:rsidRPr="37612734">
        <w:rPr>
          <w:rFonts w:eastAsia="Arial" w:cs="Arial"/>
        </w:rPr>
        <w:t xml:space="preserve"> rather than November 1, 2018</w:t>
      </w:r>
      <w:r w:rsidR="34D30F22" w:rsidRPr="37612734">
        <w:rPr>
          <w:rFonts w:eastAsia="Arial" w:cs="Arial"/>
        </w:rPr>
        <w:t>,</w:t>
      </w:r>
      <w:r w:rsidRPr="37612734">
        <w:rPr>
          <w:rFonts w:eastAsia="Arial" w:cs="Arial"/>
        </w:rPr>
        <w:t xml:space="preserve"> so that EPA had sufficient time to reconsider the BAT and </w:t>
      </w:r>
      <w:r w:rsidR="00E96A36" w:rsidRPr="37612734">
        <w:rPr>
          <w:rFonts w:eastAsia="Arial" w:cs="Arial"/>
        </w:rPr>
        <w:t>pretreatment</w:t>
      </w:r>
      <w:r w:rsidR="00121D6F" w:rsidRPr="37612734">
        <w:rPr>
          <w:rFonts w:eastAsia="Arial" w:cs="Arial"/>
        </w:rPr>
        <w:t xml:space="preserve"> standards for existing sources (“</w:t>
      </w:r>
      <w:r w:rsidRPr="37612734">
        <w:rPr>
          <w:rFonts w:eastAsia="Arial" w:cs="Arial"/>
        </w:rPr>
        <w:t>PSES</w:t>
      </w:r>
      <w:r w:rsidR="00121D6F" w:rsidRPr="37612734">
        <w:rPr>
          <w:rFonts w:eastAsia="Arial" w:cs="Arial"/>
        </w:rPr>
        <w:t>”)</w:t>
      </w:r>
      <w:r w:rsidRPr="37612734">
        <w:rPr>
          <w:rFonts w:eastAsia="Arial" w:cs="Arial"/>
        </w:rPr>
        <w:t xml:space="preserve"> limits for FGD wastewater and bottom ash transport water. </w:t>
      </w:r>
      <w:r w:rsidR="00804D8B" w:rsidRPr="37612734">
        <w:rPr>
          <w:rFonts w:eastAsia="Arial" w:cs="Arial"/>
        </w:rPr>
        <w:t xml:space="preserve">The </w:t>
      </w:r>
      <w:r w:rsidR="00CB483D" w:rsidRPr="37612734">
        <w:rPr>
          <w:rFonts w:eastAsia="Arial" w:cs="Arial"/>
        </w:rPr>
        <w:t xml:space="preserve">applicability dates for fly ash transport water were not disturbed by the </w:t>
      </w:r>
      <w:r w:rsidR="00EE763F" w:rsidRPr="37612734">
        <w:rPr>
          <w:rFonts w:eastAsia="Arial" w:cs="Arial"/>
        </w:rPr>
        <w:t>Postponement Rule.</w:t>
      </w:r>
    </w:p>
    <w:p w14:paraId="384959A8" w14:textId="54BDA4B1" w:rsidR="00B024F5" w:rsidRPr="00E654CE" w:rsidRDefault="009609C3" w:rsidP="00E654CE">
      <w:pPr>
        <w:rPr>
          <w:rFonts w:eastAsia="Arial" w:cs="Arial"/>
          <w:color w:val="000000" w:themeColor="text1"/>
        </w:rPr>
      </w:pPr>
      <w:r w:rsidRPr="405B4DCE">
        <w:rPr>
          <w:rFonts w:eastAsia="Arial" w:cs="Arial"/>
          <w:color w:val="000000" w:themeColor="text1"/>
        </w:rPr>
        <w:t xml:space="preserve">In </w:t>
      </w:r>
      <w:r w:rsidR="370F0E03" w:rsidRPr="405B4DCE">
        <w:rPr>
          <w:rFonts w:eastAsia="Arial" w:cs="Arial"/>
          <w:color w:val="000000" w:themeColor="text1"/>
        </w:rPr>
        <w:t>April 2019, the U.S. Court of Appeals for the Fifth Circuit issued an opinion vacating aspects of the 2015 Rule’s ELGs pertaining to BAT for legacy wastewater and combustion residual leachate.  EPA is currently considering revising the ELGs for legacy wastewater and combustion residual leachate that addresses the concerns identified by the court.</w:t>
      </w:r>
    </w:p>
    <w:p w14:paraId="3EA6AD83" w14:textId="6B5EBD32" w:rsidR="00E22573" w:rsidRDefault="00BA4CAE" w:rsidP="00877775">
      <w:pPr>
        <w:pStyle w:val="Heading4"/>
      </w:pPr>
      <w:r>
        <w:t>20</w:t>
      </w:r>
      <w:r w:rsidR="68C7C98C">
        <w:t>20</w:t>
      </w:r>
      <w:r>
        <w:t xml:space="preserve"> </w:t>
      </w:r>
      <w:r w:rsidR="00E67569">
        <w:t>ELG</w:t>
      </w:r>
      <w:r>
        <w:t xml:space="preserve"> </w:t>
      </w:r>
      <w:r w:rsidR="005B19E2">
        <w:t>Reconsideration Rule</w:t>
      </w:r>
    </w:p>
    <w:p w14:paraId="74EF96E3" w14:textId="53B6E34D" w:rsidR="00B024F5" w:rsidRPr="00E654CE" w:rsidRDefault="009609C3" w:rsidP="00E654CE">
      <w:pPr>
        <w:rPr>
          <w:rFonts w:eastAsia="Arial" w:cs="Arial"/>
          <w:color w:val="000000" w:themeColor="text1"/>
        </w:rPr>
      </w:pPr>
      <w:r w:rsidRPr="11BEC75A">
        <w:rPr>
          <w:rFonts w:eastAsia="Arial" w:cs="Arial"/>
          <w:color w:val="000000" w:themeColor="text1"/>
        </w:rPr>
        <w:t>In</w:t>
      </w:r>
      <w:r w:rsidR="002E0476" w:rsidRPr="11BEC75A">
        <w:rPr>
          <w:rFonts w:eastAsia="Arial" w:cs="Arial"/>
          <w:color w:val="000000" w:themeColor="text1"/>
        </w:rPr>
        <w:t xml:space="preserve"> </w:t>
      </w:r>
      <w:r w:rsidR="370F0E03" w:rsidRPr="11BEC75A">
        <w:rPr>
          <w:rFonts w:eastAsia="Arial" w:cs="Arial"/>
          <w:color w:val="000000" w:themeColor="text1"/>
        </w:rPr>
        <w:t xml:space="preserve">November 2019, EPA published the proposed </w:t>
      </w:r>
      <w:r w:rsidR="00FE3B40" w:rsidRPr="11BEC75A">
        <w:rPr>
          <w:rFonts w:eastAsia="Arial" w:cs="Arial"/>
          <w:color w:val="000000" w:themeColor="text1"/>
        </w:rPr>
        <w:t>regulation to revise the technology</w:t>
      </w:r>
      <w:r w:rsidR="000C68E0" w:rsidRPr="11BEC75A">
        <w:rPr>
          <w:rFonts w:eastAsia="Arial" w:cs="Arial"/>
          <w:color w:val="000000" w:themeColor="text1"/>
        </w:rPr>
        <w:t xml:space="preserve"> </w:t>
      </w:r>
      <w:r w:rsidR="00FE3B40" w:rsidRPr="11BEC75A">
        <w:rPr>
          <w:rFonts w:eastAsia="Arial" w:cs="Arial"/>
          <w:color w:val="000000" w:themeColor="text1"/>
        </w:rPr>
        <w:t>based ELGs for the steam electric industry applicable to FGD wastewater and bottom ash transport water (“</w:t>
      </w:r>
      <w:r w:rsidR="00E67569">
        <w:rPr>
          <w:rFonts w:eastAsia="Arial" w:cs="Arial"/>
          <w:color w:val="000000" w:themeColor="text1"/>
        </w:rPr>
        <w:t xml:space="preserve">ELG </w:t>
      </w:r>
      <w:r w:rsidR="00FE3B40" w:rsidRPr="11BEC75A">
        <w:rPr>
          <w:rFonts w:eastAsia="Arial" w:cs="Arial"/>
          <w:color w:val="000000" w:themeColor="text1"/>
        </w:rPr>
        <w:t>Reconsideration Rule”)</w:t>
      </w:r>
      <w:r w:rsidR="00775493" w:rsidRPr="11BEC75A">
        <w:rPr>
          <w:rFonts w:eastAsia="Arial" w:cs="Arial"/>
          <w:color w:val="000000" w:themeColor="text1"/>
        </w:rPr>
        <w:t xml:space="preserve">. </w:t>
      </w:r>
      <w:r w:rsidRPr="11BEC75A">
        <w:rPr>
          <w:rFonts w:eastAsia="Arial" w:cs="Arial"/>
          <w:color w:val="000000" w:themeColor="text1"/>
        </w:rPr>
        <w:t xml:space="preserve">In </w:t>
      </w:r>
      <w:r w:rsidR="370F0E03" w:rsidRPr="11BEC75A">
        <w:rPr>
          <w:rFonts w:eastAsia="Arial" w:cs="Arial"/>
          <w:color w:val="000000" w:themeColor="text1"/>
        </w:rPr>
        <w:t xml:space="preserve">October 2020, EPA </w:t>
      </w:r>
      <w:r w:rsidR="00A874A5" w:rsidRPr="11BEC75A">
        <w:rPr>
          <w:rFonts w:eastAsia="Arial" w:cs="Arial"/>
          <w:color w:val="000000" w:themeColor="text1"/>
        </w:rPr>
        <w:t>f</w:t>
      </w:r>
      <w:r w:rsidR="00F61F05" w:rsidRPr="11BEC75A">
        <w:rPr>
          <w:rFonts w:eastAsia="Arial" w:cs="Arial"/>
          <w:color w:val="000000" w:themeColor="text1"/>
        </w:rPr>
        <w:t xml:space="preserve">inalized the </w:t>
      </w:r>
      <w:r w:rsidR="00E67569">
        <w:rPr>
          <w:rFonts w:eastAsia="Arial" w:cs="Arial"/>
          <w:color w:val="000000" w:themeColor="text1"/>
        </w:rPr>
        <w:t xml:space="preserve">ELG </w:t>
      </w:r>
      <w:r w:rsidR="00F61F05" w:rsidRPr="11BEC75A">
        <w:rPr>
          <w:rFonts w:eastAsia="Arial" w:cs="Arial"/>
          <w:color w:val="000000" w:themeColor="text1"/>
        </w:rPr>
        <w:t xml:space="preserve">Reconsideration </w:t>
      </w:r>
      <w:r w:rsidR="00F16E9D" w:rsidRPr="11BEC75A">
        <w:rPr>
          <w:rFonts w:eastAsia="Arial" w:cs="Arial"/>
          <w:color w:val="000000" w:themeColor="text1"/>
        </w:rPr>
        <w:t>Rule for</w:t>
      </w:r>
      <w:r w:rsidR="00E75163" w:rsidRPr="11BEC75A">
        <w:rPr>
          <w:rFonts w:eastAsia="Arial" w:cs="Arial"/>
          <w:color w:val="000000" w:themeColor="text1"/>
        </w:rPr>
        <w:t xml:space="preserve"> these two waste</w:t>
      </w:r>
      <w:r w:rsidR="4D37D3D2" w:rsidRPr="11BEC75A">
        <w:rPr>
          <w:rFonts w:eastAsia="Arial" w:cs="Arial"/>
          <w:color w:val="000000" w:themeColor="text1"/>
        </w:rPr>
        <w:t xml:space="preserve"> </w:t>
      </w:r>
      <w:r w:rsidR="009D0292" w:rsidRPr="11BEC75A">
        <w:rPr>
          <w:rFonts w:eastAsia="Arial" w:cs="Arial"/>
          <w:color w:val="000000" w:themeColor="text1"/>
        </w:rPr>
        <w:t>streams</w:t>
      </w:r>
      <w:r w:rsidR="00051AB5" w:rsidRPr="11BEC75A">
        <w:rPr>
          <w:rFonts w:eastAsia="Arial" w:cs="Arial"/>
          <w:color w:val="000000" w:themeColor="text1"/>
        </w:rPr>
        <w:t xml:space="preserve">. </w:t>
      </w:r>
      <w:r w:rsidR="370F0E03" w:rsidRPr="11BEC75A">
        <w:rPr>
          <w:rFonts w:eastAsia="Arial" w:cs="Arial"/>
          <w:color w:val="000000" w:themeColor="text1"/>
        </w:rPr>
        <w:t>The</w:t>
      </w:r>
      <w:r w:rsidR="00E67569">
        <w:rPr>
          <w:rFonts w:eastAsia="Arial" w:cs="Arial"/>
          <w:color w:val="000000" w:themeColor="text1"/>
        </w:rPr>
        <w:t xml:space="preserve"> ELG</w:t>
      </w:r>
      <w:r w:rsidR="370F0E03" w:rsidRPr="11BEC75A">
        <w:rPr>
          <w:rFonts w:eastAsia="Arial" w:cs="Arial"/>
          <w:color w:val="000000" w:themeColor="text1"/>
        </w:rPr>
        <w:t xml:space="preserve"> Reconsideration Rule provides a two-year extension of compliance time frames for meeting the ELGs and add</w:t>
      </w:r>
      <w:r w:rsidR="002E36FC" w:rsidRPr="11BEC75A">
        <w:rPr>
          <w:rFonts w:eastAsia="Arial" w:cs="Arial"/>
          <w:color w:val="000000" w:themeColor="text1"/>
        </w:rPr>
        <w:t>ed</w:t>
      </w:r>
      <w:r w:rsidR="370F0E03" w:rsidRPr="11BEC75A">
        <w:rPr>
          <w:rFonts w:eastAsia="Arial" w:cs="Arial"/>
          <w:color w:val="000000" w:themeColor="text1"/>
        </w:rPr>
        <w:t xml:space="preserve"> three new subcategories for both FGD wastewater and bottom ash transport water with </w:t>
      </w:r>
      <w:r w:rsidR="370F0E03" w:rsidRPr="11BEC75A">
        <w:rPr>
          <w:rFonts w:eastAsia="Arial" w:cs="Arial"/>
        </w:rPr>
        <w:t xml:space="preserve">tailored limits and applicability dates.  A summary of the key provisions of the </w:t>
      </w:r>
      <w:r w:rsidR="00E67569">
        <w:rPr>
          <w:rFonts w:eastAsia="Arial" w:cs="Arial"/>
        </w:rPr>
        <w:t xml:space="preserve">ELG </w:t>
      </w:r>
      <w:r w:rsidR="370F0E03" w:rsidRPr="11BEC75A">
        <w:rPr>
          <w:rFonts w:eastAsia="Arial" w:cs="Arial"/>
        </w:rPr>
        <w:t>Reconsideration Rule are as follows:</w:t>
      </w:r>
      <w:r w:rsidR="370F0E03" w:rsidRPr="11BEC75A">
        <w:rPr>
          <w:rFonts w:eastAsia="Arial" w:cs="Arial"/>
          <w:color w:val="000000" w:themeColor="text1"/>
        </w:rPr>
        <w:t xml:space="preserve"> </w:t>
      </w:r>
    </w:p>
    <w:p w14:paraId="0ED1F60E" w14:textId="39D1EEE1" w:rsidR="00B024F5" w:rsidRPr="00DB7156" w:rsidRDefault="370F0E03" w:rsidP="005D2968">
      <w:pPr>
        <w:pStyle w:val="ListParagraph"/>
        <w:numPr>
          <w:ilvl w:val="0"/>
          <w:numId w:val="18"/>
        </w:numPr>
        <w:rPr>
          <w:rFonts w:eastAsia="Arial" w:cs="Arial"/>
          <w:color w:val="000000" w:themeColor="text1"/>
          <w:szCs w:val="24"/>
        </w:rPr>
      </w:pPr>
      <w:r w:rsidRPr="452DFED5">
        <w:rPr>
          <w:rFonts w:eastAsia="Arial" w:cs="Arial"/>
          <w:color w:val="000000" w:themeColor="text1"/>
          <w:szCs w:val="24"/>
        </w:rPr>
        <w:t xml:space="preserve">For </w:t>
      </w:r>
      <w:r w:rsidRPr="452DFED5">
        <w:rPr>
          <w:rFonts w:eastAsia="Arial" w:cs="Arial"/>
          <w:szCs w:val="24"/>
        </w:rPr>
        <w:t>FGD wastewater, the Rule establishe</w:t>
      </w:r>
      <w:r w:rsidR="00051AB5">
        <w:rPr>
          <w:rFonts w:eastAsia="Arial" w:cs="Arial"/>
          <w:szCs w:val="24"/>
        </w:rPr>
        <w:t>d</w:t>
      </w:r>
      <w:r w:rsidRPr="452DFED5">
        <w:rPr>
          <w:rFonts w:eastAsia="Arial" w:cs="Arial"/>
          <w:szCs w:val="24"/>
        </w:rPr>
        <w:t xml:space="preserve"> as BAT a combination of chemical precipitation followed by biological treatment</w:t>
      </w:r>
      <w:r w:rsidR="00951F26">
        <w:rPr>
          <w:rFonts w:eastAsia="Arial" w:cs="Arial"/>
          <w:szCs w:val="24"/>
        </w:rPr>
        <w:t xml:space="preserve"> (also referred to as physical, chemical, biologi</w:t>
      </w:r>
      <w:r w:rsidR="00A24D9D">
        <w:rPr>
          <w:rFonts w:eastAsia="Arial" w:cs="Arial"/>
          <w:szCs w:val="24"/>
        </w:rPr>
        <w:t>cal treatment</w:t>
      </w:r>
      <w:r w:rsidR="007C15C4">
        <w:rPr>
          <w:rFonts w:eastAsia="Arial" w:cs="Arial"/>
          <w:szCs w:val="24"/>
        </w:rPr>
        <w:t xml:space="preserve"> or “phys/chem/bio”</w:t>
      </w:r>
      <w:r w:rsidR="00A24D9D">
        <w:rPr>
          <w:rFonts w:eastAsia="Arial" w:cs="Arial"/>
          <w:szCs w:val="24"/>
        </w:rPr>
        <w:t>)</w:t>
      </w:r>
      <w:r w:rsidRPr="452DFED5">
        <w:rPr>
          <w:rFonts w:eastAsia="Arial" w:cs="Arial"/>
          <w:szCs w:val="24"/>
        </w:rPr>
        <w:t xml:space="preserve"> with revised numeric effluent limits for mercury, arsenic, selenium, and nitrate-nitrite as nitrogen.  As compared to the 2015 Rule, the limits </w:t>
      </w:r>
      <w:r w:rsidR="00051AB5">
        <w:rPr>
          <w:rFonts w:eastAsia="Arial" w:cs="Arial"/>
          <w:szCs w:val="24"/>
        </w:rPr>
        <w:t>were</w:t>
      </w:r>
      <w:r w:rsidR="00051AB5" w:rsidRPr="452DFED5">
        <w:rPr>
          <w:rFonts w:eastAsia="Arial" w:cs="Arial"/>
          <w:szCs w:val="24"/>
        </w:rPr>
        <w:t xml:space="preserve"> </w:t>
      </w:r>
      <w:r w:rsidRPr="452DFED5">
        <w:rPr>
          <w:rFonts w:eastAsia="Arial" w:cs="Arial"/>
          <w:szCs w:val="24"/>
        </w:rPr>
        <w:t>slightly less stringent for arsenic and selenium and significantly more stringent for mercury and nitrate-nitrite.</w:t>
      </w:r>
      <w:r w:rsidRPr="452DFED5">
        <w:rPr>
          <w:rFonts w:eastAsia="Arial" w:cs="Arial"/>
          <w:color w:val="000000" w:themeColor="text1"/>
          <w:szCs w:val="24"/>
        </w:rPr>
        <w:t xml:space="preserve"> </w:t>
      </w:r>
      <w:r w:rsidR="00D03F8D">
        <w:rPr>
          <w:rFonts w:eastAsia="Arial" w:cs="Arial"/>
          <w:color w:val="000000" w:themeColor="text1"/>
          <w:szCs w:val="24"/>
        </w:rPr>
        <w:t xml:space="preserve"> </w:t>
      </w:r>
    </w:p>
    <w:p w14:paraId="613D05B5" w14:textId="65676196" w:rsidR="00B024F5" w:rsidRPr="00DB7156" w:rsidRDefault="370F0E03" w:rsidP="005D2968">
      <w:pPr>
        <w:pStyle w:val="ListParagraph"/>
        <w:numPr>
          <w:ilvl w:val="0"/>
          <w:numId w:val="18"/>
        </w:numPr>
        <w:rPr>
          <w:rFonts w:eastAsia="Arial" w:cs="Arial"/>
          <w:color w:val="000000" w:themeColor="text1"/>
          <w:szCs w:val="24"/>
        </w:rPr>
      </w:pPr>
      <w:r w:rsidRPr="452DFED5">
        <w:rPr>
          <w:rFonts w:eastAsia="Arial" w:cs="Arial"/>
          <w:color w:val="000000" w:themeColor="text1"/>
          <w:szCs w:val="24"/>
        </w:rPr>
        <w:t xml:space="preserve">For FGD wastewater, the Rule </w:t>
      </w:r>
      <w:r w:rsidR="00F05F2A">
        <w:rPr>
          <w:rFonts w:eastAsia="Arial" w:cs="Arial"/>
          <w:color w:val="000000" w:themeColor="text1"/>
          <w:szCs w:val="24"/>
        </w:rPr>
        <w:t>revised the</w:t>
      </w:r>
      <w:r w:rsidR="00A24D9D">
        <w:rPr>
          <w:rFonts w:eastAsia="Arial" w:cs="Arial"/>
          <w:color w:val="000000" w:themeColor="text1"/>
          <w:szCs w:val="24"/>
        </w:rPr>
        <w:t xml:space="preserve"> voluntary incentive program (</w:t>
      </w:r>
      <w:r w:rsidR="00090D37">
        <w:rPr>
          <w:rFonts w:eastAsia="Arial" w:cs="Arial"/>
          <w:szCs w:val="24"/>
        </w:rPr>
        <w:t>VIP</w:t>
      </w:r>
      <w:r w:rsidR="00A24D9D">
        <w:rPr>
          <w:rFonts w:eastAsia="Arial" w:cs="Arial"/>
          <w:szCs w:val="24"/>
        </w:rPr>
        <w:t>)</w:t>
      </w:r>
      <w:r w:rsidRPr="452DFED5">
        <w:rPr>
          <w:rFonts w:eastAsia="Arial" w:cs="Arial"/>
          <w:szCs w:val="24"/>
        </w:rPr>
        <w:t xml:space="preserve"> </w:t>
      </w:r>
      <w:r w:rsidR="00240F31">
        <w:rPr>
          <w:rFonts w:eastAsia="Arial" w:cs="Arial"/>
          <w:szCs w:val="24"/>
        </w:rPr>
        <w:t xml:space="preserve">subcategory </w:t>
      </w:r>
      <w:r w:rsidRPr="452DFED5">
        <w:rPr>
          <w:rFonts w:eastAsia="Arial" w:cs="Arial"/>
          <w:szCs w:val="24"/>
        </w:rPr>
        <w:t>that provides until December 31, 2028</w:t>
      </w:r>
      <w:r w:rsidR="00F57995" w:rsidRPr="452DFED5">
        <w:rPr>
          <w:rFonts w:eastAsia="Arial" w:cs="Arial"/>
          <w:szCs w:val="24"/>
        </w:rPr>
        <w:t>,</w:t>
      </w:r>
      <w:r w:rsidRPr="452DFED5">
        <w:rPr>
          <w:rFonts w:eastAsia="Arial" w:cs="Arial"/>
          <w:szCs w:val="24"/>
        </w:rPr>
        <w:t xml:space="preserve"> for plants to achieve more stringent ELGs on mercury, arsenic, selenium, nitrate-nitrite, bromide, and total dissolved solids based on membrane filtration.</w:t>
      </w:r>
    </w:p>
    <w:p w14:paraId="2C3FECF0" w14:textId="2E7D41AA" w:rsidR="00B024F5" w:rsidRPr="00DB7156" w:rsidRDefault="370F0E03" w:rsidP="005D2968">
      <w:pPr>
        <w:pStyle w:val="ListParagraph"/>
        <w:numPr>
          <w:ilvl w:val="0"/>
          <w:numId w:val="18"/>
        </w:numPr>
        <w:rPr>
          <w:rFonts w:eastAsia="Arial" w:cs="Arial"/>
          <w:color w:val="000000" w:themeColor="text1"/>
          <w:szCs w:val="24"/>
        </w:rPr>
      </w:pPr>
      <w:r w:rsidRPr="452DFED5">
        <w:rPr>
          <w:rFonts w:eastAsia="Arial" w:cs="Arial"/>
          <w:color w:val="000000" w:themeColor="text1"/>
          <w:szCs w:val="24"/>
        </w:rPr>
        <w:t xml:space="preserve">For </w:t>
      </w:r>
      <w:r w:rsidRPr="452DFED5">
        <w:rPr>
          <w:rFonts w:eastAsia="Arial" w:cs="Arial"/>
          <w:szCs w:val="24"/>
        </w:rPr>
        <w:t>bottom ash transport water, the Rule establishe</w:t>
      </w:r>
      <w:r w:rsidR="0027184E">
        <w:rPr>
          <w:rFonts w:eastAsia="Arial" w:cs="Arial"/>
          <w:szCs w:val="24"/>
        </w:rPr>
        <w:t>d</w:t>
      </w:r>
      <w:r w:rsidRPr="452DFED5">
        <w:rPr>
          <w:rFonts w:eastAsia="Arial" w:cs="Arial"/>
          <w:szCs w:val="24"/>
        </w:rPr>
        <w:t xml:space="preserve"> as BAT a high recycle rate </w:t>
      </w:r>
      <w:r w:rsidR="004D0C5F">
        <w:rPr>
          <w:rFonts w:eastAsia="Arial" w:cs="Arial"/>
          <w:szCs w:val="24"/>
        </w:rPr>
        <w:t>predominantly non-discharging system</w:t>
      </w:r>
      <w:r w:rsidRPr="452DFED5">
        <w:rPr>
          <w:rFonts w:eastAsia="Arial" w:cs="Arial"/>
          <w:szCs w:val="24"/>
        </w:rPr>
        <w:t xml:space="preserve"> </w:t>
      </w:r>
      <w:r w:rsidR="004D0C5F">
        <w:rPr>
          <w:rFonts w:eastAsia="Arial" w:cs="Arial"/>
          <w:szCs w:val="24"/>
        </w:rPr>
        <w:t xml:space="preserve">which only allows </w:t>
      </w:r>
      <w:r w:rsidR="001A646D">
        <w:rPr>
          <w:rFonts w:eastAsia="Arial" w:cs="Arial"/>
          <w:szCs w:val="24"/>
        </w:rPr>
        <w:t xml:space="preserve">a </w:t>
      </w:r>
      <w:r w:rsidR="004D0C5F">
        <w:rPr>
          <w:rFonts w:eastAsia="Arial" w:cs="Arial"/>
          <w:szCs w:val="24"/>
        </w:rPr>
        <w:t>purge of</w:t>
      </w:r>
      <w:r w:rsidRPr="452DFED5">
        <w:rPr>
          <w:rFonts w:eastAsia="Arial" w:cs="Arial"/>
          <w:szCs w:val="24"/>
        </w:rPr>
        <w:t xml:space="preserve"> </w:t>
      </w:r>
      <w:r w:rsidR="00D87DF3">
        <w:rPr>
          <w:rFonts w:eastAsia="Arial" w:cs="Arial"/>
          <w:szCs w:val="24"/>
        </w:rPr>
        <w:t xml:space="preserve">up to </w:t>
      </w:r>
      <w:r w:rsidRPr="452DFED5">
        <w:rPr>
          <w:rFonts w:eastAsia="Arial" w:cs="Arial"/>
          <w:szCs w:val="24"/>
        </w:rPr>
        <w:t xml:space="preserve">10 percent of the bottom ash transport water system’s primary active wetted bottom ash system volume. </w:t>
      </w:r>
      <w:r w:rsidR="002D01E5">
        <w:rPr>
          <w:rFonts w:eastAsia="Arial" w:cs="Arial"/>
          <w:szCs w:val="24"/>
        </w:rPr>
        <w:t xml:space="preserve"> A purge rate, if any</w:t>
      </w:r>
      <w:r w:rsidR="00B25D59">
        <w:rPr>
          <w:rFonts w:eastAsia="Arial" w:cs="Arial"/>
          <w:szCs w:val="24"/>
        </w:rPr>
        <w:t xml:space="preserve"> is allowed, will be site-specific and determined by the permitting authority. </w:t>
      </w:r>
      <w:r w:rsidR="00B91C11">
        <w:rPr>
          <w:rFonts w:eastAsia="Arial" w:cs="Arial"/>
          <w:szCs w:val="24"/>
        </w:rPr>
        <w:t>An exception was incorp</w:t>
      </w:r>
      <w:r w:rsidR="00B94D69">
        <w:rPr>
          <w:rFonts w:eastAsia="Arial" w:cs="Arial"/>
          <w:szCs w:val="24"/>
        </w:rPr>
        <w:t>orated</w:t>
      </w:r>
      <w:r w:rsidR="00B91C11">
        <w:rPr>
          <w:rFonts w:eastAsia="Arial" w:cs="Arial"/>
          <w:szCs w:val="24"/>
        </w:rPr>
        <w:t xml:space="preserve"> </w:t>
      </w:r>
      <w:r w:rsidR="00F840DA">
        <w:rPr>
          <w:rFonts w:eastAsia="Arial" w:cs="Arial"/>
          <w:szCs w:val="24"/>
        </w:rPr>
        <w:t>for</w:t>
      </w:r>
      <w:r w:rsidRPr="452DFED5">
        <w:rPr>
          <w:rFonts w:eastAsia="Arial" w:cs="Arial"/>
          <w:szCs w:val="24"/>
        </w:rPr>
        <w:t xml:space="preserve"> </w:t>
      </w:r>
      <w:r>
        <w:rPr>
          <w:rFonts w:eastAsia="Arial" w:cs="Arial"/>
          <w:color w:val="000000" w:themeColor="text1"/>
          <w:szCs w:val="24"/>
        </w:rPr>
        <w:t>b</w:t>
      </w:r>
      <w:r w:rsidRPr="452DFED5">
        <w:rPr>
          <w:rFonts w:eastAsia="Arial" w:cs="Arial"/>
          <w:color w:val="000000" w:themeColor="text1"/>
          <w:szCs w:val="24"/>
        </w:rPr>
        <w:t>ottom ash transport water sent to the FGD for use as FGD makeup</w:t>
      </w:r>
      <w:r w:rsidR="00265801">
        <w:rPr>
          <w:rFonts w:eastAsia="Arial" w:cs="Arial"/>
          <w:color w:val="000000" w:themeColor="text1"/>
          <w:szCs w:val="24"/>
        </w:rPr>
        <w:t>. This</w:t>
      </w:r>
      <w:r w:rsidRPr="452DFED5">
        <w:rPr>
          <w:rFonts w:eastAsia="Arial" w:cs="Arial"/>
          <w:color w:val="000000" w:themeColor="text1"/>
          <w:szCs w:val="24"/>
        </w:rPr>
        <w:t xml:space="preserve"> water </w:t>
      </w:r>
      <w:r w:rsidR="00265801">
        <w:rPr>
          <w:rFonts w:eastAsia="Arial" w:cs="Arial"/>
          <w:color w:val="000000" w:themeColor="text1"/>
          <w:szCs w:val="24"/>
        </w:rPr>
        <w:t>is</w:t>
      </w:r>
      <w:r w:rsidRPr="452DFED5">
        <w:rPr>
          <w:rFonts w:eastAsia="Arial" w:cs="Arial"/>
          <w:color w:val="000000" w:themeColor="text1"/>
          <w:szCs w:val="24"/>
        </w:rPr>
        <w:t xml:space="preserve"> </w:t>
      </w:r>
      <w:r w:rsidR="00265801">
        <w:rPr>
          <w:rFonts w:eastAsia="Arial" w:cs="Arial"/>
          <w:color w:val="000000" w:themeColor="text1"/>
          <w:szCs w:val="24"/>
        </w:rPr>
        <w:t>considered</w:t>
      </w:r>
      <w:r w:rsidRPr="452DFED5">
        <w:rPr>
          <w:rFonts w:eastAsia="Arial" w:cs="Arial"/>
          <w:color w:val="000000" w:themeColor="text1"/>
          <w:szCs w:val="24"/>
        </w:rPr>
        <w:t xml:space="preserve"> FGD wastewater and therefore is not subject to the volumetric purge volume limit or associated discharge limits. </w:t>
      </w:r>
    </w:p>
    <w:p w14:paraId="0F900007" w14:textId="77777777" w:rsidR="00090D37" w:rsidRPr="00090D37" w:rsidRDefault="370F0E03" w:rsidP="005D2968">
      <w:pPr>
        <w:pStyle w:val="ListParagraph"/>
        <w:numPr>
          <w:ilvl w:val="0"/>
          <w:numId w:val="18"/>
        </w:numPr>
        <w:spacing w:after="0"/>
        <w:rPr>
          <w:rFonts w:eastAsia="Arial" w:cs="Arial"/>
          <w:color w:val="000000" w:themeColor="text1"/>
          <w:szCs w:val="24"/>
        </w:rPr>
      </w:pPr>
      <w:r w:rsidRPr="452DFED5">
        <w:rPr>
          <w:rFonts w:eastAsia="Arial" w:cs="Arial"/>
          <w:color w:val="000000" w:themeColor="text1"/>
          <w:szCs w:val="24"/>
        </w:rPr>
        <w:t>The final Rule establishe</w:t>
      </w:r>
      <w:r w:rsidR="00265801">
        <w:rPr>
          <w:rFonts w:eastAsia="Arial" w:cs="Arial"/>
          <w:color w:val="000000" w:themeColor="text1"/>
          <w:szCs w:val="24"/>
        </w:rPr>
        <w:t>d</w:t>
      </w:r>
      <w:r w:rsidRPr="452DFED5">
        <w:rPr>
          <w:rFonts w:eastAsia="Arial" w:cs="Arial"/>
          <w:szCs w:val="24"/>
        </w:rPr>
        <w:t xml:space="preserve"> three new subcategories with tailored limits and applicability dates: </w:t>
      </w:r>
    </w:p>
    <w:p w14:paraId="6E5828AE" w14:textId="2B2FF540" w:rsidR="00090D37" w:rsidRPr="00090D37" w:rsidRDefault="370F0E03" w:rsidP="00E300C2">
      <w:pPr>
        <w:spacing w:after="0"/>
        <w:ind w:left="1080"/>
        <w:rPr>
          <w:rFonts w:eastAsia="Arial" w:cs="Arial"/>
          <w:color w:val="000000" w:themeColor="text1"/>
          <w:szCs w:val="24"/>
        </w:rPr>
      </w:pPr>
      <w:r w:rsidRPr="00090D37">
        <w:rPr>
          <w:rFonts w:eastAsia="Arial" w:cs="Arial"/>
          <w:szCs w:val="24"/>
        </w:rPr>
        <w:t>(1) High FGD flow plants</w:t>
      </w:r>
      <w:r w:rsidR="00591AAF">
        <w:rPr>
          <w:rFonts w:eastAsia="Arial" w:cs="Arial"/>
          <w:szCs w:val="24"/>
        </w:rPr>
        <w:t xml:space="preserve">, meaning the facility </w:t>
      </w:r>
      <w:r w:rsidR="00DC5115">
        <w:rPr>
          <w:rFonts w:eastAsia="Arial" w:cs="Arial"/>
          <w:szCs w:val="24"/>
        </w:rPr>
        <w:t xml:space="preserve">has a maximum daily FGD </w:t>
      </w:r>
      <w:r w:rsidR="008279C0">
        <w:rPr>
          <w:rFonts w:eastAsia="Arial" w:cs="Arial"/>
          <w:szCs w:val="24"/>
        </w:rPr>
        <w:t>wastewater flow</w:t>
      </w:r>
      <w:r w:rsidRPr="00090D37" w:rsidDel="00591AAF">
        <w:rPr>
          <w:rFonts w:eastAsia="Arial" w:cs="Arial"/>
          <w:szCs w:val="24"/>
        </w:rPr>
        <w:t xml:space="preserve"> </w:t>
      </w:r>
      <w:r w:rsidRPr="00090D37">
        <w:rPr>
          <w:rFonts w:eastAsia="Arial" w:cs="Arial"/>
          <w:szCs w:val="24"/>
        </w:rPr>
        <w:t xml:space="preserve">greater than 4 million gallons per day, </w:t>
      </w:r>
      <w:r w:rsidR="00633624">
        <w:rPr>
          <w:rFonts w:eastAsia="Arial" w:cs="Arial"/>
          <w:szCs w:val="24"/>
        </w:rPr>
        <w:t xml:space="preserve">after accounting for the ability to recycle </w:t>
      </w:r>
      <w:r w:rsidR="00B33271">
        <w:rPr>
          <w:rFonts w:eastAsia="Arial" w:cs="Arial"/>
          <w:szCs w:val="24"/>
        </w:rPr>
        <w:t>wastewater through the FGD systems.</w:t>
      </w:r>
      <w:r w:rsidR="00633624">
        <w:rPr>
          <w:rFonts w:eastAsia="Arial" w:cs="Arial"/>
          <w:szCs w:val="24"/>
        </w:rPr>
        <w:t xml:space="preserve"> </w:t>
      </w:r>
    </w:p>
    <w:p w14:paraId="7B28B72C" w14:textId="69E0596F" w:rsidR="00090D37" w:rsidRDefault="370F0E03" w:rsidP="00090D37">
      <w:pPr>
        <w:spacing w:after="0"/>
        <w:ind w:left="1080"/>
        <w:rPr>
          <w:rFonts w:eastAsia="Arial" w:cs="Arial"/>
          <w:szCs w:val="24"/>
        </w:rPr>
      </w:pPr>
      <w:r w:rsidRPr="00090D37">
        <w:rPr>
          <w:rFonts w:eastAsia="Arial" w:cs="Arial"/>
          <w:szCs w:val="24"/>
        </w:rPr>
        <w:t>(2) EGUs that will permanently cease the combustion of coal</w:t>
      </w:r>
      <w:r w:rsidR="00B33271">
        <w:rPr>
          <w:rFonts w:eastAsia="Arial" w:cs="Arial"/>
          <w:szCs w:val="24"/>
        </w:rPr>
        <w:t xml:space="preserve">, meaning the owner certifies under </w:t>
      </w:r>
      <w:r w:rsidR="00B33271">
        <w:t xml:space="preserve">§ </w:t>
      </w:r>
      <w:r w:rsidR="00ED4412">
        <w:t>423.19(f) that the generating unit will cease combustion of coal no later than</w:t>
      </w:r>
      <w:r w:rsidRPr="00090D37" w:rsidDel="00ED4412">
        <w:rPr>
          <w:rFonts w:eastAsia="Arial" w:cs="Arial"/>
          <w:szCs w:val="24"/>
        </w:rPr>
        <w:t xml:space="preserve"> </w:t>
      </w:r>
      <w:r w:rsidR="00B525B2">
        <w:rPr>
          <w:rFonts w:eastAsia="Arial" w:cs="Arial"/>
          <w:szCs w:val="24"/>
        </w:rPr>
        <w:t xml:space="preserve">December 31, </w:t>
      </w:r>
      <w:r w:rsidRPr="00090D37">
        <w:rPr>
          <w:rFonts w:eastAsia="Arial" w:cs="Arial"/>
          <w:szCs w:val="24"/>
        </w:rPr>
        <w:t>2028, and</w:t>
      </w:r>
    </w:p>
    <w:p w14:paraId="73728C95" w14:textId="5ED3F893" w:rsidR="00090D37" w:rsidRDefault="370F0E03" w:rsidP="00090D37">
      <w:pPr>
        <w:spacing w:after="0"/>
        <w:ind w:left="1080"/>
        <w:rPr>
          <w:rFonts w:eastAsia="Arial" w:cs="Arial"/>
          <w:szCs w:val="24"/>
        </w:rPr>
      </w:pPr>
      <w:r w:rsidRPr="00090D37">
        <w:rPr>
          <w:rFonts w:eastAsia="Arial" w:cs="Arial"/>
          <w:szCs w:val="24"/>
        </w:rPr>
        <w:t>(3) low utilization EGUs</w:t>
      </w:r>
      <w:r w:rsidR="00F91523">
        <w:rPr>
          <w:rFonts w:eastAsia="Arial" w:cs="Arial"/>
          <w:szCs w:val="24"/>
        </w:rPr>
        <w:t xml:space="preserve">, meaning the </w:t>
      </w:r>
      <w:r w:rsidR="00591AAF">
        <w:rPr>
          <w:rFonts w:eastAsia="Arial" w:cs="Arial"/>
          <w:szCs w:val="24"/>
        </w:rPr>
        <w:t>facility owner certifies, and annually recertifies, that the two-year average annual capacity utilization rating is less than 10 percent.</w:t>
      </w:r>
      <w:r w:rsidRPr="00090D37">
        <w:rPr>
          <w:rFonts w:eastAsia="Arial" w:cs="Arial"/>
          <w:szCs w:val="24"/>
        </w:rPr>
        <w:t xml:space="preserve">  </w:t>
      </w:r>
    </w:p>
    <w:p w14:paraId="7F319341" w14:textId="0CFB2544" w:rsidR="00B024F5" w:rsidRPr="00090D37" w:rsidRDefault="00A6734F" w:rsidP="00593A87">
      <w:pPr>
        <w:spacing w:after="0"/>
        <w:ind w:left="720"/>
        <w:rPr>
          <w:rFonts w:eastAsia="Arial" w:cs="Arial"/>
          <w:szCs w:val="24"/>
        </w:rPr>
      </w:pPr>
      <w:r>
        <w:rPr>
          <w:rFonts w:eastAsia="Arial" w:cs="Arial"/>
          <w:szCs w:val="24"/>
        </w:rPr>
        <w:t>Georgia Power</w:t>
      </w:r>
      <w:r w:rsidR="005F3D2F" w:rsidRPr="00090D37">
        <w:rPr>
          <w:rFonts w:eastAsia="Arial" w:cs="Arial"/>
          <w:szCs w:val="24"/>
        </w:rPr>
        <w:t xml:space="preserve"> does not have any plants that qualify</w:t>
      </w:r>
      <w:r w:rsidR="00E27852" w:rsidRPr="00090D37">
        <w:rPr>
          <w:rFonts w:eastAsia="Arial" w:cs="Arial"/>
          <w:szCs w:val="24"/>
        </w:rPr>
        <w:t xml:space="preserve"> as high-flow FGD plants</w:t>
      </w:r>
      <w:r w:rsidR="003E30C3" w:rsidRPr="00090D37">
        <w:rPr>
          <w:rFonts w:eastAsia="Arial" w:cs="Arial"/>
          <w:szCs w:val="24"/>
        </w:rPr>
        <w:t xml:space="preserve"> and as such it was not available for consideration.</w:t>
      </w:r>
    </w:p>
    <w:p w14:paraId="4C9AD29D" w14:textId="77777777" w:rsidR="00593A87" w:rsidRDefault="00593A87" w:rsidP="00593A87">
      <w:pPr>
        <w:spacing w:after="0"/>
        <w:rPr>
          <w:rFonts w:eastAsia="Arial" w:cs="Arial"/>
          <w:color w:val="000000" w:themeColor="text1"/>
          <w:szCs w:val="24"/>
        </w:rPr>
      </w:pPr>
    </w:p>
    <w:p w14:paraId="3CF3E449" w14:textId="2A885E6A" w:rsidR="00B024F5" w:rsidRPr="00421BDF" w:rsidRDefault="370F0E03" w:rsidP="00E654CE">
      <w:pPr>
        <w:rPr>
          <w:rFonts w:eastAsia="Arial" w:cs="Arial"/>
          <w:szCs w:val="24"/>
        </w:rPr>
      </w:pPr>
      <w:r w:rsidRPr="452DFED5">
        <w:rPr>
          <w:rFonts w:eastAsia="Arial" w:cs="Arial"/>
          <w:color w:val="000000" w:themeColor="text1"/>
          <w:szCs w:val="24"/>
        </w:rPr>
        <w:t xml:space="preserve">For both FGD wastewater and bottom ash transport water, the generally applicable BAT </w:t>
      </w:r>
      <w:r w:rsidR="00F35EA8" w:rsidRPr="452DFED5">
        <w:rPr>
          <w:rFonts w:eastAsia="Arial" w:cs="Arial"/>
          <w:color w:val="000000" w:themeColor="text1"/>
          <w:szCs w:val="24"/>
        </w:rPr>
        <w:t>limits, do</w:t>
      </w:r>
      <w:r w:rsidRPr="452DFED5">
        <w:rPr>
          <w:rFonts w:eastAsia="Arial" w:cs="Arial"/>
          <w:color w:val="000000" w:themeColor="text1"/>
          <w:szCs w:val="24"/>
        </w:rPr>
        <w:t xml:space="preserve"> not apply until the permitting authority determines a date that is as soon as possible on or after October 13, 2021, but no later than December 31, 2025. The BAT limits for low utilization EGUs must be met by December 31, 2023.</w:t>
      </w:r>
    </w:p>
    <w:p w14:paraId="7BB8CF22" w14:textId="2FE1E38C" w:rsidR="00BC4A9B" w:rsidRPr="00E654CE" w:rsidRDefault="0080020C" w:rsidP="00E654CE">
      <w:pPr>
        <w:rPr>
          <w:rFonts w:eastAsia="Arial" w:cs="Arial"/>
          <w:color w:val="000000" w:themeColor="text1"/>
          <w:szCs w:val="24"/>
        </w:rPr>
      </w:pPr>
      <w:r>
        <w:rPr>
          <w:rFonts w:eastAsia="Arial" w:cs="Arial"/>
          <w:color w:val="000000" w:themeColor="text1"/>
          <w:szCs w:val="24"/>
        </w:rPr>
        <w:t>In 2020</w:t>
      </w:r>
      <w:r w:rsidR="002833AB">
        <w:rPr>
          <w:rFonts w:eastAsia="Arial" w:cs="Arial"/>
          <w:color w:val="000000" w:themeColor="text1"/>
          <w:szCs w:val="24"/>
        </w:rPr>
        <w:t>,</w:t>
      </w:r>
      <w:r>
        <w:rPr>
          <w:rFonts w:eastAsia="Arial" w:cs="Arial"/>
          <w:color w:val="000000" w:themeColor="text1"/>
          <w:szCs w:val="24"/>
        </w:rPr>
        <w:t xml:space="preserve"> the </w:t>
      </w:r>
      <w:r w:rsidR="00E67569">
        <w:rPr>
          <w:rFonts w:eastAsia="Arial" w:cs="Arial"/>
          <w:color w:val="000000" w:themeColor="text1"/>
          <w:szCs w:val="24"/>
        </w:rPr>
        <w:t>ELG</w:t>
      </w:r>
      <w:r>
        <w:rPr>
          <w:rFonts w:eastAsia="Arial" w:cs="Arial"/>
          <w:color w:val="000000" w:themeColor="text1"/>
          <w:szCs w:val="24"/>
        </w:rPr>
        <w:t xml:space="preserve"> </w:t>
      </w:r>
      <w:r w:rsidR="00114243">
        <w:rPr>
          <w:rFonts w:eastAsia="Arial" w:cs="Arial"/>
          <w:color w:val="000000" w:themeColor="text1"/>
          <w:szCs w:val="24"/>
        </w:rPr>
        <w:t xml:space="preserve">Reconsideration Rule </w:t>
      </w:r>
      <w:r w:rsidR="001A0893">
        <w:rPr>
          <w:rFonts w:eastAsia="Arial" w:cs="Arial"/>
          <w:color w:val="000000" w:themeColor="text1"/>
          <w:szCs w:val="24"/>
        </w:rPr>
        <w:t>was</w:t>
      </w:r>
      <w:r w:rsidR="00114243">
        <w:rPr>
          <w:rFonts w:eastAsia="Arial" w:cs="Arial"/>
          <w:color w:val="000000" w:themeColor="text1"/>
          <w:szCs w:val="24"/>
        </w:rPr>
        <w:t xml:space="preserve"> challenged by </w:t>
      </w:r>
      <w:r w:rsidR="007D0D90">
        <w:rPr>
          <w:rFonts w:eastAsia="Arial" w:cs="Arial"/>
          <w:color w:val="000000" w:themeColor="text1"/>
          <w:szCs w:val="24"/>
        </w:rPr>
        <w:t xml:space="preserve">environmental </w:t>
      </w:r>
      <w:r w:rsidR="0091720A">
        <w:rPr>
          <w:rFonts w:eastAsia="Arial" w:cs="Arial"/>
          <w:color w:val="000000" w:themeColor="text1"/>
          <w:szCs w:val="24"/>
        </w:rPr>
        <w:t xml:space="preserve">groups </w:t>
      </w:r>
      <w:r w:rsidR="0091083B">
        <w:rPr>
          <w:rFonts w:eastAsia="Arial" w:cs="Arial"/>
          <w:color w:val="000000" w:themeColor="text1"/>
          <w:szCs w:val="24"/>
        </w:rPr>
        <w:t xml:space="preserve">and consolidated in the </w:t>
      </w:r>
      <w:r w:rsidR="001108D0">
        <w:rPr>
          <w:rFonts w:eastAsia="Arial" w:cs="Arial"/>
          <w:color w:val="000000" w:themeColor="text1"/>
          <w:szCs w:val="24"/>
        </w:rPr>
        <w:t xml:space="preserve">U.S. </w:t>
      </w:r>
      <w:r w:rsidR="0091083B">
        <w:rPr>
          <w:rFonts w:eastAsia="Arial" w:cs="Arial"/>
          <w:color w:val="000000" w:themeColor="text1"/>
          <w:szCs w:val="24"/>
        </w:rPr>
        <w:t>Court of Appeals</w:t>
      </w:r>
      <w:r w:rsidR="001108D0">
        <w:rPr>
          <w:rFonts w:eastAsia="Arial" w:cs="Arial"/>
          <w:color w:val="000000" w:themeColor="text1"/>
          <w:szCs w:val="24"/>
        </w:rPr>
        <w:t xml:space="preserve"> for the</w:t>
      </w:r>
      <w:r w:rsidR="006753D3">
        <w:rPr>
          <w:rFonts w:eastAsia="Arial" w:cs="Arial"/>
          <w:color w:val="000000" w:themeColor="text1"/>
          <w:szCs w:val="24"/>
        </w:rPr>
        <w:t xml:space="preserve"> </w:t>
      </w:r>
      <w:r w:rsidR="001108D0">
        <w:rPr>
          <w:rFonts w:eastAsia="Arial" w:cs="Arial"/>
          <w:color w:val="000000" w:themeColor="text1"/>
          <w:szCs w:val="24"/>
        </w:rPr>
        <w:t xml:space="preserve">Fourth Circuit </w:t>
      </w:r>
      <w:r w:rsidR="006753D3">
        <w:rPr>
          <w:rFonts w:eastAsia="Arial" w:cs="Arial"/>
          <w:color w:val="000000" w:themeColor="text1"/>
          <w:szCs w:val="24"/>
        </w:rPr>
        <w:t>with i</w:t>
      </w:r>
      <w:r w:rsidR="0091083B">
        <w:rPr>
          <w:rFonts w:eastAsia="Arial" w:cs="Arial"/>
          <w:color w:val="000000" w:themeColor="text1"/>
          <w:szCs w:val="24"/>
        </w:rPr>
        <w:t xml:space="preserve">ndustry groups </w:t>
      </w:r>
      <w:r w:rsidR="006753D3">
        <w:rPr>
          <w:rFonts w:eastAsia="Arial" w:cs="Arial"/>
          <w:color w:val="000000" w:themeColor="text1"/>
          <w:szCs w:val="24"/>
        </w:rPr>
        <w:t xml:space="preserve">intervening </w:t>
      </w:r>
      <w:r w:rsidR="00674B3F">
        <w:rPr>
          <w:rFonts w:eastAsia="Arial" w:cs="Arial"/>
          <w:color w:val="000000" w:themeColor="text1"/>
          <w:szCs w:val="24"/>
        </w:rPr>
        <w:t>in the case</w:t>
      </w:r>
      <w:r w:rsidR="0091083B">
        <w:rPr>
          <w:rFonts w:eastAsia="Arial" w:cs="Arial"/>
          <w:color w:val="000000" w:themeColor="text1"/>
          <w:szCs w:val="24"/>
        </w:rPr>
        <w:t>.</w:t>
      </w:r>
      <w:r w:rsidR="0091134C">
        <w:rPr>
          <w:rFonts w:eastAsia="Arial" w:cs="Arial"/>
          <w:color w:val="000000" w:themeColor="text1"/>
          <w:szCs w:val="24"/>
        </w:rPr>
        <w:t xml:space="preserve"> </w:t>
      </w:r>
      <w:r w:rsidR="00653A8E">
        <w:rPr>
          <w:rFonts w:eastAsia="Arial" w:cs="Arial"/>
          <w:color w:val="000000" w:themeColor="text1"/>
          <w:szCs w:val="24"/>
        </w:rPr>
        <w:t xml:space="preserve">Through </w:t>
      </w:r>
      <w:r w:rsidR="00943A75">
        <w:rPr>
          <w:rFonts w:eastAsia="Arial" w:cs="Arial"/>
          <w:color w:val="000000" w:themeColor="text1"/>
          <w:szCs w:val="24"/>
        </w:rPr>
        <w:t>mid-</w:t>
      </w:r>
      <w:r w:rsidR="00653A8E">
        <w:rPr>
          <w:rFonts w:eastAsia="Arial" w:cs="Arial"/>
          <w:color w:val="000000" w:themeColor="text1"/>
          <w:szCs w:val="24"/>
        </w:rPr>
        <w:t xml:space="preserve">2021, </w:t>
      </w:r>
      <w:r w:rsidR="00CF6A05">
        <w:rPr>
          <w:rFonts w:eastAsia="Arial" w:cs="Arial"/>
          <w:color w:val="000000" w:themeColor="text1"/>
          <w:szCs w:val="24"/>
        </w:rPr>
        <w:t>several court delays were followed by EPA’s motion fo</w:t>
      </w:r>
      <w:r w:rsidR="001A0893">
        <w:rPr>
          <w:rFonts w:eastAsia="Arial" w:cs="Arial"/>
          <w:color w:val="000000" w:themeColor="text1"/>
          <w:szCs w:val="24"/>
        </w:rPr>
        <w:t xml:space="preserve">r </w:t>
      </w:r>
      <w:r w:rsidR="00975EF3">
        <w:rPr>
          <w:rFonts w:eastAsia="Arial" w:cs="Arial"/>
          <w:color w:val="000000" w:themeColor="text1"/>
          <w:szCs w:val="24"/>
        </w:rPr>
        <w:t>indefinite</w:t>
      </w:r>
      <w:r w:rsidR="00CF6A05">
        <w:rPr>
          <w:rFonts w:eastAsia="Arial" w:cs="Arial"/>
          <w:color w:val="000000" w:themeColor="text1"/>
          <w:szCs w:val="24"/>
        </w:rPr>
        <w:t xml:space="preserve"> abeyance of the case until the </w:t>
      </w:r>
      <w:r w:rsidR="00010753">
        <w:rPr>
          <w:rFonts w:eastAsia="Arial" w:cs="Arial"/>
          <w:color w:val="000000" w:themeColor="text1"/>
          <w:szCs w:val="24"/>
        </w:rPr>
        <w:t xml:space="preserve">new rule revising the </w:t>
      </w:r>
      <w:r w:rsidR="00E61129">
        <w:rPr>
          <w:rFonts w:eastAsia="Arial" w:cs="Arial"/>
          <w:color w:val="000000" w:themeColor="text1"/>
          <w:szCs w:val="24"/>
        </w:rPr>
        <w:t xml:space="preserve">ELG </w:t>
      </w:r>
      <w:r w:rsidR="00010753">
        <w:rPr>
          <w:rFonts w:eastAsia="Arial" w:cs="Arial"/>
          <w:color w:val="000000" w:themeColor="text1"/>
          <w:szCs w:val="24"/>
        </w:rPr>
        <w:t>Reconsideration Rule is finalized</w:t>
      </w:r>
      <w:r w:rsidR="005B63BB">
        <w:rPr>
          <w:rFonts w:eastAsia="Arial" w:cs="Arial"/>
          <w:color w:val="000000" w:themeColor="text1"/>
          <w:szCs w:val="24"/>
        </w:rPr>
        <w:t>, as discussed below</w:t>
      </w:r>
      <w:r w:rsidR="00010753">
        <w:rPr>
          <w:rFonts w:eastAsia="Arial" w:cs="Arial"/>
          <w:color w:val="000000" w:themeColor="text1"/>
          <w:szCs w:val="24"/>
        </w:rPr>
        <w:t>.</w:t>
      </w:r>
      <w:r w:rsidR="00653A8E">
        <w:rPr>
          <w:rFonts w:eastAsia="Arial" w:cs="Arial"/>
          <w:color w:val="000000" w:themeColor="text1"/>
          <w:szCs w:val="24"/>
        </w:rPr>
        <w:t xml:space="preserve"> </w:t>
      </w:r>
    </w:p>
    <w:p w14:paraId="19317B12" w14:textId="2FB7EAB9" w:rsidR="001B3304" w:rsidRDefault="00C42BF5" w:rsidP="00877775">
      <w:pPr>
        <w:pStyle w:val="Heading4"/>
      </w:pPr>
      <w:r>
        <w:t xml:space="preserve">2021 </w:t>
      </w:r>
      <w:r w:rsidR="001B3304">
        <w:t>Re</w:t>
      </w:r>
      <w:r w:rsidR="00862760">
        <w:t xml:space="preserve">consideration of the 2020 </w:t>
      </w:r>
      <w:r w:rsidR="00E61129">
        <w:t xml:space="preserve">ELG </w:t>
      </w:r>
      <w:r w:rsidR="001B3304">
        <w:t>Reconsideration Rule</w:t>
      </w:r>
    </w:p>
    <w:p w14:paraId="06B76AD4" w14:textId="5FF99683" w:rsidR="00D066A9" w:rsidRDefault="00603B97" w:rsidP="00E654CE">
      <w:pPr>
        <w:rPr>
          <w:rFonts w:eastAsia="Arial" w:cs="Arial"/>
          <w:color w:val="000000" w:themeColor="text1"/>
        </w:rPr>
      </w:pPr>
      <w:r>
        <w:rPr>
          <w:rFonts w:eastAsia="Arial" w:cs="Arial"/>
          <w:color w:val="000000" w:themeColor="text1"/>
        </w:rPr>
        <w:t>O</w:t>
      </w:r>
      <w:r w:rsidR="00943A75" w:rsidRPr="373BFE13">
        <w:rPr>
          <w:rFonts w:eastAsia="Arial" w:cs="Arial"/>
          <w:color w:val="000000" w:themeColor="text1"/>
        </w:rPr>
        <w:t xml:space="preserve">n August </w:t>
      </w:r>
      <w:r>
        <w:rPr>
          <w:rFonts w:eastAsia="Arial" w:cs="Arial"/>
          <w:color w:val="000000" w:themeColor="text1"/>
        </w:rPr>
        <w:t xml:space="preserve">3, </w:t>
      </w:r>
      <w:r w:rsidR="00D066A9" w:rsidRPr="373BFE13">
        <w:rPr>
          <w:rFonts w:eastAsia="Arial" w:cs="Arial"/>
          <w:color w:val="000000" w:themeColor="text1"/>
        </w:rPr>
        <w:t>2021, EPA</w:t>
      </w:r>
      <w:r w:rsidR="00D066A9" w:rsidRPr="373BFE13" w:rsidDel="00676C7F">
        <w:rPr>
          <w:rFonts w:eastAsia="Arial" w:cs="Arial"/>
          <w:color w:val="000000" w:themeColor="text1"/>
        </w:rPr>
        <w:t xml:space="preserve"> </w:t>
      </w:r>
      <w:r w:rsidR="00D066A9" w:rsidRPr="373BFE13">
        <w:rPr>
          <w:rFonts w:eastAsia="Arial" w:cs="Arial"/>
          <w:color w:val="000000" w:themeColor="text1"/>
        </w:rPr>
        <w:t xml:space="preserve">announced </w:t>
      </w:r>
      <w:r w:rsidR="00C05862">
        <w:rPr>
          <w:rFonts w:eastAsia="Arial" w:cs="Arial"/>
          <w:color w:val="000000" w:themeColor="text1"/>
        </w:rPr>
        <w:t>in a Federal Regist</w:t>
      </w:r>
      <w:r w:rsidR="00525629">
        <w:rPr>
          <w:rFonts w:eastAsia="Arial" w:cs="Arial"/>
          <w:color w:val="000000" w:themeColor="text1"/>
        </w:rPr>
        <w:t>er</w:t>
      </w:r>
      <w:r w:rsidR="00C05862">
        <w:rPr>
          <w:rFonts w:eastAsia="Arial" w:cs="Arial"/>
          <w:color w:val="000000" w:themeColor="text1"/>
        </w:rPr>
        <w:t xml:space="preserve"> notice</w:t>
      </w:r>
      <w:r w:rsidR="00525629">
        <w:rPr>
          <w:rFonts w:eastAsia="Arial" w:cs="Arial"/>
          <w:color w:val="000000" w:themeColor="text1"/>
        </w:rPr>
        <w:t xml:space="preserve"> </w:t>
      </w:r>
      <w:r w:rsidR="00672F75">
        <w:rPr>
          <w:rFonts w:eastAsia="Arial" w:cs="Arial"/>
          <w:color w:val="000000" w:themeColor="text1"/>
        </w:rPr>
        <w:t>its decision</w:t>
      </w:r>
      <w:r w:rsidR="00816C09" w:rsidRPr="373BFE13">
        <w:rPr>
          <w:rFonts w:eastAsia="Arial" w:cs="Arial"/>
          <w:color w:val="000000" w:themeColor="text1"/>
        </w:rPr>
        <w:t xml:space="preserve"> to revise the </w:t>
      </w:r>
      <w:r w:rsidR="00E61129">
        <w:rPr>
          <w:rFonts w:eastAsia="Arial" w:cs="Arial"/>
          <w:color w:val="000000" w:themeColor="text1"/>
        </w:rPr>
        <w:t xml:space="preserve">ELG </w:t>
      </w:r>
      <w:r w:rsidR="00816C09" w:rsidRPr="373BFE13">
        <w:rPr>
          <w:rFonts w:eastAsia="Arial" w:cs="Arial"/>
          <w:color w:val="000000" w:themeColor="text1"/>
        </w:rPr>
        <w:t xml:space="preserve">Reconsideration Rule. </w:t>
      </w:r>
      <w:r w:rsidR="004E1365" w:rsidRPr="373BFE13">
        <w:rPr>
          <w:rFonts w:eastAsia="Arial" w:cs="Arial"/>
          <w:color w:val="000000" w:themeColor="text1"/>
        </w:rPr>
        <w:t>The announcement comes after EPA</w:t>
      </w:r>
      <w:r w:rsidR="001D5FC3" w:rsidRPr="373BFE13">
        <w:rPr>
          <w:rFonts w:eastAsia="Arial" w:cs="Arial"/>
          <w:color w:val="000000" w:themeColor="text1"/>
        </w:rPr>
        <w:t>’s</w:t>
      </w:r>
      <w:r w:rsidR="004E1365" w:rsidRPr="373BFE13">
        <w:rPr>
          <w:rFonts w:eastAsia="Arial" w:cs="Arial"/>
          <w:color w:val="000000" w:themeColor="text1"/>
        </w:rPr>
        <w:t xml:space="preserve"> review of the </w:t>
      </w:r>
      <w:r w:rsidR="00E61129">
        <w:rPr>
          <w:rFonts w:eastAsia="Arial" w:cs="Arial"/>
          <w:color w:val="000000" w:themeColor="text1"/>
        </w:rPr>
        <w:t xml:space="preserve">ELG </w:t>
      </w:r>
      <w:r w:rsidR="004E1365" w:rsidRPr="373BFE13">
        <w:rPr>
          <w:rFonts w:eastAsia="Arial" w:cs="Arial"/>
          <w:color w:val="000000" w:themeColor="text1"/>
        </w:rPr>
        <w:t>Reconsideration Rule under the Biden Administration’s E</w:t>
      </w:r>
      <w:r w:rsidR="00B04854" w:rsidRPr="373BFE13">
        <w:rPr>
          <w:rFonts w:eastAsia="Arial" w:cs="Arial"/>
          <w:color w:val="000000" w:themeColor="text1"/>
        </w:rPr>
        <w:t xml:space="preserve">O </w:t>
      </w:r>
      <w:r w:rsidR="004E1365" w:rsidRPr="373BFE13">
        <w:rPr>
          <w:rFonts w:eastAsia="Arial" w:cs="Arial"/>
          <w:color w:val="000000" w:themeColor="text1"/>
        </w:rPr>
        <w:t xml:space="preserve">13990.  The EPA suggests </w:t>
      </w:r>
      <w:r w:rsidR="00031F9E" w:rsidRPr="373BFE13">
        <w:rPr>
          <w:rFonts w:eastAsia="Arial" w:cs="Arial"/>
          <w:color w:val="000000" w:themeColor="text1"/>
        </w:rPr>
        <w:t>it will consider whether more stringent ELGs are appropriate for FG</w:t>
      </w:r>
      <w:r w:rsidR="00AD50F1">
        <w:rPr>
          <w:rFonts w:eastAsia="Arial" w:cs="Arial"/>
          <w:color w:val="000000" w:themeColor="text1"/>
        </w:rPr>
        <w:t>D</w:t>
      </w:r>
      <w:r w:rsidR="00031F9E" w:rsidRPr="373BFE13">
        <w:rPr>
          <w:rFonts w:eastAsia="Arial" w:cs="Arial"/>
          <w:color w:val="000000" w:themeColor="text1"/>
        </w:rPr>
        <w:t xml:space="preserve"> wastewater based on advancement of treatment technologies</w:t>
      </w:r>
      <w:r w:rsidR="0012112B" w:rsidRPr="373BFE13">
        <w:rPr>
          <w:rFonts w:eastAsia="Arial" w:cs="Arial"/>
          <w:color w:val="000000" w:themeColor="text1"/>
        </w:rPr>
        <w:t>, including membrane</w:t>
      </w:r>
      <w:r w:rsidR="00C040A1">
        <w:rPr>
          <w:rFonts w:eastAsia="Arial" w:cs="Arial"/>
          <w:color w:val="000000" w:themeColor="text1"/>
        </w:rPr>
        <w:t>-based</w:t>
      </w:r>
      <w:r w:rsidR="0012112B" w:rsidRPr="373BFE13">
        <w:rPr>
          <w:rFonts w:eastAsia="Arial" w:cs="Arial"/>
          <w:color w:val="000000" w:themeColor="text1"/>
        </w:rPr>
        <w:t xml:space="preserve"> treatment. The notice of rulemaking clarified that permitting authorities should continue to implement the current regulations (</w:t>
      </w:r>
      <w:r w:rsidR="00E61129">
        <w:rPr>
          <w:rFonts w:eastAsia="Arial" w:cs="Arial"/>
          <w:color w:val="000000" w:themeColor="text1"/>
        </w:rPr>
        <w:t xml:space="preserve">ELG </w:t>
      </w:r>
      <w:r w:rsidR="0012112B" w:rsidRPr="373BFE13">
        <w:rPr>
          <w:rFonts w:eastAsia="Arial" w:cs="Arial"/>
          <w:color w:val="000000" w:themeColor="text1"/>
        </w:rPr>
        <w:t>Reconsideration Rule) during the rulemaking process.</w:t>
      </w:r>
      <w:r w:rsidR="0032212A" w:rsidRPr="373BFE13">
        <w:rPr>
          <w:rFonts w:eastAsia="Arial" w:cs="Arial"/>
          <w:color w:val="000000" w:themeColor="text1"/>
        </w:rPr>
        <w:t xml:space="preserve"> EPA </w:t>
      </w:r>
      <w:r w:rsidR="00D6321D">
        <w:rPr>
          <w:rFonts w:eastAsia="Arial" w:cs="Arial"/>
          <w:color w:val="000000" w:themeColor="text1"/>
        </w:rPr>
        <w:t>intends to sign</w:t>
      </w:r>
      <w:r w:rsidR="003C599F">
        <w:rPr>
          <w:rFonts w:eastAsia="Arial" w:cs="Arial"/>
          <w:color w:val="000000" w:themeColor="text1"/>
        </w:rPr>
        <w:t xml:space="preserve"> a proposed rule for public comment in the Fall of 2022.</w:t>
      </w:r>
    </w:p>
    <w:p w14:paraId="4595664C" w14:textId="4BB99075" w:rsidR="000A39A9" w:rsidRPr="00BC5685" w:rsidRDefault="00304977" w:rsidP="002531D4">
      <w:pPr>
        <w:pStyle w:val="Heading3"/>
        <w:rPr>
          <w:color w:val="000080"/>
        </w:rPr>
      </w:pPr>
      <w:bookmarkStart w:id="48" w:name="_Toc94197898"/>
      <w:r w:rsidRPr="00154A78">
        <w:t>3.</w:t>
      </w:r>
      <w:r w:rsidR="00E2493E">
        <w:t>4</w:t>
      </w:r>
      <w:r w:rsidR="00865FF2" w:rsidRPr="00154A78">
        <w:t>.1</w:t>
      </w:r>
      <w:r w:rsidR="0065273E">
        <w:t>3</w:t>
      </w:r>
      <w:r w:rsidR="00154A78">
        <w:t xml:space="preserve"> </w:t>
      </w:r>
      <w:r w:rsidR="000A39A9" w:rsidRPr="00BC5685">
        <w:t>County of Maui</w:t>
      </w:r>
      <w:bookmarkEnd w:id="48"/>
    </w:p>
    <w:p w14:paraId="0F824741" w14:textId="77777777" w:rsidR="000A39A9" w:rsidRDefault="000A39A9" w:rsidP="009C7652">
      <w:pPr>
        <w:rPr>
          <w:color w:val="171717"/>
        </w:rPr>
      </w:pPr>
      <w:r>
        <w:rPr>
          <w:color w:val="171717"/>
        </w:rPr>
        <w:t xml:space="preserve">In February 2019, the U.S. Supreme Court agreed to consider the question of whether a CWA permit is required for pollutants that originate from a point source and are conveyed through a non-point source such as groundwater to a WOTUS.  </w:t>
      </w:r>
      <w:r>
        <w:rPr>
          <w:color w:val="171717" w:themeColor="background2" w:themeShade="1A"/>
        </w:rPr>
        <w:t>I</w:t>
      </w:r>
      <w:r w:rsidRPr="6B962019">
        <w:rPr>
          <w:color w:val="171717" w:themeColor="background2" w:themeShade="1A"/>
        </w:rPr>
        <w:t xml:space="preserve">n November 2019, the U.S. Supreme Court heard oral argument in </w:t>
      </w:r>
      <w:r w:rsidRPr="6B962019">
        <w:rPr>
          <w:i/>
          <w:color w:val="171717" w:themeColor="background2" w:themeShade="1A"/>
        </w:rPr>
        <w:t>County of Maui</w:t>
      </w:r>
      <w:r w:rsidRPr="6B962019">
        <w:rPr>
          <w:color w:val="171717" w:themeColor="background2" w:themeShade="1A"/>
        </w:rPr>
        <w:t xml:space="preserve"> on the issue of whether discharges of pollutants from a point source </w:t>
      </w:r>
      <w:r>
        <w:rPr>
          <w:color w:val="171717" w:themeColor="background2" w:themeShade="1A"/>
        </w:rPr>
        <w:t xml:space="preserve">that are conveyed to </w:t>
      </w:r>
      <w:r w:rsidRPr="6B962019">
        <w:rPr>
          <w:color w:val="171717" w:themeColor="background2" w:themeShade="1A"/>
        </w:rPr>
        <w:t xml:space="preserve">surface water </w:t>
      </w:r>
      <w:r>
        <w:rPr>
          <w:color w:val="171717" w:themeColor="background2" w:themeShade="1A"/>
        </w:rPr>
        <w:t>through a non-point source, such as groundwater,</w:t>
      </w:r>
      <w:r w:rsidRPr="6B962019">
        <w:rPr>
          <w:color w:val="171717" w:themeColor="background2" w:themeShade="1A"/>
        </w:rPr>
        <w:t xml:space="preserve"> are subject to the Clean Water Act’s point source permitting program.  Relying on the plain language and structure of the CWA, the County argued that such </w:t>
      </w:r>
      <w:r>
        <w:rPr>
          <w:color w:val="171717" w:themeColor="background2" w:themeShade="1A"/>
        </w:rPr>
        <w:t>discharges</w:t>
      </w:r>
      <w:r w:rsidRPr="6B962019">
        <w:rPr>
          <w:color w:val="171717" w:themeColor="background2" w:themeShade="1A"/>
        </w:rPr>
        <w:t xml:space="preserve"> are not subject to the program.  The federal government—who filed an amicus brief in support of the County—agreed that such releases do not require permits because releases to groundwater are categorically excluded from regulation under the CWA’s point source program.  The environmental groups (who prevailed in the lower courts) argued that the CWA requires permitting for releases to groundwater when it is foreseeable that those releases will reach surface water. </w:t>
      </w:r>
      <w:r>
        <w:rPr>
          <w:color w:val="171717" w:themeColor="background2" w:themeShade="1A"/>
        </w:rPr>
        <w:t xml:space="preserve"> </w:t>
      </w:r>
    </w:p>
    <w:p w14:paraId="13F453B2" w14:textId="37E6896C" w:rsidR="000A39A9" w:rsidRPr="000A0E2B" w:rsidRDefault="000A39A9" w:rsidP="009C7652">
      <w:r>
        <w:t>I</w:t>
      </w:r>
      <w:r w:rsidRPr="000A0E2B">
        <w:t xml:space="preserve">n April 2020, </w:t>
      </w:r>
      <w:r w:rsidRPr="6B962019">
        <w:t xml:space="preserve">the Court </w:t>
      </w:r>
      <w:r w:rsidRPr="000A0E2B">
        <w:t xml:space="preserve">released </w:t>
      </w:r>
      <w:r w:rsidRPr="6B962019">
        <w:t>its</w:t>
      </w:r>
      <w:r w:rsidRPr="000A0E2B">
        <w:t xml:space="preserve"> decision in the </w:t>
      </w:r>
      <w:r>
        <w:rPr>
          <w:i/>
          <w:iCs/>
        </w:rPr>
        <w:t xml:space="preserve">County of </w:t>
      </w:r>
      <w:r>
        <w:rPr>
          <w:i/>
        </w:rPr>
        <w:t>Maui</w:t>
      </w:r>
      <w:r>
        <w:t>, ruling that the CWA requires a permit for both a direct discharge from a point source into navigable waters and where pollutants from a point source reach navigable waters after passing through groundwater if the facts demonstrate the “functional equivalent of a direct discharge</w:t>
      </w:r>
      <w:r w:rsidR="27A7597C">
        <w:t>”</w:t>
      </w:r>
      <w:r w:rsidR="001108D0">
        <w:t xml:space="preserve"> and identified seven factors that could be considered.</w:t>
      </w:r>
      <w:r>
        <w:t xml:space="preserve">  It remains unclear how district courts will interpret and apply the “functional equivalent” test.</w:t>
      </w:r>
    </w:p>
    <w:p w14:paraId="1F3B874B" w14:textId="77777777" w:rsidR="000A39A9" w:rsidRDefault="000A39A9" w:rsidP="009C7652">
      <w:r w:rsidRPr="00284547">
        <w:t xml:space="preserve">On December 10, 2020, the EPA published draft guidance intended to clarify how the Supreme Court’s </w:t>
      </w:r>
      <w:r w:rsidRPr="00967758">
        <w:rPr>
          <w:i/>
        </w:rPr>
        <w:t>County of Maui</w:t>
      </w:r>
      <w:r w:rsidRPr="00284547">
        <w:t xml:space="preserve"> decision should be applied under the </w:t>
      </w:r>
      <w:r>
        <w:t xml:space="preserve">CWA </w:t>
      </w:r>
      <w:r w:rsidRPr="00284547">
        <w:t xml:space="preserve">NPDES permit program. The draft guidance addresses discharges of pollutants that reach </w:t>
      </w:r>
      <w:r>
        <w:t>WOTUS</w:t>
      </w:r>
      <w:r w:rsidRPr="00284547">
        <w:t xml:space="preserve"> through </w:t>
      </w:r>
      <w:r w:rsidRPr="2F03CF65">
        <w:t>groundwater</w:t>
      </w:r>
      <w:r>
        <w:t>.</w:t>
      </w:r>
    </w:p>
    <w:p w14:paraId="49C2017E" w14:textId="7BDD8DF9" w:rsidR="000A39A9" w:rsidRDefault="000A39A9" w:rsidP="009C7652">
      <w:r w:rsidRPr="00F20A31">
        <w:t>On January 21, 2021, EPA published in the Federal Register their guidance “Applying the Supreme Court’s County of Maui v. Hawaii Wildlife Fund Decision in the Clean Water Act Section 402 National Pollutant Discharge Elimination System Permit Program.</w:t>
      </w:r>
      <w:r>
        <w:t>”</w:t>
      </w:r>
      <w:r w:rsidRPr="00F20A31">
        <w:t xml:space="preserve"> The document broadly discusses how the Supreme Court’s </w:t>
      </w:r>
      <w:r w:rsidRPr="001108D0">
        <w:rPr>
          <w:i/>
          <w:iCs/>
        </w:rPr>
        <w:t>County of Maui v. Hawaii Wildlife Fund</w:t>
      </w:r>
      <w:r w:rsidRPr="00F20A31">
        <w:t xml:space="preserve"> decision (</w:t>
      </w:r>
      <w:r w:rsidR="001108D0">
        <w:t>f</w:t>
      </w:r>
      <w:r w:rsidRPr="00F20A31">
        <w:t xml:space="preserve">unctional </w:t>
      </w:r>
      <w:r w:rsidR="001108D0">
        <w:t>e</w:t>
      </w:r>
      <w:r w:rsidRPr="00F20A31">
        <w:t>quivalence test) may be applied under the NPDES permit program.</w:t>
      </w:r>
    </w:p>
    <w:p w14:paraId="32C00FEC" w14:textId="4F467286" w:rsidR="000A39A9" w:rsidRDefault="000A39A9" w:rsidP="009C7652">
      <w:r>
        <w:t>On September 16, 2021</w:t>
      </w:r>
      <w:r w:rsidR="00EB546E">
        <w:t>,</w:t>
      </w:r>
      <w:r>
        <w:t xml:space="preserve"> EPA rescinded the guidance document “</w:t>
      </w:r>
      <w:r w:rsidRPr="00F20A31">
        <w:t>Applying the Supreme Court’s County of Maui v. Hawaii Wildlife Fund Decision in the Clean Water Act Section 402 National Pollutant Discharge Elimination System Permit Program.</w:t>
      </w:r>
      <w:r>
        <w:t>” The EPA provided t</w:t>
      </w:r>
      <w:r w:rsidR="00747103">
        <w:t>w</w:t>
      </w:r>
      <w:r>
        <w:t xml:space="preserve">o reasons for rescinding the guidance: </w:t>
      </w:r>
      <w:r w:rsidRPr="00DA64C6">
        <w:t>1) the addition of the eighth factor</w:t>
      </w:r>
      <w:r w:rsidR="001108D0">
        <w:t xml:space="preserve"> in the guidance</w:t>
      </w:r>
      <w:r w:rsidRPr="00DA64C6">
        <w:t xml:space="preserve"> for determining a functional equivalent (the design and performance of the system or facility from which the pollutant is released) is not consistent with the </w:t>
      </w:r>
      <w:r>
        <w:t>CWA</w:t>
      </w:r>
      <w:r w:rsidRPr="00DA64C6">
        <w:t xml:space="preserve"> or the Supreme Court decision and 2) the guidance was issued without proper deliberation within EPA or with its federal partners.</w:t>
      </w:r>
      <w:r>
        <w:t xml:space="preserve"> EPA will </w:t>
      </w:r>
      <w:r w:rsidRPr="00DA64C6">
        <w:t>continue to apply site-specific, science-based evaluations to determine whether a discharge from a point source through groundwater that reaches jurisdictional surface water is a “functional equivalent” of a direct discharge.</w:t>
      </w:r>
    </w:p>
    <w:p w14:paraId="01794522" w14:textId="48537791" w:rsidR="00865FF2" w:rsidRPr="00FC2B29" w:rsidRDefault="00304977" w:rsidP="002531D4">
      <w:pPr>
        <w:pStyle w:val="Heading3"/>
        <w:rPr>
          <w:rFonts w:cs="Arial"/>
          <w:color w:val="000080"/>
        </w:rPr>
      </w:pPr>
      <w:bookmarkStart w:id="49" w:name="_Toc94197899"/>
      <w:r w:rsidRPr="00154A78">
        <w:t>3.</w:t>
      </w:r>
      <w:r w:rsidR="00E2493E">
        <w:t>4</w:t>
      </w:r>
      <w:r w:rsidR="00865FF2" w:rsidRPr="00154A78">
        <w:t>.1</w:t>
      </w:r>
      <w:r w:rsidR="005C17C3">
        <w:t>4</w:t>
      </w:r>
      <w:r w:rsidR="00154A78">
        <w:t xml:space="preserve"> </w:t>
      </w:r>
      <w:r w:rsidR="00865FF2" w:rsidRPr="00154A78">
        <w:t xml:space="preserve">Clean Water Act Section 401 </w:t>
      </w:r>
      <w:r w:rsidR="00865FF2" w:rsidRPr="00FC2B29">
        <w:rPr>
          <w:rFonts w:cs="Arial"/>
          <w:color w:val="000080"/>
        </w:rPr>
        <w:t>Certifications</w:t>
      </w:r>
      <w:bookmarkEnd w:id="49"/>
      <w:r w:rsidR="00865FF2" w:rsidRPr="00FC2B29">
        <w:rPr>
          <w:rFonts w:cs="Arial"/>
          <w:color w:val="000080"/>
        </w:rPr>
        <w:t xml:space="preserve"> </w:t>
      </w:r>
    </w:p>
    <w:p w14:paraId="643DF19A" w14:textId="77777777" w:rsidR="00795E4D" w:rsidRDefault="00795E4D" w:rsidP="00E654CE">
      <w:r w:rsidRPr="00502A2A">
        <w:t>Entities are required to obtain permits or licenses for any discharge into waters of the United States, and CWA Section 401 gives states the authority to grant, deny or waive certification of these licenses or permits if the state determines that the discharge does not comply with existing state water quality requirements.</w:t>
      </w:r>
      <w:r>
        <w:t xml:space="preserve"> </w:t>
      </w:r>
    </w:p>
    <w:p w14:paraId="245DE1B3" w14:textId="168CDEBC" w:rsidR="00865FF2" w:rsidRPr="00502A2A" w:rsidRDefault="00865FF2" w:rsidP="00E654CE">
      <w:r>
        <w:t>I</w:t>
      </w:r>
      <w:r w:rsidRPr="00502A2A">
        <w:t xml:space="preserve">n </w:t>
      </w:r>
      <w:r w:rsidR="00D220D1">
        <w:t>September 2020</w:t>
      </w:r>
      <w:r w:rsidRPr="00502A2A">
        <w:t xml:space="preserve">, a </w:t>
      </w:r>
      <w:r w:rsidRPr="7E34F718">
        <w:t>final</w:t>
      </w:r>
      <w:r>
        <w:t xml:space="preserve"> 401 Certification Rule</w:t>
      </w:r>
      <w:r w:rsidRPr="7E34F718">
        <w:t xml:space="preserve"> </w:t>
      </w:r>
      <w:r w:rsidRPr="00502A2A">
        <w:t>updating procedural requirements for water quality certification</w:t>
      </w:r>
      <w:r w:rsidR="00BB6C27">
        <w:t xml:space="preserve"> became effective</w:t>
      </w:r>
      <w:r w:rsidRPr="00502A2A">
        <w:t xml:space="preserve">.  The </w:t>
      </w:r>
      <w:r w:rsidRPr="7E34F718">
        <w:t>rule</w:t>
      </w:r>
      <w:r w:rsidRPr="00502A2A">
        <w:t xml:space="preserve"> increases the predictability and timeliness of this Section 401 certification by clarifying timeframes and scope of a State’s review of Federal CWA authorizations</w:t>
      </w:r>
      <w:r w:rsidRPr="7E34F718">
        <w:t xml:space="preserve">. </w:t>
      </w:r>
    </w:p>
    <w:p w14:paraId="40A85A48" w14:textId="2E3BC20C" w:rsidR="00865FF2" w:rsidRDefault="00865FF2" w:rsidP="00E654CE">
      <w:r>
        <w:t xml:space="preserve">The final rule is being challenged in the U.S. District Court for the Eastern District of Pennsylvania. </w:t>
      </w:r>
    </w:p>
    <w:p w14:paraId="4B876640" w14:textId="39715F15" w:rsidR="00271E1E" w:rsidRPr="00E654CE" w:rsidRDefault="00BD6844" w:rsidP="00E654CE">
      <w:r>
        <w:rPr>
          <w:color w:val="000000" w:themeColor="text1"/>
        </w:rPr>
        <w:t xml:space="preserve">In </w:t>
      </w:r>
      <w:r w:rsidR="002D520E" w:rsidRPr="12E428E8">
        <w:rPr>
          <w:color w:val="000000" w:themeColor="text1"/>
        </w:rPr>
        <w:t>May 2021</w:t>
      </w:r>
      <w:r>
        <w:rPr>
          <w:color w:val="000000" w:themeColor="text1"/>
        </w:rPr>
        <w:t>,</w:t>
      </w:r>
      <w:r w:rsidR="00271E1E" w:rsidRPr="12E428E8">
        <w:rPr>
          <w:color w:val="000000" w:themeColor="text1"/>
        </w:rPr>
        <w:t xml:space="preserve"> </w:t>
      </w:r>
      <w:r w:rsidR="00271E1E" w:rsidRPr="00421BDF">
        <w:rPr>
          <w:color w:val="000000" w:themeColor="text1"/>
        </w:rPr>
        <w:t xml:space="preserve">EPA announced </w:t>
      </w:r>
      <w:r w:rsidR="006F11AE">
        <w:rPr>
          <w:color w:val="000000" w:themeColor="text1"/>
        </w:rPr>
        <w:t>plans to</w:t>
      </w:r>
      <w:r w:rsidR="00271E1E" w:rsidRPr="00421BDF">
        <w:rPr>
          <w:color w:val="000000" w:themeColor="text1"/>
        </w:rPr>
        <w:t xml:space="preserve"> revise the </w:t>
      </w:r>
      <w:r w:rsidR="005720BE">
        <w:rPr>
          <w:color w:val="000000" w:themeColor="text1"/>
        </w:rPr>
        <w:t xml:space="preserve">2020 </w:t>
      </w:r>
      <w:r w:rsidR="006C373A">
        <w:rPr>
          <w:color w:val="000000" w:themeColor="text1"/>
        </w:rPr>
        <w:t xml:space="preserve">update to </w:t>
      </w:r>
      <w:r w:rsidR="003A3D27">
        <w:rPr>
          <w:color w:val="000000" w:themeColor="text1"/>
        </w:rPr>
        <w:t>the</w:t>
      </w:r>
      <w:r w:rsidR="00271E1E" w:rsidRPr="00421BDF">
        <w:rPr>
          <w:color w:val="000000" w:themeColor="text1"/>
        </w:rPr>
        <w:t xml:space="preserve"> “Clean Water Act Section 401 Certification Rule.”   </w:t>
      </w:r>
      <w:r w:rsidR="00C32F20">
        <w:rPr>
          <w:rFonts w:eastAsia="Arial" w:cs="Arial"/>
          <w:color w:val="000000" w:themeColor="text1"/>
          <w:szCs w:val="24"/>
        </w:rPr>
        <w:t xml:space="preserve">The announcement comes after EPA’s review of the </w:t>
      </w:r>
      <w:r w:rsidR="00986509">
        <w:rPr>
          <w:rFonts w:eastAsia="Arial" w:cs="Arial"/>
          <w:color w:val="000000" w:themeColor="text1"/>
          <w:szCs w:val="24"/>
        </w:rPr>
        <w:t>r</w:t>
      </w:r>
      <w:r w:rsidR="00C32F20">
        <w:rPr>
          <w:rFonts w:eastAsia="Arial" w:cs="Arial"/>
          <w:color w:val="000000" w:themeColor="text1"/>
          <w:szCs w:val="24"/>
        </w:rPr>
        <w:t>ule under the Biden Administration’s EP 13990.</w:t>
      </w:r>
      <w:r w:rsidR="00986509">
        <w:rPr>
          <w:color w:val="000000" w:themeColor="text1"/>
        </w:rPr>
        <w:t xml:space="preserve"> EPA’s </w:t>
      </w:r>
      <w:r w:rsidR="00271E1E" w:rsidRPr="00421BDF">
        <w:rPr>
          <w:color w:val="000000" w:themeColor="text1"/>
        </w:rPr>
        <w:t xml:space="preserve">concerns </w:t>
      </w:r>
      <w:r w:rsidR="00986509">
        <w:rPr>
          <w:color w:val="000000" w:themeColor="text1"/>
        </w:rPr>
        <w:t>include</w:t>
      </w:r>
      <w:r w:rsidR="00986509" w:rsidRPr="00421BDF">
        <w:rPr>
          <w:color w:val="000000" w:themeColor="text1"/>
        </w:rPr>
        <w:t xml:space="preserve"> </w:t>
      </w:r>
      <w:r w:rsidR="00271E1E" w:rsidRPr="00421BDF">
        <w:rPr>
          <w:color w:val="000000" w:themeColor="text1"/>
        </w:rPr>
        <w:t>that the Rule is counter to the principles of cooperative federalism and does not reflect the authority of states and tribes to protect water resources under 401.</w:t>
      </w:r>
      <w:r w:rsidR="00F67ADB">
        <w:rPr>
          <w:color w:val="000000" w:themeColor="text1"/>
        </w:rPr>
        <w:t xml:space="preserve"> </w:t>
      </w:r>
    </w:p>
    <w:p w14:paraId="159C61B9" w14:textId="451ED9A1" w:rsidR="00865FF2" w:rsidRPr="00D15E5A" w:rsidRDefault="00304977" w:rsidP="002531D4">
      <w:pPr>
        <w:pStyle w:val="Heading3"/>
      </w:pPr>
      <w:bookmarkStart w:id="50" w:name="_Toc94197900"/>
      <w:r w:rsidRPr="00154A78">
        <w:t>3.</w:t>
      </w:r>
      <w:r w:rsidR="00E2493E">
        <w:t>4</w:t>
      </w:r>
      <w:r w:rsidR="00865FF2" w:rsidRPr="00154A78">
        <w:t>.1</w:t>
      </w:r>
      <w:r w:rsidR="005C17C3">
        <w:t>5</w:t>
      </w:r>
      <w:r w:rsidR="00154A78" w:rsidRPr="00154A78">
        <w:t xml:space="preserve"> </w:t>
      </w:r>
      <w:r w:rsidR="00865FF2" w:rsidRPr="00154A78">
        <w:t>Navigable Waters Protection Ru</w:t>
      </w:r>
      <w:r w:rsidR="00865FF2">
        <w:t>le</w:t>
      </w:r>
      <w:bookmarkEnd w:id="50"/>
      <w:r w:rsidR="00865FF2">
        <w:t xml:space="preserve"> </w:t>
      </w:r>
    </w:p>
    <w:p w14:paraId="6F04392F" w14:textId="5D46466A" w:rsidR="00D640AC" w:rsidRDefault="00D640AC" w:rsidP="00E654CE">
      <w:r>
        <w:t xml:space="preserve">The Navigable Waters Protection Rule defines “waters of the United States” </w:t>
      </w:r>
      <w:r w:rsidR="00AA0900">
        <w:t xml:space="preserve">and outlines the scope of waters federally regulated under the Clean Water Act. </w:t>
      </w:r>
      <w:r w:rsidR="00AA0900" w:rsidRPr="00DB7156">
        <w:t xml:space="preserve">The rule </w:t>
      </w:r>
      <w:r w:rsidR="00AA0900">
        <w:t xml:space="preserve">affects </w:t>
      </w:r>
      <w:r w:rsidR="00AA0900" w:rsidRPr="00DB7156">
        <w:t>all CWA programs that rely on this definition, including the NPDES permit program under Section 402, the dredge-and-fill permit program under Section 404, and oil spill prevention and response programs under Section 311.</w:t>
      </w:r>
      <w:r w:rsidR="00A7363F">
        <w:t xml:space="preserve"> The rule is administered by the EPA and the </w:t>
      </w:r>
      <w:r w:rsidR="00411C52">
        <w:t>USACE</w:t>
      </w:r>
      <w:r w:rsidR="00A7363F">
        <w:t xml:space="preserve"> (“the Agencies”).</w:t>
      </w:r>
    </w:p>
    <w:p w14:paraId="0216EA09" w14:textId="77589450" w:rsidR="0089044F" w:rsidRDefault="00622193" w:rsidP="00E654CE">
      <w:r>
        <w:t>I</w:t>
      </w:r>
      <w:r w:rsidRPr="00DB7156">
        <w:t xml:space="preserve">n </w:t>
      </w:r>
      <w:r w:rsidR="00A7363F">
        <w:t>August</w:t>
      </w:r>
      <w:r w:rsidR="00A7363F" w:rsidRPr="00DB7156">
        <w:t xml:space="preserve"> </w:t>
      </w:r>
      <w:r w:rsidRPr="00DB7156">
        <w:t xml:space="preserve">2015, the Agencies </w:t>
      </w:r>
      <w:r w:rsidR="00A7363F">
        <w:t xml:space="preserve">issued </w:t>
      </w:r>
      <w:r w:rsidRPr="00DB7156">
        <w:t>a</w:t>
      </w:r>
      <w:r>
        <w:t xml:space="preserve"> final rule re-defining </w:t>
      </w:r>
      <w:r w:rsidRPr="00DB7156">
        <w:t xml:space="preserve">WOTUS </w:t>
      </w:r>
      <w:r w:rsidR="00A7363F">
        <w:t>to</w:t>
      </w:r>
      <w:r w:rsidRPr="00DB7156">
        <w:t xml:space="preserve"> exert very broad jurisdiction over water features, including features that have not previously been regulated, such as ephemeral drainages and isolated ponds on industrial facilities. </w:t>
      </w:r>
    </w:p>
    <w:p w14:paraId="6CD48C28" w14:textId="3B76D25D" w:rsidR="0048055D" w:rsidRPr="0089044F" w:rsidRDefault="0048055D" w:rsidP="00E654CE">
      <w:r>
        <w:t>In April 2020, the Agencies finalized a rule to repeal the 2015 rule</w:t>
      </w:r>
      <w:r w:rsidR="00D07187">
        <w:t xml:space="preserve"> effectively restoring the regulatory text that existed prior to the 2015 rulemaking. </w:t>
      </w:r>
    </w:p>
    <w:p w14:paraId="64B5F517" w14:textId="58DE63C2" w:rsidR="00FE52DA" w:rsidRDefault="002E03EF" w:rsidP="00E654CE">
      <w:r>
        <w:rPr>
          <w:szCs w:val="24"/>
        </w:rPr>
        <w:t>In June 2020</w:t>
      </w:r>
      <w:r w:rsidR="00865FF2">
        <w:t xml:space="preserve"> the final Navigable Waters Protection Rule</w:t>
      </w:r>
      <w:r>
        <w:t xml:space="preserve"> became effective </w:t>
      </w:r>
      <w:r w:rsidR="00F44E48">
        <w:t xml:space="preserve">and revised the definition of WOTUS. Notable to the power generation and transmission industries, the rule retains the </w:t>
      </w:r>
      <w:r w:rsidR="00865FF2">
        <w:t>waste treatment system exclusion</w:t>
      </w:r>
      <w:r w:rsidR="00F81BF2">
        <w:t xml:space="preserve"> and created</w:t>
      </w:r>
      <w:r w:rsidR="00865FF2">
        <w:t xml:space="preserve"> </w:t>
      </w:r>
      <w:r w:rsidR="00865FF2" w:rsidRPr="00AD15B2">
        <w:t xml:space="preserve">four categories of waters defined as </w:t>
      </w:r>
      <w:r w:rsidR="00865FF2" w:rsidRPr="7E34F718">
        <w:t xml:space="preserve">WOTUS: </w:t>
      </w:r>
      <w:r w:rsidR="00865FF2" w:rsidRPr="00D40D07">
        <w:t>traditional navigable waters and territorial seas;</w:t>
      </w:r>
      <w:r w:rsidR="00865FF2" w:rsidRPr="6A44F22A">
        <w:t xml:space="preserve"> </w:t>
      </w:r>
      <w:r w:rsidR="00865FF2" w:rsidRPr="00D40D07">
        <w:t>perennial and intermittent tributaries to those waters; lakes, ponds, and impoundments of jurisdictional waters; and wetlands adjacent to jurisdictional waters</w:t>
      </w:r>
      <w:r w:rsidR="00865FF2" w:rsidRPr="7E34F718">
        <w:t xml:space="preserve">.  The rule provides </w:t>
      </w:r>
      <w:r w:rsidR="00865FF2" w:rsidRPr="00B4595D">
        <w:t xml:space="preserve">a catch-all exclusion that prohibits federal jurisdiction over any features which do not fall within one of the four </w:t>
      </w:r>
      <w:r w:rsidR="00865FF2" w:rsidRPr="000D0D44">
        <w:t xml:space="preserve">categories above and identifies many specific categories of waters and water features that do not fall within the Agencies’ jurisdiction.  </w:t>
      </w:r>
    </w:p>
    <w:p w14:paraId="2F009621" w14:textId="441408E5" w:rsidR="000D0F13" w:rsidRDefault="00FE52DA" w:rsidP="000D0F13">
      <w:r>
        <w:t>In 2021, the Agencies</w:t>
      </w:r>
      <w:r w:rsidR="00F17250">
        <w:t>, in response to court order,</w:t>
      </w:r>
      <w:r>
        <w:t xml:space="preserve"> </w:t>
      </w:r>
      <w:r w:rsidR="00585F28" w:rsidRPr="40DE3B36">
        <w:rPr>
          <w:rFonts w:eastAsia="Calibri" w:cs="Arial"/>
        </w:rPr>
        <w:t xml:space="preserve">announced they have halted implementation of the NWPR and are interpreting WOTUS consistent with the pre-2015 regulatory regime until further notice. </w:t>
      </w:r>
      <w:r w:rsidR="001005EE">
        <w:rPr>
          <w:rFonts w:eastAsia="Arial" w:cs="Arial"/>
          <w:color w:val="000000" w:themeColor="text1"/>
          <w:szCs w:val="24"/>
        </w:rPr>
        <w:t xml:space="preserve">The </w:t>
      </w:r>
      <w:r w:rsidR="003A4069">
        <w:rPr>
          <w:rFonts w:eastAsia="Arial" w:cs="Arial"/>
          <w:color w:val="000000" w:themeColor="text1"/>
          <w:szCs w:val="24"/>
        </w:rPr>
        <w:t xml:space="preserve">Agencies have completed </w:t>
      </w:r>
      <w:r w:rsidR="001005EE">
        <w:rPr>
          <w:rFonts w:eastAsia="Arial" w:cs="Arial"/>
          <w:color w:val="000000" w:themeColor="text1"/>
          <w:szCs w:val="24"/>
        </w:rPr>
        <w:t xml:space="preserve">review of the </w:t>
      </w:r>
      <w:r w:rsidR="003A4069">
        <w:rPr>
          <w:rFonts w:eastAsia="Arial" w:cs="Arial"/>
          <w:color w:val="000000" w:themeColor="text1"/>
          <w:szCs w:val="24"/>
        </w:rPr>
        <w:t>NWPR</w:t>
      </w:r>
      <w:r w:rsidR="001005EE">
        <w:rPr>
          <w:rFonts w:eastAsia="Arial" w:cs="Arial"/>
          <w:color w:val="000000" w:themeColor="text1"/>
          <w:szCs w:val="24"/>
        </w:rPr>
        <w:t xml:space="preserve"> under the Biden Administration’s E</w:t>
      </w:r>
      <w:r w:rsidR="003110E2">
        <w:rPr>
          <w:rFonts w:eastAsia="Arial" w:cs="Arial"/>
          <w:color w:val="000000" w:themeColor="text1"/>
          <w:szCs w:val="24"/>
        </w:rPr>
        <w:t>O</w:t>
      </w:r>
      <w:r w:rsidR="001005EE">
        <w:rPr>
          <w:rFonts w:eastAsia="Arial" w:cs="Arial"/>
          <w:color w:val="000000" w:themeColor="text1"/>
          <w:szCs w:val="24"/>
        </w:rPr>
        <w:t xml:space="preserve"> 13990</w:t>
      </w:r>
      <w:r w:rsidR="003A4069">
        <w:rPr>
          <w:rFonts w:eastAsia="Arial" w:cs="Arial"/>
          <w:color w:val="000000" w:themeColor="text1"/>
          <w:szCs w:val="24"/>
        </w:rPr>
        <w:t xml:space="preserve"> </w:t>
      </w:r>
      <w:r w:rsidR="00E92A62">
        <w:rPr>
          <w:rFonts w:eastAsia="Arial" w:cs="Arial"/>
          <w:color w:val="000000" w:themeColor="text1"/>
          <w:szCs w:val="24"/>
        </w:rPr>
        <w:t>and determined the rule must be replaced.</w:t>
      </w:r>
      <w:r w:rsidR="000D0F13">
        <w:rPr>
          <w:rFonts w:eastAsia="Arial" w:cs="Arial"/>
          <w:color w:val="000000" w:themeColor="text1"/>
          <w:szCs w:val="24"/>
        </w:rPr>
        <w:t xml:space="preserve">  </w:t>
      </w:r>
      <w:r w:rsidR="000D0F13">
        <w:t xml:space="preserve">The definition of WOTUS governs which waterways require permitting under Section 404 and 402 of the CWA. Discharge of wastewater, power delivery projects, and development of generation all have the potential to encounter waters defined as a WOTUS. </w:t>
      </w:r>
    </w:p>
    <w:p w14:paraId="1DEC372B" w14:textId="7C128AF3" w:rsidR="00611B69" w:rsidRDefault="0084188A" w:rsidP="000D0F13">
      <w:pPr>
        <w:rPr>
          <w:rFonts w:ascii="Calibri" w:hAnsi="Calibri"/>
          <w:sz w:val="22"/>
        </w:rPr>
      </w:pPr>
      <w:r>
        <w:t xml:space="preserve">In December 2021, a proposed NWPR revision was published in the Federal Register. Interested parties have until February 7, </w:t>
      </w:r>
      <w:r w:rsidR="008C2F2A">
        <w:t>2022,</w:t>
      </w:r>
      <w:r>
        <w:t xml:space="preserve"> to submit comments to EPA.  The proposed rule is </w:t>
      </w:r>
      <w:r w:rsidR="00B23F36">
        <w:t>intended</w:t>
      </w:r>
      <w:r>
        <w:t xml:space="preserve"> to repeal the </w:t>
      </w:r>
      <w:r w:rsidR="00B23F36">
        <w:t xml:space="preserve">NWPR and restore regulations defining “waters of the United States” that were in place prior to 2015, with updates to be consistent with relevant Supreme Court decisions. The proposal maintains the general waste treatment </w:t>
      </w:r>
      <w:r w:rsidR="00E21CA5">
        <w:t>system exclusion</w:t>
      </w:r>
      <w:r w:rsidR="00B23F36">
        <w:t xml:space="preserve"> but removes the definition of waste treatment system from the regulatory text.</w:t>
      </w:r>
    </w:p>
    <w:p w14:paraId="1E9D9E08" w14:textId="01176CC7" w:rsidR="00865FF2" w:rsidRPr="009A31F0" w:rsidRDefault="00154A78" w:rsidP="002531D4">
      <w:pPr>
        <w:pStyle w:val="Heading3"/>
        <w:rPr>
          <w:rFonts w:eastAsiaTheme="minorEastAsia"/>
          <w:color w:val="000000" w:themeColor="text1"/>
        </w:rPr>
      </w:pPr>
      <w:bookmarkStart w:id="51" w:name="_Toc94197901"/>
      <w:r>
        <w:t>3.</w:t>
      </w:r>
      <w:r w:rsidR="00E2493E">
        <w:t>4</w:t>
      </w:r>
      <w:r>
        <w:t>.</w:t>
      </w:r>
      <w:r w:rsidR="0065273E">
        <w:t>1</w:t>
      </w:r>
      <w:r w:rsidR="005C17C3">
        <w:t>6</w:t>
      </w:r>
      <w:r w:rsidR="0065273E">
        <w:t xml:space="preserve"> </w:t>
      </w:r>
      <w:r w:rsidR="00865FF2" w:rsidRPr="12E428E8">
        <w:t>Nationwide Permits (NWPs)</w:t>
      </w:r>
      <w:bookmarkEnd w:id="51"/>
    </w:p>
    <w:p w14:paraId="6A8F0520" w14:textId="20766AA3" w:rsidR="00996326" w:rsidRDefault="00865FF2" w:rsidP="00E654CE">
      <w:r w:rsidRPr="4149E082">
        <w:t>NWPs authoriz</w:t>
      </w:r>
      <w:r>
        <w:t>e</w:t>
      </w:r>
      <w:r w:rsidRPr="4149E082">
        <w:t xml:space="preserve"> certain activities with minimal impact to a WOTUS, allowing projects to move forward without receiving an individual review under CWA section 404. </w:t>
      </w:r>
    </w:p>
    <w:p w14:paraId="4D339244" w14:textId="5EA0C47A" w:rsidR="00996326" w:rsidRDefault="00E2404A" w:rsidP="00E654CE">
      <w:r>
        <w:t xml:space="preserve">On January 13, 2021, the </w:t>
      </w:r>
      <w:r w:rsidR="001108D0">
        <w:t>USACE</w:t>
      </w:r>
      <w:r w:rsidR="007A26B5">
        <w:t xml:space="preserve"> </w:t>
      </w:r>
      <w:r>
        <w:t xml:space="preserve">finalized 16 new NWPs including </w:t>
      </w:r>
      <w:r w:rsidR="00697B78">
        <w:t>a split of</w:t>
      </w:r>
      <w:r>
        <w:t xml:space="preserve"> </w:t>
      </w:r>
      <w:r w:rsidR="00EE6FB7">
        <w:t>NWP 12</w:t>
      </w:r>
      <w:r w:rsidR="00697B78">
        <w:t xml:space="preserve"> into three separate NWPs.  NWP12</w:t>
      </w:r>
      <w:r w:rsidR="00B9632D">
        <w:t xml:space="preserve"> is no</w:t>
      </w:r>
      <w:r w:rsidR="007A26B5">
        <w:t>w</w:t>
      </w:r>
      <w:r w:rsidR="00B9632D">
        <w:t xml:space="preserve"> limited to</w:t>
      </w:r>
      <w:r w:rsidR="00A62401">
        <w:t xml:space="preserve"> activities related </w:t>
      </w:r>
      <w:r w:rsidR="00B9632D">
        <w:t>solely to</w:t>
      </w:r>
      <w:r w:rsidR="00A62401">
        <w:t xml:space="preserve"> oil and gas pipelines acro</w:t>
      </w:r>
      <w:r w:rsidR="005F4B33">
        <w:t>ss certain WOTUS designated areas.</w:t>
      </w:r>
      <w:r w:rsidR="00877855">
        <w:t xml:space="preserve"> I</w:t>
      </w:r>
      <w:r w:rsidR="00B9632D">
        <w:t xml:space="preserve">mpacts from </w:t>
      </w:r>
      <w:r w:rsidR="00D60061">
        <w:t xml:space="preserve">electric transmission and telecommunication </w:t>
      </w:r>
      <w:r w:rsidR="00B9632D">
        <w:t>to WOTUS designated areas</w:t>
      </w:r>
      <w:r w:rsidR="00877855">
        <w:t xml:space="preserve">, </w:t>
      </w:r>
      <w:r w:rsidR="007A26B5">
        <w:t>formally authorize</w:t>
      </w:r>
      <w:r w:rsidR="00877855">
        <w:t>d</w:t>
      </w:r>
      <w:r w:rsidR="007A26B5">
        <w:t xml:space="preserve"> under</w:t>
      </w:r>
      <w:r w:rsidR="00697B78">
        <w:t xml:space="preserve"> NWP 12</w:t>
      </w:r>
      <w:r w:rsidR="00877855">
        <w:t>, are now covered by NWP 57.</w:t>
      </w:r>
      <w:r w:rsidR="00D92527">
        <w:t xml:space="preserve"> T</w:t>
      </w:r>
      <w:r w:rsidR="00B9632D">
        <w:t xml:space="preserve">he </w:t>
      </w:r>
      <w:r w:rsidR="000C1DDD">
        <w:t>NWP 12 is</w:t>
      </w:r>
      <w:r w:rsidR="00B9632D">
        <w:t xml:space="preserve"> being </w:t>
      </w:r>
      <w:r w:rsidR="00B376F4">
        <w:t>challenged by environmental groups on the basis of violations of the Endangered Specifies Act</w:t>
      </w:r>
      <w:r w:rsidR="00824B64">
        <w:t>.</w:t>
      </w:r>
      <w:r w:rsidR="00B376F4">
        <w:t xml:space="preserve"> </w:t>
      </w:r>
    </w:p>
    <w:p w14:paraId="6DB5716E" w14:textId="57B71875" w:rsidR="00AA4FC1" w:rsidRDefault="00AA4FC1" w:rsidP="00E654CE">
      <w:r>
        <w:t xml:space="preserve">On December 27, </w:t>
      </w:r>
      <w:r w:rsidR="0096532A">
        <w:t>2021</w:t>
      </w:r>
      <w:r>
        <w:t xml:space="preserve">, the USACE </w:t>
      </w:r>
      <w:r w:rsidR="005D5ECA" w:rsidRPr="005D5ECA">
        <w:t xml:space="preserve">published in the Federal Register a </w:t>
      </w:r>
      <w:hyperlink r:id="rId37" w:history="1">
        <w:r w:rsidR="005D5ECA" w:rsidRPr="005D5ECA">
          <w:t>final rule reissuing 40 existing nationwide permits (NWPs) and one new NWP</w:t>
        </w:r>
      </w:hyperlink>
      <w:r w:rsidR="005D5ECA" w:rsidRPr="005D5ECA">
        <w:t>. The 41 new NWPs will take effect on February 25, 2022, and will expire, along the 16 NWPs previously issued, on March 14, 2026</w:t>
      </w:r>
      <w:r w:rsidR="00F76C7B">
        <w:t>.</w:t>
      </w:r>
    </w:p>
    <w:p w14:paraId="2668C7B1" w14:textId="68D7C6C0" w:rsidR="00865FF2" w:rsidRPr="00237828" w:rsidRDefault="00304977" w:rsidP="002531D4">
      <w:pPr>
        <w:pStyle w:val="Heading3"/>
      </w:pPr>
      <w:bookmarkStart w:id="52" w:name="_Toc94197902"/>
      <w:r w:rsidRPr="00A64A72">
        <w:t>3.</w:t>
      </w:r>
      <w:r w:rsidR="00E2493E">
        <w:t>4</w:t>
      </w:r>
      <w:r w:rsidR="00865FF2" w:rsidRPr="00A64A72">
        <w:t>.1</w:t>
      </w:r>
      <w:r w:rsidR="005C17C3">
        <w:t>7</w:t>
      </w:r>
      <w:r w:rsidR="00A64A72">
        <w:t xml:space="preserve"> </w:t>
      </w:r>
      <w:r w:rsidR="00865FF2" w:rsidRPr="005132E2">
        <w:t>Coal Combustion Residuals</w:t>
      </w:r>
      <w:bookmarkEnd w:id="52"/>
    </w:p>
    <w:p w14:paraId="159F7113" w14:textId="5EE2C523" w:rsidR="00F66129" w:rsidRDefault="00A330AF" w:rsidP="00877775">
      <w:pPr>
        <w:pStyle w:val="Heading4"/>
      </w:pPr>
      <w:r>
        <w:t>T</w:t>
      </w:r>
      <w:r w:rsidR="2C4EA38C" w:rsidRPr="12E428E8">
        <w:t xml:space="preserve">he 2015 </w:t>
      </w:r>
      <w:r w:rsidR="00305882">
        <w:t xml:space="preserve">CCR </w:t>
      </w:r>
      <w:r w:rsidR="2C4EA38C" w:rsidRPr="12E428E8">
        <w:t>Rule</w:t>
      </w:r>
      <w:r w:rsidR="004A3513">
        <w:t xml:space="preserve"> </w:t>
      </w:r>
    </w:p>
    <w:p w14:paraId="5C08B2ED" w14:textId="6D1F907E" w:rsidR="006D6111" w:rsidRDefault="002C1E66" w:rsidP="006D6111">
      <w:r>
        <w:t xml:space="preserve">In </w:t>
      </w:r>
      <w:r w:rsidR="006D6111">
        <w:t>April 2015</w:t>
      </w:r>
      <w:r w:rsidR="797E09C9" w:rsidRPr="53ADDA6E">
        <w:t xml:space="preserve">, EPA </w:t>
      </w:r>
      <w:r w:rsidR="006D6111">
        <w:t xml:space="preserve">published </w:t>
      </w:r>
      <w:r w:rsidR="00C47114">
        <w:t xml:space="preserve">the “Disposal of Coal Combustion Residuals from Electric Utilities” </w:t>
      </w:r>
      <w:r w:rsidR="004C5044">
        <w:t xml:space="preserve">Final Rule </w:t>
      </w:r>
      <w:r w:rsidR="006D6111">
        <w:t xml:space="preserve">(“Federal CCR Rule”) </w:t>
      </w:r>
      <w:r w:rsidR="00001FE3">
        <w:t xml:space="preserve">(40 </w:t>
      </w:r>
      <w:r w:rsidR="001108D0">
        <w:t>CFR</w:t>
      </w:r>
      <w:r w:rsidR="00001FE3">
        <w:t xml:space="preserve"> Part 257 and Part 261) </w:t>
      </w:r>
      <w:r w:rsidR="797E09C9" w:rsidRPr="53ADDA6E">
        <w:t>that provided a comprehensive set of requirements for the disposal of CCR as solid waste under RCRA Subtitle D</w:t>
      </w:r>
      <w:r w:rsidR="004A3DFA">
        <w:t>.</w:t>
      </w:r>
      <w:r w:rsidR="00CE7FF8">
        <w:t xml:space="preserve"> </w:t>
      </w:r>
      <w:r w:rsidR="00F707FE">
        <w:t xml:space="preserve"> </w:t>
      </w:r>
      <w:r w:rsidR="006D6111">
        <w:t xml:space="preserve">This final rule was the result of extensive study by EPA of the effects of CCR on human health and the environment and represented a decision by EPA to uphold decades of previous Agency determinations that coal ash should be regulated as non-hazardous waste.  Effective October 2015, the Federal CCR Rule was issued as a “self-implementing” rule that set national minimum standards for management of CCR.  The rule is primarily enforceable through citizen lawsuits and companies are held accountable by requirements to post required </w:t>
      </w:r>
      <w:r w:rsidR="00985C7C">
        <w:t>documents</w:t>
      </w:r>
      <w:r w:rsidR="006D6111">
        <w:t xml:space="preserve"> and demonstrations of compliance to publicly available company webpages. </w:t>
      </w:r>
    </w:p>
    <w:p w14:paraId="06810A9C" w14:textId="623B8EFE" w:rsidR="00EF3457" w:rsidRDefault="009C45E0" w:rsidP="00E654CE">
      <w:r>
        <w:t xml:space="preserve">The Federal CCR Rule set standards for </w:t>
      </w:r>
      <w:r w:rsidR="006D6111">
        <w:t>certain CCR units and provided exemptions for others.  Those units subject to the Federal CCR Rule included</w:t>
      </w:r>
      <w:r>
        <w:t>:</w:t>
      </w:r>
    </w:p>
    <w:p w14:paraId="29DB2A54" w14:textId="208273AB" w:rsidR="00EF3457" w:rsidRPr="0060527B" w:rsidRDefault="008605E1" w:rsidP="005D2968">
      <w:pPr>
        <w:pStyle w:val="ListParagraph"/>
        <w:numPr>
          <w:ilvl w:val="0"/>
          <w:numId w:val="11"/>
        </w:numPr>
        <w:spacing w:after="0"/>
        <w:rPr>
          <w:rFonts w:cs="Arial"/>
          <w:szCs w:val="24"/>
        </w:rPr>
      </w:pPr>
      <w:r w:rsidRPr="00DB7156">
        <w:rPr>
          <w:rFonts w:cs="Arial"/>
          <w:szCs w:val="24"/>
        </w:rPr>
        <w:t>new and existing CCR landfills and surface impoundments (“units”</w:t>
      </w:r>
      <w:r>
        <w:rPr>
          <w:rFonts w:cs="Arial"/>
          <w:szCs w:val="24"/>
        </w:rPr>
        <w:t xml:space="preserve"> or ash ponds</w:t>
      </w:r>
      <w:r w:rsidRPr="00DB7156">
        <w:rPr>
          <w:rFonts w:cs="Arial"/>
          <w:szCs w:val="24"/>
        </w:rPr>
        <w:t>), including any lateral expansions of such units that dispose or otherwise manage CCR generated by electric utilities and independent power producers (</w:t>
      </w:r>
      <w:r>
        <w:rPr>
          <w:rFonts w:cs="Arial"/>
          <w:szCs w:val="24"/>
        </w:rPr>
        <w:t>“</w:t>
      </w:r>
      <w:r w:rsidRPr="00DB7156">
        <w:rPr>
          <w:rFonts w:cs="Arial"/>
          <w:szCs w:val="24"/>
        </w:rPr>
        <w:t>IPPs</w:t>
      </w:r>
      <w:r>
        <w:rPr>
          <w:rFonts w:cs="Arial"/>
          <w:szCs w:val="24"/>
        </w:rPr>
        <w:t>”</w:t>
      </w:r>
      <w:r w:rsidRPr="00DB7156">
        <w:rPr>
          <w:rFonts w:cs="Arial"/>
          <w:szCs w:val="24"/>
        </w:rPr>
        <w:t xml:space="preserve">); and </w:t>
      </w:r>
    </w:p>
    <w:p w14:paraId="1A729764" w14:textId="1C76707F" w:rsidR="00EF3457" w:rsidRDefault="008605E1" w:rsidP="005D2968">
      <w:pPr>
        <w:pStyle w:val="ListParagraph"/>
        <w:numPr>
          <w:ilvl w:val="0"/>
          <w:numId w:val="11"/>
        </w:numPr>
        <w:rPr>
          <w:rFonts w:cs="Arial"/>
          <w:szCs w:val="24"/>
        </w:rPr>
      </w:pPr>
      <w:r w:rsidRPr="00DB7156">
        <w:rPr>
          <w:rFonts w:cs="Arial"/>
          <w:szCs w:val="24"/>
        </w:rPr>
        <w:t>inactive surface impoundments, located at active electric generating facilities, regardless of fuel currently used (</w:t>
      </w:r>
      <w:r w:rsidR="0079076C" w:rsidRPr="00DB7156">
        <w:rPr>
          <w:rFonts w:cs="Arial"/>
          <w:szCs w:val="24"/>
        </w:rPr>
        <w:t>i.e.,</w:t>
      </w:r>
      <w:r w:rsidRPr="00DB7156">
        <w:rPr>
          <w:rFonts w:cs="Arial"/>
          <w:szCs w:val="24"/>
        </w:rPr>
        <w:t xml:space="preserve"> natural gas, coal, or oil).</w:t>
      </w:r>
    </w:p>
    <w:p w14:paraId="2EFB5CA4" w14:textId="15CACDC7" w:rsidR="009C45E0" w:rsidRDefault="006D6111" w:rsidP="00E654CE">
      <w:r>
        <w:t xml:space="preserve">Those units </w:t>
      </w:r>
      <w:r w:rsidR="0C227EB7">
        <w:t xml:space="preserve">exempted </w:t>
      </w:r>
      <w:r>
        <w:t>from all or portions of the Federal CCR Rule included</w:t>
      </w:r>
      <w:r w:rsidR="009C45E0">
        <w:t>:</w:t>
      </w:r>
    </w:p>
    <w:p w14:paraId="4A1E7886" w14:textId="14F3E7E1" w:rsidR="009C45E0" w:rsidRPr="007559C5" w:rsidRDefault="009C45E0" w:rsidP="007559C5">
      <w:pPr>
        <w:pStyle w:val="ListParagraph"/>
        <w:numPr>
          <w:ilvl w:val="0"/>
          <w:numId w:val="11"/>
        </w:numPr>
        <w:rPr>
          <w:rFonts w:cs="Arial"/>
          <w:szCs w:val="24"/>
        </w:rPr>
      </w:pPr>
      <w:r w:rsidRPr="007559C5">
        <w:rPr>
          <w:rFonts w:cs="Arial"/>
          <w:szCs w:val="24"/>
        </w:rPr>
        <w:t xml:space="preserve">Exempted </w:t>
      </w:r>
      <w:hyperlink r:id="rId38" w:history="1">
        <w:r w:rsidRPr="007559C5">
          <w:rPr>
            <w:szCs w:val="24"/>
          </w:rPr>
          <w:t>CCR landfills</w:t>
        </w:r>
      </w:hyperlink>
      <w:r w:rsidRPr="007559C5">
        <w:rPr>
          <w:rFonts w:cs="Arial"/>
          <w:szCs w:val="24"/>
        </w:rPr>
        <w:t> that ceased receiving </w:t>
      </w:r>
      <w:hyperlink r:id="rId39" w:history="1">
        <w:r w:rsidRPr="007559C5">
          <w:rPr>
            <w:szCs w:val="24"/>
          </w:rPr>
          <w:t>CCR</w:t>
        </w:r>
      </w:hyperlink>
      <w:r w:rsidRPr="007559C5">
        <w:rPr>
          <w:rFonts w:cs="Arial"/>
          <w:szCs w:val="24"/>
        </w:rPr>
        <w:t> prior to October 19, 2015.</w:t>
      </w:r>
    </w:p>
    <w:p w14:paraId="58953839" w14:textId="0D3DFB52" w:rsidR="009C45E0" w:rsidRPr="007559C5" w:rsidRDefault="003B49B7" w:rsidP="007559C5">
      <w:pPr>
        <w:pStyle w:val="ListParagraph"/>
        <w:numPr>
          <w:ilvl w:val="0"/>
          <w:numId w:val="11"/>
        </w:numPr>
        <w:rPr>
          <w:rFonts w:cs="Arial"/>
          <w:szCs w:val="24"/>
        </w:rPr>
      </w:pPr>
      <w:r w:rsidRPr="007559C5">
        <w:rPr>
          <w:szCs w:val="24"/>
        </w:rPr>
        <w:t>Exempted</w:t>
      </w:r>
      <w:r w:rsidR="009C45E0" w:rsidRPr="007559C5">
        <w:rPr>
          <w:rFonts w:cs="Arial"/>
          <w:szCs w:val="24"/>
        </w:rPr>
        <w:t> </w:t>
      </w:r>
      <w:hyperlink r:id="rId40" w:history="1">
        <w:r w:rsidR="009C45E0" w:rsidRPr="007559C5">
          <w:rPr>
            <w:szCs w:val="24"/>
          </w:rPr>
          <w:t>practices</w:t>
        </w:r>
      </w:hyperlink>
      <w:r w:rsidR="009C45E0" w:rsidRPr="007559C5">
        <w:rPr>
          <w:rFonts w:cs="Arial"/>
          <w:szCs w:val="24"/>
        </w:rPr>
        <w:t> that meet the definition of a </w:t>
      </w:r>
      <w:hyperlink r:id="rId41" w:history="1">
        <w:r w:rsidR="009C45E0" w:rsidRPr="007559C5">
          <w:rPr>
            <w:szCs w:val="24"/>
          </w:rPr>
          <w:t>beneficial use of CCR</w:t>
        </w:r>
      </w:hyperlink>
      <w:r w:rsidR="009C45E0" w:rsidRPr="007559C5">
        <w:rPr>
          <w:rFonts w:cs="Arial"/>
          <w:szCs w:val="24"/>
        </w:rPr>
        <w:t>.</w:t>
      </w:r>
    </w:p>
    <w:p w14:paraId="6F9AB80C" w14:textId="46733534" w:rsidR="009C45E0" w:rsidRPr="007559C5" w:rsidRDefault="003B49B7" w:rsidP="007559C5">
      <w:pPr>
        <w:pStyle w:val="ListParagraph"/>
        <w:numPr>
          <w:ilvl w:val="0"/>
          <w:numId w:val="11"/>
        </w:numPr>
        <w:rPr>
          <w:rFonts w:cs="Arial"/>
          <w:szCs w:val="24"/>
        </w:rPr>
      </w:pPr>
      <w:r w:rsidRPr="007559C5">
        <w:rPr>
          <w:szCs w:val="24"/>
        </w:rPr>
        <w:t>Exempted</w:t>
      </w:r>
      <w:r w:rsidR="009C45E0" w:rsidRPr="007559C5">
        <w:rPr>
          <w:rFonts w:cs="Arial"/>
          <w:szCs w:val="24"/>
        </w:rPr>
        <w:t> </w:t>
      </w:r>
      <w:hyperlink r:id="rId42" w:history="1">
        <w:r w:rsidR="009C45E0" w:rsidRPr="007559C5">
          <w:rPr>
            <w:szCs w:val="24"/>
          </w:rPr>
          <w:t>CCR</w:t>
        </w:r>
      </w:hyperlink>
      <w:r w:rsidR="009C45E0" w:rsidRPr="007559C5">
        <w:rPr>
          <w:rFonts w:cs="Arial"/>
          <w:szCs w:val="24"/>
        </w:rPr>
        <w:t> placement at active or abandoned underground or surface </w:t>
      </w:r>
      <w:hyperlink r:id="rId43" w:history="1">
        <w:r w:rsidR="009C45E0" w:rsidRPr="007559C5">
          <w:rPr>
            <w:szCs w:val="24"/>
          </w:rPr>
          <w:t>coal</w:t>
        </w:r>
      </w:hyperlink>
      <w:r w:rsidR="009C45E0" w:rsidRPr="007559C5">
        <w:rPr>
          <w:rFonts w:cs="Arial"/>
          <w:szCs w:val="24"/>
        </w:rPr>
        <w:t> mines.</w:t>
      </w:r>
    </w:p>
    <w:p w14:paraId="1D93A04B" w14:textId="289B1DC9" w:rsidR="009C45E0" w:rsidRPr="007559C5" w:rsidRDefault="003B49B7" w:rsidP="007559C5">
      <w:pPr>
        <w:pStyle w:val="ListParagraph"/>
        <w:numPr>
          <w:ilvl w:val="0"/>
          <w:numId w:val="11"/>
        </w:numPr>
        <w:rPr>
          <w:rFonts w:cs="Arial"/>
          <w:szCs w:val="24"/>
        </w:rPr>
      </w:pPr>
      <w:r w:rsidRPr="007559C5">
        <w:rPr>
          <w:szCs w:val="24"/>
        </w:rPr>
        <w:t xml:space="preserve">Exempted </w:t>
      </w:r>
      <w:r w:rsidR="009C45E0" w:rsidRPr="007559C5">
        <w:rPr>
          <w:rFonts w:cs="Arial"/>
          <w:szCs w:val="24"/>
        </w:rPr>
        <w:t>municipal </w:t>
      </w:r>
      <w:hyperlink r:id="rId44" w:history="1">
        <w:r w:rsidR="009C45E0" w:rsidRPr="007559C5">
          <w:rPr>
            <w:szCs w:val="24"/>
          </w:rPr>
          <w:t>solid waste</w:t>
        </w:r>
      </w:hyperlink>
      <w:r w:rsidR="009C45E0" w:rsidRPr="007559C5">
        <w:rPr>
          <w:rFonts w:cs="Arial"/>
          <w:szCs w:val="24"/>
        </w:rPr>
        <w:t> </w:t>
      </w:r>
      <w:hyperlink r:id="rId45" w:history="1">
        <w:r w:rsidR="009C45E0" w:rsidRPr="007559C5">
          <w:rPr>
            <w:szCs w:val="24"/>
          </w:rPr>
          <w:t>landfills</w:t>
        </w:r>
      </w:hyperlink>
      <w:r w:rsidR="009C45E0" w:rsidRPr="007559C5">
        <w:rPr>
          <w:rFonts w:cs="Arial"/>
          <w:szCs w:val="24"/>
        </w:rPr>
        <w:t> that receive </w:t>
      </w:r>
      <w:hyperlink r:id="rId46" w:history="1">
        <w:r w:rsidR="009C45E0" w:rsidRPr="007559C5">
          <w:rPr>
            <w:szCs w:val="24"/>
          </w:rPr>
          <w:t>CCR</w:t>
        </w:r>
      </w:hyperlink>
      <w:r w:rsidR="009C45E0" w:rsidRPr="007559C5">
        <w:rPr>
          <w:rFonts w:cs="Arial"/>
          <w:szCs w:val="24"/>
        </w:rPr>
        <w:t>.</w:t>
      </w:r>
    </w:p>
    <w:p w14:paraId="2991AA0F" w14:textId="45DA0C21" w:rsidR="003B49B7" w:rsidRPr="007559C5" w:rsidRDefault="003B49B7" w:rsidP="007559C5">
      <w:pPr>
        <w:pStyle w:val="ListParagraph"/>
        <w:numPr>
          <w:ilvl w:val="0"/>
          <w:numId w:val="11"/>
        </w:numPr>
        <w:rPr>
          <w:rFonts w:cs="Arial"/>
          <w:szCs w:val="24"/>
        </w:rPr>
      </w:pPr>
      <w:r w:rsidRPr="007559C5">
        <w:rPr>
          <w:rFonts w:cs="Arial"/>
          <w:szCs w:val="24"/>
        </w:rPr>
        <w:t xml:space="preserve">Exempted </w:t>
      </w:r>
      <w:r w:rsidR="0C227EB7" w:rsidRPr="007559C5">
        <w:rPr>
          <w:rFonts w:cs="Arial"/>
          <w:szCs w:val="24"/>
        </w:rPr>
        <w:t>inactive surface impoundments that closed within three years from the operating, design, and location criteria, as well as groundwater monitoring and post closure care</w:t>
      </w:r>
      <w:r w:rsidR="00640360" w:rsidRPr="007559C5">
        <w:rPr>
          <w:rFonts w:cs="Arial"/>
          <w:szCs w:val="24"/>
        </w:rPr>
        <w:t xml:space="preserve"> (the “three</w:t>
      </w:r>
      <w:r w:rsidR="00AD76AA" w:rsidRPr="007559C5">
        <w:rPr>
          <w:rFonts w:cs="Arial"/>
          <w:szCs w:val="24"/>
        </w:rPr>
        <w:t>-</w:t>
      </w:r>
      <w:r w:rsidR="00640360" w:rsidRPr="007559C5">
        <w:rPr>
          <w:rFonts w:cs="Arial"/>
          <w:szCs w:val="24"/>
        </w:rPr>
        <w:t>year closure” exemption)</w:t>
      </w:r>
      <w:r w:rsidR="0C227EB7" w:rsidRPr="007559C5">
        <w:rPr>
          <w:rFonts w:cs="Arial"/>
          <w:szCs w:val="24"/>
        </w:rPr>
        <w:t>.</w:t>
      </w:r>
    </w:p>
    <w:p w14:paraId="648F3A6F" w14:textId="41CF3015" w:rsidR="006632D8" w:rsidRPr="007559C5" w:rsidRDefault="003B49B7" w:rsidP="007559C5">
      <w:pPr>
        <w:pStyle w:val="ListParagraph"/>
        <w:numPr>
          <w:ilvl w:val="0"/>
          <w:numId w:val="11"/>
        </w:numPr>
        <w:rPr>
          <w:rFonts w:cs="Arial"/>
          <w:szCs w:val="24"/>
        </w:rPr>
      </w:pPr>
      <w:r w:rsidRPr="007559C5">
        <w:rPr>
          <w:rFonts w:cs="Arial"/>
          <w:szCs w:val="24"/>
        </w:rPr>
        <w:t>Exempted</w:t>
      </w:r>
      <w:r w:rsidR="0C227EB7" w:rsidRPr="007559C5">
        <w:rPr>
          <w:rFonts w:cs="Arial"/>
          <w:szCs w:val="24"/>
        </w:rPr>
        <w:t xml:space="preserve"> CCR units located at sites that ceased generating electricity, regardless of the fuel type, as of October 19, 2015.</w:t>
      </w:r>
      <w:r w:rsidR="00635441" w:rsidRPr="007559C5">
        <w:rPr>
          <w:rFonts w:cs="Arial"/>
          <w:szCs w:val="24"/>
        </w:rPr>
        <w:t xml:space="preserve"> </w:t>
      </w:r>
    </w:p>
    <w:p w14:paraId="20865F6E" w14:textId="149F280F" w:rsidR="00506357" w:rsidRDefault="2D49F0E5" w:rsidP="00E654CE">
      <w:bookmarkStart w:id="53" w:name="_Hlk530495719"/>
      <w:r w:rsidRPr="53ADDA6E">
        <w:t xml:space="preserve">For regulated CCR units, </w:t>
      </w:r>
      <w:r>
        <w:t>t</w:t>
      </w:r>
      <w:r w:rsidR="008605E1">
        <w:t xml:space="preserve">he </w:t>
      </w:r>
      <w:r w:rsidR="00C57DCE">
        <w:t xml:space="preserve">federal and state </w:t>
      </w:r>
      <w:r w:rsidR="008605E1">
        <w:t>rule</w:t>
      </w:r>
      <w:r w:rsidR="00C57DCE">
        <w:t>s</w:t>
      </w:r>
      <w:r w:rsidR="008605E1">
        <w:t xml:space="preserve"> established </w:t>
      </w:r>
      <w:r w:rsidR="003B49B7">
        <w:t xml:space="preserve">a comprehensive set of compliance requirements related to location and siting criteria; design and operating criteria; groundwater monitoring and corrective action requirements; </w:t>
      </w:r>
      <w:r w:rsidR="00B71BEF">
        <w:t>structural integrity requirements;</w:t>
      </w:r>
      <w:r w:rsidR="003B49B7">
        <w:t xml:space="preserve"> closure and post-closure care requirements; a range of reporting and recordkeeping requirements</w:t>
      </w:r>
      <w:r w:rsidR="00033224">
        <w:t xml:space="preserve"> and posting of information to the internet. See 40 </w:t>
      </w:r>
      <w:r w:rsidR="78FDAAAB">
        <w:t>CFR</w:t>
      </w:r>
      <w:r w:rsidR="00033224">
        <w:t xml:space="preserve"> Part 257; Ga. Comp. R. &amp; Regs. R. 391-3-4-10.</w:t>
      </w:r>
      <w:r w:rsidR="003B49B7">
        <w:t xml:space="preserve">  </w:t>
      </w:r>
      <w:r w:rsidR="006D6111">
        <w:t>Failure to demonstrate compliance with certain criteria by specified deadlines could result in required closure of the CCR unit.  Timeframes for</w:t>
      </w:r>
      <w:r w:rsidR="00640360">
        <w:t>,</w:t>
      </w:r>
      <w:r w:rsidR="006D6111">
        <w:t xml:space="preserve"> and acceptable methods of</w:t>
      </w:r>
      <w:r w:rsidR="00640360">
        <w:t>,</w:t>
      </w:r>
      <w:r w:rsidR="006D6111">
        <w:t xml:space="preserve"> </w:t>
      </w:r>
      <w:r w:rsidR="00640360">
        <w:t xml:space="preserve">CCR unit </w:t>
      </w:r>
      <w:r w:rsidR="006D6111">
        <w:t>closure are provided in the Federal CCR Rule.</w:t>
      </w:r>
      <w:r w:rsidR="00640360">
        <w:t xml:space="preserve"> </w:t>
      </w:r>
      <w:r w:rsidR="008605E1">
        <w:t xml:space="preserve"> </w:t>
      </w:r>
      <w:r w:rsidR="00687247" w:rsidRPr="00AE038A">
        <w:rPr>
          <w:szCs w:val="24"/>
        </w:rPr>
        <w:t>T</w:t>
      </w:r>
      <w:r w:rsidR="002E6026" w:rsidRPr="00AE038A">
        <w:rPr>
          <w:szCs w:val="24"/>
        </w:rPr>
        <w:t xml:space="preserve">he federal CCR </w:t>
      </w:r>
      <w:r w:rsidR="00AB06F2" w:rsidRPr="00AE038A">
        <w:rPr>
          <w:szCs w:val="24"/>
        </w:rPr>
        <w:t>R</w:t>
      </w:r>
      <w:r w:rsidR="002E6026" w:rsidRPr="00AE038A">
        <w:rPr>
          <w:szCs w:val="24"/>
        </w:rPr>
        <w:t>ule explicitly authorize</w:t>
      </w:r>
      <w:r w:rsidR="00860026" w:rsidRPr="00AE038A">
        <w:rPr>
          <w:szCs w:val="24"/>
        </w:rPr>
        <w:t>s</w:t>
      </w:r>
      <w:r w:rsidR="002E6026" w:rsidRPr="00AE038A">
        <w:rPr>
          <w:szCs w:val="24"/>
        </w:rPr>
        <w:t xml:space="preserve"> both closure in place and closure by removal as options, with each option subject to its own set of closure performance criteria.</w:t>
      </w:r>
      <w:r w:rsidR="008605E1" w:rsidRPr="00AE038A">
        <w:rPr>
          <w:sz w:val="17"/>
          <w:szCs w:val="17"/>
        </w:rPr>
        <w:t xml:space="preserve"> </w:t>
      </w:r>
      <w:r w:rsidR="3877C906" w:rsidRPr="53ADDA6E">
        <w:t xml:space="preserve">The rule incorporates alternative closure </w:t>
      </w:r>
      <w:r w:rsidR="00640360">
        <w:t>options</w:t>
      </w:r>
      <w:r w:rsidR="00640360" w:rsidRPr="53ADDA6E">
        <w:t xml:space="preserve"> </w:t>
      </w:r>
      <w:r w:rsidR="3877C906" w:rsidRPr="53ADDA6E">
        <w:t xml:space="preserve">that allow for surface impoundments to continue to receive CCR for a limited amount of time beyond a date for which it would otherwise have to begin closure if </w:t>
      </w:r>
      <w:r w:rsidR="00640360">
        <w:t>options are</w:t>
      </w:r>
      <w:r w:rsidR="3877C906" w:rsidRPr="53ADDA6E">
        <w:t xml:space="preserve"> not </w:t>
      </w:r>
      <w:r w:rsidR="00640360">
        <w:t>available</w:t>
      </w:r>
      <w:r w:rsidR="3877C906" w:rsidRPr="53ADDA6E">
        <w:t xml:space="preserve"> to manage CCR without </w:t>
      </w:r>
      <w:r w:rsidR="00640360">
        <w:t>the existence of that CCR unit</w:t>
      </w:r>
      <w:r w:rsidR="3877C906" w:rsidRPr="53ADDA6E">
        <w:t xml:space="preserve">. </w:t>
      </w:r>
      <w:bookmarkEnd w:id="53"/>
    </w:p>
    <w:p w14:paraId="68C19EFA" w14:textId="2A04CD56" w:rsidR="00A16811" w:rsidRPr="00C00DCF" w:rsidRDefault="00A16811" w:rsidP="00877775">
      <w:pPr>
        <w:pStyle w:val="Heading4"/>
      </w:pPr>
      <w:r w:rsidRPr="00C00DCF">
        <w:t>Changes to the Federal CCR Rul</w:t>
      </w:r>
      <w:r w:rsidR="00625BF3">
        <w:t>e</w:t>
      </w:r>
      <w:r w:rsidR="107CA7C1">
        <w:t xml:space="preserve"> Over Time</w:t>
      </w:r>
    </w:p>
    <w:p w14:paraId="258B05E9" w14:textId="77777777" w:rsidR="00A16811" w:rsidRDefault="00640360" w:rsidP="00E654CE">
      <w:r>
        <w:t>Since the original publication of the Federal CCR Rule, there have been several developments</w:t>
      </w:r>
      <w:r w:rsidR="00A16811">
        <w:t xml:space="preserve"> generally related to litigation, administration policy changes or legislative actions,</w:t>
      </w:r>
      <w:r>
        <w:t xml:space="preserve"> that would act to </w:t>
      </w:r>
      <w:r w:rsidR="00A16811">
        <w:t xml:space="preserve">amend the Federal CCR Rule or </w:t>
      </w:r>
      <w:r>
        <w:t xml:space="preserve">change </w:t>
      </w:r>
      <w:r w:rsidR="00A16811">
        <w:t>how the Federal CCR Rule is enforced</w:t>
      </w:r>
      <w:r>
        <w:t xml:space="preserve">. </w:t>
      </w:r>
    </w:p>
    <w:p w14:paraId="675E8AC4" w14:textId="319DC54E" w:rsidR="00A16811" w:rsidRPr="004336B7" w:rsidRDefault="00A16811" w:rsidP="00E654CE">
      <w:pPr>
        <w:rPr>
          <w:u w:val="single"/>
        </w:rPr>
      </w:pPr>
      <w:r w:rsidRPr="004336B7">
        <w:rPr>
          <w:u w:val="single"/>
        </w:rPr>
        <w:t>2015 Litigation</w:t>
      </w:r>
      <w:r>
        <w:rPr>
          <w:u w:val="single"/>
        </w:rPr>
        <w:t xml:space="preserve"> and 2016 Settlement Agreement</w:t>
      </w:r>
    </w:p>
    <w:p w14:paraId="32991D49" w14:textId="4D252173" w:rsidR="00AD5BDF" w:rsidRDefault="00274343" w:rsidP="00E654CE">
      <w:pPr>
        <w:rPr>
          <w:rFonts w:eastAsia="Calibri"/>
          <w:color w:val="000000" w:themeColor="text1"/>
        </w:rPr>
      </w:pPr>
      <w:r w:rsidRPr="00DB7156">
        <w:t xml:space="preserve">In </w:t>
      </w:r>
      <w:r w:rsidR="009A67BB">
        <w:t>December</w:t>
      </w:r>
      <w:r w:rsidRPr="00DB7156">
        <w:t xml:space="preserve"> 2015, several parties, including industry and environmental groups filed legal challenges to </w:t>
      </w:r>
      <w:r>
        <w:t>the Federal CCR Rule</w:t>
      </w:r>
      <w:r w:rsidR="00640360">
        <w:t>; and i</w:t>
      </w:r>
      <w:r w:rsidRPr="00DB7156">
        <w:t>n June 2016, the D.C. Circuit Court approved a settlement addressing several</w:t>
      </w:r>
      <w:r w:rsidR="3B110EC2" w:rsidRPr="7C536393">
        <w:t>, but not all,</w:t>
      </w:r>
      <w:r w:rsidRPr="00DB7156">
        <w:t xml:space="preserve"> issues that were raised in the CCR litigation. </w:t>
      </w:r>
      <w:r w:rsidR="0021656B">
        <w:t>As</w:t>
      </w:r>
      <w:r w:rsidRPr="00DB7156">
        <w:t xml:space="preserve"> part of the settlement, the court vacated the three-year closure exemption for inactive surface impoundments</w:t>
      </w:r>
      <w:r w:rsidR="0021656B">
        <w:t>.</w:t>
      </w:r>
      <w:r w:rsidR="001B0B30">
        <w:t xml:space="preserve"> This</w:t>
      </w:r>
      <w:r w:rsidRPr="00DB7156">
        <w:t xml:space="preserve"> mean</w:t>
      </w:r>
      <w:r>
        <w:t>t</w:t>
      </w:r>
      <w:r w:rsidRPr="00DB7156">
        <w:t xml:space="preserve"> that inactive CCR units that were pursuing the three-year closure exemption would be subject to the same rule requirements as </w:t>
      </w:r>
      <w:r>
        <w:t>existing</w:t>
      </w:r>
      <w:r w:rsidRPr="00DB7156">
        <w:t xml:space="preserve"> CCR </w:t>
      </w:r>
      <w:r>
        <w:t>surface impoundments</w:t>
      </w:r>
      <w:r w:rsidRPr="00DB7156">
        <w:t>, except on a revised schedule.</w:t>
      </w:r>
      <w:r w:rsidRPr="00DB7156" w:rsidDel="00D30975">
        <w:t xml:space="preserve"> </w:t>
      </w:r>
      <w:r w:rsidR="00AD5BDF" w:rsidRPr="00DB7156">
        <w:t xml:space="preserve">Additionally, as part of the settlement, </w:t>
      </w:r>
      <w:r w:rsidR="00AD5BDF" w:rsidRPr="664ED54E">
        <w:rPr>
          <w:rFonts w:eastAsia="Calibri"/>
          <w:color w:val="000000" w:themeColor="text1"/>
        </w:rPr>
        <w:t xml:space="preserve">EPA agreed to finalize a rulemaking to address the following issues: </w:t>
      </w:r>
    </w:p>
    <w:p w14:paraId="76F633C1" w14:textId="0957A084" w:rsidR="00AD5BDF" w:rsidRPr="00897443" w:rsidRDefault="00011A42" w:rsidP="003169EE">
      <w:pPr>
        <w:pStyle w:val="ListParagraph"/>
        <w:numPr>
          <w:ilvl w:val="0"/>
          <w:numId w:val="28"/>
        </w:numPr>
        <w:spacing w:after="0"/>
        <w:rPr>
          <w:rFonts w:cs="Arial"/>
          <w:szCs w:val="24"/>
        </w:rPr>
      </w:pPr>
      <w:r>
        <w:rPr>
          <w:rFonts w:eastAsia="Calibri" w:cs="Arial"/>
          <w:color w:val="000000" w:themeColor="text1"/>
          <w:szCs w:val="24"/>
        </w:rPr>
        <w:t>R</w:t>
      </w:r>
      <w:r w:rsidR="00AD5BDF" w:rsidRPr="00897443">
        <w:rPr>
          <w:rFonts w:eastAsia="Calibri" w:cs="Arial"/>
          <w:color w:val="000000" w:themeColor="text1"/>
          <w:szCs w:val="24"/>
        </w:rPr>
        <w:t>equirements relating to the use of vegetation for slope protection</w:t>
      </w:r>
      <w:r w:rsidR="001A579F" w:rsidRPr="00897443">
        <w:rPr>
          <w:rFonts w:eastAsia="Calibri" w:cs="Arial"/>
          <w:color w:val="000000" w:themeColor="text1"/>
          <w:szCs w:val="24"/>
        </w:rPr>
        <w:t>.</w:t>
      </w:r>
      <w:r w:rsidR="00AD5BDF" w:rsidRPr="00897443">
        <w:rPr>
          <w:rFonts w:eastAsia="Calibri" w:cs="Arial"/>
          <w:color w:val="000000" w:themeColor="text1"/>
          <w:szCs w:val="24"/>
        </w:rPr>
        <w:t xml:space="preserve"> </w:t>
      </w:r>
    </w:p>
    <w:p w14:paraId="2125BD6E" w14:textId="01B5A639" w:rsidR="00AD5BDF" w:rsidRPr="00897443" w:rsidRDefault="00011A42" w:rsidP="003169EE">
      <w:pPr>
        <w:pStyle w:val="ListParagraph"/>
        <w:numPr>
          <w:ilvl w:val="0"/>
          <w:numId w:val="28"/>
        </w:numPr>
        <w:spacing w:after="0"/>
        <w:rPr>
          <w:rFonts w:cs="Arial"/>
          <w:szCs w:val="24"/>
        </w:rPr>
      </w:pPr>
      <w:r>
        <w:rPr>
          <w:rFonts w:eastAsia="Calibri" w:cs="Arial"/>
          <w:color w:val="000000" w:themeColor="text1"/>
          <w:szCs w:val="24"/>
        </w:rPr>
        <w:t>T</w:t>
      </w:r>
      <w:r w:rsidR="00AD5BDF" w:rsidRPr="00897443">
        <w:rPr>
          <w:rFonts w:eastAsia="Calibri" w:cs="Arial"/>
          <w:color w:val="000000" w:themeColor="text1"/>
          <w:szCs w:val="24"/>
        </w:rPr>
        <w:t xml:space="preserve">ype and magnitude of non-groundwater releases that require a facility to comply with some or all of the Rule’s corrective action procedures; and </w:t>
      </w:r>
    </w:p>
    <w:p w14:paraId="71FE839D" w14:textId="30B68A03" w:rsidR="00AD0768" w:rsidRDefault="00011A42" w:rsidP="003169EE">
      <w:pPr>
        <w:pStyle w:val="ListParagraph"/>
        <w:numPr>
          <w:ilvl w:val="0"/>
          <w:numId w:val="28"/>
        </w:numPr>
        <w:spacing w:after="0"/>
        <w:rPr>
          <w:rFonts w:cs="Arial"/>
          <w:szCs w:val="24"/>
        </w:rPr>
      </w:pPr>
      <w:r>
        <w:rPr>
          <w:rFonts w:eastAsia="Calibri" w:cs="Arial"/>
          <w:color w:val="000000" w:themeColor="text1"/>
          <w:szCs w:val="24"/>
        </w:rPr>
        <w:t>A</w:t>
      </w:r>
      <w:r w:rsidR="00AD5BDF" w:rsidRPr="00897443">
        <w:rPr>
          <w:rFonts w:eastAsia="Calibri" w:cs="Arial"/>
          <w:color w:val="000000" w:themeColor="text1"/>
          <w:szCs w:val="24"/>
        </w:rPr>
        <w:t>dding boron to the list of Appendix IV constituents.</w:t>
      </w:r>
      <w:r w:rsidR="00AD5BDF" w:rsidRPr="00897443">
        <w:rPr>
          <w:rFonts w:cs="Arial"/>
          <w:szCs w:val="24"/>
        </w:rPr>
        <w:t xml:space="preserve"> </w:t>
      </w:r>
    </w:p>
    <w:p w14:paraId="0D88742A" w14:textId="5C52DD3E" w:rsidR="00AD5BDF" w:rsidRPr="00897443" w:rsidRDefault="00AD5BDF" w:rsidP="003169EE">
      <w:pPr>
        <w:pStyle w:val="ListParagraph"/>
        <w:numPr>
          <w:ilvl w:val="0"/>
          <w:numId w:val="28"/>
        </w:numPr>
        <w:rPr>
          <w:rFonts w:cs="Arial"/>
          <w:szCs w:val="24"/>
        </w:rPr>
      </w:pPr>
      <w:r w:rsidRPr="00897443">
        <w:rPr>
          <w:rFonts w:cs="Arial"/>
          <w:szCs w:val="24"/>
        </w:rPr>
        <w:t>EPA also agreed to review whether to modify the rule’s existing alternative closure provision to specifically include non-CCR waste streams.</w:t>
      </w:r>
    </w:p>
    <w:p w14:paraId="6EABBA9E" w14:textId="00137AA1" w:rsidR="000113E9" w:rsidRPr="00897443" w:rsidRDefault="7AF536B7" w:rsidP="00E654CE">
      <w:r w:rsidRPr="53ADDA6E">
        <w:t>In August 2016, EPA published a proposed and direct Extension Rule in the Federal Regist</w:t>
      </w:r>
      <w:r w:rsidR="7B2D79CE" w:rsidRPr="53ADDA6E">
        <w:t>e</w:t>
      </w:r>
      <w:r w:rsidRPr="53ADDA6E">
        <w:t xml:space="preserve">r to extend certain compliance dates by 547 days for ash ponds that intended to close within 3 years. On October </w:t>
      </w:r>
      <w:r w:rsidR="00EA1EB2">
        <w:t>5</w:t>
      </w:r>
      <w:r w:rsidRPr="53ADDA6E">
        <w:t>, 2016, the Extension Rule became effective following no adverse comments.</w:t>
      </w:r>
    </w:p>
    <w:p w14:paraId="371A1C85" w14:textId="65D95C7F" w:rsidR="00274343" w:rsidRPr="004336B7" w:rsidRDefault="00A16811" w:rsidP="0016082D">
      <w:pPr>
        <w:spacing w:after="0"/>
        <w:rPr>
          <w:rFonts w:cs="Arial"/>
          <w:szCs w:val="24"/>
          <w:u w:val="single"/>
        </w:rPr>
      </w:pPr>
      <w:r>
        <w:rPr>
          <w:rFonts w:cs="Arial"/>
          <w:szCs w:val="24"/>
          <w:u w:val="single"/>
        </w:rPr>
        <w:t xml:space="preserve">GA DNR </w:t>
      </w:r>
      <w:r w:rsidR="004B2503">
        <w:rPr>
          <w:rFonts w:cs="Arial"/>
          <w:szCs w:val="24"/>
          <w:u w:val="single"/>
        </w:rPr>
        <w:t>E</w:t>
      </w:r>
      <w:r>
        <w:rPr>
          <w:rFonts w:cs="Arial"/>
          <w:szCs w:val="24"/>
          <w:u w:val="single"/>
        </w:rPr>
        <w:t>stablishes</w:t>
      </w:r>
      <w:r w:rsidRPr="004336B7">
        <w:rPr>
          <w:rFonts w:cs="Arial"/>
          <w:szCs w:val="24"/>
          <w:u w:val="single"/>
        </w:rPr>
        <w:t xml:space="preserve"> a State CCR Rule</w:t>
      </w:r>
    </w:p>
    <w:p w14:paraId="0248D955" w14:textId="77777777" w:rsidR="00A16811" w:rsidRPr="00DB7156" w:rsidRDefault="00A16811" w:rsidP="0016082D">
      <w:pPr>
        <w:spacing w:after="0"/>
        <w:rPr>
          <w:rFonts w:cs="Arial"/>
          <w:szCs w:val="24"/>
        </w:rPr>
      </w:pPr>
    </w:p>
    <w:p w14:paraId="02EB8257" w14:textId="6EDA6E17" w:rsidR="0016082D" w:rsidRPr="00DB7156" w:rsidRDefault="0016082D" w:rsidP="00BF60FC">
      <w:pPr>
        <w:rPr>
          <w:color w:val="000000"/>
        </w:rPr>
      </w:pPr>
      <w:r w:rsidRPr="664ED54E">
        <w:t xml:space="preserve">On October 16, 2016, the Georgia Department of Natural Resources </w:t>
      </w:r>
      <w:r w:rsidR="00A457C8">
        <w:t>(“DNR”)</w:t>
      </w:r>
      <w:r w:rsidRPr="664ED54E">
        <w:t xml:space="preserve"> Board adopted amendments to Georgia’s Rules for Solid Waste Management pertaining to the storage and disposal of CCR</w:t>
      </w:r>
      <w:r w:rsidR="00D97D6C">
        <w:t xml:space="preserve"> (391-3-4-.10)</w:t>
      </w:r>
      <w:r w:rsidRPr="664ED54E">
        <w:t xml:space="preserve">.  The Georgia CCR Rule became effective on November 22, </w:t>
      </w:r>
      <w:r w:rsidR="0079076C" w:rsidRPr="664ED54E">
        <w:t>2016,</w:t>
      </w:r>
      <w:r w:rsidRPr="664ED54E">
        <w:t xml:space="preserve"> and</w:t>
      </w:r>
      <w:r w:rsidR="0E5BA6CC" w:rsidRPr="664ED54E">
        <w:t>, at the time, did not replace the Federal CCR Rule, but acted</w:t>
      </w:r>
      <w:r w:rsidRPr="664ED54E">
        <w:t xml:space="preserve"> in addition to the Federal CCR Rule. It include</w:t>
      </w:r>
      <w:r w:rsidR="00A834A8">
        <w:t>d</w:t>
      </w:r>
      <w:r w:rsidRPr="664ED54E">
        <w:t xml:space="preserve"> </w:t>
      </w:r>
      <w:r w:rsidR="13567E54" w:rsidRPr="664ED54E">
        <w:t xml:space="preserve">certain </w:t>
      </w:r>
      <w:r w:rsidRPr="664ED54E">
        <w:t xml:space="preserve">more stringent </w:t>
      </w:r>
      <w:r w:rsidR="09DC156D" w:rsidRPr="664ED54E">
        <w:t xml:space="preserve">permitting, oversight and monitoring </w:t>
      </w:r>
      <w:r w:rsidRPr="664ED54E">
        <w:t>requirements than the Federal CCR Rule</w:t>
      </w:r>
      <w:r w:rsidR="40CBEB62" w:rsidRPr="664ED54E">
        <w:t>, such as:</w:t>
      </w:r>
    </w:p>
    <w:p w14:paraId="6B9D2659" w14:textId="4CBE4D5C" w:rsidR="0016082D" w:rsidRPr="00DB7156" w:rsidRDefault="0016082D" w:rsidP="005D2968">
      <w:pPr>
        <w:pStyle w:val="ListParagraph"/>
        <w:numPr>
          <w:ilvl w:val="0"/>
          <w:numId w:val="13"/>
        </w:numPr>
        <w:autoSpaceDE w:val="0"/>
        <w:autoSpaceDN w:val="0"/>
        <w:adjustRightInd w:val="0"/>
        <w:spacing w:after="22"/>
        <w:contextualSpacing w:val="0"/>
        <w:rPr>
          <w:rFonts w:cs="Arial"/>
          <w:color w:val="000000"/>
        </w:rPr>
      </w:pPr>
      <w:r w:rsidRPr="0B10EE18">
        <w:rPr>
          <w:rFonts w:cs="Arial"/>
          <w:color w:val="000000" w:themeColor="text1"/>
        </w:rPr>
        <w:t>The Georgia CCR Rule adopt</w:t>
      </w:r>
      <w:r w:rsidR="00A834A8">
        <w:rPr>
          <w:rFonts w:cs="Arial"/>
          <w:color w:val="000000" w:themeColor="text1"/>
        </w:rPr>
        <w:t>ed</w:t>
      </w:r>
      <w:r w:rsidRPr="0B10EE18">
        <w:rPr>
          <w:rFonts w:cs="Arial"/>
          <w:color w:val="000000" w:themeColor="text1"/>
        </w:rPr>
        <w:t xml:space="preserve"> requirements from the Federal CCR Rule, but unlike the Federal CCR Rule, which only regulates certain facilities, the Georgia CCR Rule regulates all CCR landfills and ash ponds.</w:t>
      </w:r>
    </w:p>
    <w:p w14:paraId="06D50751" w14:textId="5EBE68F3" w:rsidR="0016082D" w:rsidRDefault="0016082D" w:rsidP="005D2968">
      <w:pPr>
        <w:pStyle w:val="ListParagraph"/>
        <w:numPr>
          <w:ilvl w:val="0"/>
          <w:numId w:val="13"/>
        </w:numPr>
        <w:autoSpaceDE w:val="0"/>
        <w:autoSpaceDN w:val="0"/>
        <w:adjustRightInd w:val="0"/>
        <w:spacing w:after="22"/>
        <w:contextualSpacing w:val="0"/>
        <w:rPr>
          <w:rFonts w:cs="Arial"/>
          <w:color w:val="000000"/>
        </w:rPr>
      </w:pPr>
      <w:r w:rsidRPr="0B10EE18">
        <w:rPr>
          <w:rFonts w:cs="Arial"/>
          <w:color w:val="000000" w:themeColor="text1"/>
        </w:rPr>
        <w:t xml:space="preserve">CCR units in Georgia are regulated by Georgia EPD through a comprehensive permitting program, which is not required by the Federal CCR Rule. CCR unit development, operation, and closure must be conducted in accordance with the requirements in the permit, which is approved and enforced by Georgia EPD. </w:t>
      </w:r>
    </w:p>
    <w:p w14:paraId="35865FF4" w14:textId="59206C3C" w:rsidR="0016082D" w:rsidRPr="00F8108A" w:rsidRDefault="0016082D" w:rsidP="005D2968">
      <w:pPr>
        <w:pStyle w:val="ListParagraph"/>
        <w:numPr>
          <w:ilvl w:val="0"/>
          <w:numId w:val="13"/>
        </w:numPr>
        <w:autoSpaceDE w:val="0"/>
        <w:autoSpaceDN w:val="0"/>
        <w:adjustRightInd w:val="0"/>
        <w:spacing w:after="22"/>
        <w:contextualSpacing w:val="0"/>
        <w:rPr>
          <w:rFonts w:cs="Arial"/>
        </w:rPr>
      </w:pPr>
      <w:r w:rsidRPr="0B10EE18">
        <w:rPr>
          <w:rFonts w:cs="Arial"/>
          <w:color w:val="000000" w:themeColor="text1"/>
        </w:rPr>
        <w:t xml:space="preserve">All </w:t>
      </w:r>
      <w:r w:rsidR="65E943DF" w:rsidRPr="648454B7">
        <w:rPr>
          <w:rFonts w:cs="Arial"/>
          <w:color w:val="000000" w:themeColor="text1"/>
        </w:rPr>
        <w:t>existing</w:t>
      </w:r>
      <w:r w:rsidRPr="0B10EE18">
        <w:rPr>
          <w:rFonts w:cs="Arial"/>
          <w:color w:val="000000" w:themeColor="text1"/>
        </w:rPr>
        <w:t xml:space="preserve"> CCR </w:t>
      </w:r>
      <w:r w:rsidR="40B5F5C6" w:rsidRPr="19AF01FC">
        <w:rPr>
          <w:rFonts w:cs="Arial"/>
          <w:color w:val="000000" w:themeColor="text1"/>
        </w:rPr>
        <w:t>units</w:t>
      </w:r>
      <w:r w:rsidR="003C0EAD">
        <w:rPr>
          <w:rFonts w:cs="Arial"/>
          <w:color w:val="000000" w:themeColor="text1"/>
        </w:rPr>
        <w:t xml:space="preserve">, including ash ponds and </w:t>
      </w:r>
      <w:r w:rsidRPr="0B10EE18">
        <w:rPr>
          <w:rFonts w:cs="Arial"/>
          <w:color w:val="000000" w:themeColor="text1"/>
        </w:rPr>
        <w:t xml:space="preserve">landfills </w:t>
      </w:r>
      <w:r w:rsidR="003C0EAD">
        <w:rPr>
          <w:rFonts w:cs="Arial"/>
          <w:color w:val="000000" w:themeColor="text1"/>
        </w:rPr>
        <w:t>previously closed</w:t>
      </w:r>
      <w:r w:rsidR="0056405C">
        <w:rPr>
          <w:rFonts w:cs="Arial"/>
          <w:color w:val="000000" w:themeColor="text1"/>
        </w:rPr>
        <w:t>,</w:t>
      </w:r>
      <w:r w:rsidRPr="0B10EE18">
        <w:rPr>
          <w:rFonts w:cs="Arial"/>
          <w:color w:val="000000" w:themeColor="text1"/>
        </w:rPr>
        <w:t xml:space="preserve"> were required to submit a CCR permit application to Georgia EPD by November 22, 2018. </w:t>
      </w:r>
    </w:p>
    <w:p w14:paraId="7F1BEFF3" w14:textId="77777777" w:rsidR="0016082D" w:rsidRPr="00DB7156" w:rsidRDefault="0016082D" w:rsidP="00C65AA0">
      <w:pPr>
        <w:pStyle w:val="ListParagraph"/>
        <w:numPr>
          <w:ilvl w:val="0"/>
          <w:numId w:val="13"/>
        </w:numPr>
        <w:autoSpaceDE w:val="0"/>
        <w:autoSpaceDN w:val="0"/>
        <w:adjustRightInd w:val="0"/>
        <w:contextualSpacing w:val="0"/>
        <w:rPr>
          <w:rFonts w:cs="Arial"/>
          <w:color w:val="000000"/>
        </w:rPr>
      </w:pPr>
      <w:r w:rsidRPr="0B10EE18">
        <w:rPr>
          <w:rFonts w:cs="Arial"/>
          <w:color w:val="000000" w:themeColor="text1"/>
        </w:rPr>
        <w:t>These permits will set forth the requirements at each facility that Georgia Power will be subject to under the Georgia CCR Rule. The permitting process will include review of the Company’s plans, engineering design, public notice, and public comment.</w:t>
      </w:r>
      <w:r w:rsidRPr="664ED54E">
        <w:rPr>
          <w:rFonts w:cs="Arial"/>
          <w:color w:val="000000" w:themeColor="text1"/>
        </w:rPr>
        <w:t xml:space="preserve"> </w:t>
      </w:r>
    </w:p>
    <w:p w14:paraId="6C9F33C8" w14:textId="7BDF75A4" w:rsidR="2E377A9D" w:rsidRDefault="2E377A9D" w:rsidP="009C7652">
      <w:pPr>
        <w:spacing w:after="22"/>
        <w:rPr>
          <w:rFonts w:eastAsia="Calibri" w:cs="Arial"/>
          <w:color w:val="000000" w:themeColor="text1"/>
        </w:rPr>
      </w:pPr>
      <w:r w:rsidRPr="71A0127D">
        <w:rPr>
          <w:rFonts w:eastAsia="Calibri" w:cs="Arial"/>
          <w:color w:val="000000" w:themeColor="text1"/>
        </w:rPr>
        <w:t xml:space="preserve">On March 8, 2018, Georgia adopted the </w:t>
      </w:r>
      <w:r w:rsidR="4DE59CE1" w:rsidRPr="71A0127D">
        <w:rPr>
          <w:rFonts w:eastAsia="Calibri" w:cs="Arial"/>
          <w:color w:val="000000" w:themeColor="text1"/>
        </w:rPr>
        <w:t>F</w:t>
      </w:r>
      <w:r w:rsidR="0BB6EC25" w:rsidRPr="71A0127D">
        <w:rPr>
          <w:rFonts w:eastAsia="Calibri" w:cs="Arial"/>
          <w:color w:val="000000" w:themeColor="text1"/>
        </w:rPr>
        <w:t>ederal Direct Extension Rule e</w:t>
      </w:r>
      <w:r w:rsidR="1B90295E" w:rsidRPr="71A0127D">
        <w:rPr>
          <w:rFonts w:eastAsia="Calibri" w:cs="Arial"/>
          <w:color w:val="000000" w:themeColor="text1"/>
        </w:rPr>
        <w:t>xtending</w:t>
      </w:r>
      <w:r w:rsidR="0BB6EC25" w:rsidRPr="71A0127D">
        <w:rPr>
          <w:rFonts w:eastAsia="Calibri" w:cs="Arial"/>
          <w:color w:val="000000" w:themeColor="text1"/>
        </w:rPr>
        <w:t xml:space="preserve"> compliance deadlines for the CCR units which </w:t>
      </w:r>
      <w:r w:rsidR="2BDEE1E6" w:rsidRPr="71A0127D">
        <w:rPr>
          <w:rFonts w:eastAsia="Calibri" w:cs="Arial"/>
          <w:color w:val="000000" w:themeColor="text1"/>
        </w:rPr>
        <w:t>intended to close within 3 years</w:t>
      </w:r>
      <w:r w:rsidR="314612CC" w:rsidRPr="71A0127D">
        <w:rPr>
          <w:rFonts w:eastAsia="Calibri" w:cs="Arial"/>
          <w:color w:val="000000" w:themeColor="text1"/>
        </w:rPr>
        <w:t xml:space="preserve">. </w:t>
      </w:r>
      <w:r w:rsidR="0CAD89B1" w:rsidRPr="198D09A5">
        <w:rPr>
          <w:rFonts w:cs="Arial"/>
          <w:color w:val="171717" w:themeColor="background2" w:themeShade="1A"/>
        </w:rPr>
        <w:t xml:space="preserve">Georgia EPD has initiated a proposed rule change to the Georgia CCR Rule in order to incorporate updates in the Federal CCR Rule. </w:t>
      </w:r>
      <w:r w:rsidR="65A0E452" w:rsidRPr="198D09A5">
        <w:rPr>
          <w:rFonts w:eastAsia="Calibri" w:cs="Arial"/>
          <w:color w:val="000000" w:themeColor="text1"/>
        </w:rPr>
        <w:t xml:space="preserve">  </w:t>
      </w:r>
    </w:p>
    <w:p w14:paraId="6DD13516" w14:textId="77777777" w:rsidR="0016082D" w:rsidRPr="00DB7156" w:rsidRDefault="0016082D" w:rsidP="0016082D">
      <w:pPr>
        <w:autoSpaceDE w:val="0"/>
        <w:autoSpaceDN w:val="0"/>
        <w:adjustRightInd w:val="0"/>
        <w:spacing w:after="0"/>
        <w:rPr>
          <w:rFonts w:eastAsia="Calibri" w:cs="Arial"/>
          <w:color w:val="000000"/>
          <w:szCs w:val="24"/>
        </w:rPr>
      </w:pPr>
    </w:p>
    <w:p w14:paraId="1339D53E" w14:textId="77777777" w:rsidR="00652FFC" w:rsidRDefault="00652FFC">
      <w:pPr>
        <w:spacing w:after="160" w:line="259" w:lineRule="auto"/>
        <w:jc w:val="left"/>
        <w:rPr>
          <w:u w:val="single"/>
        </w:rPr>
      </w:pPr>
      <w:r>
        <w:rPr>
          <w:u w:val="single"/>
        </w:rPr>
        <w:br w:type="page"/>
      </w:r>
    </w:p>
    <w:p w14:paraId="7337AEC4" w14:textId="54992C00" w:rsidR="00A16811" w:rsidRPr="00924261" w:rsidRDefault="00A16811" w:rsidP="00E654CE">
      <w:pPr>
        <w:rPr>
          <w:u w:val="single"/>
        </w:rPr>
      </w:pPr>
      <w:r w:rsidRPr="00924261">
        <w:rPr>
          <w:u w:val="single"/>
        </w:rPr>
        <w:t>Congress Passes the Water Infrastructure Improvements for the Nation Act</w:t>
      </w:r>
      <w:r w:rsidR="002F4640">
        <w:rPr>
          <w:u w:val="single"/>
        </w:rPr>
        <w:t xml:space="preserve"> </w:t>
      </w:r>
    </w:p>
    <w:p w14:paraId="3DD50D1D" w14:textId="19E7C5E2" w:rsidR="0016082D" w:rsidRPr="00DB7156" w:rsidRDefault="0016082D" w:rsidP="009C7652">
      <w:r w:rsidRPr="00DB7156">
        <w:t>In December 2016, the WIIN Act was approved</w:t>
      </w:r>
      <w:r>
        <w:t xml:space="preserve"> by the U.S. Congress.</w:t>
      </w:r>
      <w:r w:rsidRPr="00DB7156">
        <w:t xml:space="preserve"> </w:t>
      </w:r>
      <w:r>
        <w:t>It</w:t>
      </w:r>
      <w:r w:rsidRPr="00DB7156">
        <w:t xml:space="preserve"> include</w:t>
      </w:r>
      <w:r w:rsidR="00A85BBC">
        <w:t>d</w:t>
      </w:r>
      <w:r w:rsidRPr="00DB7156">
        <w:t xml:space="preserve"> a framework whereby states can develop and implement a </w:t>
      </w:r>
      <w:r w:rsidR="00A16811">
        <w:t xml:space="preserve">state </w:t>
      </w:r>
      <w:r w:rsidRPr="00DB7156">
        <w:t xml:space="preserve">CCR permit program </w:t>
      </w:r>
      <w:r w:rsidR="00A16811">
        <w:t>that would</w:t>
      </w:r>
      <w:r w:rsidR="00A16811" w:rsidRPr="00DB7156">
        <w:t xml:space="preserve"> </w:t>
      </w:r>
      <w:r w:rsidRPr="00DB7156">
        <w:t xml:space="preserve">operate in lieu of the federal rule </w:t>
      </w:r>
      <w:r w:rsidR="06205A97">
        <w:t>if</w:t>
      </w:r>
      <w:r w:rsidRPr="00DB7156">
        <w:t xml:space="preserve"> EPA </w:t>
      </w:r>
      <w:r w:rsidR="00A85BBC" w:rsidRPr="00DB7156">
        <w:t>approved</w:t>
      </w:r>
      <w:r w:rsidRPr="00DB7156">
        <w:t xml:space="preserve"> the state program. An EPA-approved state permit program provides more regulatory certainty and reduces the burden of overlapping regulations</w:t>
      </w:r>
      <w:r w:rsidR="16487708" w:rsidRPr="664ED54E">
        <w:t xml:space="preserve"> once a CCR permit is issued under the approved State program</w:t>
      </w:r>
      <w:r w:rsidRPr="664ED54E">
        <w:t>.</w:t>
      </w:r>
      <w:r w:rsidRPr="00DB7156">
        <w:t xml:space="preserve"> In March 2017, Georgia EPD submitted Georgia’s CCR Rule for EPA’s review</w:t>
      </w:r>
      <w:r w:rsidR="00CD080D">
        <w:t xml:space="preserve"> and </w:t>
      </w:r>
      <w:r w:rsidR="40489A38" w:rsidRPr="664ED54E">
        <w:t xml:space="preserve">approval as a “partial” permit program, meaning that EPD did not seek approval of certain </w:t>
      </w:r>
      <w:r w:rsidR="7F3FD81C">
        <w:t>element</w:t>
      </w:r>
      <w:r w:rsidR="4611B682">
        <w:t>s</w:t>
      </w:r>
      <w:r w:rsidR="40489A38" w:rsidRPr="664ED54E">
        <w:t xml:space="preserve"> of the Federal CCR Rule.  </w:t>
      </w:r>
      <w:r w:rsidR="2A180BEE">
        <w:t>Pursuant to the WIIN Act, EPA is reviewing and approving state CCR permit programs that, if approved, would authorize states to enforce state regulations for CCR units and operate a permitting program in lieu of the federal rule.</w:t>
      </w:r>
    </w:p>
    <w:p w14:paraId="1AC8D621" w14:textId="0E24F94C" w:rsidR="0016082D" w:rsidRPr="00DB7156" w:rsidRDefault="2A180BEE" w:rsidP="009C7652">
      <w:r>
        <w:t>In June 2019, Georgia received notice from EPA that their application was complete, officially initiating the 180-day review and approval process. In January 2020, EPA published in the Federal Register its partial approval of Georgia’s CCR permit program</w:t>
      </w:r>
      <w:r w:rsidR="00FA3A86">
        <w:t>.</w:t>
      </w:r>
      <w:r>
        <w:t xml:space="preserve"> </w:t>
      </w:r>
      <w:r w:rsidR="613C0EBE">
        <w:t>Georgia’s program was partially approved because the Georgia Rules for Solid Waste Management did not include provisions to cover the applicability of</w:t>
      </w:r>
      <w:r w:rsidR="71D2D21A">
        <w:t xml:space="preserve"> requirements for endangered species.</w:t>
      </w:r>
      <w:r>
        <w:t xml:space="preserve">  Georgia's partial program approval allows the Georgia EPD to enforce rules promulgated under its solid waste statute related to CCR activities, as well as to issue permits and to enforce compliance. </w:t>
      </w:r>
    </w:p>
    <w:p w14:paraId="39505F60" w14:textId="52D35D10" w:rsidR="00A16811" w:rsidRPr="00DC59D8" w:rsidRDefault="009C3068" w:rsidP="00E654CE">
      <w:pPr>
        <w:rPr>
          <w:u w:val="single"/>
        </w:rPr>
      </w:pPr>
      <w:r>
        <w:rPr>
          <w:u w:val="single"/>
        </w:rPr>
        <w:t xml:space="preserve">Petitions for Reconsideration, </w:t>
      </w:r>
      <w:r w:rsidR="00A16811" w:rsidRPr="00924261">
        <w:rPr>
          <w:u w:val="single"/>
        </w:rPr>
        <w:t>A Phased Approach to Amending the Federal CCR Rule</w:t>
      </w:r>
      <w:r w:rsidR="00A16811">
        <w:rPr>
          <w:u w:val="single"/>
        </w:rPr>
        <w:t xml:space="preserve"> and the August 2018 D.C. Circuit Court Decision</w:t>
      </w:r>
    </w:p>
    <w:p w14:paraId="41191B14" w14:textId="13237D85" w:rsidR="00F77FD4" w:rsidRDefault="009C3068" w:rsidP="00E654CE">
      <w:r>
        <w:t>Early 2017 was an active period related to the Federal CCR Rule for three key reasons: 1) early implementation of the WIIN Act as it related to state permit program development, 2) pending oral argument in active Federal CCR Rule litigation, and 3) a Petition for Reconsideration of the Federal CCR Rule filed by industry stakeholders.  In May 2017, Utility Solid Waste Activities Group (</w:t>
      </w:r>
      <w:r w:rsidR="00236CDB">
        <w:t>“</w:t>
      </w:r>
      <w:r>
        <w:t>USWAG</w:t>
      </w:r>
      <w:r w:rsidR="00236CDB">
        <w:t>”</w:t>
      </w:r>
      <w:r>
        <w:t xml:space="preserve">) filed a Petition for Reconsideration which was granted by EPA on September 13, 2017.  In turn, </w:t>
      </w:r>
      <w:r w:rsidR="00F77FD4">
        <w:t>EPA requested a delay in the active litigation while it reconsidered various aspects of the rule and, on November 15, 2017, presented a phased approach to amending the Federal CCR Rule in response to stakeholder engagement and various remaining litigation issues.</w:t>
      </w:r>
    </w:p>
    <w:p w14:paraId="5A3202C5" w14:textId="593368D4" w:rsidR="00A16811" w:rsidRPr="00924261" w:rsidRDefault="00F77FD4" w:rsidP="00E654CE">
      <w:pPr>
        <w:rPr>
          <w:u w:val="single"/>
        </w:rPr>
      </w:pPr>
      <w:r w:rsidRPr="00924261">
        <w:rPr>
          <w:u w:val="single"/>
        </w:rPr>
        <w:t>Phase One</w:t>
      </w:r>
      <w:r>
        <w:rPr>
          <w:u w:val="single"/>
        </w:rPr>
        <w:t xml:space="preserve"> and Phase Two</w:t>
      </w:r>
      <w:r w:rsidRPr="00924261">
        <w:rPr>
          <w:u w:val="single"/>
        </w:rPr>
        <w:t xml:space="preserve"> Amendments </w:t>
      </w:r>
    </w:p>
    <w:p w14:paraId="22B7FB9D" w14:textId="68A92132" w:rsidR="004B233C" w:rsidRDefault="00F77FD4" w:rsidP="00E1200E">
      <w:pPr>
        <w:rPr>
          <w:rFonts w:eastAsia="Cambria"/>
        </w:rPr>
      </w:pPr>
      <w:r>
        <w:t xml:space="preserve">In November 2017, EPA outlined a phased approach to amending the Federal CCR Rule, and subsequently issued both Phase One and Phase Two proposed rulemakings.  A summary of proposed and finalized provisions is presented below.  As illustrated, the Phase </w:t>
      </w:r>
      <w:r w:rsidR="00E1200E">
        <w:t>One</w:t>
      </w:r>
      <w:r>
        <w:t xml:space="preserve"> rulemaking </w:t>
      </w:r>
      <w:r w:rsidR="00E1200E">
        <w:t>contained various provisions, but only a subset of these provisions were finalized.  In</w:t>
      </w:r>
      <w:r w:rsidR="00E1200E" w:rsidRPr="0084296F">
        <w:t xml:space="preserve"> July 2018,</w:t>
      </w:r>
      <w:r w:rsidR="00E1200E" w:rsidRPr="5F47106A">
        <w:t xml:space="preserve"> </w:t>
      </w:r>
      <w:r w:rsidR="00E1200E" w:rsidRPr="5F47106A">
        <w:rPr>
          <w:rFonts w:eastAsia="Cambria"/>
        </w:rPr>
        <w:t xml:space="preserve">EPA </w:t>
      </w:r>
      <w:r w:rsidR="00E1200E" w:rsidRPr="53ADDA6E">
        <w:rPr>
          <w:rFonts w:eastAsia="Cambria"/>
        </w:rPr>
        <w:t xml:space="preserve">published </w:t>
      </w:r>
      <w:r w:rsidR="00E1200E" w:rsidRPr="5F47106A">
        <w:rPr>
          <w:rFonts w:eastAsia="Cambria"/>
        </w:rPr>
        <w:t xml:space="preserve">Part One of the Phase One </w:t>
      </w:r>
      <w:r w:rsidR="00E1200E">
        <w:rPr>
          <w:rFonts w:eastAsia="Cambria"/>
        </w:rPr>
        <w:t>A</w:t>
      </w:r>
      <w:r w:rsidR="00E1200E" w:rsidRPr="5F47106A">
        <w:rPr>
          <w:rFonts w:eastAsia="Cambria"/>
        </w:rPr>
        <w:t xml:space="preserve">mendments to the </w:t>
      </w:r>
      <w:r w:rsidR="00AC3252">
        <w:rPr>
          <w:rFonts w:eastAsia="Cambria"/>
        </w:rPr>
        <w:t xml:space="preserve">Federal </w:t>
      </w:r>
      <w:r w:rsidR="00E1200E" w:rsidRPr="5F47106A">
        <w:rPr>
          <w:rFonts w:eastAsia="Cambria"/>
        </w:rPr>
        <w:t xml:space="preserve">CCR Rule (the Phase One, Part One rule) which extended the deadline to cease receipt of both CCR and non-CCR wastes to October 31, 2020. </w:t>
      </w:r>
      <w:r w:rsidR="00E1200E" w:rsidRPr="4B8FF6D5">
        <w:rPr>
          <w:rFonts w:eastAsia="Cambria"/>
        </w:rPr>
        <w:t xml:space="preserve">This final rule also established alternate groundwater protection standards for constituents that do not have established EPA maximum contaminant levels (MCLs); granted the State Director of an approved state program the authority to certify certain compliance requirements in place of a professional engineer; and granted an owner/operator the ability to demonstrate that groundwater monitoring could be suspended by demonstrating that constituent migration from the CCR unit to the underlying groundwater would not occur. </w:t>
      </w:r>
    </w:p>
    <w:p w14:paraId="1044EA36" w14:textId="72A5E658" w:rsidR="004B233C" w:rsidRPr="00C926C9" w:rsidRDefault="004B233C" w:rsidP="004B233C">
      <w:pPr>
        <w:rPr>
          <w:rFonts w:eastAsia="Cambria"/>
        </w:rPr>
      </w:pPr>
      <w:r w:rsidRPr="006F64C2">
        <w:rPr>
          <w:rFonts w:eastAsia="Cambria"/>
        </w:rPr>
        <w:t xml:space="preserve">In August 2019, EPA published the </w:t>
      </w:r>
      <w:r w:rsidR="006F4F5F" w:rsidRPr="006F64C2">
        <w:rPr>
          <w:rFonts w:eastAsia="Cambria"/>
        </w:rPr>
        <w:t>Phase Two</w:t>
      </w:r>
      <w:r w:rsidRPr="006F64C2">
        <w:rPr>
          <w:rFonts w:eastAsia="Cambria"/>
        </w:rPr>
        <w:t xml:space="preserve"> proposed amendments entitled “Hazardous and Solid Waste Management System: Disposal of Coal Combustion Residuals from Electric Utilities; Enhancing Public Access to Information; Reconsideration of Beneficial Use Criteria and Piles”.</w:t>
      </w:r>
      <w:r w:rsidRPr="00C926C9">
        <w:rPr>
          <w:rFonts w:eastAsia="Cambria"/>
        </w:rPr>
        <w:t xml:space="preserve"> The proposed amendments addressed:</w:t>
      </w:r>
    </w:p>
    <w:p w14:paraId="3ED9C154" w14:textId="77777777" w:rsidR="004B233C" w:rsidRDefault="004B233C" w:rsidP="005D2968">
      <w:pPr>
        <w:pStyle w:val="ListParagraph"/>
        <w:numPr>
          <w:ilvl w:val="0"/>
          <w:numId w:val="17"/>
        </w:numPr>
        <w:rPr>
          <w:rStyle w:val="normaltextrun1"/>
          <w:rFonts w:cs="Arial"/>
          <w:szCs w:val="24"/>
        </w:rPr>
      </w:pPr>
      <w:r>
        <w:rPr>
          <w:rStyle w:val="normaltextrun1"/>
          <w:rFonts w:cs="Arial"/>
          <w:szCs w:val="24"/>
        </w:rPr>
        <w:t>Beneficial Use</w:t>
      </w:r>
    </w:p>
    <w:p w14:paraId="42DA97B2" w14:textId="77777777" w:rsidR="004B233C" w:rsidRDefault="004B233C" w:rsidP="005D2968">
      <w:pPr>
        <w:pStyle w:val="ListParagraph"/>
        <w:numPr>
          <w:ilvl w:val="1"/>
          <w:numId w:val="17"/>
        </w:numPr>
        <w:rPr>
          <w:rStyle w:val="normaltextrun1"/>
          <w:rFonts w:cs="Arial"/>
          <w:szCs w:val="24"/>
        </w:rPr>
      </w:pPr>
      <w:r>
        <w:rPr>
          <w:rStyle w:val="normaltextrun1"/>
          <w:rFonts w:cs="Arial"/>
          <w:szCs w:val="24"/>
        </w:rPr>
        <w:t>Will Replace the 12,400-ton threshold that triggers an environmental demonstration with specific location-based criteria derived from existing criteria for CCR disposal units.</w:t>
      </w:r>
    </w:p>
    <w:p w14:paraId="56FA5BE2" w14:textId="77777777" w:rsidR="004B233C" w:rsidRDefault="004B233C" w:rsidP="005D2968">
      <w:pPr>
        <w:pStyle w:val="ListParagraph"/>
        <w:numPr>
          <w:ilvl w:val="1"/>
          <w:numId w:val="17"/>
        </w:numPr>
        <w:rPr>
          <w:rStyle w:val="normaltextrun1"/>
          <w:rFonts w:cs="Arial"/>
          <w:szCs w:val="24"/>
        </w:rPr>
      </w:pPr>
      <w:r>
        <w:rPr>
          <w:rStyle w:val="normaltextrun1"/>
          <w:rFonts w:cs="Arial"/>
          <w:szCs w:val="24"/>
        </w:rPr>
        <w:t>Establish a single approach which would apply to all temporary placement of unencapsulated CCR on the land.</w:t>
      </w:r>
    </w:p>
    <w:p w14:paraId="5DA3CD3C" w14:textId="77777777" w:rsidR="004B233C" w:rsidRDefault="004B233C" w:rsidP="005D2968">
      <w:pPr>
        <w:pStyle w:val="ListParagraph"/>
        <w:numPr>
          <w:ilvl w:val="0"/>
          <w:numId w:val="17"/>
        </w:numPr>
        <w:rPr>
          <w:rStyle w:val="normaltextrun1"/>
          <w:rFonts w:cs="Arial"/>
          <w:szCs w:val="24"/>
        </w:rPr>
      </w:pPr>
      <w:r>
        <w:rPr>
          <w:rStyle w:val="normaltextrun1"/>
          <w:rFonts w:cs="Arial"/>
          <w:szCs w:val="24"/>
        </w:rPr>
        <w:t>Boron</w:t>
      </w:r>
    </w:p>
    <w:p w14:paraId="7005525B" w14:textId="77777777" w:rsidR="004B233C" w:rsidRDefault="004B233C" w:rsidP="005D2968">
      <w:pPr>
        <w:pStyle w:val="ListParagraph"/>
        <w:numPr>
          <w:ilvl w:val="1"/>
          <w:numId w:val="17"/>
        </w:numPr>
        <w:rPr>
          <w:rStyle w:val="normaltextrun1"/>
          <w:rFonts w:cs="Arial"/>
          <w:szCs w:val="24"/>
        </w:rPr>
      </w:pPr>
      <w:r>
        <w:rPr>
          <w:rStyle w:val="normaltextrun1"/>
          <w:rFonts w:cs="Arial"/>
          <w:szCs w:val="24"/>
        </w:rPr>
        <w:t>Establish an alternative groundwater protective standard of 4 mg/L for boron using the same methodology used for other CCR constituents and would add boron to Appendix IV constituents for assessment monitoring.</w:t>
      </w:r>
    </w:p>
    <w:p w14:paraId="17356BEA" w14:textId="77777777" w:rsidR="004B233C" w:rsidRDefault="004B233C" w:rsidP="005D2968">
      <w:pPr>
        <w:pStyle w:val="ListParagraph"/>
        <w:numPr>
          <w:ilvl w:val="0"/>
          <w:numId w:val="17"/>
        </w:numPr>
        <w:rPr>
          <w:rStyle w:val="normaltextrun1"/>
          <w:rFonts w:cs="Arial"/>
          <w:szCs w:val="24"/>
        </w:rPr>
      </w:pPr>
      <w:r>
        <w:rPr>
          <w:rStyle w:val="normaltextrun1"/>
          <w:rFonts w:cs="Arial"/>
          <w:szCs w:val="24"/>
        </w:rPr>
        <w:t>Groundwater Data Reporting and Website</w:t>
      </w:r>
    </w:p>
    <w:p w14:paraId="7779B769" w14:textId="77777777" w:rsidR="004B233C" w:rsidRDefault="004B233C" w:rsidP="005D2968">
      <w:pPr>
        <w:pStyle w:val="ListParagraph"/>
        <w:numPr>
          <w:ilvl w:val="1"/>
          <w:numId w:val="17"/>
        </w:numPr>
        <w:rPr>
          <w:rStyle w:val="normaltextrun1"/>
          <w:rFonts w:cs="Arial"/>
          <w:szCs w:val="24"/>
        </w:rPr>
      </w:pPr>
      <w:r>
        <w:rPr>
          <w:rStyle w:val="normaltextrun1"/>
          <w:rFonts w:cs="Arial"/>
          <w:szCs w:val="24"/>
        </w:rPr>
        <w:t xml:space="preserve">Revised the annual groundwater monitoring and corrective action report requirements to make the data easier to understand and evaluate, including the incorporation of an executive summary. </w:t>
      </w:r>
    </w:p>
    <w:p w14:paraId="137E3B52" w14:textId="77777777" w:rsidR="004B233C" w:rsidRPr="00424070" w:rsidRDefault="004B233C" w:rsidP="005D2968">
      <w:pPr>
        <w:pStyle w:val="ListParagraph"/>
        <w:numPr>
          <w:ilvl w:val="1"/>
          <w:numId w:val="17"/>
        </w:numPr>
        <w:rPr>
          <w:rStyle w:val="normaltextrun1"/>
          <w:rFonts w:cs="Arial"/>
          <w:szCs w:val="24"/>
        </w:rPr>
      </w:pPr>
      <w:r>
        <w:rPr>
          <w:rStyle w:val="normaltextrun1"/>
          <w:rFonts w:cs="Arial"/>
          <w:szCs w:val="24"/>
        </w:rPr>
        <w:t>Revised the CCR website requirements to ensure that relevant facility information required by the regulations is immediately available to the public.</w:t>
      </w:r>
    </w:p>
    <w:p w14:paraId="63F417CE" w14:textId="30EEA946" w:rsidR="00652FFC" w:rsidRDefault="00F77FD4" w:rsidP="004B233C">
      <w:pPr>
        <w:rPr>
          <w:rStyle w:val="normaltextrun1"/>
          <w:rFonts w:cs="Arial"/>
          <w:szCs w:val="24"/>
        </w:rPr>
      </w:pPr>
      <w:r>
        <w:t xml:space="preserve">EPA has not taken final action on the </w:t>
      </w:r>
      <w:r w:rsidR="00E1200E">
        <w:t xml:space="preserve">Phase Two </w:t>
      </w:r>
      <w:r>
        <w:t>proposal</w:t>
      </w:r>
      <w:r w:rsidR="00625BF3">
        <w:t>.</w:t>
      </w:r>
      <w:r>
        <w:t xml:space="preserve">  </w:t>
      </w:r>
      <w:r w:rsidR="004B233C" w:rsidRPr="5F47106A">
        <w:rPr>
          <w:rStyle w:val="normaltextrun1"/>
          <w:rFonts w:cs="Arial"/>
          <w:szCs w:val="24"/>
        </w:rPr>
        <w:t xml:space="preserve">The proposed provisions affecting beneficial use have not been finalized, but EPA published a Notice of Data Availability in December 2020 to collect additional information that may inform a future final rulemaking. </w:t>
      </w:r>
    </w:p>
    <w:p w14:paraId="4EE0B9CC" w14:textId="77777777" w:rsidR="00652FFC" w:rsidRDefault="00652FFC">
      <w:pPr>
        <w:spacing w:after="160" w:line="259" w:lineRule="auto"/>
        <w:jc w:val="left"/>
        <w:rPr>
          <w:rStyle w:val="normaltextrun1"/>
          <w:rFonts w:cs="Arial"/>
          <w:szCs w:val="24"/>
        </w:rPr>
      </w:pPr>
      <w:r>
        <w:rPr>
          <w:rStyle w:val="normaltextrun1"/>
          <w:rFonts w:cs="Arial"/>
          <w:szCs w:val="24"/>
        </w:rPr>
        <w:br w:type="page"/>
      </w:r>
    </w:p>
    <w:tbl>
      <w:tblPr>
        <w:tblStyle w:val="TableGrid"/>
        <w:tblW w:w="9607" w:type="dxa"/>
        <w:tblLook w:val="0620" w:firstRow="1" w:lastRow="0" w:firstColumn="0" w:lastColumn="0" w:noHBand="1" w:noVBand="1"/>
      </w:tblPr>
      <w:tblGrid>
        <w:gridCol w:w="1381"/>
        <w:gridCol w:w="4401"/>
        <w:gridCol w:w="3825"/>
      </w:tblGrid>
      <w:tr w:rsidR="00625BF3" w:rsidRPr="00F77FD4" w14:paraId="4A81CDA7" w14:textId="77777777" w:rsidTr="005B6483">
        <w:trPr>
          <w:trHeight w:val="350"/>
        </w:trPr>
        <w:tc>
          <w:tcPr>
            <w:tcW w:w="1381" w:type="dxa"/>
            <w:shd w:val="clear" w:color="auto" w:fill="E8E8E8" w:themeFill="background2"/>
            <w:hideMark/>
          </w:tcPr>
          <w:p w14:paraId="7C6A5F81" w14:textId="77777777" w:rsidR="00F77FD4" w:rsidRPr="00F77FD4" w:rsidRDefault="00F77FD4" w:rsidP="00F77FD4">
            <w:r w:rsidRPr="00F77FD4">
              <w:rPr>
                <w:b/>
                <w:bCs/>
              </w:rPr>
              <w:t>Stage</w:t>
            </w:r>
          </w:p>
        </w:tc>
        <w:tc>
          <w:tcPr>
            <w:tcW w:w="4401" w:type="dxa"/>
            <w:shd w:val="clear" w:color="auto" w:fill="E8E8E8" w:themeFill="background2"/>
            <w:hideMark/>
          </w:tcPr>
          <w:p w14:paraId="17DED393" w14:textId="241CB4A0" w:rsidR="00F77FD4" w:rsidRPr="00F77FD4" w:rsidRDefault="00F77FD4" w:rsidP="00F77FD4">
            <w:r w:rsidRPr="00F77FD4">
              <w:rPr>
                <w:b/>
                <w:bCs/>
              </w:rPr>
              <w:t>Phase One</w:t>
            </w:r>
            <w:r w:rsidR="00625BF3">
              <w:rPr>
                <w:b/>
                <w:bCs/>
              </w:rPr>
              <w:t xml:space="preserve"> Rulemaking</w:t>
            </w:r>
          </w:p>
        </w:tc>
        <w:tc>
          <w:tcPr>
            <w:tcW w:w="3825" w:type="dxa"/>
            <w:shd w:val="clear" w:color="auto" w:fill="E8E8E8" w:themeFill="background2"/>
            <w:hideMark/>
          </w:tcPr>
          <w:p w14:paraId="5A675DAE" w14:textId="4EFDCA61" w:rsidR="00F77FD4" w:rsidRPr="00F77FD4" w:rsidRDefault="00F77FD4" w:rsidP="00F77FD4">
            <w:r w:rsidRPr="00F77FD4">
              <w:rPr>
                <w:b/>
                <w:bCs/>
              </w:rPr>
              <w:t>Phase Two</w:t>
            </w:r>
            <w:r w:rsidR="00625BF3">
              <w:rPr>
                <w:b/>
                <w:bCs/>
              </w:rPr>
              <w:t xml:space="preserve"> Rulemaking</w:t>
            </w:r>
          </w:p>
        </w:tc>
      </w:tr>
      <w:tr w:rsidR="00625BF3" w:rsidRPr="00F77FD4" w14:paraId="758BE63F" w14:textId="77777777" w:rsidTr="005B6483">
        <w:trPr>
          <w:trHeight w:val="1908"/>
        </w:trPr>
        <w:tc>
          <w:tcPr>
            <w:tcW w:w="1381" w:type="dxa"/>
            <w:hideMark/>
          </w:tcPr>
          <w:p w14:paraId="70BB59A7" w14:textId="09909986" w:rsidR="00F77FD4" w:rsidRPr="00F77FD4" w:rsidRDefault="00F77FD4" w:rsidP="00F77FD4">
            <w:r w:rsidRPr="00F77FD4">
              <w:t>Final</w:t>
            </w:r>
          </w:p>
        </w:tc>
        <w:tc>
          <w:tcPr>
            <w:tcW w:w="4401" w:type="dxa"/>
            <w:hideMark/>
          </w:tcPr>
          <w:p w14:paraId="5E6B61A3" w14:textId="0564589A" w:rsidR="00F77FD4" w:rsidRPr="00F77FD4" w:rsidRDefault="00F77FD4" w:rsidP="005D2968">
            <w:pPr>
              <w:numPr>
                <w:ilvl w:val="0"/>
                <w:numId w:val="23"/>
              </w:numPr>
              <w:tabs>
                <w:tab w:val="num" w:pos="720"/>
              </w:tabs>
              <w:spacing w:after="0"/>
              <w:jc w:val="left"/>
            </w:pPr>
            <w:r w:rsidRPr="00F77FD4">
              <w:t>Exten</w:t>
            </w:r>
            <w:r w:rsidR="00625BF3">
              <w:t>ded deadline to cease receipt of CCR and non-CCR wastes to unlined ash ponds</w:t>
            </w:r>
            <w:r w:rsidRPr="00F77FD4">
              <w:t xml:space="preserve"> to October 31, 2020.</w:t>
            </w:r>
          </w:p>
          <w:p w14:paraId="588DA1B9" w14:textId="0A65ABFB" w:rsidR="00F77FD4" w:rsidRPr="00F77FD4" w:rsidRDefault="00625BF3" w:rsidP="005D2968">
            <w:pPr>
              <w:numPr>
                <w:ilvl w:val="0"/>
                <w:numId w:val="23"/>
              </w:numPr>
              <w:tabs>
                <w:tab w:val="num" w:pos="720"/>
              </w:tabs>
              <w:spacing w:after="0"/>
              <w:jc w:val="left"/>
            </w:pPr>
            <w:r>
              <w:t>Establishe</w:t>
            </w:r>
            <w:r w:rsidR="00E1200E">
              <w:t>d</w:t>
            </w:r>
            <w:r>
              <w:t xml:space="preserve"> groundwater protection standards</w:t>
            </w:r>
            <w:r w:rsidR="00F77FD4" w:rsidRPr="00F77FD4">
              <w:t xml:space="preserve"> for Mo, Co, Pb, Li.</w:t>
            </w:r>
          </w:p>
          <w:p w14:paraId="4C822B8B" w14:textId="14B4EFFA" w:rsidR="00F77FD4" w:rsidRPr="00F77FD4" w:rsidRDefault="00E1200E" w:rsidP="005D2968">
            <w:pPr>
              <w:numPr>
                <w:ilvl w:val="0"/>
                <w:numId w:val="23"/>
              </w:numPr>
              <w:tabs>
                <w:tab w:val="num" w:pos="720"/>
              </w:tabs>
              <w:spacing w:after="0"/>
              <w:jc w:val="left"/>
            </w:pPr>
            <w:r>
              <w:t>Established a</w:t>
            </w:r>
            <w:r w:rsidR="00F77FD4" w:rsidRPr="00F77FD4">
              <w:t>bility for state director to certify in lieu of P.E. under approved state program.</w:t>
            </w:r>
          </w:p>
          <w:p w14:paraId="38CD5E92" w14:textId="1C469D5A" w:rsidR="00F77FD4" w:rsidRPr="00F77FD4" w:rsidRDefault="00E1200E" w:rsidP="005D2968">
            <w:pPr>
              <w:numPr>
                <w:ilvl w:val="0"/>
                <w:numId w:val="23"/>
              </w:numPr>
              <w:tabs>
                <w:tab w:val="num" w:pos="720"/>
              </w:tabs>
              <w:spacing w:after="0"/>
              <w:jc w:val="left"/>
            </w:pPr>
            <w:r>
              <w:t>Established a</w:t>
            </w:r>
            <w:r w:rsidR="00F77FD4" w:rsidRPr="00F77FD4">
              <w:t xml:space="preserve">bility to suspend groundwater monitoring based on </w:t>
            </w:r>
            <w:r>
              <w:t xml:space="preserve">a </w:t>
            </w:r>
            <w:r w:rsidR="00F77FD4" w:rsidRPr="00F77FD4">
              <w:t>no migration</w:t>
            </w:r>
            <w:r>
              <w:t xml:space="preserve"> demonstration</w:t>
            </w:r>
            <w:r w:rsidR="00F77FD4" w:rsidRPr="00F77FD4">
              <w:t>.</w:t>
            </w:r>
          </w:p>
        </w:tc>
        <w:tc>
          <w:tcPr>
            <w:tcW w:w="3825" w:type="dxa"/>
            <w:hideMark/>
          </w:tcPr>
          <w:p w14:paraId="39B1D02B" w14:textId="798B50C6" w:rsidR="00F77FD4" w:rsidRPr="00F77FD4" w:rsidRDefault="00F77FD4" w:rsidP="005D2968">
            <w:pPr>
              <w:numPr>
                <w:ilvl w:val="0"/>
                <w:numId w:val="23"/>
              </w:numPr>
              <w:tabs>
                <w:tab w:val="num" w:pos="720"/>
              </w:tabs>
              <w:jc w:val="left"/>
            </w:pPr>
            <w:r w:rsidRPr="00F77FD4">
              <w:t>No Ph</w:t>
            </w:r>
            <w:r w:rsidR="00625BF3">
              <w:t>a</w:t>
            </w:r>
            <w:r w:rsidRPr="00F77FD4">
              <w:t>se Two final rule</w:t>
            </w:r>
            <w:r w:rsidR="00DF6742">
              <w:t xml:space="preserve"> to date</w:t>
            </w:r>
            <w:r w:rsidRPr="00F77FD4">
              <w:t>.</w:t>
            </w:r>
          </w:p>
        </w:tc>
      </w:tr>
      <w:tr w:rsidR="00625BF3" w:rsidRPr="00F77FD4" w14:paraId="55E945B1" w14:textId="77777777" w:rsidTr="005B6483">
        <w:trPr>
          <w:trHeight w:val="648"/>
        </w:trPr>
        <w:tc>
          <w:tcPr>
            <w:tcW w:w="1381" w:type="dxa"/>
            <w:hideMark/>
          </w:tcPr>
          <w:p w14:paraId="130CFCEB" w14:textId="77777777" w:rsidR="00F77FD4" w:rsidRPr="00F77FD4" w:rsidRDefault="00F77FD4" w:rsidP="009C7652">
            <w:pPr>
              <w:jc w:val="left"/>
            </w:pPr>
            <w:r w:rsidRPr="00F77FD4">
              <w:t>Proposed, but not finalized</w:t>
            </w:r>
          </w:p>
        </w:tc>
        <w:tc>
          <w:tcPr>
            <w:tcW w:w="4401" w:type="dxa"/>
            <w:hideMark/>
          </w:tcPr>
          <w:p w14:paraId="744F8AED" w14:textId="77777777" w:rsidR="00F77FD4" w:rsidRPr="00F77FD4" w:rsidRDefault="00F77FD4" w:rsidP="005D2968">
            <w:pPr>
              <w:numPr>
                <w:ilvl w:val="0"/>
                <w:numId w:val="24"/>
              </w:numPr>
              <w:spacing w:after="0"/>
              <w:ind w:left="360"/>
              <w:jc w:val="left"/>
            </w:pPr>
            <w:r w:rsidRPr="00F77FD4">
              <w:t>Appropriate height of vegetative cover on impoundment slopes.</w:t>
            </w:r>
          </w:p>
          <w:p w14:paraId="2A9191D9" w14:textId="77777777" w:rsidR="00F77FD4" w:rsidRPr="00F77FD4" w:rsidRDefault="00F77FD4" w:rsidP="005D2968">
            <w:pPr>
              <w:numPr>
                <w:ilvl w:val="0"/>
                <w:numId w:val="24"/>
              </w:numPr>
              <w:spacing w:after="0"/>
              <w:ind w:left="360"/>
              <w:jc w:val="left"/>
            </w:pPr>
            <w:r w:rsidRPr="00F77FD4">
              <w:t>Type and magnitude of non-groundwater releases that would require compliance with corrective action.</w:t>
            </w:r>
          </w:p>
          <w:p w14:paraId="2D94ED1A" w14:textId="77777777" w:rsidR="00F77FD4" w:rsidRPr="00F77FD4" w:rsidRDefault="00F77FD4" w:rsidP="005D2968">
            <w:pPr>
              <w:numPr>
                <w:ilvl w:val="0"/>
                <w:numId w:val="24"/>
              </w:numPr>
              <w:spacing w:after="0"/>
              <w:ind w:left="360"/>
              <w:jc w:val="left"/>
            </w:pPr>
            <w:r w:rsidRPr="00F77FD4">
              <w:t>Addition of boron to Appendix IV.</w:t>
            </w:r>
          </w:p>
          <w:p w14:paraId="7A93EF87" w14:textId="77777777" w:rsidR="00F77FD4" w:rsidRPr="00F77FD4" w:rsidRDefault="00F77FD4" w:rsidP="005D2968">
            <w:pPr>
              <w:numPr>
                <w:ilvl w:val="0"/>
                <w:numId w:val="24"/>
              </w:numPr>
              <w:spacing w:after="0"/>
              <w:ind w:left="360"/>
              <w:jc w:val="left"/>
            </w:pPr>
            <w:r w:rsidRPr="00F77FD4">
              <w:t>Modifications to post-closure care period.</w:t>
            </w:r>
          </w:p>
          <w:p w14:paraId="1859033C" w14:textId="77777777" w:rsidR="00F77FD4" w:rsidRPr="00F77FD4" w:rsidRDefault="00F77FD4" w:rsidP="005D2968">
            <w:pPr>
              <w:numPr>
                <w:ilvl w:val="0"/>
                <w:numId w:val="24"/>
              </w:numPr>
              <w:spacing w:after="0"/>
              <w:ind w:left="360"/>
              <w:jc w:val="left"/>
            </w:pPr>
            <w:r w:rsidRPr="00F77FD4">
              <w:t>Alternate points of compliance.</w:t>
            </w:r>
          </w:p>
        </w:tc>
        <w:tc>
          <w:tcPr>
            <w:tcW w:w="3825" w:type="dxa"/>
            <w:hideMark/>
          </w:tcPr>
          <w:p w14:paraId="29DDCB92" w14:textId="292B76A4" w:rsidR="00F77FD4" w:rsidRPr="00F77FD4" w:rsidRDefault="00E1200E" w:rsidP="005D2968">
            <w:pPr>
              <w:numPr>
                <w:ilvl w:val="0"/>
                <w:numId w:val="24"/>
              </w:numPr>
              <w:spacing w:after="0"/>
              <w:ind w:left="360"/>
              <w:jc w:val="left"/>
            </w:pPr>
            <w:r>
              <w:t>Proposed r</w:t>
            </w:r>
            <w:r w:rsidR="00F77FD4" w:rsidRPr="00F77FD4">
              <w:t>evisions to annual groundwater reports.</w:t>
            </w:r>
          </w:p>
          <w:p w14:paraId="3CD77169" w14:textId="1BC0A29E" w:rsidR="00F77FD4" w:rsidRPr="00F77FD4" w:rsidRDefault="00E1200E" w:rsidP="005D2968">
            <w:pPr>
              <w:numPr>
                <w:ilvl w:val="0"/>
                <w:numId w:val="24"/>
              </w:numPr>
              <w:spacing w:after="0"/>
              <w:ind w:left="360"/>
              <w:jc w:val="left"/>
            </w:pPr>
            <w:r>
              <w:t>Requirements to enhance w</w:t>
            </w:r>
            <w:r w:rsidR="00F77FD4" w:rsidRPr="00F77FD4">
              <w:t>ebsite transparency.</w:t>
            </w:r>
          </w:p>
          <w:p w14:paraId="56C89DE3" w14:textId="1F0BFF2F" w:rsidR="00F77FD4" w:rsidRDefault="00E1200E" w:rsidP="005D2968">
            <w:pPr>
              <w:numPr>
                <w:ilvl w:val="0"/>
                <w:numId w:val="24"/>
              </w:numPr>
              <w:spacing w:after="0"/>
              <w:ind w:left="360"/>
              <w:jc w:val="left"/>
            </w:pPr>
            <w:r>
              <w:t>Regulation of CCR piles intended for beneficial use.</w:t>
            </w:r>
          </w:p>
          <w:p w14:paraId="2A496EBD" w14:textId="7EAE248B" w:rsidR="00F77FD4" w:rsidRPr="00F77FD4" w:rsidRDefault="00E1200E" w:rsidP="005D2968">
            <w:pPr>
              <w:numPr>
                <w:ilvl w:val="0"/>
                <w:numId w:val="24"/>
              </w:numPr>
              <w:spacing w:after="0"/>
              <w:ind w:left="360"/>
              <w:jc w:val="left"/>
            </w:pPr>
            <w:r>
              <w:t>Establishment of siting criteria for beneficial use projects.</w:t>
            </w:r>
          </w:p>
          <w:p w14:paraId="695DFE14" w14:textId="2F31F48E" w:rsidR="00F77FD4" w:rsidRPr="00F77FD4" w:rsidRDefault="00E1200E" w:rsidP="005D2968">
            <w:pPr>
              <w:numPr>
                <w:ilvl w:val="0"/>
                <w:numId w:val="24"/>
              </w:numPr>
              <w:spacing w:after="0"/>
              <w:ind w:left="360"/>
              <w:jc w:val="left"/>
            </w:pPr>
            <w:r>
              <w:t>Groundwater protection standard for boron</w:t>
            </w:r>
            <w:r w:rsidR="00F77FD4" w:rsidRPr="00F77FD4">
              <w:t>.</w:t>
            </w:r>
          </w:p>
        </w:tc>
      </w:tr>
    </w:tbl>
    <w:p w14:paraId="0ECD2D03" w14:textId="77777777" w:rsidR="00F77FD4" w:rsidRDefault="00F77FD4" w:rsidP="00E654CE"/>
    <w:p w14:paraId="40C7F921" w14:textId="476E5BA5" w:rsidR="00F77FD4" w:rsidRPr="00924261" w:rsidRDefault="00E1200E" w:rsidP="00E654CE">
      <w:pPr>
        <w:rPr>
          <w:u w:val="single"/>
        </w:rPr>
      </w:pPr>
      <w:r w:rsidRPr="00924261">
        <w:rPr>
          <w:u w:val="single"/>
        </w:rPr>
        <w:t>The August 2018 D.C. Circuit Court of Appeals Decision</w:t>
      </w:r>
    </w:p>
    <w:p w14:paraId="74563FEE" w14:textId="727C4F12" w:rsidR="10A2DE77" w:rsidRPr="008B76E2" w:rsidRDefault="10A2DE77" w:rsidP="00E654CE">
      <w:pPr>
        <w:rPr>
          <w:color w:val="000000" w:themeColor="text1"/>
        </w:rPr>
      </w:pPr>
      <w:r w:rsidRPr="008B76E2">
        <w:t xml:space="preserve">Almost immediately after EPA finalized the Phase One, Part One rule, the D.C. Circuit </w:t>
      </w:r>
      <w:r w:rsidR="00144CAD">
        <w:t xml:space="preserve">Court </w:t>
      </w:r>
      <w:r w:rsidRPr="008B76E2">
        <w:t>issued an opinion on the active litigation</w:t>
      </w:r>
      <w:r w:rsidR="00DF0BAA">
        <w:t xml:space="preserve"> on August 21, 2018</w:t>
      </w:r>
      <w:r w:rsidRPr="008B76E2">
        <w:t>.</w:t>
      </w:r>
      <w:r w:rsidR="68C77936" w:rsidRPr="008B76E2">
        <w:rPr>
          <w:color w:val="000000" w:themeColor="text1"/>
        </w:rPr>
        <w:t xml:space="preserve"> </w:t>
      </w:r>
      <w:r w:rsidR="55F9D17A" w:rsidRPr="1CA59B83">
        <w:rPr>
          <w:color w:val="000000" w:themeColor="text1"/>
        </w:rPr>
        <w:t>In summary</w:t>
      </w:r>
      <w:r w:rsidR="68C77936" w:rsidRPr="008B76E2">
        <w:rPr>
          <w:color w:val="000000" w:themeColor="text1"/>
        </w:rPr>
        <w:t>, the Court:</w:t>
      </w:r>
    </w:p>
    <w:p w14:paraId="1CD5BED1" w14:textId="21D95127" w:rsidR="10A2DE77" w:rsidRDefault="68C77936" w:rsidP="005D2968">
      <w:pPr>
        <w:pStyle w:val="ListParagraph"/>
        <w:numPr>
          <w:ilvl w:val="0"/>
          <w:numId w:val="15"/>
        </w:numPr>
        <w:rPr>
          <w:rFonts w:eastAsia="Arial" w:cs="Arial"/>
          <w:color w:val="000000" w:themeColor="text1"/>
        </w:rPr>
      </w:pPr>
      <w:r w:rsidRPr="0B10EE18">
        <w:rPr>
          <w:rFonts w:eastAsia="Arial" w:cs="Arial"/>
          <w:color w:val="000000" w:themeColor="text1"/>
        </w:rPr>
        <w:t>Denied EPA’s request to hold the case in abeyance;</w:t>
      </w:r>
    </w:p>
    <w:p w14:paraId="1EDD9E54" w14:textId="4B00920A" w:rsidR="10A2DE77" w:rsidRDefault="68C77936" w:rsidP="005D2968">
      <w:pPr>
        <w:pStyle w:val="ListParagraph"/>
        <w:numPr>
          <w:ilvl w:val="0"/>
          <w:numId w:val="15"/>
        </w:numPr>
        <w:rPr>
          <w:rFonts w:eastAsia="Arial" w:cs="Arial"/>
          <w:color w:val="000000" w:themeColor="text1"/>
        </w:rPr>
      </w:pPr>
      <w:r w:rsidRPr="0B10EE18">
        <w:rPr>
          <w:rFonts w:eastAsia="Arial" w:cs="Arial"/>
          <w:color w:val="000000" w:themeColor="text1"/>
        </w:rPr>
        <w:t>Remanded the Industry Petitioners’ challenges to (1) the regulation of on-site CCR piles destined for beneficial use and (2) the 12,400-ton threshold in the fourth beneficial use criterion;</w:t>
      </w:r>
    </w:p>
    <w:p w14:paraId="6FBEAA8C" w14:textId="45ABD29F" w:rsidR="10A2DE77" w:rsidRDefault="68C77936" w:rsidP="005D2968">
      <w:pPr>
        <w:pStyle w:val="ListParagraph"/>
        <w:numPr>
          <w:ilvl w:val="0"/>
          <w:numId w:val="15"/>
        </w:numPr>
        <w:rPr>
          <w:rFonts w:eastAsia="Arial" w:cs="Arial"/>
          <w:color w:val="000000" w:themeColor="text1"/>
        </w:rPr>
      </w:pPr>
      <w:r w:rsidRPr="0B10EE18">
        <w:rPr>
          <w:rFonts w:eastAsia="Arial" w:cs="Arial"/>
          <w:color w:val="000000" w:themeColor="text1"/>
        </w:rPr>
        <w:t xml:space="preserve">Denied relief for the remaining Industry Petitioner claims, including the challenge to EPA’s authority to regulate inactive surface impoundment; and </w:t>
      </w:r>
    </w:p>
    <w:p w14:paraId="38D8E129" w14:textId="0F390128" w:rsidR="10A2DE77" w:rsidRDefault="68C77936" w:rsidP="005D2968">
      <w:pPr>
        <w:pStyle w:val="ListParagraph"/>
        <w:numPr>
          <w:ilvl w:val="0"/>
          <w:numId w:val="15"/>
        </w:numPr>
        <w:rPr>
          <w:rFonts w:eastAsia="Arial" w:cs="Arial"/>
          <w:color w:val="000000" w:themeColor="text1"/>
        </w:rPr>
      </w:pPr>
      <w:r w:rsidRPr="0B10EE18">
        <w:rPr>
          <w:rFonts w:eastAsia="Arial" w:cs="Arial"/>
          <w:color w:val="000000" w:themeColor="text1"/>
        </w:rPr>
        <w:t>Found for Environmental Petitioners on their challenges to (1) the ability of unlined impoundments to continue operating; (2) the classification of unlined impoundments with two feet of compacted clay as “lined” units; and (3) EPA’s failure to regulate legacy ponds.</w:t>
      </w:r>
    </w:p>
    <w:p w14:paraId="562B1416" w14:textId="760EBF3F" w:rsidR="00EE0714" w:rsidRPr="00EE0714" w:rsidRDefault="1D713165" w:rsidP="00E654CE">
      <w:r w:rsidRPr="53ADDA6E">
        <w:t>The consequences of the Court finding for Environmental Petitioners require</w:t>
      </w:r>
      <w:r w:rsidR="500CD1E7" w:rsidRPr="53ADDA6E">
        <w:t>s</w:t>
      </w:r>
      <w:r w:rsidRPr="53ADDA6E">
        <w:t xml:space="preserve"> EPA to revisit elements of the CCR rule through </w:t>
      </w:r>
      <w:r w:rsidR="0349515B" w:rsidRPr="53ADDA6E">
        <w:t xml:space="preserve">additional </w:t>
      </w:r>
      <w:r w:rsidRPr="53ADDA6E">
        <w:t>formal rulemakings.</w:t>
      </w:r>
    </w:p>
    <w:p w14:paraId="3CBC4B64" w14:textId="4ED453B0" w:rsidR="00424070" w:rsidRPr="00924261" w:rsidRDefault="004B233C" w:rsidP="00E654CE">
      <w:pPr>
        <w:rPr>
          <w:u w:val="single"/>
        </w:rPr>
      </w:pPr>
      <w:r w:rsidRPr="00924261">
        <w:rPr>
          <w:u w:val="single"/>
        </w:rPr>
        <w:t xml:space="preserve">Rulemakings in Response to </w:t>
      </w:r>
      <w:r>
        <w:rPr>
          <w:u w:val="single"/>
        </w:rPr>
        <w:t xml:space="preserve">Ongoing </w:t>
      </w:r>
      <w:r w:rsidRPr="00924261">
        <w:rPr>
          <w:u w:val="single"/>
        </w:rPr>
        <w:t>Litigation</w:t>
      </w:r>
      <w:r>
        <w:rPr>
          <w:u w:val="single"/>
        </w:rPr>
        <w:t>: Part A and Part B</w:t>
      </w:r>
    </w:p>
    <w:p w14:paraId="354E8E12" w14:textId="7C71DFF3" w:rsidR="00F87C9D" w:rsidRDefault="004B233C" w:rsidP="00E654CE">
      <w:pPr>
        <w:rPr>
          <w:rStyle w:val="normaltextrun1"/>
          <w:rFonts w:cs="Arial"/>
          <w:sz w:val="22"/>
        </w:rPr>
      </w:pPr>
      <w:r>
        <w:rPr>
          <w:rStyle w:val="normaltextrun1"/>
          <w:rFonts w:cs="Arial"/>
        </w:rPr>
        <w:t xml:space="preserve">Since the August 2018 D.C. Circuit </w:t>
      </w:r>
      <w:r w:rsidR="00144CAD">
        <w:rPr>
          <w:rStyle w:val="normaltextrun1"/>
          <w:rFonts w:cs="Arial"/>
        </w:rPr>
        <w:t>d</w:t>
      </w:r>
      <w:r>
        <w:rPr>
          <w:rStyle w:val="normaltextrun1"/>
          <w:rFonts w:cs="Arial"/>
        </w:rPr>
        <w:t xml:space="preserve">ecision, EPA has proposed two separate rulemakings to address certain issues as a result of ongoing litigation.  </w:t>
      </w:r>
      <w:r w:rsidR="00F87C9D">
        <w:rPr>
          <w:rFonts w:eastAsia="Times New Roman"/>
        </w:rPr>
        <w:t>In</w:t>
      </w:r>
      <w:r w:rsidR="00F87C9D">
        <w:rPr>
          <w:rStyle w:val="normaltextrun1"/>
          <w:rFonts w:cs="Arial"/>
        </w:rPr>
        <w:t xml:space="preserve"> August 2020</w:t>
      </w:r>
      <w:r w:rsidR="00F87C9D" w:rsidRPr="0084296F">
        <w:rPr>
          <w:rStyle w:val="normaltextrun1"/>
          <w:rFonts w:cs="Arial"/>
        </w:rPr>
        <w:t xml:space="preserve">, </w:t>
      </w:r>
      <w:r w:rsidR="00F87C9D" w:rsidRPr="0AF8DB6F">
        <w:rPr>
          <w:rFonts w:eastAsia="Times New Roman"/>
        </w:rPr>
        <w:t xml:space="preserve">EPA </w:t>
      </w:r>
      <w:r w:rsidR="002A3FDE">
        <w:rPr>
          <w:rFonts w:eastAsia="Times New Roman"/>
        </w:rPr>
        <w:t>finalized</w:t>
      </w:r>
      <w:r w:rsidR="00F87C9D" w:rsidRPr="004237A2">
        <w:rPr>
          <w:rFonts w:eastAsia="Times New Roman"/>
        </w:rPr>
        <w:t xml:space="preserve"> “</w:t>
      </w:r>
      <w:r w:rsidR="00F87C9D" w:rsidRPr="0AF8DB6F">
        <w:rPr>
          <w:rStyle w:val="normaltextrun1"/>
          <w:rFonts w:cs="Arial"/>
        </w:rPr>
        <w:t>A</w:t>
      </w:r>
      <w:r w:rsidR="00F87C9D" w:rsidRPr="0084296F">
        <w:rPr>
          <w:rStyle w:val="normaltextrun1"/>
          <w:rFonts w:cs="Arial"/>
        </w:rPr>
        <w:t xml:space="preserve"> Holistic Approach to Closure Part A: Deadline to Initiate Closure” </w:t>
      </w:r>
      <w:r w:rsidR="00E12CA9">
        <w:rPr>
          <w:rStyle w:val="normaltextrun1"/>
          <w:rFonts w:cs="Arial"/>
        </w:rPr>
        <w:t xml:space="preserve">and published the rule </w:t>
      </w:r>
      <w:r w:rsidR="00F87C9D" w:rsidRPr="0084296F">
        <w:rPr>
          <w:rStyle w:val="normaltextrun1"/>
          <w:rFonts w:cs="Arial"/>
        </w:rPr>
        <w:t xml:space="preserve">to the Federal Register.   This </w:t>
      </w:r>
      <w:r w:rsidR="00F87C9D">
        <w:rPr>
          <w:rStyle w:val="normaltextrun1"/>
          <w:rFonts w:cs="Arial"/>
        </w:rPr>
        <w:t>new rule incorporated the following provisions:</w:t>
      </w:r>
    </w:p>
    <w:p w14:paraId="1E982B15" w14:textId="30D098BC" w:rsidR="00A0697B" w:rsidRPr="003C3ECE" w:rsidRDefault="00A0697B" w:rsidP="005D2968">
      <w:pPr>
        <w:pStyle w:val="ListParagraph"/>
        <w:numPr>
          <w:ilvl w:val="0"/>
          <w:numId w:val="5"/>
        </w:numPr>
        <w:spacing w:after="0"/>
        <w:contextualSpacing w:val="0"/>
        <w:rPr>
          <w:rFonts w:eastAsia="Times New Roman" w:cs="Arial"/>
        </w:rPr>
      </w:pPr>
      <w:r w:rsidRPr="0B10EE18">
        <w:rPr>
          <w:rFonts w:eastAsia="Times New Roman" w:cs="Arial"/>
        </w:rPr>
        <w:t>New deadline for unlined impoundments to cease receipt of waste and initiate closure: as soon as technically feasible and no later than April 11, 2021;</w:t>
      </w:r>
    </w:p>
    <w:p w14:paraId="0B67F720" w14:textId="04C09B2C" w:rsidR="005240A9" w:rsidRPr="003C3ECE" w:rsidRDefault="005240A9" w:rsidP="005D2968">
      <w:pPr>
        <w:pStyle w:val="ListParagraph"/>
        <w:numPr>
          <w:ilvl w:val="0"/>
          <w:numId w:val="5"/>
        </w:numPr>
        <w:spacing w:after="0"/>
        <w:contextualSpacing w:val="0"/>
        <w:rPr>
          <w:rFonts w:eastAsia="Times New Roman" w:cs="Arial"/>
        </w:rPr>
      </w:pPr>
      <w:r w:rsidRPr="0B10EE18">
        <w:rPr>
          <w:rFonts w:eastAsia="Times New Roman" w:cs="Arial"/>
        </w:rPr>
        <w:t xml:space="preserve">Extend the existing alternative closure </w:t>
      </w:r>
      <w:r w:rsidR="00A0697B" w:rsidRPr="0B10EE18">
        <w:rPr>
          <w:rFonts w:eastAsia="Times New Roman" w:cs="Arial"/>
        </w:rPr>
        <w:t>extensions to include</w:t>
      </w:r>
      <w:r w:rsidRPr="0B10EE18">
        <w:rPr>
          <w:rFonts w:eastAsia="Times New Roman" w:cs="Arial"/>
        </w:rPr>
        <w:t xml:space="preserve"> CCR and non-CCR waste streams</w:t>
      </w:r>
      <w:r w:rsidR="00A0697B" w:rsidRPr="0B10EE18">
        <w:rPr>
          <w:rFonts w:eastAsia="Times New Roman" w:cs="Arial"/>
        </w:rPr>
        <w:t>;</w:t>
      </w:r>
    </w:p>
    <w:p w14:paraId="33664144" w14:textId="40E579A9" w:rsidR="00F87C9D" w:rsidRDefault="00F87C9D" w:rsidP="005D2968">
      <w:pPr>
        <w:pStyle w:val="ListParagraph"/>
        <w:numPr>
          <w:ilvl w:val="0"/>
          <w:numId w:val="5"/>
        </w:numPr>
        <w:spacing w:after="0"/>
        <w:contextualSpacing w:val="0"/>
        <w:rPr>
          <w:rFonts w:eastAsia="Times New Roman" w:cs="Arial"/>
        </w:rPr>
      </w:pPr>
      <w:r w:rsidRPr="0B10EE18">
        <w:rPr>
          <w:rFonts w:eastAsia="Times New Roman" w:cs="Arial"/>
        </w:rPr>
        <w:t xml:space="preserve">Addition of an executive summary to the annual groundwater monitoring and corrective action reports, and the amended requirements to the publicly accessible CCR </w:t>
      </w:r>
      <w:r w:rsidR="00ED5BF3" w:rsidRPr="0B10EE18">
        <w:rPr>
          <w:rFonts w:eastAsia="Times New Roman" w:cs="Arial"/>
        </w:rPr>
        <w:t>website;</w:t>
      </w:r>
      <w:r w:rsidR="00956C30">
        <w:rPr>
          <w:rFonts w:eastAsia="Times New Roman" w:cs="Arial"/>
        </w:rPr>
        <w:t xml:space="preserve"> </w:t>
      </w:r>
      <w:r w:rsidR="00ED5BF3" w:rsidRPr="0B10EE18">
        <w:rPr>
          <w:rFonts w:eastAsia="Times New Roman" w:cs="Arial"/>
        </w:rPr>
        <w:t>and</w:t>
      </w:r>
    </w:p>
    <w:p w14:paraId="09D46C61" w14:textId="63C5505F" w:rsidR="00F87C9D" w:rsidRPr="00E654CE" w:rsidRDefault="00A0697B" w:rsidP="005D2968">
      <w:pPr>
        <w:pStyle w:val="ListParagraph"/>
        <w:numPr>
          <w:ilvl w:val="0"/>
          <w:numId w:val="5"/>
        </w:numPr>
        <w:contextualSpacing w:val="0"/>
        <w:rPr>
          <w:rStyle w:val="normaltextrun1"/>
          <w:rFonts w:eastAsia="Times New Roman" w:cs="Arial"/>
        </w:rPr>
      </w:pPr>
      <w:r w:rsidRPr="0B10EE18">
        <w:rPr>
          <w:rFonts w:eastAsia="Times New Roman" w:cs="Arial"/>
        </w:rPr>
        <w:t>Classification of compacted-soil lined, or “clay-lined” surface impoundments changed from “lined” to “unlined.”</w:t>
      </w:r>
    </w:p>
    <w:p w14:paraId="7DF6BA6A" w14:textId="3C8D894B" w:rsidR="00AB2B58" w:rsidRDefault="00865FF2" w:rsidP="009C7652">
      <w:r w:rsidRPr="0060527B">
        <w:t xml:space="preserve">EPA </w:t>
      </w:r>
      <w:r w:rsidR="004B233C">
        <w:t xml:space="preserve">then </w:t>
      </w:r>
      <w:r w:rsidRPr="0060527B">
        <w:t>published the proposed rulemaking “Holistic Approach to Closure Part B; Alternate Demonstration for Unlined Surface Impoundments; Implementation of Closure.”</w:t>
      </w:r>
      <w:r w:rsidRPr="0060527B">
        <w:rPr>
          <w:rFonts w:eastAsia="Times New Roman"/>
        </w:rPr>
        <w:t xml:space="preserve"> In November 2020, </w:t>
      </w:r>
      <w:r w:rsidR="004B233C">
        <w:t>recognizing that certain owners have been relying on natural clay liners for continued operation of surface impoundments</w:t>
      </w:r>
      <w:r w:rsidRPr="0060527B">
        <w:rPr>
          <w:rFonts w:eastAsia="Times New Roman"/>
        </w:rPr>
        <w:t xml:space="preserve">, EPA finalized a portion of the proposed rule which provides an owner/operator the ability to demonstrate that alternative liner systems such as natural clay perform as well as or better than composite liner systems explicitly required by the CCR rule. </w:t>
      </w:r>
      <w:r w:rsidR="00DD10CE" w:rsidRPr="0060527B">
        <w:rPr>
          <w:rFonts w:eastAsia="Times New Roman"/>
        </w:rPr>
        <w:t>Provisions from the proposed rule that were not addressed will be addressed in subsequent action.</w:t>
      </w:r>
      <w:r w:rsidR="003E3391" w:rsidRPr="003E3391">
        <w:t xml:space="preserve"> </w:t>
      </w:r>
    </w:p>
    <w:p w14:paraId="0F0620DB" w14:textId="18EE0379" w:rsidR="00AB2B58" w:rsidRDefault="00AB2B58" w:rsidP="7A0C2078">
      <w:pPr>
        <w:keepNext/>
        <w:keepLines/>
      </w:pPr>
      <w:r>
        <w:t>A summary of finalized provisions of the Part A and B rulemakings is provided below.</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20" w:firstRow="1" w:lastRow="0" w:firstColumn="0" w:lastColumn="0" w:noHBand="1" w:noVBand="1"/>
      </w:tblPr>
      <w:tblGrid>
        <w:gridCol w:w="1615"/>
        <w:gridCol w:w="4032"/>
        <w:gridCol w:w="4032"/>
      </w:tblGrid>
      <w:tr w:rsidR="00AB2B58" w:rsidRPr="00AB2B58" w14:paraId="56EB4D97" w14:textId="77777777" w:rsidTr="0099176E">
        <w:trPr>
          <w:trHeight w:val="548"/>
        </w:trPr>
        <w:tc>
          <w:tcPr>
            <w:tcW w:w="1615" w:type="dxa"/>
            <w:shd w:val="clear" w:color="auto" w:fill="E8E8E8" w:themeFill="background2"/>
            <w:tcMar>
              <w:top w:w="72" w:type="dxa"/>
              <w:left w:w="144" w:type="dxa"/>
              <w:bottom w:w="72" w:type="dxa"/>
              <w:right w:w="144" w:type="dxa"/>
            </w:tcMar>
          </w:tcPr>
          <w:p w14:paraId="77A1BB08" w14:textId="1BD95A00" w:rsidR="6A91F377" w:rsidRPr="44E0DD80" w:rsidRDefault="6A91F377" w:rsidP="7A0C2078">
            <w:pPr>
              <w:keepNext/>
              <w:keepLines/>
              <w:spacing w:after="0"/>
              <w:rPr>
                <w:rFonts w:eastAsia="Calibri" w:cs="Arial"/>
                <w:b/>
              </w:rPr>
            </w:pPr>
            <w:r w:rsidRPr="7A0C2078">
              <w:rPr>
                <w:rFonts w:eastAsia="Calibri" w:cs="Arial"/>
                <w:b/>
              </w:rPr>
              <w:t>Stage</w:t>
            </w:r>
          </w:p>
        </w:tc>
        <w:tc>
          <w:tcPr>
            <w:tcW w:w="4032" w:type="dxa"/>
            <w:shd w:val="clear" w:color="auto" w:fill="E8E8E8" w:themeFill="background2"/>
            <w:tcMar>
              <w:top w:w="72" w:type="dxa"/>
              <w:left w:w="144" w:type="dxa"/>
              <w:bottom w:w="72" w:type="dxa"/>
              <w:right w:w="144" w:type="dxa"/>
            </w:tcMar>
            <w:hideMark/>
          </w:tcPr>
          <w:p w14:paraId="4E9AD92F" w14:textId="77777777" w:rsidR="00AB2B58" w:rsidRPr="00AB2B58" w:rsidRDefault="00AB2B58" w:rsidP="7A0C2078">
            <w:pPr>
              <w:keepNext/>
              <w:keepLines/>
              <w:spacing w:after="0"/>
              <w:rPr>
                <w:b/>
              </w:rPr>
            </w:pPr>
            <w:r w:rsidRPr="00AB2B58">
              <w:rPr>
                <w:b/>
                <w:bCs/>
              </w:rPr>
              <w:t>Part A</w:t>
            </w:r>
          </w:p>
        </w:tc>
        <w:tc>
          <w:tcPr>
            <w:tcW w:w="4032" w:type="dxa"/>
            <w:shd w:val="clear" w:color="auto" w:fill="E8E8E8" w:themeFill="background2"/>
            <w:tcMar>
              <w:top w:w="72" w:type="dxa"/>
              <w:left w:w="144" w:type="dxa"/>
              <w:bottom w:w="72" w:type="dxa"/>
              <w:right w:w="144" w:type="dxa"/>
            </w:tcMar>
            <w:hideMark/>
          </w:tcPr>
          <w:p w14:paraId="258ABFC2" w14:textId="77777777" w:rsidR="00AB2B58" w:rsidRPr="00AB2B58" w:rsidRDefault="00AB2B58" w:rsidP="7A0C2078">
            <w:pPr>
              <w:keepNext/>
              <w:keepLines/>
              <w:spacing w:after="0"/>
              <w:rPr>
                <w:b/>
              </w:rPr>
            </w:pPr>
            <w:r w:rsidRPr="00AB2B58">
              <w:rPr>
                <w:b/>
                <w:bCs/>
              </w:rPr>
              <w:t>Part B</w:t>
            </w:r>
          </w:p>
        </w:tc>
      </w:tr>
      <w:tr w:rsidR="00AB2B58" w:rsidRPr="00AB2B58" w14:paraId="7BCF24D1" w14:textId="77777777" w:rsidTr="0099176E">
        <w:trPr>
          <w:trHeight w:val="2808"/>
        </w:trPr>
        <w:tc>
          <w:tcPr>
            <w:tcW w:w="1615" w:type="dxa"/>
            <w:shd w:val="clear" w:color="auto" w:fill="auto"/>
            <w:tcMar>
              <w:top w:w="72" w:type="dxa"/>
              <w:left w:w="144" w:type="dxa"/>
              <w:bottom w:w="72" w:type="dxa"/>
              <w:right w:w="144" w:type="dxa"/>
            </w:tcMar>
          </w:tcPr>
          <w:p w14:paraId="027293C7" w14:textId="14E23E6C" w:rsidR="627DE1D1" w:rsidRPr="314FB59C" w:rsidRDefault="627DE1D1" w:rsidP="7A0C2078">
            <w:pPr>
              <w:keepNext/>
              <w:keepLines/>
              <w:rPr>
                <w:rFonts w:eastAsia="Calibri" w:cs="Arial"/>
              </w:rPr>
            </w:pPr>
            <w:r w:rsidRPr="314FB59C">
              <w:rPr>
                <w:rFonts w:eastAsia="Calibri" w:cs="Arial"/>
              </w:rPr>
              <w:t>Final</w:t>
            </w:r>
          </w:p>
        </w:tc>
        <w:tc>
          <w:tcPr>
            <w:tcW w:w="4032" w:type="dxa"/>
            <w:shd w:val="clear" w:color="auto" w:fill="auto"/>
            <w:tcMar>
              <w:top w:w="72" w:type="dxa"/>
              <w:left w:w="144" w:type="dxa"/>
              <w:bottom w:w="72" w:type="dxa"/>
              <w:right w:w="144" w:type="dxa"/>
            </w:tcMar>
            <w:hideMark/>
          </w:tcPr>
          <w:p w14:paraId="1C0C8B13" w14:textId="77777777" w:rsidR="00AB2B58" w:rsidRPr="00AB2B58" w:rsidRDefault="00AB2B58" w:rsidP="7A0C2078">
            <w:pPr>
              <w:keepNext/>
              <w:keepLines/>
              <w:numPr>
                <w:ilvl w:val="0"/>
                <w:numId w:val="25"/>
              </w:numPr>
              <w:spacing w:after="0"/>
              <w:ind w:left="360"/>
              <w:jc w:val="left"/>
            </w:pPr>
            <w:r w:rsidRPr="00AB2B58">
              <w:t xml:space="preserve">Extension to April 11, 2021. </w:t>
            </w:r>
          </w:p>
          <w:p w14:paraId="28401CFD" w14:textId="77777777" w:rsidR="00AB2B58" w:rsidRPr="00AB2B58" w:rsidRDefault="00AB2B58" w:rsidP="7A0C2078">
            <w:pPr>
              <w:keepNext/>
              <w:keepLines/>
              <w:numPr>
                <w:ilvl w:val="0"/>
                <w:numId w:val="25"/>
              </w:numPr>
              <w:spacing w:after="0"/>
              <w:ind w:left="360"/>
              <w:jc w:val="left"/>
            </w:pPr>
            <w:r w:rsidRPr="00AB2B58">
              <w:t>Revisions to the alternative closure provisions to include non-CCR.</w:t>
            </w:r>
          </w:p>
          <w:p w14:paraId="3EA4DB85" w14:textId="77777777" w:rsidR="00AB2B58" w:rsidRPr="00AB2B58" w:rsidRDefault="00AB2B58" w:rsidP="7A0C2078">
            <w:pPr>
              <w:keepNext/>
              <w:keepLines/>
              <w:numPr>
                <w:ilvl w:val="0"/>
                <w:numId w:val="25"/>
              </w:numPr>
              <w:spacing w:after="0"/>
              <w:ind w:left="360"/>
              <w:jc w:val="left"/>
            </w:pPr>
            <w:r w:rsidRPr="00AB2B58">
              <w:t>Revisions to annual groundwater reports.</w:t>
            </w:r>
          </w:p>
          <w:p w14:paraId="55864D57" w14:textId="77777777" w:rsidR="00AB2B58" w:rsidRPr="00AB2B58" w:rsidRDefault="00AB2B58" w:rsidP="7A0C2078">
            <w:pPr>
              <w:keepNext/>
              <w:keepLines/>
              <w:numPr>
                <w:ilvl w:val="0"/>
                <w:numId w:val="25"/>
              </w:numPr>
              <w:spacing w:after="0"/>
              <w:ind w:left="360"/>
              <w:jc w:val="left"/>
            </w:pPr>
            <w:r w:rsidRPr="00AB2B58">
              <w:t>Enhancing website transparency.</w:t>
            </w:r>
          </w:p>
          <w:p w14:paraId="1C51DC26" w14:textId="77777777" w:rsidR="00AB2B58" w:rsidRPr="00AB2B58" w:rsidRDefault="00AB2B58" w:rsidP="7A0C2078">
            <w:pPr>
              <w:keepNext/>
              <w:keepLines/>
              <w:numPr>
                <w:ilvl w:val="0"/>
                <w:numId w:val="25"/>
              </w:numPr>
              <w:spacing w:after="0"/>
              <w:ind w:left="360"/>
              <w:jc w:val="left"/>
            </w:pPr>
            <w:r w:rsidRPr="00AB2B58">
              <w:t>Changing classification of clay-lined impoundments to “unlined.”</w:t>
            </w:r>
          </w:p>
        </w:tc>
        <w:tc>
          <w:tcPr>
            <w:tcW w:w="4032" w:type="dxa"/>
            <w:shd w:val="clear" w:color="auto" w:fill="auto"/>
            <w:tcMar>
              <w:top w:w="72" w:type="dxa"/>
              <w:left w:w="144" w:type="dxa"/>
              <w:bottom w:w="72" w:type="dxa"/>
              <w:right w:w="144" w:type="dxa"/>
            </w:tcMar>
            <w:hideMark/>
          </w:tcPr>
          <w:p w14:paraId="0B77539B" w14:textId="77777777" w:rsidR="00AB2B58" w:rsidRPr="00AB2B58" w:rsidRDefault="00AB2B58" w:rsidP="7A0C2078">
            <w:pPr>
              <w:keepNext/>
              <w:keepLines/>
              <w:numPr>
                <w:ilvl w:val="0"/>
                <w:numId w:val="25"/>
              </w:numPr>
              <w:spacing w:after="0"/>
              <w:ind w:left="360"/>
              <w:jc w:val="left"/>
            </w:pPr>
            <w:r w:rsidRPr="00AB2B58">
              <w:t>Procedures to allow alternate liner demonstrations for certain qualifying CCR surface impoundments.</w:t>
            </w:r>
          </w:p>
        </w:tc>
      </w:tr>
      <w:tr w:rsidR="00AB2B58" w:rsidRPr="00AB2B58" w14:paraId="3E6FBD11" w14:textId="77777777" w:rsidTr="0099176E">
        <w:trPr>
          <w:trHeight w:val="2241"/>
        </w:trPr>
        <w:tc>
          <w:tcPr>
            <w:tcW w:w="1615" w:type="dxa"/>
            <w:shd w:val="clear" w:color="auto" w:fill="auto"/>
            <w:tcMar>
              <w:top w:w="72" w:type="dxa"/>
              <w:left w:w="144" w:type="dxa"/>
              <w:bottom w:w="72" w:type="dxa"/>
              <w:right w:w="144" w:type="dxa"/>
            </w:tcMar>
          </w:tcPr>
          <w:p w14:paraId="5819202C" w14:textId="3D397910" w:rsidR="651D4872" w:rsidRPr="6065B554" w:rsidRDefault="651D4872" w:rsidP="7A0C2078">
            <w:pPr>
              <w:keepNext/>
              <w:keepLines/>
              <w:jc w:val="left"/>
              <w:rPr>
                <w:rFonts w:eastAsia="Calibri" w:cs="Arial"/>
              </w:rPr>
            </w:pPr>
            <w:r w:rsidRPr="6065B554">
              <w:rPr>
                <w:rFonts w:eastAsia="Calibri" w:cs="Arial"/>
              </w:rPr>
              <w:t>Proposed, but not finalized</w:t>
            </w:r>
          </w:p>
        </w:tc>
        <w:tc>
          <w:tcPr>
            <w:tcW w:w="4032" w:type="dxa"/>
            <w:shd w:val="clear" w:color="auto" w:fill="auto"/>
            <w:tcMar>
              <w:top w:w="72" w:type="dxa"/>
              <w:left w:w="144" w:type="dxa"/>
              <w:bottom w:w="72" w:type="dxa"/>
              <w:right w:w="144" w:type="dxa"/>
            </w:tcMar>
            <w:hideMark/>
          </w:tcPr>
          <w:p w14:paraId="54C45904" w14:textId="77777777" w:rsidR="00AB2B58" w:rsidRPr="00AB2B58" w:rsidRDefault="00AB2B58" w:rsidP="7A0C2078">
            <w:pPr>
              <w:keepNext/>
              <w:keepLines/>
              <w:jc w:val="left"/>
            </w:pPr>
          </w:p>
        </w:tc>
        <w:tc>
          <w:tcPr>
            <w:tcW w:w="4032" w:type="dxa"/>
            <w:shd w:val="clear" w:color="auto" w:fill="auto"/>
            <w:tcMar>
              <w:top w:w="72" w:type="dxa"/>
              <w:left w:w="144" w:type="dxa"/>
              <w:bottom w:w="72" w:type="dxa"/>
              <w:right w:w="144" w:type="dxa"/>
            </w:tcMar>
            <w:hideMark/>
          </w:tcPr>
          <w:p w14:paraId="0B97C84C" w14:textId="77777777" w:rsidR="00AB2B58" w:rsidRPr="00AB2B58" w:rsidRDefault="00AB2B58" w:rsidP="7A0C2078">
            <w:pPr>
              <w:keepNext/>
              <w:keepLines/>
              <w:numPr>
                <w:ilvl w:val="0"/>
                <w:numId w:val="25"/>
              </w:numPr>
              <w:spacing w:after="0"/>
              <w:ind w:left="360"/>
              <w:jc w:val="left"/>
            </w:pPr>
            <w:r w:rsidRPr="00AB2B58">
              <w:t>Two co-proposed options to allow the use of CCR during unit closure.</w:t>
            </w:r>
          </w:p>
          <w:p w14:paraId="58EBB6EB" w14:textId="77777777" w:rsidR="00AB2B58" w:rsidRPr="00AB2B58" w:rsidRDefault="00AB2B58" w:rsidP="7A0C2078">
            <w:pPr>
              <w:keepNext/>
              <w:keepLines/>
              <w:numPr>
                <w:ilvl w:val="0"/>
                <w:numId w:val="25"/>
              </w:numPr>
              <w:spacing w:after="0"/>
              <w:ind w:left="360"/>
              <w:jc w:val="left"/>
            </w:pPr>
            <w:r w:rsidRPr="00AB2B58">
              <w:t>An additional closure option for CCR units being closed by removal of CCR.</w:t>
            </w:r>
          </w:p>
          <w:p w14:paraId="65D52EC2" w14:textId="77777777" w:rsidR="00AB2B58" w:rsidRPr="00AB2B58" w:rsidRDefault="00AB2B58" w:rsidP="7A0C2078">
            <w:pPr>
              <w:keepNext/>
              <w:keepLines/>
              <w:numPr>
                <w:ilvl w:val="0"/>
                <w:numId w:val="25"/>
              </w:numPr>
              <w:spacing w:after="0"/>
              <w:ind w:left="360"/>
              <w:jc w:val="left"/>
            </w:pPr>
            <w:r w:rsidRPr="00AB2B58">
              <w:t>Requirements for annual closure progress reports.</w:t>
            </w:r>
          </w:p>
        </w:tc>
      </w:tr>
    </w:tbl>
    <w:p w14:paraId="6ABAA557" w14:textId="5BFCAA65" w:rsidR="5C093D6C" w:rsidRDefault="5C093D6C"/>
    <w:p w14:paraId="3C800809" w14:textId="3C200DDA" w:rsidR="004B233C" w:rsidRPr="00924261" w:rsidRDefault="004B233C" w:rsidP="009C7652">
      <w:pPr>
        <w:rPr>
          <w:u w:val="single"/>
        </w:rPr>
      </w:pPr>
      <w:r w:rsidRPr="00924261">
        <w:rPr>
          <w:u w:val="single"/>
        </w:rPr>
        <w:t xml:space="preserve">Other CCR </w:t>
      </w:r>
      <w:r w:rsidR="00F33CE0">
        <w:rPr>
          <w:u w:val="single"/>
        </w:rPr>
        <w:t>Regulatory Activity</w:t>
      </w:r>
    </w:p>
    <w:p w14:paraId="457EB1CF" w14:textId="2995B52D" w:rsidR="004B233C" w:rsidRPr="00AC54F4" w:rsidRDefault="0F58DF0A" w:rsidP="009C7652">
      <w:r>
        <w:t>Federal Permit Program</w:t>
      </w:r>
      <w:r w:rsidR="7533CCBD">
        <w:t xml:space="preserve"> - In February 2020, EPA published in the Federal Register a proposed Federal CCR Permit Program. EPA would implement this permit program directly at CCR units located in Indian Country, in states that are not actively pursuing their own state CCR permit program for approval, and to possibly cover specific rules sections that are not included in state programs with partial approval.  EPA has </w:t>
      </w:r>
      <w:r w:rsidR="7533CCBD" w:rsidRPr="00AC54F4">
        <w:t>yet to finalize the final rule.</w:t>
      </w:r>
    </w:p>
    <w:p w14:paraId="7A5C42E0" w14:textId="5CE85077" w:rsidR="00865FF2" w:rsidRDefault="0F58DF0A" w:rsidP="009C7652">
      <w:r>
        <w:t>Legacy Surface Impoundments</w:t>
      </w:r>
      <w:r w:rsidR="6CC992EB">
        <w:t xml:space="preserve"> – In October 2020, EPA published the Legacy Surface Impoundments </w:t>
      </w:r>
      <w:r w:rsidR="00362475">
        <w:t>ANPRM</w:t>
      </w:r>
      <w:r w:rsidR="001173E1">
        <w:t>.</w:t>
      </w:r>
      <w:r w:rsidR="6CC992EB">
        <w:t xml:space="preserve"> This ANPRM sought data and informatio</w:t>
      </w:r>
      <w:r w:rsidR="366E661D">
        <w:t>n</w:t>
      </w:r>
      <w:r w:rsidR="6CC992EB">
        <w:t xml:space="preserve"> on the status and number of inac</w:t>
      </w:r>
      <w:r w:rsidR="2D37D3DF">
        <w:t>tive surface impoundments at retired electricity generation facilities, referred to as “legacy impoundments</w:t>
      </w:r>
      <w:r w:rsidR="61711E20">
        <w:t>.  EPA has stated that the proposal may include adding a new definition for “legacy surface impoundments” and may propose to require such impoundment</w:t>
      </w:r>
      <w:r w:rsidR="159773DB">
        <w:t>s to follow existing regulatory requirements for fugitive dust, groundwater monitoring, closure and other technical requirements.</w:t>
      </w:r>
    </w:p>
    <w:p w14:paraId="263ACF0A" w14:textId="11F886F7" w:rsidR="00BB0351" w:rsidRPr="00BE120D" w:rsidRDefault="00095387" w:rsidP="009C7652">
      <w:pPr>
        <w:rPr>
          <w:rFonts w:cs="Arial"/>
        </w:rPr>
      </w:pPr>
      <w:r w:rsidRPr="00BE120D">
        <w:rPr>
          <w:rFonts w:cs="Arial"/>
        </w:rPr>
        <w:t xml:space="preserve">On January 11, 2022 the EPA published its </w:t>
      </w:r>
      <w:r w:rsidR="61D89EB2" w:rsidRPr="00BE120D">
        <w:rPr>
          <w:rFonts w:cs="Arial"/>
        </w:rPr>
        <w:t xml:space="preserve">proposed </w:t>
      </w:r>
      <w:r w:rsidR="3D0F5DBE" w:rsidRPr="00BE120D">
        <w:rPr>
          <w:rFonts w:cs="Arial"/>
        </w:rPr>
        <w:t>determination</w:t>
      </w:r>
      <w:r w:rsidR="4771CA9E" w:rsidRPr="00BE120D">
        <w:rPr>
          <w:rFonts w:cs="Arial"/>
        </w:rPr>
        <w:t>s</w:t>
      </w:r>
      <w:r w:rsidR="3D0F5DBE" w:rsidRPr="00BE120D">
        <w:rPr>
          <w:rFonts w:cs="Arial"/>
        </w:rPr>
        <w:t xml:space="preserve"> </w:t>
      </w:r>
      <w:r w:rsidR="0C69E4AA" w:rsidRPr="00BE120D">
        <w:rPr>
          <w:rFonts w:cs="Arial"/>
        </w:rPr>
        <w:t>on</w:t>
      </w:r>
      <w:r w:rsidRPr="00BE120D">
        <w:rPr>
          <w:rFonts w:cs="Arial"/>
        </w:rPr>
        <w:t xml:space="preserve"> the CCR Rule Part A </w:t>
      </w:r>
      <w:r w:rsidR="53B0D170" w:rsidRPr="00BE120D">
        <w:rPr>
          <w:rFonts w:cs="Arial"/>
        </w:rPr>
        <w:t xml:space="preserve">requests </w:t>
      </w:r>
      <w:r w:rsidRPr="00BE120D">
        <w:rPr>
          <w:rFonts w:cs="Arial"/>
        </w:rPr>
        <w:t xml:space="preserve">for </w:t>
      </w:r>
      <w:r w:rsidR="2C0B704A" w:rsidRPr="00BE120D">
        <w:rPr>
          <w:rFonts w:cs="Arial"/>
        </w:rPr>
        <w:t>nine</w:t>
      </w:r>
      <w:r w:rsidRPr="00BE120D">
        <w:rPr>
          <w:rFonts w:cs="Arial"/>
        </w:rPr>
        <w:t xml:space="preserve"> facilities across the Midwest and Northeast. </w:t>
      </w:r>
      <w:r w:rsidR="3C12E00B" w:rsidRPr="00BE120D">
        <w:rPr>
          <w:rFonts w:cs="Arial"/>
        </w:rPr>
        <w:t xml:space="preserve">In </w:t>
      </w:r>
      <w:r w:rsidR="1BA17D13" w:rsidRPr="00BE120D">
        <w:rPr>
          <w:rFonts w:cs="Arial"/>
        </w:rPr>
        <w:t xml:space="preserve">three of </w:t>
      </w:r>
      <w:r w:rsidR="3C12E00B" w:rsidRPr="00BE120D">
        <w:rPr>
          <w:rFonts w:cs="Arial"/>
        </w:rPr>
        <w:t>these determinations, EPA</w:t>
      </w:r>
      <w:r w:rsidR="5EEE7685" w:rsidRPr="00BE120D">
        <w:rPr>
          <w:rFonts w:cs="Arial"/>
        </w:rPr>
        <w:t xml:space="preserve"> </w:t>
      </w:r>
      <w:r w:rsidR="6C90520A" w:rsidRPr="00BE120D">
        <w:rPr>
          <w:rFonts w:cs="Arial"/>
        </w:rPr>
        <w:t xml:space="preserve">announced </w:t>
      </w:r>
      <w:r w:rsidR="72160C86" w:rsidRPr="0AC6FB4E">
        <w:rPr>
          <w:rFonts w:cs="Arial"/>
        </w:rPr>
        <w:t xml:space="preserve">new </w:t>
      </w:r>
      <w:r w:rsidR="6C90520A" w:rsidRPr="00BE120D">
        <w:rPr>
          <w:rFonts w:cs="Arial"/>
        </w:rPr>
        <w:t>positions</w:t>
      </w:r>
      <w:r w:rsidR="09668164" w:rsidRPr="00BE120D">
        <w:rPr>
          <w:rFonts w:cs="Arial"/>
        </w:rPr>
        <w:t xml:space="preserve"> </w:t>
      </w:r>
      <w:r w:rsidR="5E811878" w:rsidRPr="00BE120D">
        <w:t>for closure in place</w:t>
      </w:r>
      <w:r w:rsidR="6F900CDB" w:rsidRPr="00BE120D">
        <w:t xml:space="preserve"> performance standards </w:t>
      </w:r>
      <w:r w:rsidR="7A5DE341" w:rsidRPr="00BE120D">
        <w:t>and</w:t>
      </w:r>
      <w:r w:rsidR="378874D4" w:rsidRPr="00BE120D">
        <w:t xml:space="preserve"> </w:t>
      </w:r>
      <w:r w:rsidR="6F900CDB" w:rsidRPr="00BE120D">
        <w:t>groundwater monitoring networks, statistical analysis methods, alternate source demonstrations and groundwater corrective action</w:t>
      </w:r>
      <w:r w:rsidR="3ECA5308" w:rsidRPr="00BE120D">
        <w:t>.</w:t>
      </w:r>
      <w:r w:rsidR="3C12E00B" w:rsidRPr="00BE120D">
        <w:rPr>
          <w:rFonts w:cs="Arial"/>
        </w:rPr>
        <w:t xml:space="preserve"> </w:t>
      </w:r>
      <w:r w:rsidR="00BB0351" w:rsidRPr="00BE120D">
        <w:rPr>
          <w:rFonts w:cs="Arial"/>
        </w:rPr>
        <w:t>The EPA has published these determination</w:t>
      </w:r>
      <w:r w:rsidR="40DC815A" w:rsidRPr="00BE120D">
        <w:rPr>
          <w:rFonts w:cs="Arial"/>
        </w:rPr>
        <w:t>s</w:t>
      </w:r>
      <w:r w:rsidR="00BB0351" w:rsidRPr="00BE120D">
        <w:rPr>
          <w:rFonts w:cs="Arial"/>
        </w:rPr>
        <w:t xml:space="preserve"> and will </w:t>
      </w:r>
      <w:r w:rsidR="003512AA" w:rsidRPr="00BE120D">
        <w:rPr>
          <w:rFonts w:cs="Arial"/>
        </w:rPr>
        <w:t xml:space="preserve">receive public comments through </w:t>
      </w:r>
      <w:r w:rsidR="00A86A59" w:rsidRPr="00BE120D">
        <w:rPr>
          <w:rFonts w:cs="Arial"/>
        </w:rPr>
        <w:t xml:space="preserve">February </w:t>
      </w:r>
      <w:r w:rsidR="00173459" w:rsidRPr="00BE120D">
        <w:rPr>
          <w:rFonts w:cs="Arial"/>
        </w:rPr>
        <w:t>23, 2022</w:t>
      </w:r>
      <w:r w:rsidR="003512AA" w:rsidRPr="00BE120D">
        <w:rPr>
          <w:rFonts w:cs="Arial"/>
        </w:rPr>
        <w:t>.</w:t>
      </w:r>
      <w:r w:rsidR="00C45E62" w:rsidRPr="00BE120D">
        <w:rPr>
          <w:rFonts w:cs="Arial"/>
        </w:rPr>
        <w:t xml:space="preserve"> </w:t>
      </w:r>
    </w:p>
    <w:p w14:paraId="5EE6F89C" w14:textId="54F7E762" w:rsidR="00865FF2" w:rsidRDefault="00304977" w:rsidP="002531D4">
      <w:pPr>
        <w:pStyle w:val="Heading3"/>
        <w:rPr>
          <w:color w:val="000080"/>
        </w:rPr>
      </w:pPr>
      <w:bookmarkStart w:id="54" w:name="_Toc94197903"/>
      <w:r>
        <w:t>3.</w:t>
      </w:r>
      <w:r w:rsidR="00E2493E">
        <w:t>4</w:t>
      </w:r>
      <w:r w:rsidR="00865FF2" w:rsidRPr="005132E2">
        <w:t>.</w:t>
      </w:r>
      <w:r w:rsidR="00865FF2">
        <w:t>1</w:t>
      </w:r>
      <w:r w:rsidR="005C17C3">
        <w:t>8</w:t>
      </w:r>
      <w:r w:rsidR="00F82121">
        <w:t xml:space="preserve"> </w:t>
      </w:r>
      <w:r w:rsidR="00865FF2" w:rsidRPr="005132E2">
        <w:t>Other Considerations</w:t>
      </w:r>
      <w:bookmarkEnd w:id="54"/>
    </w:p>
    <w:p w14:paraId="25BD96C1" w14:textId="1BF20BF8" w:rsidR="001B70F0" w:rsidRDefault="001B70F0" w:rsidP="009C7652">
      <w:r>
        <w:t xml:space="preserve">In addition to the </w:t>
      </w:r>
      <w:r w:rsidR="00F65818">
        <w:t xml:space="preserve">regulatory actions discussed above, Georgia Power is monitoring regulatory </w:t>
      </w:r>
      <w:r w:rsidR="00DF42FE">
        <w:t>discussions on lead,</w:t>
      </w:r>
      <w:r w:rsidR="008F7430">
        <w:t xml:space="preserve"> nuclear waste,</w:t>
      </w:r>
      <w:r w:rsidR="00DF42FE">
        <w:t xml:space="preserve"> environmental justice,</w:t>
      </w:r>
      <w:r w:rsidR="008F7430">
        <w:t xml:space="preserve"> NEPA,</w:t>
      </w:r>
      <w:r w:rsidR="00DF42FE">
        <w:t xml:space="preserve"> threatened and endangered species, and potential procedural changes.  These are not currently expected to have significant impact on operations but</w:t>
      </w:r>
      <w:r w:rsidR="006F13E7">
        <w:t xml:space="preserve"> due to the potential for </w:t>
      </w:r>
      <w:r w:rsidR="001D456D">
        <w:t xml:space="preserve">future </w:t>
      </w:r>
      <w:r w:rsidR="006F13E7">
        <w:t>impact</w:t>
      </w:r>
      <w:r w:rsidR="001D456D">
        <w:t xml:space="preserve"> should regulations change</w:t>
      </w:r>
      <w:r w:rsidR="006F13E7">
        <w:t>, they</w:t>
      </w:r>
      <w:r w:rsidR="00DF42FE">
        <w:t xml:space="preserve"> will continue to be monitored for updates.</w:t>
      </w:r>
    </w:p>
    <w:p w14:paraId="3EDF208A" w14:textId="05D82D12" w:rsidR="00865FF2" w:rsidRPr="008409FA" w:rsidRDefault="00EA2770" w:rsidP="008025DB">
      <w:r w:rsidRPr="1848C3C6">
        <w:t xml:space="preserve">Currently, there are no proposed regulations relating to lead that may have an effect on the installation of equipment or changes in the operation of electric generating plants.  In addition, ECS-Appendix C provides an overview of </w:t>
      </w:r>
      <w:r w:rsidR="3EB86D60">
        <w:t>waste disposal considerations for</w:t>
      </w:r>
      <w:r w:rsidRPr="1848C3C6">
        <w:t xml:space="preserve"> low-level and high-level nuclear waste. Southern Company and Georgia Power will continue to monitor these issues and evaluate the Company’s strategy as changes occur.</w:t>
      </w:r>
    </w:p>
    <w:p w14:paraId="5DDC6C6F" w14:textId="51DB6DA6" w:rsidR="009C4794" w:rsidRPr="0060527B" w:rsidRDefault="00587147" w:rsidP="00877775">
      <w:pPr>
        <w:pStyle w:val="Heading4"/>
        <w:rPr>
          <w:color w:val="000080"/>
        </w:rPr>
      </w:pPr>
      <w:r>
        <w:t>E</w:t>
      </w:r>
      <w:r w:rsidR="00D2085A">
        <w:t>xecutive Orders</w:t>
      </w:r>
      <w:r w:rsidRPr="00795B1F">
        <w:t xml:space="preserve">  </w:t>
      </w:r>
    </w:p>
    <w:p w14:paraId="0219D910" w14:textId="6BB8DDCB" w:rsidR="00C461FB" w:rsidRPr="00C461FB" w:rsidRDefault="00C461FB" w:rsidP="008025DB">
      <w:r w:rsidRPr="00C461FB">
        <w:t xml:space="preserve">President Biden has committed to a “whole of government” approach to </w:t>
      </w:r>
      <w:r w:rsidRPr="7ECF6EBD">
        <w:t>E</w:t>
      </w:r>
      <w:r w:rsidR="7A0F36B7" w:rsidRPr="7ECF6EBD">
        <w:t xml:space="preserve">nvironmental </w:t>
      </w:r>
      <w:r w:rsidRPr="7ECF6EBD">
        <w:t>J</w:t>
      </w:r>
      <w:r w:rsidR="6D0C11B2" w:rsidRPr="7ECF6EBD">
        <w:t>ustice (</w:t>
      </w:r>
      <w:r w:rsidR="001C4323">
        <w:t>“</w:t>
      </w:r>
      <w:r w:rsidR="6D0C11B2" w:rsidRPr="7ECF6EBD">
        <w:t>EJ</w:t>
      </w:r>
      <w:r w:rsidR="001C4323">
        <w:t>”</w:t>
      </w:r>
      <w:r w:rsidR="6D0C11B2" w:rsidRPr="7ECF6EBD">
        <w:t>)</w:t>
      </w:r>
      <w:r w:rsidRPr="00C461FB">
        <w:t xml:space="preserve"> and climate equity</w:t>
      </w:r>
      <w:r w:rsidR="006B1860" w:rsidRPr="7ECF6EBD">
        <w:t>.</w:t>
      </w:r>
      <w:r w:rsidRPr="00C461FB">
        <w:t xml:space="preserve"> President Biden issued several executive orders related to EJ which lay out the following priorities: </w:t>
      </w:r>
    </w:p>
    <w:p w14:paraId="4E0FB279" w14:textId="3251D98B" w:rsidR="00C461FB" w:rsidRPr="00C461FB" w:rsidRDefault="00C461FB" w:rsidP="005D2968">
      <w:pPr>
        <w:pStyle w:val="ListParagraph"/>
        <w:numPr>
          <w:ilvl w:val="0"/>
          <w:numId w:val="14"/>
        </w:numPr>
        <w:rPr>
          <w:rFonts w:cs="Arial"/>
        </w:rPr>
      </w:pPr>
      <w:r w:rsidRPr="0B10EE18">
        <w:rPr>
          <w:rFonts w:cs="Arial"/>
        </w:rPr>
        <w:t xml:space="preserve">Revise President Clinton’s </w:t>
      </w:r>
      <w:r w:rsidR="00AB6FEE">
        <w:rPr>
          <w:rFonts w:cs="Arial"/>
        </w:rPr>
        <w:t>EO</w:t>
      </w:r>
      <w:r w:rsidRPr="0B10EE18">
        <w:rPr>
          <w:rFonts w:cs="Arial"/>
        </w:rPr>
        <w:t xml:space="preserve"> 12898; </w:t>
      </w:r>
    </w:p>
    <w:p w14:paraId="3E2BEC1E" w14:textId="77777777" w:rsidR="00C461FB" w:rsidRPr="00C461FB" w:rsidRDefault="00C461FB" w:rsidP="005D2968">
      <w:pPr>
        <w:pStyle w:val="ListParagraph"/>
        <w:numPr>
          <w:ilvl w:val="0"/>
          <w:numId w:val="14"/>
        </w:numPr>
        <w:rPr>
          <w:rFonts w:cs="Arial"/>
        </w:rPr>
      </w:pPr>
      <w:r w:rsidRPr="0B10EE18">
        <w:rPr>
          <w:rFonts w:cs="Arial"/>
        </w:rPr>
        <w:t xml:space="preserve">Direct agencies to develop programs and policies to address the disproportionate health, environmental, economic, and climate impacts on disadvantaged communities; </w:t>
      </w:r>
    </w:p>
    <w:p w14:paraId="540AD62B" w14:textId="77777777" w:rsidR="00C461FB" w:rsidRPr="00C461FB" w:rsidRDefault="00C461FB" w:rsidP="005D2968">
      <w:pPr>
        <w:pStyle w:val="ListParagraph"/>
        <w:numPr>
          <w:ilvl w:val="0"/>
          <w:numId w:val="14"/>
        </w:numPr>
        <w:rPr>
          <w:rFonts w:cs="Arial"/>
        </w:rPr>
      </w:pPr>
      <w:r w:rsidRPr="0B10EE18">
        <w:rPr>
          <w:rFonts w:cs="Arial"/>
        </w:rPr>
        <w:t xml:space="preserve">Direct the federal government to direct 40 percent of investment to disadvantaged communities (the “Justice40” initiative);  </w:t>
      </w:r>
    </w:p>
    <w:p w14:paraId="7788C598" w14:textId="77777777" w:rsidR="00C461FB" w:rsidRPr="00C461FB" w:rsidRDefault="00C461FB" w:rsidP="005D2968">
      <w:pPr>
        <w:pStyle w:val="ListParagraph"/>
        <w:numPr>
          <w:ilvl w:val="0"/>
          <w:numId w:val="14"/>
        </w:numPr>
        <w:rPr>
          <w:rFonts w:cs="Arial"/>
        </w:rPr>
      </w:pPr>
      <w:r w:rsidRPr="0B10EE18">
        <w:rPr>
          <w:rFonts w:cs="Arial"/>
        </w:rPr>
        <w:t xml:space="preserve">Establish a White House Environmental Justice Interagency Council and a White House Environmental Justice Advisory Council to prioritize environmental justice to address current and historical environmental injustices, including strengthening monitoring and enforcement through new or strengthened offices at the EPA, DOJ, and Department of Health and Human Services; </w:t>
      </w:r>
    </w:p>
    <w:p w14:paraId="6D423520" w14:textId="1257FCFE" w:rsidR="00C461FB" w:rsidRPr="00C461FB" w:rsidRDefault="00C461FB" w:rsidP="005D2968">
      <w:pPr>
        <w:pStyle w:val="ListParagraph"/>
        <w:numPr>
          <w:ilvl w:val="0"/>
          <w:numId w:val="14"/>
        </w:numPr>
        <w:rPr>
          <w:rFonts w:cs="Arial"/>
        </w:rPr>
      </w:pPr>
      <w:r w:rsidRPr="0B10EE18">
        <w:rPr>
          <w:rFonts w:cs="Arial"/>
        </w:rPr>
        <w:t>Initiate the development of a Climate and Environmental Justice Screening Tool, building off EPA’s existing EJSCREEN, to inform equitable decision making across the federal government.</w:t>
      </w:r>
    </w:p>
    <w:p w14:paraId="6C38D083" w14:textId="7154A1D0" w:rsidR="00865FF2" w:rsidRPr="00331043" w:rsidRDefault="00865FF2" w:rsidP="00877775">
      <w:pPr>
        <w:pStyle w:val="Heading4"/>
      </w:pPr>
      <w:r w:rsidRPr="00331043">
        <w:t>National Environmental Policy Act</w:t>
      </w:r>
    </w:p>
    <w:p w14:paraId="0A82110C" w14:textId="34AD7A48" w:rsidR="00B13E45" w:rsidRDefault="00B13E45" w:rsidP="00E2493E">
      <w:pPr>
        <w:spacing w:after="0"/>
        <w:textAlignment w:val="center"/>
        <w:rPr>
          <w:rFonts w:eastAsia="Times New Roman" w:cs="Arial"/>
        </w:rPr>
      </w:pPr>
      <w:r>
        <w:rPr>
          <w:rFonts w:eastAsia="Times New Roman" w:cs="Arial"/>
        </w:rPr>
        <w:t xml:space="preserve">The National Environmental Policy Act </w:t>
      </w:r>
      <w:r w:rsidR="009F2738">
        <w:rPr>
          <w:rFonts w:eastAsia="Times New Roman" w:cs="Arial"/>
        </w:rPr>
        <w:t xml:space="preserve">was established in the 1970s by the President’s Council on Environmental Quality. The program </w:t>
      </w:r>
      <w:r w:rsidR="007F0CAC">
        <w:rPr>
          <w:rFonts w:eastAsia="Times New Roman" w:cs="Arial"/>
        </w:rPr>
        <w:t xml:space="preserve">requires Federal agencies to evaluate the environmental </w:t>
      </w:r>
      <w:r w:rsidR="00AD200F">
        <w:rPr>
          <w:rFonts w:eastAsia="Times New Roman" w:cs="Arial"/>
        </w:rPr>
        <w:t xml:space="preserve">impacts </w:t>
      </w:r>
      <w:r w:rsidR="007F0CAC">
        <w:rPr>
          <w:rFonts w:eastAsia="Times New Roman" w:cs="Arial"/>
        </w:rPr>
        <w:t>of their actions and as such applies to any project receiving federal funding.</w:t>
      </w:r>
    </w:p>
    <w:p w14:paraId="216EBB7D" w14:textId="77777777" w:rsidR="007F0CAC" w:rsidRDefault="007F0CAC" w:rsidP="00E2493E">
      <w:pPr>
        <w:spacing w:after="0"/>
        <w:textAlignment w:val="center"/>
        <w:rPr>
          <w:rFonts w:eastAsia="Times New Roman" w:cs="Arial"/>
        </w:rPr>
      </w:pPr>
    </w:p>
    <w:p w14:paraId="68F3F70A" w14:textId="38DB95F0" w:rsidR="00B808DE" w:rsidRDefault="6E5966AC" w:rsidP="00E2493E">
      <w:pPr>
        <w:spacing w:after="0"/>
        <w:textAlignment w:val="center"/>
        <w:rPr>
          <w:rFonts w:eastAsia="Times New Roman" w:cs="Arial"/>
        </w:rPr>
      </w:pPr>
      <w:r w:rsidRPr="12E428E8">
        <w:rPr>
          <w:rFonts w:eastAsia="Times New Roman" w:cs="Arial"/>
        </w:rPr>
        <w:t>In</w:t>
      </w:r>
      <w:r w:rsidR="00865FF2" w:rsidRPr="1382C2E7">
        <w:rPr>
          <w:rFonts w:eastAsia="Times New Roman" w:cs="Arial"/>
        </w:rPr>
        <w:t xml:space="preserve"> July 2020, CEQ finalized </w:t>
      </w:r>
      <w:hyperlink r:id="rId47">
        <w:r w:rsidR="00865FF2" w:rsidRPr="1382C2E7">
          <w:rPr>
            <w:rFonts w:cs="Arial"/>
          </w:rPr>
          <w:t>revisions</w:t>
        </w:r>
      </w:hyperlink>
      <w:r w:rsidR="00865FF2" w:rsidRPr="1382C2E7">
        <w:rPr>
          <w:rFonts w:eastAsia="Times New Roman" w:cs="Arial"/>
        </w:rPr>
        <w:t xml:space="preserve"> to its NEPA regulations</w:t>
      </w:r>
      <w:r w:rsidR="00597D0B">
        <w:rPr>
          <w:rFonts w:eastAsia="Times New Roman" w:cs="Arial"/>
        </w:rPr>
        <w:t xml:space="preserve"> intending</w:t>
      </w:r>
      <w:r w:rsidR="00865FF2" w:rsidRPr="1382C2E7">
        <w:rPr>
          <w:rFonts w:eastAsia="Times New Roman" w:cs="Arial"/>
        </w:rPr>
        <w:t xml:space="preserve"> to streamline the NEPA review process, reduce the scope and length of NEPA analyses, and clarify important NEPA concepts to facilitate more efficient, effective, and timely NEPA reviews by Federal agencies in connection with proposals for agency action. </w:t>
      </w:r>
    </w:p>
    <w:p w14:paraId="547582A8" w14:textId="3F452476" w:rsidR="3DD3C9CC" w:rsidRDefault="3DD3C9CC" w:rsidP="3DD3C9CC">
      <w:pPr>
        <w:spacing w:after="0"/>
        <w:rPr>
          <w:rFonts w:eastAsia="Calibri" w:cs="Arial"/>
          <w:szCs w:val="24"/>
        </w:rPr>
      </w:pPr>
    </w:p>
    <w:p w14:paraId="12845369" w14:textId="7D0EEAD6" w:rsidR="00A94565" w:rsidRDefault="00EE5615" w:rsidP="7C65C0B8">
      <w:pPr>
        <w:spacing w:after="0"/>
        <w:rPr>
          <w:rFonts w:eastAsia="Calibri" w:cs="Arial"/>
        </w:rPr>
      </w:pPr>
      <w:r>
        <w:rPr>
          <w:rFonts w:eastAsia="Calibri" w:cs="Arial"/>
        </w:rPr>
        <w:t xml:space="preserve">CEQ is </w:t>
      </w:r>
      <w:r w:rsidR="003110E2">
        <w:rPr>
          <w:rFonts w:eastAsia="Calibri" w:cs="Arial"/>
        </w:rPr>
        <w:t xml:space="preserve">reviewing the 2020 NEPA regulations </w:t>
      </w:r>
      <w:r w:rsidR="003110E2">
        <w:rPr>
          <w:rFonts w:eastAsia="Arial" w:cs="Arial"/>
          <w:color w:val="000000" w:themeColor="text1"/>
          <w:szCs w:val="24"/>
        </w:rPr>
        <w:t>under the Biden Administration’s EO 13990</w:t>
      </w:r>
      <w:r w:rsidR="00537482">
        <w:rPr>
          <w:rFonts w:eastAsia="Arial" w:cs="Arial"/>
          <w:color w:val="000000" w:themeColor="text1"/>
          <w:szCs w:val="24"/>
        </w:rPr>
        <w:t xml:space="preserve"> and expects a phased approach to revi</w:t>
      </w:r>
      <w:r w:rsidR="006700B7">
        <w:rPr>
          <w:rFonts w:eastAsia="Arial" w:cs="Arial"/>
          <w:color w:val="000000" w:themeColor="text1"/>
          <w:szCs w:val="24"/>
        </w:rPr>
        <w:t>sing the regulations.</w:t>
      </w:r>
      <w:r w:rsidR="003110E2">
        <w:rPr>
          <w:rFonts w:eastAsia="Arial" w:cs="Arial"/>
          <w:color w:val="000000" w:themeColor="text1"/>
          <w:szCs w:val="24"/>
        </w:rPr>
        <w:t xml:space="preserve"> </w:t>
      </w:r>
      <w:r w:rsidR="00DF6F03">
        <w:rPr>
          <w:rFonts w:eastAsia="Calibri" w:cs="Arial"/>
        </w:rPr>
        <w:t>In October 2021, CE</w:t>
      </w:r>
      <w:r w:rsidR="00A94565">
        <w:rPr>
          <w:rFonts w:eastAsia="Calibri" w:cs="Arial"/>
        </w:rPr>
        <w:t>Q published a proposed rule consisting of narrow set of proposed changes generally reversing actions in the 2020 NEPA regulations.</w:t>
      </w:r>
      <w:r w:rsidR="00BB6F73">
        <w:rPr>
          <w:rFonts w:eastAsia="Calibri" w:cs="Arial"/>
        </w:rPr>
        <w:t xml:space="preserve"> </w:t>
      </w:r>
    </w:p>
    <w:p w14:paraId="670E9664" w14:textId="77777777" w:rsidR="00865FF2" w:rsidRDefault="00865FF2" w:rsidP="00865FF2">
      <w:pPr>
        <w:spacing w:after="0"/>
        <w:rPr>
          <w:rFonts w:cs="Arial"/>
          <w:b/>
          <w:bCs/>
          <w:color w:val="000080"/>
          <w:szCs w:val="24"/>
        </w:rPr>
      </w:pPr>
    </w:p>
    <w:p w14:paraId="35AC5631" w14:textId="4B8AEA94" w:rsidR="00865FF2" w:rsidRPr="00511B4E" w:rsidRDefault="00865FF2" w:rsidP="00877775">
      <w:pPr>
        <w:pStyle w:val="Heading4"/>
        <w:rPr>
          <w:rFonts w:cs="Arial"/>
          <w:color w:val="000080"/>
          <w:szCs w:val="24"/>
        </w:rPr>
      </w:pPr>
      <w:r w:rsidRPr="00511B4E">
        <w:t>Endangered Species Act</w:t>
      </w:r>
    </w:p>
    <w:p w14:paraId="2F7363CD" w14:textId="37291CCD" w:rsidR="00865FF2" w:rsidRDefault="00865FF2" w:rsidP="00865FF2">
      <w:pPr>
        <w:spacing w:after="0"/>
        <w:rPr>
          <w:rFonts w:eastAsia="Times New Roman" w:cs="Arial"/>
          <w:szCs w:val="24"/>
        </w:rPr>
      </w:pPr>
      <w:r w:rsidRPr="00511B4E">
        <w:rPr>
          <w:rFonts w:eastAsia="Times New Roman" w:cs="Arial"/>
          <w:szCs w:val="24"/>
        </w:rPr>
        <w:t>The purpose of the ESA</w:t>
      </w:r>
      <w:r w:rsidR="00495BE7">
        <w:rPr>
          <w:rFonts w:eastAsia="Times New Roman" w:cs="Arial"/>
          <w:szCs w:val="24"/>
        </w:rPr>
        <w:t xml:space="preserve"> </w:t>
      </w:r>
      <w:r w:rsidRPr="00511B4E">
        <w:rPr>
          <w:rFonts w:eastAsia="Times New Roman" w:cs="Arial"/>
          <w:szCs w:val="24"/>
        </w:rPr>
        <w:t>is to protect and recover imperiled species and the ecosystems upon which they depend. The ESA is administered by the USFWS and the Commerce Department's NMFS</w:t>
      </w:r>
      <w:r w:rsidRPr="0AF8DB6F">
        <w:rPr>
          <w:rFonts w:eastAsia="Times New Roman" w:cs="Arial"/>
          <w:szCs w:val="24"/>
        </w:rPr>
        <w:t>.</w:t>
      </w:r>
      <w:r w:rsidRPr="00511B4E">
        <w:rPr>
          <w:rFonts w:eastAsia="Times New Roman" w:cs="Arial"/>
          <w:szCs w:val="24"/>
        </w:rPr>
        <w:t xml:space="preserve"> </w:t>
      </w:r>
    </w:p>
    <w:p w14:paraId="427EC69D" w14:textId="77777777" w:rsidR="00644F49" w:rsidRPr="00511B4E" w:rsidRDefault="00644F49" w:rsidP="00865FF2">
      <w:pPr>
        <w:spacing w:after="0"/>
        <w:rPr>
          <w:rFonts w:eastAsia="Times New Roman" w:cs="Arial"/>
          <w:szCs w:val="24"/>
        </w:rPr>
      </w:pPr>
    </w:p>
    <w:p w14:paraId="40C9EDEA" w14:textId="1322957D" w:rsidR="00865FF2" w:rsidRPr="000E0EB9" w:rsidRDefault="00865FF2" w:rsidP="00865FF2">
      <w:pPr>
        <w:spacing w:after="0"/>
        <w:rPr>
          <w:rFonts w:eastAsia="Times New Roman" w:cs="Arial"/>
          <w:szCs w:val="24"/>
        </w:rPr>
      </w:pPr>
      <w:r>
        <w:rPr>
          <w:rFonts w:eastAsia="Times New Roman" w:cs="Arial"/>
          <w:szCs w:val="24"/>
        </w:rPr>
        <w:t>I</w:t>
      </w:r>
      <w:r w:rsidRPr="4149E082">
        <w:rPr>
          <w:rFonts w:eastAsia="Times New Roman" w:cs="Arial"/>
          <w:szCs w:val="24"/>
        </w:rPr>
        <w:t xml:space="preserve">n December 2020, the USFWS and the NMFS published the final rule defining “habitat” </w:t>
      </w:r>
      <w:r w:rsidR="00644F49" w:rsidRPr="4149E082">
        <w:rPr>
          <w:rFonts w:eastAsia="Times New Roman" w:cs="Arial"/>
          <w:szCs w:val="24"/>
        </w:rPr>
        <w:t>under</w:t>
      </w:r>
      <w:r w:rsidR="004109C8">
        <w:rPr>
          <w:rFonts w:eastAsia="Times New Roman" w:cs="Arial"/>
          <w:szCs w:val="24"/>
        </w:rPr>
        <w:t xml:space="preserve"> the</w:t>
      </w:r>
      <w:r w:rsidR="00644F49" w:rsidRPr="4149E082">
        <w:rPr>
          <w:rFonts w:eastAsia="Times New Roman" w:cs="Arial"/>
          <w:szCs w:val="24"/>
        </w:rPr>
        <w:t xml:space="preserve"> ESA</w:t>
      </w:r>
      <w:r w:rsidR="00644F49" w:rsidRPr="000E0EB9">
        <w:rPr>
          <w:rFonts w:eastAsia="Times New Roman" w:cs="Arial"/>
          <w:szCs w:val="24"/>
        </w:rPr>
        <w:t xml:space="preserve"> in the wake of </w:t>
      </w:r>
      <w:r w:rsidR="00644F49">
        <w:rPr>
          <w:rFonts w:eastAsia="Times New Roman" w:cs="Arial"/>
          <w:szCs w:val="24"/>
        </w:rPr>
        <w:t xml:space="preserve">the </w:t>
      </w:r>
      <w:r w:rsidR="00644F49" w:rsidRPr="6B962019">
        <w:rPr>
          <w:rFonts w:eastAsia="Times New Roman" w:cs="Arial"/>
          <w:szCs w:val="24"/>
        </w:rPr>
        <w:t xml:space="preserve">U.S. </w:t>
      </w:r>
      <w:r w:rsidR="00644F49">
        <w:rPr>
          <w:rFonts w:eastAsia="Times New Roman" w:cs="Arial"/>
          <w:szCs w:val="24"/>
        </w:rPr>
        <w:t>Supreme Court’s decision in</w:t>
      </w:r>
      <w:r w:rsidR="00644F49" w:rsidRPr="000E0EB9">
        <w:rPr>
          <w:rFonts w:eastAsia="Times New Roman" w:cs="Arial"/>
          <w:szCs w:val="24"/>
        </w:rPr>
        <w:t xml:space="preserve"> </w:t>
      </w:r>
      <w:r w:rsidR="00644F49" w:rsidRPr="00A717EC">
        <w:rPr>
          <w:rFonts w:eastAsia="Times New Roman" w:cs="Arial"/>
          <w:i/>
          <w:szCs w:val="24"/>
        </w:rPr>
        <w:t>Weyerhaeuser Company v. United States Fish and Wildlife Service</w:t>
      </w:r>
      <w:r w:rsidR="00644F49" w:rsidRPr="6B962019">
        <w:rPr>
          <w:rFonts w:eastAsia="Times New Roman" w:cs="Arial"/>
          <w:i/>
          <w:iCs/>
          <w:szCs w:val="24"/>
        </w:rPr>
        <w:t xml:space="preserve">. </w:t>
      </w:r>
      <w:r w:rsidR="00644F49" w:rsidRPr="6B962019">
        <w:rPr>
          <w:rFonts w:eastAsia="Times New Roman" w:cs="Arial"/>
          <w:szCs w:val="24"/>
        </w:rPr>
        <w:t>In that case,</w:t>
      </w:r>
      <w:r w:rsidR="00644F49">
        <w:rPr>
          <w:rFonts w:eastAsia="Times New Roman" w:cs="Arial"/>
          <w:szCs w:val="24"/>
        </w:rPr>
        <w:t xml:space="preserve"> the </w:t>
      </w:r>
      <w:r w:rsidR="00644F49" w:rsidRPr="6B962019">
        <w:rPr>
          <w:rFonts w:eastAsia="Times New Roman" w:cs="Arial"/>
          <w:szCs w:val="24"/>
        </w:rPr>
        <w:t xml:space="preserve">Court </w:t>
      </w:r>
      <w:r w:rsidR="00644F49">
        <w:rPr>
          <w:rFonts w:eastAsia="Times New Roman" w:cs="Arial"/>
          <w:szCs w:val="24"/>
        </w:rPr>
        <w:t>concluded that an area must first be “habitat” before it can be designated “critical habitat”. A critical habitat designation carries with it certain obligations to protect the area and its threatened or endangered species in the event that permits are sought</w:t>
      </w:r>
      <w:r w:rsidR="00152018">
        <w:rPr>
          <w:rFonts w:eastAsia="Times New Roman" w:cs="Arial"/>
          <w:szCs w:val="24"/>
        </w:rPr>
        <w:t xml:space="preserve"> for new </w:t>
      </w:r>
      <w:r w:rsidR="006C7A1F">
        <w:rPr>
          <w:rFonts w:eastAsia="Times New Roman" w:cs="Arial"/>
          <w:szCs w:val="24"/>
        </w:rPr>
        <w:t>construction</w:t>
      </w:r>
      <w:r w:rsidR="00D14A03">
        <w:rPr>
          <w:rFonts w:eastAsia="Times New Roman" w:cs="Arial"/>
          <w:szCs w:val="24"/>
        </w:rPr>
        <w:t xml:space="preserve"> related to new generation siting </w:t>
      </w:r>
      <w:r w:rsidR="004524DC">
        <w:rPr>
          <w:rFonts w:eastAsia="Times New Roman" w:cs="Arial"/>
          <w:szCs w:val="24"/>
        </w:rPr>
        <w:t>and/or power delivery</w:t>
      </w:r>
      <w:r w:rsidR="00644F49" w:rsidRPr="000E0EB9">
        <w:rPr>
          <w:rFonts w:eastAsia="Times New Roman" w:cs="Arial"/>
          <w:szCs w:val="24"/>
        </w:rPr>
        <w:t>.</w:t>
      </w:r>
    </w:p>
    <w:p w14:paraId="1DB909D8" w14:textId="77777777" w:rsidR="00865FF2" w:rsidRDefault="00865FF2" w:rsidP="00865FF2">
      <w:pPr>
        <w:spacing w:after="0"/>
        <w:rPr>
          <w:rFonts w:eastAsia="Times New Roman" w:cs="Arial"/>
          <w:szCs w:val="24"/>
        </w:rPr>
      </w:pPr>
    </w:p>
    <w:p w14:paraId="5EBB6328" w14:textId="396A54AA" w:rsidR="00865FF2" w:rsidRDefault="00865FF2" w:rsidP="00865FF2">
      <w:pPr>
        <w:spacing w:after="0"/>
        <w:rPr>
          <w:rFonts w:cs="Arial"/>
        </w:rPr>
      </w:pPr>
      <w:r w:rsidRPr="637AF974">
        <w:rPr>
          <w:rFonts w:cs="Arial"/>
        </w:rPr>
        <w:t xml:space="preserve">On December 18, 2020, the USFWS published a final rule revising the ESA Section 4(b)(2), which outlined the framework for analysis of whether to exclude certain areas when designating critical habitat. Under the final rule, every proposal for designating critical habitat will be accompanied by a draft economic analysis where the USFWS will identify areas that may be excluded from the designation.  </w:t>
      </w:r>
    </w:p>
    <w:p w14:paraId="35D005A2" w14:textId="48432A6A" w:rsidR="637AF974" w:rsidRDefault="637AF974" w:rsidP="637AF974">
      <w:pPr>
        <w:spacing w:after="0"/>
        <w:rPr>
          <w:rFonts w:eastAsia="Calibri" w:cs="Arial"/>
          <w:szCs w:val="24"/>
        </w:rPr>
      </w:pPr>
    </w:p>
    <w:p w14:paraId="42C881BB" w14:textId="7F4AF08C" w:rsidR="00547702" w:rsidRDefault="20E34026" w:rsidP="00060885">
      <w:pPr>
        <w:spacing w:after="0"/>
        <w:rPr>
          <w:rFonts w:cs="Arial"/>
        </w:rPr>
      </w:pPr>
      <w:r w:rsidRPr="6FEE13D0">
        <w:rPr>
          <w:rFonts w:cs="Arial"/>
        </w:rPr>
        <w:t>In</w:t>
      </w:r>
      <w:r w:rsidRPr="637AF974">
        <w:rPr>
          <w:rFonts w:cs="Arial"/>
        </w:rPr>
        <w:t xml:space="preserve"> June 2021 the </w:t>
      </w:r>
      <w:r w:rsidR="008D4BFC">
        <w:rPr>
          <w:rFonts w:cs="Arial"/>
        </w:rPr>
        <w:t>US</w:t>
      </w:r>
      <w:r w:rsidRPr="637AF974">
        <w:rPr>
          <w:rFonts w:cs="Arial"/>
        </w:rPr>
        <w:t>FWS and the NMFS announced their intention to initiate rulemaking in the coming months to revise, rescind, or reinstate five ESA regulations finalized by the Trump administration.</w:t>
      </w:r>
    </w:p>
    <w:p w14:paraId="78FB2DC2" w14:textId="77777777" w:rsidR="00060885" w:rsidRDefault="00060885" w:rsidP="00060885">
      <w:pPr>
        <w:spacing w:after="0"/>
        <w:rPr>
          <w:rFonts w:cs="Arial"/>
        </w:rPr>
      </w:pPr>
    </w:p>
    <w:p w14:paraId="11AC4BAE" w14:textId="5C6C1B34" w:rsidR="00547702" w:rsidRDefault="006D2C91" w:rsidP="00877775">
      <w:pPr>
        <w:pStyle w:val="Heading4"/>
      </w:pPr>
      <w:r>
        <w:t>Procedural Updates</w:t>
      </w:r>
    </w:p>
    <w:p w14:paraId="6421C39F" w14:textId="4EB7FBD8" w:rsidR="00F744B6" w:rsidRDefault="00876BF4" w:rsidP="00877775">
      <w:pPr>
        <w:rPr>
          <w:rFonts w:cs="Arial"/>
        </w:rPr>
      </w:pPr>
      <w:r>
        <w:rPr>
          <w:rFonts w:cs="Arial"/>
        </w:rPr>
        <w:t xml:space="preserve">In </w:t>
      </w:r>
      <w:r w:rsidR="00547702" w:rsidRPr="0B10EE18">
        <w:rPr>
          <w:rFonts w:cs="Arial"/>
        </w:rPr>
        <w:t xml:space="preserve">May 2021 EPA published in the Federal Register a final rule </w:t>
      </w:r>
      <w:r w:rsidR="00A93B8D">
        <w:rPr>
          <w:rFonts w:cs="Arial"/>
        </w:rPr>
        <w:t>“</w:t>
      </w:r>
      <w:r w:rsidR="00547702" w:rsidRPr="0B10EE18">
        <w:rPr>
          <w:rFonts w:cs="Arial"/>
        </w:rPr>
        <w:t>Rescinding Procedures for Issuing and Modifying Guidance Documents</w:t>
      </w:r>
      <w:r w:rsidR="00A93B8D">
        <w:rPr>
          <w:rFonts w:cs="Arial"/>
        </w:rPr>
        <w:t>”</w:t>
      </w:r>
      <w:r w:rsidR="00547702" w:rsidRPr="0B10EE18">
        <w:rPr>
          <w:rFonts w:cs="Arial"/>
        </w:rPr>
        <w:t xml:space="preserve"> that will allow the Agency to act with more speed and flexibility than previously possible. This final rule specifically rescinds a Trump administration rule which established certain formal procedures for issuing, modifying, and withdrawing guidance documents. Because EPA determined that the final rule is procedural rather than substantive, the final rule is effective immediately upon publication in the Federal Register</w:t>
      </w:r>
      <w:r w:rsidR="4A9916CE" w:rsidRPr="052718DD">
        <w:rPr>
          <w:rFonts w:cs="Arial"/>
        </w:rPr>
        <w:t xml:space="preserve"> and is now final</w:t>
      </w:r>
      <w:r w:rsidR="00AC5C2D">
        <w:rPr>
          <w:rFonts w:cs="Arial"/>
        </w:rPr>
        <w:t>.</w:t>
      </w:r>
      <w:r w:rsidR="00F744B6">
        <w:rPr>
          <w:rFonts w:cs="Arial"/>
        </w:rPr>
        <w:br w:type="page"/>
      </w:r>
    </w:p>
    <w:p w14:paraId="6F338151" w14:textId="34250FB0" w:rsidR="00E40C99" w:rsidRPr="00E06ACC" w:rsidRDefault="00FB5F70" w:rsidP="00F9508B">
      <w:pPr>
        <w:pStyle w:val="Heading1"/>
      </w:pPr>
      <w:bookmarkStart w:id="55" w:name="_Toc94197904"/>
      <w:r w:rsidRPr="00983F96">
        <w:t>4.0</w:t>
      </w:r>
      <w:r w:rsidR="00C337A3" w:rsidRPr="0059405C">
        <w:t xml:space="preserve"> </w:t>
      </w:r>
      <w:r w:rsidRPr="0059405C">
        <w:t>Strategy Results and Financial Summary</w:t>
      </w:r>
      <w:bookmarkEnd w:id="55"/>
    </w:p>
    <w:p w14:paraId="424A3C14" w14:textId="7A27F743" w:rsidR="00655F16" w:rsidRDefault="00655F16" w:rsidP="008025DB">
      <w:r w:rsidRPr="00DB7156">
        <w:t xml:space="preserve">Georgia Power </w:t>
      </w:r>
      <w:r>
        <w:t>continues to</w:t>
      </w:r>
      <w:r w:rsidRPr="00DB7156">
        <w:t xml:space="preserve"> face a host of new environmental regulations and requirements as described in Section </w:t>
      </w:r>
      <w:r w:rsidR="00822E76">
        <w:t>3</w:t>
      </w:r>
      <w:r w:rsidRPr="00DB7156">
        <w:t xml:space="preserve">.0. </w:t>
      </w:r>
      <w:r>
        <w:t>C</w:t>
      </w:r>
      <w:r w:rsidRPr="00DB7156">
        <w:t>onsistently</w:t>
      </w:r>
      <w:r>
        <w:t>, the Company</w:t>
      </w:r>
      <w:r w:rsidR="00C20BE7">
        <w:t xml:space="preserve"> </w:t>
      </w:r>
      <w:r w:rsidR="00C20BE7" w:rsidDel="00141E5C">
        <w:t>has</w:t>
      </w:r>
      <w:r w:rsidRPr="00DB7156" w:rsidDel="00141E5C">
        <w:t xml:space="preserve"> responded</w:t>
      </w:r>
      <w:r w:rsidRPr="00DB7156">
        <w:t xml:space="preserve"> with a timely</w:t>
      </w:r>
      <w:r>
        <w:t>, comprehensive, and</w:t>
      </w:r>
      <w:r w:rsidRPr="00DB7156">
        <w:t xml:space="preserve"> cost-effective strategy</w:t>
      </w:r>
      <w:r>
        <w:t>, allowing our facilities to meet the needs of customers</w:t>
      </w:r>
      <w:r w:rsidR="00FA26DB">
        <w:t xml:space="preserve"> while maintain</w:t>
      </w:r>
      <w:r w:rsidR="00675A09">
        <w:t>ing</w:t>
      </w:r>
      <w:r w:rsidR="00FA26DB">
        <w:t xml:space="preserve"> compliance </w:t>
      </w:r>
      <w:r w:rsidR="006555E2">
        <w:t xml:space="preserve">stemming from a dynamic environmental regulatory </w:t>
      </w:r>
      <w:r w:rsidR="711F0986">
        <w:t>landscape</w:t>
      </w:r>
      <w:r w:rsidR="27021D9C">
        <w:t>.</w:t>
      </w:r>
    </w:p>
    <w:p w14:paraId="339000AA" w14:textId="4BA3C281" w:rsidR="00655F16" w:rsidRPr="009A31F0" w:rsidRDefault="00F41314" w:rsidP="008025DB">
      <w:pPr>
        <w:rPr>
          <w:rFonts w:cs="Arial"/>
        </w:rPr>
      </w:pPr>
      <w:r>
        <w:t>T</w:t>
      </w:r>
      <w:r w:rsidR="00655F16" w:rsidRPr="00DB7156">
        <w:t xml:space="preserve">he Company’s </w:t>
      </w:r>
      <w:r w:rsidR="00896D84">
        <w:t xml:space="preserve">current </w:t>
      </w:r>
      <w:r w:rsidR="00655F16" w:rsidRPr="00DB7156">
        <w:t xml:space="preserve">environmental compliance strategy </w:t>
      </w:r>
      <w:r w:rsidR="00BE550A">
        <w:t>is focused on operation and compliance activities related to air quality regulations</w:t>
      </w:r>
      <w:r w:rsidR="00BE550A" w:rsidDel="00896D84">
        <w:t xml:space="preserve"> </w:t>
      </w:r>
      <w:r w:rsidR="00BE550A">
        <w:t xml:space="preserve">and </w:t>
      </w:r>
      <w:r w:rsidR="00655F16" w:rsidRPr="00DB7156">
        <w:t xml:space="preserve">increasing and significant regulations governing water resources and solid waste management. </w:t>
      </w:r>
      <w:r w:rsidR="00571AC9">
        <w:t xml:space="preserve"> </w:t>
      </w:r>
    </w:p>
    <w:p w14:paraId="7B768332" w14:textId="4D91EF85" w:rsidR="00B67BA9" w:rsidRPr="00E856E6" w:rsidRDefault="00FB5F70" w:rsidP="00CE151D">
      <w:pPr>
        <w:pStyle w:val="Heading2"/>
      </w:pPr>
      <w:bookmarkStart w:id="56" w:name="_Toc94197905"/>
      <w:r w:rsidRPr="00E856E6">
        <w:t>4.</w:t>
      </w:r>
      <w:r w:rsidR="00B67BA9" w:rsidRPr="00E856E6">
        <w:t>1</w:t>
      </w:r>
      <w:r w:rsidR="00C337A3" w:rsidRPr="00E856E6">
        <w:t xml:space="preserve"> </w:t>
      </w:r>
      <w:r w:rsidR="00B67BA9" w:rsidRPr="00E856E6">
        <w:t>Air Compliance Strategy Review</w:t>
      </w:r>
      <w:bookmarkEnd w:id="56"/>
      <w:r w:rsidR="00336247" w:rsidRPr="00E856E6">
        <w:tab/>
      </w:r>
    </w:p>
    <w:p w14:paraId="4B1A6F09" w14:textId="4E43FE96" w:rsidR="00336247" w:rsidRPr="00DB7156" w:rsidRDefault="00336247" w:rsidP="008025DB">
      <w:r w:rsidRPr="00DB7156">
        <w:t xml:space="preserve">The emission reductions Georgia Power has achieved to date have been driven by the need to comply with many state </w:t>
      </w:r>
      <w:r w:rsidR="00FB2659">
        <w:t xml:space="preserve">and federal </w:t>
      </w:r>
      <w:r w:rsidRPr="00DB7156">
        <w:t>regulations focused on SO</w:t>
      </w:r>
      <w:r w:rsidRPr="00DB7156">
        <w:rPr>
          <w:vertAlign w:val="subscript"/>
        </w:rPr>
        <w:t>2</w:t>
      </w:r>
      <w:r w:rsidRPr="00DB7156">
        <w:t xml:space="preserve"> and NO</w:t>
      </w:r>
      <w:r w:rsidRPr="00DB7156">
        <w:rPr>
          <w:vertAlign w:val="subscript"/>
        </w:rPr>
        <w:t>X</w:t>
      </w:r>
      <w:r w:rsidRPr="00DB7156">
        <w:t xml:space="preserve"> emissions from power plants, including the Acid Rain Program, CSAPR, </w:t>
      </w:r>
      <w:r w:rsidR="00A73829">
        <w:t xml:space="preserve">Regional Haze </w:t>
      </w:r>
      <w:r w:rsidR="002E54B8">
        <w:t>Rule</w:t>
      </w:r>
      <w:r w:rsidRPr="00DB7156">
        <w:t xml:space="preserve">, and state regulations designed to achieve attainment with the ozone and PM NAAQS. In addition, state and federal regulations, such as the Georgia Multipollutant Rule and MATS, </w:t>
      </w:r>
      <w:r w:rsidR="0EFF0732" w:rsidRPr="55C7DE95">
        <w:t>have</w:t>
      </w:r>
      <w:r w:rsidRPr="00DB7156">
        <w:t xml:space="preserve"> also required reductions in emissions of mercury and other HAPs </w:t>
      </w:r>
      <w:r>
        <w:t>through installation of controls on</w:t>
      </w:r>
      <w:r w:rsidR="00414BC1">
        <w:t>, and the retirement of,</w:t>
      </w:r>
      <w:r>
        <w:t xml:space="preserve"> the Company’s</w:t>
      </w:r>
      <w:r w:rsidRPr="00DB7156">
        <w:t xml:space="preserve"> power plants.</w:t>
      </w:r>
    </w:p>
    <w:p w14:paraId="4E7212B5" w14:textId="300445CB" w:rsidR="00B41EE7" w:rsidRDefault="00336247" w:rsidP="008025DB">
      <w:pPr>
        <w:rPr>
          <w:rFonts w:cs="Arial"/>
          <w:b/>
        </w:rPr>
      </w:pPr>
      <w:r w:rsidRPr="00DB7156">
        <w:t xml:space="preserve">Table </w:t>
      </w:r>
      <w:r w:rsidRPr="0025435D">
        <w:t>4.1-1</w:t>
      </w:r>
      <w:r w:rsidRPr="00DB7156">
        <w:t xml:space="preserve"> (below) summarizes the </w:t>
      </w:r>
      <w:r w:rsidR="00345DCD">
        <w:t xml:space="preserve">air </w:t>
      </w:r>
      <w:r w:rsidRPr="00DB7156">
        <w:t xml:space="preserve">emissions control equipment installed at Georgia Power’s </w:t>
      </w:r>
      <w:r w:rsidR="00077587">
        <w:t xml:space="preserve">gas- and coal-fired steam </w:t>
      </w:r>
      <w:r w:rsidR="00342240">
        <w:t xml:space="preserve">and combined-cycle </w:t>
      </w:r>
      <w:r w:rsidR="00077587">
        <w:t>generating</w:t>
      </w:r>
      <w:r w:rsidRPr="00DB7156">
        <w:t xml:space="preserve"> units since the 1990 </w:t>
      </w:r>
      <w:r>
        <w:t>CAAA</w:t>
      </w:r>
      <w:r w:rsidRPr="00DB7156">
        <w:t xml:space="preserve">. </w:t>
      </w:r>
      <w:r>
        <w:t xml:space="preserve">Continuing to operate the control equipment, as required to remain in compliance with the applicable rules, requires ongoing operation and maintenance expenditures. </w:t>
      </w:r>
    </w:p>
    <w:p w14:paraId="22AD4496" w14:textId="25E1C417" w:rsidR="00CD566A" w:rsidRDefault="00CD566A" w:rsidP="009C7652">
      <w:pPr>
        <w:spacing w:after="160"/>
        <w:jc w:val="left"/>
        <w:rPr>
          <w:rFonts w:cs="Arial"/>
          <w:b/>
          <w:bCs/>
          <w:szCs w:val="24"/>
        </w:rPr>
      </w:pPr>
      <w:r>
        <w:rPr>
          <w:rFonts w:cs="Arial"/>
          <w:b/>
          <w:bCs/>
          <w:szCs w:val="24"/>
        </w:rPr>
        <w:br w:type="page"/>
      </w:r>
    </w:p>
    <w:p w14:paraId="612C64C5" w14:textId="77777777" w:rsidR="00B41EE7" w:rsidRDefault="00B41EE7" w:rsidP="0025435D">
      <w:pPr>
        <w:tabs>
          <w:tab w:val="left" w:pos="450"/>
        </w:tabs>
        <w:spacing w:after="0"/>
        <w:rPr>
          <w:rFonts w:cs="Arial"/>
          <w:b/>
          <w:bCs/>
          <w:szCs w:val="24"/>
        </w:rPr>
      </w:pPr>
    </w:p>
    <w:p w14:paraId="5BAA7325" w14:textId="36CC8E1D" w:rsidR="00254F7E" w:rsidRDefault="0025435D" w:rsidP="0025435D">
      <w:pPr>
        <w:tabs>
          <w:tab w:val="left" w:pos="450"/>
        </w:tabs>
        <w:spacing w:after="0"/>
        <w:rPr>
          <w:rFonts w:cs="Arial"/>
          <w:b/>
          <w:bCs/>
          <w:szCs w:val="24"/>
        </w:rPr>
      </w:pPr>
      <w:r w:rsidRPr="000A26A5">
        <w:rPr>
          <w:rFonts w:cs="Arial"/>
          <w:b/>
          <w:bCs/>
          <w:szCs w:val="24"/>
        </w:rPr>
        <w:t>Table 4.1-1 Current Emissions Control Equipment</w:t>
      </w:r>
    </w:p>
    <w:p w14:paraId="4945EEE8" w14:textId="77777777" w:rsidR="00254F7E" w:rsidRDefault="00254F7E" w:rsidP="0025435D">
      <w:pPr>
        <w:tabs>
          <w:tab w:val="left" w:pos="450"/>
        </w:tabs>
        <w:spacing w:after="0"/>
        <w:rPr>
          <w:rFonts w:cs="Arial"/>
          <w:b/>
          <w:bCs/>
          <w:szCs w:val="24"/>
        </w:rPr>
      </w:pPr>
    </w:p>
    <w:tbl>
      <w:tblPr>
        <w:tblW w:w="9487" w:type="dxa"/>
        <w:tblLook w:val="04A0" w:firstRow="1" w:lastRow="0" w:firstColumn="1" w:lastColumn="0" w:noHBand="0" w:noVBand="1"/>
      </w:tblPr>
      <w:tblGrid>
        <w:gridCol w:w="2183"/>
        <w:gridCol w:w="2090"/>
        <w:gridCol w:w="1875"/>
        <w:gridCol w:w="1231"/>
        <w:gridCol w:w="2108"/>
      </w:tblGrid>
      <w:tr w:rsidR="00254F7E" w:rsidRPr="00254F7E" w14:paraId="65F4F2EE" w14:textId="77777777" w:rsidTr="70288685">
        <w:trPr>
          <w:cantSplit/>
          <w:trHeight w:val="1361"/>
        </w:trPr>
        <w:tc>
          <w:tcPr>
            <w:tcW w:w="2183" w:type="dxa"/>
            <w:tcBorders>
              <w:top w:val="single" w:sz="8" w:space="0" w:color="ADADAD" w:themeColor="background2" w:themeShade="BF"/>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E8E8E8" w:themeFill="background2"/>
            <w:noWrap/>
            <w:vAlign w:val="center"/>
            <w:hideMark/>
          </w:tcPr>
          <w:p w14:paraId="40936F75" w14:textId="77777777" w:rsidR="00254F7E" w:rsidRPr="00254F7E" w:rsidRDefault="00254F7E" w:rsidP="00254F7E">
            <w:pPr>
              <w:spacing w:after="0"/>
              <w:rPr>
                <w:rFonts w:eastAsia="Times New Roman" w:cs="Arial"/>
                <w:b/>
                <w:bCs/>
                <w:color w:val="000000"/>
                <w:szCs w:val="24"/>
              </w:rPr>
            </w:pPr>
            <w:r w:rsidRPr="00254F7E">
              <w:rPr>
                <w:rFonts w:eastAsia="Times New Roman" w:cs="Arial"/>
                <w:b/>
                <w:bCs/>
                <w:color w:val="000000"/>
                <w:szCs w:val="24"/>
              </w:rPr>
              <w:t>Unit</w:t>
            </w:r>
          </w:p>
        </w:tc>
        <w:tc>
          <w:tcPr>
            <w:tcW w:w="2090" w:type="dxa"/>
            <w:tcBorders>
              <w:top w:val="single" w:sz="8" w:space="0" w:color="ADADAD" w:themeColor="background2" w:themeShade="BF"/>
              <w:left w:val="nil"/>
              <w:bottom w:val="single" w:sz="8" w:space="0" w:color="ADADAD" w:themeColor="background2" w:themeShade="BF"/>
              <w:right w:val="single" w:sz="8" w:space="0" w:color="ADADAD" w:themeColor="background2" w:themeShade="BF"/>
            </w:tcBorders>
            <w:shd w:val="clear" w:color="auto" w:fill="E8E8E8" w:themeFill="background2"/>
            <w:vAlign w:val="center"/>
            <w:hideMark/>
          </w:tcPr>
          <w:p w14:paraId="7327C201" w14:textId="77777777" w:rsidR="00254F7E" w:rsidRPr="00254F7E" w:rsidRDefault="00254F7E" w:rsidP="00254F7E">
            <w:pPr>
              <w:spacing w:after="0"/>
              <w:rPr>
                <w:rFonts w:eastAsia="Times New Roman" w:cs="Arial"/>
                <w:b/>
                <w:bCs/>
                <w:color w:val="000000"/>
                <w:szCs w:val="24"/>
              </w:rPr>
            </w:pPr>
            <w:r w:rsidRPr="00254F7E">
              <w:rPr>
                <w:rFonts w:eastAsia="Times New Roman" w:cs="Arial"/>
                <w:b/>
                <w:bCs/>
                <w:color w:val="000000"/>
                <w:szCs w:val="24"/>
              </w:rPr>
              <w:t>Unit Type</w:t>
            </w:r>
          </w:p>
        </w:tc>
        <w:tc>
          <w:tcPr>
            <w:tcW w:w="1875" w:type="dxa"/>
            <w:tcBorders>
              <w:top w:val="single" w:sz="8" w:space="0" w:color="ADADAD" w:themeColor="background2" w:themeShade="BF"/>
              <w:left w:val="nil"/>
              <w:bottom w:val="single" w:sz="8" w:space="0" w:color="ADADAD" w:themeColor="background2" w:themeShade="BF"/>
              <w:right w:val="single" w:sz="8" w:space="0" w:color="ADADAD" w:themeColor="background2" w:themeShade="BF"/>
            </w:tcBorders>
            <w:shd w:val="clear" w:color="auto" w:fill="E8E8E8" w:themeFill="background2"/>
            <w:vAlign w:val="center"/>
            <w:hideMark/>
          </w:tcPr>
          <w:p w14:paraId="574AA3C9" w14:textId="77777777" w:rsidR="00254F7E" w:rsidRPr="00254F7E" w:rsidRDefault="00254F7E" w:rsidP="00254F7E">
            <w:pPr>
              <w:spacing w:after="0"/>
              <w:rPr>
                <w:rFonts w:eastAsia="Times New Roman" w:cs="Arial"/>
                <w:b/>
                <w:bCs/>
                <w:color w:val="000000"/>
                <w:szCs w:val="24"/>
              </w:rPr>
            </w:pPr>
            <w:r w:rsidRPr="00254F7E">
              <w:rPr>
                <w:rFonts w:eastAsia="Times New Roman" w:cs="Arial"/>
                <w:b/>
                <w:bCs/>
                <w:color w:val="000000"/>
                <w:szCs w:val="24"/>
              </w:rPr>
              <w:t>NOX Control</w:t>
            </w:r>
          </w:p>
        </w:tc>
        <w:tc>
          <w:tcPr>
            <w:tcW w:w="1231" w:type="dxa"/>
            <w:tcBorders>
              <w:top w:val="single" w:sz="8" w:space="0" w:color="ADADAD" w:themeColor="background2" w:themeShade="BF"/>
              <w:left w:val="nil"/>
              <w:bottom w:val="single" w:sz="8" w:space="0" w:color="ADADAD" w:themeColor="background2" w:themeShade="BF"/>
              <w:right w:val="single" w:sz="8" w:space="0" w:color="ADADAD" w:themeColor="background2" w:themeShade="BF"/>
            </w:tcBorders>
            <w:shd w:val="clear" w:color="auto" w:fill="E8E8E8" w:themeFill="background2"/>
            <w:vAlign w:val="center"/>
            <w:hideMark/>
          </w:tcPr>
          <w:p w14:paraId="657A46EF" w14:textId="77777777" w:rsidR="00254F7E" w:rsidRPr="00254F7E" w:rsidRDefault="00254F7E" w:rsidP="00254F7E">
            <w:pPr>
              <w:spacing w:after="0"/>
              <w:rPr>
                <w:rFonts w:eastAsia="Times New Roman" w:cs="Arial"/>
                <w:b/>
                <w:bCs/>
                <w:color w:val="000000"/>
                <w:szCs w:val="24"/>
              </w:rPr>
            </w:pPr>
            <w:r w:rsidRPr="00254F7E">
              <w:rPr>
                <w:rFonts w:eastAsia="Times New Roman" w:cs="Arial"/>
                <w:b/>
                <w:bCs/>
                <w:color w:val="000000"/>
                <w:szCs w:val="24"/>
              </w:rPr>
              <w:t>SO</w:t>
            </w:r>
            <w:r w:rsidRPr="00370EA9">
              <w:rPr>
                <w:rFonts w:eastAsia="Times New Roman" w:cs="Arial"/>
                <w:b/>
                <w:color w:val="000000"/>
                <w:szCs w:val="24"/>
                <w:vertAlign w:val="subscript"/>
              </w:rPr>
              <w:t>2</w:t>
            </w:r>
            <w:r w:rsidRPr="00254F7E">
              <w:rPr>
                <w:rFonts w:eastAsia="Times New Roman" w:cs="Arial"/>
                <w:b/>
                <w:bCs/>
                <w:color w:val="000000"/>
                <w:szCs w:val="24"/>
              </w:rPr>
              <w:t xml:space="preserve"> Control</w:t>
            </w:r>
          </w:p>
        </w:tc>
        <w:tc>
          <w:tcPr>
            <w:tcW w:w="2108" w:type="dxa"/>
            <w:tcBorders>
              <w:top w:val="single" w:sz="8" w:space="0" w:color="ADADAD" w:themeColor="background2" w:themeShade="BF"/>
              <w:left w:val="nil"/>
              <w:bottom w:val="single" w:sz="8" w:space="0" w:color="ADADAD" w:themeColor="background2" w:themeShade="BF"/>
              <w:right w:val="single" w:sz="8" w:space="0" w:color="ADADAD" w:themeColor="background2" w:themeShade="BF"/>
            </w:tcBorders>
            <w:shd w:val="clear" w:color="auto" w:fill="E8E8E8" w:themeFill="background2"/>
            <w:vAlign w:val="center"/>
            <w:hideMark/>
          </w:tcPr>
          <w:p w14:paraId="1F0034C4" w14:textId="77777777" w:rsidR="00254F7E" w:rsidRPr="00254F7E" w:rsidRDefault="00254F7E" w:rsidP="00254F7E">
            <w:pPr>
              <w:spacing w:after="0"/>
              <w:rPr>
                <w:rFonts w:eastAsia="Times New Roman" w:cs="Arial"/>
                <w:b/>
                <w:bCs/>
                <w:color w:val="000000"/>
                <w:szCs w:val="24"/>
              </w:rPr>
            </w:pPr>
            <w:r w:rsidRPr="00254F7E">
              <w:rPr>
                <w:rFonts w:eastAsia="Times New Roman" w:cs="Arial"/>
                <w:b/>
                <w:bCs/>
                <w:color w:val="000000"/>
                <w:szCs w:val="24"/>
              </w:rPr>
              <w:t>Mercury Control</w:t>
            </w:r>
          </w:p>
        </w:tc>
      </w:tr>
      <w:tr w:rsidR="00254F7E" w:rsidRPr="00254F7E" w14:paraId="0EBD75BC" w14:textId="77777777" w:rsidTr="00294515">
        <w:trPr>
          <w:cantSplit/>
          <w:trHeight w:val="686"/>
        </w:trPr>
        <w:tc>
          <w:tcPr>
            <w:tcW w:w="2183" w:type="dxa"/>
            <w:tcBorders>
              <w:top w:val="nil"/>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hideMark/>
          </w:tcPr>
          <w:p w14:paraId="0118895A"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Bowen 1 &amp; 2</w:t>
            </w:r>
          </w:p>
        </w:tc>
        <w:tc>
          <w:tcPr>
            <w:tcW w:w="209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255A02F6"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Tangentially Fired</w:t>
            </w:r>
          </w:p>
        </w:tc>
        <w:tc>
          <w:tcPr>
            <w:tcW w:w="1875"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093052DD"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LNCFS II / SCR</w:t>
            </w:r>
          </w:p>
        </w:tc>
        <w:tc>
          <w:tcPr>
            <w:tcW w:w="1231"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1DE7AFCE"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FGD</w:t>
            </w:r>
          </w:p>
        </w:tc>
        <w:tc>
          <w:tcPr>
            <w:tcW w:w="210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5C5046EA" w14:textId="77777777" w:rsidR="00254F7E" w:rsidRPr="00254F7E" w:rsidRDefault="00254F7E" w:rsidP="00254F7E">
            <w:pPr>
              <w:spacing w:after="0"/>
              <w:jc w:val="left"/>
              <w:rPr>
                <w:rFonts w:eastAsia="Times New Roman" w:cs="Arial"/>
                <w:color w:val="000000"/>
                <w:szCs w:val="24"/>
              </w:rPr>
            </w:pPr>
            <w:r w:rsidRPr="00254F7E">
              <w:rPr>
                <w:rFonts w:eastAsia="Times New Roman" w:cs="Arial"/>
                <w:color w:val="000000"/>
                <w:szCs w:val="24"/>
              </w:rPr>
              <w:t>ACI / ALK / MRCS / FGD / SCR</w:t>
            </w:r>
          </w:p>
        </w:tc>
      </w:tr>
      <w:tr w:rsidR="00254F7E" w:rsidRPr="00254F7E" w14:paraId="05308296" w14:textId="77777777" w:rsidTr="00294515">
        <w:trPr>
          <w:cantSplit/>
          <w:trHeight w:val="686"/>
        </w:trPr>
        <w:tc>
          <w:tcPr>
            <w:tcW w:w="2183" w:type="dxa"/>
            <w:tcBorders>
              <w:top w:val="nil"/>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hideMark/>
          </w:tcPr>
          <w:p w14:paraId="155A6CB0"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Bowen 3 &amp; 4</w:t>
            </w:r>
          </w:p>
        </w:tc>
        <w:tc>
          <w:tcPr>
            <w:tcW w:w="209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4908690A"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Tangentially Fired</w:t>
            </w:r>
          </w:p>
        </w:tc>
        <w:tc>
          <w:tcPr>
            <w:tcW w:w="1875"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62B27AF3"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LNCFS II / SCR</w:t>
            </w:r>
          </w:p>
        </w:tc>
        <w:tc>
          <w:tcPr>
            <w:tcW w:w="1231"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74239FB4"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FGD</w:t>
            </w:r>
          </w:p>
        </w:tc>
        <w:tc>
          <w:tcPr>
            <w:tcW w:w="210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15B2BE05"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ACI / ALK / BH / FGD / SCR</w:t>
            </w:r>
          </w:p>
        </w:tc>
      </w:tr>
      <w:tr w:rsidR="00254F7E" w:rsidRPr="00254F7E" w14:paraId="761FE3B8" w14:textId="77777777" w:rsidTr="00294515">
        <w:trPr>
          <w:cantSplit/>
          <w:trHeight w:val="348"/>
        </w:trPr>
        <w:tc>
          <w:tcPr>
            <w:tcW w:w="2183" w:type="dxa"/>
            <w:tcBorders>
              <w:top w:val="nil"/>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hideMark/>
          </w:tcPr>
          <w:p w14:paraId="310E73E2"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Gaston 1 - 4</w:t>
            </w:r>
          </w:p>
        </w:tc>
        <w:tc>
          <w:tcPr>
            <w:tcW w:w="209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12807235"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Wall Fired</w:t>
            </w:r>
          </w:p>
        </w:tc>
        <w:tc>
          <w:tcPr>
            <w:tcW w:w="1875"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64AA0B35"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LNB</w:t>
            </w:r>
          </w:p>
        </w:tc>
        <w:tc>
          <w:tcPr>
            <w:tcW w:w="1231"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6A7CD3AE"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Gas Fired</w:t>
            </w:r>
          </w:p>
        </w:tc>
        <w:tc>
          <w:tcPr>
            <w:tcW w:w="210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51D1BBD6"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Gas Fired</w:t>
            </w:r>
          </w:p>
        </w:tc>
      </w:tr>
      <w:tr w:rsidR="00254F7E" w:rsidRPr="00254F7E" w14:paraId="09D503A5" w14:textId="77777777" w:rsidTr="00294515">
        <w:trPr>
          <w:cantSplit/>
          <w:trHeight w:val="348"/>
        </w:trPr>
        <w:tc>
          <w:tcPr>
            <w:tcW w:w="2183" w:type="dxa"/>
            <w:tcBorders>
              <w:top w:val="nil"/>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hideMark/>
          </w:tcPr>
          <w:p w14:paraId="40700806"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themeColor="text1"/>
                <w:szCs w:val="24"/>
              </w:rPr>
              <w:t>McDonough 4 - 6*</w:t>
            </w:r>
          </w:p>
        </w:tc>
        <w:tc>
          <w:tcPr>
            <w:tcW w:w="209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24F0A386"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Combined-Cycle</w:t>
            </w:r>
          </w:p>
        </w:tc>
        <w:tc>
          <w:tcPr>
            <w:tcW w:w="1875"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3EBE2140"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LNB / SCR</w:t>
            </w:r>
          </w:p>
        </w:tc>
        <w:tc>
          <w:tcPr>
            <w:tcW w:w="1231"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1F0E585D"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Gas Fired</w:t>
            </w:r>
          </w:p>
        </w:tc>
        <w:tc>
          <w:tcPr>
            <w:tcW w:w="210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04609F89"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Gas Fired</w:t>
            </w:r>
          </w:p>
        </w:tc>
      </w:tr>
      <w:tr w:rsidR="00254F7E" w:rsidRPr="00254F7E" w14:paraId="18C41786" w14:textId="77777777" w:rsidTr="00294515">
        <w:trPr>
          <w:cantSplit/>
          <w:trHeight w:val="348"/>
        </w:trPr>
        <w:tc>
          <w:tcPr>
            <w:tcW w:w="2183" w:type="dxa"/>
            <w:tcBorders>
              <w:top w:val="nil"/>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hideMark/>
          </w:tcPr>
          <w:p w14:paraId="4BF97F3F"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themeColor="text1"/>
                <w:szCs w:val="24"/>
              </w:rPr>
              <w:t>McIntosh 10 &amp; 11*</w:t>
            </w:r>
          </w:p>
        </w:tc>
        <w:tc>
          <w:tcPr>
            <w:tcW w:w="209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3D937778"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Combined-Cycle</w:t>
            </w:r>
          </w:p>
        </w:tc>
        <w:tc>
          <w:tcPr>
            <w:tcW w:w="1875"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5D5AF96E"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LNB / SCR</w:t>
            </w:r>
          </w:p>
        </w:tc>
        <w:tc>
          <w:tcPr>
            <w:tcW w:w="1231"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061FCBB4"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Gas Fired</w:t>
            </w:r>
          </w:p>
        </w:tc>
        <w:tc>
          <w:tcPr>
            <w:tcW w:w="210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0CD66A99"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Gas Fired</w:t>
            </w:r>
          </w:p>
        </w:tc>
      </w:tr>
      <w:tr w:rsidR="00254F7E" w:rsidRPr="00254F7E" w14:paraId="13C60CED" w14:textId="77777777" w:rsidTr="00294515">
        <w:trPr>
          <w:cantSplit/>
          <w:trHeight w:val="348"/>
        </w:trPr>
        <w:tc>
          <w:tcPr>
            <w:tcW w:w="2183" w:type="dxa"/>
            <w:tcBorders>
              <w:top w:val="nil"/>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hideMark/>
          </w:tcPr>
          <w:p w14:paraId="35C71C0A"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Scherer 1 - 3</w:t>
            </w:r>
          </w:p>
        </w:tc>
        <w:tc>
          <w:tcPr>
            <w:tcW w:w="209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328B737D"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Tangentially Fired</w:t>
            </w:r>
          </w:p>
        </w:tc>
        <w:tc>
          <w:tcPr>
            <w:tcW w:w="1875"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2ADA63AB"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LNCFS III / SCR</w:t>
            </w:r>
          </w:p>
        </w:tc>
        <w:tc>
          <w:tcPr>
            <w:tcW w:w="1231"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172E681F"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FGD</w:t>
            </w:r>
          </w:p>
        </w:tc>
        <w:tc>
          <w:tcPr>
            <w:tcW w:w="210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6A5D2E4C"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Baghouse / ACI</w:t>
            </w:r>
          </w:p>
        </w:tc>
      </w:tr>
      <w:tr w:rsidR="00254F7E" w:rsidRPr="00254F7E" w14:paraId="064372FF" w14:textId="77777777" w:rsidTr="00294515">
        <w:trPr>
          <w:cantSplit/>
          <w:trHeight w:val="348"/>
        </w:trPr>
        <w:tc>
          <w:tcPr>
            <w:tcW w:w="2183" w:type="dxa"/>
            <w:tcBorders>
              <w:top w:val="nil"/>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hideMark/>
          </w:tcPr>
          <w:p w14:paraId="2FEAA87B" w14:textId="4804D6B7" w:rsidR="00254F7E" w:rsidRPr="00254F7E" w:rsidRDefault="00254F7E" w:rsidP="00254F7E">
            <w:pPr>
              <w:spacing w:after="0"/>
              <w:rPr>
                <w:rFonts w:eastAsia="Times New Roman" w:cs="Arial"/>
                <w:color w:val="000000"/>
              </w:rPr>
            </w:pPr>
            <w:r w:rsidRPr="6DD1BD5F">
              <w:rPr>
                <w:rFonts w:eastAsia="Times New Roman" w:cs="Arial"/>
                <w:color w:val="000000" w:themeColor="text1"/>
              </w:rPr>
              <w:t>Wansley 1 &amp; 2</w:t>
            </w:r>
          </w:p>
        </w:tc>
        <w:tc>
          <w:tcPr>
            <w:tcW w:w="209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584E3BFE"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Tangentially Fired</w:t>
            </w:r>
          </w:p>
        </w:tc>
        <w:tc>
          <w:tcPr>
            <w:tcW w:w="1875"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4C6059C9"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LNCFS II / SCR</w:t>
            </w:r>
          </w:p>
        </w:tc>
        <w:tc>
          <w:tcPr>
            <w:tcW w:w="1231"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27615E0B"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FGD</w:t>
            </w:r>
          </w:p>
        </w:tc>
        <w:tc>
          <w:tcPr>
            <w:tcW w:w="210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5D61A6A8"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ACI / ALK / MRCS / FGD / SCR</w:t>
            </w:r>
          </w:p>
        </w:tc>
      </w:tr>
      <w:tr w:rsidR="00254F7E" w:rsidRPr="00254F7E" w14:paraId="0FCC401E" w14:textId="77777777" w:rsidTr="00294515">
        <w:trPr>
          <w:cantSplit/>
          <w:trHeight w:val="348"/>
        </w:trPr>
        <w:tc>
          <w:tcPr>
            <w:tcW w:w="2183" w:type="dxa"/>
            <w:tcBorders>
              <w:top w:val="single" w:sz="8" w:space="0" w:color="ADADAD" w:themeColor="background2" w:themeShade="BF"/>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hideMark/>
          </w:tcPr>
          <w:p w14:paraId="649F4CB1"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Yates 6 &amp; 7*</w:t>
            </w:r>
          </w:p>
        </w:tc>
        <w:tc>
          <w:tcPr>
            <w:tcW w:w="2090" w:type="dxa"/>
            <w:tcBorders>
              <w:top w:val="single" w:sz="8" w:space="0" w:color="ADADAD" w:themeColor="background2" w:themeShade="BF"/>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4E4E1B02"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Tangentially Fired</w:t>
            </w:r>
          </w:p>
        </w:tc>
        <w:tc>
          <w:tcPr>
            <w:tcW w:w="1875" w:type="dxa"/>
            <w:tcBorders>
              <w:top w:val="single" w:sz="8" w:space="0" w:color="ADADAD" w:themeColor="background2" w:themeShade="BF"/>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256F0D78"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LNB, SOFA</w:t>
            </w:r>
          </w:p>
        </w:tc>
        <w:tc>
          <w:tcPr>
            <w:tcW w:w="1231" w:type="dxa"/>
            <w:tcBorders>
              <w:top w:val="single" w:sz="8" w:space="0" w:color="ADADAD" w:themeColor="background2" w:themeShade="BF"/>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30648418"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Gas Fired</w:t>
            </w:r>
          </w:p>
        </w:tc>
        <w:tc>
          <w:tcPr>
            <w:tcW w:w="2108" w:type="dxa"/>
            <w:tcBorders>
              <w:top w:val="single" w:sz="8" w:space="0" w:color="ADADAD" w:themeColor="background2" w:themeShade="BF"/>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1B2C5BD8" w14:textId="77777777" w:rsidR="00254F7E" w:rsidRPr="00254F7E" w:rsidRDefault="00254F7E" w:rsidP="00254F7E">
            <w:pPr>
              <w:spacing w:after="0"/>
              <w:rPr>
                <w:rFonts w:eastAsia="Times New Roman" w:cs="Arial"/>
                <w:color w:val="000000"/>
                <w:szCs w:val="24"/>
              </w:rPr>
            </w:pPr>
            <w:r w:rsidRPr="00254F7E">
              <w:rPr>
                <w:rFonts w:eastAsia="Times New Roman" w:cs="Arial"/>
                <w:color w:val="000000"/>
                <w:szCs w:val="24"/>
              </w:rPr>
              <w:t>Gas Fired</w:t>
            </w:r>
          </w:p>
        </w:tc>
      </w:tr>
      <w:tr w:rsidR="007B0621" w:rsidRPr="00254F7E" w14:paraId="2432F5B7" w14:textId="77777777" w:rsidTr="00294515">
        <w:trPr>
          <w:cantSplit/>
          <w:trHeight w:val="348"/>
        </w:trPr>
        <w:tc>
          <w:tcPr>
            <w:tcW w:w="9487" w:type="dxa"/>
            <w:gridSpan w:val="5"/>
            <w:tcBorders>
              <w:top w:val="single" w:sz="8" w:space="0" w:color="ADADAD" w:themeColor="background2" w:themeShade="BF"/>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tcPr>
          <w:p w14:paraId="017297B7" w14:textId="4DAED49D" w:rsidR="007B0621" w:rsidRPr="00254F7E" w:rsidRDefault="007B0621" w:rsidP="00254F7E">
            <w:pPr>
              <w:spacing w:after="0"/>
              <w:rPr>
                <w:rFonts w:eastAsia="Times New Roman" w:cs="Arial"/>
                <w:color w:val="000000"/>
                <w:szCs w:val="24"/>
              </w:rPr>
            </w:pPr>
            <w:r w:rsidRPr="0005591C">
              <w:rPr>
                <w:rFonts w:eastAsiaTheme="majorEastAsia" w:cs="Arial"/>
                <w:bCs/>
                <w:szCs w:val="24"/>
              </w:rPr>
              <w:t>* Units at Plants McDonough Combined-Cycle, McIntosh Combined-Cycle, and Yates are also required by their air permits to operate oxidation catalysts for control of carbon monoxide and volatile organic compounds</w:t>
            </w:r>
            <w:r w:rsidR="004D6BBD">
              <w:rPr>
                <w:rFonts w:eastAsiaTheme="majorEastAsia" w:cs="Arial"/>
                <w:bCs/>
                <w:szCs w:val="24"/>
              </w:rPr>
              <w:t>.</w:t>
            </w:r>
            <w:r w:rsidRPr="0005591C">
              <w:rPr>
                <w:rFonts w:eastAsiaTheme="majorEastAsia" w:cs="Arial"/>
                <w:bCs/>
                <w:szCs w:val="24"/>
              </w:rPr>
              <w:t xml:space="preserve"> </w:t>
            </w:r>
          </w:p>
        </w:tc>
      </w:tr>
    </w:tbl>
    <w:p w14:paraId="21EA618E" w14:textId="7156C48B" w:rsidR="00336247" w:rsidRDefault="0025435D" w:rsidP="0025435D">
      <w:pPr>
        <w:tabs>
          <w:tab w:val="left" w:pos="450"/>
        </w:tabs>
        <w:spacing w:after="0"/>
        <w:rPr>
          <w:rFonts w:eastAsia="Calibri" w:cs="Arial"/>
          <w:szCs w:val="24"/>
        </w:rPr>
      </w:pPr>
      <w:r w:rsidDel="00D12D23">
        <w:t xml:space="preserve"> </w:t>
      </w:r>
    </w:p>
    <w:p w14:paraId="63FCCBDE" w14:textId="77777777" w:rsidR="00C20BE7" w:rsidRPr="00850663" w:rsidRDefault="006E47BF" w:rsidP="002531D4">
      <w:pPr>
        <w:pStyle w:val="Heading3"/>
      </w:pPr>
      <w:hyperlink r:id="rId48" w:anchor="_Toc535908092">
        <w:bookmarkStart w:id="57" w:name="_Toc94197906"/>
        <w:r w:rsidR="00B67BA9" w:rsidRPr="00D555A5">
          <w:t>4.1.1</w:t>
        </w:r>
        <w:r w:rsidR="00C337A3" w:rsidRPr="00D555A5">
          <w:t xml:space="preserve"> </w:t>
        </w:r>
        <w:r w:rsidR="00B67BA9" w:rsidRPr="00D555A5">
          <w:t>SO2 Compliance</w:t>
        </w:r>
        <w:bookmarkEnd w:id="57"/>
      </w:hyperlink>
    </w:p>
    <w:p w14:paraId="2C0DC445" w14:textId="34C74C5C" w:rsidR="00CC6BC1" w:rsidRDefault="00CC6BC1" w:rsidP="00AD24E0">
      <w:pPr>
        <w:rPr>
          <w:rFonts w:eastAsia="Calibri" w:cs="Arial"/>
          <w:szCs w:val="24"/>
        </w:rPr>
      </w:pPr>
      <w:r w:rsidRPr="00DB7156">
        <w:t>Since 2007, the SO</w:t>
      </w:r>
      <w:r w:rsidRPr="00DB7156">
        <w:rPr>
          <w:vertAlign w:val="subscript"/>
        </w:rPr>
        <w:t>2</w:t>
      </w:r>
      <w:r w:rsidRPr="00DB7156">
        <w:t xml:space="preserve"> </w:t>
      </w:r>
      <w:r w:rsidR="00D90E84">
        <w:t>compliance</w:t>
      </w:r>
      <w:r w:rsidR="00D90E84" w:rsidRPr="00DB7156">
        <w:t xml:space="preserve"> </w:t>
      </w:r>
      <w:r w:rsidRPr="00DB7156">
        <w:t xml:space="preserve">strategy and schedule for Georgia Power have </w:t>
      </w:r>
      <w:r w:rsidR="00C019CE">
        <w:t xml:space="preserve">largely </w:t>
      </w:r>
      <w:r w:rsidRPr="00DB7156">
        <w:t xml:space="preserve">been </w:t>
      </w:r>
      <w:r w:rsidR="00F1111C">
        <w:t xml:space="preserve">in response to </w:t>
      </w:r>
      <w:r w:rsidRPr="00DB7156">
        <w:t>the Georgia Multipollutant Rule and the companion SO</w:t>
      </w:r>
      <w:r w:rsidRPr="00DB7156">
        <w:rPr>
          <w:vertAlign w:val="subscript"/>
        </w:rPr>
        <w:t>2</w:t>
      </w:r>
      <w:r w:rsidRPr="00DB7156">
        <w:t xml:space="preserve"> Emissions Rule. </w:t>
      </w:r>
      <w:r w:rsidR="00163287" w:rsidRPr="7A592AD6">
        <w:rPr>
          <w:rFonts w:cs="Arial"/>
        </w:rPr>
        <w:t>The Georgia Multipollutant Rule required the installation and operation of FGD systems at certain units by specified dates between 2008 and 2015 and required switching from coal to natural gas for units at Plant Yates. In addition to the reductions that</w:t>
      </w:r>
      <w:r w:rsidR="008B5560" w:rsidRPr="7A592AD6">
        <w:rPr>
          <w:rFonts w:cs="Arial"/>
        </w:rPr>
        <w:t xml:space="preserve"> have been </w:t>
      </w:r>
      <w:r w:rsidR="00163287" w:rsidRPr="7A592AD6">
        <w:rPr>
          <w:rFonts w:cs="Arial"/>
        </w:rPr>
        <w:t>driven by the Georgia Multipollutant Rule, the sections</w:t>
      </w:r>
      <w:r w:rsidRPr="7A592AD6">
        <w:rPr>
          <w:rFonts w:cs="Arial"/>
        </w:rPr>
        <w:t xml:space="preserve"> below </w:t>
      </w:r>
      <w:r w:rsidR="00163287" w:rsidRPr="7A592AD6">
        <w:rPr>
          <w:rFonts w:cs="Arial"/>
        </w:rPr>
        <w:t>review the historical, ongoing, and</w:t>
      </w:r>
      <w:r w:rsidRPr="7A592AD6">
        <w:rPr>
          <w:rFonts w:cs="Arial"/>
        </w:rPr>
        <w:t xml:space="preserve"> expected potential impacts of other rules on the SO</w:t>
      </w:r>
      <w:r w:rsidRPr="00DB7156">
        <w:rPr>
          <w:vertAlign w:val="subscript"/>
        </w:rPr>
        <w:t>2</w:t>
      </w:r>
      <w:r w:rsidRPr="00DB7156">
        <w:t xml:space="preserve"> compliance strategy.</w:t>
      </w:r>
    </w:p>
    <w:p w14:paraId="74696BB9" w14:textId="58966065" w:rsidR="00AB4151" w:rsidRPr="00DB7156" w:rsidRDefault="00AB4151" w:rsidP="00877775">
      <w:pPr>
        <w:pStyle w:val="Heading4"/>
        <w:rPr>
          <w:rFonts w:cs="Arial"/>
          <w:color w:val="000080"/>
          <w:szCs w:val="24"/>
        </w:rPr>
      </w:pPr>
      <w:r w:rsidRPr="00DB7156">
        <w:t>Acid Rain SO</w:t>
      </w:r>
      <w:r w:rsidRPr="00DB7156">
        <w:rPr>
          <w:vertAlign w:val="subscript"/>
        </w:rPr>
        <w:t>2</w:t>
      </w:r>
      <w:r w:rsidRPr="00DB7156">
        <w:t xml:space="preserve"> Compliance Review </w:t>
      </w:r>
    </w:p>
    <w:p w14:paraId="619F99F3" w14:textId="761C245C" w:rsidR="00AB4151" w:rsidRPr="00DB7156" w:rsidRDefault="00AB4151" w:rsidP="00AB4151">
      <w:pPr>
        <w:tabs>
          <w:tab w:val="left" w:pos="1428"/>
          <w:tab w:val="left" w:pos="4716"/>
          <w:tab w:val="left" w:pos="4896"/>
          <w:tab w:val="left" w:pos="6718"/>
        </w:tabs>
        <w:suppressAutoHyphens/>
        <w:spacing w:after="0"/>
        <w:rPr>
          <w:rFonts w:cs="Arial"/>
          <w:color w:val="000080"/>
          <w:u w:val="single"/>
        </w:rPr>
      </w:pPr>
      <w:r w:rsidRPr="0D3382F5">
        <w:rPr>
          <w:rFonts w:cs="Arial"/>
        </w:rPr>
        <w:t>Historically, Georgia Power’s compliance strategy</w:t>
      </w:r>
      <w:r>
        <w:rPr>
          <w:rFonts w:cs="Arial"/>
        </w:rPr>
        <w:t xml:space="preserve"> </w:t>
      </w:r>
      <w:r w:rsidR="000B02AC">
        <w:rPr>
          <w:rFonts w:cs="Arial"/>
        </w:rPr>
        <w:t>initially</w:t>
      </w:r>
      <w:r w:rsidRPr="0D3382F5">
        <w:rPr>
          <w:rFonts w:cs="Arial"/>
        </w:rPr>
        <w:t xml:space="preserve"> relied heavily upon use of low-sulfur coal. However, the strategy </w:t>
      </w:r>
      <w:r w:rsidR="000B02AC">
        <w:rPr>
          <w:rFonts w:cs="Arial"/>
        </w:rPr>
        <w:t xml:space="preserve">transitioned to </w:t>
      </w:r>
      <w:r w:rsidRPr="0D3382F5">
        <w:rPr>
          <w:rFonts w:cs="Arial"/>
        </w:rPr>
        <w:t>rel</w:t>
      </w:r>
      <w:r w:rsidR="000B02AC">
        <w:rPr>
          <w:rFonts w:cs="Arial"/>
        </w:rPr>
        <w:t>y</w:t>
      </w:r>
      <w:r w:rsidRPr="0D3382F5">
        <w:rPr>
          <w:rFonts w:cs="Arial"/>
        </w:rPr>
        <w:t xml:space="preserve"> on FGDs for SO</w:t>
      </w:r>
      <w:r w:rsidRPr="0D3382F5">
        <w:rPr>
          <w:rFonts w:cs="Arial"/>
          <w:vertAlign w:val="subscript"/>
        </w:rPr>
        <w:t>2</w:t>
      </w:r>
      <w:r w:rsidRPr="0D3382F5">
        <w:rPr>
          <w:rFonts w:cs="Arial"/>
        </w:rPr>
        <w:t xml:space="preserve"> control</w:t>
      </w:r>
      <w:r w:rsidR="00A82AA3">
        <w:rPr>
          <w:rFonts w:cs="Arial"/>
        </w:rPr>
        <w:t xml:space="preserve"> at coal</w:t>
      </w:r>
      <w:r w:rsidR="00D162FC">
        <w:rPr>
          <w:rFonts w:cs="Arial"/>
        </w:rPr>
        <w:t>-fired steam</w:t>
      </w:r>
      <w:r w:rsidR="00A82AA3">
        <w:rPr>
          <w:rFonts w:cs="Arial"/>
        </w:rPr>
        <w:t xml:space="preserve"> units and</w:t>
      </w:r>
      <w:r w:rsidR="00D162FC">
        <w:rPr>
          <w:rFonts w:cs="Arial"/>
        </w:rPr>
        <w:t xml:space="preserve"> through firing natural gas and low sulfur content fuel oil at combined-cycle, combustion turbine, and other steam units</w:t>
      </w:r>
      <w:r w:rsidRPr="0D3382F5">
        <w:rPr>
          <w:rFonts w:cs="Arial"/>
        </w:rPr>
        <w:t xml:space="preserve">. </w:t>
      </w:r>
      <w:r w:rsidR="00D162FC">
        <w:rPr>
          <w:rFonts w:cs="Arial"/>
        </w:rPr>
        <w:t xml:space="preserve"> </w:t>
      </w:r>
      <w:r w:rsidRPr="0D3382F5">
        <w:rPr>
          <w:rFonts w:cs="Arial"/>
        </w:rPr>
        <w:t xml:space="preserve">For purposes of Acid Rain compliance, Georgia Power currently expects </w:t>
      </w:r>
      <w:r w:rsidRPr="009E265B">
        <w:rPr>
          <w:rFonts w:cs="Arial"/>
        </w:rPr>
        <w:t xml:space="preserve">to continue to utilize its annual allowance allocations and banked allowances, as needed, to maintain compliance. </w:t>
      </w:r>
      <w:r w:rsidR="00D162FC">
        <w:rPr>
          <w:rFonts w:cs="Arial"/>
        </w:rPr>
        <w:t xml:space="preserve"> </w:t>
      </w:r>
      <w:r w:rsidRPr="0D3382F5">
        <w:rPr>
          <w:rFonts w:cs="Arial"/>
        </w:rPr>
        <w:t xml:space="preserve">Under current regulations for the Acid Rain Program, projections show that </w:t>
      </w:r>
      <w:r w:rsidRPr="009E265B">
        <w:rPr>
          <w:rFonts w:cs="Arial"/>
        </w:rPr>
        <w:t xml:space="preserve">no </w:t>
      </w:r>
      <w:r w:rsidR="00A6734F">
        <w:rPr>
          <w:rFonts w:cs="Arial"/>
        </w:rPr>
        <w:t>Georgia Power</w:t>
      </w:r>
      <w:r w:rsidR="00A6734F" w:rsidRPr="009E265B">
        <w:rPr>
          <w:rFonts w:cs="Arial"/>
        </w:rPr>
        <w:t xml:space="preserve"> </w:t>
      </w:r>
      <w:r w:rsidRPr="009E265B">
        <w:rPr>
          <w:rFonts w:cs="Arial"/>
        </w:rPr>
        <w:t xml:space="preserve">allowance purchases </w:t>
      </w:r>
      <w:r w:rsidR="000B02AC" w:rsidRPr="009E265B">
        <w:rPr>
          <w:rFonts w:cs="Arial"/>
        </w:rPr>
        <w:t>will be required in the future absent a change in Acid Rain Program legislation and regulation</w:t>
      </w:r>
      <w:r w:rsidRPr="009E265B">
        <w:rPr>
          <w:rFonts w:cs="Arial"/>
        </w:rPr>
        <w:t>.</w:t>
      </w:r>
      <w:r w:rsidRPr="0D3382F5">
        <w:rPr>
          <w:rFonts w:cs="Arial"/>
        </w:rPr>
        <w:t xml:space="preserve"> </w:t>
      </w:r>
    </w:p>
    <w:p w14:paraId="42E1FA16" w14:textId="77777777" w:rsidR="00AB4151" w:rsidRPr="00983AA6" w:rsidRDefault="00AB4151" w:rsidP="00983AA6">
      <w:pPr>
        <w:tabs>
          <w:tab w:val="left" w:pos="1428"/>
          <w:tab w:val="left" w:pos="4716"/>
          <w:tab w:val="left" w:pos="4896"/>
          <w:tab w:val="left" w:pos="6718"/>
        </w:tabs>
        <w:suppressAutoHyphens/>
        <w:spacing w:after="0"/>
        <w:rPr>
          <w:rFonts w:cs="Arial"/>
        </w:rPr>
      </w:pPr>
    </w:p>
    <w:p w14:paraId="7243ECAA" w14:textId="3F32058D" w:rsidR="00AB4151" w:rsidRPr="00DB7156" w:rsidRDefault="00AB4151" w:rsidP="00877775">
      <w:pPr>
        <w:pStyle w:val="Heading4"/>
      </w:pPr>
      <w:r w:rsidRPr="00DB7156">
        <w:t>CSAPR SO</w:t>
      </w:r>
      <w:r w:rsidRPr="00DB7156">
        <w:rPr>
          <w:vertAlign w:val="subscript"/>
        </w:rPr>
        <w:t>2</w:t>
      </w:r>
      <w:r w:rsidRPr="00DB7156">
        <w:t xml:space="preserve"> Compliance Review </w:t>
      </w:r>
    </w:p>
    <w:p w14:paraId="0046AC6C" w14:textId="30ABDBC1" w:rsidR="00AB4151" w:rsidRPr="00DB7156" w:rsidRDefault="00AB4151" w:rsidP="00AB4151">
      <w:pPr>
        <w:tabs>
          <w:tab w:val="left" w:pos="720"/>
          <w:tab w:val="left" w:pos="1428"/>
          <w:tab w:val="left" w:pos="4716"/>
          <w:tab w:val="left" w:pos="4896"/>
          <w:tab w:val="left" w:pos="6718"/>
        </w:tabs>
        <w:suppressAutoHyphens/>
        <w:spacing w:after="0"/>
        <w:rPr>
          <w:rFonts w:cs="Arial"/>
        </w:rPr>
      </w:pPr>
      <w:r w:rsidRPr="0D3382F5">
        <w:rPr>
          <w:rFonts w:cs="Arial"/>
        </w:rPr>
        <w:t>T</w:t>
      </w:r>
      <w:r w:rsidRPr="0D3382F5">
        <w:rPr>
          <w:rFonts w:cs="Arial"/>
          <w:color w:val="000000" w:themeColor="text1"/>
        </w:rPr>
        <w:t xml:space="preserve">he compliance strategy for </w:t>
      </w:r>
      <w:r w:rsidRPr="0D3382F5">
        <w:rPr>
          <w:rFonts w:cs="Arial"/>
        </w:rPr>
        <w:t>CSAPR primarily relies on FGDs for SO</w:t>
      </w:r>
      <w:r w:rsidRPr="0D3382F5">
        <w:rPr>
          <w:rFonts w:cs="Arial"/>
          <w:vertAlign w:val="subscript"/>
        </w:rPr>
        <w:t>2</w:t>
      </w:r>
      <w:r w:rsidRPr="0D3382F5">
        <w:rPr>
          <w:rFonts w:cs="Arial"/>
        </w:rPr>
        <w:t xml:space="preserve"> control at coal-fired </w:t>
      </w:r>
      <w:r w:rsidR="00BF481D">
        <w:rPr>
          <w:rFonts w:cs="Arial"/>
        </w:rPr>
        <w:t xml:space="preserve">steam </w:t>
      </w:r>
      <w:r w:rsidRPr="0D3382F5">
        <w:rPr>
          <w:rFonts w:cs="Arial"/>
        </w:rPr>
        <w:t>units</w:t>
      </w:r>
      <w:r w:rsidR="00BF481D">
        <w:rPr>
          <w:rFonts w:cs="Arial"/>
        </w:rPr>
        <w:t xml:space="preserve"> and through firing natural gas and low sulfur content fuel oil at combined-cycle, combustion turbine, and other steam units</w:t>
      </w:r>
      <w:r w:rsidRPr="0D3382F5">
        <w:rPr>
          <w:rFonts w:cs="Arial"/>
        </w:rPr>
        <w:t xml:space="preserve">. </w:t>
      </w:r>
      <w:r w:rsidR="00BF481D">
        <w:rPr>
          <w:rFonts w:cs="Arial"/>
        </w:rPr>
        <w:t xml:space="preserve"> </w:t>
      </w:r>
      <w:r w:rsidRPr="0D3382F5">
        <w:rPr>
          <w:rFonts w:cs="Arial"/>
        </w:rPr>
        <w:t xml:space="preserve">Georgia Power currently expects </w:t>
      </w:r>
      <w:r w:rsidRPr="004A291A">
        <w:rPr>
          <w:rFonts w:cs="Arial"/>
        </w:rPr>
        <w:t>to continue to utilize its annual allowance allocations and banked allowances</w:t>
      </w:r>
      <w:r w:rsidRPr="00990DC0">
        <w:rPr>
          <w:rFonts w:cs="Arial"/>
        </w:rPr>
        <w:t xml:space="preserve">, as needed, to maintain compliance. </w:t>
      </w:r>
      <w:r w:rsidRPr="00BF481D">
        <w:rPr>
          <w:rFonts w:cs="Arial"/>
        </w:rPr>
        <w:t>Under current regulations for the CSAPR SO</w:t>
      </w:r>
      <w:r w:rsidRPr="00BF481D">
        <w:rPr>
          <w:rFonts w:cs="Arial"/>
          <w:vertAlign w:val="subscript"/>
        </w:rPr>
        <w:t>2</w:t>
      </w:r>
      <w:r w:rsidRPr="00BF481D">
        <w:rPr>
          <w:rFonts w:cs="Arial"/>
        </w:rPr>
        <w:t xml:space="preserve"> trading program, projections show that </w:t>
      </w:r>
      <w:r w:rsidRPr="00990DC0">
        <w:rPr>
          <w:rFonts w:cs="Arial"/>
        </w:rPr>
        <w:t xml:space="preserve">no </w:t>
      </w:r>
      <w:r w:rsidR="00A6734F">
        <w:rPr>
          <w:rFonts w:cs="Arial"/>
        </w:rPr>
        <w:t>Georgia Power</w:t>
      </w:r>
      <w:r w:rsidR="00A6734F" w:rsidRPr="00990DC0">
        <w:rPr>
          <w:rFonts w:cs="Arial"/>
        </w:rPr>
        <w:t xml:space="preserve"> </w:t>
      </w:r>
      <w:r w:rsidRPr="00990DC0">
        <w:rPr>
          <w:rFonts w:cs="Arial"/>
        </w:rPr>
        <w:t xml:space="preserve">allowance purchases </w:t>
      </w:r>
      <w:r w:rsidR="00BF481D" w:rsidRPr="00990DC0">
        <w:rPr>
          <w:rFonts w:cs="Arial"/>
        </w:rPr>
        <w:t>will be required in the future absent a change in CSAPR legislation and regulation</w:t>
      </w:r>
      <w:r w:rsidRPr="00990DC0">
        <w:rPr>
          <w:rFonts w:cs="Arial"/>
        </w:rPr>
        <w:t>.</w:t>
      </w:r>
    </w:p>
    <w:p w14:paraId="32516681" w14:textId="77777777" w:rsidR="00AB4151" w:rsidRPr="00983AA6" w:rsidRDefault="00AB4151" w:rsidP="00AB4151">
      <w:pPr>
        <w:tabs>
          <w:tab w:val="left" w:pos="720"/>
          <w:tab w:val="left" w:pos="1428"/>
          <w:tab w:val="left" w:pos="4716"/>
          <w:tab w:val="left" w:pos="4896"/>
          <w:tab w:val="left" w:pos="6718"/>
        </w:tabs>
        <w:suppressAutoHyphens/>
        <w:spacing w:after="0"/>
        <w:rPr>
          <w:rFonts w:cs="Arial"/>
        </w:rPr>
      </w:pPr>
    </w:p>
    <w:p w14:paraId="169B5E4C" w14:textId="573345CC" w:rsidR="008219B9" w:rsidRPr="00DB7156" w:rsidRDefault="008219B9" w:rsidP="00877775">
      <w:pPr>
        <w:pStyle w:val="Heading4"/>
      </w:pPr>
      <w:r w:rsidRPr="00DB7156">
        <w:t>Future Rules SO</w:t>
      </w:r>
      <w:r w:rsidRPr="00CF02D8">
        <w:rPr>
          <w:color w:val="003E5C" w:themeColor="accent1" w:themeShade="80"/>
          <w:vertAlign w:val="subscript"/>
        </w:rPr>
        <w:t>2</w:t>
      </w:r>
      <w:r w:rsidRPr="00DB7156">
        <w:t xml:space="preserve"> Compliance Review </w:t>
      </w:r>
    </w:p>
    <w:p w14:paraId="617D3BA9" w14:textId="064A925C" w:rsidR="008219B9" w:rsidRPr="00DB7156" w:rsidRDefault="00451BDC" w:rsidP="1ACC5B7C">
      <w:pPr>
        <w:tabs>
          <w:tab w:val="left" w:pos="720"/>
          <w:tab w:val="left" w:pos="1428"/>
          <w:tab w:val="left" w:pos="4716"/>
          <w:tab w:val="left" w:pos="4896"/>
          <w:tab w:val="left" w:pos="6718"/>
        </w:tabs>
        <w:suppressAutoHyphens/>
        <w:spacing w:after="0"/>
        <w:rPr>
          <w:rFonts w:cs="Arial"/>
        </w:rPr>
      </w:pPr>
      <w:r w:rsidRPr="00965428">
        <w:rPr>
          <w:rFonts w:cs="Arial"/>
        </w:rPr>
        <w:t xml:space="preserve">Georgia Power’s </w:t>
      </w:r>
      <w:r w:rsidRPr="00842B7F">
        <w:rPr>
          <w:rFonts w:cs="Arial"/>
        </w:rPr>
        <w:t xml:space="preserve">fossil </w:t>
      </w:r>
      <w:r w:rsidRPr="00555D3E">
        <w:rPr>
          <w:rFonts w:cs="Arial"/>
        </w:rPr>
        <w:t xml:space="preserve">generation fleet is now composed of </w:t>
      </w:r>
      <w:r w:rsidR="00C238D2" w:rsidRPr="000A198B">
        <w:rPr>
          <w:rFonts w:cs="Arial"/>
        </w:rPr>
        <w:t>gas</w:t>
      </w:r>
      <w:r w:rsidR="00B75C80" w:rsidRPr="007A3131">
        <w:rPr>
          <w:rFonts w:cs="Arial"/>
        </w:rPr>
        <w:t>/o</w:t>
      </w:r>
      <w:r w:rsidR="00B75C80" w:rsidRPr="00C262EC">
        <w:rPr>
          <w:rFonts w:cs="Arial"/>
        </w:rPr>
        <w:t>il</w:t>
      </w:r>
      <w:r w:rsidR="00C238D2" w:rsidRPr="00847B5D">
        <w:rPr>
          <w:rFonts w:cs="Arial"/>
        </w:rPr>
        <w:t>-fired units</w:t>
      </w:r>
      <w:r w:rsidR="00C238D2" w:rsidRPr="00965428">
        <w:rPr>
          <w:rFonts w:cs="Arial"/>
        </w:rPr>
        <w:t xml:space="preserve"> or coal-fired units equipped with FGD</w:t>
      </w:r>
      <w:r w:rsidR="00636094" w:rsidRPr="00965428">
        <w:rPr>
          <w:rFonts w:cs="Arial"/>
        </w:rPr>
        <w:t xml:space="preserve"> and thus achieve </w:t>
      </w:r>
      <w:r w:rsidR="005537ED" w:rsidRPr="00965428">
        <w:rPr>
          <w:rFonts w:cs="Arial"/>
        </w:rPr>
        <w:t>state</w:t>
      </w:r>
      <w:r w:rsidR="00C273FF" w:rsidRPr="00965428">
        <w:rPr>
          <w:rFonts w:cs="Arial"/>
        </w:rPr>
        <w:t>-</w:t>
      </w:r>
      <w:r w:rsidR="005537ED" w:rsidRPr="00965428">
        <w:rPr>
          <w:rFonts w:cs="Arial"/>
        </w:rPr>
        <w:t>of</w:t>
      </w:r>
      <w:r w:rsidR="00C273FF" w:rsidRPr="00965428">
        <w:rPr>
          <w:rFonts w:cs="Arial"/>
        </w:rPr>
        <w:t>-</w:t>
      </w:r>
      <w:r w:rsidR="005537ED" w:rsidRPr="00965428">
        <w:rPr>
          <w:rFonts w:cs="Arial"/>
        </w:rPr>
        <w:t>the</w:t>
      </w:r>
      <w:r w:rsidR="00C273FF" w:rsidRPr="00965428">
        <w:rPr>
          <w:rFonts w:cs="Arial"/>
        </w:rPr>
        <w:t>-</w:t>
      </w:r>
      <w:r w:rsidR="005537ED" w:rsidRPr="00965428">
        <w:rPr>
          <w:rFonts w:cs="Arial"/>
        </w:rPr>
        <w:t xml:space="preserve">art </w:t>
      </w:r>
      <w:r w:rsidR="00BF481D" w:rsidRPr="00BF481D">
        <w:rPr>
          <w:rFonts w:cs="Arial"/>
        </w:rPr>
        <w:t>SO</w:t>
      </w:r>
      <w:r w:rsidR="00BF481D" w:rsidRPr="00BF481D">
        <w:rPr>
          <w:rFonts w:cs="Arial"/>
          <w:vertAlign w:val="subscript"/>
        </w:rPr>
        <w:t>2</w:t>
      </w:r>
      <w:r w:rsidR="00BF481D">
        <w:rPr>
          <w:rFonts w:cs="Arial"/>
        </w:rPr>
        <w:t xml:space="preserve"> </w:t>
      </w:r>
      <w:r w:rsidR="005537ED" w:rsidRPr="00965428">
        <w:rPr>
          <w:rFonts w:cs="Arial"/>
        </w:rPr>
        <w:t>control</w:t>
      </w:r>
      <w:r w:rsidR="00636094" w:rsidRPr="00965428">
        <w:rPr>
          <w:rFonts w:cs="Arial"/>
        </w:rPr>
        <w:t>. As</w:t>
      </w:r>
      <w:r w:rsidR="00636094">
        <w:rPr>
          <w:rFonts w:cs="Arial"/>
        </w:rPr>
        <w:t xml:space="preserve"> a result, while </w:t>
      </w:r>
      <w:r w:rsidR="00AC5EBC">
        <w:rPr>
          <w:rFonts w:cs="Arial"/>
        </w:rPr>
        <w:t xml:space="preserve">EPA </w:t>
      </w:r>
      <w:r w:rsidR="003B79F6">
        <w:rPr>
          <w:rFonts w:cs="Arial"/>
        </w:rPr>
        <w:t xml:space="preserve">or EPD </w:t>
      </w:r>
      <w:r w:rsidR="00AC5EBC">
        <w:rPr>
          <w:rFonts w:cs="Arial"/>
        </w:rPr>
        <w:t>may issue new or revised</w:t>
      </w:r>
      <w:r w:rsidR="008219B9" w:rsidRPr="1ACC5B7C">
        <w:rPr>
          <w:rFonts w:cs="Arial"/>
        </w:rPr>
        <w:t xml:space="preserve"> regulations related to the </w:t>
      </w:r>
      <w:r w:rsidR="00915DEA" w:rsidRPr="1ACC5B7C">
        <w:rPr>
          <w:rFonts w:cs="Arial"/>
        </w:rPr>
        <w:t>SO</w:t>
      </w:r>
      <w:r w:rsidR="00915DEA" w:rsidRPr="1ACC5B7C">
        <w:rPr>
          <w:rFonts w:cs="Arial"/>
          <w:vertAlign w:val="subscript"/>
        </w:rPr>
        <w:t>2</w:t>
      </w:r>
      <w:r w:rsidR="00915DEA" w:rsidRPr="1ACC5B7C">
        <w:rPr>
          <w:rFonts w:cs="Arial"/>
        </w:rPr>
        <w:t xml:space="preserve"> and PM NAA</w:t>
      </w:r>
      <w:r w:rsidR="00FD6343" w:rsidRPr="1ACC5B7C">
        <w:rPr>
          <w:rFonts w:cs="Arial"/>
        </w:rPr>
        <w:t xml:space="preserve">QS and </w:t>
      </w:r>
      <w:r w:rsidR="00340E90" w:rsidRPr="1ACC5B7C">
        <w:rPr>
          <w:rFonts w:cs="Arial"/>
        </w:rPr>
        <w:t>Regional Haze</w:t>
      </w:r>
      <w:r w:rsidR="002A680A">
        <w:rPr>
          <w:rFonts w:cs="Arial"/>
        </w:rPr>
        <w:t>, no additional controls are assumed to be necessary</w:t>
      </w:r>
      <w:r w:rsidR="00C7243E">
        <w:rPr>
          <w:rFonts w:cs="Arial"/>
        </w:rPr>
        <w:t>.</w:t>
      </w:r>
      <w:r w:rsidR="00340E90" w:rsidRPr="1ACC5B7C">
        <w:rPr>
          <w:rFonts w:cs="Arial"/>
        </w:rPr>
        <w:t xml:space="preserve"> </w:t>
      </w:r>
      <w:r w:rsidR="00A604B3">
        <w:rPr>
          <w:rFonts w:cs="Arial"/>
        </w:rPr>
        <w:t>For Regional Haze compliance</w:t>
      </w:r>
      <w:r w:rsidR="007D352C">
        <w:rPr>
          <w:rFonts w:cs="Arial"/>
        </w:rPr>
        <w:t xml:space="preserve">, Georgia Power proposed </w:t>
      </w:r>
      <w:r w:rsidR="00491E7D">
        <w:rPr>
          <w:rFonts w:cs="Arial"/>
        </w:rPr>
        <w:t>in the four</w:t>
      </w:r>
      <w:r w:rsidR="00D23BE3">
        <w:rPr>
          <w:rFonts w:cs="Arial"/>
        </w:rPr>
        <w:t>-</w:t>
      </w:r>
      <w:r w:rsidR="00491E7D">
        <w:rPr>
          <w:rFonts w:cs="Arial"/>
        </w:rPr>
        <w:t>factor analysis requested by Georgia EPD</w:t>
      </w:r>
      <w:r w:rsidR="5598BAA5" w:rsidRPr="3AF9A23A">
        <w:rPr>
          <w:rFonts w:cs="Arial"/>
        </w:rPr>
        <w:t>,</w:t>
      </w:r>
      <w:r w:rsidR="00491E7D">
        <w:rPr>
          <w:rFonts w:cs="Arial"/>
        </w:rPr>
        <w:t xml:space="preserve"> </w:t>
      </w:r>
      <w:r w:rsidR="007D352C">
        <w:rPr>
          <w:rFonts w:cs="Arial"/>
        </w:rPr>
        <w:t xml:space="preserve">that Plant Bowen would meet </w:t>
      </w:r>
      <w:r w:rsidR="007D352C" w:rsidRPr="00F32637">
        <w:rPr>
          <w:rFonts w:cs="Arial"/>
        </w:rPr>
        <w:t xml:space="preserve">the needs of Georgia EPD’s </w:t>
      </w:r>
      <w:r w:rsidR="00132164" w:rsidRPr="00F32637">
        <w:rPr>
          <w:rFonts w:cs="Arial"/>
        </w:rPr>
        <w:t xml:space="preserve">SIP </w:t>
      </w:r>
      <w:r w:rsidR="007D352C" w:rsidRPr="00F32637">
        <w:rPr>
          <w:rFonts w:cs="Arial"/>
        </w:rPr>
        <w:t xml:space="preserve">by complying with </w:t>
      </w:r>
      <w:r w:rsidR="00264E06" w:rsidRPr="00F32637">
        <w:rPr>
          <w:rFonts w:cs="Arial"/>
        </w:rPr>
        <w:t xml:space="preserve">the </w:t>
      </w:r>
      <w:r w:rsidR="007D352C" w:rsidRPr="00F32637">
        <w:rPr>
          <w:rFonts w:cs="Arial"/>
        </w:rPr>
        <w:t xml:space="preserve">existing MATS </w:t>
      </w:r>
      <w:r w:rsidR="00A84B69" w:rsidRPr="00F32637">
        <w:rPr>
          <w:rFonts w:cs="Arial"/>
        </w:rPr>
        <w:t>SO</w:t>
      </w:r>
      <w:r w:rsidR="00A84B69" w:rsidRPr="00F32637">
        <w:rPr>
          <w:rFonts w:cs="Arial"/>
          <w:vertAlign w:val="subscript"/>
        </w:rPr>
        <w:t>2</w:t>
      </w:r>
      <w:r w:rsidR="00A84B69" w:rsidRPr="00F32637">
        <w:rPr>
          <w:rFonts w:cs="Arial"/>
        </w:rPr>
        <w:t xml:space="preserve"> </w:t>
      </w:r>
      <w:r w:rsidR="007D352C" w:rsidRPr="00F32637">
        <w:rPr>
          <w:rFonts w:cs="Arial"/>
        </w:rPr>
        <w:t>limit.</w:t>
      </w:r>
      <w:r w:rsidR="007D352C" w:rsidRPr="00F32637" w:rsidDel="00A84B69">
        <w:rPr>
          <w:rFonts w:cs="Arial"/>
        </w:rPr>
        <w:t xml:space="preserve"> Georgia </w:t>
      </w:r>
      <w:r w:rsidR="00100629" w:rsidRPr="00D52DF5">
        <w:rPr>
          <w:rFonts w:cs="Arial"/>
        </w:rPr>
        <w:t xml:space="preserve">EPD is expected to accept and incorporate this </w:t>
      </w:r>
      <w:r w:rsidR="0015251E" w:rsidRPr="00D52DF5">
        <w:rPr>
          <w:rFonts w:cs="Arial"/>
        </w:rPr>
        <w:t>recommendation into the Georgia Regional Haze SIP</w:t>
      </w:r>
      <w:r w:rsidR="00100629" w:rsidRPr="00D52DF5">
        <w:rPr>
          <w:rFonts w:cs="Arial"/>
        </w:rPr>
        <w:t>.</w:t>
      </w:r>
      <w:r w:rsidR="00100629">
        <w:rPr>
          <w:rFonts w:cs="Arial"/>
        </w:rPr>
        <w:t xml:space="preserve"> </w:t>
      </w:r>
      <w:r w:rsidR="004E7825" w:rsidRPr="1ACC5B7C">
        <w:rPr>
          <w:rFonts w:cs="Arial"/>
        </w:rPr>
        <w:t xml:space="preserve"> </w:t>
      </w:r>
    </w:p>
    <w:p w14:paraId="0AD01AC4" w14:textId="6C9F8C9E" w:rsidR="008219B9" w:rsidRPr="00E87068" w:rsidRDefault="008219B9" w:rsidP="008219B9">
      <w:pPr>
        <w:tabs>
          <w:tab w:val="left" w:pos="720"/>
          <w:tab w:val="left" w:pos="1428"/>
          <w:tab w:val="left" w:pos="4716"/>
          <w:tab w:val="left" w:pos="4896"/>
          <w:tab w:val="left" w:pos="6718"/>
        </w:tabs>
        <w:suppressAutoHyphens/>
        <w:spacing w:after="0"/>
        <w:rPr>
          <w:rFonts w:cs="Arial"/>
          <w:szCs w:val="20"/>
        </w:rPr>
      </w:pPr>
    </w:p>
    <w:p w14:paraId="229AB9F7" w14:textId="08A7F00C" w:rsidR="002F510E" w:rsidRPr="00761D22" w:rsidRDefault="006E47BF" w:rsidP="002531D4">
      <w:pPr>
        <w:pStyle w:val="Heading3"/>
        <w:rPr>
          <w:rFonts w:eastAsiaTheme="minorHAnsi" w:cs="Arial"/>
          <w:color w:val="000080"/>
        </w:rPr>
      </w:pPr>
      <w:hyperlink r:id="rId49" w:anchor="_Toc535908093" w:history="1">
        <w:bookmarkStart w:id="58" w:name="_Toc94197907"/>
        <w:r w:rsidR="00B67BA9" w:rsidRPr="00761D22">
          <w:rPr>
            <w:rFonts w:eastAsiaTheme="minorHAnsi" w:cs="Arial"/>
            <w:color w:val="000080"/>
          </w:rPr>
          <w:t>4.1.2</w:t>
        </w:r>
        <w:r w:rsidR="00C337A3" w:rsidRPr="00761D22">
          <w:rPr>
            <w:rFonts w:eastAsiaTheme="minorHAnsi" w:cs="Arial"/>
            <w:color w:val="000080"/>
          </w:rPr>
          <w:t xml:space="preserve"> </w:t>
        </w:r>
        <w:r w:rsidR="00B67BA9" w:rsidRPr="00761D22">
          <w:rPr>
            <w:rFonts w:eastAsiaTheme="minorHAnsi" w:cs="Arial"/>
            <w:color w:val="000080"/>
          </w:rPr>
          <w:t>NO</w:t>
        </w:r>
        <w:r w:rsidR="00B67BA9" w:rsidRPr="00CF02D8">
          <w:rPr>
            <w:rFonts w:eastAsiaTheme="minorHAnsi" w:cs="Arial"/>
            <w:color w:val="000080"/>
            <w:vertAlign w:val="subscript"/>
          </w:rPr>
          <w:t>X</w:t>
        </w:r>
        <w:r w:rsidR="00B67BA9" w:rsidRPr="00761D22">
          <w:rPr>
            <w:rFonts w:eastAsiaTheme="minorHAnsi" w:cs="Arial"/>
            <w:color w:val="000080"/>
          </w:rPr>
          <w:t xml:space="preserve"> Compliance</w:t>
        </w:r>
        <w:bookmarkEnd w:id="58"/>
      </w:hyperlink>
    </w:p>
    <w:p w14:paraId="4F9CE288" w14:textId="6E23015E" w:rsidR="002F510E" w:rsidRPr="008025DB" w:rsidRDefault="002F510E" w:rsidP="00AD24E0">
      <w:pPr>
        <w:rPr>
          <w:rFonts w:eastAsia="Calibri" w:cs="Arial"/>
          <w:szCs w:val="24"/>
        </w:rPr>
      </w:pPr>
      <w:r w:rsidRPr="00DB7156">
        <w:t xml:space="preserve">Since 2007, the NOx </w:t>
      </w:r>
      <w:r w:rsidR="00D70092">
        <w:t>compliance</w:t>
      </w:r>
      <w:r w:rsidR="00D70092" w:rsidRPr="00DB7156">
        <w:t xml:space="preserve"> </w:t>
      </w:r>
      <w:r w:rsidRPr="00DB7156">
        <w:t xml:space="preserve">strategy and schedule for Georgia Power have also </w:t>
      </w:r>
      <w:r w:rsidR="009106BD">
        <w:t xml:space="preserve">largely </w:t>
      </w:r>
      <w:r w:rsidRPr="00DB7156">
        <w:t xml:space="preserve">been </w:t>
      </w:r>
      <w:r w:rsidR="00C019CE">
        <w:t xml:space="preserve">in response to </w:t>
      </w:r>
      <w:r w:rsidRPr="00DB7156">
        <w:t>the Georgia Multipollutant Rule</w:t>
      </w:r>
      <w:r w:rsidR="00343F30">
        <w:t>, which</w:t>
      </w:r>
      <w:r w:rsidR="163B506B" w:rsidRPr="60E50D2C">
        <w:rPr>
          <w:rFonts w:eastAsia="Arial" w:cs="Arial"/>
          <w:szCs w:val="24"/>
        </w:rPr>
        <w:t xml:space="preserve"> </w:t>
      </w:r>
      <w:r w:rsidR="00D71C11">
        <w:rPr>
          <w:rFonts w:cs="Arial"/>
        </w:rPr>
        <w:t>achieved NOx reductions through</w:t>
      </w:r>
      <w:r w:rsidR="00343F30" w:rsidRPr="7A592AD6">
        <w:rPr>
          <w:rFonts w:cs="Arial"/>
        </w:rPr>
        <w:t xml:space="preserve"> the installation and operation of </w:t>
      </w:r>
      <w:r w:rsidR="00343F30">
        <w:rPr>
          <w:rFonts w:cs="Arial"/>
        </w:rPr>
        <w:t>SCR</w:t>
      </w:r>
      <w:r w:rsidR="00343F30" w:rsidRPr="7A592AD6">
        <w:rPr>
          <w:rFonts w:cs="Arial"/>
        </w:rPr>
        <w:t xml:space="preserve"> systems at certain units by specified dates between 2008 and 2015 and switching from coal to natural gas for units at Plant Yates.</w:t>
      </w:r>
      <w:r w:rsidR="163B506B" w:rsidRPr="60E50D2C">
        <w:rPr>
          <w:rFonts w:eastAsia="Arial" w:cs="Arial"/>
          <w:szCs w:val="24"/>
        </w:rPr>
        <w:t xml:space="preserve"> The sections below review the historical, ongoing, and expected potential impacts of other rules on the NOx compliance strategy.</w:t>
      </w:r>
    </w:p>
    <w:p w14:paraId="199CBF41" w14:textId="6A26E43E" w:rsidR="002F510E" w:rsidRDefault="002F510E" w:rsidP="00877775">
      <w:pPr>
        <w:pStyle w:val="Heading4"/>
        <w:rPr>
          <w:rFonts w:cs="Arial"/>
          <w:color w:val="000080"/>
          <w:szCs w:val="24"/>
        </w:rPr>
      </w:pPr>
      <w:bookmarkStart w:id="59" w:name="_Hlk29812769"/>
      <w:r w:rsidRPr="60E50D2C">
        <w:t>Acid Rain NOx Compliance Review</w:t>
      </w:r>
    </w:p>
    <w:p w14:paraId="379606C3" w14:textId="6630E6E7" w:rsidR="002F510E" w:rsidRDefault="00D73453" w:rsidP="00AD24E0">
      <w:r w:rsidRPr="00DB7156">
        <w:t xml:space="preserve">The Georgia Power compliance strategy for Acid Rain </w:t>
      </w:r>
      <w:r w:rsidR="005C2A90">
        <w:t>Program for N</w:t>
      </w:r>
      <w:r w:rsidR="00C15BE8">
        <w:t>Ox</w:t>
      </w:r>
      <w:r w:rsidR="005C2A90">
        <w:t xml:space="preserve"> </w:t>
      </w:r>
      <w:r w:rsidR="009106BD">
        <w:t xml:space="preserve">has </w:t>
      </w:r>
      <w:r w:rsidRPr="00DB7156">
        <w:t>historically consisted of installing low-NO</w:t>
      </w:r>
      <w:r w:rsidRPr="00DB7156">
        <w:rPr>
          <w:vertAlign w:val="subscript"/>
        </w:rPr>
        <w:t>X</w:t>
      </w:r>
      <w:r w:rsidRPr="00DB7156">
        <w:t xml:space="preserve"> burners, </w:t>
      </w:r>
      <w:r w:rsidR="00324540">
        <w:t xml:space="preserve">overfire air </w:t>
      </w:r>
      <w:r w:rsidR="003D3803">
        <w:t>(“</w:t>
      </w:r>
      <w:r w:rsidRPr="00DB7156">
        <w:t>OFA</w:t>
      </w:r>
      <w:r w:rsidR="003D3803">
        <w:t>”)</w:t>
      </w:r>
      <w:r w:rsidRPr="00DB7156">
        <w:t xml:space="preserve"> systems, </w:t>
      </w:r>
      <w:r w:rsidR="00F70251">
        <w:t xml:space="preserve">and </w:t>
      </w:r>
      <w:r w:rsidRPr="00DB7156">
        <w:t>associated controls</w:t>
      </w:r>
      <w:r>
        <w:t xml:space="preserve"> and use of the </w:t>
      </w:r>
      <w:r w:rsidRPr="00DB7156">
        <w:t xml:space="preserve">NOx Averaging Plan. </w:t>
      </w:r>
      <w:r w:rsidR="00BF236F">
        <w:t xml:space="preserve"> However, after </w:t>
      </w:r>
      <w:r w:rsidR="00A73B5A">
        <w:t xml:space="preserve">the retirement of Plant </w:t>
      </w:r>
      <w:r w:rsidR="004B034D">
        <w:t>McIntosh</w:t>
      </w:r>
      <w:r w:rsidR="00A73B5A">
        <w:t xml:space="preserve">, </w:t>
      </w:r>
      <w:r w:rsidR="002D4EAB">
        <w:t xml:space="preserve">use of the NOx Averaging Plan </w:t>
      </w:r>
      <w:r w:rsidR="007A751E">
        <w:t xml:space="preserve">was </w:t>
      </w:r>
      <w:r w:rsidR="006342E8">
        <w:t>no longer necessary</w:t>
      </w:r>
      <w:r w:rsidR="007E0F25">
        <w:t>.  Therefore</w:t>
      </w:r>
      <w:r w:rsidR="00774695">
        <w:t xml:space="preserve">, in September of 2019, the Company </w:t>
      </w:r>
      <w:r w:rsidR="00812E69" w:rsidRPr="00774695">
        <w:t>terminated the NO</w:t>
      </w:r>
      <w:r w:rsidR="007E0F25">
        <w:t>x</w:t>
      </w:r>
      <w:r w:rsidR="00812E69" w:rsidRPr="00774695">
        <w:t xml:space="preserve"> Averaging Plan </w:t>
      </w:r>
      <w:r w:rsidR="000F4B82">
        <w:t>effective January 1, 2020</w:t>
      </w:r>
      <w:r w:rsidR="00812E69" w:rsidRPr="00774695">
        <w:t>.</w:t>
      </w:r>
      <w:r w:rsidR="00437B32" w:rsidRPr="00774695">
        <w:t xml:space="preserve">  Affected units covered by the regulation </w:t>
      </w:r>
      <w:r w:rsidR="007A14F6">
        <w:t xml:space="preserve">now </w:t>
      </w:r>
      <w:r w:rsidR="00437B32" w:rsidRPr="00774695">
        <w:t xml:space="preserve">demonstrate </w:t>
      </w:r>
      <w:r w:rsidR="00D9112B">
        <w:t xml:space="preserve">ongoing </w:t>
      </w:r>
      <w:r w:rsidR="00437B32" w:rsidRPr="00774695">
        <w:t>compliance through individual Acid Rain Program limits.</w:t>
      </w:r>
      <w:bookmarkEnd w:id="59"/>
    </w:p>
    <w:p w14:paraId="38D4C09A" w14:textId="7478B003" w:rsidR="00CC2B9A" w:rsidRPr="00DB7156" w:rsidRDefault="00CC2B9A" w:rsidP="00877775">
      <w:pPr>
        <w:pStyle w:val="Heading4"/>
      </w:pPr>
      <w:r w:rsidRPr="00DB7156">
        <w:t xml:space="preserve">CSAPR Annual </w:t>
      </w:r>
      <w:r>
        <w:t xml:space="preserve">and Seasonal </w:t>
      </w:r>
      <w:r w:rsidRPr="00DB7156">
        <w:t>NO</w:t>
      </w:r>
      <w:r w:rsidRPr="00DB7156">
        <w:rPr>
          <w:vertAlign w:val="subscript"/>
        </w:rPr>
        <w:t>X</w:t>
      </w:r>
      <w:r w:rsidRPr="00DB7156">
        <w:t xml:space="preserve"> Compliance Review</w:t>
      </w:r>
    </w:p>
    <w:p w14:paraId="54EDB20E" w14:textId="473738CF" w:rsidR="00CC2B9A" w:rsidRPr="00DB7156" w:rsidRDefault="00CC2B9A" w:rsidP="00CC2B9A">
      <w:pPr>
        <w:tabs>
          <w:tab w:val="left" w:pos="720"/>
          <w:tab w:val="left" w:pos="1428"/>
          <w:tab w:val="left" w:pos="4716"/>
          <w:tab w:val="left" w:pos="4896"/>
          <w:tab w:val="left" w:pos="6718"/>
        </w:tabs>
        <w:suppressAutoHyphens/>
        <w:spacing w:after="0"/>
        <w:rPr>
          <w:rFonts w:cs="Arial"/>
          <w:b/>
          <w:bCs/>
          <w:sz w:val="20"/>
          <w:szCs w:val="20"/>
        </w:rPr>
      </w:pPr>
      <w:r w:rsidRPr="00DB7156">
        <w:rPr>
          <w:rFonts w:cs="Arial"/>
          <w:szCs w:val="24"/>
        </w:rPr>
        <w:t xml:space="preserve">The compliance strategy for </w:t>
      </w:r>
      <w:r>
        <w:rPr>
          <w:rFonts w:cs="Arial"/>
          <w:szCs w:val="24"/>
        </w:rPr>
        <w:t xml:space="preserve">the CSAPR </w:t>
      </w:r>
      <w:r w:rsidRPr="00DB7156">
        <w:rPr>
          <w:rFonts w:cs="Arial"/>
          <w:szCs w:val="24"/>
        </w:rPr>
        <w:t>NO</w:t>
      </w:r>
      <w:r w:rsidRPr="00DB7156">
        <w:rPr>
          <w:rFonts w:cs="Arial"/>
          <w:szCs w:val="24"/>
          <w:vertAlign w:val="subscript"/>
        </w:rPr>
        <w:t>X</w:t>
      </w:r>
      <w:r w:rsidRPr="00DB7156">
        <w:rPr>
          <w:rFonts w:cs="Arial"/>
          <w:szCs w:val="24"/>
        </w:rPr>
        <w:t xml:space="preserve"> program</w:t>
      </w:r>
      <w:r>
        <w:rPr>
          <w:rFonts w:cs="Arial"/>
          <w:szCs w:val="24"/>
        </w:rPr>
        <w:t>s</w:t>
      </w:r>
      <w:r w:rsidRPr="00DB7156">
        <w:rPr>
          <w:rFonts w:cs="Arial"/>
          <w:szCs w:val="24"/>
        </w:rPr>
        <w:t xml:space="preserve"> rel</w:t>
      </w:r>
      <w:r>
        <w:rPr>
          <w:rFonts w:cs="Arial"/>
          <w:szCs w:val="24"/>
        </w:rPr>
        <w:t>y</w:t>
      </w:r>
      <w:r w:rsidRPr="00DB7156">
        <w:rPr>
          <w:rFonts w:cs="Arial"/>
          <w:szCs w:val="24"/>
        </w:rPr>
        <w:t xml:space="preserve"> on SCRs </w:t>
      </w:r>
      <w:r w:rsidR="00FA7D43">
        <w:rPr>
          <w:rFonts w:cs="Arial"/>
          <w:szCs w:val="24"/>
        </w:rPr>
        <w:t>and low</w:t>
      </w:r>
      <w:r w:rsidR="002F751F">
        <w:rPr>
          <w:rFonts w:cs="Arial"/>
          <w:szCs w:val="24"/>
        </w:rPr>
        <w:t xml:space="preserve"> </w:t>
      </w:r>
      <w:r w:rsidR="00D738DE">
        <w:rPr>
          <w:rFonts w:cs="Arial"/>
          <w:szCs w:val="24"/>
        </w:rPr>
        <w:t>NOx burners</w:t>
      </w:r>
      <w:r w:rsidRPr="00DB7156">
        <w:rPr>
          <w:rFonts w:cs="Arial"/>
          <w:szCs w:val="24"/>
        </w:rPr>
        <w:t xml:space="preserve"> for NO</w:t>
      </w:r>
      <w:r w:rsidRPr="00DB7156">
        <w:rPr>
          <w:rFonts w:cs="Arial"/>
          <w:szCs w:val="24"/>
          <w:vertAlign w:val="subscript"/>
        </w:rPr>
        <w:t>X</w:t>
      </w:r>
      <w:r w:rsidRPr="00DB7156">
        <w:rPr>
          <w:rFonts w:cs="Arial"/>
          <w:szCs w:val="24"/>
        </w:rPr>
        <w:t xml:space="preserve"> control. </w:t>
      </w:r>
      <w:r w:rsidR="00314F9E">
        <w:rPr>
          <w:rFonts w:cs="Arial"/>
          <w:szCs w:val="24"/>
        </w:rPr>
        <w:t xml:space="preserve"> </w:t>
      </w:r>
      <w:r w:rsidRPr="00AC20C4">
        <w:rPr>
          <w:rFonts w:cs="Arial"/>
          <w:szCs w:val="24"/>
        </w:rPr>
        <w:t xml:space="preserve">For purposes of CSAPR </w:t>
      </w:r>
      <w:r>
        <w:rPr>
          <w:rFonts w:cs="Arial"/>
          <w:szCs w:val="24"/>
        </w:rPr>
        <w:t xml:space="preserve">NOx </w:t>
      </w:r>
      <w:r w:rsidRPr="00AC20C4">
        <w:rPr>
          <w:rFonts w:cs="Arial"/>
          <w:szCs w:val="24"/>
        </w:rPr>
        <w:t xml:space="preserve">compliance, Georgia Power currently </w:t>
      </w:r>
      <w:r w:rsidRPr="00314F9E">
        <w:rPr>
          <w:rFonts w:cs="Arial"/>
          <w:szCs w:val="24"/>
        </w:rPr>
        <w:t xml:space="preserve">expects </w:t>
      </w:r>
      <w:r w:rsidRPr="009D23D7">
        <w:rPr>
          <w:rFonts w:cs="Arial"/>
          <w:szCs w:val="24"/>
        </w:rPr>
        <w:t xml:space="preserve">to continue to utilize its annual allowance allocations and banked allowances, if needed, to maintain compliance.  </w:t>
      </w:r>
      <w:r w:rsidRPr="00314F9E">
        <w:rPr>
          <w:rFonts w:cs="Arial"/>
          <w:szCs w:val="24"/>
        </w:rPr>
        <w:t>Under current regulations for the CSAPR NO</w:t>
      </w:r>
      <w:r w:rsidRPr="00314F9E">
        <w:rPr>
          <w:rFonts w:cs="Arial"/>
          <w:szCs w:val="24"/>
          <w:vertAlign w:val="subscript"/>
        </w:rPr>
        <w:t>X</w:t>
      </w:r>
      <w:r w:rsidRPr="00314F9E">
        <w:rPr>
          <w:rFonts w:cs="Arial"/>
          <w:szCs w:val="24"/>
        </w:rPr>
        <w:t xml:space="preserve"> trading programs, projections show that </w:t>
      </w:r>
      <w:r w:rsidRPr="009D23D7">
        <w:rPr>
          <w:rFonts w:cs="Arial"/>
          <w:szCs w:val="24"/>
        </w:rPr>
        <w:t xml:space="preserve">no </w:t>
      </w:r>
      <w:r w:rsidR="00A6734F">
        <w:rPr>
          <w:rFonts w:cs="Arial"/>
          <w:szCs w:val="24"/>
        </w:rPr>
        <w:t>Georgia Power</w:t>
      </w:r>
      <w:r w:rsidR="00A6734F" w:rsidRPr="009D23D7">
        <w:rPr>
          <w:rFonts w:cs="Arial"/>
          <w:szCs w:val="24"/>
        </w:rPr>
        <w:t xml:space="preserve"> </w:t>
      </w:r>
      <w:r w:rsidRPr="009D23D7">
        <w:rPr>
          <w:rFonts w:cs="Arial"/>
          <w:szCs w:val="24"/>
        </w:rPr>
        <w:t xml:space="preserve">allowance purchases </w:t>
      </w:r>
      <w:r w:rsidR="00314F9E" w:rsidRPr="009E265B">
        <w:rPr>
          <w:rFonts w:cs="Arial"/>
        </w:rPr>
        <w:t xml:space="preserve">will be required in the future absent a change in </w:t>
      </w:r>
      <w:r w:rsidR="00314F9E">
        <w:rPr>
          <w:rFonts w:cs="Arial"/>
        </w:rPr>
        <w:t>CSAPR</w:t>
      </w:r>
      <w:r w:rsidR="00314F9E" w:rsidRPr="009E265B">
        <w:rPr>
          <w:rFonts w:cs="Arial"/>
        </w:rPr>
        <w:t xml:space="preserve"> legislation and regulation</w:t>
      </w:r>
      <w:r w:rsidR="00281938">
        <w:rPr>
          <w:rFonts w:cs="Arial"/>
        </w:rPr>
        <w:t>.</w:t>
      </w:r>
    </w:p>
    <w:p w14:paraId="5A8D778E" w14:textId="77777777" w:rsidR="00CC2B9A" w:rsidRDefault="00CC2B9A" w:rsidP="001F0C82">
      <w:pPr>
        <w:tabs>
          <w:tab w:val="left" w:pos="720"/>
        </w:tabs>
        <w:spacing w:after="0"/>
        <w:rPr>
          <w:rFonts w:cs="Arial"/>
          <w:b/>
          <w:bCs/>
          <w:color w:val="000080"/>
          <w:szCs w:val="24"/>
        </w:rPr>
      </w:pPr>
    </w:p>
    <w:p w14:paraId="7389AD7E" w14:textId="144F64B5" w:rsidR="001F0C82" w:rsidRDefault="001F0C82" w:rsidP="00877775">
      <w:pPr>
        <w:pStyle w:val="Heading4"/>
        <w:rPr>
          <w:rFonts w:cs="Arial"/>
          <w:color w:val="000080"/>
          <w:szCs w:val="24"/>
        </w:rPr>
      </w:pPr>
      <w:r w:rsidRPr="00DB7156">
        <w:t xml:space="preserve">Ozone Nonattainment Compliance Review </w:t>
      </w:r>
    </w:p>
    <w:p w14:paraId="1BFCA8D0" w14:textId="1EB6948F" w:rsidR="001F0C82" w:rsidRPr="00DB7156" w:rsidRDefault="001F0C82" w:rsidP="001F0C82">
      <w:pPr>
        <w:keepNext/>
        <w:tabs>
          <w:tab w:val="left" w:pos="720"/>
        </w:tabs>
        <w:spacing w:after="0"/>
        <w:rPr>
          <w:rFonts w:cs="Arial"/>
          <w:szCs w:val="24"/>
        </w:rPr>
      </w:pPr>
      <w:r w:rsidRPr="00DB7156">
        <w:rPr>
          <w:rFonts w:cs="Arial"/>
          <w:szCs w:val="24"/>
        </w:rPr>
        <w:t>To meet the NO</w:t>
      </w:r>
      <w:r w:rsidRPr="00DB7156">
        <w:rPr>
          <w:rFonts w:cs="Arial"/>
          <w:szCs w:val="24"/>
          <w:vertAlign w:val="subscript"/>
        </w:rPr>
        <w:t>X</w:t>
      </w:r>
      <w:r w:rsidRPr="00DB7156">
        <w:rPr>
          <w:rFonts w:cs="Arial"/>
          <w:szCs w:val="24"/>
        </w:rPr>
        <w:t xml:space="preserve"> reduction requirements for the 1-hour and 1997 8-hour ozone standards, additional controls bey</w:t>
      </w:r>
      <w:bookmarkStart w:id="60" w:name="trc"/>
      <w:bookmarkEnd w:id="60"/>
      <w:r w:rsidRPr="00DB7156">
        <w:rPr>
          <w:rFonts w:cs="Arial"/>
          <w:szCs w:val="24"/>
        </w:rPr>
        <w:t xml:space="preserve">ond those necessary for the Acid Rain Program were required. Various </w:t>
      </w:r>
      <w:r w:rsidR="005A0A3A">
        <w:rPr>
          <w:rFonts w:cs="Arial"/>
          <w:szCs w:val="24"/>
        </w:rPr>
        <w:t>technologies</w:t>
      </w:r>
      <w:r w:rsidRPr="00DB7156">
        <w:rPr>
          <w:rFonts w:cs="Arial"/>
          <w:szCs w:val="24"/>
        </w:rPr>
        <w:t xml:space="preserve"> were considered and </w:t>
      </w:r>
      <w:r w:rsidR="00E4040E">
        <w:rPr>
          <w:rFonts w:cs="Arial"/>
          <w:szCs w:val="24"/>
        </w:rPr>
        <w:t xml:space="preserve">implemented on a case-by-case </w:t>
      </w:r>
      <w:r w:rsidRPr="00DB7156">
        <w:rPr>
          <w:rFonts w:cs="Arial"/>
          <w:szCs w:val="24"/>
        </w:rPr>
        <w:t xml:space="preserve">basis, including SCR, OFA, low NOx burners, use of natural gas, </w:t>
      </w:r>
      <w:r w:rsidR="00843EBD">
        <w:rPr>
          <w:rFonts w:cs="Arial"/>
          <w:szCs w:val="24"/>
        </w:rPr>
        <w:t>and Powder</w:t>
      </w:r>
      <w:r w:rsidR="00DF6625">
        <w:rPr>
          <w:rFonts w:cs="Arial"/>
          <w:szCs w:val="24"/>
        </w:rPr>
        <w:t xml:space="preserve"> River Basin (“</w:t>
      </w:r>
      <w:r w:rsidRPr="00DB7156">
        <w:rPr>
          <w:rFonts w:cs="Arial"/>
          <w:szCs w:val="24"/>
        </w:rPr>
        <w:t>PRB</w:t>
      </w:r>
      <w:r w:rsidR="00DF6625">
        <w:rPr>
          <w:rFonts w:cs="Arial"/>
          <w:szCs w:val="24"/>
        </w:rPr>
        <w:t>”)</w:t>
      </w:r>
      <w:r w:rsidRPr="00DB7156">
        <w:rPr>
          <w:rFonts w:cs="Arial"/>
          <w:szCs w:val="24"/>
        </w:rPr>
        <w:t xml:space="preserve"> coal</w:t>
      </w:r>
      <w:r w:rsidR="00AA6A78">
        <w:rPr>
          <w:rFonts w:cs="Arial"/>
          <w:szCs w:val="24"/>
        </w:rPr>
        <w:t xml:space="preserve"> in order to meet the requirements of the Georgia </w:t>
      </w:r>
      <w:r w:rsidR="000224AF">
        <w:rPr>
          <w:rFonts w:cs="Arial"/>
          <w:szCs w:val="24"/>
        </w:rPr>
        <w:t>SIP</w:t>
      </w:r>
      <w:r w:rsidR="00AA6A78">
        <w:rPr>
          <w:rFonts w:cs="Arial"/>
          <w:szCs w:val="24"/>
        </w:rPr>
        <w:t xml:space="preserve"> for ozone</w:t>
      </w:r>
      <w:r w:rsidRPr="00DB7156">
        <w:rPr>
          <w:rFonts w:cs="Arial"/>
          <w:szCs w:val="24"/>
        </w:rPr>
        <w:t>.</w:t>
      </w:r>
      <w:r>
        <w:rPr>
          <w:rFonts w:cs="Arial"/>
          <w:szCs w:val="24"/>
        </w:rPr>
        <w:t xml:space="preserve"> The Company expects to continue to operate and maintain these controls to comply with the ozone season NOx emission limits applicable to each unit, or each group of units when using emissions averaging, as applicable.</w:t>
      </w:r>
    </w:p>
    <w:p w14:paraId="51C55D63" w14:textId="4A30DF02" w:rsidR="00FC56BC" w:rsidRDefault="001F0C82" w:rsidP="00E2493E">
      <w:pPr>
        <w:tabs>
          <w:tab w:val="left" w:pos="1428"/>
          <w:tab w:val="left" w:pos="4716"/>
          <w:tab w:val="left" w:pos="4896"/>
          <w:tab w:val="left" w:pos="6718"/>
        </w:tabs>
        <w:suppressAutoHyphens/>
        <w:spacing w:after="0"/>
        <w:rPr>
          <w:rFonts w:cs="Arial"/>
          <w:b/>
          <w:bCs/>
          <w:color w:val="000080"/>
          <w:szCs w:val="24"/>
        </w:rPr>
      </w:pPr>
      <w:r w:rsidRPr="00DB7156">
        <w:rPr>
          <w:rFonts w:cs="Arial"/>
          <w:szCs w:val="24"/>
        </w:rPr>
        <w:t xml:space="preserve">  </w:t>
      </w:r>
    </w:p>
    <w:p w14:paraId="71CF3317" w14:textId="34B7661E" w:rsidR="002F510E" w:rsidRPr="00DB7156" w:rsidRDefault="002F510E" w:rsidP="00877775">
      <w:pPr>
        <w:pStyle w:val="Heading4"/>
        <w:rPr>
          <w:rFonts w:cs="Arial"/>
          <w:color w:val="000080"/>
          <w:szCs w:val="24"/>
        </w:rPr>
      </w:pPr>
      <w:r w:rsidRPr="00DB7156">
        <w:t xml:space="preserve">Future Rules NOx Compliance Review </w:t>
      </w:r>
    </w:p>
    <w:p w14:paraId="178559B5" w14:textId="37BB47E6" w:rsidR="002F510E" w:rsidRPr="008025DB" w:rsidRDefault="00B75C80" w:rsidP="00AD24E0">
      <w:r w:rsidRPr="00842B7F">
        <w:rPr>
          <w:rFonts w:cs="Arial"/>
        </w:rPr>
        <w:t xml:space="preserve">Within </w:t>
      </w:r>
      <w:r w:rsidR="003471BF" w:rsidRPr="00842B7F">
        <w:rPr>
          <w:rFonts w:cs="Arial"/>
        </w:rPr>
        <w:t>Georgia Power’</w:t>
      </w:r>
      <w:r w:rsidR="003471BF" w:rsidRPr="0080177A">
        <w:rPr>
          <w:rFonts w:cs="Arial"/>
        </w:rPr>
        <w:t xml:space="preserve">s </w:t>
      </w:r>
      <w:r w:rsidR="003471BF" w:rsidRPr="005142BB">
        <w:rPr>
          <w:rFonts w:cs="Arial"/>
        </w:rPr>
        <w:t>fossil generation fleet</w:t>
      </w:r>
      <w:r w:rsidRPr="005142BB">
        <w:rPr>
          <w:rFonts w:cs="Arial"/>
        </w:rPr>
        <w:t>, all combined-cycle and coal-fired units operate SCR</w:t>
      </w:r>
      <w:r w:rsidR="002A6FD1" w:rsidRPr="00555D3E">
        <w:rPr>
          <w:rFonts w:cs="Arial"/>
        </w:rPr>
        <w:t>s, which repre</w:t>
      </w:r>
      <w:r w:rsidR="002A6FD1" w:rsidRPr="0049078E">
        <w:rPr>
          <w:rFonts w:cs="Arial"/>
        </w:rPr>
        <w:t xml:space="preserve">sent state-of-the-art NOx control. </w:t>
      </w:r>
      <w:r w:rsidR="00C905A9" w:rsidRPr="00B40884">
        <w:rPr>
          <w:rFonts w:cs="Arial"/>
        </w:rPr>
        <w:t xml:space="preserve">Gas-fired steam units at </w:t>
      </w:r>
      <w:r w:rsidR="00E61325" w:rsidRPr="6DD1BD5F">
        <w:rPr>
          <w:rFonts w:cs="Arial"/>
        </w:rPr>
        <w:t xml:space="preserve">Plant </w:t>
      </w:r>
      <w:r w:rsidR="00C905A9" w:rsidRPr="00B40884">
        <w:rPr>
          <w:rFonts w:cs="Arial"/>
        </w:rPr>
        <w:t xml:space="preserve">Yates and </w:t>
      </w:r>
      <w:r w:rsidR="00E03B76" w:rsidRPr="007A3131">
        <w:rPr>
          <w:rFonts w:cs="Arial"/>
        </w:rPr>
        <w:t xml:space="preserve">simple cycle CTs </w:t>
      </w:r>
      <w:r w:rsidR="00E27275" w:rsidRPr="00847B5D">
        <w:rPr>
          <w:rFonts w:cs="Arial"/>
        </w:rPr>
        <w:t xml:space="preserve">achieve low NOx </w:t>
      </w:r>
      <w:r w:rsidR="00E27275" w:rsidRPr="0071059C">
        <w:rPr>
          <w:rFonts w:cs="Arial"/>
        </w:rPr>
        <w:t>emissions through combustion</w:t>
      </w:r>
      <w:r w:rsidR="001E13E2" w:rsidRPr="00192E23">
        <w:rPr>
          <w:rFonts w:cs="Arial"/>
        </w:rPr>
        <w:t xml:space="preserve"> controls and/or are operated as peaking units with low</w:t>
      </w:r>
      <w:r w:rsidR="00444CBC" w:rsidRPr="00192E23">
        <w:rPr>
          <w:rFonts w:cs="Arial"/>
        </w:rPr>
        <w:t>-</w:t>
      </w:r>
      <w:r w:rsidR="001E13E2" w:rsidRPr="00192E23">
        <w:rPr>
          <w:rFonts w:cs="Arial"/>
        </w:rPr>
        <w:t xml:space="preserve">capacity factors. </w:t>
      </w:r>
      <w:r w:rsidR="00AC5C1C" w:rsidRPr="00B95EA2">
        <w:rPr>
          <w:rFonts w:cs="Arial"/>
        </w:rPr>
        <w:t>Thus</w:t>
      </w:r>
      <w:r w:rsidR="00AC5C1C" w:rsidRPr="00632241">
        <w:rPr>
          <w:rFonts w:cs="Arial"/>
        </w:rPr>
        <w:t>, while EPA or EPD may issue new or revised</w:t>
      </w:r>
      <w:r w:rsidR="002778D8" w:rsidRPr="67F86674">
        <w:t xml:space="preserve"> </w:t>
      </w:r>
      <w:r w:rsidR="002F510E" w:rsidRPr="67F86674">
        <w:t xml:space="preserve">regulations related to the </w:t>
      </w:r>
      <w:r w:rsidR="002778D8" w:rsidRPr="67F86674">
        <w:t xml:space="preserve">ozone </w:t>
      </w:r>
      <w:r w:rsidR="00192297" w:rsidRPr="00842B7F">
        <w:t xml:space="preserve">and PM </w:t>
      </w:r>
      <w:r w:rsidR="002778D8" w:rsidRPr="00842B7F">
        <w:t>NAAQS</w:t>
      </w:r>
      <w:r w:rsidR="002F510E" w:rsidRPr="00842B7F">
        <w:t xml:space="preserve"> and </w:t>
      </w:r>
      <w:r w:rsidR="003971A3" w:rsidRPr="00842B7F">
        <w:t xml:space="preserve">Regional Haze </w:t>
      </w:r>
      <w:r w:rsidR="00CC4545" w:rsidRPr="00842B7F">
        <w:t xml:space="preserve">in the future, </w:t>
      </w:r>
      <w:r w:rsidR="00CC4545" w:rsidRPr="00842B7F">
        <w:rPr>
          <w:rFonts w:cs="Arial"/>
        </w:rPr>
        <w:t>no additional controls are assumed to be necessary.</w:t>
      </w:r>
      <w:r w:rsidR="003971A3" w:rsidRPr="1ACC5B7C">
        <w:rPr>
          <w:rFonts w:cs="Arial"/>
        </w:rPr>
        <w:t xml:space="preserve"> </w:t>
      </w:r>
    </w:p>
    <w:p w14:paraId="488D5763" w14:textId="1B90F823" w:rsidR="00B67BA9" w:rsidRPr="00761D22" w:rsidRDefault="006E47BF" w:rsidP="002531D4">
      <w:pPr>
        <w:pStyle w:val="Heading3"/>
        <w:rPr>
          <w:rFonts w:eastAsiaTheme="minorHAnsi" w:cs="Arial"/>
          <w:color w:val="000080"/>
        </w:rPr>
      </w:pPr>
      <w:hyperlink r:id="rId50" w:anchor="_Toc535908094" w:history="1">
        <w:bookmarkStart w:id="61" w:name="_Toc94197908"/>
        <w:r w:rsidR="00B67BA9" w:rsidRPr="00761D22">
          <w:rPr>
            <w:rFonts w:eastAsiaTheme="minorHAnsi" w:cs="Arial"/>
            <w:color w:val="000080"/>
          </w:rPr>
          <w:t>4.1.3</w:t>
        </w:r>
        <w:r w:rsidR="00C337A3" w:rsidRPr="00761D22">
          <w:rPr>
            <w:rFonts w:eastAsiaTheme="minorHAnsi" w:cs="Arial"/>
            <w:color w:val="000080"/>
          </w:rPr>
          <w:t xml:space="preserve"> </w:t>
        </w:r>
        <w:r w:rsidR="00B67BA9" w:rsidRPr="00761D22">
          <w:rPr>
            <w:rFonts w:eastAsiaTheme="minorHAnsi" w:cs="Arial"/>
            <w:color w:val="000080"/>
          </w:rPr>
          <w:t>Mercury and Air Toxics Standards</w:t>
        </w:r>
        <w:bookmarkEnd w:id="61"/>
      </w:hyperlink>
    </w:p>
    <w:p w14:paraId="2142A3A5" w14:textId="5DE8444E" w:rsidR="008D6F2E" w:rsidRPr="00DB7156" w:rsidRDefault="00951F00" w:rsidP="00951F00">
      <w:pPr>
        <w:tabs>
          <w:tab w:val="left" w:pos="720"/>
          <w:tab w:val="left" w:pos="1428"/>
          <w:tab w:val="left" w:pos="4716"/>
          <w:tab w:val="left" w:pos="4896"/>
          <w:tab w:val="left" w:pos="6718"/>
        </w:tabs>
        <w:suppressAutoHyphens/>
        <w:spacing w:after="0"/>
        <w:rPr>
          <w:rFonts w:cs="Arial"/>
        </w:rPr>
      </w:pPr>
      <w:r w:rsidRPr="11CD55EB">
        <w:rPr>
          <w:rFonts w:cs="Arial"/>
        </w:rPr>
        <w:t xml:space="preserve">Georgia Power and Southern Company </w:t>
      </w:r>
      <w:r w:rsidR="00CE5446" w:rsidRPr="11CD55EB">
        <w:rPr>
          <w:rFonts w:cs="Arial"/>
        </w:rPr>
        <w:t>were</w:t>
      </w:r>
      <w:r w:rsidRPr="11CD55EB">
        <w:rPr>
          <w:rFonts w:cs="Arial"/>
        </w:rPr>
        <w:t xml:space="preserve"> uniquely positioned to understand and implement mercury control technology appropriately across the operating fleet in large part due to the wealth of research and demonstration experience. </w:t>
      </w:r>
      <w:r w:rsidR="00417182" w:rsidRPr="11CD55EB">
        <w:rPr>
          <w:rFonts w:cs="Arial"/>
        </w:rPr>
        <w:t xml:space="preserve"> </w:t>
      </w:r>
      <w:r w:rsidRPr="11CD55EB">
        <w:rPr>
          <w:rFonts w:cs="Arial"/>
        </w:rPr>
        <w:t xml:space="preserve">Southern Company has collaborated with the U.S. </w:t>
      </w:r>
      <w:r w:rsidR="0096233B">
        <w:rPr>
          <w:rFonts w:cs="Arial"/>
        </w:rPr>
        <w:t>DOE</w:t>
      </w:r>
      <w:r w:rsidRPr="11CD55EB">
        <w:rPr>
          <w:rFonts w:cs="Arial"/>
        </w:rPr>
        <w:t xml:space="preserve">, EPRI, equipment suppliers, and other utilities on mercury research.  Building </w:t>
      </w:r>
      <w:r w:rsidR="002243EE" w:rsidRPr="11CD55EB">
        <w:rPr>
          <w:rFonts w:cs="Arial"/>
        </w:rPr>
        <w:t>off its</w:t>
      </w:r>
      <w:r w:rsidRPr="11CD55EB">
        <w:rPr>
          <w:rFonts w:cs="Arial"/>
        </w:rPr>
        <w:t xml:space="preserve"> previous experience, the Company’s research and testing program has enabled it to make individualized, targeted decisions for each unit that optimizes the available technology while minimizing costs to the customer.  </w:t>
      </w:r>
    </w:p>
    <w:p w14:paraId="07DE6DAD" w14:textId="77777777" w:rsidR="001626BA" w:rsidRDefault="001626BA" w:rsidP="002A4DFC">
      <w:pPr>
        <w:tabs>
          <w:tab w:val="left" w:pos="720"/>
          <w:tab w:val="left" w:pos="1428"/>
          <w:tab w:val="left" w:pos="4716"/>
          <w:tab w:val="left" w:pos="4896"/>
          <w:tab w:val="left" w:pos="6718"/>
        </w:tabs>
        <w:suppressAutoHyphens/>
        <w:spacing w:after="0"/>
      </w:pPr>
    </w:p>
    <w:p w14:paraId="7BDFE375" w14:textId="7EA88F75" w:rsidR="00867387" w:rsidRDefault="00867387" w:rsidP="008025DB">
      <w:r w:rsidRPr="00DB7156">
        <w:t>Georgia Power began comp</w:t>
      </w:r>
      <w:r>
        <w:t>lying with MATS</w:t>
      </w:r>
      <w:r w:rsidR="009B114D">
        <w:t xml:space="preserve"> in April 2016</w:t>
      </w:r>
      <w:r w:rsidRPr="00DB7156">
        <w:t xml:space="preserve">. </w:t>
      </w:r>
      <w:r w:rsidR="002A0D42">
        <w:t>While there have been multiple revisions</w:t>
      </w:r>
      <w:r w:rsidR="005F5A10">
        <w:t xml:space="preserve"> to the rule since then, no substantive changes to </w:t>
      </w:r>
      <w:r>
        <w:t xml:space="preserve">the </w:t>
      </w:r>
      <w:r w:rsidR="009B75EB">
        <w:t xml:space="preserve">particulate matter, mercury, or acid gas </w:t>
      </w:r>
      <w:r>
        <w:t>standards applicable to the Company’s units</w:t>
      </w:r>
      <w:r w:rsidR="005F5A10">
        <w:t xml:space="preserve"> have been made</w:t>
      </w:r>
      <w:r>
        <w:t xml:space="preserve">. Therefore, </w:t>
      </w:r>
      <w:r w:rsidRPr="00DB7156">
        <w:t xml:space="preserve">Georgia Power expects to continue to use the </w:t>
      </w:r>
      <w:r w:rsidR="0019134D">
        <w:t xml:space="preserve">existing </w:t>
      </w:r>
      <w:r w:rsidRPr="00DB7156">
        <w:t xml:space="preserve">MATS compliance </w:t>
      </w:r>
      <w:r w:rsidR="0005682F">
        <w:t>strategy</w:t>
      </w:r>
      <w:r w:rsidR="0005682F" w:rsidRPr="00DB7156">
        <w:t xml:space="preserve"> </w:t>
      </w:r>
      <w:r w:rsidRPr="00DB7156">
        <w:t xml:space="preserve">for each </w:t>
      </w:r>
      <w:r w:rsidR="0005682F">
        <w:t>coal-fired unit</w:t>
      </w:r>
      <w:r w:rsidRPr="00DB7156">
        <w:t xml:space="preserve">. </w:t>
      </w:r>
      <w:r w:rsidR="00520BDD">
        <w:t>The Company will continue to monitor any future rule changes, in</w:t>
      </w:r>
      <w:r w:rsidR="00846046">
        <w:t xml:space="preserve">cluding the </w:t>
      </w:r>
      <w:r w:rsidR="00FA580D">
        <w:t xml:space="preserve">proposal </w:t>
      </w:r>
      <w:r w:rsidR="007E56E8">
        <w:t xml:space="preserve">reconsidering </w:t>
      </w:r>
      <w:r w:rsidR="00095CCA">
        <w:t>the 2020</w:t>
      </w:r>
      <w:r w:rsidR="00CD6114">
        <w:t xml:space="preserve"> </w:t>
      </w:r>
      <w:r w:rsidR="00E4168C">
        <w:t xml:space="preserve">MATS </w:t>
      </w:r>
      <w:r w:rsidR="00D77BB3">
        <w:t>R</w:t>
      </w:r>
      <w:r w:rsidR="00CD6114">
        <w:t>econsideration of</w:t>
      </w:r>
      <w:r w:rsidR="00FB78B7">
        <w:t xml:space="preserve"> </w:t>
      </w:r>
      <w:r w:rsidR="00E4168C">
        <w:t>S</w:t>
      </w:r>
      <w:r w:rsidR="00FB78B7">
        <w:t xml:space="preserve">upplemental </w:t>
      </w:r>
      <w:r w:rsidR="00E4168C">
        <w:t>F</w:t>
      </w:r>
      <w:r w:rsidR="00FB78B7">
        <w:t xml:space="preserve">inding and </w:t>
      </w:r>
      <w:r w:rsidR="00FB78B7" w:rsidRPr="00D52DF5">
        <w:t>RTR</w:t>
      </w:r>
      <w:r w:rsidR="00846046" w:rsidRPr="00D52DF5">
        <w:t xml:space="preserve"> </w:t>
      </w:r>
      <w:r w:rsidR="74E611BC" w:rsidRPr="00D52DF5">
        <w:t xml:space="preserve">is </w:t>
      </w:r>
      <w:r w:rsidR="00846046" w:rsidRPr="00D52DF5">
        <w:t>currently at</w:t>
      </w:r>
      <w:r w:rsidR="00846046" w:rsidRPr="00F32637">
        <w:t xml:space="preserve"> OMB.</w:t>
      </w:r>
      <w:r w:rsidR="287C56B2">
        <w:t xml:space="preserve">  </w:t>
      </w:r>
      <w:r w:rsidR="00DF158E">
        <w:t>No additional controls are currently anticipated</w:t>
      </w:r>
      <w:r w:rsidR="000F392E">
        <w:t xml:space="preserve">, But the Company will </w:t>
      </w:r>
      <w:r w:rsidR="004961EE">
        <w:t>incorporate new requirements into the ECS process</w:t>
      </w:r>
      <w:r w:rsidR="00A62040">
        <w:t xml:space="preserve"> and refine or update the strategy as needed.</w:t>
      </w:r>
    </w:p>
    <w:p w14:paraId="16A28A16" w14:textId="655A5F38" w:rsidR="006B24F1" w:rsidRPr="00DB7156" w:rsidRDefault="006B24F1" w:rsidP="006B24F1">
      <w:pPr>
        <w:pStyle w:val="BBBodyTextFlush"/>
        <w:spacing w:after="0"/>
        <w:rPr>
          <w:rFonts w:ascii="Arial" w:hAnsi="Arial" w:cs="Arial"/>
        </w:rPr>
      </w:pPr>
      <w:bookmarkStart w:id="62" w:name="_Hlk529869506"/>
      <w:r w:rsidRPr="3AF9A23A">
        <w:rPr>
          <w:rFonts w:ascii="Arial" w:hAnsi="Arial" w:cs="Arial"/>
        </w:rPr>
        <w:t>For mercury, significant reductions are achieved on bituminous coal-fired units through the mercury reduction and capture co-benefits of the SCR and FGD.</w:t>
      </w:r>
      <w:r w:rsidR="00DB000D" w:rsidRPr="3AF9A23A">
        <w:rPr>
          <w:rFonts w:ascii="Arial" w:hAnsi="Arial" w:cs="Arial"/>
        </w:rPr>
        <w:t xml:space="preserve"> </w:t>
      </w:r>
      <w:r w:rsidRPr="3AF9A23A">
        <w:rPr>
          <w:rFonts w:ascii="Arial" w:hAnsi="Arial" w:cs="Arial"/>
        </w:rPr>
        <w:t xml:space="preserve"> However, additional incremental mercury reductions </w:t>
      </w:r>
      <w:r w:rsidR="00575726" w:rsidRPr="3AF9A23A">
        <w:rPr>
          <w:rFonts w:ascii="Arial" w:hAnsi="Arial" w:cs="Arial"/>
        </w:rPr>
        <w:t xml:space="preserve">are </w:t>
      </w:r>
      <w:r w:rsidRPr="3AF9A23A">
        <w:rPr>
          <w:rFonts w:ascii="Arial" w:hAnsi="Arial" w:cs="Arial"/>
        </w:rPr>
        <w:t>required to comply with the MATS mercury limit on a continuous basis. Therefore,</w:t>
      </w:r>
      <w:r w:rsidRPr="3AF9A23A" w:rsidDel="00A6734F">
        <w:rPr>
          <w:rFonts w:ascii="Arial" w:hAnsi="Arial" w:cs="Arial"/>
        </w:rPr>
        <w:t xml:space="preserve"> </w:t>
      </w:r>
      <w:r w:rsidR="00A6734F" w:rsidRPr="3AF9A23A">
        <w:rPr>
          <w:rFonts w:ascii="Arial" w:hAnsi="Arial" w:cs="Arial"/>
        </w:rPr>
        <w:t>Georgia Power</w:t>
      </w:r>
      <w:r w:rsidRPr="3AF9A23A">
        <w:rPr>
          <w:rFonts w:ascii="Arial" w:hAnsi="Arial" w:cs="Arial"/>
        </w:rPr>
        <w:t xml:space="preserve"> installed activated carbon and alkali sorbent (e.g., hydrated lime) injections systems on all units at Plants Bowen, Hammond, and Wansley. In addition, to minimize operational costs associated with the injection systems, Mercury Re-emission Control Systems (“MRCSs”) were also installed at Plant Bowen Units 1-2 and at Plant Wansley Units 1-2 to prevent re-emission of mercury once it is captured in the FGD.  To ensure compliance with the MATS particulate matter limits, optimization of the existing electrostatic precipitators (“ESPs”) was performed at Plant Bowen Units 1-2, and Plant Wansley Units 1-2, while baghouse retrofits were necessary at Plant Bowen Units 3-4 to capture additional particulate in the flue gases in order to comply.</w:t>
      </w:r>
    </w:p>
    <w:p w14:paraId="6E677D90" w14:textId="77777777" w:rsidR="006B24F1" w:rsidRPr="00DB7156" w:rsidRDefault="006B24F1" w:rsidP="006B24F1">
      <w:pPr>
        <w:pStyle w:val="BBBodyTextFlush"/>
        <w:spacing w:after="0"/>
        <w:rPr>
          <w:rFonts w:ascii="Arial" w:hAnsi="Arial" w:cs="Arial"/>
          <w:szCs w:val="20"/>
        </w:rPr>
      </w:pPr>
    </w:p>
    <w:p w14:paraId="13490071" w14:textId="17136208" w:rsidR="006B24F1" w:rsidRPr="00DB7156" w:rsidRDefault="003F59A8" w:rsidP="006B24F1">
      <w:pPr>
        <w:pStyle w:val="BBBodyTextFlush"/>
        <w:spacing w:after="0"/>
        <w:rPr>
          <w:rFonts w:ascii="Arial" w:hAnsi="Arial" w:cs="Arial"/>
          <w:szCs w:val="20"/>
        </w:rPr>
      </w:pPr>
      <w:r w:rsidRPr="00DB7156">
        <w:rPr>
          <w:rFonts w:ascii="Arial" w:hAnsi="Arial" w:cs="Arial"/>
          <w:szCs w:val="20"/>
        </w:rPr>
        <w:t xml:space="preserve">Coal-fired units with </w:t>
      </w:r>
      <w:r>
        <w:rPr>
          <w:rFonts w:ascii="Arial" w:hAnsi="Arial" w:cs="Arial"/>
          <w:szCs w:val="20"/>
        </w:rPr>
        <w:t xml:space="preserve">FGDs </w:t>
      </w:r>
      <w:r w:rsidRPr="00DB7156">
        <w:rPr>
          <w:rFonts w:ascii="Arial" w:hAnsi="Arial" w:cs="Arial"/>
          <w:szCs w:val="20"/>
        </w:rPr>
        <w:t>have the option to comply with either the MATS HCl or alternate SO</w:t>
      </w:r>
      <w:r w:rsidRPr="00DB7156">
        <w:rPr>
          <w:rFonts w:ascii="Arial" w:hAnsi="Arial" w:cs="Arial"/>
          <w:szCs w:val="20"/>
          <w:vertAlign w:val="subscript"/>
        </w:rPr>
        <w:t>2</w:t>
      </w:r>
      <w:r w:rsidRPr="00DB7156">
        <w:rPr>
          <w:rFonts w:ascii="Arial" w:hAnsi="Arial" w:cs="Arial"/>
          <w:szCs w:val="20"/>
        </w:rPr>
        <w:t xml:space="preserve"> emissions limit. </w:t>
      </w:r>
      <w:r w:rsidR="00A55444" w:rsidRPr="00A55444">
        <w:rPr>
          <w:rFonts w:ascii="Arial" w:hAnsi="Arial" w:cs="Arial"/>
          <w:szCs w:val="20"/>
        </w:rPr>
        <w:t>Due to the stringency of the MATS standard and limited operational flexibility relative to the Georgia Multipollutant Rule and SO</w:t>
      </w:r>
      <w:r w:rsidR="00A55444" w:rsidRPr="00A55444">
        <w:rPr>
          <w:rFonts w:ascii="Arial" w:hAnsi="Arial" w:cs="Arial"/>
          <w:szCs w:val="20"/>
          <w:vertAlign w:val="subscript"/>
        </w:rPr>
        <w:t>2</w:t>
      </w:r>
      <w:r w:rsidR="00A55444" w:rsidRPr="00A55444">
        <w:rPr>
          <w:rFonts w:ascii="Arial" w:hAnsi="Arial" w:cs="Arial"/>
          <w:szCs w:val="20"/>
        </w:rPr>
        <w:t xml:space="preserve"> Emissions Rule, the Company performed plant-specific optimization projects on the existing FGDs at Plants Bowen and Wansley to minimize potential impacts to reliability in the future as a part of the MATS compliance strategy.  </w:t>
      </w:r>
      <w:r w:rsidR="006B24F1" w:rsidRPr="00DB7156">
        <w:rPr>
          <w:rFonts w:ascii="Arial" w:hAnsi="Arial" w:cs="Arial"/>
          <w:szCs w:val="20"/>
        </w:rPr>
        <w:t>Additionally, measures were implemented at Plants Bowen and Wansley to optimize balance of plant performance and ensure reliability of mercury, acid gas, and particulate matter controls.</w:t>
      </w:r>
    </w:p>
    <w:bookmarkEnd w:id="62"/>
    <w:p w14:paraId="08BEC4CF" w14:textId="77777777" w:rsidR="00A55444" w:rsidRPr="00DB7156" w:rsidRDefault="00A55444" w:rsidP="00A55444">
      <w:pPr>
        <w:pStyle w:val="BBBodyTextFlush"/>
        <w:spacing w:after="0"/>
        <w:rPr>
          <w:rFonts w:ascii="Arial" w:hAnsi="Arial" w:cs="Arial"/>
          <w:szCs w:val="20"/>
        </w:rPr>
      </w:pPr>
    </w:p>
    <w:p w14:paraId="1990E4BC" w14:textId="554E0623" w:rsidR="00A55444" w:rsidRPr="00DB7156" w:rsidRDefault="00A55444" w:rsidP="00A55444">
      <w:pPr>
        <w:pStyle w:val="BBBodyTextFlush"/>
        <w:spacing w:after="0"/>
        <w:rPr>
          <w:rFonts w:ascii="Arial" w:hAnsi="Arial" w:cs="Arial"/>
          <w:szCs w:val="20"/>
        </w:rPr>
      </w:pPr>
      <w:r w:rsidRPr="00DB7156">
        <w:rPr>
          <w:rFonts w:ascii="Arial" w:hAnsi="Arial" w:cs="Arial"/>
          <w:szCs w:val="20"/>
        </w:rPr>
        <w:t xml:space="preserve">For the subbituminous coal-fired units at Plant Scherer, existing controls installed to comply with the </w:t>
      </w:r>
      <w:r>
        <w:rPr>
          <w:rFonts w:ascii="Arial" w:hAnsi="Arial" w:cs="Arial"/>
          <w:szCs w:val="20"/>
        </w:rPr>
        <w:t xml:space="preserve">Georgia </w:t>
      </w:r>
      <w:r w:rsidRPr="00DB7156">
        <w:rPr>
          <w:rFonts w:ascii="Arial" w:hAnsi="Arial" w:cs="Arial"/>
          <w:szCs w:val="20"/>
        </w:rPr>
        <w:t>Multipollutant Rule (</w:t>
      </w:r>
      <w:r w:rsidR="002243EE" w:rsidRPr="00DB7156">
        <w:rPr>
          <w:rFonts w:ascii="Arial" w:hAnsi="Arial" w:cs="Arial"/>
          <w:szCs w:val="20"/>
        </w:rPr>
        <w:t>i.e.,</w:t>
      </w:r>
      <w:r w:rsidRPr="00DB7156">
        <w:rPr>
          <w:rFonts w:ascii="Arial" w:hAnsi="Arial" w:cs="Arial"/>
          <w:szCs w:val="20"/>
        </w:rPr>
        <w:t xml:space="preserve"> FGD, SCR, and baghouse with </w:t>
      </w:r>
      <w:r>
        <w:rPr>
          <w:rFonts w:ascii="Arial" w:hAnsi="Arial" w:cs="Arial"/>
          <w:szCs w:val="20"/>
        </w:rPr>
        <w:t>activated carbon injection (“</w:t>
      </w:r>
      <w:r w:rsidRPr="00DB7156">
        <w:rPr>
          <w:rFonts w:ascii="Arial" w:hAnsi="Arial" w:cs="Arial"/>
          <w:szCs w:val="20"/>
        </w:rPr>
        <w:t>ACI</w:t>
      </w:r>
      <w:r>
        <w:rPr>
          <w:rFonts w:ascii="Arial" w:hAnsi="Arial" w:cs="Arial"/>
          <w:szCs w:val="20"/>
        </w:rPr>
        <w:t>”)</w:t>
      </w:r>
      <w:r w:rsidRPr="00DB7156">
        <w:rPr>
          <w:rFonts w:ascii="Arial" w:hAnsi="Arial" w:cs="Arial"/>
          <w:szCs w:val="20"/>
        </w:rPr>
        <w:t xml:space="preserve">) are used to comply with the MATS limits.  </w:t>
      </w:r>
    </w:p>
    <w:p w14:paraId="2D4E4A3A" w14:textId="77777777" w:rsidR="00932D97" w:rsidRPr="00DB7156" w:rsidRDefault="00932D97" w:rsidP="00A55444">
      <w:pPr>
        <w:pStyle w:val="BBBodyTextFlush"/>
        <w:spacing w:after="0"/>
        <w:rPr>
          <w:rFonts w:ascii="Arial" w:hAnsi="Arial" w:cs="Arial"/>
          <w:szCs w:val="20"/>
        </w:rPr>
      </w:pPr>
    </w:p>
    <w:p w14:paraId="5BF14DAD" w14:textId="16074E1B" w:rsidR="6471B4D4" w:rsidRDefault="6471B4D4">
      <w:pPr>
        <w:rPr>
          <w:rFonts w:eastAsia="Arial" w:cs="Arial"/>
          <w:szCs w:val="24"/>
        </w:rPr>
      </w:pPr>
      <w:r w:rsidRPr="00405C0C">
        <w:rPr>
          <w:rFonts w:eastAsia="Arial" w:cs="Arial"/>
          <w:szCs w:val="24"/>
        </w:rPr>
        <w:t>Plant Yates Units 6 and 7 and Plant Gaston Units 1-4 switched to natural gas as the primary fuel. By</w:t>
      </w:r>
      <w:r w:rsidRPr="2F56D082">
        <w:rPr>
          <w:rFonts w:eastAsia="Arial" w:cs="Arial"/>
          <w:szCs w:val="24"/>
        </w:rPr>
        <w:t xml:space="preserve"> switching to natural gas, these units are no longer subject to MATS because MATS applies only to coal- and oil-fired units. </w:t>
      </w:r>
      <w:r w:rsidR="001D7192">
        <w:rPr>
          <w:rFonts w:eastAsia="Arial" w:cs="Arial"/>
          <w:szCs w:val="24"/>
        </w:rPr>
        <w:t>Georgia Power</w:t>
      </w:r>
      <w:r w:rsidRPr="2F56D082">
        <w:rPr>
          <w:rFonts w:eastAsia="Arial" w:cs="Arial"/>
          <w:szCs w:val="24"/>
        </w:rPr>
        <w:t xml:space="preserve"> determined that use of natural gas at these plants is the most economic choice for customers and is feasible both from a boiler technology as well as a natural gas fuel supply perspective.  </w:t>
      </w:r>
    </w:p>
    <w:p w14:paraId="47A9EC59" w14:textId="4D230383" w:rsidR="6471B4D4" w:rsidRDefault="6471B4D4">
      <w:pPr>
        <w:rPr>
          <w:rFonts w:eastAsia="Arial" w:cs="Arial"/>
          <w:szCs w:val="24"/>
        </w:rPr>
      </w:pPr>
      <w:r w:rsidRPr="2F56D082">
        <w:rPr>
          <w:rFonts w:eastAsia="Arial" w:cs="Arial"/>
          <w:szCs w:val="24"/>
        </w:rPr>
        <w:t xml:space="preserve">For other unscrubbed coal- or oil-fired steam generating units, options for MATS compliance </w:t>
      </w:r>
      <w:r w:rsidR="001D7192" w:rsidRPr="2F56D082">
        <w:rPr>
          <w:rFonts w:eastAsia="Arial" w:cs="Arial"/>
          <w:szCs w:val="24"/>
        </w:rPr>
        <w:t>w</w:t>
      </w:r>
      <w:r w:rsidR="001D7192">
        <w:rPr>
          <w:rFonts w:eastAsia="Arial" w:cs="Arial"/>
          <w:szCs w:val="24"/>
        </w:rPr>
        <w:t>ere</w:t>
      </w:r>
      <w:r w:rsidR="001D7192" w:rsidRPr="2F56D082">
        <w:rPr>
          <w:rFonts w:eastAsia="Arial" w:cs="Arial"/>
          <w:szCs w:val="24"/>
        </w:rPr>
        <w:t xml:space="preserve"> </w:t>
      </w:r>
      <w:r w:rsidRPr="2F56D082">
        <w:rPr>
          <w:rFonts w:eastAsia="Arial" w:cs="Arial"/>
          <w:szCs w:val="24"/>
        </w:rPr>
        <w:t>very limited and/or cost prohibitive</w:t>
      </w:r>
      <w:r w:rsidR="00490A38">
        <w:rPr>
          <w:rFonts w:eastAsia="Arial" w:cs="Arial"/>
          <w:szCs w:val="24"/>
        </w:rPr>
        <w:t>; therefore</w:t>
      </w:r>
      <w:r w:rsidRPr="2F56D082" w:rsidDel="00490A38">
        <w:rPr>
          <w:rFonts w:eastAsia="Arial" w:cs="Arial"/>
          <w:szCs w:val="24"/>
        </w:rPr>
        <w:t>,</w:t>
      </w:r>
      <w:r w:rsidRPr="2F56D082">
        <w:rPr>
          <w:rFonts w:eastAsia="Arial" w:cs="Arial"/>
          <w:szCs w:val="24"/>
        </w:rPr>
        <w:t xml:space="preserve"> these units were retired.   </w:t>
      </w:r>
    </w:p>
    <w:p w14:paraId="6795A6EB" w14:textId="58E0747A" w:rsidR="00C94F7F" w:rsidRPr="00761D22" w:rsidRDefault="006E47BF" w:rsidP="002531D4">
      <w:pPr>
        <w:pStyle w:val="Heading3"/>
        <w:rPr>
          <w:rFonts w:eastAsiaTheme="minorHAnsi" w:cs="Arial"/>
          <w:color w:val="000080"/>
        </w:rPr>
      </w:pPr>
      <w:hyperlink r:id="rId51" w:anchor="_Toc535908095" w:history="1">
        <w:bookmarkStart w:id="63" w:name="_Toc94197909"/>
        <w:r w:rsidR="00B67BA9" w:rsidRPr="00761D22">
          <w:rPr>
            <w:rFonts w:eastAsiaTheme="minorHAnsi" w:cs="Arial"/>
            <w:color w:val="000080"/>
          </w:rPr>
          <w:t>4.1.4</w:t>
        </w:r>
        <w:r w:rsidR="00C337A3" w:rsidRPr="00761D22">
          <w:rPr>
            <w:rFonts w:eastAsiaTheme="minorHAnsi" w:cs="Arial"/>
            <w:color w:val="000080"/>
          </w:rPr>
          <w:t xml:space="preserve"> </w:t>
        </w:r>
        <w:r w:rsidR="00B67BA9" w:rsidRPr="00761D22">
          <w:rPr>
            <w:rFonts w:eastAsiaTheme="minorHAnsi" w:cs="Arial"/>
            <w:color w:val="000080"/>
          </w:rPr>
          <w:t>Greenhouse Gases</w:t>
        </w:r>
        <w:bookmarkEnd w:id="63"/>
      </w:hyperlink>
    </w:p>
    <w:p w14:paraId="46B8A456" w14:textId="2784A49B" w:rsidR="00292CB7" w:rsidRDefault="00A4338F" w:rsidP="008025DB">
      <w:pPr>
        <w:rPr>
          <w:rFonts w:eastAsia="Calibri"/>
        </w:rPr>
      </w:pPr>
      <w:r w:rsidRPr="3E557F12">
        <w:rPr>
          <w:rFonts w:eastAsia="Calibri"/>
        </w:rPr>
        <w:t xml:space="preserve">As detailed </w:t>
      </w:r>
      <w:r w:rsidR="003020D8" w:rsidRPr="11CD55EB">
        <w:rPr>
          <w:rFonts w:eastAsia="Calibri"/>
        </w:rPr>
        <w:t>above</w:t>
      </w:r>
      <w:r w:rsidR="001F17C2">
        <w:rPr>
          <w:rFonts w:eastAsia="Calibri"/>
        </w:rPr>
        <w:t xml:space="preserve"> in </w:t>
      </w:r>
      <w:r w:rsidR="00CC119D">
        <w:rPr>
          <w:rFonts w:eastAsia="Calibri"/>
        </w:rPr>
        <w:t>Section 3.2</w:t>
      </w:r>
      <w:r w:rsidRPr="3E557F12">
        <w:rPr>
          <w:rFonts w:eastAsia="Calibri"/>
        </w:rPr>
        <w:t xml:space="preserve">, there is a great deal of </w:t>
      </w:r>
      <w:r w:rsidR="00674C59" w:rsidRPr="3E557F12">
        <w:rPr>
          <w:rFonts w:eastAsia="Calibri"/>
        </w:rPr>
        <w:t xml:space="preserve">activity </w:t>
      </w:r>
      <w:r w:rsidRPr="3E557F12">
        <w:rPr>
          <w:rFonts w:eastAsia="Calibri"/>
        </w:rPr>
        <w:t>relate</w:t>
      </w:r>
      <w:r w:rsidR="00962201">
        <w:rPr>
          <w:rFonts w:eastAsia="Calibri"/>
        </w:rPr>
        <w:t>d</w:t>
      </w:r>
      <w:r w:rsidRPr="3E557F12">
        <w:rPr>
          <w:rFonts w:eastAsia="Calibri"/>
        </w:rPr>
        <w:t xml:space="preserve"> to </w:t>
      </w:r>
      <w:r w:rsidR="00C860B7" w:rsidRPr="3E557F12">
        <w:rPr>
          <w:rFonts w:eastAsia="Calibri"/>
        </w:rPr>
        <w:t xml:space="preserve">climate and </w:t>
      </w:r>
      <w:r w:rsidRPr="3E557F12">
        <w:rPr>
          <w:rFonts w:eastAsia="Calibri"/>
        </w:rPr>
        <w:t xml:space="preserve">carbon </w:t>
      </w:r>
      <w:r w:rsidR="00962201">
        <w:rPr>
          <w:rFonts w:eastAsia="Calibri"/>
        </w:rPr>
        <w:t xml:space="preserve">legislation and </w:t>
      </w:r>
      <w:r w:rsidRPr="3E557F12">
        <w:rPr>
          <w:rFonts w:eastAsia="Calibri"/>
        </w:rPr>
        <w:t>regulation</w:t>
      </w:r>
      <w:r w:rsidR="00C860B7" w:rsidRPr="3E557F12">
        <w:rPr>
          <w:rFonts w:eastAsia="Calibri"/>
        </w:rPr>
        <w:t xml:space="preserve">. </w:t>
      </w:r>
      <w:r w:rsidR="005C5948" w:rsidRPr="3E557F12">
        <w:rPr>
          <w:rFonts w:eastAsia="Calibri"/>
        </w:rPr>
        <w:t xml:space="preserve">These </w:t>
      </w:r>
      <w:r w:rsidR="00FF7485" w:rsidRPr="3E557F12">
        <w:rPr>
          <w:rFonts w:eastAsia="Calibri"/>
        </w:rPr>
        <w:t>po</w:t>
      </w:r>
      <w:r w:rsidR="00A5296E" w:rsidRPr="3E557F12">
        <w:rPr>
          <w:rFonts w:eastAsia="Calibri"/>
        </w:rPr>
        <w:t>tential actions</w:t>
      </w:r>
      <w:r w:rsidR="00C90A32" w:rsidRPr="3E557F12">
        <w:rPr>
          <w:rFonts w:eastAsia="Calibri"/>
        </w:rPr>
        <w:t xml:space="preserve"> </w:t>
      </w:r>
      <w:r w:rsidR="00A61321">
        <w:rPr>
          <w:rFonts w:eastAsia="Calibri"/>
        </w:rPr>
        <w:t>are expected</w:t>
      </w:r>
      <w:r w:rsidR="00597445" w:rsidRPr="3E557F12">
        <w:rPr>
          <w:rFonts w:eastAsia="Calibri"/>
        </w:rPr>
        <w:t xml:space="preserve"> </w:t>
      </w:r>
      <w:r w:rsidR="002F1447">
        <w:rPr>
          <w:rFonts w:eastAsia="Calibri"/>
        </w:rPr>
        <w:t>to</w:t>
      </w:r>
      <w:r w:rsidR="00597445" w:rsidRPr="3E557F12">
        <w:rPr>
          <w:rFonts w:eastAsia="Calibri"/>
        </w:rPr>
        <w:t xml:space="preserve"> </w:t>
      </w:r>
      <w:r w:rsidR="00F23818" w:rsidRPr="3E557F12">
        <w:rPr>
          <w:rFonts w:eastAsia="Calibri"/>
        </w:rPr>
        <w:t xml:space="preserve">result in </w:t>
      </w:r>
      <w:r w:rsidR="00CF0D96" w:rsidRPr="3E557F12">
        <w:rPr>
          <w:rFonts w:eastAsia="Calibri"/>
        </w:rPr>
        <w:t xml:space="preserve">legislative </w:t>
      </w:r>
      <w:r w:rsidR="006548B7" w:rsidRPr="3E557F12">
        <w:rPr>
          <w:rFonts w:eastAsia="Calibri"/>
        </w:rPr>
        <w:t>or</w:t>
      </w:r>
      <w:r w:rsidR="001D1BE6" w:rsidRPr="3E557F12">
        <w:rPr>
          <w:rFonts w:eastAsia="Calibri"/>
        </w:rPr>
        <w:t xml:space="preserve"> regulatory </w:t>
      </w:r>
      <w:r w:rsidR="00CC7E0D" w:rsidRPr="3E557F12">
        <w:rPr>
          <w:rFonts w:eastAsia="Calibri"/>
        </w:rPr>
        <w:t xml:space="preserve">pressures </w:t>
      </w:r>
      <w:r w:rsidR="002B15C8" w:rsidRPr="3E557F12">
        <w:rPr>
          <w:rFonts w:eastAsia="Calibri"/>
        </w:rPr>
        <w:t>aimed at reducing carbon emissions</w:t>
      </w:r>
      <w:r w:rsidR="00360A70">
        <w:rPr>
          <w:rFonts w:eastAsia="Calibri"/>
        </w:rPr>
        <w:t xml:space="preserve">, which would be most impactful to </w:t>
      </w:r>
      <w:r w:rsidR="002B2B4E">
        <w:rPr>
          <w:rFonts w:eastAsia="Calibri"/>
        </w:rPr>
        <w:t xml:space="preserve">fossil generation units. </w:t>
      </w:r>
      <w:r w:rsidR="001E7560" w:rsidRPr="40C0CBB8">
        <w:rPr>
          <w:rFonts w:eastAsia="Calibri"/>
        </w:rPr>
        <w:t xml:space="preserve"> </w:t>
      </w:r>
      <w:r w:rsidR="003C2BCD" w:rsidRPr="3E557F12">
        <w:rPr>
          <w:rFonts w:eastAsia="Calibri"/>
        </w:rPr>
        <w:t xml:space="preserve">With a wide </w:t>
      </w:r>
      <w:r w:rsidR="006065EF" w:rsidRPr="3E557F12">
        <w:rPr>
          <w:rFonts w:eastAsia="Calibri"/>
        </w:rPr>
        <w:t>range of possible outcomes</w:t>
      </w:r>
      <w:r w:rsidR="00EF24ED" w:rsidRPr="3E557F12">
        <w:rPr>
          <w:rFonts w:eastAsia="Calibri"/>
        </w:rPr>
        <w:t xml:space="preserve">, the Company’s </w:t>
      </w:r>
      <w:r w:rsidR="004D61DF" w:rsidRPr="3E557F12">
        <w:rPr>
          <w:rFonts w:eastAsia="Calibri"/>
        </w:rPr>
        <w:t xml:space="preserve">scenario planning process remains the best way to capture potential financial </w:t>
      </w:r>
      <w:r w:rsidR="0A168F56" w:rsidRPr="28CFE88B">
        <w:rPr>
          <w:rFonts w:eastAsia="Calibri"/>
        </w:rPr>
        <w:t>impacts</w:t>
      </w:r>
      <w:r w:rsidR="00237868">
        <w:rPr>
          <w:rFonts w:eastAsia="Calibri"/>
        </w:rPr>
        <w:t xml:space="preserve"> and allow for</w:t>
      </w:r>
      <w:r w:rsidR="00600081">
        <w:rPr>
          <w:rFonts w:eastAsia="Calibri"/>
        </w:rPr>
        <w:t xml:space="preserve"> long-term </w:t>
      </w:r>
      <w:r w:rsidR="00A9234C">
        <w:rPr>
          <w:rFonts w:eastAsia="Calibri"/>
        </w:rPr>
        <w:t>planning</w:t>
      </w:r>
      <w:r w:rsidR="00150ACE" w:rsidRPr="57C28621">
        <w:rPr>
          <w:rFonts w:eastAsia="Calibri"/>
        </w:rPr>
        <w:t xml:space="preserve"> to mitigate risks to customers</w:t>
      </w:r>
      <w:r w:rsidR="00A9234C" w:rsidRPr="57C28621">
        <w:rPr>
          <w:rFonts w:eastAsia="Calibri"/>
        </w:rPr>
        <w:t>.</w:t>
      </w:r>
      <w:r w:rsidR="7BB24F89" w:rsidRPr="52FC7AF0">
        <w:rPr>
          <w:rFonts w:eastAsia="Arial" w:cs="Arial"/>
        </w:rPr>
        <w:t xml:space="preserve"> </w:t>
      </w:r>
      <w:r w:rsidR="005511A6">
        <w:rPr>
          <w:rFonts w:eastAsia="Calibri"/>
        </w:rPr>
        <w:t>As shown in the graph below, t</w:t>
      </w:r>
      <w:r w:rsidR="000020A9">
        <w:t xml:space="preserve">he </w:t>
      </w:r>
      <w:r w:rsidR="00FB1DBB">
        <w:t xml:space="preserve">Georgia Power planning </w:t>
      </w:r>
      <w:r w:rsidR="000020A9">
        <w:t xml:space="preserve">scenarios cover a range of </w:t>
      </w:r>
      <w:r w:rsidR="005511A6">
        <w:t xml:space="preserve">potential outcomes for various carbon tax legislation. </w:t>
      </w:r>
      <w:r w:rsidR="00BD3DBC">
        <w:t xml:space="preserve">In addition, </w:t>
      </w:r>
      <w:r w:rsidR="000020A9">
        <w:t xml:space="preserve">emission reductions or clean electricity penetration that could be required in the recent </w:t>
      </w:r>
      <w:r w:rsidR="00ED35A5">
        <w:t xml:space="preserve">clean energy standard </w:t>
      </w:r>
      <w:r w:rsidR="000020A9">
        <w:t>legislative proposals</w:t>
      </w:r>
      <w:r w:rsidR="00BD3DBC">
        <w:t xml:space="preserve"> are also likely to be represented by the planning scenarios</w:t>
      </w:r>
      <w:r w:rsidR="00B473FC">
        <w:t xml:space="preserve"> range</w:t>
      </w:r>
      <w:r w:rsidR="00FB1DBB">
        <w:t>.</w:t>
      </w:r>
    </w:p>
    <w:p w14:paraId="786EACF2" w14:textId="41FDEA98" w:rsidR="004C6482" w:rsidRDefault="00880AFC" w:rsidP="008025DB">
      <w:r>
        <w:rPr>
          <w:noProof/>
        </w:rPr>
        <w:drawing>
          <wp:inline distT="0" distB="0" distL="0" distR="0" wp14:anchorId="451D9AD1" wp14:editId="481493B8">
            <wp:extent cx="5943600" cy="36264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5943600" cy="3626485"/>
                    </a:xfrm>
                    <a:prstGeom prst="rect">
                      <a:avLst/>
                    </a:prstGeom>
                  </pic:spPr>
                </pic:pic>
              </a:graphicData>
            </a:graphic>
          </wp:inline>
        </w:drawing>
      </w:r>
    </w:p>
    <w:p w14:paraId="0EC24525" w14:textId="6C9AF623" w:rsidR="005775A4" w:rsidRPr="005516F6" w:rsidRDefault="005775A4" w:rsidP="005775A4">
      <w:pPr>
        <w:rPr>
          <w:b/>
          <w:bCs/>
        </w:rPr>
      </w:pPr>
      <w:r>
        <w:rPr>
          <w:b/>
          <w:bCs/>
        </w:rPr>
        <w:t>Figure</w:t>
      </w:r>
      <w:r w:rsidRPr="005516F6">
        <w:rPr>
          <w:b/>
          <w:bCs/>
        </w:rPr>
        <w:t xml:space="preserve"> </w:t>
      </w:r>
      <w:r>
        <w:rPr>
          <w:b/>
          <w:bCs/>
        </w:rPr>
        <w:t>4</w:t>
      </w:r>
      <w:r w:rsidRPr="005516F6">
        <w:rPr>
          <w:b/>
          <w:bCs/>
        </w:rPr>
        <w:t>-</w:t>
      </w:r>
      <w:r>
        <w:rPr>
          <w:b/>
          <w:bCs/>
        </w:rPr>
        <w:t>1</w:t>
      </w:r>
      <w:r w:rsidRPr="005516F6">
        <w:rPr>
          <w:b/>
          <w:bCs/>
        </w:rPr>
        <w:t xml:space="preserve"> </w:t>
      </w:r>
      <w:r>
        <w:rPr>
          <w:b/>
          <w:bCs/>
        </w:rPr>
        <w:t>Georgia Power CO2 Scenarios Compared with Proposed Federal Carbon Tax Legislation in 2021.</w:t>
      </w:r>
    </w:p>
    <w:p w14:paraId="78B9D7FE" w14:textId="32A7C5E4" w:rsidR="00A458A9" w:rsidRDefault="00A458A9" w:rsidP="008025DB">
      <w:pPr>
        <w:rPr>
          <w:rFonts w:eastAsia="Calibri"/>
        </w:rPr>
      </w:pPr>
      <w:r>
        <w:rPr>
          <w:rFonts w:eastAsia="Arial" w:cs="Arial"/>
        </w:rPr>
        <w:t xml:space="preserve">When </w:t>
      </w:r>
      <w:r w:rsidR="00423793">
        <w:rPr>
          <w:rFonts w:eastAsia="Arial" w:cs="Arial"/>
        </w:rPr>
        <w:t xml:space="preserve">evaluating continue-to-operate or </w:t>
      </w:r>
      <w:r>
        <w:rPr>
          <w:rFonts w:eastAsia="Arial" w:cs="Arial"/>
        </w:rPr>
        <w:t xml:space="preserve">retirement options, </w:t>
      </w:r>
      <w:r w:rsidRPr="52FC7AF0">
        <w:rPr>
          <w:rFonts w:eastAsia="Arial" w:cs="Arial"/>
        </w:rPr>
        <w:t>Georgia Power</w:t>
      </w:r>
      <w:r w:rsidR="000B36AF">
        <w:rPr>
          <w:rFonts w:eastAsia="Arial" w:cs="Arial"/>
        </w:rPr>
        <w:t xml:space="preserve">’s planning scenarios process not only allows for consideration of future carbon costs, but also </w:t>
      </w:r>
      <w:r w:rsidR="001A5E22">
        <w:rPr>
          <w:rFonts w:eastAsia="Arial" w:cs="Arial"/>
        </w:rPr>
        <w:t xml:space="preserve">considers </w:t>
      </w:r>
      <w:r w:rsidR="007F0FCF">
        <w:rPr>
          <w:rFonts w:eastAsia="Arial" w:cs="Arial"/>
        </w:rPr>
        <w:t>other long-term planning needs</w:t>
      </w:r>
      <w:r w:rsidRPr="52FC7AF0">
        <w:rPr>
          <w:rFonts w:eastAsia="Arial" w:cs="Arial"/>
        </w:rPr>
        <w:t>, such as transmission system improvements</w:t>
      </w:r>
      <w:r w:rsidR="00544D61">
        <w:rPr>
          <w:rFonts w:eastAsia="Arial" w:cs="Arial"/>
        </w:rPr>
        <w:t>,</w:t>
      </w:r>
      <w:r w:rsidRPr="52FC7AF0">
        <w:rPr>
          <w:rFonts w:eastAsia="Arial" w:cs="Arial"/>
        </w:rPr>
        <w:t xml:space="preserve"> </w:t>
      </w:r>
      <w:r w:rsidRPr="27411AD2">
        <w:rPr>
          <w:rFonts w:eastAsia="Arial" w:cs="Arial"/>
        </w:rPr>
        <w:t xml:space="preserve">upcoming </w:t>
      </w:r>
      <w:r w:rsidRPr="707C7298">
        <w:rPr>
          <w:rFonts w:eastAsia="Arial" w:cs="Arial"/>
        </w:rPr>
        <w:t>replacement generation</w:t>
      </w:r>
      <w:r w:rsidRPr="27411AD2">
        <w:rPr>
          <w:rFonts w:eastAsia="Arial" w:cs="Arial"/>
        </w:rPr>
        <w:t xml:space="preserve"> resource needs</w:t>
      </w:r>
      <w:r w:rsidR="00544D61">
        <w:rPr>
          <w:rFonts w:eastAsia="Arial" w:cs="Arial"/>
        </w:rPr>
        <w:t>, and other infrastructure</w:t>
      </w:r>
      <w:r w:rsidRPr="27411AD2">
        <w:rPr>
          <w:rFonts w:eastAsia="Arial" w:cs="Arial"/>
        </w:rPr>
        <w:t>.</w:t>
      </w:r>
      <w:r w:rsidRPr="27411AD2">
        <w:rPr>
          <w:rFonts w:eastAsia="Calibri"/>
        </w:rPr>
        <w:t xml:space="preserve"> </w:t>
      </w:r>
      <w:r w:rsidRPr="3E557F12">
        <w:rPr>
          <w:rFonts w:eastAsia="Calibri"/>
        </w:rPr>
        <w:t xml:space="preserve">The Company will monitor and evaluate the outcome of these executive, legislative, and regulatory actions and </w:t>
      </w:r>
      <w:r w:rsidR="00BC7DB3">
        <w:rPr>
          <w:rFonts w:eastAsia="Calibri"/>
        </w:rPr>
        <w:t>incorporate any new information into the</w:t>
      </w:r>
      <w:r w:rsidRPr="3E557F12">
        <w:rPr>
          <w:rFonts w:eastAsia="Calibri"/>
        </w:rPr>
        <w:t xml:space="preserve"> compliance strateg</w:t>
      </w:r>
      <w:r w:rsidR="00BC7DB3">
        <w:rPr>
          <w:rFonts w:eastAsia="Calibri"/>
        </w:rPr>
        <w:t>y process</w:t>
      </w:r>
      <w:r w:rsidRPr="3E557F12">
        <w:rPr>
          <w:rFonts w:eastAsia="Calibri"/>
        </w:rPr>
        <w:t xml:space="preserve"> as appropriate.</w:t>
      </w:r>
    </w:p>
    <w:p w14:paraId="7CEAF7AC" w14:textId="7101737C" w:rsidR="00E43DBF" w:rsidRPr="00687033" w:rsidRDefault="005A347A" w:rsidP="00CE151D">
      <w:pPr>
        <w:pStyle w:val="Heading2"/>
      </w:pPr>
      <w:bookmarkStart w:id="64" w:name="_Toc94197910"/>
      <w:r w:rsidRPr="00687033">
        <w:t>4.2 Water Compliance Strategy Review</w:t>
      </w:r>
      <w:bookmarkEnd w:id="64"/>
    </w:p>
    <w:p w14:paraId="3F41CECA" w14:textId="4EC0C08F" w:rsidR="00B85961" w:rsidRDefault="00B85961" w:rsidP="008025DB">
      <w:r w:rsidRPr="00DB7156">
        <w:t xml:space="preserve">The water compliance strategy considers a variety of regulations related to water quality and </w:t>
      </w:r>
      <w:r w:rsidR="00B819DD">
        <w:t>use</w:t>
      </w:r>
      <w:r w:rsidR="00026B69">
        <w:t xml:space="preserve">, </w:t>
      </w:r>
      <w:r w:rsidR="009A00EB">
        <w:t>including</w:t>
      </w:r>
      <w:r w:rsidRPr="00DB7156">
        <w:t xml:space="preserve"> both nationwide standards as well as state requirements.</w:t>
      </w:r>
      <w:r w:rsidR="00C15204">
        <w:t xml:space="preserve"> The strategy </w:t>
      </w:r>
      <w:r w:rsidR="000F01E8">
        <w:t>focuses on</w:t>
      </w:r>
      <w:r w:rsidR="00C15204">
        <w:t xml:space="preserve"> all facilities that use and discharge water</w:t>
      </w:r>
      <w:r w:rsidR="000F01E8">
        <w:t>,</w:t>
      </w:r>
      <w:r w:rsidR="00C15204">
        <w:t xml:space="preserve"> including fossil fueled</w:t>
      </w:r>
      <w:r w:rsidR="007F21BA">
        <w:t xml:space="preserve"> plants</w:t>
      </w:r>
      <w:r w:rsidR="00C15204">
        <w:t xml:space="preserve"> and </w:t>
      </w:r>
      <w:r w:rsidR="007F21BA">
        <w:t>hydroelectric</w:t>
      </w:r>
      <w:r w:rsidR="00C15204">
        <w:t xml:space="preserve"> facilities.</w:t>
      </w:r>
      <w:r w:rsidRPr="00DB7156">
        <w:t xml:space="preserve">  The </w:t>
      </w:r>
      <w:r>
        <w:t xml:space="preserve">strategy and actions required to meet these regulations </w:t>
      </w:r>
      <w:r w:rsidRPr="00DB7156">
        <w:t xml:space="preserve">are discussed below. </w:t>
      </w:r>
    </w:p>
    <w:p w14:paraId="483A88CC" w14:textId="750C88DA" w:rsidR="005A347A" w:rsidRPr="00E43DBF" w:rsidRDefault="005A347A" w:rsidP="002531D4">
      <w:pPr>
        <w:pStyle w:val="Heading3"/>
      </w:pPr>
      <w:bookmarkStart w:id="65" w:name="_Toc94197911"/>
      <w:r w:rsidRPr="005B7E4D">
        <w:t>4.2.1</w:t>
      </w:r>
      <w:r w:rsidR="00C337A3" w:rsidRPr="00E43DBF">
        <w:t xml:space="preserve"> </w:t>
      </w:r>
      <w:r w:rsidRPr="00E43DBF">
        <w:t>Cooling Water Intake Structures</w:t>
      </w:r>
      <w:bookmarkEnd w:id="65"/>
    </w:p>
    <w:p w14:paraId="6B18076A" w14:textId="604C1655" w:rsidR="00233EFD" w:rsidRDefault="005950AC" w:rsidP="008025DB">
      <w:pPr>
        <w:rPr>
          <w:highlight w:val="yellow"/>
        </w:rPr>
      </w:pPr>
      <w:r>
        <w:t xml:space="preserve">For purposes of 316(b) </w:t>
      </w:r>
      <w:r w:rsidR="00710395">
        <w:t xml:space="preserve">rule </w:t>
      </w:r>
      <w:r>
        <w:t xml:space="preserve">compliance, </w:t>
      </w:r>
      <w:r w:rsidR="00E61325">
        <w:t>P</w:t>
      </w:r>
      <w:r w:rsidR="002D39AA">
        <w:t>lants</w:t>
      </w:r>
      <w:r w:rsidR="00233EFD">
        <w:t xml:space="preserve"> </w:t>
      </w:r>
      <w:r w:rsidR="00A44D01">
        <w:t>Bowen, McDonough, McIntosh</w:t>
      </w:r>
      <w:r w:rsidR="0021069F">
        <w:t xml:space="preserve"> CC</w:t>
      </w:r>
      <w:r w:rsidR="00A44D01">
        <w:t xml:space="preserve">, Scherer, Wansley, and Yates </w:t>
      </w:r>
      <w:r w:rsidR="00233EFD">
        <w:t>employ closed-cycle cooling</w:t>
      </w:r>
      <w:r w:rsidR="00391369">
        <w:t xml:space="preserve"> and therefore, </w:t>
      </w:r>
      <w:r w:rsidR="00A85C2D">
        <w:t xml:space="preserve">have been determined by EPD to </w:t>
      </w:r>
      <w:r w:rsidR="00391369">
        <w:t xml:space="preserve">comply with the impingement and entrainment </w:t>
      </w:r>
      <w:r w:rsidR="00E6128D">
        <w:t>BTA requirements of the rule and their NPDES permits.</w:t>
      </w:r>
      <w:r w:rsidR="009019D0">
        <w:t xml:space="preserve"> EPD </w:t>
      </w:r>
      <w:r w:rsidR="007B69F1">
        <w:t xml:space="preserve">has required </w:t>
      </w:r>
      <w:r w:rsidR="00233EFD">
        <w:t>installation of flow monitoring equipment, where not already installed</w:t>
      </w:r>
      <w:r w:rsidR="0042733F">
        <w:t xml:space="preserve"> or an alternative </w:t>
      </w:r>
      <w:r w:rsidR="0097060E">
        <w:t>calculation method</w:t>
      </w:r>
      <w:r w:rsidR="001E7BC7">
        <w:t xml:space="preserve">, to </w:t>
      </w:r>
      <w:r w:rsidR="003F2B44">
        <w:t xml:space="preserve">demonstrate </w:t>
      </w:r>
      <w:r w:rsidR="00DE0175">
        <w:t>effective operation as a closed-cycle</w:t>
      </w:r>
      <w:r w:rsidDel="00233EFD">
        <w:t xml:space="preserve"> cooling </w:t>
      </w:r>
      <w:r w:rsidR="00DE0175">
        <w:t>facility.</w:t>
      </w:r>
      <w:r w:rsidDel="00233EFD">
        <w:t xml:space="preserve"> </w:t>
      </w:r>
      <w:r w:rsidR="00233EFD">
        <w:t xml:space="preserve">A summary of the cooling types and associated controls included in the Company’s strategy for each unit </w:t>
      </w:r>
      <w:r w:rsidR="005E2BBD">
        <w:t xml:space="preserve">is </w:t>
      </w:r>
      <w:r w:rsidR="00233EFD">
        <w:t>included in Table 4.2.2-1.</w:t>
      </w:r>
    </w:p>
    <w:p w14:paraId="00C54408" w14:textId="74AFB7FE" w:rsidR="00A91424" w:rsidRDefault="00233EFD" w:rsidP="008025DB">
      <w:r w:rsidRPr="2576BA3E">
        <w:t xml:space="preserve">In </w:t>
      </w:r>
      <w:r w:rsidR="70EDCEAD" w:rsidRPr="2576BA3E">
        <w:t>2019, the PSC approved</w:t>
      </w:r>
      <w:r w:rsidRPr="00DB7156">
        <w:t xml:space="preserve"> decertification of </w:t>
      </w:r>
      <w:r w:rsidRPr="00DB7156" w:rsidDel="00201BC8">
        <w:t xml:space="preserve">Plant </w:t>
      </w:r>
      <w:r w:rsidRPr="00DB7156">
        <w:t xml:space="preserve">McIntosh Unit 1. </w:t>
      </w:r>
      <w:r w:rsidR="00833BDC">
        <w:t xml:space="preserve">While </w:t>
      </w:r>
      <w:r w:rsidR="000A2DB6" w:rsidRPr="00452531">
        <w:t xml:space="preserve">Plant </w:t>
      </w:r>
      <w:r w:rsidRPr="00452531">
        <w:t xml:space="preserve">McIntosh Unit 1 </w:t>
      </w:r>
      <w:r w:rsidR="00894D6B" w:rsidRPr="00452531">
        <w:t xml:space="preserve">is no longer subject to </w:t>
      </w:r>
      <w:r w:rsidRPr="00452531">
        <w:t>316(b</w:t>
      </w:r>
      <w:r w:rsidR="003A7D3A">
        <w:t>)</w:t>
      </w:r>
      <w:r w:rsidR="00ED661E" w:rsidRPr="00452531">
        <w:t>,</w:t>
      </w:r>
      <w:r w:rsidR="005774F2" w:rsidRPr="00452531">
        <w:t xml:space="preserve"> </w:t>
      </w:r>
      <w:r w:rsidR="008662CB" w:rsidRPr="00452531">
        <w:t>the site still maintains a cooling water intake st</w:t>
      </w:r>
      <w:r w:rsidR="000B1774" w:rsidRPr="00452531">
        <w:t xml:space="preserve">ructure for the operation of Units 10 and 11. </w:t>
      </w:r>
      <w:r w:rsidR="00344D1E">
        <w:t>A</w:t>
      </w:r>
      <w:r w:rsidR="7BB65382" w:rsidRPr="00E22B66">
        <w:t xml:space="preserve">s </w:t>
      </w:r>
      <w:r w:rsidR="7BB65382" w:rsidRPr="007E510A">
        <w:t>part of Georgia EPD’s final BTA determination</w:t>
      </w:r>
      <w:r w:rsidR="004B203E">
        <w:t xml:space="preserve"> for </w:t>
      </w:r>
      <w:r w:rsidR="000465C1">
        <w:t>entrainment related to the</w:t>
      </w:r>
      <w:r w:rsidR="00ED661E" w:rsidRPr="007E510A" w:rsidDel="000465C1">
        <w:t xml:space="preserve"> </w:t>
      </w:r>
      <w:r w:rsidR="003115ED" w:rsidRPr="007E510A">
        <w:t>remaining units</w:t>
      </w:r>
      <w:r w:rsidR="480DEEA8" w:rsidRPr="007E510A">
        <w:t>,</w:t>
      </w:r>
      <w:r w:rsidR="7BB65382" w:rsidRPr="007E510A">
        <w:t xml:space="preserve"> </w:t>
      </w:r>
      <w:r w:rsidR="00B41865">
        <w:t xml:space="preserve">through the </w:t>
      </w:r>
      <w:r w:rsidR="001D1B05">
        <w:t xml:space="preserve">NPDES permit, </w:t>
      </w:r>
      <w:r w:rsidR="7BB65382" w:rsidRPr="007E510A">
        <w:t>Plant</w:t>
      </w:r>
      <w:r w:rsidR="0E0407C5" w:rsidRPr="007E510A">
        <w:t xml:space="preserve"> </w:t>
      </w:r>
      <w:r w:rsidR="03CBB62B" w:rsidRPr="007E510A">
        <w:t xml:space="preserve">McIntosh </w:t>
      </w:r>
      <w:r w:rsidR="004D306A">
        <w:t>was</w:t>
      </w:r>
      <w:r w:rsidR="004D306A" w:rsidRPr="007E510A">
        <w:t xml:space="preserve"> </w:t>
      </w:r>
      <w:r w:rsidR="3C195FD3" w:rsidRPr="007E510A">
        <w:t xml:space="preserve">required to replace </w:t>
      </w:r>
      <w:r w:rsidR="03CBB62B" w:rsidRPr="007E510A">
        <w:t xml:space="preserve">the </w:t>
      </w:r>
      <w:r w:rsidR="0EE7993B" w:rsidRPr="007E510A">
        <w:t xml:space="preserve">existing intake pumps, which were designed for Unit 1, with smaller pumps </w:t>
      </w:r>
      <w:r w:rsidR="001B70B3">
        <w:t>appropriately sized</w:t>
      </w:r>
      <w:r w:rsidR="001B70B3" w:rsidRPr="007E510A">
        <w:t xml:space="preserve"> </w:t>
      </w:r>
      <w:r w:rsidR="0EE7993B" w:rsidRPr="007E510A">
        <w:t xml:space="preserve">with </w:t>
      </w:r>
      <w:r w:rsidR="13B0D0B4" w:rsidRPr="007E510A">
        <w:t xml:space="preserve">the water intake needs </w:t>
      </w:r>
      <w:r w:rsidR="732C48D4" w:rsidRPr="007E510A">
        <w:t xml:space="preserve">and operation of the cooling towers for </w:t>
      </w:r>
      <w:r w:rsidR="13B0D0B4" w:rsidRPr="007E510A">
        <w:t>the combined cycle Units 10 and 11.</w:t>
      </w:r>
      <w:r w:rsidR="00344D1E">
        <w:t xml:space="preserve"> This project was successfully completed in 2021.</w:t>
      </w:r>
      <w:r w:rsidR="13B0D0B4" w:rsidRPr="007E510A">
        <w:t xml:space="preserve"> </w:t>
      </w:r>
    </w:p>
    <w:p w14:paraId="41FCD9E7" w14:textId="71E03D2E" w:rsidR="0080615F" w:rsidRDefault="00A91424" w:rsidP="008025DB">
      <w:r>
        <w:t xml:space="preserve">In this IRP, Georgia Power is requesting </w:t>
      </w:r>
      <w:r w:rsidRPr="006B4FDA">
        <w:t xml:space="preserve">decertification </w:t>
      </w:r>
      <w:r w:rsidR="007562B4" w:rsidRPr="006B4FDA">
        <w:t xml:space="preserve">of GPC’s ownership </w:t>
      </w:r>
      <w:r w:rsidR="0048380D" w:rsidRPr="006B4FDA" w:rsidDel="00CC6CA3">
        <w:t xml:space="preserve">for </w:t>
      </w:r>
      <w:r w:rsidR="0048380D" w:rsidRPr="006B4FDA">
        <w:t>Plant Gaston</w:t>
      </w:r>
      <w:r w:rsidR="003043ED" w:rsidRPr="006B4FDA">
        <w:t>’s Unit</w:t>
      </w:r>
      <w:r w:rsidR="00C926C9" w:rsidRPr="006B4FDA">
        <w:t>s</w:t>
      </w:r>
      <w:r w:rsidR="003043ED" w:rsidRPr="006B4FDA">
        <w:t xml:space="preserve"> 1-4</w:t>
      </w:r>
      <w:r w:rsidR="2162B8A7" w:rsidRPr="006B4FDA">
        <w:t xml:space="preserve"> by December 31, 2028</w:t>
      </w:r>
      <w:r w:rsidR="0048380D" w:rsidRPr="006B4FDA">
        <w:t>.</w:t>
      </w:r>
      <w:r w:rsidR="00F60738" w:rsidRPr="006B4FDA">
        <w:t xml:space="preserve">  </w:t>
      </w:r>
      <w:r w:rsidR="005700BB" w:rsidRPr="006B4FDA">
        <w:t>Plant Gaston</w:t>
      </w:r>
      <w:r w:rsidR="00AB4DC3" w:rsidRPr="006B4FDA">
        <w:t>’s strategy for 316(b) compliance</w:t>
      </w:r>
      <w:r w:rsidR="00DA1440" w:rsidRPr="00CF62DB">
        <w:t xml:space="preserve"> </w:t>
      </w:r>
      <w:r w:rsidR="00AD224A">
        <w:t>includes</w:t>
      </w:r>
      <w:r w:rsidR="00DA1440" w:rsidRPr="00CF62DB">
        <w:t xml:space="preserve"> intake </w:t>
      </w:r>
      <w:r w:rsidR="00565CA8">
        <w:t xml:space="preserve">screen </w:t>
      </w:r>
      <w:r w:rsidR="00DA1440" w:rsidRPr="00CF62DB">
        <w:t>modifications</w:t>
      </w:r>
      <w:r w:rsidR="004104DB">
        <w:t xml:space="preserve"> </w:t>
      </w:r>
      <w:r w:rsidR="00DE078E" w:rsidRPr="00612388">
        <w:t xml:space="preserve">with </w:t>
      </w:r>
      <w:r w:rsidR="00701468">
        <w:t xml:space="preserve">a </w:t>
      </w:r>
      <w:r w:rsidR="00DE078E" w:rsidRPr="00612388">
        <w:t xml:space="preserve">fish </w:t>
      </w:r>
      <w:r w:rsidR="003A7D3A" w:rsidRPr="00612388">
        <w:t xml:space="preserve">friendly </w:t>
      </w:r>
      <w:r w:rsidR="00DE078E" w:rsidRPr="00612388">
        <w:t>return</w:t>
      </w:r>
      <w:r w:rsidR="3C73133D">
        <w:t xml:space="preserve"> system</w:t>
      </w:r>
      <w:r w:rsidR="00DA1440">
        <w:t>.</w:t>
      </w:r>
      <w:r w:rsidR="00344B64">
        <w:t xml:space="preserve"> T</w:t>
      </w:r>
      <w:r w:rsidR="00504E66">
        <w:t xml:space="preserve">he 316(b) compliance strategy will </w:t>
      </w:r>
      <w:r w:rsidR="00283B36">
        <w:t>be reviewed and approved via the BTA</w:t>
      </w:r>
      <w:r w:rsidR="00C84EED">
        <w:t xml:space="preserve"> </w:t>
      </w:r>
      <w:r w:rsidR="001E7D74">
        <w:t>determination</w:t>
      </w:r>
      <w:r w:rsidR="00283B36">
        <w:t xml:space="preserve"> process and</w:t>
      </w:r>
      <w:r w:rsidR="004E6A4B">
        <w:t xml:space="preserve"> subsequent</w:t>
      </w:r>
      <w:r w:rsidR="00283B36">
        <w:t xml:space="preserve"> NPDES permit issuance</w:t>
      </w:r>
      <w:r w:rsidR="001E7D74">
        <w:t xml:space="preserve"> by the Alabama Department of Environmental Protection.</w:t>
      </w:r>
      <w:r w:rsidR="00283B36">
        <w:t xml:space="preserve"> </w:t>
      </w:r>
      <w:r w:rsidR="004E6A4B">
        <w:t>T</w:t>
      </w:r>
      <w:r w:rsidR="00283B36">
        <w:t xml:space="preserve">he timing </w:t>
      </w:r>
      <w:r w:rsidR="0002762B">
        <w:t xml:space="preserve">of the installation is </w:t>
      </w:r>
      <w:r w:rsidR="00F84105">
        <w:t>dependent</w:t>
      </w:r>
      <w:r w:rsidR="00AA6C22">
        <w:t xml:space="preserve"> on the permit issuance with a</w:t>
      </w:r>
      <w:r w:rsidR="00685B8B">
        <w:t xml:space="preserve">n </w:t>
      </w:r>
      <w:r w:rsidR="00F84105">
        <w:t xml:space="preserve">expected </w:t>
      </w:r>
      <w:r w:rsidR="00685B8B">
        <w:t xml:space="preserve">installation date of </w:t>
      </w:r>
      <w:r w:rsidR="00AA6C22">
        <w:t>2026.</w:t>
      </w:r>
      <w:r w:rsidR="001E7D74">
        <w:t xml:space="preserve"> </w:t>
      </w:r>
      <w:r w:rsidR="0B256AD5">
        <w:t xml:space="preserve"> These costs are</w:t>
      </w:r>
      <w:r w:rsidR="00E460BD">
        <w:t xml:space="preserve"> anticipated to be</w:t>
      </w:r>
      <w:r w:rsidR="0B256AD5">
        <w:t xml:space="preserve"> required even with the retirement of the </w:t>
      </w:r>
      <w:r w:rsidR="00E61325">
        <w:t>Plant Gaston</w:t>
      </w:r>
      <w:r w:rsidR="0B256AD5">
        <w:t xml:space="preserve"> Unit</w:t>
      </w:r>
      <w:r w:rsidR="00C926C9">
        <w:t>s</w:t>
      </w:r>
      <w:r w:rsidR="0B256AD5">
        <w:t xml:space="preserve"> 1-4 in 2028.</w:t>
      </w:r>
      <w:r w:rsidR="00DA1440" w:rsidRPr="00612388">
        <w:t xml:space="preserve"> Specifically, the intake screen structures will serve to reduce </w:t>
      </w:r>
      <w:r w:rsidR="005B1D55" w:rsidRPr="00612388">
        <w:t>impingement</w:t>
      </w:r>
      <w:r w:rsidR="00DA1440" w:rsidRPr="00612388">
        <w:t xml:space="preserve"> and entrainment of aquatic species.</w:t>
      </w:r>
      <w:r w:rsidR="00726198">
        <w:t xml:space="preserve"> </w:t>
      </w:r>
    </w:p>
    <w:p w14:paraId="089EC591" w14:textId="4AE73AD8" w:rsidR="005A347A" w:rsidRPr="008B3AF0" w:rsidRDefault="005A347A" w:rsidP="002531D4">
      <w:pPr>
        <w:pStyle w:val="Heading3"/>
      </w:pPr>
      <w:bookmarkStart w:id="66" w:name="_Toc94197912"/>
      <w:r w:rsidRPr="008B3AF0">
        <w:t>4.2.2</w:t>
      </w:r>
      <w:r w:rsidR="00C337A3" w:rsidRPr="008B3AF0">
        <w:t xml:space="preserve"> </w:t>
      </w:r>
      <w:r w:rsidRPr="008B3AF0">
        <w:t>Wastewater Treatment Facilities</w:t>
      </w:r>
      <w:bookmarkEnd w:id="66"/>
    </w:p>
    <w:p w14:paraId="135B5C8D" w14:textId="2B183118" w:rsidR="00B55203" w:rsidRDefault="0DBA4AFE" w:rsidP="00B55203">
      <w:pPr>
        <w:tabs>
          <w:tab w:val="center" w:pos="4392"/>
        </w:tabs>
        <w:suppressAutoHyphens/>
        <w:spacing w:after="0"/>
        <w:rPr>
          <w:rFonts w:eastAsia="Arial" w:cs="Arial"/>
        </w:rPr>
      </w:pPr>
      <w:r w:rsidRPr="12E428E8">
        <w:rPr>
          <w:rFonts w:eastAsia="Arial" w:cs="Arial"/>
        </w:rPr>
        <w:t xml:space="preserve">The </w:t>
      </w:r>
      <w:r w:rsidR="00960A49">
        <w:rPr>
          <w:rFonts w:eastAsia="Arial" w:cs="Arial"/>
        </w:rPr>
        <w:t>2015</w:t>
      </w:r>
      <w:r w:rsidRPr="12E428E8">
        <w:rPr>
          <w:rFonts w:eastAsia="Arial" w:cs="Arial"/>
        </w:rPr>
        <w:t xml:space="preserve"> ELG Rule include</w:t>
      </w:r>
      <w:r w:rsidR="00960A49">
        <w:rPr>
          <w:rFonts w:eastAsia="Arial" w:cs="Arial"/>
        </w:rPr>
        <w:t>d</w:t>
      </w:r>
      <w:r w:rsidRPr="12E428E8">
        <w:rPr>
          <w:rFonts w:eastAsia="Arial" w:cs="Arial"/>
        </w:rPr>
        <w:t xml:space="preserve"> stringent requirements for handling of fly ash, bottom ash, </w:t>
      </w:r>
      <w:r w:rsidR="00C24653">
        <w:rPr>
          <w:rFonts w:eastAsia="Arial" w:cs="Arial"/>
        </w:rPr>
        <w:t xml:space="preserve">plant process water, </w:t>
      </w:r>
      <w:r w:rsidR="006965F7">
        <w:rPr>
          <w:rFonts w:eastAsia="Arial" w:cs="Arial"/>
        </w:rPr>
        <w:t>as well</w:t>
      </w:r>
      <w:r w:rsidR="00A82BBB">
        <w:rPr>
          <w:rFonts w:eastAsia="Arial" w:cs="Arial"/>
        </w:rPr>
        <w:t xml:space="preserve"> as </w:t>
      </w:r>
      <w:r w:rsidRPr="12E428E8">
        <w:rPr>
          <w:rFonts w:eastAsia="Arial" w:cs="Arial"/>
        </w:rPr>
        <w:t xml:space="preserve">treatment </w:t>
      </w:r>
      <w:r w:rsidR="00A82BBB">
        <w:rPr>
          <w:rFonts w:eastAsia="Arial" w:cs="Arial"/>
        </w:rPr>
        <w:t>of</w:t>
      </w:r>
      <w:r w:rsidRPr="12E428E8">
        <w:rPr>
          <w:rFonts w:eastAsia="Arial" w:cs="Arial"/>
        </w:rPr>
        <w:t xml:space="preserve"> </w:t>
      </w:r>
      <w:r w:rsidR="003370CE">
        <w:t>FGD wastewater</w:t>
      </w:r>
      <w:r w:rsidR="00B2513A">
        <w:rPr>
          <w:rFonts w:eastAsia="Arial" w:cs="Arial"/>
        </w:rPr>
        <w:t>.</w:t>
      </w:r>
      <w:r w:rsidRPr="12E428E8">
        <w:rPr>
          <w:rFonts w:eastAsia="Arial" w:cs="Arial"/>
        </w:rPr>
        <w:t xml:space="preserve"> </w:t>
      </w:r>
      <w:r w:rsidR="00B55203">
        <w:t xml:space="preserve">In compliance with both the 2015 ELG Rule, its subsequent amendments, and state and Federal CCR rules and as presented and approved in the 2016 and 2019 IRPs, the Company has completed installation of additional </w:t>
      </w:r>
      <w:r w:rsidR="00EC16AA">
        <w:t>control</w:t>
      </w:r>
      <w:r w:rsidR="00B55203">
        <w:t xml:space="preserve"> systems for fly ash and bottom ash transport water at Plants Bowen, Scherer, and Wansley and low volume wastewater at Plants Bowen, McIntosh, Scherer, and Wansley. These systems were necessitated by the closure of the ash ponds and the requirement to replace their treatment functionality to meet requirements in the ELG </w:t>
      </w:r>
      <w:r w:rsidR="000039A3">
        <w:t>R</w:t>
      </w:r>
      <w:r w:rsidR="00B55203">
        <w:t>ule.</w:t>
      </w:r>
      <w:r w:rsidR="000B06D3" w:rsidRPr="000B06D3">
        <w:rPr>
          <w:rFonts w:eastAsia="Arial" w:cs="Arial"/>
        </w:rPr>
        <w:t xml:space="preserve"> </w:t>
      </w:r>
      <w:r w:rsidR="000B06D3" w:rsidRPr="12E428E8">
        <w:rPr>
          <w:rFonts w:eastAsia="Arial" w:cs="Arial"/>
        </w:rPr>
        <w:t xml:space="preserve">The Company’s </w:t>
      </w:r>
      <w:r w:rsidR="000B06D3">
        <w:rPr>
          <w:rFonts w:eastAsia="Arial" w:cs="Arial"/>
        </w:rPr>
        <w:t xml:space="preserve">2022 </w:t>
      </w:r>
      <w:r w:rsidR="000B06D3" w:rsidRPr="12E428E8">
        <w:rPr>
          <w:rFonts w:eastAsia="Arial" w:cs="Arial"/>
        </w:rPr>
        <w:t>compliance strategy for the ELG and CCR Rules builds on and refines the Commission-approved ECS in the 2019 IRP filing (</w:t>
      </w:r>
      <w:r w:rsidR="000B06D3" w:rsidRPr="00B23C19">
        <w:rPr>
          <w:rFonts w:eastAsia="Arial" w:cs="Arial"/>
        </w:rPr>
        <w:t>Docket No. 40161</w:t>
      </w:r>
      <w:r w:rsidR="000B06D3" w:rsidRPr="12E428E8">
        <w:rPr>
          <w:rFonts w:eastAsia="Arial" w:cs="Arial"/>
        </w:rPr>
        <w:t>) as well as the Company’s 2021 ECS filing with the Commission.</w:t>
      </w:r>
    </w:p>
    <w:p w14:paraId="5D816B64" w14:textId="77777777" w:rsidR="00B55203" w:rsidRDefault="00B55203" w:rsidP="00B55203">
      <w:pPr>
        <w:tabs>
          <w:tab w:val="center" w:pos="4392"/>
        </w:tabs>
        <w:suppressAutoHyphens/>
        <w:spacing w:after="0"/>
        <w:rPr>
          <w:rFonts w:cs="Arial"/>
        </w:rPr>
      </w:pPr>
    </w:p>
    <w:p w14:paraId="50E29C1E" w14:textId="34502FEB" w:rsidR="00A651E1" w:rsidRDefault="006F1323" w:rsidP="00F508AA">
      <w:r w:rsidRPr="0084296F">
        <w:t xml:space="preserve">As discussed in </w:t>
      </w:r>
      <w:r w:rsidRPr="00BC48ED">
        <w:t xml:space="preserve">Section </w:t>
      </w:r>
      <w:r w:rsidRPr="00BC48ED" w:rsidDel="000A0458">
        <w:t>3.</w:t>
      </w:r>
      <w:r w:rsidR="000A0458">
        <w:t>4.12</w:t>
      </w:r>
      <w:r w:rsidRPr="00BC48ED">
        <w:t>,</w:t>
      </w:r>
      <w:r w:rsidRPr="0084296F">
        <w:t xml:space="preserve"> the ELG Reconsideration </w:t>
      </w:r>
      <w:r>
        <w:t>R</w:t>
      </w:r>
      <w:r w:rsidRPr="0084296F">
        <w:t>ule</w:t>
      </w:r>
      <w:r>
        <w:t xml:space="preserve"> revised</w:t>
      </w:r>
      <w:r w:rsidRPr="0084296F">
        <w:t xml:space="preserve"> the 2015 Rule’s BAT effluent limitations guidelines that apply to </w:t>
      </w:r>
      <w:r>
        <w:t xml:space="preserve">FGD wastewater </w:t>
      </w:r>
      <w:r w:rsidRPr="0084296F">
        <w:t xml:space="preserve">and </w:t>
      </w:r>
      <w:r>
        <w:t>bottom ash transport water</w:t>
      </w:r>
      <w:r w:rsidRPr="0084296F">
        <w:t>.</w:t>
      </w:r>
      <w:r w:rsidRPr="009319E7">
        <w:rPr>
          <w:rFonts w:eastAsia="Arial" w:cs="Arial"/>
        </w:rPr>
        <w:t xml:space="preserve"> </w:t>
      </w:r>
      <w:r w:rsidR="0DBA4AFE" w:rsidRPr="12E428E8">
        <w:rPr>
          <w:rFonts w:eastAsia="Arial" w:cs="Arial"/>
        </w:rPr>
        <w:t xml:space="preserve">These requirements are being incorporated in Georgia Power’s NPDES permits by </w:t>
      </w:r>
      <w:r w:rsidR="002A64A9">
        <w:rPr>
          <w:rFonts w:eastAsia="Arial" w:cs="Arial"/>
        </w:rPr>
        <w:t>Georgia EPD</w:t>
      </w:r>
      <w:r w:rsidR="0DBA4AFE" w:rsidRPr="12E428E8">
        <w:rPr>
          <w:rFonts w:eastAsia="Arial" w:cs="Arial"/>
        </w:rPr>
        <w:t xml:space="preserve"> with allowance for changes necessitated by </w:t>
      </w:r>
      <w:r w:rsidR="00B33FBE">
        <w:rPr>
          <w:rFonts w:eastAsia="Arial" w:cs="Arial"/>
        </w:rPr>
        <w:t xml:space="preserve">any further regulatory </w:t>
      </w:r>
      <w:r w:rsidR="00B21AFE">
        <w:rPr>
          <w:rFonts w:eastAsia="Arial" w:cs="Arial"/>
        </w:rPr>
        <w:t>revisions</w:t>
      </w:r>
      <w:r w:rsidR="0DBA4AFE" w:rsidRPr="12E428E8">
        <w:rPr>
          <w:rFonts w:eastAsia="Arial" w:cs="Arial"/>
        </w:rPr>
        <w:t>.</w:t>
      </w:r>
      <w:r w:rsidR="00355A57" w:rsidRPr="00355A57">
        <w:t xml:space="preserve"> </w:t>
      </w:r>
      <w:r w:rsidR="00245E01">
        <w:rPr>
          <w:rFonts w:eastAsia="Arial" w:cs="Arial"/>
        </w:rPr>
        <w:t xml:space="preserve"> </w:t>
      </w:r>
      <w:r w:rsidR="0015533F" w:rsidRPr="67B70DA8">
        <w:rPr>
          <w:rFonts w:eastAsia="Arial" w:cs="Arial"/>
        </w:rPr>
        <w:t>These</w:t>
      </w:r>
      <w:r w:rsidR="00245E01" w:rsidDel="0015533F">
        <w:rPr>
          <w:rFonts w:eastAsia="Arial" w:cs="Arial"/>
        </w:rPr>
        <w:t xml:space="preserve"> </w:t>
      </w:r>
      <w:r w:rsidR="00245E01">
        <w:rPr>
          <w:rFonts w:eastAsia="Arial" w:cs="Arial"/>
        </w:rPr>
        <w:t>NPDES permits</w:t>
      </w:r>
      <w:r w:rsidR="009319E7" w:rsidRPr="12E428E8">
        <w:rPr>
          <w:rFonts w:eastAsia="Arial" w:cs="Arial"/>
        </w:rPr>
        <w:t xml:space="preserve"> </w:t>
      </w:r>
      <w:r w:rsidR="009319E7">
        <w:rPr>
          <w:rFonts w:eastAsia="Arial" w:cs="Arial"/>
        </w:rPr>
        <w:t>have and will</w:t>
      </w:r>
      <w:r w:rsidR="009319E7" w:rsidRPr="12E428E8">
        <w:rPr>
          <w:rFonts w:eastAsia="Arial" w:cs="Arial"/>
        </w:rPr>
        <w:t xml:space="preserve"> require new or supplemental wastewater treatment </w:t>
      </w:r>
      <w:r w:rsidR="00D34F4B">
        <w:rPr>
          <w:rFonts w:eastAsia="Arial" w:cs="Arial"/>
        </w:rPr>
        <w:t xml:space="preserve">systems </w:t>
      </w:r>
      <w:r w:rsidR="009319E7" w:rsidRPr="00DB512B">
        <w:rPr>
          <w:rFonts w:eastAsia="Arial" w:cs="Arial"/>
        </w:rPr>
        <w:t>on multiple waste streams</w:t>
      </w:r>
      <w:r w:rsidR="009319E7" w:rsidRPr="12E428E8">
        <w:rPr>
          <w:rFonts w:eastAsia="Arial" w:cs="Arial"/>
        </w:rPr>
        <w:t xml:space="preserve"> at Georgia Power plants</w:t>
      </w:r>
      <w:r w:rsidR="00BB7B12">
        <w:rPr>
          <w:rFonts w:eastAsia="Arial" w:cs="Arial"/>
        </w:rPr>
        <w:t xml:space="preserve"> to </w:t>
      </w:r>
      <w:r w:rsidR="00FF779B">
        <w:rPr>
          <w:rFonts w:eastAsia="Arial" w:cs="Arial"/>
        </w:rPr>
        <w:t>satisfy the ELG Reconsideration Rule</w:t>
      </w:r>
      <w:r w:rsidR="009319E7" w:rsidRPr="12E428E8">
        <w:rPr>
          <w:rFonts w:eastAsia="Arial" w:cs="Arial"/>
        </w:rPr>
        <w:t>.</w:t>
      </w:r>
      <w:r w:rsidR="004909C5" w:rsidDel="003950BC">
        <w:rPr>
          <w:rFonts w:eastAsia="Arial" w:cs="Arial"/>
        </w:rPr>
        <w:t xml:space="preserve"> </w:t>
      </w:r>
      <w:r w:rsidR="00706172">
        <w:t>T</w:t>
      </w:r>
      <w:r w:rsidR="00DF4406" w:rsidRPr="0084296F">
        <w:t xml:space="preserve">he Company is </w:t>
      </w:r>
      <w:r w:rsidR="1BCDD64D">
        <w:t xml:space="preserve">now </w:t>
      </w:r>
      <w:r w:rsidR="00DF4406" w:rsidRPr="0084296F">
        <w:t xml:space="preserve">focused on </w:t>
      </w:r>
      <w:r w:rsidR="1BCDD64D">
        <w:t>the</w:t>
      </w:r>
      <w:r w:rsidR="00DF4406" w:rsidRPr="0084296F">
        <w:t xml:space="preserve"> </w:t>
      </w:r>
      <w:r w:rsidR="003370CE">
        <w:t>FGD wastewater</w:t>
      </w:r>
      <w:r w:rsidR="0049640D">
        <w:t xml:space="preserve"> </w:t>
      </w:r>
      <w:r w:rsidR="00DF4406" w:rsidRPr="0084296F">
        <w:t xml:space="preserve">strategy at </w:t>
      </w:r>
      <w:r w:rsidR="00DF4406" w:rsidRPr="00F80C27">
        <w:t>Plants Bowen,</w:t>
      </w:r>
      <w:r w:rsidR="00B97EE2" w:rsidRPr="00F80C27">
        <w:t xml:space="preserve"> </w:t>
      </w:r>
      <w:r w:rsidR="001A67EF">
        <w:t>Gaston,</w:t>
      </w:r>
      <w:r w:rsidR="00B97EE2" w:rsidRPr="00F80C27">
        <w:t xml:space="preserve"> </w:t>
      </w:r>
      <w:r w:rsidR="00DF4406" w:rsidRPr="00F80C27">
        <w:t>Scherer</w:t>
      </w:r>
      <w:r w:rsidR="00B97EE2" w:rsidRPr="00F80C27">
        <w:t>, and Wansley</w:t>
      </w:r>
      <w:r w:rsidR="00DF4406" w:rsidRPr="006F1023">
        <w:t xml:space="preserve">. </w:t>
      </w:r>
    </w:p>
    <w:p w14:paraId="23286E96" w14:textId="127BD52A" w:rsidR="00F508AA" w:rsidRPr="0084296F" w:rsidRDefault="00DF4406" w:rsidP="00F508AA">
      <w:r w:rsidRPr="006F1023">
        <w:t>Compliance</w:t>
      </w:r>
      <w:r w:rsidRPr="0084296F">
        <w:t xml:space="preserve"> with the </w:t>
      </w:r>
      <w:r w:rsidR="005E5582">
        <w:t xml:space="preserve">ELGs for </w:t>
      </w:r>
      <w:r w:rsidR="003370CE">
        <w:t>FGD wastewater</w:t>
      </w:r>
      <w:r w:rsidRPr="0084296F">
        <w:t xml:space="preserve"> </w:t>
      </w:r>
      <w:r w:rsidR="003A3E77" w:rsidRPr="37612734">
        <w:rPr>
          <w:rFonts w:cs="Arial"/>
        </w:rPr>
        <w:t xml:space="preserve">is a site-specific effort that </w:t>
      </w:r>
      <w:r w:rsidR="00164544" w:rsidRPr="37612734">
        <w:rPr>
          <w:rFonts w:cs="Arial"/>
        </w:rPr>
        <w:t xml:space="preserve">needs </w:t>
      </w:r>
      <w:r w:rsidR="00D27A29" w:rsidRPr="37612734">
        <w:rPr>
          <w:rFonts w:cs="Arial"/>
        </w:rPr>
        <w:t xml:space="preserve">a </w:t>
      </w:r>
      <w:r w:rsidR="00164544" w:rsidRPr="37612734">
        <w:rPr>
          <w:rFonts w:cs="Arial"/>
        </w:rPr>
        <w:t>tailor</w:t>
      </w:r>
      <w:r w:rsidR="00FE6AA2" w:rsidRPr="37612734">
        <w:rPr>
          <w:rFonts w:cs="Arial"/>
        </w:rPr>
        <w:t>ed</w:t>
      </w:r>
      <w:r w:rsidR="00164544" w:rsidRPr="37612734">
        <w:rPr>
          <w:rFonts w:cs="Arial"/>
        </w:rPr>
        <w:t xml:space="preserve"> design </w:t>
      </w:r>
      <w:r w:rsidR="00E041C3" w:rsidRPr="37612734">
        <w:rPr>
          <w:rFonts w:cs="Arial"/>
        </w:rPr>
        <w:t>for</w:t>
      </w:r>
      <w:r w:rsidR="00164544" w:rsidRPr="37612734">
        <w:rPr>
          <w:rFonts w:cs="Arial"/>
        </w:rPr>
        <w:t xml:space="preserve"> the s</w:t>
      </w:r>
      <w:r w:rsidR="003A2339" w:rsidRPr="37612734">
        <w:rPr>
          <w:rFonts w:cs="Arial"/>
        </w:rPr>
        <w:t>ite</w:t>
      </w:r>
      <w:r w:rsidR="0005018C" w:rsidRPr="37612734">
        <w:rPr>
          <w:rFonts w:cs="Arial"/>
        </w:rPr>
        <w:t>’</w:t>
      </w:r>
      <w:r w:rsidR="003A2339" w:rsidRPr="37612734">
        <w:rPr>
          <w:rFonts w:cs="Arial"/>
        </w:rPr>
        <w:t>s</w:t>
      </w:r>
      <w:r w:rsidR="00164544" w:rsidRPr="37612734">
        <w:rPr>
          <w:rFonts w:cs="Arial"/>
        </w:rPr>
        <w:t xml:space="preserve"> water chemistry</w:t>
      </w:r>
      <w:r w:rsidR="00125BF7" w:rsidRPr="37612734">
        <w:rPr>
          <w:rFonts w:cs="Arial"/>
        </w:rPr>
        <w:t xml:space="preserve"> and water volume needs, as well as site-specific </w:t>
      </w:r>
      <w:r w:rsidR="009B0F87" w:rsidRPr="37612734">
        <w:rPr>
          <w:rFonts w:cs="Arial"/>
        </w:rPr>
        <w:t>logistics</w:t>
      </w:r>
      <w:r w:rsidR="005E31E3" w:rsidRPr="37612734">
        <w:rPr>
          <w:rFonts w:cs="Arial"/>
        </w:rPr>
        <w:t xml:space="preserve"> and space availability.</w:t>
      </w:r>
      <w:r w:rsidR="009B0F87" w:rsidRPr="37612734">
        <w:rPr>
          <w:rFonts w:cs="Arial"/>
        </w:rPr>
        <w:t xml:space="preserve"> This site specificity makes the use of standardized designs and modular construction techniques largely impractical</w:t>
      </w:r>
      <w:r w:rsidRPr="37612734">
        <w:rPr>
          <w:rFonts w:cs="Arial"/>
        </w:rPr>
        <w:t>.</w:t>
      </w:r>
      <w:r w:rsidRPr="0084296F">
        <w:t xml:space="preserve"> It should also be noted that </w:t>
      </w:r>
      <w:r w:rsidR="003370CE">
        <w:t>FGD wastewater</w:t>
      </w:r>
      <w:r w:rsidR="00F11D1B">
        <w:t xml:space="preserve"> </w:t>
      </w:r>
      <w:r w:rsidRPr="0084296F">
        <w:t>treatment systems are not widely deployed in the U.S</w:t>
      </w:r>
      <w:r w:rsidR="00926D77">
        <w:t>.</w:t>
      </w:r>
      <w:r w:rsidRPr="0084296F">
        <w:t xml:space="preserve"> </w:t>
      </w:r>
      <w:r w:rsidR="00926D77">
        <w:t>T</w:t>
      </w:r>
      <w:r w:rsidRPr="0084296F">
        <w:t>herefore, the Company has undergone</w:t>
      </w:r>
      <w:r w:rsidR="00926D77">
        <w:t>,</w:t>
      </w:r>
      <w:r w:rsidRPr="0084296F">
        <w:t xml:space="preserve"> </w:t>
      </w:r>
      <w:r w:rsidR="00CF253C">
        <w:t>and continues</w:t>
      </w:r>
      <w:r w:rsidR="00E7605C">
        <w:t>,</w:t>
      </w:r>
      <w:r w:rsidR="00B839F3">
        <w:t xml:space="preserve"> </w:t>
      </w:r>
      <w:r w:rsidRPr="0084296F">
        <w:t xml:space="preserve">significant review and consideration </w:t>
      </w:r>
      <w:r w:rsidR="003E3F76">
        <w:t xml:space="preserve">of the </w:t>
      </w:r>
      <w:r w:rsidR="000D4B17">
        <w:t>regulatory requirements</w:t>
      </w:r>
      <w:r w:rsidR="003E3F76">
        <w:t xml:space="preserve"> </w:t>
      </w:r>
      <w:r w:rsidRPr="0084296F">
        <w:t xml:space="preserve">to develop a strategy to ensure cost-effective technology performance, reliability, and compliance. </w:t>
      </w:r>
      <w:r w:rsidR="00F508AA" w:rsidRPr="006B0D7A">
        <w:t xml:space="preserve">The Company </w:t>
      </w:r>
      <w:r w:rsidR="00F17C25" w:rsidRPr="0039726C">
        <w:t>continue</w:t>
      </w:r>
      <w:r w:rsidR="004B3FEC" w:rsidRPr="0039726C">
        <w:t xml:space="preserve">s to </w:t>
      </w:r>
      <w:r w:rsidR="00227974">
        <w:t>respond to</w:t>
      </w:r>
      <w:r w:rsidR="004B3FEC" w:rsidRPr="0039726C">
        <w:t xml:space="preserve"> Georgia EPD </w:t>
      </w:r>
      <w:r w:rsidR="00734F83" w:rsidRPr="0039726C">
        <w:t>to</w:t>
      </w:r>
      <w:r w:rsidR="00F508AA" w:rsidRPr="00AC49AF">
        <w:t xml:space="preserve"> </w:t>
      </w:r>
      <w:r w:rsidR="00BB52A6" w:rsidRPr="0039726C">
        <w:t xml:space="preserve">incorporate </w:t>
      </w:r>
      <w:r w:rsidR="007C4394" w:rsidRPr="0039726C">
        <w:t xml:space="preserve">requirements in </w:t>
      </w:r>
      <w:r w:rsidR="00F508AA">
        <w:t xml:space="preserve">site-specific </w:t>
      </w:r>
      <w:r w:rsidR="007C4394" w:rsidRPr="0039726C">
        <w:t xml:space="preserve">NPDES </w:t>
      </w:r>
      <w:r w:rsidR="00F508AA">
        <w:t xml:space="preserve">permits to comply with the 2015 ELG Rule and subsequent </w:t>
      </w:r>
      <w:r w:rsidR="000B654C">
        <w:t>ELG</w:t>
      </w:r>
      <w:r w:rsidR="00F508AA">
        <w:t xml:space="preserve"> Reconsideration Rule. </w:t>
      </w:r>
      <w:r w:rsidR="00F508AA" w:rsidRPr="0AF8DB6F">
        <w:t>Factors</w:t>
      </w:r>
      <w:r w:rsidR="00407EEC">
        <w:t xml:space="preserve"> for EPD to consider in setting applicability </w:t>
      </w:r>
      <w:r w:rsidR="00777B79">
        <w:t xml:space="preserve">dates </w:t>
      </w:r>
      <w:r w:rsidR="00E54B00">
        <w:t>to comply with the ELG Reconsideration Rule</w:t>
      </w:r>
      <w:r w:rsidR="00777B79">
        <w:t xml:space="preserve"> are</w:t>
      </w:r>
      <w:r w:rsidR="00F508AA" w:rsidRPr="00AC49AF">
        <w:t xml:space="preserve"> provided in 40 CFR § 423</w:t>
      </w:r>
      <w:r w:rsidR="00777B79">
        <w:t xml:space="preserve"> and</w:t>
      </w:r>
      <w:r w:rsidR="00F508AA">
        <w:t xml:space="preserve"> </w:t>
      </w:r>
      <w:r w:rsidR="15485106">
        <w:t>includ</w:t>
      </w:r>
      <w:r w:rsidR="476041DF">
        <w:t>e</w:t>
      </w:r>
      <w:r w:rsidR="00F508AA">
        <w:t xml:space="preserve"> necessary time for the Company to meet the commitments of its regulatory process with this Commission, </w:t>
      </w:r>
      <w:r w:rsidR="3C2D5BD5">
        <w:t>a</w:t>
      </w:r>
      <w:r w:rsidR="15485106">
        <w:t>s</w:t>
      </w:r>
      <w:r w:rsidR="00F508AA">
        <w:t xml:space="preserve"> a key component of that evaluation. </w:t>
      </w:r>
    </w:p>
    <w:p w14:paraId="5EE2DDF2" w14:textId="064AB4CA" w:rsidR="0070497D" w:rsidRDefault="00D37E85" w:rsidP="009C7652">
      <w:bookmarkStart w:id="67" w:name="_Hlk62121849"/>
      <w:r w:rsidRPr="00F8560B">
        <w:t xml:space="preserve">The </w:t>
      </w:r>
      <w:r w:rsidR="00324449">
        <w:t xml:space="preserve">frequent revision </w:t>
      </w:r>
      <w:r w:rsidR="005647EB">
        <w:t xml:space="preserve">of the ELG </w:t>
      </w:r>
      <w:r w:rsidR="00285FEA">
        <w:t>r</w:t>
      </w:r>
      <w:r w:rsidR="005647EB">
        <w:t xml:space="preserve">ules and </w:t>
      </w:r>
      <w:r w:rsidR="003B4E9A">
        <w:t xml:space="preserve">the </w:t>
      </w:r>
      <w:r w:rsidRPr="00F8560B">
        <w:t xml:space="preserve">delay in promulgation of the </w:t>
      </w:r>
      <w:r w:rsidR="000B654C">
        <w:t xml:space="preserve">ELG </w:t>
      </w:r>
      <w:r w:rsidRPr="00F8560B">
        <w:t xml:space="preserve">Reconsideration Rule impacted the Company’s ability to finalize and implement its </w:t>
      </w:r>
      <w:r>
        <w:t xml:space="preserve">previous </w:t>
      </w:r>
      <w:r w:rsidRPr="00F8560B">
        <w:t>environmental compliance strategy regarding ELGs</w:t>
      </w:r>
      <w:r w:rsidR="00BF53F7">
        <w:t>.</w:t>
      </w:r>
      <w:r w:rsidRPr="00F8560B">
        <w:t xml:space="preserve"> </w:t>
      </w:r>
      <w:r>
        <w:t xml:space="preserve">The regulatory uncertainty from the </w:t>
      </w:r>
      <w:r w:rsidR="00D159A3">
        <w:t xml:space="preserve">EPA’s </w:t>
      </w:r>
      <w:r>
        <w:t>delay</w:t>
      </w:r>
      <w:r w:rsidR="004E59D1">
        <w:t xml:space="preserve"> and its impact on Georgia Power</w:t>
      </w:r>
      <w:r w:rsidDel="00C2345C">
        <w:t xml:space="preserve">, </w:t>
      </w:r>
      <w:r w:rsidR="00C2345C">
        <w:t>w</w:t>
      </w:r>
      <w:r>
        <w:t xml:space="preserve">as recognized by the Georgia Office of State </w:t>
      </w:r>
      <w:r w:rsidR="7A1AA3D1">
        <w:t>Administrati</w:t>
      </w:r>
      <w:r w:rsidR="1FAD126B">
        <w:t>ve</w:t>
      </w:r>
      <w:r>
        <w:t xml:space="preserve"> Hearings</w:t>
      </w:r>
      <w:r w:rsidR="00797894" w:rsidDel="00C2345C">
        <w:t xml:space="preserve"> </w:t>
      </w:r>
      <w:r w:rsidR="00797894">
        <w:t>during the 201</w:t>
      </w:r>
      <w:r w:rsidR="00A87B01">
        <w:t>8</w:t>
      </w:r>
      <w:r w:rsidR="00797894">
        <w:t xml:space="preserve"> </w:t>
      </w:r>
      <w:r w:rsidR="00E61325">
        <w:t xml:space="preserve">Plant Hammond </w:t>
      </w:r>
      <w:r w:rsidR="00A87B01">
        <w:t>NPDES Permit Appeal</w:t>
      </w:r>
      <w:r w:rsidR="00896575">
        <w:rPr>
          <w:rStyle w:val="FootnoteReference"/>
        </w:rPr>
        <w:footnoteReference w:id="2"/>
      </w:r>
      <w:r w:rsidR="006A05FA">
        <w:t>. This regulatory uncertainty continues and</w:t>
      </w:r>
      <w:r>
        <w:t xml:space="preserve"> is a key factor in the Company’s analysis and ultimate strategy to comply with the 2015 ELG Rule and subsequent </w:t>
      </w:r>
      <w:r w:rsidR="000B654C">
        <w:t xml:space="preserve">ELG </w:t>
      </w:r>
      <w:r>
        <w:t>Reconsideration Rule</w:t>
      </w:r>
      <w:r w:rsidRPr="0AF8DB6F">
        <w:t xml:space="preserve">. </w:t>
      </w:r>
      <w:r w:rsidR="00025378">
        <w:t>Nonetheless, t</w:t>
      </w:r>
      <w:r w:rsidR="00025378" w:rsidRPr="0AF8DB6F">
        <w:t>he</w:t>
      </w:r>
      <w:r w:rsidR="00025378">
        <w:t xml:space="preserve"> Company has worked diligently to analyze </w:t>
      </w:r>
      <w:r w:rsidR="00786499">
        <w:t xml:space="preserve">compliance with the </w:t>
      </w:r>
      <w:r w:rsidR="00D4307C">
        <w:t>rule</w:t>
      </w:r>
      <w:r w:rsidR="00025378">
        <w:t xml:space="preserve"> as part of its technical and economic process in </w:t>
      </w:r>
      <w:r w:rsidR="00025378" w:rsidDel="009B6749">
        <w:t xml:space="preserve">the upcoming </w:t>
      </w:r>
      <w:r w:rsidR="00025378">
        <w:t xml:space="preserve">IRP proceeding to </w:t>
      </w:r>
      <w:r w:rsidR="00025378" w:rsidRPr="00F8560B">
        <w:t>ensur</w:t>
      </w:r>
      <w:r w:rsidR="00025378">
        <w:t xml:space="preserve">e </w:t>
      </w:r>
      <w:r w:rsidR="00025378" w:rsidRPr="00F8560B">
        <w:t>clean,</w:t>
      </w:r>
      <w:r w:rsidR="00025378" w:rsidRPr="00EE4E6B">
        <w:t xml:space="preserve"> </w:t>
      </w:r>
      <w:r w:rsidR="00025378" w:rsidRPr="00F8560B">
        <w:t>safe</w:t>
      </w:r>
      <w:r w:rsidR="00025378">
        <w:t>, reliable and</w:t>
      </w:r>
      <w:r w:rsidR="00025378" w:rsidRPr="00F8560B">
        <w:t xml:space="preserve"> affordable electricity t</w:t>
      </w:r>
      <w:r w:rsidR="00025378">
        <w:t>o its customers</w:t>
      </w:r>
      <w:r w:rsidR="00025378" w:rsidRPr="00F8560B">
        <w:t xml:space="preserve">. </w:t>
      </w:r>
      <w:bookmarkEnd w:id="67"/>
    </w:p>
    <w:p w14:paraId="091E8C2B" w14:textId="105187E3" w:rsidR="00870500" w:rsidRDefault="00203C61" w:rsidP="00992878">
      <w:pPr>
        <w:rPr>
          <w:bCs/>
        </w:rPr>
      </w:pPr>
      <w:r w:rsidRPr="0016047A">
        <w:rPr>
          <w:bCs/>
        </w:rPr>
        <w:t>The Company has evaluated the different compliance pathways allowed by the rule</w:t>
      </w:r>
      <w:r w:rsidR="002321DF">
        <w:rPr>
          <w:bCs/>
        </w:rPr>
        <w:t xml:space="preserve"> and </w:t>
      </w:r>
      <w:r w:rsidRPr="0016047A">
        <w:rPr>
          <w:bCs/>
        </w:rPr>
        <w:t>on October 13, 2021,</w:t>
      </w:r>
      <w:r w:rsidR="002321DF">
        <w:rPr>
          <w:bCs/>
        </w:rPr>
        <w:t xml:space="preserve"> as required by the </w:t>
      </w:r>
      <w:r w:rsidR="002D7F59">
        <w:rPr>
          <w:bCs/>
        </w:rPr>
        <w:t>ELG Reconsideration Rule,</w:t>
      </w:r>
      <w:r w:rsidRPr="0016047A">
        <w:rPr>
          <w:bCs/>
        </w:rPr>
        <w:t xml:space="preserve"> filed </w:t>
      </w:r>
      <w:r w:rsidR="00E3516D">
        <w:rPr>
          <w:bCs/>
        </w:rPr>
        <w:t xml:space="preserve">information </w:t>
      </w:r>
      <w:r w:rsidR="00573BA5">
        <w:rPr>
          <w:bCs/>
        </w:rPr>
        <w:t xml:space="preserve">regarding ELG compliance </w:t>
      </w:r>
      <w:r w:rsidR="00E3516D">
        <w:rPr>
          <w:bCs/>
        </w:rPr>
        <w:t xml:space="preserve">with </w:t>
      </w:r>
      <w:r w:rsidR="004E00E6">
        <w:rPr>
          <w:bCs/>
        </w:rPr>
        <w:t>Georgia EPD</w:t>
      </w:r>
      <w:r w:rsidR="00DC643D">
        <w:rPr>
          <w:bCs/>
        </w:rPr>
        <w:t>,</w:t>
      </w:r>
      <w:r w:rsidR="007E4D1D">
        <w:rPr>
          <w:rStyle w:val="FootnoteReference"/>
          <w:bCs/>
        </w:rPr>
        <w:footnoteReference w:id="3"/>
      </w:r>
      <w:r w:rsidR="004E00E6">
        <w:rPr>
          <w:bCs/>
        </w:rPr>
        <w:t xml:space="preserve"> including </w:t>
      </w:r>
      <w:r w:rsidR="00000339">
        <w:rPr>
          <w:bCs/>
        </w:rPr>
        <w:t>notice</w:t>
      </w:r>
      <w:r w:rsidR="00DC643D">
        <w:rPr>
          <w:bCs/>
        </w:rPr>
        <w:t>s</w:t>
      </w:r>
      <w:r w:rsidR="00000339">
        <w:rPr>
          <w:bCs/>
        </w:rPr>
        <w:t xml:space="preserve"> of planned participation (NOPP)</w:t>
      </w:r>
      <w:r w:rsidR="00DF23CF">
        <w:rPr>
          <w:bCs/>
        </w:rPr>
        <w:t>,</w:t>
      </w:r>
      <w:r w:rsidR="00000339">
        <w:rPr>
          <w:bCs/>
        </w:rPr>
        <w:t xml:space="preserve"> for</w:t>
      </w:r>
      <w:r w:rsidRPr="0016047A">
        <w:rPr>
          <w:bCs/>
        </w:rPr>
        <w:t xml:space="preserve"> its coal</w:t>
      </w:r>
      <w:r w:rsidR="00DF23CF">
        <w:rPr>
          <w:bCs/>
        </w:rPr>
        <w:t>-fired</w:t>
      </w:r>
      <w:r w:rsidRPr="0016047A">
        <w:rPr>
          <w:bCs/>
        </w:rPr>
        <w:t xml:space="preserve"> generation plants.  In</w:t>
      </w:r>
      <w:r w:rsidRPr="0016047A" w:rsidDel="00DC643D">
        <w:rPr>
          <w:bCs/>
        </w:rPr>
        <w:t xml:space="preserve"> </w:t>
      </w:r>
      <w:r w:rsidR="00DC643D">
        <w:rPr>
          <w:bCs/>
        </w:rPr>
        <w:t>these</w:t>
      </w:r>
      <w:r w:rsidR="00DC643D" w:rsidRPr="0016047A">
        <w:rPr>
          <w:bCs/>
        </w:rPr>
        <w:t xml:space="preserve"> </w:t>
      </w:r>
      <w:r w:rsidRPr="0016047A">
        <w:rPr>
          <w:bCs/>
        </w:rPr>
        <w:t>filing</w:t>
      </w:r>
      <w:r w:rsidR="00DC643D">
        <w:rPr>
          <w:bCs/>
        </w:rPr>
        <w:t>s</w:t>
      </w:r>
      <w:r w:rsidRPr="0016047A">
        <w:rPr>
          <w:bCs/>
        </w:rPr>
        <w:t xml:space="preserve">, the </w:t>
      </w:r>
      <w:r w:rsidR="003C3789">
        <w:rPr>
          <w:bCs/>
        </w:rPr>
        <w:t>C</w:t>
      </w:r>
      <w:r w:rsidRPr="0016047A">
        <w:rPr>
          <w:bCs/>
        </w:rPr>
        <w:t xml:space="preserve">ompany </w:t>
      </w:r>
      <w:r w:rsidR="00AA4B35">
        <w:rPr>
          <w:bCs/>
        </w:rPr>
        <w:t xml:space="preserve">notified </w:t>
      </w:r>
      <w:r w:rsidR="00EF75E1">
        <w:rPr>
          <w:bCs/>
        </w:rPr>
        <w:t xml:space="preserve">Georgia </w:t>
      </w:r>
      <w:r w:rsidR="00AA4B35">
        <w:rPr>
          <w:bCs/>
        </w:rPr>
        <w:t xml:space="preserve">EPD of its selected options for </w:t>
      </w:r>
      <w:r w:rsidR="003E626C">
        <w:rPr>
          <w:bCs/>
        </w:rPr>
        <w:t>FGD wastewater</w:t>
      </w:r>
      <w:r w:rsidR="000E3C7A">
        <w:rPr>
          <w:bCs/>
        </w:rPr>
        <w:t xml:space="preserve"> </w:t>
      </w:r>
      <w:r w:rsidR="00FB321C">
        <w:rPr>
          <w:bCs/>
        </w:rPr>
        <w:t xml:space="preserve">compliance </w:t>
      </w:r>
      <w:r w:rsidR="008D7211">
        <w:rPr>
          <w:bCs/>
        </w:rPr>
        <w:t>a</w:t>
      </w:r>
      <w:r w:rsidR="00793571">
        <w:rPr>
          <w:bCs/>
        </w:rPr>
        <w:t>s fol</w:t>
      </w:r>
      <w:r w:rsidR="00870500">
        <w:rPr>
          <w:bCs/>
        </w:rPr>
        <w:t>lows:</w:t>
      </w:r>
    </w:p>
    <w:p w14:paraId="66647A9E" w14:textId="544EBAA8" w:rsidR="00992878" w:rsidRPr="008D7211" w:rsidRDefault="00992878" w:rsidP="008D7211">
      <w:pPr>
        <w:numPr>
          <w:ilvl w:val="0"/>
          <w:numId w:val="20"/>
        </w:numPr>
        <w:spacing w:after="160" w:line="259" w:lineRule="auto"/>
        <w:ind w:left="1080"/>
        <w:contextualSpacing/>
        <w:rPr>
          <w:rFonts w:cs="Arial"/>
          <w:szCs w:val="24"/>
        </w:rPr>
      </w:pPr>
      <w:r w:rsidRPr="008D7211">
        <w:rPr>
          <w:rFonts w:cs="Arial"/>
          <w:szCs w:val="24"/>
        </w:rPr>
        <w:t xml:space="preserve">Georgia Power’s intent to permanently cease coal combustion no later than December 31, 2028, for </w:t>
      </w:r>
      <w:r w:rsidR="00E61325">
        <w:rPr>
          <w:rFonts w:cs="Arial"/>
          <w:szCs w:val="24"/>
        </w:rPr>
        <w:t>Plant Bowen</w:t>
      </w:r>
      <w:r w:rsidRPr="008D7211">
        <w:rPr>
          <w:rFonts w:cs="Arial"/>
          <w:szCs w:val="24"/>
        </w:rPr>
        <w:t xml:space="preserve"> Units 1 and 2, </w:t>
      </w:r>
      <w:r w:rsidR="00E61325">
        <w:rPr>
          <w:rFonts w:cs="Arial"/>
          <w:szCs w:val="24"/>
        </w:rPr>
        <w:t>Plant Scherer</w:t>
      </w:r>
      <w:r w:rsidRPr="008D7211">
        <w:rPr>
          <w:rFonts w:cs="Arial"/>
          <w:szCs w:val="24"/>
        </w:rPr>
        <w:t xml:space="preserve"> Unit 3, and </w:t>
      </w:r>
      <w:r w:rsidR="00E61325">
        <w:rPr>
          <w:rFonts w:cs="Arial"/>
          <w:szCs w:val="24"/>
        </w:rPr>
        <w:t>Plant Wansley</w:t>
      </w:r>
      <w:r w:rsidRPr="008D7211">
        <w:rPr>
          <w:rFonts w:cs="Arial"/>
          <w:szCs w:val="24"/>
        </w:rPr>
        <w:t xml:space="preserve"> Units 1 and 2.  </w:t>
      </w:r>
    </w:p>
    <w:p w14:paraId="37C0FEB4" w14:textId="6F135E6D" w:rsidR="00992878" w:rsidRPr="008D7211" w:rsidRDefault="00E61325" w:rsidP="008D7211">
      <w:pPr>
        <w:numPr>
          <w:ilvl w:val="0"/>
          <w:numId w:val="20"/>
        </w:numPr>
        <w:spacing w:after="160" w:line="259" w:lineRule="auto"/>
        <w:ind w:left="1080"/>
        <w:contextualSpacing/>
        <w:rPr>
          <w:rFonts w:cs="Arial"/>
          <w:szCs w:val="24"/>
        </w:rPr>
      </w:pPr>
      <w:r>
        <w:rPr>
          <w:rFonts w:cs="Arial"/>
          <w:szCs w:val="24"/>
        </w:rPr>
        <w:t xml:space="preserve">Plant </w:t>
      </w:r>
      <w:r w:rsidR="00992878" w:rsidRPr="008D7211">
        <w:rPr>
          <w:rFonts w:cs="Arial"/>
          <w:szCs w:val="24"/>
        </w:rPr>
        <w:t>Scherer Units 1 and 2</w:t>
      </w:r>
      <w:r w:rsidR="00E073DA">
        <w:rPr>
          <w:rFonts w:cs="Arial"/>
          <w:szCs w:val="24"/>
        </w:rPr>
        <w:t>’s</w:t>
      </w:r>
      <w:r w:rsidR="00992878" w:rsidRPr="008D7211">
        <w:rPr>
          <w:rFonts w:cs="Arial"/>
          <w:szCs w:val="24"/>
        </w:rPr>
        <w:t xml:space="preserve"> intent to pursue ELG compliance through the Voluntary Incentive Program subcategory with a compliance deadline of December 31, 2028.  </w:t>
      </w:r>
    </w:p>
    <w:p w14:paraId="01F80A2C" w14:textId="5D99A711" w:rsidR="00992878" w:rsidRPr="008D7211" w:rsidRDefault="00992878" w:rsidP="008D7211">
      <w:pPr>
        <w:numPr>
          <w:ilvl w:val="0"/>
          <w:numId w:val="20"/>
        </w:numPr>
        <w:tabs>
          <w:tab w:val="left" w:pos="1800"/>
        </w:tabs>
        <w:spacing w:after="160" w:line="259" w:lineRule="auto"/>
        <w:ind w:left="1080"/>
        <w:contextualSpacing/>
        <w:rPr>
          <w:rFonts w:cs="Arial"/>
          <w:szCs w:val="24"/>
        </w:rPr>
      </w:pPr>
      <w:r w:rsidRPr="008D7211">
        <w:rPr>
          <w:rFonts w:cs="Arial"/>
          <w:szCs w:val="24"/>
        </w:rPr>
        <w:t>Plant Bowen Units 3 and 4</w:t>
      </w:r>
      <w:r w:rsidR="00E073DA">
        <w:rPr>
          <w:rFonts w:cs="Arial"/>
          <w:szCs w:val="24"/>
        </w:rPr>
        <w:t>’s</w:t>
      </w:r>
      <w:r w:rsidRPr="008D7211">
        <w:rPr>
          <w:rFonts w:cs="Arial"/>
          <w:szCs w:val="24"/>
        </w:rPr>
        <w:t xml:space="preserve"> intent to comply with the generally applicable requirements by December 31, 2025.</w:t>
      </w:r>
    </w:p>
    <w:p w14:paraId="0653299A" w14:textId="77777777" w:rsidR="00870500" w:rsidRPr="008D7211" w:rsidRDefault="00870500" w:rsidP="007B5E7E">
      <w:pPr>
        <w:tabs>
          <w:tab w:val="left" w:pos="1800"/>
        </w:tabs>
        <w:spacing w:after="160" w:line="259" w:lineRule="auto"/>
        <w:ind w:left="1080"/>
        <w:contextualSpacing/>
        <w:rPr>
          <w:rFonts w:cs="Arial"/>
          <w:szCs w:val="24"/>
        </w:rPr>
      </w:pPr>
    </w:p>
    <w:p w14:paraId="6195F28B" w14:textId="75BD1EF8" w:rsidR="003102B0" w:rsidRPr="00D073F3" w:rsidRDefault="003102B0" w:rsidP="008E01BE">
      <w:pPr>
        <w:pStyle w:val="CommentText"/>
        <w:rPr>
          <w:rFonts w:eastAsia="Calibri" w:cs="Arial"/>
          <w:sz w:val="24"/>
          <w:szCs w:val="24"/>
        </w:rPr>
      </w:pPr>
      <w:r w:rsidRPr="00E549EE">
        <w:rPr>
          <w:rFonts w:eastAsia="Calibri" w:cs="Arial"/>
          <w:sz w:val="24"/>
          <w:szCs w:val="24"/>
        </w:rPr>
        <w:t xml:space="preserve">A NOPP was </w:t>
      </w:r>
      <w:r w:rsidR="002F5B72">
        <w:rPr>
          <w:rFonts w:eastAsia="Calibri" w:cs="Arial"/>
          <w:sz w:val="24"/>
          <w:szCs w:val="24"/>
        </w:rPr>
        <w:t>submitted</w:t>
      </w:r>
      <w:r w:rsidR="002F5B72" w:rsidRPr="00E549EE">
        <w:rPr>
          <w:rFonts w:eastAsia="Calibri" w:cs="Arial"/>
          <w:sz w:val="24"/>
          <w:szCs w:val="24"/>
        </w:rPr>
        <w:t xml:space="preserve"> </w:t>
      </w:r>
      <w:r w:rsidRPr="00E549EE">
        <w:rPr>
          <w:rFonts w:eastAsia="Calibri" w:cs="Arial"/>
          <w:sz w:val="24"/>
          <w:szCs w:val="24"/>
        </w:rPr>
        <w:t xml:space="preserve">to the Alabama Department of Environmental Management for Plant </w:t>
      </w:r>
      <w:r w:rsidRPr="00D073F3">
        <w:rPr>
          <w:rFonts w:eastAsia="Calibri" w:cs="Arial"/>
          <w:sz w:val="24"/>
          <w:szCs w:val="24"/>
        </w:rPr>
        <w:t>Gaston on October 13, 2021.  The NOPP indicated the</w:t>
      </w:r>
      <w:r w:rsidR="00654E77">
        <w:rPr>
          <w:rFonts w:eastAsia="Calibri" w:cs="Arial"/>
          <w:sz w:val="24"/>
          <w:szCs w:val="24"/>
        </w:rPr>
        <w:t xml:space="preserve"> intent to</w:t>
      </w:r>
      <w:r w:rsidRPr="00D073F3">
        <w:rPr>
          <w:rFonts w:eastAsia="Calibri" w:cs="Arial"/>
          <w:sz w:val="24"/>
          <w:szCs w:val="24"/>
        </w:rPr>
        <w:t xml:space="preserve"> permanent</w:t>
      </w:r>
      <w:r w:rsidR="00654E77">
        <w:rPr>
          <w:rFonts w:eastAsia="Calibri" w:cs="Arial"/>
          <w:sz w:val="24"/>
          <w:szCs w:val="24"/>
        </w:rPr>
        <w:t>ly</w:t>
      </w:r>
      <w:r w:rsidRPr="00D073F3">
        <w:rPr>
          <w:rFonts w:eastAsia="Calibri" w:cs="Arial"/>
          <w:sz w:val="24"/>
          <w:szCs w:val="24"/>
        </w:rPr>
        <w:t xml:space="preserve"> </w:t>
      </w:r>
      <w:r w:rsidR="43247CA4" w:rsidRPr="37612734">
        <w:rPr>
          <w:rFonts w:eastAsia="Calibri" w:cs="Arial"/>
          <w:sz w:val="24"/>
          <w:szCs w:val="24"/>
        </w:rPr>
        <w:t>cease</w:t>
      </w:r>
      <w:r w:rsidRPr="00D073F3" w:rsidDel="007931CF">
        <w:rPr>
          <w:rFonts w:eastAsia="Calibri" w:cs="Arial"/>
          <w:sz w:val="24"/>
          <w:szCs w:val="24"/>
        </w:rPr>
        <w:t xml:space="preserve"> </w:t>
      </w:r>
      <w:r w:rsidRPr="00D073F3">
        <w:rPr>
          <w:rFonts w:eastAsia="Calibri" w:cs="Arial"/>
          <w:sz w:val="24"/>
          <w:szCs w:val="24"/>
        </w:rPr>
        <w:t xml:space="preserve">coal combustion through retirement by December 31, </w:t>
      </w:r>
      <w:r w:rsidRPr="0037790E">
        <w:rPr>
          <w:rFonts w:eastAsia="Calibri" w:cs="Arial"/>
          <w:sz w:val="24"/>
          <w:szCs w:val="24"/>
        </w:rPr>
        <w:t>202</w:t>
      </w:r>
      <w:r w:rsidR="001C2BE5" w:rsidRPr="00832E7E">
        <w:rPr>
          <w:rFonts w:eastAsia="Calibri" w:cs="Arial"/>
          <w:sz w:val="24"/>
          <w:szCs w:val="24"/>
        </w:rPr>
        <w:t>8</w:t>
      </w:r>
      <w:r w:rsidRPr="00D073F3">
        <w:rPr>
          <w:rFonts w:eastAsia="Calibri" w:cs="Arial"/>
          <w:sz w:val="24"/>
          <w:szCs w:val="24"/>
        </w:rPr>
        <w:t xml:space="preserve"> for Plant Gaston units 1-4.  </w:t>
      </w:r>
      <w:r w:rsidR="0095122B">
        <w:rPr>
          <w:rFonts w:eastAsia="Calibri" w:cs="Arial"/>
          <w:sz w:val="24"/>
          <w:szCs w:val="24"/>
        </w:rPr>
        <w:t>T</w:t>
      </w:r>
      <w:r w:rsidRPr="00D073F3">
        <w:rPr>
          <w:rFonts w:eastAsia="Calibri" w:cs="Arial"/>
          <w:sz w:val="24"/>
          <w:szCs w:val="24"/>
        </w:rPr>
        <w:t>he compliance pathway of permanent cessation of coal combustion through the retirement of Units 1-4 at Plant Gaston provides cost-efficiencies in terms of ELG compliance. If approved by the Commission, the certainty provided by these retirement decisions should allow the Company the necessary time to plan for replacement generation and system reliability needs.</w:t>
      </w:r>
    </w:p>
    <w:p w14:paraId="20A8DF34" w14:textId="29C8E69D" w:rsidR="00203C61" w:rsidRPr="0016047A" w:rsidRDefault="00F84A9B" w:rsidP="009C7652">
      <w:r>
        <w:t>In addition to the</w:t>
      </w:r>
      <w:r w:rsidR="008B5FC5">
        <w:t xml:space="preserve"> filings noted above, </w:t>
      </w:r>
      <w:r w:rsidR="00B1668D" w:rsidRPr="415F07B8">
        <w:t>the Company has requested</w:t>
      </w:r>
      <w:r w:rsidR="00B1668D">
        <w:rPr>
          <w:bCs/>
        </w:rPr>
        <w:t xml:space="preserve"> </w:t>
      </w:r>
      <w:r w:rsidR="00C75953">
        <w:rPr>
          <w:bCs/>
        </w:rPr>
        <w:t xml:space="preserve">NPDES </w:t>
      </w:r>
      <w:r w:rsidR="00524993" w:rsidRPr="415F07B8">
        <w:t xml:space="preserve">permit conditions </w:t>
      </w:r>
      <w:r w:rsidR="00AD0F4F">
        <w:t xml:space="preserve">from </w:t>
      </w:r>
      <w:r w:rsidR="00160F60">
        <w:t>the Georgia</w:t>
      </w:r>
      <w:r w:rsidR="00AD0F4F">
        <w:t xml:space="preserve"> EPD</w:t>
      </w:r>
      <w:r w:rsidR="00524993" w:rsidRPr="415F07B8">
        <w:t xml:space="preserve"> that</w:t>
      </w:r>
      <w:r w:rsidR="00B1668D" w:rsidRPr="415F07B8">
        <w:t xml:space="preserve"> include </w:t>
      </w:r>
      <w:r w:rsidR="002A51B0">
        <w:t>flexible</w:t>
      </w:r>
      <w:r w:rsidR="002A51B0" w:rsidRPr="415F07B8">
        <w:t xml:space="preserve"> </w:t>
      </w:r>
      <w:r w:rsidR="00CD1617" w:rsidRPr="415F07B8">
        <w:t xml:space="preserve">pathways for installing controls or </w:t>
      </w:r>
      <w:r w:rsidR="00451D5A">
        <w:t>pursuing</w:t>
      </w:r>
      <w:r w:rsidR="00CD1617" w:rsidRPr="415F07B8">
        <w:t xml:space="preserve"> </w:t>
      </w:r>
      <w:r w:rsidR="008C3441" w:rsidRPr="415F07B8">
        <w:t>retirement</w:t>
      </w:r>
      <w:r w:rsidR="008D38E3">
        <w:t xml:space="preserve"> as part of its ELG compliance strategy</w:t>
      </w:r>
      <w:r w:rsidR="008C3441" w:rsidRPr="415F07B8">
        <w:t>. This includes incorporating</w:t>
      </w:r>
      <w:r w:rsidR="5A0EF0A2">
        <w:t>,</w:t>
      </w:r>
      <w:r w:rsidR="002514F4" w:rsidRPr="415F07B8">
        <w:t xml:space="preserve"> as applicable</w:t>
      </w:r>
      <w:r w:rsidR="11B1394A">
        <w:t>,</w:t>
      </w:r>
      <w:r w:rsidR="008C3441" w:rsidRPr="415F07B8">
        <w:t xml:space="preserve"> the</w:t>
      </w:r>
      <w:r w:rsidR="00B1668D">
        <w:rPr>
          <w:bCs/>
        </w:rPr>
        <w:t xml:space="preserve"> </w:t>
      </w:r>
      <w:r w:rsidR="00D14580" w:rsidRPr="415F07B8">
        <w:t>effluent limitations</w:t>
      </w:r>
      <w:r w:rsidR="00CB51C3" w:rsidRPr="415F07B8" w:rsidDel="00EB6A64">
        <w:t xml:space="preserve"> for </w:t>
      </w:r>
      <w:r w:rsidR="009E62DB" w:rsidRPr="415F07B8">
        <w:t xml:space="preserve">FGD </w:t>
      </w:r>
      <w:r w:rsidR="00EB6A64" w:rsidRPr="415F07B8">
        <w:t>wastewater</w:t>
      </w:r>
      <w:r w:rsidR="00CB51C3" w:rsidRPr="415F07B8">
        <w:t xml:space="preserve"> based on 40 CFR § 423.13(g)(1)(i) as well as alternative FGD</w:t>
      </w:r>
      <w:r w:rsidR="009E62DB" w:rsidRPr="415F07B8">
        <w:t xml:space="preserve"> wastewater</w:t>
      </w:r>
      <w:r w:rsidR="002A51B0">
        <w:t xml:space="preserve"> </w:t>
      </w:r>
      <w:r w:rsidR="00CB51C3" w:rsidRPr="52213A51">
        <w:t>and based on 40 CFR § 423.13(g)(3)(i), for the Voluntary Incentives Program.</w:t>
      </w:r>
      <w:r w:rsidR="00AD0F4F">
        <w:t xml:space="preserve"> </w:t>
      </w:r>
      <w:r w:rsidR="002514F4" w:rsidRPr="415F07B8">
        <w:t>The parallel pathways</w:t>
      </w:r>
      <w:r w:rsidR="007254FE" w:rsidRPr="415F07B8">
        <w:t xml:space="preserve"> being </w:t>
      </w:r>
      <w:r w:rsidR="008C2705" w:rsidRPr="415F07B8">
        <w:t>requested</w:t>
      </w:r>
      <w:r w:rsidR="002514F4" w:rsidRPr="415F07B8">
        <w:t xml:space="preserve"> in the NPDES permits </w:t>
      </w:r>
      <w:r w:rsidR="00BB5F42">
        <w:t>are</w:t>
      </w:r>
      <w:r w:rsidR="002514F4" w:rsidRPr="415F07B8">
        <w:t xml:space="preserve"> necessary, as </w:t>
      </w:r>
      <w:r w:rsidR="00A917C5">
        <w:t xml:space="preserve">this </w:t>
      </w:r>
      <w:r w:rsidR="00E33605">
        <w:t>allows</w:t>
      </w:r>
      <w:r w:rsidR="00D75F9A">
        <w:t xml:space="preserve"> </w:t>
      </w:r>
      <w:r w:rsidR="00BB72E6" w:rsidRPr="415F07B8">
        <w:t>the Company</w:t>
      </w:r>
      <w:r w:rsidR="0005457E" w:rsidRPr="52213A51">
        <w:t xml:space="preserve"> </w:t>
      </w:r>
      <w:r w:rsidR="008A4057">
        <w:t>to complete</w:t>
      </w:r>
      <w:r w:rsidR="004962BF">
        <w:t xml:space="preserve"> </w:t>
      </w:r>
      <w:r w:rsidR="009341F3">
        <w:t>technical and economic</w:t>
      </w:r>
      <w:r w:rsidR="004962BF">
        <w:t xml:space="preserve"> evaluation</w:t>
      </w:r>
      <w:r w:rsidR="00D16112">
        <w:t>s</w:t>
      </w:r>
      <w:r w:rsidR="0005457E" w:rsidRPr="52213A51">
        <w:t xml:space="preserve"> and </w:t>
      </w:r>
      <w:r w:rsidR="00D16112">
        <w:t xml:space="preserve">provide the </w:t>
      </w:r>
      <w:r w:rsidR="00E62903">
        <w:t>time</w:t>
      </w:r>
      <w:r w:rsidR="009D6D71">
        <w:t xml:space="preserve"> </w:t>
      </w:r>
      <w:r w:rsidR="0005457E" w:rsidRPr="52213A51">
        <w:t>require</w:t>
      </w:r>
      <w:r w:rsidR="009D6D71">
        <w:t>d</w:t>
      </w:r>
      <w:r w:rsidR="0005457E" w:rsidRPr="52213A51">
        <w:t xml:space="preserve"> to work with </w:t>
      </w:r>
      <w:r w:rsidR="009341F3">
        <w:t>this</w:t>
      </w:r>
      <w:r w:rsidR="0005457E" w:rsidRPr="52213A51">
        <w:t xml:space="preserve"> Commission for approval of these compliance strategies.</w:t>
      </w:r>
      <w:r w:rsidR="00203C61" w:rsidDel="00DA5521">
        <w:rPr>
          <w:bCs/>
        </w:rPr>
        <w:t> </w:t>
      </w:r>
      <w:r w:rsidR="00047FBB">
        <w:rPr>
          <w:bCs/>
        </w:rPr>
        <w:t xml:space="preserve"> </w:t>
      </w:r>
      <w:r w:rsidR="00047FBB" w:rsidRPr="415F07B8">
        <w:t xml:space="preserve"> </w:t>
      </w:r>
    </w:p>
    <w:p w14:paraId="35D109D6" w14:textId="440BAC48" w:rsidR="00005B13" w:rsidRDefault="00180499" w:rsidP="009C7652">
      <w:pPr>
        <w:rPr>
          <w:bCs/>
        </w:rPr>
      </w:pPr>
      <w:r>
        <w:rPr>
          <w:bCs/>
        </w:rPr>
        <w:t>T</w:t>
      </w:r>
      <w:r w:rsidR="00EA1674">
        <w:rPr>
          <w:bCs/>
        </w:rPr>
        <w:t xml:space="preserve">he wastewater treatment controls necessary to comply with the </w:t>
      </w:r>
      <w:r w:rsidR="004F4D1C">
        <w:rPr>
          <w:bCs/>
        </w:rPr>
        <w:t xml:space="preserve">ELG </w:t>
      </w:r>
      <w:r w:rsidR="00782FAF">
        <w:rPr>
          <w:bCs/>
        </w:rPr>
        <w:t xml:space="preserve">wastewater limitations </w:t>
      </w:r>
      <w:r w:rsidR="00DA2723">
        <w:rPr>
          <w:bCs/>
        </w:rPr>
        <w:t xml:space="preserve">at Plants Bowen, </w:t>
      </w:r>
      <w:r w:rsidR="00C7513B">
        <w:rPr>
          <w:bCs/>
        </w:rPr>
        <w:t>Gaston,</w:t>
      </w:r>
      <w:r w:rsidR="00DA2723">
        <w:rPr>
          <w:bCs/>
        </w:rPr>
        <w:t xml:space="preserve"> Scherer, and Wansley </w:t>
      </w:r>
      <w:r w:rsidR="00865B6A">
        <w:rPr>
          <w:bCs/>
        </w:rPr>
        <w:t xml:space="preserve">include </w:t>
      </w:r>
      <w:r w:rsidR="005B5989" w:rsidRPr="005B5989">
        <w:rPr>
          <w:bCs/>
        </w:rPr>
        <w:t xml:space="preserve">installation of </w:t>
      </w:r>
      <w:r w:rsidR="00AB7D31" w:rsidRPr="00CB495E">
        <w:t>site-specific</w:t>
      </w:r>
      <w:r w:rsidR="00952B4C">
        <w:rPr>
          <w:bCs/>
        </w:rPr>
        <w:t xml:space="preserve"> </w:t>
      </w:r>
      <w:r w:rsidR="007C4036">
        <w:rPr>
          <w:bCs/>
        </w:rPr>
        <w:t xml:space="preserve">treatment systems. </w:t>
      </w:r>
      <w:r w:rsidR="00DB6D30">
        <w:rPr>
          <w:bCs/>
        </w:rPr>
        <w:t xml:space="preserve">Site-specific factors were </w:t>
      </w:r>
      <w:r w:rsidR="00D70FDC">
        <w:rPr>
          <w:bCs/>
        </w:rPr>
        <w:t xml:space="preserve">evaluated to </w:t>
      </w:r>
      <w:r w:rsidR="00B10661">
        <w:rPr>
          <w:bCs/>
        </w:rPr>
        <w:t xml:space="preserve">include costs for installation and operation of these systems </w:t>
      </w:r>
      <w:r w:rsidR="003C22D1">
        <w:rPr>
          <w:bCs/>
        </w:rPr>
        <w:t xml:space="preserve">and those costs and </w:t>
      </w:r>
      <w:r w:rsidR="00313B64">
        <w:rPr>
          <w:bCs/>
        </w:rPr>
        <w:t xml:space="preserve">schedules were included for evaluation in the </w:t>
      </w:r>
      <w:r w:rsidR="005F5EC2">
        <w:t>URS</w:t>
      </w:r>
      <w:r w:rsidR="005F5EC2">
        <w:rPr>
          <w:bCs/>
        </w:rPr>
        <w:t xml:space="preserve"> </w:t>
      </w:r>
      <w:r w:rsidR="00B35153">
        <w:rPr>
          <w:bCs/>
        </w:rPr>
        <w:t xml:space="preserve">for these facilities. </w:t>
      </w:r>
      <w:r w:rsidR="006544A8">
        <w:rPr>
          <w:bCs/>
        </w:rPr>
        <w:t xml:space="preserve">However, </w:t>
      </w:r>
      <w:r w:rsidR="00590157">
        <w:rPr>
          <w:bCs/>
        </w:rPr>
        <w:t xml:space="preserve">due to the </w:t>
      </w:r>
      <w:r w:rsidR="00261B18">
        <w:rPr>
          <w:bCs/>
        </w:rPr>
        <w:t xml:space="preserve">results </w:t>
      </w:r>
      <w:r w:rsidR="00A25FA4">
        <w:rPr>
          <w:bCs/>
        </w:rPr>
        <w:t>provided by the URS</w:t>
      </w:r>
      <w:r w:rsidR="00077387">
        <w:rPr>
          <w:bCs/>
        </w:rPr>
        <w:t xml:space="preserve"> and the </w:t>
      </w:r>
      <w:r w:rsidR="00077387" w:rsidRPr="009C796C">
        <w:t xml:space="preserve">new and updated </w:t>
      </w:r>
      <w:r w:rsidR="00077387">
        <w:t xml:space="preserve">alternative </w:t>
      </w:r>
      <w:r w:rsidR="00077387" w:rsidRPr="009C796C">
        <w:t xml:space="preserve">compliance pathways </w:t>
      </w:r>
      <w:r w:rsidR="002B1BD7">
        <w:t xml:space="preserve">provided in </w:t>
      </w:r>
      <w:r w:rsidR="00077387" w:rsidRPr="009C796C">
        <w:t>ELG Reconsideration Rule</w:t>
      </w:r>
      <w:r w:rsidR="00DA18F1">
        <w:t xml:space="preserve">, </w:t>
      </w:r>
      <w:r w:rsidR="006524EC">
        <w:t xml:space="preserve">the Company is recommending </w:t>
      </w:r>
      <w:r w:rsidR="009058B5">
        <w:t xml:space="preserve">strategies </w:t>
      </w:r>
      <w:r w:rsidR="008B5D93">
        <w:t xml:space="preserve">as noted </w:t>
      </w:r>
      <w:r w:rsidR="008A0161">
        <w:t xml:space="preserve">throughout the </w:t>
      </w:r>
      <w:r w:rsidR="05902AF1">
        <w:t>ECS</w:t>
      </w:r>
      <w:r w:rsidR="008146AA">
        <w:rPr>
          <w:bCs/>
        </w:rPr>
        <w:t>.</w:t>
      </w:r>
    </w:p>
    <w:p w14:paraId="2B028C45" w14:textId="231DED9B" w:rsidR="00C167EF" w:rsidRPr="0016047A" w:rsidRDefault="00195D63" w:rsidP="009C7652">
      <w:pPr>
        <w:rPr>
          <w:bCs/>
        </w:rPr>
      </w:pPr>
      <w:r>
        <w:rPr>
          <w:bCs/>
        </w:rPr>
        <w:t>The Company</w:t>
      </w:r>
      <w:r w:rsidR="00793EE7">
        <w:rPr>
          <w:bCs/>
        </w:rPr>
        <w:t>’s</w:t>
      </w:r>
      <w:r w:rsidR="000274F9">
        <w:rPr>
          <w:bCs/>
        </w:rPr>
        <w:t xml:space="preserve"> selected</w:t>
      </w:r>
      <w:r>
        <w:rPr>
          <w:bCs/>
        </w:rPr>
        <w:t xml:space="preserve"> </w:t>
      </w:r>
      <w:r w:rsidR="00BD2F35">
        <w:rPr>
          <w:bCs/>
        </w:rPr>
        <w:t xml:space="preserve">ELG compliance </w:t>
      </w:r>
      <w:r w:rsidR="00C67C1F">
        <w:rPr>
          <w:bCs/>
        </w:rPr>
        <w:t xml:space="preserve">strategy </w:t>
      </w:r>
      <w:r w:rsidR="00E21669">
        <w:rPr>
          <w:bCs/>
        </w:rPr>
        <w:t xml:space="preserve">includes </w:t>
      </w:r>
      <w:r w:rsidR="00183A17">
        <w:rPr>
          <w:bCs/>
        </w:rPr>
        <w:t xml:space="preserve">retirement </w:t>
      </w:r>
      <w:r w:rsidR="00C55A5F">
        <w:rPr>
          <w:bCs/>
        </w:rPr>
        <w:t xml:space="preserve">of </w:t>
      </w:r>
      <w:r w:rsidR="003A0B0A" w:rsidRPr="00841BC5">
        <w:rPr>
          <w:bCs/>
        </w:rPr>
        <w:t>Plants Bowen</w:t>
      </w:r>
      <w:r w:rsidR="00C55A5F">
        <w:rPr>
          <w:bCs/>
        </w:rPr>
        <w:t xml:space="preserve"> Units 1 and 2</w:t>
      </w:r>
      <w:r w:rsidR="003A0B0A" w:rsidRPr="00841BC5">
        <w:rPr>
          <w:bCs/>
        </w:rPr>
        <w:t>, Scherer</w:t>
      </w:r>
      <w:r w:rsidR="002829B5">
        <w:rPr>
          <w:bCs/>
        </w:rPr>
        <w:t xml:space="preserve"> Unit</w:t>
      </w:r>
      <w:r w:rsidR="00C44D4B">
        <w:rPr>
          <w:bCs/>
        </w:rPr>
        <w:t xml:space="preserve"> 3</w:t>
      </w:r>
      <w:r w:rsidR="003A0B0A" w:rsidRPr="00841BC5">
        <w:rPr>
          <w:bCs/>
        </w:rPr>
        <w:t>, and Wansley</w:t>
      </w:r>
      <w:r w:rsidR="00C44D4B">
        <w:rPr>
          <w:bCs/>
        </w:rPr>
        <w:t xml:space="preserve"> Units 1 and 2</w:t>
      </w:r>
      <w:r w:rsidR="00244184">
        <w:rPr>
          <w:bCs/>
        </w:rPr>
        <w:t>.</w:t>
      </w:r>
      <w:r w:rsidR="00EE049D">
        <w:rPr>
          <w:bCs/>
        </w:rPr>
        <w:t xml:space="preserve"> C</w:t>
      </w:r>
      <w:r w:rsidR="00841BC5" w:rsidRPr="00841BC5">
        <w:rPr>
          <w:bCs/>
        </w:rPr>
        <w:t xml:space="preserve">ertifying retirement prior to </w:t>
      </w:r>
      <w:r w:rsidR="0010528B">
        <w:rPr>
          <w:bCs/>
        </w:rPr>
        <w:t>December 31,</w:t>
      </w:r>
      <w:r w:rsidR="00841BC5" w:rsidRPr="00841BC5">
        <w:rPr>
          <w:bCs/>
        </w:rPr>
        <w:t xml:space="preserve"> 2028, </w:t>
      </w:r>
      <w:r w:rsidR="000F0BCE">
        <w:rPr>
          <w:bCs/>
        </w:rPr>
        <w:t>through the rule</w:t>
      </w:r>
      <w:r w:rsidR="00FD1E61">
        <w:rPr>
          <w:bCs/>
        </w:rPr>
        <w:t>’</w:t>
      </w:r>
      <w:r w:rsidR="000F0BCE">
        <w:rPr>
          <w:bCs/>
        </w:rPr>
        <w:t xml:space="preserve">s Permanent Cessation of Coal Combustion subcategory </w:t>
      </w:r>
      <w:r w:rsidR="00841BC5" w:rsidRPr="00841BC5">
        <w:rPr>
          <w:bCs/>
        </w:rPr>
        <w:t xml:space="preserve">provides a cost-effective alternative for ELG compliance. </w:t>
      </w:r>
      <w:r w:rsidR="0021575E">
        <w:rPr>
          <w:bCs/>
        </w:rPr>
        <w:t xml:space="preserve">If approved by the Commission, </w:t>
      </w:r>
      <w:r w:rsidR="00C3419D">
        <w:rPr>
          <w:bCs/>
        </w:rPr>
        <w:t>t</w:t>
      </w:r>
      <w:r w:rsidR="00841BC5" w:rsidRPr="00841BC5">
        <w:rPr>
          <w:bCs/>
        </w:rPr>
        <w:t xml:space="preserve">he certainty provided by these </w:t>
      </w:r>
      <w:r w:rsidR="00B9308A">
        <w:rPr>
          <w:bCs/>
        </w:rPr>
        <w:t xml:space="preserve">retirement </w:t>
      </w:r>
      <w:r w:rsidR="00841BC5" w:rsidRPr="00841BC5">
        <w:rPr>
          <w:bCs/>
        </w:rPr>
        <w:t xml:space="preserve">decisions </w:t>
      </w:r>
      <w:r w:rsidR="00F645FD">
        <w:rPr>
          <w:bCs/>
        </w:rPr>
        <w:t>should</w:t>
      </w:r>
      <w:r w:rsidR="00841BC5" w:rsidRPr="00841BC5">
        <w:rPr>
          <w:bCs/>
        </w:rPr>
        <w:t xml:space="preserve"> allow the Company the necessary time to plan for replacement generation and system reliability needs. </w:t>
      </w:r>
    </w:p>
    <w:p w14:paraId="6416F20F" w14:textId="481E3230" w:rsidR="00F75389" w:rsidRDefault="00DA4E79" w:rsidP="00440B44">
      <w:pPr>
        <w:rPr>
          <w:bCs/>
        </w:rPr>
      </w:pPr>
      <w:r>
        <w:rPr>
          <w:bCs/>
        </w:rPr>
        <w:t>The Company</w:t>
      </w:r>
      <w:r w:rsidR="00882C87">
        <w:rPr>
          <w:bCs/>
        </w:rPr>
        <w:t>’s</w:t>
      </w:r>
      <w:r w:rsidR="00836CC8">
        <w:rPr>
          <w:bCs/>
        </w:rPr>
        <w:t xml:space="preserve"> selected</w:t>
      </w:r>
      <w:r>
        <w:rPr>
          <w:bCs/>
        </w:rPr>
        <w:t xml:space="preserve"> </w:t>
      </w:r>
      <w:r w:rsidR="00836CC8">
        <w:rPr>
          <w:bCs/>
        </w:rPr>
        <w:t xml:space="preserve">ELG compliance strategy </w:t>
      </w:r>
      <w:r w:rsidR="009B58E0">
        <w:rPr>
          <w:bCs/>
        </w:rPr>
        <w:t>is</w:t>
      </w:r>
      <w:r>
        <w:rPr>
          <w:bCs/>
        </w:rPr>
        <w:t xml:space="preserve"> </w:t>
      </w:r>
      <w:r w:rsidR="002A0BFC">
        <w:rPr>
          <w:bCs/>
        </w:rPr>
        <w:t xml:space="preserve">installation of </w:t>
      </w:r>
      <w:r w:rsidR="00AC570D">
        <w:rPr>
          <w:bCs/>
        </w:rPr>
        <w:t>FGD wa</w:t>
      </w:r>
      <w:r w:rsidR="0064653B">
        <w:rPr>
          <w:bCs/>
        </w:rPr>
        <w:t>s</w:t>
      </w:r>
      <w:r w:rsidR="00AC570D">
        <w:rPr>
          <w:bCs/>
        </w:rPr>
        <w:t xml:space="preserve">tewater treatment systems </w:t>
      </w:r>
      <w:r w:rsidR="00B8149E">
        <w:rPr>
          <w:bCs/>
        </w:rPr>
        <w:t xml:space="preserve">at Plants </w:t>
      </w:r>
      <w:r w:rsidR="008E6CAE">
        <w:rPr>
          <w:bCs/>
        </w:rPr>
        <w:t xml:space="preserve">Bowen </w:t>
      </w:r>
      <w:r w:rsidR="00592897">
        <w:rPr>
          <w:bCs/>
        </w:rPr>
        <w:t xml:space="preserve">Units 3 and 4 </w:t>
      </w:r>
      <w:r w:rsidR="008E6CAE">
        <w:rPr>
          <w:bCs/>
        </w:rPr>
        <w:t>and Scherer</w:t>
      </w:r>
      <w:r w:rsidR="00592897">
        <w:rPr>
          <w:bCs/>
        </w:rPr>
        <w:t xml:space="preserve"> Units 1 and 2</w:t>
      </w:r>
      <w:r w:rsidR="00BC4AC0">
        <w:rPr>
          <w:bCs/>
        </w:rPr>
        <w:t>. A</w:t>
      </w:r>
      <w:r w:rsidR="006135B0">
        <w:rPr>
          <w:bCs/>
        </w:rPr>
        <w:t xml:space="preserve">s discussed in </w:t>
      </w:r>
      <w:r w:rsidR="00F135C5">
        <w:rPr>
          <w:bCs/>
        </w:rPr>
        <w:t>S</w:t>
      </w:r>
      <w:r w:rsidR="006135B0" w:rsidRPr="00F135C5">
        <w:rPr>
          <w:bCs/>
        </w:rPr>
        <w:t>ection</w:t>
      </w:r>
      <w:r w:rsidR="006135B0" w:rsidRPr="00F135C5">
        <w:t xml:space="preserve"> </w:t>
      </w:r>
      <w:r w:rsidR="00190A56">
        <w:rPr>
          <w:bCs/>
        </w:rPr>
        <w:t>2.3.1</w:t>
      </w:r>
      <w:r w:rsidR="009B58E0">
        <w:rPr>
          <w:bCs/>
        </w:rPr>
        <w:t>,</w:t>
      </w:r>
      <w:r w:rsidR="006135B0">
        <w:rPr>
          <w:bCs/>
        </w:rPr>
        <w:t xml:space="preserve"> </w:t>
      </w:r>
      <w:r w:rsidR="00A6768C">
        <w:rPr>
          <w:bCs/>
        </w:rPr>
        <w:t>the Company</w:t>
      </w:r>
      <w:r w:rsidR="006135B0">
        <w:rPr>
          <w:bCs/>
        </w:rPr>
        <w:t xml:space="preserve">’s </w:t>
      </w:r>
      <w:r w:rsidR="008835BA">
        <w:rPr>
          <w:bCs/>
        </w:rPr>
        <w:t>R&amp;D and testing of water treatment technologies</w:t>
      </w:r>
      <w:r w:rsidR="001F71B0">
        <w:rPr>
          <w:bCs/>
        </w:rPr>
        <w:t>, supported by the Commission,</w:t>
      </w:r>
      <w:r w:rsidR="008835BA">
        <w:rPr>
          <w:bCs/>
        </w:rPr>
        <w:t xml:space="preserve"> has enabled </w:t>
      </w:r>
      <w:r w:rsidR="00EB4F2C">
        <w:rPr>
          <w:bCs/>
        </w:rPr>
        <w:t>the</w:t>
      </w:r>
      <w:r w:rsidR="006C6A8B">
        <w:rPr>
          <w:bCs/>
        </w:rPr>
        <w:t>se</w:t>
      </w:r>
      <w:r w:rsidR="00EB4F2C">
        <w:rPr>
          <w:bCs/>
        </w:rPr>
        <w:t xml:space="preserve"> select</w:t>
      </w:r>
      <w:r w:rsidR="00F7539A">
        <w:rPr>
          <w:bCs/>
        </w:rPr>
        <w:t xml:space="preserve">ed </w:t>
      </w:r>
      <w:r w:rsidR="00EB4F2C">
        <w:rPr>
          <w:bCs/>
        </w:rPr>
        <w:t>strategies</w:t>
      </w:r>
      <w:r w:rsidR="00EB4F2C" w:rsidDel="006C6A8B">
        <w:rPr>
          <w:bCs/>
        </w:rPr>
        <w:t xml:space="preserve"> </w:t>
      </w:r>
      <w:r w:rsidR="00F13A8F">
        <w:rPr>
          <w:bCs/>
        </w:rPr>
        <w:t xml:space="preserve">to </w:t>
      </w:r>
      <w:r w:rsidR="15A8D5E2">
        <w:t>develop</w:t>
      </w:r>
      <w:r w:rsidR="67B837AE">
        <w:t>.</w:t>
      </w:r>
      <w:r w:rsidR="006C6A8B">
        <w:rPr>
          <w:bCs/>
        </w:rPr>
        <w:t xml:space="preserve"> </w:t>
      </w:r>
      <w:r w:rsidR="00003068">
        <w:rPr>
          <w:bCs/>
        </w:rPr>
        <w:t>This testing includes</w:t>
      </w:r>
      <w:r w:rsidR="00A6768C">
        <w:rPr>
          <w:bCs/>
        </w:rPr>
        <w:t xml:space="preserve"> physical-chemical-biological treatment systems </w:t>
      </w:r>
      <w:r w:rsidR="0065015B">
        <w:rPr>
          <w:bCs/>
        </w:rPr>
        <w:t>as well as</w:t>
      </w:r>
      <w:r w:rsidR="00003068">
        <w:rPr>
          <w:bCs/>
        </w:rPr>
        <w:t xml:space="preserve"> </w:t>
      </w:r>
      <w:r w:rsidR="00A6768C" w:rsidRPr="00C12B4D">
        <w:rPr>
          <w:bCs/>
        </w:rPr>
        <w:t>membrane</w:t>
      </w:r>
      <w:r w:rsidR="00A6768C">
        <w:rPr>
          <w:bCs/>
        </w:rPr>
        <w:t>-based</w:t>
      </w:r>
      <w:r w:rsidR="00A6768C" w:rsidRPr="00C12B4D">
        <w:rPr>
          <w:bCs/>
        </w:rPr>
        <w:t xml:space="preserve"> </w:t>
      </w:r>
      <w:r w:rsidR="001E19D6">
        <w:rPr>
          <w:bCs/>
        </w:rPr>
        <w:t>treatment systems</w:t>
      </w:r>
      <w:r w:rsidR="00A6768C" w:rsidRPr="00C12B4D">
        <w:rPr>
          <w:bCs/>
        </w:rPr>
        <w:t>.</w:t>
      </w:r>
      <w:r w:rsidR="00A6768C">
        <w:rPr>
          <w:bCs/>
        </w:rPr>
        <w:t xml:space="preserve"> </w:t>
      </w:r>
      <w:r w:rsidR="008472B9">
        <w:rPr>
          <w:bCs/>
        </w:rPr>
        <w:t>Based on this research</w:t>
      </w:r>
      <w:r w:rsidR="00BD733F">
        <w:rPr>
          <w:bCs/>
        </w:rPr>
        <w:t xml:space="preserve"> and testing</w:t>
      </w:r>
      <w:r w:rsidR="008472B9">
        <w:rPr>
          <w:bCs/>
        </w:rPr>
        <w:t xml:space="preserve">, the Company has selected </w:t>
      </w:r>
      <w:r w:rsidR="006743C9">
        <w:rPr>
          <w:bCs/>
        </w:rPr>
        <w:t xml:space="preserve">a </w:t>
      </w:r>
      <w:r w:rsidR="008472B9">
        <w:rPr>
          <w:bCs/>
        </w:rPr>
        <w:t xml:space="preserve">physical-chemical-biological treatment </w:t>
      </w:r>
      <w:r w:rsidR="00BD733F">
        <w:rPr>
          <w:bCs/>
        </w:rPr>
        <w:t xml:space="preserve">system for Plant Bowen Units </w:t>
      </w:r>
      <w:r w:rsidR="00E61325">
        <w:rPr>
          <w:bCs/>
        </w:rPr>
        <w:t>3 and 4</w:t>
      </w:r>
      <w:r w:rsidR="00B46653">
        <w:rPr>
          <w:bCs/>
        </w:rPr>
        <w:t xml:space="preserve"> to be installed </w:t>
      </w:r>
      <w:r w:rsidR="00205636">
        <w:rPr>
          <w:bCs/>
        </w:rPr>
        <w:t>by December 31, 2025</w:t>
      </w:r>
      <w:r w:rsidR="00BD733F">
        <w:rPr>
          <w:bCs/>
        </w:rPr>
        <w:t>.</w:t>
      </w:r>
      <w:r w:rsidR="005B78AF">
        <w:rPr>
          <w:bCs/>
        </w:rPr>
        <w:t xml:space="preserve"> </w:t>
      </w:r>
    </w:p>
    <w:p w14:paraId="0A2CE6C0" w14:textId="42FB0F3C" w:rsidR="005A1AC0" w:rsidRDefault="00147C3F" w:rsidP="00440B44">
      <w:pPr>
        <w:rPr>
          <w:bCs/>
        </w:rPr>
      </w:pPr>
      <w:r>
        <w:rPr>
          <w:bCs/>
        </w:rPr>
        <w:t>In reflection of</w:t>
      </w:r>
      <w:r w:rsidR="00120AE3" w:rsidRPr="00120AE3">
        <w:rPr>
          <w:bCs/>
        </w:rPr>
        <w:t xml:space="preserve"> plant-specific equipment and operational characteristics, Plant Scherer</w:t>
      </w:r>
      <w:r w:rsidR="00120AE3">
        <w:rPr>
          <w:bCs/>
        </w:rPr>
        <w:t xml:space="preserve"> </w:t>
      </w:r>
      <w:r w:rsidR="00075F66">
        <w:rPr>
          <w:bCs/>
        </w:rPr>
        <w:t xml:space="preserve">Units 1 and 2 </w:t>
      </w:r>
      <w:r w:rsidR="67739D63">
        <w:t>have</w:t>
      </w:r>
      <w:r w:rsidR="00120AE3">
        <w:rPr>
          <w:bCs/>
        </w:rPr>
        <w:t xml:space="preserve"> a different strategy </w:t>
      </w:r>
      <w:r w:rsidR="00674D52">
        <w:rPr>
          <w:bCs/>
        </w:rPr>
        <w:t xml:space="preserve">than </w:t>
      </w:r>
      <w:r w:rsidR="00120AE3">
        <w:rPr>
          <w:bCs/>
        </w:rPr>
        <w:t>Plant Bowen.</w:t>
      </w:r>
      <w:r w:rsidR="00120AE3" w:rsidRPr="00120AE3">
        <w:rPr>
          <w:bCs/>
        </w:rPr>
        <w:t xml:space="preserve"> </w:t>
      </w:r>
      <w:r w:rsidR="00274F14">
        <w:rPr>
          <w:bCs/>
        </w:rPr>
        <w:t>As a result of the Company</w:t>
      </w:r>
      <w:r w:rsidR="006030EC">
        <w:rPr>
          <w:bCs/>
        </w:rPr>
        <w:t>’</w:t>
      </w:r>
      <w:r w:rsidR="00274F14">
        <w:rPr>
          <w:bCs/>
        </w:rPr>
        <w:t xml:space="preserve">s continued </w:t>
      </w:r>
      <w:r w:rsidR="00365378">
        <w:rPr>
          <w:bCs/>
        </w:rPr>
        <w:t>eva</w:t>
      </w:r>
      <w:r w:rsidR="0064653B">
        <w:rPr>
          <w:bCs/>
        </w:rPr>
        <w:t>l</w:t>
      </w:r>
      <w:r w:rsidR="00365378">
        <w:rPr>
          <w:bCs/>
        </w:rPr>
        <w:t xml:space="preserve">uation and research of </w:t>
      </w:r>
      <w:r w:rsidR="009B2193">
        <w:rPr>
          <w:bCs/>
        </w:rPr>
        <w:t xml:space="preserve">wastewater treatment systems, </w:t>
      </w:r>
      <w:r w:rsidR="00120AE3">
        <w:rPr>
          <w:bCs/>
        </w:rPr>
        <w:t xml:space="preserve">Plant Scherer </w:t>
      </w:r>
      <w:r w:rsidR="00120AE3" w:rsidRPr="00120AE3">
        <w:rPr>
          <w:bCs/>
        </w:rPr>
        <w:t xml:space="preserve">may benefit from the VIP compliance </w:t>
      </w:r>
      <w:r w:rsidR="00C57A43">
        <w:rPr>
          <w:bCs/>
        </w:rPr>
        <w:t xml:space="preserve">subcategory </w:t>
      </w:r>
      <w:r w:rsidR="00120AE3" w:rsidRPr="00120AE3">
        <w:rPr>
          <w:bCs/>
        </w:rPr>
        <w:t>option</w:t>
      </w:r>
      <w:r w:rsidR="00120AE3">
        <w:rPr>
          <w:bCs/>
        </w:rPr>
        <w:t xml:space="preserve"> provided for in the </w:t>
      </w:r>
      <w:r w:rsidR="00E07BFF">
        <w:rPr>
          <w:bCs/>
        </w:rPr>
        <w:t>ELG</w:t>
      </w:r>
      <w:r w:rsidR="00120AE3">
        <w:rPr>
          <w:bCs/>
        </w:rPr>
        <w:t xml:space="preserve"> Reconsideration Ru</w:t>
      </w:r>
      <w:r w:rsidR="0043681D">
        <w:rPr>
          <w:bCs/>
        </w:rPr>
        <w:t>l</w:t>
      </w:r>
      <w:r w:rsidR="00120AE3">
        <w:rPr>
          <w:bCs/>
        </w:rPr>
        <w:t>e</w:t>
      </w:r>
      <w:r w:rsidR="00BA53E5">
        <w:rPr>
          <w:bCs/>
        </w:rPr>
        <w:t xml:space="preserve"> by</w:t>
      </w:r>
      <w:r w:rsidR="00120AE3" w:rsidRPr="00120AE3">
        <w:rPr>
          <w:bCs/>
        </w:rPr>
        <w:t xml:space="preserve"> using membrane</w:t>
      </w:r>
      <w:r w:rsidR="00BA53E5">
        <w:rPr>
          <w:bCs/>
        </w:rPr>
        <w:t>-based treatment</w:t>
      </w:r>
      <w:r w:rsidR="00120AE3" w:rsidRPr="00120AE3">
        <w:rPr>
          <w:bCs/>
        </w:rPr>
        <w:t xml:space="preserve"> technology</w:t>
      </w:r>
      <w:r w:rsidR="00A44B3A">
        <w:rPr>
          <w:bCs/>
        </w:rPr>
        <w:t>.</w:t>
      </w:r>
      <w:r w:rsidR="00120AE3" w:rsidRPr="00120AE3">
        <w:rPr>
          <w:bCs/>
        </w:rPr>
        <w:t xml:space="preserve"> </w:t>
      </w:r>
      <w:r w:rsidR="002C3888">
        <w:rPr>
          <w:bCs/>
        </w:rPr>
        <w:t>This</w:t>
      </w:r>
      <w:r w:rsidR="00E55A57">
        <w:rPr>
          <w:bCs/>
        </w:rPr>
        <w:t xml:space="preserve"> option</w:t>
      </w:r>
      <w:r w:rsidR="00BE1702">
        <w:rPr>
          <w:bCs/>
        </w:rPr>
        <w:t xml:space="preserve"> provides</w:t>
      </w:r>
      <w:r w:rsidR="00120AE3" w:rsidRPr="00120AE3">
        <w:rPr>
          <w:bCs/>
        </w:rPr>
        <w:t xml:space="preserve"> an alternative to physical-chemical-biological treatment, even though the VIP </w:t>
      </w:r>
      <w:r w:rsidR="002169D4">
        <w:rPr>
          <w:bCs/>
        </w:rPr>
        <w:t xml:space="preserve">subcategory </w:t>
      </w:r>
      <w:r w:rsidR="00120AE3" w:rsidRPr="00120AE3">
        <w:rPr>
          <w:bCs/>
        </w:rPr>
        <w:t xml:space="preserve">includes more stringent requirements. While more study is needed on </w:t>
      </w:r>
      <w:r w:rsidR="00C74C28">
        <w:rPr>
          <w:bCs/>
        </w:rPr>
        <w:t xml:space="preserve">the </w:t>
      </w:r>
      <w:r w:rsidR="00120AE3" w:rsidRPr="00120AE3">
        <w:rPr>
          <w:bCs/>
        </w:rPr>
        <w:t xml:space="preserve">membrane technology </w:t>
      </w:r>
      <w:r w:rsidR="00C74C28">
        <w:rPr>
          <w:bCs/>
        </w:rPr>
        <w:t>system</w:t>
      </w:r>
      <w:r w:rsidR="00120AE3" w:rsidRPr="00120AE3">
        <w:rPr>
          <w:bCs/>
        </w:rPr>
        <w:t xml:space="preserve"> before making a final determination, the Company’s long-term investment in water research has positioned Plant Scherer to be able to explore multiple options, with the goal of providing the greatest benefit to customers. Thus, the Plant Scherer filing with </w:t>
      </w:r>
      <w:r w:rsidR="00DB45AF">
        <w:rPr>
          <w:lang w:val="en"/>
        </w:rPr>
        <w:t>Georgia</w:t>
      </w:r>
      <w:r w:rsidR="00120AE3" w:rsidRPr="0084296F">
        <w:rPr>
          <w:lang w:val="en"/>
        </w:rPr>
        <w:t xml:space="preserve"> </w:t>
      </w:r>
      <w:r w:rsidR="00120AE3" w:rsidRPr="00120AE3">
        <w:rPr>
          <w:bCs/>
        </w:rPr>
        <w:t xml:space="preserve">EPD identified the Company’s intent to pursue the VIP compliance pathway in the ELG </w:t>
      </w:r>
      <w:r w:rsidR="008611FD">
        <w:rPr>
          <w:bCs/>
        </w:rPr>
        <w:t>Reconsideration R</w:t>
      </w:r>
      <w:r w:rsidR="00120AE3" w:rsidRPr="00120AE3">
        <w:rPr>
          <w:bCs/>
        </w:rPr>
        <w:t xml:space="preserve">ule for Units 1 and 2, which affords an additional three years to </w:t>
      </w:r>
      <w:r w:rsidR="005A0C12">
        <w:rPr>
          <w:bCs/>
        </w:rPr>
        <w:t xml:space="preserve">complete the </w:t>
      </w:r>
      <w:r w:rsidR="004226CA">
        <w:rPr>
          <w:bCs/>
        </w:rPr>
        <w:t xml:space="preserve">continued technical evaluation and </w:t>
      </w:r>
      <w:r w:rsidR="00120AE3" w:rsidRPr="00120AE3">
        <w:rPr>
          <w:bCs/>
        </w:rPr>
        <w:t xml:space="preserve">install controls. </w:t>
      </w:r>
      <w:r w:rsidR="001855C8">
        <w:rPr>
          <w:bCs/>
        </w:rPr>
        <w:t xml:space="preserve">However, because of the </w:t>
      </w:r>
      <w:r w:rsidR="00F85F46">
        <w:rPr>
          <w:bCs/>
        </w:rPr>
        <w:t xml:space="preserve">needed </w:t>
      </w:r>
      <w:r w:rsidR="00D2051D">
        <w:rPr>
          <w:bCs/>
        </w:rPr>
        <w:t>testing and study</w:t>
      </w:r>
      <w:r w:rsidR="0052127C">
        <w:rPr>
          <w:bCs/>
        </w:rPr>
        <w:t xml:space="preserve"> of the membrane-based </w:t>
      </w:r>
      <w:r w:rsidR="00E20020">
        <w:rPr>
          <w:bCs/>
        </w:rPr>
        <w:t xml:space="preserve">technology, the Company has included </w:t>
      </w:r>
      <w:r w:rsidR="001F0575">
        <w:rPr>
          <w:bCs/>
        </w:rPr>
        <w:t xml:space="preserve">control assumptions and costs related to installation of a physical-chemical-biological </w:t>
      </w:r>
      <w:r w:rsidR="000D0F0C">
        <w:rPr>
          <w:bCs/>
        </w:rPr>
        <w:t xml:space="preserve">treatment system in this </w:t>
      </w:r>
      <w:r w:rsidR="003F3B19">
        <w:rPr>
          <w:bCs/>
        </w:rPr>
        <w:t>ECS and IRP.</w:t>
      </w:r>
      <w:r w:rsidR="00120AE3" w:rsidRPr="00120AE3">
        <w:rPr>
          <w:bCs/>
        </w:rPr>
        <w:t xml:space="preserve"> The benefits of this additional time </w:t>
      </w:r>
      <w:r w:rsidR="001D3AE1">
        <w:rPr>
          <w:bCs/>
        </w:rPr>
        <w:t xml:space="preserve">provided by the VIP compliance path evaluation </w:t>
      </w:r>
      <w:r w:rsidR="00120AE3" w:rsidRPr="00120AE3">
        <w:rPr>
          <w:bCs/>
        </w:rPr>
        <w:t xml:space="preserve">include the ability to perform further research and development, </w:t>
      </w:r>
      <w:r w:rsidR="00120AE3" w:rsidRPr="00611F94">
        <w:rPr>
          <w:bCs/>
        </w:rPr>
        <w:t xml:space="preserve">adjust to </w:t>
      </w:r>
      <w:r w:rsidR="00120AE3" w:rsidRPr="00611F94">
        <w:t xml:space="preserve">future </w:t>
      </w:r>
      <w:r w:rsidR="00120AE3" w:rsidRPr="00611F94">
        <w:rPr>
          <w:bCs/>
        </w:rPr>
        <w:t xml:space="preserve">regulatory changes, and </w:t>
      </w:r>
      <w:r w:rsidR="00C96D91" w:rsidRPr="00611F94">
        <w:rPr>
          <w:bCs/>
        </w:rPr>
        <w:t xml:space="preserve">provides </w:t>
      </w:r>
      <w:r w:rsidR="00120AE3" w:rsidRPr="00611F94">
        <w:rPr>
          <w:bCs/>
        </w:rPr>
        <w:t xml:space="preserve">the flexibility to </w:t>
      </w:r>
      <w:r w:rsidR="00603B35" w:rsidRPr="00611F94">
        <w:rPr>
          <w:bCs/>
        </w:rPr>
        <w:t>install physical-chemical-biological controls or</w:t>
      </w:r>
      <w:r w:rsidR="00120AE3" w:rsidRPr="00611F94">
        <w:rPr>
          <w:bCs/>
        </w:rPr>
        <w:t xml:space="preserve"> adjust </w:t>
      </w:r>
      <w:r w:rsidR="005D2773" w:rsidRPr="00611F94">
        <w:rPr>
          <w:bCs/>
        </w:rPr>
        <w:t xml:space="preserve">the </w:t>
      </w:r>
      <w:r w:rsidR="00120AE3" w:rsidRPr="00611F94">
        <w:rPr>
          <w:bCs/>
        </w:rPr>
        <w:t xml:space="preserve">strategy </w:t>
      </w:r>
      <w:r w:rsidR="005A16E5" w:rsidRPr="00611F94">
        <w:rPr>
          <w:bCs/>
        </w:rPr>
        <w:t>and pursue retirement</w:t>
      </w:r>
      <w:r w:rsidR="00120AE3" w:rsidRPr="00611F94">
        <w:rPr>
          <w:bCs/>
        </w:rPr>
        <w:t xml:space="preserve"> </w:t>
      </w:r>
      <w:r w:rsidR="00B63041" w:rsidRPr="00611F94">
        <w:rPr>
          <w:bCs/>
        </w:rPr>
        <w:t>should conditions change.</w:t>
      </w:r>
      <w:r w:rsidR="00120AE3" w:rsidRPr="00120AE3">
        <w:rPr>
          <w:bCs/>
        </w:rPr>
        <w:t xml:space="preserve"> </w:t>
      </w:r>
    </w:p>
    <w:p w14:paraId="0987820B" w14:textId="1EC19D90" w:rsidR="00203C61" w:rsidRPr="0016047A" w:rsidRDefault="00DB01BF" w:rsidP="00440B44">
      <w:pPr>
        <w:rPr>
          <w:bCs/>
        </w:rPr>
      </w:pPr>
      <w:r>
        <w:rPr>
          <w:bCs/>
        </w:rPr>
        <w:t xml:space="preserve">The </w:t>
      </w:r>
      <w:r w:rsidR="00900019">
        <w:rPr>
          <w:bCs/>
        </w:rPr>
        <w:t xml:space="preserve">unique and site-specific </w:t>
      </w:r>
      <w:r w:rsidR="00744BF7">
        <w:rPr>
          <w:bCs/>
        </w:rPr>
        <w:t xml:space="preserve">water quality and </w:t>
      </w:r>
      <w:r w:rsidR="001622A5">
        <w:rPr>
          <w:bCs/>
        </w:rPr>
        <w:t>quantity</w:t>
      </w:r>
      <w:r w:rsidR="00D14207">
        <w:rPr>
          <w:bCs/>
        </w:rPr>
        <w:t xml:space="preserve"> </w:t>
      </w:r>
      <w:r w:rsidR="00CF19FA">
        <w:rPr>
          <w:bCs/>
        </w:rPr>
        <w:t>characteristics</w:t>
      </w:r>
      <w:r w:rsidR="00900019">
        <w:rPr>
          <w:bCs/>
        </w:rPr>
        <w:t xml:space="preserve"> at Plant Scherer make </w:t>
      </w:r>
      <w:r w:rsidR="002B7400">
        <w:rPr>
          <w:bCs/>
        </w:rPr>
        <w:t xml:space="preserve">it the only site where a </w:t>
      </w:r>
      <w:r>
        <w:rPr>
          <w:bCs/>
        </w:rPr>
        <w:t>VIP path</w:t>
      </w:r>
      <w:r w:rsidR="00CF19FA">
        <w:rPr>
          <w:bCs/>
        </w:rPr>
        <w:t>way</w:t>
      </w:r>
      <w:r>
        <w:rPr>
          <w:bCs/>
        </w:rPr>
        <w:t xml:space="preserve"> </w:t>
      </w:r>
      <w:r w:rsidR="002B7400">
        <w:rPr>
          <w:bCs/>
        </w:rPr>
        <w:t xml:space="preserve">can </w:t>
      </w:r>
      <w:r w:rsidR="00702845">
        <w:rPr>
          <w:bCs/>
        </w:rPr>
        <w:t xml:space="preserve">potentially </w:t>
      </w:r>
      <w:r w:rsidR="002B7400">
        <w:rPr>
          <w:bCs/>
        </w:rPr>
        <w:t>be</w:t>
      </w:r>
      <w:r w:rsidR="0075315C">
        <w:rPr>
          <w:bCs/>
        </w:rPr>
        <w:t xml:space="preserve"> feasibly</w:t>
      </w:r>
      <w:r w:rsidR="002B7400">
        <w:rPr>
          <w:bCs/>
        </w:rPr>
        <w:t xml:space="preserve"> pursued. </w:t>
      </w:r>
      <w:r w:rsidR="0021354B">
        <w:rPr>
          <w:bCs/>
        </w:rPr>
        <w:t>Wh</w:t>
      </w:r>
      <w:r w:rsidR="000D04F2">
        <w:rPr>
          <w:bCs/>
        </w:rPr>
        <w:t xml:space="preserve">ile </w:t>
      </w:r>
      <w:r w:rsidR="00A21E8E">
        <w:rPr>
          <w:bCs/>
        </w:rPr>
        <w:t xml:space="preserve">the research and testing </w:t>
      </w:r>
      <w:r w:rsidR="00296CEF" w:rsidRPr="00296CEF">
        <w:rPr>
          <w:bCs/>
        </w:rPr>
        <w:t>to date indicates that a membrane</w:t>
      </w:r>
      <w:r w:rsidR="00F930D5">
        <w:rPr>
          <w:bCs/>
        </w:rPr>
        <w:t>-based</w:t>
      </w:r>
      <w:r w:rsidR="00296CEF" w:rsidRPr="00296CEF">
        <w:rPr>
          <w:bCs/>
        </w:rPr>
        <w:t xml:space="preserve"> treatment solution </w:t>
      </w:r>
      <w:r w:rsidR="0081586C">
        <w:t>shows</w:t>
      </w:r>
      <w:r w:rsidR="0081586C">
        <w:rPr>
          <w:bCs/>
        </w:rPr>
        <w:t xml:space="preserve"> promise</w:t>
      </w:r>
      <w:r w:rsidR="00296CEF" w:rsidRPr="00296CEF">
        <w:rPr>
          <w:bCs/>
        </w:rPr>
        <w:t xml:space="preserve"> at Plant Scherer</w:t>
      </w:r>
      <w:r w:rsidR="00A21E8E">
        <w:rPr>
          <w:bCs/>
        </w:rPr>
        <w:t>, o</w:t>
      </w:r>
      <w:r w:rsidR="00203C61" w:rsidRPr="0016047A">
        <w:rPr>
          <w:bCs/>
        </w:rPr>
        <w:t>n-going research</w:t>
      </w:r>
      <w:r w:rsidR="008E3068">
        <w:rPr>
          <w:bCs/>
        </w:rPr>
        <w:t xml:space="preserve">, </w:t>
      </w:r>
      <w:r w:rsidR="00203C61" w:rsidRPr="0016047A">
        <w:rPr>
          <w:bCs/>
        </w:rPr>
        <w:t>testing</w:t>
      </w:r>
      <w:r w:rsidR="008E3068">
        <w:rPr>
          <w:bCs/>
        </w:rPr>
        <w:t>, and design</w:t>
      </w:r>
      <w:r w:rsidR="00203C61" w:rsidRPr="0016047A">
        <w:rPr>
          <w:bCs/>
        </w:rPr>
        <w:t xml:space="preserve"> of the full membrane-based treatment solution is needed and being performed to </w:t>
      </w:r>
      <w:r w:rsidR="00B532FB" w:rsidRPr="00B532FB">
        <w:rPr>
          <w:bCs/>
        </w:rPr>
        <w:t xml:space="preserve">work through </w:t>
      </w:r>
      <w:r w:rsidR="00E743E0">
        <w:rPr>
          <w:bCs/>
        </w:rPr>
        <w:t xml:space="preserve">technical and </w:t>
      </w:r>
      <w:r w:rsidR="00B532FB" w:rsidRPr="00B532FB">
        <w:rPr>
          <w:bCs/>
        </w:rPr>
        <w:t>regulatory compliance</w:t>
      </w:r>
      <w:r w:rsidR="00D21E8B">
        <w:rPr>
          <w:bCs/>
        </w:rPr>
        <w:t xml:space="preserve"> evaluations</w:t>
      </w:r>
      <w:r w:rsidR="00203C61" w:rsidRPr="0016047A">
        <w:rPr>
          <w:bCs/>
        </w:rPr>
        <w:t xml:space="preserve">.  </w:t>
      </w:r>
      <w:r w:rsidR="00693EEC">
        <w:rPr>
          <w:bCs/>
        </w:rPr>
        <w:t xml:space="preserve">The additional research efforts at Plant Scherer </w:t>
      </w:r>
      <w:r w:rsidR="00F95EB2">
        <w:rPr>
          <w:bCs/>
        </w:rPr>
        <w:t xml:space="preserve">are scheduled for completion </w:t>
      </w:r>
      <w:r w:rsidR="00A47421">
        <w:rPr>
          <w:bCs/>
        </w:rPr>
        <w:t>prior</w:t>
      </w:r>
      <w:r w:rsidR="00F95EB2">
        <w:rPr>
          <w:bCs/>
        </w:rPr>
        <w:t xml:space="preserve"> to the conclusion of the 2022 IRP </w:t>
      </w:r>
      <w:r w:rsidR="00A47421">
        <w:rPr>
          <w:bCs/>
        </w:rPr>
        <w:t>proceedings</w:t>
      </w:r>
      <w:r w:rsidR="00F95EB2">
        <w:rPr>
          <w:bCs/>
        </w:rPr>
        <w:t xml:space="preserve">, and as such the </w:t>
      </w:r>
      <w:r w:rsidR="00E111B3">
        <w:t>C</w:t>
      </w:r>
      <w:r w:rsidR="00F95EB2">
        <w:t>o</w:t>
      </w:r>
      <w:r w:rsidR="00A47421">
        <w:t>mmission</w:t>
      </w:r>
      <w:r w:rsidR="00A47421">
        <w:rPr>
          <w:bCs/>
        </w:rPr>
        <w:t xml:space="preserve"> will be updated during that process accordingly.</w:t>
      </w:r>
      <w:r w:rsidR="00025D9B">
        <w:rPr>
          <w:bCs/>
        </w:rPr>
        <w:t xml:space="preserve"> </w:t>
      </w:r>
      <w:r w:rsidR="00DE1E9E">
        <w:t>C</w:t>
      </w:r>
      <w:r w:rsidR="000A0985">
        <w:t>ontrols will be installed for continued operation of Plant Scherer Units 1 and 2</w:t>
      </w:r>
      <w:r w:rsidR="00DE1E9E">
        <w:t>.</w:t>
      </w:r>
      <w:r w:rsidR="000A0985">
        <w:t xml:space="preserve"> Should the evaluation of the membrane-based treatment systems show appropriate technical performance, reliability, operational flexibility and cost compared against the physical-chemical-biological controls, the Company will install the membrane-based system</w:t>
      </w:r>
      <w:r w:rsidR="00BB0DE6">
        <w:t>.</w:t>
      </w:r>
    </w:p>
    <w:p w14:paraId="1D7EBC49" w14:textId="36F5AD97" w:rsidR="00196041" w:rsidRDefault="00ED52C0" w:rsidP="008025DB">
      <w:r>
        <w:t>Importantly,</w:t>
      </w:r>
      <w:r w:rsidR="00BF0DB0">
        <w:t xml:space="preserve"> </w:t>
      </w:r>
      <w:r w:rsidR="005874B9">
        <w:t>because</w:t>
      </w:r>
      <w:r w:rsidR="29B8A56E">
        <w:t xml:space="preserve"> of</w:t>
      </w:r>
      <w:r w:rsidR="005874B9">
        <w:t xml:space="preserve"> </w:t>
      </w:r>
      <w:r w:rsidR="00F8560B" w:rsidRPr="00F8560B">
        <w:t>the</w:t>
      </w:r>
      <w:r w:rsidR="007D75D2">
        <w:t xml:space="preserve"> </w:t>
      </w:r>
      <w:r w:rsidR="00257DA9">
        <w:t xml:space="preserve">EPA’s </w:t>
      </w:r>
      <w:r w:rsidR="007D75D2">
        <w:t xml:space="preserve">August 2021 </w:t>
      </w:r>
      <w:r w:rsidR="008A79A6">
        <w:t>announcement</w:t>
      </w:r>
      <w:r w:rsidR="00F16EF8">
        <w:t xml:space="preserve"> of Supplement</w:t>
      </w:r>
      <w:r w:rsidR="0021654A">
        <w:t>al</w:t>
      </w:r>
      <w:r w:rsidR="00F16EF8">
        <w:t xml:space="preserve"> Rulemaking</w:t>
      </w:r>
      <w:r w:rsidR="00F8560B" w:rsidRPr="00F8560B">
        <w:t xml:space="preserve"> </w:t>
      </w:r>
      <w:r w:rsidR="00237B58">
        <w:t>being undertaken</w:t>
      </w:r>
      <w:r w:rsidR="00F8560B" w:rsidRPr="00F8560B">
        <w:t xml:space="preserve">, the executable timeline for final engineering and subsequent procurement and construction </w:t>
      </w:r>
      <w:r w:rsidR="005874B9">
        <w:t xml:space="preserve">of these ELG projects </w:t>
      </w:r>
      <w:r w:rsidR="00F8560B" w:rsidRPr="00F8560B">
        <w:t xml:space="preserve">may evolve as </w:t>
      </w:r>
      <w:r w:rsidR="00723B29">
        <w:t>the Company</w:t>
      </w:r>
      <w:r w:rsidR="00F8560B" w:rsidRPr="00F8560B">
        <w:t xml:space="preserve"> move</w:t>
      </w:r>
      <w:r w:rsidR="00723B29">
        <w:t>s</w:t>
      </w:r>
      <w:r w:rsidR="00F8560B" w:rsidRPr="00F8560B">
        <w:t xml:space="preserve"> forward</w:t>
      </w:r>
      <w:r w:rsidR="00C24545">
        <w:t>.</w:t>
      </w:r>
      <w:r w:rsidR="005C5BBE">
        <w:t xml:space="preserve">  The uncertainty by the </w:t>
      </w:r>
      <w:r w:rsidR="00BB5154">
        <w:t xml:space="preserve">new rulemaking has added </w:t>
      </w:r>
      <w:r w:rsidR="005D0CBE">
        <w:t>additional risk</w:t>
      </w:r>
      <w:r w:rsidR="00697D92">
        <w:t xml:space="preserve"> considerations</w:t>
      </w:r>
      <w:r w:rsidR="005D0CBE">
        <w:t xml:space="preserve"> to units that have </w:t>
      </w:r>
      <w:r w:rsidR="007470DC">
        <w:t xml:space="preserve">existing </w:t>
      </w:r>
      <w:r w:rsidR="00D46280">
        <w:t xml:space="preserve">economic and regulatory </w:t>
      </w:r>
      <w:r w:rsidR="00D21279">
        <w:t>pressures</w:t>
      </w:r>
      <w:r w:rsidR="7760DF1C">
        <w:t>.</w:t>
      </w:r>
      <w:r w:rsidR="00A14795">
        <w:t xml:space="preserve">  These risks as well as system reliability risks </w:t>
      </w:r>
      <w:r w:rsidR="000063F3">
        <w:t xml:space="preserve">are being evaluated </w:t>
      </w:r>
      <w:r w:rsidR="00EC1183">
        <w:t xml:space="preserve">and further justify the Company’s </w:t>
      </w:r>
      <w:r w:rsidR="00A64868">
        <w:t xml:space="preserve">proposed </w:t>
      </w:r>
      <w:r w:rsidR="00EC1183">
        <w:t>diverse strategy for the remaining coal-fired generating units.</w:t>
      </w:r>
    </w:p>
    <w:p w14:paraId="455E3606" w14:textId="3E2C02AB" w:rsidR="003A27E9" w:rsidRDefault="00DF4406" w:rsidP="003A27E9">
      <w:pPr>
        <w:spacing w:after="160" w:line="259" w:lineRule="auto"/>
        <w:jc w:val="left"/>
        <w:rPr>
          <w:rFonts w:cs="Arial"/>
          <w:b/>
          <w:color w:val="171717" w:themeColor="background2" w:themeShade="1A"/>
        </w:rPr>
        <w:sectPr w:rsidR="003A27E9" w:rsidSect="00083E2E">
          <w:pgSz w:w="12240" w:h="15840"/>
          <w:pgMar w:top="1440" w:right="1440" w:bottom="1440" w:left="1440" w:header="720" w:footer="720" w:gutter="0"/>
          <w:pgNumType w:start="1"/>
          <w:cols w:space="720"/>
          <w:docGrid w:linePitch="360"/>
        </w:sectPr>
      </w:pPr>
      <w:r w:rsidRPr="0084296F">
        <w:t xml:space="preserve">The Company’s current wastewater treatment </w:t>
      </w:r>
      <w:r w:rsidR="00EC17AC">
        <w:t xml:space="preserve">controls </w:t>
      </w:r>
      <w:r w:rsidR="00200D78">
        <w:t xml:space="preserve">and </w:t>
      </w:r>
      <w:r w:rsidRPr="0084296F">
        <w:t xml:space="preserve">strategy for compliance with the </w:t>
      </w:r>
      <w:r w:rsidR="00FF69F4">
        <w:t>2015</w:t>
      </w:r>
      <w:r w:rsidRPr="0084296F">
        <w:t xml:space="preserve"> ELG </w:t>
      </w:r>
      <w:r w:rsidR="00A66837">
        <w:t>R</w:t>
      </w:r>
      <w:r w:rsidR="00D878F7" w:rsidRPr="0084296F">
        <w:t>ule</w:t>
      </w:r>
      <w:r w:rsidR="00A66837">
        <w:t xml:space="preserve"> and </w:t>
      </w:r>
      <w:r w:rsidR="00E07BFF">
        <w:t>ELG</w:t>
      </w:r>
      <w:r w:rsidR="00A66837">
        <w:t xml:space="preserve"> Reconsideration Rule</w:t>
      </w:r>
      <w:r w:rsidR="00D878F7" w:rsidRPr="0084296F">
        <w:t xml:space="preserve"> </w:t>
      </w:r>
      <w:r w:rsidRPr="0084296F">
        <w:t xml:space="preserve">is illustrated in Table </w:t>
      </w:r>
      <w:r w:rsidR="000D7E01">
        <w:t>4.2.2-1</w:t>
      </w:r>
      <w:r w:rsidR="007958B5">
        <w:t>.</w:t>
      </w:r>
    </w:p>
    <w:p w14:paraId="1C41AC7D" w14:textId="4D36AB80" w:rsidR="00B84609" w:rsidRPr="00B84609" w:rsidRDefault="00B84609" w:rsidP="00294515">
      <w:pPr>
        <w:spacing w:after="160" w:line="259" w:lineRule="auto"/>
        <w:jc w:val="left"/>
        <w:rPr>
          <w:rFonts w:cs="Arial"/>
          <w:b/>
          <w:color w:val="171717" w:themeColor="background2" w:themeShade="1A"/>
        </w:rPr>
      </w:pPr>
      <w:r w:rsidRPr="00B84609">
        <w:rPr>
          <w:rFonts w:cs="Arial"/>
          <w:b/>
          <w:color w:val="171717" w:themeColor="background2" w:themeShade="1A"/>
        </w:rPr>
        <w:t xml:space="preserve">Table </w:t>
      </w:r>
      <w:r w:rsidR="00E9679E">
        <w:rPr>
          <w:rFonts w:cs="Arial"/>
          <w:b/>
          <w:color w:val="171717" w:themeColor="background2" w:themeShade="1A"/>
        </w:rPr>
        <w:t>4.2.2-1</w:t>
      </w:r>
      <w:r w:rsidRPr="00B84609">
        <w:rPr>
          <w:rFonts w:cs="Arial"/>
          <w:b/>
          <w:color w:val="171717" w:themeColor="background2" w:themeShade="1A"/>
        </w:rPr>
        <w:t xml:space="preserve"> Cooling Type / Wastewater Treatment / ELG Technologies</w:t>
      </w:r>
    </w:p>
    <w:tbl>
      <w:tblPr>
        <w:tblW w:w="11880" w:type="dxa"/>
        <w:jc w:val="center"/>
        <w:tblLook w:val="04A0" w:firstRow="1" w:lastRow="0" w:firstColumn="1" w:lastColumn="0" w:noHBand="0" w:noVBand="1"/>
      </w:tblPr>
      <w:tblGrid>
        <w:gridCol w:w="2150"/>
        <w:gridCol w:w="1530"/>
        <w:gridCol w:w="1720"/>
        <w:gridCol w:w="1773"/>
        <w:gridCol w:w="816"/>
        <w:gridCol w:w="1373"/>
        <w:gridCol w:w="2518"/>
      </w:tblGrid>
      <w:tr w:rsidR="00033147" w:rsidRPr="003008B2" w14:paraId="087D82E3" w14:textId="77777777" w:rsidTr="00877775">
        <w:trPr>
          <w:trHeight w:val="530"/>
          <w:jc w:val="center"/>
        </w:trPr>
        <w:tc>
          <w:tcPr>
            <w:tcW w:w="2150" w:type="dxa"/>
            <w:tcBorders>
              <w:top w:val="single" w:sz="8" w:space="0" w:color="A6A6A6" w:themeColor="accent6" w:themeShade="A6"/>
              <w:left w:val="single" w:sz="8" w:space="0" w:color="A6A6A6" w:themeColor="accent6" w:themeShade="A6"/>
              <w:bottom w:val="single" w:sz="8" w:space="0" w:color="A6A6A6" w:themeColor="accent6" w:themeShade="A6"/>
              <w:right w:val="single" w:sz="8" w:space="0" w:color="A6A6A6" w:themeColor="accent6" w:themeShade="A6"/>
            </w:tcBorders>
            <w:shd w:val="clear" w:color="auto" w:fill="E8E8E8" w:themeFill="background2"/>
            <w:noWrap/>
            <w:vAlign w:val="center"/>
            <w:hideMark/>
          </w:tcPr>
          <w:p w14:paraId="63AA7AFD" w14:textId="77777777" w:rsidR="003008B2" w:rsidRPr="003008B2" w:rsidRDefault="003008B2" w:rsidP="003008B2">
            <w:pPr>
              <w:spacing w:after="0"/>
              <w:jc w:val="left"/>
              <w:rPr>
                <w:rFonts w:eastAsia="Times New Roman" w:cs="Arial"/>
                <w:b/>
                <w:bCs/>
                <w:color w:val="000000"/>
                <w:sz w:val="20"/>
                <w:szCs w:val="20"/>
              </w:rPr>
            </w:pPr>
            <w:r w:rsidRPr="003008B2">
              <w:rPr>
                <w:rFonts w:eastAsia="Times New Roman" w:cs="Arial"/>
                <w:b/>
                <w:bCs/>
                <w:color w:val="000000" w:themeColor="text1"/>
                <w:sz w:val="20"/>
                <w:szCs w:val="20"/>
              </w:rPr>
              <w:t>Unit</w:t>
            </w:r>
          </w:p>
        </w:tc>
        <w:tc>
          <w:tcPr>
            <w:tcW w:w="1530" w:type="dxa"/>
            <w:tcBorders>
              <w:top w:val="single" w:sz="8" w:space="0" w:color="A6A6A6" w:themeColor="accent6" w:themeShade="A6"/>
              <w:left w:val="nil"/>
              <w:bottom w:val="single" w:sz="8" w:space="0" w:color="A6A6A6" w:themeColor="accent6" w:themeShade="A6"/>
              <w:right w:val="single" w:sz="8" w:space="0" w:color="A6A6A6" w:themeColor="accent6" w:themeShade="A6"/>
            </w:tcBorders>
            <w:shd w:val="clear" w:color="auto" w:fill="E8E8E8" w:themeFill="background2"/>
            <w:vAlign w:val="center"/>
            <w:hideMark/>
          </w:tcPr>
          <w:p w14:paraId="1E3D1933" w14:textId="77777777" w:rsidR="003008B2" w:rsidRPr="003008B2" w:rsidRDefault="003008B2" w:rsidP="003008B2">
            <w:pPr>
              <w:spacing w:after="0"/>
              <w:jc w:val="left"/>
              <w:rPr>
                <w:rFonts w:eastAsia="Times New Roman" w:cs="Arial"/>
                <w:b/>
                <w:bCs/>
                <w:color w:val="000000"/>
                <w:sz w:val="20"/>
                <w:szCs w:val="20"/>
              </w:rPr>
            </w:pPr>
            <w:r w:rsidRPr="003008B2">
              <w:rPr>
                <w:rFonts w:eastAsia="Times New Roman" w:cs="Arial"/>
                <w:b/>
                <w:bCs/>
                <w:color w:val="000000"/>
                <w:sz w:val="20"/>
                <w:szCs w:val="20"/>
              </w:rPr>
              <w:t>Cooling Type</w:t>
            </w:r>
          </w:p>
        </w:tc>
        <w:tc>
          <w:tcPr>
            <w:tcW w:w="1720" w:type="dxa"/>
            <w:tcBorders>
              <w:top w:val="single" w:sz="8" w:space="0" w:color="A6A6A6" w:themeColor="accent6" w:themeShade="A6"/>
              <w:left w:val="nil"/>
              <w:bottom w:val="single" w:sz="8" w:space="0" w:color="A6A6A6" w:themeColor="accent6" w:themeShade="A6"/>
              <w:right w:val="single" w:sz="8" w:space="0" w:color="BFBFBF" w:themeColor="accent6" w:themeShade="BF"/>
            </w:tcBorders>
            <w:shd w:val="clear" w:color="auto" w:fill="E8E8E8" w:themeFill="background2"/>
            <w:vAlign w:val="center"/>
            <w:hideMark/>
          </w:tcPr>
          <w:p w14:paraId="28FC7279" w14:textId="77777777" w:rsidR="003008B2" w:rsidRPr="003008B2" w:rsidRDefault="003008B2" w:rsidP="003008B2">
            <w:pPr>
              <w:spacing w:after="0"/>
              <w:jc w:val="left"/>
              <w:rPr>
                <w:rFonts w:eastAsia="Times New Roman" w:cs="Arial"/>
                <w:b/>
                <w:bCs/>
                <w:color w:val="000000"/>
                <w:sz w:val="20"/>
                <w:szCs w:val="20"/>
              </w:rPr>
            </w:pPr>
            <w:r w:rsidRPr="003008B2">
              <w:rPr>
                <w:rFonts w:eastAsia="Times New Roman" w:cs="Arial"/>
                <w:b/>
                <w:bCs/>
                <w:color w:val="000000"/>
                <w:sz w:val="20"/>
                <w:szCs w:val="20"/>
              </w:rPr>
              <w:t>316(b) Cooling Water</w:t>
            </w:r>
          </w:p>
        </w:tc>
        <w:tc>
          <w:tcPr>
            <w:tcW w:w="0" w:type="auto"/>
            <w:tcBorders>
              <w:top w:val="single" w:sz="8" w:space="0" w:color="A6A6A6" w:themeColor="accent6" w:themeShade="A6"/>
              <w:left w:val="nil"/>
              <w:bottom w:val="single" w:sz="8" w:space="0" w:color="A6A6A6" w:themeColor="accent6" w:themeShade="A6"/>
              <w:right w:val="single" w:sz="8" w:space="0" w:color="A6A6A6" w:themeColor="accent6" w:themeShade="A6"/>
            </w:tcBorders>
            <w:shd w:val="clear" w:color="auto" w:fill="E8E8E8" w:themeFill="background2"/>
            <w:vAlign w:val="center"/>
            <w:hideMark/>
          </w:tcPr>
          <w:p w14:paraId="77C06797" w14:textId="4085ECAF" w:rsidR="003008B2" w:rsidRPr="003008B2" w:rsidRDefault="003008B2" w:rsidP="003008B2">
            <w:pPr>
              <w:spacing w:after="0"/>
              <w:jc w:val="left"/>
              <w:rPr>
                <w:rFonts w:eastAsia="Times New Roman" w:cs="Arial"/>
                <w:b/>
                <w:bCs/>
                <w:color w:val="000000"/>
                <w:sz w:val="20"/>
                <w:szCs w:val="20"/>
              </w:rPr>
            </w:pPr>
            <w:r w:rsidRPr="003008B2">
              <w:rPr>
                <w:rFonts w:eastAsia="Times New Roman" w:cs="Arial"/>
                <w:b/>
                <w:bCs/>
                <w:color w:val="000000"/>
                <w:sz w:val="20"/>
                <w:szCs w:val="20"/>
              </w:rPr>
              <w:t>CCR WW</w:t>
            </w:r>
          </w:p>
        </w:tc>
        <w:tc>
          <w:tcPr>
            <w:tcW w:w="0" w:type="auto"/>
            <w:tcBorders>
              <w:top w:val="single" w:sz="8" w:space="0" w:color="A6A6A6" w:themeColor="accent6" w:themeShade="A6"/>
              <w:left w:val="nil"/>
              <w:bottom w:val="single" w:sz="8" w:space="0" w:color="A6A6A6" w:themeColor="accent6" w:themeShade="A6"/>
              <w:right w:val="single" w:sz="8" w:space="0" w:color="A6A6A6" w:themeColor="accent6" w:themeShade="A6"/>
            </w:tcBorders>
            <w:shd w:val="clear" w:color="auto" w:fill="E8E8E8" w:themeFill="background2"/>
            <w:vAlign w:val="center"/>
            <w:hideMark/>
          </w:tcPr>
          <w:p w14:paraId="2B5311AE" w14:textId="77777777" w:rsidR="003008B2" w:rsidRPr="003008B2" w:rsidRDefault="003008B2" w:rsidP="003008B2">
            <w:pPr>
              <w:spacing w:after="0"/>
              <w:jc w:val="left"/>
              <w:rPr>
                <w:rFonts w:eastAsia="Times New Roman" w:cs="Arial"/>
                <w:b/>
                <w:bCs/>
                <w:color w:val="000000"/>
                <w:sz w:val="20"/>
                <w:szCs w:val="20"/>
              </w:rPr>
            </w:pPr>
            <w:r w:rsidRPr="003008B2">
              <w:rPr>
                <w:rFonts w:eastAsia="Times New Roman" w:cs="Arial"/>
                <w:b/>
                <w:bCs/>
                <w:color w:val="000000"/>
                <w:sz w:val="20"/>
                <w:szCs w:val="20"/>
              </w:rPr>
              <w:t>BATW</w:t>
            </w:r>
          </w:p>
        </w:tc>
        <w:tc>
          <w:tcPr>
            <w:tcW w:w="0" w:type="auto"/>
            <w:tcBorders>
              <w:top w:val="single" w:sz="8" w:space="0" w:color="A6A6A6" w:themeColor="accent6" w:themeShade="A6"/>
              <w:left w:val="nil"/>
              <w:bottom w:val="single" w:sz="8" w:space="0" w:color="A6A6A6" w:themeColor="accent6" w:themeShade="A6"/>
              <w:right w:val="single" w:sz="8" w:space="0" w:color="A6A6A6" w:themeColor="accent6" w:themeShade="A6"/>
            </w:tcBorders>
            <w:shd w:val="clear" w:color="auto" w:fill="E8E8E8" w:themeFill="background2"/>
            <w:vAlign w:val="center"/>
            <w:hideMark/>
          </w:tcPr>
          <w:p w14:paraId="2CDA0393" w14:textId="77777777" w:rsidR="003008B2" w:rsidRPr="003008B2" w:rsidRDefault="003008B2" w:rsidP="003008B2">
            <w:pPr>
              <w:spacing w:after="0"/>
              <w:jc w:val="left"/>
              <w:rPr>
                <w:rFonts w:eastAsia="Times New Roman" w:cs="Arial"/>
                <w:b/>
                <w:bCs/>
                <w:color w:val="000000"/>
                <w:sz w:val="20"/>
                <w:szCs w:val="20"/>
              </w:rPr>
            </w:pPr>
            <w:r w:rsidRPr="003008B2">
              <w:rPr>
                <w:rFonts w:eastAsia="Times New Roman" w:cs="Arial"/>
                <w:b/>
                <w:bCs/>
                <w:color w:val="000000"/>
                <w:sz w:val="20"/>
                <w:szCs w:val="20"/>
              </w:rPr>
              <w:t>Fly Ash</w:t>
            </w:r>
          </w:p>
        </w:tc>
        <w:tc>
          <w:tcPr>
            <w:tcW w:w="2518" w:type="dxa"/>
            <w:tcBorders>
              <w:top w:val="single" w:sz="8" w:space="0" w:color="A6A6A6" w:themeColor="accent6" w:themeShade="A6"/>
              <w:left w:val="nil"/>
              <w:bottom w:val="single" w:sz="8" w:space="0" w:color="A6A6A6" w:themeColor="accent6" w:themeShade="A6"/>
              <w:right w:val="single" w:sz="8" w:space="0" w:color="A6A6A6" w:themeColor="accent6" w:themeShade="A6"/>
            </w:tcBorders>
            <w:shd w:val="clear" w:color="auto" w:fill="E8E8E8" w:themeFill="background2"/>
            <w:vAlign w:val="center"/>
            <w:hideMark/>
          </w:tcPr>
          <w:p w14:paraId="42C7DD31" w14:textId="77777777" w:rsidR="003008B2" w:rsidRPr="003008B2" w:rsidRDefault="003008B2" w:rsidP="003008B2">
            <w:pPr>
              <w:spacing w:after="0"/>
              <w:jc w:val="left"/>
              <w:rPr>
                <w:rFonts w:eastAsia="Times New Roman" w:cs="Arial"/>
                <w:b/>
                <w:bCs/>
                <w:color w:val="000000"/>
                <w:sz w:val="22"/>
              </w:rPr>
            </w:pPr>
            <w:r w:rsidRPr="003008B2">
              <w:rPr>
                <w:rFonts w:eastAsia="Times New Roman" w:cs="Arial"/>
                <w:b/>
                <w:bCs/>
                <w:sz w:val="22"/>
                <w:szCs w:val="20"/>
              </w:rPr>
              <w:t>FGD Wastewater</w:t>
            </w:r>
            <w:r w:rsidRPr="003008B2">
              <w:rPr>
                <w:rFonts w:eastAsia="Times New Roman" w:cs="Arial"/>
                <w:b/>
                <w:bCs/>
                <w:color w:val="000000"/>
                <w:sz w:val="18"/>
                <w:szCs w:val="18"/>
              </w:rPr>
              <w:t xml:space="preserve"> </w:t>
            </w:r>
          </w:p>
        </w:tc>
      </w:tr>
      <w:tr w:rsidR="00033147" w:rsidRPr="003008B2" w14:paraId="1B60E333" w14:textId="77777777" w:rsidTr="00877775">
        <w:trPr>
          <w:trHeight w:val="510"/>
          <w:jc w:val="center"/>
        </w:trPr>
        <w:tc>
          <w:tcPr>
            <w:tcW w:w="2150" w:type="dxa"/>
            <w:tcBorders>
              <w:top w:val="nil"/>
              <w:left w:val="single" w:sz="8" w:space="0" w:color="A6A6A6" w:themeColor="accent6" w:themeShade="A6"/>
              <w:bottom w:val="single" w:sz="8" w:space="0" w:color="A6A6A6" w:themeColor="accent6" w:themeShade="A6"/>
              <w:right w:val="single" w:sz="8" w:space="0" w:color="A6A6A6" w:themeColor="accent6" w:themeShade="A6"/>
            </w:tcBorders>
            <w:shd w:val="clear" w:color="auto" w:fill="auto"/>
            <w:noWrap/>
            <w:vAlign w:val="center"/>
            <w:hideMark/>
          </w:tcPr>
          <w:p w14:paraId="5212E906" w14:textId="579750F9"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 xml:space="preserve">Bowen 1 </w:t>
            </w:r>
            <w:r w:rsidR="00E61325">
              <w:rPr>
                <w:rFonts w:eastAsia="Times New Roman" w:cs="Arial"/>
                <w:color w:val="000000"/>
                <w:sz w:val="20"/>
                <w:szCs w:val="20"/>
              </w:rPr>
              <w:t>&amp; 2</w:t>
            </w:r>
          </w:p>
        </w:tc>
        <w:tc>
          <w:tcPr>
            <w:tcW w:w="1530" w:type="dxa"/>
            <w:tcBorders>
              <w:top w:val="nil"/>
              <w:left w:val="nil"/>
              <w:bottom w:val="single" w:sz="8" w:space="0" w:color="A6A6A6" w:themeColor="accent6" w:themeShade="A6"/>
              <w:right w:val="single" w:sz="8" w:space="0" w:color="A6A6A6" w:themeColor="accent6" w:themeShade="A6"/>
            </w:tcBorders>
            <w:shd w:val="clear" w:color="auto" w:fill="auto"/>
            <w:noWrap/>
            <w:vAlign w:val="center"/>
            <w:hideMark/>
          </w:tcPr>
          <w:p w14:paraId="3A826B9D"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Closed-Cycle</w:t>
            </w:r>
          </w:p>
        </w:tc>
        <w:tc>
          <w:tcPr>
            <w:tcW w:w="1720" w:type="dxa"/>
            <w:tcBorders>
              <w:top w:val="nil"/>
              <w:left w:val="nil"/>
              <w:bottom w:val="single" w:sz="8" w:space="0" w:color="A6A6A6" w:themeColor="accent6" w:themeShade="A6"/>
              <w:right w:val="single" w:sz="8" w:space="0" w:color="BFBFBF" w:themeColor="accent6" w:themeShade="BF"/>
            </w:tcBorders>
            <w:shd w:val="clear" w:color="auto" w:fill="auto"/>
            <w:vAlign w:val="center"/>
            <w:hideMark/>
          </w:tcPr>
          <w:p w14:paraId="3867371C"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Flow Monitoring</w:t>
            </w:r>
          </w:p>
        </w:tc>
        <w:tc>
          <w:tcPr>
            <w:tcW w:w="0" w:type="auto"/>
            <w:tcBorders>
              <w:top w:val="nil"/>
              <w:left w:val="nil"/>
              <w:bottom w:val="single" w:sz="8" w:space="0" w:color="A6A6A6" w:themeColor="accent6" w:themeShade="A6"/>
              <w:right w:val="single" w:sz="8" w:space="0" w:color="A6A6A6" w:themeColor="accent6" w:themeShade="A6"/>
            </w:tcBorders>
            <w:shd w:val="clear" w:color="auto" w:fill="auto"/>
            <w:noWrap/>
            <w:vAlign w:val="center"/>
            <w:hideMark/>
          </w:tcPr>
          <w:p w14:paraId="6AB9F52D"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Phys/Chem</w:t>
            </w:r>
          </w:p>
        </w:tc>
        <w:tc>
          <w:tcPr>
            <w:tcW w:w="0" w:type="auto"/>
            <w:tcBorders>
              <w:top w:val="nil"/>
              <w:left w:val="nil"/>
              <w:bottom w:val="single" w:sz="8" w:space="0" w:color="A6A6A6" w:themeColor="accent6" w:themeShade="A6"/>
              <w:right w:val="single" w:sz="8" w:space="0" w:color="A6A6A6" w:themeColor="accent6" w:themeShade="A6"/>
            </w:tcBorders>
            <w:shd w:val="clear" w:color="auto" w:fill="auto"/>
            <w:noWrap/>
            <w:vAlign w:val="center"/>
            <w:hideMark/>
          </w:tcPr>
          <w:p w14:paraId="7AFFAE8A"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RMDC</w:t>
            </w:r>
          </w:p>
        </w:tc>
        <w:tc>
          <w:tcPr>
            <w:tcW w:w="0" w:type="auto"/>
            <w:tcBorders>
              <w:top w:val="nil"/>
              <w:left w:val="nil"/>
              <w:bottom w:val="single" w:sz="8" w:space="0" w:color="A6A6A6" w:themeColor="accent6" w:themeShade="A6"/>
              <w:right w:val="single" w:sz="8" w:space="0" w:color="A6A6A6" w:themeColor="accent6" w:themeShade="A6"/>
            </w:tcBorders>
            <w:shd w:val="clear" w:color="auto" w:fill="auto"/>
            <w:noWrap/>
            <w:vAlign w:val="center"/>
            <w:hideMark/>
          </w:tcPr>
          <w:p w14:paraId="3DD7D340"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Dry Handling</w:t>
            </w:r>
          </w:p>
        </w:tc>
        <w:tc>
          <w:tcPr>
            <w:tcW w:w="2518" w:type="dxa"/>
            <w:tcBorders>
              <w:top w:val="nil"/>
              <w:left w:val="nil"/>
              <w:bottom w:val="single" w:sz="8" w:space="0" w:color="A6A6A6" w:themeColor="accent6" w:themeShade="A6"/>
              <w:right w:val="single" w:sz="8" w:space="0" w:color="A6A6A6" w:themeColor="accent6" w:themeShade="A6"/>
            </w:tcBorders>
            <w:shd w:val="clear" w:color="auto" w:fill="auto"/>
            <w:noWrap/>
            <w:vAlign w:val="center"/>
            <w:hideMark/>
          </w:tcPr>
          <w:p w14:paraId="1BD0267A" w14:textId="6CD5BEB4"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Phys/Chem Bio</w:t>
            </w:r>
            <w:r w:rsidR="001C211D">
              <w:rPr>
                <w:rFonts w:eastAsia="Times New Roman" w:cs="Arial"/>
                <w:color w:val="000000"/>
                <w:sz w:val="20"/>
                <w:szCs w:val="20"/>
                <w:vertAlign w:val="subscript"/>
              </w:rPr>
              <w:t>2</w:t>
            </w:r>
          </w:p>
        </w:tc>
      </w:tr>
      <w:tr w:rsidR="00BB549C" w:rsidRPr="003008B2" w14:paraId="12780856" w14:textId="77777777" w:rsidTr="00877775">
        <w:trPr>
          <w:trHeight w:val="510"/>
          <w:jc w:val="center"/>
        </w:trPr>
        <w:tc>
          <w:tcPr>
            <w:tcW w:w="2150" w:type="dxa"/>
            <w:tcBorders>
              <w:top w:val="nil"/>
              <w:left w:val="single" w:sz="8" w:space="0" w:color="A6A6A6" w:themeColor="accent6" w:themeShade="A6"/>
              <w:bottom w:val="single" w:sz="8" w:space="0" w:color="A6A6A6" w:themeColor="accent6" w:themeShade="A6"/>
              <w:right w:val="single" w:sz="8" w:space="0" w:color="A6A6A6" w:themeColor="accent6" w:themeShade="A6"/>
            </w:tcBorders>
            <w:shd w:val="clear" w:color="auto" w:fill="auto"/>
            <w:noWrap/>
            <w:vAlign w:val="center"/>
          </w:tcPr>
          <w:p w14:paraId="182A42BB" w14:textId="172DBA95" w:rsidR="005D5DEE" w:rsidRPr="003008B2" w:rsidRDefault="005D5DEE" w:rsidP="00FC3901">
            <w:pPr>
              <w:spacing w:after="0"/>
              <w:rPr>
                <w:rFonts w:eastAsia="Times New Roman" w:cs="Arial"/>
                <w:color w:val="000000"/>
                <w:sz w:val="20"/>
                <w:szCs w:val="20"/>
              </w:rPr>
            </w:pPr>
            <w:r>
              <w:rPr>
                <w:rFonts w:eastAsia="Times New Roman" w:cs="Arial"/>
                <w:color w:val="000000"/>
                <w:sz w:val="20"/>
                <w:szCs w:val="20"/>
              </w:rPr>
              <w:t>Bowen 3 &amp; 4</w:t>
            </w:r>
          </w:p>
        </w:tc>
        <w:tc>
          <w:tcPr>
            <w:tcW w:w="1530" w:type="dxa"/>
            <w:tcBorders>
              <w:top w:val="nil"/>
              <w:left w:val="nil"/>
              <w:bottom w:val="single" w:sz="8" w:space="0" w:color="A6A6A6" w:themeColor="accent6" w:themeShade="A6"/>
              <w:right w:val="single" w:sz="8" w:space="0" w:color="A6A6A6" w:themeColor="accent6" w:themeShade="A6"/>
            </w:tcBorders>
            <w:shd w:val="clear" w:color="auto" w:fill="auto"/>
            <w:noWrap/>
            <w:vAlign w:val="center"/>
          </w:tcPr>
          <w:p w14:paraId="284EC851" w14:textId="75407A1A" w:rsidR="005D5DEE" w:rsidRPr="003008B2" w:rsidRDefault="005D5DEE" w:rsidP="00FC3901">
            <w:pPr>
              <w:spacing w:after="0"/>
              <w:rPr>
                <w:rFonts w:eastAsia="Times New Roman" w:cs="Arial"/>
                <w:color w:val="000000"/>
                <w:sz w:val="20"/>
                <w:szCs w:val="20"/>
              </w:rPr>
            </w:pPr>
            <w:r w:rsidRPr="003008B2">
              <w:rPr>
                <w:rFonts w:eastAsia="Times New Roman" w:cs="Arial"/>
                <w:color w:val="000000"/>
                <w:sz w:val="20"/>
                <w:szCs w:val="20"/>
              </w:rPr>
              <w:t>Closed-Cycle</w:t>
            </w:r>
          </w:p>
        </w:tc>
        <w:tc>
          <w:tcPr>
            <w:tcW w:w="1720" w:type="dxa"/>
            <w:tcBorders>
              <w:top w:val="nil"/>
              <w:left w:val="nil"/>
              <w:bottom w:val="single" w:sz="8" w:space="0" w:color="A6A6A6" w:themeColor="accent6" w:themeShade="A6"/>
              <w:right w:val="single" w:sz="8" w:space="0" w:color="BFBFBF" w:themeColor="accent6" w:themeShade="BF"/>
            </w:tcBorders>
            <w:shd w:val="clear" w:color="auto" w:fill="auto"/>
            <w:vAlign w:val="center"/>
          </w:tcPr>
          <w:p w14:paraId="716790BB" w14:textId="45993241" w:rsidR="005D5DEE" w:rsidRPr="003008B2" w:rsidRDefault="005D5DEE" w:rsidP="00FC3901">
            <w:pPr>
              <w:spacing w:after="0"/>
              <w:rPr>
                <w:rFonts w:eastAsia="Times New Roman" w:cs="Arial"/>
                <w:color w:val="000000"/>
                <w:sz w:val="20"/>
                <w:szCs w:val="20"/>
              </w:rPr>
            </w:pPr>
            <w:r w:rsidRPr="003008B2">
              <w:rPr>
                <w:rFonts w:eastAsia="Times New Roman" w:cs="Arial"/>
                <w:color w:val="000000"/>
                <w:sz w:val="20"/>
                <w:szCs w:val="20"/>
              </w:rPr>
              <w:t>Flow Monitoring</w:t>
            </w:r>
          </w:p>
        </w:tc>
        <w:tc>
          <w:tcPr>
            <w:tcW w:w="0" w:type="auto"/>
            <w:tcBorders>
              <w:top w:val="nil"/>
              <w:left w:val="nil"/>
              <w:bottom w:val="single" w:sz="8" w:space="0" w:color="A6A6A6" w:themeColor="accent6" w:themeShade="A6"/>
              <w:right w:val="single" w:sz="8" w:space="0" w:color="A6A6A6" w:themeColor="accent6" w:themeShade="A6"/>
            </w:tcBorders>
            <w:shd w:val="clear" w:color="auto" w:fill="auto"/>
            <w:noWrap/>
            <w:vAlign w:val="center"/>
          </w:tcPr>
          <w:p w14:paraId="2D2856D0" w14:textId="2129B65D" w:rsidR="005D5DEE" w:rsidRPr="003008B2" w:rsidRDefault="005D5DEE" w:rsidP="00FC3901">
            <w:pPr>
              <w:spacing w:after="0"/>
              <w:rPr>
                <w:rFonts w:eastAsia="Times New Roman" w:cs="Arial"/>
                <w:color w:val="000000"/>
                <w:sz w:val="20"/>
                <w:szCs w:val="20"/>
              </w:rPr>
            </w:pPr>
            <w:r w:rsidRPr="003008B2">
              <w:rPr>
                <w:rFonts w:eastAsia="Times New Roman" w:cs="Arial"/>
                <w:color w:val="000000"/>
                <w:sz w:val="20"/>
                <w:szCs w:val="20"/>
              </w:rPr>
              <w:t>Phys/Chem</w:t>
            </w:r>
          </w:p>
        </w:tc>
        <w:tc>
          <w:tcPr>
            <w:tcW w:w="0" w:type="auto"/>
            <w:tcBorders>
              <w:top w:val="nil"/>
              <w:left w:val="nil"/>
              <w:bottom w:val="single" w:sz="8" w:space="0" w:color="A6A6A6" w:themeColor="accent6" w:themeShade="A6"/>
              <w:right w:val="single" w:sz="8" w:space="0" w:color="A6A6A6" w:themeColor="accent6" w:themeShade="A6"/>
            </w:tcBorders>
            <w:shd w:val="clear" w:color="auto" w:fill="auto"/>
            <w:noWrap/>
            <w:vAlign w:val="center"/>
          </w:tcPr>
          <w:p w14:paraId="7F972D38" w14:textId="5845E3F4" w:rsidR="005D5DEE" w:rsidRPr="003008B2" w:rsidRDefault="005D5DEE" w:rsidP="00FC3901">
            <w:pPr>
              <w:spacing w:after="0"/>
              <w:rPr>
                <w:rFonts w:eastAsia="Times New Roman" w:cs="Arial"/>
                <w:color w:val="000000"/>
                <w:sz w:val="20"/>
                <w:szCs w:val="20"/>
              </w:rPr>
            </w:pPr>
            <w:r w:rsidRPr="003008B2">
              <w:rPr>
                <w:rFonts w:eastAsia="Times New Roman" w:cs="Arial"/>
                <w:color w:val="000000"/>
                <w:sz w:val="20"/>
                <w:szCs w:val="20"/>
              </w:rPr>
              <w:t>RMDC</w:t>
            </w:r>
          </w:p>
        </w:tc>
        <w:tc>
          <w:tcPr>
            <w:tcW w:w="0" w:type="auto"/>
            <w:tcBorders>
              <w:top w:val="nil"/>
              <w:left w:val="nil"/>
              <w:bottom w:val="single" w:sz="8" w:space="0" w:color="A6A6A6" w:themeColor="accent6" w:themeShade="A6"/>
              <w:right w:val="single" w:sz="8" w:space="0" w:color="A6A6A6" w:themeColor="accent6" w:themeShade="A6"/>
            </w:tcBorders>
            <w:shd w:val="clear" w:color="auto" w:fill="auto"/>
            <w:noWrap/>
            <w:vAlign w:val="center"/>
          </w:tcPr>
          <w:p w14:paraId="65AEBE5E" w14:textId="0C46DD23" w:rsidR="005D5DEE" w:rsidRPr="003008B2" w:rsidRDefault="005D5DEE" w:rsidP="00FC3901">
            <w:pPr>
              <w:spacing w:after="0"/>
              <w:rPr>
                <w:rFonts w:eastAsia="Times New Roman" w:cs="Arial"/>
                <w:color w:val="000000"/>
                <w:sz w:val="20"/>
                <w:szCs w:val="20"/>
              </w:rPr>
            </w:pPr>
            <w:r w:rsidRPr="003008B2">
              <w:rPr>
                <w:rFonts w:eastAsia="Times New Roman" w:cs="Arial"/>
                <w:color w:val="000000"/>
                <w:sz w:val="20"/>
                <w:szCs w:val="20"/>
              </w:rPr>
              <w:t>Dry Handling</w:t>
            </w:r>
          </w:p>
        </w:tc>
        <w:tc>
          <w:tcPr>
            <w:tcW w:w="2518" w:type="dxa"/>
            <w:tcBorders>
              <w:top w:val="nil"/>
              <w:left w:val="nil"/>
              <w:bottom w:val="single" w:sz="8" w:space="0" w:color="A6A6A6" w:themeColor="accent6" w:themeShade="A6"/>
              <w:right w:val="single" w:sz="8" w:space="0" w:color="A6A6A6" w:themeColor="accent6" w:themeShade="A6"/>
            </w:tcBorders>
            <w:shd w:val="clear" w:color="auto" w:fill="auto"/>
            <w:noWrap/>
            <w:vAlign w:val="center"/>
          </w:tcPr>
          <w:p w14:paraId="7BCA1441" w14:textId="53B3DF8F" w:rsidR="005D5DEE" w:rsidRPr="003008B2" w:rsidRDefault="005D5DEE" w:rsidP="00FC3901">
            <w:pPr>
              <w:spacing w:after="0"/>
              <w:rPr>
                <w:rFonts w:eastAsia="Times New Roman" w:cs="Arial"/>
                <w:color w:val="000000"/>
                <w:sz w:val="20"/>
                <w:szCs w:val="20"/>
              </w:rPr>
            </w:pPr>
            <w:r w:rsidRPr="003008B2">
              <w:rPr>
                <w:rFonts w:eastAsia="Times New Roman" w:cs="Arial"/>
                <w:color w:val="000000"/>
                <w:sz w:val="20"/>
                <w:szCs w:val="20"/>
              </w:rPr>
              <w:t>Phys/Chem Bio</w:t>
            </w:r>
            <w:r w:rsidRPr="003008B2">
              <w:rPr>
                <w:rFonts w:eastAsia="Times New Roman" w:cs="Arial"/>
                <w:color w:val="000000"/>
                <w:sz w:val="20"/>
                <w:szCs w:val="20"/>
                <w:vertAlign w:val="subscript"/>
              </w:rPr>
              <w:t>1</w:t>
            </w:r>
          </w:p>
        </w:tc>
      </w:tr>
      <w:tr w:rsidR="00BB549C" w:rsidRPr="003008B2" w14:paraId="5D648513" w14:textId="77777777" w:rsidTr="00877775">
        <w:trPr>
          <w:trHeight w:val="510"/>
          <w:jc w:val="center"/>
        </w:trPr>
        <w:tc>
          <w:tcPr>
            <w:tcW w:w="2150" w:type="dxa"/>
            <w:tcBorders>
              <w:top w:val="nil"/>
              <w:left w:val="single" w:sz="8" w:space="0" w:color="A6A6A6" w:themeColor="accent6" w:themeShade="A6"/>
              <w:bottom w:val="single" w:sz="8" w:space="0" w:color="A6A6A6" w:themeColor="accent6" w:themeShade="A6"/>
              <w:right w:val="single" w:sz="8" w:space="0" w:color="A6A6A6" w:themeColor="accent6" w:themeShade="A6"/>
            </w:tcBorders>
            <w:shd w:val="clear" w:color="auto" w:fill="auto"/>
            <w:noWrap/>
            <w:vAlign w:val="center"/>
            <w:hideMark/>
          </w:tcPr>
          <w:p w14:paraId="6EF8DCF0"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Gaston 1 - 4</w:t>
            </w:r>
          </w:p>
        </w:tc>
        <w:tc>
          <w:tcPr>
            <w:tcW w:w="153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5C40D2FB"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Once-Through</w:t>
            </w:r>
          </w:p>
        </w:tc>
        <w:tc>
          <w:tcPr>
            <w:tcW w:w="1720" w:type="dxa"/>
            <w:tcBorders>
              <w:top w:val="nil"/>
              <w:left w:val="nil"/>
              <w:bottom w:val="single" w:sz="8" w:space="0" w:color="ADADAD" w:themeColor="background2" w:themeShade="BF"/>
              <w:right w:val="single" w:sz="8" w:space="0" w:color="ADADAD" w:themeColor="background2" w:themeShade="BF"/>
            </w:tcBorders>
            <w:shd w:val="clear" w:color="auto" w:fill="auto"/>
            <w:vAlign w:val="center"/>
            <w:hideMark/>
          </w:tcPr>
          <w:p w14:paraId="3DEAC153"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themeColor="text1"/>
                <w:sz w:val="20"/>
                <w:szCs w:val="20"/>
              </w:rPr>
              <w:t>Intake Screens</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72075455"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themeColor="text1"/>
                <w:sz w:val="20"/>
                <w:szCs w:val="20"/>
              </w:rPr>
              <w:t>Phys/Chem/Pond</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1E3B3026" w14:textId="3633B58F" w:rsidR="003008B2" w:rsidRPr="003008B2" w:rsidRDefault="01E91E9D" w:rsidP="003008B2">
            <w:pPr>
              <w:spacing w:after="0"/>
              <w:rPr>
                <w:rFonts w:eastAsia="Times New Roman" w:cs="Arial"/>
                <w:color w:val="000000"/>
                <w:sz w:val="20"/>
                <w:szCs w:val="20"/>
              </w:rPr>
            </w:pPr>
            <w:r w:rsidRPr="37612734">
              <w:rPr>
                <w:rFonts w:eastAsia="Times New Roman" w:cs="Arial"/>
                <w:color w:val="000000" w:themeColor="text1"/>
                <w:sz w:val="20"/>
                <w:szCs w:val="20"/>
              </w:rPr>
              <w:t>SGC</w:t>
            </w:r>
            <w:r w:rsidR="47288140" w:rsidRPr="37612734">
              <w:rPr>
                <w:rFonts w:eastAsia="Times New Roman" w:cs="Arial"/>
                <w:color w:val="000000" w:themeColor="text1"/>
                <w:sz w:val="20"/>
                <w:szCs w:val="20"/>
              </w:rPr>
              <w:t xml:space="preserve"> </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5FB2F19A"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themeColor="text1"/>
                <w:sz w:val="20"/>
                <w:szCs w:val="20"/>
              </w:rPr>
              <w:t>Dry Handling</w:t>
            </w:r>
          </w:p>
        </w:tc>
        <w:tc>
          <w:tcPr>
            <w:tcW w:w="251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6EEB8BF1" w14:textId="40D609DF" w:rsidR="003008B2" w:rsidRPr="003008B2" w:rsidRDefault="003008B2" w:rsidP="003008B2">
            <w:pPr>
              <w:spacing w:after="0"/>
              <w:rPr>
                <w:rFonts w:eastAsia="Times New Roman" w:cs="Arial"/>
                <w:color w:val="000000"/>
                <w:sz w:val="20"/>
                <w:szCs w:val="20"/>
              </w:rPr>
            </w:pPr>
            <w:r w:rsidRPr="003008B2">
              <w:rPr>
                <w:rFonts w:eastAsia="Times New Roman" w:cs="Arial"/>
                <w:color w:val="000000" w:themeColor="text1"/>
                <w:sz w:val="20"/>
                <w:szCs w:val="20"/>
              </w:rPr>
              <w:t>N/A</w:t>
            </w:r>
          </w:p>
        </w:tc>
      </w:tr>
      <w:tr w:rsidR="00BB549C" w:rsidRPr="003008B2" w14:paraId="35DDBC6D" w14:textId="77777777" w:rsidTr="00877775">
        <w:trPr>
          <w:trHeight w:val="510"/>
          <w:jc w:val="center"/>
        </w:trPr>
        <w:tc>
          <w:tcPr>
            <w:tcW w:w="2150" w:type="dxa"/>
            <w:tcBorders>
              <w:top w:val="nil"/>
              <w:left w:val="single" w:sz="8" w:space="0" w:color="A6A6A6" w:themeColor="accent6" w:themeShade="A6"/>
              <w:bottom w:val="single" w:sz="8" w:space="0" w:color="A6A6A6" w:themeColor="accent6" w:themeShade="A6"/>
              <w:right w:val="single" w:sz="8" w:space="0" w:color="A6A6A6" w:themeColor="accent6" w:themeShade="A6"/>
            </w:tcBorders>
            <w:shd w:val="clear" w:color="auto" w:fill="auto"/>
            <w:noWrap/>
            <w:vAlign w:val="center"/>
            <w:hideMark/>
          </w:tcPr>
          <w:p w14:paraId="745212B9" w14:textId="77777777" w:rsidR="003008B2" w:rsidRPr="003008B2" w:rsidRDefault="003008B2" w:rsidP="000E4D9D">
            <w:pPr>
              <w:spacing w:after="0"/>
              <w:jc w:val="left"/>
              <w:rPr>
                <w:rFonts w:eastAsia="Times New Roman" w:cs="Arial"/>
                <w:color w:val="000000"/>
                <w:sz w:val="20"/>
                <w:szCs w:val="20"/>
              </w:rPr>
            </w:pPr>
            <w:r w:rsidRPr="003008B2">
              <w:rPr>
                <w:rFonts w:eastAsia="Times New Roman" w:cs="Arial"/>
                <w:color w:val="000000"/>
                <w:sz w:val="20"/>
                <w:szCs w:val="20"/>
              </w:rPr>
              <w:t>McDonough 4 - 6</w:t>
            </w:r>
          </w:p>
        </w:tc>
        <w:tc>
          <w:tcPr>
            <w:tcW w:w="153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0BA547D5"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Closed-Cycle</w:t>
            </w:r>
          </w:p>
        </w:tc>
        <w:tc>
          <w:tcPr>
            <w:tcW w:w="1720" w:type="dxa"/>
            <w:tcBorders>
              <w:top w:val="nil"/>
              <w:left w:val="nil"/>
              <w:bottom w:val="single" w:sz="8" w:space="0" w:color="ADADAD" w:themeColor="background2" w:themeShade="BF"/>
              <w:right w:val="single" w:sz="8" w:space="0" w:color="ADADAD" w:themeColor="background2" w:themeShade="BF"/>
            </w:tcBorders>
            <w:shd w:val="clear" w:color="auto" w:fill="auto"/>
            <w:vAlign w:val="center"/>
            <w:hideMark/>
          </w:tcPr>
          <w:p w14:paraId="5EC17D56"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Flow Monitoring</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3FF2269B"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N/A</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47BFE465"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N/A</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27A9D999"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N/A</w:t>
            </w:r>
          </w:p>
        </w:tc>
        <w:tc>
          <w:tcPr>
            <w:tcW w:w="251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3A0D936E"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N/A</w:t>
            </w:r>
          </w:p>
        </w:tc>
      </w:tr>
      <w:tr w:rsidR="00033147" w:rsidRPr="003008B2" w14:paraId="623FFC5C" w14:textId="77777777" w:rsidTr="00877775">
        <w:trPr>
          <w:trHeight w:val="510"/>
          <w:jc w:val="center"/>
        </w:trPr>
        <w:tc>
          <w:tcPr>
            <w:tcW w:w="2150" w:type="dxa"/>
            <w:tcBorders>
              <w:top w:val="nil"/>
              <w:left w:val="single" w:sz="8" w:space="0" w:color="A6A6A6" w:themeColor="accent6" w:themeShade="A6"/>
              <w:bottom w:val="single" w:sz="8" w:space="0" w:color="ADADAD" w:themeColor="background2" w:themeShade="BF"/>
              <w:right w:val="single" w:sz="8" w:space="0" w:color="A6A6A6" w:themeColor="accent6" w:themeShade="A6"/>
            </w:tcBorders>
            <w:shd w:val="clear" w:color="auto" w:fill="auto"/>
            <w:noWrap/>
            <w:vAlign w:val="center"/>
            <w:hideMark/>
          </w:tcPr>
          <w:p w14:paraId="169276CB" w14:textId="77777777" w:rsidR="003008B2" w:rsidRPr="003008B2" w:rsidRDefault="003008B2" w:rsidP="000E4D9D">
            <w:pPr>
              <w:spacing w:after="0"/>
              <w:jc w:val="left"/>
              <w:rPr>
                <w:rFonts w:eastAsia="Times New Roman" w:cs="Arial"/>
                <w:color w:val="000000"/>
                <w:sz w:val="20"/>
                <w:szCs w:val="20"/>
              </w:rPr>
            </w:pPr>
            <w:r w:rsidRPr="003008B2">
              <w:rPr>
                <w:rFonts w:eastAsia="Times New Roman" w:cs="Arial"/>
                <w:color w:val="000000"/>
                <w:sz w:val="20"/>
                <w:szCs w:val="20"/>
              </w:rPr>
              <w:t>McIntosh 10 - 11</w:t>
            </w:r>
          </w:p>
        </w:tc>
        <w:tc>
          <w:tcPr>
            <w:tcW w:w="153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0BE41162"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Closed-Cycle</w:t>
            </w:r>
          </w:p>
        </w:tc>
        <w:tc>
          <w:tcPr>
            <w:tcW w:w="1720" w:type="dxa"/>
            <w:tcBorders>
              <w:top w:val="nil"/>
              <w:left w:val="nil"/>
              <w:bottom w:val="single" w:sz="8" w:space="0" w:color="ADADAD" w:themeColor="background2" w:themeShade="BF"/>
              <w:right w:val="single" w:sz="8" w:space="0" w:color="ADADAD" w:themeColor="background2" w:themeShade="BF"/>
            </w:tcBorders>
            <w:shd w:val="clear" w:color="auto" w:fill="auto"/>
            <w:vAlign w:val="center"/>
            <w:hideMark/>
          </w:tcPr>
          <w:p w14:paraId="477B8297" w14:textId="77777777" w:rsidR="003008B2" w:rsidRPr="003008B2" w:rsidRDefault="003008B2" w:rsidP="003008B2">
            <w:pPr>
              <w:spacing w:after="0"/>
              <w:jc w:val="left"/>
              <w:rPr>
                <w:rFonts w:eastAsia="Times New Roman" w:cs="Arial"/>
                <w:color w:val="000000"/>
                <w:sz w:val="20"/>
                <w:szCs w:val="20"/>
              </w:rPr>
            </w:pPr>
            <w:r w:rsidRPr="003008B2">
              <w:rPr>
                <w:rFonts w:eastAsia="Times New Roman" w:cs="Arial"/>
                <w:color w:val="000000"/>
                <w:sz w:val="20"/>
                <w:szCs w:val="20"/>
              </w:rPr>
              <w:t>Intake Pump Modification</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684DB837"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Pond</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08A0FC43"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N/A</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22FA477F"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N/A</w:t>
            </w:r>
          </w:p>
        </w:tc>
        <w:tc>
          <w:tcPr>
            <w:tcW w:w="251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76958C9B"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N/A</w:t>
            </w:r>
          </w:p>
        </w:tc>
      </w:tr>
      <w:tr w:rsidR="00BB549C" w:rsidRPr="003008B2" w14:paraId="49A2F11B" w14:textId="77777777" w:rsidTr="00877775">
        <w:trPr>
          <w:trHeight w:val="510"/>
          <w:jc w:val="center"/>
        </w:trPr>
        <w:tc>
          <w:tcPr>
            <w:tcW w:w="2150" w:type="dxa"/>
            <w:tcBorders>
              <w:top w:val="nil"/>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hideMark/>
          </w:tcPr>
          <w:p w14:paraId="4BC13E8C" w14:textId="4B4BD132"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 xml:space="preserve">Scherer 1 </w:t>
            </w:r>
            <w:r w:rsidR="00560005">
              <w:rPr>
                <w:rFonts w:eastAsia="Times New Roman" w:cs="Arial"/>
                <w:color w:val="000000"/>
                <w:sz w:val="20"/>
                <w:szCs w:val="20"/>
              </w:rPr>
              <w:t>&amp; 2</w:t>
            </w:r>
          </w:p>
        </w:tc>
        <w:tc>
          <w:tcPr>
            <w:tcW w:w="153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4F8954A1"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Closed-Cycle</w:t>
            </w:r>
          </w:p>
        </w:tc>
        <w:tc>
          <w:tcPr>
            <w:tcW w:w="1720" w:type="dxa"/>
            <w:tcBorders>
              <w:top w:val="nil"/>
              <w:left w:val="nil"/>
              <w:bottom w:val="single" w:sz="8" w:space="0" w:color="ADADAD" w:themeColor="background2" w:themeShade="BF"/>
              <w:right w:val="single" w:sz="8" w:space="0" w:color="ADADAD" w:themeColor="background2" w:themeShade="BF"/>
            </w:tcBorders>
            <w:shd w:val="clear" w:color="auto" w:fill="auto"/>
            <w:vAlign w:val="center"/>
            <w:hideMark/>
          </w:tcPr>
          <w:p w14:paraId="6280812C"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Flow Monitoring</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76E86945"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Phys/Chem</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4D1B78AC"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MAC</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31F13B06"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Dry Handling</w:t>
            </w:r>
          </w:p>
        </w:tc>
        <w:tc>
          <w:tcPr>
            <w:tcW w:w="251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hideMark/>
          </w:tcPr>
          <w:p w14:paraId="0E72152C" w14:textId="0D4C1B54" w:rsidR="003008B2" w:rsidRPr="003008B2" w:rsidRDefault="003008B2" w:rsidP="003008B2">
            <w:pPr>
              <w:spacing w:after="0"/>
              <w:rPr>
                <w:rFonts w:eastAsia="Times New Roman" w:cs="Arial"/>
                <w:color w:val="000000"/>
                <w:sz w:val="20"/>
                <w:szCs w:val="20"/>
              </w:rPr>
            </w:pPr>
            <w:r w:rsidRPr="003008B2">
              <w:rPr>
                <w:rFonts w:eastAsia="Times New Roman" w:cs="Arial"/>
                <w:color w:val="000000" w:themeColor="text1"/>
                <w:sz w:val="20"/>
                <w:szCs w:val="20"/>
              </w:rPr>
              <w:t>Phys/Chem Bio</w:t>
            </w:r>
            <w:r w:rsidRPr="003008B2">
              <w:rPr>
                <w:rFonts w:eastAsia="Times New Roman" w:cs="Arial"/>
                <w:color w:val="000000"/>
                <w:sz w:val="20"/>
                <w:szCs w:val="20"/>
                <w:vertAlign w:val="subscript"/>
              </w:rPr>
              <w:t xml:space="preserve"> </w:t>
            </w:r>
            <w:r w:rsidRPr="003008B2">
              <w:rPr>
                <w:rFonts w:eastAsia="Times New Roman" w:cs="Arial"/>
                <w:color w:val="000000"/>
                <w:sz w:val="20"/>
                <w:szCs w:val="20"/>
              </w:rPr>
              <w:t>or VIP</w:t>
            </w:r>
            <w:r w:rsidRPr="003008B2">
              <w:rPr>
                <w:rFonts w:eastAsia="Times New Roman" w:cs="Arial"/>
                <w:color w:val="000000"/>
                <w:sz w:val="20"/>
                <w:szCs w:val="20"/>
                <w:vertAlign w:val="subscript"/>
              </w:rPr>
              <w:t>1</w:t>
            </w:r>
            <w:r w:rsidRPr="003008B2">
              <w:rPr>
                <w:rFonts w:eastAsia="Times New Roman" w:cs="Arial"/>
                <w:color w:val="000000"/>
                <w:sz w:val="20"/>
                <w:szCs w:val="20"/>
              </w:rPr>
              <w:t xml:space="preserve"> </w:t>
            </w:r>
          </w:p>
        </w:tc>
      </w:tr>
      <w:tr w:rsidR="00BB549C" w:rsidRPr="003008B2" w14:paraId="73E9D572" w14:textId="77777777" w:rsidTr="00877775">
        <w:trPr>
          <w:trHeight w:val="510"/>
          <w:jc w:val="center"/>
        </w:trPr>
        <w:tc>
          <w:tcPr>
            <w:tcW w:w="2150" w:type="dxa"/>
            <w:tcBorders>
              <w:top w:val="nil"/>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tcPr>
          <w:p w14:paraId="6F34EC20" w14:textId="000C8B84" w:rsidR="00560005" w:rsidRPr="003008B2" w:rsidRDefault="00560005" w:rsidP="00FC3901">
            <w:pPr>
              <w:spacing w:after="0"/>
              <w:rPr>
                <w:rFonts w:eastAsia="Times New Roman" w:cs="Arial"/>
                <w:color w:val="000000"/>
                <w:sz w:val="20"/>
                <w:szCs w:val="20"/>
              </w:rPr>
            </w:pPr>
            <w:r>
              <w:rPr>
                <w:rFonts w:eastAsia="Times New Roman" w:cs="Arial"/>
                <w:color w:val="000000"/>
                <w:sz w:val="20"/>
                <w:szCs w:val="20"/>
              </w:rPr>
              <w:t>Scherer 3</w:t>
            </w:r>
          </w:p>
        </w:tc>
        <w:tc>
          <w:tcPr>
            <w:tcW w:w="1530"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tcPr>
          <w:p w14:paraId="5C536C1A" w14:textId="2D34B808" w:rsidR="00560005" w:rsidRPr="003008B2" w:rsidRDefault="00560005" w:rsidP="00FC3901">
            <w:pPr>
              <w:spacing w:after="0"/>
              <w:rPr>
                <w:rFonts w:eastAsia="Times New Roman" w:cs="Arial"/>
                <w:color w:val="000000"/>
                <w:sz w:val="20"/>
                <w:szCs w:val="20"/>
              </w:rPr>
            </w:pPr>
            <w:r w:rsidRPr="003008B2">
              <w:rPr>
                <w:rFonts w:eastAsia="Times New Roman" w:cs="Arial"/>
                <w:color w:val="000000"/>
                <w:sz w:val="20"/>
                <w:szCs w:val="20"/>
              </w:rPr>
              <w:t>Closed-Cycle</w:t>
            </w:r>
          </w:p>
        </w:tc>
        <w:tc>
          <w:tcPr>
            <w:tcW w:w="1720" w:type="dxa"/>
            <w:tcBorders>
              <w:top w:val="nil"/>
              <w:left w:val="nil"/>
              <w:bottom w:val="single" w:sz="8" w:space="0" w:color="ADADAD" w:themeColor="background2" w:themeShade="BF"/>
              <w:right w:val="single" w:sz="8" w:space="0" w:color="ADADAD" w:themeColor="background2" w:themeShade="BF"/>
            </w:tcBorders>
            <w:shd w:val="clear" w:color="auto" w:fill="auto"/>
            <w:vAlign w:val="center"/>
          </w:tcPr>
          <w:p w14:paraId="0767119E" w14:textId="5A84E21F" w:rsidR="00560005" w:rsidRPr="003008B2" w:rsidRDefault="00560005" w:rsidP="00FC3901">
            <w:pPr>
              <w:spacing w:after="0"/>
              <w:rPr>
                <w:rFonts w:eastAsia="Times New Roman" w:cs="Arial"/>
                <w:color w:val="000000"/>
                <w:sz w:val="20"/>
                <w:szCs w:val="20"/>
              </w:rPr>
            </w:pPr>
            <w:r w:rsidRPr="003008B2">
              <w:rPr>
                <w:rFonts w:eastAsia="Times New Roman" w:cs="Arial"/>
                <w:color w:val="000000"/>
                <w:sz w:val="20"/>
                <w:szCs w:val="20"/>
              </w:rPr>
              <w:t>Flow Monitoring</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tcPr>
          <w:p w14:paraId="181B8AA8" w14:textId="36E3A996" w:rsidR="00560005" w:rsidRPr="003008B2" w:rsidRDefault="00560005" w:rsidP="00FC3901">
            <w:pPr>
              <w:spacing w:after="0"/>
              <w:rPr>
                <w:rFonts w:eastAsia="Times New Roman" w:cs="Arial"/>
                <w:color w:val="000000"/>
                <w:sz w:val="20"/>
                <w:szCs w:val="20"/>
              </w:rPr>
            </w:pPr>
            <w:r w:rsidRPr="003008B2">
              <w:rPr>
                <w:rFonts w:eastAsia="Times New Roman" w:cs="Arial"/>
                <w:color w:val="000000"/>
                <w:sz w:val="20"/>
                <w:szCs w:val="20"/>
              </w:rPr>
              <w:t>Phys/Chem</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tcPr>
          <w:p w14:paraId="73A3019B" w14:textId="56EDAFAA" w:rsidR="00560005" w:rsidRPr="003008B2" w:rsidRDefault="00560005" w:rsidP="00FC3901">
            <w:pPr>
              <w:spacing w:after="0"/>
              <w:rPr>
                <w:rFonts w:eastAsia="Times New Roman" w:cs="Arial"/>
                <w:color w:val="000000"/>
                <w:sz w:val="20"/>
                <w:szCs w:val="20"/>
              </w:rPr>
            </w:pPr>
            <w:r w:rsidRPr="003008B2">
              <w:rPr>
                <w:rFonts w:eastAsia="Times New Roman" w:cs="Arial"/>
                <w:color w:val="000000"/>
                <w:sz w:val="20"/>
                <w:szCs w:val="20"/>
              </w:rPr>
              <w:t>MAC</w:t>
            </w:r>
          </w:p>
        </w:tc>
        <w:tc>
          <w:tcPr>
            <w:tcW w:w="0" w:type="auto"/>
            <w:tcBorders>
              <w:top w:val="nil"/>
              <w:left w:val="nil"/>
              <w:bottom w:val="single" w:sz="8" w:space="0" w:color="ADADAD" w:themeColor="background2" w:themeShade="BF"/>
              <w:right w:val="single" w:sz="8" w:space="0" w:color="ADADAD" w:themeColor="background2" w:themeShade="BF"/>
            </w:tcBorders>
            <w:shd w:val="clear" w:color="auto" w:fill="auto"/>
            <w:noWrap/>
            <w:vAlign w:val="center"/>
          </w:tcPr>
          <w:p w14:paraId="4F818873" w14:textId="7778F43B" w:rsidR="00560005" w:rsidRPr="003008B2" w:rsidRDefault="00560005" w:rsidP="00FC3901">
            <w:pPr>
              <w:spacing w:after="0"/>
              <w:rPr>
                <w:rFonts w:eastAsia="Times New Roman" w:cs="Arial"/>
                <w:color w:val="000000"/>
                <w:sz w:val="20"/>
                <w:szCs w:val="20"/>
              </w:rPr>
            </w:pPr>
            <w:r w:rsidRPr="003008B2">
              <w:rPr>
                <w:rFonts w:eastAsia="Times New Roman" w:cs="Arial"/>
                <w:color w:val="000000"/>
                <w:sz w:val="20"/>
                <w:szCs w:val="20"/>
              </w:rPr>
              <w:t>Dry Handling</w:t>
            </w:r>
          </w:p>
        </w:tc>
        <w:tc>
          <w:tcPr>
            <w:tcW w:w="2518" w:type="dxa"/>
            <w:tcBorders>
              <w:top w:val="nil"/>
              <w:left w:val="nil"/>
              <w:bottom w:val="single" w:sz="8" w:space="0" w:color="ADADAD" w:themeColor="background2" w:themeShade="BF"/>
              <w:right w:val="single" w:sz="8" w:space="0" w:color="ADADAD" w:themeColor="background2" w:themeShade="BF"/>
            </w:tcBorders>
            <w:shd w:val="clear" w:color="auto" w:fill="auto"/>
            <w:noWrap/>
            <w:vAlign w:val="center"/>
          </w:tcPr>
          <w:p w14:paraId="375C8868" w14:textId="1BC28899" w:rsidR="00560005" w:rsidRPr="003008B2" w:rsidRDefault="00560005" w:rsidP="00FC3901">
            <w:pPr>
              <w:spacing w:after="0"/>
              <w:rPr>
                <w:rFonts w:eastAsia="Times New Roman" w:cs="Arial"/>
                <w:color w:val="000000" w:themeColor="text1"/>
                <w:sz w:val="20"/>
                <w:szCs w:val="20"/>
              </w:rPr>
            </w:pPr>
            <w:r w:rsidRPr="003008B2">
              <w:rPr>
                <w:rFonts w:eastAsia="Times New Roman" w:cs="Arial"/>
                <w:color w:val="000000" w:themeColor="text1"/>
                <w:sz w:val="20"/>
                <w:szCs w:val="20"/>
              </w:rPr>
              <w:t>Phys/Chem Bio</w:t>
            </w:r>
            <w:r w:rsidRPr="003008B2">
              <w:rPr>
                <w:rFonts w:eastAsia="Times New Roman" w:cs="Arial"/>
                <w:color w:val="000000"/>
                <w:sz w:val="20"/>
                <w:szCs w:val="20"/>
                <w:vertAlign w:val="subscript"/>
              </w:rPr>
              <w:t xml:space="preserve"> </w:t>
            </w:r>
            <w:r w:rsidRPr="003008B2">
              <w:rPr>
                <w:rFonts w:eastAsia="Times New Roman" w:cs="Arial"/>
                <w:color w:val="000000"/>
                <w:sz w:val="20"/>
                <w:szCs w:val="20"/>
              </w:rPr>
              <w:t>or VIP</w:t>
            </w:r>
            <w:r>
              <w:rPr>
                <w:rFonts w:eastAsia="Times New Roman" w:cs="Arial"/>
                <w:color w:val="000000"/>
                <w:sz w:val="20"/>
                <w:szCs w:val="20"/>
                <w:vertAlign w:val="subscript"/>
              </w:rPr>
              <w:t>2</w:t>
            </w:r>
            <w:r w:rsidRPr="003008B2">
              <w:rPr>
                <w:rFonts w:eastAsia="Times New Roman" w:cs="Arial"/>
                <w:color w:val="000000"/>
                <w:sz w:val="20"/>
                <w:szCs w:val="20"/>
              </w:rPr>
              <w:t xml:space="preserve"> </w:t>
            </w:r>
          </w:p>
        </w:tc>
      </w:tr>
      <w:tr w:rsidR="00033147" w:rsidRPr="003008B2" w14:paraId="1A8AB241" w14:textId="77777777" w:rsidTr="00877775">
        <w:trPr>
          <w:trHeight w:val="510"/>
          <w:jc w:val="center"/>
        </w:trPr>
        <w:tc>
          <w:tcPr>
            <w:tcW w:w="2150" w:type="dxa"/>
            <w:tcBorders>
              <w:top w:val="single" w:sz="8" w:space="0" w:color="ADADAD" w:themeColor="background2" w:themeShade="BF"/>
              <w:left w:val="single" w:sz="8" w:space="0" w:color="ADADAD" w:themeColor="background2" w:themeShade="BF"/>
              <w:bottom w:val="single" w:sz="4" w:space="0" w:color="C0C0C0" w:themeColor="accent5" w:themeTint="66"/>
              <w:right w:val="single" w:sz="8" w:space="0" w:color="ADADAD" w:themeColor="background2" w:themeShade="BF"/>
            </w:tcBorders>
            <w:shd w:val="clear" w:color="auto" w:fill="auto"/>
            <w:noWrap/>
            <w:vAlign w:val="center"/>
            <w:hideMark/>
          </w:tcPr>
          <w:p w14:paraId="0B087486"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Wansley 1 &amp; 2</w:t>
            </w:r>
          </w:p>
        </w:tc>
        <w:tc>
          <w:tcPr>
            <w:tcW w:w="1530" w:type="dxa"/>
            <w:tcBorders>
              <w:top w:val="single" w:sz="8" w:space="0" w:color="ADADAD" w:themeColor="background2" w:themeShade="BF"/>
              <w:left w:val="nil"/>
              <w:bottom w:val="single" w:sz="4" w:space="0" w:color="C0C0C0" w:themeColor="accent5" w:themeTint="66"/>
              <w:right w:val="single" w:sz="8" w:space="0" w:color="ADADAD" w:themeColor="background2" w:themeShade="BF"/>
            </w:tcBorders>
            <w:shd w:val="clear" w:color="auto" w:fill="auto"/>
            <w:noWrap/>
            <w:vAlign w:val="center"/>
            <w:hideMark/>
          </w:tcPr>
          <w:p w14:paraId="5E6AF8BE"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Closed-Cycle</w:t>
            </w:r>
          </w:p>
        </w:tc>
        <w:tc>
          <w:tcPr>
            <w:tcW w:w="1720" w:type="dxa"/>
            <w:tcBorders>
              <w:top w:val="single" w:sz="8" w:space="0" w:color="ADADAD" w:themeColor="background2" w:themeShade="BF"/>
              <w:left w:val="nil"/>
              <w:bottom w:val="single" w:sz="4" w:space="0" w:color="C0C0C0" w:themeColor="accent5" w:themeTint="66"/>
              <w:right w:val="single" w:sz="8" w:space="0" w:color="ADADAD" w:themeColor="background2" w:themeShade="BF"/>
            </w:tcBorders>
            <w:shd w:val="clear" w:color="auto" w:fill="auto"/>
            <w:vAlign w:val="center"/>
            <w:hideMark/>
          </w:tcPr>
          <w:p w14:paraId="48D5767A"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Flow Monitoring</w:t>
            </w:r>
          </w:p>
        </w:tc>
        <w:tc>
          <w:tcPr>
            <w:tcW w:w="0" w:type="auto"/>
            <w:tcBorders>
              <w:top w:val="single" w:sz="8" w:space="0" w:color="ADADAD" w:themeColor="background2" w:themeShade="BF"/>
              <w:left w:val="nil"/>
              <w:bottom w:val="single" w:sz="4" w:space="0" w:color="C0C0C0" w:themeColor="accent5" w:themeTint="66"/>
              <w:right w:val="single" w:sz="8" w:space="0" w:color="ADADAD" w:themeColor="background2" w:themeShade="BF"/>
            </w:tcBorders>
            <w:shd w:val="clear" w:color="auto" w:fill="auto"/>
            <w:noWrap/>
            <w:vAlign w:val="center"/>
            <w:hideMark/>
          </w:tcPr>
          <w:p w14:paraId="402EFDE9"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Phys/Chem</w:t>
            </w:r>
          </w:p>
        </w:tc>
        <w:tc>
          <w:tcPr>
            <w:tcW w:w="0" w:type="auto"/>
            <w:tcBorders>
              <w:top w:val="single" w:sz="8" w:space="0" w:color="ADADAD" w:themeColor="background2" w:themeShade="BF"/>
              <w:left w:val="nil"/>
              <w:bottom w:val="single" w:sz="4" w:space="0" w:color="C0C0C0" w:themeColor="accent5" w:themeTint="66"/>
              <w:right w:val="single" w:sz="8" w:space="0" w:color="ADADAD" w:themeColor="background2" w:themeShade="BF"/>
            </w:tcBorders>
            <w:shd w:val="clear" w:color="auto" w:fill="auto"/>
            <w:noWrap/>
            <w:vAlign w:val="center"/>
            <w:hideMark/>
          </w:tcPr>
          <w:p w14:paraId="65CFBA72"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RMDC</w:t>
            </w:r>
          </w:p>
        </w:tc>
        <w:tc>
          <w:tcPr>
            <w:tcW w:w="0" w:type="auto"/>
            <w:tcBorders>
              <w:top w:val="single" w:sz="8" w:space="0" w:color="ADADAD" w:themeColor="background2" w:themeShade="BF"/>
              <w:left w:val="nil"/>
              <w:bottom w:val="single" w:sz="4" w:space="0" w:color="C0C0C0" w:themeColor="accent5" w:themeTint="66"/>
              <w:right w:val="single" w:sz="8" w:space="0" w:color="ADADAD" w:themeColor="background2" w:themeShade="BF"/>
            </w:tcBorders>
            <w:shd w:val="clear" w:color="auto" w:fill="auto"/>
            <w:noWrap/>
            <w:vAlign w:val="center"/>
            <w:hideMark/>
          </w:tcPr>
          <w:p w14:paraId="6D308958" w14:textId="77777777"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Dry Handling</w:t>
            </w:r>
          </w:p>
        </w:tc>
        <w:tc>
          <w:tcPr>
            <w:tcW w:w="2518" w:type="dxa"/>
            <w:tcBorders>
              <w:top w:val="single" w:sz="8" w:space="0" w:color="ADADAD" w:themeColor="background2" w:themeShade="BF"/>
              <w:left w:val="nil"/>
              <w:bottom w:val="single" w:sz="4" w:space="0" w:color="C0C0C0" w:themeColor="accent5" w:themeTint="66"/>
              <w:right w:val="single" w:sz="8" w:space="0" w:color="ADADAD" w:themeColor="background2" w:themeShade="BF"/>
            </w:tcBorders>
            <w:shd w:val="clear" w:color="auto" w:fill="auto"/>
            <w:noWrap/>
            <w:vAlign w:val="center"/>
            <w:hideMark/>
          </w:tcPr>
          <w:p w14:paraId="7A11DE51" w14:textId="3BC118D8" w:rsidR="003008B2" w:rsidRPr="003008B2" w:rsidRDefault="003008B2" w:rsidP="003008B2">
            <w:pPr>
              <w:spacing w:after="0"/>
              <w:rPr>
                <w:rFonts w:eastAsia="Times New Roman" w:cs="Arial"/>
                <w:color w:val="000000"/>
                <w:sz w:val="20"/>
                <w:szCs w:val="20"/>
              </w:rPr>
            </w:pPr>
            <w:r w:rsidRPr="003008B2">
              <w:rPr>
                <w:rFonts w:eastAsia="Times New Roman" w:cs="Arial"/>
                <w:color w:val="000000"/>
                <w:sz w:val="20"/>
                <w:szCs w:val="20"/>
              </w:rPr>
              <w:t>Phys/Chem Bio</w:t>
            </w:r>
            <w:r w:rsidR="004C74C3">
              <w:rPr>
                <w:rFonts w:eastAsia="Times New Roman" w:cs="Arial"/>
                <w:color w:val="000000"/>
                <w:sz w:val="20"/>
                <w:szCs w:val="20"/>
                <w:vertAlign w:val="subscript"/>
              </w:rPr>
              <w:t>2</w:t>
            </w:r>
          </w:p>
        </w:tc>
      </w:tr>
      <w:tr w:rsidR="008251FA" w:rsidRPr="003008B2" w14:paraId="4D60C5B5" w14:textId="77777777" w:rsidTr="00877775">
        <w:trPr>
          <w:trHeight w:val="510"/>
          <w:jc w:val="center"/>
        </w:trPr>
        <w:tc>
          <w:tcPr>
            <w:tcW w:w="11880" w:type="dxa"/>
            <w:gridSpan w:val="7"/>
            <w:tcBorders>
              <w:top w:val="single" w:sz="4" w:space="0" w:color="C0C0C0" w:themeColor="accent5" w:themeTint="66"/>
              <w:left w:val="single" w:sz="8" w:space="0" w:color="ADADAD" w:themeColor="background2" w:themeShade="BF"/>
              <w:bottom w:val="single" w:sz="8" w:space="0" w:color="ADADAD" w:themeColor="background2" w:themeShade="BF"/>
              <w:right w:val="single" w:sz="8" w:space="0" w:color="ADADAD" w:themeColor="background2" w:themeShade="BF"/>
            </w:tcBorders>
            <w:shd w:val="clear" w:color="auto" w:fill="auto"/>
            <w:noWrap/>
            <w:vAlign w:val="center"/>
          </w:tcPr>
          <w:p w14:paraId="7367E92B" w14:textId="6BAC7F8A" w:rsidR="008251FA" w:rsidRDefault="008251FA" w:rsidP="00FC3901">
            <w:pPr>
              <w:spacing w:after="0"/>
              <w:rPr>
                <w:rFonts w:cs="Arial"/>
                <w:i/>
                <w:color w:val="000000" w:themeColor="text1"/>
                <w:sz w:val="20"/>
                <w:szCs w:val="20"/>
              </w:rPr>
            </w:pPr>
            <w:r>
              <w:rPr>
                <w:rFonts w:cs="Arial"/>
                <w:i/>
                <w:color w:val="000000" w:themeColor="text1"/>
                <w:sz w:val="20"/>
                <w:szCs w:val="20"/>
              </w:rPr>
              <w:t>1</w:t>
            </w:r>
            <w:r w:rsidR="00E70569">
              <w:rPr>
                <w:rFonts w:cs="Arial"/>
                <w:i/>
                <w:color w:val="000000" w:themeColor="text1"/>
                <w:sz w:val="20"/>
                <w:szCs w:val="20"/>
              </w:rPr>
              <w:t xml:space="preserve"> </w:t>
            </w:r>
            <w:r>
              <w:rPr>
                <w:rFonts w:cs="Arial"/>
                <w:i/>
                <w:color w:val="000000" w:themeColor="text1"/>
                <w:sz w:val="20"/>
                <w:szCs w:val="20"/>
              </w:rPr>
              <w:t xml:space="preserve">Wastewater treatment projects </w:t>
            </w:r>
            <w:r w:rsidR="00714217">
              <w:rPr>
                <w:rFonts w:cs="Arial"/>
                <w:i/>
                <w:color w:val="000000" w:themeColor="text1"/>
                <w:sz w:val="20"/>
                <w:szCs w:val="20"/>
              </w:rPr>
              <w:t>selected</w:t>
            </w:r>
            <w:r w:rsidR="00D26210">
              <w:rPr>
                <w:rFonts w:cs="Arial"/>
                <w:i/>
                <w:color w:val="000000" w:themeColor="text1"/>
                <w:sz w:val="20"/>
                <w:szCs w:val="20"/>
              </w:rPr>
              <w:t xml:space="preserve"> </w:t>
            </w:r>
            <w:r w:rsidR="00F72F6E">
              <w:rPr>
                <w:rFonts w:cs="Arial"/>
                <w:i/>
                <w:color w:val="000000" w:themeColor="text1"/>
                <w:sz w:val="20"/>
                <w:szCs w:val="20"/>
              </w:rPr>
              <w:t>to comply</w:t>
            </w:r>
            <w:r w:rsidR="00E14F14">
              <w:rPr>
                <w:rFonts w:cs="Arial"/>
                <w:i/>
                <w:color w:val="000000" w:themeColor="text1"/>
                <w:sz w:val="20"/>
                <w:szCs w:val="20"/>
              </w:rPr>
              <w:t xml:space="preserve"> </w:t>
            </w:r>
            <w:r w:rsidR="00F72F6E">
              <w:rPr>
                <w:rFonts w:cs="Arial"/>
                <w:i/>
                <w:color w:val="000000" w:themeColor="text1"/>
                <w:sz w:val="20"/>
                <w:szCs w:val="20"/>
              </w:rPr>
              <w:t>with</w:t>
            </w:r>
            <w:r>
              <w:rPr>
                <w:rFonts w:cs="Arial"/>
                <w:i/>
                <w:color w:val="000000" w:themeColor="text1"/>
                <w:sz w:val="20"/>
                <w:szCs w:val="20"/>
              </w:rPr>
              <w:t xml:space="preserve"> ELG rule</w:t>
            </w:r>
          </w:p>
          <w:p w14:paraId="746900F1" w14:textId="598F1CAD" w:rsidR="008251FA" w:rsidRDefault="008251FA" w:rsidP="00FC3901">
            <w:pPr>
              <w:spacing w:after="0"/>
              <w:rPr>
                <w:rFonts w:cs="Arial"/>
                <w:i/>
                <w:iCs/>
                <w:color w:val="000000" w:themeColor="text1"/>
                <w:sz w:val="20"/>
                <w:szCs w:val="20"/>
              </w:rPr>
            </w:pPr>
            <w:r>
              <w:rPr>
                <w:rFonts w:cs="Arial"/>
                <w:i/>
                <w:color w:val="000000" w:themeColor="text1"/>
                <w:sz w:val="20"/>
                <w:szCs w:val="20"/>
              </w:rPr>
              <w:t xml:space="preserve">2 </w:t>
            </w:r>
            <w:r w:rsidR="00D96801">
              <w:rPr>
                <w:rFonts w:cs="Arial"/>
                <w:i/>
                <w:color w:val="000000" w:themeColor="text1"/>
                <w:sz w:val="20"/>
                <w:szCs w:val="20"/>
              </w:rPr>
              <w:t>A</w:t>
            </w:r>
            <w:r w:rsidR="00E14F14">
              <w:rPr>
                <w:rFonts w:cs="Arial"/>
                <w:i/>
                <w:color w:val="000000" w:themeColor="text1"/>
                <w:sz w:val="20"/>
                <w:szCs w:val="20"/>
              </w:rPr>
              <w:t xml:space="preserve">lternative compliance pathway </w:t>
            </w:r>
            <w:r w:rsidR="00420FDC">
              <w:rPr>
                <w:rFonts w:cs="Arial"/>
                <w:i/>
                <w:color w:val="000000" w:themeColor="text1"/>
                <w:sz w:val="20"/>
                <w:szCs w:val="20"/>
              </w:rPr>
              <w:t xml:space="preserve">selected </w:t>
            </w:r>
            <w:r>
              <w:rPr>
                <w:rFonts w:cs="Arial"/>
                <w:i/>
                <w:color w:val="000000" w:themeColor="text1"/>
                <w:sz w:val="20"/>
                <w:szCs w:val="20"/>
              </w:rPr>
              <w:t xml:space="preserve">due to results of URS </w:t>
            </w:r>
            <w:r w:rsidR="00E04F6F">
              <w:rPr>
                <w:rFonts w:cs="Arial"/>
                <w:i/>
                <w:color w:val="000000" w:themeColor="text1"/>
                <w:sz w:val="20"/>
                <w:szCs w:val="20"/>
              </w:rPr>
              <w:t>to comply with ELG rule</w:t>
            </w:r>
            <w:r>
              <w:rPr>
                <w:rFonts w:cs="Arial"/>
                <w:i/>
                <w:color w:val="000000" w:themeColor="text1"/>
                <w:sz w:val="20"/>
                <w:szCs w:val="20"/>
              </w:rPr>
              <w:t xml:space="preserve">. See </w:t>
            </w:r>
            <w:r w:rsidRPr="59F81CDC">
              <w:rPr>
                <w:rFonts w:cs="Arial"/>
                <w:i/>
                <w:color w:val="000000" w:themeColor="text1"/>
                <w:sz w:val="20"/>
                <w:szCs w:val="20"/>
              </w:rPr>
              <w:t xml:space="preserve">NOPP Filing </w:t>
            </w:r>
            <w:r w:rsidRPr="6F60EF9A">
              <w:rPr>
                <w:rFonts w:cs="Arial"/>
                <w:i/>
                <w:iCs/>
                <w:color w:val="000000" w:themeColor="text1"/>
                <w:sz w:val="20"/>
                <w:szCs w:val="20"/>
              </w:rPr>
              <w:t>with</w:t>
            </w:r>
            <w:r w:rsidR="00DB45AF">
              <w:rPr>
                <w:rFonts w:cs="Arial"/>
                <w:i/>
                <w:iCs/>
                <w:color w:val="000000" w:themeColor="text1"/>
                <w:sz w:val="20"/>
                <w:szCs w:val="20"/>
              </w:rPr>
              <w:t xml:space="preserve"> Georgia</w:t>
            </w:r>
            <w:r w:rsidRPr="6F60EF9A">
              <w:rPr>
                <w:rFonts w:cs="Arial"/>
                <w:i/>
                <w:iCs/>
                <w:color w:val="000000" w:themeColor="text1"/>
                <w:sz w:val="20"/>
                <w:szCs w:val="20"/>
              </w:rPr>
              <w:t xml:space="preserve"> EPD </w:t>
            </w:r>
            <w:r w:rsidRPr="59F81CDC">
              <w:rPr>
                <w:rFonts w:cs="Arial"/>
                <w:i/>
                <w:color w:val="000000" w:themeColor="text1"/>
                <w:sz w:val="20"/>
                <w:szCs w:val="20"/>
              </w:rPr>
              <w:t xml:space="preserve">for ELG </w:t>
            </w:r>
            <w:r>
              <w:rPr>
                <w:rFonts w:cs="Arial"/>
                <w:i/>
                <w:color w:val="000000" w:themeColor="text1"/>
                <w:sz w:val="20"/>
                <w:szCs w:val="20"/>
              </w:rPr>
              <w:t>discussed in Section 4.2.2</w:t>
            </w:r>
            <w:r w:rsidRPr="59F81CDC">
              <w:rPr>
                <w:rFonts w:cs="Arial"/>
                <w:i/>
                <w:color w:val="000000" w:themeColor="text1"/>
                <w:sz w:val="20"/>
                <w:szCs w:val="20"/>
              </w:rPr>
              <w:t xml:space="preserve"> </w:t>
            </w:r>
          </w:p>
          <w:p w14:paraId="6EB914D3" w14:textId="1536545A" w:rsidR="008251FA" w:rsidRPr="003008B2" w:rsidRDefault="008251FA" w:rsidP="00FC3901">
            <w:pPr>
              <w:spacing w:after="0"/>
              <w:rPr>
                <w:rFonts w:eastAsia="Times New Roman" w:cs="Arial"/>
                <w:color w:val="000000"/>
                <w:sz w:val="20"/>
                <w:szCs w:val="20"/>
              </w:rPr>
            </w:pPr>
          </w:p>
        </w:tc>
      </w:tr>
    </w:tbl>
    <w:p w14:paraId="29A45C36" w14:textId="77777777" w:rsidR="000B0216" w:rsidRDefault="000B0216" w:rsidP="00915222">
      <w:pPr>
        <w:spacing w:after="0"/>
        <w:rPr>
          <w:rFonts w:cs="Arial"/>
          <w:i/>
          <w:iCs/>
          <w:color w:val="000000"/>
          <w:sz w:val="20"/>
          <w:szCs w:val="20"/>
        </w:rPr>
        <w:sectPr w:rsidR="000B0216" w:rsidSect="00877775">
          <w:pgSz w:w="15840" w:h="12240" w:orient="landscape" w:code="1"/>
          <w:pgMar w:top="720" w:right="720" w:bottom="720" w:left="720" w:header="720" w:footer="720" w:gutter="0"/>
          <w:cols w:space="720"/>
          <w:docGrid w:linePitch="360"/>
        </w:sectPr>
      </w:pPr>
    </w:p>
    <w:p w14:paraId="4741EE8F" w14:textId="1658F706" w:rsidR="00FE5E2C" w:rsidRPr="00C07BDB" w:rsidRDefault="00FE5E2C" w:rsidP="00CE151D">
      <w:pPr>
        <w:pStyle w:val="Heading2"/>
      </w:pPr>
      <w:bookmarkStart w:id="68" w:name="_Toc94197913"/>
      <w:r w:rsidRPr="00C07BDB">
        <w:t>4.3</w:t>
      </w:r>
      <w:r w:rsidR="00C337A3" w:rsidRPr="00C07BDB">
        <w:t xml:space="preserve"> </w:t>
      </w:r>
      <w:r w:rsidRPr="00C07BDB">
        <w:t>Solid Waste Management Compliance Strategy Review</w:t>
      </w:r>
      <w:bookmarkEnd w:id="68"/>
      <w:r w:rsidRPr="00C07BDB">
        <w:t xml:space="preserve"> </w:t>
      </w:r>
    </w:p>
    <w:p w14:paraId="2E483B7F" w14:textId="46555615" w:rsidR="003C2B06" w:rsidRDefault="00AB1FA0" w:rsidP="00AD24E0">
      <w:pPr>
        <w:rPr>
          <w:rFonts w:cs="Arial"/>
          <w:b/>
          <w:color w:val="000080"/>
        </w:rPr>
      </w:pPr>
      <w:r>
        <w:rPr>
          <w:rFonts w:cs="Arial"/>
          <w:szCs w:val="24"/>
        </w:rPr>
        <w:t xml:space="preserve">The federal and state CCR rules regulate storage and disposal of CCR and apply to </w:t>
      </w:r>
      <w:r w:rsidRPr="00DB7156">
        <w:rPr>
          <w:rFonts w:cs="Arial"/>
          <w:szCs w:val="24"/>
        </w:rPr>
        <w:t xml:space="preserve">CCR landfills and </w:t>
      </w:r>
      <w:r>
        <w:rPr>
          <w:rFonts w:cs="Arial"/>
          <w:szCs w:val="24"/>
        </w:rPr>
        <w:t xml:space="preserve">ash ponds. </w:t>
      </w:r>
      <w:r w:rsidR="006E00A1" w:rsidRPr="7A0C2078">
        <w:rPr>
          <w:rFonts w:cs="Arial"/>
        </w:rPr>
        <w:t xml:space="preserve">In compliance with the Federal CCR Rule and the more stringent Georgia CCR Rule, Georgia Power has identified its strategy to close the Company’s ash ponds and implement </w:t>
      </w:r>
      <w:r w:rsidR="00553F18" w:rsidRPr="7A0C2078">
        <w:rPr>
          <w:rFonts w:cs="Arial"/>
        </w:rPr>
        <w:t>the requirements of the</w:t>
      </w:r>
      <w:r w:rsidR="00DF7F75" w:rsidRPr="7A0C2078">
        <w:rPr>
          <w:rFonts w:cs="Arial"/>
        </w:rPr>
        <w:t>se rules</w:t>
      </w:r>
      <w:r w:rsidR="006E00A1" w:rsidRPr="7A0C2078">
        <w:rPr>
          <w:rFonts w:cs="Arial"/>
        </w:rPr>
        <w:t xml:space="preserve">. </w:t>
      </w:r>
      <w:r w:rsidR="00270E06" w:rsidRPr="7A0C2078">
        <w:rPr>
          <w:rFonts w:cs="Arial"/>
        </w:rPr>
        <w:t xml:space="preserve"> During the 2019 IRP</w:t>
      </w:r>
      <w:r w:rsidR="00345B4C" w:rsidRPr="7A0C2078">
        <w:rPr>
          <w:rFonts w:cs="Arial"/>
        </w:rPr>
        <w:t>, Georgia Power</w:t>
      </w:r>
      <w:r w:rsidR="003C609E" w:rsidRPr="7A0C2078">
        <w:rPr>
          <w:rFonts w:cs="Arial"/>
        </w:rPr>
        <w:t xml:space="preserve"> presented its </w:t>
      </w:r>
      <w:r w:rsidR="00B01CDD" w:rsidRPr="7A0C2078">
        <w:rPr>
          <w:rFonts w:cs="Arial"/>
        </w:rPr>
        <w:t xml:space="preserve">strategy for </w:t>
      </w:r>
      <w:r w:rsidR="00A35FF4" w:rsidRPr="7A0C2078">
        <w:rPr>
          <w:rFonts w:cs="Arial"/>
        </w:rPr>
        <w:t xml:space="preserve">the </w:t>
      </w:r>
      <w:r w:rsidR="00D66B29" w:rsidRPr="7A0C2078">
        <w:rPr>
          <w:rFonts w:cs="Arial"/>
        </w:rPr>
        <w:t xml:space="preserve">items listed </w:t>
      </w:r>
      <w:r w:rsidR="00466866" w:rsidRPr="7A0C2078">
        <w:rPr>
          <w:rFonts w:cs="Arial"/>
        </w:rPr>
        <w:t>in Table 4.3-1</w:t>
      </w:r>
      <w:r w:rsidR="00D66B29" w:rsidRPr="7A0C2078">
        <w:rPr>
          <w:rFonts w:cs="Arial"/>
        </w:rPr>
        <w:t xml:space="preserve"> and </w:t>
      </w:r>
      <w:r w:rsidR="00CB3DB8" w:rsidRPr="7A0C2078">
        <w:rPr>
          <w:rFonts w:cs="Arial"/>
        </w:rPr>
        <w:t xml:space="preserve">received approval </w:t>
      </w:r>
      <w:r w:rsidR="008E5DC3" w:rsidRPr="7A0C2078">
        <w:rPr>
          <w:rFonts w:cs="Arial"/>
        </w:rPr>
        <w:t>from the Commission</w:t>
      </w:r>
      <w:r w:rsidR="00D66B29" w:rsidRPr="7A0C2078">
        <w:rPr>
          <w:rFonts w:cs="Arial"/>
        </w:rPr>
        <w:t xml:space="preserve">.  </w:t>
      </w:r>
      <w:r w:rsidR="00C07A41" w:rsidRPr="7A0C2078">
        <w:rPr>
          <w:rFonts w:cs="Arial"/>
        </w:rPr>
        <w:t xml:space="preserve">In accordance with </w:t>
      </w:r>
      <w:r w:rsidR="00043BEF" w:rsidRPr="7A0C2078">
        <w:rPr>
          <w:rFonts w:cs="Arial"/>
        </w:rPr>
        <w:t xml:space="preserve">the </w:t>
      </w:r>
      <w:r w:rsidR="008B0756" w:rsidRPr="7A0C2078">
        <w:rPr>
          <w:rFonts w:cs="Arial"/>
        </w:rPr>
        <w:t xml:space="preserve">2019 IRP Final Order, </w:t>
      </w:r>
      <w:r w:rsidR="00F43B07" w:rsidRPr="7A0C2078">
        <w:rPr>
          <w:rFonts w:cs="Arial"/>
        </w:rPr>
        <w:t>CCR project progress and cost updates</w:t>
      </w:r>
      <w:r w:rsidR="00D66B29" w:rsidRPr="7A0C2078">
        <w:rPr>
          <w:rFonts w:cs="Arial"/>
        </w:rPr>
        <w:t xml:space="preserve"> have been submitted semi-annually to the PSC</w:t>
      </w:r>
      <w:r w:rsidR="00F43B07" w:rsidRPr="7A0C2078">
        <w:rPr>
          <w:rFonts w:cs="Arial"/>
        </w:rPr>
        <w:t xml:space="preserve"> </w:t>
      </w:r>
      <w:r w:rsidR="00D7279E" w:rsidRPr="7A0C2078">
        <w:rPr>
          <w:rFonts w:cs="Arial"/>
        </w:rPr>
        <w:t xml:space="preserve">through Docket No </w:t>
      </w:r>
      <w:r w:rsidR="004B761F" w:rsidRPr="7A0C2078">
        <w:rPr>
          <w:rFonts w:cs="Arial"/>
        </w:rPr>
        <w:t>43083.</w:t>
      </w:r>
    </w:p>
    <w:p w14:paraId="74D42644" w14:textId="0D058CDC" w:rsidR="0039690E" w:rsidRPr="00B81982" w:rsidRDefault="00C07BDB" w:rsidP="002531D4">
      <w:pPr>
        <w:pStyle w:val="Heading3"/>
        <w:rPr>
          <w:rFonts w:cs="Arial"/>
          <w:bCs/>
          <w:color w:val="000080"/>
        </w:rPr>
      </w:pPr>
      <w:bookmarkStart w:id="69" w:name="_Toc94197914"/>
      <w:r>
        <w:t xml:space="preserve">4.3.1 </w:t>
      </w:r>
      <w:r w:rsidR="0039690E" w:rsidRPr="00B81982">
        <w:t>Background and Compliance Requirements</w:t>
      </w:r>
      <w:bookmarkEnd w:id="69"/>
    </w:p>
    <w:p w14:paraId="20B90A1B" w14:textId="5EA07751" w:rsidR="00605459" w:rsidRDefault="00605459" w:rsidP="00605459">
      <w:pPr>
        <w:spacing w:after="0"/>
        <w:rPr>
          <w:rFonts w:cs="Arial"/>
        </w:rPr>
      </w:pPr>
      <w:r w:rsidRPr="7A0C2078">
        <w:rPr>
          <w:rFonts w:cs="Arial"/>
        </w:rPr>
        <w:t>Ash ponds were designed, installed, and operated to function as a treatment system for power plant wastewaters, and they have effectively served in this capacity for decades</w:t>
      </w:r>
      <w:r w:rsidR="002F094F">
        <w:rPr>
          <w:rFonts w:cs="Arial"/>
        </w:rPr>
        <w:t xml:space="preserve"> in compliance with NPDES permits </w:t>
      </w:r>
      <w:r w:rsidR="00FC37A9">
        <w:rPr>
          <w:rFonts w:cs="Arial"/>
        </w:rPr>
        <w:t>under</w:t>
      </w:r>
      <w:r w:rsidR="002F094F">
        <w:rPr>
          <w:rFonts w:cs="Arial"/>
        </w:rPr>
        <w:t xml:space="preserve"> which they were regulated</w:t>
      </w:r>
      <w:r w:rsidRPr="7A0C2078">
        <w:rPr>
          <w:rFonts w:cs="Arial"/>
        </w:rPr>
        <w:t xml:space="preserve">. </w:t>
      </w:r>
    </w:p>
    <w:p w14:paraId="75C58074" w14:textId="77777777" w:rsidR="00605459" w:rsidRDefault="00605459" w:rsidP="00605459">
      <w:pPr>
        <w:spacing w:after="0"/>
        <w:rPr>
          <w:rFonts w:cs="Arial"/>
          <w:szCs w:val="24"/>
        </w:rPr>
      </w:pPr>
    </w:p>
    <w:p w14:paraId="487A4D1D" w14:textId="0C487B74" w:rsidR="007D7568" w:rsidRPr="0084296F" w:rsidRDefault="00B84609" w:rsidP="008025DB">
      <w:pPr>
        <w:rPr>
          <w:lang w:val="en"/>
        </w:rPr>
      </w:pPr>
      <w:r w:rsidRPr="08F2E814">
        <w:rPr>
          <w:lang w:val="en"/>
        </w:rPr>
        <w:t xml:space="preserve">Georgia Power’s ash pond closure plans and compliance strategy are designed to comply with the Federal CCR Rule, as well as the more stringent requirements of the Georgia CCR Rule. </w:t>
      </w:r>
      <w:r w:rsidR="00020317" w:rsidRPr="00AE038A">
        <w:rPr>
          <w:lang w:val="en"/>
        </w:rPr>
        <w:t>The federal and state CCR rules explicitly authorize both closure in place and closure by removal as options, with each option subject to its own set of closure performance criteria.</w:t>
      </w:r>
      <w:r w:rsidR="4A14C08F" w:rsidRPr="0FA48154">
        <w:rPr>
          <w:shd w:val="clear" w:color="auto" w:fill="FAF9F8"/>
        </w:rPr>
        <w:t xml:space="preserve"> </w:t>
      </w:r>
      <w:r w:rsidR="007D7568" w:rsidRPr="08F2E814">
        <w:rPr>
          <w:lang w:val="en"/>
        </w:rPr>
        <w:t xml:space="preserve">The Georgia CCR Rule regulates all ash ponds and landfills in the state and </w:t>
      </w:r>
      <w:r w:rsidR="002B77BD" w:rsidRPr="08F2E814">
        <w:rPr>
          <w:lang w:val="en"/>
        </w:rPr>
        <w:t xml:space="preserve">establishes </w:t>
      </w:r>
      <w:r w:rsidR="007D7568" w:rsidRPr="08F2E814">
        <w:rPr>
          <w:lang w:val="en"/>
        </w:rPr>
        <w:t xml:space="preserve">a comprehensive permitting program through which Georgia EPD </w:t>
      </w:r>
      <w:r w:rsidR="002B77BD" w:rsidRPr="08F2E814">
        <w:rPr>
          <w:lang w:val="en"/>
        </w:rPr>
        <w:t>review</w:t>
      </w:r>
      <w:r w:rsidR="007547EA">
        <w:rPr>
          <w:lang w:val="en"/>
        </w:rPr>
        <w:t>s</w:t>
      </w:r>
      <w:r w:rsidR="00E55951" w:rsidRPr="08F2E814">
        <w:rPr>
          <w:lang w:val="en"/>
        </w:rPr>
        <w:t xml:space="preserve"> and issue</w:t>
      </w:r>
      <w:r w:rsidR="007547EA">
        <w:rPr>
          <w:lang w:val="en"/>
        </w:rPr>
        <w:t>s</w:t>
      </w:r>
      <w:r w:rsidR="00E55951" w:rsidRPr="08F2E814">
        <w:rPr>
          <w:lang w:val="en"/>
        </w:rPr>
        <w:t xml:space="preserve"> all </w:t>
      </w:r>
      <w:r w:rsidR="007D7568" w:rsidRPr="08F2E814">
        <w:rPr>
          <w:lang w:val="en"/>
        </w:rPr>
        <w:t>permits</w:t>
      </w:r>
      <w:r w:rsidR="00E55951" w:rsidRPr="08F2E814">
        <w:rPr>
          <w:lang w:val="en"/>
        </w:rPr>
        <w:t xml:space="preserve">, as well </w:t>
      </w:r>
      <w:r w:rsidR="5EEC8B22" w:rsidRPr="08F2E814">
        <w:rPr>
          <w:lang w:val="en"/>
        </w:rPr>
        <w:t xml:space="preserve">as </w:t>
      </w:r>
      <w:r w:rsidR="002B77BD" w:rsidRPr="08F2E814">
        <w:rPr>
          <w:lang w:val="en"/>
        </w:rPr>
        <w:t>oversee</w:t>
      </w:r>
      <w:r w:rsidR="003E2BFB">
        <w:rPr>
          <w:lang w:val="en"/>
        </w:rPr>
        <w:t>s</w:t>
      </w:r>
      <w:r w:rsidR="002B77BD" w:rsidRPr="08F2E814">
        <w:rPr>
          <w:lang w:val="en"/>
        </w:rPr>
        <w:t xml:space="preserve"> closure </w:t>
      </w:r>
      <w:r w:rsidR="004D753F">
        <w:rPr>
          <w:lang w:val="en"/>
        </w:rPr>
        <w:t>and post-closure</w:t>
      </w:r>
      <w:r w:rsidR="002B77BD" w:rsidRPr="08F2E814">
        <w:rPr>
          <w:lang w:val="en"/>
        </w:rPr>
        <w:t xml:space="preserve"> activities </w:t>
      </w:r>
      <w:r w:rsidR="007D7568" w:rsidRPr="08F2E814">
        <w:rPr>
          <w:lang w:val="en"/>
        </w:rPr>
        <w:t xml:space="preserve">to ensure ash pond closures meet the requirements of the </w:t>
      </w:r>
      <w:r w:rsidR="002B77BD" w:rsidRPr="08F2E814">
        <w:rPr>
          <w:lang w:val="en"/>
        </w:rPr>
        <w:t xml:space="preserve">Georgia </w:t>
      </w:r>
      <w:r w:rsidR="007D7568" w:rsidRPr="08F2E814">
        <w:rPr>
          <w:lang w:val="en"/>
        </w:rPr>
        <w:t xml:space="preserve">CCR </w:t>
      </w:r>
      <w:r w:rsidR="002B77BD" w:rsidRPr="08F2E814">
        <w:rPr>
          <w:lang w:val="en"/>
        </w:rPr>
        <w:t>R</w:t>
      </w:r>
      <w:r w:rsidR="007D7568" w:rsidRPr="08F2E814">
        <w:rPr>
          <w:lang w:val="en"/>
        </w:rPr>
        <w:t xml:space="preserve">ule and are protective of human health and the environment. </w:t>
      </w:r>
      <w:r w:rsidR="00584651" w:rsidRPr="08F2E814">
        <w:rPr>
          <w:lang w:val="en"/>
        </w:rPr>
        <w:t xml:space="preserve">Pursuant to </w:t>
      </w:r>
      <w:r w:rsidR="0045667D">
        <w:rPr>
          <w:lang w:val="en"/>
        </w:rPr>
        <w:t xml:space="preserve">the </w:t>
      </w:r>
      <w:r w:rsidR="00CD0D77">
        <w:rPr>
          <w:lang w:val="en"/>
        </w:rPr>
        <w:t>WI</w:t>
      </w:r>
      <w:r w:rsidR="004D1AF8">
        <w:rPr>
          <w:lang w:val="en"/>
        </w:rPr>
        <w:t>I</w:t>
      </w:r>
      <w:r w:rsidR="00CD0D77">
        <w:rPr>
          <w:lang w:val="en"/>
        </w:rPr>
        <w:t>N Act</w:t>
      </w:r>
      <w:r w:rsidR="00584651" w:rsidRPr="08F2E814">
        <w:rPr>
          <w:lang w:val="en"/>
        </w:rPr>
        <w:t xml:space="preserve">, the EPA approved the Georgia EPD’s CCR state permit program, with the exception of certain provisions for which the state of Georgia did not seek approval. </w:t>
      </w:r>
      <w:r w:rsidR="00E37EFB">
        <w:rPr>
          <w:lang w:val="en"/>
        </w:rPr>
        <w:t>These provisions</w:t>
      </w:r>
      <w:r w:rsidR="00684A0B">
        <w:rPr>
          <w:lang w:val="en"/>
        </w:rPr>
        <w:t xml:space="preserve"> do not </w:t>
      </w:r>
      <w:r w:rsidR="3A78FFE0" w:rsidRPr="775EB4E2">
        <w:rPr>
          <w:lang w:val="en"/>
        </w:rPr>
        <w:t>significantly</w:t>
      </w:r>
      <w:r w:rsidR="00684A0B">
        <w:rPr>
          <w:lang w:val="en"/>
        </w:rPr>
        <w:t xml:space="preserve"> impact the Company’s CCR strategy.</w:t>
      </w:r>
      <w:r w:rsidR="00584651" w:rsidRPr="08F2E814">
        <w:rPr>
          <w:lang w:val="en"/>
        </w:rPr>
        <w:t xml:space="preserve"> </w:t>
      </w:r>
      <w:r w:rsidR="007D7568" w:rsidRPr="08F2E814">
        <w:rPr>
          <w:lang w:val="en"/>
        </w:rPr>
        <w:t xml:space="preserve">Georgia </w:t>
      </w:r>
      <w:r w:rsidR="00DA798A" w:rsidRPr="08F2E814">
        <w:rPr>
          <w:lang w:val="en"/>
        </w:rPr>
        <w:t>is</w:t>
      </w:r>
      <w:r w:rsidR="007D7568" w:rsidRPr="08F2E814">
        <w:rPr>
          <w:lang w:val="en"/>
        </w:rPr>
        <w:t xml:space="preserve"> the second </w:t>
      </w:r>
      <w:r w:rsidR="005F72CD">
        <w:rPr>
          <w:lang w:val="en"/>
        </w:rPr>
        <w:t>of only three</w:t>
      </w:r>
      <w:r w:rsidR="007D7568" w:rsidRPr="08F2E814">
        <w:rPr>
          <w:lang w:val="en"/>
        </w:rPr>
        <w:t xml:space="preserve"> state</w:t>
      </w:r>
      <w:r w:rsidR="005F72CD">
        <w:rPr>
          <w:lang w:val="en"/>
        </w:rPr>
        <w:t>s</w:t>
      </w:r>
      <w:r w:rsidR="007D7568" w:rsidRPr="08F2E814">
        <w:rPr>
          <w:lang w:val="en"/>
        </w:rPr>
        <w:t xml:space="preserve"> in the nation to gain approval to operate a </w:t>
      </w:r>
      <w:r w:rsidR="001005B7">
        <w:rPr>
          <w:lang w:val="en"/>
        </w:rPr>
        <w:t xml:space="preserve">state </w:t>
      </w:r>
      <w:r w:rsidR="007D7568" w:rsidRPr="08F2E814">
        <w:rPr>
          <w:lang w:val="en"/>
        </w:rPr>
        <w:t>CCR Permit Program.</w:t>
      </w:r>
    </w:p>
    <w:p w14:paraId="169B7035" w14:textId="46D72BA4" w:rsidR="0039690E" w:rsidRPr="00B81982" w:rsidRDefault="0016770A" w:rsidP="002531D4">
      <w:pPr>
        <w:pStyle w:val="Heading3"/>
      </w:pPr>
      <w:bookmarkStart w:id="70" w:name="_Toc94197915"/>
      <w:r w:rsidRPr="008838FA">
        <w:rPr>
          <w:rStyle w:val="Heading3Char"/>
          <w:b/>
        </w:rPr>
        <w:t xml:space="preserve">4.3.2 </w:t>
      </w:r>
      <w:r w:rsidR="00A97C51" w:rsidRPr="008838FA">
        <w:rPr>
          <w:rStyle w:val="Heading3Char"/>
          <w:b/>
        </w:rPr>
        <w:t>Ash Pond Closure</w:t>
      </w:r>
      <w:r w:rsidR="00BD45D7">
        <w:t xml:space="preserve"> and Landfill</w:t>
      </w:r>
      <w:r w:rsidR="00A97C51" w:rsidRPr="00B81982">
        <w:t xml:space="preserve"> Compliance Strategy</w:t>
      </w:r>
      <w:bookmarkEnd w:id="70"/>
    </w:p>
    <w:p w14:paraId="419AF267" w14:textId="6D519401" w:rsidR="004C1184" w:rsidRDefault="00A92F0C" w:rsidP="008025DB">
      <w:pPr>
        <w:rPr>
          <w:rFonts w:eastAsia="Times New Roman"/>
          <w:highlight w:val="cyan"/>
        </w:rPr>
      </w:pPr>
      <w:r>
        <w:rPr>
          <w:lang w:val="en"/>
        </w:rPr>
        <w:t xml:space="preserve">Since </w:t>
      </w:r>
      <w:r w:rsidR="004F3D84">
        <w:rPr>
          <w:lang w:val="en"/>
        </w:rPr>
        <w:t xml:space="preserve">the EPA published the CCR rule in </w:t>
      </w:r>
      <w:r>
        <w:rPr>
          <w:lang w:val="en"/>
        </w:rPr>
        <w:t xml:space="preserve">2015, the Company </w:t>
      </w:r>
      <w:r w:rsidR="00082C64">
        <w:rPr>
          <w:lang w:val="en"/>
        </w:rPr>
        <w:t xml:space="preserve">has </w:t>
      </w:r>
      <w:r w:rsidR="00D776CF">
        <w:t xml:space="preserve">worked to develop and implement closure plans in </w:t>
      </w:r>
      <w:r w:rsidR="00082C64">
        <w:t>compliance</w:t>
      </w:r>
      <w:r>
        <w:t xml:space="preserve"> with the </w:t>
      </w:r>
      <w:r w:rsidR="00D776CF">
        <w:t>rule</w:t>
      </w:r>
      <w:r>
        <w:t xml:space="preserve"> </w:t>
      </w:r>
      <w:r>
        <w:rPr>
          <w:lang w:val="en"/>
        </w:rPr>
        <w:t xml:space="preserve">at </w:t>
      </w:r>
      <w:r w:rsidR="00186CB7">
        <w:rPr>
          <w:lang w:val="en"/>
        </w:rPr>
        <w:t>its</w:t>
      </w:r>
      <w:r w:rsidR="00E975EB">
        <w:rPr>
          <w:color w:val="171717" w:themeColor="background2" w:themeShade="1A"/>
        </w:rPr>
        <w:t xml:space="preserve"> 29 ash ponds and 12 </w:t>
      </w:r>
      <w:r w:rsidR="006F0868">
        <w:rPr>
          <w:color w:val="171717" w:themeColor="background2" w:themeShade="1A"/>
        </w:rPr>
        <w:t xml:space="preserve">existing </w:t>
      </w:r>
      <w:r w:rsidR="00E975EB">
        <w:rPr>
          <w:color w:val="171717" w:themeColor="background2" w:themeShade="1A"/>
        </w:rPr>
        <w:t>CCR landfills at 12 sites across the state.</w:t>
      </w:r>
      <w:r w:rsidR="00605459">
        <w:rPr>
          <w:color w:val="171717" w:themeColor="background2" w:themeShade="1A"/>
        </w:rPr>
        <w:t xml:space="preserve"> </w:t>
      </w:r>
      <w:r w:rsidR="008742EB">
        <w:rPr>
          <w:lang w:val="en"/>
        </w:rPr>
        <w:t>The</w:t>
      </w:r>
      <w:r w:rsidR="007D7568" w:rsidRPr="0084296F">
        <w:rPr>
          <w:lang w:val="en"/>
        </w:rPr>
        <w:t xml:space="preserve"> Company</w:t>
      </w:r>
      <w:r w:rsidR="00082C64">
        <w:rPr>
          <w:lang w:val="en"/>
        </w:rPr>
        <w:t xml:space="preserve"> developed a</w:t>
      </w:r>
      <w:r w:rsidR="007D7568" w:rsidRPr="0084296F">
        <w:rPr>
          <w:lang w:val="en"/>
        </w:rPr>
        <w:t xml:space="preserve"> compliance strategy </w:t>
      </w:r>
      <w:r w:rsidR="00082C64">
        <w:rPr>
          <w:lang w:val="en"/>
        </w:rPr>
        <w:t xml:space="preserve">that </w:t>
      </w:r>
      <w:r w:rsidR="007D7568" w:rsidRPr="0084296F">
        <w:rPr>
          <w:lang w:val="en"/>
        </w:rPr>
        <w:t>include</w:t>
      </w:r>
      <w:r w:rsidR="002E29BD">
        <w:rPr>
          <w:lang w:val="en"/>
        </w:rPr>
        <w:t>d</w:t>
      </w:r>
      <w:r w:rsidR="007D7568" w:rsidRPr="0084296F">
        <w:rPr>
          <w:lang w:val="en"/>
        </w:rPr>
        <w:t xml:space="preserve"> </w:t>
      </w:r>
      <w:r w:rsidR="00A727E6" w:rsidRPr="0084296F">
        <w:rPr>
          <w:lang w:val="en"/>
        </w:rPr>
        <w:t>ceas</w:t>
      </w:r>
      <w:r w:rsidR="00A727E6">
        <w:rPr>
          <w:lang w:val="en"/>
        </w:rPr>
        <w:t>ing</w:t>
      </w:r>
      <w:r w:rsidR="00A727E6" w:rsidRPr="0084296F">
        <w:rPr>
          <w:lang w:val="en"/>
        </w:rPr>
        <w:t xml:space="preserve"> placement of coal ash in ash ponds</w:t>
      </w:r>
      <w:r w:rsidR="00A727E6">
        <w:rPr>
          <w:lang w:val="en"/>
        </w:rPr>
        <w:t>, which occurred</w:t>
      </w:r>
      <w:r w:rsidR="00A727E6" w:rsidRPr="0084296F">
        <w:rPr>
          <w:lang w:val="en"/>
        </w:rPr>
        <w:t xml:space="preserve"> in 2019</w:t>
      </w:r>
      <w:r w:rsidR="00E61892">
        <w:rPr>
          <w:lang w:val="en"/>
        </w:rPr>
        <w:t>,</w:t>
      </w:r>
      <w:r w:rsidR="00A727E6">
        <w:rPr>
          <w:lang w:val="en"/>
        </w:rPr>
        <w:t xml:space="preserve"> and </w:t>
      </w:r>
      <w:r w:rsidR="002E29BD">
        <w:rPr>
          <w:lang w:val="en"/>
        </w:rPr>
        <w:t>putting necessary actions in motion to meet the</w:t>
      </w:r>
      <w:r w:rsidR="001A198C">
        <w:rPr>
          <w:lang w:val="en"/>
        </w:rPr>
        <w:t xml:space="preserve"> rule’s</w:t>
      </w:r>
      <w:r w:rsidR="002E29BD">
        <w:rPr>
          <w:lang w:val="en"/>
        </w:rPr>
        <w:t xml:space="preserve"> </w:t>
      </w:r>
      <w:r w:rsidR="002E29BD" w:rsidRPr="00D666D9">
        <w:rPr>
          <w:lang w:val="en"/>
        </w:rPr>
        <w:t xml:space="preserve">strict deadlines </w:t>
      </w:r>
      <w:r w:rsidR="001A198C">
        <w:rPr>
          <w:lang w:val="en"/>
        </w:rPr>
        <w:t xml:space="preserve">and requirements </w:t>
      </w:r>
      <w:r w:rsidR="002E29BD">
        <w:rPr>
          <w:lang w:val="en"/>
        </w:rPr>
        <w:t>to close ash ponds</w:t>
      </w:r>
      <w:r w:rsidR="007D7568" w:rsidRPr="0084296F">
        <w:rPr>
          <w:lang w:val="en"/>
        </w:rPr>
        <w:t>.</w:t>
      </w:r>
      <w:r w:rsidR="0055590B" w:rsidDel="00F63A4D">
        <w:rPr>
          <w:lang w:val="en"/>
        </w:rPr>
        <w:t xml:space="preserve"> </w:t>
      </w:r>
      <w:r w:rsidR="00D666D9" w:rsidRPr="00D666D9">
        <w:rPr>
          <w:lang w:val="en"/>
        </w:rPr>
        <w:t xml:space="preserve">The Company’s plans </w:t>
      </w:r>
      <w:r w:rsidR="001A198C">
        <w:rPr>
          <w:lang w:val="en"/>
        </w:rPr>
        <w:t>are</w:t>
      </w:r>
      <w:r w:rsidR="00D666D9" w:rsidRPr="00D666D9">
        <w:rPr>
          <w:lang w:val="en"/>
        </w:rPr>
        <w:t xml:space="preserve"> based on</w:t>
      </w:r>
      <w:r w:rsidR="00233C86">
        <w:rPr>
          <w:lang w:val="en"/>
        </w:rPr>
        <w:t xml:space="preserve"> </w:t>
      </w:r>
      <w:r w:rsidR="00A26814">
        <w:rPr>
          <w:lang w:val="en"/>
        </w:rPr>
        <w:t>long-</w:t>
      </w:r>
      <w:r w:rsidR="0036363F">
        <w:t xml:space="preserve">standing rule interpretation </w:t>
      </w:r>
      <w:r w:rsidR="00002788">
        <w:t xml:space="preserve">held </w:t>
      </w:r>
      <w:r w:rsidR="00B455D5">
        <w:t xml:space="preserve">by both industry and </w:t>
      </w:r>
      <w:r w:rsidR="00C055E5">
        <w:t xml:space="preserve">environmental </w:t>
      </w:r>
      <w:r w:rsidR="00F14CBC">
        <w:t>regulator</w:t>
      </w:r>
      <w:r w:rsidR="00CB34E1">
        <w:t>s</w:t>
      </w:r>
      <w:r w:rsidR="00017C4E">
        <w:t xml:space="preserve">. </w:t>
      </w:r>
      <w:r w:rsidR="00B91066">
        <w:t xml:space="preserve">In addition, the </w:t>
      </w:r>
      <w:r w:rsidR="00473E66">
        <w:t>Company u</w:t>
      </w:r>
      <w:r w:rsidR="0071608D">
        <w:t>sed</w:t>
      </w:r>
      <w:r w:rsidR="0036363F">
        <w:t xml:space="preserve"> industry</w:t>
      </w:r>
      <w:r w:rsidR="00233C86">
        <w:t>-</w:t>
      </w:r>
      <w:r w:rsidR="0036363F">
        <w:t xml:space="preserve"> and agency</w:t>
      </w:r>
      <w:r w:rsidR="00233C86">
        <w:t>-</w:t>
      </w:r>
      <w:r w:rsidR="0036363F">
        <w:t xml:space="preserve"> accepted engineering practices utilized for closure designs </w:t>
      </w:r>
      <w:r w:rsidR="00595FD9">
        <w:t>that are</w:t>
      </w:r>
      <w:r w:rsidR="0036363F">
        <w:t xml:space="preserve"> consistent </w:t>
      </w:r>
      <w:r w:rsidR="006A7077">
        <w:t xml:space="preserve">with </w:t>
      </w:r>
      <w:r w:rsidR="0036363F">
        <w:t>solid waste regulatory requirements</w:t>
      </w:r>
      <w:r w:rsidR="00233C86">
        <w:t xml:space="preserve">, on which the CCR rule </w:t>
      </w:r>
      <w:r w:rsidR="0059033E">
        <w:t>is</w:t>
      </w:r>
      <w:r w:rsidR="00233C86">
        <w:t xml:space="preserve"> based</w:t>
      </w:r>
      <w:r w:rsidR="0036363F">
        <w:t xml:space="preserve">. </w:t>
      </w:r>
      <w:r w:rsidR="00D666D9" w:rsidRPr="00D666D9">
        <w:rPr>
          <w:lang w:val="en"/>
        </w:rPr>
        <w:t xml:space="preserve">At all times </w:t>
      </w:r>
      <w:r w:rsidR="00D230E6">
        <w:rPr>
          <w:lang w:val="en"/>
        </w:rPr>
        <w:t>these plans have been supported by</w:t>
      </w:r>
      <w:r w:rsidR="00D666D9" w:rsidRPr="00D666D9">
        <w:rPr>
          <w:lang w:val="en"/>
        </w:rPr>
        <w:t xml:space="preserve"> sound engineering designs, </w:t>
      </w:r>
      <w:r w:rsidR="00C02A00">
        <w:rPr>
          <w:lang w:val="en"/>
        </w:rPr>
        <w:t xml:space="preserve">and </w:t>
      </w:r>
      <w:r w:rsidR="00D666D9" w:rsidRPr="00D666D9">
        <w:rPr>
          <w:lang w:val="en"/>
        </w:rPr>
        <w:t>certified by Professional Engineers</w:t>
      </w:r>
      <w:r w:rsidR="00985300">
        <w:rPr>
          <w:lang w:val="en"/>
        </w:rPr>
        <w:t xml:space="preserve"> </w:t>
      </w:r>
      <w:r w:rsidR="00985300">
        <w:t>with expertise in solid waste permitting and design</w:t>
      </w:r>
      <w:r w:rsidR="00853C73">
        <w:rPr>
          <w:lang w:val="en"/>
        </w:rPr>
        <w:t>.</w:t>
      </w:r>
      <w:r w:rsidR="00A20793">
        <w:rPr>
          <w:lang w:val="en"/>
        </w:rPr>
        <w:t xml:space="preserve"> </w:t>
      </w:r>
      <w:r w:rsidR="007D7224" w:rsidRPr="001712B8">
        <w:rPr>
          <w:rFonts w:cs="Arial"/>
        </w:rPr>
        <w:t>As discussed in Section 3.4.1</w:t>
      </w:r>
      <w:r w:rsidR="009E7592" w:rsidRPr="009E7592">
        <w:rPr>
          <w:rFonts w:cs="Arial"/>
        </w:rPr>
        <w:t>7</w:t>
      </w:r>
      <w:r w:rsidR="00636391">
        <w:rPr>
          <w:rFonts w:cs="Arial"/>
        </w:rPr>
        <w:t xml:space="preserve">, </w:t>
      </w:r>
      <w:r w:rsidR="00636391">
        <w:rPr>
          <w:lang w:val="en"/>
        </w:rPr>
        <w:t>the</w:t>
      </w:r>
      <w:r w:rsidR="00CB74AE">
        <w:rPr>
          <w:lang w:val="en"/>
        </w:rPr>
        <w:t xml:space="preserve"> EPA</w:t>
      </w:r>
      <w:r w:rsidR="009E7592">
        <w:rPr>
          <w:lang w:val="en"/>
        </w:rPr>
        <w:t xml:space="preserve"> </w:t>
      </w:r>
      <w:r w:rsidR="00CB74AE">
        <w:rPr>
          <w:lang w:val="en"/>
        </w:rPr>
        <w:t xml:space="preserve">has </w:t>
      </w:r>
      <w:r w:rsidR="00324007">
        <w:rPr>
          <w:lang w:val="en"/>
        </w:rPr>
        <w:t xml:space="preserve">recently </w:t>
      </w:r>
      <w:r w:rsidR="000F148D">
        <w:rPr>
          <w:lang w:val="en"/>
        </w:rPr>
        <w:t xml:space="preserve">announced its </w:t>
      </w:r>
      <w:r w:rsidR="00CB74AE">
        <w:rPr>
          <w:lang w:val="en"/>
        </w:rPr>
        <w:t xml:space="preserve">new positions </w:t>
      </w:r>
      <w:r w:rsidR="0073765F">
        <w:rPr>
          <w:lang w:val="en"/>
        </w:rPr>
        <w:t xml:space="preserve">on the </w:t>
      </w:r>
      <w:r w:rsidR="0021100E">
        <w:rPr>
          <w:lang w:val="en"/>
        </w:rPr>
        <w:t xml:space="preserve">nearly </w:t>
      </w:r>
      <w:r w:rsidR="002F329B">
        <w:rPr>
          <w:lang w:val="en"/>
        </w:rPr>
        <w:t>seven-year-old</w:t>
      </w:r>
      <w:r w:rsidR="00CC2B4C">
        <w:rPr>
          <w:lang w:val="en"/>
        </w:rPr>
        <w:t xml:space="preserve"> rule, </w:t>
      </w:r>
      <w:r w:rsidR="17A97961" w:rsidRPr="550F0132">
        <w:rPr>
          <w:lang w:val="en"/>
        </w:rPr>
        <w:t xml:space="preserve">and </w:t>
      </w:r>
      <w:r w:rsidR="00CC2B4C">
        <w:rPr>
          <w:lang w:val="en"/>
        </w:rPr>
        <w:t xml:space="preserve">the </w:t>
      </w:r>
      <w:r w:rsidR="00A56593">
        <w:rPr>
          <w:lang w:val="en"/>
        </w:rPr>
        <w:t>C</w:t>
      </w:r>
      <w:r w:rsidR="00CC2B4C">
        <w:rPr>
          <w:lang w:val="en"/>
        </w:rPr>
        <w:t xml:space="preserve">ompany remains focused on compliance and will continue to work with the Georgia EPD to ensure </w:t>
      </w:r>
      <w:r w:rsidR="00D5798D" w:rsidRPr="001712B8">
        <w:rPr>
          <w:rFonts w:eastAsia="Times New Roman"/>
        </w:rPr>
        <w:t>safe and effective clos</w:t>
      </w:r>
      <w:r w:rsidR="00A56593">
        <w:rPr>
          <w:rFonts w:eastAsia="Times New Roman"/>
        </w:rPr>
        <w:t>ure</w:t>
      </w:r>
      <w:r w:rsidR="00D5798D" w:rsidRPr="001712B8">
        <w:rPr>
          <w:rFonts w:eastAsia="Times New Roman"/>
        </w:rPr>
        <w:t xml:space="preserve"> ash ponds</w:t>
      </w:r>
      <w:r w:rsidR="00E36F64" w:rsidRPr="00A70F78">
        <w:rPr>
          <w:rFonts w:eastAsia="Times New Roman"/>
        </w:rPr>
        <w:t>.</w:t>
      </w:r>
    </w:p>
    <w:p w14:paraId="0307B453" w14:textId="46DD816D" w:rsidR="00A738A0" w:rsidRDefault="00A738A0" w:rsidP="008025DB">
      <w:pPr>
        <w:rPr>
          <w:rFonts w:eastAsia="Calibri"/>
          <w:color w:val="000000" w:themeColor="text1"/>
        </w:rPr>
      </w:pPr>
      <w:r>
        <w:rPr>
          <w:rFonts w:eastAsia="Calibri"/>
          <w:color w:val="000000" w:themeColor="text1"/>
        </w:rPr>
        <w:t xml:space="preserve">The Company has made significant progress with ash pond closures.  </w:t>
      </w:r>
      <w:r w:rsidR="77C8D3C4" w:rsidRPr="198D09A5">
        <w:rPr>
          <w:rFonts w:eastAsia="Calibri"/>
          <w:color w:val="000000" w:themeColor="text1"/>
        </w:rPr>
        <w:t>EPA</w:t>
      </w:r>
      <w:r w:rsidR="00AC544C">
        <w:rPr>
          <w:rFonts w:eastAsia="Calibri"/>
          <w:color w:val="000000" w:themeColor="text1"/>
        </w:rPr>
        <w:t>’s rule</w:t>
      </w:r>
      <w:r w:rsidR="00CB65C4">
        <w:rPr>
          <w:rFonts w:eastAsia="Calibri"/>
          <w:color w:val="000000" w:themeColor="text1"/>
        </w:rPr>
        <w:t xml:space="preserve"> </w:t>
      </w:r>
      <w:r w:rsidR="00BC1D31">
        <w:rPr>
          <w:rFonts w:eastAsia="Calibri"/>
          <w:color w:val="000000" w:themeColor="text1"/>
        </w:rPr>
        <w:t>create</w:t>
      </w:r>
      <w:r w:rsidR="00AC544C">
        <w:rPr>
          <w:rFonts w:eastAsia="Calibri"/>
          <w:color w:val="000000" w:themeColor="text1"/>
        </w:rPr>
        <w:t>d</w:t>
      </w:r>
      <w:r w:rsidR="00BC1D31">
        <w:rPr>
          <w:rFonts w:eastAsia="Calibri"/>
          <w:color w:val="000000" w:themeColor="text1"/>
        </w:rPr>
        <w:t xml:space="preserve"> </w:t>
      </w:r>
      <w:r w:rsidR="007A60C5">
        <w:rPr>
          <w:rFonts w:eastAsia="Calibri"/>
          <w:color w:val="000000" w:themeColor="text1"/>
        </w:rPr>
        <w:t>regulatory</w:t>
      </w:r>
      <w:r w:rsidR="00BC1D31">
        <w:rPr>
          <w:rFonts w:eastAsia="Calibri"/>
          <w:color w:val="000000" w:themeColor="text1"/>
        </w:rPr>
        <w:t xml:space="preserve"> incentive</w:t>
      </w:r>
      <w:r w:rsidR="007A60C5">
        <w:rPr>
          <w:rFonts w:eastAsia="Calibri"/>
          <w:color w:val="000000" w:themeColor="text1"/>
        </w:rPr>
        <w:t>s</w:t>
      </w:r>
      <w:r w:rsidR="00C74E73">
        <w:rPr>
          <w:rFonts w:eastAsia="Calibri"/>
          <w:color w:val="000000" w:themeColor="text1"/>
        </w:rPr>
        <w:t>,</w:t>
      </w:r>
      <w:r w:rsidR="00BC1D31">
        <w:rPr>
          <w:rFonts w:eastAsia="Calibri"/>
          <w:color w:val="000000" w:themeColor="text1"/>
        </w:rPr>
        <w:t xml:space="preserve"> </w:t>
      </w:r>
      <w:r w:rsidR="77C8D3C4" w:rsidRPr="198D09A5">
        <w:rPr>
          <w:rFonts w:eastAsia="Calibri"/>
          <w:color w:val="000000" w:themeColor="text1"/>
        </w:rPr>
        <w:t xml:space="preserve">encouraged </w:t>
      </w:r>
      <w:r w:rsidR="00B20E2B">
        <w:rPr>
          <w:rFonts w:eastAsia="Calibri"/>
          <w:color w:val="000000" w:themeColor="text1"/>
        </w:rPr>
        <w:t>expediting</w:t>
      </w:r>
      <w:r>
        <w:rPr>
          <w:rFonts w:eastAsia="Calibri"/>
          <w:color w:val="000000" w:themeColor="text1"/>
        </w:rPr>
        <w:t xml:space="preserve"> ash pond closures</w:t>
      </w:r>
      <w:r w:rsidR="00C74E73">
        <w:rPr>
          <w:rFonts w:eastAsia="Calibri"/>
          <w:color w:val="000000" w:themeColor="text1"/>
        </w:rPr>
        <w:t>,</w:t>
      </w:r>
      <w:r w:rsidR="00A60817">
        <w:rPr>
          <w:rFonts w:eastAsia="Calibri"/>
          <w:color w:val="000000" w:themeColor="text1"/>
        </w:rPr>
        <w:t xml:space="preserve"> and established stringent deadlines for </w:t>
      </w:r>
      <w:r w:rsidR="006E6FDE">
        <w:rPr>
          <w:rFonts w:eastAsia="Calibri"/>
          <w:color w:val="000000" w:themeColor="text1"/>
        </w:rPr>
        <w:t>CCR</w:t>
      </w:r>
      <w:r w:rsidR="000C718E">
        <w:rPr>
          <w:rFonts w:eastAsia="Calibri"/>
          <w:color w:val="000000" w:themeColor="text1"/>
        </w:rPr>
        <w:t xml:space="preserve"> compliance</w:t>
      </w:r>
      <w:r w:rsidR="00BF2997">
        <w:rPr>
          <w:rFonts w:eastAsia="Calibri"/>
          <w:color w:val="000000" w:themeColor="text1"/>
        </w:rPr>
        <w:t>.</w:t>
      </w:r>
      <w:r w:rsidR="0024340E" w:rsidDel="00CD2073">
        <w:rPr>
          <w:rFonts w:eastAsia="Calibri"/>
          <w:color w:val="000000" w:themeColor="text1"/>
        </w:rPr>
        <w:t xml:space="preserve"> </w:t>
      </w:r>
      <w:r>
        <w:rPr>
          <w:rFonts w:eastAsia="Calibri"/>
          <w:color w:val="000000" w:themeColor="text1"/>
        </w:rPr>
        <w:t xml:space="preserve">Georgia Power reacted by progressing with closure of certain ash ponds </w:t>
      </w:r>
      <w:r w:rsidR="00085B61">
        <w:rPr>
          <w:rFonts w:eastAsia="Calibri"/>
          <w:color w:val="000000" w:themeColor="text1"/>
        </w:rPr>
        <w:t>at Plant</w:t>
      </w:r>
      <w:r w:rsidR="00461FC0">
        <w:rPr>
          <w:rFonts w:eastAsia="Calibri"/>
          <w:color w:val="000000" w:themeColor="text1"/>
        </w:rPr>
        <w:t>s Hammond, McDonough</w:t>
      </w:r>
      <w:r w:rsidR="0072741A">
        <w:rPr>
          <w:rFonts w:eastAsia="Calibri"/>
          <w:color w:val="000000" w:themeColor="text1"/>
        </w:rPr>
        <w:t xml:space="preserve">, McManus and Yates, </w:t>
      </w:r>
      <w:r>
        <w:rPr>
          <w:rFonts w:eastAsia="Calibri"/>
          <w:color w:val="000000" w:themeColor="text1"/>
        </w:rPr>
        <w:t xml:space="preserve">that were no longer needed for operations.  Construction for many of these projects </w:t>
      </w:r>
      <w:r w:rsidR="22B9D83F" w:rsidRPr="70BAF7B0">
        <w:rPr>
          <w:rFonts w:eastAsia="Calibri"/>
          <w:color w:val="000000" w:themeColor="text1"/>
        </w:rPr>
        <w:t xml:space="preserve">is </w:t>
      </w:r>
      <w:r>
        <w:rPr>
          <w:rFonts w:eastAsia="Calibri"/>
          <w:color w:val="000000" w:themeColor="text1"/>
        </w:rPr>
        <w:t xml:space="preserve">complete or in the final stages. </w:t>
      </w:r>
    </w:p>
    <w:p w14:paraId="060B8E64" w14:textId="3FBE905D" w:rsidR="008A4AF7" w:rsidRPr="0084296F" w:rsidRDefault="008A4AF7" w:rsidP="008025DB">
      <w:pPr>
        <w:rPr>
          <w:color w:val="171717"/>
        </w:rPr>
      </w:pPr>
      <w:r w:rsidRPr="7A0C2078">
        <w:rPr>
          <w:color w:val="171717" w:themeColor="background2" w:themeShade="1A"/>
        </w:rPr>
        <w:t xml:space="preserve">In November 2018, Georgia Power completed the submission of 29 CCR permit applications as required by the Georgia CCR </w:t>
      </w:r>
      <w:r w:rsidR="002B77BD" w:rsidRPr="7A0C2078">
        <w:rPr>
          <w:color w:val="171717" w:themeColor="background2" w:themeShade="1A"/>
        </w:rPr>
        <w:t>R</w:t>
      </w:r>
      <w:r w:rsidRPr="7A0C2078">
        <w:rPr>
          <w:color w:val="171717" w:themeColor="background2" w:themeShade="1A"/>
        </w:rPr>
        <w:t>ule for ash ponds and CCR landfills. These permit applications outlined significant and detailed engineering information about Georgia Power's ash pond closure plans and landfill operations plans. The permit application process was developed and completed with significant internal resources supported by multiple third-party engineering firms</w:t>
      </w:r>
      <w:r w:rsidR="00FF4ACC" w:rsidRPr="7A0C2078">
        <w:rPr>
          <w:color w:val="171717" w:themeColor="background2" w:themeShade="1A"/>
        </w:rPr>
        <w:t xml:space="preserve"> and licensed professional engineers and geologists</w:t>
      </w:r>
      <w:r w:rsidRPr="7A0C2078">
        <w:rPr>
          <w:color w:val="171717" w:themeColor="background2" w:themeShade="1A"/>
        </w:rPr>
        <w:t>.</w:t>
      </w:r>
      <w:r w:rsidR="00C43B82">
        <w:rPr>
          <w:color w:val="171717" w:themeColor="background2" w:themeShade="1A"/>
        </w:rPr>
        <w:t xml:space="preserve"> </w:t>
      </w:r>
      <w:r w:rsidR="00B1616E">
        <w:rPr>
          <w:color w:val="171717" w:themeColor="background2" w:themeShade="1A"/>
        </w:rPr>
        <w:t xml:space="preserve">In order to comply with </w:t>
      </w:r>
      <w:r w:rsidR="007929E9">
        <w:rPr>
          <w:color w:val="171717" w:themeColor="background2" w:themeShade="1A"/>
        </w:rPr>
        <w:t>regulatory requirements, t</w:t>
      </w:r>
      <w:r w:rsidR="00D57A50">
        <w:rPr>
          <w:color w:val="171717" w:themeColor="background2" w:themeShade="1A"/>
        </w:rPr>
        <w:t xml:space="preserve">he Company’s ash pond closure plans </w:t>
      </w:r>
      <w:r w:rsidR="00C271A1">
        <w:rPr>
          <w:color w:val="171717" w:themeColor="background2" w:themeShade="1A"/>
        </w:rPr>
        <w:t xml:space="preserve">and permit applications take into account </w:t>
      </w:r>
      <w:r w:rsidR="00F83925">
        <w:rPr>
          <w:color w:val="171717" w:themeColor="background2" w:themeShade="1A"/>
        </w:rPr>
        <w:t xml:space="preserve">detailed criteria outlined by the federal and state CCR rules </w:t>
      </w:r>
      <w:r w:rsidR="00276A70">
        <w:rPr>
          <w:color w:val="171717" w:themeColor="background2" w:themeShade="1A"/>
        </w:rPr>
        <w:t xml:space="preserve">as well as </w:t>
      </w:r>
      <w:r w:rsidR="3D6D4D6D" w:rsidRPr="6BABA098">
        <w:rPr>
          <w:rFonts w:eastAsia="Arial" w:cs="Arial"/>
          <w:color w:val="000000" w:themeColor="text1"/>
          <w:lang w:val="en"/>
        </w:rPr>
        <w:t>long-</w:t>
      </w:r>
      <w:r w:rsidR="3D6D4D6D" w:rsidRPr="6BABA098">
        <w:rPr>
          <w:rFonts w:eastAsia="Arial" w:cs="Arial"/>
          <w:color w:val="000000" w:themeColor="text1"/>
        </w:rPr>
        <w:t xml:space="preserve">standing rule interpretation of solid waste facilities under RCRA by environmental </w:t>
      </w:r>
      <w:r w:rsidR="6FEB7D0A" w:rsidRPr="6BABA098">
        <w:rPr>
          <w:rFonts w:eastAsia="Arial" w:cs="Arial"/>
          <w:color w:val="000000" w:themeColor="text1"/>
        </w:rPr>
        <w:t>regulators</w:t>
      </w:r>
      <w:r w:rsidR="0A4067DA" w:rsidRPr="6BABA098">
        <w:rPr>
          <w:color w:val="171717" w:themeColor="background2" w:themeShade="1A"/>
        </w:rPr>
        <w:t xml:space="preserve">. </w:t>
      </w:r>
    </w:p>
    <w:p w14:paraId="5CB9C1C1" w14:textId="5317C48E" w:rsidR="00E35C33" w:rsidRPr="0050262F" w:rsidRDefault="00893979" w:rsidP="008025DB">
      <w:pPr>
        <w:rPr>
          <w:color w:val="171717" w:themeColor="background2" w:themeShade="1A"/>
        </w:rPr>
      </w:pPr>
      <w:r w:rsidRPr="08F2E814">
        <w:rPr>
          <w:color w:val="171717" w:themeColor="background2" w:themeShade="1A"/>
        </w:rPr>
        <w:t xml:space="preserve">As </w:t>
      </w:r>
      <w:r w:rsidR="006E0334" w:rsidRPr="08F2E814">
        <w:rPr>
          <w:color w:val="171717" w:themeColor="background2" w:themeShade="1A"/>
        </w:rPr>
        <w:t>part</w:t>
      </w:r>
      <w:r w:rsidRPr="08F2E814">
        <w:rPr>
          <w:color w:val="171717" w:themeColor="background2" w:themeShade="1A"/>
        </w:rPr>
        <w:t xml:space="preserve"> of the </w:t>
      </w:r>
      <w:r w:rsidR="002B77BD" w:rsidRPr="08F2E814">
        <w:rPr>
          <w:color w:val="171717" w:themeColor="background2" w:themeShade="1A"/>
        </w:rPr>
        <w:t>permitting process</w:t>
      </w:r>
      <w:r w:rsidRPr="08F2E814">
        <w:rPr>
          <w:color w:val="171717" w:themeColor="background2" w:themeShade="1A"/>
        </w:rPr>
        <w:t xml:space="preserve">, </w:t>
      </w:r>
      <w:r w:rsidR="00C203FB">
        <w:rPr>
          <w:color w:val="171717" w:themeColor="background2" w:themeShade="1A"/>
        </w:rPr>
        <w:t>Georgia</w:t>
      </w:r>
      <w:r w:rsidRPr="08F2E814">
        <w:rPr>
          <w:color w:val="171717" w:themeColor="background2" w:themeShade="1A"/>
        </w:rPr>
        <w:t xml:space="preserve"> EPD</w:t>
      </w:r>
      <w:r w:rsidR="002B77BD" w:rsidRPr="08F2E814">
        <w:rPr>
          <w:color w:val="171717" w:themeColor="background2" w:themeShade="1A"/>
        </w:rPr>
        <w:t xml:space="preserve"> review</w:t>
      </w:r>
      <w:r w:rsidRPr="08F2E814">
        <w:rPr>
          <w:color w:val="171717" w:themeColor="background2" w:themeShade="1A"/>
        </w:rPr>
        <w:t>s</w:t>
      </w:r>
      <w:r w:rsidR="002B77BD" w:rsidRPr="08F2E814">
        <w:rPr>
          <w:color w:val="171717" w:themeColor="background2" w:themeShade="1A"/>
        </w:rPr>
        <w:t xml:space="preserve"> and </w:t>
      </w:r>
      <w:r w:rsidR="00FF4215">
        <w:rPr>
          <w:color w:val="171717" w:themeColor="background2" w:themeShade="1A"/>
        </w:rPr>
        <w:t xml:space="preserve">provides </w:t>
      </w:r>
      <w:r w:rsidR="002B77BD" w:rsidRPr="08F2E814">
        <w:rPr>
          <w:color w:val="171717" w:themeColor="background2" w:themeShade="1A"/>
        </w:rPr>
        <w:t>comment</w:t>
      </w:r>
      <w:r w:rsidRPr="08F2E814">
        <w:rPr>
          <w:color w:val="171717" w:themeColor="background2" w:themeShade="1A"/>
        </w:rPr>
        <w:t>s</w:t>
      </w:r>
      <w:r w:rsidR="002B77BD" w:rsidRPr="08F2E814">
        <w:rPr>
          <w:color w:val="171717" w:themeColor="background2" w:themeShade="1A"/>
        </w:rPr>
        <w:t xml:space="preserve"> on the </w:t>
      </w:r>
      <w:r w:rsidR="00617790" w:rsidRPr="08F2E814">
        <w:rPr>
          <w:color w:val="171717" w:themeColor="background2" w:themeShade="1A"/>
        </w:rPr>
        <w:t>site-specific</w:t>
      </w:r>
      <w:r w:rsidR="002B77BD" w:rsidRPr="08F2E814">
        <w:rPr>
          <w:color w:val="171717" w:themeColor="background2" w:themeShade="1A"/>
        </w:rPr>
        <w:t xml:space="preserve"> details of the individual permit</w:t>
      </w:r>
      <w:r w:rsidR="29DD5A14" w:rsidRPr="08F2E814">
        <w:rPr>
          <w:color w:val="171717" w:themeColor="background2" w:themeShade="1A"/>
        </w:rPr>
        <w:t xml:space="preserve"> application</w:t>
      </w:r>
      <w:r w:rsidR="002B77BD" w:rsidRPr="08F2E814">
        <w:rPr>
          <w:color w:val="171717" w:themeColor="background2" w:themeShade="1A"/>
        </w:rPr>
        <w:t>s</w:t>
      </w:r>
      <w:r w:rsidR="006C7A9B">
        <w:rPr>
          <w:color w:val="171717" w:themeColor="background2" w:themeShade="1A"/>
        </w:rPr>
        <w:t>.</w:t>
      </w:r>
      <w:r w:rsidR="002B77BD" w:rsidRPr="08F2E814">
        <w:rPr>
          <w:color w:val="171717" w:themeColor="background2" w:themeShade="1A"/>
        </w:rPr>
        <w:t xml:space="preserve"> Georgia Power </w:t>
      </w:r>
      <w:r w:rsidR="00F40E00">
        <w:rPr>
          <w:color w:val="171717" w:themeColor="background2" w:themeShade="1A"/>
        </w:rPr>
        <w:t>reviews</w:t>
      </w:r>
      <w:r w:rsidR="00B964A8">
        <w:rPr>
          <w:color w:val="171717" w:themeColor="background2" w:themeShade="1A"/>
        </w:rPr>
        <w:t xml:space="preserve"> comments </w:t>
      </w:r>
      <w:r w:rsidR="00C05E11">
        <w:rPr>
          <w:color w:val="171717" w:themeColor="background2" w:themeShade="1A"/>
        </w:rPr>
        <w:t xml:space="preserve">from </w:t>
      </w:r>
      <w:r w:rsidR="00CB6BA6">
        <w:rPr>
          <w:color w:val="171717" w:themeColor="background2" w:themeShade="1A"/>
        </w:rPr>
        <w:t xml:space="preserve">the </w:t>
      </w:r>
      <w:r w:rsidR="00C203FB">
        <w:rPr>
          <w:color w:val="171717" w:themeColor="background2" w:themeShade="1A"/>
        </w:rPr>
        <w:t>Georgia</w:t>
      </w:r>
      <w:r w:rsidR="00C203FB" w:rsidRPr="08F2E814">
        <w:rPr>
          <w:color w:val="171717" w:themeColor="background2" w:themeShade="1A"/>
        </w:rPr>
        <w:t xml:space="preserve"> </w:t>
      </w:r>
      <w:r w:rsidR="00CB6BA6">
        <w:rPr>
          <w:color w:val="171717" w:themeColor="background2" w:themeShade="1A"/>
        </w:rPr>
        <w:t>EPD,</w:t>
      </w:r>
      <w:r w:rsidR="007750E4">
        <w:rPr>
          <w:color w:val="171717" w:themeColor="background2" w:themeShade="1A"/>
        </w:rPr>
        <w:t xml:space="preserve"> </w:t>
      </w:r>
      <w:r w:rsidR="00B2792B">
        <w:rPr>
          <w:color w:val="171717" w:themeColor="background2" w:themeShade="1A"/>
        </w:rPr>
        <w:t>updates documents, engineering designs, and any other actions necessary to re</w:t>
      </w:r>
      <w:r w:rsidR="000964BD">
        <w:rPr>
          <w:color w:val="171717" w:themeColor="background2" w:themeShade="1A"/>
        </w:rPr>
        <w:t xml:space="preserve">spond to </w:t>
      </w:r>
      <w:r w:rsidR="00C05E11">
        <w:rPr>
          <w:color w:val="171717" w:themeColor="background2" w:themeShade="1A"/>
        </w:rPr>
        <w:t xml:space="preserve">Georgia </w:t>
      </w:r>
      <w:r w:rsidR="000964BD">
        <w:rPr>
          <w:color w:val="171717" w:themeColor="background2" w:themeShade="1A"/>
        </w:rPr>
        <w:t>EPD’s comments</w:t>
      </w:r>
      <w:r w:rsidR="00871ECA">
        <w:rPr>
          <w:color w:val="171717" w:themeColor="background2" w:themeShade="1A"/>
        </w:rPr>
        <w:t>.</w:t>
      </w:r>
      <w:r w:rsidR="002B77BD" w:rsidRPr="08F2E814" w:rsidDel="00871ECA">
        <w:rPr>
          <w:color w:val="171717" w:themeColor="background2" w:themeShade="1A"/>
        </w:rPr>
        <w:t xml:space="preserve"> </w:t>
      </w:r>
      <w:r w:rsidR="009C503A">
        <w:rPr>
          <w:rStyle w:val="normaltextrun"/>
          <w:rFonts w:cs="Arial"/>
          <w:color w:val="000000"/>
          <w:shd w:val="clear" w:color="auto" w:fill="FFFFFF"/>
        </w:rPr>
        <w:t>T</w:t>
      </w:r>
      <w:r w:rsidR="009179BE">
        <w:rPr>
          <w:rStyle w:val="normaltextrun"/>
          <w:rFonts w:cs="Arial"/>
          <w:color w:val="000000"/>
          <w:shd w:val="clear" w:color="auto" w:fill="FFFFFF"/>
        </w:rPr>
        <w:t>hrough this process</w:t>
      </w:r>
      <w:r w:rsidR="00750CCD">
        <w:rPr>
          <w:rStyle w:val="normaltextrun"/>
          <w:rFonts w:cs="Arial"/>
          <w:color w:val="000000"/>
          <w:shd w:val="clear" w:color="auto" w:fill="FFFFFF"/>
        </w:rPr>
        <w:t xml:space="preserve"> t</w:t>
      </w:r>
      <w:r w:rsidR="009C503A">
        <w:rPr>
          <w:rStyle w:val="normaltextrun"/>
          <w:rFonts w:cs="Arial"/>
          <w:color w:val="000000"/>
          <w:shd w:val="clear" w:color="auto" w:fill="FFFFFF"/>
        </w:rPr>
        <w:t>o date, final permit</w:t>
      </w:r>
      <w:r w:rsidR="00207901">
        <w:rPr>
          <w:rStyle w:val="normaltextrun"/>
          <w:rFonts w:cs="Arial"/>
          <w:color w:val="000000"/>
          <w:shd w:val="clear" w:color="auto" w:fill="FFFFFF"/>
        </w:rPr>
        <w:t>s</w:t>
      </w:r>
      <w:r w:rsidR="009C503A">
        <w:rPr>
          <w:rStyle w:val="normaltextrun"/>
          <w:rFonts w:cs="Arial"/>
          <w:color w:val="000000"/>
          <w:shd w:val="clear" w:color="auto" w:fill="FFFFFF"/>
        </w:rPr>
        <w:t xml:space="preserve"> for Plant Hammond AP-1, Hammond AP-2, Hammond AP-4, Plant McIntosh AP-1</w:t>
      </w:r>
      <w:r w:rsidR="00191451">
        <w:rPr>
          <w:rStyle w:val="normaltextrun"/>
          <w:rFonts w:cs="Arial"/>
          <w:color w:val="000000"/>
          <w:shd w:val="clear" w:color="auto" w:fill="FFFFFF"/>
        </w:rPr>
        <w:t>,</w:t>
      </w:r>
      <w:r w:rsidR="009C503A">
        <w:rPr>
          <w:rStyle w:val="normaltextrun"/>
          <w:rFonts w:cs="Arial"/>
          <w:color w:val="000000"/>
          <w:shd w:val="clear" w:color="auto" w:fill="FFFFFF"/>
        </w:rPr>
        <w:t xml:space="preserve"> </w:t>
      </w:r>
      <w:r w:rsidR="009C503A" w:rsidRPr="005C05E9">
        <w:rPr>
          <w:rStyle w:val="normaltextrun"/>
          <w:rFonts w:cs="Arial"/>
          <w:color w:val="000000"/>
          <w:shd w:val="clear" w:color="auto" w:fill="FFFFFF"/>
        </w:rPr>
        <w:t>Plant McManus AP-1</w:t>
      </w:r>
      <w:r w:rsidR="0064475A" w:rsidRPr="005C05E9">
        <w:rPr>
          <w:rStyle w:val="normaltextrun"/>
          <w:rFonts w:cs="Arial"/>
          <w:color w:val="000000"/>
          <w:shd w:val="clear" w:color="auto" w:fill="FFFFFF"/>
        </w:rPr>
        <w:t xml:space="preserve">, Plant Yates AP-1 and </w:t>
      </w:r>
      <w:r w:rsidR="00B66F02" w:rsidRPr="005C05E9">
        <w:rPr>
          <w:rStyle w:val="normaltextrun"/>
          <w:rFonts w:cs="Arial"/>
          <w:color w:val="000000"/>
          <w:shd w:val="clear" w:color="auto" w:fill="FFFFFF"/>
        </w:rPr>
        <w:t>Gypsum Stack</w:t>
      </w:r>
      <w:r w:rsidR="009C503A" w:rsidRPr="005C05E9">
        <w:rPr>
          <w:rStyle w:val="normaltextrun"/>
          <w:rFonts w:cs="Arial"/>
          <w:color w:val="000000"/>
          <w:shd w:val="clear" w:color="auto" w:fill="FFFFFF"/>
        </w:rPr>
        <w:t xml:space="preserve"> have been issued by the EPD. </w:t>
      </w:r>
      <w:r w:rsidR="00B339EB" w:rsidRPr="005C05E9">
        <w:t>Through</w:t>
      </w:r>
      <w:r w:rsidR="001C0DC8" w:rsidRPr="005C05E9" w:rsidDel="003607A9">
        <w:t xml:space="preserve"> </w:t>
      </w:r>
      <w:r w:rsidR="00BC465B" w:rsidRPr="005C05E9">
        <w:t xml:space="preserve">March </w:t>
      </w:r>
      <w:r w:rsidR="001C0DC8" w:rsidRPr="005C05E9">
        <w:t>202</w:t>
      </w:r>
      <w:r w:rsidR="009C6223" w:rsidRPr="005C05E9">
        <w:t>2</w:t>
      </w:r>
      <w:r w:rsidR="001C0DC8" w:rsidRPr="005C05E9">
        <w:t xml:space="preserve">, Georgia EPD has </w:t>
      </w:r>
      <w:r w:rsidR="00B522A7" w:rsidRPr="005C05E9">
        <w:t xml:space="preserve">additionally </w:t>
      </w:r>
      <w:r w:rsidR="001C0DC8" w:rsidRPr="005C05E9">
        <w:t xml:space="preserve">issued </w:t>
      </w:r>
      <w:r w:rsidR="00DB3A1D" w:rsidRPr="005C05E9">
        <w:t xml:space="preserve">a final </w:t>
      </w:r>
      <w:r w:rsidR="00111DC7" w:rsidRPr="005C05E9">
        <w:t xml:space="preserve">permit for </w:t>
      </w:r>
      <w:r w:rsidR="00471886" w:rsidRPr="005C05E9">
        <w:t xml:space="preserve">Plant Bowen AP-1 and a draft permit for Plant Hammond AP-3, both </w:t>
      </w:r>
      <w:r w:rsidR="0015450F" w:rsidRPr="005C05E9">
        <w:t>closure in place projects</w:t>
      </w:r>
      <w:r w:rsidR="1C231DEF" w:rsidRPr="005C05E9">
        <w:t>.</w:t>
      </w:r>
      <w:r w:rsidR="2F002AF1" w:rsidRPr="005C05E9">
        <w:t xml:space="preserve"> </w:t>
      </w:r>
      <w:r w:rsidR="005442B2" w:rsidRPr="005C05E9">
        <w:t xml:space="preserve">The Company continues to respond to </w:t>
      </w:r>
      <w:r w:rsidR="00C05E11" w:rsidRPr="005C05E9">
        <w:rPr>
          <w:color w:val="171717" w:themeColor="background2" w:themeShade="1A"/>
        </w:rPr>
        <w:t xml:space="preserve">Georgia </w:t>
      </w:r>
      <w:r w:rsidR="005442B2" w:rsidRPr="005C05E9">
        <w:t xml:space="preserve">EPD’s requests for information and comments to the permit applications.  </w:t>
      </w:r>
      <w:r w:rsidR="00C05E11" w:rsidRPr="005C05E9">
        <w:rPr>
          <w:color w:val="171717" w:themeColor="background2" w:themeShade="1A"/>
        </w:rPr>
        <w:t>Georgia</w:t>
      </w:r>
      <w:r w:rsidR="005442B2" w:rsidRPr="005C05E9">
        <w:rPr>
          <w:color w:val="171717" w:themeColor="background2" w:themeShade="1A"/>
        </w:rPr>
        <w:t xml:space="preserve"> </w:t>
      </w:r>
      <w:r w:rsidR="001C4181" w:rsidRPr="005C05E9">
        <w:t>EPD permitting activities for the remaining pr</w:t>
      </w:r>
      <w:r w:rsidR="001C4181" w:rsidRPr="00094311">
        <w:t xml:space="preserve">ojects </w:t>
      </w:r>
      <w:r w:rsidR="001C4181" w:rsidRPr="00094311" w:rsidDel="00443873">
        <w:t xml:space="preserve">are currently expected to </w:t>
      </w:r>
      <w:r w:rsidR="001C4181" w:rsidRPr="00094311">
        <w:t>continue through 202</w:t>
      </w:r>
      <w:r w:rsidR="00443873">
        <w:t>3</w:t>
      </w:r>
      <w:r w:rsidR="001C4181" w:rsidRPr="00094311">
        <w:t>.</w:t>
      </w:r>
    </w:p>
    <w:p w14:paraId="4B7F5ED7" w14:textId="188040A5" w:rsidR="4C657856" w:rsidRDefault="2FC8BD7C" w:rsidP="008025DB">
      <w:pPr>
        <w:rPr>
          <w:rFonts w:eastAsia="Arial"/>
        </w:rPr>
      </w:pPr>
      <w:r w:rsidRPr="3D2C2AF0">
        <w:rPr>
          <w:rFonts w:eastAsia="Arial"/>
        </w:rPr>
        <w:t xml:space="preserve">In order to </w:t>
      </w:r>
      <w:r w:rsidR="006B635B">
        <w:rPr>
          <w:rFonts w:eastAsia="Arial"/>
        </w:rPr>
        <w:t xml:space="preserve">advance </w:t>
      </w:r>
      <w:r w:rsidR="00A028FB">
        <w:rPr>
          <w:rFonts w:eastAsia="Arial"/>
        </w:rPr>
        <w:t xml:space="preserve">ash pond closures and </w:t>
      </w:r>
      <w:r w:rsidRPr="3D2C2AF0">
        <w:rPr>
          <w:rFonts w:eastAsia="Arial"/>
        </w:rPr>
        <w:t xml:space="preserve">meet the </w:t>
      </w:r>
      <w:r w:rsidRPr="00A622F9">
        <w:rPr>
          <w:rFonts w:eastAsia="Arial"/>
        </w:rPr>
        <w:t>stringent regulatory deadlines</w:t>
      </w:r>
      <w:r w:rsidR="66655731" w:rsidRPr="00A622F9">
        <w:rPr>
          <w:rFonts w:eastAsia="Arial"/>
        </w:rPr>
        <w:t xml:space="preserve"> associated with the </w:t>
      </w:r>
      <w:r w:rsidR="00BD0529" w:rsidRPr="00A622F9">
        <w:rPr>
          <w:rFonts w:eastAsia="Arial"/>
        </w:rPr>
        <w:t>F</w:t>
      </w:r>
      <w:r w:rsidR="66655731" w:rsidRPr="00CF2EE0">
        <w:rPr>
          <w:rFonts w:eastAsia="Arial"/>
        </w:rPr>
        <w:t>ederal CCR Rule and Georgia CCR Rule</w:t>
      </w:r>
      <w:r w:rsidRPr="00CF2EE0">
        <w:rPr>
          <w:rFonts w:eastAsia="Arial"/>
        </w:rPr>
        <w:t xml:space="preserve">, regardless of permit issuance, the Company must </w:t>
      </w:r>
      <w:r w:rsidR="00CC30D5">
        <w:rPr>
          <w:rFonts w:eastAsia="Arial"/>
        </w:rPr>
        <w:t xml:space="preserve">continue to </w:t>
      </w:r>
      <w:r w:rsidRPr="00CF2EE0">
        <w:rPr>
          <w:rFonts w:eastAsia="Arial"/>
        </w:rPr>
        <w:t>proceed with work, includ</w:t>
      </w:r>
      <w:r w:rsidRPr="00F860E2">
        <w:rPr>
          <w:rFonts w:eastAsia="Arial"/>
        </w:rPr>
        <w:t xml:space="preserve">ing </w:t>
      </w:r>
      <w:r w:rsidR="00DC44E5" w:rsidRPr="00F860E2">
        <w:rPr>
          <w:rFonts w:eastAsia="Arial"/>
        </w:rPr>
        <w:t>groundwate</w:t>
      </w:r>
      <w:r w:rsidR="00DC44E5" w:rsidRPr="008564ED">
        <w:rPr>
          <w:rFonts w:eastAsia="Arial"/>
        </w:rPr>
        <w:t>r monitoring,</w:t>
      </w:r>
      <w:r w:rsidRPr="008564ED">
        <w:rPr>
          <w:rFonts w:eastAsia="Arial"/>
        </w:rPr>
        <w:t xml:space="preserve"> detailed engineering designs, </w:t>
      </w:r>
      <w:r w:rsidRPr="00B33FE3">
        <w:rPr>
          <w:rFonts w:eastAsia="Arial"/>
        </w:rPr>
        <w:t xml:space="preserve">construction activities, as well as develop and implement </w:t>
      </w:r>
      <w:r w:rsidR="004B0001" w:rsidRPr="00B33FE3">
        <w:rPr>
          <w:rFonts w:eastAsia="Arial"/>
        </w:rPr>
        <w:t xml:space="preserve">site-specific </w:t>
      </w:r>
      <w:r w:rsidRPr="00B33FE3">
        <w:rPr>
          <w:rFonts w:eastAsia="Arial"/>
        </w:rPr>
        <w:t>and comprehensive ash pond dewatering processes</w:t>
      </w:r>
      <w:r w:rsidRPr="00A622F9">
        <w:rPr>
          <w:rFonts w:eastAsia="Arial"/>
        </w:rPr>
        <w:t>.</w:t>
      </w:r>
      <w:r w:rsidR="003420D7">
        <w:rPr>
          <w:rFonts w:eastAsia="Arial"/>
        </w:rPr>
        <w:t xml:space="preserve">  This will allow Ge</w:t>
      </w:r>
      <w:r w:rsidR="009909C8">
        <w:rPr>
          <w:rFonts w:eastAsia="Arial"/>
        </w:rPr>
        <w:t xml:space="preserve">orgia Power to remain in compliance with </w:t>
      </w:r>
      <w:r w:rsidR="00467DAB">
        <w:rPr>
          <w:rFonts w:eastAsia="Arial"/>
        </w:rPr>
        <w:t>applicable</w:t>
      </w:r>
      <w:r w:rsidR="009909C8">
        <w:rPr>
          <w:rFonts w:eastAsia="Arial"/>
        </w:rPr>
        <w:t xml:space="preserve"> mandated </w:t>
      </w:r>
      <w:r w:rsidR="45329ADC" w:rsidRPr="2E715A1A">
        <w:rPr>
          <w:rFonts w:eastAsia="Arial"/>
        </w:rPr>
        <w:t xml:space="preserve">closure </w:t>
      </w:r>
      <w:r w:rsidR="00E502EB">
        <w:rPr>
          <w:rFonts w:eastAsia="Arial"/>
        </w:rPr>
        <w:t>deadlines.</w:t>
      </w:r>
    </w:p>
    <w:p w14:paraId="16B58476" w14:textId="6C9C977E" w:rsidR="0007236B" w:rsidRDefault="008C6478" w:rsidP="001330BB">
      <w:pPr>
        <w:rPr>
          <w:rFonts w:cs="Arial"/>
          <w:szCs w:val="24"/>
        </w:rPr>
      </w:pPr>
      <w:r w:rsidRPr="00673772">
        <w:rPr>
          <w:rFonts w:cs="Arial"/>
          <w:szCs w:val="24"/>
        </w:rPr>
        <w:t>The Company’s CCR compliance strategy</w:t>
      </w:r>
      <w:r w:rsidRPr="00675E76">
        <w:rPr>
          <w:rFonts w:cs="Arial"/>
          <w:szCs w:val="24"/>
        </w:rPr>
        <w:t xml:space="preserve"> process is developed to respond to changing regulations.  While the </w:t>
      </w:r>
      <w:r w:rsidRPr="005429C2">
        <w:rPr>
          <w:rFonts w:cs="Arial"/>
          <w:szCs w:val="24"/>
        </w:rPr>
        <w:t xml:space="preserve">strategy </w:t>
      </w:r>
      <w:r w:rsidRPr="0081002A">
        <w:rPr>
          <w:rFonts w:cs="Arial"/>
          <w:szCs w:val="24"/>
        </w:rPr>
        <w:t xml:space="preserve">itself will continue to necessarily evolve, the purpose of the process has </w:t>
      </w:r>
      <w:r w:rsidRPr="00D94266" w:rsidDel="008319A9">
        <w:rPr>
          <w:rFonts w:cs="Arial"/>
          <w:szCs w:val="24"/>
        </w:rPr>
        <w:t xml:space="preserve">always been </w:t>
      </w:r>
      <w:r w:rsidRPr="00D94266">
        <w:rPr>
          <w:rFonts w:cs="Arial"/>
          <w:szCs w:val="24"/>
        </w:rPr>
        <w:t xml:space="preserve">to produce cost-effective compliance solutions that will </w:t>
      </w:r>
      <w:r w:rsidRPr="0007236B">
        <w:rPr>
          <w:rFonts w:cs="Arial"/>
          <w:szCs w:val="24"/>
        </w:rPr>
        <w:t>minimiz</w:t>
      </w:r>
      <w:r w:rsidR="00C16C97">
        <w:rPr>
          <w:rFonts w:cs="Arial"/>
          <w:szCs w:val="24"/>
        </w:rPr>
        <w:t>e</w:t>
      </w:r>
      <w:r w:rsidRPr="00C20473">
        <w:rPr>
          <w:rFonts w:cs="Arial"/>
          <w:szCs w:val="24"/>
        </w:rPr>
        <w:t xml:space="preserve"> the </w:t>
      </w:r>
      <w:r w:rsidRPr="00C107D0">
        <w:rPr>
          <w:rFonts w:cs="Arial"/>
          <w:szCs w:val="24"/>
        </w:rPr>
        <w:t>impact to customers while ach</w:t>
      </w:r>
      <w:r w:rsidRPr="005A19C3">
        <w:rPr>
          <w:rFonts w:cs="Arial"/>
          <w:szCs w:val="24"/>
        </w:rPr>
        <w:t xml:space="preserve">ieving environmental objectives and ensuring compliance with all requirements.  </w:t>
      </w:r>
    </w:p>
    <w:p w14:paraId="143BB33A" w14:textId="51DC4F6E" w:rsidR="003B6787" w:rsidRPr="005C05E9" w:rsidRDefault="008C6478" w:rsidP="001330BB">
      <w:pPr>
        <w:rPr>
          <w:rFonts w:cs="Arial"/>
        </w:rPr>
      </w:pPr>
      <w:r w:rsidRPr="005C05E9">
        <w:rPr>
          <w:rFonts w:cs="Arial"/>
        </w:rPr>
        <w:t xml:space="preserve">An example of this continuous </w:t>
      </w:r>
      <w:r w:rsidR="00322588" w:rsidRPr="005C05E9">
        <w:rPr>
          <w:rFonts w:cs="Arial"/>
        </w:rPr>
        <w:t xml:space="preserve">strategy </w:t>
      </w:r>
      <w:r w:rsidRPr="005C05E9">
        <w:rPr>
          <w:rFonts w:cs="Arial"/>
        </w:rPr>
        <w:t>process currently present</w:t>
      </w:r>
      <w:r w:rsidR="00621ED0" w:rsidRPr="005C05E9">
        <w:rPr>
          <w:rFonts w:cs="Arial"/>
        </w:rPr>
        <w:t>s</w:t>
      </w:r>
      <w:r w:rsidRPr="005C05E9">
        <w:rPr>
          <w:rFonts w:cs="Arial"/>
        </w:rPr>
        <w:t xml:space="preserve"> itself </w:t>
      </w:r>
      <w:r w:rsidR="00621ED0" w:rsidRPr="005C05E9">
        <w:rPr>
          <w:rFonts w:cs="Arial"/>
        </w:rPr>
        <w:t xml:space="preserve">in connection </w:t>
      </w:r>
      <w:r w:rsidRPr="005C05E9">
        <w:rPr>
          <w:rFonts w:cs="Arial"/>
        </w:rPr>
        <w:t xml:space="preserve">with the </w:t>
      </w:r>
      <w:r w:rsidR="00EE749B" w:rsidRPr="005C05E9">
        <w:rPr>
          <w:rFonts w:cs="Arial"/>
        </w:rPr>
        <w:t xml:space="preserve">Company’s </w:t>
      </w:r>
      <w:r w:rsidR="009D1013" w:rsidRPr="005C05E9">
        <w:rPr>
          <w:rFonts w:cs="Arial"/>
        </w:rPr>
        <w:t xml:space="preserve">request </w:t>
      </w:r>
      <w:r w:rsidR="00803951" w:rsidRPr="005C05E9">
        <w:rPr>
          <w:rFonts w:cs="Arial"/>
        </w:rPr>
        <w:t xml:space="preserve">to </w:t>
      </w:r>
      <w:r w:rsidR="00E035A1" w:rsidRPr="005C05E9">
        <w:rPr>
          <w:rFonts w:cs="Arial"/>
        </w:rPr>
        <w:t>retire</w:t>
      </w:r>
      <w:r w:rsidR="00E035A1" w:rsidRPr="005C05E9">
        <w:rPr>
          <w:rFonts w:eastAsia="Arial" w:cs="Arial"/>
        </w:rPr>
        <w:t xml:space="preserve"> </w:t>
      </w:r>
      <w:r w:rsidRPr="005C05E9">
        <w:rPr>
          <w:rFonts w:eastAsia="Arial" w:cs="Arial"/>
        </w:rPr>
        <w:t>Plant Wansley</w:t>
      </w:r>
      <w:r w:rsidR="00803951" w:rsidRPr="005C05E9">
        <w:rPr>
          <w:rFonts w:eastAsia="Arial" w:cs="Arial"/>
        </w:rPr>
        <w:t xml:space="preserve"> Units 1 and 2</w:t>
      </w:r>
      <w:r w:rsidR="000F15C6" w:rsidRPr="005C05E9">
        <w:rPr>
          <w:rFonts w:eastAsia="Arial" w:cs="Arial"/>
        </w:rPr>
        <w:t xml:space="preserve"> in the 2022 IRP</w:t>
      </w:r>
      <w:r w:rsidRPr="005C05E9">
        <w:rPr>
          <w:rFonts w:eastAsia="Arial" w:cs="Arial"/>
        </w:rPr>
        <w:t xml:space="preserve">. </w:t>
      </w:r>
      <w:r w:rsidR="00D001A8" w:rsidRPr="005C05E9">
        <w:rPr>
          <w:rFonts w:eastAsia="Arial" w:cs="Arial"/>
        </w:rPr>
        <w:t xml:space="preserve">If approved, the </w:t>
      </w:r>
      <w:r w:rsidR="00B2386C" w:rsidRPr="005C05E9">
        <w:rPr>
          <w:rFonts w:eastAsia="Arial" w:cs="Arial"/>
        </w:rPr>
        <w:t>retirement</w:t>
      </w:r>
      <w:r w:rsidR="00D001A8" w:rsidRPr="005C05E9">
        <w:rPr>
          <w:rFonts w:eastAsia="Arial" w:cs="Arial"/>
        </w:rPr>
        <w:t xml:space="preserve"> of Plant Wan</w:t>
      </w:r>
      <w:r w:rsidR="009A4998" w:rsidRPr="005C05E9">
        <w:rPr>
          <w:rFonts w:eastAsia="Arial" w:cs="Arial"/>
        </w:rPr>
        <w:t>sley Units 1 and 2</w:t>
      </w:r>
      <w:r w:rsidR="004B0335" w:rsidRPr="005C05E9">
        <w:rPr>
          <w:rFonts w:eastAsia="Arial" w:cs="Arial"/>
        </w:rPr>
        <w:t xml:space="preserve"> </w:t>
      </w:r>
      <w:r w:rsidR="00330933" w:rsidRPr="005C05E9">
        <w:rPr>
          <w:rFonts w:eastAsia="Arial" w:cs="Arial"/>
        </w:rPr>
        <w:t xml:space="preserve">presents an </w:t>
      </w:r>
      <w:r w:rsidR="00DC4EBD" w:rsidRPr="005C05E9">
        <w:rPr>
          <w:rFonts w:eastAsia="Arial" w:cs="Arial"/>
        </w:rPr>
        <w:t xml:space="preserve">opportunity </w:t>
      </w:r>
      <w:r w:rsidR="00675E76" w:rsidRPr="005C05E9">
        <w:rPr>
          <w:rFonts w:cs="Arial"/>
        </w:rPr>
        <w:t xml:space="preserve">for </w:t>
      </w:r>
      <w:r w:rsidR="00D7360F" w:rsidRPr="005C05E9">
        <w:rPr>
          <w:rFonts w:cs="Arial"/>
        </w:rPr>
        <w:t xml:space="preserve">ash pond </w:t>
      </w:r>
      <w:r w:rsidR="00675E76" w:rsidRPr="005C05E9">
        <w:rPr>
          <w:rFonts w:cs="Arial"/>
        </w:rPr>
        <w:t xml:space="preserve">closure alternatives that were previously not available due to </w:t>
      </w:r>
      <w:r w:rsidR="006C13BA" w:rsidRPr="005C05E9">
        <w:rPr>
          <w:rFonts w:cs="Arial"/>
        </w:rPr>
        <w:t xml:space="preserve">assumed continued </w:t>
      </w:r>
      <w:r w:rsidR="00675E76" w:rsidRPr="005C05E9">
        <w:rPr>
          <w:rFonts w:cs="Arial"/>
        </w:rPr>
        <w:t>operation of the units</w:t>
      </w:r>
      <w:r w:rsidR="00335CE8" w:rsidRPr="005C05E9">
        <w:rPr>
          <w:rFonts w:cs="Arial"/>
        </w:rPr>
        <w:t xml:space="preserve">. </w:t>
      </w:r>
    </w:p>
    <w:p w14:paraId="174AB972" w14:textId="2E221C1F" w:rsidR="000A7901" w:rsidRPr="005C05E9" w:rsidRDefault="00703443" w:rsidP="001330BB">
      <w:pPr>
        <w:rPr>
          <w:rFonts w:cs="Arial"/>
        </w:rPr>
      </w:pPr>
      <w:r w:rsidRPr="005C05E9">
        <w:rPr>
          <w:rFonts w:cs="Arial"/>
        </w:rPr>
        <w:t xml:space="preserve">The </w:t>
      </w:r>
      <w:r w:rsidR="0012125F" w:rsidRPr="005C05E9">
        <w:rPr>
          <w:rFonts w:cs="Arial"/>
        </w:rPr>
        <w:t xml:space="preserve">continued </w:t>
      </w:r>
      <w:r w:rsidRPr="005C05E9">
        <w:rPr>
          <w:rFonts w:cs="Arial"/>
        </w:rPr>
        <w:t>operation of the coal-fired units at Plant Wansley</w:t>
      </w:r>
      <w:r w:rsidR="00E83364" w:rsidRPr="005C05E9">
        <w:rPr>
          <w:rFonts w:cs="Arial"/>
        </w:rPr>
        <w:t xml:space="preserve"> would</w:t>
      </w:r>
      <w:r w:rsidRPr="005C05E9">
        <w:rPr>
          <w:rFonts w:cs="Arial"/>
        </w:rPr>
        <w:t xml:space="preserve"> </w:t>
      </w:r>
      <w:r w:rsidR="00683198" w:rsidRPr="005C05E9">
        <w:rPr>
          <w:rFonts w:cs="Arial"/>
        </w:rPr>
        <w:t>require</w:t>
      </w:r>
      <w:r w:rsidR="00750712" w:rsidRPr="005C05E9">
        <w:rPr>
          <w:rFonts w:cs="Arial"/>
        </w:rPr>
        <w:t xml:space="preserve"> the use of the </w:t>
      </w:r>
      <w:r w:rsidR="004D4B59" w:rsidRPr="005C05E9">
        <w:rPr>
          <w:rFonts w:cs="Arial"/>
        </w:rPr>
        <w:t xml:space="preserve">fully constructed </w:t>
      </w:r>
      <w:r w:rsidR="00B12353" w:rsidRPr="005C05E9">
        <w:rPr>
          <w:rFonts w:cs="Arial"/>
        </w:rPr>
        <w:t>on-site permitted</w:t>
      </w:r>
      <w:r w:rsidR="004D4F95" w:rsidRPr="005C05E9">
        <w:rPr>
          <w:rFonts w:cs="Arial"/>
        </w:rPr>
        <w:t xml:space="preserve"> </w:t>
      </w:r>
      <w:r w:rsidR="00B12353" w:rsidRPr="005C05E9">
        <w:rPr>
          <w:rFonts w:cs="Arial"/>
        </w:rPr>
        <w:t xml:space="preserve">CCR landfill </w:t>
      </w:r>
      <w:r w:rsidR="003A1135" w:rsidRPr="005C05E9">
        <w:rPr>
          <w:rFonts w:cs="Arial"/>
        </w:rPr>
        <w:t xml:space="preserve">to support </w:t>
      </w:r>
      <w:r w:rsidR="00F723FD" w:rsidRPr="005C05E9">
        <w:rPr>
          <w:rFonts w:cs="Arial"/>
        </w:rPr>
        <w:t xml:space="preserve">the plant’s </w:t>
      </w:r>
      <w:r w:rsidR="007D20A2" w:rsidRPr="005C05E9">
        <w:rPr>
          <w:rFonts w:cs="Arial"/>
        </w:rPr>
        <w:t xml:space="preserve">environmental controls and handling of </w:t>
      </w:r>
      <w:r w:rsidR="00501FDD" w:rsidRPr="005C05E9">
        <w:rPr>
          <w:rFonts w:cs="Arial"/>
        </w:rPr>
        <w:t xml:space="preserve">ash and gypsum byproducts. </w:t>
      </w:r>
      <w:r w:rsidR="00273122" w:rsidRPr="005C05E9">
        <w:rPr>
          <w:rFonts w:cs="Arial"/>
        </w:rPr>
        <w:t xml:space="preserve">If the </w:t>
      </w:r>
      <w:r w:rsidR="0068069D" w:rsidRPr="005C05E9">
        <w:rPr>
          <w:rFonts w:cs="Arial"/>
        </w:rPr>
        <w:t>retirement of Units 1 and 2</w:t>
      </w:r>
      <w:r w:rsidR="00273122" w:rsidRPr="005C05E9">
        <w:rPr>
          <w:rFonts w:cs="Arial"/>
        </w:rPr>
        <w:t xml:space="preserve"> </w:t>
      </w:r>
      <w:r w:rsidR="00CC4614" w:rsidRPr="005C05E9">
        <w:rPr>
          <w:rFonts w:cs="Arial"/>
        </w:rPr>
        <w:t>is</w:t>
      </w:r>
      <w:r w:rsidR="00273122" w:rsidRPr="005C05E9">
        <w:rPr>
          <w:rFonts w:cs="Arial"/>
        </w:rPr>
        <w:t xml:space="preserve"> approved</w:t>
      </w:r>
      <w:r w:rsidR="0068069D" w:rsidRPr="005C05E9">
        <w:rPr>
          <w:rFonts w:cs="Arial"/>
        </w:rPr>
        <w:t xml:space="preserve">, this </w:t>
      </w:r>
      <w:r w:rsidR="00E42DF7" w:rsidRPr="005C05E9">
        <w:rPr>
          <w:rFonts w:cs="Arial"/>
        </w:rPr>
        <w:t xml:space="preserve">on-site landfill would be available </w:t>
      </w:r>
      <w:r w:rsidR="00C21A0D" w:rsidRPr="005C05E9">
        <w:rPr>
          <w:rFonts w:cs="Arial"/>
        </w:rPr>
        <w:t>for</w:t>
      </w:r>
      <w:r w:rsidR="002106B8" w:rsidRPr="005C05E9">
        <w:rPr>
          <w:rFonts w:cs="Arial"/>
        </w:rPr>
        <w:t xml:space="preserve"> use in </w:t>
      </w:r>
      <w:r w:rsidR="00B8636B" w:rsidRPr="005C05E9">
        <w:rPr>
          <w:rFonts w:cs="Arial"/>
        </w:rPr>
        <w:t>support of</w:t>
      </w:r>
      <w:r w:rsidR="0058548A" w:rsidRPr="005C05E9">
        <w:rPr>
          <w:rFonts w:cs="Arial"/>
        </w:rPr>
        <w:t xml:space="preserve"> the </w:t>
      </w:r>
      <w:r w:rsidR="005267BF" w:rsidRPr="005C05E9">
        <w:rPr>
          <w:rFonts w:cs="Arial"/>
        </w:rPr>
        <w:t xml:space="preserve">site’s </w:t>
      </w:r>
      <w:r w:rsidR="0058548A" w:rsidRPr="005C05E9">
        <w:rPr>
          <w:rFonts w:cs="Arial"/>
        </w:rPr>
        <w:t xml:space="preserve">ash pond closure. </w:t>
      </w:r>
      <w:r w:rsidR="00675E76" w:rsidRPr="005C05E9">
        <w:rPr>
          <w:rFonts w:cs="Arial"/>
        </w:rPr>
        <w:t>Th</w:t>
      </w:r>
      <w:r w:rsidR="00673A30" w:rsidRPr="005C05E9">
        <w:rPr>
          <w:rFonts w:cs="Arial"/>
        </w:rPr>
        <w:t>e</w:t>
      </w:r>
      <w:r w:rsidR="00BA2E3E" w:rsidRPr="005C05E9">
        <w:rPr>
          <w:rFonts w:cs="Arial"/>
        </w:rPr>
        <w:t xml:space="preserve"> Company </w:t>
      </w:r>
      <w:r w:rsidR="00A66C5A" w:rsidRPr="005C05E9">
        <w:rPr>
          <w:rFonts w:cs="Arial"/>
        </w:rPr>
        <w:t xml:space="preserve">has completed </w:t>
      </w:r>
      <w:r w:rsidR="00CF6CDC" w:rsidRPr="005C05E9">
        <w:rPr>
          <w:rFonts w:cs="Arial"/>
        </w:rPr>
        <w:t xml:space="preserve">an </w:t>
      </w:r>
      <w:r w:rsidR="00A66C5A" w:rsidRPr="005C05E9">
        <w:rPr>
          <w:rFonts w:cs="Arial"/>
        </w:rPr>
        <w:t xml:space="preserve">evaluation </w:t>
      </w:r>
      <w:r w:rsidR="007634BB" w:rsidRPr="005C05E9">
        <w:rPr>
          <w:rFonts w:cs="Arial"/>
        </w:rPr>
        <w:t xml:space="preserve">to close </w:t>
      </w:r>
      <w:r w:rsidR="00DA016F" w:rsidRPr="005C05E9">
        <w:rPr>
          <w:rFonts w:cs="Arial"/>
        </w:rPr>
        <w:t xml:space="preserve">Plant Wansley’s ash pond by removal </w:t>
      </w:r>
      <w:r w:rsidR="009D2394" w:rsidRPr="005C05E9">
        <w:rPr>
          <w:rFonts w:cs="Arial"/>
        </w:rPr>
        <w:t>utilizing</w:t>
      </w:r>
      <w:r w:rsidR="00DA016F" w:rsidRPr="005C05E9">
        <w:rPr>
          <w:rFonts w:cs="Arial"/>
        </w:rPr>
        <w:t xml:space="preserve"> the existing </w:t>
      </w:r>
      <w:r w:rsidR="001A64F7" w:rsidRPr="005C05E9">
        <w:rPr>
          <w:rFonts w:cs="Arial"/>
        </w:rPr>
        <w:t>on</w:t>
      </w:r>
      <w:r w:rsidR="001064ED" w:rsidRPr="005C05E9">
        <w:rPr>
          <w:rFonts w:cs="Arial"/>
        </w:rPr>
        <w:t>-</w:t>
      </w:r>
      <w:r w:rsidR="001A64F7" w:rsidRPr="005C05E9">
        <w:rPr>
          <w:rFonts w:cs="Arial"/>
        </w:rPr>
        <w:t xml:space="preserve">site landfill.  </w:t>
      </w:r>
      <w:r w:rsidR="00F13DD3" w:rsidRPr="005C05E9">
        <w:rPr>
          <w:rFonts w:cs="Arial"/>
        </w:rPr>
        <w:t xml:space="preserve">The evaluation took into </w:t>
      </w:r>
      <w:r w:rsidR="00AE038A" w:rsidRPr="005C05E9">
        <w:rPr>
          <w:rFonts w:cs="Arial"/>
        </w:rPr>
        <w:t>consideration the</w:t>
      </w:r>
      <w:r w:rsidR="00CF2EE0" w:rsidRPr="005C05E9">
        <w:rPr>
          <w:rFonts w:cs="Arial"/>
        </w:rPr>
        <w:t xml:space="preserve"> </w:t>
      </w:r>
      <w:r w:rsidR="00675E76" w:rsidRPr="005C05E9">
        <w:rPr>
          <w:rFonts w:cs="Arial"/>
        </w:rPr>
        <w:t xml:space="preserve">current landfill capacity, the potential to </w:t>
      </w:r>
      <w:r w:rsidR="00887A9C" w:rsidRPr="005C05E9">
        <w:rPr>
          <w:rFonts w:cs="Arial"/>
        </w:rPr>
        <w:t xml:space="preserve">increase or </w:t>
      </w:r>
      <w:r w:rsidR="00675E76" w:rsidRPr="005C05E9">
        <w:rPr>
          <w:rFonts w:cs="Arial"/>
        </w:rPr>
        <w:t xml:space="preserve">establish additional landfill capacity, CCR material movement/placement, and long-term </w:t>
      </w:r>
      <w:r w:rsidR="002A420B" w:rsidRPr="005C05E9">
        <w:rPr>
          <w:rFonts w:cs="Arial"/>
        </w:rPr>
        <w:t xml:space="preserve">considerations </w:t>
      </w:r>
      <w:r w:rsidR="00675E76" w:rsidRPr="005C05E9">
        <w:rPr>
          <w:rFonts w:cs="Arial"/>
        </w:rPr>
        <w:t>associated with post closure care</w:t>
      </w:r>
      <w:r w:rsidR="005066FD" w:rsidRPr="005C05E9">
        <w:rPr>
          <w:rFonts w:cs="Arial"/>
        </w:rPr>
        <w:t xml:space="preserve">. </w:t>
      </w:r>
      <w:r w:rsidR="00CE20A3" w:rsidRPr="005C05E9">
        <w:rPr>
          <w:rFonts w:cs="Arial"/>
        </w:rPr>
        <w:t xml:space="preserve">The </w:t>
      </w:r>
      <w:r w:rsidR="009C705E" w:rsidRPr="005C05E9">
        <w:rPr>
          <w:rFonts w:cs="Arial"/>
        </w:rPr>
        <w:t>result</w:t>
      </w:r>
      <w:r w:rsidR="000A7901" w:rsidRPr="005C05E9">
        <w:rPr>
          <w:rFonts w:cs="Arial"/>
        </w:rPr>
        <w:t xml:space="preserve"> of this </w:t>
      </w:r>
      <w:r w:rsidR="00CE20A3" w:rsidRPr="005C05E9">
        <w:rPr>
          <w:rFonts w:cs="Arial"/>
        </w:rPr>
        <w:t>asses</w:t>
      </w:r>
      <w:r w:rsidR="00916CE5" w:rsidRPr="005C05E9">
        <w:rPr>
          <w:rFonts w:cs="Arial"/>
        </w:rPr>
        <w:t xml:space="preserve">sment </w:t>
      </w:r>
      <w:r w:rsidR="005072DB" w:rsidRPr="005C05E9">
        <w:rPr>
          <w:rFonts w:cs="Arial"/>
        </w:rPr>
        <w:t>indicates</w:t>
      </w:r>
      <w:r w:rsidR="000A7901" w:rsidRPr="005C05E9">
        <w:rPr>
          <w:rFonts w:cs="Arial"/>
        </w:rPr>
        <w:t xml:space="preserve"> the </w:t>
      </w:r>
      <w:r w:rsidR="00130B4D" w:rsidRPr="005C05E9">
        <w:rPr>
          <w:rFonts w:cs="Arial"/>
        </w:rPr>
        <w:t>following:</w:t>
      </w:r>
    </w:p>
    <w:p w14:paraId="16A62A02" w14:textId="51419E14" w:rsidR="008B4A6D" w:rsidRPr="005C05E9" w:rsidRDefault="009E76DC" w:rsidP="0051218C">
      <w:pPr>
        <w:pStyle w:val="ListParagraph"/>
        <w:numPr>
          <w:ilvl w:val="0"/>
          <w:numId w:val="20"/>
        </w:numPr>
        <w:rPr>
          <w:rFonts w:cs="Arial"/>
        </w:rPr>
      </w:pPr>
      <w:r w:rsidRPr="005C05E9">
        <w:rPr>
          <w:rFonts w:cs="Arial"/>
        </w:rPr>
        <w:t>If the</w:t>
      </w:r>
      <w:r w:rsidR="00D63A5D" w:rsidRPr="005C05E9">
        <w:rPr>
          <w:rFonts w:cs="Arial"/>
        </w:rPr>
        <w:t xml:space="preserve"> retirement of Wansley Units 1 and 2 </w:t>
      </w:r>
      <w:r w:rsidRPr="005C05E9">
        <w:rPr>
          <w:rFonts w:cs="Arial"/>
        </w:rPr>
        <w:t>is approve</w:t>
      </w:r>
      <w:r w:rsidR="00D63A5D" w:rsidRPr="005C05E9">
        <w:rPr>
          <w:rFonts w:cs="Arial"/>
        </w:rPr>
        <w:t>d</w:t>
      </w:r>
      <w:r w:rsidRPr="005C05E9">
        <w:rPr>
          <w:rFonts w:cs="Arial"/>
        </w:rPr>
        <w:t xml:space="preserve">, </w:t>
      </w:r>
      <w:r w:rsidR="0039418B" w:rsidRPr="005C05E9">
        <w:rPr>
          <w:rFonts w:cs="Arial"/>
        </w:rPr>
        <w:t>approximately</w:t>
      </w:r>
      <w:r w:rsidR="007C1307" w:rsidRPr="005C05E9">
        <w:rPr>
          <w:rFonts w:cs="Arial"/>
        </w:rPr>
        <w:t xml:space="preserve"> 95% of the existing landfill capacity </w:t>
      </w:r>
      <w:r w:rsidR="005809DD" w:rsidRPr="005C05E9">
        <w:rPr>
          <w:rFonts w:cs="Arial"/>
        </w:rPr>
        <w:t>would remain unused</w:t>
      </w:r>
      <w:r w:rsidR="007543EB" w:rsidRPr="005C05E9">
        <w:rPr>
          <w:rFonts w:cs="Arial"/>
        </w:rPr>
        <w:t>.</w:t>
      </w:r>
      <w:r w:rsidR="00D63A5D" w:rsidRPr="005C05E9">
        <w:rPr>
          <w:rFonts w:cs="Arial"/>
        </w:rPr>
        <w:t xml:space="preserve"> </w:t>
      </w:r>
      <w:r w:rsidR="00351174" w:rsidRPr="005C05E9">
        <w:rPr>
          <w:rFonts w:cs="Arial"/>
        </w:rPr>
        <w:t>Under a closure by removal scenario, t</w:t>
      </w:r>
      <w:r w:rsidR="006C039F" w:rsidRPr="005C05E9">
        <w:rPr>
          <w:rFonts w:cs="Arial"/>
        </w:rPr>
        <w:t>he</w:t>
      </w:r>
      <w:r w:rsidRPr="005C05E9">
        <w:rPr>
          <w:rFonts w:cs="Arial"/>
        </w:rPr>
        <w:t xml:space="preserve"> </w:t>
      </w:r>
      <w:r w:rsidR="00351174" w:rsidRPr="005C05E9">
        <w:rPr>
          <w:rFonts w:cs="Arial"/>
        </w:rPr>
        <w:t xml:space="preserve">existing </w:t>
      </w:r>
      <w:r w:rsidR="006C039F" w:rsidRPr="005C05E9">
        <w:rPr>
          <w:rFonts w:cs="Arial"/>
        </w:rPr>
        <w:t>landfill</w:t>
      </w:r>
      <w:r w:rsidR="000E71D1" w:rsidRPr="005C05E9">
        <w:rPr>
          <w:rFonts w:cs="Arial"/>
        </w:rPr>
        <w:t xml:space="preserve">, with an expanded footprint, </w:t>
      </w:r>
      <w:r w:rsidR="00133B31" w:rsidRPr="005C05E9">
        <w:rPr>
          <w:rFonts w:cs="Arial"/>
        </w:rPr>
        <w:t xml:space="preserve">would </w:t>
      </w:r>
      <w:r w:rsidR="00351174" w:rsidRPr="005C05E9">
        <w:rPr>
          <w:rFonts w:cs="Arial"/>
        </w:rPr>
        <w:t>be fully utilized</w:t>
      </w:r>
      <w:r w:rsidR="006644B9" w:rsidRPr="005C05E9">
        <w:rPr>
          <w:rFonts w:cs="Arial"/>
        </w:rPr>
        <w:t xml:space="preserve"> </w:t>
      </w:r>
      <w:r w:rsidR="00F80131" w:rsidRPr="005C05E9">
        <w:rPr>
          <w:rFonts w:cs="Arial"/>
        </w:rPr>
        <w:t>and have</w:t>
      </w:r>
      <w:r w:rsidR="00133B31" w:rsidRPr="005C05E9">
        <w:rPr>
          <w:rFonts w:cs="Arial"/>
        </w:rPr>
        <w:t xml:space="preserve"> capacity to accept </w:t>
      </w:r>
      <w:r w:rsidR="00335CE8" w:rsidRPr="005C05E9">
        <w:rPr>
          <w:rFonts w:cs="Arial"/>
        </w:rPr>
        <w:t xml:space="preserve">all of </w:t>
      </w:r>
      <w:r w:rsidR="00133B31" w:rsidRPr="005C05E9">
        <w:rPr>
          <w:rFonts w:cs="Arial"/>
        </w:rPr>
        <w:t>the CCR from Plant Wansley AP-1.</w:t>
      </w:r>
    </w:p>
    <w:p w14:paraId="2E2F3FA1" w14:textId="7FBD0FA1" w:rsidR="00F478B4" w:rsidRPr="005C05E9" w:rsidRDefault="00C072EF">
      <w:pPr>
        <w:pStyle w:val="ListParagraph"/>
        <w:numPr>
          <w:ilvl w:val="0"/>
          <w:numId w:val="20"/>
        </w:numPr>
        <w:rPr>
          <w:rFonts w:cs="Arial"/>
        </w:rPr>
      </w:pPr>
      <w:r w:rsidRPr="005C05E9">
        <w:t xml:space="preserve">While </w:t>
      </w:r>
      <w:r w:rsidR="005278F6" w:rsidRPr="005C05E9">
        <w:t>the</w:t>
      </w:r>
      <w:r w:rsidR="00C638CC" w:rsidRPr="005C05E9">
        <w:t xml:space="preserve"> current closure in place strategy utilizing a cover system and containment structure provides a robust solution</w:t>
      </w:r>
      <w:r w:rsidR="005278F6" w:rsidRPr="005C05E9">
        <w:t xml:space="preserve">, the </w:t>
      </w:r>
      <w:r w:rsidR="00EA78DE" w:rsidRPr="005C05E9">
        <w:t xml:space="preserve">plan </w:t>
      </w:r>
      <w:r w:rsidR="00A76ECC" w:rsidRPr="005C05E9">
        <w:t xml:space="preserve">is expected to </w:t>
      </w:r>
      <w:r w:rsidR="00AA5058" w:rsidRPr="005C05E9">
        <w:t xml:space="preserve">require </w:t>
      </w:r>
      <w:r w:rsidR="00A76ECC" w:rsidRPr="005C05E9">
        <w:t>the full regulatory closure time allowed and</w:t>
      </w:r>
      <w:r w:rsidR="00EA78DE" w:rsidRPr="005C05E9">
        <w:t xml:space="preserve"> calls for significant </w:t>
      </w:r>
      <w:r w:rsidR="00284301" w:rsidRPr="005C05E9">
        <w:t>site</w:t>
      </w:r>
      <w:r w:rsidR="005161CE" w:rsidRPr="005C05E9">
        <w:t>-</w:t>
      </w:r>
      <w:r w:rsidR="00284301" w:rsidRPr="005C05E9">
        <w:t xml:space="preserve">specific </w:t>
      </w:r>
      <w:r w:rsidR="00BD4ED9" w:rsidRPr="005C05E9">
        <w:t>engineering</w:t>
      </w:r>
      <w:r w:rsidR="009C6619" w:rsidRPr="005C05E9">
        <w:t xml:space="preserve"> and</w:t>
      </w:r>
      <w:r w:rsidR="00C3658C" w:rsidRPr="005C05E9">
        <w:t xml:space="preserve"> </w:t>
      </w:r>
      <w:r w:rsidR="00C85AC1" w:rsidRPr="005C05E9">
        <w:t>special</w:t>
      </w:r>
      <w:r w:rsidR="008D4256" w:rsidRPr="005C05E9">
        <w:t>ty co</w:t>
      </w:r>
      <w:r w:rsidR="00A372FC" w:rsidRPr="005C05E9">
        <w:t>nstruction</w:t>
      </w:r>
      <w:r w:rsidR="00C3658C" w:rsidRPr="005C05E9">
        <w:t xml:space="preserve"> </w:t>
      </w:r>
      <w:r w:rsidR="001158B7" w:rsidRPr="005C05E9">
        <w:t>implement</w:t>
      </w:r>
      <w:r w:rsidR="00DD42AB" w:rsidRPr="005C05E9">
        <w:t>ation</w:t>
      </w:r>
      <w:r w:rsidR="000936EB" w:rsidRPr="005C05E9">
        <w:t xml:space="preserve"> related to the installation of the</w:t>
      </w:r>
      <w:r w:rsidR="00825FB9" w:rsidRPr="005C05E9">
        <w:t xml:space="preserve"> </w:t>
      </w:r>
      <w:r w:rsidR="005278F6" w:rsidRPr="005C05E9">
        <w:t xml:space="preserve">containment </w:t>
      </w:r>
      <w:r w:rsidR="00A013B7" w:rsidRPr="005C05E9">
        <w:t>structure</w:t>
      </w:r>
      <w:r w:rsidR="000936EB" w:rsidRPr="005C05E9">
        <w:t>.</w:t>
      </w:r>
      <w:r w:rsidR="00F50E99" w:rsidRPr="005C05E9">
        <w:t xml:space="preserve"> </w:t>
      </w:r>
      <w:r w:rsidR="009F3276" w:rsidRPr="005C05E9">
        <w:t xml:space="preserve">The closure by removal alternative </w:t>
      </w:r>
      <w:r w:rsidR="002C5556" w:rsidRPr="005C05E9">
        <w:t>reduces the</w:t>
      </w:r>
      <w:r w:rsidR="009B7AB6" w:rsidRPr="005C05E9">
        <w:t xml:space="preserve"> </w:t>
      </w:r>
      <w:r w:rsidR="006869B4" w:rsidRPr="005C05E9">
        <w:t xml:space="preserve">schedule </w:t>
      </w:r>
      <w:r w:rsidR="00A76ECC" w:rsidRPr="005C05E9">
        <w:t>duration</w:t>
      </w:r>
      <w:r w:rsidR="009B7AB6" w:rsidRPr="005C05E9">
        <w:t xml:space="preserve"> </w:t>
      </w:r>
      <w:r w:rsidR="00AD6957" w:rsidRPr="005C05E9">
        <w:t>a</w:t>
      </w:r>
      <w:r w:rsidR="00115CB1" w:rsidRPr="005C05E9">
        <w:t xml:space="preserve">s well as the </w:t>
      </w:r>
      <w:r w:rsidR="0028798D" w:rsidRPr="005C05E9">
        <w:t>specialty work associated with the containment structure construction</w:t>
      </w:r>
      <w:r w:rsidR="008D2829" w:rsidRPr="005C05E9">
        <w:t xml:space="preserve"> and allows </w:t>
      </w:r>
      <w:r w:rsidR="00D0563F" w:rsidRPr="005C05E9">
        <w:t xml:space="preserve">ash removal </w:t>
      </w:r>
      <w:r w:rsidR="00D77A54" w:rsidRPr="005C05E9">
        <w:t>and placement in the on</w:t>
      </w:r>
      <w:r w:rsidR="00C40199" w:rsidRPr="005C05E9">
        <w:t xml:space="preserve">-site landfill </w:t>
      </w:r>
      <w:r w:rsidR="00D0563F" w:rsidRPr="005C05E9">
        <w:t xml:space="preserve">to begin shortly after </w:t>
      </w:r>
      <w:r w:rsidR="00ED2C9C" w:rsidRPr="005C05E9">
        <w:t xml:space="preserve">ash pond closure construction begins.  </w:t>
      </w:r>
      <w:r w:rsidR="006869B4" w:rsidRPr="005C05E9">
        <w:t xml:space="preserve"> </w:t>
      </w:r>
    </w:p>
    <w:p w14:paraId="6837A5D7" w14:textId="60C184DF" w:rsidR="00800B7D" w:rsidRPr="005C05E9" w:rsidRDefault="000D0AA2" w:rsidP="0023001A">
      <w:pPr>
        <w:pStyle w:val="ListParagraph"/>
        <w:numPr>
          <w:ilvl w:val="0"/>
          <w:numId w:val="20"/>
        </w:numPr>
        <w:rPr>
          <w:rFonts w:cs="Arial"/>
        </w:rPr>
      </w:pPr>
      <w:r w:rsidRPr="005C05E9">
        <w:t xml:space="preserve">Ash beneficial use is available throughout closure and in post closure care </w:t>
      </w:r>
      <w:r w:rsidR="004B6A81" w:rsidRPr="005C05E9">
        <w:t>in the</w:t>
      </w:r>
      <w:r w:rsidRPr="005C05E9">
        <w:t xml:space="preserve"> </w:t>
      </w:r>
      <w:r w:rsidR="006E7B1B" w:rsidRPr="005C05E9">
        <w:t>closure by removal alternative</w:t>
      </w:r>
      <w:r w:rsidR="008523C7" w:rsidRPr="005C05E9">
        <w:t>, as driven by the market</w:t>
      </w:r>
      <w:r w:rsidR="00A07785" w:rsidRPr="005C05E9">
        <w:t>;</w:t>
      </w:r>
      <w:r w:rsidR="00936074" w:rsidRPr="005C05E9">
        <w:t xml:space="preserve"> whereas</w:t>
      </w:r>
      <w:r w:rsidR="00A07785" w:rsidRPr="005C05E9">
        <w:t>,</w:t>
      </w:r>
      <w:r w:rsidR="00936074" w:rsidRPr="005C05E9">
        <w:t xml:space="preserve"> the closure</w:t>
      </w:r>
      <w:r w:rsidR="0044660A" w:rsidRPr="005C05E9">
        <w:t xml:space="preserve"> in place</w:t>
      </w:r>
      <w:r w:rsidR="00CE32A3" w:rsidRPr="005C05E9">
        <w:t xml:space="preserve"> option</w:t>
      </w:r>
      <w:r w:rsidR="0044660A" w:rsidRPr="005C05E9">
        <w:t xml:space="preserve"> </w:t>
      </w:r>
      <w:r w:rsidR="00390C9F" w:rsidRPr="005C05E9">
        <w:t xml:space="preserve">severely </w:t>
      </w:r>
      <w:r w:rsidR="0044660A" w:rsidRPr="005C05E9">
        <w:t>limit</w:t>
      </w:r>
      <w:r w:rsidR="002358CA" w:rsidRPr="005C05E9">
        <w:t>s</w:t>
      </w:r>
      <w:r w:rsidR="000D14AD" w:rsidRPr="005C05E9">
        <w:t xml:space="preserve"> the volume </w:t>
      </w:r>
      <w:r w:rsidR="00DC7FE7" w:rsidRPr="005C05E9">
        <w:t xml:space="preserve">of </w:t>
      </w:r>
      <w:r w:rsidR="000D14AD" w:rsidRPr="005C05E9">
        <w:t xml:space="preserve">and timing </w:t>
      </w:r>
      <w:r w:rsidR="004F0115" w:rsidRPr="005C05E9">
        <w:t xml:space="preserve">for ash </w:t>
      </w:r>
      <w:r w:rsidR="00B24388" w:rsidRPr="005C05E9">
        <w:t>availab</w:t>
      </w:r>
      <w:r w:rsidR="004F0115" w:rsidRPr="005C05E9">
        <w:t xml:space="preserve">le to </w:t>
      </w:r>
      <w:r w:rsidR="00AC5D63" w:rsidRPr="005C05E9">
        <w:t>the market</w:t>
      </w:r>
      <w:r w:rsidR="00126800" w:rsidRPr="005C05E9">
        <w:t>.</w:t>
      </w:r>
    </w:p>
    <w:p w14:paraId="4EB77A68" w14:textId="29CC0BBE" w:rsidR="00CE20A3" w:rsidRPr="005C05E9" w:rsidRDefault="00717B4B" w:rsidP="007D42BD">
      <w:pPr>
        <w:pStyle w:val="ListParagraph"/>
        <w:numPr>
          <w:ilvl w:val="0"/>
          <w:numId w:val="20"/>
        </w:numPr>
        <w:rPr>
          <w:rFonts w:cs="Arial"/>
        </w:rPr>
      </w:pPr>
      <w:r w:rsidRPr="005C05E9">
        <w:rPr>
          <w:rFonts w:cs="Arial"/>
        </w:rPr>
        <w:t xml:space="preserve">Under the closure in place strategy, both the ash pond and the landfill require </w:t>
      </w:r>
      <w:r w:rsidR="00751E4D" w:rsidRPr="005C05E9">
        <w:rPr>
          <w:rFonts w:cs="Arial"/>
        </w:rPr>
        <w:t>a minimum of 30 years of</w:t>
      </w:r>
      <w:r w:rsidRPr="005C05E9">
        <w:rPr>
          <w:rFonts w:cs="Arial"/>
        </w:rPr>
        <w:t xml:space="preserve"> post closure care</w:t>
      </w:r>
      <w:r w:rsidR="009C45CC" w:rsidRPr="005C05E9">
        <w:rPr>
          <w:rFonts w:cs="Arial"/>
        </w:rPr>
        <w:t xml:space="preserve">. </w:t>
      </w:r>
      <w:r w:rsidR="00D331C0" w:rsidRPr="005C05E9">
        <w:rPr>
          <w:rFonts w:cs="Arial"/>
        </w:rPr>
        <w:t xml:space="preserve">The </w:t>
      </w:r>
      <w:r w:rsidR="006C13BA" w:rsidRPr="005C05E9">
        <w:rPr>
          <w:rFonts w:cs="Arial"/>
        </w:rPr>
        <w:t xml:space="preserve">closure by removal strategy </w:t>
      </w:r>
      <w:r w:rsidR="00D331C0" w:rsidRPr="005C05E9">
        <w:rPr>
          <w:rFonts w:cs="Arial"/>
        </w:rPr>
        <w:t>consolidates the ash into a single footprint</w:t>
      </w:r>
      <w:r w:rsidR="002814CA" w:rsidRPr="005C05E9">
        <w:rPr>
          <w:rFonts w:cs="Arial"/>
        </w:rPr>
        <w:t xml:space="preserve"> </w:t>
      </w:r>
      <w:r w:rsidR="009C1B0F" w:rsidRPr="005C05E9">
        <w:rPr>
          <w:rFonts w:cs="Arial"/>
        </w:rPr>
        <w:t xml:space="preserve">within the landfill </w:t>
      </w:r>
      <w:r w:rsidR="002814CA" w:rsidRPr="005C05E9">
        <w:rPr>
          <w:rFonts w:cs="Arial"/>
        </w:rPr>
        <w:t xml:space="preserve">and </w:t>
      </w:r>
      <w:r w:rsidR="007D42BD" w:rsidRPr="005C05E9">
        <w:rPr>
          <w:rFonts w:cs="Arial"/>
        </w:rPr>
        <w:t xml:space="preserve">reduces the post closure care requirements </w:t>
      </w:r>
      <w:r w:rsidR="006C13BA" w:rsidRPr="005C05E9">
        <w:rPr>
          <w:rFonts w:cs="Arial"/>
        </w:rPr>
        <w:t>for the site</w:t>
      </w:r>
      <w:r w:rsidR="00DC6AF3" w:rsidRPr="005C05E9">
        <w:rPr>
          <w:rFonts w:cs="Arial"/>
        </w:rPr>
        <w:t>.</w:t>
      </w:r>
      <w:r w:rsidR="006C13BA" w:rsidRPr="005C05E9">
        <w:rPr>
          <w:rFonts w:cs="Arial"/>
        </w:rPr>
        <w:t xml:space="preserve"> </w:t>
      </w:r>
    </w:p>
    <w:p w14:paraId="7B29CEE7" w14:textId="210259B4" w:rsidR="00420C89" w:rsidRPr="005C05E9" w:rsidRDefault="007D42BD">
      <w:pPr>
        <w:rPr>
          <w:rFonts w:cs="Arial"/>
        </w:rPr>
      </w:pPr>
      <w:r w:rsidRPr="005C05E9">
        <w:rPr>
          <w:rFonts w:cs="Arial"/>
        </w:rPr>
        <w:t>Given these factors, i</w:t>
      </w:r>
      <w:r w:rsidR="00675E76" w:rsidRPr="005C05E9">
        <w:rPr>
          <w:rFonts w:cs="Arial"/>
        </w:rPr>
        <w:t xml:space="preserve">f </w:t>
      </w:r>
      <w:r w:rsidR="0017148A" w:rsidRPr="005C05E9">
        <w:rPr>
          <w:rFonts w:cs="Arial"/>
        </w:rPr>
        <w:t xml:space="preserve">the Commission </w:t>
      </w:r>
      <w:r w:rsidR="00675E76" w:rsidRPr="005C05E9">
        <w:rPr>
          <w:rFonts w:cs="Arial"/>
        </w:rPr>
        <w:t>approv</w:t>
      </w:r>
      <w:r w:rsidR="0017148A" w:rsidRPr="005C05E9">
        <w:rPr>
          <w:rFonts w:cs="Arial"/>
        </w:rPr>
        <w:t>es</w:t>
      </w:r>
      <w:r w:rsidR="00675E76" w:rsidRPr="005C05E9">
        <w:rPr>
          <w:rFonts w:cs="Arial"/>
        </w:rPr>
        <w:t xml:space="preserve"> the retirement of </w:t>
      </w:r>
      <w:r w:rsidR="00E32368" w:rsidRPr="005C05E9">
        <w:rPr>
          <w:rFonts w:eastAsia="Arial" w:cs="Arial"/>
        </w:rPr>
        <w:t>Plant Wansley Units 1 and 2</w:t>
      </w:r>
      <w:r w:rsidR="00A66C5A" w:rsidRPr="005C05E9">
        <w:rPr>
          <w:rFonts w:cs="Arial"/>
        </w:rPr>
        <w:t>,</w:t>
      </w:r>
      <w:r w:rsidR="00675E76" w:rsidRPr="005C05E9">
        <w:rPr>
          <w:rFonts w:cs="Arial"/>
        </w:rPr>
        <w:t xml:space="preserve"> Georgia Power </w:t>
      </w:r>
      <w:r w:rsidR="004D4F95" w:rsidRPr="005C05E9">
        <w:rPr>
          <w:rFonts w:cs="Arial"/>
        </w:rPr>
        <w:t>will modify</w:t>
      </w:r>
      <w:r w:rsidR="00A95A37" w:rsidRPr="005C05E9">
        <w:rPr>
          <w:rFonts w:eastAsia="Calibri" w:cs="Arial"/>
        </w:rPr>
        <w:t xml:space="preserve"> the </w:t>
      </w:r>
      <w:r w:rsidR="00B57EF8" w:rsidRPr="005C05E9">
        <w:rPr>
          <w:rFonts w:eastAsia="Calibri" w:cs="Arial"/>
        </w:rPr>
        <w:t>closure strategy</w:t>
      </w:r>
      <w:r w:rsidR="00675E76" w:rsidRPr="005C05E9">
        <w:rPr>
          <w:rFonts w:eastAsia="Calibri" w:cs="Arial"/>
        </w:rPr>
        <w:t xml:space="preserve"> </w:t>
      </w:r>
      <w:r w:rsidR="003039FE" w:rsidRPr="005C05E9">
        <w:rPr>
          <w:rFonts w:eastAsia="Calibri" w:cs="Arial"/>
        </w:rPr>
        <w:t xml:space="preserve">of Plant Wansley’s ash pond </w:t>
      </w:r>
      <w:r w:rsidR="00675E76" w:rsidRPr="005C05E9">
        <w:rPr>
          <w:rFonts w:eastAsia="Calibri" w:cs="Arial"/>
        </w:rPr>
        <w:t>from closure in place to closure by removal</w:t>
      </w:r>
      <w:r w:rsidR="00A66C5A" w:rsidRPr="005C05E9">
        <w:rPr>
          <w:rFonts w:eastAsia="Calibri" w:cs="Arial"/>
        </w:rPr>
        <w:t xml:space="preserve"> utilizing the on</w:t>
      </w:r>
      <w:r w:rsidR="00D63A5D" w:rsidRPr="005C05E9">
        <w:rPr>
          <w:rFonts w:eastAsia="Calibri" w:cs="Arial"/>
        </w:rPr>
        <w:t>-</w:t>
      </w:r>
      <w:r w:rsidR="00A66C5A" w:rsidRPr="005C05E9">
        <w:rPr>
          <w:rFonts w:eastAsia="Calibri" w:cs="Arial"/>
        </w:rPr>
        <w:t>site landfill</w:t>
      </w:r>
      <w:r w:rsidR="00675E76" w:rsidRPr="005C05E9">
        <w:rPr>
          <w:rFonts w:eastAsia="Calibri" w:cs="Arial"/>
        </w:rPr>
        <w:t>.</w:t>
      </w:r>
      <w:r w:rsidR="00F83F61" w:rsidRPr="005C05E9">
        <w:rPr>
          <w:rFonts w:eastAsia="Calibri" w:cs="Arial"/>
        </w:rPr>
        <w:t xml:space="preserve">  The Company will </w:t>
      </w:r>
      <w:r w:rsidR="00EE4EA4" w:rsidRPr="005C05E9">
        <w:rPr>
          <w:rFonts w:eastAsia="Calibri" w:cs="Arial"/>
        </w:rPr>
        <w:t>submit updated</w:t>
      </w:r>
      <w:r w:rsidR="00F83F61" w:rsidRPr="005C05E9">
        <w:rPr>
          <w:rFonts w:eastAsia="Calibri" w:cs="Arial"/>
        </w:rPr>
        <w:t xml:space="preserve"> permit </w:t>
      </w:r>
      <w:r w:rsidR="0031689B" w:rsidRPr="005C05E9">
        <w:rPr>
          <w:rFonts w:eastAsia="Calibri" w:cs="Arial"/>
        </w:rPr>
        <w:t>information</w:t>
      </w:r>
      <w:r w:rsidR="00046146" w:rsidRPr="005C05E9">
        <w:rPr>
          <w:rFonts w:eastAsia="Calibri" w:cs="Arial"/>
        </w:rPr>
        <w:t xml:space="preserve"> </w:t>
      </w:r>
      <w:r w:rsidR="00940F35" w:rsidRPr="005C05E9">
        <w:rPr>
          <w:rFonts w:eastAsia="Calibri" w:cs="Arial"/>
        </w:rPr>
        <w:t xml:space="preserve">to </w:t>
      </w:r>
      <w:r w:rsidR="00F83F61" w:rsidRPr="005C05E9">
        <w:rPr>
          <w:rFonts w:eastAsia="Calibri" w:cs="Arial"/>
        </w:rPr>
        <w:t>Georgia EPD</w:t>
      </w:r>
      <w:r w:rsidR="00940F35" w:rsidRPr="005C05E9">
        <w:rPr>
          <w:rFonts w:eastAsia="Calibri" w:cs="Arial"/>
        </w:rPr>
        <w:t xml:space="preserve"> following the issuance of the Commission</w:t>
      </w:r>
      <w:r w:rsidR="00253730" w:rsidRPr="005C05E9">
        <w:rPr>
          <w:rFonts w:eastAsia="Calibri" w:cs="Arial"/>
        </w:rPr>
        <w:t>’s</w:t>
      </w:r>
      <w:r w:rsidR="00940F35" w:rsidRPr="005C05E9">
        <w:rPr>
          <w:rFonts w:eastAsia="Calibri" w:cs="Arial"/>
        </w:rPr>
        <w:t xml:space="preserve"> order in the 2022 IRP</w:t>
      </w:r>
      <w:r w:rsidR="00CC4AD7" w:rsidRPr="005C05E9">
        <w:rPr>
          <w:rFonts w:eastAsia="Calibri" w:cs="Arial"/>
        </w:rPr>
        <w:t>.</w:t>
      </w:r>
      <w:r w:rsidR="00F83F61" w:rsidRPr="005C05E9">
        <w:rPr>
          <w:rFonts w:eastAsia="Calibri" w:cs="Arial"/>
        </w:rPr>
        <w:t xml:space="preserve"> </w:t>
      </w:r>
    </w:p>
    <w:p w14:paraId="049033E6" w14:textId="6CB4FE28" w:rsidR="000D578E" w:rsidRPr="0084296F" w:rsidRDefault="00BC49D3" w:rsidP="008025DB">
      <w:pPr>
        <w:rPr>
          <w:color w:val="171717" w:themeColor="background2" w:themeShade="1A"/>
        </w:rPr>
      </w:pPr>
      <w:r w:rsidRPr="005C05E9">
        <w:rPr>
          <w:rFonts w:eastAsia="Calibri"/>
          <w:color w:val="000000" w:themeColor="text1"/>
        </w:rPr>
        <w:t>A summary of the Company’s</w:t>
      </w:r>
      <w:r w:rsidR="00A86D1F" w:rsidRPr="005C05E9">
        <w:rPr>
          <w:rFonts w:eastAsia="Calibri"/>
          <w:color w:val="000000" w:themeColor="text1"/>
        </w:rPr>
        <w:t xml:space="preserve"> </w:t>
      </w:r>
      <w:r w:rsidRPr="005C05E9">
        <w:rPr>
          <w:rFonts w:eastAsia="Calibri"/>
          <w:color w:val="000000" w:themeColor="text1"/>
        </w:rPr>
        <w:t>approved closure strategy method along with applicable construction updates is provided in Table 4.3-1. This</w:t>
      </w:r>
      <w:r w:rsidRPr="005C05E9" w:rsidDel="00ED7163">
        <w:rPr>
          <w:rFonts w:eastAsia="Calibri"/>
          <w:color w:val="000000" w:themeColor="text1"/>
        </w:rPr>
        <w:t xml:space="preserve"> </w:t>
      </w:r>
      <w:r w:rsidRPr="005C05E9">
        <w:rPr>
          <w:rFonts w:eastAsia="Calibri"/>
          <w:color w:val="000000" w:themeColor="text1"/>
        </w:rPr>
        <w:t>infor</w:t>
      </w:r>
      <w:r>
        <w:rPr>
          <w:rFonts w:eastAsia="Calibri"/>
          <w:color w:val="000000" w:themeColor="text1"/>
        </w:rPr>
        <w:t xml:space="preserve">mation is consistent with the information provided in the </w:t>
      </w:r>
      <w:r w:rsidRPr="08F2E814">
        <w:rPr>
          <w:rFonts w:eastAsia="Calibri"/>
          <w:color w:val="000000" w:themeColor="text1"/>
        </w:rPr>
        <w:t>permit</w:t>
      </w:r>
      <w:r>
        <w:rPr>
          <w:rFonts w:eastAsia="Calibri"/>
          <w:color w:val="000000" w:themeColor="text1"/>
        </w:rPr>
        <w:t>s and permit</w:t>
      </w:r>
      <w:r w:rsidRPr="08F2E814">
        <w:rPr>
          <w:rFonts w:eastAsia="Calibri"/>
          <w:color w:val="000000" w:themeColor="text1"/>
        </w:rPr>
        <w:t xml:space="preserve"> applications submitted to Georgia EPD</w:t>
      </w:r>
      <w:r>
        <w:rPr>
          <w:rFonts w:eastAsia="Calibri"/>
          <w:color w:val="000000" w:themeColor="text1"/>
        </w:rPr>
        <w:t xml:space="preserve"> and as reported in the </w:t>
      </w:r>
      <w:r w:rsidRPr="37612734">
        <w:rPr>
          <w:rFonts w:eastAsia="Calibri"/>
          <w:color w:val="000000" w:themeColor="text1"/>
        </w:rPr>
        <w:t>CCR</w:t>
      </w:r>
      <w:r>
        <w:rPr>
          <w:rFonts w:eastAsia="Calibri"/>
          <w:color w:val="000000" w:themeColor="text1"/>
        </w:rPr>
        <w:t xml:space="preserve"> ARO</w:t>
      </w:r>
      <w:r w:rsidRPr="00AE53C6">
        <w:rPr>
          <w:rFonts w:eastAsia="Calibri"/>
          <w:color w:val="000000" w:themeColor="text1"/>
        </w:rPr>
        <w:t xml:space="preserve"> Program Semi-Annual Program Status Report</w:t>
      </w:r>
      <w:r>
        <w:rPr>
          <w:rFonts w:eastAsia="Calibri"/>
          <w:color w:val="000000" w:themeColor="text1"/>
        </w:rPr>
        <w:t xml:space="preserve"> filed with the Commission </w:t>
      </w:r>
      <w:r w:rsidRPr="37612734">
        <w:rPr>
          <w:rFonts w:cs="Arial"/>
        </w:rPr>
        <w:t>through Docket No 43083</w:t>
      </w:r>
      <w:r>
        <w:rPr>
          <w:rFonts w:eastAsia="Calibri"/>
          <w:color w:val="000000" w:themeColor="text1"/>
        </w:rPr>
        <w:t xml:space="preserve">. </w:t>
      </w:r>
      <w:r w:rsidR="32335C87" w:rsidRPr="5A1D0B92">
        <w:rPr>
          <w:color w:val="171717" w:themeColor="background2" w:themeShade="1A"/>
        </w:rPr>
        <w:t xml:space="preserve">Georgia Power </w:t>
      </w:r>
      <w:r w:rsidR="00B9522F" w:rsidRPr="00B339EB">
        <w:rPr>
          <w:color w:val="171717" w:themeColor="background2" w:themeShade="1A"/>
        </w:rPr>
        <w:t>has provided l</w:t>
      </w:r>
      <w:r w:rsidR="002B77BD" w:rsidRPr="00B339EB">
        <w:rPr>
          <w:color w:val="171717" w:themeColor="background2" w:themeShade="1A"/>
        </w:rPr>
        <w:t xml:space="preserve">andfill </w:t>
      </w:r>
      <w:r w:rsidR="002B77BD" w:rsidRPr="006B6BF9">
        <w:rPr>
          <w:color w:val="171717" w:themeColor="background2" w:themeShade="1A"/>
        </w:rPr>
        <w:t xml:space="preserve">and ash pond closure certifications </w:t>
      </w:r>
      <w:r w:rsidR="00651972" w:rsidRPr="006B6BF9">
        <w:rPr>
          <w:color w:val="171717" w:themeColor="background2" w:themeShade="1A"/>
        </w:rPr>
        <w:t xml:space="preserve">to </w:t>
      </w:r>
      <w:r w:rsidR="00D2543F">
        <w:rPr>
          <w:color w:val="171717" w:themeColor="background2" w:themeShade="1A"/>
        </w:rPr>
        <w:t>Georgia</w:t>
      </w:r>
      <w:r w:rsidR="00D2543F" w:rsidRPr="08F2E814">
        <w:rPr>
          <w:color w:val="171717" w:themeColor="background2" w:themeShade="1A"/>
        </w:rPr>
        <w:t xml:space="preserve"> </w:t>
      </w:r>
      <w:r w:rsidR="00651972" w:rsidRPr="006B6BF9">
        <w:rPr>
          <w:color w:val="171717" w:themeColor="background2" w:themeShade="1A"/>
        </w:rPr>
        <w:t xml:space="preserve">EPD </w:t>
      </w:r>
      <w:r w:rsidR="002B77BD" w:rsidRPr="006B6BF9">
        <w:rPr>
          <w:color w:val="171717" w:themeColor="background2" w:themeShade="1A"/>
        </w:rPr>
        <w:t xml:space="preserve">for </w:t>
      </w:r>
      <w:r w:rsidR="00E4102A">
        <w:rPr>
          <w:color w:val="171717" w:themeColor="background2" w:themeShade="1A"/>
        </w:rPr>
        <w:t xml:space="preserve">certain </w:t>
      </w:r>
      <w:r w:rsidR="002B77BD" w:rsidRPr="006B6BF9">
        <w:rPr>
          <w:color w:val="171717" w:themeColor="background2" w:themeShade="1A"/>
        </w:rPr>
        <w:t xml:space="preserve">CCR Units at Plants </w:t>
      </w:r>
      <w:r w:rsidR="004F4C1D" w:rsidRPr="006B6BF9">
        <w:rPr>
          <w:color w:val="171717" w:themeColor="background2" w:themeShade="1A"/>
        </w:rPr>
        <w:t>Branch</w:t>
      </w:r>
      <w:r w:rsidR="006A7E83" w:rsidRPr="006B6BF9">
        <w:rPr>
          <w:color w:val="171717" w:themeColor="background2" w:themeShade="1A"/>
        </w:rPr>
        <w:t>, Hammond</w:t>
      </w:r>
      <w:r w:rsidR="00CE4DD4" w:rsidRPr="006B6BF9">
        <w:rPr>
          <w:color w:val="171717" w:themeColor="background2" w:themeShade="1A"/>
        </w:rPr>
        <w:t xml:space="preserve">, Kraft, </w:t>
      </w:r>
      <w:r w:rsidR="00C558D4" w:rsidRPr="006B6BF9">
        <w:rPr>
          <w:color w:val="171717" w:themeColor="background2" w:themeShade="1A"/>
        </w:rPr>
        <w:t xml:space="preserve">McDonough, </w:t>
      </w:r>
      <w:r w:rsidR="00191451" w:rsidRPr="006B6BF9">
        <w:rPr>
          <w:color w:val="171717" w:themeColor="background2" w:themeShade="1A"/>
        </w:rPr>
        <w:t>McManus,</w:t>
      </w:r>
      <w:r w:rsidR="001C0107" w:rsidRPr="006B6BF9">
        <w:rPr>
          <w:color w:val="171717" w:themeColor="background2" w:themeShade="1A"/>
        </w:rPr>
        <w:t xml:space="preserve"> </w:t>
      </w:r>
      <w:r w:rsidR="000033DD">
        <w:rPr>
          <w:color w:val="171717" w:themeColor="background2" w:themeShade="1A"/>
        </w:rPr>
        <w:t>McIntosh</w:t>
      </w:r>
      <w:r w:rsidR="00AC323F">
        <w:rPr>
          <w:color w:val="171717" w:themeColor="background2" w:themeShade="1A"/>
        </w:rPr>
        <w:t xml:space="preserve">, </w:t>
      </w:r>
      <w:r w:rsidR="001C0107" w:rsidRPr="006B6BF9">
        <w:rPr>
          <w:color w:val="171717" w:themeColor="background2" w:themeShade="1A"/>
        </w:rPr>
        <w:t>and Yates</w:t>
      </w:r>
      <w:r w:rsidR="002B77BD" w:rsidRPr="006B6BF9">
        <w:rPr>
          <w:color w:val="171717" w:themeColor="background2" w:themeShade="1A"/>
        </w:rPr>
        <w:t>.</w:t>
      </w:r>
      <w:r w:rsidR="00651972" w:rsidRPr="00B42F8C">
        <w:rPr>
          <w:color w:val="171717" w:themeColor="background2" w:themeShade="1A"/>
        </w:rPr>
        <w:t xml:space="preserve"> These</w:t>
      </w:r>
      <w:r w:rsidR="00651972" w:rsidRPr="0084296F">
        <w:rPr>
          <w:color w:val="171717" w:themeColor="background2" w:themeShade="1A"/>
        </w:rPr>
        <w:t xml:space="preserve"> closure certifications </w:t>
      </w:r>
      <w:r w:rsidR="009265C3" w:rsidRPr="0084296F">
        <w:rPr>
          <w:color w:val="171717" w:themeColor="background2" w:themeShade="1A"/>
        </w:rPr>
        <w:t xml:space="preserve">document important information regarding </w:t>
      </w:r>
      <w:r w:rsidR="00A21BE8" w:rsidRPr="0084296F">
        <w:rPr>
          <w:color w:val="171717" w:themeColor="background2" w:themeShade="1A"/>
        </w:rPr>
        <w:t>the closure activities</w:t>
      </w:r>
      <w:r w:rsidR="00F817F0" w:rsidRPr="0084296F">
        <w:rPr>
          <w:color w:val="171717" w:themeColor="background2" w:themeShade="1A"/>
        </w:rPr>
        <w:t xml:space="preserve">, </w:t>
      </w:r>
      <w:r w:rsidR="009265C3" w:rsidRPr="0084296F">
        <w:rPr>
          <w:color w:val="171717" w:themeColor="background2" w:themeShade="1A"/>
        </w:rPr>
        <w:t>quality control</w:t>
      </w:r>
      <w:r w:rsidR="008F6534" w:rsidRPr="0084296F">
        <w:rPr>
          <w:color w:val="171717" w:themeColor="background2" w:themeShade="1A"/>
        </w:rPr>
        <w:t xml:space="preserve"> information, and verification </w:t>
      </w:r>
      <w:r w:rsidR="00D26952" w:rsidRPr="0084296F">
        <w:rPr>
          <w:color w:val="171717" w:themeColor="background2" w:themeShade="1A"/>
        </w:rPr>
        <w:t>of</w:t>
      </w:r>
      <w:r w:rsidR="00A21BE8" w:rsidRPr="0084296F">
        <w:rPr>
          <w:color w:val="171717" w:themeColor="background2" w:themeShade="1A"/>
        </w:rPr>
        <w:t xml:space="preserve"> compliance with the CCR rule.</w:t>
      </w:r>
      <w:r w:rsidR="00CE3DD1" w:rsidRPr="0084296F">
        <w:rPr>
          <w:color w:val="171717" w:themeColor="background2" w:themeShade="1A"/>
        </w:rPr>
        <w:t xml:space="preserve"> </w:t>
      </w:r>
      <w:r w:rsidR="00D2543F">
        <w:rPr>
          <w:color w:val="171717" w:themeColor="background2" w:themeShade="1A"/>
        </w:rPr>
        <w:t>Georgia</w:t>
      </w:r>
      <w:r w:rsidR="00D2543F" w:rsidRPr="08F2E814">
        <w:rPr>
          <w:color w:val="171717" w:themeColor="background2" w:themeShade="1A"/>
        </w:rPr>
        <w:t xml:space="preserve"> </w:t>
      </w:r>
      <w:r w:rsidR="00CE3DD1" w:rsidRPr="006B6BF9">
        <w:rPr>
          <w:color w:val="171717" w:themeColor="background2" w:themeShade="1A"/>
        </w:rPr>
        <w:t xml:space="preserve">EPD </w:t>
      </w:r>
      <w:r w:rsidR="005F66F0" w:rsidRPr="006B6BF9">
        <w:rPr>
          <w:color w:val="171717" w:themeColor="background2" w:themeShade="1A"/>
        </w:rPr>
        <w:t xml:space="preserve">has issued </w:t>
      </w:r>
      <w:r w:rsidR="003D42AC" w:rsidRPr="006B6BF9">
        <w:rPr>
          <w:color w:val="171717" w:themeColor="background2" w:themeShade="1A"/>
        </w:rPr>
        <w:t xml:space="preserve">acknowledgement </w:t>
      </w:r>
      <w:r w:rsidR="00775A8B" w:rsidRPr="006B6BF9">
        <w:rPr>
          <w:color w:val="171717" w:themeColor="background2" w:themeShade="1A"/>
        </w:rPr>
        <w:t xml:space="preserve">letters for </w:t>
      </w:r>
      <w:r w:rsidR="003D42AC" w:rsidRPr="006B6BF9">
        <w:rPr>
          <w:color w:val="171717" w:themeColor="background2" w:themeShade="1A"/>
        </w:rPr>
        <w:t xml:space="preserve">completion </w:t>
      </w:r>
      <w:r w:rsidR="00DA3224" w:rsidRPr="006B6BF9">
        <w:rPr>
          <w:color w:val="171717" w:themeColor="background2" w:themeShade="1A"/>
        </w:rPr>
        <w:t>of CCR removal for</w:t>
      </w:r>
      <w:r w:rsidR="00DA3224">
        <w:rPr>
          <w:color w:val="171717" w:themeColor="background2" w:themeShade="1A"/>
        </w:rPr>
        <w:t xml:space="preserve"> </w:t>
      </w:r>
      <w:r w:rsidR="0092763D">
        <w:rPr>
          <w:color w:val="171717" w:themeColor="background2" w:themeShade="1A"/>
        </w:rPr>
        <w:t xml:space="preserve">certain </w:t>
      </w:r>
      <w:r w:rsidR="001B6293">
        <w:rPr>
          <w:color w:val="171717" w:themeColor="background2" w:themeShade="1A"/>
        </w:rPr>
        <w:t>CCR Units at</w:t>
      </w:r>
      <w:r w:rsidR="00DA3224" w:rsidRPr="006B6BF9">
        <w:rPr>
          <w:color w:val="171717" w:themeColor="background2" w:themeShade="1A"/>
        </w:rPr>
        <w:t xml:space="preserve"> Plant</w:t>
      </w:r>
      <w:r w:rsidR="007A6CF4" w:rsidRPr="006B6BF9">
        <w:rPr>
          <w:color w:val="171717" w:themeColor="background2" w:themeShade="1A"/>
        </w:rPr>
        <w:t>s</w:t>
      </w:r>
      <w:r w:rsidR="00DA3224" w:rsidRPr="006B6BF9">
        <w:rPr>
          <w:color w:val="171717" w:themeColor="background2" w:themeShade="1A"/>
        </w:rPr>
        <w:t xml:space="preserve"> McManus</w:t>
      </w:r>
      <w:r w:rsidR="006D1230" w:rsidRPr="006B6BF9">
        <w:rPr>
          <w:color w:val="171717" w:themeColor="background2" w:themeShade="1A"/>
        </w:rPr>
        <w:t>, McDonough</w:t>
      </w:r>
      <w:r w:rsidR="00CD6FED">
        <w:rPr>
          <w:color w:val="171717" w:themeColor="background2" w:themeShade="1A"/>
        </w:rPr>
        <w:t>, McIntosh,</w:t>
      </w:r>
      <w:r w:rsidR="007A6CF4" w:rsidRPr="006B6BF9">
        <w:rPr>
          <w:color w:val="171717" w:themeColor="background2" w:themeShade="1A"/>
        </w:rPr>
        <w:t xml:space="preserve"> and Yates</w:t>
      </w:r>
      <w:r w:rsidR="00AB084E" w:rsidRPr="00A848F8">
        <w:rPr>
          <w:color w:val="171717" w:themeColor="background2" w:themeShade="1A"/>
        </w:rPr>
        <w:t xml:space="preserve">, </w:t>
      </w:r>
      <w:r w:rsidR="005F66F0" w:rsidRPr="009B2DA6">
        <w:rPr>
          <w:color w:val="171717" w:themeColor="background2" w:themeShade="1A"/>
        </w:rPr>
        <w:t xml:space="preserve">demonstrating the Company’s compliance with the </w:t>
      </w:r>
      <w:r w:rsidR="00D209AB" w:rsidRPr="009B2DA6">
        <w:rPr>
          <w:color w:val="171717" w:themeColor="background2" w:themeShade="1A"/>
        </w:rPr>
        <w:t>state</w:t>
      </w:r>
      <w:r w:rsidR="00D209AB" w:rsidRPr="0084296F">
        <w:rPr>
          <w:color w:val="171717" w:themeColor="background2" w:themeShade="1A"/>
        </w:rPr>
        <w:t xml:space="preserve"> </w:t>
      </w:r>
      <w:r w:rsidR="005F66F0" w:rsidRPr="0084296F">
        <w:rPr>
          <w:color w:val="171717" w:themeColor="background2" w:themeShade="1A"/>
        </w:rPr>
        <w:t>CCR rule</w:t>
      </w:r>
      <w:r w:rsidR="00D209AB" w:rsidRPr="0084296F">
        <w:rPr>
          <w:color w:val="171717" w:themeColor="background2" w:themeShade="1A"/>
        </w:rPr>
        <w:t>’s</w:t>
      </w:r>
      <w:r w:rsidR="005F66F0" w:rsidRPr="0084296F">
        <w:rPr>
          <w:color w:val="171717" w:themeColor="background2" w:themeShade="1A"/>
        </w:rPr>
        <w:t xml:space="preserve"> closure requirements</w:t>
      </w:r>
      <w:r w:rsidR="00796F4F">
        <w:rPr>
          <w:color w:val="171717" w:themeColor="background2" w:themeShade="1A"/>
        </w:rPr>
        <w:t xml:space="preserve"> a</w:t>
      </w:r>
      <w:r w:rsidR="00D135C6">
        <w:rPr>
          <w:color w:val="171717" w:themeColor="background2" w:themeShade="1A"/>
        </w:rPr>
        <w:t xml:space="preserve">s well as </w:t>
      </w:r>
      <w:r w:rsidR="00D2543F">
        <w:rPr>
          <w:color w:val="171717" w:themeColor="background2" w:themeShade="1A"/>
        </w:rPr>
        <w:t>Georgia</w:t>
      </w:r>
      <w:r w:rsidR="00D2543F" w:rsidRPr="08F2E814">
        <w:rPr>
          <w:color w:val="171717" w:themeColor="background2" w:themeShade="1A"/>
        </w:rPr>
        <w:t xml:space="preserve"> </w:t>
      </w:r>
      <w:r w:rsidR="00D135C6">
        <w:rPr>
          <w:color w:val="171717" w:themeColor="background2" w:themeShade="1A"/>
        </w:rPr>
        <w:t xml:space="preserve">EPD’s </w:t>
      </w:r>
      <w:r w:rsidR="00225CF7">
        <w:rPr>
          <w:color w:val="171717" w:themeColor="background2" w:themeShade="1A"/>
        </w:rPr>
        <w:t xml:space="preserve">active </w:t>
      </w:r>
      <w:r w:rsidR="00BA6E7B">
        <w:rPr>
          <w:color w:val="171717" w:themeColor="background2" w:themeShade="1A"/>
        </w:rPr>
        <w:t xml:space="preserve">oversight regardless of </w:t>
      </w:r>
      <w:r w:rsidR="005019AB">
        <w:rPr>
          <w:color w:val="171717" w:themeColor="background2" w:themeShade="1A"/>
        </w:rPr>
        <w:t>final permit</w:t>
      </w:r>
      <w:r w:rsidR="00225CF7">
        <w:rPr>
          <w:color w:val="171717" w:themeColor="background2" w:themeShade="1A"/>
        </w:rPr>
        <w:t xml:space="preserve"> status</w:t>
      </w:r>
      <w:r w:rsidR="009930C3">
        <w:rPr>
          <w:color w:val="171717" w:themeColor="background2" w:themeShade="1A"/>
        </w:rPr>
        <w:t>.</w:t>
      </w:r>
    </w:p>
    <w:p w14:paraId="6E874C3B" w14:textId="0F3A0374" w:rsidR="00E35C33" w:rsidDel="00184F28" w:rsidRDefault="00892B8E" w:rsidP="008025DB">
      <w:pPr>
        <w:rPr>
          <w:color w:val="171717"/>
        </w:rPr>
      </w:pPr>
      <w:r w:rsidDel="00184F28">
        <w:rPr>
          <w:color w:val="171717" w:themeColor="background2" w:themeShade="1A"/>
        </w:rPr>
        <w:t>T</w:t>
      </w:r>
      <w:r w:rsidR="00564B27" w:rsidRPr="08F2E814" w:rsidDel="00184F28">
        <w:rPr>
          <w:color w:val="171717" w:themeColor="background2" w:themeShade="1A"/>
        </w:rPr>
        <w:t xml:space="preserve">he Company </w:t>
      </w:r>
      <w:r w:rsidR="00EA592A" w:rsidDel="00184F28">
        <w:rPr>
          <w:color w:val="171717" w:themeColor="background2" w:themeShade="1A"/>
        </w:rPr>
        <w:t>continues</w:t>
      </w:r>
      <w:r w:rsidR="00214BBA" w:rsidRPr="08F2E814" w:rsidDel="00184F28">
        <w:rPr>
          <w:color w:val="171717" w:themeColor="background2" w:themeShade="1A"/>
        </w:rPr>
        <w:t xml:space="preserve"> to meet </w:t>
      </w:r>
      <w:r w:rsidRPr="08F2E814" w:rsidDel="00184F28">
        <w:rPr>
          <w:color w:val="171717" w:themeColor="background2" w:themeShade="1A"/>
        </w:rPr>
        <w:t xml:space="preserve">ongoing compliance requirements </w:t>
      </w:r>
      <w:r w:rsidR="00556537" w:rsidRPr="08F2E814" w:rsidDel="00184F28">
        <w:rPr>
          <w:color w:val="171717" w:themeColor="background2" w:themeShade="1A"/>
        </w:rPr>
        <w:t xml:space="preserve">at the applicable sites </w:t>
      </w:r>
      <w:r w:rsidR="00AB59F2" w:rsidDel="00184F28">
        <w:rPr>
          <w:color w:val="171717" w:themeColor="background2" w:themeShade="1A"/>
        </w:rPr>
        <w:t>through</w:t>
      </w:r>
      <w:r w:rsidR="00564B27" w:rsidRPr="08F2E814" w:rsidDel="00184F28">
        <w:rPr>
          <w:color w:val="171717" w:themeColor="background2" w:themeShade="1A"/>
        </w:rPr>
        <w:t xml:space="preserve"> </w:t>
      </w:r>
      <w:r w:rsidR="009A6779" w:rsidRPr="08F2E814" w:rsidDel="00184F28">
        <w:rPr>
          <w:color w:val="171717" w:themeColor="background2" w:themeShade="1A"/>
        </w:rPr>
        <w:t xml:space="preserve">landfill and ash pond inspections, </w:t>
      </w:r>
      <w:r w:rsidR="00B45B4D" w:rsidRPr="08F2E814" w:rsidDel="00184F28">
        <w:rPr>
          <w:color w:val="171717" w:themeColor="background2" w:themeShade="1A"/>
        </w:rPr>
        <w:t>n</w:t>
      </w:r>
      <w:r w:rsidR="009A6779" w:rsidRPr="08F2E814" w:rsidDel="00184F28">
        <w:rPr>
          <w:color w:val="171717" w:themeColor="background2" w:themeShade="1A"/>
        </w:rPr>
        <w:t xml:space="preserve">otices of </w:t>
      </w:r>
      <w:r w:rsidR="00B45B4D" w:rsidRPr="08F2E814" w:rsidDel="00184F28">
        <w:rPr>
          <w:color w:val="171717" w:themeColor="background2" w:themeShade="1A"/>
        </w:rPr>
        <w:t>i</w:t>
      </w:r>
      <w:r w:rsidR="009A6779" w:rsidRPr="08F2E814" w:rsidDel="00184F28">
        <w:rPr>
          <w:color w:val="171717" w:themeColor="background2" w:themeShade="1A"/>
        </w:rPr>
        <w:t xml:space="preserve">ntent to </w:t>
      </w:r>
      <w:r w:rsidR="00B45B4D" w:rsidRPr="08F2E814" w:rsidDel="00184F28">
        <w:rPr>
          <w:color w:val="171717" w:themeColor="background2" w:themeShade="1A"/>
        </w:rPr>
        <w:t>c</w:t>
      </w:r>
      <w:r w:rsidR="009A6779" w:rsidRPr="08F2E814" w:rsidDel="00184F28">
        <w:rPr>
          <w:color w:val="171717" w:themeColor="background2" w:themeShade="1A"/>
        </w:rPr>
        <w:t>lose CCR units</w:t>
      </w:r>
      <w:r w:rsidR="00FF68D0" w:rsidRPr="08F2E814" w:rsidDel="00184F28">
        <w:rPr>
          <w:color w:val="171717" w:themeColor="background2" w:themeShade="1A"/>
        </w:rPr>
        <w:t>,</w:t>
      </w:r>
      <w:r w:rsidR="009A6779" w:rsidRPr="08F2E814" w:rsidDel="00184F28">
        <w:rPr>
          <w:color w:val="171717" w:themeColor="background2" w:themeShade="1A"/>
        </w:rPr>
        <w:t xml:space="preserve"> </w:t>
      </w:r>
      <w:r w:rsidR="00B45B4D" w:rsidRPr="08F2E814" w:rsidDel="00184F28">
        <w:rPr>
          <w:color w:val="171717" w:themeColor="background2" w:themeShade="1A"/>
        </w:rPr>
        <w:t>g</w:t>
      </w:r>
      <w:r w:rsidR="00E35C33" w:rsidRPr="08F2E814" w:rsidDel="00184F28">
        <w:rPr>
          <w:color w:val="171717" w:themeColor="background2" w:themeShade="1A"/>
        </w:rPr>
        <w:t xml:space="preserve">roundwater </w:t>
      </w:r>
      <w:r w:rsidR="009A6779" w:rsidRPr="08F2E814" w:rsidDel="00184F28">
        <w:rPr>
          <w:color w:val="171717" w:themeColor="background2" w:themeShade="1A"/>
        </w:rPr>
        <w:t xml:space="preserve">monitoring </w:t>
      </w:r>
      <w:r w:rsidR="00142955" w:rsidRPr="08F2E814" w:rsidDel="00184F28">
        <w:rPr>
          <w:color w:val="171717" w:themeColor="background2" w:themeShade="1A"/>
        </w:rPr>
        <w:t xml:space="preserve">events and </w:t>
      </w:r>
      <w:r w:rsidR="00E35C33" w:rsidRPr="08F2E814" w:rsidDel="00184F28">
        <w:rPr>
          <w:color w:val="171717" w:themeColor="background2" w:themeShade="1A"/>
        </w:rPr>
        <w:t>document</w:t>
      </w:r>
      <w:r w:rsidR="009A6779" w:rsidRPr="08F2E814" w:rsidDel="00184F28">
        <w:rPr>
          <w:color w:val="171717" w:themeColor="background2" w:themeShade="1A"/>
        </w:rPr>
        <w:t>ation consisting of</w:t>
      </w:r>
      <w:r w:rsidR="00E35C33" w:rsidRPr="08F2E814" w:rsidDel="00184F28">
        <w:rPr>
          <w:color w:val="171717" w:themeColor="background2" w:themeShade="1A"/>
        </w:rPr>
        <w:t xml:space="preserve"> </w:t>
      </w:r>
      <w:r w:rsidR="00142955" w:rsidRPr="08F2E814" w:rsidDel="00184F28">
        <w:rPr>
          <w:color w:val="171717" w:themeColor="background2" w:themeShade="1A"/>
        </w:rPr>
        <w:t>a</w:t>
      </w:r>
      <w:r w:rsidR="00E35C33" w:rsidRPr="08F2E814" w:rsidDel="00184F28">
        <w:rPr>
          <w:color w:val="171717" w:themeColor="background2" w:themeShade="1A"/>
        </w:rPr>
        <w:t xml:space="preserve">nnual and </w:t>
      </w:r>
      <w:r w:rsidR="00142955" w:rsidRPr="08F2E814" w:rsidDel="00184F28">
        <w:rPr>
          <w:color w:val="171717" w:themeColor="background2" w:themeShade="1A"/>
        </w:rPr>
        <w:t>s</w:t>
      </w:r>
      <w:r w:rsidR="00E35C33" w:rsidRPr="08F2E814" w:rsidDel="00184F28">
        <w:rPr>
          <w:color w:val="171717" w:themeColor="background2" w:themeShade="1A"/>
        </w:rPr>
        <w:t>emi-</w:t>
      </w:r>
      <w:r w:rsidR="00142955" w:rsidRPr="08F2E814" w:rsidDel="00184F28">
        <w:rPr>
          <w:color w:val="171717" w:themeColor="background2" w:themeShade="1A"/>
        </w:rPr>
        <w:t>a</w:t>
      </w:r>
      <w:r w:rsidR="00E35C33" w:rsidRPr="08F2E814" w:rsidDel="00184F28">
        <w:rPr>
          <w:color w:val="171717" w:themeColor="background2" w:themeShade="1A"/>
        </w:rPr>
        <w:t xml:space="preserve">nnual </w:t>
      </w:r>
      <w:r w:rsidR="00142955" w:rsidRPr="08F2E814" w:rsidDel="00184F28">
        <w:rPr>
          <w:color w:val="171717" w:themeColor="background2" w:themeShade="1A"/>
        </w:rPr>
        <w:t>g</w:t>
      </w:r>
      <w:r w:rsidR="00E35C33" w:rsidRPr="08F2E814" w:rsidDel="00184F28">
        <w:rPr>
          <w:color w:val="171717" w:themeColor="background2" w:themeShade="1A"/>
        </w:rPr>
        <w:t xml:space="preserve">roundwater </w:t>
      </w:r>
      <w:r w:rsidR="00142955" w:rsidRPr="08F2E814" w:rsidDel="00184F28">
        <w:rPr>
          <w:color w:val="171717" w:themeColor="background2" w:themeShade="1A"/>
        </w:rPr>
        <w:t>r</w:t>
      </w:r>
      <w:r w:rsidR="00E35C33" w:rsidRPr="08F2E814" w:rsidDel="00184F28">
        <w:rPr>
          <w:color w:val="171717" w:themeColor="background2" w:themeShade="1A"/>
        </w:rPr>
        <w:t xml:space="preserve">eports, </w:t>
      </w:r>
      <w:r w:rsidR="00142955" w:rsidRPr="08F2E814" w:rsidDel="00184F28">
        <w:rPr>
          <w:color w:val="171717" w:themeColor="background2" w:themeShade="1A"/>
        </w:rPr>
        <w:t>a</w:t>
      </w:r>
      <w:r w:rsidR="00E35C33" w:rsidRPr="08F2E814" w:rsidDel="00184F28">
        <w:rPr>
          <w:color w:val="171717" w:themeColor="background2" w:themeShade="1A"/>
        </w:rPr>
        <w:t xml:space="preserve">lternate </w:t>
      </w:r>
      <w:r w:rsidR="00142955" w:rsidRPr="08F2E814" w:rsidDel="00184F28">
        <w:rPr>
          <w:color w:val="171717" w:themeColor="background2" w:themeShade="1A"/>
        </w:rPr>
        <w:t>s</w:t>
      </w:r>
      <w:r w:rsidR="00E35C33" w:rsidRPr="08F2E814" w:rsidDel="00184F28">
        <w:rPr>
          <w:color w:val="171717" w:themeColor="background2" w:themeShade="1A"/>
        </w:rPr>
        <w:t xml:space="preserve">ource </w:t>
      </w:r>
      <w:r w:rsidR="00142955" w:rsidRPr="08F2E814" w:rsidDel="00184F28">
        <w:rPr>
          <w:color w:val="171717" w:themeColor="background2" w:themeShade="1A"/>
        </w:rPr>
        <w:t>d</w:t>
      </w:r>
      <w:r w:rsidR="00E35C33" w:rsidRPr="08F2E814" w:rsidDel="00184F28">
        <w:rPr>
          <w:color w:val="171717" w:themeColor="background2" w:themeShade="1A"/>
        </w:rPr>
        <w:t xml:space="preserve">emonstrations, </w:t>
      </w:r>
      <w:r w:rsidR="00142955" w:rsidRPr="08F2E814" w:rsidDel="00184F28">
        <w:rPr>
          <w:color w:val="171717" w:themeColor="background2" w:themeShade="1A"/>
        </w:rPr>
        <w:t>a</w:t>
      </w:r>
      <w:r w:rsidR="00E35C33" w:rsidRPr="08F2E814" w:rsidDel="00184F28">
        <w:rPr>
          <w:color w:val="171717" w:themeColor="background2" w:themeShade="1A"/>
        </w:rPr>
        <w:t xml:space="preserve">ssessment of </w:t>
      </w:r>
      <w:r w:rsidR="00142955" w:rsidRPr="08F2E814" w:rsidDel="00184F28">
        <w:rPr>
          <w:color w:val="171717" w:themeColor="background2" w:themeShade="1A"/>
        </w:rPr>
        <w:t>c</w:t>
      </w:r>
      <w:r w:rsidR="00E35C33" w:rsidRPr="08F2E814" w:rsidDel="00184F28">
        <w:rPr>
          <w:color w:val="171717" w:themeColor="background2" w:themeShade="1A"/>
        </w:rPr>
        <w:t xml:space="preserve">orrective </w:t>
      </w:r>
      <w:r w:rsidR="00142955" w:rsidRPr="08F2E814" w:rsidDel="00184F28">
        <w:rPr>
          <w:color w:val="171717" w:themeColor="background2" w:themeShade="1A"/>
        </w:rPr>
        <w:t>m</w:t>
      </w:r>
      <w:r w:rsidR="00E35C33" w:rsidRPr="08F2E814" w:rsidDel="00184F28">
        <w:rPr>
          <w:color w:val="171717" w:themeColor="background2" w:themeShade="1A"/>
        </w:rPr>
        <w:t xml:space="preserve">easures </w:t>
      </w:r>
      <w:r w:rsidR="00142955" w:rsidRPr="08F2E814" w:rsidDel="00184F28">
        <w:rPr>
          <w:color w:val="171717" w:themeColor="background2" w:themeShade="1A"/>
        </w:rPr>
        <w:t>p</w:t>
      </w:r>
      <w:r w:rsidR="00E35C33" w:rsidRPr="08F2E814" w:rsidDel="00184F28">
        <w:rPr>
          <w:color w:val="171717" w:themeColor="background2" w:themeShade="1A"/>
        </w:rPr>
        <w:t xml:space="preserve">rogress </w:t>
      </w:r>
      <w:r w:rsidR="00142955" w:rsidRPr="08F2E814" w:rsidDel="00184F28">
        <w:rPr>
          <w:color w:val="171717" w:themeColor="background2" w:themeShade="1A"/>
        </w:rPr>
        <w:t>r</w:t>
      </w:r>
      <w:r w:rsidR="00E35C33" w:rsidRPr="08F2E814" w:rsidDel="00184F28">
        <w:rPr>
          <w:color w:val="171717" w:themeColor="background2" w:themeShade="1A"/>
        </w:rPr>
        <w:t xml:space="preserve">eports, and </w:t>
      </w:r>
      <w:r w:rsidR="00142955" w:rsidRPr="08F2E814" w:rsidDel="00184F28">
        <w:rPr>
          <w:color w:val="171717" w:themeColor="background2" w:themeShade="1A"/>
        </w:rPr>
        <w:t>n</w:t>
      </w:r>
      <w:r w:rsidR="00E35C33" w:rsidRPr="08F2E814" w:rsidDel="00184F28">
        <w:rPr>
          <w:color w:val="171717" w:themeColor="background2" w:themeShade="1A"/>
        </w:rPr>
        <w:t>oti</w:t>
      </w:r>
      <w:r w:rsidR="009A6779" w:rsidRPr="08F2E814" w:rsidDel="00184F28">
        <w:rPr>
          <w:color w:val="171717" w:themeColor="background2" w:themeShade="1A"/>
        </w:rPr>
        <w:t xml:space="preserve">fications to the </w:t>
      </w:r>
      <w:r w:rsidR="00D2543F">
        <w:rPr>
          <w:color w:val="171717" w:themeColor="background2" w:themeShade="1A"/>
        </w:rPr>
        <w:t>Georgia</w:t>
      </w:r>
      <w:r w:rsidR="00D2543F" w:rsidRPr="08F2E814">
        <w:rPr>
          <w:color w:val="171717" w:themeColor="background2" w:themeShade="1A"/>
        </w:rPr>
        <w:t xml:space="preserve"> </w:t>
      </w:r>
      <w:r w:rsidR="009A6779" w:rsidRPr="08F2E814" w:rsidDel="00184F28">
        <w:rPr>
          <w:color w:val="171717" w:themeColor="background2" w:themeShade="1A"/>
        </w:rPr>
        <w:t>EPD Director for</w:t>
      </w:r>
      <w:r w:rsidR="00E35C33" w:rsidRPr="08F2E814" w:rsidDel="00184F28">
        <w:rPr>
          <w:color w:val="171717" w:themeColor="background2" w:themeShade="1A"/>
        </w:rPr>
        <w:t xml:space="preserve"> compliance with state and </w:t>
      </w:r>
      <w:r w:rsidR="007F2509">
        <w:rPr>
          <w:color w:val="171717" w:themeColor="background2" w:themeShade="1A"/>
        </w:rPr>
        <w:t>F</w:t>
      </w:r>
      <w:r w:rsidR="00E35C33" w:rsidRPr="08F2E814" w:rsidDel="00184F28">
        <w:rPr>
          <w:color w:val="171717" w:themeColor="background2" w:themeShade="1A"/>
        </w:rPr>
        <w:t xml:space="preserve">ederal CCR </w:t>
      </w:r>
      <w:r w:rsidR="77FBE07C" w:rsidRPr="08F2E814" w:rsidDel="00184F28">
        <w:rPr>
          <w:color w:val="171717" w:themeColor="background2" w:themeShade="1A"/>
        </w:rPr>
        <w:t>r</w:t>
      </w:r>
      <w:r w:rsidR="00E35C33" w:rsidRPr="08F2E814" w:rsidDel="00184F28">
        <w:rPr>
          <w:color w:val="171717" w:themeColor="background2" w:themeShade="1A"/>
        </w:rPr>
        <w:t>ules</w:t>
      </w:r>
      <w:r w:rsidR="00D313BD" w:rsidRPr="08F2E814" w:rsidDel="00184F28">
        <w:rPr>
          <w:color w:val="171717" w:themeColor="background2" w:themeShade="1A"/>
        </w:rPr>
        <w:t>.</w:t>
      </w:r>
    </w:p>
    <w:p w14:paraId="5ADA4237" w14:textId="781577BA" w:rsidR="003C11ED" w:rsidRDefault="003C11ED" w:rsidP="008025DB">
      <w:pPr>
        <w:rPr>
          <w:rFonts w:eastAsia="Calibri"/>
          <w:b/>
          <w:color w:val="000000"/>
        </w:rPr>
      </w:pPr>
      <w:r w:rsidRPr="2E715A1A">
        <w:rPr>
          <w:rFonts w:eastAsia="Calibri"/>
          <w:b/>
          <w:color w:val="000000" w:themeColor="text1"/>
        </w:rPr>
        <w:br w:type="page"/>
      </w:r>
    </w:p>
    <w:p w14:paraId="10BCE80B" w14:textId="77777777" w:rsidR="007F2BD1" w:rsidRDefault="007F2BD1" w:rsidP="00937739">
      <w:pPr>
        <w:spacing w:after="0"/>
        <w:rPr>
          <w:rFonts w:eastAsia="Calibri" w:cs="Arial"/>
          <w:b/>
          <w:color w:val="000000"/>
          <w:szCs w:val="24"/>
        </w:rPr>
        <w:sectPr w:rsidR="007F2BD1" w:rsidSect="007856D7">
          <w:pgSz w:w="12240" w:h="15840"/>
          <w:pgMar w:top="1440" w:right="1440" w:bottom="1440" w:left="1440" w:header="720" w:footer="720" w:gutter="0"/>
          <w:cols w:space="720"/>
          <w:docGrid w:linePitch="360"/>
        </w:sectPr>
      </w:pPr>
    </w:p>
    <w:p w14:paraId="2A2143EC" w14:textId="6E322DA2" w:rsidR="001673E0" w:rsidRDefault="00937739" w:rsidP="00937739">
      <w:pPr>
        <w:spacing w:after="0"/>
        <w:rPr>
          <w:rFonts w:eastAsia="Calibri" w:cs="Arial"/>
          <w:b/>
          <w:color w:val="000000"/>
          <w:szCs w:val="24"/>
        </w:rPr>
      </w:pPr>
      <w:r w:rsidRPr="00A407A2">
        <w:rPr>
          <w:rFonts w:eastAsia="Calibri" w:cs="Arial"/>
          <w:b/>
          <w:color w:val="000000"/>
          <w:szCs w:val="24"/>
        </w:rPr>
        <w:t xml:space="preserve">Table 4.3-1 </w:t>
      </w:r>
      <w:r>
        <w:rPr>
          <w:rFonts w:eastAsia="Calibri" w:cs="Arial"/>
          <w:b/>
          <w:color w:val="000000"/>
          <w:szCs w:val="24"/>
        </w:rPr>
        <w:t>CCR</w:t>
      </w:r>
      <w:r w:rsidRPr="00A407A2">
        <w:rPr>
          <w:rFonts w:eastAsia="Calibri" w:cs="Arial"/>
          <w:b/>
          <w:color w:val="000000"/>
          <w:szCs w:val="24"/>
        </w:rPr>
        <w:t xml:space="preserve"> Strategy</w:t>
      </w:r>
    </w:p>
    <w:p w14:paraId="160D829C" w14:textId="77777777" w:rsidR="00937739" w:rsidRPr="00937739" w:rsidRDefault="00937739" w:rsidP="00937739">
      <w:pPr>
        <w:spacing w:after="0"/>
        <w:rPr>
          <w:rFonts w:eastAsia="Calibri" w:cs="Arial"/>
          <w:b/>
          <w:color w:val="000000"/>
          <w:szCs w:val="24"/>
        </w:rPr>
      </w:pPr>
    </w:p>
    <w:tbl>
      <w:tblPr>
        <w:tblStyle w:val="TableGrid"/>
        <w:tblW w:w="12865" w:type="dxa"/>
        <w:tblLook w:val="04A0" w:firstRow="1" w:lastRow="0" w:firstColumn="1" w:lastColumn="0" w:noHBand="0" w:noVBand="1"/>
      </w:tblPr>
      <w:tblGrid>
        <w:gridCol w:w="1406"/>
        <w:gridCol w:w="2723"/>
        <w:gridCol w:w="2137"/>
        <w:gridCol w:w="6599"/>
      </w:tblGrid>
      <w:tr w:rsidR="001673E0" w:rsidRPr="005A1872" w14:paraId="6E9BA04B" w14:textId="77777777" w:rsidTr="45D25E2A">
        <w:trPr>
          <w:trHeight w:val="648"/>
          <w:tblHeader/>
        </w:trPr>
        <w:tc>
          <w:tcPr>
            <w:tcW w:w="1406" w:type="dxa"/>
            <w:shd w:val="clear" w:color="auto" w:fill="E8E8E8" w:themeFill="background2"/>
            <w:noWrap/>
            <w:vAlign w:val="center"/>
            <w:hideMark/>
          </w:tcPr>
          <w:p w14:paraId="6E80BBD8" w14:textId="77777777" w:rsidR="001673E0" w:rsidRPr="00A913EC" w:rsidRDefault="001673E0" w:rsidP="009C7652">
            <w:pPr>
              <w:jc w:val="left"/>
              <w:rPr>
                <w:rFonts w:eastAsia="Calibri" w:cs="Arial"/>
                <w:b/>
                <w:bCs/>
                <w:color w:val="000000"/>
                <w:szCs w:val="24"/>
              </w:rPr>
            </w:pPr>
            <w:bookmarkStart w:id="71" w:name="RANGE!A1:F42"/>
            <w:r w:rsidRPr="00A913EC">
              <w:rPr>
                <w:rFonts w:eastAsia="Calibri" w:cs="Arial"/>
                <w:b/>
                <w:bCs/>
                <w:color w:val="000000"/>
                <w:szCs w:val="24"/>
              </w:rPr>
              <w:t>Plant</w:t>
            </w:r>
            <w:bookmarkEnd w:id="71"/>
          </w:p>
        </w:tc>
        <w:tc>
          <w:tcPr>
            <w:tcW w:w="2723" w:type="dxa"/>
            <w:shd w:val="clear" w:color="auto" w:fill="E8E8E8" w:themeFill="background2"/>
            <w:noWrap/>
            <w:vAlign w:val="center"/>
            <w:hideMark/>
          </w:tcPr>
          <w:p w14:paraId="5BB34C65" w14:textId="77777777" w:rsidR="001673E0" w:rsidRPr="00A913EC" w:rsidRDefault="001673E0" w:rsidP="009C7652">
            <w:pPr>
              <w:jc w:val="left"/>
              <w:rPr>
                <w:rFonts w:eastAsia="Calibri" w:cs="Arial"/>
                <w:b/>
                <w:bCs/>
                <w:color w:val="000000"/>
                <w:szCs w:val="24"/>
              </w:rPr>
            </w:pPr>
            <w:r w:rsidRPr="00A913EC">
              <w:rPr>
                <w:rFonts w:eastAsia="Calibri" w:cs="Arial"/>
                <w:b/>
                <w:bCs/>
                <w:color w:val="000000"/>
                <w:szCs w:val="24"/>
              </w:rPr>
              <w:t>Impoundment</w:t>
            </w:r>
            <w:r>
              <w:rPr>
                <w:rFonts w:eastAsia="Calibri" w:cs="Arial"/>
                <w:b/>
                <w:bCs/>
                <w:color w:val="000000"/>
                <w:szCs w:val="24"/>
              </w:rPr>
              <w:t>/Landfill</w:t>
            </w:r>
          </w:p>
        </w:tc>
        <w:tc>
          <w:tcPr>
            <w:tcW w:w="2137" w:type="dxa"/>
            <w:shd w:val="clear" w:color="auto" w:fill="E8E8E8" w:themeFill="background2"/>
            <w:noWrap/>
            <w:vAlign w:val="center"/>
            <w:hideMark/>
          </w:tcPr>
          <w:p w14:paraId="0886B382" w14:textId="77777777" w:rsidR="001673E0" w:rsidRPr="00A913EC" w:rsidRDefault="001673E0" w:rsidP="009C7652">
            <w:pPr>
              <w:jc w:val="left"/>
              <w:rPr>
                <w:rFonts w:eastAsia="Calibri" w:cs="Arial"/>
                <w:b/>
                <w:bCs/>
                <w:color w:val="000000"/>
                <w:szCs w:val="24"/>
              </w:rPr>
            </w:pPr>
            <w:r w:rsidRPr="00A913EC">
              <w:rPr>
                <w:rFonts w:eastAsia="Calibri" w:cs="Arial"/>
                <w:b/>
                <w:bCs/>
                <w:color w:val="000000"/>
                <w:szCs w:val="24"/>
              </w:rPr>
              <w:t>Closure Method</w:t>
            </w:r>
          </w:p>
        </w:tc>
        <w:tc>
          <w:tcPr>
            <w:tcW w:w="6599" w:type="dxa"/>
            <w:shd w:val="clear" w:color="auto" w:fill="E8E8E8" w:themeFill="background2"/>
            <w:vAlign w:val="center"/>
            <w:hideMark/>
          </w:tcPr>
          <w:p w14:paraId="32A13C86" w14:textId="74544C2F" w:rsidR="001673E0" w:rsidRPr="00A913EC" w:rsidRDefault="001673E0" w:rsidP="009C7652">
            <w:pPr>
              <w:jc w:val="left"/>
              <w:rPr>
                <w:rFonts w:eastAsia="Calibri" w:cs="Arial"/>
                <w:b/>
                <w:bCs/>
                <w:color w:val="000000"/>
                <w:szCs w:val="24"/>
              </w:rPr>
            </w:pPr>
            <w:r w:rsidRPr="00A913EC">
              <w:rPr>
                <w:rFonts w:eastAsia="Calibri" w:cs="Arial"/>
                <w:b/>
                <w:bCs/>
                <w:color w:val="000000"/>
                <w:szCs w:val="24"/>
              </w:rPr>
              <w:t>Description</w:t>
            </w:r>
          </w:p>
        </w:tc>
      </w:tr>
      <w:tr w:rsidR="001673E0" w:rsidRPr="005A1872" w14:paraId="3017D4E1" w14:textId="77777777" w:rsidTr="45D25E2A">
        <w:trPr>
          <w:trHeight w:val="809"/>
        </w:trPr>
        <w:tc>
          <w:tcPr>
            <w:tcW w:w="1406" w:type="dxa"/>
            <w:noWrap/>
            <w:vAlign w:val="center"/>
            <w:hideMark/>
          </w:tcPr>
          <w:p w14:paraId="63613F40" w14:textId="619A169C" w:rsidR="001673E0" w:rsidRPr="00A913EC" w:rsidRDefault="001673E0" w:rsidP="00AD24E0">
            <w:pPr>
              <w:rPr>
                <w:rFonts w:eastAsia="Calibri" w:cs="Arial"/>
                <w:color w:val="000000"/>
                <w:sz w:val="20"/>
                <w:szCs w:val="20"/>
              </w:rPr>
            </w:pPr>
            <w:r w:rsidRPr="00A913EC">
              <w:rPr>
                <w:rFonts w:eastAsia="Calibri" w:cs="Arial"/>
                <w:color w:val="000000"/>
                <w:sz w:val="20"/>
                <w:szCs w:val="20"/>
              </w:rPr>
              <w:t>Arkwright</w:t>
            </w:r>
          </w:p>
        </w:tc>
        <w:tc>
          <w:tcPr>
            <w:tcW w:w="2723" w:type="dxa"/>
            <w:vAlign w:val="center"/>
            <w:hideMark/>
          </w:tcPr>
          <w:p w14:paraId="24C46A92" w14:textId="167D329B" w:rsidR="001673E0" w:rsidRPr="00A913EC" w:rsidRDefault="001673E0" w:rsidP="00AD24E0">
            <w:pPr>
              <w:rPr>
                <w:rFonts w:eastAsia="Calibri" w:cs="Arial"/>
                <w:color w:val="000000"/>
                <w:sz w:val="20"/>
                <w:szCs w:val="20"/>
              </w:rPr>
            </w:pPr>
            <w:r w:rsidRPr="00A913EC" w:rsidDel="00786A03">
              <w:rPr>
                <w:rFonts w:eastAsia="Calibri" w:cs="Arial"/>
                <w:color w:val="000000"/>
                <w:sz w:val="20"/>
                <w:szCs w:val="20"/>
              </w:rPr>
              <w:t>LF</w:t>
            </w:r>
            <w:r w:rsidRPr="00A913EC" w:rsidDel="00786A03">
              <w:rPr>
                <w:rFonts w:eastAsia="Calibri" w:cs="Arial"/>
                <w:color w:val="000000"/>
                <w:sz w:val="20"/>
                <w:szCs w:val="20"/>
              </w:rPr>
              <w:br/>
              <w:t>(</w:t>
            </w:r>
            <w:r w:rsidRPr="00A913EC">
              <w:rPr>
                <w:rFonts w:eastAsia="Calibri" w:cs="Arial"/>
                <w:color w:val="000000"/>
                <w:sz w:val="20"/>
                <w:szCs w:val="20"/>
              </w:rPr>
              <w:t>AP-1</w:t>
            </w:r>
            <w:r w:rsidR="00C443C0">
              <w:rPr>
                <w:rFonts w:eastAsia="Calibri" w:cs="Arial"/>
                <w:color w:val="000000"/>
                <w:sz w:val="20"/>
                <w:szCs w:val="20"/>
              </w:rPr>
              <w:t xml:space="preserve"> Landfill</w:t>
            </w:r>
            <w:r w:rsidR="00786A03">
              <w:rPr>
                <w:rFonts w:eastAsia="Calibri" w:cs="Arial"/>
                <w:color w:val="000000"/>
                <w:sz w:val="20"/>
                <w:szCs w:val="20"/>
              </w:rPr>
              <w:t>, AP</w:t>
            </w:r>
            <w:r w:rsidR="00BA3176">
              <w:rPr>
                <w:rFonts w:eastAsia="Calibri" w:cs="Arial"/>
                <w:color w:val="000000"/>
                <w:sz w:val="20"/>
                <w:szCs w:val="20"/>
              </w:rPr>
              <w:t>-2 DAS Landfill, AP-3 Landfill and Monofill</w:t>
            </w:r>
            <w:r w:rsidRPr="00A913EC" w:rsidDel="00786A03">
              <w:rPr>
                <w:rFonts w:eastAsia="Calibri" w:cs="Arial"/>
                <w:color w:val="000000"/>
                <w:sz w:val="20"/>
                <w:szCs w:val="20"/>
              </w:rPr>
              <w:t>)</w:t>
            </w:r>
          </w:p>
        </w:tc>
        <w:tc>
          <w:tcPr>
            <w:tcW w:w="2137" w:type="dxa"/>
            <w:noWrap/>
            <w:vAlign w:val="center"/>
            <w:hideMark/>
          </w:tcPr>
          <w:p w14:paraId="1E39213B" w14:textId="1211060A" w:rsidR="001673E0" w:rsidRPr="00A913EC" w:rsidRDefault="001673E0" w:rsidP="0003185C">
            <w:pPr>
              <w:rPr>
                <w:rFonts w:eastAsia="Calibri" w:cs="Arial"/>
                <w:color w:val="000000"/>
                <w:sz w:val="20"/>
                <w:szCs w:val="20"/>
              </w:rPr>
            </w:pPr>
            <w:r w:rsidRPr="004929F9">
              <w:rPr>
                <w:rFonts w:eastAsia="Calibri" w:cs="Arial"/>
                <w:color w:val="000000"/>
                <w:sz w:val="20"/>
                <w:szCs w:val="20"/>
              </w:rPr>
              <w:t xml:space="preserve">Closure by Removal </w:t>
            </w:r>
            <w:r w:rsidR="00A03EC1">
              <w:rPr>
                <w:rFonts w:eastAsia="Calibri" w:cs="Arial"/>
                <w:color w:val="000000"/>
                <w:sz w:val="20"/>
                <w:szCs w:val="20"/>
              </w:rPr>
              <w:t>to Permitted Landfill</w:t>
            </w:r>
            <w:r w:rsidRPr="004929F9">
              <w:rPr>
                <w:rFonts w:eastAsia="Calibri" w:cs="Arial"/>
                <w:color w:val="000000"/>
                <w:sz w:val="20"/>
                <w:szCs w:val="20"/>
              </w:rPr>
              <w:t xml:space="preserve"> </w:t>
            </w:r>
          </w:p>
        </w:tc>
        <w:tc>
          <w:tcPr>
            <w:tcW w:w="6599" w:type="dxa"/>
            <w:vAlign w:val="center"/>
            <w:hideMark/>
          </w:tcPr>
          <w:p w14:paraId="10BCA522" w14:textId="6FE7E070" w:rsidR="001673E0" w:rsidRPr="00A913EC" w:rsidRDefault="001673E0" w:rsidP="00AD24E0">
            <w:pPr>
              <w:rPr>
                <w:rFonts w:eastAsia="Calibri" w:cs="Arial"/>
                <w:color w:val="000000"/>
                <w:sz w:val="20"/>
                <w:szCs w:val="20"/>
              </w:rPr>
            </w:pPr>
            <w:r w:rsidRPr="0D82BA91">
              <w:rPr>
                <w:rFonts w:eastAsia="Calibri" w:cs="Arial"/>
                <w:color w:val="000000" w:themeColor="text1"/>
                <w:sz w:val="20"/>
                <w:szCs w:val="20"/>
              </w:rPr>
              <w:t xml:space="preserve">AP-1 </w:t>
            </w:r>
            <w:r w:rsidR="00C443C0" w:rsidRPr="0D82BA91">
              <w:rPr>
                <w:rFonts w:eastAsia="Calibri" w:cs="Arial"/>
                <w:color w:val="000000" w:themeColor="text1"/>
                <w:sz w:val="20"/>
                <w:szCs w:val="20"/>
              </w:rPr>
              <w:t>Landfill</w:t>
            </w:r>
            <w:r w:rsidR="00C0335A" w:rsidRPr="0D82BA91">
              <w:rPr>
                <w:rFonts w:eastAsia="Calibri" w:cs="Arial"/>
                <w:color w:val="000000" w:themeColor="text1"/>
                <w:sz w:val="20"/>
                <w:szCs w:val="20"/>
              </w:rPr>
              <w:t>. AP-2 DAS Landfill, and AP-3 Landfill</w:t>
            </w:r>
            <w:r w:rsidR="001351E4" w:rsidRPr="0D82BA91">
              <w:rPr>
                <w:rFonts w:eastAsia="Calibri" w:cs="Arial"/>
                <w:color w:val="000000" w:themeColor="text1"/>
                <w:sz w:val="20"/>
                <w:szCs w:val="20"/>
              </w:rPr>
              <w:t xml:space="preserve"> and Monofill</w:t>
            </w:r>
            <w:r w:rsidR="00C443C0" w:rsidRPr="0D82BA91">
              <w:rPr>
                <w:rFonts w:eastAsia="Calibri" w:cs="Arial"/>
                <w:color w:val="000000" w:themeColor="text1"/>
                <w:sz w:val="20"/>
                <w:szCs w:val="20"/>
              </w:rPr>
              <w:t xml:space="preserve"> </w:t>
            </w:r>
            <w:r w:rsidR="00323B1A">
              <w:rPr>
                <w:rFonts w:eastAsia="Calibri" w:cs="Arial"/>
                <w:color w:val="000000" w:themeColor="text1"/>
                <w:sz w:val="20"/>
                <w:szCs w:val="20"/>
              </w:rPr>
              <w:t>were</w:t>
            </w:r>
            <w:r w:rsidR="00323B1A" w:rsidRPr="0D82BA91">
              <w:rPr>
                <w:rFonts w:eastAsia="Calibri" w:cs="Arial"/>
                <w:color w:val="000000" w:themeColor="text1"/>
                <w:sz w:val="20"/>
                <w:szCs w:val="20"/>
              </w:rPr>
              <w:t xml:space="preserve"> </w:t>
            </w:r>
            <w:r w:rsidRPr="0D82BA91">
              <w:rPr>
                <w:rFonts w:eastAsia="Calibri" w:cs="Arial"/>
                <w:color w:val="000000" w:themeColor="text1"/>
                <w:sz w:val="20"/>
                <w:szCs w:val="20"/>
              </w:rPr>
              <w:t>closed in 2010 under Solid Waste Regulations</w:t>
            </w:r>
            <w:r w:rsidR="00C753BE" w:rsidRPr="0D82BA91">
              <w:rPr>
                <w:rFonts w:eastAsia="Calibri" w:cs="Arial"/>
                <w:color w:val="000000" w:themeColor="text1"/>
                <w:sz w:val="20"/>
                <w:szCs w:val="20"/>
              </w:rPr>
              <w:t xml:space="preserve"> applicable at the time of closure</w:t>
            </w:r>
            <w:r w:rsidRPr="0D82BA91">
              <w:rPr>
                <w:rFonts w:eastAsia="Calibri" w:cs="Arial"/>
                <w:color w:val="000000" w:themeColor="text1"/>
                <w:sz w:val="20"/>
                <w:szCs w:val="20"/>
              </w:rPr>
              <w:t>. Under the new Georgia CCR Rule, AP-1</w:t>
            </w:r>
            <w:r w:rsidR="00491920" w:rsidRPr="0D82BA91">
              <w:rPr>
                <w:rFonts w:eastAsia="Calibri" w:cs="Arial"/>
                <w:color w:val="000000" w:themeColor="text1"/>
                <w:sz w:val="20"/>
                <w:szCs w:val="20"/>
              </w:rPr>
              <w:t>, AP-2 DAS, and AP-3</w:t>
            </w:r>
            <w:r w:rsidRPr="0D82BA91">
              <w:rPr>
                <w:rFonts w:eastAsia="Calibri" w:cs="Arial"/>
                <w:color w:val="000000" w:themeColor="text1"/>
                <w:sz w:val="20"/>
                <w:szCs w:val="20"/>
              </w:rPr>
              <w:t xml:space="preserve"> will be</w:t>
            </w:r>
            <w:r w:rsidR="0092048E" w:rsidRPr="0D82BA91">
              <w:rPr>
                <w:rFonts w:eastAsia="Calibri" w:cs="Arial"/>
                <w:color w:val="000000" w:themeColor="text1"/>
                <w:sz w:val="20"/>
                <w:szCs w:val="20"/>
              </w:rPr>
              <w:t xml:space="preserve"> </w:t>
            </w:r>
            <w:r w:rsidR="00DF714C" w:rsidRPr="0D82BA91">
              <w:rPr>
                <w:rFonts w:eastAsia="Calibri" w:cs="Arial"/>
                <w:color w:val="000000" w:themeColor="text1"/>
                <w:sz w:val="20"/>
                <w:szCs w:val="20"/>
              </w:rPr>
              <w:t xml:space="preserve">closed by removal </w:t>
            </w:r>
            <w:r w:rsidRPr="0D82BA91">
              <w:rPr>
                <w:rFonts w:eastAsia="Calibri" w:cs="Arial"/>
                <w:color w:val="000000" w:themeColor="text1"/>
                <w:sz w:val="20"/>
                <w:szCs w:val="20"/>
              </w:rPr>
              <w:t>to a</w:t>
            </w:r>
            <w:r w:rsidR="00A657F2" w:rsidRPr="0D82BA91">
              <w:rPr>
                <w:rFonts w:eastAsia="Calibri" w:cs="Arial"/>
                <w:color w:val="000000" w:themeColor="text1"/>
                <w:sz w:val="20"/>
                <w:szCs w:val="20"/>
              </w:rPr>
              <w:t xml:space="preserve"> </w:t>
            </w:r>
            <w:r w:rsidR="004805B1" w:rsidRPr="0D82BA91">
              <w:rPr>
                <w:rFonts w:eastAsia="Calibri" w:cs="Arial"/>
                <w:color w:val="000000" w:themeColor="text1"/>
                <w:sz w:val="20"/>
                <w:szCs w:val="20"/>
              </w:rPr>
              <w:t xml:space="preserve">future </w:t>
            </w:r>
            <w:r w:rsidR="00A657F2" w:rsidRPr="0D82BA91">
              <w:rPr>
                <w:rFonts w:eastAsia="Calibri" w:cs="Arial"/>
                <w:color w:val="000000" w:themeColor="text1"/>
                <w:sz w:val="20"/>
                <w:szCs w:val="20"/>
              </w:rPr>
              <w:t xml:space="preserve">lined </w:t>
            </w:r>
            <w:r w:rsidRPr="0D82BA91">
              <w:rPr>
                <w:rFonts w:eastAsia="Calibri" w:cs="Arial"/>
                <w:color w:val="000000" w:themeColor="text1"/>
                <w:sz w:val="20"/>
                <w:szCs w:val="20"/>
              </w:rPr>
              <w:t>on</w:t>
            </w:r>
            <w:r w:rsidR="000A6963" w:rsidRPr="0D82BA91">
              <w:rPr>
                <w:rFonts w:eastAsia="Calibri" w:cs="Arial"/>
                <w:color w:val="000000" w:themeColor="text1"/>
                <w:sz w:val="20"/>
                <w:szCs w:val="20"/>
              </w:rPr>
              <w:t>-</w:t>
            </w:r>
            <w:r w:rsidRPr="0D82BA91">
              <w:rPr>
                <w:rFonts w:eastAsia="Calibri" w:cs="Arial"/>
                <w:color w:val="000000" w:themeColor="text1"/>
                <w:sz w:val="20"/>
                <w:szCs w:val="20"/>
              </w:rPr>
              <w:t xml:space="preserve">site landfill. </w:t>
            </w:r>
            <w:r w:rsidR="00752A94" w:rsidRPr="0D82BA91">
              <w:rPr>
                <w:rFonts w:eastAsia="Calibri" w:cs="Arial"/>
                <w:color w:val="000000" w:themeColor="text1"/>
                <w:sz w:val="20"/>
                <w:szCs w:val="20"/>
              </w:rPr>
              <w:t>T</w:t>
            </w:r>
            <w:r w:rsidR="00752A94">
              <w:rPr>
                <w:rFonts w:eastAsia="Calibri" w:cs="Arial"/>
                <w:color w:val="000000" w:themeColor="text1"/>
                <w:sz w:val="20"/>
                <w:szCs w:val="20"/>
              </w:rPr>
              <w:t xml:space="preserve">he existing </w:t>
            </w:r>
            <w:r w:rsidR="00752A94" w:rsidRPr="002C5DDD">
              <w:rPr>
                <w:rFonts w:eastAsia="Calibri" w:cs="Arial"/>
                <w:color w:val="000000" w:themeColor="text1"/>
                <w:sz w:val="20"/>
                <w:szCs w:val="20"/>
              </w:rPr>
              <w:t xml:space="preserve">Monofill will </w:t>
            </w:r>
            <w:r w:rsidR="00C03E0E">
              <w:rPr>
                <w:rFonts w:eastAsia="Calibri" w:cs="Arial"/>
                <w:color w:val="000000" w:themeColor="text1"/>
                <w:sz w:val="20"/>
                <w:szCs w:val="20"/>
              </w:rPr>
              <w:t xml:space="preserve">also </w:t>
            </w:r>
            <w:r w:rsidR="00752A94" w:rsidRPr="002C5DDD">
              <w:rPr>
                <w:rFonts w:eastAsia="Calibri" w:cs="Arial"/>
                <w:color w:val="000000" w:themeColor="text1"/>
                <w:sz w:val="20"/>
                <w:szCs w:val="20"/>
              </w:rPr>
              <w:t xml:space="preserve">be incorporated into the </w:t>
            </w:r>
            <w:r w:rsidR="00752A94">
              <w:rPr>
                <w:rFonts w:eastAsia="Calibri" w:cs="Arial"/>
                <w:color w:val="000000" w:themeColor="text1"/>
                <w:sz w:val="20"/>
                <w:szCs w:val="20"/>
              </w:rPr>
              <w:t>future</w:t>
            </w:r>
            <w:r w:rsidR="00752A94" w:rsidRPr="002C5DDD">
              <w:rPr>
                <w:rFonts w:eastAsia="Calibri" w:cs="Arial"/>
                <w:color w:val="000000" w:themeColor="text1"/>
                <w:sz w:val="20"/>
                <w:szCs w:val="20"/>
              </w:rPr>
              <w:t xml:space="preserve"> on-site landfill</w:t>
            </w:r>
            <w:r w:rsidR="0A6F7ABB" w:rsidRPr="1FD750E9">
              <w:rPr>
                <w:rFonts w:eastAsia="Calibri" w:cs="Arial"/>
                <w:color w:val="000000" w:themeColor="text1"/>
                <w:sz w:val="20"/>
                <w:szCs w:val="20"/>
              </w:rPr>
              <w:t>.</w:t>
            </w:r>
            <w:r w:rsidR="00752A94" w:rsidRPr="002C5DDD">
              <w:rPr>
                <w:rFonts w:eastAsia="Calibri" w:cs="Arial"/>
                <w:color w:val="000000" w:themeColor="text1"/>
                <w:sz w:val="20"/>
                <w:szCs w:val="20"/>
              </w:rPr>
              <w:t xml:space="preserve"> </w:t>
            </w:r>
            <w:r w:rsidRPr="0D82BA91">
              <w:rPr>
                <w:rFonts w:eastAsia="Calibri" w:cs="Arial"/>
                <w:color w:val="000000" w:themeColor="text1"/>
                <w:sz w:val="20"/>
                <w:szCs w:val="20"/>
              </w:rPr>
              <w:t>Site restoration will be completed following CCR removal</w:t>
            </w:r>
            <w:r w:rsidR="00A1002D" w:rsidRPr="0D82BA91">
              <w:rPr>
                <w:rFonts w:eastAsia="Calibri" w:cs="Arial"/>
                <w:color w:val="000000" w:themeColor="text1"/>
                <w:sz w:val="20"/>
                <w:szCs w:val="20"/>
              </w:rPr>
              <w:t xml:space="preserve"> from the landfills</w:t>
            </w:r>
            <w:r w:rsidRPr="0D82BA91">
              <w:rPr>
                <w:rFonts w:eastAsia="Calibri" w:cs="Arial"/>
                <w:color w:val="000000" w:themeColor="text1"/>
                <w:sz w:val="20"/>
                <w:szCs w:val="20"/>
              </w:rPr>
              <w:t>.</w:t>
            </w:r>
          </w:p>
        </w:tc>
      </w:tr>
      <w:tr w:rsidR="00734791" w:rsidRPr="005A1872" w14:paraId="371CB711" w14:textId="77777777" w:rsidTr="45D25E2A">
        <w:trPr>
          <w:trHeight w:val="850"/>
        </w:trPr>
        <w:tc>
          <w:tcPr>
            <w:tcW w:w="1406" w:type="dxa"/>
            <w:noWrap/>
            <w:vAlign w:val="center"/>
          </w:tcPr>
          <w:p w14:paraId="07487433" w14:textId="074C907D" w:rsidR="00734791" w:rsidRPr="00A913EC" w:rsidRDefault="00734791" w:rsidP="00AD24E0">
            <w:pPr>
              <w:rPr>
                <w:rFonts w:eastAsia="Calibri" w:cs="Arial"/>
                <w:color w:val="000000"/>
                <w:sz w:val="20"/>
                <w:szCs w:val="20"/>
              </w:rPr>
            </w:pPr>
            <w:r>
              <w:rPr>
                <w:rFonts w:eastAsia="Calibri" w:cs="Arial"/>
                <w:color w:val="000000"/>
                <w:sz w:val="20"/>
                <w:szCs w:val="20"/>
              </w:rPr>
              <w:t>Arkwright</w:t>
            </w:r>
          </w:p>
        </w:tc>
        <w:tc>
          <w:tcPr>
            <w:tcW w:w="2723" w:type="dxa"/>
            <w:noWrap/>
            <w:vAlign w:val="center"/>
          </w:tcPr>
          <w:p w14:paraId="019E8659" w14:textId="76C06264" w:rsidR="00734791" w:rsidRPr="00A913EC" w:rsidRDefault="00635AAE" w:rsidP="00AD24E0">
            <w:pPr>
              <w:rPr>
                <w:rFonts w:eastAsia="Calibri" w:cs="Arial"/>
                <w:color w:val="000000"/>
                <w:sz w:val="20"/>
                <w:szCs w:val="20"/>
              </w:rPr>
            </w:pPr>
            <w:r>
              <w:rPr>
                <w:rFonts w:eastAsia="Calibri" w:cs="Arial"/>
                <w:color w:val="000000"/>
                <w:sz w:val="20"/>
                <w:szCs w:val="20"/>
              </w:rPr>
              <w:t xml:space="preserve">Future </w:t>
            </w:r>
            <w:r w:rsidR="00206B69">
              <w:rPr>
                <w:rFonts w:eastAsia="Calibri" w:cs="Arial"/>
                <w:color w:val="000000"/>
                <w:sz w:val="20"/>
                <w:szCs w:val="20"/>
              </w:rPr>
              <w:t>LF</w:t>
            </w:r>
          </w:p>
        </w:tc>
        <w:tc>
          <w:tcPr>
            <w:tcW w:w="2137" w:type="dxa"/>
            <w:vAlign w:val="center"/>
          </w:tcPr>
          <w:p w14:paraId="3994B230" w14:textId="60D6AF4A" w:rsidR="00734791" w:rsidRPr="00A913EC" w:rsidRDefault="007F2C7D" w:rsidP="009919C9">
            <w:pPr>
              <w:jc w:val="left"/>
              <w:rPr>
                <w:rFonts w:eastAsia="Calibri" w:cs="Arial"/>
                <w:color w:val="000000"/>
                <w:sz w:val="20"/>
                <w:szCs w:val="20"/>
              </w:rPr>
            </w:pPr>
            <w:r>
              <w:rPr>
                <w:rFonts w:eastAsia="Calibri" w:cs="Arial"/>
                <w:color w:val="000000"/>
                <w:sz w:val="20"/>
                <w:szCs w:val="20"/>
              </w:rPr>
              <w:t>In Design Phase</w:t>
            </w:r>
            <w:r w:rsidR="0006511A">
              <w:rPr>
                <w:rFonts w:eastAsia="Calibri" w:cs="Arial"/>
                <w:color w:val="000000"/>
                <w:sz w:val="20"/>
                <w:szCs w:val="20"/>
              </w:rPr>
              <w:t>/Close in Place</w:t>
            </w:r>
          </w:p>
        </w:tc>
        <w:tc>
          <w:tcPr>
            <w:tcW w:w="6599" w:type="dxa"/>
            <w:vAlign w:val="center"/>
          </w:tcPr>
          <w:p w14:paraId="1884BB93" w14:textId="0D00201D" w:rsidR="00734791" w:rsidRPr="00A913EC" w:rsidRDefault="00E65C2B" w:rsidP="00AD24E0">
            <w:pPr>
              <w:rPr>
                <w:rFonts w:eastAsia="Calibri" w:cs="Arial"/>
                <w:color w:val="000000"/>
                <w:sz w:val="20"/>
                <w:szCs w:val="20"/>
              </w:rPr>
            </w:pPr>
            <w:r w:rsidRPr="4E6065F7">
              <w:rPr>
                <w:rFonts w:eastAsia="Calibri" w:cs="Arial"/>
                <w:color w:val="000000" w:themeColor="text1"/>
                <w:sz w:val="20"/>
                <w:szCs w:val="20"/>
              </w:rPr>
              <w:t xml:space="preserve">The future </w:t>
            </w:r>
            <w:r w:rsidR="000B4EEA" w:rsidRPr="4E6065F7">
              <w:rPr>
                <w:rFonts w:eastAsia="Calibri" w:cs="Arial"/>
                <w:color w:val="000000" w:themeColor="text1"/>
                <w:sz w:val="20"/>
                <w:szCs w:val="20"/>
              </w:rPr>
              <w:t>lined</w:t>
            </w:r>
            <w:r w:rsidRPr="4E6065F7">
              <w:rPr>
                <w:rFonts w:eastAsia="Calibri" w:cs="Arial"/>
                <w:color w:val="000000" w:themeColor="text1"/>
                <w:sz w:val="20"/>
                <w:szCs w:val="20"/>
              </w:rPr>
              <w:t xml:space="preserve"> landfill</w:t>
            </w:r>
            <w:r w:rsidR="00F70F16" w:rsidRPr="4E6065F7">
              <w:rPr>
                <w:rFonts w:eastAsia="Calibri" w:cs="Arial"/>
                <w:color w:val="000000" w:themeColor="text1"/>
                <w:sz w:val="20"/>
                <w:szCs w:val="20"/>
              </w:rPr>
              <w:t xml:space="preserve"> will be on-site and will receive CCR from the other on-site landfills. Permitting activities are ongoing.</w:t>
            </w:r>
            <w:r w:rsidR="005E1959" w:rsidRPr="4E6065F7">
              <w:rPr>
                <w:rFonts w:eastAsia="Calibri" w:cs="Arial"/>
                <w:color w:val="000000" w:themeColor="text1"/>
                <w:sz w:val="20"/>
                <w:szCs w:val="20"/>
              </w:rPr>
              <w:t xml:space="preserve">  </w:t>
            </w:r>
          </w:p>
        </w:tc>
      </w:tr>
      <w:tr w:rsidR="001673E0" w:rsidRPr="005A1872" w14:paraId="0739B8A8" w14:textId="77777777" w:rsidTr="45D25E2A">
        <w:trPr>
          <w:trHeight w:val="1223"/>
        </w:trPr>
        <w:tc>
          <w:tcPr>
            <w:tcW w:w="1406" w:type="dxa"/>
            <w:noWrap/>
            <w:vAlign w:val="center"/>
            <w:hideMark/>
          </w:tcPr>
          <w:p w14:paraId="41031E3D" w14:textId="5F2ECB34" w:rsidR="001673E0" w:rsidRPr="00A913EC" w:rsidRDefault="001673E0" w:rsidP="00AD24E0">
            <w:pPr>
              <w:rPr>
                <w:rFonts w:eastAsia="Calibri" w:cs="Arial"/>
                <w:color w:val="000000"/>
                <w:sz w:val="20"/>
                <w:szCs w:val="20"/>
              </w:rPr>
            </w:pPr>
            <w:r w:rsidRPr="00A913EC">
              <w:rPr>
                <w:rFonts w:eastAsia="Calibri" w:cs="Arial"/>
                <w:color w:val="000000"/>
                <w:sz w:val="20"/>
                <w:szCs w:val="20"/>
              </w:rPr>
              <w:t>Bowen</w:t>
            </w:r>
          </w:p>
        </w:tc>
        <w:tc>
          <w:tcPr>
            <w:tcW w:w="2723" w:type="dxa"/>
            <w:noWrap/>
            <w:vAlign w:val="center"/>
            <w:hideMark/>
          </w:tcPr>
          <w:p w14:paraId="2FABE161" w14:textId="40E4545A" w:rsidR="001673E0" w:rsidRPr="00A913EC" w:rsidRDefault="001673E0" w:rsidP="00AD24E0">
            <w:pPr>
              <w:rPr>
                <w:rFonts w:eastAsia="Calibri" w:cs="Arial"/>
                <w:color w:val="000000"/>
                <w:sz w:val="20"/>
                <w:szCs w:val="20"/>
              </w:rPr>
            </w:pPr>
            <w:r w:rsidRPr="00A913EC">
              <w:rPr>
                <w:rFonts w:eastAsia="Calibri" w:cs="Arial"/>
                <w:color w:val="000000"/>
                <w:sz w:val="20"/>
                <w:szCs w:val="20"/>
              </w:rPr>
              <w:t>AP-1</w:t>
            </w:r>
          </w:p>
        </w:tc>
        <w:tc>
          <w:tcPr>
            <w:tcW w:w="2137" w:type="dxa"/>
            <w:vAlign w:val="center"/>
            <w:hideMark/>
          </w:tcPr>
          <w:p w14:paraId="6FF20A32" w14:textId="0ECBDF6B" w:rsidR="001673E0" w:rsidRPr="00A913EC" w:rsidRDefault="001673E0" w:rsidP="009919C9">
            <w:pPr>
              <w:jc w:val="left"/>
              <w:rPr>
                <w:rFonts w:eastAsia="Calibri" w:cs="Arial"/>
                <w:color w:val="000000"/>
                <w:sz w:val="20"/>
                <w:szCs w:val="20"/>
              </w:rPr>
            </w:pPr>
            <w:r w:rsidRPr="00A913EC">
              <w:rPr>
                <w:rFonts w:eastAsia="Calibri" w:cs="Arial"/>
                <w:color w:val="000000"/>
                <w:sz w:val="20"/>
                <w:szCs w:val="20"/>
              </w:rPr>
              <w:t>Close in Place with Liner</w:t>
            </w:r>
          </w:p>
        </w:tc>
        <w:tc>
          <w:tcPr>
            <w:tcW w:w="6599" w:type="dxa"/>
            <w:vAlign w:val="center"/>
            <w:hideMark/>
          </w:tcPr>
          <w:p w14:paraId="337E16B4" w14:textId="6694149E" w:rsidR="001673E0" w:rsidRPr="00A913EC" w:rsidRDefault="001673E0" w:rsidP="001F349A">
            <w:pPr>
              <w:rPr>
                <w:rFonts w:eastAsia="Calibri" w:cs="Arial"/>
                <w:color w:val="000000"/>
                <w:sz w:val="20"/>
                <w:szCs w:val="20"/>
              </w:rPr>
            </w:pPr>
            <w:r w:rsidRPr="278029D7">
              <w:rPr>
                <w:rFonts w:eastAsia="Calibri" w:cs="Arial"/>
                <w:color w:val="000000" w:themeColor="text1"/>
                <w:sz w:val="20"/>
                <w:szCs w:val="20"/>
              </w:rPr>
              <w:t xml:space="preserve">AP-1 </w:t>
            </w:r>
            <w:r w:rsidR="0091683B" w:rsidRPr="278029D7">
              <w:rPr>
                <w:rFonts w:eastAsia="Calibri" w:cs="Arial"/>
                <w:color w:val="000000" w:themeColor="text1"/>
                <w:sz w:val="20"/>
                <w:szCs w:val="20"/>
              </w:rPr>
              <w:t>is being</w:t>
            </w:r>
            <w:r w:rsidRPr="278029D7">
              <w:rPr>
                <w:rFonts w:eastAsia="Calibri" w:cs="Arial"/>
                <w:color w:val="000000" w:themeColor="text1"/>
                <w:sz w:val="20"/>
                <w:szCs w:val="20"/>
              </w:rPr>
              <w:t xml:space="preserve"> closed in place following excavation of CCR to install a new liner system. The CCR within AP-1 will be excavated and consolidated into a fully</w:t>
            </w:r>
            <w:r w:rsidR="005C63D2" w:rsidRPr="278029D7">
              <w:rPr>
                <w:rFonts w:eastAsia="Calibri" w:cs="Arial"/>
                <w:color w:val="000000" w:themeColor="text1"/>
                <w:sz w:val="20"/>
                <w:szCs w:val="20"/>
              </w:rPr>
              <w:t xml:space="preserve"> </w:t>
            </w:r>
            <w:r w:rsidRPr="278029D7">
              <w:rPr>
                <w:rFonts w:eastAsia="Calibri" w:cs="Arial"/>
                <w:color w:val="000000" w:themeColor="text1"/>
                <w:sz w:val="20"/>
                <w:szCs w:val="20"/>
              </w:rPr>
              <w:t>contained engineered structure (composite-lined and final-covered area).</w:t>
            </w:r>
            <w:r w:rsidRPr="001F349A">
              <w:rPr>
                <w:rFonts w:eastAsia="Calibri" w:cs="Arial"/>
                <w:color w:val="000000" w:themeColor="text1"/>
                <w:sz w:val="20"/>
                <w:szCs w:val="20"/>
              </w:rPr>
              <w:t xml:space="preserve"> </w:t>
            </w:r>
            <w:r w:rsidR="001F349A" w:rsidRPr="001F349A">
              <w:rPr>
                <w:rFonts w:eastAsia="Calibri" w:cs="Arial"/>
                <w:color w:val="000000" w:themeColor="text1"/>
                <w:sz w:val="20"/>
                <w:szCs w:val="20"/>
              </w:rPr>
              <w:t>Con</w:t>
            </w:r>
            <w:r w:rsidR="007672D3" w:rsidRPr="001F349A">
              <w:rPr>
                <w:rFonts w:cs="Arial"/>
                <w:sz w:val="20"/>
                <w:szCs w:val="20"/>
              </w:rPr>
              <w:t>struction mobilization began in the first quarter of 2021 and closure</w:t>
            </w:r>
            <w:r w:rsidR="001F349A" w:rsidRPr="001F349A">
              <w:rPr>
                <w:rFonts w:cs="Arial"/>
                <w:sz w:val="20"/>
                <w:szCs w:val="20"/>
              </w:rPr>
              <w:t xml:space="preserve"> </w:t>
            </w:r>
            <w:r w:rsidR="007672D3" w:rsidRPr="001F349A">
              <w:rPr>
                <w:rFonts w:cs="Arial"/>
                <w:sz w:val="20"/>
                <w:szCs w:val="20"/>
              </w:rPr>
              <w:t>construction is ongoing. Dewatering is ongoing,</w:t>
            </w:r>
            <w:r w:rsidR="001F349A" w:rsidRPr="001F349A">
              <w:rPr>
                <w:rFonts w:cs="Arial"/>
                <w:sz w:val="20"/>
                <w:szCs w:val="20"/>
              </w:rPr>
              <w:t xml:space="preserve"> </w:t>
            </w:r>
            <w:r w:rsidR="007672D3" w:rsidRPr="001F349A">
              <w:rPr>
                <w:rFonts w:cs="Arial"/>
                <w:sz w:val="20"/>
                <w:szCs w:val="20"/>
              </w:rPr>
              <w:t xml:space="preserve">consistent with </w:t>
            </w:r>
            <w:r w:rsidR="00D2543F" w:rsidRPr="00D2543F">
              <w:rPr>
                <w:rFonts w:cs="Arial"/>
                <w:sz w:val="20"/>
                <w:szCs w:val="20"/>
              </w:rPr>
              <w:t>Georgia</w:t>
            </w:r>
            <w:r w:rsidR="007672D3" w:rsidRPr="001F349A">
              <w:rPr>
                <w:rFonts w:cs="Arial"/>
                <w:sz w:val="20"/>
                <w:szCs w:val="20"/>
              </w:rPr>
              <w:t xml:space="preserve"> EPD-approved Dewatering Plan.</w:t>
            </w:r>
            <w:r w:rsidR="003F25B3">
              <w:rPr>
                <w:rFonts w:cs="Arial"/>
                <w:sz w:val="20"/>
                <w:szCs w:val="20"/>
              </w:rPr>
              <w:t xml:space="preserve"> </w:t>
            </w:r>
            <w:r w:rsidR="003F25B3" w:rsidRPr="7E4DFDE3">
              <w:rPr>
                <w:rFonts w:eastAsia="Arial" w:cs="Arial"/>
                <w:sz w:val="20"/>
                <w:szCs w:val="20"/>
              </w:rPr>
              <w:t xml:space="preserve">A draft </w:t>
            </w:r>
            <w:r w:rsidR="003F25B3">
              <w:rPr>
                <w:rFonts w:eastAsia="Arial" w:cs="Arial"/>
                <w:sz w:val="20"/>
                <w:szCs w:val="20"/>
              </w:rPr>
              <w:t xml:space="preserve">CCR solid waste </w:t>
            </w:r>
            <w:r w:rsidR="5C324EF7" w:rsidRPr="4E6065F7">
              <w:rPr>
                <w:rFonts w:eastAsia="Arial" w:cs="Arial"/>
                <w:sz w:val="20"/>
                <w:szCs w:val="20"/>
              </w:rPr>
              <w:t xml:space="preserve">period </w:t>
            </w:r>
            <w:r w:rsidR="003F25B3" w:rsidRPr="7E4DFDE3">
              <w:rPr>
                <w:rFonts w:eastAsia="Arial" w:cs="Arial"/>
                <w:sz w:val="20"/>
                <w:szCs w:val="20"/>
              </w:rPr>
              <w:t xml:space="preserve">permit has been issued by </w:t>
            </w:r>
            <w:r w:rsidR="00D2543F" w:rsidRPr="00D2543F">
              <w:rPr>
                <w:rFonts w:eastAsia="Arial" w:cs="Arial"/>
                <w:sz w:val="20"/>
                <w:szCs w:val="20"/>
              </w:rPr>
              <w:t>Georgia</w:t>
            </w:r>
            <w:r w:rsidR="003F25B3" w:rsidRPr="7E4DFDE3">
              <w:rPr>
                <w:rFonts w:eastAsia="Arial" w:cs="Arial"/>
                <w:sz w:val="20"/>
                <w:szCs w:val="20"/>
              </w:rPr>
              <w:t xml:space="preserve"> EPD.</w:t>
            </w:r>
            <w:r w:rsidR="00061306">
              <w:rPr>
                <w:rFonts w:cs="Arial"/>
                <w:sz w:val="20"/>
                <w:szCs w:val="20"/>
              </w:rPr>
              <w:t xml:space="preserve"> The Company is conducting additional groundwater studies to support the </w:t>
            </w:r>
            <w:r w:rsidR="14EB91E9" w:rsidRPr="534B4FEA">
              <w:rPr>
                <w:rFonts w:cs="Arial"/>
                <w:sz w:val="20"/>
                <w:szCs w:val="20"/>
              </w:rPr>
              <w:t xml:space="preserve">Assessment of Corrective </w:t>
            </w:r>
            <w:r w:rsidR="00B37742" w:rsidRPr="534B4FEA">
              <w:rPr>
                <w:rFonts w:cs="Arial"/>
                <w:sz w:val="20"/>
                <w:szCs w:val="20"/>
              </w:rPr>
              <w:t>Measures</w:t>
            </w:r>
            <w:r w:rsidR="00BB0B56">
              <w:rPr>
                <w:rFonts w:cs="Arial"/>
                <w:sz w:val="20"/>
                <w:szCs w:val="20"/>
              </w:rPr>
              <w:t xml:space="preserve"> (“</w:t>
            </w:r>
            <w:r w:rsidR="00061306">
              <w:rPr>
                <w:rFonts w:cs="Arial"/>
                <w:sz w:val="20"/>
                <w:szCs w:val="20"/>
              </w:rPr>
              <w:t>ACM</w:t>
            </w:r>
            <w:r w:rsidR="00BB0B56">
              <w:rPr>
                <w:rFonts w:cs="Arial"/>
                <w:sz w:val="20"/>
                <w:szCs w:val="20"/>
              </w:rPr>
              <w:t>”)</w:t>
            </w:r>
            <w:r w:rsidR="00061306">
              <w:rPr>
                <w:rFonts w:cs="Arial"/>
                <w:sz w:val="20"/>
                <w:szCs w:val="20"/>
              </w:rPr>
              <w:t xml:space="preserve"> process</w:t>
            </w:r>
            <w:r w:rsidR="00061306">
              <w:rPr>
                <w:rFonts w:eastAsia="Arial" w:cs="Arial"/>
                <w:sz w:val="20"/>
                <w:szCs w:val="20"/>
              </w:rPr>
              <w:t xml:space="preserve"> and </w:t>
            </w:r>
            <w:r w:rsidR="00061306">
              <w:rPr>
                <w:rFonts w:cs="Arial"/>
                <w:sz w:val="20"/>
                <w:szCs w:val="20"/>
              </w:rPr>
              <w:t>remedy selection</w:t>
            </w:r>
            <w:r w:rsidR="00061306">
              <w:rPr>
                <w:rFonts w:eastAsia="Arial" w:cs="Arial"/>
                <w:sz w:val="20"/>
                <w:szCs w:val="20"/>
              </w:rPr>
              <w:t>.</w:t>
            </w:r>
          </w:p>
        </w:tc>
      </w:tr>
      <w:tr w:rsidR="001673E0" w:rsidRPr="005A1872" w14:paraId="719E434F" w14:textId="77777777" w:rsidTr="45D25E2A">
        <w:trPr>
          <w:trHeight w:val="602"/>
        </w:trPr>
        <w:tc>
          <w:tcPr>
            <w:tcW w:w="1406" w:type="dxa"/>
            <w:noWrap/>
            <w:vAlign w:val="center"/>
            <w:hideMark/>
          </w:tcPr>
          <w:p w14:paraId="4C6DC086" w14:textId="6D97113F" w:rsidR="001673E0" w:rsidRPr="00A913EC" w:rsidRDefault="001673E0" w:rsidP="00AD24E0">
            <w:pPr>
              <w:rPr>
                <w:rFonts w:eastAsia="Calibri" w:cs="Arial"/>
                <w:color w:val="000000"/>
                <w:sz w:val="20"/>
                <w:szCs w:val="20"/>
              </w:rPr>
            </w:pPr>
            <w:r w:rsidRPr="00A913EC">
              <w:rPr>
                <w:rFonts w:eastAsia="Calibri" w:cs="Arial"/>
                <w:color w:val="000000"/>
                <w:sz w:val="20"/>
                <w:szCs w:val="20"/>
              </w:rPr>
              <w:t>Bowen</w:t>
            </w:r>
          </w:p>
        </w:tc>
        <w:tc>
          <w:tcPr>
            <w:tcW w:w="2723" w:type="dxa"/>
            <w:noWrap/>
            <w:vAlign w:val="center"/>
            <w:hideMark/>
          </w:tcPr>
          <w:p w14:paraId="297FB710" w14:textId="070762A0" w:rsidR="001673E0" w:rsidRPr="00A913EC" w:rsidRDefault="001673E0" w:rsidP="00AD24E0">
            <w:pPr>
              <w:rPr>
                <w:rFonts w:eastAsia="Calibri" w:cs="Arial"/>
                <w:color w:val="000000"/>
                <w:sz w:val="20"/>
                <w:szCs w:val="20"/>
              </w:rPr>
            </w:pPr>
            <w:r w:rsidRPr="00A913EC">
              <w:rPr>
                <w:rFonts w:eastAsia="Calibri" w:cs="Arial"/>
                <w:color w:val="000000"/>
                <w:sz w:val="20"/>
                <w:szCs w:val="20"/>
              </w:rPr>
              <w:t>LF</w:t>
            </w:r>
          </w:p>
        </w:tc>
        <w:tc>
          <w:tcPr>
            <w:tcW w:w="2137" w:type="dxa"/>
            <w:noWrap/>
            <w:vAlign w:val="center"/>
            <w:hideMark/>
          </w:tcPr>
          <w:p w14:paraId="239EA73F" w14:textId="7D4DE781" w:rsidR="001673E0" w:rsidRPr="00A913EC" w:rsidRDefault="001673E0" w:rsidP="009C7652">
            <w:pPr>
              <w:rPr>
                <w:rFonts w:eastAsia="Calibri" w:cs="Arial"/>
                <w:color w:val="000000"/>
                <w:sz w:val="20"/>
                <w:szCs w:val="20"/>
              </w:rPr>
            </w:pPr>
            <w:r w:rsidRPr="00A913EC">
              <w:rPr>
                <w:rFonts w:eastAsia="Calibri" w:cs="Arial"/>
                <w:color w:val="000000"/>
                <w:sz w:val="20"/>
                <w:szCs w:val="20"/>
              </w:rPr>
              <w:t>Active LF/Close in Place</w:t>
            </w:r>
          </w:p>
        </w:tc>
        <w:tc>
          <w:tcPr>
            <w:tcW w:w="6599" w:type="dxa"/>
            <w:vAlign w:val="center"/>
            <w:hideMark/>
          </w:tcPr>
          <w:p w14:paraId="1882EBD7" w14:textId="2000B31C" w:rsidR="001673E0" w:rsidRPr="00A913EC" w:rsidRDefault="006951BF" w:rsidP="00AD24E0">
            <w:pPr>
              <w:rPr>
                <w:rFonts w:eastAsia="Calibri" w:cs="Arial"/>
                <w:color w:val="000000"/>
                <w:sz w:val="20"/>
                <w:szCs w:val="24"/>
              </w:rPr>
            </w:pPr>
            <w:r>
              <w:rPr>
                <w:rFonts w:eastAsia="Calibri" w:cs="Arial"/>
                <w:color w:val="000000"/>
                <w:sz w:val="20"/>
                <w:szCs w:val="24"/>
              </w:rPr>
              <w:t>CCR landfill is to remain</w:t>
            </w:r>
            <w:r w:rsidR="00744B38">
              <w:rPr>
                <w:rFonts w:eastAsia="Calibri" w:cs="Arial"/>
                <w:color w:val="000000"/>
                <w:sz w:val="20"/>
                <w:szCs w:val="24"/>
              </w:rPr>
              <w:t xml:space="preserve"> active as part of ongoing plant operations. </w:t>
            </w:r>
            <w:r w:rsidR="001673E0" w:rsidRPr="00A913EC">
              <w:rPr>
                <w:rFonts w:eastAsia="Calibri" w:cs="Arial"/>
                <w:color w:val="000000"/>
                <w:sz w:val="20"/>
                <w:szCs w:val="24"/>
              </w:rPr>
              <w:t xml:space="preserve">The landfill will </w:t>
            </w:r>
            <w:r w:rsidR="003F6016">
              <w:rPr>
                <w:rFonts w:eastAsia="Calibri" w:cs="Arial"/>
                <w:color w:val="000000"/>
                <w:sz w:val="20"/>
                <w:szCs w:val="24"/>
              </w:rPr>
              <w:t>undergo closure</w:t>
            </w:r>
            <w:r w:rsidR="001673E0" w:rsidRPr="00A913EC">
              <w:rPr>
                <w:rFonts w:eastAsia="Calibri" w:cs="Arial"/>
                <w:color w:val="000000"/>
                <w:sz w:val="20"/>
                <w:szCs w:val="24"/>
              </w:rPr>
              <w:t xml:space="preserve"> when permitted capacity is reached or when CCR disposal is no longer needed.</w:t>
            </w:r>
          </w:p>
        </w:tc>
      </w:tr>
      <w:tr w:rsidR="001673E0" w:rsidRPr="005A1872" w14:paraId="667F634C" w14:textId="77777777" w:rsidTr="45D25E2A">
        <w:trPr>
          <w:trHeight w:val="899"/>
        </w:trPr>
        <w:tc>
          <w:tcPr>
            <w:tcW w:w="1406" w:type="dxa"/>
            <w:noWrap/>
            <w:vAlign w:val="center"/>
            <w:hideMark/>
          </w:tcPr>
          <w:p w14:paraId="5F893458" w14:textId="3F2AF719" w:rsidR="001673E0" w:rsidRPr="004929F9" w:rsidRDefault="001673E0" w:rsidP="00AD24E0">
            <w:pPr>
              <w:rPr>
                <w:rFonts w:eastAsia="Calibri" w:cs="Arial"/>
                <w:color w:val="000000"/>
                <w:sz w:val="20"/>
                <w:szCs w:val="20"/>
              </w:rPr>
            </w:pPr>
            <w:r w:rsidRPr="004929F9">
              <w:rPr>
                <w:rFonts w:eastAsia="Calibri" w:cs="Arial"/>
                <w:color w:val="000000"/>
                <w:sz w:val="20"/>
                <w:szCs w:val="20"/>
              </w:rPr>
              <w:t>Branch</w:t>
            </w:r>
          </w:p>
        </w:tc>
        <w:tc>
          <w:tcPr>
            <w:tcW w:w="2723" w:type="dxa"/>
            <w:noWrap/>
            <w:vAlign w:val="center"/>
            <w:hideMark/>
          </w:tcPr>
          <w:p w14:paraId="2DA9FD8B" w14:textId="7F65C758" w:rsidR="001673E0" w:rsidRPr="004929F9" w:rsidRDefault="001673E0" w:rsidP="00AD24E0">
            <w:pPr>
              <w:rPr>
                <w:rFonts w:eastAsia="Calibri" w:cs="Arial"/>
                <w:color w:val="000000"/>
                <w:sz w:val="20"/>
                <w:szCs w:val="20"/>
              </w:rPr>
            </w:pPr>
            <w:r w:rsidRPr="004929F9">
              <w:rPr>
                <w:rFonts w:eastAsia="Calibri" w:cs="Arial"/>
                <w:color w:val="000000"/>
                <w:sz w:val="20"/>
                <w:szCs w:val="20"/>
              </w:rPr>
              <w:t>AP-A</w:t>
            </w:r>
          </w:p>
        </w:tc>
        <w:tc>
          <w:tcPr>
            <w:tcW w:w="2137" w:type="dxa"/>
            <w:vAlign w:val="center"/>
            <w:hideMark/>
          </w:tcPr>
          <w:p w14:paraId="6D7094B6" w14:textId="7AE71497" w:rsidR="001673E0" w:rsidRPr="004929F9" w:rsidRDefault="001673E0" w:rsidP="009C7652">
            <w:pPr>
              <w:rPr>
                <w:rFonts w:eastAsia="Calibri" w:cs="Arial"/>
                <w:color w:val="000000"/>
                <w:sz w:val="20"/>
                <w:szCs w:val="20"/>
              </w:rPr>
            </w:pPr>
            <w:r w:rsidRPr="004929F9">
              <w:rPr>
                <w:rFonts w:eastAsia="Calibri" w:cs="Arial"/>
                <w:color w:val="000000"/>
                <w:sz w:val="20"/>
                <w:szCs w:val="20"/>
              </w:rPr>
              <w:t xml:space="preserve">Closure by Removal </w:t>
            </w:r>
            <w:r w:rsidRPr="004929F9">
              <w:rPr>
                <w:rFonts w:eastAsia="Calibri" w:cs="Arial"/>
                <w:color w:val="000000"/>
                <w:sz w:val="20"/>
                <w:szCs w:val="20"/>
              </w:rPr>
              <w:br/>
            </w:r>
          </w:p>
        </w:tc>
        <w:tc>
          <w:tcPr>
            <w:tcW w:w="6599" w:type="dxa"/>
            <w:vAlign w:val="center"/>
            <w:hideMark/>
          </w:tcPr>
          <w:p w14:paraId="1305F472" w14:textId="099307DD" w:rsidR="001673E0" w:rsidRPr="004929F9" w:rsidRDefault="001673E0" w:rsidP="009C7652">
            <w:pPr>
              <w:autoSpaceDE w:val="0"/>
              <w:autoSpaceDN w:val="0"/>
              <w:adjustRightInd w:val="0"/>
              <w:rPr>
                <w:rFonts w:eastAsia="Calibri" w:cs="Arial"/>
                <w:color w:val="000000"/>
                <w:sz w:val="20"/>
                <w:szCs w:val="24"/>
              </w:rPr>
            </w:pPr>
            <w:r w:rsidRPr="004929F9">
              <w:rPr>
                <w:rFonts w:cs="Arial"/>
                <w:color w:val="000000"/>
                <w:sz w:val="20"/>
                <w:szCs w:val="20"/>
              </w:rPr>
              <w:t>AP-A was closed by removal and consolidated with</w:t>
            </w:r>
            <w:r w:rsidR="00D437B8">
              <w:rPr>
                <w:rFonts w:cs="Arial"/>
                <w:color w:val="000000"/>
                <w:sz w:val="20"/>
                <w:szCs w:val="20"/>
              </w:rPr>
              <w:t>in</w:t>
            </w:r>
            <w:r w:rsidRPr="004929F9">
              <w:rPr>
                <w:rFonts w:cs="Arial"/>
                <w:color w:val="000000"/>
                <w:sz w:val="20"/>
                <w:szCs w:val="20"/>
              </w:rPr>
              <w:t xml:space="preserve"> AP-E before the State CCR Rule </w:t>
            </w:r>
            <w:r w:rsidR="000B2144">
              <w:rPr>
                <w:rFonts w:cs="Arial"/>
                <w:color w:val="000000"/>
                <w:sz w:val="20"/>
                <w:szCs w:val="20"/>
              </w:rPr>
              <w:t xml:space="preserve">became </w:t>
            </w:r>
            <w:r w:rsidRPr="004929F9">
              <w:rPr>
                <w:rFonts w:cs="Arial"/>
                <w:color w:val="000000"/>
                <w:sz w:val="20"/>
                <w:szCs w:val="20"/>
              </w:rPr>
              <w:t>effect</w:t>
            </w:r>
            <w:r w:rsidR="000B2144">
              <w:rPr>
                <w:rFonts w:cs="Arial"/>
                <w:color w:val="000000"/>
                <w:sz w:val="20"/>
                <w:szCs w:val="20"/>
              </w:rPr>
              <w:t>ive</w:t>
            </w:r>
            <w:r w:rsidRPr="004929F9">
              <w:rPr>
                <w:rFonts w:cs="Arial"/>
                <w:color w:val="000000"/>
                <w:sz w:val="20"/>
                <w:szCs w:val="20"/>
              </w:rPr>
              <w:t xml:space="preserve">.  </w:t>
            </w:r>
            <w:r w:rsidRPr="00A1185F" w:rsidDel="00483EE3">
              <w:rPr>
                <w:rFonts w:cs="Arial"/>
                <w:sz w:val="20"/>
                <w:szCs w:val="20"/>
              </w:rPr>
              <w:t>Site restoration has been completed.</w:t>
            </w:r>
            <w:r w:rsidRPr="00A1185F" w:rsidDel="00483EE3">
              <w:rPr>
                <w:rFonts w:eastAsia="Calibri" w:cs="Arial"/>
                <w:sz w:val="20"/>
                <w:szCs w:val="20"/>
              </w:rPr>
              <w:t xml:space="preserve"> </w:t>
            </w:r>
            <w:r w:rsidR="00A1185F" w:rsidRPr="00A1185F">
              <w:rPr>
                <w:rFonts w:cs="Arial"/>
                <w:sz w:val="20"/>
                <w:szCs w:val="20"/>
              </w:rPr>
              <w:t xml:space="preserve">Georgia Power submitted a certification of ash removal from AP-A to </w:t>
            </w:r>
            <w:r w:rsidR="00D2543F" w:rsidRPr="00D2543F">
              <w:rPr>
                <w:rFonts w:cs="Arial"/>
                <w:sz w:val="20"/>
                <w:szCs w:val="20"/>
              </w:rPr>
              <w:t xml:space="preserve">Georgia </w:t>
            </w:r>
            <w:r w:rsidR="00A1185F" w:rsidRPr="00A1185F">
              <w:rPr>
                <w:rFonts w:cs="Arial"/>
                <w:sz w:val="20"/>
                <w:szCs w:val="20"/>
              </w:rPr>
              <w:t>EPD in 2018 to provide documentation of the AP-A closure.</w:t>
            </w:r>
            <w:r w:rsidR="001476EA">
              <w:rPr>
                <w:rFonts w:cs="Arial"/>
                <w:sz w:val="20"/>
                <w:szCs w:val="20"/>
              </w:rPr>
              <w:t xml:space="preserve"> </w:t>
            </w:r>
          </w:p>
        </w:tc>
      </w:tr>
      <w:tr w:rsidR="000F3962" w:rsidRPr="00A021CA" w14:paraId="0921C010" w14:textId="77777777" w:rsidTr="45D25E2A">
        <w:trPr>
          <w:trHeight w:val="620"/>
        </w:trPr>
        <w:tc>
          <w:tcPr>
            <w:tcW w:w="1406" w:type="dxa"/>
            <w:tcBorders>
              <w:top w:val="single" w:sz="4" w:space="0" w:color="auto"/>
              <w:left w:val="single" w:sz="4" w:space="0" w:color="auto"/>
              <w:bottom w:val="nil"/>
              <w:right w:val="single" w:sz="4" w:space="0" w:color="auto"/>
            </w:tcBorders>
            <w:noWrap/>
            <w:vAlign w:val="center"/>
            <w:hideMark/>
          </w:tcPr>
          <w:p w14:paraId="4011490E" w14:textId="209DAF9F" w:rsidR="000F3962" w:rsidRPr="005A1872" w:rsidRDefault="000F3962" w:rsidP="000F3962">
            <w:pPr>
              <w:rPr>
                <w:rFonts w:eastAsia="Calibri" w:cs="Arial"/>
                <w:color w:val="000000"/>
                <w:sz w:val="20"/>
                <w:szCs w:val="20"/>
              </w:rPr>
            </w:pPr>
            <w:r w:rsidRPr="005A1872">
              <w:rPr>
                <w:rFonts w:eastAsia="Calibri" w:cs="Arial"/>
                <w:color w:val="000000"/>
                <w:sz w:val="20"/>
                <w:szCs w:val="20"/>
              </w:rPr>
              <w:t>Branch</w:t>
            </w:r>
          </w:p>
        </w:tc>
        <w:tc>
          <w:tcPr>
            <w:tcW w:w="2723" w:type="dxa"/>
            <w:tcBorders>
              <w:top w:val="single" w:sz="4" w:space="0" w:color="auto"/>
              <w:left w:val="single" w:sz="4" w:space="0" w:color="auto"/>
              <w:bottom w:val="nil"/>
              <w:right w:val="single" w:sz="4" w:space="0" w:color="auto"/>
            </w:tcBorders>
            <w:noWrap/>
            <w:vAlign w:val="center"/>
            <w:hideMark/>
          </w:tcPr>
          <w:p w14:paraId="722C6DE2" w14:textId="17341604" w:rsidR="000F3962" w:rsidRPr="005A1872" w:rsidRDefault="000F3962" w:rsidP="000F3962">
            <w:pPr>
              <w:rPr>
                <w:rFonts w:eastAsia="Calibri" w:cs="Arial"/>
                <w:color w:val="000000"/>
                <w:sz w:val="20"/>
                <w:szCs w:val="20"/>
              </w:rPr>
            </w:pPr>
            <w:r w:rsidRPr="751769FC">
              <w:rPr>
                <w:rFonts w:eastAsia="Calibri" w:cs="Arial"/>
                <w:color w:val="000000" w:themeColor="text1"/>
                <w:sz w:val="20"/>
                <w:szCs w:val="20"/>
              </w:rPr>
              <w:t>AP-B, C, D</w:t>
            </w:r>
            <w:r w:rsidR="00ED5751" w:rsidRPr="751769FC">
              <w:rPr>
                <w:rFonts w:eastAsia="Calibri" w:cs="Arial"/>
                <w:color w:val="000000" w:themeColor="text1"/>
                <w:sz w:val="20"/>
                <w:szCs w:val="20"/>
              </w:rPr>
              <w:t>, E</w:t>
            </w:r>
          </w:p>
        </w:tc>
        <w:tc>
          <w:tcPr>
            <w:tcW w:w="2137" w:type="dxa"/>
            <w:tcBorders>
              <w:top w:val="single" w:sz="4" w:space="0" w:color="auto"/>
              <w:left w:val="single" w:sz="4" w:space="0" w:color="auto"/>
              <w:bottom w:val="nil"/>
              <w:right w:val="single" w:sz="4" w:space="0" w:color="auto"/>
            </w:tcBorders>
            <w:vAlign w:val="center"/>
            <w:hideMark/>
          </w:tcPr>
          <w:p w14:paraId="2D80621A" w14:textId="63A9891F" w:rsidR="000F3962" w:rsidRPr="005A1872" w:rsidRDefault="000F3962" w:rsidP="00FC5E06">
            <w:pPr>
              <w:rPr>
                <w:rFonts w:eastAsia="Calibri" w:cs="Arial"/>
                <w:color w:val="000000"/>
                <w:sz w:val="20"/>
                <w:szCs w:val="20"/>
              </w:rPr>
            </w:pPr>
            <w:r w:rsidRPr="005A1872">
              <w:rPr>
                <w:rFonts w:eastAsia="Calibri" w:cs="Arial"/>
                <w:color w:val="000000"/>
                <w:sz w:val="20"/>
                <w:szCs w:val="20"/>
              </w:rPr>
              <w:t>Clos</w:t>
            </w:r>
            <w:r>
              <w:rPr>
                <w:rFonts w:eastAsia="Calibri" w:cs="Arial"/>
                <w:color w:val="000000"/>
                <w:sz w:val="20"/>
                <w:szCs w:val="20"/>
              </w:rPr>
              <w:t xml:space="preserve">ure by Removal </w:t>
            </w:r>
          </w:p>
        </w:tc>
        <w:tc>
          <w:tcPr>
            <w:tcW w:w="6599" w:type="dxa"/>
            <w:tcBorders>
              <w:top w:val="single" w:sz="4" w:space="0" w:color="auto"/>
              <w:left w:val="single" w:sz="4" w:space="0" w:color="auto"/>
              <w:bottom w:val="nil"/>
              <w:right w:val="single" w:sz="4" w:space="0" w:color="auto"/>
            </w:tcBorders>
            <w:vAlign w:val="center"/>
            <w:hideMark/>
          </w:tcPr>
          <w:p w14:paraId="3140419C" w14:textId="2EE84564" w:rsidR="00ED5751" w:rsidRPr="005A1872" w:rsidRDefault="000F3962" w:rsidP="00E93B34">
            <w:pPr>
              <w:rPr>
                <w:rFonts w:eastAsia="Calibri" w:cs="Arial"/>
                <w:color w:val="000000"/>
                <w:sz w:val="20"/>
                <w:szCs w:val="24"/>
              </w:rPr>
            </w:pPr>
            <w:r>
              <w:rPr>
                <w:rFonts w:eastAsia="Calibri" w:cs="Arial"/>
                <w:color w:val="000000"/>
                <w:sz w:val="20"/>
                <w:szCs w:val="24"/>
              </w:rPr>
              <w:t>AP-</w:t>
            </w:r>
            <w:r w:rsidRPr="005A1872">
              <w:rPr>
                <w:rFonts w:eastAsia="Calibri" w:cs="Arial"/>
                <w:color w:val="000000"/>
                <w:sz w:val="20"/>
                <w:szCs w:val="24"/>
              </w:rPr>
              <w:t>B</w:t>
            </w:r>
            <w:r>
              <w:rPr>
                <w:rFonts w:eastAsia="Calibri" w:cs="Arial"/>
                <w:color w:val="000000"/>
                <w:sz w:val="20"/>
                <w:szCs w:val="24"/>
              </w:rPr>
              <w:t>, C, D</w:t>
            </w:r>
            <w:r w:rsidR="00AD7466">
              <w:rPr>
                <w:rFonts w:eastAsia="Calibri" w:cs="Arial"/>
                <w:color w:val="000000"/>
                <w:sz w:val="20"/>
                <w:szCs w:val="24"/>
              </w:rPr>
              <w:t>, &amp; E</w:t>
            </w:r>
            <w:r w:rsidRPr="005A1872">
              <w:rPr>
                <w:rFonts w:eastAsia="Calibri" w:cs="Arial"/>
                <w:color w:val="000000"/>
                <w:sz w:val="20"/>
                <w:szCs w:val="24"/>
              </w:rPr>
              <w:t xml:space="preserve"> will be closed by removal to a </w:t>
            </w:r>
            <w:r>
              <w:rPr>
                <w:rFonts w:eastAsia="Calibri" w:cs="Arial"/>
                <w:color w:val="000000"/>
                <w:sz w:val="20"/>
                <w:szCs w:val="24"/>
              </w:rPr>
              <w:t>future</w:t>
            </w:r>
            <w:r w:rsidRPr="005A1872">
              <w:rPr>
                <w:rFonts w:eastAsia="Calibri" w:cs="Arial"/>
                <w:color w:val="000000"/>
                <w:sz w:val="20"/>
                <w:szCs w:val="24"/>
              </w:rPr>
              <w:t xml:space="preserve"> </w:t>
            </w:r>
            <w:r>
              <w:rPr>
                <w:rFonts w:eastAsia="Calibri" w:cs="Arial"/>
                <w:color w:val="000000"/>
                <w:sz w:val="20"/>
                <w:szCs w:val="24"/>
              </w:rPr>
              <w:t xml:space="preserve">permitted </w:t>
            </w:r>
            <w:r w:rsidRPr="005A1872">
              <w:rPr>
                <w:rFonts w:eastAsia="Calibri" w:cs="Arial"/>
                <w:color w:val="000000"/>
                <w:sz w:val="20"/>
                <w:szCs w:val="24"/>
              </w:rPr>
              <w:t xml:space="preserve">onsite lined CCR landfill. </w:t>
            </w:r>
            <w:r w:rsidRPr="002C6E2A">
              <w:rPr>
                <w:rFonts w:eastAsia="Calibri" w:cs="Arial"/>
                <w:color w:val="000000"/>
                <w:sz w:val="20"/>
                <w:szCs w:val="24"/>
              </w:rPr>
              <w:t>Site restoration will be completed following CCR removal</w:t>
            </w:r>
            <w:r w:rsidRPr="005A1872">
              <w:rPr>
                <w:rFonts w:eastAsia="Calibri" w:cs="Arial"/>
                <w:color w:val="000000"/>
                <w:sz w:val="20"/>
                <w:szCs w:val="24"/>
              </w:rPr>
              <w:t>.</w:t>
            </w:r>
            <w:r>
              <w:rPr>
                <w:rFonts w:eastAsia="Calibri" w:cs="Arial"/>
                <w:color w:val="000000"/>
                <w:sz w:val="20"/>
                <w:szCs w:val="24"/>
              </w:rPr>
              <w:t xml:space="preserve"> </w:t>
            </w:r>
            <w:r w:rsidR="000A5E7E">
              <w:rPr>
                <w:rFonts w:cs="Arial"/>
                <w:sz w:val="20"/>
                <w:szCs w:val="20"/>
              </w:rPr>
              <w:t>Dewatering is ongoing, consistent with the Georgia EPD-approved Dewatering Plan.</w:t>
            </w:r>
            <w:r w:rsidR="00ED5751" w:rsidRPr="00E93B34">
              <w:rPr>
                <w:rFonts w:cs="Arial"/>
                <w:sz w:val="20"/>
                <w:szCs w:val="20"/>
              </w:rPr>
              <w:t xml:space="preserve"> Early site preparation activities are underway, such as construction of stormwater diversion features and further site development to support dewatering. Permitting is underway for a new landfill to accept CCR from the ash pond closures. </w:t>
            </w:r>
            <w:r w:rsidR="000D09B6">
              <w:rPr>
                <w:rFonts w:cs="Arial"/>
                <w:sz w:val="20"/>
                <w:szCs w:val="20"/>
              </w:rPr>
              <w:t>The Company is conducting additional groundwater studies to support the ACM process and remedy selection.</w:t>
            </w:r>
          </w:p>
        </w:tc>
      </w:tr>
      <w:tr w:rsidR="001868FD" w:rsidRPr="005A1872" w14:paraId="46EA1F33" w14:textId="77777777" w:rsidTr="45D25E2A">
        <w:trPr>
          <w:trHeight w:val="710"/>
        </w:trPr>
        <w:tc>
          <w:tcPr>
            <w:tcW w:w="1406" w:type="dxa"/>
            <w:vAlign w:val="center"/>
          </w:tcPr>
          <w:p w14:paraId="3159354C" w14:textId="2BE02BD6" w:rsidR="001868FD" w:rsidRPr="004929F9" w:rsidRDefault="001868FD" w:rsidP="00AD24E0">
            <w:pPr>
              <w:rPr>
                <w:rFonts w:eastAsia="Calibri" w:cs="Arial"/>
                <w:color w:val="000000"/>
                <w:sz w:val="20"/>
                <w:szCs w:val="20"/>
              </w:rPr>
            </w:pPr>
            <w:r>
              <w:rPr>
                <w:rFonts w:eastAsia="Calibri" w:cs="Arial"/>
                <w:color w:val="000000"/>
                <w:sz w:val="20"/>
                <w:szCs w:val="20"/>
              </w:rPr>
              <w:t>Branch</w:t>
            </w:r>
          </w:p>
        </w:tc>
        <w:tc>
          <w:tcPr>
            <w:tcW w:w="2723" w:type="dxa"/>
            <w:noWrap/>
            <w:vAlign w:val="center"/>
          </w:tcPr>
          <w:p w14:paraId="465E6220" w14:textId="26B47683" w:rsidR="001868FD" w:rsidRPr="004929F9" w:rsidRDefault="00813AB4" w:rsidP="00AD24E0">
            <w:pPr>
              <w:rPr>
                <w:rFonts w:eastAsia="Calibri" w:cs="Arial"/>
                <w:color w:val="000000"/>
                <w:sz w:val="20"/>
                <w:szCs w:val="20"/>
              </w:rPr>
            </w:pPr>
            <w:r>
              <w:rPr>
                <w:rFonts w:eastAsia="Calibri" w:cs="Arial"/>
                <w:color w:val="000000"/>
                <w:sz w:val="20"/>
                <w:szCs w:val="20"/>
              </w:rPr>
              <w:t xml:space="preserve">Future </w:t>
            </w:r>
            <w:r w:rsidR="001868FD">
              <w:rPr>
                <w:rFonts w:eastAsia="Calibri" w:cs="Arial"/>
                <w:color w:val="000000"/>
                <w:sz w:val="20"/>
                <w:szCs w:val="20"/>
              </w:rPr>
              <w:t>LF</w:t>
            </w:r>
          </w:p>
        </w:tc>
        <w:tc>
          <w:tcPr>
            <w:tcW w:w="2137" w:type="dxa"/>
            <w:noWrap/>
            <w:vAlign w:val="center"/>
          </w:tcPr>
          <w:p w14:paraId="2DE74456" w14:textId="07A6E22A" w:rsidR="001868FD" w:rsidRPr="004929F9" w:rsidRDefault="00BF4ADD" w:rsidP="009919C9">
            <w:pPr>
              <w:jc w:val="left"/>
              <w:rPr>
                <w:rFonts w:eastAsia="Calibri" w:cs="Arial"/>
                <w:color w:val="000000"/>
                <w:sz w:val="20"/>
                <w:szCs w:val="20"/>
              </w:rPr>
            </w:pPr>
            <w:r>
              <w:rPr>
                <w:rFonts w:eastAsia="Calibri" w:cs="Arial"/>
                <w:color w:val="000000"/>
                <w:sz w:val="20"/>
                <w:szCs w:val="20"/>
              </w:rPr>
              <w:t>In Design Phase/</w:t>
            </w:r>
            <w:r w:rsidR="001868FD">
              <w:rPr>
                <w:rFonts w:eastAsia="Calibri" w:cs="Arial"/>
                <w:color w:val="000000"/>
                <w:sz w:val="20"/>
                <w:szCs w:val="20"/>
              </w:rPr>
              <w:t>Closure in Place</w:t>
            </w:r>
          </w:p>
        </w:tc>
        <w:tc>
          <w:tcPr>
            <w:tcW w:w="6599" w:type="dxa"/>
            <w:vAlign w:val="center"/>
          </w:tcPr>
          <w:p w14:paraId="1C356180" w14:textId="73D094C1" w:rsidR="001E55BC" w:rsidRPr="00ED2147" w:rsidRDefault="001B08EC" w:rsidP="00ED2147">
            <w:pPr>
              <w:pStyle w:val="ListParagraph"/>
              <w:ind w:left="16"/>
              <w:rPr>
                <w:rFonts w:eastAsia="Calibri" w:cs="Arial"/>
                <w:color w:val="000000" w:themeColor="text1"/>
                <w:sz w:val="20"/>
                <w:szCs w:val="20"/>
              </w:rPr>
            </w:pPr>
            <w:r w:rsidRPr="4E6065F7">
              <w:rPr>
                <w:rFonts w:eastAsia="Calibri" w:cs="Arial"/>
                <w:color w:val="000000" w:themeColor="text1"/>
                <w:sz w:val="20"/>
                <w:szCs w:val="20"/>
              </w:rPr>
              <w:t xml:space="preserve">Future </w:t>
            </w:r>
            <w:r w:rsidR="00A310B9" w:rsidRPr="4E6065F7">
              <w:rPr>
                <w:rFonts w:eastAsia="Calibri" w:cs="Arial"/>
                <w:color w:val="000000" w:themeColor="text1"/>
                <w:sz w:val="20"/>
                <w:szCs w:val="20"/>
              </w:rPr>
              <w:t>lined</w:t>
            </w:r>
            <w:r w:rsidRPr="4E6065F7">
              <w:rPr>
                <w:rFonts w:eastAsia="Calibri" w:cs="Arial"/>
                <w:color w:val="000000" w:themeColor="text1"/>
                <w:sz w:val="20"/>
                <w:szCs w:val="20"/>
              </w:rPr>
              <w:t xml:space="preserve"> landfill will receive CCR </w:t>
            </w:r>
            <w:r w:rsidR="005F0A79" w:rsidRPr="4E6065F7">
              <w:rPr>
                <w:rFonts w:eastAsia="Calibri" w:cs="Arial"/>
                <w:color w:val="000000" w:themeColor="text1"/>
                <w:sz w:val="20"/>
                <w:szCs w:val="20"/>
              </w:rPr>
              <w:t xml:space="preserve">from the removal of on-site ash ponds. Permitting activities are ongoing. The letter of Site Acceptability for the new landfill was received from </w:t>
            </w:r>
            <w:r w:rsidR="00D2543F" w:rsidRPr="00D2543F">
              <w:rPr>
                <w:rFonts w:eastAsia="Calibri" w:cs="Arial"/>
                <w:color w:val="000000" w:themeColor="text1"/>
                <w:sz w:val="20"/>
                <w:szCs w:val="20"/>
              </w:rPr>
              <w:t>Georgia</w:t>
            </w:r>
            <w:r w:rsidR="005F0A79" w:rsidRPr="4E6065F7">
              <w:rPr>
                <w:rFonts w:eastAsia="Calibri" w:cs="Arial"/>
                <w:color w:val="000000" w:themeColor="text1"/>
                <w:sz w:val="20"/>
                <w:szCs w:val="20"/>
              </w:rPr>
              <w:t xml:space="preserve"> EPD in June 2020.</w:t>
            </w:r>
          </w:p>
        </w:tc>
      </w:tr>
      <w:tr w:rsidR="001673E0" w:rsidRPr="00CE0A64" w14:paraId="39B30A9E" w14:textId="77777777" w:rsidTr="45D25E2A">
        <w:trPr>
          <w:trHeight w:val="710"/>
        </w:trPr>
        <w:tc>
          <w:tcPr>
            <w:tcW w:w="1406" w:type="dxa"/>
            <w:vAlign w:val="center"/>
            <w:hideMark/>
          </w:tcPr>
          <w:p w14:paraId="578FE5CD" w14:textId="2BEAE35C" w:rsidR="001673E0" w:rsidRPr="00CE0A64" w:rsidRDefault="001673E0" w:rsidP="00AD24E0">
            <w:pPr>
              <w:rPr>
                <w:rFonts w:eastAsia="Calibri" w:cs="Arial"/>
                <w:color w:val="000000"/>
                <w:sz w:val="20"/>
                <w:szCs w:val="20"/>
              </w:rPr>
            </w:pPr>
            <w:r w:rsidRPr="00CE0A64">
              <w:rPr>
                <w:rFonts w:eastAsia="Calibri" w:cs="Arial"/>
                <w:color w:val="000000"/>
                <w:sz w:val="20"/>
                <w:szCs w:val="20"/>
              </w:rPr>
              <w:t>Hammond</w:t>
            </w:r>
          </w:p>
        </w:tc>
        <w:tc>
          <w:tcPr>
            <w:tcW w:w="2723" w:type="dxa"/>
            <w:noWrap/>
            <w:vAlign w:val="center"/>
            <w:hideMark/>
          </w:tcPr>
          <w:p w14:paraId="466FDA64" w14:textId="29723417" w:rsidR="001673E0" w:rsidRPr="001F2CA1" w:rsidRDefault="001673E0" w:rsidP="00AD24E0">
            <w:pPr>
              <w:rPr>
                <w:rFonts w:eastAsia="Calibri" w:cs="Arial"/>
                <w:color w:val="000000"/>
                <w:sz w:val="20"/>
                <w:szCs w:val="20"/>
              </w:rPr>
            </w:pPr>
            <w:r w:rsidRPr="00CE0A64">
              <w:rPr>
                <w:rFonts w:eastAsia="Calibri" w:cs="Arial"/>
                <w:color w:val="000000"/>
                <w:sz w:val="20"/>
                <w:szCs w:val="20"/>
              </w:rPr>
              <w:t>AP-1, 2</w:t>
            </w:r>
          </w:p>
        </w:tc>
        <w:tc>
          <w:tcPr>
            <w:tcW w:w="2137" w:type="dxa"/>
            <w:noWrap/>
            <w:vAlign w:val="center"/>
            <w:hideMark/>
          </w:tcPr>
          <w:p w14:paraId="4C19FDE7" w14:textId="02903D41" w:rsidR="001673E0" w:rsidRPr="009D3160" w:rsidRDefault="001673E0" w:rsidP="009919C9">
            <w:pPr>
              <w:jc w:val="left"/>
              <w:rPr>
                <w:rFonts w:eastAsia="Calibri" w:cs="Arial"/>
                <w:color w:val="000000"/>
                <w:sz w:val="20"/>
                <w:szCs w:val="20"/>
              </w:rPr>
            </w:pPr>
            <w:r w:rsidRPr="009D3160">
              <w:rPr>
                <w:rFonts w:eastAsia="Calibri" w:cs="Arial"/>
                <w:color w:val="000000"/>
                <w:sz w:val="20"/>
                <w:szCs w:val="20"/>
              </w:rPr>
              <w:t>Closure by Removal</w:t>
            </w:r>
          </w:p>
        </w:tc>
        <w:tc>
          <w:tcPr>
            <w:tcW w:w="6599" w:type="dxa"/>
            <w:vAlign w:val="center"/>
            <w:hideMark/>
          </w:tcPr>
          <w:p w14:paraId="1C2E5D03" w14:textId="6C57C734" w:rsidR="001673E0" w:rsidRPr="00CE0A64" w:rsidRDefault="001673E0" w:rsidP="00CE0A64">
            <w:pPr>
              <w:rPr>
                <w:rFonts w:eastAsia="Calibri" w:cs="Arial"/>
                <w:color w:val="000000"/>
                <w:sz w:val="20"/>
                <w:szCs w:val="20"/>
              </w:rPr>
            </w:pPr>
            <w:r w:rsidRPr="00A920A7">
              <w:rPr>
                <w:rFonts w:eastAsia="Calibri" w:cs="Arial"/>
                <w:color w:val="000000" w:themeColor="text1"/>
                <w:sz w:val="20"/>
                <w:szCs w:val="20"/>
              </w:rPr>
              <w:t>AP-1</w:t>
            </w:r>
            <w:r w:rsidR="00A920A7">
              <w:rPr>
                <w:rFonts w:eastAsia="Calibri" w:cs="Arial"/>
                <w:color w:val="000000" w:themeColor="text1"/>
                <w:sz w:val="20"/>
                <w:szCs w:val="20"/>
              </w:rPr>
              <w:t xml:space="preserve"> and</w:t>
            </w:r>
            <w:r w:rsidRPr="00A920A7">
              <w:rPr>
                <w:rFonts w:eastAsia="Calibri" w:cs="Arial"/>
                <w:color w:val="000000" w:themeColor="text1"/>
                <w:sz w:val="20"/>
                <w:szCs w:val="20"/>
              </w:rPr>
              <w:t xml:space="preserve"> 2 </w:t>
            </w:r>
            <w:r w:rsidR="00AB7C34" w:rsidRPr="00A920A7">
              <w:rPr>
                <w:rFonts w:eastAsia="Calibri" w:cs="Arial"/>
                <w:color w:val="000000" w:themeColor="text1"/>
                <w:sz w:val="20"/>
                <w:szCs w:val="20"/>
              </w:rPr>
              <w:t>are being</w:t>
            </w:r>
            <w:r w:rsidRPr="00A920A7">
              <w:rPr>
                <w:rFonts w:eastAsia="Calibri" w:cs="Arial"/>
                <w:color w:val="000000" w:themeColor="text1"/>
                <w:sz w:val="20"/>
                <w:szCs w:val="20"/>
              </w:rPr>
              <w:t xml:space="preserve"> closed by removal to a</w:t>
            </w:r>
            <w:r w:rsidR="008B2691" w:rsidRPr="00A920A7">
              <w:rPr>
                <w:rFonts w:eastAsia="Calibri" w:cs="Arial"/>
                <w:color w:val="000000" w:themeColor="text1"/>
                <w:sz w:val="20"/>
                <w:szCs w:val="20"/>
              </w:rPr>
              <w:t xml:space="preserve"> Company</w:t>
            </w:r>
            <w:r w:rsidR="00DD15BB">
              <w:rPr>
                <w:rFonts w:eastAsia="Calibri" w:cs="Arial"/>
                <w:color w:val="000000" w:themeColor="text1"/>
                <w:sz w:val="20"/>
                <w:szCs w:val="20"/>
              </w:rPr>
              <w:t>-</w:t>
            </w:r>
            <w:r w:rsidR="008B2691" w:rsidRPr="00A920A7">
              <w:rPr>
                <w:rFonts w:eastAsia="Calibri" w:cs="Arial"/>
                <w:color w:val="000000" w:themeColor="text1"/>
                <w:sz w:val="20"/>
                <w:szCs w:val="20"/>
              </w:rPr>
              <w:t>owned</w:t>
            </w:r>
            <w:r w:rsidRPr="00A920A7">
              <w:rPr>
                <w:rFonts w:eastAsia="Calibri" w:cs="Arial"/>
                <w:color w:val="000000" w:themeColor="text1"/>
                <w:sz w:val="20"/>
                <w:szCs w:val="20"/>
              </w:rPr>
              <w:t xml:space="preserve"> off-site permitted landfill</w:t>
            </w:r>
            <w:r w:rsidR="008B2691" w:rsidRPr="00A920A7">
              <w:rPr>
                <w:rFonts w:eastAsia="Calibri" w:cs="Arial"/>
                <w:color w:val="000000" w:themeColor="text1"/>
                <w:sz w:val="20"/>
                <w:szCs w:val="20"/>
              </w:rPr>
              <w:t xml:space="preserve"> </w:t>
            </w:r>
            <w:r w:rsidR="5A7E21E2" w:rsidRPr="1523723A">
              <w:rPr>
                <w:rFonts w:eastAsia="Calibri" w:cs="Arial"/>
                <w:color w:val="000000" w:themeColor="text1"/>
                <w:sz w:val="20"/>
                <w:szCs w:val="20"/>
              </w:rPr>
              <w:t>(</w:t>
            </w:r>
            <w:r w:rsidR="008B2691" w:rsidRPr="00A920A7">
              <w:rPr>
                <w:rFonts w:eastAsia="Calibri" w:cs="Arial"/>
                <w:color w:val="000000" w:themeColor="text1"/>
                <w:sz w:val="20"/>
                <w:szCs w:val="20"/>
              </w:rPr>
              <w:t>Huffaker</w:t>
            </w:r>
            <w:r w:rsidR="00BD0B13" w:rsidRPr="00A920A7">
              <w:rPr>
                <w:rFonts w:eastAsia="Calibri" w:cs="Arial"/>
                <w:color w:val="000000" w:themeColor="text1"/>
                <w:sz w:val="20"/>
                <w:szCs w:val="20"/>
              </w:rPr>
              <w:t xml:space="preserve"> </w:t>
            </w:r>
            <w:r w:rsidR="038A8339" w:rsidRPr="2B611E12">
              <w:rPr>
                <w:rFonts w:eastAsia="Calibri" w:cs="Arial"/>
                <w:color w:val="000000" w:themeColor="text1"/>
                <w:sz w:val="20"/>
                <w:szCs w:val="20"/>
              </w:rPr>
              <w:t>R</w:t>
            </w:r>
            <w:r w:rsidR="656CDF87" w:rsidRPr="2B611E12">
              <w:rPr>
                <w:rFonts w:eastAsia="Calibri" w:cs="Arial"/>
                <w:color w:val="000000" w:themeColor="text1"/>
                <w:sz w:val="20"/>
                <w:szCs w:val="20"/>
              </w:rPr>
              <w:t>oa</w:t>
            </w:r>
            <w:r w:rsidR="038A8339" w:rsidRPr="2B611E12">
              <w:rPr>
                <w:rFonts w:eastAsia="Calibri" w:cs="Arial"/>
                <w:color w:val="000000" w:themeColor="text1"/>
                <w:sz w:val="20"/>
                <w:szCs w:val="20"/>
              </w:rPr>
              <w:t>d</w:t>
            </w:r>
            <w:r w:rsidR="6D7BF886" w:rsidRPr="1523723A">
              <w:rPr>
                <w:rFonts w:eastAsia="Calibri" w:cs="Arial"/>
                <w:color w:val="000000" w:themeColor="text1"/>
                <w:sz w:val="20"/>
                <w:szCs w:val="20"/>
              </w:rPr>
              <w:t>)</w:t>
            </w:r>
            <w:r w:rsidRPr="00634811">
              <w:rPr>
                <w:rFonts w:eastAsia="Calibri" w:cs="Arial"/>
                <w:color w:val="000000" w:themeColor="text1"/>
                <w:sz w:val="20"/>
                <w:szCs w:val="20"/>
              </w:rPr>
              <w:t xml:space="preserve">. </w:t>
            </w:r>
            <w:r w:rsidR="000A5E7E">
              <w:rPr>
                <w:rFonts w:cs="Arial"/>
                <w:sz w:val="20"/>
                <w:szCs w:val="20"/>
              </w:rPr>
              <w:t>Dewatering consistent with the Georgia EPD-approved Dewatering Plan</w:t>
            </w:r>
            <w:r w:rsidR="000A5E7E" w:rsidRPr="00E93B34">
              <w:rPr>
                <w:rFonts w:eastAsia="Calibri" w:cs="Arial"/>
                <w:sz w:val="20"/>
                <w:szCs w:val="20"/>
              </w:rPr>
              <w:t xml:space="preserve"> </w:t>
            </w:r>
            <w:r w:rsidR="00CE0A64" w:rsidRPr="00CE0A64">
              <w:rPr>
                <w:rFonts w:cs="Arial"/>
                <w:sz w:val="20"/>
                <w:szCs w:val="20"/>
              </w:rPr>
              <w:t xml:space="preserve">commenced in the first quarter of 2021. Closure construction mobilization began third quarter of 2021. Work is continuing with the removal of </w:t>
            </w:r>
            <w:r w:rsidR="00E549FC">
              <w:rPr>
                <w:rFonts w:cs="Arial"/>
                <w:sz w:val="20"/>
                <w:szCs w:val="20"/>
              </w:rPr>
              <w:t>CCR</w:t>
            </w:r>
            <w:r w:rsidR="00E549FC" w:rsidRPr="00CE0A64">
              <w:rPr>
                <w:rFonts w:cs="Arial"/>
                <w:sz w:val="20"/>
                <w:szCs w:val="20"/>
              </w:rPr>
              <w:t xml:space="preserve"> </w:t>
            </w:r>
            <w:r w:rsidR="00CE0A64" w:rsidRPr="00CE0A64">
              <w:rPr>
                <w:rFonts w:cs="Arial"/>
                <w:sz w:val="20"/>
                <w:szCs w:val="20"/>
              </w:rPr>
              <w:t>from AP-2 to Huffaker Road</w:t>
            </w:r>
            <w:r w:rsidR="00CE0A64" w:rsidRPr="2ED5A00C">
              <w:rPr>
                <w:rFonts w:cs="Arial"/>
                <w:sz w:val="20"/>
                <w:szCs w:val="20"/>
              </w:rPr>
              <w:t>.</w:t>
            </w:r>
            <w:r w:rsidRPr="00CE0A64">
              <w:rPr>
                <w:rFonts w:eastAsia="Calibri" w:cs="Arial"/>
                <w:color w:val="000000" w:themeColor="text1"/>
                <w:sz w:val="20"/>
                <w:szCs w:val="20"/>
              </w:rPr>
              <w:t xml:space="preserve"> </w:t>
            </w:r>
            <w:r w:rsidR="000575FE" w:rsidRPr="00634811">
              <w:rPr>
                <w:rFonts w:eastAsia="Calibri" w:cs="Arial"/>
                <w:color w:val="000000" w:themeColor="text1"/>
                <w:sz w:val="20"/>
                <w:szCs w:val="20"/>
              </w:rPr>
              <w:t>Site restoration will be completed following CCR removal.</w:t>
            </w:r>
            <w:r w:rsidRPr="00CE0A64">
              <w:rPr>
                <w:rFonts w:eastAsia="Calibri" w:cs="Arial"/>
                <w:color w:val="000000" w:themeColor="text1"/>
                <w:sz w:val="20"/>
                <w:szCs w:val="20"/>
              </w:rPr>
              <w:t xml:space="preserve"> </w:t>
            </w:r>
            <w:r w:rsidR="000D09B6">
              <w:rPr>
                <w:rFonts w:cs="Arial"/>
                <w:sz w:val="20"/>
                <w:szCs w:val="20"/>
              </w:rPr>
              <w:t>The Company is conducting additional groundwater studies to support the ACM process and remedy selection.</w:t>
            </w:r>
          </w:p>
        </w:tc>
      </w:tr>
      <w:tr w:rsidR="00AD7466" w:rsidRPr="00CE0A64" w14:paraId="375BDC16" w14:textId="77777777" w:rsidTr="45D25E2A">
        <w:trPr>
          <w:trHeight w:val="710"/>
        </w:trPr>
        <w:tc>
          <w:tcPr>
            <w:tcW w:w="1406" w:type="dxa"/>
            <w:vAlign w:val="center"/>
          </w:tcPr>
          <w:p w14:paraId="7049CEE4" w14:textId="1C625D49" w:rsidR="00AD7466" w:rsidRDefault="00AD7466" w:rsidP="00AD7466">
            <w:pPr>
              <w:rPr>
                <w:rFonts w:eastAsia="Calibri" w:cs="Arial"/>
                <w:color w:val="000000"/>
                <w:sz w:val="20"/>
                <w:szCs w:val="20"/>
              </w:rPr>
            </w:pPr>
            <w:r w:rsidRPr="004929F9">
              <w:rPr>
                <w:rFonts w:eastAsia="Calibri" w:cs="Arial"/>
                <w:color w:val="000000"/>
                <w:sz w:val="20"/>
                <w:szCs w:val="20"/>
              </w:rPr>
              <w:t>Hammond</w:t>
            </w:r>
          </w:p>
        </w:tc>
        <w:tc>
          <w:tcPr>
            <w:tcW w:w="2723" w:type="dxa"/>
            <w:noWrap/>
            <w:vAlign w:val="center"/>
          </w:tcPr>
          <w:p w14:paraId="5A930779" w14:textId="204204A1" w:rsidR="00AD7466" w:rsidRDefault="00AD7466" w:rsidP="00AD7466">
            <w:pPr>
              <w:rPr>
                <w:rFonts w:eastAsia="Calibri" w:cs="Arial"/>
                <w:color w:val="000000"/>
                <w:sz w:val="20"/>
                <w:szCs w:val="20"/>
              </w:rPr>
            </w:pPr>
            <w:r w:rsidRPr="004929F9">
              <w:rPr>
                <w:rFonts w:eastAsia="Calibri" w:cs="Arial"/>
                <w:color w:val="000000"/>
                <w:sz w:val="20"/>
                <w:szCs w:val="20"/>
              </w:rPr>
              <w:t>AP-3</w:t>
            </w:r>
          </w:p>
        </w:tc>
        <w:tc>
          <w:tcPr>
            <w:tcW w:w="2137" w:type="dxa"/>
            <w:noWrap/>
            <w:vAlign w:val="center"/>
          </w:tcPr>
          <w:p w14:paraId="55929688" w14:textId="5E45A66C" w:rsidR="00AD7466" w:rsidRDefault="00AD7466" w:rsidP="00AD7466">
            <w:pPr>
              <w:jc w:val="left"/>
              <w:rPr>
                <w:rFonts w:eastAsia="Calibri" w:cs="Arial"/>
                <w:color w:val="000000"/>
                <w:sz w:val="20"/>
                <w:szCs w:val="20"/>
              </w:rPr>
            </w:pPr>
            <w:r>
              <w:rPr>
                <w:rFonts w:eastAsia="Calibri" w:cs="Arial"/>
                <w:color w:val="000000"/>
                <w:sz w:val="20"/>
                <w:szCs w:val="20"/>
              </w:rPr>
              <w:t>Closure</w:t>
            </w:r>
            <w:r w:rsidRPr="004929F9">
              <w:rPr>
                <w:rFonts w:eastAsia="Calibri" w:cs="Arial"/>
                <w:color w:val="000000"/>
                <w:sz w:val="20"/>
                <w:szCs w:val="20"/>
              </w:rPr>
              <w:t xml:space="preserve"> in Place</w:t>
            </w:r>
          </w:p>
        </w:tc>
        <w:tc>
          <w:tcPr>
            <w:tcW w:w="6599" w:type="dxa"/>
            <w:vAlign w:val="center"/>
          </w:tcPr>
          <w:p w14:paraId="73A5B69F" w14:textId="17080C9F" w:rsidR="00AD7466" w:rsidRPr="009D3160" w:rsidRDefault="00AD7466" w:rsidP="00AD7466">
            <w:pPr>
              <w:rPr>
                <w:rFonts w:cs="Arial"/>
                <w:sz w:val="20"/>
                <w:szCs w:val="20"/>
              </w:rPr>
            </w:pPr>
            <w:r w:rsidRPr="0062103E">
              <w:rPr>
                <w:rFonts w:cs="Arial"/>
                <w:sz w:val="20"/>
                <w:szCs w:val="20"/>
              </w:rPr>
              <w:t xml:space="preserve">AP-3 has been closed in place </w:t>
            </w:r>
            <w:r w:rsidR="00F718CB">
              <w:rPr>
                <w:rFonts w:cs="Arial"/>
                <w:sz w:val="20"/>
                <w:szCs w:val="20"/>
              </w:rPr>
              <w:t>with the installation of</w:t>
            </w:r>
            <w:r w:rsidRPr="0062103E">
              <w:rPr>
                <w:rFonts w:cs="Arial"/>
                <w:sz w:val="20"/>
                <w:szCs w:val="20"/>
              </w:rPr>
              <w:t xml:space="preserve"> an impermeable cover system that includes a geomembrane. A closure certification report was submitted </w:t>
            </w:r>
            <w:r w:rsidR="00997471">
              <w:rPr>
                <w:rFonts w:cs="Arial"/>
                <w:sz w:val="20"/>
                <w:szCs w:val="20"/>
              </w:rPr>
              <w:t xml:space="preserve">to </w:t>
            </w:r>
            <w:r w:rsidR="00D2543F" w:rsidRPr="00D2543F">
              <w:rPr>
                <w:rFonts w:cs="Arial"/>
                <w:sz w:val="20"/>
                <w:szCs w:val="20"/>
              </w:rPr>
              <w:t xml:space="preserve">Georgia </w:t>
            </w:r>
            <w:r w:rsidRPr="0062103E">
              <w:rPr>
                <w:rFonts w:cs="Arial"/>
                <w:sz w:val="20"/>
                <w:szCs w:val="20"/>
              </w:rPr>
              <w:t>EPD in 2018. Consistent with the post-closure plan, and to enhance the effectiveness of closure, a TreeWell® system will be installed outside and downgradient of the CCR footprint</w:t>
            </w:r>
            <w:r w:rsidRPr="2ED5A00C">
              <w:rPr>
                <w:rFonts w:cs="Arial"/>
                <w:sz w:val="20"/>
                <w:szCs w:val="20"/>
              </w:rPr>
              <w:t>.</w:t>
            </w:r>
            <w:r>
              <w:rPr>
                <w:rFonts w:eastAsia="Calibri" w:cs="Arial"/>
                <w:color w:val="000000" w:themeColor="text1"/>
                <w:sz w:val="20"/>
                <w:szCs w:val="20"/>
              </w:rPr>
              <w:t xml:space="preserve"> </w:t>
            </w:r>
            <w:r w:rsidR="00E10304" w:rsidRPr="7E4DFDE3">
              <w:rPr>
                <w:rFonts w:eastAsia="Arial" w:cs="Arial"/>
                <w:sz w:val="20"/>
                <w:szCs w:val="20"/>
              </w:rPr>
              <w:t xml:space="preserve">A draft </w:t>
            </w:r>
            <w:r w:rsidR="00E10304">
              <w:rPr>
                <w:rFonts w:eastAsia="Arial" w:cs="Arial"/>
                <w:sz w:val="20"/>
                <w:szCs w:val="20"/>
              </w:rPr>
              <w:t xml:space="preserve">CCR solid waste </w:t>
            </w:r>
            <w:r w:rsidR="00E10304" w:rsidRPr="7E4DFDE3">
              <w:rPr>
                <w:rFonts w:eastAsia="Arial" w:cs="Arial"/>
                <w:sz w:val="20"/>
                <w:szCs w:val="20"/>
              </w:rPr>
              <w:t xml:space="preserve">permit has been issued by </w:t>
            </w:r>
            <w:r w:rsidR="00D2543F" w:rsidRPr="00D2543F">
              <w:rPr>
                <w:rFonts w:cs="Arial"/>
                <w:sz w:val="20"/>
                <w:szCs w:val="20"/>
              </w:rPr>
              <w:t xml:space="preserve">Georgia </w:t>
            </w:r>
            <w:r w:rsidR="00E10304" w:rsidRPr="7E4DFDE3">
              <w:rPr>
                <w:rFonts w:eastAsia="Arial" w:cs="Arial"/>
                <w:sz w:val="20"/>
                <w:szCs w:val="20"/>
              </w:rPr>
              <w:t>EPD</w:t>
            </w:r>
            <w:r w:rsidR="003A038C">
              <w:rPr>
                <w:rFonts w:eastAsia="Arial" w:cs="Arial"/>
                <w:sz w:val="20"/>
                <w:szCs w:val="20"/>
              </w:rPr>
              <w:t>.</w:t>
            </w:r>
            <w:r w:rsidR="00E10304" w:rsidRPr="7E4DFDE3">
              <w:rPr>
                <w:rFonts w:eastAsia="Arial" w:cs="Arial"/>
                <w:sz w:val="20"/>
                <w:szCs w:val="20"/>
              </w:rPr>
              <w:t xml:space="preserve"> </w:t>
            </w:r>
            <w:r w:rsidR="000D09B6">
              <w:rPr>
                <w:rFonts w:cs="Arial"/>
                <w:sz w:val="20"/>
                <w:szCs w:val="20"/>
              </w:rPr>
              <w:t xml:space="preserve">The Company is conducting additional groundwater studies to support the ACM process and remedy selection. </w:t>
            </w:r>
            <w:r w:rsidR="007F556A">
              <w:rPr>
                <w:rFonts w:eastAsia="Arial" w:cs="Arial"/>
                <w:sz w:val="20"/>
                <w:szCs w:val="20"/>
              </w:rPr>
              <w:t>AP-</w:t>
            </w:r>
            <w:r w:rsidR="00B93209">
              <w:rPr>
                <w:rFonts w:eastAsia="Arial" w:cs="Arial"/>
                <w:sz w:val="20"/>
                <w:szCs w:val="20"/>
              </w:rPr>
              <w:t>3</w:t>
            </w:r>
            <w:r w:rsidR="007F556A">
              <w:rPr>
                <w:rFonts w:eastAsia="Arial" w:cs="Arial"/>
                <w:sz w:val="20"/>
                <w:szCs w:val="20"/>
              </w:rPr>
              <w:t xml:space="preserve"> is under interim post-closure care.</w:t>
            </w:r>
          </w:p>
        </w:tc>
      </w:tr>
      <w:tr w:rsidR="001F2CA1" w:rsidRPr="00CE0A64" w14:paraId="67A943F5" w14:textId="77777777" w:rsidTr="45D25E2A">
        <w:trPr>
          <w:trHeight w:val="710"/>
        </w:trPr>
        <w:tc>
          <w:tcPr>
            <w:tcW w:w="1406" w:type="dxa"/>
            <w:vAlign w:val="center"/>
          </w:tcPr>
          <w:p w14:paraId="024993F0" w14:textId="5415792E" w:rsidR="001F2CA1" w:rsidRPr="00CE0A64" w:rsidRDefault="001F2CA1" w:rsidP="00AD24E0">
            <w:pPr>
              <w:rPr>
                <w:rFonts w:eastAsia="Calibri" w:cs="Arial"/>
                <w:color w:val="000000"/>
                <w:sz w:val="20"/>
                <w:szCs w:val="20"/>
              </w:rPr>
            </w:pPr>
            <w:r>
              <w:rPr>
                <w:rFonts w:eastAsia="Calibri" w:cs="Arial"/>
                <w:color w:val="000000"/>
                <w:sz w:val="20"/>
                <w:szCs w:val="20"/>
              </w:rPr>
              <w:t>Hammond</w:t>
            </w:r>
          </w:p>
        </w:tc>
        <w:tc>
          <w:tcPr>
            <w:tcW w:w="2723" w:type="dxa"/>
            <w:noWrap/>
            <w:vAlign w:val="center"/>
          </w:tcPr>
          <w:p w14:paraId="5BBD2059" w14:textId="042EEB5C" w:rsidR="001F2CA1" w:rsidRPr="00CE0A64" w:rsidRDefault="001F2CA1" w:rsidP="00AD24E0">
            <w:pPr>
              <w:rPr>
                <w:rFonts w:eastAsia="Calibri" w:cs="Arial"/>
                <w:color w:val="000000"/>
                <w:sz w:val="20"/>
                <w:szCs w:val="20"/>
              </w:rPr>
            </w:pPr>
            <w:r>
              <w:rPr>
                <w:rFonts w:eastAsia="Calibri" w:cs="Arial"/>
                <w:color w:val="000000"/>
                <w:sz w:val="20"/>
                <w:szCs w:val="20"/>
              </w:rPr>
              <w:t>AP-4</w:t>
            </w:r>
          </w:p>
        </w:tc>
        <w:tc>
          <w:tcPr>
            <w:tcW w:w="2137" w:type="dxa"/>
            <w:noWrap/>
            <w:vAlign w:val="center"/>
          </w:tcPr>
          <w:p w14:paraId="018EDF17" w14:textId="209D99FC" w:rsidR="001F2CA1" w:rsidRPr="001F2CA1" w:rsidRDefault="001F2CA1" w:rsidP="009919C9">
            <w:pPr>
              <w:jc w:val="left"/>
              <w:rPr>
                <w:rFonts w:eastAsia="Calibri" w:cs="Arial"/>
                <w:color w:val="000000"/>
                <w:sz w:val="20"/>
                <w:szCs w:val="20"/>
              </w:rPr>
            </w:pPr>
            <w:r>
              <w:rPr>
                <w:rFonts w:eastAsia="Calibri" w:cs="Arial"/>
                <w:color w:val="000000"/>
                <w:sz w:val="20"/>
                <w:szCs w:val="20"/>
              </w:rPr>
              <w:t>Closure by Removal</w:t>
            </w:r>
          </w:p>
        </w:tc>
        <w:tc>
          <w:tcPr>
            <w:tcW w:w="6599" w:type="dxa"/>
            <w:vAlign w:val="center"/>
          </w:tcPr>
          <w:p w14:paraId="611116EC" w14:textId="144FFF51" w:rsidR="001F2CA1" w:rsidRPr="009D3160" w:rsidRDefault="000A5E7E" w:rsidP="009D3160">
            <w:pPr>
              <w:rPr>
                <w:rFonts w:eastAsia="Calibri" w:cs="Arial"/>
                <w:color w:val="000000" w:themeColor="text1"/>
                <w:sz w:val="20"/>
                <w:szCs w:val="20"/>
              </w:rPr>
            </w:pPr>
            <w:r>
              <w:rPr>
                <w:rFonts w:cs="Arial"/>
                <w:sz w:val="20"/>
                <w:szCs w:val="20"/>
              </w:rPr>
              <w:t>Dewatering consistent with the Georgia EPD-approved Dewatering Plan</w:t>
            </w:r>
            <w:r w:rsidRPr="00E93B34">
              <w:rPr>
                <w:rFonts w:cs="Arial"/>
                <w:sz w:val="20"/>
                <w:szCs w:val="20"/>
              </w:rPr>
              <w:t xml:space="preserve"> </w:t>
            </w:r>
            <w:r w:rsidR="009D3160" w:rsidRPr="009D3160">
              <w:rPr>
                <w:rFonts w:cs="Arial"/>
                <w:sz w:val="20"/>
                <w:szCs w:val="20"/>
              </w:rPr>
              <w:t xml:space="preserve">commenced in the first quarter of 2021. The Company is progressing the detailed design package. AP-4 will be closed by removal to a Company-owned offsite permitted landfill (Huffaker Road) or another off-site permitted landfill. Site restoration will be completed following the CCR removal. </w:t>
            </w:r>
          </w:p>
        </w:tc>
      </w:tr>
      <w:tr w:rsidR="001673E0" w:rsidRPr="005A1872" w14:paraId="138753EF" w14:textId="77777777" w:rsidTr="45D25E2A">
        <w:trPr>
          <w:trHeight w:val="855"/>
        </w:trPr>
        <w:tc>
          <w:tcPr>
            <w:tcW w:w="1406" w:type="dxa"/>
            <w:vAlign w:val="center"/>
            <w:hideMark/>
          </w:tcPr>
          <w:p w14:paraId="438A352A" w14:textId="2E1A95B4" w:rsidR="001673E0" w:rsidRPr="004929F9" w:rsidRDefault="001673E0" w:rsidP="00AD24E0">
            <w:pPr>
              <w:rPr>
                <w:rFonts w:eastAsia="Calibri" w:cs="Arial"/>
                <w:color w:val="000000"/>
                <w:sz w:val="20"/>
                <w:szCs w:val="20"/>
              </w:rPr>
            </w:pPr>
            <w:r w:rsidRPr="004929F9">
              <w:rPr>
                <w:rFonts w:eastAsia="Calibri" w:cs="Arial"/>
                <w:color w:val="000000"/>
                <w:sz w:val="20"/>
                <w:szCs w:val="20"/>
              </w:rPr>
              <w:t>Hammond</w:t>
            </w:r>
          </w:p>
        </w:tc>
        <w:tc>
          <w:tcPr>
            <w:tcW w:w="2723" w:type="dxa"/>
            <w:vAlign w:val="center"/>
            <w:hideMark/>
          </w:tcPr>
          <w:p w14:paraId="28266CB1" w14:textId="5F29D3D4" w:rsidR="001673E0" w:rsidRPr="004929F9" w:rsidRDefault="001673E0" w:rsidP="00AD24E0">
            <w:pPr>
              <w:rPr>
                <w:rFonts w:eastAsia="Calibri" w:cs="Arial"/>
                <w:color w:val="000000"/>
                <w:sz w:val="20"/>
                <w:szCs w:val="20"/>
              </w:rPr>
            </w:pPr>
            <w:r w:rsidRPr="004929F9">
              <w:rPr>
                <w:rFonts w:eastAsia="Calibri" w:cs="Arial"/>
                <w:color w:val="000000"/>
                <w:sz w:val="20"/>
                <w:szCs w:val="20"/>
              </w:rPr>
              <w:t>LF</w:t>
            </w:r>
            <w:r w:rsidRPr="004929F9">
              <w:rPr>
                <w:rFonts w:eastAsia="Calibri" w:cs="Arial"/>
                <w:color w:val="000000"/>
                <w:sz w:val="20"/>
                <w:szCs w:val="20"/>
              </w:rPr>
              <w:br/>
              <w:t>(Huffaker Rd)</w:t>
            </w:r>
          </w:p>
        </w:tc>
        <w:tc>
          <w:tcPr>
            <w:tcW w:w="2137" w:type="dxa"/>
            <w:noWrap/>
            <w:vAlign w:val="center"/>
            <w:hideMark/>
          </w:tcPr>
          <w:p w14:paraId="6524935F" w14:textId="22C1CE36" w:rsidR="001673E0" w:rsidRPr="004929F9" w:rsidRDefault="001673E0" w:rsidP="009919C9">
            <w:pPr>
              <w:jc w:val="left"/>
              <w:rPr>
                <w:rFonts w:eastAsia="Calibri" w:cs="Arial"/>
                <w:color w:val="000000"/>
                <w:sz w:val="20"/>
                <w:szCs w:val="20"/>
              </w:rPr>
            </w:pPr>
            <w:r w:rsidRPr="004929F9">
              <w:rPr>
                <w:rFonts w:eastAsia="Calibri" w:cs="Arial"/>
                <w:color w:val="000000"/>
                <w:sz w:val="20"/>
                <w:szCs w:val="20"/>
              </w:rPr>
              <w:t>Active LF/Closure in Place</w:t>
            </w:r>
          </w:p>
        </w:tc>
        <w:tc>
          <w:tcPr>
            <w:tcW w:w="6599" w:type="dxa"/>
            <w:vAlign w:val="center"/>
            <w:hideMark/>
          </w:tcPr>
          <w:p w14:paraId="473691E2" w14:textId="2947063C" w:rsidR="001673E0" w:rsidRPr="004929F9" w:rsidRDefault="00156170" w:rsidP="00AD24E0">
            <w:pPr>
              <w:rPr>
                <w:rFonts w:eastAsia="Calibri" w:cs="Arial"/>
                <w:color w:val="000000"/>
                <w:sz w:val="20"/>
                <w:szCs w:val="20"/>
              </w:rPr>
            </w:pPr>
            <w:r>
              <w:rPr>
                <w:rFonts w:cs="Arial"/>
                <w:color w:val="000000"/>
                <w:sz w:val="20"/>
                <w:szCs w:val="20"/>
              </w:rPr>
              <w:t>CCR</w:t>
            </w:r>
            <w:r w:rsidRPr="004929F9">
              <w:rPr>
                <w:rFonts w:cs="Arial"/>
                <w:color w:val="000000"/>
                <w:sz w:val="20"/>
                <w:szCs w:val="20"/>
              </w:rPr>
              <w:t xml:space="preserve"> </w:t>
            </w:r>
            <w:r w:rsidR="00001D50" w:rsidRPr="004929F9">
              <w:rPr>
                <w:rFonts w:cs="Arial"/>
                <w:color w:val="000000"/>
                <w:sz w:val="20"/>
                <w:szCs w:val="20"/>
              </w:rPr>
              <w:t xml:space="preserve">landfill </w:t>
            </w:r>
            <w:r w:rsidR="00F85073">
              <w:rPr>
                <w:rFonts w:cs="Arial"/>
                <w:color w:val="000000"/>
                <w:sz w:val="20"/>
                <w:szCs w:val="20"/>
              </w:rPr>
              <w:t>is to</w:t>
            </w:r>
            <w:r w:rsidR="00F85073" w:rsidRPr="004929F9">
              <w:rPr>
                <w:rFonts w:cs="Arial"/>
                <w:color w:val="000000"/>
                <w:sz w:val="20"/>
                <w:szCs w:val="20"/>
              </w:rPr>
              <w:t xml:space="preserve"> </w:t>
            </w:r>
            <w:r w:rsidR="00001D50" w:rsidRPr="004929F9">
              <w:rPr>
                <w:rFonts w:cs="Arial"/>
                <w:color w:val="000000"/>
                <w:sz w:val="20"/>
                <w:szCs w:val="20"/>
              </w:rPr>
              <w:t xml:space="preserve">be closed </w:t>
            </w:r>
            <w:r w:rsidR="00444CBC">
              <w:rPr>
                <w:rFonts w:cs="Arial"/>
                <w:color w:val="000000"/>
                <w:sz w:val="20"/>
                <w:szCs w:val="20"/>
              </w:rPr>
              <w:t>following</w:t>
            </w:r>
            <w:r w:rsidR="00197982">
              <w:rPr>
                <w:rFonts w:cs="Arial"/>
                <w:color w:val="000000"/>
                <w:sz w:val="20"/>
                <w:szCs w:val="20"/>
              </w:rPr>
              <w:t xml:space="preserve"> placement</w:t>
            </w:r>
            <w:r w:rsidR="007246A6">
              <w:rPr>
                <w:rFonts w:cs="Arial"/>
                <w:color w:val="000000"/>
                <w:sz w:val="20"/>
                <w:szCs w:val="20"/>
              </w:rPr>
              <w:t xml:space="preserve"> of CCR from certain ash ponds at Hammond</w:t>
            </w:r>
            <w:r w:rsidR="7F5142C8" w:rsidRPr="08F2E814">
              <w:rPr>
                <w:rFonts w:eastAsia="Calibri" w:cs="Arial"/>
                <w:color w:val="000000" w:themeColor="text1"/>
                <w:sz w:val="20"/>
                <w:szCs w:val="20"/>
              </w:rPr>
              <w:t>.</w:t>
            </w:r>
          </w:p>
        </w:tc>
      </w:tr>
      <w:tr w:rsidR="004970D5" w:rsidRPr="005A1872" w14:paraId="79F6105A" w14:textId="77777777" w:rsidTr="45D25E2A">
        <w:trPr>
          <w:trHeight w:val="710"/>
        </w:trPr>
        <w:tc>
          <w:tcPr>
            <w:tcW w:w="1406" w:type="dxa"/>
            <w:vAlign w:val="center"/>
            <w:hideMark/>
          </w:tcPr>
          <w:p w14:paraId="49ABC094" w14:textId="36EBF75B" w:rsidR="004970D5" w:rsidRPr="004929F9" w:rsidRDefault="004970D5" w:rsidP="004970D5">
            <w:pPr>
              <w:rPr>
                <w:rFonts w:eastAsia="Calibri" w:cs="Arial"/>
                <w:color w:val="000000"/>
                <w:sz w:val="20"/>
                <w:szCs w:val="20"/>
              </w:rPr>
            </w:pPr>
            <w:r w:rsidRPr="641B0E5A">
              <w:rPr>
                <w:rFonts w:eastAsia="Calibri" w:cs="Arial"/>
                <w:color w:val="000000" w:themeColor="text1"/>
                <w:sz w:val="20"/>
                <w:szCs w:val="20"/>
              </w:rPr>
              <w:t>Kraft</w:t>
            </w:r>
          </w:p>
        </w:tc>
        <w:tc>
          <w:tcPr>
            <w:tcW w:w="2723" w:type="dxa"/>
            <w:noWrap/>
            <w:vAlign w:val="center"/>
            <w:hideMark/>
          </w:tcPr>
          <w:p w14:paraId="5D07D5EA" w14:textId="7E43D654" w:rsidR="004970D5" w:rsidRPr="004929F9" w:rsidRDefault="004970D5" w:rsidP="004970D5">
            <w:pPr>
              <w:rPr>
                <w:rFonts w:eastAsia="Calibri" w:cs="Arial"/>
                <w:color w:val="000000"/>
                <w:sz w:val="20"/>
                <w:szCs w:val="20"/>
              </w:rPr>
            </w:pPr>
            <w:r w:rsidRPr="004929F9">
              <w:rPr>
                <w:rFonts w:eastAsia="Calibri" w:cs="Arial"/>
                <w:color w:val="000000"/>
                <w:sz w:val="20"/>
                <w:szCs w:val="20"/>
              </w:rPr>
              <w:t>AP-1</w:t>
            </w:r>
          </w:p>
        </w:tc>
        <w:tc>
          <w:tcPr>
            <w:tcW w:w="2137" w:type="dxa"/>
            <w:noWrap/>
            <w:vAlign w:val="center"/>
            <w:hideMark/>
          </w:tcPr>
          <w:p w14:paraId="10A65E48" w14:textId="222126C8" w:rsidR="004970D5" w:rsidRPr="004929F9" w:rsidRDefault="004970D5" w:rsidP="004970D5">
            <w:pPr>
              <w:jc w:val="left"/>
              <w:rPr>
                <w:rFonts w:eastAsia="Calibri" w:cs="Arial"/>
                <w:color w:val="000000"/>
                <w:sz w:val="20"/>
                <w:szCs w:val="20"/>
              </w:rPr>
            </w:pPr>
            <w:r w:rsidRPr="004929F9">
              <w:rPr>
                <w:rFonts w:eastAsia="Calibri" w:cs="Arial"/>
                <w:color w:val="000000"/>
                <w:sz w:val="20"/>
                <w:szCs w:val="20"/>
              </w:rPr>
              <w:t>Closure by Removal</w:t>
            </w:r>
          </w:p>
        </w:tc>
        <w:tc>
          <w:tcPr>
            <w:tcW w:w="6599" w:type="dxa"/>
            <w:vAlign w:val="center"/>
            <w:hideMark/>
          </w:tcPr>
          <w:p w14:paraId="597BB5B0" w14:textId="6D83C614" w:rsidR="004970D5" w:rsidRPr="00060256" w:rsidRDefault="004970D5" w:rsidP="006B4E42">
            <w:pPr>
              <w:rPr>
                <w:rFonts w:eastAsia="Calibri" w:cs="Arial"/>
                <w:sz w:val="20"/>
                <w:szCs w:val="20"/>
              </w:rPr>
            </w:pPr>
            <w:r w:rsidRPr="641B0E5A">
              <w:rPr>
                <w:rFonts w:eastAsia="Calibri" w:cs="Arial"/>
                <w:color w:val="000000" w:themeColor="text1"/>
                <w:sz w:val="20"/>
                <w:szCs w:val="20"/>
              </w:rPr>
              <w:t>AP-1 was closed by removal to offsite permitted landfills</w:t>
            </w:r>
            <w:r>
              <w:rPr>
                <w:rFonts w:eastAsia="Calibri" w:cs="Arial"/>
                <w:color w:val="000000" w:themeColor="text1"/>
                <w:sz w:val="20"/>
                <w:szCs w:val="20"/>
              </w:rPr>
              <w:t xml:space="preserve"> </w:t>
            </w:r>
            <w:r w:rsidR="00EE7115">
              <w:rPr>
                <w:rFonts w:cs="Arial"/>
                <w:color w:val="000000" w:themeColor="text1"/>
                <w:sz w:val="20"/>
                <w:szCs w:val="20"/>
              </w:rPr>
              <w:t>prior to</w:t>
            </w:r>
            <w:r w:rsidR="00EE7115" w:rsidRPr="2ED5A00C">
              <w:rPr>
                <w:rFonts w:cs="Arial"/>
                <w:color w:val="000000" w:themeColor="text1"/>
                <w:sz w:val="20"/>
                <w:szCs w:val="20"/>
              </w:rPr>
              <w:t xml:space="preserve"> </w:t>
            </w:r>
            <w:r w:rsidRPr="2ED5A00C">
              <w:rPr>
                <w:rFonts w:cs="Arial"/>
                <w:color w:val="000000" w:themeColor="text1"/>
                <w:sz w:val="20"/>
                <w:szCs w:val="20"/>
              </w:rPr>
              <w:t xml:space="preserve">the </w:t>
            </w:r>
            <w:r w:rsidR="00F44C10">
              <w:rPr>
                <w:rFonts w:cs="Arial"/>
                <w:color w:val="000000" w:themeColor="text1"/>
                <w:sz w:val="20"/>
                <w:szCs w:val="20"/>
              </w:rPr>
              <w:t>Georgia</w:t>
            </w:r>
            <w:r w:rsidR="00F44C10" w:rsidRPr="2ED5A00C">
              <w:rPr>
                <w:rFonts w:cs="Arial"/>
                <w:color w:val="000000" w:themeColor="text1"/>
                <w:sz w:val="20"/>
                <w:szCs w:val="20"/>
              </w:rPr>
              <w:t xml:space="preserve"> </w:t>
            </w:r>
            <w:r w:rsidRPr="2ED5A00C">
              <w:rPr>
                <w:rFonts w:cs="Arial"/>
                <w:color w:val="000000" w:themeColor="text1"/>
                <w:sz w:val="20"/>
                <w:szCs w:val="20"/>
              </w:rPr>
              <w:t>CCR Rule</w:t>
            </w:r>
            <w:r w:rsidRPr="641B0E5A">
              <w:rPr>
                <w:rFonts w:eastAsia="Calibri" w:cs="Arial"/>
                <w:color w:val="000000" w:themeColor="text1"/>
                <w:sz w:val="20"/>
                <w:szCs w:val="20"/>
              </w:rPr>
              <w:t xml:space="preserve">. </w:t>
            </w:r>
            <w:r w:rsidRPr="00A44F2A">
              <w:rPr>
                <w:rFonts w:eastAsia="Calibri" w:cs="Arial"/>
                <w:sz w:val="20"/>
                <w:szCs w:val="20"/>
              </w:rPr>
              <w:t>T</w:t>
            </w:r>
            <w:r w:rsidRPr="2ED5A00C">
              <w:rPr>
                <w:rStyle w:val="normaltextrun"/>
                <w:rFonts w:cs="Arial"/>
                <w:sz w:val="20"/>
                <w:szCs w:val="20"/>
              </w:rPr>
              <w:t xml:space="preserve">he removal was part of an </w:t>
            </w:r>
            <w:r w:rsidRPr="00A44F2A">
              <w:rPr>
                <w:rStyle w:val="normaltextrun"/>
                <w:rFonts w:cs="Arial"/>
                <w:sz w:val="20"/>
                <w:szCs w:val="20"/>
              </w:rPr>
              <w:t>expanded plant retirement project and was regulated by</w:t>
            </w:r>
            <w:r w:rsidR="00D2543F">
              <w:rPr>
                <w:rStyle w:val="normaltextrun"/>
                <w:rFonts w:cs="Arial"/>
                <w:sz w:val="20"/>
                <w:szCs w:val="20"/>
              </w:rPr>
              <w:t xml:space="preserve"> </w:t>
            </w:r>
            <w:r w:rsidR="00D2543F" w:rsidRPr="00D2543F">
              <w:rPr>
                <w:rFonts w:cs="Arial"/>
                <w:sz w:val="20"/>
                <w:szCs w:val="20"/>
              </w:rPr>
              <w:t>Georgia</w:t>
            </w:r>
            <w:r w:rsidRPr="00A44F2A">
              <w:rPr>
                <w:rStyle w:val="normaltextrun"/>
                <w:rFonts w:cs="Arial"/>
                <w:sz w:val="20"/>
                <w:szCs w:val="20"/>
              </w:rPr>
              <w:t> EPD’s Response and Remediation Program.  </w:t>
            </w:r>
            <w:r w:rsidR="00444CBC" w:rsidRPr="006B4E42">
              <w:rPr>
                <w:rFonts w:cs="Arial"/>
                <w:sz w:val="20"/>
                <w:szCs w:val="20"/>
              </w:rPr>
              <w:t xml:space="preserve"> </w:t>
            </w:r>
            <w:r w:rsidRPr="006B4E42" w:rsidDel="0013149A">
              <w:rPr>
                <w:rFonts w:cs="Arial"/>
                <w:sz w:val="20"/>
                <w:szCs w:val="20"/>
              </w:rPr>
              <w:t>Georgia Power submitted a certification of ash removal from AP-1</w:t>
            </w:r>
            <w:r w:rsidR="00444CBC" w:rsidRPr="006B4E42">
              <w:rPr>
                <w:rFonts w:cs="Arial"/>
                <w:sz w:val="20"/>
                <w:szCs w:val="20"/>
              </w:rPr>
              <w:t xml:space="preserve"> </w:t>
            </w:r>
            <w:r w:rsidR="001A50EC" w:rsidRPr="006B4E42" w:rsidDel="0013149A">
              <w:rPr>
                <w:rFonts w:cs="Arial"/>
                <w:sz w:val="20"/>
                <w:szCs w:val="20"/>
              </w:rPr>
              <w:t>to</w:t>
            </w:r>
            <w:r w:rsidR="001A50EC" w:rsidRPr="006B4E42">
              <w:rPr>
                <w:rFonts w:cs="Arial"/>
                <w:sz w:val="20"/>
                <w:szCs w:val="20"/>
              </w:rPr>
              <w:t xml:space="preserve"> </w:t>
            </w:r>
            <w:r w:rsidR="00D2543F" w:rsidRPr="00D2543F">
              <w:rPr>
                <w:rFonts w:cs="Arial"/>
                <w:sz w:val="20"/>
                <w:szCs w:val="20"/>
              </w:rPr>
              <w:t xml:space="preserve">Georgia </w:t>
            </w:r>
            <w:r w:rsidR="001A50EC" w:rsidRPr="006B4E42" w:rsidDel="0013149A">
              <w:rPr>
                <w:rFonts w:cs="Arial"/>
                <w:sz w:val="20"/>
                <w:szCs w:val="20"/>
              </w:rPr>
              <w:t>EPD in 2018</w:t>
            </w:r>
            <w:r w:rsidR="001A50EC">
              <w:rPr>
                <w:rFonts w:cs="Arial"/>
                <w:sz w:val="20"/>
                <w:szCs w:val="20"/>
              </w:rPr>
              <w:t xml:space="preserve"> </w:t>
            </w:r>
            <w:r w:rsidRPr="006B4E42" w:rsidDel="0013149A">
              <w:rPr>
                <w:rFonts w:cs="Arial"/>
                <w:sz w:val="20"/>
                <w:szCs w:val="20"/>
              </w:rPr>
              <w:t>as part of a site-wide</w:t>
            </w:r>
            <w:r w:rsidR="00444CBC" w:rsidRPr="006B4E42">
              <w:rPr>
                <w:rFonts w:cs="Arial"/>
                <w:sz w:val="20"/>
                <w:szCs w:val="20"/>
              </w:rPr>
              <w:t xml:space="preserve"> </w:t>
            </w:r>
            <w:r w:rsidRPr="006B4E42" w:rsidDel="0013149A">
              <w:rPr>
                <w:rFonts w:cs="Arial"/>
                <w:sz w:val="20"/>
                <w:szCs w:val="20"/>
              </w:rPr>
              <w:t>Compliance</w:t>
            </w:r>
            <w:r w:rsidR="00444CBC" w:rsidRPr="006B4E42">
              <w:rPr>
                <w:rFonts w:cs="Arial"/>
                <w:sz w:val="20"/>
                <w:szCs w:val="20"/>
              </w:rPr>
              <w:t xml:space="preserve"> </w:t>
            </w:r>
            <w:r w:rsidRPr="006B4E42" w:rsidDel="0013149A">
              <w:rPr>
                <w:rFonts w:cs="Arial"/>
                <w:sz w:val="20"/>
                <w:szCs w:val="20"/>
              </w:rPr>
              <w:t>Status</w:t>
            </w:r>
            <w:r w:rsidR="00444CBC" w:rsidRPr="006B4E42">
              <w:rPr>
                <w:rFonts w:cs="Arial"/>
                <w:sz w:val="20"/>
                <w:szCs w:val="20"/>
              </w:rPr>
              <w:t xml:space="preserve"> </w:t>
            </w:r>
            <w:r w:rsidRPr="006B4E42" w:rsidDel="0013149A">
              <w:rPr>
                <w:rFonts w:cs="Arial"/>
                <w:sz w:val="20"/>
                <w:szCs w:val="20"/>
              </w:rPr>
              <w:t>Report</w:t>
            </w:r>
            <w:r w:rsidR="00444CBC" w:rsidRPr="2ED5A00C">
              <w:rPr>
                <w:rFonts w:cs="Arial"/>
                <w:sz w:val="20"/>
                <w:szCs w:val="20"/>
              </w:rPr>
              <w:t>.</w:t>
            </w:r>
            <w:r w:rsidR="006B4E42" w:rsidRPr="006B4E42">
              <w:rPr>
                <w:rFonts w:cs="Arial"/>
                <w:sz w:val="20"/>
                <w:szCs w:val="20"/>
              </w:rPr>
              <w:t xml:space="preserve"> </w:t>
            </w:r>
            <w:r w:rsidR="00D2543F" w:rsidRPr="00D2543F">
              <w:rPr>
                <w:rFonts w:cs="Arial"/>
                <w:sz w:val="20"/>
                <w:szCs w:val="20"/>
              </w:rPr>
              <w:t>Georgia</w:t>
            </w:r>
            <w:r w:rsidR="006B4E42" w:rsidRPr="006B4E42">
              <w:rPr>
                <w:rFonts w:cs="Arial"/>
                <w:sz w:val="20"/>
                <w:szCs w:val="20"/>
              </w:rPr>
              <w:t xml:space="preserve"> EPD provided concurrence with the </w:t>
            </w:r>
            <w:r w:rsidR="786BDB8D" w:rsidRPr="00FE27B2">
              <w:rPr>
                <w:rFonts w:cs="Arial"/>
                <w:sz w:val="20"/>
                <w:szCs w:val="20"/>
              </w:rPr>
              <w:t>C</w:t>
            </w:r>
            <w:r w:rsidR="637F33EA" w:rsidRPr="00FE27B2">
              <w:rPr>
                <w:rFonts w:cs="Arial"/>
                <w:sz w:val="20"/>
                <w:szCs w:val="20"/>
              </w:rPr>
              <w:t xml:space="preserve">ompliance </w:t>
            </w:r>
            <w:r w:rsidR="786BDB8D" w:rsidRPr="00FE27B2">
              <w:rPr>
                <w:rFonts w:cs="Arial"/>
                <w:sz w:val="20"/>
                <w:szCs w:val="20"/>
              </w:rPr>
              <w:t>S</w:t>
            </w:r>
            <w:r w:rsidR="637F33EA" w:rsidRPr="00FE27B2">
              <w:rPr>
                <w:rFonts w:cs="Arial"/>
                <w:sz w:val="20"/>
                <w:szCs w:val="20"/>
              </w:rPr>
              <w:t xml:space="preserve">tatus </w:t>
            </w:r>
            <w:r w:rsidR="786BDB8D" w:rsidRPr="00FE27B2">
              <w:rPr>
                <w:rFonts w:cs="Arial"/>
                <w:sz w:val="20"/>
                <w:szCs w:val="20"/>
              </w:rPr>
              <w:t>R</w:t>
            </w:r>
            <w:r w:rsidR="637F33EA" w:rsidRPr="00FE27B2">
              <w:rPr>
                <w:rFonts w:cs="Arial"/>
                <w:sz w:val="20"/>
                <w:szCs w:val="20"/>
              </w:rPr>
              <w:t>eport</w:t>
            </w:r>
            <w:r w:rsidR="006B4E42" w:rsidRPr="006B4E42">
              <w:rPr>
                <w:rFonts w:cs="Arial"/>
                <w:sz w:val="20"/>
                <w:szCs w:val="20"/>
              </w:rPr>
              <w:t xml:space="preserve"> in June 2020</w:t>
            </w:r>
            <w:r w:rsidR="004D6271">
              <w:rPr>
                <w:rFonts w:cs="Arial"/>
                <w:sz w:val="20"/>
                <w:szCs w:val="20"/>
              </w:rPr>
              <w:t xml:space="preserve"> and removed </w:t>
            </w:r>
            <w:r w:rsidR="00C14D16">
              <w:rPr>
                <w:rFonts w:cs="Arial"/>
                <w:sz w:val="20"/>
                <w:szCs w:val="20"/>
              </w:rPr>
              <w:t xml:space="preserve">the site </w:t>
            </w:r>
            <w:r w:rsidR="004D6271">
              <w:rPr>
                <w:rFonts w:cs="Arial"/>
                <w:sz w:val="20"/>
                <w:szCs w:val="20"/>
              </w:rPr>
              <w:t xml:space="preserve">from </w:t>
            </w:r>
            <w:r w:rsidR="000A5E7E">
              <w:rPr>
                <w:rFonts w:cs="Arial"/>
                <w:sz w:val="20"/>
                <w:szCs w:val="20"/>
              </w:rPr>
              <w:t>Georgia EPD</w:t>
            </w:r>
            <w:r w:rsidR="004D6271">
              <w:rPr>
                <w:rFonts w:cs="Arial"/>
                <w:sz w:val="20"/>
                <w:szCs w:val="20"/>
              </w:rPr>
              <w:t xml:space="preserve"> Hazardous Sites Inventory in 2021</w:t>
            </w:r>
            <w:r w:rsidR="006B4E42" w:rsidRPr="006B4E42">
              <w:rPr>
                <w:rFonts w:cs="Arial"/>
                <w:sz w:val="20"/>
                <w:szCs w:val="20"/>
              </w:rPr>
              <w:t>.</w:t>
            </w:r>
          </w:p>
        </w:tc>
      </w:tr>
      <w:tr w:rsidR="004970D5" w:rsidRPr="005A1872" w14:paraId="4C6B9296" w14:textId="77777777" w:rsidTr="45D25E2A">
        <w:trPr>
          <w:trHeight w:val="620"/>
        </w:trPr>
        <w:tc>
          <w:tcPr>
            <w:tcW w:w="1406" w:type="dxa"/>
            <w:vAlign w:val="center"/>
            <w:hideMark/>
          </w:tcPr>
          <w:p w14:paraId="6FDE50B7" w14:textId="522515D3" w:rsidR="004970D5" w:rsidRPr="004929F9" w:rsidRDefault="004970D5" w:rsidP="004970D5">
            <w:pPr>
              <w:rPr>
                <w:rFonts w:eastAsia="Calibri" w:cs="Arial"/>
                <w:color w:val="000000"/>
                <w:sz w:val="20"/>
                <w:szCs w:val="20"/>
              </w:rPr>
            </w:pPr>
            <w:r w:rsidRPr="004929F9">
              <w:rPr>
                <w:rFonts w:eastAsia="Calibri" w:cs="Arial"/>
                <w:color w:val="000000"/>
                <w:sz w:val="20"/>
                <w:szCs w:val="20"/>
              </w:rPr>
              <w:t>Kraft</w:t>
            </w:r>
          </w:p>
        </w:tc>
        <w:tc>
          <w:tcPr>
            <w:tcW w:w="2723" w:type="dxa"/>
            <w:noWrap/>
            <w:vAlign w:val="center"/>
            <w:hideMark/>
          </w:tcPr>
          <w:p w14:paraId="3ECB7EC8" w14:textId="2133EBBD" w:rsidR="004970D5" w:rsidRPr="004929F9" w:rsidRDefault="004970D5" w:rsidP="004970D5">
            <w:pPr>
              <w:rPr>
                <w:rFonts w:eastAsia="Calibri" w:cs="Arial"/>
                <w:color w:val="000000"/>
                <w:sz w:val="20"/>
                <w:szCs w:val="20"/>
              </w:rPr>
            </w:pPr>
            <w:r w:rsidRPr="004929F9">
              <w:rPr>
                <w:rFonts w:eastAsia="Calibri" w:cs="Arial"/>
                <w:color w:val="000000"/>
                <w:sz w:val="20"/>
                <w:szCs w:val="20"/>
              </w:rPr>
              <w:t>LF (Grumman Rd)</w:t>
            </w:r>
          </w:p>
        </w:tc>
        <w:tc>
          <w:tcPr>
            <w:tcW w:w="2137" w:type="dxa"/>
            <w:noWrap/>
            <w:vAlign w:val="center"/>
            <w:hideMark/>
          </w:tcPr>
          <w:p w14:paraId="1FCB93B4" w14:textId="6A051BE1" w:rsidR="004970D5" w:rsidRPr="004929F9" w:rsidRDefault="004970D5" w:rsidP="004970D5">
            <w:pPr>
              <w:jc w:val="left"/>
              <w:rPr>
                <w:rFonts w:eastAsia="Calibri" w:cs="Arial"/>
                <w:color w:val="000000"/>
                <w:sz w:val="20"/>
                <w:szCs w:val="20"/>
              </w:rPr>
            </w:pPr>
            <w:r w:rsidRPr="004929F9">
              <w:rPr>
                <w:rFonts w:eastAsia="Calibri" w:cs="Arial"/>
                <w:color w:val="000000"/>
                <w:sz w:val="20"/>
                <w:szCs w:val="20"/>
              </w:rPr>
              <w:t>Inactive LF</w:t>
            </w:r>
            <w:r w:rsidRPr="004929F9">
              <w:rPr>
                <w:rFonts w:cs="Arial"/>
              </w:rPr>
              <w:t xml:space="preserve"> </w:t>
            </w:r>
            <w:r w:rsidRPr="004929F9">
              <w:rPr>
                <w:rFonts w:eastAsia="Calibri" w:cs="Arial"/>
                <w:color w:val="000000"/>
                <w:sz w:val="20"/>
                <w:szCs w:val="20"/>
              </w:rPr>
              <w:t>/Closure in Place</w:t>
            </w:r>
          </w:p>
        </w:tc>
        <w:tc>
          <w:tcPr>
            <w:tcW w:w="6599" w:type="dxa"/>
            <w:vAlign w:val="center"/>
            <w:hideMark/>
          </w:tcPr>
          <w:p w14:paraId="5FEE1A15" w14:textId="391582BC" w:rsidR="004970D5" w:rsidRPr="004929F9" w:rsidRDefault="004970D5" w:rsidP="009C7652">
            <w:pPr>
              <w:autoSpaceDE w:val="0"/>
              <w:autoSpaceDN w:val="0"/>
              <w:adjustRightInd w:val="0"/>
              <w:rPr>
                <w:rFonts w:eastAsia="Calibri" w:cs="Arial"/>
                <w:color w:val="000000"/>
                <w:sz w:val="20"/>
                <w:szCs w:val="20"/>
              </w:rPr>
            </w:pPr>
            <w:r w:rsidRPr="014607F9">
              <w:rPr>
                <w:rFonts w:eastAsia="Calibri" w:cs="Arial"/>
                <w:color w:val="000000" w:themeColor="text1"/>
                <w:sz w:val="20"/>
                <w:szCs w:val="20"/>
              </w:rPr>
              <w:t>Grumman Road Landfill is an inactive landfill and has been closed in place</w:t>
            </w:r>
            <w:r w:rsidR="00444CBC">
              <w:rPr>
                <w:rFonts w:cs="Arial"/>
                <w:sz w:val="20"/>
                <w:szCs w:val="20"/>
              </w:rPr>
              <w:t>,</w:t>
            </w:r>
            <w:r w:rsidR="00565BAE">
              <w:rPr>
                <w:rFonts w:cs="Arial"/>
                <w:sz w:val="20"/>
                <w:szCs w:val="20"/>
              </w:rPr>
              <w:t xml:space="preserve"> and a</w:t>
            </w:r>
            <w:r w:rsidR="007029EA" w:rsidRPr="007029EA">
              <w:rPr>
                <w:rFonts w:cs="Arial"/>
                <w:sz w:val="20"/>
                <w:szCs w:val="20"/>
              </w:rPr>
              <w:t xml:space="preserve"> final construction</w:t>
            </w:r>
            <w:r w:rsidR="007029EA">
              <w:rPr>
                <w:rFonts w:cs="Arial"/>
                <w:sz w:val="20"/>
                <w:szCs w:val="20"/>
              </w:rPr>
              <w:t xml:space="preserve"> </w:t>
            </w:r>
            <w:r w:rsidR="007029EA" w:rsidRPr="007029EA">
              <w:rPr>
                <w:rFonts w:cs="Arial"/>
                <w:sz w:val="20"/>
                <w:szCs w:val="20"/>
              </w:rPr>
              <w:t xml:space="preserve">certification report was submitted to </w:t>
            </w:r>
            <w:r w:rsidR="00D2543F" w:rsidRPr="00D2543F">
              <w:rPr>
                <w:rFonts w:cs="Arial"/>
                <w:sz w:val="20"/>
                <w:szCs w:val="20"/>
              </w:rPr>
              <w:t xml:space="preserve">Georgia </w:t>
            </w:r>
            <w:r w:rsidR="007029EA" w:rsidRPr="007029EA">
              <w:rPr>
                <w:rFonts w:cs="Arial"/>
                <w:sz w:val="20"/>
                <w:szCs w:val="20"/>
              </w:rPr>
              <w:t>EPD in 2019. The Company completed</w:t>
            </w:r>
            <w:r w:rsidR="007029EA">
              <w:rPr>
                <w:rFonts w:cs="Arial"/>
                <w:sz w:val="20"/>
                <w:szCs w:val="20"/>
              </w:rPr>
              <w:t xml:space="preserve"> </w:t>
            </w:r>
            <w:r w:rsidR="007029EA" w:rsidRPr="007029EA">
              <w:rPr>
                <w:rFonts w:cs="Arial"/>
                <w:sz w:val="20"/>
                <w:szCs w:val="20"/>
              </w:rPr>
              <w:t>additional restoration activities in 2020</w:t>
            </w:r>
            <w:r w:rsidR="006E4071">
              <w:rPr>
                <w:rFonts w:cs="Arial"/>
                <w:sz w:val="20"/>
                <w:szCs w:val="20"/>
              </w:rPr>
              <w:t xml:space="preserve"> </w:t>
            </w:r>
            <w:r w:rsidR="00103E36">
              <w:rPr>
                <w:rFonts w:cs="Arial"/>
                <w:sz w:val="20"/>
                <w:szCs w:val="20"/>
              </w:rPr>
              <w:t>a</w:t>
            </w:r>
            <w:r w:rsidR="006E4071">
              <w:rPr>
                <w:rFonts w:cs="Arial"/>
                <w:sz w:val="20"/>
                <w:szCs w:val="20"/>
              </w:rPr>
              <w:t xml:space="preserve">nd is conducting additional groundwater studies to support the ACM process and remedy </w:t>
            </w:r>
            <w:r w:rsidR="00103E36">
              <w:rPr>
                <w:rFonts w:cs="Arial"/>
                <w:sz w:val="20"/>
                <w:szCs w:val="20"/>
              </w:rPr>
              <w:t>selection.</w:t>
            </w:r>
          </w:p>
        </w:tc>
      </w:tr>
      <w:tr w:rsidR="004970D5" w:rsidRPr="005A1872" w14:paraId="1C47A5BF" w14:textId="77777777" w:rsidTr="45D25E2A">
        <w:trPr>
          <w:trHeight w:val="870"/>
        </w:trPr>
        <w:tc>
          <w:tcPr>
            <w:tcW w:w="1406" w:type="dxa"/>
            <w:vAlign w:val="center"/>
            <w:hideMark/>
          </w:tcPr>
          <w:p w14:paraId="55E3611A" w14:textId="105C6318" w:rsidR="004970D5" w:rsidRPr="004929F9" w:rsidRDefault="004970D5" w:rsidP="004970D5">
            <w:pPr>
              <w:rPr>
                <w:rFonts w:eastAsia="Calibri" w:cs="Arial"/>
                <w:color w:val="000000"/>
                <w:sz w:val="20"/>
                <w:szCs w:val="20"/>
              </w:rPr>
            </w:pPr>
            <w:r w:rsidRPr="004929F9">
              <w:rPr>
                <w:rFonts w:eastAsia="Calibri" w:cs="Arial"/>
                <w:color w:val="000000"/>
                <w:sz w:val="20"/>
                <w:szCs w:val="20"/>
              </w:rPr>
              <w:t>McDonough</w:t>
            </w:r>
          </w:p>
        </w:tc>
        <w:tc>
          <w:tcPr>
            <w:tcW w:w="2723" w:type="dxa"/>
            <w:noWrap/>
            <w:vAlign w:val="center"/>
            <w:hideMark/>
          </w:tcPr>
          <w:p w14:paraId="0F110FC5" w14:textId="4547AE14" w:rsidR="004970D5" w:rsidRPr="004929F9" w:rsidRDefault="004970D5" w:rsidP="004970D5">
            <w:pPr>
              <w:rPr>
                <w:rFonts w:eastAsia="Calibri" w:cs="Arial"/>
                <w:color w:val="000000"/>
                <w:sz w:val="20"/>
                <w:szCs w:val="20"/>
              </w:rPr>
            </w:pPr>
            <w:r w:rsidRPr="004929F9">
              <w:rPr>
                <w:rFonts w:eastAsia="Calibri" w:cs="Arial"/>
                <w:color w:val="000000"/>
                <w:sz w:val="20"/>
                <w:szCs w:val="20"/>
              </w:rPr>
              <w:t>AP-1</w:t>
            </w:r>
          </w:p>
        </w:tc>
        <w:tc>
          <w:tcPr>
            <w:tcW w:w="2137" w:type="dxa"/>
            <w:noWrap/>
            <w:vAlign w:val="center"/>
            <w:hideMark/>
          </w:tcPr>
          <w:p w14:paraId="1C96AC92" w14:textId="6B972BDA" w:rsidR="004970D5" w:rsidRPr="004929F9" w:rsidRDefault="004970D5" w:rsidP="004970D5">
            <w:pPr>
              <w:jc w:val="left"/>
              <w:rPr>
                <w:rFonts w:eastAsia="Calibri" w:cs="Arial"/>
                <w:color w:val="000000"/>
                <w:sz w:val="20"/>
                <w:szCs w:val="20"/>
              </w:rPr>
            </w:pPr>
            <w:r>
              <w:rPr>
                <w:rFonts w:eastAsia="Calibri" w:cs="Arial"/>
                <w:color w:val="000000"/>
                <w:sz w:val="20"/>
                <w:szCs w:val="20"/>
              </w:rPr>
              <w:t>Closure</w:t>
            </w:r>
            <w:r w:rsidRPr="004929F9">
              <w:rPr>
                <w:rFonts w:eastAsia="Calibri" w:cs="Arial"/>
                <w:color w:val="000000"/>
                <w:sz w:val="20"/>
                <w:szCs w:val="20"/>
              </w:rPr>
              <w:t xml:space="preserve"> in Place</w:t>
            </w:r>
          </w:p>
        </w:tc>
        <w:tc>
          <w:tcPr>
            <w:tcW w:w="6599" w:type="dxa"/>
            <w:vAlign w:val="center"/>
            <w:hideMark/>
          </w:tcPr>
          <w:p w14:paraId="5B6712C3" w14:textId="436065E3" w:rsidR="004970D5" w:rsidRPr="004929F9" w:rsidRDefault="004970D5" w:rsidP="009C7652">
            <w:pPr>
              <w:rPr>
                <w:rFonts w:eastAsia="Arial" w:cs="Arial"/>
                <w:sz w:val="20"/>
                <w:szCs w:val="20"/>
              </w:rPr>
            </w:pPr>
            <w:r w:rsidRPr="58D131B8">
              <w:rPr>
                <w:rFonts w:cs="Arial"/>
                <w:color w:val="000000" w:themeColor="text1"/>
                <w:sz w:val="20"/>
                <w:szCs w:val="20"/>
              </w:rPr>
              <w:t xml:space="preserve">AP-1 closure construction is ongoing. </w:t>
            </w:r>
            <w:r w:rsidR="00804E56" w:rsidRPr="003F591E">
              <w:rPr>
                <w:rFonts w:cs="Arial"/>
                <w:sz w:val="20"/>
                <w:szCs w:val="20"/>
              </w:rPr>
              <w:t>The closure includes installation of a geosynthetic cap cover system which is substantially complet</w:t>
            </w:r>
            <w:r w:rsidR="008564ED">
              <w:rPr>
                <w:rFonts w:cs="Arial"/>
                <w:sz w:val="20"/>
                <w:szCs w:val="20"/>
              </w:rPr>
              <w:t xml:space="preserve">e </w:t>
            </w:r>
            <w:r w:rsidR="000874D1">
              <w:rPr>
                <w:rFonts w:cs="Arial"/>
                <w:sz w:val="20"/>
                <w:szCs w:val="20"/>
              </w:rPr>
              <w:t xml:space="preserve">and </w:t>
            </w:r>
            <w:r w:rsidR="00BD4D1A">
              <w:rPr>
                <w:rFonts w:cs="Arial"/>
                <w:sz w:val="20"/>
                <w:szCs w:val="20"/>
              </w:rPr>
              <w:t xml:space="preserve">the </w:t>
            </w:r>
            <w:r w:rsidR="000874D1">
              <w:rPr>
                <w:rFonts w:cs="Arial"/>
                <w:sz w:val="20"/>
                <w:szCs w:val="20"/>
              </w:rPr>
              <w:t xml:space="preserve">installation </w:t>
            </w:r>
            <w:r w:rsidR="009C0C8F">
              <w:rPr>
                <w:rFonts w:cs="Arial"/>
                <w:sz w:val="20"/>
                <w:szCs w:val="20"/>
              </w:rPr>
              <w:t>of a barrier wall</w:t>
            </w:r>
            <w:r w:rsidR="00382CC1">
              <w:rPr>
                <w:rFonts w:cs="Arial"/>
                <w:sz w:val="20"/>
                <w:szCs w:val="20"/>
              </w:rPr>
              <w:t xml:space="preserve"> to enhance the effectiveness of the closure</w:t>
            </w:r>
            <w:r w:rsidR="00444CBC" w:rsidRPr="003F591E">
              <w:rPr>
                <w:rFonts w:cs="Arial"/>
                <w:sz w:val="20"/>
                <w:szCs w:val="20"/>
              </w:rPr>
              <w:t>.</w:t>
            </w:r>
            <w:r w:rsidR="009D3C90">
              <w:rPr>
                <w:rFonts w:cs="Arial"/>
                <w:sz w:val="20"/>
                <w:szCs w:val="20"/>
              </w:rPr>
              <w:t xml:space="preserve"> The Company is conducting additional groundwater studies to support the ACM process and remedy selection. </w:t>
            </w:r>
            <w:r w:rsidR="00852DB9">
              <w:rPr>
                <w:rFonts w:cs="Arial"/>
                <w:sz w:val="20"/>
                <w:szCs w:val="20"/>
              </w:rPr>
              <w:t xml:space="preserve"> </w:t>
            </w:r>
          </w:p>
        </w:tc>
      </w:tr>
      <w:tr w:rsidR="004970D5" w:rsidRPr="005A1872" w14:paraId="075169C6" w14:textId="77777777" w:rsidTr="45D25E2A">
        <w:trPr>
          <w:trHeight w:val="629"/>
        </w:trPr>
        <w:tc>
          <w:tcPr>
            <w:tcW w:w="1406" w:type="dxa"/>
            <w:vAlign w:val="center"/>
            <w:hideMark/>
          </w:tcPr>
          <w:p w14:paraId="03AE613D" w14:textId="57A61C12" w:rsidR="004970D5" w:rsidRPr="005A1872" w:rsidRDefault="004970D5" w:rsidP="004970D5">
            <w:pPr>
              <w:rPr>
                <w:rFonts w:eastAsia="Calibri" w:cs="Arial"/>
                <w:color w:val="000000"/>
                <w:sz w:val="20"/>
                <w:szCs w:val="20"/>
              </w:rPr>
            </w:pPr>
            <w:r w:rsidRPr="005A1872">
              <w:rPr>
                <w:rFonts w:eastAsia="Calibri" w:cs="Arial"/>
                <w:color w:val="000000"/>
                <w:sz w:val="20"/>
                <w:szCs w:val="20"/>
              </w:rPr>
              <w:t>McDonough</w:t>
            </w:r>
          </w:p>
        </w:tc>
        <w:tc>
          <w:tcPr>
            <w:tcW w:w="2723" w:type="dxa"/>
            <w:noWrap/>
            <w:vAlign w:val="center"/>
            <w:hideMark/>
          </w:tcPr>
          <w:p w14:paraId="53D51443" w14:textId="31F4C542" w:rsidR="004970D5" w:rsidRPr="005A1872" w:rsidRDefault="004970D5" w:rsidP="004970D5">
            <w:pPr>
              <w:rPr>
                <w:rFonts w:eastAsia="Calibri" w:cs="Arial"/>
                <w:color w:val="000000"/>
                <w:sz w:val="20"/>
                <w:szCs w:val="20"/>
              </w:rPr>
            </w:pPr>
            <w:r w:rsidRPr="5245C0B6">
              <w:rPr>
                <w:rFonts w:eastAsia="Calibri" w:cs="Arial"/>
                <w:color w:val="000000" w:themeColor="text1"/>
                <w:sz w:val="20"/>
                <w:szCs w:val="20"/>
              </w:rPr>
              <w:t>AP-2</w:t>
            </w:r>
          </w:p>
        </w:tc>
        <w:tc>
          <w:tcPr>
            <w:tcW w:w="2137" w:type="dxa"/>
            <w:vAlign w:val="center"/>
            <w:hideMark/>
          </w:tcPr>
          <w:p w14:paraId="30772389" w14:textId="575A4431" w:rsidR="004970D5" w:rsidRPr="005A1872" w:rsidRDefault="004970D5" w:rsidP="004970D5">
            <w:pPr>
              <w:jc w:val="left"/>
              <w:rPr>
                <w:rFonts w:eastAsia="Calibri" w:cs="Arial"/>
                <w:color w:val="000000"/>
                <w:sz w:val="20"/>
                <w:szCs w:val="20"/>
              </w:rPr>
            </w:pPr>
            <w:r w:rsidRPr="005A1872">
              <w:rPr>
                <w:rFonts w:eastAsia="Calibri" w:cs="Arial"/>
                <w:color w:val="000000"/>
                <w:sz w:val="20"/>
                <w:szCs w:val="20"/>
              </w:rPr>
              <w:t>Closure by Removal</w:t>
            </w:r>
          </w:p>
        </w:tc>
        <w:tc>
          <w:tcPr>
            <w:tcW w:w="6599" w:type="dxa"/>
            <w:vAlign w:val="center"/>
            <w:hideMark/>
          </w:tcPr>
          <w:p w14:paraId="659B0666" w14:textId="0064A16B" w:rsidR="004970D5" w:rsidRPr="005A1872" w:rsidRDefault="004970D5" w:rsidP="007B0260">
            <w:pPr>
              <w:rPr>
                <w:rFonts w:eastAsia="Calibri" w:cs="Arial"/>
                <w:color w:val="000000"/>
                <w:sz w:val="20"/>
                <w:szCs w:val="20"/>
              </w:rPr>
            </w:pPr>
            <w:r w:rsidRPr="462719E4">
              <w:rPr>
                <w:rFonts w:eastAsia="Calibri" w:cs="Arial"/>
                <w:color w:val="000000" w:themeColor="text1"/>
                <w:sz w:val="20"/>
                <w:szCs w:val="20"/>
              </w:rPr>
              <w:t xml:space="preserve">AP-2 has been </w:t>
            </w:r>
            <w:r w:rsidR="00793BB7">
              <w:rPr>
                <w:rFonts w:eastAsia="Calibri" w:cs="Arial"/>
                <w:color w:val="000000" w:themeColor="text1"/>
                <w:sz w:val="20"/>
                <w:szCs w:val="20"/>
              </w:rPr>
              <w:t>removed</w:t>
            </w:r>
            <w:r w:rsidRPr="462719E4">
              <w:rPr>
                <w:rFonts w:eastAsia="Calibri" w:cs="Arial"/>
                <w:color w:val="000000" w:themeColor="text1"/>
                <w:sz w:val="20"/>
                <w:szCs w:val="20"/>
              </w:rPr>
              <w:t xml:space="preserve"> and </w:t>
            </w:r>
            <w:r w:rsidR="00793BB7">
              <w:rPr>
                <w:rFonts w:eastAsia="Calibri" w:cs="Arial"/>
                <w:color w:val="000000" w:themeColor="text1"/>
                <w:sz w:val="20"/>
                <w:szCs w:val="20"/>
              </w:rPr>
              <w:t xml:space="preserve">the ash </w:t>
            </w:r>
            <w:r w:rsidRPr="462719E4">
              <w:rPr>
                <w:rFonts w:eastAsia="Calibri" w:cs="Arial"/>
                <w:color w:val="000000" w:themeColor="text1"/>
                <w:sz w:val="20"/>
                <w:szCs w:val="20"/>
              </w:rPr>
              <w:t xml:space="preserve">consolidated with AP-1 and AP-3&amp;4. </w:t>
            </w:r>
            <w:r w:rsidRPr="008E6E7B">
              <w:rPr>
                <w:rFonts w:eastAsia="Arial" w:cs="Arial"/>
                <w:sz w:val="20"/>
                <w:szCs w:val="20"/>
              </w:rPr>
              <w:t xml:space="preserve"> A certification of ash removal was submitted to </w:t>
            </w:r>
            <w:r w:rsidR="000A5E7E">
              <w:rPr>
                <w:rFonts w:eastAsia="Arial" w:cs="Arial"/>
                <w:sz w:val="20"/>
                <w:szCs w:val="20"/>
              </w:rPr>
              <w:t>Georgia EPD</w:t>
            </w:r>
            <w:r w:rsidRPr="008E6E7B">
              <w:rPr>
                <w:rFonts w:eastAsia="Arial" w:cs="Arial"/>
                <w:sz w:val="20"/>
                <w:szCs w:val="20"/>
              </w:rPr>
              <w:t xml:space="preserve"> in March 2020. In October 2020, </w:t>
            </w:r>
            <w:r w:rsidR="000A5E7E">
              <w:rPr>
                <w:rFonts w:eastAsia="Arial" w:cs="Arial"/>
                <w:sz w:val="20"/>
                <w:szCs w:val="20"/>
              </w:rPr>
              <w:t>Georgia EPD</w:t>
            </w:r>
            <w:r w:rsidRPr="008E6E7B">
              <w:rPr>
                <w:rFonts w:eastAsia="Arial" w:cs="Arial"/>
                <w:sz w:val="20"/>
                <w:szCs w:val="20"/>
              </w:rPr>
              <w:t xml:space="preserve"> acknowledged that CCR removal activities in AP-</w:t>
            </w:r>
            <w:r>
              <w:rPr>
                <w:rFonts w:eastAsia="Arial" w:cs="Arial"/>
                <w:sz w:val="20"/>
                <w:szCs w:val="20"/>
              </w:rPr>
              <w:t>2</w:t>
            </w:r>
            <w:r w:rsidRPr="008E6E7B">
              <w:rPr>
                <w:rFonts w:eastAsia="Arial" w:cs="Arial"/>
                <w:sz w:val="20"/>
                <w:szCs w:val="20"/>
              </w:rPr>
              <w:t xml:space="preserve"> have been completed.  Site restoration is underway</w:t>
            </w:r>
            <w:r w:rsidRPr="00123288">
              <w:rPr>
                <w:rFonts w:eastAsia="Arial" w:cs="Arial"/>
                <w:sz w:val="20"/>
                <w:szCs w:val="20"/>
              </w:rPr>
              <w:t>.</w:t>
            </w:r>
            <w:r w:rsidR="000D09B6">
              <w:rPr>
                <w:rFonts w:eastAsia="Arial" w:cs="Arial"/>
                <w:sz w:val="20"/>
                <w:szCs w:val="20"/>
              </w:rPr>
              <w:t xml:space="preserve"> </w:t>
            </w:r>
            <w:r w:rsidR="000D09B6">
              <w:rPr>
                <w:rFonts w:cs="Arial"/>
                <w:sz w:val="20"/>
                <w:szCs w:val="20"/>
              </w:rPr>
              <w:t>The Company is conducting additional groundwater studies to support the ACM process and remedy selection.</w:t>
            </w:r>
          </w:p>
        </w:tc>
      </w:tr>
      <w:tr w:rsidR="004970D5" w:rsidRPr="005A1872" w14:paraId="5CD223E2" w14:textId="77777777" w:rsidTr="45D25E2A">
        <w:trPr>
          <w:trHeight w:val="620"/>
        </w:trPr>
        <w:tc>
          <w:tcPr>
            <w:tcW w:w="1406" w:type="dxa"/>
            <w:vAlign w:val="center"/>
          </w:tcPr>
          <w:p w14:paraId="3227D009" w14:textId="33A09B7D" w:rsidR="004970D5" w:rsidRPr="004929F9" w:rsidRDefault="004970D5" w:rsidP="004970D5">
            <w:pPr>
              <w:rPr>
                <w:rFonts w:eastAsia="Calibri" w:cs="Arial"/>
                <w:color w:val="000000"/>
                <w:sz w:val="20"/>
                <w:szCs w:val="20"/>
              </w:rPr>
            </w:pPr>
            <w:r w:rsidRPr="005A1872">
              <w:rPr>
                <w:rFonts w:eastAsia="Calibri" w:cs="Arial"/>
                <w:color w:val="000000"/>
                <w:sz w:val="20"/>
                <w:szCs w:val="20"/>
              </w:rPr>
              <w:t>McDonough</w:t>
            </w:r>
          </w:p>
        </w:tc>
        <w:tc>
          <w:tcPr>
            <w:tcW w:w="2723" w:type="dxa"/>
            <w:noWrap/>
            <w:vAlign w:val="center"/>
          </w:tcPr>
          <w:p w14:paraId="3C64B493" w14:textId="735132DA" w:rsidR="004970D5" w:rsidRPr="004929F9" w:rsidRDefault="004970D5" w:rsidP="004970D5">
            <w:pPr>
              <w:rPr>
                <w:rFonts w:eastAsia="Calibri" w:cs="Arial"/>
                <w:color w:val="000000"/>
                <w:sz w:val="20"/>
                <w:szCs w:val="20"/>
              </w:rPr>
            </w:pPr>
            <w:r w:rsidRPr="005A1872">
              <w:rPr>
                <w:rFonts w:eastAsia="Calibri" w:cs="Arial"/>
                <w:color w:val="000000"/>
                <w:sz w:val="20"/>
                <w:szCs w:val="20"/>
              </w:rPr>
              <w:t>AP-3</w:t>
            </w:r>
            <w:r>
              <w:rPr>
                <w:rFonts w:eastAsia="Calibri" w:cs="Arial"/>
                <w:color w:val="000000"/>
                <w:sz w:val="20"/>
                <w:szCs w:val="20"/>
              </w:rPr>
              <w:t xml:space="preserve"> &amp; AP-4</w:t>
            </w:r>
          </w:p>
        </w:tc>
        <w:tc>
          <w:tcPr>
            <w:tcW w:w="2137" w:type="dxa"/>
            <w:vAlign w:val="center"/>
          </w:tcPr>
          <w:p w14:paraId="7E7033EE" w14:textId="40C8E174" w:rsidR="004970D5" w:rsidRPr="004929F9" w:rsidRDefault="004970D5" w:rsidP="004970D5">
            <w:pPr>
              <w:jc w:val="left"/>
              <w:rPr>
                <w:rFonts w:eastAsia="Calibri" w:cs="Arial"/>
                <w:color w:val="000000"/>
                <w:sz w:val="20"/>
                <w:szCs w:val="20"/>
              </w:rPr>
            </w:pPr>
            <w:r>
              <w:rPr>
                <w:rFonts w:eastAsia="Calibri" w:cs="Arial"/>
                <w:color w:val="000000"/>
                <w:sz w:val="20"/>
                <w:szCs w:val="20"/>
              </w:rPr>
              <w:t>Closure</w:t>
            </w:r>
            <w:r w:rsidRPr="005A1872">
              <w:rPr>
                <w:rFonts w:eastAsia="Calibri" w:cs="Arial"/>
                <w:color w:val="000000"/>
                <w:sz w:val="20"/>
                <w:szCs w:val="20"/>
              </w:rPr>
              <w:t xml:space="preserve"> in Place</w:t>
            </w:r>
          </w:p>
        </w:tc>
        <w:tc>
          <w:tcPr>
            <w:tcW w:w="6599" w:type="dxa"/>
            <w:vAlign w:val="center"/>
          </w:tcPr>
          <w:p w14:paraId="31852B12" w14:textId="79663718" w:rsidR="004970D5" w:rsidRPr="004929F9" w:rsidRDefault="004970D5" w:rsidP="00AF37A1">
            <w:pPr>
              <w:rPr>
                <w:rFonts w:eastAsia="Calibri" w:cs="Arial"/>
                <w:color w:val="000000"/>
                <w:sz w:val="20"/>
                <w:szCs w:val="20"/>
              </w:rPr>
            </w:pPr>
            <w:r w:rsidRPr="5678E651">
              <w:rPr>
                <w:rFonts w:eastAsia="Calibri" w:cs="Arial"/>
                <w:color w:val="000000" w:themeColor="text1"/>
                <w:sz w:val="20"/>
                <w:szCs w:val="20"/>
              </w:rPr>
              <w:t xml:space="preserve">AP-3 &amp; AP-4 are being consolidated and closed in place with a geosynthetic cap cover system. </w:t>
            </w:r>
            <w:r w:rsidRPr="3E1D0679">
              <w:rPr>
                <w:rFonts w:eastAsia="Calibri" w:cs="Arial"/>
                <w:color w:val="000000" w:themeColor="text1"/>
                <w:sz w:val="20"/>
                <w:szCs w:val="20"/>
              </w:rPr>
              <w:t>Consistent</w:t>
            </w:r>
            <w:r>
              <w:rPr>
                <w:rFonts w:eastAsia="Calibri" w:cs="Arial"/>
                <w:color w:val="000000" w:themeColor="text1"/>
                <w:sz w:val="20"/>
                <w:szCs w:val="20"/>
              </w:rPr>
              <w:t xml:space="preserve"> with closure plans, closure construction includes an underslope drainage system and the </w:t>
            </w:r>
            <w:r w:rsidR="6954338A" w:rsidRPr="014607F9">
              <w:rPr>
                <w:rFonts w:eastAsia="Calibri" w:cs="Arial"/>
                <w:color w:val="000000" w:themeColor="text1"/>
                <w:sz w:val="20"/>
                <w:szCs w:val="20"/>
              </w:rPr>
              <w:t>continue</w:t>
            </w:r>
            <w:r w:rsidR="7B7F9272" w:rsidRPr="014607F9">
              <w:rPr>
                <w:rFonts w:eastAsia="Calibri" w:cs="Arial"/>
                <w:color w:val="000000" w:themeColor="text1"/>
                <w:sz w:val="20"/>
                <w:szCs w:val="20"/>
              </w:rPr>
              <w:t>d</w:t>
            </w:r>
            <w:r>
              <w:rPr>
                <w:rFonts w:eastAsia="Calibri" w:cs="Arial"/>
                <w:color w:val="000000" w:themeColor="text1"/>
                <w:sz w:val="20"/>
                <w:szCs w:val="20"/>
              </w:rPr>
              <w:t xml:space="preserve"> use of </w:t>
            </w:r>
            <w:r w:rsidR="00E00CB4">
              <w:rPr>
                <w:rFonts w:eastAsia="Calibri" w:cs="Arial"/>
                <w:color w:val="000000" w:themeColor="text1"/>
                <w:sz w:val="20"/>
                <w:szCs w:val="20"/>
              </w:rPr>
              <w:t>temporary</w:t>
            </w:r>
            <w:r>
              <w:rPr>
                <w:rFonts w:eastAsia="Calibri" w:cs="Arial"/>
                <w:color w:val="000000" w:themeColor="text1"/>
                <w:sz w:val="20"/>
                <w:szCs w:val="20"/>
              </w:rPr>
              <w:t xml:space="preserve"> dewatering wells</w:t>
            </w:r>
            <w:r w:rsidR="00705A5F">
              <w:rPr>
                <w:rFonts w:eastAsia="Calibri" w:cs="Arial"/>
                <w:color w:val="000000" w:themeColor="text1"/>
                <w:sz w:val="20"/>
                <w:szCs w:val="20"/>
              </w:rPr>
              <w:t xml:space="preserve"> to enhance the</w:t>
            </w:r>
            <w:r w:rsidR="00905099">
              <w:rPr>
                <w:rFonts w:eastAsia="Calibri" w:cs="Arial"/>
                <w:color w:val="000000" w:themeColor="text1"/>
                <w:sz w:val="20"/>
                <w:szCs w:val="20"/>
              </w:rPr>
              <w:t xml:space="preserve"> </w:t>
            </w:r>
            <w:r w:rsidR="009D4A98">
              <w:rPr>
                <w:rFonts w:eastAsia="Calibri" w:cs="Arial"/>
                <w:color w:val="000000" w:themeColor="text1"/>
                <w:sz w:val="20"/>
                <w:szCs w:val="20"/>
              </w:rPr>
              <w:t>closure</w:t>
            </w:r>
            <w:r>
              <w:rPr>
                <w:rFonts w:eastAsia="Arial" w:cs="Arial"/>
                <w:sz w:val="20"/>
                <w:szCs w:val="20"/>
              </w:rPr>
              <w:t>.</w:t>
            </w:r>
            <w:r w:rsidRPr="00123288" w:rsidDel="00185ADF">
              <w:rPr>
                <w:rFonts w:eastAsia="Arial" w:cs="Arial"/>
                <w:sz w:val="20"/>
                <w:szCs w:val="20"/>
              </w:rPr>
              <w:t xml:space="preserve"> </w:t>
            </w:r>
            <w:r w:rsidR="000D09B6">
              <w:rPr>
                <w:rFonts w:cs="Arial"/>
                <w:sz w:val="20"/>
                <w:szCs w:val="20"/>
              </w:rPr>
              <w:t>The Company is conducting additional groundwater studies to support the ACM process and remedy selection.</w:t>
            </w:r>
          </w:p>
        </w:tc>
      </w:tr>
      <w:tr w:rsidR="004970D5" w:rsidRPr="005A1872" w14:paraId="392A3FCA" w14:textId="77777777" w:rsidTr="45D25E2A">
        <w:trPr>
          <w:trHeight w:val="620"/>
        </w:trPr>
        <w:tc>
          <w:tcPr>
            <w:tcW w:w="1406" w:type="dxa"/>
            <w:vAlign w:val="center"/>
            <w:hideMark/>
          </w:tcPr>
          <w:p w14:paraId="7F8D2E97" w14:textId="220ACEB4" w:rsidR="004970D5" w:rsidRPr="004929F9" w:rsidRDefault="004970D5" w:rsidP="004970D5">
            <w:pPr>
              <w:rPr>
                <w:rFonts w:eastAsia="Calibri" w:cs="Arial"/>
                <w:color w:val="000000"/>
                <w:sz w:val="20"/>
                <w:szCs w:val="20"/>
              </w:rPr>
            </w:pPr>
            <w:r w:rsidRPr="004929F9">
              <w:rPr>
                <w:rFonts w:eastAsia="Calibri" w:cs="Arial"/>
                <w:color w:val="000000"/>
                <w:sz w:val="20"/>
                <w:szCs w:val="20"/>
              </w:rPr>
              <w:t>McIntosh</w:t>
            </w:r>
          </w:p>
        </w:tc>
        <w:tc>
          <w:tcPr>
            <w:tcW w:w="2723" w:type="dxa"/>
            <w:noWrap/>
            <w:vAlign w:val="center"/>
            <w:hideMark/>
          </w:tcPr>
          <w:p w14:paraId="66415C9A" w14:textId="46CD60FD" w:rsidR="004970D5" w:rsidRPr="004929F9" w:rsidRDefault="004970D5" w:rsidP="004970D5">
            <w:pPr>
              <w:rPr>
                <w:rFonts w:eastAsia="Calibri" w:cs="Arial"/>
                <w:color w:val="000000"/>
                <w:sz w:val="20"/>
                <w:szCs w:val="20"/>
              </w:rPr>
            </w:pPr>
            <w:r w:rsidRPr="004929F9">
              <w:rPr>
                <w:rFonts w:eastAsia="Calibri" w:cs="Arial"/>
                <w:color w:val="000000"/>
                <w:sz w:val="20"/>
                <w:szCs w:val="20"/>
              </w:rPr>
              <w:t>AP-1</w:t>
            </w:r>
          </w:p>
        </w:tc>
        <w:tc>
          <w:tcPr>
            <w:tcW w:w="2137" w:type="dxa"/>
            <w:vAlign w:val="center"/>
            <w:hideMark/>
          </w:tcPr>
          <w:p w14:paraId="748A629F" w14:textId="5AC9E426" w:rsidR="004970D5" w:rsidRPr="004929F9" w:rsidRDefault="004970D5" w:rsidP="004970D5">
            <w:pPr>
              <w:jc w:val="left"/>
              <w:rPr>
                <w:rFonts w:cs="Arial"/>
                <w:sz w:val="20"/>
                <w:szCs w:val="20"/>
              </w:rPr>
            </w:pPr>
            <w:r w:rsidRPr="004929F9">
              <w:rPr>
                <w:rFonts w:eastAsia="Calibri" w:cs="Arial"/>
                <w:color w:val="000000"/>
                <w:sz w:val="20"/>
                <w:szCs w:val="20"/>
              </w:rPr>
              <w:t xml:space="preserve">Closure by Removal </w:t>
            </w:r>
          </w:p>
        </w:tc>
        <w:tc>
          <w:tcPr>
            <w:tcW w:w="6599" w:type="dxa"/>
            <w:vAlign w:val="center"/>
            <w:hideMark/>
          </w:tcPr>
          <w:p w14:paraId="7BF6766D" w14:textId="5C4B2B65" w:rsidR="004970D5" w:rsidRPr="004929F9" w:rsidRDefault="004970D5" w:rsidP="00361E37">
            <w:pPr>
              <w:rPr>
                <w:rFonts w:eastAsia="Calibri" w:cs="Arial"/>
                <w:color w:val="000000"/>
                <w:sz w:val="20"/>
                <w:szCs w:val="20"/>
              </w:rPr>
            </w:pPr>
            <w:r w:rsidRPr="36A37EEC">
              <w:rPr>
                <w:rFonts w:eastAsia="Calibri" w:cs="Arial"/>
                <w:color w:val="000000" w:themeColor="text1"/>
                <w:sz w:val="20"/>
                <w:szCs w:val="20"/>
              </w:rPr>
              <w:t xml:space="preserve">AP-1 has been </w:t>
            </w:r>
            <w:r w:rsidR="00910BB2">
              <w:rPr>
                <w:rFonts w:eastAsia="Calibri" w:cs="Arial"/>
                <w:color w:val="000000" w:themeColor="text1"/>
                <w:sz w:val="20"/>
                <w:szCs w:val="20"/>
              </w:rPr>
              <w:t>removed with the ash placed in</w:t>
            </w:r>
            <w:r w:rsidRPr="36A37EEC">
              <w:rPr>
                <w:rFonts w:eastAsia="Calibri" w:cs="Arial"/>
                <w:color w:val="000000" w:themeColor="text1"/>
                <w:sz w:val="20"/>
                <w:szCs w:val="20"/>
              </w:rPr>
              <w:t xml:space="preserve"> a permitted on-site landfill. </w:t>
            </w:r>
            <w:r w:rsidR="34D34F93" w:rsidRPr="36A37EEC">
              <w:rPr>
                <w:rFonts w:cs="Arial"/>
                <w:sz w:val="20"/>
                <w:szCs w:val="20"/>
              </w:rPr>
              <w:t>R</w:t>
            </w:r>
            <w:r w:rsidR="2820C88E" w:rsidRPr="36A37EEC">
              <w:rPr>
                <w:rFonts w:cs="Arial"/>
                <w:sz w:val="20"/>
                <w:szCs w:val="20"/>
              </w:rPr>
              <w:t>estoration</w:t>
            </w:r>
            <w:r w:rsidR="001871A1" w:rsidRPr="0089313F">
              <w:rPr>
                <w:rFonts w:cs="Arial"/>
                <w:sz w:val="20"/>
                <w:szCs w:val="20"/>
              </w:rPr>
              <w:t xml:space="preserve"> activities are </w:t>
            </w:r>
            <w:r w:rsidR="00A27E8F">
              <w:rPr>
                <w:rFonts w:cs="Arial"/>
                <w:sz w:val="20"/>
                <w:szCs w:val="20"/>
              </w:rPr>
              <w:t>underway</w:t>
            </w:r>
            <w:r w:rsidR="001871A1" w:rsidRPr="0089313F">
              <w:rPr>
                <w:rFonts w:cs="Arial"/>
                <w:sz w:val="20"/>
                <w:szCs w:val="20"/>
              </w:rPr>
              <w:t xml:space="preserve">. A final certification of ash removal was submitted to </w:t>
            </w:r>
            <w:r w:rsidR="000A5E7E">
              <w:rPr>
                <w:rFonts w:cs="Arial"/>
                <w:sz w:val="20"/>
                <w:szCs w:val="20"/>
              </w:rPr>
              <w:t>Georgia EPD</w:t>
            </w:r>
            <w:r w:rsidR="001871A1" w:rsidRPr="0089313F">
              <w:rPr>
                <w:rFonts w:cs="Arial"/>
                <w:sz w:val="20"/>
                <w:szCs w:val="20"/>
              </w:rPr>
              <w:t xml:space="preserve"> in the third quarter of </w:t>
            </w:r>
            <w:r w:rsidR="00E93F53" w:rsidRPr="0089313F">
              <w:rPr>
                <w:rFonts w:cs="Arial"/>
                <w:sz w:val="20"/>
                <w:szCs w:val="20"/>
              </w:rPr>
              <w:t>2021</w:t>
            </w:r>
            <w:r w:rsidR="001271C0">
              <w:rPr>
                <w:rFonts w:cs="Arial"/>
                <w:sz w:val="20"/>
                <w:szCs w:val="20"/>
              </w:rPr>
              <w:t xml:space="preserve"> </w:t>
            </w:r>
            <w:r w:rsidR="00E93F53">
              <w:rPr>
                <w:rFonts w:cs="Arial"/>
                <w:sz w:val="20"/>
                <w:szCs w:val="20"/>
              </w:rPr>
              <w:t xml:space="preserve">with </w:t>
            </w:r>
            <w:r w:rsidR="000A5E7E">
              <w:rPr>
                <w:rFonts w:cs="Arial"/>
                <w:sz w:val="20"/>
                <w:szCs w:val="20"/>
              </w:rPr>
              <w:t>Georgia EPD</w:t>
            </w:r>
            <w:r w:rsidR="00E93F53">
              <w:rPr>
                <w:rFonts w:cs="Arial"/>
                <w:sz w:val="20"/>
                <w:szCs w:val="20"/>
              </w:rPr>
              <w:t xml:space="preserve"> acknowledgement in October 2021</w:t>
            </w:r>
            <w:r w:rsidR="00E93F53" w:rsidRPr="0089313F">
              <w:rPr>
                <w:rFonts w:cs="Arial"/>
                <w:sz w:val="20"/>
                <w:szCs w:val="20"/>
              </w:rPr>
              <w:t>.</w:t>
            </w:r>
            <w:r w:rsidR="00DF2C47">
              <w:rPr>
                <w:rFonts w:cs="Arial"/>
                <w:sz w:val="20"/>
                <w:szCs w:val="20"/>
              </w:rPr>
              <w:t xml:space="preserve"> </w:t>
            </w:r>
            <w:r w:rsidR="00665BDF">
              <w:rPr>
                <w:rFonts w:eastAsia="Arial" w:cs="Arial"/>
                <w:sz w:val="20"/>
                <w:szCs w:val="20"/>
              </w:rPr>
              <w:t>AP-1 is under interim post-closure care.</w:t>
            </w:r>
          </w:p>
        </w:tc>
      </w:tr>
      <w:tr w:rsidR="004970D5" w:rsidRPr="005A1872" w14:paraId="505BFE0F" w14:textId="77777777" w:rsidTr="45D25E2A">
        <w:trPr>
          <w:trHeight w:val="530"/>
        </w:trPr>
        <w:tc>
          <w:tcPr>
            <w:tcW w:w="1406" w:type="dxa"/>
            <w:vAlign w:val="center"/>
            <w:hideMark/>
          </w:tcPr>
          <w:p w14:paraId="24DDFC87" w14:textId="52D88786" w:rsidR="004970D5" w:rsidRPr="004929F9" w:rsidRDefault="004970D5" w:rsidP="004970D5">
            <w:pPr>
              <w:rPr>
                <w:rFonts w:eastAsia="Calibri" w:cs="Arial"/>
                <w:color w:val="000000"/>
                <w:sz w:val="20"/>
                <w:szCs w:val="20"/>
              </w:rPr>
            </w:pPr>
            <w:r w:rsidRPr="004929F9">
              <w:rPr>
                <w:rFonts w:eastAsia="Calibri" w:cs="Arial"/>
                <w:color w:val="000000"/>
                <w:sz w:val="20"/>
                <w:szCs w:val="20"/>
              </w:rPr>
              <w:t>McIntosh</w:t>
            </w:r>
          </w:p>
        </w:tc>
        <w:tc>
          <w:tcPr>
            <w:tcW w:w="2723" w:type="dxa"/>
            <w:noWrap/>
            <w:vAlign w:val="center"/>
            <w:hideMark/>
          </w:tcPr>
          <w:p w14:paraId="732DA034" w14:textId="7A577224" w:rsidR="004970D5" w:rsidRPr="004929F9" w:rsidRDefault="004970D5" w:rsidP="004970D5">
            <w:pPr>
              <w:rPr>
                <w:rFonts w:eastAsia="Calibri" w:cs="Arial"/>
                <w:color w:val="000000"/>
                <w:sz w:val="20"/>
                <w:szCs w:val="20"/>
              </w:rPr>
            </w:pPr>
            <w:r w:rsidRPr="004929F9">
              <w:rPr>
                <w:rFonts w:eastAsia="Calibri" w:cs="Arial"/>
                <w:color w:val="000000"/>
                <w:sz w:val="20"/>
                <w:szCs w:val="20"/>
              </w:rPr>
              <w:t>LF3</w:t>
            </w:r>
          </w:p>
        </w:tc>
        <w:tc>
          <w:tcPr>
            <w:tcW w:w="2137" w:type="dxa"/>
            <w:noWrap/>
            <w:vAlign w:val="center"/>
            <w:hideMark/>
          </w:tcPr>
          <w:p w14:paraId="3867F0F0" w14:textId="1ABCE945" w:rsidR="004970D5" w:rsidRPr="004929F9" w:rsidRDefault="004970D5" w:rsidP="004970D5">
            <w:pPr>
              <w:jc w:val="left"/>
              <w:rPr>
                <w:rFonts w:eastAsia="Calibri" w:cs="Arial"/>
                <w:color w:val="000000"/>
                <w:sz w:val="20"/>
                <w:szCs w:val="20"/>
              </w:rPr>
            </w:pPr>
            <w:r w:rsidRPr="004929F9">
              <w:rPr>
                <w:rFonts w:eastAsia="Calibri" w:cs="Arial"/>
                <w:color w:val="000000"/>
                <w:sz w:val="20"/>
                <w:szCs w:val="20"/>
              </w:rPr>
              <w:t>Closed in Place LF</w:t>
            </w:r>
          </w:p>
        </w:tc>
        <w:tc>
          <w:tcPr>
            <w:tcW w:w="6599" w:type="dxa"/>
            <w:vAlign w:val="center"/>
            <w:hideMark/>
          </w:tcPr>
          <w:p w14:paraId="0692FF62" w14:textId="3AA5F309" w:rsidR="004970D5" w:rsidRPr="004929F9" w:rsidRDefault="00E94401" w:rsidP="004970D5">
            <w:pPr>
              <w:rPr>
                <w:rFonts w:eastAsia="Calibri" w:cs="Arial"/>
                <w:color w:val="000000"/>
                <w:sz w:val="20"/>
                <w:szCs w:val="20"/>
              </w:rPr>
            </w:pPr>
            <w:r w:rsidRPr="7E4DFDE3">
              <w:rPr>
                <w:rFonts w:eastAsia="Calibri" w:cs="Arial"/>
                <w:color w:val="000000" w:themeColor="text1"/>
                <w:sz w:val="20"/>
                <w:szCs w:val="20"/>
              </w:rPr>
              <w:t xml:space="preserve">CCR </w:t>
            </w:r>
            <w:r w:rsidR="3A103960" w:rsidRPr="3405056C">
              <w:rPr>
                <w:rFonts w:eastAsia="Calibri" w:cs="Arial"/>
                <w:color w:val="000000" w:themeColor="text1"/>
                <w:sz w:val="20"/>
                <w:szCs w:val="20"/>
              </w:rPr>
              <w:t>L</w:t>
            </w:r>
            <w:r w:rsidR="5733CB63" w:rsidRPr="3405056C">
              <w:rPr>
                <w:rFonts w:eastAsia="Calibri" w:cs="Arial"/>
                <w:color w:val="000000" w:themeColor="text1"/>
                <w:sz w:val="20"/>
                <w:szCs w:val="20"/>
              </w:rPr>
              <w:t>andfill</w:t>
            </w:r>
            <w:r w:rsidR="00823018" w:rsidRPr="7E4DFDE3">
              <w:rPr>
                <w:rFonts w:eastAsia="Calibri" w:cs="Arial"/>
                <w:color w:val="000000" w:themeColor="text1"/>
                <w:sz w:val="20"/>
                <w:szCs w:val="20"/>
              </w:rPr>
              <w:t xml:space="preserve"> 3</w:t>
            </w:r>
            <w:r w:rsidR="004970D5" w:rsidRPr="7E4DFDE3">
              <w:rPr>
                <w:rFonts w:eastAsia="Calibri" w:cs="Arial"/>
                <w:color w:val="000000" w:themeColor="text1"/>
                <w:sz w:val="20"/>
                <w:szCs w:val="20"/>
              </w:rPr>
              <w:t xml:space="preserve"> was closed in place in 2008 in accordance with the current landfill permit and is now in post-closure care.</w:t>
            </w:r>
          </w:p>
        </w:tc>
      </w:tr>
      <w:tr w:rsidR="004970D5" w:rsidRPr="005A1872" w14:paraId="266B2250" w14:textId="77777777" w:rsidTr="45D25E2A">
        <w:trPr>
          <w:trHeight w:val="720"/>
        </w:trPr>
        <w:tc>
          <w:tcPr>
            <w:tcW w:w="1406" w:type="dxa"/>
            <w:vAlign w:val="center"/>
            <w:hideMark/>
          </w:tcPr>
          <w:p w14:paraId="742E6CC6" w14:textId="16715305" w:rsidR="004970D5" w:rsidRPr="004929F9" w:rsidRDefault="004970D5" w:rsidP="004970D5">
            <w:pPr>
              <w:rPr>
                <w:rFonts w:eastAsia="Calibri" w:cs="Arial"/>
                <w:color w:val="000000"/>
                <w:sz w:val="20"/>
                <w:szCs w:val="20"/>
              </w:rPr>
            </w:pPr>
            <w:r w:rsidRPr="004929F9">
              <w:rPr>
                <w:rFonts w:eastAsia="Calibri" w:cs="Arial"/>
                <w:color w:val="000000"/>
                <w:sz w:val="20"/>
                <w:szCs w:val="20"/>
              </w:rPr>
              <w:t>McIntosh</w:t>
            </w:r>
          </w:p>
        </w:tc>
        <w:tc>
          <w:tcPr>
            <w:tcW w:w="2723" w:type="dxa"/>
            <w:noWrap/>
            <w:vAlign w:val="center"/>
            <w:hideMark/>
          </w:tcPr>
          <w:p w14:paraId="340FD447" w14:textId="279DFAC5" w:rsidR="004970D5" w:rsidRPr="004929F9" w:rsidRDefault="004970D5" w:rsidP="004970D5">
            <w:pPr>
              <w:rPr>
                <w:rFonts w:eastAsia="Calibri" w:cs="Arial"/>
                <w:color w:val="000000"/>
                <w:sz w:val="20"/>
                <w:szCs w:val="20"/>
              </w:rPr>
            </w:pPr>
            <w:r w:rsidRPr="004929F9">
              <w:rPr>
                <w:rFonts w:eastAsia="Calibri" w:cs="Arial"/>
                <w:color w:val="000000"/>
                <w:sz w:val="20"/>
                <w:szCs w:val="20"/>
              </w:rPr>
              <w:t>LF4</w:t>
            </w:r>
          </w:p>
        </w:tc>
        <w:tc>
          <w:tcPr>
            <w:tcW w:w="2137" w:type="dxa"/>
            <w:noWrap/>
            <w:vAlign w:val="center"/>
            <w:hideMark/>
          </w:tcPr>
          <w:p w14:paraId="5E4F7471" w14:textId="02CFD9B7" w:rsidR="004970D5" w:rsidRPr="004929F9" w:rsidRDefault="004970D5" w:rsidP="004970D5">
            <w:pPr>
              <w:jc w:val="left"/>
              <w:rPr>
                <w:rFonts w:eastAsia="Calibri" w:cs="Arial"/>
                <w:color w:val="000000"/>
                <w:sz w:val="20"/>
                <w:szCs w:val="20"/>
              </w:rPr>
            </w:pPr>
            <w:r w:rsidRPr="004929F9">
              <w:rPr>
                <w:rFonts w:eastAsia="Calibri" w:cs="Arial"/>
                <w:color w:val="000000"/>
                <w:sz w:val="20"/>
                <w:szCs w:val="20"/>
              </w:rPr>
              <w:t>Active LF</w:t>
            </w:r>
            <w:r w:rsidRPr="004929F9">
              <w:rPr>
                <w:rFonts w:cs="Arial"/>
              </w:rPr>
              <w:t xml:space="preserve"> </w:t>
            </w:r>
            <w:r w:rsidRPr="004929F9">
              <w:rPr>
                <w:rFonts w:eastAsia="Calibri" w:cs="Arial"/>
                <w:color w:val="000000"/>
                <w:sz w:val="20"/>
                <w:szCs w:val="20"/>
              </w:rPr>
              <w:t>/Closure in Place</w:t>
            </w:r>
          </w:p>
        </w:tc>
        <w:tc>
          <w:tcPr>
            <w:tcW w:w="6599" w:type="dxa"/>
            <w:vAlign w:val="center"/>
            <w:hideMark/>
          </w:tcPr>
          <w:p w14:paraId="29330C49" w14:textId="524EB5BA" w:rsidR="004970D5" w:rsidRPr="004929F9" w:rsidRDefault="00651B25" w:rsidP="004970D5">
            <w:pPr>
              <w:rPr>
                <w:rFonts w:eastAsia="Calibri" w:cs="Arial"/>
                <w:color w:val="000000"/>
                <w:sz w:val="20"/>
                <w:szCs w:val="20"/>
              </w:rPr>
            </w:pPr>
            <w:r>
              <w:rPr>
                <w:rFonts w:cs="Arial"/>
                <w:color w:val="000000" w:themeColor="text1"/>
                <w:sz w:val="20"/>
                <w:szCs w:val="20"/>
              </w:rPr>
              <w:t xml:space="preserve">A final </w:t>
            </w:r>
            <w:r w:rsidR="00A6241B">
              <w:rPr>
                <w:rFonts w:cs="Arial"/>
                <w:color w:val="000000" w:themeColor="text1"/>
                <w:sz w:val="20"/>
                <w:szCs w:val="20"/>
              </w:rPr>
              <w:t xml:space="preserve">cover system is currently being installed on </w:t>
            </w:r>
            <w:r w:rsidR="00E93F53" w:rsidRPr="00B67A74">
              <w:rPr>
                <w:rFonts w:cs="Arial"/>
                <w:color w:val="000000" w:themeColor="text1"/>
                <w:sz w:val="20"/>
                <w:szCs w:val="20"/>
              </w:rPr>
              <w:t>CCR Landfill 4</w:t>
            </w:r>
            <w:r w:rsidR="55881E35" w:rsidRPr="7E4DFDE3">
              <w:rPr>
                <w:rFonts w:cs="Arial"/>
                <w:color w:val="000000" w:themeColor="text1"/>
                <w:sz w:val="20"/>
                <w:szCs w:val="20"/>
              </w:rPr>
              <w:t>, Cell 2A</w:t>
            </w:r>
            <w:r w:rsidR="00E93F53" w:rsidRPr="00B67A74">
              <w:rPr>
                <w:rFonts w:cs="Arial"/>
                <w:color w:val="000000" w:themeColor="text1"/>
                <w:sz w:val="20"/>
                <w:szCs w:val="20"/>
              </w:rPr>
              <w:t xml:space="preserve"> </w:t>
            </w:r>
            <w:r w:rsidR="00595844">
              <w:rPr>
                <w:rFonts w:cs="Arial"/>
                <w:color w:val="000000" w:themeColor="text1"/>
                <w:sz w:val="20"/>
                <w:szCs w:val="20"/>
              </w:rPr>
              <w:t xml:space="preserve">following completion of the ash pond closure </w:t>
            </w:r>
            <w:r w:rsidR="00AD72B2">
              <w:rPr>
                <w:rFonts w:cs="Arial"/>
                <w:color w:val="000000" w:themeColor="text1"/>
                <w:sz w:val="20"/>
                <w:szCs w:val="20"/>
              </w:rPr>
              <w:t xml:space="preserve">construction </w:t>
            </w:r>
            <w:r w:rsidR="00595844">
              <w:rPr>
                <w:rFonts w:cs="Arial"/>
                <w:color w:val="000000" w:themeColor="text1"/>
                <w:sz w:val="20"/>
                <w:szCs w:val="20"/>
              </w:rPr>
              <w:t>activities</w:t>
            </w:r>
            <w:r w:rsidR="00042150">
              <w:rPr>
                <w:rFonts w:cs="Arial"/>
                <w:color w:val="000000" w:themeColor="text1"/>
                <w:sz w:val="20"/>
                <w:szCs w:val="20"/>
              </w:rPr>
              <w:t>, in accordance with the landfill permit</w:t>
            </w:r>
            <w:r w:rsidR="00595844">
              <w:rPr>
                <w:rFonts w:cs="Arial"/>
                <w:color w:val="000000" w:themeColor="text1"/>
                <w:sz w:val="20"/>
                <w:szCs w:val="20"/>
              </w:rPr>
              <w:t>.</w:t>
            </w:r>
            <w:r w:rsidR="00E93F53" w:rsidRPr="00B67A74">
              <w:rPr>
                <w:rFonts w:cs="Arial"/>
                <w:color w:val="000000" w:themeColor="text1"/>
                <w:sz w:val="20"/>
                <w:szCs w:val="20"/>
              </w:rPr>
              <w:t xml:space="preserve"> The landfill will undergo </w:t>
            </w:r>
            <w:r w:rsidR="000130CD">
              <w:rPr>
                <w:rFonts w:cs="Arial"/>
                <w:color w:val="000000" w:themeColor="text1"/>
                <w:sz w:val="20"/>
                <w:szCs w:val="20"/>
              </w:rPr>
              <w:t xml:space="preserve">final </w:t>
            </w:r>
            <w:r w:rsidR="00E93F53" w:rsidRPr="00B67A74">
              <w:rPr>
                <w:rFonts w:cs="Arial"/>
                <w:color w:val="000000" w:themeColor="text1"/>
                <w:sz w:val="20"/>
                <w:szCs w:val="20"/>
              </w:rPr>
              <w:t>closure when CCR disposal is no longer needed</w:t>
            </w:r>
            <w:r w:rsidR="00E93F53">
              <w:rPr>
                <w:rFonts w:cs="Arial"/>
                <w:color w:val="000000" w:themeColor="text1"/>
                <w:sz w:val="20"/>
                <w:szCs w:val="20"/>
              </w:rPr>
              <w:t>.</w:t>
            </w:r>
          </w:p>
        </w:tc>
      </w:tr>
      <w:tr w:rsidR="004970D5" w:rsidRPr="005A1872" w14:paraId="07533CFD" w14:textId="77777777" w:rsidTr="45D25E2A">
        <w:tblPrEx>
          <w:jc w:val="center"/>
        </w:tblPrEx>
        <w:trPr>
          <w:trHeight w:val="557"/>
          <w:jc w:val="center"/>
        </w:trPr>
        <w:tc>
          <w:tcPr>
            <w:tcW w:w="1406" w:type="dxa"/>
            <w:vAlign w:val="center"/>
          </w:tcPr>
          <w:p w14:paraId="60DA59AB" w14:textId="1C57032D" w:rsidR="004970D5" w:rsidRPr="004929F9" w:rsidRDefault="004970D5" w:rsidP="004970D5">
            <w:pPr>
              <w:rPr>
                <w:rFonts w:cs="Arial"/>
              </w:rPr>
            </w:pPr>
            <w:r w:rsidRPr="004929F9">
              <w:rPr>
                <w:rFonts w:cs="Arial"/>
              </w:rPr>
              <w:br w:type="page"/>
            </w:r>
            <w:r w:rsidRPr="004929F9">
              <w:rPr>
                <w:rFonts w:eastAsia="Calibri" w:cs="Arial"/>
                <w:color w:val="000000"/>
                <w:sz w:val="20"/>
                <w:szCs w:val="20"/>
              </w:rPr>
              <w:t>McManus</w:t>
            </w:r>
          </w:p>
        </w:tc>
        <w:tc>
          <w:tcPr>
            <w:tcW w:w="2723" w:type="dxa"/>
            <w:noWrap/>
            <w:vAlign w:val="center"/>
          </w:tcPr>
          <w:p w14:paraId="33AEEEF5" w14:textId="0DFDFEAA" w:rsidR="004970D5" w:rsidRPr="004929F9" w:rsidRDefault="004970D5" w:rsidP="004970D5">
            <w:pPr>
              <w:rPr>
                <w:rFonts w:eastAsia="Calibri" w:cs="Arial"/>
                <w:color w:val="000000"/>
                <w:sz w:val="20"/>
                <w:szCs w:val="20"/>
              </w:rPr>
            </w:pPr>
            <w:r w:rsidRPr="004929F9">
              <w:rPr>
                <w:rFonts w:eastAsia="Calibri" w:cs="Arial"/>
                <w:color w:val="000000"/>
                <w:sz w:val="20"/>
                <w:szCs w:val="20"/>
              </w:rPr>
              <w:t>AP-1</w:t>
            </w:r>
          </w:p>
        </w:tc>
        <w:tc>
          <w:tcPr>
            <w:tcW w:w="2137" w:type="dxa"/>
            <w:vAlign w:val="center"/>
          </w:tcPr>
          <w:p w14:paraId="5911EDD1" w14:textId="270765CA" w:rsidR="004970D5" w:rsidRPr="004929F9" w:rsidRDefault="004970D5" w:rsidP="004970D5">
            <w:pPr>
              <w:jc w:val="left"/>
              <w:rPr>
                <w:rFonts w:eastAsia="Calibri" w:cs="Arial"/>
                <w:color w:val="000000"/>
                <w:sz w:val="20"/>
                <w:szCs w:val="20"/>
              </w:rPr>
            </w:pPr>
            <w:r w:rsidRPr="004929F9">
              <w:rPr>
                <w:rFonts w:eastAsia="Calibri" w:cs="Arial"/>
                <w:color w:val="000000"/>
                <w:sz w:val="20"/>
                <w:szCs w:val="20"/>
              </w:rPr>
              <w:t xml:space="preserve">Closure by Removal </w:t>
            </w:r>
          </w:p>
        </w:tc>
        <w:tc>
          <w:tcPr>
            <w:tcW w:w="6599" w:type="dxa"/>
            <w:vAlign w:val="center"/>
          </w:tcPr>
          <w:p w14:paraId="1FDD4956" w14:textId="7A980EC2" w:rsidR="004970D5" w:rsidRPr="004929F9" w:rsidRDefault="004970D5" w:rsidP="000F3A2B">
            <w:pPr>
              <w:rPr>
                <w:rFonts w:cs="Arial"/>
                <w:color w:val="000000"/>
                <w:sz w:val="20"/>
                <w:szCs w:val="20"/>
              </w:rPr>
            </w:pPr>
            <w:r w:rsidRPr="7DC92FBA">
              <w:rPr>
                <w:rFonts w:cs="Arial"/>
                <w:color w:val="000000" w:themeColor="text1"/>
                <w:sz w:val="20"/>
                <w:szCs w:val="20"/>
              </w:rPr>
              <w:t xml:space="preserve">AP-1 </w:t>
            </w:r>
            <w:r w:rsidR="007A5D0B">
              <w:rPr>
                <w:rFonts w:cs="Arial"/>
                <w:color w:val="000000" w:themeColor="text1"/>
                <w:sz w:val="20"/>
                <w:szCs w:val="20"/>
              </w:rPr>
              <w:t>has been removed</w:t>
            </w:r>
            <w:r w:rsidRPr="7DC92FBA">
              <w:rPr>
                <w:rFonts w:cs="Arial"/>
                <w:color w:val="000000" w:themeColor="text1"/>
                <w:sz w:val="20"/>
                <w:szCs w:val="20"/>
              </w:rPr>
              <w:t xml:space="preserve">. Excavated CCR was placed in an off-site permitted landfill. A certification of ash removal was submitted to </w:t>
            </w:r>
            <w:r w:rsidR="000A5E7E">
              <w:rPr>
                <w:rFonts w:cs="Arial"/>
                <w:color w:val="000000" w:themeColor="text1"/>
                <w:sz w:val="20"/>
                <w:szCs w:val="20"/>
              </w:rPr>
              <w:t>Georgia EPD</w:t>
            </w:r>
            <w:r w:rsidRPr="7DC92FBA">
              <w:rPr>
                <w:rFonts w:cs="Arial"/>
                <w:color w:val="000000" w:themeColor="text1"/>
                <w:sz w:val="20"/>
                <w:szCs w:val="20"/>
              </w:rPr>
              <w:t xml:space="preserve"> in 2019. </w:t>
            </w:r>
            <w:r w:rsidRPr="0044430F">
              <w:rPr>
                <w:rFonts w:eastAsia="Arial" w:cs="Arial"/>
                <w:sz w:val="20"/>
                <w:szCs w:val="20"/>
              </w:rPr>
              <w:t xml:space="preserve">In January 2020, </w:t>
            </w:r>
            <w:r w:rsidR="000A5E7E">
              <w:rPr>
                <w:rFonts w:eastAsia="Arial" w:cs="Arial"/>
                <w:sz w:val="20"/>
                <w:szCs w:val="20"/>
              </w:rPr>
              <w:t>Georgia EPD</w:t>
            </w:r>
            <w:r w:rsidRPr="0044430F">
              <w:rPr>
                <w:rFonts w:eastAsia="Arial" w:cs="Arial"/>
                <w:sz w:val="20"/>
                <w:szCs w:val="20"/>
              </w:rPr>
              <w:t xml:space="preserve"> a</w:t>
            </w:r>
            <w:r w:rsidRPr="009061AB">
              <w:rPr>
                <w:rFonts w:eastAsia="Arial" w:cs="Arial"/>
                <w:sz w:val="20"/>
                <w:szCs w:val="20"/>
              </w:rPr>
              <w:t xml:space="preserve">cknowledged </w:t>
            </w:r>
            <w:r w:rsidR="009061AB" w:rsidRPr="009061AB">
              <w:rPr>
                <w:rFonts w:cs="Arial"/>
                <w:sz w:val="20"/>
                <w:szCs w:val="20"/>
              </w:rPr>
              <w:t>completion of CCR removal activities</w:t>
            </w:r>
            <w:r w:rsidR="019F2CD4" w:rsidRPr="3405056C">
              <w:rPr>
                <w:rFonts w:cs="Arial"/>
                <w:sz w:val="20"/>
                <w:szCs w:val="20"/>
              </w:rPr>
              <w:t>.</w:t>
            </w:r>
            <w:r w:rsidR="009061AB" w:rsidRPr="009061AB">
              <w:rPr>
                <w:rFonts w:cs="Arial"/>
                <w:sz w:val="20"/>
                <w:szCs w:val="20"/>
              </w:rPr>
              <w:t xml:space="preserve"> Site restoration activities were completed in 2020. A final CCR permit was issued for AP-1 on June 18, 2021. On July 1, 2021 a modified NPDES permit became effective following </w:t>
            </w:r>
            <w:r w:rsidR="000A5E7E">
              <w:rPr>
                <w:rFonts w:cs="Arial"/>
                <w:sz w:val="20"/>
                <w:szCs w:val="20"/>
              </w:rPr>
              <w:t>Georgia EPD</w:t>
            </w:r>
            <w:r w:rsidR="009061AB" w:rsidRPr="009061AB">
              <w:rPr>
                <w:rFonts w:cs="Arial"/>
                <w:sz w:val="20"/>
                <w:szCs w:val="20"/>
              </w:rPr>
              <w:t xml:space="preserve"> acknowledgment of the completion of dewatering activities.</w:t>
            </w:r>
            <w:r w:rsidR="009107E4">
              <w:rPr>
                <w:rFonts w:cs="Arial"/>
                <w:sz w:val="20"/>
                <w:szCs w:val="20"/>
              </w:rPr>
              <w:t xml:space="preserve"> The Company</w:t>
            </w:r>
            <w:r w:rsidR="003A2506">
              <w:rPr>
                <w:rFonts w:cs="Arial"/>
                <w:sz w:val="20"/>
                <w:szCs w:val="20"/>
              </w:rPr>
              <w:t xml:space="preserve"> </w:t>
            </w:r>
            <w:r w:rsidR="009107E4">
              <w:rPr>
                <w:rFonts w:cs="Arial"/>
                <w:sz w:val="20"/>
                <w:szCs w:val="20"/>
              </w:rPr>
              <w:t>is conducting additional groundwater studies to support the ACM process and remedy selection.</w:t>
            </w:r>
            <w:r w:rsidR="007E6E43">
              <w:rPr>
                <w:rFonts w:cs="Arial"/>
                <w:sz w:val="20"/>
                <w:szCs w:val="20"/>
              </w:rPr>
              <w:t xml:space="preserve"> AP-1 is in </w:t>
            </w:r>
            <w:r w:rsidR="002933E7">
              <w:rPr>
                <w:rFonts w:cs="Arial"/>
                <w:sz w:val="20"/>
                <w:szCs w:val="20"/>
              </w:rPr>
              <w:t>post closure care.</w:t>
            </w:r>
          </w:p>
        </w:tc>
      </w:tr>
      <w:tr w:rsidR="004970D5" w:rsidRPr="005A1872" w14:paraId="35F6551F" w14:textId="77777777" w:rsidTr="45D25E2A">
        <w:tblPrEx>
          <w:jc w:val="center"/>
        </w:tblPrEx>
        <w:trPr>
          <w:trHeight w:val="557"/>
          <w:jc w:val="center"/>
        </w:trPr>
        <w:tc>
          <w:tcPr>
            <w:tcW w:w="1406" w:type="dxa"/>
            <w:vAlign w:val="center"/>
            <w:hideMark/>
          </w:tcPr>
          <w:p w14:paraId="77103013" w14:textId="2C048BC5" w:rsidR="004970D5" w:rsidRPr="004929F9" w:rsidRDefault="004970D5" w:rsidP="004970D5">
            <w:pPr>
              <w:rPr>
                <w:rFonts w:eastAsia="Calibri" w:cs="Arial"/>
                <w:color w:val="000000"/>
                <w:sz w:val="20"/>
                <w:szCs w:val="20"/>
              </w:rPr>
            </w:pPr>
            <w:r w:rsidRPr="004929F9">
              <w:rPr>
                <w:rFonts w:cs="Arial"/>
              </w:rPr>
              <w:br w:type="page"/>
            </w:r>
            <w:r w:rsidRPr="004929F9">
              <w:rPr>
                <w:rFonts w:eastAsia="Calibri" w:cs="Arial"/>
                <w:color w:val="000000"/>
                <w:sz w:val="20"/>
                <w:szCs w:val="20"/>
              </w:rPr>
              <w:t>Mitchell</w:t>
            </w:r>
          </w:p>
        </w:tc>
        <w:tc>
          <w:tcPr>
            <w:tcW w:w="2723" w:type="dxa"/>
            <w:noWrap/>
            <w:vAlign w:val="center"/>
            <w:hideMark/>
          </w:tcPr>
          <w:p w14:paraId="43114103" w14:textId="60D40415" w:rsidR="004970D5" w:rsidRPr="004929F9" w:rsidRDefault="004970D5" w:rsidP="004970D5">
            <w:pPr>
              <w:rPr>
                <w:rFonts w:eastAsia="Calibri" w:cs="Arial"/>
                <w:color w:val="000000"/>
                <w:sz w:val="20"/>
                <w:szCs w:val="20"/>
              </w:rPr>
            </w:pPr>
            <w:r w:rsidRPr="004929F9">
              <w:rPr>
                <w:rFonts w:eastAsia="Calibri" w:cs="Arial"/>
                <w:color w:val="000000"/>
                <w:sz w:val="20"/>
                <w:szCs w:val="20"/>
              </w:rPr>
              <w:t>AP-A, 1, 2</w:t>
            </w:r>
          </w:p>
        </w:tc>
        <w:tc>
          <w:tcPr>
            <w:tcW w:w="2137" w:type="dxa"/>
            <w:vAlign w:val="center"/>
            <w:hideMark/>
          </w:tcPr>
          <w:p w14:paraId="07F7F087" w14:textId="5DBA0025" w:rsidR="004970D5" w:rsidRPr="004929F9" w:rsidRDefault="004970D5" w:rsidP="004970D5">
            <w:pPr>
              <w:jc w:val="left"/>
              <w:rPr>
                <w:rFonts w:eastAsia="Calibri" w:cs="Arial"/>
                <w:color w:val="000000"/>
                <w:sz w:val="20"/>
                <w:szCs w:val="20"/>
              </w:rPr>
            </w:pPr>
            <w:r w:rsidRPr="004929F9">
              <w:rPr>
                <w:rFonts w:eastAsia="Calibri" w:cs="Arial"/>
                <w:color w:val="000000"/>
                <w:sz w:val="20"/>
                <w:szCs w:val="20"/>
              </w:rPr>
              <w:t xml:space="preserve">Closure by Removal </w:t>
            </w:r>
          </w:p>
        </w:tc>
        <w:tc>
          <w:tcPr>
            <w:tcW w:w="6599" w:type="dxa"/>
            <w:vAlign w:val="center"/>
            <w:hideMark/>
          </w:tcPr>
          <w:p w14:paraId="4DD315C0" w14:textId="6B54F464" w:rsidR="004970D5" w:rsidRPr="004929F9" w:rsidRDefault="004970D5" w:rsidP="00F10274">
            <w:pPr>
              <w:rPr>
                <w:rFonts w:eastAsia="Calibri" w:cs="Arial"/>
                <w:color w:val="000000"/>
                <w:sz w:val="20"/>
                <w:szCs w:val="20"/>
              </w:rPr>
            </w:pPr>
            <w:r w:rsidRPr="132C4514">
              <w:rPr>
                <w:rFonts w:cs="Arial"/>
                <w:color w:val="000000" w:themeColor="text1"/>
                <w:sz w:val="20"/>
                <w:szCs w:val="20"/>
              </w:rPr>
              <w:t xml:space="preserve">AP-A, 1, and 2 </w:t>
            </w:r>
            <w:r w:rsidR="126CE342" w:rsidRPr="59F7AD28">
              <w:rPr>
                <w:rFonts w:cs="Arial"/>
                <w:color w:val="000000" w:themeColor="text1"/>
                <w:sz w:val="20"/>
                <w:szCs w:val="20"/>
              </w:rPr>
              <w:t xml:space="preserve">are </w:t>
            </w:r>
            <w:r w:rsidR="6A61BDC0" w:rsidRPr="59F7AD28">
              <w:rPr>
                <w:rFonts w:cs="Arial"/>
                <w:color w:val="000000" w:themeColor="text1"/>
                <w:sz w:val="20"/>
                <w:szCs w:val="20"/>
              </w:rPr>
              <w:t>being</w:t>
            </w:r>
            <w:r w:rsidRPr="132C4514">
              <w:rPr>
                <w:rFonts w:cs="Arial"/>
                <w:color w:val="000000" w:themeColor="text1"/>
                <w:sz w:val="20"/>
                <w:szCs w:val="20"/>
              </w:rPr>
              <w:t xml:space="preserve"> closed by removal of CCR for beneficial use.</w:t>
            </w:r>
            <w:r w:rsidRPr="00F10274" w:rsidDel="006324FB">
              <w:rPr>
                <w:rFonts w:cs="Arial"/>
                <w:sz w:val="20"/>
                <w:szCs w:val="20"/>
              </w:rPr>
              <w:t xml:space="preserve"> </w:t>
            </w:r>
            <w:r w:rsidR="00F10274" w:rsidRPr="00F10274">
              <w:rPr>
                <w:rFonts w:cs="Arial"/>
                <w:sz w:val="20"/>
                <w:szCs w:val="20"/>
              </w:rPr>
              <w:t xml:space="preserve">Ash removal began in the second quarter of 2020 from the combined ash pond area and is being transported off site for beneficial use. </w:t>
            </w:r>
            <w:r w:rsidR="000A5E7E">
              <w:rPr>
                <w:rFonts w:cs="Arial"/>
                <w:sz w:val="20"/>
                <w:szCs w:val="20"/>
              </w:rPr>
              <w:t>Dewatering consistent with the Georgia EPD-approved Dewatering Plan</w:t>
            </w:r>
            <w:r w:rsidR="000A5E7E" w:rsidRPr="00E93B34">
              <w:rPr>
                <w:rFonts w:cs="Arial"/>
                <w:sz w:val="20"/>
                <w:szCs w:val="20"/>
              </w:rPr>
              <w:t xml:space="preserve"> </w:t>
            </w:r>
            <w:r w:rsidR="00F10274" w:rsidRPr="00F10274">
              <w:rPr>
                <w:rFonts w:cs="Arial"/>
                <w:sz w:val="20"/>
                <w:szCs w:val="20"/>
              </w:rPr>
              <w:t>commenced in the first quarter of 2021.</w:t>
            </w:r>
            <w:r w:rsidR="006324FB">
              <w:rPr>
                <w:rFonts w:cs="Arial"/>
                <w:sz w:val="20"/>
                <w:szCs w:val="20"/>
              </w:rPr>
              <w:t xml:space="preserve"> </w:t>
            </w:r>
            <w:r w:rsidR="006324FB" w:rsidRPr="132C4514">
              <w:rPr>
                <w:rFonts w:cs="Arial"/>
                <w:color w:val="000000" w:themeColor="text1"/>
                <w:sz w:val="20"/>
                <w:szCs w:val="20"/>
              </w:rPr>
              <w:t>After CCR removal, the site will be restored.</w:t>
            </w:r>
          </w:p>
        </w:tc>
      </w:tr>
      <w:tr w:rsidR="004970D5" w:rsidRPr="005A1872" w14:paraId="7D906173" w14:textId="77777777" w:rsidTr="45D25E2A">
        <w:tblPrEx>
          <w:jc w:val="center"/>
        </w:tblPrEx>
        <w:trPr>
          <w:trHeight w:val="1025"/>
          <w:jc w:val="center"/>
        </w:trPr>
        <w:tc>
          <w:tcPr>
            <w:tcW w:w="1406" w:type="dxa"/>
            <w:vAlign w:val="center"/>
            <w:hideMark/>
          </w:tcPr>
          <w:p w14:paraId="2402B151" w14:textId="29C8ACB8" w:rsidR="004970D5" w:rsidRPr="004929F9" w:rsidRDefault="004970D5" w:rsidP="004970D5">
            <w:pPr>
              <w:rPr>
                <w:rFonts w:eastAsia="Calibri" w:cs="Arial"/>
                <w:color w:val="000000"/>
                <w:sz w:val="20"/>
                <w:szCs w:val="20"/>
              </w:rPr>
            </w:pPr>
            <w:r w:rsidRPr="004929F9">
              <w:rPr>
                <w:rFonts w:eastAsia="Calibri" w:cs="Arial"/>
                <w:color w:val="000000"/>
                <w:sz w:val="20"/>
                <w:szCs w:val="20"/>
              </w:rPr>
              <w:t>Scherer</w:t>
            </w:r>
          </w:p>
        </w:tc>
        <w:tc>
          <w:tcPr>
            <w:tcW w:w="2723" w:type="dxa"/>
            <w:noWrap/>
            <w:vAlign w:val="center"/>
            <w:hideMark/>
          </w:tcPr>
          <w:p w14:paraId="165927BA" w14:textId="3D252FE6" w:rsidR="004970D5" w:rsidRPr="004929F9" w:rsidRDefault="004970D5" w:rsidP="004970D5">
            <w:pPr>
              <w:rPr>
                <w:rFonts w:eastAsia="Calibri" w:cs="Arial"/>
                <w:color w:val="000000"/>
                <w:sz w:val="20"/>
                <w:szCs w:val="20"/>
              </w:rPr>
            </w:pPr>
            <w:r w:rsidRPr="004929F9">
              <w:rPr>
                <w:rFonts w:eastAsia="Calibri" w:cs="Arial"/>
                <w:color w:val="000000"/>
                <w:sz w:val="20"/>
                <w:szCs w:val="20"/>
              </w:rPr>
              <w:t>AP-1</w:t>
            </w:r>
          </w:p>
        </w:tc>
        <w:tc>
          <w:tcPr>
            <w:tcW w:w="2137" w:type="dxa"/>
            <w:noWrap/>
            <w:vAlign w:val="center"/>
            <w:hideMark/>
          </w:tcPr>
          <w:p w14:paraId="7555BFFE" w14:textId="7384E8E4" w:rsidR="004970D5" w:rsidRPr="004929F9" w:rsidRDefault="004970D5" w:rsidP="004970D5">
            <w:pPr>
              <w:jc w:val="left"/>
              <w:rPr>
                <w:rFonts w:eastAsia="Calibri" w:cs="Arial"/>
                <w:color w:val="000000"/>
                <w:sz w:val="20"/>
                <w:szCs w:val="20"/>
              </w:rPr>
            </w:pPr>
            <w:r w:rsidRPr="004929F9">
              <w:rPr>
                <w:rFonts w:eastAsia="Calibri" w:cs="Arial"/>
                <w:color w:val="000000"/>
                <w:sz w:val="20"/>
                <w:szCs w:val="20"/>
              </w:rPr>
              <w:t xml:space="preserve">Closure </w:t>
            </w:r>
            <w:r>
              <w:rPr>
                <w:rFonts w:eastAsia="Calibri" w:cs="Arial"/>
                <w:color w:val="000000"/>
                <w:sz w:val="20"/>
                <w:szCs w:val="20"/>
              </w:rPr>
              <w:t>i</w:t>
            </w:r>
            <w:r w:rsidRPr="004929F9">
              <w:rPr>
                <w:rFonts w:eastAsia="Calibri" w:cs="Arial"/>
                <w:color w:val="000000"/>
                <w:sz w:val="20"/>
                <w:szCs w:val="20"/>
              </w:rPr>
              <w:t>n Place</w:t>
            </w:r>
          </w:p>
        </w:tc>
        <w:tc>
          <w:tcPr>
            <w:tcW w:w="6599" w:type="dxa"/>
            <w:vAlign w:val="center"/>
            <w:hideMark/>
          </w:tcPr>
          <w:p w14:paraId="75B360AA" w14:textId="09663173" w:rsidR="004970D5" w:rsidRPr="004929F9" w:rsidRDefault="004970D5" w:rsidP="007A0F37">
            <w:pPr>
              <w:rPr>
                <w:rFonts w:eastAsia="Calibri" w:cs="Arial"/>
                <w:color w:val="000000"/>
                <w:sz w:val="20"/>
                <w:szCs w:val="20"/>
              </w:rPr>
            </w:pPr>
            <w:r w:rsidRPr="278029D7">
              <w:rPr>
                <w:rFonts w:eastAsia="Calibri" w:cs="Arial"/>
                <w:color w:val="000000" w:themeColor="text1"/>
                <w:sz w:val="20"/>
                <w:szCs w:val="20"/>
              </w:rPr>
              <w:t>AP-1 will be closed in place</w:t>
            </w:r>
            <w:r w:rsidR="00C20535">
              <w:rPr>
                <w:rFonts w:eastAsia="Calibri" w:cs="Arial"/>
                <w:color w:val="000000" w:themeColor="text1"/>
                <w:sz w:val="20"/>
                <w:szCs w:val="20"/>
              </w:rPr>
              <w:t>.</w:t>
            </w:r>
            <w:r w:rsidRPr="278029D7" w:rsidDel="00C20535">
              <w:rPr>
                <w:rFonts w:eastAsia="Calibri" w:cs="Arial"/>
                <w:color w:val="000000" w:themeColor="text1"/>
                <w:sz w:val="20"/>
                <w:szCs w:val="20"/>
              </w:rPr>
              <w:t xml:space="preserve"> </w:t>
            </w:r>
            <w:r w:rsidR="00C20535">
              <w:rPr>
                <w:rFonts w:eastAsia="Calibri" w:cs="Arial"/>
                <w:color w:val="000000" w:themeColor="text1"/>
                <w:sz w:val="20"/>
                <w:szCs w:val="20"/>
              </w:rPr>
              <w:t xml:space="preserve"> C</w:t>
            </w:r>
            <w:r w:rsidR="00C20535" w:rsidRPr="007A0F37">
              <w:rPr>
                <w:rFonts w:cs="Arial"/>
                <w:sz w:val="20"/>
                <w:szCs w:val="20"/>
              </w:rPr>
              <w:t xml:space="preserve">onsistent with the closure plans, the closure construction includes consolidation of the current </w:t>
            </w:r>
            <w:r w:rsidR="00C20535">
              <w:rPr>
                <w:rFonts w:cs="Arial"/>
                <w:sz w:val="20"/>
                <w:szCs w:val="20"/>
              </w:rPr>
              <w:t xml:space="preserve">ash pond </w:t>
            </w:r>
            <w:r w:rsidR="00C20535" w:rsidRPr="007A0F37">
              <w:rPr>
                <w:rFonts w:cs="Arial"/>
                <w:sz w:val="20"/>
                <w:szCs w:val="20"/>
              </w:rPr>
              <w:t>footprint</w:t>
            </w:r>
            <w:r w:rsidR="00C20535" w:rsidRPr="222F576B">
              <w:rPr>
                <w:rFonts w:cs="Arial"/>
                <w:sz w:val="20"/>
                <w:szCs w:val="20"/>
              </w:rPr>
              <w:t>,</w:t>
            </w:r>
            <w:r w:rsidR="00C20535" w:rsidRPr="007A0F37">
              <w:rPr>
                <w:rFonts w:cs="Arial"/>
                <w:sz w:val="20"/>
                <w:szCs w:val="20"/>
              </w:rPr>
              <w:t xml:space="preserve"> with extension of the final cover system over non-CCR containing areas to minimize stormwater infiltration.</w:t>
            </w:r>
            <w:r w:rsidRPr="278029D7">
              <w:rPr>
                <w:rFonts w:eastAsia="Calibri" w:cs="Arial"/>
                <w:color w:val="000000" w:themeColor="text1"/>
                <w:sz w:val="20"/>
                <w:szCs w:val="20"/>
              </w:rPr>
              <w:t xml:space="preserve"> </w:t>
            </w:r>
            <w:r w:rsidR="007A0F37" w:rsidRPr="007A0F37">
              <w:rPr>
                <w:rFonts w:cs="Arial"/>
                <w:sz w:val="20"/>
                <w:szCs w:val="20"/>
              </w:rPr>
              <w:t>Design is being finalized</w:t>
            </w:r>
            <w:r w:rsidR="00567FEA">
              <w:rPr>
                <w:rFonts w:cs="Arial"/>
                <w:sz w:val="20"/>
                <w:szCs w:val="20"/>
              </w:rPr>
              <w:t xml:space="preserve"> </w:t>
            </w:r>
            <w:r w:rsidR="007A0F37" w:rsidRPr="007A0F37">
              <w:rPr>
                <w:rFonts w:cs="Arial"/>
                <w:sz w:val="20"/>
                <w:szCs w:val="20"/>
              </w:rPr>
              <w:t>and constructability reviews</w:t>
            </w:r>
            <w:r w:rsidR="00AE52AA">
              <w:rPr>
                <w:rFonts w:cs="Arial"/>
                <w:sz w:val="20"/>
                <w:szCs w:val="20"/>
              </w:rPr>
              <w:t xml:space="preserve"> were completed in 2021</w:t>
            </w:r>
            <w:r w:rsidR="005B1283">
              <w:rPr>
                <w:rFonts w:cs="Arial"/>
                <w:sz w:val="20"/>
                <w:szCs w:val="20"/>
              </w:rPr>
              <w:t>.</w:t>
            </w:r>
            <w:r w:rsidR="007A0F37" w:rsidRPr="007A0F37" w:rsidDel="008D05C8">
              <w:rPr>
                <w:rFonts w:cs="Arial"/>
                <w:sz w:val="20"/>
                <w:szCs w:val="20"/>
              </w:rPr>
              <w:t xml:space="preserve"> </w:t>
            </w:r>
            <w:r w:rsidR="007A0F37" w:rsidRPr="007A0F37">
              <w:rPr>
                <w:rFonts w:cs="Arial"/>
                <w:sz w:val="20"/>
                <w:szCs w:val="20"/>
              </w:rPr>
              <w:t xml:space="preserve">Early site preparation work began in 2021 and dewatering is expected to commence in 2022. </w:t>
            </w:r>
            <w:r w:rsidR="00827B93">
              <w:rPr>
                <w:rFonts w:cs="Arial"/>
                <w:sz w:val="20"/>
                <w:szCs w:val="20"/>
              </w:rPr>
              <w:t>The Company is conducting additional groundwater studies to support the ACM process and remedy selection.</w:t>
            </w:r>
          </w:p>
        </w:tc>
      </w:tr>
      <w:tr w:rsidR="004970D5" w:rsidRPr="005A1872" w14:paraId="0B28EFC8" w14:textId="77777777" w:rsidTr="45D25E2A">
        <w:tblPrEx>
          <w:jc w:val="center"/>
        </w:tblPrEx>
        <w:trPr>
          <w:trHeight w:val="809"/>
          <w:jc w:val="center"/>
        </w:trPr>
        <w:tc>
          <w:tcPr>
            <w:tcW w:w="1406" w:type="dxa"/>
            <w:vAlign w:val="center"/>
            <w:hideMark/>
          </w:tcPr>
          <w:p w14:paraId="26F7772F" w14:textId="42F99CFD" w:rsidR="004970D5" w:rsidRPr="004929F9" w:rsidRDefault="004970D5" w:rsidP="004970D5">
            <w:pPr>
              <w:rPr>
                <w:rFonts w:eastAsia="Calibri" w:cs="Arial"/>
                <w:color w:val="000000"/>
                <w:sz w:val="20"/>
                <w:szCs w:val="20"/>
              </w:rPr>
            </w:pPr>
            <w:r w:rsidRPr="004929F9">
              <w:rPr>
                <w:rFonts w:eastAsia="Calibri" w:cs="Arial"/>
                <w:color w:val="000000"/>
                <w:sz w:val="20"/>
                <w:szCs w:val="20"/>
              </w:rPr>
              <w:t>Scherer</w:t>
            </w:r>
          </w:p>
        </w:tc>
        <w:tc>
          <w:tcPr>
            <w:tcW w:w="2723" w:type="dxa"/>
            <w:noWrap/>
            <w:vAlign w:val="center"/>
            <w:hideMark/>
          </w:tcPr>
          <w:p w14:paraId="7EA40A08" w14:textId="46B13610" w:rsidR="004970D5" w:rsidRPr="004929F9" w:rsidRDefault="004970D5" w:rsidP="004970D5">
            <w:pPr>
              <w:rPr>
                <w:rFonts w:eastAsia="Calibri" w:cs="Arial"/>
                <w:color w:val="000000"/>
                <w:sz w:val="20"/>
                <w:szCs w:val="20"/>
              </w:rPr>
            </w:pPr>
            <w:r w:rsidRPr="004929F9">
              <w:rPr>
                <w:rFonts w:eastAsia="Calibri" w:cs="Arial"/>
                <w:color w:val="000000"/>
                <w:sz w:val="20"/>
                <w:szCs w:val="20"/>
              </w:rPr>
              <w:t>LF</w:t>
            </w:r>
          </w:p>
        </w:tc>
        <w:tc>
          <w:tcPr>
            <w:tcW w:w="2137" w:type="dxa"/>
            <w:noWrap/>
            <w:vAlign w:val="center"/>
            <w:hideMark/>
          </w:tcPr>
          <w:p w14:paraId="7621CB71" w14:textId="05E66419" w:rsidR="004970D5" w:rsidRPr="004929F9" w:rsidRDefault="004970D5" w:rsidP="004970D5">
            <w:pPr>
              <w:jc w:val="left"/>
              <w:rPr>
                <w:rFonts w:eastAsia="Calibri" w:cs="Arial"/>
                <w:color w:val="000000"/>
                <w:sz w:val="20"/>
                <w:szCs w:val="20"/>
              </w:rPr>
            </w:pPr>
            <w:r w:rsidRPr="004929F9">
              <w:rPr>
                <w:rFonts w:eastAsia="Calibri" w:cs="Arial"/>
                <w:color w:val="000000"/>
                <w:sz w:val="20"/>
                <w:szCs w:val="20"/>
              </w:rPr>
              <w:t>Active LF</w:t>
            </w:r>
            <w:r w:rsidRPr="004929F9">
              <w:rPr>
                <w:rFonts w:cs="Arial"/>
              </w:rPr>
              <w:t xml:space="preserve"> </w:t>
            </w:r>
            <w:r w:rsidRPr="004929F9">
              <w:rPr>
                <w:rFonts w:eastAsia="Calibri" w:cs="Arial"/>
                <w:color w:val="000000"/>
                <w:sz w:val="20"/>
                <w:szCs w:val="20"/>
              </w:rPr>
              <w:t>/Closure in Place</w:t>
            </w:r>
          </w:p>
        </w:tc>
        <w:tc>
          <w:tcPr>
            <w:tcW w:w="6599" w:type="dxa"/>
            <w:vAlign w:val="center"/>
            <w:hideMark/>
          </w:tcPr>
          <w:p w14:paraId="098695AE" w14:textId="37948C21" w:rsidR="004970D5" w:rsidRPr="004929F9" w:rsidRDefault="004D6798" w:rsidP="009C7652">
            <w:pPr>
              <w:autoSpaceDE w:val="0"/>
              <w:autoSpaceDN w:val="0"/>
              <w:adjustRightInd w:val="0"/>
              <w:rPr>
                <w:rFonts w:eastAsia="Calibri" w:cs="Arial"/>
                <w:color w:val="000000"/>
                <w:sz w:val="20"/>
                <w:szCs w:val="20"/>
              </w:rPr>
            </w:pPr>
            <w:r w:rsidRPr="00230755">
              <w:rPr>
                <w:rFonts w:cs="Arial"/>
                <w:sz w:val="20"/>
                <w:szCs w:val="20"/>
              </w:rPr>
              <w:t xml:space="preserve">CCR landfill to remain active as part of ongoing plant operations. </w:t>
            </w:r>
            <w:r w:rsidR="00230755" w:rsidRPr="00230755">
              <w:rPr>
                <w:rFonts w:cs="Arial"/>
                <w:sz w:val="20"/>
                <w:szCs w:val="20"/>
              </w:rPr>
              <w:t>The</w:t>
            </w:r>
            <w:r w:rsidR="00230755">
              <w:rPr>
                <w:rFonts w:cs="Arial"/>
                <w:sz w:val="20"/>
                <w:szCs w:val="20"/>
              </w:rPr>
              <w:t xml:space="preserve"> </w:t>
            </w:r>
            <w:r w:rsidR="00230755" w:rsidRPr="00230755">
              <w:rPr>
                <w:rFonts w:cs="Arial"/>
                <w:sz w:val="20"/>
                <w:szCs w:val="20"/>
              </w:rPr>
              <w:t xml:space="preserve">landfill will undergo closure when permitted capacity is reached </w:t>
            </w:r>
            <w:r w:rsidR="00230755" w:rsidRPr="00230755">
              <w:rPr>
                <w:rFonts w:eastAsia="Calibri" w:cs="Arial"/>
                <w:sz w:val="20"/>
                <w:szCs w:val="20"/>
              </w:rPr>
              <w:t>or when CCR</w:t>
            </w:r>
            <w:r w:rsidR="00230755">
              <w:rPr>
                <w:rFonts w:eastAsia="Calibri" w:cs="Arial"/>
                <w:sz w:val="20"/>
                <w:szCs w:val="20"/>
              </w:rPr>
              <w:t xml:space="preserve"> </w:t>
            </w:r>
            <w:r w:rsidR="00230755" w:rsidRPr="00230755">
              <w:rPr>
                <w:rFonts w:eastAsia="Calibri" w:cs="Arial"/>
                <w:sz w:val="20"/>
                <w:szCs w:val="20"/>
              </w:rPr>
              <w:t>disposal is no longer needed</w:t>
            </w:r>
            <w:r w:rsidR="00230755" w:rsidRPr="00230755">
              <w:rPr>
                <w:rFonts w:cs="Arial"/>
                <w:sz w:val="20"/>
                <w:szCs w:val="20"/>
              </w:rPr>
              <w:t>.</w:t>
            </w:r>
          </w:p>
        </w:tc>
      </w:tr>
      <w:tr w:rsidR="004970D5" w:rsidRPr="005A1872" w14:paraId="7123ECD6" w14:textId="77777777" w:rsidTr="45D25E2A">
        <w:tblPrEx>
          <w:jc w:val="center"/>
        </w:tblPrEx>
        <w:trPr>
          <w:trHeight w:val="1008"/>
          <w:jc w:val="center"/>
        </w:trPr>
        <w:tc>
          <w:tcPr>
            <w:tcW w:w="1406" w:type="dxa"/>
            <w:vAlign w:val="center"/>
            <w:hideMark/>
          </w:tcPr>
          <w:p w14:paraId="3C838EA5" w14:textId="7AA2BA63" w:rsidR="004970D5" w:rsidRPr="004929F9" w:rsidRDefault="004970D5" w:rsidP="004970D5">
            <w:pPr>
              <w:rPr>
                <w:rFonts w:eastAsia="Calibri" w:cs="Arial"/>
                <w:color w:val="000000"/>
                <w:sz w:val="20"/>
                <w:szCs w:val="20"/>
              </w:rPr>
            </w:pPr>
            <w:r w:rsidRPr="004929F9">
              <w:rPr>
                <w:rFonts w:eastAsia="Calibri" w:cs="Arial"/>
                <w:color w:val="000000"/>
                <w:sz w:val="20"/>
                <w:szCs w:val="20"/>
              </w:rPr>
              <w:t>Wansley</w:t>
            </w:r>
          </w:p>
        </w:tc>
        <w:tc>
          <w:tcPr>
            <w:tcW w:w="2723" w:type="dxa"/>
            <w:noWrap/>
            <w:vAlign w:val="center"/>
            <w:hideMark/>
          </w:tcPr>
          <w:p w14:paraId="1E041241" w14:textId="4951E80F" w:rsidR="004970D5" w:rsidRPr="005C05E9" w:rsidRDefault="004970D5" w:rsidP="004970D5">
            <w:pPr>
              <w:rPr>
                <w:rFonts w:eastAsia="Calibri" w:cs="Arial"/>
                <w:color w:val="000000"/>
                <w:sz w:val="20"/>
                <w:szCs w:val="20"/>
              </w:rPr>
            </w:pPr>
            <w:r w:rsidRPr="005C05E9">
              <w:rPr>
                <w:rFonts w:eastAsia="Calibri" w:cs="Arial"/>
                <w:color w:val="000000"/>
                <w:sz w:val="20"/>
                <w:szCs w:val="20"/>
              </w:rPr>
              <w:t>AP-1</w:t>
            </w:r>
          </w:p>
        </w:tc>
        <w:tc>
          <w:tcPr>
            <w:tcW w:w="2137" w:type="dxa"/>
            <w:noWrap/>
            <w:vAlign w:val="center"/>
            <w:hideMark/>
          </w:tcPr>
          <w:p w14:paraId="1D3D17F0" w14:textId="3E3DF706" w:rsidR="004970D5" w:rsidRPr="005C05E9" w:rsidRDefault="00ED5E1F" w:rsidP="004970D5">
            <w:pPr>
              <w:jc w:val="left"/>
              <w:rPr>
                <w:rFonts w:eastAsia="Calibri" w:cs="Arial"/>
                <w:color w:val="000000"/>
                <w:sz w:val="20"/>
                <w:szCs w:val="20"/>
              </w:rPr>
            </w:pPr>
            <w:r w:rsidRPr="005C05E9">
              <w:rPr>
                <w:rFonts w:eastAsia="Calibri" w:cs="Arial"/>
                <w:color w:val="000000" w:themeColor="text1"/>
                <w:sz w:val="20"/>
                <w:szCs w:val="20"/>
              </w:rPr>
              <w:t>Closure by Removal</w:t>
            </w:r>
          </w:p>
        </w:tc>
        <w:tc>
          <w:tcPr>
            <w:tcW w:w="6599" w:type="dxa"/>
            <w:vAlign w:val="center"/>
            <w:hideMark/>
          </w:tcPr>
          <w:p w14:paraId="4BCC213D" w14:textId="75979C13" w:rsidR="004970D5" w:rsidRPr="005C05E9" w:rsidRDefault="5E5FDFE8" w:rsidP="009C7652">
            <w:pPr>
              <w:autoSpaceDE w:val="0"/>
              <w:autoSpaceDN w:val="0"/>
              <w:adjustRightInd w:val="0"/>
              <w:rPr>
                <w:rFonts w:eastAsia="Calibri" w:cs="Arial"/>
                <w:color w:val="000000"/>
                <w:sz w:val="20"/>
                <w:szCs w:val="20"/>
              </w:rPr>
            </w:pPr>
            <w:r w:rsidRPr="005C05E9">
              <w:rPr>
                <w:rFonts w:cs="Arial"/>
                <w:sz w:val="20"/>
                <w:szCs w:val="20"/>
              </w:rPr>
              <w:t>T</w:t>
            </w:r>
            <w:r w:rsidR="1F42A5B6" w:rsidRPr="005C05E9">
              <w:rPr>
                <w:rFonts w:cs="Arial"/>
                <w:sz w:val="20"/>
                <w:szCs w:val="20"/>
              </w:rPr>
              <w:t>h</w:t>
            </w:r>
            <w:r w:rsidR="658BFD86" w:rsidRPr="005C05E9">
              <w:rPr>
                <w:rFonts w:cs="Arial"/>
                <w:sz w:val="20"/>
                <w:szCs w:val="20"/>
              </w:rPr>
              <w:t>e ash pond</w:t>
            </w:r>
            <w:r w:rsidR="1F42A5B6" w:rsidRPr="005C05E9">
              <w:rPr>
                <w:rFonts w:cs="Arial"/>
                <w:sz w:val="20"/>
                <w:szCs w:val="20"/>
              </w:rPr>
              <w:t xml:space="preserve"> closure </w:t>
            </w:r>
            <w:r w:rsidR="00641870" w:rsidRPr="005C05E9">
              <w:rPr>
                <w:rFonts w:cs="Arial"/>
                <w:sz w:val="20"/>
                <w:szCs w:val="20"/>
              </w:rPr>
              <w:t xml:space="preserve">strategy </w:t>
            </w:r>
            <w:r w:rsidR="1AF30BB1" w:rsidRPr="005C05E9">
              <w:rPr>
                <w:rFonts w:cs="Arial"/>
                <w:sz w:val="20"/>
                <w:szCs w:val="20"/>
              </w:rPr>
              <w:t>has been further evaluated</w:t>
            </w:r>
            <w:r w:rsidR="1F42A5B6" w:rsidRPr="005C05E9">
              <w:rPr>
                <w:rFonts w:cs="Arial"/>
                <w:sz w:val="20"/>
                <w:szCs w:val="20"/>
              </w:rPr>
              <w:t xml:space="preserve"> based </w:t>
            </w:r>
            <w:r w:rsidR="379F2974" w:rsidRPr="005C05E9">
              <w:rPr>
                <w:rFonts w:cs="Arial"/>
                <w:sz w:val="20"/>
                <w:szCs w:val="20"/>
              </w:rPr>
              <w:t xml:space="preserve">on </w:t>
            </w:r>
            <w:r w:rsidR="1F42A5B6" w:rsidRPr="005C05E9">
              <w:rPr>
                <w:rFonts w:cs="Arial"/>
                <w:sz w:val="20"/>
                <w:szCs w:val="20"/>
              </w:rPr>
              <w:t xml:space="preserve">the </w:t>
            </w:r>
            <w:r w:rsidR="00641870" w:rsidRPr="005C05E9">
              <w:rPr>
                <w:rFonts w:cs="Arial"/>
                <w:sz w:val="20"/>
                <w:szCs w:val="20"/>
              </w:rPr>
              <w:t xml:space="preserve">Company’s </w:t>
            </w:r>
            <w:r w:rsidR="1F42A5B6" w:rsidRPr="005C05E9">
              <w:rPr>
                <w:rFonts w:cs="Arial"/>
                <w:sz w:val="20"/>
                <w:szCs w:val="20"/>
              </w:rPr>
              <w:t xml:space="preserve">request </w:t>
            </w:r>
            <w:r w:rsidR="00641870" w:rsidRPr="005C05E9">
              <w:rPr>
                <w:rFonts w:cs="Arial"/>
                <w:sz w:val="20"/>
                <w:szCs w:val="20"/>
              </w:rPr>
              <w:t xml:space="preserve">in the 2022 IRP </w:t>
            </w:r>
            <w:r w:rsidR="1F42A5B6" w:rsidRPr="005C05E9">
              <w:rPr>
                <w:rFonts w:cs="Arial"/>
                <w:sz w:val="20"/>
                <w:szCs w:val="20"/>
              </w:rPr>
              <w:t xml:space="preserve">to </w:t>
            </w:r>
            <w:r w:rsidR="64CA5D5B" w:rsidRPr="005C05E9">
              <w:rPr>
                <w:rFonts w:cs="Arial"/>
                <w:sz w:val="20"/>
                <w:szCs w:val="20"/>
              </w:rPr>
              <w:t>retire Plant Wansley Units 1</w:t>
            </w:r>
            <w:r w:rsidR="00E61325" w:rsidRPr="005C05E9">
              <w:rPr>
                <w:rFonts w:cs="Arial"/>
                <w:sz w:val="20"/>
                <w:szCs w:val="20"/>
              </w:rPr>
              <w:t xml:space="preserve"> and </w:t>
            </w:r>
            <w:r w:rsidR="64CA5D5B" w:rsidRPr="005C05E9">
              <w:rPr>
                <w:rFonts w:cs="Arial"/>
                <w:sz w:val="20"/>
                <w:szCs w:val="20"/>
              </w:rPr>
              <w:t xml:space="preserve">2. </w:t>
            </w:r>
            <w:r w:rsidR="23DD1B22" w:rsidRPr="005C05E9">
              <w:rPr>
                <w:rFonts w:cs="Arial"/>
                <w:sz w:val="20"/>
                <w:szCs w:val="20"/>
              </w:rPr>
              <w:t xml:space="preserve">If </w:t>
            </w:r>
            <w:r w:rsidR="17A16F69" w:rsidRPr="005C05E9">
              <w:rPr>
                <w:rFonts w:cs="Arial"/>
                <w:sz w:val="20"/>
                <w:szCs w:val="20"/>
              </w:rPr>
              <w:t xml:space="preserve">the </w:t>
            </w:r>
            <w:r w:rsidR="59414411" w:rsidRPr="005C05E9">
              <w:rPr>
                <w:rFonts w:cs="Arial"/>
                <w:sz w:val="20"/>
                <w:szCs w:val="20"/>
              </w:rPr>
              <w:t>C</w:t>
            </w:r>
            <w:r w:rsidR="17A16F69" w:rsidRPr="005C05E9">
              <w:rPr>
                <w:rFonts w:cs="Arial"/>
                <w:sz w:val="20"/>
                <w:szCs w:val="20"/>
              </w:rPr>
              <w:t xml:space="preserve">ommission approves the retirement of </w:t>
            </w:r>
            <w:r w:rsidR="23DD1B22" w:rsidRPr="005C05E9">
              <w:rPr>
                <w:rFonts w:cs="Arial"/>
                <w:sz w:val="20"/>
                <w:szCs w:val="20"/>
              </w:rPr>
              <w:t xml:space="preserve">Plant Wansley Units 1 and 2, the </w:t>
            </w:r>
            <w:r w:rsidR="59414411" w:rsidRPr="005C05E9">
              <w:rPr>
                <w:rFonts w:cs="Arial"/>
                <w:sz w:val="20"/>
                <w:szCs w:val="20"/>
              </w:rPr>
              <w:t>C</w:t>
            </w:r>
            <w:r w:rsidR="23DD1B22" w:rsidRPr="005C05E9">
              <w:rPr>
                <w:rFonts w:cs="Arial"/>
                <w:sz w:val="20"/>
                <w:szCs w:val="20"/>
              </w:rPr>
              <w:t xml:space="preserve">ompany </w:t>
            </w:r>
            <w:r w:rsidR="1846AEDA" w:rsidRPr="005C05E9">
              <w:rPr>
                <w:rFonts w:cs="Arial"/>
                <w:sz w:val="20"/>
                <w:szCs w:val="20"/>
              </w:rPr>
              <w:t>will modify</w:t>
            </w:r>
            <w:r w:rsidR="23DD1B22" w:rsidRPr="005C05E9">
              <w:rPr>
                <w:rFonts w:cs="Arial"/>
                <w:sz w:val="20"/>
                <w:szCs w:val="20"/>
              </w:rPr>
              <w:t xml:space="preserve"> its </w:t>
            </w:r>
            <w:r w:rsidR="00641870" w:rsidRPr="005C05E9">
              <w:rPr>
                <w:rFonts w:cs="Arial"/>
                <w:sz w:val="20"/>
                <w:szCs w:val="20"/>
              </w:rPr>
              <w:t xml:space="preserve">ash pond closure </w:t>
            </w:r>
            <w:r w:rsidR="23DD1B22" w:rsidRPr="005C05E9">
              <w:rPr>
                <w:rFonts w:cs="Arial"/>
                <w:sz w:val="20"/>
                <w:szCs w:val="20"/>
              </w:rPr>
              <w:t>strategy to a closure by removal using the existing on</w:t>
            </w:r>
            <w:r w:rsidR="00D63A5D" w:rsidRPr="005C05E9">
              <w:rPr>
                <w:rFonts w:cs="Arial"/>
                <w:sz w:val="20"/>
                <w:szCs w:val="20"/>
              </w:rPr>
              <w:t>-</w:t>
            </w:r>
            <w:r w:rsidR="23DD1B22" w:rsidRPr="005C05E9">
              <w:rPr>
                <w:rFonts w:cs="Arial"/>
                <w:sz w:val="20"/>
                <w:szCs w:val="20"/>
              </w:rPr>
              <w:t>site landfill.</w:t>
            </w:r>
            <w:r w:rsidR="46F00318" w:rsidRPr="005C05E9">
              <w:rPr>
                <w:rFonts w:cs="Arial"/>
                <w:sz w:val="20"/>
                <w:szCs w:val="20"/>
              </w:rPr>
              <w:t xml:space="preserve"> </w:t>
            </w:r>
            <w:r w:rsidR="34D37BD9" w:rsidRPr="005C05E9">
              <w:rPr>
                <w:rFonts w:cs="Arial"/>
                <w:sz w:val="20"/>
                <w:szCs w:val="20"/>
              </w:rPr>
              <w:t xml:space="preserve"> </w:t>
            </w:r>
            <w:r w:rsidR="00641870" w:rsidRPr="005C05E9">
              <w:rPr>
                <w:rFonts w:cs="Arial"/>
                <w:sz w:val="20"/>
                <w:szCs w:val="20"/>
              </w:rPr>
              <w:t xml:space="preserve">Georgia Power has notified </w:t>
            </w:r>
            <w:r w:rsidR="60ADD736" w:rsidRPr="005C05E9">
              <w:rPr>
                <w:rFonts w:cs="Arial"/>
                <w:sz w:val="20"/>
                <w:szCs w:val="20"/>
              </w:rPr>
              <w:t xml:space="preserve">Georgia </w:t>
            </w:r>
            <w:r w:rsidR="34D37BD9" w:rsidRPr="005C05E9">
              <w:rPr>
                <w:rFonts w:cs="Arial"/>
                <w:sz w:val="20"/>
                <w:szCs w:val="20"/>
              </w:rPr>
              <w:t>EPD</w:t>
            </w:r>
            <w:r w:rsidR="60ADD736" w:rsidRPr="005C05E9">
              <w:rPr>
                <w:rFonts w:cs="Arial"/>
                <w:sz w:val="20"/>
                <w:szCs w:val="20"/>
              </w:rPr>
              <w:t xml:space="preserve"> of this recommendation and – pending PSC approval of the retirement of Wansley Units 1 and 2 – expects to </w:t>
            </w:r>
            <w:r w:rsidR="30C5A0CA" w:rsidRPr="005C05E9">
              <w:rPr>
                <w:rFonts w:cs="Arial"/>
                <w:sz w:val="20"/>
                <w:szCs w:val="20"/>
              </w:rPr>
              <w:t xml:space="preserve">advance design and engineering as well as </w:t>
            </w:r>
            <w:r w:rsidR="60ADD736" w:rsidRPr="005C05E9">
              <w:rPr>
                <w:rFonts w:cs="Arial"/>
                <w:sz w:val="20"/>
                <w:szCs w:val="20"/>
              </w:rPr>
              <w:t xml:space="preserve">submit </w:t>
            </w:r>
            <w:r w:rsidR="59780A4E" w:rsidRPr="005C05E9">
              <w:rPr>
                <w:rFonts w:cs="Arial"/>
                <w:sz w:val="20"/>
                <w:szCs w:val="20"/>
              </w:rPr>
              <w:t>revised</w:t>
            </w:r>
            <w:r w:rsidR="60ADD736" w:rsidRPr="005C05E9">
              <w:rPr>
                <w:rFonts w:cs="Arial"/>
                <w:sz w:val="20"/>
                <w:szCs w:val="20"/>
              </w:rPr>
              <w:t xml:space="preserve"> permit </w:t>
            </w:r>
            <w:r w:rsidR="59780A4E" w:rsidRPr="005C05E9">
              <w:rPr>
                <w:rFonts w:cs="Arial"/>
                <w:sz w:val="20"/>
                <w:szCs w:val="20"/>
              </w:rPr>
              <w:t>information</w:t>
            </w:r>
            <w:r w:rsidR="60ADD736" w:rsidRPr="005C05E9">
              <w:rPr>
                <w:rFonts w:cs="Arial"/>
                <w:sz w:val="20"/>
                <w:szCs w:val="20"/>
              </w:rPr>
              <w:t xml:space="preserve"> for a closure by removal strategy with Georgia EPD by the end of 2022.</w:t>
            </w:r>
          </w:p>
        </w:tc>
      </w:tr>
      <w:tr w:rsidR="004970D5" w:rsidRPr="005A1872" w14:paraId="31CC3EE4" w14:textId="77777777" w:rsidTr="45D25E2A">
        <w:tblPrEx>
          <w:jc w:val="center"/>
        </w:tblPrEx>
        <w:trPr>
          <w:trHeight w:val="836"/>
          <w:jc w:val="center"/>
        </w:trPr>
        <w:tc>
          <w:tcPr>
            <w:tcW w:w="1406" w:type="dxa"/>
            <w:vAlign w:val="center"/>
          </w:tcPr>
          <w:p w14:paraId="0A41B91E" w14:textId="6B20F20D" w:rsidR="004970D5" w:rsidRPr="004929F9" w:rsidRDefault="004970D5" w:rsidP="004970D5">
            <w:pPr>
              <w:rPr>
                <w:rFonts w:eastAsia="Calibri" w:cs="Arial"/>
                <w:color w:val="000000"/>
                <w:sz w:val="20"/>
                <w:szCs w:val="20"/>
              </w:rPr>
            </w:pPr>
            <w:r w:rsidRPr="004929F9">
              <w:rPr>
                <w:rFonts w:eastAsia="Calibri" w:cs="Arial"/>
                <w:color w:val="000000"/>
                <w:sz w:val="20"/>
                <w:szCs w:val="20"/>
              </w:rPr>
              <w:t>Wansley</w:t>
            </w:r>
          </w:p>
        </w:tc>
        <w:tc>
          <w:tcPr>
            <w:tcW w:w="2723" w:type="dxa"/>
            <w:noWrap/>
            <w:vAlign w:val="center"/>
          </w:tcPr>
          <w:p w14:paraId="1667729E" w14:textId="2157ECC8" w:rsidR="004970D5" w:rsidRPr="005C05E9" w:rsidRDefault="004970D5" w:rsidP="004970D5">
            <w:pPr>
              <w:rPr>
                <w:rFonts w:eastAsia="Calibri" w:cs="Arial"/>
                <w:color w:val="000000"/>
                <w:sz w:val="20"/>
                <w:szCs w:val="20"/>
              </w:rPr>
            </w:pPr>
            <w:r w:rsidRPr="005C05E9">
              <w:rPr>
                <w:rFonts w:eastAsia="Calibri" w:cs="Arial"/>
                <w:color w:val="000000"/>
                <w:sz w:val="20"/>
                <w:szCs w:val="20"/>
              </w:rPr>
              <w:t>LF</w:t>
            </w:r>
          </w:p>
        </w:tc>
        <w:tc>
          <w:tcPr>
            <w:tcW w:w="2137" w:type="dxa"/>
            <w:noWrap/>
            <w:vAlign w:val="center"/>
          </w:tcPr>
          <w:p w14:paraId="19A4CC27" w14:textId="4640ABC6" w:rsidR="004970D5" w:rsidRPr="005C05E9" w:rsidRDefault="004970D5" w:rsidP="004970D5">
            <w:pPr>
              <w:jc w:val="left"/>
              <w:rPr>
                <w:rFonts w:eastAsia="Calibri" w:cs="Arial"/>
                <w:color w:val="000000"/>
                <w:sz w:val="20"/>
                <w:szCs w:val="20"/>
              </w:rPr>
            </w:pPr>
            <w:r w:rsidRPr="005C05E9">
              <w:rPr>
                <w:rFonts w:eastAsia="Calibri" w:cs="Arial"/>
                <w:color w:val="000000"/>
                <w:sz w:val="20"/>
                <w:szCs w:val="20"/>
              </w:rPr>
              <w:t>Active LF</w:t>
            </w:r>
            <w:r w:rsidRPr="005C05E9">
              <w:rPr>
                <w:rFonts w:cs="Arial"/>
              </w:rPr>
              <w:t xml:space="preserve"> </w:t>
            </w:r>
            <w:r w:rsidRPr="005C05E9">
              <w:rPr>
                <w:rFonts w:eastAsia="Calibri" w:cs="Arial"/>
                <w:color w:val="000000"/>
                <w:sz w:val="20"/>
                <w:szCs w:val="20"/>
              </w:rPr>
              <w:t>/Closure in Place</w:t>
            </w:r>
          </w:p>
        </w:tc>
        <w:tc>
          <w:tcPr>
            <w:tcW w:w="6599" w:type="dxa"/>
            <w:vAlign w:val="center"/>
          </w:tcPr>
          <w:p w14:paraId="6238A2D9" w14:textId="3D489562" w:rsidR="00927CC4" w:rsidRPr="005C05E9" w:rsidRDefault="00886F17" w:rsidP="004F04B6">
            <w:pPr>
              <w:rPr>
                <w:rFonts w:cs="Arial"/>
                <w:color w:val="000000"/>
                <w:sz w:val="20"/>
                <w:szCs w:val="20"/>
              </w:rPr>
            </w:pPr>
            <w:r w:rsidRPr="005C05E9">
              <w:rPr>
                <w:rFonts w:cs="Arial"/>
                <w:sz w:val="20"/>
                <w:szCs w:val="20"/>
              </w:rPr>
              <w:t>If the Commission approves the retirement of Plant Wansley Units 1 and 2,</w:t>
            </w:r>
            <w:r w:rsidR="00A54332" w:rsidRPr="005C05E9">
              <w:rPr>
                <w:rFonts w:cs="Arial"/>
                <w:sz w:val="20"/>
                <w:szCs w:val="20"/>
              </w:rPr>
              <w:t xml:space="preserve"> the </w:t>
            </w:r>
            <w:r w:rsidRPr="005C05E9">
              <w:rPr>
                <w:rFonts w:cs="Arial"/>
                <w:sz w:val="20"/>
                <w:szCs w:val="20"/>
              </w:rPr>
              <w:t>C</w:t>
            </w:r>
            <w:r w:rsidR="00A54332" w:rsidRPr="005C05E9">
              <w:rPr>
                <w:rFonts w:cs="Arial"/>
                <w:sz w:val="20"/>
                <w:szCs w:val="20"/>
              </w:rPr>
              <w:t xml:space="preserve">ompany </w:t>
            </w:r>
            <w:r w:rsidR="00AE2475" w:rsidRPr="005C05E9">
              <w:rPr>
                <w:rFonts w:cs="Arial"/>
                <w:sz w:val="20"/>
                <w:szCs w:val="20"/>
              </w:rPr>
              <w:t xml:space="preserve">will utilize </w:t>
            </w:r>
            <w:r w:rsidR="00A54332" w:rsidRPr="005C05E9">
              <w:rPr>
                <w:rFonts w:cs="Arial"/>
                <w:sz w:val="20"/>
                <w:szCs w:val="20"/>
              </w:rPr>
              <w:t>the</w:t>
            </w:r>
            <w:r w:rsidR="00E539C9" w:rsidRPr="005C05E9">
              <w:rPr>
                <w:rFonts w:cs="Arial"/>
                <w:sz w:val="20"/>
                <w:szCs w:val="20"/>
              </w:rPr>
              <w:t xml:space="preserve"> existing on</w:t>
            </w:r>
            <w:r w:rsidR="00D63A5D" w:rsidRPr="005C05E9">
              <w:rPr>
                <w:rFonts w:cs="Arial"/>
                <w:sz w:val="20"/>
                <w:szCs w:val="20"/>
              </w:rPr>
              <w:t>-</w:t>
            </w:r>
            <w:r w:rsidR="00E539C9" w:rsidRPr="005C05E9">
              <w:rPr>
                <w:rFonts w:cs="Arial"/>
                <w:sz w:val="20"/>
                <w:szCs w:val="20"/>
              </w:rPr>
              <w:t>site</w:t>
            </w:r>
            <w:r w:rsidR="00A54332" w:rsidRPr="005C05E9">
              <w:rPr>
                <w:rFonts w:cs="Arial"/>
                <w:sz w:val="20"/>
                <w:szCs w:val="20"/>
              </w:rPr>
              <w:t xml:space="preserve"> landfill for storage of removed</w:t>
            </w:r>
            <w:r w:rsidR="00E539C9" w:rsidRPr="005C05E9">
              <w:rPr>
                <w:rFonts w:cs="Arial"/>
                <w:sz w:val="20"/>
                <w:szCs w:val="20"/>
              </w:rPr>
              <w:t xml:space="preserve"> CCR from AP-1</w:t>
            </w:r>
            <w:r w:rsidR="00A54332" w:rsidRPr="005C05E9">
              <w:rPr>
                <w:rFonts w:cs="Arial"/>
                <w:sz w:val="20"/>
                <w:szCs w:val="20"/>
              </w:rPr>
              <w:t>.</w:t>
            </w:r>
            <w:r w:rsidR="0097336A" w:rsidRPr="005C05E9">
              <w:rPr>
                <w:rFonts w:cs="Arial"/>
                <w:sz w:val="20"/>
                <w:szCs w:val="20"/>
              </w:rPr>
              <w:t xml:space="preserve"> </w:t>
            </w:r>
            <w:r w:rsidR="00E33AD0" w:rsidRPr="005C05E9">
              <w:rPr>
                <w:rFonts w:cs="Arial"/>
                <w:sz w:val="20"/>
                <w:szCs w:val="20"/>
              </w:rPr>
              <w:t xml:space="preserve">The </w:t>
            </w:r>
            <w:r w:rsidR="00E33AD0" w:rsidRPr="005C05E9">
              <w:rPr>
                <w:rFonts w:cs="Arial"/>
                <w:color w:val="000000"/>
                <w:sz w:val="20"/>
                <w:szCs w:val="20"/>
              </w:rPr>
              <w:t xml:space="preserve">landfill would then be closed following placement of CCR from AP-1.  </w:t>
            </w:r>
            <w:r w:rsidRPr="005C05E9">
              <w:rPr>
                <w:rFonts w:cs="Arial"/>
                <w:sz w:val="20"/>
                <w:szCs w:val="20"/>
              </w:rPr>
              <w:t xml:space="preserve">Georgia Power has notified Georgia EPD of this recommendation and – pending PSC approval of the retirement of Wansley Units 1 and 2 – expects to submit </w:t>
            </w:r>
            <w:r w:rsidR="0071464D" w:rsidRPr="005C05E9">
              <w:rPr>
                <w:rFonts w:cs="Arial"/>
                <w:sz w:val="20"/>
                <w:szCs w:val="20"/>
              </w:rPr>
              <w:t xml:space="preserve">a </w:t>
            </w:r>
            <w:r w:rsidRPr="005C05E9">
              <w:rPr>
                <w:rFonts w:cs="Arial"/>
                <w:sz w:val="20"/>
                <w:szCs w:val="20"/>
              </w:rPr>
              <w:t>p</w:t>
            </w:r>
            <w:r w:rsidR="0097336A" w:rsidRPr="005C05E9">
              <w:rPr>
                <w:rFonts w:cs="Arial"/>
                <w:sz w:val="20"/>
                <w:szCs w:val="20"/>
              </w:rPr>
              <w:t xml:space="preserve">ermit modification </w:t>
            </w:r>
            <w:r w:rsidR="00E33AD0" w:rsidRPr="005C05E9">
              <w:rPr>
                <w:rFonts w:cs="Arial"/>
                <w:sz w:val="20"/>
                <w:szCs w:val="20"/>
              </w:rPr>
              <w:t xml:space="preserve">to Georgia EPD </w:t>
            </w:r>
            <w:r w:rsidR="00315AEF" w:rsidRPr="005C05E9">
              <w:rPr>
                <w:rFonts w:cs="Arial"/>
                <w:sz w:val="20"/>
                <w:szCs w:val="20"/>
              </w:rPr>
              <w:t xml:space="preserve">for </w:t>
            </w:r>
            <w:r w:rsidR="003C6960" w:rsidRPr="005C05E9">
              <w:rPr>
                <w:rFonts w:cs="Arial"/>
                <w:sz w:val="20"/>
                <w:szCs w:val="20"/>
              </w:rPr>
              <w:t xml:space="preserve">a </w:t>
            </w:r>
            <w:r w:rsidR="00315AEF" w:rsidRPr="005C05E9">
              <w:rPr>
                <w:rFonts w:cs="Arial"/>
                <w:sz w:val="20"/>
                <w:szCs w:val="20"/>
              </w:rPr>
              <w:t xml:space="preserve">landfill expansion </w:t>
            </w:r>
            <w:r w:rsidR="0097336A" w:rsidRPr="005C05E9">
              <w:rPr>
                <w:rFonts w:cs="Arial"/>
                <w:sz w:val="20"/>
                <w:szCs w:val="20"/>
              </w:rPr>
              <w:t>to facilitate this</w:t>
            </w:r>
            <w:r w:rsidR="00315AEF" w:rsidRPr="005C05E9">
              <w:rPr>
                <w:rFonts w:cs="Arial"/>
                <w:sz w:val="20"/>
                <w:szCs w:val="20"/>
              </w:rPr>
              <w:t xml:space="preserve"> proposed strategy</w:t>
            </w:r>
            <w:r w:rsidR="00DC1AD2" w:rsidRPr="005C05E9">
              <w:rPr>
                <w:rFonts w:cs="Arial"/>
                <w:sz w:val="20"/>
                <w:szCs w:val="20"/>
              </w:rPr>
              <w:t xml:space="preserve"> and advance</w:t>
            </w:r>
            <w:r w:rsidR="003B7B21" w:rsidRPr="005C05E9">
              <w:rPr>
                <w:rFonts w:cs="Arial"/>
                <w:sz w:val="20"/>
                <w:szCs w:val="20"/>
              </w:rPr>
              <w:t xml:space="preserve"> engineering, design and</w:t>
            </w:r>
            <w:r w:rsidR="0017665E" w:rsidRPr="005C05E9">
              <w:rPr>
                <w:rFonts w:cs="Arial"/>
                <w:sz w:val="20"/>
                <w:szCs w:val="20"/>
              </w:rPr>
              <w:t xml:space="preserve"> permit modifications </w:t>
            </w:r>
            <w:r w:rsidR="00322439" w:rsidRPr="005C05E9">
              <w:rPr>
                <w:rFonts w:cs="Arial"/>
                <w:sz w:val="20"/>
                <w:szCs w:val="20"/>
              </w:rPr>
              <w:t>in</w:t>
            </w:r>
            <w:r w:rsidR="0017665E" w:rsidRPr="005C05E9">
              <w:rPr>
                <w:rFonts w:cs="Arial"/>
                <w:sz w:val="20"/>
                <w:szCs w:val="20"/>
              </w:rPr>
              <w:t xml:space="preserve"> 2022. </w:t>
            </w:r>
          </w:p>
        </w:tc>
      </w:tr>
      <w:tr w:rsidR="001673E0" w:rsidRPr="00866603" w14:paraId="494FFAD9" w14:textId="77777777" w:rsidTr="45D25E2A">
        <w:trPr>
          <w:trHeight w:val="854"/>
        </w:trPr>
        <w:tc>
          <w:tcPr>
            <w:tcW w:w="1406" w:type="dxa"/>
            <w:hideMark/>
          </w:tcPr>
          <w:p w14:paraId="29232466" w14:textId="1C8ACA48" w:rsidR="001673E0" w:rsidRPr="00866603" w:rsidRDefault="001673E0" w:rsidP="00AD24E0">
            <w:pPr>
              <w:rPr>
                <w:rFonts w:eastAsia="Calibri" w:cs="Arial"/>
                <w:color w:val="000000"/>
                <w:sz w:val="20"/>
                <w:szCs w:val="20"/>
              </w:rPr>
            </w:pPr>
            <w:r w:rsidRPr="00866603">
              <w:rPr>
                <w:rFonts w:eastAsia="Calibri" w:cs="Arial"/>
                <w:color w:val="000000"/>
                <w:sz w:val="20"/>
                <w:szCs w:val="20"/>
              </w:rPr>
              <w:t>Yates</w:t>
            </w:r>
          </w:p>
        </w:tc>
        <w:tc>
          <w:tcPr>
            <w:tcW w:w="2723" w:type="dxa"/>
            <w:noWrap/>
            <w:hideMark/>
          </w:tcPr>
          <w:p w14:paraId="44381B18" w14:textId="05059F26" w:rsidR="001673E0" w:rsidRPr="007672D3" w:rsidRDefault="001673E0" w:rsidP="00AD24E0">
            <w:pPr>
              <w:rPr>
                <w:rFonts w:eastAsia="Calibri" w:cs="Arial"/>
                <w:color w:val="000000"/>
                <w:sz w:val="20"/>
                <w:szCs w:val="20"/>
              </w:rPr>
            </w:pPr>
            <w:r w:rsidRPr="007672D3">
              <w:rPr>
                <w:rFonts w:eastAsia="Calibri" w:cs="Arial"/>
                <w:color w:val="000000"/>
                <w:sz w:val="20"/>
                <w:szCs w:val="20"/>
              </w:rPr>
              <w:t>AP-1</w:t>
            </w:r>
          </w:p>
        </w:tc>
        <w:tc>
          <w:tcPr>
            <w:tcW w:w="2137" w:type="dxa"/>
            <w:noWrap/>
            <w:hideMark/>
          </w:tcPr>
          <w:p w14:paraId="377450D8" w14:textId="648B6416" w:rsidR="001673E0" w:rsidRPr="00434401" w:rsidRDefault="001673E0" w:rsidP="0003185C">
            <w:pPr>
              <w:rPr>
                <w:rFonts w:eastAsia="Calibri" w:cs="Arial"/>
                <w:color w:val="000000"/>
                <w:sz w:val="20"/>
                <w:szCs w:val="20"/>
              </w:rPr>
            </w:pPr>
            <w:r w:rsidRPr="00434401">
              <w:rPr>
                <w:rFonts w:eastAsia="Calibri" w:cs="Arial"/>
                <w:color w:val="000000"/>
                <w:sz w:val="20"/>
                <w:szCs w:val="20"/>
              </w:rPr>
              <w:t xml:space="preserve">Closure by Removal </w:t>
            </w:r>
          </w:p>
        </w:tc>
        <w:tc>
          <w:tcPr>
            <w:tcW w:w="6599" w:type="dxa"/>
            <w:hideMark/>
          </w:tcPr>
          <w:p w14:paraId="044E423E" w14:textId="0FF3842C" w:rsidR="001673E0" w:rsidRPr="00866603" w:rsidRDefault="001673E0" w:rsidP="009C7652">
            <w:pPr>
              <w:rPr>
                <w:rFonts w:eastAsia="Arial" w:cs="Arial"/>
                <w:sz w:val="20"/>
                <w:szCs w:val="20"/>
              </w:rPr>
            </w:pPr>
            <w:r w:rsidRPr="00CF33EA">
              <w:rPr>
                <w:rFonts w:cs="Arial"/>
                <w:color w:val="000000" w:themeColor="text1"/>
                <w:sz w:val="20"/>
                <w:szCs w:val="20"/>
              </w:rPr>
              <w:t xml:space="preserve">AP-1 was </w:t>
            </w:r>
            <w:r w:rsidR="0060267D">
              <w:rPr>
                <w:rFonts w:cs="Arial"/>
                <w:color w:val="000000" w:themeColor="text1"/>
                <w:sz w:val="20"/>
                <w:szCs w:val="20"/>
              </w:rPr>
              <w:t>remov</w:t>
            </w:r>
            <w:r w:rsidR="00272871">
              <w:rPr>
                <w:rFonts w:cs="Arial"/>
                <w:color w:val="000000" w:themeColor="text1"/>
                <w:sz w:val="20"/>
                <w:szCs w:val="20"/>
              </w:rPr>
              <w:t>ed</w:t>
            </w:r>
            <w:r w:rsidRPr="00CF33EA">
              <w:rPr>
                <w:rFonts w:cs="Arial"/>
                <w:color w:val="000000" w:themeColor="text1"/>
                <w:sz w:val="20"/>
                <w:szCs w:val="20"/>
              </w:rPr>
              <w:t xml:space="preserve"> to R6 and AP-B' and AP-3. Removal activities at AP-1 were completed in 2018.  </w:t>
            </w:r>
            <w:r w:rsidR="00565C51" w:rsidRPr="00866603">
              <w:rPr>
                <w:rFonts w:cs="Arial"/>
                <w:color w:val="000000" w:themeColor="text1"/>
                <w:sz w:val="20"/>
                <w:szCs w:val="20"/>
              </w:rPr>
              <w:t xml:space="preserve">A </w:t>
            </w:r>
            <w:r w:rsidR="0082076C" w:rsidRPr="00866603">
              <w:rPr>
                <w:rFonts w:cs="Arial"/>
                <w:color w:val="000000" w:themeColor="text1"/>
                <w:sz w:val="20"/>
                <w:szCs w:val="20"/>
              </w:rPr>
              <w:t>c</w:t>
            </w:r>
            <w:r w:rsidR="00565C51" w:rsidRPr="00866603">
              <w:rPr>
                <w:rFonts w:cs="Arial"/>
                <w:color w:val="000000" w:themeColor="text1"/>
                <w:sz w:val="20"/>
                <w:szCs w:val="20"/>
              </w:rPr>
              <w:t xml:space="preserve">ertification of </w:t>
            </w:r>
            <w:r w:rsidR="0082076C" w:rsidRPr="00866603">
              <w:rPr>
                <w:rFonts w:cs="Arial"/>
                <w:color w:val="000000" w:themeColor="text1"/>
                <w:sz w:val="20"/>
                <w:szCs w:val="20"/>
              </w:rPr>
              <w:t>a</w:t>
            </w:r>
            <w:r w:rsidR="00565C51" w:rsidRPr="00866603">
              <w:rPr>
                <w:rFonts w:cs="Arial"/>
                <w:color w:val="000000" w:themeColor="text1"/>
                <w:sz w:val="20"/>
                <w:szCs w:val="20"/>
              </w:rPr>
              <w:t xml:space="preserve">sh </w:t>
            </w:r>
            <w:r w:rsidR="0082076C" w:rsidRPr="00866603">
              <w:rPr>
                <w:rFonts w:cs="Arial"/>
                <w:color w:val="000000" w:themeColor="text1"/>
                <w:sz w:val="20"/>
                <w:szCs w:val="20"/>
              </w:rPr>
              <w:t>r</w:t>
            </w:r>
            <w:r w:rsidR="00565C51" w:rsidRPr="00866603">
              <w:rPr>
                <w:rFonts w:cs="Arial"/>
                <w:color w:val="000000" w:themeColor="text1"/>
                <w:sz w:val="20"/>
                <w:szCs w:val="20"/>
              </w:rPr>
              <w:t xml:space="preserve">emoval was submitted to </w:t>
            </w:r>
            <w:r w:rsidR="00D2543F" w:rsidRPr="00D2543F">
              <w:rPr>
                <w:rFonts w:cs="Arial"/>
                <w:sz w:val="20"/>
                <w:szCs w:val="20"/>
              </w:rPr>
              <w:t xml:space="preserve">Georgia </w:t>
            </w:r>
            <w:r w:rsidR="00565C51" w:rsidRPr="00866603">
              <w:rPr>
                <w:rFonts w:cs="Arial"/>
                <w:color w:val="000000" w:themeColor="text1"/>
                <w:sz w:val="20"/>
                <w:szCs w:val="20"/>
              </w:rPr>
              <w:t xml:space="preserve">EPD </w:t>
            </w:r>
            <w:r w:rsidR="00924388" w:rsidRPr="00866603">
              <w:rPr>
                <w:rFonts w:cs="Arial"/>
                <w:color w:val="000000" w:themeColor="text1"/>
                <w:sz w:val="20"/>
                <w:szCs w:val="20"/>
              </w:rPr>
              <w:t xml:space="preserve">in </w:t>
            </w:r>
            <w:r w:rsidR="00BA71E5" w:rsidRPr="00866603">
              <w:rPr>
                <w:rFonts w:cs="Arial"/>
                <w:color w:val="000000" w:themeColor="text1"/>
                <w:sz w:val="20"/>
                <w:szCs w:val="20"/>
              </w:rPr>
              <w:t>2019.</w:t>
            </w:r>
            <w:r w:rsidR="640D68A7" w:rsidRPr="00866603">
              <w:rPr>
                <w:rFonts w:cs="Arial"/>
                <w:color w:val="000000" w:themeColor="text1"/>
                <w:sz w:val="20"/>
                <w:szCs w:val="20"/>
              </w:rPr>
              <w:t xml:space="preserve">  </w:t>
            </w:r>
            <w:r w:rsidR="640D68A7" w:rsidRPr="00866603">
              <w:rPr>
                <w:rFonts w:eastAsia="Arial" w:cs="Arial"/>
                <w:sz w:val="20"/>
                <w:szCs w:val="20"/>
              </w:rPr>
              <w:t xml:space="preserve">In November 2020, </w:t>
            </w:r>
            <w:r w:rsidR="000A5E7E">
              <w:rPr>
                <w:rFonts w:eastAsia="Arial" w:cs="Arial"/>
                <w:sz w:val="20"/>
                <w:szCs w:val="20"/>
              </w:rPr>
              <w:t>Georgia EPD</w:t>
            </w:r>
            <w:r w:rsidR="640D68A7" w:rsidRPr="00866603">
              <w:rPr>
                <w:rFonts w:eastAsia="Arial" w:cs="Arial"/>
                <w:sz w:val="20"/>
                <w:szCs w:val="20"/>
              </w:rPr>
              <w:t xml:space="preserve"> acknowledged that CCR removal activities in AP-1 have been completed. </w:t>
            </w:r>
            <w:r w:rsidR="76284FFB" w:rsidRPr="7E4DFDE3">
              <w:rPr>
                <w:rFonts w:eastAsia="Arial" w:cs="Arial"/>
                <w:sz w:val="20"/>
                <w:szCs w:val="20"/>
              </w:rPr>
              <w:t xml:space="preserve">A </w:t>
            </w:r>
            <w:r w:rsidR="006C606F" w:rsidRPr="009061AB">
              <w:rPr>
                <w:rFonts w:cs="Arial"/>
                <w:sz w:val="20"/>
                <w:szCs w:val="20"/>
              </w:rPr>
              <w:t>final</w:t>
            </w:r>
            <w:r w:rsidR="76284FFB" w:rsidRPr="7E4DFDE3">
              <w:rPr>
                <w:rFonts w:eastAsia="Arial" w:cs="Arial"/>
                <w:sz w:val="20"/>
                <w:szCs w:val="20"/>
              </w:rPr>
              <w:t xml:space="preserve"> </w:t>
            </w:r>
            <w:r w:rsidR="00E10304">
              <w:rPr>
                <w:rFonts w:eastAsia="Arial" w:cs="Arial"/>
                <w:sz w:val="20"/>
                <w:szCs w:val="20"/>
              </w:rPr>
              <w:t>CCR solid waste</w:t>
            </w:r>
            <w:r w:rsidR="76284FFB" w:rsidRPr="7E4DFDE3">
              <w:rPr>
                <w:rFonts w:eastAsia="Arial" w:cs="Arial"/>
                <w:sz w:val="20"/>
                <w:szCs w:val="20"/>
              </w:rPr>
              <w:t xml:space="preserve"> permit has been issued by </w:t>
            </w:r>
            <w:r w:rsidR="000A5E7E">
              <w:rPr>
                <w:rFonts w:cs="Arial"/>
                <w:sz w:val="20"/>
                <w:szCs w:val="20"/>
              </w:rPr>
              <w:t>Georgia</w:t>
            </w:r>
            <w:r w:rsidR="000A5E7E" w:rsidRPr="7E4DFDE3">
              <w:rPr>
                <w:rFonts w:eastAsia="Arial" w:cs="Arial"/>
                <w:sz w:val="20"/>
                <w:szCs w:val="20"/>
              </w:rPr>
              <w:t xml:space="preserve"> EPD</w:t>
            </w:r>
            <w:r w:rsidR="76284FFB" w:rsidRPr="7E4DFDE3">
              <w:rPr>
                <w:rFonts w:eastAsia="Arial" w:cs="Arial"/>
                <w:sz w:val="20"/>
                <w:szCs w:val="20"/>
              </w:rPr>
              <w:t>.</w:t>
            </w:r>
            <w:r w:rsidR="004A5437">
              <w:rPr>
                <w:rFonts w:eastAsia="Arial" w:cs="Arial"/>
                <w:sz w:val="20"/>
                <w:szCs w:val="20"/>
              </w:rPr>
              <w:t xml:space="preserve"> AP-1 is under interim post-closure care</w:t>
            </w:r>
            <w:r w:rsidR="004B323F">
              <w:rPr>
                <w:rFonts w:eastAsia="Arial" w:cs="Arial"/>
                <w:sz w:val="20"/>
                <w:szCs w:val="20"/>
              </w:rPr>
              <w:t>.</w:t>
            </w:r>
          </w:p>
        </w:tc>
      </w:tr>
      <w:tr w:rsidR="001673E0" w:rsidRPr="00C61D81" w14:paraId="45B27B73" w14:textId="77777777" w:rsidTr="45D25E2A">
        <w:trPr>
          <w:trHeight w:val="624"/>
        </w:trPr>
        <w:tc>
          <w:tcPr>
            <w:tcW w:w="1406" w:type="dxa"/>
            <w:hideMark/>
          </w:tcPr>
          <w:p w14:paraId="1C5724C3" w14:textId="0ED99A1A" w:rsidR="001673E0" w:rsidRPr="00C61D81" w:rsidRDefault="001673E0" w:rsidP="00AD24E0">
            <w:pPr>
              <w:rPr>
                <w:rFonts w:eastAsia="Calibri" w:cs="Arial"/>
                <w:color w:val="000000"/>
                <w:sz w:val="20"/>
                <w:szCs w:val="20"/>
              </w:rPr>
            </w:pPr>
            <w:r w:rsidRPr="00C61D81">
              <w:rPr>
                <w:rFonts w:eastAsia="Calibri" w:cs="Arial"/>
                <w:color w:val="000000"/>
                <w:sz w:val="20"/>
                <w:szCs w:val="20"/>
              </w:rPr>
              <w:t>Yates</w:t>
            </w:r>
          </w:p>
        </w:tc>
        <w:tc>
          <w:tcPr>
            <w:tcW w:w="2723" w:type="dxa"/>
            <w:noWrap/>
            <w:hideMark/>
          </w:tcPr>
          <w:p w14:paraId="5629FCB8" w14:textId="1E2ABC33" w:rsidR="001673E0" w:rsidRPr="00C61D81" w:rsidRDefault="001673E0" w:rsidP="00AD24E0">
            <w:pPr>
              <w:rPr>
                <w:rFonts w:eastAsia="Calibri" w:cs="Arial"/>
                <w:color w:val="000000"/>
                <w:sz w:val="20"/>
                <w:szCs w:val="20"/>
              </w:rPr>
            </w:pPr>
            <w:r w:rsidRPr="00C61D81">
              <w:rPr>
                <w:rFonts w:eastAsia="Calibri" w:cs="Arial"/>
                <w:color w:val="000000"/>
                <w:sz w:val="20"/>
                <w:szCs w:val="20"/>
              </w:rPr>
              <w:t>AP-2</w:t>
            </w:r>
          </w:p>
        </w:tc>
        <w:tc>
          <w:tcPr>
            <w:tcW w:w="2137" w:type="dxa"/>
            <w:noWrap/>
            <w:hideMark/>
          </w:tcPr>
          <w:p w14:paraId="23D0FB4F" w14:textId="78FCB376" w:rsidR="001673E0" w:rsidRPr="00C61D81" w:rsidRDefault="001673E0" w:rsidP="0003185C">
            <w:pPr>
              <w:rPr>
                <w:rFonts w:eastAsia="Calibri" w:cs="Arial"/>
                <w:color w:val="000000"/>
                <w:sz w:val="20"/>
                <w:szCs w:val="20"/>
              </w:rPr>
            </w:pPr>
            <w:r w:rsidRPr="00A43D7D">
              <w:rPr>
                <w:rFonts w:eastAsia="Calibri" w:cs="Arial"/>
                <w:color w:val="000000"/>
                <w:sz w:val="20"/>
                <w:szCs w:val="20"/>
              </w:rPr>
              <w:t xml:space="preserve">Closure by Removal </w:t>
            </w:r>
          </w:p>
        </w:tc>
        <w:tc>
          <w:tcPr>
            <w:tcW w:w="6599" w:type="dxa"/>
            <w:hideMark/>
          </w:tcPr>
          <w:p w14:paraId="2345BEB9" w14:textId="463D5F9B" w:rsidR="001673E0" w:rsidRPr="00C61D81" w:rsidRDefault="001673E0" w:rsidP="00C61D81">
            <w:pPr>
              <w:rPr>
                <w:rFonts w:eastAsia="Calibri" w:cs="Arial"/>
                <w:color w:val="000000"/>
                <w:sz w:val="20"/>
                <w:szCs w:val="20"/>
              </w:rPr>
            </w:pPr>
            <w:r w:rsidRPr="04EE6E3C">
              <w:rPr>
                <w:rFonts w:cs="Arial"/>
                <w:color w:val="000000" w:themeColor="text1"/>
                <w:sz w:val="20"/>
                <w:szCs w:val="20"/>
              </w:rPr>
              <w:t xml:space="preserve">AP-2 </w:t>
            </w:r>
            <w:r w:rsidR="00A02D59" w:rsidRPr="04EE6E3C">
              <w:rPr>
                <w:rFonts w:cs="Arial"/>
                <w:color w:val="000000" w:themeColor="text1"/>
                <w:sz w:val="20"/>
                <w:szCs w:val="20"/>
              </w:rPr>
              <w:t>is being</w:t>
            </w:r>
            <w:r w:rsidRPr="04EE6E3C">
              <w:rPr>
                <w:rFonts w:cs="Arial"/>
                <w:color w:val="000000" w:themeColor="text1"/>
                <w:sz w:val="20"/>
                <w:szCs w:val="20"/>
              </w:rPr>
              <w:t xml:space="preserve"> closed by removal to AP-B' and AP-3</w:t>
            </w:r>
            <w:r w:rsidR="004D6798" w:rsidRPr="04EE6E3C">
              <w:rPr>
                <w:rFonts w:cs="Arial"/>
                <w:color w:val="000000" w:themeColor="text1"/>
                <w:sz w:val="20"/>
                <w:szCs w:val="20"/>
              </w:rPr>
              <w:t xml:space="preserve">. </w:t>
            </w:r>
            <w:r w:rsidR="00755367" w:rsidRPr="00C61D81">
              <w:rPr>
                <w:rFonts w:cs="Arial"/>
                <w:sz w:val="20"/>
                <w:szCs w:val="20"/>
              </w:rPr>
              <w:t>Dewatering is ongoing, and</w:t>
            </w:r>
            <w:r w:rsidR="00C61D81" w:rsidRPr="00C61D81">
              <w:rPr>
                <w:rFonts w:cs="Arial"/>
                <w:sz w:val="20"/>
                <w:szCs w:val="20"/>
              </w:rPr>
              <w:t xml:space="preserve"> </w:t>
            </w:r>
            <w:r w:rsidR="00755367" w:rsidRPr="00C61D81">
              <w:rPr>
                <w:rFonts w:cs="Arial"/>
                <w:sz w:val="20"/>
                <w:szCs w:val="20"/>
              </w:rPr>
              <w:t xml:space="preserve">all ash contact water from AP-2 and the other ponds is managed as required by </w:t>
            </w:r>
            <w:r w:rsidR="00D2543F" w:rsidRPr="00D2543F">
              <w:rPr>
                <w:rFonts w:cs="Arial"/>
                <w:sz w:val="20"/>
                <w:szCs w:val="20"/>
              </w:rPr>
              <w:t xml:space="preserve">Georgia </w:t>
            </w:r>
            <w:r w:rsidR="00755367" w:rsidRPr="00C61D81">
              <w:rPr>
                <w:rFonts w:cs="Arial"/>
                <w:sz w:val="20"/>
                <w:szCs w:val="20"/>
              </w:rPr>
              <w:t>EPD</w:t>
            </w:r>
            <w:r w:rsidR="000A5E7E">
              <w:rPr>
                <w:rFonts w:cs="Arial"/>
                <w:sz w:val="20"/>
                <w:szCs w:val="20"/>
              </w:rPr>
              <w:t>-</w:t>
            </w:r>
            <w:r w:rsidR="00755367" w:rsidRPr="00C61D81">
              <w:rPr>
                <w:rFonts w:cs="Arial"/>
                <w:sz w:val="20"/>
                <w:szCs w:val="20"/>
              </w:rPr>
              <w:t xml:space="preserve">approved </w:t>
            </w:r>
            <w:r w:rsidR="000A5E7E">
              <w:rPr>
                <w:rFonts w:cs="Arial"/>
                <w:sz w:val="20"/>
                <w:szCs w:val="20"/>
              </w:rPr>
              <w:t>D</w:t>
            </w:r>
            <w:r w:rsidR="00755367" w:rsidRPr="00C61D81">
              <w:rPr>
                <w:rFonts w:cs="Arial"/>
                <w:sz w:val="20"/>
                <w:szCs w:val="20"/>
              </w:rPr>
              <w:t xml:space="preserve">ewatering </w:t>
            </w:r>
            <w:r w:rsidR="000A5E7E">
              <w:rPr>
                <w:rFonts w:cs="Arial"/>
                <w:sz w:val="20"/>
                <w:szCs w:val="20"/>
              </w:rPr>
              <w:t>P</w:t>
            </w:r>
            <w:r w:rsidR="00755367" w:rsidRPr="00C61D81">
              <w:rPr>
                <w:rFonts w:cs="Arial"/>
                <w:sz w:val="20"/>
                <w:szCs w:val="20"/>
              </w:rPr>
              <w:t>lan.</w:t>
            </w:r>
            <w:r w:rsidR="00C61D81" w:rsidRPr="00C61D81">
              <w:rPr>
                <w:rFonts w:cs="Arial"/>
                <w:sz w:val="20"/>
                <w:szCs w:val="20"/>
              </w:rPr>
              <w:t xml:space="preserve"> </w:t>
            </w:r>
            <w:r w:rsidR="00C61D81" w:rsidRPr="04EE6E3C">
              <w:rPr>
                <w:rFonts w:cs="Arial"/>
                <w:color w:val="000000" w:themeColor="text1"/>
                <w:sz w:val="20"/>
                <w:szCs w:val="20"/>
              </w:rPr>
              <w:t>Site restoration will be completed following CCR removal.</w:t>
            </w:r>
            <w:r w:rsidR="004D6798" w:rsidRPr="04EE6E3C">
              <w:rPr>
                <w:rFonts w:cs="Arial"/>
                <w:color w:val="000000" w:themeColor="text1"/>
                <w:sz w:val="20"/>
                <w:szCs w:val="20"/>
              </w:rPr>
              <w:t xml:space="preserve"> A partial certification of removal report for AP-2 was submitted to </w:t>
            </w:r>
            <w:r w:rsidR="00D2543F" w:rsidRPr="00D2543F">
              <w:rPr>
                <w:rFonts w:cs="Arial"/>
                <w:sz w:val="20"/>
                <w:szCs w:val="20"/>
              </w:rPr>
              <w:t xml:space="preserve">Georgia </w:t>
            </w:r>
            <w:r w:rsidR="004D6798" w:rsidRPr="04EE6E3C">
              <w:rPr>
                <w:rFonts w:cs="Arial"/>
                <w:color w:val="000000" w:themeColor="text1"/>
                <w:sz w:val="20"/>
                <w:szCs w:val="20"/>
              </w:rPr>
              <w:t xml:space="preserve">EPD and </w:t>
            </w:r>
            <w:r w:rsidR="00153DD0">
              <w:rPr>
                <w:rFonts w:cs="Arial"/>
                <w:color w:val="000000" w:themeColor="text1"/>
                <w:sz w:val="20"/>
                <w:szCs w:val="20"/>
              </w:rPr>
              <w:t>acknowledged</w:t>
            </w:r>
            <w:r w:rsidR="00153DD0" w:rsidRPr="04EE6E3C">
              <w:rPr>
                <w:rFonts w:cs="Arial"/>
                <w:color w:val="000000" w:themeColor="text1"/>
                <w:sz w:val="20"/>
                <w:szCs w:val="20"/>
              </w:rPr>
              <w:t xml:space="preserve"> </w:t>
            </w:r>
            <w:r w:rsidR="004D6798" w:rsidRPr="04EE6E3C">
              <w:rPr>
                <w:rFonts w:cs="Arial"/>
                <w:color w:val="000000" w:themeColor="text1"/>
                <w:sz w:val="20"/>
                <w:szCs w:val="20"/>
              </w:rPr>
              <w:t>in March 2021.</w:t>
            </w:r>
          </w:p>
        </w:tc>
      </w:tr>
      <w:tr w:rsidR="001673E0" w:rsidRPr="005A1872" w14:paraId="45040CDA" w14:textId="77777777" w:rsidTr="45D25E2A">
        <w:trPr>
          <w:trHeight w:val="827"/>
        </w:trPr>
        <w:tc>
          <w:tcPr>
            <w:tcW w:w="1406" w:type="dxa"/>
            <w:hideMark/>
          </w:tcPr>
          <w:p w14:paraId="6B36C61D" w14:textId="5C78735C" w:rsidR="001673E0" w:rsidRPr="005A1872" w:rsidRDefault="001673E0" w:rsidP="00AD24E0">
            <w:pPr>
              <w:rPr>
                <w:rFonts w:eastAsia="Calibri" w:cs="Arial"/>
                <w:color w:val="000000"/>
                <w:sz w:val="20"/>
                <w:szCs w:val="20"/>
              </w:rPr>
            </w:pPr>
            <w:r w:rsidRPr="005A1872">
              <w:rPr>
                <w:rFonts w:eastAsia="Calibri" w:cs="Arial"/>
                <w:color w:val="000000"/>
                <w:sz w:val="20"/>
                <w:szCs w:val="20"/>
              </w:rPr>
              <w:t>Yates</w:t>
            </w:r>
          </w:p>
        </w:tc>
        <w:tc>
          <w:tcPr>
            <w:tcW w:w="2723" w:type="dxa"/>
            <w:noWrap/>
            <w:hideMark/>
          </w:tcPr>
          <w:p w14:paraId="2F5B307C" w14:textId="12EDFBB7" w:rsidR="001673E0" w:rsidRPr="00690D7A" w:rsidRDefault="001673E0" w:rsidP="00AD24E0">
            <w:pPr>
              <w:rPr>
                <w:rFonts w:eastAsia="Calibri" w:cs="Arial"/>
                <w:color w:val="000000"/>
                <w:sz w:val="20"/>
                <w:szCs w:val="20"/>
              </w:rPr>
            </w:pPr>
            <w:r w:rsidRPr="00690D7A">
              <w:rPr>
                <w:rFonts w:eastAsia="Calibri" w:cs="Arial"/>
                <w:color w:val="000000"/>
                <w:sz w:val="20"/>
                <w:szCs w:val="20"/>
              </w:rPr>
              <w:t>AP-3</w:t>
            </w:r>
            <w:r w:rsidR="008D0420">
              <w:rPr>
                <w:rFonts w:eastAsia="Calibri" w:cs="Arial"/>
                <w:color w:val="000000"/>
                <w:sz w:val="20"/>
                <w:szCs w:val="20"/>
              </w:rPr>
              <w:t>, B’</w:t>
            </w:r>
          </w:p>
        </w:tc>
        <w:tc>
          <w:tcPr>
            <w:tcW w:w="2137" w:type="dxa"/>
            <w:noWrap/>
            <w:hideMark/>
          </w:tcPr>
          <w:p w14:paraId="585FD8E4" w14:textId="29425F73" w:rsidR="001673E0" w:rsidRPr="00690D7A" w:rsidRDefault="001673E0" w:rsidP="0003185C">
            <w:pPr>
              <w:rPr>
                <w:rFonts w:eastAsia="Calibri" w:cs="Arial"/>
                <w:color w:val="000000"/>
                <w:sz w:val="20"/>
                <w:szCs w:val="20"/>
              </w:rPr>
            </w:pPr>
            <w:r w:rsidRPr="00690D7A">
              <w:rPr>
                <w:rFonts w:eastAsia="Calibri" w:cs="Arial"/>
                <w:color w:val="000000"/>
                <w:sz w:val="20"/>
                <w:szCs w:val="20"/>
              </w:rPr>
              <w:t xml:space="preserve">Closure </w:t>
            </w:r>
            <w:r w:rsidR="00F5228B">
              <w:rPr>
                <w:rFonts w:eastAsia="Calibri" w:cs="Arial"/>
                <w:color w:val="000000"/>
                <w:sz w:val="20"/>
                <w:szCs w:val="20"/>
              </w:rPr>
              <w:t>i</w:t>
            </w:r>
            <w:r w:rsidRPr="00690D7A">
              <w:rPr>
                <w:rFonts w:eastAsia="Calibri" w:cs="Arial"/>
                <w:color w:val="000000"/>
                <w:sz w:val="20"/>
                <w:szCs w:val="20"/>
              </w:rPr>
              <w:t>n Place</w:t>
            </w:r>
          </w:p>
        </w:tc>
        <w:tc>
          <w:tcPr>
            <w:tcW w:w="6599" w:type="dxa"/>
            <w:hideMark/>
          </w:tcPr>
          <w:p w14:paraId="7010867B" w14:textId="525C6B28" w:rsidR="001673E0" w:rsidRPr="00690D7A" w:rsidRDefault="001673E0" w:rsidP="00E821B2">
            <w:pPr>
              <w:rPr>
                <w:rFonts w:eastAsia="Calibri" w:cs="Arial"/>
                <w:color w:val="000000"/>
                <w:sz w:val="20"/>
                <w:szCs w:val="20"/>
              </w:rPr>
            </w:pPr>
            <w:r w:rsidRPr="1BBE4B68">
              <w:rPr>
                <w:rFonts w:eastAsia="Calibri" w:cs="Arial"/>
                <w:color w:val="000000" w:themeColor="text1"/>
                <w:sz w:val="20"/>
                <w:szCs w:val="20"/>
              </w:rPr>
              <w:t xml:space="preserve">AP-3 </w:t>
            </w:r>
            <w:r w:rsidR="008D0420">
              <w:rPr>
                <w:rFonts w:eastAsia="Calibri" w:cs="Arial"/>
                <w:color w:val="000000" w:themeColor="text1"/>
                <w:sz w:val="20"/>
                <w:szCs w:val="20"/>
              </w:rPr>
              <w:t>and AP-B’ are</w:t>
            </w:r>
            <w:r w:rsidRPr="1BBE4B68">
              <w:rPr>
                <w:rFonts w:eastAsia="Calibri" w:cs="Arial"/>
                <w:color w:val="000000" w:themeColor="text1"/>
                <w:sz w:val="20"/>
                <w:szCs w:val="20"/>
              </w:rPr>
              <w:t xml:space="preserve"> being consolidated and will be closed in place with </w:t>
            </w:r>
            <w:r w:rsidR="2553A598" w:rsidRPr="6A14C15E">
              <w:rPr>
                <w:rFonts w:eastAsia="Calibri" w:cs="Arial"/>
                <w:color w:val="000000" w:themeColor="text1"/>
                <w:sz w:val="20"/>
                <w:szCs w:val="20"/>
              </w:rPr>
              <w:t>a</w:t>
            </w:r>
            <w:r w:rsidR="5E2F1263" w:rsidRPr="6A14C15E">
              <w:rPr>
                <w:rFonts w:eastAsia="Calibri" w:cs="Arial"/>
                <w:color w:val="000000" w:themeColor="text1"/>
                <w:sz w:val="20"/>
                <w:szCs w:val="20"/>
              </w:rPr>
              <w:t xml:space="preserve"> </w:t>
            </w:r>
            <w:r w:rsidR="5E2F1263" w:rsidRPr="04EE6E3C">
              <w:rPr>
                <w:rFonts w:eastAsia="Calibri" w:cs="Arial"/>
                <w:color w:val="000000" w:themeColor="text1"/>
                <w:sz w:val="20"/>
                <w:szCs w:val="20"/>
              </w:rPr>
              <w:t>geosynthetic</w:t>
            </w:r>
            <w:r w:rsidRPr="1BBE4B68">
              <w:rPr>
                <w:rFonts w:eastAsia="Calibri" w:cs="Arial"/>
                <w:color w:val="000000" w:themeColor="text1"/>
                <w:sz w:val="20"/>
                <w:szCs w:val="20"/>
              </w:rPr>
              <w:t xml:space="preserve"> engineered cap-cover system. </w:t>
            </w:r>
            <w:r w:rsidR="00E821B2" w:rsidRPr="00E7612A">
              <w:rPr>
                <w:rFonts w:cs="Arial"/>
                <w:sz w:val="20"/>
                <w:szCs w:val="20"/>
              </w:rPr>
              <w:t xml:space="preserve">Installation of a cap cover system that includes a geomembrane is underway and will ultimately cover the entire consolidated footprint. A certification of removal report was submitted to </w:t>
            </w:r>
            <w:r w:rsidR="00D2543F" w:rsidRPr="00D2543F">
              <w:rPr>
                <w:rFonts w:cs="Arial"/>
                <w:sz w:val="20"/>
                <w:szCs w:val="20"/>
              </w:rPr>
              <w:t xml:space="preserve">Georgia </w:t>
            </w:r>
            <w:r w:rsidR="00E821B2" w:rsidRPr="00E7612A">
              <w:rPr>
                <w:rFonts w:cs="Arial"/>
                <w:sz w:val="20"/>
                <w:szCs w:val="20"/>
              </w:rPr>
              <w:t xml:space="preserve">EPD in October 2020 for the perimeter road and other areas inside this combined CCR unit. In March 2021, </w:t>
            </w:r>
            <w:r w:rsidR="00D2543F" w:rsidRPr="00D2543F">
              <w:rPr>
                <w:rFonts w:cs="Arial"/>
                <w:sz w:val="20"/>
                <w:szCs w:val="20"/>
              </w:rPr>
              <w:t xml:space="preserve">Georgia </w:t>
            </w:r>
            <w:r w:rsidR="00E821B2" w:rsidRPr="00E7612A">
              <w:rPr>
                <w:rFonts w:cs="Arial"/>
                <w:sz w:val="20"/>
                <w:szCs w:val="20"/>
              </w:rPr>
              <w:t xml:space="preserve">EPD acknowledged that CCR removal activities within these areas have been completed. </w:t>
            </w:r>
            <w:r w:rsidR="00E821B2" w:rsidRPr="00E7612A">
              <w:rPr>
                <w:rFonts w:eastAsia="Calibri" w:cs="Arial"/>
                <w:sz w:val="20"/>
                <w:szCs w:val="20"/>
              </w:rPr>
              <w:t>Consistent with the closure plans, a subsurface hydraulic conveyance system has been incorporated into the closure construction activities</w:t>
            </w:r>
            <w:r w:rsidR="0090516E">
              <w:rPr>
                <w:rFonts w:eastAsia="Calibri" w:cs="Arial"/>
                <w:sz w:val="20"/>
                <w:szCs w:val="20"/>
              </w:rPr>
              <w:t xml:space="preserve"> </w:t>
            </w:r>
            <w:r w:rsidR="0090516E" w:rsidRPr="0062103E">
              <w:rPr>
                <w:rFonts w:cs="Arial"/>
                <w:sz w:val="20"/>
                <w:szCs w:val="20"/>
              </w:rPr>
              <w:t>to enhance the effectiveness of closure</w:t>
            </w:r>
            <w:r w:rsidR="00E821B2" w:rsidRPr="00E7612A">
              <w:rPr>
                <w:rFonts w:eastAsia="Calibri" w:cs="Arial"/>
                <w:sz w:val="20"/>
                <w:szCs w:val="20"/>
              </w:rPr>
              <w:t>.</w:t>
            </w:r>
            <w:r w:rsidR="00FE4EB3" w:rsidRPr="00E7612A">
              <w:rPr>
                <w:rFonts w:eastAsia="Calibri" w:cs="Arial"/>
                <w:color w:val="000000" w:themeColor="text1"/>
                <w:sz w:val="20"/>
                <w:szCs w:val="20"/>
              </w:rPr>
              <w:t xml:space="preserve"> </w:t>
            </w:r>
            <w:r w:rsidR="00827B93">
              <w:rPr>
                <w:rFonts w:cs="Arial"/>
                <w:sz w:val="20"/>
                <w:szCs w:val="20"/>
              </w:rPr>
              <w:t xml:space="preserve"> The Company is conducting additional groundwater studies to support the ACM process and remedy selection.</w:t>
            </w:r>
          </w:p>
        </w:tc>
      </w:tr>
      <w:tr w:rsidR="001673E0" w:rsidRPr="005A1872" w14:paraId="0DD0508D" w14:textId="77777777" w:rsidTr="45D25E2A">
        <w:trPr>
          <w:trHeight w:val="850"/>
        </w:trPr>
        <w:tc>
          <w:tcPr>
            <w:tcW w:w="1406" w:type="dxa"/>
            <w:hideMark/>
          </w:tcPr>
          <w:p w14:paraId="476DDDE3" w14:textId="04E20067" w:rsidR="001673E0" w:rsidRPr="005A1872" w:rsidRDefault="001673E0" w:rsidP="00AD24E0">
            <w:pPr>
              <w:rPr>
                <w:rFonts w:eastAsia="Calibri" w:cs="Arial"/>
                <w:color w:val="000000"/>
                <w:sz w:val="20"/>
                <w:szCs w:val="20"/>
              </w:rPr>
            </w:pPr>
            <w:r w:rsidRPr="005A1872">
              <w:rPr>
                <w:rFonts w:eastAsia="Calibri" w:cs="Arial"/>
                <w:color w:val="000000"/>
                <w:sz w:val="20"/>
                <w:szCs w:val="20"/>
              </w:rPr>
              <w:t>Yates</w:t>
            </w:r>
          </w:p>
        </w:tc>
        <w:tc>
          <w:tcPr>
            <w:tcW w:w="2723" w:type="dxa"/>
            <w:noWrap/>
            <w:hideMark/>
          </w:tcPr>
          <w:p w14:paraId="5CE62D5F" w14:textId="4F5E8E73" w:rsidR="001673E0" w:rsidRPr="00690D7A" w:rsidRDefault="001673E0" w:rsidP="00AD24E0">
            <w:pPr>
              <w:rPr>
                <w:rFonts w:eastAsia="Calibri" w:cs="Arial"/>
                <w:color w:val="000000"/>
                <w:sz w:val="20"/>
                <w:szCs w:val="20"/>
              </w:rPr>
            </w:pPr>
            <w:r w:rsidRPr="00690D7A">
              <w:rPr>
                <w:rFonts w:eastAsia="Calibri" w:cs="Arial"/>
                <w:color w:val="000000"/>
                <w:sz w:val="20"/>
                <w:szCs w:val="20"/>
              </w:rPr>
              <w:t>AP-A</w:t>
            </w:r>
          </w:p>
        </w:tc>
        <w:tc>
          <w:tcPr>
            <w:tcW w:w="2137" w:type="dxa"/>
            <w:noWrap/>
            <w:hideMark/>
          </w:tcPr>
          <w:p w14:paraId="05678289" w14:textId="01B8F63E" w:rsidR="001673E0" w:rsidRPr="00690D7A" w:rsidRDefault="001673E0" w:rsidP="0003185C">
            <w:pPr>
              <w:rPr>
                <w:rFonts w:eastAsia="Calibri" w:cs="Arial"/>
                <w:color w:val="000000"/>
                <w:sz w:val="20"/>
                <w:szCs w:val="20"/>
              </w:rPr>
            </w:pPr>
            <w:r w:rsidRPr="00690D7A">
              <w:rPr>
                <w:rFonts w:eastAsia="Calibri" w:cs="Arial"/>
                <w:color w:val="000000"/>
                <w:sz w:val="20"/>
                <w:szCs w:val="24"/>
              </w:rPr>
              <w:t xml:space="preserve">Closure by Removal </w:t>
            </w:r>
          </w:p>
        </w:tc>
        <w:tc>
          <w:tcPr>
            <w:tcW w:w="6599" w:type="dxa"/>
            <w:hideMark/>
          </w:tcPr>
          <w:p w14:paraId="6F078042" w14:textId="395F7A52" w:rsidR="00A43D7D" w:rsidRPr="00690D7A" w:rsidRDefault="001673E0" w:rsidP="009C7652">
            <w:pPr>
              <w:rPr>
                <w:rFonts w:eastAsia="Arial" w:cs="Arial"/>
                <w:szCs w:val="24"/>
              </w:rPr>
            </w:pPr>
            <w:r w:rsidRPr="785EEC00">
              <w:rPr>
                <w:rFonts w:cs="Arial"/>
                <w:color w:val="000000" w:themeColor="text1"/>
                <w:sz w:val="20"/>
                <w:szCs w:val="20"/>
              </w:rPr>
              <w:t xml:space="preserve">AP-A </w:t>
            </w:r>
            <w:r w:rsidR="006A50BB">
              <w:rPr>
                <w:rFonts w:cs="Arial"/>
                <w:color w:val="000000" w:themeColor="text1"/>
                <w:sz w:val="20"/>
                <w:szCs w:val="20"/>
              </w:rPr>
              <w:t xml:space="preserve">was </w:t>
            </w:r>
            <w:r w:rsidR="003A2245">
              <w:rPr>
                <w:rFonts w:cs="Arial"/>
                <w:color w:val="000000" w:themeColor="text1"/>
                <w:sz w:val="20"/>
                <w:szCs w:val="20"/>
              </w:rPr>
              <w:t xml:space="preserve">removed and </w:t>
            </w:r>
            <w:r w:rsidR="0082412D">
              <w:rPr>
                <w:rFonts w:cs="Arial"/>
                <w:color w:val="000000" w:themeColor="text1"/>
                <w:sz w:val="20"/>
                <w:szCs w:val="20"/>
              </w:rPr>
              <w:t>the ash placed in</w:t>
            </w:r>
            <w:r w:rsidRPr="785EEC00" w:rsidDel="007366C5">
              <w:rPr>
                <w:rFonts w:cs="Arial"/>
                <w:color w:val="000000" w:themeColor="text1"/>
                <w:sz w:val="20"/>
                <w:szCs w:val="20"/>
              </w:rPr>
              <w:t xml:space="preserve"> </w:t>
            </w:r>
            <w:r w:rsidRPr="785EEC00">
              <w:rPr>
                <w:rFonts w:cs="Arial"/>
                <w:color w:val="000000" w:themeColor="text1"/>
                <w:sz w:val="20"/>
                <w:szCs w:val="20"/>
              </w:rPr>
              <w:t xml:space="preserve">AP-B' and AP-3. </w:t>
            </w:r>
            <w:r w:rsidR="004D6798" w:rsidRPr="00912FA9">
              <w:rPr>
                <w:rFonts w:cs="Arial"/>
                <w:sz w:val="20"/>
                <w:szCs w:val="20"/>
              </w:rPr>
              <w:t>Restoration</w:t>
            </w:r>
            <w:r w:rsidRPr="00912FA9" w:rsidDel="00F912F3">
              <w:rPr>
                <w:rFonts w:cs="Arial"/>
                <w:sz w:val="20"/>
                <w:szCs w:val="20"/>
              </w:rPr>
              <w:t xml:space="preserve"> activities at AP</w:t>
            </w:r>
            <w:r w:rsidDel="00F912F3">
              <w:rPr>
                <w:rFonts w:cs="Arial"/>
                <w:sz w:val="20"/>
                <w:szCs w:val="20"/>
              </w:rPr>
              <w:t>-</w:t>
            </w:r>
            <w:r w:rsidRPr="00912FA9" w:rsidDel="00F912F3">
              <w:rPr>
                <w:rFonts w:cs="Arial"/>
                <w:sz w:val="20"/>
                <w:szCs w:val="20"/>
              </w:rPr>
              <w:t xml:space="preserve">A </w:t>
            </w:r>
            <w:r w:rsidR="00B140F5" w:rsidRPr="00912FA9" w:rsidDel="00F912F3">
              <w:rPr>
                <w:rFonts w:cs="Arial"/>
                <w:sz w:val="20"/>
                <w:szCs w:val="20"/>
              </w:rPr>
              <w:t>are ongoing</w:t>
            </w:r>
            <w:r w:rsidRPr="00912FA9" w:rsidDel="00F912F3">
              <w:rPr>
                <w:rFonts w:cs="Arial"/>
                <w:sz w:val="20"/>
                <w:szCs w:val="20"/>
              </w:rPr>
              <w:t>.</w:t>
            </w:r>
            <w:r w:rsidR="00E41F29" w:rsidRPr="00912FA9" w:rsidDel="00F912F3">
              <w:rPr>
                <w:rFonts w:cs="Arial"/>
                <w:sz w:val="20"/>
                <w:szCs w:val="20"/>
              </w:rPr>
              <w:t xml:space="preserve"> </w:t>
            </w:r>
            <w:r w:rsidR="5C8CCF72" w:rsidRPr="0017235C" w:rsidDel="00F912F3">
              <w:rPr>
                <w:rFonts w:eastAsia="Arial" w:cs="Arial"/>
                <w:sz w:val="20"/>
                <w:szCs w:val="20"/>
              </w:rPr>
              <w:t xml:space="preserve">A certification of removal was submitted to </w:t>
            </w:r>
            <w:r w:rsidR="000A5E7E">
              <w:rPr>
                <w:rFonts w:eastAsia="Arial" w:cs="Arial"/>
                <w:sz w:val="20"/>
                <w:szCs w:val="20"/>
              </w:rPr>
              <w:t>Georgia EPD</w:t>
            </w:r>
            <w:r w:rsidR="5C8CCF72" w:rsidRPr="0017235C" w:rsidDel="00F912F3">
              <w:rPr>
                <w:rFonts w:eastAsia="Arial" w:cs="Arial"/>
                <w:sz w:val="20"/>
                <w:szCs w:val="20"/>
              </w:rPr>
              <w:t xml:space="preserve"> in Octobe</w:t>
            </w:r>
            <w:r w:rsidR="5C8CCF72" w:rsidRPr="00F912F3" w:rsidDel="00F912F3">
              <w:rPr>
                <w:rFonts w:eastAsia="Arial" w:cs="Arial"/>
                <w:sz w:val="20"/>
                <w:szCs w:val="20"/>
              </w:rPr>
              <w:t xml:space="preserve">r 2020. </w:t>
            </w:r>
            <w:r w:rsidR="00A43D7D" w:rsidRPr="00912FA9">
              <w:rPr>
                <w:rFonts w:cs="Arial"/>
                <w:sz w:val="20"/>
                <w:szCs w:val="20"/>
              </w:rPr>
              <w:t xml:space="preserve">In March 2021, </w:t>
            </w:r>
            <w:r w:rsidR="00D2543F" w:rsidRPr="00D2543F">
              <w:rPr>
                <w:rFonts w:cs="Arial"/>
                <w:sz w:val="20"/>
                <w:szCs w:val="20"/>
              </w:rPr>
              <w:t xml:space="preserve">Georgia </w:t>
            </w:r>
            <w:r w:rsidR="00A43D7D" w:rsidRPr="00912FA9">
              <w:rPr>
                <w:rFonts w:cs="Arial"/>
                <w:sz w:val="20"/>
                <w:szCs w:val="20"/>
              </w:rPr>
              <w:t>EPD acknowledged that CCR removal activities in AP-A have</w:t>
            </w:r>
            <w:r w:rsidR="00912FA9" w:rsidRPr="00912FA9">
              <w:rPr>
                <w:rFonts w:cs="Arial"/>
                <w:sz w:val="20"/>
                <w:szCs w:val="20"/>
              </w:rPr>
              <w:t xml:space="preserve"> </w:t>
            </w:r>
            <w:r w:rsidR="00A43D7D" w:rsidRPr="00912FA9">
              <w:rPr>
                <w:rFonts w:cs="Arial"/>
                <w:sz w:val="20"/>
                <w:szCs w:val="20"/>
              </w:rPr>
              <w:t>been completed.</w:t>
            </w:r>
          </w:p>
        </w:tc>
      </w:tr>
      <w:tr w:rsidR="001673E0" w:rsidRPr="005A1872" w14:paraId="6416D978" w14:textId="77777777" w:rsidTr="45D25E2A">
        <w:trPr>
          <w:trHeight w:val="530"/>
        </w:trPr>
        <w:tc>
          <w:tcPr>
            <w:tcW w:w="1406" w:type="dxa"/>
            <w:hideMark/>
          </w:tcPr>
          <w:p w14:paraId="0BAEEC58" w14:textId="7C347BD9" w:rsidR="001673E0" w:rsidRPr="005A1872" w:rsidRDefault="001673E0" w:rsidP="00AD24E0">
            <w:pPr>
              <w:rPr>
                <w:rFonts w:eastAsia="Calibri" w:cs="Arial"/>
                <w:color w:val="000000"/>
                <w:sz w:val="20"/>
                <w:szCs w:val="20"/>
              </w:rPr>
            </w:pPr>
            <w:r w:rsidRPr="005A1872">
              <w:rPr>
                <w:rFonts w:eastAsia="Calibri" w:cs="Arial"/>
                <w:color w:val="000000"/>
                <w:sz w:val="20"/>
                <w:szCs w:val="20"/>
              </w:rPr>
              <w:t>Yates</w:t>
            </w:r>
          </w:p>
        </w:tc>
        <w:tc>
          <w:tcPr>
            <w:tcW w:w="2723" w:type="dxa"/>
            <w:noWrap/>
            <w:hideMark/>
          </w:tcPr>
          <w:p w14:paraId="50ADAB82" w14:textId="47083B9E" w:rsidR="001673E0" w:rsidRPr="00690D7A" w:rsidRDefault="001673E0" w:rsidP="00AD24E0">
            <w:pPr>
              <w:rPr>
                <w:rFonts w:eastAsia="Calibri" w:cs="Arial"/>
                <w:color w:val="000000"/>
                <w:sz w:val="20"/>
                <w:szCs w:val="20"/>
              </w:rPr>
            </w:pPr>
            <w:r w:rsidRPr="00690D7A">
              <w:rPr>
                <w:rFonts w:eastAsia="Calibri" w:cs="Arial"/>
                <w:color w:val="000000"/>
                <w:sz w:val="20"/>
                <w:szCs w:val="20"/>
              </w:rPr>
              <w:t>AP-B</w:t>
            </w:r>
          </w:p>
        </w:tc>
        <w:tc>
          <w:tcPr>
            <w:tcW w:w="2137" w:type="dxa"/>
            <w:noWrap/>
            <w:hideMark/>
          </w:tcPr>
          <w:p w14:paraId="31997544" w14:textId="2518EA99" w:rsidR="001673E0" w:rsidRPr="00690D7A" w:rsidRDefault="002B1A9A" w:rsidP="0003185C">
            <w:pPr>
              <w:rPr>
                <w:rFonts w:eastAsia="Calibri" w:cs="Arial"/>
                <w:color w:val="000000"/>
                <w:sz w:val="20"/>
                <w:szCs w:val="20"/>
              </w:rPr>
            </w:pPr>
            <w:r w:rsidRPr="00690D7A">
              <w:rPr>
                <w:rFonts w:eastAsia="Calibri" w:cs="Arial"/>
                <w:color w:val="000000"/>
                <w:sz w:val="20"/>
                <w:szCs w:val="24"/>
              </w:rPr>
              <w:t xml:space="preserve">Closure by </w:t>
            </w:r>
            <w:r w:rsidRPr="00690D7A">
              <w:rPr>
                <w:rFonts w:eastAsia="Calibri" w:cs="Arial"/>
                <w:color w:val="000000"/>
                <w:sz w:val="20"/>
                <w:szCs w:val="20"/>
              </w:rPr>
              <w:t>Removal</w:t>
            </w:r>
          </w:p>
        </w:tc>
        <w:tc>
          <w:tcPr>
            <w:tcW w:w="6599" w:type="dxa"/>
            <w:hideMark/>
          </w:tcPr>
          <w:p w14:paraId="67347FC7" w14:textId="0D1E0D31" w:rsidR="00A43D7D" w:rsidRPr="00690D7A" w:rsidRDefault="001673E0" w:rsidP="00C851E5">
            <w:pPr>
              <w:rPr>
                <w:rFonts w:eastAsia="Calibri" w:cs="Arial"/>
                <w:color w:val="000000"/>
                <w:sz w:val="20"/>
                <w:szCs w:val="20"/>
              </w:rPr>
            </w:pPr>
            <w:r w:rsidRPr="00690D7A">
              <w:rPr>
                <w:rFonts w:cs="Arial"/>
                <w:color w:val="000000"/>
                <w:sz w:val="20"/>
                <w:szCs w:val="20"/>
              </w:rPr>
              <w:t xml:space="preserve">AP-B is being closed by removal to AP-B' and AP-3. </w:t>
            </w:r>
            <w:r w:rsidR="004D6798" w:rsidRPr="00C851E5">
              <w:rPr>
                <w:rFonts w:cs="Arial"/>
                <w:sz w:val="20"/>
                <w:szCs w:val="20"/>
              </w:rPr>
              <w:t xml:space="preserve"> </w:t>
            </w:r>
            <w:r w:rsidRPr="00690D7A" w:rsidDel="00C851E5">
              <w:rPr>
                <w:rFonts w:cs="Arial"/>
                <w:color w:val="000000"/>
                <w:sz w:val="20"/>
                <w:szCs w:val="20"/>
              </w:rPr>
              <w:t>Site restoration will be completed following CCR removal.</w:t>
            </w:r>
            <w:r w:rsidRPr="00690D7A" w:rsidDel="00C851E5">
              <w:rPr>
                <w:rFonts w:eastAsia="Calibri" w:cs="Arial"/>
                <w:color w:val="000000"/>
                <w:sz w:val="20"/>
                <w:szCs w:val="20"/>
              </w:rPr>
              <w:t xml:space="preserve"> </w:t>
            </w:r>
            <w:r w:rsidR="00B15D79" w:rsidRPr="00B15D79">
              <w:rPr>
                <w:rFonts w:cs="Arial"/>
                <w:color w:val="000000"/>
                <w:sz w:val="20"/>
                <w:szCs w:val="20"/>
              </w:rPr>
              <w:t>A certification of ash removal is currently scheduled to be completed and submitted in 202</w:t>
            </w:r>
            <w:r w:rsidR="00C8361A">
              <w:rPr>
                <w:rFonts w:cs="Arial"/>
                <w:color w:val="000000"/>
                <w:sz w:val="20"/>
                <w:szCs w:val="20"/>
              </w:rPr>
              <w:t>2</w:t>
            </w:r>
            <w:r w:rsidR="00B15D79" w:rsidRPr="00B15D79">
              <w:rPr>
                <w:rFonts w:cs="Arial"/>
                <w:color w:val="000000"/>
                <w:sz w:val="20"/>
                <w:szCs w:val="20"/>
              </w:rPr>
              <w:t>.</w:t>
            </w:r>
            <w:r w:rsidRPr="00690D7A" w:rsidDel="00C851E5">
              <w:rPr>
                <w:rFonts w:eastAsia="Calibri" w:cs="Arial"/>
                <w:color w:val="000000"/>
                <w:sz w:val="20"/>
                <w:szCs w:val="20"/>
              </w:rPr>
              <w:t xml:space="preserve"> </w:t>
            </w:r>
          </w:p>
        </w:tc>
      </w:tr>
      <w:tr w:rsidR="001673E0" w:rsidRPr="005A1872" w14:paraId="7C7980A0" w14:textId="77777777" w:rsidTr="45D25E2A">
        <w:trPr>
          <w:trHeight w:val="473"/>
        </w:trPr>
        <w:tc>
          <w:tcPr>
            <w:tcW w:w="1406" w:type="dxa"/>
            <w:hideMark/>
          </w:tcPr>
          <w:p w14:paraId="083277E2" w14:textId="7E6A627E" w:rsidR="001673E0" w:rsidRPr="005A1872" w:rsidRDefault="001673E0" w:rsidP="00AD24E0">
            <w:pPr>
              <w:rPr>
                <w:rFonts w:eastAsia="Calibri" w:cs="Arial"/>
                <w:color w:val="000000"/>
                <w:sz w:val="20"/>
                <w:szCs w:val="20"/>
              </w:rPr>
            </w:pPr>
            <w:r w:rsidRPr="005A1872">
              <w:rPr>
                <w:rFonts w:eastAsia="Calibri" w:cs="Arial"/>
                <w:color w:val="000000"/>
                <w:sz w:val="20"/>
                <w:szCs w:val="20"/>
              </w:rPr>
              <w:t>Yates</w:t>
            </w:r>
          </w:p>
        </w:tc>
        <w:tc>
          <w:tcPr>
            <w:tcW w:w="2723" w:type="dxa"/>
            <w:noWrap/>
            <w:hideMark/>
          </w:tcPr>
          <w:p w14:paraId="132DE096" w14:textId="19A3C7DD" w:rsidR="001673E0" w:rsidRPr="00690D7A" w:rsidRDefault="001673E0" w:rsidP="00AD24E0">
            <w:pPr>
              <w:rPr>
                <w:rFonts w:eastAsia="Calibri" w:cs="Arial"/>
                <w:color w:val="000000"/>
                <w:sz w:val="20"/>
                <w:szCs w:val="20"/>
              </w:rPr>
            </w:pPr>
            <w:r w:rsidRPr="00690D7A">
              <w:rPr>
                <w:rFonts w:eastAsia="Calibri" w:cs="Arial"/>
                <w:color w:val="000000"/>
                <w:sz w:val="20"/>
                <w:szCs w:val="20"/>
              </w:rPr>
              <w:t>AP-C</w:t>
            </w:r>
          </w:p>
        </w:tc>
        <w:tc>
          <w:tcPr>
            <w:tcW w:w="2137" w:type="dxa"/>
            <w:noWrap/>
            <w:hideMark/>
          </w:tcPr>
          <w:p w14:paraId="620D98E8" w14:textId="0C0F3C9C" w:rsidR="001673E0" w:rsidRPr="00690D7A" w:rsidRDefault="001673E0" w:rsidP="0003185C">
            <w:pPr>
              <w:rPr>
                <w:rFonts w:eastAsia="Calibri" w:cs="Arial"/>
                <w:color w:val="000000"/>
                <w:sz w:val="20"/>
                <w:szCs w:val="20"/>
              </w:rPr>
            </w:pPr>
            <w:r w:rsidRPr="0AF8DB6F">
              <w:rPr>
                <w:rFonts w:eastAsia="Calibri" w:cs="Arial"/>
                <w:color w:val="000000" w:themeColor="text1"/>
                <w:sz w:val="20"/>
                <w:szCs w:val="20"/>
              </w:rPr>
              <w:t xml:space="preserve">Closure </w:t>
            </w:r>
            <w:r w:rsidR="3E0F2215" w:rsidRPr="0AF8DB6F">
              <w:rPr>
                <w:rFonts w:eastAsia="Calibri" w:cs="Arial"/>
                <w:color w:val="000000" w:themeColor="text1"/>
                <w:sz w:val="20"/>
                <w:szCs w:val="20"/>
              </w:rPr>
              <w:t>in</w:t>
            </w:r>
            <w:r w:rsidRPr="0AF8DB6F">
              <w:rPr>
                <w:rFonts w:eastAsia="Calibri" w:cs="Arial"/>
                <w:color w:val="000000" w:themeColor="text1"/>
                <w:sz w:val="20"/>
                <w:szCs w:val="20"/>
              </w:rPr>
              <w:t xml:space="preserve"> Place</w:t>
            </w:r>
          </w:p>
        </w:tc>
        <w:tc>
          <w:tcPr>
            <w:tcW w:w="6599" w:type="dxa"/>
            <w:hideMark/>
          </w:tcPr>
          <w:p w14:paraId="3EAFE1E2" w14:textId="234F4B77" w:rsidR="001673E0" w:rsidRPr="00690D7A" w:rsidRDefault="002B2C3A" w:rsidP="009C7652">
            <w:pPr>
              <w:autoSpaceDE w:val="0"/>
              <w:autoSpaceDN w:val="0"/>
              <w:adjustRightInd w:val="0"/>
              <w:rPr>
                <w:rFonts w:eastAsia="Calibri" w:cs="Arial"/>
                <w:color w:val="000000"/>
                <w:sz w:val="20"/>
                <w:szCs w:val="20"/>
              </w:rPr>
            </w:pPr>
            <w:r w:rsidRPr="002B2C3A">
              <w:rPr>
                <w:rFonts w:cs="Arial"/>
                <w:sz w:val="20"/>
                <w:szCs w:val="20"/>
              </w:rPr>
              <w:t>The former ash pond was previously incorporated into the on-site permitted landfill,</w:t>
            </w:r>
            <w:r>
              <w:rPr>
                <w:rFonts w:cs="Arial"/>
                <w:sz w:val="20"/>
                <w:szCs w:val="20"/>
              </w:rPr>
              <w:t xml:space="preserve"> </w:t>
            </w:r>
            <w:r w:rsidRPr="002B2C3A">
              <w:rPr>
                <w:rFonts w:cs="Arial"/>
                <w:sz w:val="20"/>
                <w:szCs w:val="20"/>
              </w:rPr>
              <w:t>R6, and is being closed in place in accordance with the current landfill permit</w:t>
            </w:r>
            <w:r>
              <w:rPr>
                <w:rFonts w:cs="Arial"/>
                <w:sz w:val="20"/>
                <w:szCs w:val="20"/>
              </w:rPr>
              <w:t xml:space="preserve"> </w:t>
            </w:r>
            <w:r w:rsidRPr="002B2C3A">
              <w:rPr>
                <w:rFonts w:cs="Arial"/>
                <w:sz w:val="20"/>
                <w:szCs w:val="20"/>
              </w:rPr>
              <w:t>requirements.</w:t>
            </w:r>
          </w:p>
        </w:tc>
      </w:tr>
      <w:tr w:rsidR="001673E0" w:rsidRPr="005A1872" w14:paraId="1D6599EE" w14:textId="77777777" w:rsidTr="45D25E2A">
        <w:trPr>
          <w:trHeight w:val="127"/>
        </w:trPr>
        <w:tc>
          <w:tcPr>
            <w:tcW w:w="1406" w:type="dxa"/>
            <w:hideMark/>
          </w:tcPr>
          <w:p w14:paraId="5C487F0C" w14:textId="7222A71F" w:rsidR="001673E0" w:rsidRPr="005A1872" w:rsidRDefault="001673E0" w:rsidP="00AD24E0">
            <w:pPr>
              <w:rPr>
                <w:rFonts w:eastAsia="Calibri" w:cs="Arial"/>
                <w:color w:val="000000"/>
                <w:sz w:val="20"/>
                <w:szCs w:val="20"/>
              </w:rPr>
            </w:pPr>
            <w:r w:rsidRPr="005A1872">
              <w:rPr>
                <w:rFonts w:eastAsia="Calibri" w:cs="Arial"/>
                <w:color w:val="000000"/>
                <w:sz w:val="20"/>
                <w:szCs w:val="20"/>
              </w:rPr>
              <w:t>Yates</w:t>
            </w:r>
          </w:p>
        </w:tc>
        <w:tc>
          <w:tcPr>
            <w:tcW w:w="2723" w:type="dxa"/>
            <w:noWrap/>
            <w:hideMark/>
          </w:tcPr>
          <w:p w14:paraId="643ED230" w14:textId="59F31D7F" w:rsidR="001673E0" w:rsidRPr="00690D7A" w:rsidRDefault="001673E0" w:rsidP="00AD24E0">
            <w:pPr>
              <w:rPr>
                <w:rFonts w:eastAsia="Calibri" w:cs="Arial"/>
                <w:color w:val="000000"/>
                <w:sz w:val="20"/>
                <w:szCs w:val="20"/>
              </w:rPr>
            </w:pPr>
            <w:r w:rsidRPr="00690D7A">
              <w:rPr>
                <w:rFonts w:eastAsia="Calibri" w:cs="Arial"/>
                <w:color w:val="000000"/>
                <w:sz w:val="20"/>
                <w:szCs w:val="20"/>
              </w:rPr>
              <w:t>LF (R-6)</w:t>
            </w:r>
          </w:p>
        </w:tc>
        <w:tc>
          <w:tcPr>
            <w:tcW w:w="2137" w:type="dxa"/>
            <w:noWrap/>
            <w:hideMark/>
          </w:tcPr>
          <w:p w14:paraId="59126BAE" w14:textId="7326CB95" w:rsidR="001673E0" w:rsidRPr="00690D7A" w:rsidRDefault="001673E0" w:rsidP="0003185C">
            <w:pPr>
              <w:rPr>
                <w:rFonts w:eastAsia="Calibri" w:cs="Arial"/>
                <w:color w:val="000000"/>
                <w:sz w:val="20"/>
                <w:szCs w:val="20"/>
              </w:rPr>
            </w:pPr>
            <w:r w:rsidRPr="00690D7A">
              <w:rPr>
                <w:rFonts w:cs="Arial"/>
                <w:sz w:val="20"/>
                <w:szCs w:val="20"/>
              </w:rPr>
              <w:t>Inactive LF/Closure in Place</w:t>
            </w:r>
          </w:p>
        </w:tc>
        <w:tc>
          <w:tcPr>
            <w:tcW w:w="6599" w:type="dxa"/>
            <w:hideMark/>
          </w:tcPr>
          <w:p w14:paraId="32B9CFCC" w14:textId="48FEB96A" w:rsidR="001673E0" w:rsidRPr="00690D7A" w:rsidRDefault="00C63403" w:rsidP="00AD24E0">
            <w:pPr>
              <w:rPr>
                <w:rFonts w:eastAsia="Calibri" w:cs="Arial"/>
                <w:color w:val="000000"/>
                <w:sz w:val="20"/>
                <w:szCs w:val="20"/>
              </w:rPr>
            </w:pPr>
            <w:r w:rsidRPr="7E4DFDE3">
              <w:rPr>
                <w:rFonts w:eastAsia="Calibri" w:cs="Arial"/>
                <w:color w:val="000000" w:themeColor="text1"/>
                <w:sz w:val="20"/>
                <w:szCs w:val="20"/>
              </w:rPr>
              <w:t>CCR Landfill R6 is currently being closed</w:t>
            </w:r>
            <w:r w:rsidR="004D6798" w:rsidRPr="7E4DFDE3">
              <w:rPr>
                <w:rFonts w:eastAsia="Calibri" w:cs="Arial"/>
                <w:color w:val="000000" w:themeColor="text1"/>
                <w:sz w:val="20"/>
                <w:szCs w:val="20"/>
              </w:rPr>
              <w:t xml:space="preserve"> in accordance </w:t>
            </w:r>
            <w:r w:rsidR="1A17D423" w:rsidRPr="7E4DFDE3">
              <w:rPr>
                <w:rFonts w:eastAsia="Calibri" w:cs="Arial"/>
                <w:color w:val="000000" w:themeColor="text1"/>
                <w:sz w:val="20"/>
                <w:szCs w:val="20"/>
              </w:rPr>
              <w:t xml:space="preserve">with </w:t>
            </w:r>
            <w:r w:rsidR="004D6798" w:rsidRPr="7E4DFDE3">
              <w:rPr>
                <w:rFonts w:eastAsia="Calibri" w:cs="Arial"/>
                <w:color w:val="000000" w:themeColor="text1"/>
                <w:sz w:val="20"/>
                <w:szCs w:val="20"/>
              </w:rPr>
              <w:t>its current landfill permit requirements</w:t>
            </w:r>
            <w:r w:rsidRPr="7E4DFDE3">
              <w:rPr>
                <w:rFonts w:eastAsia="Calibri" w:cs="Arial"/>
                <w:color w:val="000000" w:themeColor="text1"/>
                <w:sz w:val="20"/>
                <w:szCs w:val="20"/>
              </w:rPr>
              <w:t>.</w:t>
            </w:r>
          </w:p>
        </w:tc>
      </w:tr>
      <w:tr w:rsidR="001673E0" w:rsidRPr="005A1872" w14:paraId="7E93ED1B" w14:textId="77777777" w:rsidTr="45D25E2A">
        <w:trPr>
          <w:trHeight w:val="1097"/>
        </w:trPr>
        <w:tc>
          <w:tcPr>
            <w:tcW w:w="1406" w:type="dxa"/>
          </w:tcPr>
          <w:p w14:paraId="5DCF0A9D" w14:textId="1BCC550F" w:rsidR="001673E0" w:rsidRPr="005A1872" w:rsidRDefault="001673E0" w:rsidP="00AD24E0">
            <w:pPr>
              <w:rPr>
                <w:rFonts w:eastAsia="Calibri" w:cs="Arial"/>
                <w:color w:val="000000"/>
                <w:sz w:val="20"/>
                <w:szCs w:val="20"/>
              </w:rPr>
            </w:pPr>
            <w:r>
              <w:rPr>
                <w:rFonts w:eastAsia="Calibri" w:cs="Arial"/>
                <w:color w:val="000000"/>
                <w:sz w:val="20"/>
                <w:szCs w:val="20"/>
              </w:rPr>
              <w:t>Y</w:t>
            </w:r>
            <w:r w:rsidRPr="005A1872">
              <w:rPr>
                <w:rFonts w:eastAsia="Calibri" w:cs="Arial"/>
                <w:color w:val="000000"/>
                <w:sz w:val="20"/>
                <w:szCs w:val="20"/>
              </w:rPr>
              <w:t>ates</w:t>
            </w:r>
          </w:p>
        </w:tc>
        <w:tc>
          <w:tcPr>
            <w:tcW w:w="2723" w:type="dxa"/>
            <w:noWrap/>
          </w:tcPr>
          <w:p w14:paraId="6AD709FD" w14:textId="61AD757F" w:rsidR="001673E0" w:rsidRPr="00690D7A" w:rsidRDefault="001673E0" w:rsidP="00AD24E0">
            <w:pPr>
              <w:rPr>
                <w:rFonts w:eastAsia="Calibri" w:cs="Arial"/>
                <w:color w:val="000000"/>
                <w:sz w:val="20"/>
                <w:szCs w:val="20"/>
              </w:rPr>
            </w:pPr>
            <w:r w:rsidRPr="00690D7A">
              <w:rPr>
                <w:rFonts w:eastAsia="Calibri" w:cs="Arial"/>
                <w:color w:val="000000"/>
                <w:sz w:val="20"/>
                <w:szCs w:val="20"/>
              </w:rPr>
              <w:t>LF</w:t>
            </w:r>
            <w:r w:rsidR="001C7FE9">
              <w:rPr>
                <w:rFonts w:eastAsia="Calibri" w:cs="Arial"/>
                <w:color w:val="000000"/>
                <w:sz w:val="20"/>
                <w:szCs w:val="20"/>
              </w:rPr>
              <w:t xml:space="preserve"> </w:t>
            </w:r>
            <w:r w:rsidR="00E30598">
              <w:rPr>
                <w:rFonts w:eastAsia="Calibri" w:cs="Arial"/>
                <w:color w:val="000000"/>
                <w:sz w:val="20"/>
                <w:szCs w:val="20"/>
              </w:rPr>
              <w:t>(Gypsum)</w:t>
            </w:r>
          </w:p>
        </w:tc>
        <w:tc>
          <w:tcPr>
            <w:tcW w:w="2137" w:type="dxa"/>
            <w:noWrap/>
          </w:tcPr>
          <w:p w14:paraId="56A730C3" w14:textId="3DE423B0" w:rsidR="001673E0" w:rsidRPr="00690D7A" w:rsidRDefault="001673E0" w:rsidP="0003185C">
            <w:pPr>
              <w:rPr>
                <w:rFonts w:cs="Arial"/>
                <w:sz w:val="20"/>
                <w:szCs w:val="20"/>
              </w:rPr>
            </w:pPr>
            <w:r w:rsidRPr="0AF8DB6F">
              <w:rPr>
                <w:rFonts w:eastAsia="Calibri" w:cs="Arial"/>
                <w:color w:val="000000" w:themeColor="text1"/>
                <w:sz w:val="20"/>
                <w:szCs w:val="20"/>
              </w:rPr>
              <w:t xml:space="preserve">Closed by Removal </w:t>
            </w:r>
          </w:p>
        </w:tc>
        <w:tc>
          <w:tcPr>
            <w:tcW w:w="6599" w:type="dxa"/>
          </w:tcPr>
          <w:p w14:paraId="67067A6F" w14:textId="4BDC6CF2" w:rsidR="001673E0" w:rsidRPr="00690D7A" w:rsidRDefault="004D6798" w:rsidP="00E1324A">
            <w:pPr>
              <w:rPr>
                <w:rFonts w:eastAsia="Calibri" w:cs="Arial"/>
              </w:rPr>
            </w:pPr>
            <w:r w:rsidRPr="00E1324A">
              <w:rPr>
                <w:rFonts w:cs="Arial"/>
                <w:sz w:val="20"/>
                <w:szCs w:val="20"/>
              </w:rPr>
              <w:t>The Gypsum landfill has been removed</w:t>
            </w:r>
            <w:r w:rsidR="00062BC2">
              <w:rPr>
                <w:rFonts w:cs="Arial"/>
                <w:sz w:val="20"/>
                <w:szCs w:val="20"/>
              </w:rPr>
              <w:t xml:space="preserve"> and is currently in IPCC</w:t>
            </w:r>
            <w:r w:rsidRPr="00E1324A">
              <w:rPr>
                <w:rFonts w:cs="Arial"/>
                <w:sz w:val="20"/>
                <w:szCs w:val="20"/>
              </w:rPr>
              <w:t xml:space="preserve">. </w:t>
            </w:r>
            <w:r w:rsidR="00E1324A" w:rsidRPr="00E1324A">
              <w:rPr>
                <w:rFonts w:cs="Arial"/>
                <w:sz w:val="20"/>
                <w:szCs w:val="20"/>
              </w:rPr>
              <w:t xml:space="preserve">A final construction certification report was submitted to </w:t>
            </w:r>
            <w:r w:rsidR="00374D9D" w:rsidRPr="00D2543F">
              <w:rPr>
                <w:rFonts w:cs="Arial"/>
                <w:sz w:val="20"/>
                <w:szCs w:val="20"/>
              </w:rPr>
              <w:t>Georgia</w:t>
            </w:r>
            <w:r w:rsidR="00E1324A" w:rsidRPr="00E1324A">
              <w:rPr>
                <w:rFonts w:cs="Arial"/>
                <w:sz w:val="20"/>
                <w:szCs w:val="20"/>
              </w:rPr>
              <w:t xml:space="preserve"> EPD in January 2017. In October 2020, </w:t>
            </w:r>
            <w:r w:rsidR="00374D9D" w:rsidRPr="00D2543F">
              <w:rPr>
                <w:rFonts w:cs="Arial"/>
                <w:sz w:val="20"/>
                <w:szCs w:val="20"/>
              </w:rPr>
              <w:t xml:space="preserve">Georgia </w:t>
            </w:r>
            <w:r w:rsidR="00E1324A" w:rsidRPr="00E1324A">
              <w:rPr>
                <w:rFonts w:cs="Arial"/>
                <w:sz w:val="20"/>
                <w:szCs w:val="20"/>
              </w:rPr>
              <w:t>EPD acknowledged that CCR removal activities have been completed.</w:t>
            </w:r>
            <w:r w:rsidR="467FEFA5" w:rsidRPr="7E4DFDE3" w:rsidDel="00990748">
              <w:rPr>
                <w:rFonts w:eastAsia="Arial" w:cs="Arial"/>
                <w:sz w:val="20"/>
                <w:szCs w:val="20"/>
              </w:rPr>
              <w:t xml:space="preserve"> </w:t>
            </w:r>
            <w:r w:rsidR="0A80C87D" w:rsidRPr="7E4DFDE3">
              <w:rPr>
                <w:rFonts w:cs="Arial"/>
                <w:sz w:val="20"/>
                <w:szCs w:val="20"/>
              </w:rPr>
              <w:t xml:space="preserve">A </w:t>
            </w:r>
            <w:r w:rsidR="005837FE" w:rsidRPr="009061AB">
              <w:rPr>
                <w:rFonts w:cs="Arial"/>
                <w:sz w:val="20"/>
                <w:szCs w:val="20"/>
              </w:rPr>
              <w:t>final</w:t>
            </w:r>
            <w:r w:rsidRPr="7E4DFDE3">
              <w:rPr>
                <w:rFonts w:eastAsia="Arial" w:cs="Arial"/>
                <w:sz w:val="20"/>
                <w:szCs w:val="20"/>
              </w:rPr>
              <w:t xml:space="preserve"> </w:t>
            </w:r>
            <w:r w:rsidR="00A31FB4">
              <w:rPr>
                <w:rFonts w:eastAsia="Arial" w:cs="Arial"/>
                <w:sz w:val="20"/>
                <w:szCs w:val="20"/>
              </w:rPr>
              <w:t>CCR solid waste</w:t>
            </w:r>
            <w:r w:rsidR="242A850E" w:rsidRPr="7E4DFDE3">
              <w:rPr>
                <w:rFonts w:eastAsia="Arial" w:cs="Arial"/>
                <w:sz w:val="20"/>
                <w:szCs w:val="20"/>
              </w:rPr>
              <w:t xml:space="preserve"> permit has been issued by </w:t>
            </w:r>
            <w:r w:rsidR="00374D9D" w:rsidRPr="00D2543F">
              <w:rPr>
                <w:rFonts w:cs="Arial"/>
                <w:sz w:val="20"/>
                <w:szCs w:val="20"/>
              </w:rPr>
              <w:t>Georgia</w:t>
            </w:r>
            <w:r w:rsidR="242A850E" w:rsidRPr="7E4DFDE3">
              <w:rPr>
                <w:rFonts w:eastAsia="Arial" w:cs="Arial"/>
                <w:sz w:val="20"/>
                <w:szCs w:val="20"/>
              </w:rPr>
              <w:t xml:space="preserve"> EPD.</w:t>
            </w:r>
          </w:p>
        </w:tc>
      </w:tr>
    </w:tbl>
    <w:p w14:paraId="0631F0BA" w14:textId="442C57A2" w:rsidR="10B180C7" w:rsidRDefault="10B180C7"/>
    <w:p w14:paraId="1A447C75" w14:textId="742ABA7D" w:rsidR="6B962019" w:rsidRDefault="6B962019"/>
    <w:p w14:paraId="43550A01" w14:textId="319BF9BF" w:rsidR="007F2BD1" w:rsidRDefault="007F2BD1" w:rsidP="007628B4">
      <w:pPr>
        <w:rPr>
          <w:rFonts w:cs="Arial"/>
          <w:b/>
          <w:bCs/>
          <w:color w:val="000080"/>
          <w:szCs w:val="24"/>
        </w:rPr>
        <w:sectPr w:rsidR="007F2BD1" w:rsidSect="007F2BD1">
          <w:pgSz w:w="15840" w:h="12240" w:orient="landscape"/>
          <w:pgMar w:top="1440" w:right="1440" w:bottom="1440" w:left="1440" w:header="720" w:footer="720" w:gutter="0"/>
          <w:cols w:space="720"/>
          <w:docGrid w:linePitch="360"/>
        </w:sectPr>
      </w:pPr>
    </w:p>
    <w:p w14:paraId="52766D88" w14:textId="503B2FFA" w:rsidR="00B371B7" w:rsidRPr="00B81982" w:rsidRDefault="00D20CDD" w:rsidP="002531D4">
      <w:pPr>
        <w:pStyle w:val="Heading3"/>
        <w:rPr>
          <w:rFonts w:cs="Arial"/>
          <w:color w:val="000080"/>
        </w:rPr>
      </w:pPr>
      <w:bookmarkStart w:id="72" w:name="_Toc94197916"/>
      <w:r>
        <w:t xml:space="preserve">4.3.3 </w:t>
      </w:r>
      <w:r w:rsidR="00B371B7" w:rsidRPr="00B81982">
        <w:t>Ash Pond Dewatering</w:t>
      </w:r>
      <w:bookmarkEnd w:id="72"/>
      <w:r w:rsidR="00B371B7" w:rsidRPr="00B81982">
        <w:rPr>
          <w:rFonts w:cs="Arial"/>
          <w:color w:val="000080"/>
        </w:rPr>
        <w:t xml:space="preserve"> </w:t>
      </w:r>
    </w:p>
    <w:p w14:paraId="0045066B" w14:textId="434E1163" w:rsidR="00C71B18" w:rsidRPr="0084296F" w:rsidRDefault="00CB4821" w:rsidP="008025DB">
      <w:pPr>
        <w:rPr>
          <w:lang w:val="en"/>
        </w:rPr>
      </w:pPr>
      <w:r w:rsidRPr="0084296F">
        <w:rPr>
          <w:lang w:val="en"/>
        </w:rPr>
        <w:t xml:space="preserve">Georgia Power’s </w:t>
      </w:r>
      <w:r w:rsidR="00115216">
        <w:rPr>
          <w:lang w:val="en"/>
        </w:rPr>
        <w:t xml:space="preserve">ash pond closure </w:t>
      </w:r>
      <w:r w:rsidR="00042CE0">
        <w:rPr>
          <w:lang w:val="en"/>
        </w:rPr>
        <w:t>activities</w:t>
      </w:r>
      <w:r w:rsidR="007202D6" w:rsidDel="00D1173C">
        <w:rPr>
          <w:lang w:val="en"/>
        </w:rPr>
        <w:t xml:space="preserve"> </w:t>
      </w:r>
      <w:r w:rsidRPr="33A04409">
        <w:rPr>
          <w:lang w:val="en"/>
        </w:rPr>
        <w:t>include</w:t>
      </w:r>
      <w:r w:rsidRPr="0084296F">
        <w:rPr>
          <w:lang w:val="en"/>
        </w:rPr>
        <w:t xml:space="preserve"> comprehensive and customized dewatering processes during ash pond closures. The </w:t>
      </w:r>
      <w:r w:rsidR="00013771" w:rsidRPr="0084296F">
        <w:rPr>
          <w:lang w:val="en"/>
        </w:rPr>
        <w:t>C</w:t>
      </w:r>
      <w:r w:rsidRPr="0084296F">
        <w:rPr>
          <w:lang w:val="en"/>
        </w:rPr>
        <w:t>ompany’s process treats the water to meet the requirements of the plants</w:t>
      </w:r>
      <w:r w:rsidR="00DB7F88">
        <w:rPr>
          <w:lang w:val="en"/>
        </w:rPr>
        <w:t>’</w:t>
      </w:r>
      <w:r w:rsidRPr="0084296F">
        <w:rPr>
          <w:lang w:val="en"/>
        </w:rPr>
        <w:t xml:space="preserve"> wastewater discharge permits approved by the </w:t>
      </w:r>
      <w:r w:rsidR="00EE0FF8">
        <w:rPr>
          <w:lang w:val="en"/>
        </w:rPr>
        <w:t>Georgia</w:t>
      </w:r>
      <w:r w:rsidRPr="0084296F">
        <w:rPr>
          <w:lang w:val="en"/>
        </w:rPr>
        <w:t xml:space="preserve"> EPD </w:t>
      </w:r>
      <w:r w:rsidR="00600A32">
        <w:rPr>
          <w:lang w:val="en"/>
        </w:rPr>
        <w:t xml:space="preserve">and </w:t>
      </w:r>
      <w:r w:rsidR="00F77F8D">
        <w:rPr>
          <w:lang w:val="en"/>
        </w:rPr>
        <w:t>to ensure protection</w:t>
      </w:r>
      <w:r w:rsidRPr="0084296F">
        <w:rPr>
          <w:lang w:val="en"/>
        </w:rPr>
        <w:t xml:space="preserve"> of water quality standards.</w:t>
      </w:r>
    </w:p>
    <w:p w14:paraId="7C4C9D4C" w14:textId="12B272F1" w:rsidR="003D2B1F" w:rsidRPr="0084296F" w:rsidRDefault="004254E0" w:rsidP="009919C9">
      <w:pPr>
        <w:rPr>
          <w:lang w:val="en"/>
        </w:rPr>
      </w:pPr>
      <w:r>
        <w:rPr>
          <w:lang w:val="en"/>
        </w:rPr>
        <w:t xml:space="preserve">These </w:t>
      </w:r>
      <w:r w:rsidR="00E35C33" w:rsidRPr="0084296F">
        <w:rPr>
          <w:lang w:val="en"/>
        </w:rPr>
        <w:t>dewater</w:t>
      </w:r>
      <w:r w:rsidR="004A2020">
        <w:rPr>
          <w:lang w:val="en"/>
        </w:rPr>
        <w:t>ing activities</w:t>
      </w:r>
      <w:r w:rsidR="00E35C33" w:rsidRPr="0084296F">
        <w:rPr>
          <w:lang w:val="en"/>
        </w:rPr>
        <w:t xml:space="preserve"> are </w:t>
      </w:r>
      <w:r w:rsidR="006A02B4" w:rsidRPr="0084296F">
        <w:rPr>
          <w:lang w:val="en"/>
        </w:rPr>
        <w:t xml:space="preserve">on-going </w:t>
      </w:r>
      <w:r w:rsidR="00E35C33" w:rsidRPr="0084296F">
        <w:rPr>
          <w:lang w:val="en"/>
        </w:rPr>
        <w:t xml:space="preserve">and </w:t>
      </w:r>
      <w:r w:rsidR="00567139">
        <w:rPr>
          <w:lang w:val="en"/>
        </w:rPr>
        <w:t>tailored to each</w:t>
      </w:r>
      <w:r w:rsidR="00525868" w:rsidRPr="0084296F">
        <w:rPr>
          <w:lang w:val="en"/>
        </w:rPr>
        <w:t xml:space="preserve"> ash pond closure </w:t>
      </w:r>
      <w:r w:rsidR="002A40E4">
        <w:rPr>
          <w:lang w:val="en"/>
        </w:rPr>
        <w:t xml:space="preserve">site.  </w:t>
      </w:r>
      <w:r w:rsidR="00091B22">
        <w:rPr>
          <w:lang w:val="en"/>
        </w:rPr>
        <w:t>Ash</w:t>
      </w:r>
      <w:r w:rsidR="00B453E2" w:rsidRPr="0084296F">
        <w:rPr>
          <w:lang w:val="en"/>
        </w:rPr>
        <w:t xml:space="preserve"> pond dewatering plans </w:t>
      </w:r>
      <w:r w:rsidR="002C2275">
        <w:rPr>
          <w:lang w:val="en"/>
        </w:rPr>
        <w:t xml:space="preserve">are </w:t>
      </w:r>
      <w:r w:rsidR="00E5209F">
        <w:rPr>
          <w:lang w:val="en"/>
        </w:rPr>
        <w:t xml:space="preserve">prepared </w:t>
      </w:r>
      <w:r w:rsidR="00B453E2" w:rsidRPr="0084296F">
        <w:rPr>
          <w:lang w:val="en"/>
        </w:rPr>
        <w:t xml:space="preserve">for </w:t>
      </w:r>
      <w:r w:rsidR="002C2275">
        <w:rPr>
          <w:lang w:val="en"/>
        </w:rPr>
        <w:t xml:space="preserve">each </w:t>
      </w:r>
      <w:r w:rsidR="006928B2">
        <w:rPr>
          <w:lang w:val="en"/>
        </w:rPr>
        <w:t>site and</w:t>
      </w:r>
      <w:r w:rsidR="006D5521">
        <w:rPr>
          <w:lang w:val="en"/>
        </w:rPr>
        <w:t xml:space="preserve"> </w:t>
      </w:r>
      <w:r w:rsidR="00B453E2" w:rsidRPr="0084296F">
        <w:rPr>
          <w:lang w:val="en"/>
        </w:rPr>
        <w:t>describe the water treatment system, controls</w:t>
      </w:r>
      <w:r w:rsidR="006D5521">
        <w:rPr>
          <w:lang w:val="en"/>
        </w:rPr>
        <w:t>,</w:t>
      </w:r>
      <w:r w:rsidR="00B453E2" w:rsidRPr="0084296F">
        <w:rPr>
          <w:lang w:val="en"/>
        </w:rPr>
        <w:t xml:space="preserve"> and monitoring that will be used during the process to ensure that the water discharged is protective of water quality standards. </w:t>
      </w:r>
      <w:r w:rsidR="003D2B1F" w:rsidRPr="0084296F">
        <w:rPr>
          <w:lang w:val="en"/>
        </w:rPr>
        <w:t>The dewatering activities occur under the direction of independent third-party licensed wastewater operators throughout the duration of each closure project. In addition, the Company has also engaged independent, third-party contractors for effluent and receiving stream sampling, and accredited independent laboratories for analysis.</w:t>
      </w:r>
      <w:r w:rsidR="0069547D">
        <w:rPr>
          <w:lang w:val="en"/>
        </w:rPr>
        <w:t xml:space="preserve"> </w:t>
      </w:r>
      <w:r w:rsidR="00310AF5">
        <w:rPr>
          <w:lang w:val="en"/>
        </w:rPr>
        <w:t xml:space="preserve">Monitoring results are submitted to </w:t>
      </w:r>
      <w:r w:rsidR="000A5E7E">
        <w:rPr>
          <w:lang w:val="en"/>
        </w:rPr>
        <w:t>Georgia EPD</w:t>
      </w:r>
      <w:r w:rsidR="00310AF5">
        <w:rPr>
          <w:lang w:val="en"/>
        </w:rPr>
        <w:t xml:space="preserve"> and posted to the Company’s website each month.</w:t>
      </w:r>
      <w:r w:rsidR="003D2B1F" w:rsidRPr="0084296F">
        <w:rPr>
          <w:lang w:val="en"/>
        </w:rPr>
        <w:t xml:space="preserve"> </w:t>
      </w:r>
    </w:p>
    <w:p w14:paraId="6BB320AA" w14:textId="357AC5F9" w:rsidR="00E35C33" w:rsidRPr="0084296F" w:rsidRDefault="00131FB2" w:rsidP="008025DB">
      <w:pPr>
        <w:rPr>
          <w:lang w:val="en"/>
        </w:rPr>
      </w:pPr>
      <w:r>
        <w:rPr>
          <w:lang w:val="en"/>
        </w:rPr>
        <w:t xml:space="preserve">As </w:t>
      </w:r>
      <w:r w:rsidRPr="002F1D4F">
        <w:rPr>
          <w:lang w:val="en"/>
        </w:rPr>
        <w:t>of</w:t>
      </w:r>
      <w:r w:rsidR="005B6909" w:rsidDel="00694CC3">
        <w:rPr>
          <w:lang w:val="en"/>
        </w:rPr>
        <w:t xml:space="preserve"> </w:t>
      </w:r>
      <w:r w:rsidR="00694CC3">
        <w:rPr>
          <w:lang w:val="en"/>
        </w:rPr>
        <w:t>December 31,</w:t>
      </w:r>
      <w:r w:rsidR="005B6909">
        <w:rPr>
          <w:lang w:val="en"/>
        </w:rPr>
        <w:t xml:space="preserve"> 2021</w:t>
      </w:r>
      <w:r w:rsidR="00E35C33" w:rsidRPr="0084296F">
        <w:rPr>
          <w:lang w:val="en"/>
        </w:rPr>
        <w:t xml:space="preserve">, the Company has submitted and received approval from </w:t>
      </w:r>
      <w:r w:rsidR="00EE0FF8">
        <w:rPr>
          <w:lang w:val="en"/>
        </w:rPr>
        <w:t>Georgia</w:t>
      </w:r>
      <w:r w:rsidR="00EE0FF8" w:rsidRPr="0084296F">
        <w:rPr>
          <w:lang w:val="en"/>
        </w:rPr>
        <w:t xml:space="preserve"> </w:t>
      </w:r>
      <w:r w:rsidR="00E35C33" w:rsidRPr="0084296F">
        <w:rPr>
          <w:lang w:val="en"/>
        </w:rPr>
        <w:t xml:space="preserve">EPD for </w:t>
      </w:r>
      <w:r w:rsidR="00804E0D" w:rsidRPr="00165732">
        <w:rPr>
          <w:lang w:val="en"/>
        </w:rPr>
        <w:t xml:space="preserve">eight </w:t>
      </w:r>
      <w:r w:rsidR="00023F60" w:rsidRPr="00165732">
        <w:rPr>
          <w:lang w:val="en"/>
        </w:rPr>
        <w:t>a</w:t>
      </w:r>
      <w:r w:rsidR="00E90B23" w:rsidRPr="00165732">
        <w:rPr>
          <w:lang w:val="en"/>
        </w:rPr>
        <w:t>ctive</w:t>
      </w:r>
      <w:r w:rsidR="00E35C33" w:rsidRPr="00165732">
        <w:rPr>
          <w:lang w:val="en"/>
        </w:rPr>
        <w:t xml:space="preserve"> dewatering plans</w:t>
      </w:r>
      <w:r w:rsidR="00525868" w:rsidRPr="00165732">
        <w:rPr>
          <w:lang w:val="en"/>
        </w:rPr>
        <w:t xml:space="preserve"> at</w:t>
      </w:r>
      <w:r w:rsidR="005102B2" w:rsidRPr="00165732">
        <w:rPr>
          <w:lang w:val="en"/>
        </w:rPr>
        <w:t xml:space="preserve"> </w:t>
      </w:r>
      <w:r w:rsidR="00E61325" w:rsidRPr="00165732">
        <w:rPr>
          <w:lang w:val="en"/>
        </w:rPr>
        <w:t>P</w:t>
      </w:r>
      <w:r w:rsidR="005102B2" w:rsidRPr="00165732">
        <w:rPr>
          <w:lang w:val="en"/>
        </w:rPr>
        <w:t>lants</w:t>
      </w:r>
      <w:r w:rsidR="00525868" w:rsidRPr="00165732">
        <w:rPr>
          <w:lang w:val="en"/>
        </w:rPr>
        <w:t xml:space="preserve"> Bowen,</w:t>
      </w:r>
      <w:r w:rsidR="008418A2" w:rsidRPr="00165732">
        <w:rPr>
          <w:lang w:val="en"/>
        </w:rPr>
        <w:t xml:space="preserve"> Branch,</w:t>
      </w:r>
      <w:r w:rsidR="00525868" w:rsidRPr="00165732">
        <w:rPr>
          <w:lang w:val="en"/>
        </w:rPr>
        <w:t xml:space="preserve"> </w:t>
      </w:r>
      <w:r w:rsidR="008418A2" w:rsidRPr="00165732">
        <w:rPr>
          <w:lang w:val="en"/>
        </w:rPr>
        <w:t xml:space="preserve">Hammond, </w:t>
      </w:r>
      <w:r w:rsidR="00904992" w:rsidRPr="00165732">
        <w:rPr>
          <w:lang w:val="en"/>
        </w:rPr>
        <w:t xml:space="preserve">McDonough, </w:t>
      </w:r>
      <w:r w:rsidR="00516376" w:rsidRPr="00165732">
        <w:rPr>
          <w:lang w:val="en"/>
        </w:rPr>
        <w:t>McIntosh,</w:t>
      </w:r>
      <w:r w:rsidR="00516376" w:rsidRPr="0084296F">
        <w:rPr>
          <w:lang w:val="en"/>
        </w:rPr>
        <w:t xml:space="preserve"> </w:t>
      </w:r>
      <w:r w:rsidR="00516376">
        <w:rPr>
          <w:lang w:val="en"/>
        </w:rPr>
        <w:t>Mitchell</w:t>
      </w:r>
      <w:r w:rsidR="008418A2">
        <w:rPr>
          <w:lang w:val="en"/>
        </w:rPr>
        <w:t xml:space="preserve">, </w:t>
      </w:r>
      <w:r w:rsidR="00651ECF">
        <w:rPr>
          <w:lang w:val="en"/>
        </w:rPr>
        <w:t>Wa</w:t>
      </w:r>
      <w:r w:rsidR="00CB43C7">
        <w:rPr>
          <w:lang w:val="en"/>
        </w:rPr>
        <w:t xml:space="preserve">nsley, </w:t>
      </w:r>
      <w:r w:rsidR="00525868" w:rsidRPr="0084296F">
        <w:rPr>
          <w:lang w:val="en"/>
        </w:rPr>
        <w:t xml:space="preserve">and Yates.  </w:t>
      </w:r>
      <w:r w:rsidR="00AF6D44">
        <w:rPr>
          <w:lang w:val="en"/>
        </w:rPr>
        <w:t xml:space="preserve">Georgia Power </w:t>
      </w:r>
      <w:r w:rsidR="00AF6D44" w:rsidRPr="00A12BAC">
        <w:rPr>
          <w:lang w:val="en"/>
        </w:rPr>
        <w:t xml:space="preserve">will </w:t>
      </w:r>
      <w:r w:rsidR="00AF6D44">
        <w:rPr>
          <w:lang w:val="en"/>
        </w:rPr>
        <w:t xml:space="preserve">submit </w:t>
      </w:r>
      <w:r w:rsidR="00AF6D44" w:rsidRPr="72C5373F">
        <w:rPr>
          <w:lang w:val="en"/>
        </w:rPr>
        <w:t>dewatering</w:t>
      </w:r>
      <w:r w:rsidR="00AF6D44">
        <w:rPr>
          <w:lang w:val="en"/>
        </w:rPr>
        <w:t xml:space="preserve"> </w:t>
      </w:r>
      <w:r w:rsidR="00904992">
        <w:rPr>
          <w:lang w:val="en"/>
        </w:rPr>
        <w:t>plans to</w:t>
      </w:r>
      <w:r w:rsidR="00AF6D44">
        <w:rPr>
          <w:lang w:val="en"/>
        </w:rPr>
        <w:t xml:space="preserve"> </w:t>
      </w:r>
      <w:r w:rsidR="00BF1A16">
        <w:rPr>
          <w:lang w:val="en"/>
        </w:rPr>
        <w:t>the Georgia</w:t>
      </w:r>
      <w:r w:rsidR="00BF1A16" w:rsidRPr="0084296F">
        <w:rPr>
          <w:lang w:val="en"/>
        </w:rPr>
        <w:t xml:space="preserve"> </w:t>
      </w:r>
      <w:r w:rsidR="00AF6D44">
        <w:rPr>
          <w:lang w:val="en"/>
        </w:rPr>
        <w:t>EPD</w:t>
      </w:r>
      <w:r w:rsidR="00AF6D44" w:rsidRPr="00A12BAC">
        <w:rPr>
          <w:lang w:val="en"/>
        </w:rPr>
        <w:t xml:space="preserve"> </w:t>
      </w:r>
      <w:r w:rsidR="00AF6D44">
        <w:rPr>
          <w:lang w:val="en"/>
        </w:rPr>
        <w:t xml:space="preserve">for approval </w:t>
      </w:r>
      <w:r w:rsidR="00AF6D44" w:rsidRPr="00A12BAC">
        <w:rPr>
          <w:lang w:val="en"/>
        </w:rPr>
        <w:t>prior to commencement</w:t>
      </w:r>
      <w:r w:rsidR="00AF6D44">
        <w:rPr>
          <w:lang w:val="en"/>
        </w:rPr>
        <w:t xml:space="preserve"> of dewatering at the remaining sites.</w:t>
      </w:r>
      <w:r w:rsidR="00E85E99">
        <w:rPr>
          <w:lang w:val="en"/>
        </w:rPr>
        <w:t xml:space="preserve"> </w:t>
      </w:r>
      <w:r w:rsidR="00E22B10" w:rsidRPr="00BC48ED">
        <w:rPr>
          <w:lang w:val="en"/>
        </w:rPr>
        <w:t xml:space="preserve">The dewatering plan </w:t>
      </w:r>
      <w:r w:rsidR="00E22B10" w:rsidRPr="00165732">
        <w:rPr>
          <w:lang w:val="en"/>
        </w:rPr>
        <w:t xml:space="preserve">for </w:t>
      </w:r>
      <w:r w:rsidR="001A64D8" w:rsidRPr="00165732">
        <w:rPr>
          <w:lang w:val="en"/>
        </w:rPr>
        <w:t xml:space="preserve">Plant </w:t>
      </w:r>
      <w:r w:rsidR="00E22B10" w:rsidRPr="00165732">
        <w:rPr>
          <w:lang w:val="en"/>
        </w:rPr>
        <w:t>McManus</w:t>
      </w:r>
      <w:r w:rsidR="002D3FAE" w:rsidRPr="00165732">
        <w:rPr>
          <w:lang w:val="en"/>
        </w:rPr>
        <w:t xml:space="preserve"> </w:t>
      </w:r>
      <w:r w:rsidR="004339E6" w:rsidRPr="00165732">
        <w:rPr>
          <w:lang w:val="en"/>
        </w:rPr>
        <w:t>is</w:t>
      </w:r>
      <w:r w:rsidR="00E22B10" w:rsidRPr="00BC48ED">
        <w:rPr>
          <w:lang w:val="en"/>
        </w:rPr>
        <w:t xml:space="preserve"> no longer in place, following </w:t>
      </w:r>
      <w:r w:rsidR="00500D49">
        <w:rPr>
          <w:lang w:val="en"/>
        </w:rPr>
        <w:t xml:space="preserve">removal of ash and </w:t>
      </w:r>
      <w:r w:rsidR="0058053C">
        <w:rPr>
          <w:lang w:val="en"/>
        </w:rPr>
        <w:t>Georgia</w:t>
      </w:r>
      <w:r w:rsidR="0058053C" w:rsidRPr="0084296F">
        <w:rPr>
          <w:lang w:val="en"/>
        </w:rPr>
        <w:t xml:space="preserve"> </w:t>
      </w:r>
      <w:r w:rsidR="00E22B10" w:rsidRPr="00BC48ED">
        <w:rPr>
          <w:lang w:val="en"/>
        </w:rPr>
        <w:t>EPD acknowledgment of the completion of dewatering activities</w:t>
      </w:r>
      <w:r w:rsidR="00AF52E1">
        <w:rPr>
          <w:lang w:val="en"/>
        </w:rPr>
        <w:t xml:space="preserve"> at that site</w:t>
      </w:r>
      <w:r w:rsidR="00E22B10" w:rsidRPr="00BC48ED">
        <w:rPr>
          <w:lang w:val="en"/>
        </w:rPr>
        <w:t>. </w:t>
      </w:r>
    </w:p>
    <w:p w14:paraId="17B09843" w14:textId="016CAADB" w:rsidR="002D4674" w:rsidRDefault="002D4674" w:rsidP="002531D4">
      <w:pPr>
        <w:pStyle w:val="Heading3"/>
        <w:rPr>
          <w:rFonts w:eastAsia="Calibri"/>
          <w:color w:val="000000" w:themeColor="text1"/>
        </w:rPr>
      </w:pPr>
      <w:bookmarkStart w:id="73" w:name="_Toc94197917"/>
      <w:r>
        <w:t>4.3.</w:t>
      </w:r>
      <w:r w:rsidR="0096252B">
        <w:t>4</w:t>
      </w:r>
      <w:r>
        <w:t xml:space="preserve"> Ongoing and </w:t>
      </w:r>
      <w:r w:rsidRPr="00A21F54">
        <w:t>Post Closure</w:t>
      </w:r>
      <w:r>
        <w:t xml:space="preserve"> Requirements</w:t>
      </w:r>
      <w:bookmarkEnd w:id="73"/>
    </w:p>
    <w:p w14:paraId="6CCE015A" w14:textId="0801F32A" w:rsidR="002D4674" w:rsidRPr="00293B40" w:rsidRDefault="002D4674" w:rsidP="009919C9">
      <w:pPr>
        <w:rPr>
          <w:lang w:val="en"/>
        </w:rPr>
      </w:pPr>
      <w:r w:rsidRPr="00293B40">
        <w:rPr>
          <w:lang w:val="en"/>
        </w:rPr>
        <w:t xml:space="preserve">Throughout the ash pond closure process and in </w:t>
      </w:r>
      <w:r w:rsidR="0025382C">
        <w:rPr>
          <w:lang w:val="en"/>
        </w:rPr>
        <w:t>the</w:t>
      </w:r>
      <w:r w:rsidRPr="00293B40">
        <w:rPr>
          <w:lang w:val="en"/>
        </w:rPr>
        <w:t xml:space="preserve"> post-closure care period, Georgia Power will continue </w:t>
      </w:r>
      <w:r w:rsidR="00C572E8">
        <w:rPr>
          <w:lang w:val="en"/>
        </w:rPr>
        <w:t xml:space="preserve">to </w:t>
      </w:r>
      <w:r w:rsidR="004B0403">
        <w:rPr>
          <w:lang w:val="en"/>
        </w:rPr>
        <w:t xml:space="preserve">perform compliance activities including </w:t>
      </w:r>
      <w:r w:rsidRPr="00293B40">
        <w:rPr>
          <w:lang w:val="en"/>
        </w:rPr>
        <w:t xml:space="preserve">to monitor groundwater and regularly report the results to the </w:t>
      </w:r>
      <w:r w:rsidR="0058053C">
        <w:rPr>
          <w:lang w:val="en"/>
        </w:rPr>
        <w:t>Georgia</w:t>
      </w:r>
      <w:r w:rsidR="0058053C" w:rsidRPr="0084296F">
        <w:rPr>
          <w:lang w:val="en"/>
        </w:rPr>
        <w:t xml:space="preserve"> </w:t>
      </w:r>
      <w:r w:rsidRPr="00293B40">
        <w:rPr>
          <w:lang w:val="en"/>
        </w:rPr>
        <w:t xml:space="preserve">EPD as well as post regular updates to the Company's website. Georgia Power has installed over 600 groundwater monitoring wells around its ash ponds and on-site landfills to actively monitor groundwater quality. Independent, third-party engineers and groundwater professionals installed the groundwater monitoring well networks at each site. Third-party independent consultants sample and maintain the wells in the monitoring network, statistically analyze and evaluate the data, and write reports interpreting and summarizing results.  The Company will continue to install additional groundwater monitoring wells and sample as required through both the ash pond closure process and the post closure care phases. </w:t>
      </w:r>
    </w:p>
    <w:p w14:paraId="3616D0AF" w14:textId="3243E4BD" w:rsidR="002D4674" w:rsidRPr="002D4674" w:rsidRDefault="002D4674" w:rsidP="009919C9">
      <w:r w:rsidRPr="00293B40">
        <w:rPr>
          <w:lang w:val="en"/>
        </w:rPr>
        <w:t xml:space="preserve">Once </w:t>
      </w:r>
      <w:r w:rsidR="000420ED">
        <w:rPr>
          <w:lang w:val="en"/>
        </w:rPr>
        <w:t>ash pond</w:t>
      </w:r>
      <w:r w:rsidRPr="00293B40">
        <w:rPr>
          <w:lang w:val="en"/>
        </w:rPr>
        <w:t xml:space="preserve"> closure</w:t>
      </w:r>
      <w:r w:rsidRPr="002D4674">
        <w:t xml:space="preserve"> is complete, post closure care will be implemented in accordance with the </w:t>
      </w:r>
      <w:r w:rsidR="007647AA">
        <w:t>F</w:t>
      </w:r>
      <w:r w:rsidRPr="002D4674">
        <w:t xml:space="preserve">ederal and </w:t>
      </w:r>
      <w:r w:rsidR="007647AA">
        <w:t>Georgia</w:t>
      </w:r>
      <w:r w:rsidRPr="002D4674">
        <w:t xml:space="preserve"> CCR rules. </w:t>
      </w:r>
      <w:r w:rsidR="00A94DB3">
        <w:t>P</w:t>
      </w:r>
      <w:r w:rsidRPr="002D4674">
        <w:t xml:space="preserve">ost closure care will include inspecting CCR landfills and former ash ponds that are closed in place to verify continued structural </w:t>
      </w:r>
      <w:r w:rsidR="00235409" w:rsidRPr="002D4674">
        <w:t>integrity, maintaining</w:t>
      </w:r>
      <w:r w:rsidRPr="002D4674">
        <w:t xml:space="preserve"> the integrity </w:t>
      </w:r>
      <w:r w:rsidR="00973B7B">
        <w:t xml:space="preserve">and </w:t>
      </w:r>
      <w:r w:rsidRPr="002D4674">
        <w:t xml:space="preserve">effectiveness of the final cover system for close in place units, maintaining </w:t>
      </w:r>
      <w:r w:rsidR="00973B7B">
        <w:t xml:space="preserve">and sampling </w:t>
      </w:r>
      <w:r w:rsidRPr="002D4674">
        <w:t>the groundwater monitoring systems</w:t>
      </w:r>
      <w:r w:rsidR="000D49AA">
        <w:t>, and regulatory reporting</w:t>
      </w:r>
      <w:r w:rsidRPr="002D4674">
        <w:t xml:space="preserve">. </w:t>
      </w:r>
    </w:p>
    <w:p w14:paraId="3567C06B" w14:textId="17F3A8A6" w:rsidR="00FE5E2C" w:rsidRPr="00B81982" w:rsidRDefault="00B15A61" w:rsidP="002531D4">
      <w:pPr>
        <w:pStyle w:val="Heading3"/>
        <w:rPr>
          <w:rFonts w:cs="Arial"/>
          <w:bCs/>
          <w:color w:val="000080"/>
        </w:rPr>
      </w:pPr>
      <w:bookmarkStart w:id="74" w:name="_Toc94197918"/>
      <w:r>
        <w:t xml:space="preserve">4.3.5 </w:t>
      </w:r>
      <w:r w:rsidR="00FE5E2C" w:rsidRPr="00B81982">
        <w:t xml:space="preserve">Beneficial </w:t>
      </w:r>
      <w:r w:rsidR="00A718AC">
        <w:rPr>
          <w:rFonts w:cs="Arial"/>
          <w:bCs/>
          <w:color w:val="000080"/>
        </w:rPr>
        <w:t>U</w:t>
      </w:r>
      <w:r w:rsidR="00FE5E2C" w:rsidRPr="00B81982">
        <w:rPr>
          <w:rFonts w:cs="Arial"/>
          <w:bCs/>
          <w:color w:val="000080"/>
        </w:rPr>
        <w:t>se</w:t>
      </w:r>
      <w:bookmarkEnd w:id="74"/>
    </w:p>
    <w:p w14:paraId="112B083C" w14:textId="44255BD5" w:rsidR="003975E9" w:rsidRPr="0015153F" w:rsidRDefault="003975E9" w:rsidP="008025DB">
      <w:pPr>
        <w:rPr>
          <w:lang w:val="en"/>
        </w:rPr>
      </w:pPr>
      <w:r w:rsidRPr="0015153F">
        <w:rPr>
          <w:lang w:val="en"/>
        </w:rPr>
        <w:t xml:space="preserve">Following the conversions of coal ash handling systems and installation of dry handling equipment in 2019, Georgia Power ceased placement of coal ash in ash ponds. The Company will </w:t>
      </w:r>
      <w:r w:rsidR="000335FE">
        <w:rPr>
          <w:lang w:val="en"/>
        </w:rPr>
        <w:t>primarily</w:t>
      </w:r>
      <w:r w:rsidR="000335FE" w:rsidRPr="0015153F">
        <w:rPr>
          <w:lang w:val="en"/>
        </w:rPr>
        <w:t xml:space="preserve"> </w:t>
      </w:r>
      <w:r w:rsidRPr="0015153F">
        <w:rPr>
          <w:lang w:val="en"/>
        </w:rPr>
        <w:t xml:space="preserve">rely on Company-owned CCR landfills for future disposal of CCR generated from coal-fired facilities when beneficial use opportunities are not available. </w:t>
      </w:r>
    </w:p>
    <w:p w14:paraId="54F77DFC" w14:textId="2FBCEF7D" w:rsidR="00275B48" w:rsidRDefault="00F31AC0" w:rsidP="008025DB">
      <w:pPr>
        <w:rPr>
          <w:lang w:val="en"/>
        </w:rPr>
      </w:pPr>
      <w:r w:rsidRPr="0015153F">
        <w:rPr>
          <w:lang w:val="en"/>
        </w:rPr>
        <w:t xml:space="preserve">To minimize or offset costs related to CCR storage, landfill construction, and associated </w:t>
      </w:r>
      <w:r w:rsidR="005D4120">
        <w:rPr>
          <w:lang w:val="en"/>
        </w:rPr>
        <w:t>O&amp;M</w:t>
      </w:r>
      <w:r w:rsidRPr="0015153F">
        <w:rPr>
          <w:lang w:val="en"/>
        </w:rPr>
        <w:t xml:space="preserve">, Georgia Power currently markets </w:t>
      </w:r>
      <w:r w:rsidR="00E063A2" w:rsidRPr="0015153F">
        <w:rPr>
          <w:lang w:val="en"/>
        </w:rPr>
        <w:t xml:space="preserve">more </w:t>
      </w:r>
      <w:r w:rsidRPr="0015153F">
        <w:rPr>
          <w:lang w:val="en"/>
        </w:rPr>
        <w:t xml:space="preserve">than </w:t>
      </w:r>
      <w:r w:rsidR="004E7068" w:rsidRPr="00294515">
        <w:rPr>
          <w:lang w:val="en"/>
        </w:rPr>
        <w:t>85</w:t>
      </w:r>
      <w:r w:rsidRPr="00294515">
        <w:rPr>
          <w:lang w:val="en"/>
        </w:rPr>
        <w:t>% of the CCR</w:t>
      </w:r>
      <w:r w:rsidRPr="0015153F">
        <w:rPr>
          <w:lang w:val="en"/>
        </w:rPr>
        <w:t xml:space="preserve"> generated</w:t>
      </w:r>
      <w:r w:rsidR="00741868">
        <w:rPr>
          <w:lang w:val="en"/>
        </w:rPr>
        <w:t xml:space="preserve"> from operations</w:t>
      </w:r>
      <w:r w:rsidRPr="0015153F">
        <w:rPr>
          <w:lang w:val="en"/>
        </w:rPr>
        <w:t xml:space="preserve"> for beneficial use. </w:t>
      </w:r>
      <w:r w:rsidR="00A27DDA">
        <w:rPr>
          <w:lang w:val="en"/>
        </w:rPr>
        <w:t xml:space="preserve">As further </w:t>
      </w:r>
      <w:r w:rsidR="001F57D9">
        <w:rPr>
          <w:lang w:val="en"/>
        </w:rPr>
        <w:t>discussed in Section 2.0,</w:t>
      </w:r>
      <w:r w:rsidRPr="0015153F">
        <w:rPr>
          <w:lang w:val="en"/>
        </w:rPr>
        <w:t xml:space="preserve"> Georgia Power is evaluating opportunities to recycle ponded ash during closures as viable opportunities arise and technology and markets develop.</w:t>
      </w:r>
      <w:r w:rsidR="008B6ECB" w:rsidRPr="0015153F">
        <w:rPr>
          <w:lang w:val="en"/>
        </w:rPr>
        <w:t xml:space="preserve"> </w:t>
      </w:r>
      <w:r w:rsidR="5E3D2628" w:rsidRPr="0AF8DB6F">
        <w:rPr>
          <w:lang w:val="en"/>
        </w:rPr>
        <w:t>A</w:t>
      </w:r>
      <w:r w:rsidR="00E87AD1">
        <w:rPr>
          <w:lang w:val="en"/>
        </w:rPr>
        <w:t>s</w:t>
      </w:r>
      <w:r w:rsidR="5E3D2628" w:rsidRPr="0AF8DB6F">
        <w:rPr>
          <w:lang w:val="en"/>
        </w:rPr>
        <w:t xml:space="preserve"> </w:t>
      </w:r>
      <w:r w:rsidR="00632EC4">
        <w:rPr>
          <w:lang w:val="en"/>
        </w:rPr>
        <w:t xml:space="preserve">the </w:t>
      </w:r>
      <w:r w:rsidR="00BE006F">
        <w:rPr>
          <w:lang w:val="en"/>
        </w:rPr>
        <w:t>ABUC is located in Georgia,</w:t>
      </w:r>
      <w:r w:rsidR="002E43CF">
        <w:rPr>
          <w:lang w:val="en"/>
        </w:rPr>
        <w:t xml:space="preserve"> </w:t>
      </w:r>
      <w:r w:rsidR="00E87AD1">
        <w:rPr>
          <w:lang w:val="en"/>
        </w:rPr>
        <w:t xml:space="preserve">it </w:t>
      </w:r>
      <w:r w:rsidR="002E43CF">
        <w:rPr>
          <w:lang w:val="en"/>
        </w:rPr>
        <w:t xml:space="preserve">will likely provide additional </w:t>
      </w:r>
      <w:r w:rsidR="000371C7">
        <w:rPr>
          <w:lang w:val="en"/>
        </w:rPr>
        <w:t xml:space="preserve">future </w:t>
      </w:r>
      <w:r w:rsidR="002E43CF">
        <w:rPr>
          <w:lang w:val="en"/>
        </w:rPr>
        <w:t xml:space="preserve">market </w:t>
      </w:r>
      <w:r w:rsidR="008B6ECB" w:rsidRPr="0015153F">
        <w:rPr>
          <w:lang w:val="en"/>
        </w:rPr>
        <w:t xml:space="preserve">opportunities for the beneficial use of CCR. </w:t>
      </w:r>
      <w:r w:rsidR="00E201ED">
        <w:rPr>
          <w:lang w:val="en"/>
        </w:rPr>
        <w:t>T</w:t>
      </w:r>
      <w:r w:rsidR="006A02B4" w:rsidRPr="0015153F">
        <w:rPr>
          <w:lang w:val="en"/>
        </w:rPr>
        <w:t xml:space="preserve">he Company will continue to seek out beneficial use opportunities </w:t>
      </w:r>
      <w:r w:rsidR="00E201ED">
        <w:rPr>
          <w:lang w:val="en"/>
        </w:rPr>
        <w:t>during ash pond closure</w:t>
      </w:r>
      <w:r w:rsidR="006F3ED6">
        <w:rPr>
          <w:lang w:val="en"/>
        </w:rPr>
        <w:t>s,</w:t>
      </w:r>
      <w:r w:rsidR="006A02B4" w:rsidRPr="0015153F">
        <w:rPr>
          <w:lang w:val="en"/>
        </w:rPr>
        <w:t xml:space="preserve"> where it </w:t>
      </w:r>
      <w:r w:rsidR="398C9EF4" w:rsidRPr="37612734">
        <w:rPr>
          <w:lang w:val="en"/>
        </w:rPr>
        <w:t>adds</w:t>
      </w:r>
      <w:r w:rsidR="008105EB">
        <w:rPr>
          <w:lang w:val="en"/>
        </w:rPr>
        <w:t xml:space="preserve"> value</w:t>
      </w:r>
      <w:r w:rsidR="006A02B4" w:rsidRPr="0015153F">
        <w:rPr>
          <w:lang w:val="en"/>
        </w:rPr>
        <w:t xml:space="preserve"> for the </w:t>
      </w:r>
      <w:r w:rsidR="00FC54C1">
        <w:rPr>
          <w:lang w:val="en"/>
        </w:rPr>
        <w:t>Company</w:t>
      </w:r>
      <w:r w:rsidR="0061430D">
        <w:rPr>
          <w:lang w:val="en"/>
        </w:rPr>
        <w:t xml:space="preserve"> and </w:t>
      </w:r>
      <w:r w:rsidR="006A02B4" w:rsidRPr="0015153F">
        <w:rPr>
          <w:lang w:val="en"/>
        </w:rPr>
        <w:t xml:space="preserve">our customers and will continue working with </w:t>
      </w:r>
      <w:r w:rsidR="0058053C">
        <w:rPr>
          <w:lang w:val="en"/>
        </w:rPr>
        <w:t>Georgia</w:t>
      </w:r>
      <w:r w:rsidR="006A02B4" w:rsidRPr="0015153F">
        <w:rPr>
          <w:lang w:val="en"/>
        </w:rPr>
        <w:t xml:space="preserve"> EPD to obtain any permit </w:t>
      </w:r>
      <w:r w:rsidR="006A02B4" w:rsidRPr="1E0996BF">
        <w:rPr>
          <w:lang w:val="en"/>
        </w:rPr>
        <w:t>modifications</w:t>
      </w:r>
      <w:r w:rsidR="6B5F6627" w:rsidRPr="1E0996BF">
        <w:rPr>
          <w:lang w:val="en"/>
        </w:rPr>
        <w:t xml:space="preserve"> </w:t>
      </w:r>
      <w:r w:rsidR="006A02B4" w:rsidRPr="1E0996BF">
        <w:rPr>
          <w:lang w:val="en"/>
        </w:rPr>
        <w:t>in</w:t>
      </w:r>
      <w:r w:rsidR="006A02B4" w:rsidRPr="0015153F">
        <w:rPr>
          <w:lang w:val="en"/>
        </w:rPr>
        <w:t xml:space="preserve"> the future</w:t>
      </w:r>
      <w:r w:rsidR="00E201ED">
        <w:rPr>
          <w:lang w:val="en"/>
        </w:rPr>
        <w:t xml:space="preserve"> to support </w:t>
      </w:r>
      <w:r w:rsidR="00E201ED" w:rsidRPr="1E0996BF">
        <w:rPr>
          <w:lang w:val="en"/>
        </w:rPr>
        <w:t>beneficial</w:t>
      </w:r>
      <w:r w:rsidR="00E201ED">
        <w:rPr>
          <w:lang w:val="en"/>
        </w:rPr>
        <w:t xml:space="preserve"> use</w:t>
      </w:r>
      <w:r w:rsidR="006A02B4" w:rsidRPr="0015153F">
        <w:rPr>
          <w:lang w:val="en"/>
        </w:rPr>
        <w:t>.</w:t>
      </w:r>
      <w:r w:rsidR="00E47D33">
        <w:rPr>
          <w:lang w:val="en"/>
        </w:rPr>
        <w:t xml:space="preserve"> </w:t>
      </w:r>
    </w:p>
    <w:p w14:paraId="45A976A1" w14:textId="60386826" w:rsidR="00275B48" w:rsidRPr="0015153F" w:rsidRDefault="65FC7CE3" w:rsidP="008025DB">
      <w:pPr>
        <w:rPr>
          <w:lang w:val="en"/>
        </w:rPr>
      </w:pPr>
      <w:r w:rsidRPr="45D25E2A">
        <w:rPr>
          <w:lang w:val="en"/>
        </w:rPr>
        <w:t xml:space="preserve">At </w:t>
      </w:r>
      <w:r w:rsidR="00C80384" w:rsidRPr="45D25E2A">
        <w:rPr>
          <w:lang w:val="en"/>
        </w:rPr>
        <w:t>Plant Mitchell</w:t>
      </w:r>
      <w:r w:rsidR="5643CCDF" w:rsidRPr="45D25E2A">
        <w:rPr>
          <w:lang w:val="en"/>
        </w:rPr>
        <w:t>,</w:t>
      </w:r>
      <w:r w:rsidR="00C80384" w:rsidRPr="45D25E2A">
        <w:rPr>
          <w:lang w:val="en"/>
        </w:rPr>
        <w:t xml:space="preserve"> the </w:t>
      </w:r>
      <w:r w:rsidR="00275B48" w:rsidRPr="45D25E2A">
        <w:rPr>
          <w:lang w:val="en"/>
        </w:rPr>
        <w:t xml:space="preserve">Company </w:t>
      </w:r>
      <w:r w:rsidR="00DF2BE3" w:rsidRPr="45D25E2A">
        <w:rPr>
          <w:lang w:val="en"/>
        </w:rPr>
        <w:t xml:space="preserve">continues </w:t>
      </w:r>
      <w:r w:rsidR="0062052F" w:rsidRPr="45D25E2A">
        <w:rPr>
          <w:lang w:val="en"/>
        </w:rPr>
        <w:t>with plans</w:t>
      </w:r>
      <w:r w:rsidR="00275B48" w:rsidRPr="45D25E2A">
        <w:rPr>
          <w:lang w:val="en"/>
        </w:rPr>
        <w:t xml:space="preserve"> to remove the stored coal ash at its three ash ponds for beneficial use.  Over the next several years, </w:t>
      </w:r>
      <w:r w:rsidR="006F3ED6" w:rsidRPr="45D25E2A">
        <w:rPr>
          <w:lang w:val="en"/>
        </w:rPr>
        <w:t>the Company plans to remove</w:t>
      </w:r>
      <w:r w:rsidR="00275B48" w:rsidRPr="45D25E2A">
        <w:rPr>
          <w:lang w:val="en"/>
        </w:rPr>
        <w:t xml:space="preserve"> approximately two million tons of ash from the site to help create Portland cement, which is used to make concrete. Through </w:t>
      </w:r>
      <w:r w:rsidR="001026A0" w:rsidRPr="45D25E2A">
        <w:rPr>
          <w:lang w:val="en"/>
        </w:rPr>
        <w:t>Dec</w:t>
      </w:r>
      <w:r w:rsidR="00B67568" w:rsidRPr="45D25E2A">
        <w:rPr>
          <w:lang w:val="en"/>
        </w:rPr>
        <w:t>ember</w:t>
      </w:r>
      <w:r w:rsidR="004C1837" w:rsidRPr="45D25E2A">
        <w:rPr>
          <w:lang w:val="en"/>
        </w:rPr>
        <w:t xml:space="preserve"> 2021,</w:t>
      </w:r>
      <w:r w:rsidR="00275B48" w:rsidRPr="45D25E2A">
        <w:rPr>
          <w:lang w:val="en"/>
        </w:rPr>
        <w:t xml:space="preserve"> approximately </w:t>
      </w:r>
      <w:r w:rsidRPr="45D25E2A">
        <w:rPr>
          <w:lang w:val="en"/>
        </w:rPr>
        <w:t>149,5</w:t>
      </w:r>
      <w:r w:rsidR="1EEDE729" w:rsidRPr="45D25E2A">
        <w:rPr>
          <w:lang w:val="en"/>
        </w:rPr>
        <w:t>00</w:t>
      </w:r>
      <w:r w:rsidR="00275B48" w:rsidRPr="45D25E2A">
        <w:rPr>
          <w:lang w:val="en"/>
        </w:rPr>
        <w:t xml:space="preserve"> tons of ash </w:t>
      </w:r>
      <w:r w:rsidR="00740044" w:rsidRPr="45D25E2A">
        <w:rPr>
          <w:lang w:val="en"/>
        </w:rPr>
        <w:t>has</w:t>
      </w:r>
      <w:r w:rsidR="00275B48" w:rsidRPr="45D25E2A">
        <w:rPr>
          <w:lang w:val="en"/>
        </w:rPr>
        <w:t xml:space="preserve"> </w:t>
      </w:r>
      <w:r w:rsidR="003913FF" w:rsidRPr="45D25E2A">
        <w:rPr>
          <w:lang w:val="en"/>
        </w:rPr>
        <w:t xml:space="preserve">already </w:t>
      </w:r>
      <w:r w:rsidR="00275B48" w:rsidRPr="45D25E2A">
        <w:rPr>
          <w:lang w:val="en"/>
        </w:rPr>
        <w:t>been removed from the site for this purpose. These plans will reduce the amount of ash required to be removed to an off-site landfill</w:t>
      </w:r>
      <w:r w:rsidR="00492941" w:rsidRPr="45D25E2A">
        <w:rPr>
          <w:lang w:val="en"/>
        </w:rPr>
        <w:t>,</w:t>
      </w:r>
      <w:r w:rsidR="00275B48" w:rsidRPr="45D25E2A">
        <w:rPr>
          <w:lang w:val="en"/>
        </w:rPr>
        <w:t xml:space="preserve"> saving valuable landfill space</w:t>
      </w:r>
      <w:r w:rsidR="00492941" w:rsidRPr="45D25E2A">
        <w:rPr>
          <w:lang w:val="en"/>
        </w:rPr>
        <w:t>,</w:t>
      </w:r>
      <w:r w:rsidR="00275B48" w:rsidRPr="45D25E2A">
        <w:rPr>
          <w:lang w:val="en"/>
        </w:rPr>
        <w:t xml:space="preserve"> and ultimately serv</w:t>
      </w:r>
      <w:r w:rsidR="003913FF" w:rsidRPr="45D25E2A">
        <w:rPr>
          <w:lang w:val="en"/>
        </w:rPr>
        <w:t>ing</w:t>
      </w:r>
      <w:r w:rsidR="00275B48" w:rsidRPr="45D25E2A">
        <w:rPr>
          <w:lang w:val="en"/>
        </w:rPr>
        <w:t xml:space="preserve"> to produce a valuable product.    </w:t>
      </w:r>
    </w:p>
    <w:p w14:paraId="283D6E89" w14:textId="2C743406" w:rsidR="2EFAF15D" w:rsidRPr="004300A7" w:rsidRDefault="2EFAF15D">
      <w:pPr>
        <w:rPr>
          <w:lang w:val="en"/>
        </w:rPr>
      </w:pPr>
      <w:r w:rsidRPr="004300A7">
        <w:t>In December 2019, Georgia Power announced a</w:t>
      </w:r>
      <w:r w:rsidR="00A1164C">
        <w:t>n</w:t>
      </w:r>
      <w:r w:rsidRPr="004300A7">
        <w:t xml:space="preserve"> RFP for the beneficial use of stored coal ash</w:t>
      </w:r>
      <w:r w:rsidR="00DF2BE3">
        <w:t xml:space="preserve"> at Georgia Power facilities</w:t>
      </w:r>
      <w:r w:rsidR="003913FF">
        <w:t xml:space="preserve">, </w:t>
      </w:r>
      <w:r w:rsidRPr="004300A7">
        <w:t xml:space="preserve">seeking to identify opportunities and maximize the value for the beneficial use of stored coal ash at its active and retired plants across the state.  Initial bids were received from 16 bidders in October 2020. In early 2021, </w:t>
      </w:r>
      <w:r w:rsidR="4FA2A46E" w:rsidRPr="004300A7">
        <w:t>discussions</w:t>
      </w:r>
      <w:r w:rsidRPr="004300A7">
        <w:t xml:space="preserve"> were held with each of the entities that submitted proposals</w:t>
      </w:r>
      <w:r w:rsidR="00D34CEE">
        <w:t>,</w:t>
      </w:r>
      <w:r w:rsidRPr="004300A7">
        <w:t xml:space="preserve"> and bidders were allowed to update their proposals.  </w:t>
      </w:r>
    </w:p>
    <w:p w14:paraId="19A67D03" w14:textId="3A0C7ADE" w:rsidR="00E70BA8" w:rsidRDefault="2EFAF15D" w:rsidP="00E2493E">
      <w:r w:rsidRPr="004300A7">
        <w:t xml:space="preserve">The </w:t>
      </w:r>
      <w:r w:rsidR="00746BE5">
        <w:t>aforementioned</w:t>
      </w:r>
      <w:r w:rsidRPr="004300A7">
        <w:t xml:space="preserve"> proposals </w:t>
      </w:r>
      <w:r w:rsidR="00542AE7">
        <w:t>provided</w:t>
      </w:r>
      <w:r w:rsidR="00982FAA">
        <w:t xml:space="preserve"> numerous</w:t>
      </w:r>
      <w:r w:rsidRPr="004300A7">
        <w:t xml:space="preserve"> options for consideration</w:t>
      </w:r>
      <w:r w:rsidR="009729AE">
        <w:t xml:space="preserve"> </w:t>
      </w:r>
      <w:r w:rsidR="00582A0A">
        <w:t>and</w:t>
      </w:r>
      <w:r w:rsidR="00F478DA">
        <w:t xml:space="preserve"> </w:t>
      </w:r>
      <w:r w:rsidR="00F478DA" w:rsidDel="00D43B23">
        <w:t>a</w:t>
      </w:r>
      <w:r w:rsidRPr="004300A7" w:rsidDel="00D43B23">
        <w:t xml:space="preserve"> </w:t>
      </w:r>
      <w:r w:rsidRPr="004300A7">
        <w:t xml:space="preserve">thorough review of the </w:t>
      </w:r>
      <w:r w:rsidR="00AE4ED4">
        <w:t>proposals</w:t>
      </w:r>
      <w:r w:rsidR="001B05C8">
        <w:t xml:space="preserve"> </w:t>
      </w:r>
      <w:r w:rsidR="009345C1">
        <w:t>was performed</w:t>
      </w:r>
      <w:r w:rsidR="008B73FF">
        <w:t>.</w:t>
      </w:r>
      <w:r w:rsidRPr="004300A7">
        <w:t xml:space="preserve"> </w:t>
      </w:r>
      <w:r w:rsidR="006E59FD">
        <w:t>A</w:t>
      </w:r>
      <w:r w:rsidRPr="004300A7">
        <w:t xml:space="preserve"> third-party engineering consultant support</w:t>
      </w:r>
      <w:r w:rsidR="00FD11B8">
        <w:t>ed</w:t>
      </w:r>
      <w:r w:rsidRPr="004300A7">
        <w:t xml:space="preserve"> the </w:t>
      </w:r>
      <w:r w:rsidR="0084300D">
        <w:t xml:space="preserve">Company’s </w:t>
      </w:r>
      <w:r w:rsidRPr="004300A7">
        <w:t xml:space="preserve">evaluation </w:t>
      </w:r>
      <w:r w:rsidR="007E6A7A">
        <w:t>to</w:t>
      </w:r>
      <w:r w:rsidRPr="004300A7">
        <w:t xml:space="preserve"> </w:t>
      </w:r>
      <w:r>
        <w:t>asse</w:t>
      </w:r>
      <w:r w:rsidR="7EBD437E">
        <w:t>s</w:t>
      </w:r>
      <w:r>
        <w:t>s</w:t>
      </w:r>
      <w:r w:rsidRPr="004300A7">
        <w:t xml:space="preserve"> which proposals offer</w:t>
      </w:r>
      <w:r w:rsidR="00B1742C">
        <w:t>ed</w:t>
      </w:r>
      <w:r w:rsidRPr="004300A7">
        <w:t xml:space="preserve"> the most value</w:t>
      </w:r>
      <w:r w:rsidR="005A1DCE">
        <w:t xml:space="preserve"> to customers</w:t>
      </w:r>
      <w:r w:rsidRPr="004300A7">
        <w:t xml:space="preserve">. The </w:t>
      </w:r>
      <w:r w:rsidR="00B1742C">
        <w:t xml:space="preserve">Company’s </w:t>
      </w:r>
      <w:r w:rsidR="00385C84">
        <w:t>in-depth</w:t>
      </w:r>
      <w:r w:rsidR="00B1742C">
        <w:t xml:space="preserve"> </w:t>
      </w:r>
      <w:r w:rsidRPr="004300A7">
        <w:t>evaluation include</w:t>
      </w:r>
      <w:r w:rsidR="00934FAA">
        <w:t>d</w:t>
      </w:r>
      <w:r w:rsidR="005C1A7D">
        <w:t>,</w:t>
      </w:r>
      <w:r w:rsidRPr="004300A7">
        <w:t xml:space="preserve"> </w:t>
      </w:r>
      <w:r w:rsidR="001F5E58">
        <w:t>without limitation</w:t>
      </w:r>
      <w:r w:rsidR="005C1A7D">
        <w:t>,</w:t>
      </w:r>
      <w:r w:rsidRPr="004300A7">
        <w:t xml:space="preserve"> </w:t>
      </w:r>
      <w:r w:rsidR="00BF04BB">
        <w:t xml:space="preserve">the </w:t>
      </w:r>
      <w:r w:rsidRPr="004300A7">
        <w:t xml:space="preserve">effects </w:t>
      </w:r>
      <w:r w:rsidR="150A40C9">
        <w:t>of</w:t>
      </w:r>
      <w:r>
        <w:t xml:space="preserve"> </w:t>
      </w:r>
      <w:r w:rsidRPr="004300A7">
        <w:t xml:space="preserve">the various beneficial use proposals on closure plans, project timelines, project costs, project sequencing, and </w:t>
      </w:r>
      <w:r w:rsidR="00BF04BB">
        <w:t xml:space="preserve">project </w:t>
      </w:r>
      <w:r w:rsidRPr="004300A7">
        <w:t xml:space="preserve">infrastructure requirements.  </w:t>
      </w:r>
      <w:r w:rsidR="007C13B7">
        <w:t xml:space="preserve">The results of the assessment indicated that </w:t>
      </w:r>
      <w:r w:rsidR="008B7F40">
        <w:t xml:space="preserve">not all </w:t>
      </w:r>
      <w:r w:rsidR="00467D97">
        <w:t>proposals</w:t>
      </w:r>
      <w:r w:rsidR="008B7F40">
        <w:t xml:space="preserve"> were </w:t>
      </w:r>
      <w:r w:rsidR="007C13B7">
        <w:t>expected</w:t>
      </w:r>
      <w:r w:rsidR="007920D4">
        <w:t xml:space="preserve"> </w:t>
      </w:r>
      <w:r w:rsidR="00570C0E">
        <w:t xml:space="preserve">to add value </w:t>
      </w:r>
      <w:r w:rsidR="007920D4">
        <w:t>to customers</w:t>
      </w:r>
      <w:r w:rsidR="007C13B7">
        <w:t xml:space="preserve">; however, some proposals did show </w:t>
      </w:r>
      <w:r w:rsidR="00533848">
        <w:t xml:space="preserve">the </w:t>
      </w:r>
      <w:r w:rsidR="007C13B7">
        <w:t>potential</w:t>
      </w:r>
      <w:r w:rsidR="00533848">
        <w:t xml:space="preserve"> for overall </w:t>
      </w:r>
      <w:r w:rsidR="00A9525D">
        <w:t xml:space="preserve">net </w:t>
      </w:r>
      <w:r w:rsidR="00533848">
        <w:t>benefits</w:t>
      </w:r>
      <w:r w:rsidR="007C13B7">
        <w:t>.</w:t>
      </w:r>
      <w:r w:rsidR="00A376BC">
        <w:t xml:space="preserve"> </w:t>
      </w:r>
      <w:r w:rsidR="00CC632A">
        <w:t xml:space="preserve"> </w:t>
      </w:r>
      <w:r w:rsidR="00B706D6" w:rsidRPr="00DB6447">
        <w:t>In the third quarter of 2021, the Company</w:t>
      </w:r>
      <w:r w:rsidR="00DB6447">
        <w:t xml:space="preserve"> </w:t>
      </w:r>
      <w:r w:rsidR="00BF04BB">
        <w:t>initiated</w:t>
      </w:r>
      <w:r w:rsidR="00DB6447">
        <w:t xml:space="preserve"> </w:t>
      </w:r>
      <w:r w:rsidR="00B706D6" w:rsidRPr="00DB6447">
        <w:t>negotiations with</w:t>
      </w:r>
      <w:r w:rsidR="00DB6447">
        <w:t xml:space="preserve"> </w:t>
      </w:r>
      <w:r w:rsidR="00B706D6" w:rsidRPr="00DB6447">
        <w:t>top</w:t>
      </w:r>
      <w:r w:rsidR="00DB6447">
        <w:t xml:space="preserve"> </w:t>
      </w:r>
      <w:r w:rsidR="00B706D6" w:rsidRPr="00DB6447">
        <w:t>bidders.</w:t>
      </w:r>
      <w:r w:rsidR="00CA0EA7" w:rsidRPr="00DB6447">
        <w:t xml:space="preserve"> </w:t>
      </w:r>
      <w:r w:rsidR="00CA0EA7" w:rsidRPr="00262ADB">
        <w:t>Georgia Power</w:t>
      </w:r>
      <w:r w:rsidR="00DB6447" w:rsidRPr="00262ADB">
        <w:t xml:space="preserve"> </w:t>
      </w:r>
      <w:r w:rsidR="00E05F36">
        <w:t xml:space="preserve">is </w:t>
      </w:r>
      <w:r w:rsidR="00734104" w:rsidRPr="00262ADB">
        <w:t>continu</w:t>
      </w:r>
      <w:r w:rsidR="00E05F36">
        <w:t>ing to</w:t>
      </w:r>
      <w:r w:rsidR="00734104" w:rsidRPr="00262ADB">
        <w:t xml:space="preserve"> </w:t>
      </w:r>
      <w:r w:rsidR="00CA0EA7" w:rsidRPr="00262ADB">
        <w:t>negotiat</w:t>
      </w:r>
      <w:r w:rsidR="00E05F36">
        <w:t>e</w:t>
      </w:r>
      <w:r w:rsidR="00DB6447" w:rsidRPr="00262ADB">
        <w:t xml:space="preserve"> </w:t>
      </w:r>
      <w:r w:rsidR="00CA0EA7" w:rsidRPr="00262ADB">
        <w:t>with vendors</w:t>
      </w:r>
      <w:r w:rsidR="00DB6447" w:rsidRPr="00262ADB">
        <w:t xml:space="preserve"> </w:t>
      </w:r>
      <w:r w:rsidR="00CA0EA7" w:rsidRPr="00262ADB">
        <w:t>and</w:t>
      </w:r>
      <w:r w:rsidR="00DB6447" w:rsidRPr="00262ADB">
        <w:t xml:space="preserve"> </w:t>
      </w:r>
      <w:r w:rsidR="00CA0EA7" w:rsidRPr="00262ADB">
        <w:t>expects to</w:t>
      </w:r>
      <w:r w:rsidR="00DB6447" w:rsidRPr="00262ADB">
        <w:t xml:space="preserve"> </w:t>
      </w:r>
      <w:r w:rsidR="00CA0EA7" w:rsidRPr="00262ADB">
        <w:t>complete the RFP process</w:t>
      </w:r>
      <w:r w:rsidR="00DB6447" w:rsidRPr="00262ADB">
        <w:t xml:space="preserve"> </w:t>
      </w:r>
      <w:r w:rsidR="00CA0EA7" w:rsidRPr="00262ADB">
        <w:t>in</w:t>
      </w:r>
      <w:r w:rsidR="00DB6447" w:rsidRPr="00262ADB">
        <w:t xml:space="preserve"> </w:t>
      </w:r>
      <w:r w:rsidR="00A36E09">
        <w:t>2022</w:t>
      </w:r>
      <w:r w:rsidR="00DB6447" w:rsidRPr="00262ADB">
        <w:t xml:space="preserve"> </w:t>
      </w:r>
      <w:r w:rsidR="00991873">
        <w:t xml:space="preserve">and incorporate beneficial use </w:t>
      </w:r>
      <w:r w:rsidR="00C60DA9">
        <w:t xml:space="preserve">into the closure plans at certain facilities. </w:t>
      </w:r>
    </w:p>
    <w:p w14:paraId="564EF45F" w14:textId="31E95BE6" w:rsidR="00AB230F" w:rsidRDefault="00AB230F" w:rsidP="00E2493E">
      <w:bookmarkStart w:id="75" w:name="_Hlk94110936"/>
      <w:r>
        <w:t>Based upon the information received through the RFP</w:t>
      </w:r>
      <w:r w:rsidR="0031180E">
        <w:t>, for certain facilities</w:t>
      </w:r>
      <w:r w:rsidR="00A27590">
        <w:t>,</w:t>
      </w:r>
      <w:r w:rsidR="0031180E">
        <w:t xml:space="preserve"> there is </w:t>
      </w:r>
      <w:r w:rsidR="76247CF7">
        <w:t>an</w:t>
      </w:r>
      <w:r w:rsidR="15F8253D">
        <w:t xml:space="preserve"> </w:t>
      </w:r>
      <w:r w:rsidR="0031180E">
        <w:t xml:space="preserve">opportunity to incorporate ash beneficial use throughout </w:t>
      </w:r>
      <w:r w:rsidR="00805767">
        <w:t>the multi-year closure timeframe</w:t>
      </w:r>
      <w:r w:rsidR="0083128B">
        <w:t xml:space="preserve"> </w:t>
      </w:r>
      <w:r w:rsidR="00027AE4">
        <w:t xml:space="preserve">in </w:t>
      </w:r>
      <w:r w:rsidR="006D524E">
        <w:t>an effort</w:t>
      </w:r>
      <w:r w:rsidR="00027AE4">
        <w:t xml:space="preserve"> to return an</w:t>
      </w:r>
      <w:r w:rsidR="00B6575A">
        <w:t xml:space="preserve"> expected </w:t>
      </w:r>
      <w:r w:rsidR="00A4728A">
        <w:t xml:space="preserve">net </w:t>
      </w:r>
      <w:r w:rsidR="00027AE4">
        <w:t xml:space="preserve">positive benefit </w:t>
      </w:r>
      <w:r w:rsidR="00AD1068">
        <w:t>for customers</w:t>
      </w:r>
      <w:r w:rsidR="007F2721">
        <w:t xml:space="preserve">.  </w:t>
      </w:r>
      <w:r w:rsidR="00027AE4">
        <w:t>P</w:t>
      </w:r>
      <w:r w:rsidR="00112616">
        <w:t xml:space="preserve">ossible </w:t>
      </w:r>
      <w:r w:rsidR="00BF2675">
        <w:t xml:space="preserve">future </w:t>
      </w:r>
      <w:r w:rsidR="007F2721">
        <w:t xml:space="preserve">benefits </w:t>
      </w:r>
      <w:r w:rsidR="00027AE4">
        <w:t xml:space="preserve">associated with </w:t>
      </w:r>
      <w:r w:rsidR="003440EF">
        <w:t>the</w:t>
      </w:r>
      <w:r w:rsidR="00027AE4">
        <w:t xml:space="preserve"> beneficial use proposals</w:t>
      </w:r>
      <w:r w:rsidR="007F2721">
        <w:t xml:space="preserve"> include</w:t>
      </w:r>
      <w:r w:rsidR="00F33E8A">
        <w:t xml:space="preserve"> </w:t>
      </w:r>
      <w:r w:rsidR="007E78B5">
        <w:t xml:space="preserve">increased </w:t>
      </w:r>
      <w:r w:rsidR="002608E0">
        <w:t>ash sales</w:t>
      </w:r>
      <w:r w:rsidR="0079084B">
        <w:t>, reduced long term liability,</w:t>
      </w:r>
      <w:r w:rsidR="00763DAB">
        <w:t xml:space="preserve"> </w:t>
      </w:r>
      <w:r w:rsidR="002608E0">
        <w:t xml:space="preserve">and </w:t>
      </w:r>
      <w:r w:rsidR="00763DAB">
        <w:t xml:space="preserve">reduced </w:t>
      </w:r>
      <w:r w:rsidR="002608E0">
        <w:t>closure costs</w:t>
      </w:r>
      <w:r w:rsidR="00D65A71">
        <w:t>.  Reduced costs could take</w:t>
      </w:r>
      <w:r w:rsidR="00A94F2C">
        <w:t xml:space="preserve"> the form</w:t>
      </w:r>
      <w:r w:rsidR="00763DAB">
        <w:t xml:space="preserve"> of</w:t>
      </w:r>
      <w:r w:rsidR="00D673CF">
        <w:t xml:space="preserve"> reduced ash volumes moved during closure, a reduced closure footprint, reduced landfill space needed to support closure, and</w:t>
      </w:r>
      <w:r w:rsidR="00A442A5">
        <w:t>/or</w:t>
      </w:r>
      <w:r w:rsidR="00D673CF">
        <w:t xml:space="preserve"> reduced post closure </w:t>
      </w:r>
      <w:r w:rsidR="00D673CF" w:rsidRPr="004E6AAC">
        <w:t>care.</w:t>
      </w:r>
      <w:r w:rsidR="00CD1D34" w:rsidRPr="004E6AAC">
        <w:t xml:space="preserve">  </w:t>
      </w:r>
      <w:r w:rsidR="004E6AAC" w:rsidRPr="004E6AAC">
        <w:t>REDACTED REDACTED REDACTED REDACTED REDACTED REDACTED REDACTED REDACTED REDACTED REDACTED REDACTED REDACTED REDACTED REDACTED REDACTED REDACTED REDACTED REDACTED REDACTED REDACTED REDACTED REDACTED REDACTED REDACTED REDACTED REDACTED REDACTED REDACTED REDACTED REDACTED</w:t>
      </w:r>
      <w:r w:rsidR="00CD1D34" w:rsidRPr="004E6AAC">
        <w:t xml:space="preserve"> </w:t>
      </w:r>
      <w:r w:rsidR="003E1FD0">
        <w:t xml:space="preserve">As the </w:t>
      </w:r>
      <w:r w:rsidR="007C3AFD">
        <w:t>beneficial use</w:t>
      </w:r>
      <w:r w:rsidR="003E1FD0">
        <w:t xml:space="preserve"> RFP </w:t>
      </w:r>
      <w:r w:rsidR="00955FD8">
        <w:t xml:space="preserve">evaluation </w:t>
      </w:r>
      <w:r w:rsidR="003E1FD0">
        <w:t xml:space="preserve">process </w:t>
      </w:r>
      <w:r w:rsidR="00955FD8">
        <w:t xml:space="preserve">concludes, the </w:t>
      </w:r>
      <w:r w:rsidR="00F95D7C">
        <w:t>C</w:t>
      </w:r>
      <w:r w:rsidR="00955FD8">
        <w:t xml:space="preserve">ompany will proceed with projects that provide value to customers and </w:t>
      </w:r>
      <w:r w:rsidR="000A051B">
        <w:t xml:space="preserve">places </w:t>
      </w:r>
      <w:r w:rsidR="000C0FBD">
        <w:t xml:space="preserve">ash into the market for reuse. </w:t>
      </w:r>
      <w:r w:rsidR="006C62E5">
        <w:t xml:space="preserve">  </w:t>
      </w:r>
    </w:p>
    <w:bookmarkEnd w:id="75"/>
    <w:p w14:paraId="025C44A7" w14:textId="10C5374F" w:rsidR="00205F9B" w:rsidRDefault="00346CDB" w:rsidP="00E2493E">
      <w:r>
        <w:t xml:space="preserve">The CCR ARO </w:t>
      </w:r>
      <w:r w:rsidR="00660052">
        <w:t xml:space="preserve">compliance program is long term in nature with the possibility for changing market conditions, technology advancements, and </w:t>
      </w:r>
      <w:r w:rsidR="00505BB3">
        <w:t>many o</w:t>
      </w:r>
      <w:r w:rsidR="001B2793">
        <w:t>ther</w:t>
      </w:r>
      <w:r w:rsidR="00505BB3">
        <w:t xml:space="preserve"> factors over the coming decades.  </w:t>
      </w:r>
      <w:r w:rsidR="00205F9B">
        <w:t xml:space="preserve"> </w:t>
      </w:r>
      <w:r w:rsidR="00505BB3" w:rsidRPr="00262ADB">
        <w:rPr>
          <w:rFonts w:cs="Arial"/>
          <w:lang w:val="en"/>
        </w:rPr>
        <w:t xml:space="preserve">The Company will continue to </w:t>
      </w:r>
      <w:r w:rsidR="00505BB3">
        <w:rPr>
          <w:rFonts w:cs="Arial"/>
          <w:lang w:val="en"/>
        </w:rPr>
        <w:t xml:space="preserve">monitor progress with its current </w:t>
      </w:r>
      <w:r w:rsidR="00F81FEC">
        <w:rPr>
          <w:rFonts w:cs="Arial"/>
          <w:lang w:val="en"/>
        </w:rPr>
        <w:t xml:space="preserve">beneficial use </w:t>
      </w:r>
      <w:r w:rsidR="00505BB3">
        <w:rPr>
          <w:rFonts w:cs="Arial"/>
          <w:lang w:val="en"/>
        </w:rPr>
        <w:t xml:space="preserve">plans, as well as </w:t>
      </w:r>
      <w:r w:rsidR="00505BB3" w:rsidRPr="00262ADB">
        <w:rPr>
          <w:rFonts w:cs="Arial"/>
          <w:lang w:val="en"/>
        </w:rPr>
        <w:t xml:space="preserve">consider </w:t>
      </w:r>
      <w:r w:rsidR="00505BB3">
        <w:rPr>
          <w:rFonts w:cs="Arial"/>
          <w:lang w:val="en"/>
        </w:rPr>
        <w:t xml:space="preserve">additional </w:t>
      </w:r>
      <w:r w:rsidR="00505BB3" w:rsidRPr="00262ADB">
        <w:rPr>
          <w:rFonts w:cs="Arial"/>
          <w:lang w:val="en"/>
        </w:rPr>
        <w:t xml:space="preserve">beneficial use opportunities </w:t>
      </w:r>
      <w:r w:rsidR="00505BB3">
        <w:rPr>
          <w:rFonts w:cs="Arial"/>
          <w:lang w:val="en"/>
        </w:rPr>
        <w:t xml:space="preserve">as </w:t>
      </w:r>
      <w:r w:rsidR="00505BB3" w:rsidRPr="00262ADB">
        <w:rPr>
          <w:rFonts w:cs="Arial"/>
          <w:lang w:val="en"/>
        </w:rPr>
        <w:t>appropriat</w:t>
      </w:r>
      <w:r w:rsidR="00505BB3" w:rsidRPr="06EC554D">
        <w:rPr>
          <w:rFonts w:cs="Arial"/>
          <w:lang w:val="en"/>
        </w:rPr>
        <w:t>e</w:t>
      </w:r>
      <w:r w:rsidR="00505BB3" w:rsidRPr="00AA38F0">
        <w:rPr>
          <w:rFonts w:cs="Arial"/>
          <w:lang w:val="en"/>
        </w:rPr>
        <w:t xml:space="preserve"> </w:t>
      </w:r>
      <w:r w:rsidR="009E6F2D">
        <w:rPr>
          <w:rFonts w:cs="Arial"/>
          <w:lang w:val="en"/>
        </w:rPr>
        <w:t>in</w:t>
      </w:r>
      <w:r w:rsidR="00505BB3" w:rsidRPr="00AA38F0">
        <w:rPr>
          <w:rFonts w:cs="Arial"/>
          <w:lang w:val="en"/>
        </w:rPr>
        <w:t xml:space="preserve"> the </w:t>
      </w:r>
      <w:r w:rsidR="009E6F2D">
        <w:rPr>
          <w:rFonts w:cs="Arial"/>
          <w:lang w:val="en"/>
        </w:rPr>
        <w:t>future</w:t>
      </w:r>
      <w:r w:rsidR="00505BB3">
        <w:rPr>
          <w:rFonts w:cs="Arial"/>
          <w:lang w:val="en"/>
        </w:rPr>
        <w:t>.</w:t>
      </w:r>
    </w:p>
    <w:p w14:paraId="70E5BB1F" w14:textId="685A6C2D" w:rsidR="00A034DD" w:rsidRDefault="00A034DD" w:rsidP="0096252B">
      <w:pPr>
        <w:pStyle w:val="Heading2"/>
        <w:rPr>
          <w:rFonts w:cs="Arial"/>
          <w:color w:val="000080"/>
        </w:rPr>
      </w:pPr>
      <w:bookmarkStart w:id="76" w:name="_Toc94197919"/>
      <w:r w:rsidRPr="00B34A5A">
        <w:t>4.4 Strategy and Schedule</w:t>
      </w:r>
      <w:bookmarkEnd w:id="76"/>
    </w:p>
    <w:p w14:paraId="36625042" w14:textId="54D16FD3" w:rsidR="00F84A2D" w:rsidRDefault="00FE5671" w:rsidP="008025DB">
      <w:r w:rsidRPr="00DB7156">
        <w:t xml:space="preserve">The environmental </w:t>
      </w:r>
      <w:r w:rsidR="00EA6451">
        <w:t xml:space="preserve">compliance </w:t>
      </w:r>
      <w:r w:rsidRPr="00DB7156">
        <w:t xml:space="preserve">strategy and schedule continue to evolve, even as state and federal requirements are being proposed and finalized. The </w:t>
      </w:r>
      <w:r>
        <w:t>2</w:t>
      </w:r>
      <w:r w:rsidR="00523943">
        <w:t>02</w:t>
      </w:r>
      <w:r w:rsidR="007A0136">
        <w:t>2</w:t>
      </w:r>
      <w:r w:rsidRPr="00DB7156">
        <w:t xml:space="preserve"> </w:t>
      </w:r>
      <w:r w:rsidR="001B0F71">
        <w:t>Georgia Power</w:t>
      </w:r>
      <w:r w:rsidR="001B0F71" w:rsidRPr="00DB7156">
        <w:t xml:space="preserve"> </w:t>
      </w:r>
      <w:r w:rsidRPr="00DB7156">
        <w:t>environmental</w:t>
      </w:r>
      <w:r w:rsidR="00CF7E22">
        <w:t xml:space="preserve"> </w:t>
      </w:r>
      <w:r w:rsidR="001B0F71">
        <w:t xml:space="preserve">compliance </w:t>
      </w:r>
      <w:r w:rsidRPr="00DB7156">
        <w:t>strategy and schedule</w:t>
      </w:r>
      <w:r>
        <w:t>, resulting from the 20</w:t>
      </w:r>
      <w:r w:rsidR="00523943">
        <w:t>2</w:t>
      </w:r>
      <w:r w:rsidR="007A0136">
        <w:t>1</w:t>
      </w:r>
      <w:r>
        <w:t xml:space="preserve"> strategy review process,</w:t>
      </w:r>
      <w:r w:rsidRPr="00DB7156">
        <w:t xml:space="preserve"> for all media are p</w:t>
      </w:r>
      <w:r>
        <w:t>rovided in Figure 4.4-1.</w:t>
      </w:r>
      <w:r w:rsidRPr="00DB7156">
        <w:t xml:space="preserve"> </w:t>
      </w:r>
      <w:r>
        <w:t xml:space="preserve">The Company </w:t>
      </w:r>
      <w:r w:rsidR="008B4F92">
        <w:t xml:space="preserve">will </w:t>
      </w:r>
      <w:r>
        <w:t xml:space="preserve">continue to review each schedule and update as applicable throughout implementation of this complex and multifaceted strategy. </w:t>
      </w:r>
    </w:p>
    <w:p w14:paraId="13538C2B" w14:textId="1A833175" w:rsidR="00307055" w:rsidRDefault="008B1D16" w:rsidP="00307055">
      <w:pPr>
        <w:spacing w:after="0"/>
        <w:rPr>
          <w:rFonts w:eastAsia="Calibri" w:cs="Arial"/>
          <w:b/>
          <w:color w:val="000000"/>
        </w:rPr>
      </w:pPr>
      <w:r>
        <w:rPr>
          <w:noProof/>
        </w:rPr>
        <w:drawing>
          <wp:inline distT="0" distB="0" distL="0" distR="0" wp14:anchorId="194A74FB" wp14:editId="5EF5E5F1">
            <wp:extent cx="5943600" cy="416623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4166235"/>
                    </a:xfrm>
                    <a:prstGeom prst="rect">
                      <a:avLst/>
                    </a:prstGeom>
                  </pic:spPr>
                </pic:pic>
              </a:graphicData>
            </a:graphic>
          </wp:inline>
        </w:drawing>
      </w:r>
      <w:r w:rsidR="6770B689">
        <w:br/>
      </w:r>
      <w:r w:rsidR="002601D3" w:rsidRPr="7E2A10EB">
        <w:rPr>
          <w:rFonts w:eastAsia="Calibri" w:cs="Arial"/>
          <w:b/>
          <w:color w:val="000000" w:themeColor="text1"/>
        </w:rPr>
        <w:t xml:space="preserve"> </w:t>
      </w:r>
      <w:r w:rsidR="00307055" w:rsidRPr="7E2A10EB">
        <w:rPr>
          <w:rFonts w:eastAsia="Calibri" w:cs="Arial"/>
          <w:b/>
          <w:color w:val="000000" w:themeColor="text1"/>
        </w:rPr>
        <w:t>Figure 4.4</w:t>
      </w:r>
      <w:r w:rsidR="00AB2BAB" w:rsidRPr="7E2A10EB">
        <w:rPr>
          <w:rFonts w:eastAsia="Calibri" w:cs="Arial"/>
          <w:b/>
          <w:color w:val="000000" w:themeColor="text1"/>
        </w:rPr>
        <w:t>-1 20</w:t>
      </w:r>
      <w:r w:rsidR="00C1749C" w:rsidRPr="7E2A10EB">
        <w:rPr>
          <w:rFonts w:eastAsia="Calibri" w:cs="Arial"/>
          <w:b/>
          <w:color w:val="000000" w:themeColor="text1"/>
        </w:rPr>
        <w:t>21</w:t>
      </w:r>
      <w:r w:rsidR="00AB2BAB" w:rsidRPr="7E2A10EB">
        <w:rPr>
          <w:rFonts w:eastAsia="Calibri" w:cs="Arial"/>
          <w:b/>
          <w:color w:val="000000" w:themeColor="text1"/>
        </w:rPr>
        <w:t xml:space="preserve"> Environmental Compliance Strategy Schedule </w:t>
      </w:r>
    </w:p>
    <w:p w14:paraId="544EFE5E" w14:textId="77777777" w:rsidR="00A034DD" w:rsidRDefault="00A034DD" w:rsidP="00AD24E0">
      <w:pPr>
        <w:rPr>
          <w:rFonts w:eastAsiaTheme="majorEastAsia" w:cs="Arial"/>
          <w:b/>
          <w:color w:val="005D8A" w:themeColor="accent1" w:themeShade="BF"/>
          <w:szCs w:val="24"/>
        </w:rPr>
      </w:pPr>
    </w:p>
    <w:p w14:paraId="585C1B37" w14:textId="4C3BDDCE" w:rsidR="0015153F" w:rsidRDefault="0056625A" w:rsidP="00CE151D">
      <w:pPr>
        <w:pStyle w:val="Heading2"/>
      </w:pPr>
      <w:bookmarkStart w:id="77" w:name="_Toc94197920"/>
      <w:r w:rsidRPr="00F214C7">
        <w:t xml:space="preserve">4.5 </w:t>
      </w:r>
      <w:r w:rsidRPr="00CD784E">
        <w:t>Financial Summary</w:t>
      </w:r>
      <w:bookmarkEnd w:id="77"/>
    </w:p>
    <w:p w14:paraId="694D0D4E" w14:textId="459AD81A" w:rsidR="001D6ECD" w:rsidRDefault="001D6ECD" w:rsidP="008025DB">
      <w:pPr>
        <w:rPr>
          <w:color w:val="000000" w:themeColor="text1"/>
        </w:rPr>
      </w:pPr>
      <w:r w:rsidRPr="0067339C">
        <w:t>Georgia Power’s annual totals were</w:t>
      </w:r>
      <w:r w:rsidR="0018256B" w:rsidRPr="0067339C">
        <w:rPr>
          <w:color w:val="171717" w:themeColor="background2" w:themeShade="1A"/>
        </w:rPr>
        <w:t xml:space="preserve"> </w:t>
      </w:r>
      <w:r w:rsidR="0018256B" w:rsidRPr="00607A77">
        <w:rPr>
          <w:color w:val="171717" w:themeColor="background2" w:themeShade="1A"/>
        </w:rPr>
        <w:t>$</w:t>
      </w:r>
      <w:r w:rsidR="050544B9" w:rsidRPr="00607A77">
        <w:rPr>
          <w:color w:val="171717" w:themeColor="background2" w:themeShade="1A"/>
        </w:rPr>
        <w:t>34</w:t>
      </w:r>
      <w:r w:rsidR="0018256B" w:rsidRPr="00607A77">
        <w:rPr>
          <w:color w:val="171717" w:themeColor="background2" w:themeShade="1A"/>
        </w:rPr>
        <w:t xml:space="preserve"> million, $</w:t>
      </w:r>
      <w:r w:rsidR="6FCF3766" w:rsidRPr="00607A77">
        <w:rPr>
          <w:color w:val="171717" w:themeColor="background2" w:themeShade="1A"/>
        </w:rPr>
        <w:t>72</w:t>
      </w:r>
      <w:r w:rsidR="0018256B" w:rsidRPr="00607A77">
        <w:rPr>
          <w:color w:val="171717" w:themeColor="background2" w:themeShade="1A"/>
        </w:rPr>
        <w:t xml:space="preserve"> million, and $291 million</w:t>
      </w:r>
      <w:r w:rsidR="0018256B" w:rsidRPr="0067339C">
        <w:rPr>
          <w:color w:val="171717" w:themeColor="background2" w:themeShade="1A"/>
        </w:rPr>
        <w:t xml:space="preserve"> for </w:t>
      </w:r>
      <w:r w:rsidR="0018256B" w:rsidRPr="00607A77">
        <w:rPr>
          <w:color w:val="171717" w:themeColor="background2" w:themeShade="1A"/>
        </w:rPr>
        <w:t>202</w:t>
      </w:r>
      <w:r w:rsidR="522484FD" w:rsidRPr="00607A77">
        <w:rPr>
          <w:color w:val="171717" w:themeColor="background2" w:themeShade="1A"/>
        </w:rPr>
        <w:t>1</w:t>
      </w:r>
      <w:r w:rsidR="0018256B" w:rsidRPr="00607A77">
        <w:rPr>
          <w:color w:val="171717" w:themeColor="background2" w:themeShade="1A"/>
        </w:rPr>
        <w:t>, 20</w:t>
      </w:r>
      <w:r w:rsidR="49DD0800" w:rsidRPr="00607A77">
        <w:rPr>
          <w:color w:val="171717" w:themeColor="background2" w:themeShade="1A"/>
        </w:rPr>
        <w:t>20</w:t>
      </w:r>
      <w:r w:rsidR="0018256B" w:rsidRPr="00607A77">
        <w:rPr>
          <w:color w:val="171717" w:themeColor="background2" w:themeShade="1A"/>
        </w:rPr>
        <w:t>, and 20</w:t>
      </w:r>
      <w:r w:rsidR="6D1996EC" w:rsidRPr="00607A77">
        <w:rPr>
          <w:color w:val="171717" w:themeColor="background2" w:themeShade="1A"/>
        </w:rPr>
        <w:t>19</w:t>
      </w:r>
      <w:r w:rsidR="0018256B" w:rsidRPr="0067339C">
        <w:rPr>
          <w:color w:val="171717" w:themeColor="background2" w:themeShade="1A"/>
        </w:rPr>
        <w:t xml:space="preserve"> respectively.</w:t>
      </w:r>
      <w:r w:rsidR="001F73AC" w:rsidRPr="0067339C">
        <w:rPr>
          <w:color w:val="171717" w:themeColor="background2" w:themeShade="1A"/>
        </w:rPr>
        <w:t xml:space="preserve"> </w:t>
      </w:r>
      <w:r w:rsidRPr="0067339C">
        <w:t xml:space="preserve">In </w:t>
      </w:r>
      <w:r w:rsidRPr="0067339C">
        <w:rPr>
          <w:color w:val="000000" w:themeColor="text1"/>
        </w:rPr>
        <w:t xml:space="preserve">Georgia Power’s Annual Report on Form 10-K for the year ended December 31, </w:t>
      </w:r>
      <w:r w:rsidR="008418A2" w:rsidRPr="0067339C">
        <w:rPr>
          <w:color w:val="000000" w:themeColor="text1"/>
        </w:rPr>
        <w:t>2020</w:t>
      </w:r>
      <w:r w:rsidRPr="0067339C">
        <w:rPr>
          <w:color w:val="000000" w:themeColor="text1"/>
        </w:rPr>
        <w:t xml:space="preserve">, </w:t>
      </w:r>
      <w:r w:rsidRPr="0067339C">
        <w:t>Georgia Power projected that base level capital expenditures to comply with existing statutes and</w:t>
      </w:r>
      <w:r w:rsidRPr="007D1525">
        <w:t xml:space="preserve"> regulations will be a total of approximately </w:t>
      </w:r>
      <w:r w:rsidRPr="00607A77">
        <w:rPr>
          <w:color w:val="000000" w:themeColor="text1"/>
        </w:rPr>
        <w:t>$</w:t>
      </w:r>
      <w:r w:rsidR="00945CE3" w:rsidRPr="00607A77">
        <w:rPr>
          <w:color w:val="000000" w:themeColor="text1"/>
        </w:rPr>
        <w:t xml:space="preserve">450 </w:t>
      </w:r>
      <w:r w:rsidRPr="00607A77">
        <w:rPr>
          <w:color w:val="000000" w:themeColor="text1"/>
        </w:rPr>
        <w:t xml:space="preserve">million from </w:t>
      </w:r>
      <w:r w:rsidR="00945CE3" w:rsidRPr="00607A77">
        <w:rPr>
          <w:color w:val="000000" w:themeColor="text1"/>
        </w:rPr>
        <w:t>2021</w:t>
      </w:r>
      <w:r w:rsidRPr="00607A77">
        <w:rPr>
          <w:color w:val="000000" w:themeColor="text1"/>
        </w:rPr>
        <w:t xml:space="preserve"> through </w:t>
      </w:r>
      <w:r w:rsidR="00945CE3" w:rsidRPr="00607A77">
        <w:rPr>
          <w:color w:val="000000" w:themeColor="text1"/>
        </w:rPr>
        <w:t>2025</w:t>
      </w:r>
      <w:r w:rsidRPr="00607A77">
        <w:rPr>
          <w:color w:val="000000" w:themeColor="text1"/>
        </w:rPr>
        <w:t>, with annual totals of approximately $</w:t>
      </w:r>
      <w:r w:rsidR="00945CE3" w:rsidRPr="00607A77">
        <w:rPr>
          <w:color w:val="000000" w:themeColor="text1"/>
        </w:rPr>
        <w:t xml:space="preserve">34 </w:t>
      </w:r>
      <w:r w:rsidRPr="00607A77">
        <w:rPr>
          <w:color w:val="000000" w:themeColor="text1"/>
        </w:rPr>
        <w:t>million, $</w:t>
      </w:r>
      <w:r w:rsidR="00945CE3" w:rsidRPr="00607A77">
        <w:rPr>
          <w:color w:val="000000" w:themeColor="text1"/>
        </w:rPr>
        <w:t xml:space="preserve">42 </w:t>
      </w:r>
      <w:r w:rsidRPr="00607A77">
        <w:rPr>
          <w:color w:val="000000" w:themeColor="text1"/>
        </w:rPr>
        <w:t>million, $</w:t>
      </w:r>
      <w:r w:rsidR="00945CE3" w:rsidRPr="00607A77">
        <w:rPr>
          <w:color w:val="000000" w:themeColor="text1"/>
        </w:rPr>
        <w:t xml:space="preserve">164 </w:t>
      </w:r>
      <w:r w:rsidRPr="00607A77">
        <w:rPr>
          <w:color w:val="000000" w:themeColor="text1"/>
        </w:rPr>
        <w:t>million, $</w:t>
      </w:r>
      <w:r w:rsidR="00452F04" w:rsidRPr="00607A77">
        <w:rPr>
          <w:color w:val="000000" w:themeColor="text1"/>
        </w:rPr>
        <w:t xml:space="preserve">151 </w:t>
      </w:r>
      <w:r w:rsidRPr="00607A77">
        <w:rPr>
          <w:color w:val="000000" w:themeColor="text1"/>
        </w:rPr>
        <w:t>million, and $</w:t>
      </w:r>
      <w:r w:rsidR="00452F04" w:rsidRPr="00607A77">
        <w:rPr>
          <w:color w:val="000000" w:themeColor="text1"/>
        </w:rPr>
        <w:t>59</w:t>
      </w:r>
      <w:r w:rsidRPr="00607A77">
        <w:rPr>
          <w:color w:val="000000" w:themeColor="text1"/>
        </w:rPr>
        <w:t xml:space="preserve"> million for </w:t>
      </w:r>
      <w:r w:rsidR="00452F04" w:rsidRPr="00607A77">
        <w:rPr>
          <w:color w:val="000000" w:themeColor="text1"/>
        </w:rPr>
        <w:t>2021</w:t>
      </w:r>
      <w:r w:rsidRPr="00607A77">
        <w:rPr>
          <w:color w:val="000000" w:themeColor="text1"/>
        </w:rPr>
        <w:t xml:space="preserve">, </w:t>
      </w:r>
      <w:r w:rsidR="00452F04" w:rsidRPr="00607A77">
        <w:rPr>
          <w:color w:val="000000" w:themeColor="text1"/>
        </w:rPr>
        <w:t>2022</w:t>
      </w:r>
      <w:r w:rsidRPr="00607A77">
        <w:rPr>
          <w:color w:val="000000" w:themeColor="text1"/>
        </w:rPr>
        <w:t xml:space="preserve">, </w:t>
      </w:r>
      <w:r w:rsidR="00452F04" w:rsidRPr="00607A77">
        <w:rPr>
          <w:color w:val="000000" w:themeColor="text1"/>
        </w:rPr>
        <w:t>2023</w:t>
      </w:r>
      <w:r w:rsidRPr="00607A77">
        <w:rPr>
          <w:color w:val="000000" w:themeColor="text1"/>
        </w:rPr>
        <w:t xml:space="preserve">, </w:t>
      </w:r>
      <w:r w:rsidR="00452F04" w:rsidRPr="00607A77">
        <w:rPr>
          <w:color w:val="000000" w:themeColor="text1"/>
        </w:rPr>
        <w:t xml:space="preserve">2024 </w:t>
      </w:r>
      <w:r w:rsidRPr="00607A77">
        <w:rPr>
          <w:color w:val="000000" w:themeColor="text1"/>
        </w:rPr>
        <w:t xml:space="preserve">and </w:t>
      </w:r>
      <w:r w:rsidR="00452F04" w:rsidRPr="00607A77">
        <w:rPr>
          <w:color w:val="000000" w:themeColor="text1"/>
        </w:rPr>
        <w:t>2025</w:t>
      </w:r>
      <w:r w:rsidRPr="00607A77">
        <w:rPr>
          <w:color w:val="000000" w:themeColor="text1"/>
        </w:rPr>
        <w:t>, respectively</w:t>
      </w:r>
      <w:r w:rsidR="003617BB">
        <w:rPr>
          <w:rStyle w:val="FootnoteReference"/>
          <w:color w:val="000000" w:themeColor="text1"/>
        </w:rPr>
        <w:footnoteReference w:id="4"/>
      </w:r>
      <w:r w:rsidRPr="00607A77">
        <w:rPr>
          <w:color w:val="000000" w:themeColor="text1"/>
        </w:rPr>
        <w:t>.</w:t>
      </w:r>
      <w:r w:rsidRPr="4B56D13D">
        <w:rPr>
          <w:color w:val="000000" w:themeColor="text1"/>
        </w:rPr>
        <w:t xml:space="preserve"> The environmental compliance capital</w:t>
      </w:r>
      <w:r w:rsidR="00741868" w:rsidRPr="4B56D13D">
        <w:rPr>
          <w:color w:val="000000" w:themeColor="text1"/>
        </w:rPr>
        <w:t>, CCR ARO</w:t>
      </w:r>
      <w:r w:rsidR="00FB1DD4" w:rsidRPr="4B56D13D">
        <w:rPr>
          <w:color w:val="000000" w:themeColor="text1"/>
        </w:rPr>
        <w:t>, and</w:t>
      </w:r>
      <w:r w:rsidRPr="4B56D13D">
        <w:rPr>
          <w:color w:val="000000" w:themeColor="text1"/>
        </w:rPr>
        <w:t xml:space="preserve"> O&amp;M costs are recovered through the Environmental Compliance Cost Recovery (“ECCR”) tariff, established in the Georgia PSC’s final order in Docket 25060-U. </w:t>
      </w:r>
    </w:p>
    <w:p w14:paraId="2055A5D7" w14:textId="6D81C1B6" w:rsidR="00462738" w:rsidRDefault="00462738" w:rsidP="008025DB">
      <w:pPr>
        <w:rPr>
          <w:color w:val="000000" w:themeColor="text1"/>
        </w:rPr>
      </w:pPr>
      <w:r w:rsidRPr="00462738">
        <w:rPr>
          <w:color w:val="000000" w:themeColor="text1"/>
        </w:rPr>
        <w:t>The Company’s compliance strategy, including potential unit retirement and replacement decisions, and future environmental capital expenditures will be affected by the final requirements of any new or revised environmental statutes and regulations that are enacted, including the proposed environmental legislation and regulations described; the cost, availability, and existing inventory of emissions allowances; and the Company’s fuel mix.</w:t>
      </w:r>
      <w:r w:rsidR="006F4C9B">
        <w:rPr>
          <w:color w:val="000000" w:themeColor="text1"/>
        </w:rPr>
        <w:t xml:space="preserve"> Additional information regarding the Company’s capital and O&amp;M expenditures can be found in </w:t>
      </w:r>
      <w:r w:rsidR="00692CD9">
        <w:rPr>
          <w:color w:val="000000" w:themeColor="text1"/>
        </w:rPr>
        <w:t>the ECCR table provided</w:t>
      </w:r>
      <w:r w:rsidR="002E5F5E">
        <w:rPr>
          <w:color w:val="000000" w:themeColor="text1"/>
        </w:rPr>
        <w:t xml:space="preserve"> </w:t>
      </w:r>
      <w:r w:rsidR="00692CD9">
        <w:rPr>
          <w:color w:val="000000" w:themeColor="text1"/>
        </w:rPr>
        <w:t xml:space="preserve">in Selected Supporting </w:t>
      </w:r>
      <w:r w:rsidR="002E5F5E">
        <w:rPr>
          <w:color w:val="000000" w:themeColor="text1"/>
        </w:rPr>
        <w:t xml:space="preserve">Information </w:t>
      </w:r>
      <w:r w:rsidR="000C0AFD" w:rsidRPr="000C0AFD">
        <w:rPr>
          <w:color w:val="000000" w:themeColor="text1"/>
        </w:rPr>
        <w:t>section of</w:t>
      </w:r>
      <w:r w:rsidR="002E5F5E">
        <w:rPr>
          <w:color w:val="000000" w:themeColor="text1"/>
        </w:rPr>
        <w:t xml:space="preserve"> Technical Appendix Volume 1. </w:t>
      </w:r>
    </w:p>
    <w:p w14:paraId="41389FAF" w14:textId="4677FB01" w:rsidR="00FE5E2C" w:rsidRPr="00761D22" w:rsidRDefault="00FE5E2C" w:rsidP="002531D4">
      <w:pPr>
        <w:pStyle w:val="Heading3"/>
        <w:rPr>
          <w:rFonts w:asciiTheme="minorHAnsi" w:eastAsiaTheme="minorEastAsia" w:hAnsiTheme="minorHAnsi"/>
        </w:rPr>
      </w:pPr>
      <w:bookmarkStart w:id="78" w:name="_Toc94197921"/>
      <w:r w:rsidRPr="6A44F22A">
        <w:t>4.5.</w:t>
      </w:r>
      <w:r w:rsidR="00654526">
        <w:t>1</w:t>
      </w:r>
      <w:r w:rsidR="00C337A3" w:rsidRPr="6A44F22A">
        <w:t xml:space="preserve"> </w:t>
      </w:r>
      <w:r w:rsidRPr="6A44F22A">
        <w:t>CCR Asset Retirement Obligations</w:t>
      </w:r>
      <w:bookmarkEnd w:id="78"/>
      <w:r w:rsidRPr="6A44F22A">
        <w:t xml:space="preserve"> </w:t>
      </w:r>
    </w:p>
    <w:p w14:paraId="5274BC34" w14:textId="71981D19" w:rsidR="00551360" w:rsidRPr="00543CA5" w:rsidRDefault="42FDD280" w:rsidP="008025DB">
      <w:pPr>
        <w:rPr>
          <w:bCs/>
          <w:color w:val="000000"/>
        </w:rPr>
      </w:pPr>
      <w:r w:rsidRPr="6A44F22A">
        <w:t xml:space="preserve">The Company is required to adhere to Accounting Standards Codification (“ASC”) 410-20 (formerly Financial Accounting Standard No. 143 and </w:t>
      </w:r>
      <w:r w:rsidR="006F3403">
        <w:t xml:space="preserve">Financial </w:t>
      </w:r>
      <w:r w:rsidR="002F4EF0">
        <w:t>Accounting</w:t>
      </w:r>
      <w:r w:rsidR="006F3403">
        <w:t xml:space="preserve"> Standards Board (“</w:t>
      </w:r>
      <w:r w:rsidRPr="6A44F22A">
        <w:t>FASB</w:t>
      </w:r>
      <w:r w:rsidR="006F3403">
        <w:t>”)</w:t>
      </w:r>
      <w:r w:rsidRPr="6A44F22A">
        <w:t xml:space="preserve"> Interpretation No. 47) which requires the Company to record the legal obligation associated with the retirement of a long-lived asset. In accordance with ASC 410-20, the Company records the estimated closure and post closure care costs of CCR ash ponds and landfills under the federal and state CCR Rules.</w:t>
      </w:r>
      <w:r w:rsidR="006630BA" w:rsidRPr="3D2C2AF0">
        <w:t xml:space="preserve"> </w:t>
      </w:r>
    </w:p>
    <w:p w14:paraId="6364F4D9" w14:textId="017EF128" w:rsidR="00551360" w:rsidRPr="005C05E9" w:rsidRDefault="006630BA" w:rsidP="45D25E2A">
      <w:pPr>
        <w:rPr>
          <w:color w:val="000000"/>
        </w:rPr>
      </w:pPr>
      <w:r w:rsidRPr="005C05E9">
        <w:t>The Company</w:t>
      </w:r>
      <w:r w:rsidR="00551360" w:rsidRPr="005C05E9">
        <w:t xml:space="preserve"> will continue to comply with all applicable state and federal regulatory requirements and is continually seeking to </w:t>
      </w:r>
      <w:r w:rsidR="2E3CF019" w:rsidRPr="005C05E9">
        <w:t xml:space="preserve">implement </w:t>
      </w:r>
      <w:r w:rsidR="00551360" w:rsidRPr="005C05E9">
        <w:t xml:space="preserve">appropriate beneficial uses of CCR. </w:t>
      </w:r>
      <w:r w:rsidR="00E67909" w:rsidRPr="005C05E9">
        <w:t xml:space="preserve">As provided </w:t>
      </w:r>
      <w:r w:rsidR="00E0654E" w:rsidRPr="005C05E9">
        <w:t xml:space="preserve">in the </w:t>
      </w:r>
      <w:r w:rsidR="00225A40" w:rsidRPr="005C05E9">
        <w:t>April 2022</w:t>
      </w:r>
      <w:r w:rsidR="00DB4507" w:rsidRPr="005C05E9">
        <w:t xml:space="preserve"> Selected Supporting Information</w:t>
      </w:r>
      <w:r w:rsidR="00E67909" w:rsidRPr="005C05E9">
        <w:t xml:space="preserve"> </w:t>
      </w:r>
      <w:r w:rsidR="000C0AFD" w:rsidRPr="005C05E9">
        <w:t>section of</w:t>
      </w:r>
      <w:r w:rsidR="00E67909" w:rsidRPr="005C05E9">
        <w:t xml:space="preserve"> Technical Appendix Vol</w:t>
      </w:r>
      <w:r w:rsidR="000D56DB" w:rsidRPr="005C05E9">
        <w:t>ume</w:t>
      </w:r>
      <w:r w:rsidR="00E67909" w:rsidRPr="005C05E9">
        <w:t xml:space="preserve"> </w:t>
      </w:r>
      <w:r w:rsidR="000D6CC7" w:rsidRPr="005C05E9">
        <w:t>1</w:t>
      </w:r>
      <w:r w:rsidR="00E67909" w:rsidRPr="005C05E9">
        <w:t xml:space="preserve">, the </w:t>
      </w:r>
      <w:r w:rsidR="004F69E4" w:rsidRPr="005C05E9">
        <w:t xml:space="preserve">updated </w:t>
      </w:r>
      <w:r w:rsidR="00E67909" w:rsidRPr="005C05E9">
        <w:t xml:space="preserve">CCR ARO table provides cost </w:t>
      </w:r>
      <w:r w:rsidR="000C7F0A" w:rsidRPr="005C05E9">
        <w:t xml:space="preserve">estimates </w:t>
      </w:r>
      <w:r w:rsidR="00E67909" w:rsidRPr="005C05E9">
        <w:t>for implementing the strategy described in Section 4.3</w:t>
      </w:r>
      <w:r w:rsidR="00357A28" w:rsidRPr="005C05E9">
        <w:t xml:space="preserve">, including a closure by removal </w:t>
      </w:r>
      <w:r w:rsidR="00763BE2" w:rsidRPr="005C05E9">
        <w:t>strategy for Plant Wansley</w:t>
      </w:r>
      <w:r w:rsidR="00350706" w:rsidRPr="005C05E9">
        <w:t xml:space="preserve"> pending </w:t>
      </w:r>
      <w:r w:rsidR="00E3719F" w:rsidRPr="005C05E9">
        <w:t>Commission</w:t>
      </w:r>
      <w:r w:rsidR="00350706" w:rsidRPr="005C05E9">
        <w:t xml:space="preserve"> approval of </w:t>
      </w:r>
      <w:r w:rsidR="00E3719F" w:rsidRPr="005C05E9">
        <w:t>retirements</w:t>
      </w:r>
      <w:r w:rsidR="00350706" w:rsidRPr="005C05E9">
        <w:t xml:space="preserve"> of </w:t>
      </w:r>
      <w:r w:rsidR="00357A28" w:rsidRPr="005C05E9">
        <w:t>Wansley Units 1 and 2</w:t>
      </w:r>
      <w:r w:rsidR="00FA212C" w:rsidRPr="005C05E9">
        <w:t>.</w:t>
      </w:r>
      <w:r w:rsidR="00F4163D" w:rsidRPr="005C05E9">
        <w:t xml:space="preserve"> </w:t>
      </w:r>
      <w:r w:rsidR="00E67909" w:rsidRPr="005C05E9">
        <w:t xml:space="preserve"> </w:t>
      </w:r>
      <w:r w:rsidR="00D56F43" w:rsidRPr="005C05E9">
        <w:t xml:space="preserve">As a program, </w:t>
      </w:r>
      <w:r w:rsidR="0097611F" w:rsidRPr="005C05E9">
        <w:t xml:space="preserve">if approved, </w:t>
      </w:r>
      <w:r w:rsidR="00E977D6" w:rsidRPr="005C05E9">
        <w:t>the Company anticipates that</w:t>
      </w:r>
      <w:r w:rsidR="0097611F" w:rsidRPr="005C05E9">
        <w:t xml:space="preserve"> </w:t>
      </w:r>
      <w:r w:rsidR="00E06CC7" w:rsidRPr="005C05E9">
        <w:t>t</w:t>
      </w:r>
      <w:r w:rsidR="00866ED7" w:rsidRPr="005C05E9">
        <w:t xml:space="preserve">he increase in </w:t>
      </w:r>
      <w:r w:rsidR="00D911B2" w:rsidRPr="005C05E9">
        <w:t xml:space="preserve">estimated </w:t>
      </w:r>
      <w:r w:rsidR="00866ED7" w:rsidRPr="005C05E9">
        <w:t xml:space="preserve">cost associated with </w:t>
      </w:r>
      <w:r w:rsidR="00A73616" w:rsidRPr="005C05E9">
        <w:t>a</w:t>
      </w:r>
      <w:r w:rsidR="00866ED7" w:rsidRPr="005C05E9">
        <w:t xml:space="preserve"> closure by remo</w:t>
      </w:r>
      <w:r w:rsidR="000557B4" w:rsidRPr="005C05E9">
        <w:t>v</w:t>
      </w:r>
      <w:r w:rsidR="00866ED7" w:rsidRPr="005C05E9">
        <w:t xml:space="preserve">al strategy </w:t>
      </w:r>
      <w:r w:rsidR="00295478" w:rsidRPr="005C05E9">
        <w:t xml:space="preserve">at Plant Wansley </w:t>
      </w:r>
      <w:r w:rsidR="002822B2" w:rsidRPr="005C05E9">
        <w:t xml:space="preserve">is </w:t>
      </w:r>
      <w:r w:rsidR="006D1FC6" w:rsidRPr="005C05E9">
        <w:t xml:space="preserve"> </w:t>
      </w:r>
      <w:r w:rsidR="00866ED7" w:rsidRPr="005C05E9">
        <w:t>mo</w:t>
      </w:r>
      <w:r w:rsidR="000557B4" w:rsidRPr="005C05E9">
        <w:t xml:space="preserve">re than offset by </w:t>
      </w:r>
      <w:r w:rsidR="00A97518" w:rsidRPr="005C05E9">
        <w:t xml:space="preserve">reductions in the program’s management reserve and </w:t>
      </w:r>
      <w:r w:rsidR="001431D4" w:rsidRPr="005C05E9">
        <w:t xml:space="preserve">an </w:t>
      </w:r>
      <w:r w:rsidR="00A97518" w:rsidRPr="005C05E9">
        <w:t>esca</w:t>
      </w:r>
      <w:r w:rsidR="00295478" w:rsidRPr="005C05E9">
        <w:t>la</w:t>
      </w:r>
      <w:r w:rsidR="00A97518" w:rsidRPr="005C05E9">
        <w:t xml:space="preserve">tion </w:t>
      </w:r>
      <w:r w:rsidR="00DE71F6" w:rsidRPr="005C05E9">
        <w:t xml:space="preserve">decrease </w:t>
      </w:r>
      <w:r w:rsidR="00CB6CD6" w:rsidRPr="005C05E9">
        <w:t>– subject to changes in market rates</w:t>
      </w:r>
      <w:r w:rsidR="00CF39A7" w:rsidRPr="005C05E9">
        <w:t xml:space="preserve"> – </w:t>
      </w:r>
      <w:r w:rsidR="002822B2" w:rsidRPr="005C05E9">
        <w:t xml:space="preserve">from </w:t>
      </w:r>
      <w:r w:rsidR="003F0D05" w:rsidRPr="005C05E9">
        <w:t xml:space="preserve">the </w:t>
      </w:r>
      <w:r w:rsidR="001845E0" w:rsidRPr="005C05E9">
        <w:t>revised</w:t>
      </w:r>
      <w:r w:rsidR="003F0D05" w:rsidRPr="005C05E9">
        <w:t xml:space="preserve"> cash flows</w:t>
      </w:r>
      <w:r w:rsidR="00A97518" w:rsidRPr="005C05E9">
        <w:t>.</w:t>
      </w:r>
      <w:r w:rsidR="000557B4" w:rsidRPr="005C05E9">
        <w:t xml:space="preserve"> </w:t>
      </w:r>
      <w:r w:rsidR="00357A28" w:rsidRPr="005C05E9">
        <w:t>T</w:t>
      </w:r>
      <w:r w:rsidR="000B697B" w:rsidRPr="005C05E9">
        <w:t xml:space="preserve">he Company will continue providing semi-annual </w:t>
      </w:r>
      <w:r w:rsidR="00110BB5" w:rsidRPr="005C05E9">
        <w:t xml:space="preserve">progress and cost data </w:t>
      </w:r>
      <w:r w:rsidR="000B697B" w:rsidRPr="005C05E9">
        <w:t xml:space="preserve">updates to the Commission under Docket </w:t>
      </w:r>
      <w:r w:rsidR="00110BB5" w:rsidRPr="005C05E9">
        <w:t xml:space="preserve">No. 43083. </w:t>
      </w:r>
      <w:r w:rsidR="00551360" w:rsidRPr="005C05E9">
        <w:t xml:space="preserve"> </w:t>
      </w:r>
    </w:p>
    <w:p w14:paraId="41A5D37D" w14:textId="0D730822" w:rsidR="34502E0D" w:rsidRDefault="34B0E5CA" w:rsidP="008025DB">
      <w:pPr>
        <w:rPr>
          <w:rFonts w:eastAsia="Arial"/>
        </w:rPr>
      </w:pPr>
      <w:r w:rsidRPr="005C05E9">
        <w:rPr>
          <w:rFonts w:eastAsia="Arial"/>
        </w:rPr>
        <w:t xml:space="preserve">As outlined in the Company’s </w:t>
      </w:r>
      <w:r w:rsidR="00EC1322" w:rsidRPr="005C05E9">
        <w:rPr>
          <w:rFonts w:eastAsia="Arial"/>
        </w:rPr>
        <w:t xml:space="preserve">CCR ARO </w:t>
      </w:r>
      <w:r w:rsidR="008E7E2B" w:rsidRPr="005C05E9">
        <w:rPr>
          <w:rFonts w:eastAsia="Arial"/>
        </w:rPr>
        <w:t>Program S</w:t>
      </w:r>
      <w:r w:rsidRPr="005C05E9">
        <w:rPr>
          <w:rFonts w:eastAsia="Arial"/>
        </w:rPr>
        <w:t>emi-</w:t>
      </w:r>
      <w:r w:rsidR="008E7E2B" w:rsidRPr="005C05E9">
        <w:rPr>
          <w:rFonts w:eastAsia="Arial"/>
        </w:rPr>
        <w:t>A</w:t>
      </w:r>
      <w:r w:rsidRPr="005C05E9">
        <w:rPr>
          <w:rFonts w:eastAsia="Arial"/>
        </w:rPr>
        <w:t>nnual</w:t>
      </w:r>
      <w:r w:rsidR="008E7E2B" w:rsidRPr="005C05E9">
        <w:rPr>
          <w:rFonts w:eastAsia="Arial"/>
        </w:rPr>
        <w:t xml:space="preserve"> Program Status Report</w:t>
      </w:r>
      <w:r w:rsidRPr="005C05E9">
        <w:rPr>
          <w:rFonts w:eastAsia="Arial"/>
        </w:rPr>
        <w:t xml:space="preserve">, the current forecasted spend for the CCR ARO program is the best estimate Georgia Power has at this time for this long-term compliance program spanning over </w:t>
      </w:r>
      <w:r w:rsidR="00942E30" w:rsidRPr="005C05E9">
        <w:rPr>
          <w:rFonts w:eastAsia="Arial"/>
        </w:rPr>
        <w:t xml:space="preserve">approximately </w:t>
      </w:r>
      <w:r w:rsidR="00375BDD" w:rsidRPr="005C05E9">
        <w:rPr>
          <w:rFonts w:eastAsia="Arial"/>
        </w:rPr>
        <w:t xml:space="preserve">the next </w:t>
      </w:r>
      <w:r w:rsidRPr="005C05E9">
        <w:rPr>
          <w:rFonts w:eastAsia="Arial"/>
        </w:rPr>
        <w:t>60 years into the future.  The Company’s cost estimates are based on various assumptions related to closure and post-closure costs, timing of future cash outlays, inflation and discount rates, and the methods for complying with closure requirements. Georgia Power will continue to update its cost estimates and ARO liabilities periodically as additional information related to these assumptions becomes available including, but not limited to, regulatory and legislative changes, permitting requirements, design completion, construction bids and progress, contract finalization, post closure requirements, and/or other external factors.</w:t>
      </w:r>
      <w:r w:rsidR="00357A28" w:rsidRPr="005C05E9">
        <w:rPr>
          <w:rFonts w:eastAsia="Arial"/>
        </w:rPr>
        <w:t xml:space="preserve">  Additionally, </w:t>
      </w:r>
      <w:r w:rsidR="00357A28" w:rsidRPr="005C05E9">
        <w:t xml:space="preserve">if the Commission </w:t>
      </w:r>
      <w:r w:rsidR="00ED305F" w:rsidRPr="005C05E9">
        <w:t>approves the</w:t>
      </w:r>
      <w:r w:rsidR="00357A28" w:rsidRPr="005C05E9">
        <w:t xml:space="preserve"> retirement of Plant Wansley Units 1 &amp; 2</w:t>
      </w:r>
      <w:r w:rsidR="003A6DDB" w:rsidRPr="005C05E9">
        <w:t>,</w:t>
      </w:r>
      <w:r w:rsidR="00357A28" w:rsidRPr="005C05E9">
        <w:t xml:space="preserve"> the Company</w:t>
      </w:r>
      <w:r w:rsidR="0053731A" w:rsidRPr="005C05E9">
        <w:t xml:space="preserve"> </w:t>
      </w:r>
      <w:r w:rsidR="00441C44" w:rsidRPr="005C05E9">
        <w:t xml:space="preserve">will </w:t>
      </w:r>
      <w:r w:rsidR="0053731A" w:rsidRPr="005C05E9">
        <w:t xml:space="preserve">continue to </w:t>
      </w:r>
      <w:r w:rsidR="00357A28" w:rsidRPr="005C05E9">
        <w:t xml:space="preserve">develop detailed design and engineering inputs for </w:t>
      </w:r>
      <w:r w:rsidR="00EC236C" w:rsidRPr="005C05E9">
        <w:t>the</w:t>
      </w:r>
      <w:r w:rsidR="00357A28" w:rsidRPr="005C05E9">
        <w:t xml:space="preserve"> closure by removal of the Wansley Ash Pond  and seek optimization of that strategy  with input from third party profession</w:t>
      </w:r>
      <w:r w:rsidR="00114956" w:rsidRPr="005C05E9">
        <w:t>al</w:t>
      </w:r>
      <w:r w:rsidR="00357A28" w:rsidRPr="005C05E9">
        <w:t>s. New information through these processes will be incorporated into future CCR ARO estimate revisions as appropriate.</w:t>
      </w:r>
    </w:p>
    <w:p w14:paraId="302A3F81" w14:textId="5395BC1E" w:rsidR="003526B6" w:rsidRDefault="003526B6" w:rsidP="008025DB"/>
    <w:p w14:paraId="5E60901C" w14:textId="52195D71" w:rsidR="0084759E" w:rsidRDefault="0084759E"/>
    <w:p w14:paraId="75BD50C1" w14:textId="2DDBC9C4" w:rsidR="00212ECA" w:rsidRDefault="00212ECA"/>
    <w:p w14:paraId="0A18E511" w14:textId="748FB07B" w:rsidR="20C0651E" w:rsidRDefault="20C0651E"/>
    <w:p w14:paraId="7FB02583" w14:textId="2465FA17" w:rsidR="0084759E" w:rsidRDefault="0084759E">
      <w:pPr>
        <w:rPr>
          <w:rFonts w:cs="Arial"/>
          <w:color w:val="000000"/>
        </w:rPr>
      </w:pPr>
      <w:r w:rsidRPr="7627664D">
        <w:rPr>
          <w:rFonts w:cs="Arial"/>
          <w:color w:val="000000" w:themeColor="text1"/>
        </w:rPr>
        <w:br w:type="page"/>
      </w:r>
    </w:p>
    <w:p w14:paraId="1F1555F8" w14:textId="77777777" w:rsidR="0084759E" w:rsidRPr="00DB7156" w:rsidRDefault="0084759E" w:rsidP="0084759E">
      <w:pPr>
        <w:spacing w:after="0"/>
        <w:outlineLvl w:val="0"/>
        <w:rPr>
          <w:rFonts w:cs="Arial"/>
          <w:b/>
          <w:color w:val="000080"/>
          <w:szCs w:val="24"/>
        </w:rPr>
      </w:pPr>
      <w:bookmarkStart w:id="79" w:name="_Toc535908104"/>
      <w:bookmarkStart w:id="80" w:name="_Toc94197922"/>
      <w:r w:rsidRPr="00DB7156">
        <w:rPr>
          <w:rFonts w:cs="Arial"/>
          <w:b/>
          <w:color w:val="000080"/>
          <w:szCs w:val="24"/>
        </w:rPr>
        <w:t>ECS-APPENDIX A</w:t>
      </w:r>
      <w:bookmarkEnd w:id="79"/>
      <w:bookmarkEnd w:id="80"/>
    </w:p>
    <w:p w14:paraId="108FD2CE" w14:textId="77777777" w:rsidR="0084759E" w:rsidRPr="00DB7156" w:rsidRDefault="0084759E" w:rsidP="0084759E">
      <w:pPr>
        <w:spacing w:after="0"/>
        <w:rPr>
          <w:rFonts w:cs="Arial"/>
          <w:color w:val="000080"/>
          <w:szCs w:val="24"/>
        </w:rPr>
      </w:pPr>
    </w:p>
    <w:p w14:paraId="7896D5CA" w14:textId="77777777" w:rsidR="0084759E" w:rsidRPr="00DB7156" w:rsidRDefault="0084759E" w:rsidP="0084759E">
      <w:pPr>
        <w:spacing w:after="0"/>
        <w:rPr>
          <w:rFonts w:cs="Arial"/>
          <w:b/>
          <w:caps/>
          <w:color w:val="000080"/>
          <w:szCs w:val="24"/>
          <w:u w:val="single"/>
        </w:rPr>
      </w:pPr>
      <w:r w:rsidRPr="00DB7156">
        <w:rPr>
          <w:rFonts w:cs="Arial"/>
          <w:b/>
          <w:caps/>
          <w:color w:val="000080"/>
          <w:szCs w:val="24"/>
          <w:u w:val="single"/>
        </w:rPr>
        <w:t>Acronyms/ABBREVIATIONS and Terminology</w:t>
      </w:r>
    </w:p>
    <w:p w14:paraId="4D94A5FC" w14:textId="77777777" w:rsidR="0084759E" w:rsidRPr="00DB7156" w:rsidRDefault="0084759E" w:rsidP="0084759E">
      <w:pPr>
        <w:tabs>
          <w:tab w:val="left" w:pos="3060"/>
        </w:tabs>
        <w:spacing w:after="0"/>
        <w:rPr>
          <w:rFonts w:cs="Arial"/>
          <w:szCs w:val="24"/>
        </w:rPr>
      </w:pPr>
    </w:p>
    <w:tbl>
      <w:tblPr>
        <w:tblW w:w="886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7185"/>
      </w:tblGrid>
      <w:tr w:rsidR="005A602C" w:rsidRPr="00DB7156" w14:paraId="25BF94CD" w14:textId="77777777" w:rsidTr="003019E9">
        <w:tc>
          <w:tcPr>
            <w:tcW w:w="1680" w:type="dxa"/>
          </w:tcPr>
          <w:p w14:paraId="5AB09B46" w14:textId="2EE7C8AD" w:rsidR="005A602C" w:rsidRPr="00DB7156" w:rsidRDefault="005A602C" w:rsidP="005A602C">
            <w:pPr>
              <w:spacing w:after="0"/>
              <w:ind w:left="-105" w:right="-202"/>
              <w:rPr>
                <w:rFonts w:cs="Arial"/>
                <w:b/>
                <w:color w:val="000080"/>
                <w:szCs w:val="24"/>
              </w:rPr>
            </w:pPr>
            <w:r>
              <w:rPr>
                <w:rFonts w:cs="Arial"/>
                <w:b/>
                <w:color w:val="000080"/>
                <w:szCs w:val="24"/>
              </w:rPr>
              <w:t>ABUC</w:t>
            </w:r>
          </w:p>
        </w:tc>
        <w:tc>
          <w:tcPr>
            <w:tcW w:w="7185" w:type="dxa"/>
          </w:tcPr>
          <w:p w14:paraId="4441A765" w14:textId="633CB381" w:rsidR="005A602C" w:rsidRPr="00DB7156" w:rsidRDefault="005A602C" w:rsidP="005A602C">
            <w:pPr>
              <w:spacing w:after="0"/>
              <w:ind w:right="-198"/>
              <w:rPr>
                <w:rFonts w:cs="Arial"/>
                <w:color w:val="000080"/>
                <w:szCs w:val="24"/>
              </w:rPr>
            </w:pPr>
            <w:r>
              <w:rPr>
                <w:rFonts w:cs="Arial"/>
                <w:color w:val="000080"/>
                <w:szCs w:val="24"/>
              </w:rPr>
              <w:t>Ash Beneficial Use Center</w:t>
            </w:r>
          </w:p>
        </w:tc>
      </w:tr>
      <w:tr w:rsidR="00D424A7" w:rsidRPr="00DB7156" w14:paraId="43E44D36" w14:textId="77777777" w:rsidTr="003019E9">
        <w:tc>
          <w:tcPr>
            <w:tcW w:w="1680" w:type="dxa"/>
          </w:tcPr>
          <w:p w14:paraId="2BE0353F" w14:textId="77777777" w:rsidR="00D424A7" w:rsidRDefault="00D424A7" w:rsidP="005A602C">
            <w:pPr>
              <w:spacing w:after="0"/>
              <w:ind w:left="-105" w:right="-202"/>
              <w:rPr>
                <w:rFonts w:cs="Arial"/>
                <w:b/>
                <w:color w:val="000080"/>
                <w:szCs w:val="24"/>
              </w:rPr>
            </w:pPr>
          </w:p>
        </w:tc>
        <w:tc>
          <w:tcPr>
            <w:tcW w:w="7185" w:type="dxa"/>
          </w:tcPr>
          <w:p w14:paraId="53677AF1" w14:textId="77777777" w:rsidR="00D424A7" w:rsidRDefault="00D424A7" w:rsidP="005A602C">
            <w:pPr>
              <w:spacing w:after="0"/>
              <w:ind w:right="-198"/>
              <w:rPr>
                <w:rFonts w:cs="Arial"/>
                <w:color w:val="000080"/>
                <w:szCs w:val="24"/>
              </w:rPr>
            </w:pPr>
          </w:p>
        </w:tc>
      </w:tr>
      <w:tr w:rsidR="005A602C" w:rsidRPr="00DB7156" w14:paraId="0A5F6E92" w14:textId="77777777" w:rsidTr="003019E9">
        <w:tc>
          <w:tcPr>
            <w:tcW w:w="1680" w:type="dxa"/>
          </w:tcPr>
          <w:p w14:paraId="41BC3E69" w14:textId="577A8D6B" w:rsidR="005A602C" w:rsidRPr="00DB7156" w:rsidRDefault="005A602C" w:rsidP="005A602C">
            <w:pPr>
              <w:spacing w:after="0"/>
              <w:ind w:left="-105" w:right="-202"/>
              <w:rPr>
                <w:rFonts w:cs="Arial"/>
                <w:b/>
                <w:color w:val="000080"/>
                <w:szCs w:val="24"/>
              </w:rPr>
            </w:pPr>
            <w:r>
              <w:rPr>
                <w:rFonts w:cs="Arial"/>
                <w:b/>
                <w:color w:val="000080"/>
                <w:szCs w:val="24"/>
              </w:rPr>
              <w:t>ACE</w:t>
            </w:r>
          </w:p>
        </w:tc>
        <w:tc>
          <w:tcPr>
            <w:tcW w:w="7185" w:type="dxa"/>
          </w:tcPr>
          <w:p w14:paraId="6DB315FD" w14:textId="13901C03" w:rsidR="005A602C" w:rsidRPr="00DB7156" w:rsidRDefault="005A602C" w:rsidP="005A602C">
            <w:pPr>
              <w:spacing w:after="0"/>
              <w:ind w:right="-198"/>
              <w:rPr>
                <w:rFonts w:cs="Arial"/>
                <w:color w:val="000080"/>
                <w:szCs w:val="24"/>
              </w:rPr>
            </w:pPr>
            <w:r>
              <w:rPr>
                <w:rFonts w:cs="Arial"/>
                <w:color w:val="000080"/>
                <w:szCs w:val="24"/>
              </w:rPr>
              <w:t xml:space="preserve">Affordable Clean Energy </w:t>
            </w:r>
          </w:p>
        </w:tc>
      </w:tr>
      <w:tr w:rsidR="005A602C" w:rsidRPr="00DB7156" w14:paraId="279A11B2" w14:textId="77777777" w:rsidTr="003019E9">
        <w:tc>
          <w:tcPr>
            <w:tcW w:w="1680" w:type="dxa"/>
          </w:tcPr>
          <w:p w14:paraId="0A217AA2" w14:textId="1A8F6646" w:rsidR="005A602C" w:rsidRPr="00DB7156" w:rsidRDefault="005A602C" w:rsidP="005A602C">
            <w:pPr>
              <w:spacing w:after="0"/>
              <w:ind w:left="-105" w:right="-202"/>
              <w:rPr>
                <w:rFonts w:cs="Arial"/>
                <w:b/>
                <w:color w:val="000080"/>
                <w:szCs w:val="24"/>
              </w:rPr>
            </w:pPr>
          </w:p>
        </w:tc>
        <w:tc>
          <w:tcPr>
            <w:tcW w:w="7185" w:type="dxa"/>
          </w:tcPr>
          <w:p w14:paraId="416A570B" w14:textId="0A535457" w:rsidR="005A602C" w:rsidRPr="00DB7156" w:rsidRDefault="005A602C" w:rsidP="005A602C">
            <w:pPr>
              <w:spacing w:after="0"/>
              <w:ind w:right="-198"/>
              <w:rPr>
                <w:rFonts w:cs="Arial"/>
                <w:color w:val="000080"/>
                <w:szCs w:val="24"/>
              </w:rPr>
            </w:pPr>
          </w:p>
        </w:tc>
      </w:tr>
      <w:tr w:rsidR="005A602C" w:rsidRPr="00DB7156" w14:paraId="152AB90C" w14:textId="77777777" w:rsidTr="003019E9">
        <w:tc>
          <w:tcPr>
            <w:tcW w:w="1680" w:type="dxa"/>
          </w:tcPr>
          <w:p w14:paraId="5CA5A531" w14:textId="39D736F7" w:rsidR="005A602C" w:rsidRPr="00DB7156" w:rsidRDefault="005A602C" w:rsidP="005A602C">
            <w:pPr>
              <w:spacing w:after="0"/>
              <w:ind w:left="-108" w:right="-202"/>
              <w:rPr>
                <w:rFonts w:cs="Arial"/>
                <w:b/>
                <w:color w:val="000080"/>
                <w:szCs w:val="24"/>
              </w:rPr>
            </w:pPr>
            <w:r w:rsidRPr="00DB7156">
              <w:rPr>
                <w:rFonts w:cs="Arial"/>
                <w:b/>
                <w:color w:val="000080"/>
                <w:szCs w:val="24"/>
              </w:rPr>
              <w:t>ACI</w:t>
            </w:r>
          </w:p>
        </w:tc>
        <w:tc>
          <w:tcPr>
            <w:tcW w:w="7185" w:type="dxa"/>
          </w:tcPr>
          <w:p w14:paraId="59BF263C" w14:textId="106485C3" w:rsidR="005A602C" w:rsidRPr="00DB7156" w:rsidRDefault="005A602C" w:rsidP="005A602C">
            <w:pPr>
              <w:spacing w:after="0"/>
              <w:ind w:right="-202"/>
              <w:rPr>
                <w:rFonts w:cs="Arial"/>
                <w:color w:val="000080"/>
                <w:szCs w:val="24"/>
              </w:rPr>
            </w:pPr>
            <w:r w:rsidRPr="00DB7156">
              <w:rPr>
                <w:rFonts w:cs="Arial"/>
                <w:color w:val="000080"/>
                <w:szCs w:val="24"/>
              </w:rPr>
              <w:t>Activated Carbon Injection</w:t>
            </w:r>
          </w:p>
        </w:tc>
      </w:tr>
      <w:tr w:rsidR="00DD3489" w:rsidRPr="00DB7156" w14:paraId="55D1B334" w14:textId="77777777" w:rsidTr="003019E9">
        <w:tc>
          <w:tcPr>
            <w:tcW w:w="1680" w:type="dxa"/>
          </w:tcPr>
          <w:p w14:paraId="248329DB" w14:textId="77777777" w:rsidR="00DD3489" w:rsidRPr="00DB7156" w:rsidRDefault="00DD3489" w:rsidP="0AF8DB6F">
            <w:pPr>
              <w:spacing w:after="0"/>
              <w:ind w:left="-108" w:right="-202"/>
              <w:rPr>
                <w:rFonts w:cs="Arial"/>
                <w:b/>
                <w:bCs/>
                <w:color w:val="000080"/>
                <w:szCs w:val="24"/>
              </w:rPr>
            </w:pPr>
          </w:p>
        </w:tc>
        <w:tc>
          <w:tcPr>
            <w:tcW w:w="7185" w:type="dxa"/>
          </w:tcPr>
          <w:p w14:paraId="56E978F2" w14:textId="77777777" w:rsidR="00DD3489" w:rsidRPr="00DB7156" w:rsidRDefault="00DD3489" w:rsidP="005A602C">
            <w:pPr>
              <w:spacing w:after="0"/>
              <w:ind w:right="-202"/>
              <w:rPr>
                <w:rFonts w:cs="Arial"/>
                <w:color w:val="000080"/>
                <w:szCs w:val="24"/>
              </w:rPr>
            </w:pPr>
          </w:p>
        </w:tc>
      </w:tr>
      <w:tr w:rsidR="000640A0" w:rsidRPr="00DB7156" w14:paraId="7A798166" w14:textId="77777777" w:rsidTr="003019E9">
        <w:tc>
          <w:tcPr>
            <w:tcW w:w="1680" w:type="dxa"/>
          </w:tcPr>
          <w:p w14:paraId="7A2932B1" w14:textId="398FDB68" w:rsidR="000640A0" w:rsidRPr="00DB7156" w:rsidRDefault="000640A0" w:rsidP="0AF8DB6F">
            <w:pPr>
              <w:spacing w:after="0"/>
              <w:ind w:left="-108" w:right="-202"/>
              <w:rPr>
                <w:rFonts w:cs="Arial"/>
                <w:b/>
                <w:bCs/>
                <w:color w:val="000080"/>
                <w:szCs w:val="24"/>
              </w:rPr>
            </w:pPr>
            <w:r>
              <w:rPr>
                <w:rFonts w:cs="Arial"/>
                <w:b/>
                <w:bCs/>
                <w:color w:val="000080"/>
                <w:szCs w:val="24"/>
              </w:rPr>
              <w:t>ACM</w:t>
            </w:r>
          </w:p>
        </w:tc>
        <w:tc>
          <w:tcPr>
            <w:tcW w:w="7185" w:type="dxa"/>
          </w:tcPr>
          <w:p w14:paraId="198ABCCB" w14:textId="2FC2866A" w:rsidR="000640A0" w:rsidRPr="00DB7156" w:rsidRDefault="000640A0" w:rsidP="005A602C">
            <w:pPr>
              <w:spacing w:after="0"/>
              <w:ind w:right="-202"/>
              <w:rPr>
                <w:rFonts w:cs="Arial"/>
                <w:color w:val="000080"/>
                <w:szCs w:val="24"/>
              </w:rPr>
            </w:pPr>
            <w:r>
              <w:rPr>
                <w:rFonts w:cs="Arial"/>
                <w:color w:val="000080"/>
                <w:szCs w:val="24"/>
              </w:rPr>
              <w:t>Advanced Closure Methods</w:t>
            </w:r>
          </w:p>
        </w:tc>
      </w:tr>
      <w:tr w:rsidR="000640A0" w:rsidRPr="00DB7156" w14:paraId="01161191" w14:textId="77777777" w:rsidTr="003019E9">
        <w:tc>
          <w:tcPr>
            <w:tcW w:w="1680" w:type="dxa"/>
          </w:tcPr>
          <w:p w14:paraId="728E5779" w14:textId="77777777" w:rsidR="000640A0" w:rsidRPr="00DB7156" w:rsidRDefault="000640A0" w:rsidP="0AF8DB6F">
            <w:pPr>
              <w:spacing w:after="0"/>
              <w:ind w:left="-108" w:right="-202"/>
              <w:rPr>
                <w:rFonts w:cs="Arial"/>
                <w:b/>
                <w:bCs/>
                <w:color w:val="000080"/>
                <w:szCs w:val="24"/>
              </w:rPr>
            </w:pPr>
          </w:p>
        </w:tc>
        <w:tc>
          <w:tcPr>
            <w:tcW w:w="7185" w:type="dxa"/>
          </w:tcPr>
          <w:p w14:paraId="59BEA03C" w14:textId="77777777" w:rsidR="000640A0" w:rsidRPr="00DB7156" w:rsidRDefault="000640A0" w:rsidP="005A602C">
            <w:pPr>
              <w:spacing w:after="0"/>
              <w:ind w:right="-202"/>
              <w:rPr>
                <w:rFonts w:cs="Arial"/>
                <w:color w:val="000080"/>
                <w:szCs w:val="24"/>
              </w:rPr>
            </w:pPr>
          </w:p>
        </w:tc>
      </w:tr>
      <w:tr w:rsidR="005A602C" w:rsidRPr="00DB7156" w14:paraId="5B3F0D2B" w14:textId="77777777" w:rsidTr="003019E9">
        <w:tc>
          <w:tcPr>
            <w:tcW w:w="1680" w:type="dxa"/>
          </w:tcPr>
          <w:p w14:paraId="13640258" w14:textId="1A8E511B" w:rsidR="005A602C" w:rsidRPr="00DB7156" w:rsidRDefault="005A602C" w:rsidP="005A602C">
            <w:pPr>
              <w:spacing w:after="0"/>
              <w:ind w:left="-108" w:right="-202"/>
              <w:rPr>
                <w:rFonts w:cs="Arial"/>
                <w:b/>
                <w:color w:val="000080"/>
                <w:szCs w:val="24"/>
              </w:rPr>
            </w:pPr>
            <w:r w:rsidRPr="00DB7156">
              <w:rPr>
                <w:rFonts w:cs="Arial"/>
                <w:b/>
                <w:color w:val="000080"/>
                <w:szCs w:val="24"/>
              </w:rPr>
              <w:t>ALK</w:t>
            </w:r>
          </w:p>
        </w:tc>
        <w:tc>
          <w:tcPr>
            <w:tcW w:w="7185" w:type="dxa"/>
          </w:tcPr>
          <w:p w14:paraId="7EBAB1AC" w14:textId="60CA38F2" w:rsidR="005A602C" w:rsidRPr="00DB7156" w:rsidRDefault="005A602C" w:rsidP="005A602C">
            <w:pPr>
              <w:spacing w:after="0"/>
              <w:ind w:right="-202"/>
              <w:rPr>
                <w:rFonts w:cs="Arial"/>
                <w:color w:val="000080"/>
                <w:szCs w:val="24"/>
              </w:rPr>
            </w:pPr>
            <w:r w:rsidRPr="00DB7156">
              <w:rPr>
                <w:rFonts w:cs="Arial"/>
                <w:color w:val="000080"/>
                <w:szCs w:val="24"/>
              </w:rPr>
              <w:t>Alkali Sorbent Injection</w:t>
            </w:r>
          </w:p>
        </w:tc>
      </w:tr>
      <w:tr w:rsidR="008B61E7" w:rsidRPr="00DB7156" w14:paraId="01E044E8" w14:textId="77777777" w:rsidTr="003019E9">
        <w:tc>
          <w:tcPr>
            <w:tcW w:w="1680" w:type="dxa"/>
          </w:tcPr>
          <w:p w14:paraId="53665AC7" w14:textId="77777777" w:rsidR="008B61E7" w:rsidRPr="00DB7156" w:rsidRDefault="008B61E7" w:rsidP="0AF8DB6F">
            <w:pPr>
              <w:spacing w:after="0"/>
              <w:ind w:left="-108" w:right="-202"/>
              <w:rPr>
                <w:rFonts w:cs="Arial"/>
                <w:b/>
                <w:bCs/>
                <w:color w:val="000080"/>
                <w:szCs w:val="24"/>
              </w:rPr>
            </w:pPr>
          </w:p>
        </w:tc>
        <w:tc>
          <w:tcPr>
            <w:tcW w:w="7185" w:type="dxa"/>
          </w:tcPr>
          <w:p w14:paraId="18B56494" w14:textId="77777777" w:rsidR="008B61E7" w:rsidRPr="00DB7156" w:rsidRDefault="008B61E7" w:rsidP="005A602C">
            <w:pPr>
              <w:spacing w:after="0"/>
              <w:ind w:right="-202"/>
              <w:rPr>
                <w:rFonts w:cs="Arial"/>
                <w:color w:val="000080"/>
                <w:szCs w:val="24"/>
              </w:rPr>
            </w:pPr>
          </w:p>
        </w:tc>
      </w:tr>
      <w:tr w:rsidR="008A53E2" w:rsidRPr="00DB7156" w14:paraId="7B085BD4" w14:textId="77777777" w:rsidTr="003019E9">
        <w:tc>
          <w:tcPr>
            <w:tcW w:w="1680" w:type="dxa"/>
          </w:tcPr>
          <w:p w14:paraId="4F7E4301" w14:textId="302F4957" w:rsidR="008A53E2" w:rsidRPr="00DB7156" w:rsidRDefault="69E5835A" w:rsidP="005A602C">
            <w:pPr>
              <w:spacing w:after="0"/>
              <w:ind w:left="-108" w:right="-202"/>
              <w:rPr>
                <w:rFonts w:cs="Arial"/>
                <w:b/>
                <w:color w:val="000080"/>
                <w:szCs w:val="24"/>
              </w:rPr>
            </w:pPr>
            <w:r w:rsidRPr="0AF8DB6F">
              <w:rPr>
                <w:rFonts w:cs="Arial"/>
                <w:b/>
                <w:bCs/>
                <w:color w:val="000080"/>
                <w:szCs w:val="24"/>
              </w:rPr>
              <w:t>ANPRM</w:t>
            </w:r>
          </w:p>
        </w:tc>
        <w:tc>
          <w:tcPr>
            <w:tcW w:w="7185" w:type="dxa"/>
          </w:tcPr>
          <w:p w14:paraId="39DD54BB" w14:textId="0CD776FD" w:rsidR="008A53E2" w:rsidRPr="00DB7156" w:rsidRDefault="69E5835A" w:rsidP="005A602C">
            <w:pPr>
              <w:spacing w:after="0"/>
              <w:ind w:right="-202"/>
              <w:rPr>
                <w:rFonts w:cs="Arial"/>
                <w:color w:val="000080"/>
                <w:szCs w:val="24"/>
              </w:rPr>
            </w:pPr>
            <w:r w:rsidRPr="0AF8DB6F">
              <w:rPr>
                <w:rFonts w:cs="Arial"/>
                <w:color w:val="000080"/>
                <w:szCs w:val="24"/>
              </w:rPr>
              <w:t xml:space="preserve">Advanced </w:t>
            </w:r>
            <w:r w:rsidR="00DE206D" w:rsidRPr="0AF8DB6F">
              <w:rPr>
                <w:rFonts w:cs="Arial"/>
                <w:color w:val="000080"/>
                <w:szCs w:val="24"/>
              </w:rPr>
              <w:t>Notice</w:t>
            </w:r>
            <w:r w:rsidRPr="0AF8DB6F">
              <w:rPr>
                <w:rFonts w:cs="Arial"/>
                <w:color w:val="000080"/>
                <w:szCs w:val="24"/>
              </w:rPr>
              <w:t xml:space="preserve"> of Proposed Rulemaking</w:t>
            </w:r>
          </w:p>
        </w:tc>
      </w:tr>
      <w:tr w:rsidR="00B90C33" w:rsidRPr="00DB7156" w14:paraId="17620B76" w14:textId="77777777" w:rsidTr="003019E9">
        <w:tc>
          <w:tcPr>
            <w:tcW w:w="1680" w:type="dxa"/>
          </w:tcPr>
          <w:p w14:paraId="6DC23BE5" w14:textId="77777777" w:rsidR="00B90C33" w:rsidRPr="00DB7156" w:rsidRDefault="00B90C33" w:rsidP="0AF8DB6F">
            <w:pPr>
              <w:spacing w:after="0"/>
              <w:ind w:left="-108" w:right="-202"/>
              <w:rPr>
                <w:rFonts w:cs="Arial"/>
                <w:b/>
                <w:bCs/>
                <w:color w:val="000080"/>
                <w:szCs w:val="24"/>
              </w:rPr>
            </w:pPr>
          </w:p>
        </w:tc>
        <w:tc>
          <w:tcPr>
            <w:tcW w:w="7185" w:type="dxa"/>
          </w:tcPr>
          <w:p w14:paraId="4F80B30E" w14:textId="77777777" w:rsidR="00B90C33" w:rsidRPr="00DB7156" w:rsidRDefault="00B90C33" w:rsidP="005A602C">
            <w:pPr>
              <w:spacing w:after="0"/>
              <w:ind w:right="-202"/>
              <w:rPr>
                <w:rFonts w:cs="Arial"/>
                <w:color w:val="000080"/>
                <w:szCs w:val="24"/>
              </w:rPr>
            </w:pPr>
          </w:p>
        </w:tc>
      </w:tr>
      <w:tr w:rsidR="005A602C" w:rsidRPr="00DB7156" w14:paraId="4C7BD41F" w14:textId="77777777" w:rsidTr="003019E9">
        <w:tc>
          <w:tcPr>
            <w:tcW w:w="1680" w:type="dxa"/>
          </w:tcPr>
          <w:p w14:paraId="52DC5688" w14:textId="6D3FF878" w:rsidR="005A602C" w:rsidRPr="00DB7156" w:rsidRDefault="005A602C" w:rsidP="005A602C">
            <w:pPr>
              <w:spacing w:after="0"/>
              <w:ind w:left="-108" w:right="-202"/>
              <w:rPr>
                <w:rFonts w:cs="Arial"/>
                <w:b/>
                <w:color w:val="000080"/>
                <w:szCs w:val="24"/>
              </w:rPr>
            </w:pPr>
            <w:r w:rsidRPr="00DB7156">
              <w:rPr>
                <w:rFonts w:cs="Arial"/>
                <w:b/>
                <w:color w:val="000080"/>
                <w:szCs w:val="24"/>
              </w:rPr>
              <w:t>ARO</w:t>
            </w:r>
          </w:p>
        </w:tc>
        <w:tc>
          <w:tcPr>
            <w:tcW w:w="7185" w:type="dxa"/>
          </w:tcPr>
          <w:p w14:paraId="69F08DC6" w14:textId="4A2BFB72" w:rsidR="005A602C" w:rsidRPr="00DB7156" w:rsidRDefault="005A602C" w:rsidP="005A602C">
            <w:pPr>
              <w:spacing w:after="0"/>
              <w:ind w:right="-198"/>
              <w:rPr>
                <w:rFonts w:cs="Arial"/>
                <w:color w:val="000080"/>
                <w:szCs w:val="24"/>
              </w:rPr>
            </w:pPr>
            <w:r w:rsidRPr="00DB7156">
              <w:rPr>
                <w:rFonts w:cs="Arial"/>
                <w:color w:val="000080"/>
                <w:szCs w:val="24"/>
              </w:rPr>
              <w:t xml:space="preserve">Asset Retirement Obligation </w:t>
            </w:r>
          </w:p>
        </w:tc>
      </w:tr>
      <w:tr w:rsidR="009450FC" w:rsidRPr="00DB7156" w14:paraId="6AE6CCAC" w14:textId="77777777" w:rsidTr="003019E9">
        <w:tc>
          <w:tcPr>
            <w:tcW w:w="1680" w:type="dxa"/>
          </w:tcPr>
          <w:p w14:paraId="12FBB003" w14:textId="77777777" w:rsidR="009450FC" w:rsidRPr="00DB7156" w:rsidRDefault="009450FC" w:rsidP="0AF8DB6F">
            <w:pPr>
              <w:spacing w:after="0"/>
              <w:ind w:left="-108" w:right="-202"/>
              <w:rPr>
                <w:rFonts w:cs="Arial"/>
                <w:b/>
                <w:bCs/>
                <w:color w:val="000080"/>
                <w:szCs w:val="24"/>
              </w:rPr>
            </w:pPr>
          </w:p>
        </w:tc>
        <w:tc>
          <w:tcPr>
            <w:tcW w:w="7185" w:type="dxa"/>
          </w:tcPr>
          <w:p w14:paraId="5C9C1537" w14:textId="77777777" w:rsidR="009450FC" w:rsidRPr="00DB7156" w:rsidRDefault="009450FC" w:rsidP="005A602C">
            <w:pPr>
              <w:spacing w:after="0"/>
              <w:ind w:right="-198"/>
              <w:rPr>
                <w:rFonts w:cs="Arial"/>
                <w:color w:val="000080"/>
                <w:szCs w:val="24"/>
              </w:rPr>
            </w:pPr>
          </w:p>
        </w:tc>
      </w:tr>
      <w:tr w:rsidR="006C3D4A" w:rsidRPr="00DB7156" w14:paraId="3D6BCC1B" w14:textId="77777777" w:rsidTr="003019E9">
        <w:tc>
          <w:tcPr>
            <w:tcW w:w="1680" w:type="dxa"/>
          </w:tcPr>
          <w:p w14:paraId="47D2DF57" w14:textId="5260903C" w:rsidR="006C3D4A" w:rsidRPr="00DB7156" w:rsidRDefault="08523439" w:rsidP="0AF8DB6F">
            <w:pPr>
              <w:spacing w:after="0"/>
              <w:ind w:left="-108" w:right="-202"/>
              <w:rPr>
                <w:rFonts w:cs="Arial"/>
                <w:b/>
                <w:bCs/>
                <w:color w:val="000080"/>
                <w:szCs w:val="24"/>
              </w:rPr>
            </w:pPr>
            <w:r w:rsidRPr="0AF8DB6F">
              <w:rPr>
                <w:rFonts w:cs="Arial"/>
                <w:b/>
                <w:bCs/>
                <w:color w:val="000080"/>
                <w:szCs w:val="24"/>
              </w:rPr>
              <w:t>ASC</w:t>
            </w:r>
          </w:p>
        </w:tc>
        <w:tc>
          <w:tcPr>
            <w:tcW w:w="7185" w:type="dxa"/>
          </w:tcPr>
          <w:p w14:paraId="7FCED91B" w14:textId="5E4A6D9C" w:rsidR="006C3D4A" w:rsidRPr="00DB7156" w:rsidRDefault="08523439" w:rsidP="005A602C">
            <w:pPr>
              <w:spacing w:after="0"/>
              <w:ind w:right="-198"/>
              <w:rPr>
                <w:rFonts w:cs="Arial"/>
                <w:color w:val="000080"/>
                <w:szCs w:val="24"/>
              </w:rPr>
            </w:pPr>
            <w:r w:rsidRPr="0AF8DB6F">
              <w:rPr>
                <w:rFonts w:cs="Arial"/>
                <w:color w:val="000080"/>
                <w:szCs w:val="24"/>
              </w:rPr>
              <w:t>Accounting</w:t>
            </w:r>
            <w:r w:rsidR="518A42F7" w:rsidRPr="0AF8DB6F">
              <w:rPr>
                <w:rFonts w:cs="Arial"/>
                <w:color w:val="000080"/>
                <w:szCs w:val="24"/>
              </w:rPr>
              <w:t xml:space="preserve"> Standards Codification</w:t>
            </w:r>
          </w:p>
        </w:tc>
      </w:tr>
      <w:tr w:rsidR="005A602C" w:rsidRPr="00DB7156" w14:paraId="12056691" w14:textId="77777777" w:rsidTr="003019E9">
        <w:tc>
          <w:tcPr>
            <w:tcW w:w="1680" w:type="dxa"/>
          </w:tcPr>
          <w:p w14:paraId="4FEC0185" w14:textId="16972601" w:rsidR="005A602C" w:rsidRPr="00DB7156" w:rsidRDefault="005A602C" w:rsidP="005A602C">
            <w:pPr>
              <w:spacing w:after="0"/>
              <w:ind w:left="-108" w:right="-202"/>
              <w:rPr>
                <w:rFonts w:cs="Arial"/>
                <w:b/>
                <w:color w:val="000080"/>
                <w:szCs w:val="24"/>
              </w:rPr>
            </w:pPr>
          </w:p>
        </w:tc>
        <w:tc>
          <w:tcPr>
            <w:tcW w:w="7185" w:type="dxa"/>
          </w:tcPr>
          <w:p w14:paraId="2C033498" w14:textId="3F99BEEB" w:rsidR="005A602C" w:rsidRPr="00DB7156" w:rsidRDefault="005A602C" w:rsidP="005A602C">
            <w:pPr>
              <w:spacing w:after="0"/>
              <w:ind w:right="-198"/>
              <w:rPr>
                <w:rFonts w:cs="Arial"/>
                <w:color w:val="000080"/>
                <w:szCs w:val="24"/>
              </w:rPr>
            </w:pPr>
          </w:p>
        </w:tc>
      </w:tr>
      <w:tr w:rsidR="005A602C" w:rsidRPr="00DB7156" w14:paraId="21460A85" w14:textId="77777777" w:rsidTr="003019E9">
        <w:tc>
          <w:tcPr>
            <w:tcW w:w="1680" w:type="dxa"/>
          </w:tcPr>
          <w:p w14:paraId="743C76C1" w14:textId="083E0CF3" w:rsidR="005A602C" w:rsidRPr="00DB7156" w:rsidRDefault="005A602C" w:rsidP="005A602C">
            <w:pPr>
              <w:spacing w:after="0"/>
              <w:ind w:left="-108" w:right="-202"/>
              <w:rPr>
                <w:rFonts w:cs="Arial"/>
                <w:b/>
                <w:color w:val="000080"/>
                <w:szCs w:val="24"/>
              </w:rPr>
            </w:pPr>
            <w:r w:rsidRPr="00DB7156">
              <w:rPr>
                <w:rFonts w:cs="Arial"/>
                <w:b/>
                <w:color w:val="000080"/>
                <w:szCs w:val="24"/>
              </w:rPr>
              <w:t>BAT</w:t>
            </w:r>
          </w:p>
        </w:tc>
        <w:tc>
          <w:tcPr>
            <w:tcW w:w="7185" w:type="dxa"/>
          </w:tcPr>
          <w:p w14:paraId="4EA4BF27" w14:textId="70B2AA2D" w:rsidR="005A602C" w:rsidRPr="00DB7156" w:rsidRDefault="005A602C" w:rsidP="005A602C">
            <w:pPr>
              <w:spacing w:after="0"/>
              <w:ind w:right="-198"/>
              <w:rPr>
                <w:rFonts w:cs="Arial"/>
                <w:color w:val="000080"/>
                <w:szCs w:val="24"/>
              </w:rPr>
            </w:pPr>
            <w:r w:rsidRPr="00DB7156">
              <w:rPr>
                <w:rFonts w:cs="Arial"/>
                <w:color w:val="000080"/>
                <w:szCs w:val="24"/>
              </w:rPr>
              <w:t>Best Available Technology</w:t>
            </w:r>
          </w:p>
        </w:tc>
      </w:tr>
      <w:tr w:rsidR="006C0376" w:rsidRPr="00DB7156" w14:paraId="42CBDDCA" w14:textId="77777777" w:rsidTr="003019E9">
        <w:tc>
          <w:tcPr>
            <w:tcW w:w="1680" w:type="dxa"/>
          </w:tcPr>
          <w:p w14:paraId="30C08244" w14:textId="77777777" w:rsidR="006C0376" w:rsidRPr="00DB7156" w:rsidRDefault="006C0376" w:rsidP="005A602C">
            <w:pPr>
              <w:spacing w:after="0"/>
              <w:ind w:left="-108" w:right="-202"/>
              <w:rPr>
                <w:rFonts w:cs="Arial"/>
                <w:b/>
                <w:color w:val="000080"/>
                <w:szCs w:val="24"/>
              </w:rPr>
            </w:pPr>
          </w:p>
        </w:tc>
        <w:tc>
          <w:tcPr>
            <w:tcW w:w="7185" w:type="dxa"/>
          </w:tcPr>
          <w:p w14:paraId="64524271" w14:textId="77777777" w:rsidR="006C0376" w:rsidRPr="00DB7156" w:rsidRDefault="006C0376" w:rsidP="005A602C">
            <w:pPr>
              <w:spacing w:after="0"/>
              <w:ind w:right="-198"/>
              <w:rPr>
                <w:rFonts w:cs="Arial"/>
                <w:color w:val="000080"/>
                <w:szCs w:val="24"/>
              </w:rPr>
            </w:pPr>
          </w:p>
        </w:tc>
      </w:tr>
      <w:tr w:rsidR="006C0376" w:rsidRPr="00DB7156" w14:paraId="397EA57F" w14:textId="77777777" w:rsidTr="003019E9">
        <w:tc>
          <w:tcPr>
            <w:tcW w:w="1680" w:type="dxa"/>
          </w:tcPr>
          <w:p w14:paraId="465AA2D9" w14:textId="5F5B9CD3" w:rsidR="006C0376" w:rsidRPr="00DB7156" w:rsidRDefault="006C0376" w:rsidP="005A602C">
            <w:pPr>
              <w:spacing w:after="0"/>
              <w:ind w:left="-108" w:right="-202"/>
              <w:rPr>
                <w:rFonts w:cs="Arial"/>
                <w:b/>
                <w:color w:val="000080"/>
                <w:szCs w:val="24"/>
              </w:rPr>
            </w:pPr>
            <w:r>
              <w:rPr>
                <w:rFonts w:cs="Arial"/>
                <w:b/>
                <w:color w:val="000080"/>
                <w:szCs w:val="24"/>
              </w:rPr>
              <w:t>BATW</w:t>
            </w:r>
          </w:p>
        </w:tc>
        <w:tc>
          <w:tcPr>
            <w:tcW w:w="7185" w:type="dxa"/>
          </w:tcPr>
          <w:p w14:paraId="1E262C4F" w14:textId="7850C238" w:rsidR="006C0376" w:rsidRPr="00DB7156" w:rsidRDefault="00605539" w:rsidP="005A602C">
            <w:pPr>
              <w:spacing w:after="0"/>
              <w:ind w:right="-198"/>
              <w:rPr>
                <w:rFonts w:cs="Arial"/>
                <w:color w:val="000080"/>
                <w:szCs w:val="24"/>
              </w:rPr>
            </w:pPr>
            <w:r>
              <w:rPr>
                <w:rFonts w:cs="Arial"/>
                <w:color w:val="000080"/>
                <w:szCs w:val="24"/>
              </w:rPr>
              <w:t xml:space="preserve">Bottom Ash </w:t>
            </w:r>
            <w:r w:rsidR="00234FC8">
              <w:rPr>
                <w:rFonts w:cs="Arial"/>
                <w:color w:val="000080"/>
                <w:szCs w:val="24"/>
              </w:rPr>
              <w:t>Transport Water</w:t>
            </w:r>
          </w:p>
        </w:tc>
      </w:tr>
      <w:tr w:rsidR="005A602C" w:rsidRPr="00DB7156" w14:paraId="57DF5840" w14:textId="77777777" w:rsidTr="003019E9">
        <w:tc>
          <w:tcPr>
            <w:tcW w:w="1680" w:type="dxa"/>
          </w:tcPr>
          <w:p w14:paraId="170E5182" w14:textId="0152F941" w:rsidR="005A602C" w:rsidRPr="00DB7156" w:rsidRDefault="005A602C" w:rsidP="005A602C">
            <w:pPr>
              <w:spacing w:after="0"/>
              <w:ind w:left="-108" w:right="-202"/>
              <w:rPr>
                <w:rFonts w:cs="Arial"/>
                <w:b/>
                <w:color w:val="000080"/>
                <w:szCs w:val="24"/>
              </w:rPr>
            </w:pPr>
          </w:p>
        </w:tc>
        <w:tc>
          <w:tcPr>
            <w:tcW w:w="7185" w:type="dxa"/>
          </w:tcPr>
          <w:p w14:paraId="1B599CC1" w14:textId="6730F3E0" w:rsidR="005A602C" w:rsidRPr="00DB7156" w:rsidRDefault="005A602C" w:rsidP="005A602C">
            <w:pPr>
              <w:spacing w:after="0"/>
              <w:ind w:right="-198"/>
              <w:rPr>
                <w:rFonts w:cs="Arial"/>
                <w:color w:val="000080"/>
                <w:szCs w:val="24"/>
              </w:rPr>
            </w:pPr>
          </w:p>
        </w:tc>
      </w:tr>
      <w:tr w:rsidR="005A602C" w:rsidRPr="00DB7156" w14:paraId="6A2B3207" w14:textId="77777777" w:rsidTr="003019E9">
        <w:tc>
          <w:tcPr>
            <w:tcW w:w="1680" w:type="dxa"/>
          </w:tcPr>
          <w:p w14:paraId="7F7101AA" w14:textId="24666AB0" w:rsidR="005A602C" w:rsidRPr="00DB7156" w:rsidRDefault="005A602C" w:rsidP="005A602C">
            <w:pPr>
              <w:spacing w:after="0"/>
              <w:ind w:left="-108" w:right="-202"/>
              <w:rPr>
                <w:rFonts w:cs="Arial"/>
                <w:b/>
                <w:color w:val="000080"/>
                <w:szCs w:val="24"/>
              </w:rPr>
            </w:pPr>
            <w:r w:rsidRPr="00DB7156">
              <w:rPr>
                <w:rFonts w:cs="Arial"/>
                <w:b/>
                <w:color w:val="000080"/>
                <w:szCs w:val="24"/>
              </w:rPr>
              <w:t>CAA</w:t>
            </w:r>
          </w:p>
        </w:tc>
        <w:tc>
          <w:tcPr>
            <w:tcW w:w="7185" w:type="dxa"/>
          </w:tcPr>
          <w:p w14:paraId="2D59D41D" w14:textId="0817A8E6" w:rsidR="005A602C" w:rsidRPr="00DB7156" w:rsidRDefault="005A602C" w:rsidP="005A602C">
            <w:pPr>
              <w:spacing w:after="0"/>
              <w:ind w:right="-198"/>
              <w:rPr>
                <w:rFonts w:cs="Arial"/>
                <w:color w:val="000080"/>
                <w:szCs w:val="24"/>
              </w:rPr>
            </w:pPr>
            <w:r w:rsidRPr="00DB7156">
              <w:rPr>
                <w:rFonts w:cs="Arial"/>
                <w:color w:val="000080"/>
                <w:szCs w:val="24"/>
              </w:rPr>
              <w:t>Clean Air Act</w:t>
            </w:r>
          </w:p>
        </w:tc>
      </w:tr>
      <w:tr w:rsidR="005A602C" w:rsidRPr="00DB7156" w14:paraId="3D561FB7" w14:textId="77777777" w:rsidTr="003019E9">
        <w:tc>
          <w:tcPr>
            <w:tcW w:w="1680" w:type="dxa"/>
          </w:tcPr>
          <w:p w14:paraId="162B1A0D" w14:textId="5AD66CD4" w:rsidR="005A602C" w:rsidRPr="00DB7156" w:rsidRDefault="005A602C" w:rsidP="005A602C">
            <w:pPr>
              <w:spacing w:after="0"/>
              <w:ind w:left="-108" w:right="-202"/>
              <w:rPr>
                <w:rFonts w:cs="Arial"/>
                <w:b/>
                <w:color w:val="000080"/>
                <w:szCs w:val="24"/>
              </w:rPr>
            </w:pPr>
          </w:p>
        </w:tc>
        <w:tc>
          <w:tcPr>
            <w:tcW w:w="7185" w:type="dxa"/>
          </w:tcPr>
          <w:p w14:paraId="0E932098" w14:textId="6F19E352" w:rsidR="005A602C" w:rsidRPr="00DB7156" w:rsidRDefault="005A602C" w:rsidP="005A602C">
            <w:pPr>
              <w:spacing w:after="0"/>
              <w:ind w:right="-198"/>
              <w:rPr>
                <w:rFonts w:cs="Arial"/>
                <w:color w:val="000080"/>
                <w:szCs w:val="24"/>
              </w:rPr>
            </w:pPr>
          </w:p>
        </w:tc>
      </w:tr>
      <w:tr w:rsidR="005A602C" w:rsidRPr="00DB7156" w14:paraId="0365CEAB" w14:textId="77777777" w:rsidTr="003019E9">
        <w:tc>
          <w:tcPr>
            <w:tcW w:w="1680" w:type="dxa"/>
          </w:tcPr>
          <w:p w14:paraId="2C0B87AC" w14:textId="633D6B63" w:rsidR="005A602C" w:rsidRPr="00DB7156" w:rsidRDefault="005A602C" w:rsidP="005A602C">
            <w:pPr>
              <w:spacing w:after="0"/>
              <w:ind w:left="-108" w:right="-202"/>
              <w:rPr>
                <w:rFonts w:cs="Arial"/>
                <w:b/>
                <w:color w:val="000080"/>
                <w:szCs w:val="24"/>
              </w:rPr>
            </w:pPr>
            <w:r w:rsidRPr="00DB7156">
              <w:rPr>
                <w:rFonts w:cs="Arial"/>
                <w:b/>
                <w:color w:val="000080"/>
                <w:szCs w:val="24"/>
              </w:rPr>
              <w:t>CAAA</w:t>
            </w:r>
          </w:p>
        </w:tc>
        <w:tc>
          <w:tcPr>
            <w:tcW w:w="7185" w:type="dxa"/>
          </w:tcPr>
          <w:p w14:paraId="5160A34E" w14:textId="464DAC2D" w:rsidR="005A602C" w:rsidRPr="00DB7156" w:rsidRDefault="005A602C" w:rsidP="005A602C">
            <w:pPr>
              <w:spacing w:after="0"/>
              <w:ind w:right="-198"/>
              <w:rPr>
                <w:rFonts w:cs="Arial"/>
                <w:color w:val="000080"/>
                <w:szCs w:val="24"/>
              </w:rPr>
            </w:pPr>
            <w:r w:rsidRPr="00DB7156">
              <w:rPr>
                <w:rFonts w:cs="Arial"/>
                <w:color w:val="000080"/>
                <w:szCs w:val="24"/>
              </w:rPr>
              <w:t>Clean Air Act Amendments (of 1990)</w:t>
            </w:r>
          </w:p>
        </w:tc>
      </w:tr>
      <w:tr w:rsidR="0021392B" w:rsidRPr="00DB7156" w14:paraId="1B57EE7B" w14:textId="77777777" w:rsidTr="003019E9">
        <w:tc>
          <w:tcPr>
            <w:tcW w:w="1680" w:type="dxa"/>
          </w:tcPr>
          <w:p w14:paraId="23190CA8" w14:textId="77777777" w:rsidR="0021392B" w:rsidRPr="00DB7156" w:rsidRDefault="0021392B" w:rsidP="005A602C">
            <w:pPr>
              <w:spacing w:after="0"/>
              <w:ind w:left="-108" w:right="-202"/>
              <w:rPr>
                <w:rFonts w:cs="Arial"/>
                <w:b/>
                <w:color w:val="000080"/>
                <w:szCs w:val="24"/>
              </w:rPr>
            </w:pPr>
          </w:p>
        </w:tc>
        <w:tc>
          <w:tcPr>
            <w:tcW w:w="7185" w:type="dxa"/>
          </w:tcPr>
          <w:p w14:paraId="13075516" w14:textId="77777777" w:rsidR="0021392B" w:rsidRPr="00DB7156" w:rsidRDefault="0021392B" w:rsidP="005A602C">
            <w:pPr>
              <w:spacing w:after="0"/>
              <w:ind w:right="-198"/>
              <w:rPr>
                <w:rFonts w:cs="Arial"/>
                <w:color w:val="000080"/>
                <w:szCs w:val="24"/>
              </w:rPr>
            </w:pPr>
          </w:p>
        </w:tc>
      </w:tr>
      <w:tr w:rsidR="0066104B" w:rsidRPr="00DB7156" w14:paraId="0EB61F62" w14:textId="77777777" w:rsidTr="003019E9">
        <w:tc>
          <w:tcPr>
            <w:tcW w:w="1680" w:type="dxa"/>
          </w:tcPr>
          <w:p w14:paraId="489BDE59" w14:textId="62A49F92" w:rsidR="0066104B" w:rsidRPr="00DB7156" w:rsidRDefault="0066104B" w:rsidP="005A602C">
            <w:pPr>
              <w:spacing w:after="0"/>
              <w:ind w:left="-108"/>
              <w:rPr>
                <w:rFonts w:cs="Arial"/>
                <w:b/>
                <w:color w:val="000080"/>
                <w:szCs w:val="24"/>
              </w:rPr>
            </w:pPr>
            <w:r>
              <w:rPr>
                <w:rFonts w:cs="Arial"/>
                <w:b/>
                <w:color w:val="000080"/>
                <w:szCs w:val="24"/>
              </w:rPr>
              <w:t>CAIR</w:t>
            </w:r>
          </w:p>
        </w:tc>
        <w:tc>
          <w:tcPr>
            <w:tcW w:w="7185" w:type="dxa"/>
          </w:tcPr>
          <w:p w14:paraId="1EADDAF8" w14:textId="6681FAD9" w:rsidR="0066104B" w:rsidRPr="00DB7156" w:rsidRDefault="0066104B" w:rsidP="005A602C">
            <w:pPr>
              <w:spacing w:after="0"/>
              <w:rPr>
                <w:rFonts w:cs="Arial"/>
                <w:color w:val="000080"/>
                <w:szCs w:val="24"/>
              </w:rPr>
            </w:pPr>
            <w:r>
              <w:rPr>
                <w:rFonts w:cs="Arial"/>
                <w:color w:val="000080"/>
                <w:szCs w:val="24"/>
              </w:rPr>
              <w:t>Clean Air Interstate Rule</w:t>
            </w:r>
          </w:p>
        </w:tc>
      </w:tr>
      <w:tr w:rsidR="0066104B" w:rsidRPr="00DB7156" w14:paraId="02DCBC6F" w14:textId="77777777" w:rsidTr="003019E9">
        <w:tc>
          <w:tcPr>
            <w:tcW w:w="1680" w:type="dxa"/>
          </w:tcPr>
          <w:p w14:paraId="4121B43C" w14:textId="77777777" w:rsidR="0066104B" w:rsidRPr="00DB7156" w:rsidRDefault="0066104B" w:rsidP="005A602C">
            <w:pPr>
              <w:spacing w:after="0"/>
              <w:ind w:left="-108"/>
              <w:rPr>
                <w:rFonts w:cs="Arial"/>
                <w:b/>
                <w:color w:val="000080"/>
                <w:szCs w:val="24"/>
              </w:rPr>
            </w:pPr>
          </w:p>
        </w:tc>
        <w:tc>
          <w:tcPr>
            <w:tcW w:w="7185" w:type="dxa"/>
          </w:tcPr>
          <w:p w14:paraId="450C45C0" w14:textId="77777777" w:rsidR="0066104B" w:rsidRPr="00DB7156" w:rsidRDefault="0066104B" w:rsidP="005A602C">
            <w:pPr>
              <w:spacing w:after="0"/>
              <w:rPr>
                <w:rFonts w:cs="Arial"/>
                <w:color w:val="000080"/>
                <w:szCs w:val="24"/>
              </w:rPr>
            </w:pPr>
          </w:p>
        </w:tc>
      </w:tr>
      <w:tr w:rsidR="005A602C" w:rsidRPr="00DB7156" w14:paraId="0EC37CC3" w14:textId="77777777" w:rsidTr="003019E9">
        <w:tc>
          <w:tcPr>
            <w:tcW w:w="1680" w:type="dxa"/>
          </w:tcPr>
          <w:p w14:paraId="1BC02A90" w14:textId="1FE8F6DE" w:rsidR="005A602C" w:rsidRPr="00DB7156" w:rsidRDefault="005A602C" w:rsidP="005A602C">
            <w:pPr>
              <w:spacing w:after="0"/>
              <w:ind w:left="-108"/>
              <w:rPr>
                <w:rFonts w:cs="Arial"/>
                <w:b/>
                <w:color w:val="000080"/>
                <w:szCs w:val="24"/>
              </w:rPr>
            </w:pPr>
            <w:r w:rsidRPr="00DB7156">
              <w:rPr>
                <w:rFonts w:cs="Arial"/>
                <w:b/>
                <w:color w:val="000080"/>
                <w:szCs w:val="24"/>
              </w:rPr>
              <w:t>CCR</w:t>
            </w:r>
          </w:p>
        </w:tc>
        <w:tc>
          <w:tcPr>
            <w:tcW w:w="7185" w:type="dxa"/>
          </w:tcPr>
          <w:p w14:paraId="362D9BEC" w14:textId="683D8031" w:rsidR="005A602C" w:rsidRPr="00DB7156" w:rsidRDefault="005A602C" w:rsidP="005A602C">
            <w:pPr>
              <w:spacing w:after="0"/>
              <w:rPr>
                <w:rFonts w:cs="Arial"/>
                <w:color w:val="000080"/>
                <w:szCs w:val="24"/>
              </w:rPr>
            </w:pPr>
            <w:r w:rsidRPr="00DB7156">
              <w:rPr>
                <w:rFonts w:cs="Arial"/>
                <w:color w:val="000080"/>
                <w:szCs w:val="24"/>
              </w:rPr>
              <w:t>Coal Combustion Residuals</w:t>
            </w:r>
          </w:p>
        </w:tc>
      </w:tr>
      <w:tr w:rsidR="00661E6F" w:rsidRPr="00DB7156" w14:paraId="799AF6E3" w14:textId="77777777" w:rsidTr="003019E9">
        <w:tc>
          <w:tcPr>
            <w:tcW w:w="1680" w:type="dxa"/>
          </w:tcPr>
          <w:p w14:paraId="1FC175A0" w14:textId="77777777" w:rsidR="00661E6F" w:rsidRPr="00DB7156" w:rsidRDefault="00661E6F" w:rsidP="0AF8DB6F">
            <w:pPr>
              <w:spacing w:after="0"/>
              <w:ind w:left="-108"/>
              <w:rPr>
                <w:rFonts w:cs="Arial"/>
                <w:b/>
                <w:bCs/>
                <w:color w:val="000080"/>
                <w:szCs w:val="24"/>
              </w:rPr>
            </w:pPr>
          </w:p>
        </w:tc>
        <w:tc>
          <w:tcPr>
            <w:tcW w:w="7185" w:type="dxa"/>
          </w:tcPr>
          <w:p w14:paraId="5BCA43E1" w14:textId="77777777" w:rsidR="00661E6F" w:rsidRPr="00DB7156" w:rsidRDefault="00661E6F" w:rsidP="005A602C">
            <w:pPr>
              <w:spacing w:after="0"/>
              <w:rPr>
                <w:rFonts w:cs="Arial"/>
                <w:color w:val="000080"/>
                <w:szCs w:val="24"/>
              </w:rPr>
            </w:pPr>
          </w:p>
        </w:tc>
      </w:tr>
      <w:tr w:rsidR="000E6F83" w:rsidRPr="00DB7156" w14:paraId="1A31BF8F" w14:textId="77777777" w:rsidTr="003019E9">
        <w:tc>
          <w:tcPr>
            <w:tcW w:w="1680" w:type="dxa"/>
          </w:tcPr>
          <w:p w14:paraId="011AD0AF" w14:textId="4199886D" w:rsidR="000E6F83" w:rsidRPr="00DB7156" w:rsidRDefault="000E6F83" w:rsidP="0AF8DB6F">
            <w:pPr>
              <w:spacing w:after="0"/>
              <w:ind w:left="-108"/>
              <w:rPr>
                <w:rFonts w:cs="Arial"/>
                <w:b/>
                <w:bCs/>
                <w:color w:val="000080"/>
                <w:szCs w:val="24"/>
              </w:rPr>
            </w:pPr>
            <w:r>
              <w:rPr>
                <w:rFonts w:cs="Arial"/>
                <w:b/>
                <w:bCs/>
                <w:color w:val="000080"/>
                <w:szCs w:val="24"/>
              </w:rPr>
              <w:t>CPP</w:t>
            </w:r>
          </w:p>
        </w:tc>
        <w:tc>
          <w:tcPr>
            <w:tcW w:w="7185" w:type="dxa"/>
          </w:tcPr>
          <w:p w14:paraId="7CC48510" w14:textId="02C6F728" w:rsidR="000E6F83" w:rsidRPr="00DB7156" w:rsidRDefault="002E11E8" w:rsidP="005A602C">
            <w:pPr>
              <w:spacing w:after="0"/>
              <w:rPr>
                <w:rFonts w:cs="Arial"/>
                <w:color w:val="000080"/>
                <w:szCs w:val="24"/>
              </w:rPr>
            </w:pPr>
            <w:r>
              <w:rPr>
                <w:rFonts w:cs="Arial"/>
                <w:color w:val="000080"/>
                <w:szCs w:val="24"/>
              </w:rPr>
              <w:t>Clean Power Plan</w:t>
            </w:r>
          </w:p>
        </w:tc>
      </w:tr>
      <w:tr w:rsidR="000E6F83" w:rsidRPr="00DB7156" w14:paraId="4B255186" w14:textId="77777777" w:rsidTr="003019E9">
        <w:tc>
          <w:tcPr>
            <w:tcW w:w="1680" w:type="dxa"/>
          </w:tcPr>
          <w:p w14:paraId="750AC2D8" w14:textId="77777777" w:rsidR="000E6F83" w:rsidRPr="00DB7156" w:rsidRDefault="000E6F83" w:rsidP="0AF8DB6F">
            <w:pPr>
              <w:spacing w:after="0"/>
              <w:ind w:left="-108"/>
              <w:rPr>
                <w:rFonts w:cs="Arial"/>
                <w:b/>
                <w:bCs/>
                <w:color w:val="000080"/>
                <w:szCs w:val="24"/>
              </w:rPr>
            </w:pPr>
          </w:p>
        </w:tc>
        <w:tc>
          <w:tcPr>
            <w:tcW w:w="7185" w:type="dxa"/>
          </w:tcPr>
          <w:p w14:paraId="38E1D7EC" w14:textId="77777777" w:rsidR="000E6F83" w:rsidRPr="00DB7156" w:rsidRDefault="000E6F83" w:rsidP="005A602C">
            <w:pPr>
              <w:spacing w:after="0"/>
              <w:rPr>
                <w:rFonts w:cs="Arial"/>
                <w:color w:val="000080"/>
                <w:szCs w:val="24"/>
              </w:rPr>
            </w:pPr>
          </w:p>
        </w:tc>
      </w:tr>
      <w:tr w:rsidR="002E4EB8" w:rsidRPr="00DB7156" w14:paraId="2BD82D1F" w14:textId="77777777" w:rsidTr="003019E9">
        <w:tc>
          <w:tcPr>
            <w:tcW w:w="1680" w:type="dxa"/>
          </w:tcPr>
          <w:p w14:paraId="38F32FC9" w14:textId="0C8C1D0C" w:rsidR="002E4EB8" w:rsidRPr="00DB7156" w:rsidRDefault="734E2506" w:rsidP="0AF8DB6F">
            <w:pPr>
              <w:spacing w:after="0"/>
              <w:ind w:left="-108"/>
              <w:rPr>
                <w:rFonts w:cs="Arial"/>
                <w:b/>
                <w:bCs/>
                <w:color w:val="000080"/>
                <w:szCs w:val="24"/>
              </w:rPr>
            </w:pPr>
            <w:r w:rsidRPr="0AF8DB6F">
              <w:rPr>
                <w:rFonts w:cs="Arial"/>
                <w:b/>
                <w:bCs/>
                <w:color w:val="000080"/>
                <w:szCs w:val="24"/>
              </w:rPr>
              <w:t>CCS</w:t>
            </w:r>
          </w:p>
        </w:tc>
        <w:tc>
          <w:tcPr>
            <w:tcW w:w="7185" w:type="dxa"/>
          </w:tcPr>
          <w:p w14:paraId="647D093C" w14:textId="47443B1F" w:rsidR="002E4EB8" w:rsidRPr="00DB7156" w:rsidRDefault="734E2506" w:rsidP="005A602C">
            <w:pPr>
              <w:spacing w:after="0"/>
              <w:rPr>
                <w:rFonts w:cs="Arial"/>
                <w:color w:val="000080"/>
                <w:szCs w:val="24"/>
              </w:rPr>
            </w:pPr>
            <w:r w:rsidRPr="0AF8DB6F">
              <w:rPr>
                <w:rFonts w:cs="Arial"/>
                <w:color w:val="000080"/>
                <w:szCs w:val="24"/>
              </w:rPr>
              <w:t>Carbon Capture &amp; Sequestration</w:t>
            </w:r>
          </w:p>
        </w:tc>
      </w:tr>
      <w:tr w:rsidR="00661E6F" w:rsidRPr="00DB7156" w14:paraId="64C2315A" w14:textId="77777777" w:rsidTr="003019E9">
        <w:tc>
          <w:tcPr>
            <w:tcW w:w="1680" w:type="dxa"/>
          </w:tcPr>
          <w:p w14:paraId="53D61D17" w14:textId="77777777" w:rsidR="00661E6F" w:rsidRPr="00DB7156" w:rsidRDefault="00661E6F" w:rsidP="0AF8DB6F">
            <w:pPr>
              <w:spacing w:after="0"/>
              <w:ind w:left="-108"/>
              <w:rPr>
                <w:rFonts w:cs="Arial"/>
                <w:b/>
                <w:bCs/>
                <w:color w:val="000080"/>
                <w:szCs w:val="24"/>
              </w:rPr>
            </w:pPr>
          </w:p>
        </w:tc>
        <w:tc>
          <w:tcPr>
            <w:tcW w:w="7185" w:type="dxa"/>
          </w:tcPr>
          <w:p w14:paraId="5826D4E5" w14:textId="77777777" w:rsidR="00661E6F" w:rsidRPr="00DB7156" w:rsidRDefault="00661E6F" w:rsidP="005A602C">
            <w:pPr>
              <w:spacing w:after="0"/>
              <w:rPr>
                <w:rFonts w:cs="Arial"/>
                <w:color w:val="000080"/>
                <w:szCs w:val="24"/>
              </w:rPr>
            </w:pPr>
          </w:p>
        </w:tc>
      </w:tr>
      <w:tr w:rsidR="00BD5B43" w:rsidRPr="00DB7156" w14:paraId="2D6AF30F" w14:textId="77777777" w:rsidTr="003019E9">
        <w:tc>
          <w:tcPr>
            <w:tcW w:w="1680" w:type="dxa"/>
          </w:tcPr>
          <w:p w14:paraId="1F1E7375" w14:textId="71D5579A" w:rsidR="00BD5B43" w:rsidRPr="008E4AAF" w:rsidRDefault="00BD5B43" w:rsidP="0AF8DB6F">
            <w:pPr>
              <w:spacing w:after="0"/>
              <w:ind w:left="-108"/>
              <w:rPr>
                <w:rFonts w:cs="Arial"/>
                <w:b/>
                <w:bCs/>
                <w:color w:val="000080"/>
                <w:szCs w:val="24"/>
              </w:rPr>
            </w:pPr>
            <w:r w:rsidRPr="009F7A7E">
              <w:rPr>
                <w:rFonts w:cs="Arial"/>
                <w:b/>
                <w:bCs/>
                <w:color w:val="000080"/>
                <w:szCs w:val="24"/>
              </w:rPr>
              <w:t>CCOFA</w:t>
            </w:r>
          </w:p>
        </w:tc>
        <w:tc>
          <w:tcPr>
            <w:tcW w:w="7185" w:type="dxa"/>
          </w:tcPr>
          <w:p w14:paraId="6E402226" w14:textId="789C6EF7" w:rsidR="00BD5B43" w:rsidRPr="0AF8DB6F" w:rsidRDefault="00BD5B43" w:rsidP="005A602C">
            <w:pPr>
              <w:spacing w:after="0"/>
              <w:rPr>
                <w:rFonts w:cs="Arial"/>
                <w:color w:val="000080"/>
                <w:szCs w:val="24"/>
              </w:rPr>
            </w:pPr>
            <w:r>
              <w:rPr>
                <w:rFonts w:cs="Arial"/>
                <w:color w:val="000080"/>
                <w:szCs w:val="24"/>
              </w:rPr>
              <w:t>Close Coupled Overfire Air</w:t>
            </w:r>
          </w:p>
        </w:tc>
      </w:tr>
      <w:tr w:rsidR="00BD5B43" w:rsidRPr="00DB7156" w14:paraId="666E603F" w14:textId="77777777" w:rsidTr="003019E9">
        <w:tc>
          <w:tcPr>
            <w:tcW w:w="1680" w:type="dxa"/>
          </w:tcPr>
          <w:p w14:paraId="70703954" w14:textId="77777777" w:rsidR="00BD5B43" w:rsidRPr="0AF8DB6F" w:rsidRDefault="00BD5B43" w:rsidP="0AF8DB6F">
            <w:pPr>
              <w:spacing w:after="0"/>
              <w:ind w:left="-108"/>
              <w:rPr>
                <w:rFonts w:cs="Arial"/>
                <w:b/>
                <w:bCs/>
                <w:color w:val="000080"/>
                <w:szCs w:val="24"/>
              </w:rPr>
            </w:pPr>
          </w:p>
        </w:tc>
        <w:tc>
          <w:tcPr>
            <w:tcW w:w="7185" w:type="dxa"/>
          </w:tcPr>
          <w:p w14:paraId="1C543B29" w14:textId="77777777" w:rsidR="00BD5B43" w:rsidRPr="0AF8DB6F" w:rsidRDefault="00BD5B43" w:rsidP="005A602C">
            <w:pPr>
              <w:spacing w:after="0"/>
              <w:rPr>
                <w:rFonts w:cs="Arial"/>
                <w:color w:val="000080"/>
                <w:szCs w:val="24"/>
              </w:rPr>
            </w:pPr>
          </w:p>
        </w:tc>
      </w:tr>
      <w:tr w:rsidR="00600DE2" w:rsidRPr="00DB7156" w14:paraId="65116E4D" w14:textId="77777777" w:rsidTr="003019E9">
        <w:tc>
          <w:tcPr>
            <w:tcW w:w="1680" w:type="dxa"/>
          </w:tcPr>
          <w:p w14:paraId="63A82D88" w14:textId="5A85A219" w:rsidR="00600DE2" w:rsidRPr="00DB7156" w:rsidRDefault="00600DE2" w:rsidP="005A602C">
            <w:pPr>
              <w:spacing w:after="0"/>
              <w:ind w:left="-108"/>
              <w:rPr>
                <w:rFonts w:cs="Arial"/>
                <w:b/>
                <w:color w:val="000080"/>
                <w:szCs w:val="24"/>
              </w:rPr>
            </w:pPr>
            <w:r>
              <w:rPr>
                <w:rFonts w:cs="Arial"/>
                <w:b/>
                <w:color w:val="000080"/>
                <w:szCs w:val="24"/>
              </w:rPr>
              <w:t>CFR</w:t>
            </w:r>
          </w:p>
        </w:tc>
        <w:tc>
          <w:tcPr>
            <w:tcW w:w="7185" w:type="dxa"/>
          </w:tcPr>
          <w:p w14:paraId="45E7B4D7" w14:textId="7146910C" w:rsidR="00600DE2" w:rsidRPr="00DB7156" w:rsidRDefault="00600DE2" w:rsidP="005A602C">
            <w:pPr>
              <w:spacing w:after="0"/>
              <w:rPr>
                <w:rFonts w:cs="Arial"/>
                <w:color w:val="000080"/>
                <w:szCs w:val="24"/>
              </w:rPr>
            </w:pPr>
            <w:r>
              <w:rPr>
                <w:rFonts w:cs="Arial"/>
                <w:color w:val="000080"/>
                <w:szCs w:val="24"/>
              </w:rPr>
              <w:t>Code of Federal Regulation</w:t>
            </w:r>
            <w:r w:rsidR="00867461">
              <w:rPr>
                <w:rFonts w:cs="Arial"/>
                <w:color w:val="000080"/>
                <w:szCs w:val="24"/>
              </w:rPr>
              <w:t>s</w:t>
            </w:r>
          </w:p>
        </w:tc>
      </w:tr>
      <w:tr w:rsidR="005A602C" w:rsidRPr="00DB7156" w14:paraId="003DAA10" w14:textId="77777777" w:rsidTr="003019E9">
        <w:tc>
          <w:tcPr>
            <w:tcW w:w="1680" w:type="dxa"/>
          </w:tcPr>
          <w:p w14:paraId="7C95F803" w14:textId="1A6BD409" w:rsidR="005A602C" w:rsidRPr="00DB7156" w:rsidRDefault="005A602C" w:rsidP="005A602C">
            <w:pPr>
              <w:spacing w:after="0"/>
              <w:ind w:left="-108"/>
              <w:rPr>
                <w:rFonts w:cs="Arial"/>
                <w:b/>
                <w:color w:val="000080"/>
                <w:szCs w:val="24"/>
              </w:rPr>
            </w:pPr>
          </w:p>
        </w:tc>
        <w:tc>
          <w:tcPr>
            <w:tcW w:w="7185" w:type="dxa"/>
          </w:tcPr>
          <w:p w14:paraId="20588D9E" w14:textId="35B216E4" w:rsidR="005A602C" w:rsidRPr="00DB7156" w:rsidRDefault="005A602C" w:rsidP="005A602C">
            <w:pPr>
              <w:spacing w:after="0"/>
              <w:rPr>
                <w:rFonts w:cs="Arial"/>
                <w:color w:val="000080"/>
                <w:szCs w:val="24"/>
              </w:rPr>
            </w:pPr>
          </w:p>
        </w:tc>
      </w:tr>
      <w:tr w:rsidR="005A602C" w:rsidRPr="00DB7156" w14:paraId="02FB576B" w14:textId="77777777" w:rsidTr="003019E9">
        <w:tc>
          <w:tcPr>
            <w:tcW w:w="1680" w:type="dxa"/>
          </w:tcPr>
          <w:p w14:paraId="6165AD72" w14:textId="49833E07" w:rsidR="005A602C" w:rsidRPr="00DB7156" w:rsidRDefault="005A602C" w:rsidP="005A602C">
            <w:pPr>
              <w:spacing w:after="0"/>
              <w:ind w:left="-108"/>
              <w:rPr>
                <w:rFonts w:cs="Arial"/>
                <w:b/>
                <w:color w:val="000080"/>
                <w:szCs w:val="24"/>
              </w:rPr>
            </w:pPr>
            <w:r w:rsidRPr="00DB7156">
              <w:rPr>
                <w:rFonts w:cs="Arial"/>
                <w:b/>
                <w:color w:val="000080"/>
                <w:szCs w:val="24"/>
              </w:rPr>
              <w:t>CFS</w:t>
            </w:r>
          </w:p>
        </w:tc>
        <w:tc>
          <w:tcPr>
            <w:tcW w:w="7185" w:type="dxa"/>
          </w:tcPr>
          <w:p w14:paraId="14BBC82E" w14:textId="5FAD4B4C" w:rsidR="005A602C" w:rsidRPr="00DB7156" w:rsidRDefault="005A602C" w:rsidP="005A602C">
            <w:pPr>
              <w:spacing w:after="0"/>
              <w:rPr>
                <w:rFonts w:cs="Arial"/>
                <w:color w:val="000080"/>
                <w:szCs w:val="24"/>
              </w:rPr>
            </w:pPr>
            <w:r w:rsidRPr="00DB7156">
              <w:rPr>
                <w:rFonts w:cs="Arial"/>
                <w:color w:val="000080"/>
                <w:szCs w:val="24"/>
              </w:rPr>
              <w:t>Concentric Firing System</w:t>
            </w:r>
          </w:p>
        </w:tc>
      </w:tr>
      <w:tr w:rsidR="005A602C" w:rsidRPr="00DB7156" w14:paraId="55343266" w14:textId="77777777" w:rsidTr="003019E9">
        <w:tc>
          <w:tcPr>
            <w:tcW w:w="1680" w:type="dxa"/>
          </w:tcPr>
          <w:p w14:paraId="7F555B04" w14:textId="149B8B50" w:rsidR="005A602C" w:rsidRPr="00DB7156" w:rsidRDefault="005A602C" w:rsidP="005A602C">
            <w:pPr>
              <w:spacing w:after="0"/>
              <w:ind w:left="-108"/>
              <w:rPr>
                <w:rFonts w:cs="Arial"/>
                <w:b/>
                <w:color w:val="000080"/>
                <w:szCs w:val="24"/>
              </w:rPr>
            </w:pPr>
          </w:p>
        </w:tc>
        <w:tc>
          <w:tcPr>
            <w:tcW w:w="7185" w:type="dxa"/>
          </w:tcPr>
          <w:p w14:paraId="08919CAC" w14:textId="2E3C49FD" w:rsidR="005A602C" w:rsidRPr="00DB7156" w:rsidRDefault="005A602C" w:rsidP="005A602C">
            <w:pPr>
              <w:spacing w:after="0"/>
              <w:rPr>
                <w:rFonts w:cs="Arial"/>
                <w:color w:val="000080"/>
                <w:szCs w:val="24"/>
              </w:rPr>
            </w:pPr>
          </w:p>
        </w:tc>
      </w:tr>
      <w:tr w:rsidR="005A602C" w:rsidRPr="00DB7156" w14:paraId="33182B11" w14:textId="77777777" w:rsidTr="003019E9">
        <w:tc>
          <w:tcPr>
            <w:tcW w:w="1680" w:type="dxa"/>
          </w:tcPr>
          <w:p w14:paraId="4E7E4A92" w14:textId="10BC75B4" w:rsidR="005A602C" w:rsidRPr="00DB7156" w:rsidRDefault="005A602C" w:rsidP="005A602C">
            <w:pPr>
              <w:spacing w:after="0"/>
              <w:ind w:left="-108"/>
              <w:rPr>
                <w:rFonts w:cs="Arial"/>
                <w:b/>
                <w:color w:val="000080"/>
                <w:szCs w:val="24"/>
              </w:rPr>
            </w:pPr>
            <w:r w:rsidRPr="00DB7156">
              <w:rPr>
                <w:rFonts w:cs="Arial"/>
                <w:b/>
                <w:color w:val="000080"/>
                <w:szCs w:val="24"/>
              </w:rPr>
              <w:t>CO</w:t>
            </w:r>
          </w:p>
        </w:tc>
        <w:tc>
          <w:tcPr>
            <w:tcW w:w="7185" w:type="dxa"/>
          </w:tcPr>
          <w:p w14:paraId="5DFFA2DF" w14:textId="6CBD97B9" w:rsidR="005A602C" w:rsidRPr="00DB7156" w:rsidRDefault="005A602C" w:rsidP="005A602C">
            <w:pPr>
              <w:spacing w:after="0"/>
              <w:rPr>
                <w:rFonts w:cs="Arial"/>
                <w:color w:val="000080"/>
                <w:szCs w:val="24"/>
              </w:rPr>
            </w:pPr>
            <w:r w:rsidRPr="00DB7156">
              <w:rPr>
                <w:rFonts w:cs="Arial"/>
                <w:color w:val="000080"/>
                <w:szCs w:val="24"/>
              </w:rPr>
              <w:t>Carbon Monoxide</w:t>
            </w:r>
          </w:p>
        </w:tc>
      </w:tr>
      <w:tr w:rsidR="005A602C" w:rsidRPr="00DB7156" w14:paraId="5FBD4487" w14:textId="77777777" w:rsidTr="003019E9">
        <w:tc>
          <w:tcPr>
            <w:tcW w:w="1680" w:type="dxa"/>
          </w:tcPr>
          <w:p w14:paraId="7C1855D1" w14:textId="068933C3" w:rsidR="005A602C" w:rsidRPr="00DB7156" w:rsidRDefault="005A602C" w:rsidP="005A602C">
            <w:pPr>
              <w:spacing w:after="0"/>
              <w:ind w:left="-108"/>
              <w:rPr>
                <w:rFonts w:cs="Arial"/>
                <w:b/>
                <w:color w:val="000080"/>
                <w:szCs w:val="24"/>
              </w:rPr>
            </w:pPr>
            <w:r w:rsidRPr="00DB7156">
              <w:rPr>
                <w:rFonts w:cs="Arial"/>
                <w:b/>
                <w:color w:val="000080"/>
                <w:szCs w:val="24"/>
              </w:rPr>
              <w:t>CO</w:t>
            </w:r>
            <w:r w:rsidRPr="00DB7156">
              <w:rPr>
                <w:rFonts w:cs="Arial"/>
                <w:b/>
                <w:smallCaps/>
                <w:color w:val="000080"/>
                <w:szCs w:val="24"/>
                <w:vertAlign w:val="subscript"/>
              </w:rPr>
              <w:t>2</w:t>
            </w:r>
          </w:p>
        </w:tc>
        <w:tc>
          <w:tcPr>
            <w:tcW w:w="7185" w:type="dxa"/>
          </w:tcPr>
          <w:p w14:paraId="4CA136B9" w14:textId="296E769C" w:rsidR="005A602C" w:rsidRPr="00DB7156" w:rsidRDefault="005A602C" w:rsidP="005A602C">
            <w:pPr>
              <w:spacing w:after="0"/>
              <w:rPr>
                <w:rFonts w:cs="Arial"/>
                <w:color w:val="000080"/>
                <w:szCs w:val="24"/>
              </w:rPr>
            </w:pPr>
            <w:r w:rsidRPr="00DB7156">
              <w:rPr>
                <w:rFonts w:cs="Arial"/>
                <w:color w:val="000080"/>
                <w:szCs w:val="24"/>
              </w:rPr>
              <w:t>Carbon Dioxide</w:t>
            </w:r>
          </w:p>
        </w:tc>
      </w:tr>
      <w:tr w:rsidR="0066104B" w:rsidRPr="00DB7156" w14:paraId="16A61C48" w14:textId="77777777" w:rsidTr="003019E9">
        <w:tc>
          <w:tcPr>
            <w:tcW w:w="1680" w:type="dxa"/>
          </w:tcPr>
          <w:p w14:paraId="79DFB7AB" w14:textId="77777777" w:rsidR="0066104B" w:rsidRPr="00DB7156" w:rsidRDefault="0066104B" w:rsidP="005A602C">
            <w:pPr>
              <w:spacing w:after="0"/>
              <w:ind w:left="-108"/>
              <w:rPr>
                <w:rFonts w:cs="Arial"/>
                <w:b/>
                <w:color w:val="000080"/>
                <w:szCs w:val="24"/>
              </w:rPr>
            </w:pPr>
          </w:p>
        </w:tc>
        <w:tc>
          <w:tcPr>
            <w:tcW w:w="7185" w:type="dxa"/>
          </w:tcPr>
          <w:p w14:paraId="169614BC" w14:textId="77777777" w:rsidR="0066104B" w:rsidRPr="00DB7156" w:rsidRDefault="0066104B" w:rsidP="005A602C">
            <w:pPr>
              <w:spacing w:after="0"/>
              <w:rPr>
                <w:rFonts w:cs="Arial"/>
                <w:color w:val="000080"/>
                <w:szCs w:val="24"/>
              </w:rPr>
            </w:pPr>
          </w:p>
        </w:tc>
      </w:tr>
      <w:tr w:rsidR="00752904" w:rsidRPr="00DB7156" w14:paraId="5F7C838A" w14:textId="77777777" w:rsidTr="003019E9">
        <w:tc>
          <w:tcPr>
            <w:tcW w:w="1680" w:type="dxa"/>
          </w:tcPr>
          <w:p w14:paraId="591A1D8C" w14:textId="1616F266" w:rsidR="00752904" w:rsidRPr="00DB7156" w:rsidRDefault="1A0960A9" w:rsidP="0AF8DB6F">
            <w:pPr>
              <w:spacing w:after="0"/>
              <w:ind w:left="-108"/>
              <w:rPr>
                <w:rFonts w:cs="Arial"/>
                <w:b/>
                <w:bCs/>
                <w:color w:val="000080"/>
                <w:szCs w:val="24"/>
              </w:rPr>
            </w:pPr>
            <w:r w:rsidRPr="0AF8DB6F">
              <w:rPr>
                <w:rFonts w:cs="Arial"/>
                <w:b/>
                <w:bCs/>
                <w:color w:val="000080"/>
                <w:szCs w:val="24"/>
              </w:rPr>
              <w:t>COHPAC</w:t>
            </w:r>
          </w:p>
        </w:tc>
        <w:tc>
          <w:tcPr>
            <w:tcW w:w="7185" w:type="dxa"/>
          </w:tcPr>
          <w:p w14:paraId="59EC7620" w14:textId="1565BE5F" w:rsidR="00752904" w:rsidRPr="00DB7156" w:rsidRDefault="1A0960A9" w:rsidP="005A602C">
            <w:pPr>
              <w:spacing w:after="0"/>
              <w:rPr>
                <w:rFonts w:cs="Arial"/>
                <w:color w:val="000080"/>
                <w:szCs w:val="24"/>
              </w:rPr>
            </w:pPr>
            <w:r w:rsidRPr="0AF8DB6F">
              <w:rPr>
                <w:rFonts w:cs="Arial"/>
                <w:color w:val="000080"/>
                <w:szCs w:val="24"/>
              </w:rPr>
              <w:t xml:space="preserve">Compact </w:t>
            </w:r>
            <w:r w:rsidR="385B7603" w:rsidRPr="0AF8DB6F">
              <w:rPr>
                <w:rFonts w:cs="Arial"/>
                <w:color w:val="000080"/>
                <w:szCs w:val="24"/>
              </w:rPr>
              <w:t>Hybrid Particulate Collector</w:t>
            </w:r>
          </w:p>
        </w:tc>
      </w:tr>
      <w:tr w:rsidR="003C0AAF" w:rsidRPr="00DB7156" w14:paraId="5F1DDEDD" w14:textId="77777777" w:rsidTr="003019E9">
        <w:tc>
          <w:tcPr>
            <w:tcW w:w="1680" w:type="dxa"/>
          </w:tcPr>
          <w:p w14:paraId="085FEBC1" w14:textId="77777777" w:rsidR="003C0AAF" w:rsidRPr="0AF8DB6F" w:rsidRDefault="003C0AAF" w:rsidP="0AF8DB6F">
            <w:pPr>
              <w:spacing w:after="0"/>
              <w:ind w:left="-108"/>
              <w:rPr>
                <w:rFonts w:cs="Arial"/>
                <w:b/>
                <w:bCs/>
                <w:color w:val="000080"/>
                <w:szCs w:val="24"/>
              </w:rPr>
            </w:pPr>
          </w:p>
        </w:tc>
        <w:tc>
          <w:tcPr>
            <w:tcW w:w="7185" w:type="dxa"/>
          </w:tcPr>
          <w:p w14:paraId="62E3FAEA" w14:textId="77777777" w:rsidR="003C0AAF" w:rsidRPr="0AF8DB6F" w:rsidRDefault="003C0AAF" w:rsidP="005A602C">
            <w:pPr>
              <w:spacing w:after="0"/>
              <w:rPr>
                <w:rFonts w:cs="Arial"/>
                <w:color w:val="000080"/>
                <w:szCs w:val="24"/>
              </w:rPr>
            </w:pPr>
          </w:p>
        </w:tc>
      </w:tr>
      <w:tr w:rsidR="005A602C" w:rsidRPr="00DB7156" w14:paraId="5034833A" w14:textId="77777777" w:rsidTr="003019E9">
        <w:tc>
          <w:tcPr>
            <w:tcW w:w="1680" w:type="dxa"/>
          </w:tcPr>
          <w:p w14:paraId="6B62C94E" w14:textId="68EB7EC0" w:rsidR="005A602C" w:rsidRPr="00DB7156" w:rsidRDefault="005A602C" w:rsidP="005A602C">
            <w:pPr>
              <w:spacing w:after="0"/>
              <w:ind w:left="-108"/>
              <w:rPr>
                <w:rFonts w:cs="Arial"/>
                <w:b/>
                <w:color w:val="000080"/>
                <w:szCs w:val="24"/>
              </w:rPr>
            </w:pPr>
            <w:r>
              <w:rPr>
                <w:rFonts w:cs="Arial"/>
                <w:b/>
                <w:color w:val="000080"/>
                <w:szCs w:val="24"/>
              </w:rPr>
              <w:t>COP</w:t>
            </w:r>
          </w:p>
        </w:tc>
        <w:tc>
          <w:tcPr>
            <w:tcW w:w="7185" w:type="dxa"/>
          </w:tcPr>
          <w:p w14:paraId="47D1A1AF" w14:textId="6BD29DF3" w:rsidR="005A602C" w:rsidRPr="00DB7156" w:rsidRDefault="005A602C" w:rsidP="005A602C">
            <w:pPr>
              <w:spacing w:after="0"/>
              <w:rPr>
                <w:rFonts w:cs="Arial"/>
                <w:color w:val="000080"/>
                <w:szCs w:val="24"/>
              </w:rPr>
            </w:pPr>
            <w:r>
              <w:rPr>
                <w:rFonts w:cs="Arial"/>
                <w:snapToGrid w:val="0"/>
                <w:color w:val="000080"/>
                <w:szCs w:val="24"/>
              </w:rPr>
              <w:t>Conference of Parties</w:t>
            </w:r>
          </w:p>
        </w:tc>
      </w:tr>
      <w:tr w:rsidR="005A602C" w:rsidRPr="00DB7156" w14:paraId="32EDB9FC" w14:textId="77777777" w:rsidTr="003019E9">
        <w:tc>
          <w:tcPr>
            <w:tcW w:w="1680" w:type="dxa"/>
          </w:tcPr>
          <w:p w14:paraId="099B1AF2" w14:textId="7D82017E" w:rsidR="005A602C" w:rsidRPr="00DB7156" w:rsidRDefault="005A602C" w:rsidP="005A602C">
            <w:pPr>
              <w:spacing w:after="0"/>
              <w:ind w:left="-108"/>
              <w:rPr>
                <w:rFonts w:cs="Arial"/>
                <w:b/>
                <w:color w:val="000080"/>
                <w:szCs w:val="24"/>
              </w:rPr>
            </w:pPr>
          </w:p>
        </w:tc>
        <w:tc>
          <w:tcPr>
            <w:tcW w:w="7185" w:type="dxa"/>
          </w:tcPr>
          <w:p w14:paraId="1E656559" w14:textId="7F802F3D" w:rsidR="005A602C" w:rsidRPr="00DB7156" w:rsidRDefault="005A602C" w:rsidP="005A602C">
            <w:pPr>
              <w:spacing w:after="0"/>
              <w:rPr>
                <w:rFonts w:cs="Arial"/>
                <w:color w:val="000080"/>
                <w:szCs w:val="24"/>
              </w:rPr>
            </w:pPr>
          </w:p>
        </w:tc>
      </w:tr>
      <w:tr w:rsidR="005A602C" w:rsidRPr="00DB7156" w14:paraId="1719276A" w14:textId="77777777" w:rsidTr="003019E9">
        <w:tc>
          <w:tcPr>
            <w:tcW w:w="1680" w:type="dxa"/>
          </w:tcPr>
          <w:p w14:paraId="6504CA4B" w14:textId="1674BCB7" w:rsidR="005A602C" w:rsidRPr="00DB7156" w:rsidRDefault="005A602C" w:rsidP="005A602C">
            <w:pPr>
              <w:spacing w:after="0"/>
              <w:ind w:left="-108"/>
              <w:rPr>
                <w:rFonts w:cs="Arial"/>
                <w:b/>
                <w:color w:val="000080"/>
                <w:szCs w:val="24"/>
              </w:rPr>
            </w:pPr>
            <w:r>
              <w:rPr>
                <w:rFonts w:cs="Arial"/>
                <w:b/>
                <w:color w:val="000080"/>
                <w:szCs w:val="24"/>
              </w:rPr>
              <w:t>CMP</w:t>
            </w:r>
          </w:p>
        </w:tc>
        <w:tc>
          <w:tcPr>
            <w:tcW w:w="7185" w:type="dxa"/>
          </w:tcPr>
          <w:p w14:paraId="03D17F9C" w14:textId="0447EB5B" w:rsidR="005A602C" w:rsidRPr="00DB7156" w:rsidRDefault="005A602C" w:rsidP="005A602C">
            <w:pPr>
              <w:spacing w:after="0"/>
              <w:rPr>
                <w:rFonts w:cs="Arial"/>
                <w:color w:val="000080"/>
                <w:szCs w:val="24"/>
              </w:rPr>
            </w:pPr>
            <w:r>
              <w:rPr>
                <w:rFonts w:cs="Arial"/>
                <w:snapToGrid w:val="0"/>
                <w:color w:val="000080"/>
                <w:szCs w:val="24"/>
              </w:rPr>
              <w:t>Meeting of the Parties to the Kyoto Protocol</w:t>
            </w:r>
          </w:p>
        </w:tc>
      </w:tr>
      <w:tr w:rsidR="005A602C" w:rsidRPr="00DB7156" w14:paraId="047934C4" w14:textId="77777777" w:rsidTr="003019E9">
        <w:tc>
          <w:tcPr>
            <w:tcW w:w="1680" w:type="dxa"/>
          </w:tcPr>
          <w:p w14:paraId="3B09D9A3" w14:textId="5E9F45BD" w:rsidR="005A602C" w:rsidRPr="00DB7156" w:rsidRDefault="005A602C" w:rsidP="005A602C">
            <w:pPr>
              <w:spacing w:after="0"/>
              <w:ind w:left="-108"/>
              <w:rPr>
                <w:rFonts w:cs="Arial"/>
                <w:b/>
                <w:color w:val="000080"/>
                <w:szCs w:val="24"/>
              </w:rPr>
            </w:pPr>
          </w:p>
        </w:tc>
        <w:tc>
          <w:tcPr>
            <w:tcW w:w="7185" w:type="dxa"/>
          </w:tcPr>
          <w:p w14:paraId="03EF0AAD" w14:textId="1F433D47" w:rsidR="005A602C" w:rsidRPr="00DB7156" w:rsidRDefault="005A602C" w:rsidP="005A602C">
            <w:pPr>
              <w:spacing w:after="0"/>
              <w:rPr>
                <w:rFonts w:cs="Arial"/>
                <w:color w:val="000080"/>
                <w:szCs w:val="24"/>
              </w:rPr>
            </w:pPr>
          </w:p>
        </w:tc>
      </w:tr>
      <w:tr w:rsidR="005A602C" w:rsidRPr="00DB7156" w14:paraId="61D0AA85" w14:textId="77777777" w:rsidTr="003019E9">
        <w:tc>
          <w:tcPr>
            <w:tcW w:w="1680" w:type="dxa"/>
          </w:tcPr>
          <w:p w14:paraId="38E9F33C" w14:textId="29165BCB" w:rsidR="005A602C" w:rsidRPr="00DB7156" w:rsidRDefault="005A602C" w:rsidP="005A602C">
            <w:pPr>
              <w:spacing w:after="0"/>
              <w:ind w:left="-108"/>
              <w:rPr>
                <w:rFonts w:cs="Arial"/>
                <w:b/>
                <w:color w:val="000080"/>
                <w:szCs w:val="24"/>
              </w:rPr>
            </w:pPr>
            <w:r w:rsidRPr="00CC5AA4">
              <w:rPr>
                <w:rFonts w:cs="Arial"/>
                <w:b/>
                <w:color w:val="000080"/>
                <w:szCs w:val="24"/>
              </w:rPr>
              <w:t>CPP</w:t>
            </w:r>
          </w:p>
        </w:tc>
        <w:tc>
          <w:tcPr>
            <w:tcW w:w="7185" w:type="dxa"/>
          </w:tcPr>
          <w:p w14:paraId="022508D6" w14:textId="464B8902" w:rsidR="005A602C" w:rsidRPr="00DB7156" w:rsidRDefault="005A602C" w:rsidP="005A602C">
            <w:pPr>
              <w:spacing w:after="0"/>
              <w:rPr>
                <w:rFonts w:cs="Arial"/>
                <w:color w:val="000080"/>
                <w:szCs w:val="24"/>
              </w:rPr>
            </w:pPr>
            <w:r w:rsidRPr="00DB7156">
              <w:rPr>
                <w:rFonts w:cs="Arial"/>
                <w:snapToGrid w:val="0"/>
                <w:color w:val="000080"/>
                <w:szCs w:val="24"/>
              </w:rPr>
              <w:t>Clean Power Plan</w:t>
            </w:r>
          </w:p>
        </w:tc>
      </w:tr>
      <w:tr w:rsidR="005A602C" w:rsidRPr="00DB7156" w14:paraId="38738EB1" w14:textId="77777777" w:rsidTr="003019E9">
        <w:tc>
          <w:tcPr>
            <w:tcW w:w="1680" w:type="dxa"/>
          </w:tcPr>
          <w:p w14:paraId="1D2A93AD" w14:textId="21247EA5" w:rsidR="005A602C" w:rsidRPr="00DB7156" w:rsidRDefault="005A602C" w:rsidP="005A602C">
            <w:pPr>
              <w:spacing w:after="0"/>
              <w:ind w:left="-108"/>
              <w:rPr>
                <w:rFonts w:cs="Arial"/>
                <w:b/>
                <w:color w:val="000080"/>
                <w:szCs w:val="24"/>
              </w:rPr>
            </w:pPr>
          </w:p>
        </w:tc>
        <w:tc>
          <w:tcPr>
            <w:tcW w:w="7185" w:type="dxa"/>
          </w:tcPr>
          <w:p w14:paraId="057018C9" w14:textId="101B3DD6" w:rsidR="005A602C" w:rsidRPr="00DB7156" w:rsidRDefault="005A602C" w:rsidP="005A602C">
            <w:pPr>
              <w:spacing w:after="0"/>
              <w:rPr>
                <w:rFonts w:cs="Arial"/>
                <w:color w:val="000080"/>
                <w:szCs w:val="24"/>
              </w:rPr>
            </w:pPr>
          </w:p>
        </w:tc>
      </w:tr>
      <w:tr w:rsidR="005A602C" w:rsidRPr="00DB7156" w14:paraId="0800B370" w14:textId="77777777" w:rsidTr="003019E9">
        <w:tc>
          <w:tcPr>
            <w:tcW w:w="1680" w:type="dxa"/>
          </w:tcPr>
          <w:p w14:paraId="4435F491" w14:textId="5E0A91A9" w:rsidR="005A602C" w:rsidRPr="00DB7156" w:rsidRDefault="005A602C" w:rsidP="005A602C">
            <w:pPr>
              <w:spacing w:after="0"/>
              <w:ind w:left="-108"/>
              <w:rPr>
                <w:rFonts w:cs="Arial"/>
                <w:b/>
                <w:color w:val="000080"/>
                <w:szCs w:val="24"/>
              </w:rPr>
            </w:pPr>
            <w:r w:rsidRPr="00DB7156">
              <w:rPr>
                <w:rFonts w:cs="Arial"/>
                <w:b/>
                <w:snapToGrid w:val="0"/>
                <w:color w:val="000080"/>
                <w:szCs w:val="24"/>
              </w:rPr>
              <w:t>CSAPR</w:t>
            </w:r>
          </w:p>
        </w:tc>
        <w:tc>
          <w:tcPr>
            <w:tcW w:w="7185" w:type="dxa"/>
          </w:tcPr>
          <w:p w14:paraId="64F43777" w14:textId="79564F49" w:rsidR="005A602C" w:rsidRPr="00DB7156" w:rsidRDefault="005A602C" w:rsidP="005A602C">
            <w:pPr>
              <w:spacing w:after="0"/>
              <w:rPr>
                <w:rFonts w:cs="Arial"/>
                <w:color w:val="000080"/>
                <w:szCs w:val="24"/>
              </w:rPr>
            </w:pPr>
            <w:r w:rsidRPr="00DB7156">
              <w:rPr>
                <w:rFonts w:cs="Arial"/>
                <w:snapToGrid w:val="0"/>
                <w:color w:val="000080"/>
                <w:szCs w:val="24"/>
              </w:rPr>
              <w:t>Cross State Air Pollution Rule</w:t>
            </w:r>
          </w:p>
        </w:tc>
      </w:tr>
      <w:tr w:rsidR="005A602C" w:rsidRPr="00DB7156" w14:paraId="2427C74D" w14:textId="77777777" w:rsidTr="003019E9">
        <w:tc>
          <w:tcPr>
            <w:tcW w:w="1680" w:type="dxa"/>
          </w:tcPr>
          <w:p w14:paraId="1DF0960C" w14:textId="168160E1" w:rsidR="005A602C" w:rsidRPr="00DB7156" w:rsidRDefault="005A602C" w:rsidP="005A602C">
            <w:pPr>
              <w:spacing w:after="0"/>
              <w:ind w:left="-108"/>
              <w:rPr>
                <w:rFonts w:cs="Arial"/>
                <w:b/>
                <w:color w:val="000080"/>
                <w:szCs w:val="24"/>
              </w:rPr>
            </w:pPr>
          </w:p>
        </w:tc>
        <w:tc>
          <w:tcPr>
            <w:tcW w:w="7185" w:type="dxa"/>
          </w:tcPr>
          <w:p w14:paraId="31B91357" w14:textId="7C6E54BA" w:rsidR="005A602C" w:rsidRPr="00DB7156" w:rsidRDefault="005A602C" w:rsidP="005A602C">
            <w:pPr>
              <w:spacing w:after="0"/>
              <w:rPr>
                <w:rFonts w:cs="Arial"/>
                <w:color w:val="000080"/>
                <w:szCs w:val="24"/>
              </w:rPr>
            </w:pPr>
          </w:p>
        </w:tc>
      </w:tr>
      <w:tr w:rsidR="005A602C" w:rsidRPr="00DB7156" w14:paraId="4A8E174F" w14:textId="77777777" w:rsidTr="003019E9">
        <w:tc>
          <w:tcPr>
            <w:tcW w:w="1680" w:type="dxa"/>
          </w:tcPr>
          <w:p w14:paraId="25158E85" w14:textId="7057ED85" w:rsidR="005A602C" w:rsidRPr="00DB7156" w:rsidRDefault="005A602C" w:rsidP="005A602C">
            <w:pPr>
              <w:spacing w:after="0"/>
              <w:ind w:left="-108"/>
              <w:rPr>
                <w:rFonts w:cs="Arial"/>
                <w:b/>
                <w:color w:val="000080"/>
                <w:szCs w:val="24"/>
              </w:rPr>
            </w:pPr>
            <w:r w:rsidRPr="00DB7156">
              <w:rPr>
                <w:rFonts w:cs="Arial"/>
                <w:b/>
                <w:snapToGrid w:val="0"/>
                <w:color w:val="000080"/>
                <w:szCs w:val="24"/>
              </w:rPr>
              <w:t>CWA</w:t>
            </w:r>
          </w:p>
        </w:tc>
        <w:tc>
          <w:tcPr>
            <w:tcW w:w="7185" w:type="dxa"/>
          </w:tcPr>
          <w:p w14:paraId="47094AF9" w14:textId="46D2C016" w:rsidR="005A602C" w:rsidRPr="00DB7156" w:rsidRDefault="005A602C" w:rsidP="005A602C">
            <w:pPr>
              <w:spacing w:after="0"/>
              <w:rPr>
                <w:rFonts w:cs="Arial"/>
                <w:color w:val="000080"/>
                <w:szCs w:val="24"/>
              </w:rPr>
            </w:pPr>
            <w:r w:rsidRPr="00DB7156">
              <w:rPr>
                <w:rFonts w:cs="Arial"/>
                <w:snapToGrid w:val="0"/>
                <w:color w:val="000080"/>
                <w:szCs w:val="24"/>
              </w:rPr>
              <w:t>Clean Water Act</w:t>
            </w:r>
          </w:p>
        </w:tc>
      </w:tr>
      <w:tr w:rsidR="00407807" w:rsidRPr="00DB7156" w14:paraId="7F2443CF" w14:textId="77777777" w:rsidTr="003019E9">
        <w:tc>
          <w:tcPr>
            <w:tcW w:w="1680" w:type="dxa"/>
          </w:tcPr>
          <w:p w14:paraId="7B15F84E" w14:textId="77777777" w:rsidR="00407807" w:rsidRPr="00DB7156" w:rsidRDefault="00407807" w:rsidP="0AF8DB6F">
            <w:pPr>
              <w:spacing w:after="0"/>
              <w:ind w:left="-108"/>
              <w:rPr>
                <w:rFonts w:cs="Arial"/>
                <w:b/>
                <w:bCs/>
                <w:snapToGrid w:val="0"/>
                <w:color w:val="000080"/>
                <w:szCs w:val="24"/>
              </w:rPr>
            </w:pPr>
          </w:p>
        </w:tc>
        <w:tc>
          <w:tcPr>
            <w:tcW w:w="7185" w:type="dxa"/>
          </w:tcPr>
          <w:p w14:paraId="14E3B85B" w14:textId="77777777" w:rsidR="00407807" w:rsidRPr="00DB7156" w:rsidRDefault="00407807" w:rsidP="005A602C">
            <w:pPr>
              <w:spacing w:after="0"/>
              <w:rPr>
                <w:rFonts w:cs="Arial"/>
                <w:snapToGrid w:val="0"/>
                <w:color w:val="000080"/>
                <w:szCs w:val="24"/>
              </w:rPr>
            </w:pPr>
          </w:p>
        </w:tc>
      </w:tr>
      <w:tr w:rsidR="00407807" w:rsidRPr="00DB7156" w14:paraId="479AE7D2" w14:textId="77777777" w:rsidTr="003019E9">
        <w:tc>
          <w:tcPr>
            <w:tcW w:w="1680" w:type="dxa"/>
          </w:tcPr>
          <w:p w14:paraId="5B55B8B9" w14:textId="20332C20" w:rsidR="00407807" w:rsidRPr="00DB7156" w:rsidRDefault="4C2CBD05" w:rsidP="0AF8DB6F">
            <w:pPr>
              <w:spacing w:after="0"/>
              <w:ind w:left="-108"/>
              <w:rPr>
                <w:rFonts w:cs="Arial"/>
                <w:b/>
                <w:bCs/>
                <w:snapToGrid w:val="0"/>
                <w:color w:val="000080"/>
                <w:szCs w:val="24"/>
              </w:rPr>
            </w:pPr>
            <w:r w:rsidRPr="0AF8DB6F">
              <w:rPr>
                <w:rFonts w:cs="Arial"/>
                <w:b/>
                <w:bCs/>
                <w:snapToGrid w:val="0"/>
                <w:color w:val="000080"/>
                <w:szCs w:val="24"/>
              </w:rPr>
              <w:t>CWWS</w:t>
            </w:r>
          </w:p>
        </w:tc>
        <w:tc>
          <w:tcPr>
            <w:tcW w:w="7185" w:type="dxa"/>
          </w:tcPr>
          <w:p w14:paraId="029C7757" w14:textId="1DAE45DC" w:rsidR="00407807" w:rsidRPr="00DB7156" w:rsidRDefault="1A28C29F" w:rsidP="005A602C">
            <w:pPr>
              <w:spacing w:after="0"/>
              <w:rPr>
                <w:rFonts w:cs="Arial"/>
                <w:snapToGrid w:val="0"/>
                <w:color w:val="000080"/>
                <w:szCs w:val="24"/>
              </w:rPr>
            </w:pPr>
            <w:r>
              <w:rPr>
                <w:rFonts w:cs="Arial"/>
                <w:snapToGrid w:val="0"/>
                <w:color w:val="000080"/>
                <w:szCs w:val="24"/>
              </w:rPr>
              <w:t>Cylindrical Wedge Wire Screens</w:t>
            </w:r>
          </w:p>
        </w:tc>
      </w:tr>
      <w:tr w:rsidR="003753B9" w:rsidRPr="00DB7156" w14:paraId="47BEEE68" w14:textId="77777777" w:rsidTr="003019E9">
        <w:tc>
          <w:tcPr>
            <w:tcW w:w="1680" w:type="dxa"/>
          </w:tcPr>
          <w:p w14:paraId="3FD700CC" w14:textId="77777777" w:rsidR="003753B9" w:rsidRPr="00DB7156" w:rsidRDefault="003753B9" w:rsidP="005A602C">
            <w:pPr>
              <w:spacing w:after="0"/>
              <w:ind w:left="-108"/>
              <w:rPr>
                <w:rFonts w:cs="Arial"/>
                <w:b/>
                <w:snapToGrid w:val="0"/>
                <w:color w:val="000080"/>
                <w:szCs w:val="24"/>
              </w:rPr>
            </w:pPr>
          </w:p>
        </w:tc>
        <w:tc>
          <w:tcPr>
            <w:tcW w:w="7185" w:type="dxa"/>
          </w:tcPr>
          <w:p w14:paraId="36467338" w14:textId="77777777" w:rsidR="003753B9" w:rsidRPr="00DB7156" w:rsidRDefault="003753B9" w:rsidP="005A602C">
            <w:pPr>
              <w:spacing w:after="0"/>
              <w:rPr>
                <w:rFonts w:cs="Arial"/>
                <w:snapToGrid w:val="0"/>
                <w:color w:val="000080"/>
                <w:szCs w:val="24"/>
              </w:rPr>
            </w:pPr>
          </w:p>
        </w:tc>
      </w:tr>
      <w:tr w:rsidR="003753B9" w:rsidRPr="00DB7156" w14:paraId="0FF6EE46" w14:textId="77777777" w:rsidTr="003019E9">
        <w:tc>
          <w:tcPr>
            <w:tcW w:w="1680" w:type="dxa"/>
          </w:tcPr>
          <w:p w14:paraId="0812CFE2" w14:textId="052C0866" w:rsidR="003753B9" w:rsidRPr="00DB7156" w:rsidRDefault="006B2819" w:rsidP="005A602C">
            <w:pPr>
              <w:spacing w:after="0"/>
              <w:ind w:left="-108"/>
              <w:rPr>
                <w:rFonts w:cs="Arial"/>
                <w:b/>
                <w:snapToGrid w:val="0"/>
                <w:color w:val="000080"/>
                <w:szCs w:val="24"/>
              </w:rPr>
            </w:pPr>
            <w:r>
              <w:rPr>
                <w:rFonts w:cs="Arial"/>
                <w:b/>
                <w:snapToGrid w:val="0"/>
                <w:color w:val="000080"/>
                <w:szCs w:val="24"/>
              </w:rPr>
              <w:t>DNR</w:t>
            </w:r>
          </w:p>
        </w:tc>
        <w:tc>
          <w:tcPr>
            <w:tcW w:w="7185" w:type="dxa"/>
          </w:tcPr>
          <w:p w14:paraId="54BDC9E3" w14:textId="663EC395" w:rsidR="003753B9" w:rsidRPr="00DB7156" w:rsidRDefault="006B2819" w:rsidP="005A602C">
            <w:pPr>
              <w:spacing w:after="0"/>
              <w:rPr>
                <w:rFonts w:cs="Arial"/>
                <w:snapToGrid w:val="0"/>
                <w:color w:val="000080"/>
                <w:szCs w:val="24"/>
              </w:rPr>
            </w:pPr>
            <w:r>
              <w:rPr>
                <w:rFonts w:cs="Arial"/>
                <w:snapToGrid w:val="0"/>
                <w:color w:val="000080"/>
                <w:szCs w:val="24"/>
              </w:rPr>
              <w:t>Department of Natural Resources</w:t>
            </w:r>
          </w:p>
        </w:tc>
      </w:tr>
      <w:tr w:rsidR="00A3794C" w:rsidRPr="00DB7156" w14:paraId="20AA110D" w14:textId="77777777" w:rsidTr="003019E9">
        <w:tc>
          <w:tcPr>
            <w:tcW w:w="1680" w:type="dxa"/>
          </w:tcPr>
          <w:p w14:paraId="59652446" w14:textId="77777777" w:rsidR="00A3794C" w:rsidRDefault="00A3794C" w:rsidP="0AF8DB6F">
            <w:pPr>
              <w:spacing w:after="0"/>
              <w:ind w:left="-108"/>
              <w:rPr>
                <w:rFonts w:cs="Arial"/>
                <w:b/>
                <w:bCs/>
                <w:snapToGrid w:val="0"/>
                <w:color w:val="000080"/>
                <w:szCs w:val="24"/>
              </w:rPr>
            </w:pPr>
          </w:p>
        </w:tc>
        <w:tc>
          <w:tcPr>
            <w:tcW w:w="7185" w:type="dxa"/>
          </w:tcPr>
          <w:p w14:paraId="182D65E0" w14:textId="77777777" w:rsidR="00A3794C" w:rsidRDefault="00A3794C" w:rsidP="005A602C">
            <w:pPr>
              <w:spacing w:after="0"/>
              <w:rPr>
                <w:rFonts w:cs="Arial"/>
                <w:snapToGrid w:val="0"/>
                <w:color w:val="000080"/>
                <w:szCs w:val="24"/>
              </w:rPr>
            </w:pPr>
          </w:p>
        </w:tc>
      </w:tr>
      <w:tr w:rsidR="00A3794C" w:rsidRPr="00DB7156" w14:paraId="086D9DDF" w14:textId="77777777" w:rsidTr="003019E9">
        <w:tc>
          <w:tcPr>
            <w:tcW w:w="1680" w:type="dxa"/>
          </w:tcPr>
          <w:p w14:paraId="49751276" w14:textId="2B283469" w:rsidR="00A3794C" w:rsidRDefault="42CE6304" w:rsidP="0AF8DB6F">
            <w:pPr>
              <w:spacing w:after="0"/>
              <w:ind w:left="-108"/>
              <w:rPr>
                <w:rFonts w:cs="Arial"/>
                <w:b/>
                <w:bCs/>
                <w:snapToGrid w:val="0"/>
                <w:color w:val="000080"/>
                <w:szCs w:val="24"/>
              </w:rPr>
            </w:pPr>
            <w:r w:rsidRPr="0AF8DB6F">
              <w:rPr>
                <w:rFonts w:cs="Arial"/>
                <w:b/>
                <w:bCs/>
                <w:snapToGrid w:val="0"/>
                <w:color w:val="000080"/>
                <w:szCs w:val="24"/>
              </w:rPr>
              <w:t>DOE</w:t>
            </w:r>
          </w:p>
        </w:tc>
        <w:tc>
          <w:tcPr>
            <w:tcW w:w="7185" w:type="dxa"/>
          </w:tcPr>
          <w:p w14:paraId="2B521EA0" w14:textId="5A0978AC" w:rsidR="00A3794C" w:rsidRDefault="42CE6304" w:rsidP="005A602C">
            <w:pPr>
              <w:spacing w:after="0"/>
              <w:rPr>
                <w:rFonts w:cs="Arial"/>
                <w:snapToGrid w:val="0"/>
                <w:color w:val="000080"/>
                <w:szCs w:val="24"/>
              </w:rPr>
            </w:pPr>
            <w:r>
              <w:rPr>
                <w:rFonts w:cs="Arial"/>
                <w:snapToGrid w:val="0"/>
                <w:color w:val="000080"/>
                <w:szCs w:val="24"/>
              </w:rPr>
              <w:t>Department of Energy</w:t>
            </w:r>
          </w:p>
        </w:tc>
      </w:tr>
      <w:tr w:rsidR="003D233D" w:rsidRPr="00DB7156" w14:paraId="11F02F4F" w14:textId="77777777" w:rsidTr="003019E9">
        <w:tc>
          <w:tcPr>
            <w:tcW w:w="1680" w:type="dxa"/>
          </w:tcPr>
          <w:p w14:paraId="4E14B104" w14:textId="77777777" w:rsidR="003D233D" w:rsidRDefault="003D233D" w:rsidP="005A602C">
            <w:pPr>
              <w:spacing w:after="0"/>
              <w:ind w:left="-108"/>
              <w:rPr>
                <w:rFonts w:cs="Arial"/>
                <w:b/>
                <w:snapToGrid w:val="0"/>
                <w:color w:val="000080"/>
                <w:szCs w:val="24"/>
              </w:rPr>
            </w:pPr>
          </w:p>
        </w:tc>
        <w:tc>
          <w:tcPr>
            <w:tcW w:w="7185" w:type="dxa"/>
          </w:tcPr>
          <w:p w14:paraId="0AD7C012" w14:textId="77777777" w:rsidR="003D233D" w:rsidRDefault="003D233D" w:rsidP="005A602C">
            <w:pPr>
              <w:spacing w:after="0"/>
              <w:rPr>
                <w:rFonts w:cs="Arial"/>
                <w:snapToGrid w:val="0"/>
                <w:color w:val="000080"/>
                <w:szCs w:val="24"/>
              </w:rPr>
            </w:pPr>
          </w:p>
        </w:tc>
      </w:tr>
      <w:tr w:rsidR="001F1336" w:rsidRPr="00DB7156" w14:paraId="38E441C0" w14:textId="77777777" w:rsidTr="003019E9">
        <w:tc>
          <w:tcPr>
            <w:tcW w:w="1680" w:type="dxa"/>
          </w:tcPr>
          <w:p w14:paraId="1086D9DD" w14:textId="70DBEFDF" w:rsidR="001F1336" w:rsidRDefault="150A44F6" w:rsidP="0AF8DB6F">
            <w:pPr>
              <w:spacing w:after="0"/>
              <w:ind w:left="-108"/>
              <w:rPr>
                <w:rFonts w:cs="Arial"/>
                <w:b/>
                <w:bCs/>
                <w:snapToGrid w:val="0"/>
                <w:color w:val="000080"/>
                <w:szCs w:val="24"/>
              </w:rPr>
            </w:pPr>
            <w:r w:rsidRPr="0AF8DB6F">
              <w:rPr>
                <w:rFonts w:cs="Arial"/>
                <w:b/>
                <w:bCs/>
                <w:snapToGrid w:val="0"/>
                <w:color w:val="000080"/>
                <w:szCs w:val="24"/>
              </w:rPr>
              <w:t>DSI</w:t>
            </w:r>
          </w:p>
        </w:tc>
        <w:tc>
          <w:tcPr>
            <w:tcW w:w="7185" w:type="dxa"/>
          </w:tcPr>
          <w:p w14:paraId="2060B3F3" w14:textId="16892F5C" w:rsidR="001F1336" w:rsidRDefault="150A44F6" w:rsidP="005A602C">
            <w:pPr>
              <w:spacing w:after="0"/>
              <w:rPr>
                <w:rFonts w:cs="Arial"/>
                <w:snapToGrid w:val="0"/>
                <w:color w:val="000080"/>
                <w:szCs w:val="24"/>
              </w:rPr>
            </w:pPr>
            <w:r>
              <w:rPr>
                <w:rFonts w:cs="Arial"/>
                <w:snapToGrid w:val="0"/>
                <w:color w:val="000080"/>
                <w:szCs w:val="24"/>
              </w:rPr>
              <w:t>Dry Sorbent Injection</w:t>
            </w:r>
          </w:p>
        </w:tc>
      </w:tr>
      <w:tr w:rsidR="004728A8" w:rsidRPr="00DB7156" w14:paraId="5A7B893B" w14:textId="77777777" w:rsidTr="003019E9">
        <w:tc>
          <w:tcPr>
            <w:tcW w:w="1680" w:type="dxa"/>
          </w:tcPr>
          <w:p w14:paraId="5E4EC45C" w14:textId="77777777" w:rsidR="004728A8" w:rsidRDefault="004728A8" w:rsidP="005A602C">
            <w:pPr>
              <w:spacing w:after="0"/>
              <w:ind w:left="-108"/>
              <w:rPr>
                <w:rFonts w:cs="Arial"/>
                <w:b/>
                <w:snapToGrid w:val="0"/>
                <w:color w:val="000080"/>
                <w:szCs w:val="24"/>
              </w:rPr>
            </w:pPr>
          </w:p>
        </w:tc>
        <w:tc>
          <w:tcPr>
            <w:tcW w:w="7185" w:type="dxa"/>
          </w:tcPr>
          <w:p w14:paraId="0ECFF1CA" w14:textId="77777777" w:rsidR="004728A8" w:rsidRDefault="004728A8" w:rsidP="005A602C">
            <w:pPr>
              <w:spacing w:after="0"/>
              <w:rPr>
                <w:rFonts w:cs="Arial"/>
                <w:snapToGrid w:val="0"/>
                <w:color w:val="000080"/>
                <w:szCs w:val="24"/>
              </w:rPr>
            </w:pPr>
          </w:p>
        </w:tc>
      </w:tr>
      <w:tr w:rsidR="004728A8" w:rsidRPr="00DB7156" w14:paraId="69863477" w14:textId="77777777" w:rsidTr="003019E9">
        <w:tc>
          <w:tcPr>
            <w:tcW w:w="1680" w:type="dxa"/>
          </w:tcPr>
          <w:p w14:paraId="53E8D205" w14:textId="2300427E" w:rsidR="004728A8" w:rsidRDefault="004728A8" w:rsidP="005A602C">
            <w:pPr>
              <w:spacing w:after="0"/>
              <w:ind w:left="-108"/>
              <w:rPr>
                <w:rFonts w:cs="Arial"/>
                <w:b/>
                <w:snapToGrid w:val="0"/>
                <w:color w:val="000080"/>
                <w:szCs w:val="24"/>
              </w:rPr>
            </w:pPr>
            <w:r>
              <w:rPr>
                <w:rFonts w:cs="Arial"/>
                <w:b/>
                <w:snapToGrid w:val="0"/>
                <w:color w:val="000080"/>
                <w:szCs w:val="24"/>
              </w:rPr>
              <w:t>ECCR</w:t>
            </w:r>
          </w:p>
        </w:tc>
        <w:tc>
          <w:tcPr>
            <w:tcW w:w="7185" w:type="dxa"/>
          </w:tcPr>
          <w:p w14:paraId="25CDF6EA" w14:textId="494A3641" w:rsidR="004728A8" w:rsidRDefault="005B5E4E" w:rsidP="005A602C">
            <w:pPr>
              <w:spacing w:after="0"/>
              <w:rPr>
                <w:rFonts w:cs="Arial"/>
                <w:snapToGrid w:val="0"/>
                <w:color w:val="000080"/>
                <w:szCs w:val="24"/>
              </w:rPr>
            </w:pPr>
            <w:r>
              <w:rPr>
                <w:rFonts w:cs="Arial"/>
                <w:snapToGrid w:val="0"/>
                <w:color w:val="000080"/>
                <w:szCs w:val="24"/>
              </w:rPr>
              <w:t>Environmental Compliance Cost Recovery</w:t>
            </w:r>
          </w:p>
        </w:tc>
      </w:tr>
      <w:tr w:rsidR="00D424A7" w:rsidRPr="00DB7156" w14:paraId="0FF0AAD1" w14:textId="77777777" w:rsidTr="003019E9">
        <w:tc>
          <w:tcPr>
            <w:tcW w:w="1680" w:type="dxa"/>
          </w:tcPr>
          <w:p w14:paraId="5898C4E5" w14:textId="77777777" w:rsidR="00D424A7" w:rsidRPr="00DB7156" w:rsidRDefault="00D424A7" w:rsidP="005A602C">
            <w:pPr>
              <w:spacing w:after="0"/>
              <w:ind w:left="-108"/>
              <w:rPr>
                <w:rFonts w:cs="Arial"/>
                <w:b/>
                <w:snapToGrid w:val="0"/>
                <w:color w:val="000080"/>
                <w:szCs w:val="24"/>
              </w:rPr>
            </w:pPr>
          </w:p>
        </w:tc>
        <w:tc>
          <w:tcPr>
            <w:tcW w:w="7185" w:type="dxa"/>
          </w:tcPr>
          <w:p w14:paraId="77C65D27" w14:textId="77777777" w:rsidR="00D424A7" w:rsidRPr="00DB7156" w:rsidRDefault="00D424A7" w:rsidP="005A602C">
            <w:pPr>
              <w:spacing w:after="0"/>
              <w:rPr>
                <w:rFonts w:cs="Arial"/>
                <w:snapToGrid w:val="0"/>
                <w:color w:val="000080"/>
                <w:szCs w:val="24"/>
              </w:rPr>
            </w:pPr>
          </w:p>
        </w:tc>
      </w:tr>
      <w:tr w:rsidR="005A602C" w:rsidRPr="00DB7156" w14:paraId="7E16525F" w14:textId="77777777" w:rsidTr="003019E9">
        <w:tc>
          <w:tcPr>
            <w:tcW w:w="1680" w:type="dxa"/>
          </w:tcPr>
          <w:p w14:paraId="431A97FD" w14:textId="3630EFD0" w:rsidR="005A602C" w:rsidRPr="00DB7156" w:rsidRDefault="005A602C" w:rsidP="005A602C">
            <w:pPr>
              <w:spacing w:after="0"/>
              <w:ind w:left="-108"/>
              <w:rPr>
                <w:rFonts w:cs="Arial"/>
                <w:b/>
                <w:color w:val="000080"/>
                <w:szCs w:val="24"/>
              </w:rPr>
            </w:pPr>
            <w:r>
              <w:rPr>
                <w:rFonts w:cs="Arial"/>
                <w:b/>
                <w:color w:val="000080"/>
                <w:szCs w:val="24"/>
              </w:rPr>
              <w:t>ECS</w:t>
            </w:r>
          </w:p>
        </w:tc>
        <w:tc>
          <w:tcPr>
            <w:tcW w:w="7185" w:type="dxa"/>
          </w:tcPr>
          <w:p w14:paraId="6E45929C" w14:textId="019CAEBF" w:rsidR="005A602C" w:rsidRPr="00DB7156" w:rsidRDefault="005A602C" w:rsidP="005A602C">
            <w:pPr>
              <w:spacing w:after="0"/>
              <w:rPr>
                <w:rFonts w:cs="Arial"/>
                <w:color w:val="000080"/>
                <w:szCs w:val="24"/>
              </w:rPr>
            </w:pPr>
            <w:r>
              <w:rPr>
                <w:rFonts w:cs="Arial"/>
                <w:color w:val="000080"/>
                <w:szCs w:val="24"/>
              </w:rPr>
              <w:t xml:space="preserve">Environmental Compliance Strategy </w:t>
            </w:r>
          </w:p>
        </w:tc>
      </w:tr>
      <w:tr w:rsidR="003A1F95" w:rsidRPr="00DB7156" w14:paraId="7E2F5F66" w14:textId="77777777" w:rsidTr="003019E9">
        <w:tc>
          <w:tcPr>
            <w:tcW w:w="1680" w:type="dxa"/>
          </w:tcPr>
          <w:p w14:paraId="63A966FF" w14:textId="77777777" w:rsidR="003A1F95" w:rsidRDefault="003A1F95" w:rsidP="005A602C">
            <w:pPr>
              <w:spacing w:after="0"/>
              <w:ind w:left="-108"/>
              <w:rPr>
                <w:rFonts w:cs="Arial"/>
                <w:b/>
                <w:color w:val="000080"/>
                <w:szCs w:val="24"/>
              </w:rPr>
            </w:pPr>
          </w:p>
        </w:tc>
        <w:tc>
          <w:tcPr>
            <w:tcW w:w="7185" w:type="dxa"/>
          </w:tcPr>
          <w:p w14:paraId="74E1315B" w14:textId="77777777" w:rsidR="003A1F95" w:rsidRDefault="003A1F95" w:rsidP="005A602C">
            <w:pPr>
              <w:spacing w:after="0"/>
              <w:rPr>
                <w:rFonts w:cs="Arial"/>
                <w:color w:val="000080"/>
                <w:szCs w:val="24"/>
              </w:rPr>
            </w:pPr>
          </w:p>
        </w:tc>
      </w:tr>
      <w:tr w:rsidR="005E4BA9" w:rsidRPr="00DB7156" w14:paraId="3422AA88" w14:textId="77777777" w:rsidTr="003019E9">
        <w:tc>
          <w:tcPr>
            <w:tcW w:w="1680" w:type="dxa"/>
          </w:tcPr>
          <w:p w14:paraId="2A9A3CEC" w14:textId="5EFDA9C1" w:rsidR="005E4BA9" w:rsidRPr="00DB7156" w:rsidRDefault="00F17D67" w:rsidP="0AF8DB6F">
            <w:pPr>
              <w:spacing w:after="0"/>
              <w:ind w:left="-108"/>
              <w:rPr>
                <w:rFonts w:cs="Arial"/>
                <w:b/>
                <w:bCs/>
                <w:color w:val="000080"/>
                <w:szCs w:val="24"/>
              </w:rPr>
            </w:pPr>
            <w:r>
              <w:rPr>
                <w:rFonts w:cs="Arial"/>
                <w:b/>
                <w:bCs/>
                <w:color w:val="000080"/>
                <w:szCs w:val="24"/>
              </w:rPr>
              <w:t>EJ</w:t>
            </w:r>
          </w:p>
        </w:tc>
        <w:tc>
          <w:tcPr>
            <w:tcW w:w="7185" w:type="dxa"/>
          </w:tcPr>
          <w:p w14:paraId="7A1FE1B4" w14:textId="1EE6A02D" w:rsidR="005E4BA9" w:rsidRPr="00DB7156" w:rsidRDefault="782D94F9" w:rsidP="005E4BA9">
            <w:pPr>
              <w:spacing w:after="0"/>
              <w:rPr>
                <w:rFonts w:cs="Arial"/>
                <w:color w:val="000080"/>
                <w:szCs w:val="24"/>
              </w:rPr>
            </w:pPr>
            <w:r w:rsidRPr="0AF8DB6F">
              <w:rPr>
                <w:rFonts w:cs="Arial"/>
                <w:color w:val="000080"/>
                <w:szCs w:val="24"/>
              </w:rPr>
              <w:t xml:space="preserve">Environmental </w:t>
            </w:r>
            <w:r w:rsidR="00F17D67">
              <w:rPr>
                <w:rFonts w:cs="Arial"/>
                <w:color w:val="000080"/>
                <w:szCs w:val="24"/>
              </w:rPr>
              <w:t>Justice</w:t>
            </w:r>
          </w:p>
        </w:tc>
      </w:tr>
      <w:tr w:rsidR="00AE3F52" w:rsidRPr="00DB7156" w14:paraId="7853F764" w14:textId="77777777" w:rsidTr="003019E9">
        <w:tc>
          <w:tcPr>
            <w:tcW w:w="1680" w:type="dxa"/>
          </w:tcPr>
          <w:p w14:paraId="195EFF68" w14:textId="229B030B" w:rsidR="00AE3F52" w:rsidRPr="00DB7156" w:rsidRDefault="00AE3F52" w:rsidP="0AF8DB6F">
            <w:pPr>
              <w:spacing w:after="0"/>
              <w:ind w:left="-108"/>
              <w:rPr>
                <w:rFonts w:cs="Arial"/>
                <w:b/>
                <w:bCs/>
                <w:color w:val="000080"/>
                <w:szCs w:val="24"/>
              </w:rPr>
            </w:pPr>
          </w:p>
        </w:tc>
        <w:tc>
          <w:tcPr>
            <w:tcW w:w="7185" w:type="dxa"/>
          </w:tcPr>
          <w:p w14:paraId="6C78FB77" w14:textId="2FD07651" w:rsidR="00AE3F52" w:rsidRPr="00DB7156" w:rsidRDefault="00AE3F52" w:rsidP="005E4BA9">
            <w:pPr>
              <w:spacing w:after="0"/>
              <w:rPr>
                <w:rFonts w:cs="Arial"/>
                <w:color w:val="000080"/>
                <w:szCs w:val="24"/>
              </w:rPr>
            </w:pPr>
          </w:p>
        </w:tc>
      </w:tr>
      <w:tr w:rsidR="005A602C" w:rsidRPr="00DB7156" w14:paraId="0858DCFC" w14:textId="77777777" w:rsidTr="003019E9">
        <w:tc>
          <w:tcPr>
            <w:tcW w:w="1680" w:type="dxa"/>
          </w:tcPr>
          <w:p w14:paraId="5874FFCD" w14:textId="601BFDD5" w:rsidR="005A602C" w:rsidRPr="00DB7156" w:rsidRDefault="005A602C" w:rsidP="005A602C">
            <w:pPr>
              <w:spacing w:after="0"/>
              <w:ind w:left="-108"/>
              <w:rPr>
                <w:rFonts w:cs="Arial"/>
                <w:b/>
                <w:color w:val="000080"/>
                <w:szCs w:val="24"/>
              </w:rPr>
            </w:pPr>
            <w:r w:rsidRPr="00DB7156">
              <w:rPr>
                <w:rFonts w:cs="Arial"/>
                <w:b/>
                <w:color w:val="000080"/>
                <w:szCs w:val="24"/>
              </w:rPr>
              <w:t>ELG</w:t>
            </w:r>
          </w:p>
        </w:tc>
        <w:tc>
          <w:tcPr>
            <w:tcW w:w="7185" w:type="dxa"/>
          </w:tcPr>
          <w:p w14:paraId="1B86402E" w14:textId="05BD84F7" w:rsidR="005A602C" w:rsidRPr="00DB7156" w:rsidRDefault="005A602C" w:rsidP="005A602C">
            <w:pPr>
              <w:spacing w:after="0"/>
              <w:rPr>
                <w:rFonts w:cs="Arial"/>
                <w:color w:val="000080"/>
                <w:szCs w:val="24"/>
              </w:rPr>
            </w:pPr>
            <w:r w:rsidRPr="00DB7156">
              <w:rPr>
                <w:rFonts w:cs="Arial"/>
                <w:color w:val="000080"/>
                <w:szCs w:val="24"/>
              </w:rPr>
              <w:t>Effluent Limitations Guidelines</w:t>
            </w:r>
          </w:p>
        </w:tc>
      </w:tr>
      <w:tr w:rsidR="00691FD4" w:rsidRPr="00DB7156" w14:paraId="25AD8A34" w14:textId="77777777" w:rsidTr="003019E9">
        <w:tc>
          <w:tcPr>
            <w:tcW w:w="1680" w:type="dxa"/>
          </w:tcPr>
          <w:p w14:paraId="35E80A0A" w14:textId="77777777" w:rsidR="00691FD4" w:rsidRPr="00DB7156" w:rsidRDefault="00691FD4" w:rsidP="0AF8DB6F">
            <w:pPr>
              <w:spacing w:after="0"/>
              <w:ind w:left="-108"/>
              <w:rPr>
                <w:rFonts w:cs="Arial"/>
                <w:b/>
                <w:bCs/>
                <w:color w:val="000080"/>
                <w:szCs w:val="24"/>
              </w:rPr>
            </w:pPr>
          </w:p>
        </w:tc>
        <w:tc>
          <w:tcPr>
            <w:tcW w:w="7185" w:type="dxa"/>
          </w:tcPr>
          <w:p w14:paraId="21D5E48C" w14:textId="77777777" w:rsidR="00691FD4" w:rsidRPr="00DB7156" w:rsidRDefault="00691FD4" w:rsidP="005E4BA9">
            <w:pPr>
              <w:spacing w:after="0"/>
              <w:rPr>
                <w:rFonts w:cs="Arial"/>
                <w:color w:val="000080"/>
                <w:szCs w:val="24"/>
              </w:rPr>
            </w:pPr>
          </w:p>
        </w:tc>
      </w:tr>
      <w:tr w:rsidR="005A602C" w:rsidRPr="00DB7156" w14:paraId="2B730184" w14:textId="77777777" w:rsidTr="003019E9">
        <w:tc>
          <w:tcPr>
            <w:tcW w:w="1680" w:type="dxa"/>
          </w:tcPr>
          <w:p w14:paraId="542272D5" w14:textId="07071D9C" w:rsidR="005A602C" w:rsidRPr="00DB7156" w:rsidRDefault="3B97F6C7" w:rsidP="005A602C">
            <w:pPr>
              <w:spacing w:after="0"/>
              <w:ind w:left="-108"/>
              <w:rPr>
                <w:rFonts w:cs="Arial"/>
                <w:b/>
                <w:color w:val="000080"/>
                <w:szCs w:val="24"/>
              </w:rPr>
            </w:pPr>
            <w:r w:rsidRPr="0AF8DB6F">
              <w:rPr>
                <w:rFonts w:cs="Arial"/>
                <w:b/>
                <w:bCs/>
                <w:color w:val="000080"/>
                <w:szCs w:val="24"/>
              </w:rPr>
              <w:t>EO</w:t>
            </w:r>
          </w:p>
        </w:tc>
        <w:tc>
          <w:tcPr>
            <w:tcW w:w="7185" w:type="dxa"/>
          </w:tcPr>
          <w:p w14:paraId="489C3390" w14:textId="37079428" w:rsidR="005A602C" w:rsidRPr="00DB7156" w:rsidRDefault="3B97F6C7" w:rsidP="005A602C">
            <w:pPr>
              <w:spacing w:after="0"/>
              <w:rPr>
                <w:rFonts w:cs="Arial"/>
                <w:color w:val="000080"/>
                <w:szCs w:val="24"/>
              </w:rPr>
            </w:pPr>
            <w:r w:rsidRPr="0AF8DB6F">
              <w:rPr>
                <w:rFonts w:cs="Arial"/>
                <w:color w:val="000080"/>
                <w:szCs w:val="24"/>
              </w:rPr>
              <w:t>Executive Order</w:t>
            </w:r>
          </w:p>
        </w:tc>
      </w:tr>
      <w:tr w:rsidR="0022675B" w:rsidRPr="00DB7156" w14:paraId="47CFA980" w14:textId="77777777" w:rsidTr="003019E9">
        <w:tc>
          <w:tcPr>
            <w:tcW w:w="1680" w:type="dxa"/>
          </w:tcPr>
          <w:p w14:paraId="3DF9EA08" w14:textId="77777777" w:rsidR="0022675B" w:rsidRPr="00DB7156" w:rsidRDefault="0022675B" w:rsidP="0AF8DB6F">
            <w:pPr>
              <w:spacing w:after="0"/>
              <w:ind w:left="-108"/>
              <w:rPr>
                <w:rFonts w:cs="Arial"/>
                <w:b/>
                <w:bCs/>
                <w:color w:val="000080"/>
                <w:szCs w:val="24"/>
              </w:rPr>
            </w:pPr>
          </w:p>
        </w:tc>
        <w:tc>
          <w:tcPr>
            <w:tcW w:w="7185" w:type="dxa"/>
          </w:tcPr>
          <w:p w14:paraId="37941AA9" w14:textId="77777777" w:rsidR="0022675B" w:rsidRPr="00DB7156" w:rsidRDefault="0022675B" w:rsidP="0022675B">
            <w:pPr>
              <w:spacing w:after="0"/>
              <w:rPr>
                <w:rFonts w:cs="Arial"/>
                <w:color w:val="000080"/>
                <w:szCs w:val="24"/>
              </w:rPr>
            </w:pPr>
          </w:p>
        </w:tc>
      </w:tr>
      <w:tr w:rsidR="005A602C" w:rsidRPr="00DB7156" w14:paraId="02472EF9" w14:textId="77777777" w:rsidTr="003019E9">
        <w:tc>
          <w:tcPr>
            <w:tcW w:w="1680" w:type="dxa"/>
          </w:tcPr>
          <w:p w14:paraId="760DF580" w14:textId="42F3FFEE" w:rsidR="005A602C" w:rsidRPr="00DB7156" w:rsidRDefault="005A602C" w:rsidP="005A602C">
            <w:pPr>
              <w:spacing w:after="0"/>
              <w:ind w:left="-108"/>
              <w:rPr>
                <w:rFonts w:cs="Arial"/>
                <w:b/>
                <w:color w:val="000080"/>
                <w:szCs w:val="24"/>
              </w:rPr>
            </w:pPr>
            <w:r w:rsidRPr="00DB7156">
              <w:rPr>
                <w:rFonts w:cs="Arial"/>
                <w:b/>
                <w:color w:val="000080"/>
                <w:szCs w:val="24"/>
              </w:rPr>
              <w:t>EPA</w:t>
            </w:r>
          </w:p>
        </w:tc>
        <w:tc>
          <w:tcPr>
            <w:tcW w:w="7185" w:type="dxa"/>
          </w:tcPr>
          <w:p w14:paraId="10901375" w14:textId="24A24C98" w:rsidR="005A602C" w:rsidRPr="00DB7156" w:rsidRDefault="005A602C" w:rsidP="005A602C">
            <w:pPr>
              <w:spacing w:after="0"/>
              <w:rPr>
                <w:rFonts w:cs="Arial"/>
                <w:color w:val="000080"/>
                <w:szCs w:val="24"/>
              </w:rPr>
            </w:pPr>
            <w:r w:rsidRPr="00DB7156">
              <w:rPr>
                <w:rFonts w:cs="Arial"/>
                <w:color w:val="000080"/>
                <w:szCs w:val="24"/>
              </w:rPr>
              <w:t>U.S. Environmental Protection Agency</w:t>
            </w:r>
          </w:p>
        </w:tc>
      </w:tr>
      <w:tr w:rsidR="00C25245" w:rsidRPr="00DB7156" w14:paraId="7F45AE1E" w14:textId="77777777" w:rsidTr="003019E9">
        <w:tc>
          <w:tcPr>
            <w:tcW w:w="1680" w:type="dxa"/>
          </w:tcPr>
          <w:p w14:paraId="7FCC51DF" w14:textId="77777777" w:rsidR="00C25245" w:rsidRPr="00DB7156" w:rsidRDefault="00C25245" w:rsidP="005A602C">
            <w:pPr>
              <w:spacing w:after="0"/>
              <w:ind w:left="-108"/>
              <w:rPr>
                <w:rFonts w:cs="Arial"/>
                <w:b/>
                <w:color w:val="000080"/>
                <w:szCs w:val="24"/>
              </w:rPr>
            </w:pPr>
          </w:p>
        </w:tc>
        <w:tc>
          <w:tcPr>
            <w:tcW w:w="7185" w:type="dxa"/>
          </w:tcPr>
          <w:p w14:paraId="5C6DE70C" w14:textId="77777777" w:rsidR="00C25245" w:rsidRPr="00DB7156" w:rsidRDefault="00C25245" w:rsidP="005A602C">
            <w:pPr>
              <w:spacing w:after="0"/>
              <w:rPr>
                <w:rFonts w:cs="Arial"/>
                <w:color w:val="000080"/>
                <w:szCs w:val="24"/>
              </w:rPr>
            </w:pPr>
          </w:p>
        </w:tc>
      </w:tr>
      <w:tr w:rsidR="005A602C" w:rsidRPr="00DB7156" w14:paraId="4314A9B8" w14:textId="77777777" w:rsidTr="003019E9">
        <w:tc>
          <w:tcPr>
            <w:tcW w:w="1680" w:type="dxa"/>
          </w:tcPr>
          <w:p w14:paraId="2853EDF4" w14:textId="1620B835" w:rsidR="005A602C" w:rsidRPr="00DB7156" w:rsidRDefault="005A602C" w:rsidP="005A602C">
            <w:pPr>
              <w:spacing w:after="0"/>
              <w:ind w:left="-108"/>
              <w:rPr>
                <w:rFonts w:cs="Arial"/>
                <w:b/>
                <w:color w:val="000080"/>
                <w:szCs w:val="24"/>
              </w:rPr>
            </w:pPr>
            <w:r w:rsidRPr="00DB7156">
              <w:rPr>
                <w:rFonts w:cs="Arial"/>
                <w:b/>
                <w:color w:val="000080"/>
                <w:szCs w:val="24"/>
              </w:rPr>
              <w:t>EPD</w:t>
            </w:r>
          </w:p>
        </w:tc>
        <w:tc>
          <w:tcPr>
            <w:tcW w:w="7185" w:type="dxa"/>
          </w:tcPr>
          <w:p w14:paraId="36DC78D7" w14:textId="004775D7" w:rsidR="005A602C" w:rsidRPr="00DB7156" w:rsidRDefault="005A602C" w:rsidP="005A602C">
            <w:pPr>
              <w:spacing w:after="0"/>
              <w:rPr>
                <w:rFonts w:cs="Arial"/>
                <w:color w:val="000080"/>
                <w:szCs w:val="24"/>
              </w:rPr>
            </w:pPr>
            <w:r w:rsidRPr="00DB7156">
              <w:rPr>
                <w:rFonts w:cs="Arial"/>
                <w:color w:val="000080"/>
                <w:szCs w:val="24"/>
              </w:rPr>
              <w:t>Georgia Environmental Protection Division</w:t>
            </w:r>
          </w:p>
        </w:tc>
      </w:tr>
      <w:tr w:rsidR="00E25E78" w:rsidRPr="00DB7156" w14:paraId="4DE4BDE7" w14:textId="77777777" w:rsidTr="003019E9">
        <w:tc>
          <w:tcPr>
            <w:tcW w:w="1680" w:type="dxa"/>
          </w:tcPr>
          <w:p w14:paraId="702C782D" w14:textId="77777777" w:rsidR="00E25E78" w:rsidRPr="00DB7156" w:rsidRDefault="00E25E78" w:rsidP="005A602C">
            <w:pPr>
              <w:spacing w:after="0"/>
              <w:ind w:left="-108"/>
              <w:rPr>
                <w:rFonts w:cs="Arial"/>
                <w:b/>
                <w:color w:val="000080"/>
                <w:szCs w:val="24"/>
              </w:rPr>
            </w:pPr>
          </w:p>
        </w:tc>
        <w:tc>
          <w:tcPr>
            <w:tcW w:w="7185" w:type="dxa"/>
          </w:tcPr>
          <w:p w14:paraId="750B4F0E" w14:textId="77777777" w:rsidR="00E25E78" w:rsidRPr="00DB7156" w:rsidRDefault="00E25E78" w:rsidP="005A602C">
            <w:pPr>
              <w:spacing w:after="0"/>
              <w:rPr>
                <w:rFonts w:cs="Arial"/>
                <w:color w:val="000080"/>
                <w:szCs w:val="24"/>
              </w:rPr>
            </w:pPr>
          </w:p>
        </w:tc>
      </w:tr>
      <w:tr w:rsidR="005A602C" w:rsidRPr="00DB7156" w14:paraId="660677C8" w14:textId="77777777" w:rsidTr="003019E9">
        <w:tc>
          <w:tcPr>
            <w:tcW w:w="1680" w:type="dxa"/>
          </w:tcPr>
          <w:p w14:paraId="68986A3A" w14:textId="3EBF2980" w:rsidR="005A602C" w:rsidRPr="00DB7156" w:rsidRDefault="5C29A1F7" w:rsidP="005A602C">
            <w:pPr>
              <w:spacing w:after="0"/>
              <w:ind w:left="-90"/>
              <w:rPr>
                <w:rFonts w:cs="Arial"/>
                <w:b/>
                <w:color w:val="000080"/>
                <w:szCs w:val="24"/>
              </w:rPr>
            </w:pPr>
            <w:r w:rsidRPr="0AF8DB6F">
              <w:rPr>
                <w:rFonts w:cs="Arial"/>
                <w:b/>
                <w:bCs/>
                <w:color w:val="000080"/>
                <w:szCs w:val="24"/>
              </w:rPr>
              <w:t>EPRI</w:t>
            </w:r>
          </w:p>
        </w:tc>
        <w:tc>
          <w:tcPr>
            <w:tcW w:w="7185" w:type="dxa"/>
          </w:tcPr>
          <w:p w14:paraId="3A30324D" w14:textId="78896138" w:rsidR="005A602C" w:rsidRPr="00DB7156" w:rsidRDefault="5C29A1F7" w:rsidP="005A602C">
            <w:pPr>
              <w:spacing w:after="0"/>
              <w:rPr>
                <w:rFonts w:cs="Arial"/>
                <w:color w:val="000080"/>
                <w:szCs w:val="24"/>
              </w:rPr>
            </w:pPr>
            <w:r w:rsidRPr="0AF8DB6F">
              <w:rPr>
                <w:rFonts w:cs="Arial"/>
                <w:color w:val="000080"/>
                <w:szCs w:val="24"/>
              </w:rPr>
              <w:t>Electric Power Research Institute</w:t>
            </w:r>
          </w:p>
        </w:tc>
      </w:tr>
      <w:tr w:rsidR="00AB4BF8" w:rsidRPr="00DB7156" w14:paraId="75108C26" w14:textId="77777777" w:rsidTr="003019E9">
        <w:tc>
          <w:tcPr>
            <w:tcW w:w="1680" w:type="dxa"/>
          </w:tcPr>
          <w:p w14:paraId="7076DCAE" w14:textId="77777777" w:rsidR="00AB4BF8" w:rsidRPr="0AF8DB6F" w:rsidRDefault="00AB4BF8" w:rsidP="009C7652">
            <w:pPr>
              <w:spacing w:after="0"/>
              <w:ind w:left="-90"/>
              <w:rPr>
                <w:rFonts w:cs="Arial"/>
                <w:b/>
                <w:bCs/>
                <w:color w:val="000080"/>
                <w:szCs w:val="24"/>
              </w:rPr>
            </w:pPr>
          </w:p>
        </w:tc>
        <w:tc>
          <w:tcPr>
            <w:tcW w:w="7185" w:type="dxa"/>
          </w:tcPr>
          <w:p w14:paraId="1AFCF35A" w14:textId="77777777" w:rsidR="00AB4BF8" w:rsidRPr="0AF8DB6F" w:rsidRDefault="00AB4BF8" w:rsidP="009C7652">
            <w:pPr>
              <w:spacing w:after="0"/>
              <w:rPr>
                <w:rFonts w:cs="Arial"/>
                <w:color w:val="000080"/>
                <w:szCs w:val="24"/>
              </w:rPr>
            </w:pPr>
          </w:p>
        </w:tc>
      </w:tr>
      <w:tr w:rsidR="005A602C" w14:paraId="0AA3005D" w14:textId="77777777" w:rsidTr="003019E9">
        <w:tc>
          <w:tcPr>
            <w:tcW w:w="1680" w:type="dxa"/>
          </w:tcPr>
          <w:p w14:paraId="14056F08" w14:textId="297BA2F0" w:rsidR="005A602C" w:rsidRDefault="5C29A1F7" w:rsidP="005A602C">
            <w:pPr>
              <w:spacing w:after="0"/>
              <w:ind w:left="-108"/>
              <w:rPr>
                <w:rFonts w:cs="Arial"/>
                <w:b/>
                <w:color w:val="000080"/>
              </w:rPr>
            </w:pPr>
            <w:r w:rsidRPr="0A1B194F">
              <w:rPr>
                <w:rFonts w:cs="Arial"/>
                <w:b/>
                <w:color w:val="000080"/>
              </w:rPr>
              <w:t>ESA</w:t>
            </w:r>
          </w:p>
        </w:tc>
        <w:tc>
          <w:tcPr>
            <w:tcW w:w="7185" w:type="dxa"/>
          </w:tcPr>
          <w:p w14:paraId="2F81338A" w14:textId="5FBD7DEB" w:rsidR="005A602C" w:rsidRDefault="5C29A1F7" w:rsidP="005A602C">
            <w:pPr>
              <w:spacing w:after="0"/>
              <w:rPr>
                <w:rFonts w:cs="Arial"/>
                <w:snapToGrid w:val="0"/>
                <w:color w:val="000080"/>
                <w:szCs w:val="24"/>
              </w:rPr>
            </w:pPr>
            <w:r w:rsidRPr="0AF8DB6F">
              <w:rPr>
                <w:rFonts w:cs="Arial"/>
                <w:color w:val="000080"/>
                <w:szCs w:val="24"/>
              </w:rPr>
              <w:t>Endangered Species Act</w:t>
            </w:r>
          </w:p>
        </w:tc>
      </w:tr>
      <w:tr w:rsidR="00294515" w14:paraId="66907B00" w14:textId="77777777" w:rsidTr="003019E9">
        <w:tc>
          <w:tcPr>
            <w:tcW w:w="1680" w:type="dxa"/>
          </w:tcPr>
          <w:p w14:paraId="0A7B3D95" w14:textId="77777777" w:rsidR="00294515" w:rsidRPr="0A1B194F" w:rsidRDefault="00294515" w:rsidP="005A602C">
            <w:pPr>
              <w:spacing w:after="0"/>
              <w:ind w:left="-108"/>
              <w:rPr>
                <w:rFonts w:cs="Arial"/>
                <w:b/>
                <w:color w:val="000080"/>
              </w:rPr>
            </w:pPr>
          </w:p>
        </w:tc>
        <w:tc>
          <w:tcPr>
            <w:tcW w:w="7185" w:type="dxa"/>
          </w:tcPr>
          <w:p w14:paraId="34F643B6" w14:textId="77777777" w:rsidR="00294515" w:rsidRPr="0AF8DB6F" w:rsidRDefault="00294515" w:rsidP="005A602C">
            <w:pPr>
              <w:spacing w:after="0"/>
              <w:rPr>
                <w:rFonts w:cs="Arial"/>
                <w:color w:val="000080"/>
                <w:szCs w:val="24"/>
              </w:rPr>
            </w:pPr>
          </w:p>
        </w:tc>
      </w:tr>
      <w:tr w:rsidR="005A602C" w:rsidRPr="00DB7156" w14:paraId="24787072" w14:textId="77777777" w:rsidTr="003019E9">
        <w:tc>
          <w:tcPr>
            <w:tcW w:w="1680" w:type="dxa"/>
          </w:tcPr>
          <w:p w14:paraId="1195AA08" w14:textId="343705A7" w:rsidR="005A602C" w:rsidRPr="00CC5AA4" w:rsidRDefault="005A602C" w:rsidP="005A602C">
            <w:pPr>
              <w:spacing w:after="0"/>
              <w:ind w:left="-108"/>
              <w:rPr>
                <w:rFonts w:cs="Arial"/>
                <w:b/>
                <w:color w:val="000080"/>
                <w:szCs w:val="24"/>
              </w:rPr>
            </w:pPr>
            <w:r>
              <w:rPr>
                <w:rFonts w:cs="Arial"/>
                <w:b/>
                <w:color w:val="000080"/>
                <w:szCs w:val="24"/>
              </w:rPr>
              <w:t>FASB</w:t>
            </w:r>
          </w:p>
        </w:tc>
        <w:tc>
          <w:tcPr>
            <w:tcW w:w="7185" w:type="dxa"/>
          </w:tcPr>
          <w:p w14:paraId="35A8B6C5" w14:textId="70FAEEE7" w:rsidR="005A602C" w:rsidRPr="00DB7156" w:rsidRDefault="005A602C" w:rsidP="005A602C">
            <w:pPr>
              <w:spacing w:after="0"/>
              <w:rPr>
                <w:rFonts w:cs="Arial"/>
                <w:snapToGrid w:val="0"/>
                <w:color w:val="000080"/>
                <w:szCs w:val="24"/>
              </w:rPr>
            </w:pPr>
            <w:r w:rsidRPr="00B77877">
              <w:rPr>
                <w:rFonts w:cs="Arial"/>
                <w:color w:val="000080"/>
                <w:szCs w:val="24"/>
              </w:rPr>
              <w:t>Financial Accounting Standards Board</w:t>
            </w:r>
          </w:p>
        </w:tc>
      </w:tr>
      <w:tr w:rsidR="005A602C" w:rsidRPr="00DB7156" w14:paraId="30A6BB8E" w14:textId="77777777" w:rsidTr="003019E9">
        <w:tc>
          <w:tcPr>
            <w:tcW w:w="1680" w:type="dxa"/>
          </w:tcPr>
          <w:p w14:paraId="3B7E86D4" w14:textId="6A8378F4" w:rsidR="005A602C" w:rsidRPr="00CC5AA4" w:rsidRDefault="005A602C" w:rsidP="005A602C">
            <w:pPr>
              <w:spacing w:after="0"/>
              <w:ind w:left="-108"/>
              <w:rPr>
                <w:rFonts w:cs="Arial"/>
                <w:b/>
                <w:color w:val="000080"/>
                <w:szCs w:val="24"/>
              </w:rPr>
            </w:pPr>
          </w:p>
        </w:tc>
        <w:tc>
          <w:tcPr>
            <w:tcW w:w="7185" w:type="dxa"/>
          </w:tcPr>
          <w:p w14:paraId="00073C73" w14:textId="50C40B2C" w:rsidR="005A602C" w:rsidRPr="00DB7156" w:rsidRDefault="005A602C" w:rsidP="005A602C">
            <w:pPr>
              <w:spacing w:after="0"/>
              <w:rPr>
                <w:rFonts w:cs="Arial"/>
                <w:snapToGrid w:val="0"/>
                <w:color w:val="000080"/>
                <w:szCs w:val="24"/>
              </w:rPr>
            </w:pPr>
          </w:p>
        </w:tc>
      </w:tr>
      <w:tr w:rsidR="005A602C" w:rsidRPr="00DB7156" w14:paraId="7D891524" w14:textId="77777777" w:rsidTr="003019E9">
        <w:tc>
          <w:tcPr>
            <w:tcW w:w="1680" w:type="dxa"/>
          </w:tcPr>
          <w:p w14:paraId="0775FDC6" w14:textId="14BAE487" w:rsidR="005A602C" w:rsidRPr="00DB7156" w:rsidRDefault="005A602C" w:rsidP="005A602C">
            <w:pPr>
              <w:spacing w:after="0"/>
              <w:ind w:left="-90"/>
              <w:rPr>
                <w:rFonts w:cs="Arial"/>
                <w:b/>
                <w:color w:val="000080"/>
                <w:szCs w:val="24"/>
              </w:rPr>
            </w:pPr>
            <w:r w:rsidRPr="00DB7156">
              <w:rPr>
                <w:rFonts w:cs="Arial"/>
                <w:b/>
                <w:color w:val="000080"/>
                <w:szCs w:val="24"/>
              </w:rPr>
              <w:t>FGD</w:t>
            </w:r>
          </w:p>
        </w:tc>
        <w:tc>
          <w:tcPr>
            <w:tcW w:w="7185" w:type="dxa"/>
          </w:tcPr>
          <w:p w14:paraId="5495451C" w14:textId="3798CD30" w:rsidR="005A602C" w:rsidRPr="00DB7156" w:rsidRDefault="005A602C" w:rsidP="005A602C">
            <w:pPr>
              <w:spacing w:after="0"/>
              <w:rPr>
                <w:rFonts w:cs="Arial"/>
                <w:color w:val="000080"/>
                <w:szCs w:val="24"/>
              </w:rPr>
            </w:pPr>
            <w:r w:rsidRPr="00DB7156">
              <w:rPr>
                <w:rFonts w:cs="Arial"/>
                <w:color w:val="000080"/>
                <w:szCs w:val="24"/>
              </w:rPr>
              <w:t>Flue Gas Desulfurization</w:t>
            </w:r>
          </w:p>
        </w:tc>
      </w:tr>
      <w:tr w:rsidR="005A602C" w:rsidRPr="00DB7156" w14:paraId="577654B0" w14:textId="77777777" w:rsidTr="003019E9">
        <w:tc>
          <w:tcPr>
            <w:tcW w:w="1680" w:type="dxa"/>
          </w:tcPr>
          <w:p w14:paraId="681F474B" w14:textId="7BB295C6" w:rsidR="005A602C" w:rsidRPr="00DB7156" w:rsidRDefault="005A602C" w:rsidP="005A602C">
            <w:pPr>
              <w:keepNext/>
              <w:keepLines/>
              <w:spacing w:after="0"/>
              <w:ind w:left="-86"/>
              <w:rPr>
                <w:rFonts w:cs="Arial"/>
                <w:b/>
                <w:snapToGrid w:val="0"/>
                <w:color w:val="000080"/>
                <w:szCs w:val="24"/>
              </w:rPr>
            </w:pPr>
            <w:r w:rsidRPr="00DB7156">
              <w:rPr>
                <w:rFonts w:cs="Arial"/>
                <w:b/>
                <w:color w:val="000080"/>
                <w:szCs w:val="24"/>
              </w:rPr>
              <w:t>GHG</w:t>
            </w:r>
          </w:p>
        </w:tc>
        <w:tc>
          <w:tcPr>
            <w:tcW w:w="7185" w:type="dxa"/>
          </w:tcPr>
          <w:p w14:paraId="12FEE3D0" w14:textId="6E9502A7" w:rsidR="005A602C" w:rsidRPr="00DB7156" w:rsidRDefault="005A602C" w:rsidP="005A602C">
            <w:pPr>
              <w:spacing w:after="0"/>
              <w:rPr>
                <w:rFonts w:cs="Arial"/>
                <w:snapToGrid w:val="0"/>
                <w:color w:val="000080"/>
                <w:szCs w:val="24"/>
              </w:rPr>
            </w:pPr>
            <w:r w:rsidRPr="00DB7156">
              <w:rPr>
                <w:rFonts w:cs="Arial"/>
                <w:color w:val="000080"/>
                <w:szCs w:val="24"/>
              </w:rPr>
              <w:t>Greenhouse Gas</w:t>
            </w:r>
          </w:p>
        </w:tc>
      </w:tr>
      <w:tr w:rsidR="005A602C" w:rsidRPr="00DB7156" w14:paraId="25951639" w14:textId="77777777" w:rsidTr="003019E9">
        <w:tc>
          <w:tcPr>
            <w:tcW w:w="1680" w:type="dxa"/>
          </w:tcPr>
          <w:p w14:paraId="719BD1A1" w14:textId="6A62C894" w:rsidR="005A602C" w:rsidRPr="00DB7156" w:rsidRDefault="005A602C" w:rsidP="005A602C">
            <w:pPr>
              <w:keepNext/>
              <w:keepLines/>
              <w:spacing w:after="0"/>
              <w:ind w:left="-86"/>
              <w:rPr>
                <w:rFonts w:cs="Arial"/>
                <w:b/>
                <w:snapToGrid w:val="0"/>
                <w:color w:val="000080"/>
                <w:szCs w:val="24"/>
              </w:rPr>
            </w:pPr>
          </w:p>
        </w:tc>
        <w:tc>
          <w:tcPr>
            <w:tcW w:w="7185" w:type="dxa"/>
          </w:tcPr>
          <w:p w14:paraId="01C60AB3" w14:textId="6AB5B49F" w:rsidR="005A602C" w:rsidRPr="00DB7156" w:rsidRDefault="005A602C" w:rsidP="005A602C">
            <w:pPr>
              <w:spacing w:after="0"/>
              <w:rPr>
                <w:rFonts w:cs="Arial"/>
                <w:snapToGrid w:val="0"/>
                <w:color w:val="000080"/>
                <w:szCs w:val="24"/>
              </w:rPr>
            </w:pPr>
          </w:p>
        </w:tc>
      </w:tr>
      <w:tr w:rsidR="005A602C" w:rsidRPr="00DB7156" w14:paraId="4598460F" w14:textId="77777777" w:rsidTr="003019E9">
        <w:tc>
          <w:tcPr>
            <w:tcW w:w="1680" w:type="dxa"/>
          </w:tcPr>
          <w:p w14:paraId="27DDBA08" w14:textId="6C1CB0A3" w:rsidR="005A602C" w:rsidRPr="00DB7156" w:rsidRDefault="005A602C" w:rsidP="005A602C">
            <w:pPr>
              <w:spacing w:after="0"/>
              <w:ind w:left="-90"/>
              <w:rPr>
                <w:rFonts w:cs="Arial"/>
                <w:b/>
                <w:snapToGrid w:val="0"/>
                <w:color w:val="000080"/>
                <w:szCs w:val="24"/>
              </w:rPr>
            </w:pPr>
            <w:r w:rsidRPr="00DB7156">
              <w:rPr>
                <w:rFonts w:cs="Arial"/>
                <w:b/>
                <w:color w:val="000080"/>
                <w:szCs w:val="24"/>
              </w:rPr>
              <w:t>HAP</w:t>
            </w:r>
          </w:p>
        </w:tc>
        <w:tc>
          <w:tcPr>
            <w:tcW w:w="7185" w:type="dxa"/>
          </w:tcPr>
          <w:p w14:paraId="00367E4F" w14:textId="643D3BEE" w:rsidR="005A602C" w:rsidRPr="00DB7156" w:rsidRDefault="005A602C" w:rsidP="005A602C">
            <w:pPr>
              <w:spacing w:after="0"/>
              <w:rPr>
                <w:rFonts w:cs="Arial"/>
                <w:snapToGrid w:val="0"/>
                <w:color w:val="000080"/>
                <w:szCs w:val="24"/>
              </w:rPr>
            </w:pPr>
            <w:r w:rsidRPr="00DB7156">
              <w:rPr>
                <w:rFonts w:cs="Arial"/>
                <w:color w:val="000080"/>
                <w:szCs w:val="24"/>
              </w:rPr>
              <w:t>Hazardous Air Pollutant</w:t>
            </w:r>
          </w:p>
        </w:tc>
      </w:tr>
      <w:tr w:rsidR="00CD36A1" w:rsidRPr="00DB7156" w14:paraId="351ECF0F" w14:textId="77777777" w:rsidTr="003019E9">
        <w:tc>
          <w:tcPr>
            <w:tcW w:w="1680" w:type="dxa"/>
          </w:tcPr>
          <w:p w14:paraId="6153A6C1" w14:textId="77777777" w:rsidR="00CD36A1" w:rsidRPr="00DB7156" w:rsidRDefault="00CD36A1" w:rsidP="0AF8DB6F">
            <w:pPr>
              <w:spacing w:after="0"/>
              <w:ind w:left="-90"/>
              <w:rPr>
                <w:rFonts w:cs="Arial"/>
                <w:b/>
                <w:bCs/>
                <w:color w:val="000080"/>
                <w:szCs w:val="24"/>
              </w:rPr>
            </w:pPr>
          </w:p>
        </w:tc>
        <w:tc>
          <w:tcPr>
            <w:tcW w:w="7185" w:type="dxa"/>
          </w:tcPr>
          <w:p w14:paraId="61312329" w14:textId="77777777" w:rsidR="00CD36A1" w:rsidRPr="00DB7156" w:rsidRDefault="00CD36A1" w:rsidP="00323C92">
            <w:pPr>
              <w:spacing w:after="0"/>
              <w:rPr>
                <w:rFonts w:cs="Arial"/>
                <w:color w:val="000080"/>
                <w:szCs w:val="24"/>
              </w:rPr>
            </w:pPr>
          </w:p>
        </w:tc>
      </w:tr>
      <w:tr w:rsidR="00CD36A1" w:rsidRPr="00DB7156" w14:paraId="5F530451" w14:textId="77777777" w:rsidTr="003019E9">
        <w:tc>
          <w:tcPr>
            <w:tcW w:w="1680" w:type="dxa"/>
          </w:tcPr>
          <w:p w14:paraId="52778CE2" w14:textId="25616A51" w:rsidR="00CD36A1" w:rsidRPr="00DB7156" w:rsidRDefault="48C92C45" w:rsidP="0AF8DB6F">
            <w:pPr>
              <w:spacing w:after="0"/>
              <w:ind w:left="-90"/>
              <w:rPr>
                <w:rFonts w:cs="Arial"/>
                <w:b/>
                <w:bCs/>
                <w:color w:val="000080"/>
                <w:szCs w:val="24"/>
              </w:rPr>
            </w:pPr>
            <w:r w:rsidRPr="0AF8DB6F">
              <w:rPr>
                <w:rFonts w:cs="Arial"/>
                <w:b/>
                <w:bCs/>
                <w:color w:val="000080"/>
                <w:szCs w:val="24"/>
              </w:rPr>
              <w:t>HDPE</w:t>
            </w:r>
          </w:p>
        </w:tc>
        <w:tc>
          <w:tcPr>
            <w:tcW w:w="7185" w:type="dxa"/>
          </w:tcPr>
          <w:p w14:paraId="4F648BC6" w14:textId="73DDCF5C" w:rsidR="00CD36A1" w:rsidRPr="00DB7156" w:rsidRDefault="48C92C45" w:rsidP="00323C92">
            <w:pPr>
              <w:spacing w:after="0"/>
              <w:rPr>
                <w:rFonts w:cs="Arial"/>
                <w:color w:val="000080"/>
                <w:szCs w:val="24"/>
              </w:rPr>
            </w:pPr>
            <w:r w:rsidRPr="0AF8DB6F">
              <w:rPr>
                <w:rFonts w:cs="Arial"/>
                <w:color w:val="000080"/>
                <w:szCs w:val="24"/>
              </w:rPr>
              <w:t>High-Density P</w:t>
            </w:r>
            <w:r w:rsidR="52964205" w:rsidRPr="0AF8DB6F">
              <w:rPr>
                <w:rFonts w:cs="Arial"/>
                <w:color w:val="000080"/>
                <w:szCs w:val="24"/>
              </w:rPr>
              <w:t>olyethylene</w:t>
            </w:r>
          </w:p>
        </w:tc>
      </w:tr>
      <w:tr w:rsidR="00AF0959" w:rsidRPr="00DB7156" w14:paraId="4D5BD48D" w14:textId="77777777" w:rsidTr="003019E9">
        <w:tc>
          <w:tcPr>
            <w:tcW w:w="1680" w:type="dxa"/>
          </w:tcPr>
          <w:p w14:paraId="44151B23" w14:textId="77777777" w:rsidR="00AF0959" w:rsidRPr="00DB7156" w:rsidRDefault="00AF0959" w:rsidP="0AF8DB6F">
            <w:pPr>
              <w:spacing w:after="0"/>
              <w:ind w:left="-90"/>
              <w:rPr>
                <w:rFonts w:cs="Arial"/>
                <w:b/>
                <w:bCs/>
                <w:color w:val="000080"/>
                <w:szCs w:val="24"/>
              </w:rPr>
            </w:pPr>
          </w:p>
        </w:tc>
        <w:tc>
          <w:tcPr>
            <w:tcW w:w="7185" w:type="dxa"/>
          </w:tcPr>
          <w:p w14:paraId="78BEDE1C" w14:textId="77777777" w:rsidR="00AF0959" w:rsidRPr="00DB7156" w:rsidRDefault="00AF0959" w:rsidP="00323C92">
            <w:pPr>
              <w:spacing w:after="0"/>
              <w:rPr>
                <w:rFonts w:cs="Arial"/>
                <w:color w:val="000080"/>
                <w:szCs w:val="24"/>
              </w:rPr>
            </w:pPr>
          </w:p>
        </w:tc>
      </w:tr>
      <w:tr w:rsidR="00AF0959" w:rsidRPr="00DB7156" w14:paraId="732A71A6" w14:textId="77777777" w:rsidTr="003019E9">
        <w:tc>
          <w:tcPr>
            <w:tcW w:w="1680" w:type="dxa"/>
          </w:tcPr>
          <w:p w14:paraId="48EF7B22" w14:textId="1242D0DB" w:rsidR="00AF0959" w:rsidRPr="00DB7156" w:rsidRDefault="7DF79DC6" w:rsidP="0AF8DB6F">
            <w:pPr>
              <w:spacing w:after="0"/>
              <w:ind w:left="-90"/>
              <w:rPr>
                <w:rFonts w:cs="Arial"/>
                <w:b/>
                <w:bCs/>
                <w:color w:val="000080"/>
                <w:szCs w:val="24"/>
              </w:rPr>
            </w:pPr>
            <w:r w:rsidRPr="0AF8DB6F">
              <w:rPr>
                <w:rFonts w:cs="Arial"/>
                <w:b/>
                <w:bCs/>
                <w:color w:val="000080"/>
                <w:szCs w:val="24"/>
              </w:rPr>
              <w:t>HFC</w:t>
            </w:r>
          </w:p>
        </w:tc>
        <w:tc>
          <w:tcPr>
            <w:tcW w:w="7185" w:type="dxa"/>
          </w:tcPr>
          <w:p w14:paraId="2653AD42" w14:textId="33C557BB" w:rsidR="00AF0959" w:rsidRPr="00DB7156" w:rsidRDefault="00716CFB" w:rsidP="00323C92">
            <w:pPr>
              <w:spacing w:after="0"/>
              <w:rPr>
                <w:rFonts w:cs="Arial"/>
                <w:color w:val="000080"/>
                <w:szCs w:val="24"/>
              </w:rPr>
            </w:pPr>
            <w:r w:rsidRPr="0AF8DB6F">
              <w:rPr>
                <w:rFonts w:cs="Arial"/>
                <w:color w:val="000080"/>
                <w:szCs w:val="24"/>
              </w:rPr>
              <w:t>Hydrofluorocarbon</w:t>
            </w:r>
          </w:p>
        </w:tc>
      </w:tr>
      <w:tr w:rsidR="00F02330" w:rsidRPr="00DB7156" w14:paraId="378B0DEB" w14:textId="77777777" w:rsidTr="003019E9">
        <w:tc>
          <w:tcPr>
            <w:tcW w:w="1680" w:type="dxa"/>
          </w:tcPr>
          <w:p w14:paraId="53BA869A" w14:textId="77777777" w:rsidR="00F02330" w:rsidRPr="00DB7156" w:rsidRDefault="00F02330" w:rsidP="005A602C">
            <w:pPr>
              <w:spacing w:after="0"/>
              <w:ind w:left="-90"/>
              <w:rPr>
                <w:rFonts w:cs="Arial"/>
                <w:b/>
                <w:color w:val="000080"/>
                <w:szCs w:val="24"/>
              </w:rPr>
            </w:pPr>
          </w:p>
        </w:tc>
        <w:tc>
          <w:tcPr>
            <w:tcW w:w="7185" w:type="dxa"/>
          </w:tcPr>
          <w:p w14:paraId="35CA938B" w14:textId="77777777" w:rsidR="00F02330" w:rsidRPr="00DB7156" w:rsidRDefault="00F02330" w:rsidP="005A602C">
            <w:pPr>
              <w:spacing w:after="0"/>
              <w:rPr>
                <w:rFonts w:cs="Arial"/>
                <w:color w:val="000080"/>
                <w:szCs w:val="24"/>
              </w:rPr>
            </w:pPr>
          </w:p>
        </w:tc>
      </w:tr>
      <w:tr w:rsidR="00F02330" w:rsidRPr="00DB7156" w14:paraId="203ED1D1" w14:textId="77777777" w:rsidTr="003019E9">
        <w:tc>
          <w:tcPr>
            <w:tcW w:w="1680" w:type="dxa"/>
          </w:tcPr>
          <w:p w14:paraId="6BEED25A" w14:textId="01E863E8" w:rsidR="00F02330" w:rsidRPr="00DB7156" w:rsidRDefault="00EE5628" w:rsidP="005A602C">
            <w:pPr>
              <w:spacing w:after="0"/>
              <w:ind w:left="-90"/>
              <w:rPr>
                <w:rFonts w:cs="Arial"/>
                <w:b/>
                <w:color w:val="000080"/>
                <w:szCs w:val="24"/>
              </w:rPr>
            </w:pPr>
            <w:r>
              <w:rPr>
                <w:rFonts w:cs="Arial"/>
                <w:b/>
                <w:color w:val="000080"/>
                <w:szCs w:val="24"/>
              </w:rPr>
              <w:t>HLRW</w:t>
            </w:r>
          </w:p>
        </w:tc>
        <w:tc>
          <w:tcPr>
            <w:tcW w:w="7185" w:type="dxa"/>
          </w:tcPr>
          <w:p w14:paraId="4408CA1F" w14:textId="69F3CABC" w:rsidR="00F02330" w:rsidRPr="00DB7156" w:rsidRDefault="00CB7D6B" w:rsidP="005A602C">
            <w:pPr>
              <w:spacing w:after="0"/>
              <w:rPr>
                <w:rFonts w:cs="Arial"/>
                <w:color w:val="000080"/>
                <w:szCs w:val="24"/>
              </w:rPr>
            </w:pPr>
            <w:r>
              <w:rPr>
                <w:rFonts w:cs="Arial"/>
                <w:color w:val="000080"/>
                <w:szCs w:val="24"/>
              </w:rPr>
              <w:t>High-Level Radioactive Waste</w:t>
            </w:r>
          </w:p>
        </w:tc>
      </w:tr>
      <w:tr w:rsidR="001D3203" w:rsidRPr="00DB7156" w14:paraId="3CBE8B96" w14:textId="77777777" w:rsidTr="003019E9">
        <w:tc>
          <w:tcPr>
            <w:tcW w:w="1680" w:type="dxa"/>
          </w:tcPr>
          <w:p w14:paraId="63820C0D" w14:textId="77777777" w:rsidR="001D3203" w:rsidRDefault="001D3203" w:rsidP="0AF8DB6F">
            <w:pPr>
              <w:spacing w:after="0"/>
              <w:ind w:left="-90"/>
              <w:rPr>
                <w:rFonts w:cs="Arial"/>
                <w:b/>
                <w:bCs/>
                <w:color w:val="000080"/>
                <w:szCs w:val="24"/>
              </w:rPr>
            </w:pPr>
          </w:p>
        </w:tc>
        <w:tc>
          <w:tcPr>
            <w:tcW w:w="7185" w:type="dxa"/>
          </w:tcPr>
          <w:p w14:paraId="0F153C7F" w14:textId="77777777" w:rsidR="001D3203" w:rsidRDefault="001D3203" w:rsidP="00323C92">
            <w:pPr>
              <w:spacing w:after="0"/>
              <w:rPr>
                <w:rFonts w:cs="Arial"/>
                <w:color w:val="000080"/>
                <w:szCs w:val="24"/>
              </w:rPr>
            </w:pPr>
          </w:p>
        </w:tc>
      </w:tr>
      <w:tr w:rsidR="001D3203" w:rsidRPr="00DB7156" w14:paraId="68C57B2C" w14:textId="77777777" w:rsidTr="003019E9">
        <w:tc>
          <w:tcPr>
            <w:tcW w:w="1680" w:type="dxa"/>
          </w:tcPr>
          <w:p w14:paraId="310C2490" w14:textId="28E79F56" w:rsidR="001D3203" w:rsidRDefault="2EEB5B41" w:rsidP="0AF8DB6F">
            <w:pPr>
              <w:spacing w:after="0"/>
              <w:ind w:left="-90"/>
              <w:rPr>
                <w:rFonts w:cs="Arial"/>
                <w:b/>
                <w:bCs/>
                <w:color w:val="000080"/>
                <w:szCs w:val="24"/>
              </w:rPr>
            </w:pPr>
            <w:r w:rsidRPr="0AF8DB6F">
              <w:rPr>
                <w:rFonts w:cs="Arial"/>
                <w:b/>
                <w:bCs/>
                <w:color w:val="000080"/>
                <w:szCs w:val="24"/>
              </w:rPr>
              <w:t>HTL</w:t>
            </w:r>
          </w:p>
        </w:tc>
        <w:tc>
          <w:tcPr>
            <w:tcW w:w="7185" w:type="dxa"/>
          </w:tcPr>
          <w:p w14:paraId="39E3872C" w14:textId="61ABD983" w:rsidR="001D3203" w:rsidRDefault="2EEB5B41" w:rsidP="00323C92">
            <w:pPr>
              <w:spacing w:after="0"/>
              <w:rPr>
                <w:rFonts w:cs="Arial"/>
                <w:color w:val="000080"/>
                <w:szCs w:val="24"/>
              </w:rPr>
            </w:pPr>
            <w:r w:rsidRPr="0AF8DB6F">
              <w:rPr>
                <w:rFonts w:cs="Arial"/>
                <w:color w:val="000080"/>
                <w:szCs w:val="24"/>
              </w:rPr>
              <w:t>Heat Transfer Loop</w:t>
            </w:r>
          </w:p>
        </w:tc>
      </w:tr>
      <w:tr w:rsidR="005A602C" w:rsidRPr="00DB7156" w14:paraId="26CA906D" w14:textId="77777777" w:rsidTr="003019E9">
        <w:tc>
          <w:tcPr>
            <w:tcW w:w="1680" w:type="dxa"/>
          </w:tcPr>
          <w:p w14:paraId="7DC4917A" w14:textId="71A2ABF7" w:rsidR="005A602C" w:rsidRPr="00DB7156" w:rsidRDefault="005A602C" w:rsidP="005A602C">
            <w:pPr>
              <w:spacing w:after="0"/>
              <w:ind w:left="-90"/>
              <w:rPr>
                <w:rFonts w:cs="Arial"/>
                <w:b/>
                <w:color w:val="000080"/>
                <w:szCs w:val="24"/>
              </w:rPr>
            </w:pPr>
          </w:p>
        </w:tc>
        <w:tc>
          <w:tcPr>
            <w:tcW w:w="7185" w:type="dxa"/>
          </w:tcPr>
          <w:p w14:paraId="790DF059" w14:textId="08AC215D" w:rsidR="005A602C" w:rsidRPr="00DB7156" w:rsidRDefault="005A602C" w:rsidP="005A602C">
            <w:pPr>
              <w:spacing w:after="0"/>
              <w:rPr>
                <w:rFonts w:cs="Arial"/>
                <w:color w:val="000080"/>
                <w:szCs w:val="24"/>
              </w:rPr>
            </w:pPr>
          </w:p>
        </w:tc>
      </w:tr>
      <w:tr w:rsidR="005A602C" w:rsidRPr="00DB7156" w14:paraId="41C7A8EF" w14:textId="77777777" w:rsidTr="003019E9">
        <w:tc>
          <w:tcPr>
            <w:tcW w:w="1680" w:type="dxa"/>
          </w:tcPr>
          <w:p w14:paraId="44137672" w14:textId="482ACBD9" w:rsidR="005A602C" w:rsidRPr="00DB7156" w:rsidRDefault="005A602C" w:rsidP="005A602C">
            <w:pPr>
              <w:spacing w:after="0"/>
              <w:ind w:left="-90"/>
              <w:rPr>
                <w:rFonts w:cs="Arial"/>
                <w:b/>
                <w:color w:val="000080"/>
                <w:szCs w:val="24"/>
              </w:rPr>
            </w:pPr>
            <w:r>
              <w:rPr>
                <w:rFonts w:cs="Arial"/>
                <w:b/>
                <w:color w:val="000080"/>
                <w:szCs w:val="24"/>
              </w:rPr>
              <w:t>IRP</w:t>
            </w:r>
          </w:p>
        </w:tc>
        <w:tc>
          <w:tcPr>
            <w:tcW w:w="7185" w:type="dxa"/>
          </w:tcPr>
          <w:p w14:paraId="39B3CCE1" w14:textId="6C78A7E1" w:rsidR="005A602C" w:rsidRPr="00DB7156" w:rsidRDefault="005A602C" w:rsidP="005A602C">
            <w:pPr>
              <w:spacing w:after="0"/>
              <w:rPr>
                <w:rFonts w:cs="Arial"/>
                <w:color w:val="000080"/>
                <w:szCs w:val="24"/>
              </w:rPr>
            </w:pPr>
            <w:r>
              <w:rPr>
                <w:rFonts w:cs="Arial"/>
                <w:color w:val="000080"/>
                <w:szCs w:val="24"/>
              </w:rPr>
              <w:t>Integrated Resource Plan</w:t>
            </w:r>
          </w:p>
        </w:tc>
      </w:tr>
      <w:tr w:rsidR="00480BC5" w:rsidRPr="00DB7156" w14:paraId="3F02C774" w14:textId="77777777" w:rsidTr="003019E9">
        <w:tc>
          <w:tcPr>
            <w:tcW w:w="1680" w:type="dxa"/>
          </w:tcPr>
          <w:p w14:paraId="1045E42A" w14:textId="77777777" w:rsidR="00480BC5" w:rsidRDefault="00480BC5" w:rsidP="0AF8DB6F">
            <w:pPr>
              <w:spacing w:after="0"/>
              <w:ind w:left="-90"/>
              <w:rPr>
                <w:rFonts w:cs="Arial"/>
                <w:b/>
                <w:bCs/>
                <w:color w:val="000080"/>
                <w:szCs w:val="24"/>
              </w:rPr>
            </w:pPr>
          </w:p>
        </w:tc>
        <w:tc>
          <w:tcPr>
            <w:tcW w:w="7185" w:type="dxa"/>
          </w:tcPr>
          <w:p w14:paraId="644ED308" w14:textId="77777777" w:rsidR="00480BC5" w:rsidRDefault="00480BC5" w:rsidP="00323C92">
            <w:pPr>
              <w:spacing w:after="0"/>
              <w:rPr>
                <w:rFonts w:cs="Arial"/>
                <w:color w:val="000080"/>
                <w:szCs w:val="24"/>
              </w:rPr>
            </w:pPr>
          </w:p>
        </w:tc>
      </w:tr>
      <w:tr w:rsidR="00092FAD" w:rsidRPr="00DB7156" w14:paraId="430A6D8C" w14:textId="77777777" w:rsidTr="003019E9">
        <w:tc>
          <w:tcPr>
            <w:tcW w:w="1680" w:type="dxa"/>
          </w:tcPr>
          <w:p w14:paraId="3046C1BF" w14:textId="79CEFC71" w:rsidR="00092FAD" w:rsidRDefault="00F2641F" w:rsidP="005A602C">
            <w:pPr>
              <w:spacing w:after="0"/>
              <w:ind w:left="-90"/>
              <w:rPr>
                <w:rFonts w:cs="Arial"/>
                <w:b/>
                <w:color w:val="000080"/>
                <w:szCs w:val="24"/>
              </w:rPr>
            </w:pPr>
            <w:r>
              <w:rPr>
                <w:rFonts w:cs="Arial"/>
                <w:b/>
                <w:color w:val="000080"/>
                <w:szCs w:val="24"/>
              </w:rPr>
              <w:t>LLRW</w:t>
            </w:r>
          </w:p>
        </w:tc>
        <w:tc>
          <w:tcPr>
            <w:tcW w:w="7185" w:type="dxa"/>
          </w:tcPr>
          <w:p w14:paraId="25838ECF" w14:textId="03ABB855" w:rsidR="00092FAD" w:rsidRDefault="00F2641F" w:rsidP="005A602C">
            <w:pPr>
              <w:spacing w:after="0"/>
              <w:rPr>
                <w:rFonts w:cs="Arial"/>
                <w:color w:val="000080"/>
                <w:szCs w:val="24"/>
              </w:rPr>
            </w:pPr>
            <w:r>
              <w:rPr>
                <w:rFonts w:cs="Arial"/>
                <w:color w:val="000080"/>
                <w:szCs w:val="24"/>
              </w:rPr>
              <w:t>Low Level Radioactive Waste</w:t>
            </w:r>
          </w:p>
        </w:tc>
      </w:tr>
      <w:tr w:rsidR="005A602C" w:rsidRPr="00DB7156" w14:paraId="532FD2EB" w14:textId="77777777" w:rsidTr="003019E9">
        <w:tc>
          <w:tcPr>
            <w:tcW w:w="1680" w:type="dxa"/>
          </w:tcPr>
          <w:p w14:paraId="23A8A075" w14:textId="131BE1CB" w:rsidR="005A602C" w:rsidRPr="00DB7156" w:rsidRDefault="005A602C" w:rsidP="005A602C">
            <w:pPr>
              <w:spacing w:after="0"/>
              <w:ind w:left="-90"/>
              <w:rPr>
                <w:rFonts w:cs="Arial"/>
                <w:b/>
                <w:color w:val="000080"/>
                <w:szCs w:val="24"/>
              </w:rPr>
            </w:pPr>
          </w:p>
        </w:tc>
        <w:tc>
          <w:tcPr>
            <w:tcW w:w="7185" w:type="dxa"/>
          </w:tcPr>
          <w:p w14:paraId="172074DC" w14:textId="2FB1F27A" w:rsidR="005A602C" w:rsidRPr="00DB7156" w:rsidRDefault="005A602C" w:rsidP="005A602C">
            <w:pPr>
              <w:spacing w:after="0"/>
              <w:rPr>
                <w:rFonts w:cs="Arial"/>
                <w:color w:val="000080"/>
                <w:szCs w:val="24"/>
              </w:rPr>
            </w:pPr>
          </w:p>
        </w:tc>
      </w:tr>
      <w:tr w:rsidR="005A602C" w:rsidRPr="00DB7156" w14:paraId="2438B220" w14:textId="77777777" w:rsidTr="003019E9">
        <w:tc>
          <w:tcPr>
            <w:tcW w:w="1680" w:type="dxa"/>
          </w:tcPr>
          <w:p w14:paraId="6CBB67A5" w14:textId="3EE6E57E" w:rsidR="005A602C" w:rsidRPr="00DB7156" w:rsidRDefault="005A602C" w:rsidP="005A602C">
            <w:pPr>
              <w:spacing w:after="0"/>
              <w:ind w:left="-90"/>
              <w:rPr>
                <w:rFonts w:cs="Arial"/>
                <w:b/>
                <w:color w:val="000080"/>
                <w:szCs w:val="24"/>
              </w:rPr>
            </w:pPr>
            <w:r w:rsidRPr="00DB7156">
              <w:rPr>
                <w:rFonts w:cs="Arial"/>
                <w:b/>
                <w:color w:val="000080"/>
                <w:szCs w:val="24"/>
              </w:rPr>
              <w:t>LNB</w:t>
            </w:r>
          </w:p>
        </w:tc>
        <w:tc>
          <w:tcPr>
            <w:tcW w:w="7185" w:type="dxa"/>
          </w:tcPr>
          <w:p w14:paraId="6C8422D2" w14:textId="5E6C6FDD" w:rsidR="005A602C" w:rsidRPr="00DB7156" w:rsidRDefault="005A602C" w:rsidP="005A602C">
            <w:pPr>
              <w:spacing w:after="0"/>
              <w:rPr>
                <w:rFonts w:cs="Arial"/>
                <w:color w:val="000080"/>
                <w:szCs w:val="24"/>
              </w:rPr>
            </w:pPr>
            <w:r w:rsidRPr="00DB7156">
              <w:rPr>
                <w:rFonts w:cs="Arial"/>
                <w:color w:val="000080"/>
                <w:szCs w:val="24"/>
              </w:rPr>
              <w:t>Low-NO</w:t>
            </w:r>
            <w:r w:rsidRPr="00DB7156">
              <w:rPr>
                <w:rFonts w:cs="Arial"/>
                <w:color w:val="000080"/>
                <w:szCs w:val="24"/>
                <w:vertAlign w:val="subscript"/>
              </w:rPr>
              <w:t>X</w:t>
            </w:r>
            <w:r w:rsidRPr="00DB7156">
              <w:rPr>
                <w:rFonts w:cs="Arial"/>
                <w:color w:val="000080"/>
                <w:szCs w:val="24"/>
              </w:rPr>
              <w:t xml:space="preserve"> Burner</w:t>
            </w:r>
          </w:p>
        </w:tc>
      </w:tr>
      <w:tr w:rsidR="005A602C" w:rsidRPr="00DB7156" w14:paraId="3314DA5C" w14:textId="77777777" w:rsidTr="003019E9">
        <w:tc>
          <w:tcPr>
            <w:tcW w:w="1680" w:type="dxa"/>
          </w:tcPr>
          <w:p w14:paraId="2E163564" w14:textId="3B371CF0" w:rsidR="005A602C" w:rsidRPr="00DB7156" w:rsidRDefault="005A602C" w:rsidP="005A602C">
            <w:pPr>
              <w:spacing w:after="0"/>
              <w:ind w:left="-90"/>
              <w:rPr>
                <w:rFonts w:cs="Arial"/>
                <w:b/>
                <w:color w:val="000080"/>
                <w:szCs w:val="24"/>
              </w:rPr>
            </w:pPr>
          </w:p>
        </w:tc>
        <w:tc>
          <w:tcPr>
            <w:tcW w:w="7185" w:type="dxa"/>
          </w:tcPr>
          <w:p w14:paraId="250B06E9" w14:textId="4C5DE4E6" w:rsidR="005A602C" w:rsidRPr="00DB7156" w:rsidRDefault="005A602C" w:rsidP="005A602C">
            <w:pPr>
              <w:spacing w:after="0"/>
              <w:rPr>
                <w:rFonts w:cs="Arial"/>
                <w:color w:val="000080"/>
                <w:szCs w:val="24"/>
              </w:rPr>
            </w:pPr>
          </w:p>
        </w:tc>
      </w:tr>
      <w:tr w:rsidR="005A602C" w:rsidRPr="00DB7156" w14:paraId="393DF6BB" w14:textId="77777777" w:rsidTr="003019E9">
        <w:tc>
          <w:tcPr>
            <w:tcW w:w="1680" w:type="dxa"/>
          </w:tcPr>
          <w:p w14:paraId="4209BA5D" w14:textId="52CFB816" w:rsidR="005A602C" w:rsidRPr="00DB7156" w:rsidRDefault="005A602C" w:rsidP="005A602C">
            <w:pPr>
              <w:spacing w:after="0"/>
              <w:ind w:left="-90"/>
              <w:rPr>
                <w:rFonts w:cs="Arial"/>
                <w:b/>
                <w:color w:val="000080"/>
                <w:szCs w:val="24"/>
              </w:rPr>
            </w:pPr>
            <w:r w:rsidRPr="00DB7156">
              <w:rPr>
                <w:rFonts w:cs="Arial"/>
                <w:b/>
                <w:color w:val="000080"/>
                <w:szCs w:val="24"/>
              </w:rPr>
              <w:t>LNCFS</w:t>
            </w:r>
          </w:p>
        </w:tc>
        <w:tc>
          <w:tcPr>
            <w:tcW w:w="7185" w:type="dxa"/>
          </w:tcPr>
          <w:p w14:paraId="0A3F4B71" w14:textId="7CF37776" w:rsidR="005A602C" w:rsidRPr="00DB7156" w:rsidRDefault="005A602C" w:rsidP="005A602C">
            <w:pPr>
              <w:spacing w:after="0"/>
              <w:rPr>
                <w:rFonts w:cs="Arial"/>
                <w:color w:val="000080"/>
                <w:szCs w:val="24"/>
              </w:rPr>
            </w:pPr>
            <w:r w:rsidRPr="00DB7156">
              <w:rPr>
                <w:rFonts w:cs="Arial"/>
                <w:color w:val="000080"/>
                <w:szCs w:val="24"/>
              </w:rPr>
              <w:t>Low-NO</w:t>
            </w:r>
            <w:r w:rsidRPr="00DB7156">
              <w:rPr>
                <w:rFonts w:cs="Arial"/>
                <w:color w:val="000080"/>
                <w:szCs w:val="24"/>
                <w:vertAlign w:val="subscript"/>
              </w:rPr>
              <w:t>X</w:t>
            </w:r>
            <w:r w:rsidRPr="00DB7156">
              <w:rPr>
                <w:rFonts w:cs="Arial"/>
                <w:szCs w:val="24"/>
              </w:rPr>
              <w:t xml:space="preserve"> </w:t>
            </w:r>
            <w:r w:rsidRPr="00DB7156">
              <w:rPr>
                <w:rFonts w:cs="Arial"/>
                <w:color w:val="000080"/>
                <w:szCs w:val="24"/>
              </w:rPr>
              <w:t>Concentric Firing System</w:t>
            </w:r>
          </w:p>
        </w:tc>
      </w:tr>
      <w:tr w:rsidR="005A602C" w:rsidRPr="00DB7156" w14:paraId="2835C49F" w14:textId="77777777" w:rsidTr="003019E9">
        <w:tc>
          <w:tcPr>
            <w:tcW w:w="1680" w:type="dxa"/>
          </w:tcPr>
          <w:p w14:paraId="192F451E" w14:textId="7C78C371" w:rsidR="005A602C" w:rsidRPr="00DB7156" w:rsidRDefault="005A602C" w:rsidP="005A602C">
            <w:pPr>
              <w:spacing w:after="0"/>
              <w:ind w:left="-90"/>
              <w:rPr>
                <w:rFonts w:cs="Arial"/>
                <w:b/>
                <w:color w:val="000080"/>
                <w:szCs w:val="24"/>
              </w:rPr>
            </w:pPr>
          </w:p>
        </w:tc>
        <w:tc>
          <w:tcPr>
            <w:tcW w:w="7185" w:type="dxa"/>
          </w:tcPr>
          <w:p w14:paraId="457B59ED" w14:textId="3FEECD99" w:rsidR="005A602C" w:rsidRPr="00DB7156" w:rsidRDefault="005A602C" w:rsidP="005A602C">
            <w:pPr>
              <w:spacing w:after="0"/>
              <w:rPr>
                <w:rFonts w:cs="Arial"/>
                <w:color w:val="000080"/>
                <w:szCs w:val="24"/>
              </w:rPr>
            </w:pPr>
          </w:p>
        </w:tc>
      </w:tr>
      <w:tr w:rsidR="005A602C" w:rsidRPr="00DB7156" w14:paraId="592F2A24" w14:textId="77777777" w:rsidTr="003019E9">
        <w:tc>
          <w:tcPr>
            <w:tcW w:w="1680" w:type="dxa"/>
          </w:tcPr>
          <w:p w14:paraId="31C4D457" w14:textId="249778B5" w:rsidR="005A602C" w:rsidRPr="00DB7156" w:rsidRDefault="005A602C" w:rsidP="005A602C">
            <w:pPr>
              <w:spacing w:after="0"/>
              <w:ind w:left="-90"/>
              <w:rPr>
                <w:rFonts w:cs="Arial"/>
                <w:b/>
                <w:color w:val="000080"/>
                <w:szCs w:val="24"/>
              </w:rPr>
            </w:pPr>
            <w:r w:rsidRPr="00DB7156">
              <w:rPr>
                <w:rFonts w:cs="Arial"/>
                <w:b/>
                <w:color w:val="000080"/>
                <w:szCs w:val="24"/>
              </w:rPr>
              <w:t>LNCFS I</w:t>
            </w:r>
          </w:p>
        </w:tc>
        <w:tc>
          <w:tcPr>
            <w:tcW w:w="7185" w:type="dxa"/>
          </w:tcPr>
          <w:p w14:paraId="6712D981" w14:textId="7A6710F4" w:rsidR="005A602C" w:rsidRPr="00DB7156" w:rsidRDefault="005A602C" w:rsidP="005A602C">
            <w:pPr>
              <w:spacing w:after="0"/>
              <w:rPr>
                <w:rFonts w:cs="Arial"/>
                <w:color w:val="000080"/>
                <w:szCs w:val="24"/>
              </w:rPr>
            </w:pPr>
            <w:r w:rsidRPr="00DB7156">
              <w:rPr>
                <w:rFonts w:cs="Arial"/>
                <w:color w:val="000080"/>
                <w:szCs w:val="24"/>
              </w:rPr>
              <w:t>LNCFS + CCOFA</w:t>
            </w:r>
          </w:p>
        </w:tc>
      </w:tr>
      <w:tr w:rsidR="005A602C" w:rsidRPr="00DB7156" w14:paraId="6845A622" w14:textId="77777777" w:rsidTr="003019E9">
        <w:tc>
          <w:tcPr>
            <w:tcW w:w="1680" w:type="dxa"/>
          </w:tcPr>
          <w:p w14:paraId="01707FB9" w14:textId="45CA00A2" w:rsidR="005A602C" w:rsidRPr="00DB7156" w:rsidRDefault="005A602C" w:rsidP="005A602C">
            <w:pPr>
              <w:spacing w:after="0"/>
              <w:ind w:left="-90"/>
              <w:rPr>
                <w:rFonts w:cs="Arial"/>
                <w:b/>
                <w:color w:val="000080"/>
                <w:szCs w:val="24"/>
              </w:rPr>
            </w:pPr>
          </w:p>
        </w:tc>
        <w:tc>
          <w:tcPr>
            <w:tcW w:w="7185" w:type="dxa"/>
          </w:tcPr>
          <w:p w14:paraId="53E08B1C" w14:textId="71871320" w:rsidR="005A602C" w:rsidRPr="00DB7156" w:rsidRDefault="005A602C" w:rsidP="005A602C">
            <w:pPr>
              <w:spacing w:after="0"/>
              <w:rPr>
                <w:rFonts w:cs="Arial"/>
                <w:color w:val="000080"/>
                <w:szCs w:val="24"/>
              </w:rPr>
            </w:pPr>
          </w:p>
        </w:tc>
      </w:tr>
      <w:tr w:rsidR="005A602C" w:rsidRPr="00DB7156" w14:paraId="7D9AFD54" w14:textId="77777777" w:rsidTr="003019E9">
        <w:tc>
          <w:tcPr>
            <w:tcW w:w="1680" w:type="dxa"/>
          </w:tcPr>
          <w:p w14:paraId="53036069" w14:textId="77E8800B" w:rsidR="005A602C" w:rsidRPr="00DB7156" w:rsidRDefault="005A602C" w:rsidP="005A602C">
            <w:pPr>
              <w:spacing w:after="0"/>
              <w:ind w:left="-90"/>
              <w:rPr>
                <w:rFonts w:cs="Arial"/>
                <w:b/>
                <w:color w:val="000080"/>
                <w:szCs w:val="24"/>
              </w:rPr>
            </w:pPr>
            <w:r w:rsidRPr="00DB7156">
              <w:rPr>
                <w:rFonts w:cs="Arial"/>
                <w:b/>
                <w:color w:val="000080"/>
                <w:szCs w:val="24"/>
              </w:rPr>
              <w:t>LNCFS II</w:t>
            </w:r>
          </w:p>
        </w:tc>
        <w:tc>
          <w:tcPr>
            <w:tcW w:w="7185" w:type="dxa"/>
          </w:tcPr>
          <w:p w14:paraId="439671DD" w14:textId="693F5707" w:rsidR="005A602C" w:rsidRPr="00DB7156" w:rsidRDefault="005A602C" w:rsidP="005A602C">
            <w:pPr>
              <w:spacing w:after="0"/>
              <w:rPr>
                <w:rFonts w:cs="Arial"/>
                <w:color w:val="000080"/>
                <w:szCs w:val="24"/>
              </w:rPr>
            </w:pPr>
            <w:r w:rsidRPr="00DB7156">
              <w:rPr>
                <w:rFonts w:cs="Arial"/>
                <w:color w:val="000080"/>
                <w:szCs w:val="24"/>
              </w:rPr>
              <w:t>LNCFS + SOFA</w:t>
            </w:r>
          </w:p>
        </w:tc>
      </w:tr>
      <w:tr w:rsidR="005A602C" w:rsidRPr="00DB7156" w14:paraId="489A7FE1" w14:textId="77777777" w:rsidTr="003019E9">
        <w:tc>
          <w:tcPr>
            <w:tcW w:w="1680" w:type="dxa"/>
          </w:tcPr>
          <w:p w14:paraId="3DF57BBF" w14:textId="084C523B" w:rsidR="005A602C" w:rsidRPr="00DB7156" w:rsidRDefault="005A602C" w:rsidP="005A602C">
            <w:pPr>
              <w:spacing w:after="0"/>
              <w:ind w:left="-90"/>
              <w:rPr>
                <w:rFonts w:cs="Arial"/>
                <w:b/>
                <w:color w:val="000080"/>
                <w:szCs w:val="24"/>
              </w:rPr>
            </w:pPr>
          </w:p>
        </w:tc>
        <w:tc>
          <w:tcPr>
            <w:tcW w:w="7185" w:type="dxa"/>
          </w:tcPr>
          <w:p w14:paraId="0D992E86" w14:textId="72FB5A4D" w:rsidR="005A602C" w:rsidRPr="00DB7156" w:rsidRDefault="005A602C" w:rsidP="005A602C">
            <w:pPr>
              <w:spacing w:after="0"/>
              <w:rPr>
                <w:rFonts w:cs="Arial"/>
                <w:color w:val="000080"/>
                <w:szCs w:val="24"/>
              </w:rPr>
            </w:pPr>
          </w:p>
        </w:tc>
      </w:tr>
      <w:tr w:rsidR="005A602C" w:rsidRPr="00DB7156" w14:paraId="1A94270C" w14:textId="77777777" w:rsidTr="003019E9">
        <w:tc>
          <w:tcPr>
            <w:tcW w:w="1680" w:type="dxa"/>
          </w:tcPr>
          <w:p w14:paraId="6A28B33A" w14:textId="4FE8EB43" w:rsidR="005A602C" w:rsidRPr="00DB7156" w:rsidRDefault="005A602C" w:rsidP="005A602C">
            <w:pPr>
              <w:spacing w:after="0"/>
              <w:ind w:left="-90"/>
              <w:rPr>
                <w:rFonts w:cs="Arial"/>
                <w:b/>
                <w:color w:val="000080"/>
                <w:szCs w:val="24"/>
              </w:rPr>
            </w:pPr>
            <w:r w:rsidRPr="00DB7156">
              <w:rPr>
                <w:rFonts w:cs="Arial"/>
                <w:b/>
                <w:color w:val="000080"/>
                <w:szCs w:val="24"/>
              </w:rPr>
              <w:t>LNCFS III</w:t>
            </w:r>
          </w:p>
        </w:tc>
        <w:tc>
          <w:tcPr>
            <w:tcW w:w="7185" w:type="dxa"/>
          </w:tcPr>
          <w:p w14:paraId="3670A5C4" w14:textId="61BE6052" w:rsidR="005A602C" w:rsidRPr="00DB7156" w:rsidRDefault="005A602C" w:rsidP="005A602C">
            <w:pPr>
              <w:spacing w:after="0"/>
              <w:rPr>
                <w:rFonts w:cs="Arial"/>
                <w:color w:val="000080"/>
                <w:szCs w:val="24"/>
              </w:rPr>
            </w:pPr>
            <w:r w:rsidRPr="00DB7156">
              <w:rPr>
                <w:rFonts w:cs="Arial"/>
                <w:color w:val="000080"/>
                <w:szCs w:val="24"/>
              </w:rPr>
              <w:t>LNCFS + CCOFA + SOFA</w:t>
            </w:r>
          </w:p>
        </w:tc>
      </w:tr>
      <w:tr w:rsidR="005A602C" w:rsidRPr="00DB7156" w14:paraId="430F1DB4" w14:textId="77777777" w:rsidTr="003019E9">
        <w:tc>
          <w:tcPr>
            <w:tcW w:w="1680" w:type="dxa"/>
          </w:tcPr>
          <w:p w14:paraId="40AABED7" w14:textId="44F33A7E" w:rsidR="005A602C" w:rsidRPr="00DB7156" w:rsidRDefault="005A602C" w:rsidP="005A602C">
            <w:pPr>
              <w:spacing w:after="0"/>
              <w:ind w:left="-90"/>
              <w:rPr>
                <w:rFonts w:cs="Arial"/>
                <w:b/>
                <w:color w:val="000080"/>
                <w:szCs w:val="24"/>
              </w:rPr>
            </w:pPr>
          </w:p>
        </w:tc>
        <w:tc>
          <w:tcPr>
            <w:tcW w:w="7185" w:type="dxa"/>
          </w:tcPr>
          <w:p w14:paraId="716822E2" w14:textId="4217C645" w:rsidR="005A602C" w:rsidRPr="00DB7156" w:rsidRDefault="005A602C" w:rsidP="005A602C">
            <w:pPr>
              <w:spacing w:after="0"/>
              <w:rPr>
                <w:rFonts w:cs="Arial"/>
                <w:color w:val="000080"/>
                <w:szCs w:val="24"/>
              </w:rPr>
            </w:pPr>
          </w:p>
        </w:tc>
      </w:tr>
      <w:tr w:rsidR="005A602C" w:rsidRPr="00DB7156" w14:paraId="06ED0D25" w14:textId="77777777" w:rsidTr="003019E9">
        <w:tc>
          <w:tcPr>
            <w:tcW w:w="1680" w:type="dxa"/>
          </w:tcPr>
          <w:p w14:paraId="35F367EB" w14:textId="1A9E1FFB" w:rsidR="005A602C" w:rsidRPr="00DB7156" w:rsidRDefault="005A602C" w:rsidP="005A602C">
            <w:pPr>
              <w:spacing w:after="0"/>
              <w:ind w:left="-90"/>
              <w:rPr>
                <w:rFonts w:cs="Arial"/>
                <w:b/>
                <w:color w:val="000080"/>
                <w:szCs w:val="24"/>
              </w:rPr>
            </w:pPr>
            <w:r w:rsidRPr="00DB7156">
              <w:rPr>
                <w:rFonts w:cs="Arial"/>
                <w:b/>
                <w:color w:val="000080"/>
                <w:szCs w:val="24"/>
              </w:rPr>
              <w:t>LVW</w:t>
            </w:r>
          </w:p>
        </w:tc>
        <w:tc>
          <w:tcPr>
            <w:tcW w:w="7185" w:type="dxa"/>
          </w:tcPr>
          <w:p w14:paraId="55E680EE" w14:textId="55021B74" w:rsidR="005A602C" w:rsidRPr="00DB7156" w:rsidRDefault="005A602C" w:rsidP="005A602C">
            <w:pPr>
              <w:spacing w:after="0"/>
              <w:rPr>
                <w:rFonts w:cs="Arial"/>
                <w:color w:val="000080"/>
                <w:szCs w:val="24"/>
              </w:rPr>
            </w:pPr>
            <w:r w:rsidRPr="00DB7156">
              <w:rPr>
                <w:rFonts w:cs="Arial"/>
                <w:color w:val="000080"/>
                <w:szCs w:val="24"/>
              </w:rPr>
              <w:t>Low Volume Waste</w:t>
            </w:r>
          </w:p>
        </w:tc>
      </w:tr>
      <w:tr w:rsidR="005A602C" w:rsidRPr="00DB7156" w14:paraId="50CE7108" w14:textId="77777777" w:rsidTr="003019E9">
        <w:tc>
          <w:tcPr>
            <w:tcW w:w="1680" w:type="dxa"/>
          </w:tcPr>
          <w:p w14:paraId="4F1E0062" w14:textId="4A7733CC" w:rsidR="005A602C" w:rsidRPr="00DB7156" w:rsidRDefault="005A602C" w:rsidP="005A602C">
            <w:pPr>
              <w:spacing w:after="0"/>
              <w:ind w:left="-90"/>
              <w:rPr>
                <w:rFonts w:cs="Arial"/>
                <w:b/>
                <w:color w:val="000080"/>
                <w:szCs w:val="24"/>
              </w:rPr>
            </w:pPr>
          </w:p>
        </w:tc>
        <w:tc>
          <w:tcPr>
            <w:tcW w:w="7185" w:type="dxa"/>
          </w:tcPr>
          <w:p w14:paraId="4D01956E" w14:textId="5A0AE4B6" w:rsidR="005A602C" w:rsidRPr="00DB7156" w:rsidRDefault="005A602C" w:rsidP="005A602C">
            <w:pPr>
              <w:spacing w:after="0"/>
              <w:rPr>
                <w:rFonts w:cs="Arial"/>
                <w:color w:val="000080"/>
                <w:szCs w:val="24"/>
              </w:rPr>
            </w:pPr>
          </w:p>
        </w:tc>
      </w:tr>
      <w:tr w:rsidR="005A602C" w:rsidRPr="00DB7156" w14:paraId="400895FE" w14:textId="77777777" w:rsidTr="003019E9">
        <w:tc>
          <w:tcPr>
            <w:tcW w:w="1680" w:type="dxa"/>
          </w:tcPr>
          <w:p w14:paraId="1AD3121B" w14:textId="302E1B6A" w:rsidR="005A602C" w:rsidRPr="00DB7156" w:rsidRDefault="005A602C" w:rsidP="005A602C">
            <w:pPr>
              <w:spacing w:after="0"/>
              <w:ind w:left="-90"/>
              <w:rPr>
                <w:rFonts w:cs="Arial"/>
                <w:b/>
                <w:color w:val="000080"/>
                <w:szCs w:val="24"/>
              </w:rPr>
            </w:pPr>
            <w:r w:rsidRPr="00DB7156">
              <w:rPr>
                <w:rFonts w:cs="Arial"/>
                <w:b/>
                <w:color w:val="000080"/>
                <w:szCs w:val="24"/>
              </w:rPr>
              <w:t>MACT</w:t>
            </w:r>
          </w:p>
        </w:tc>
        <w:tc>
          <w:tcPr>
            <w:tcW w:w="7185" w:type="dxa"/>
          </w:tcPr>
          <w:p w14:paraId="2E6A5340" w14:textId="39921E27" w:rsidR="005A602C" w:rsidRPr="00DB7156" w:rsidRDefault="005A602C" w:rsidP="005A602C">
            <w:pPr>
              <w:spacing w:after="0"/>
              <w:rPr>
                <w:rFonts w:cs="Arial"/>
                <w:color w:val="000080"/>
                <w:szCs w:val="24"/>
              </w:rPr>
            </w:pPr>
            <w:r w:rsidRPr="00DB7156">
              <w:rPr>
                <w:rFonts w:cs="Arial"/>
                <w:color w:val="000080"/>
                <w:szCs w:val="24"/>
              </w:rPr>
              <w:t>Maximum Achievable Control Technology</w:t>
            </w:r>
          </w:p>
        </w:tc>
      </w:tr>
      <w:tr w:rsidR="005A602C" w:rsidRPr="00DB7156" w14:paraId="49EA8E2B" w14:textId="77777777" w:rsidTr="003019E9">
        <w:tc>
          <w:tcPr>
            <w:tcW w:w="1680" w:type="dxa"/>
          </w:tcPr>
          <w:p w14:paraId="59522C24" w14:textId="706B1143" w:rsidR="005A602C" w:rsidRPr="00DB7156" w:rsidRDefault="005A602C" w:rsidP="005A602C">
            <w:pPr>
              <w:spacing w:after="0"/>
              <w:ind w:left="-90"/>
              <w:rPr>
                <w:rFonts w:cs="Arial"/>
                <w:b/>
                <w:color w:val="000080"/>
                <w:szCs w:val="24"/>
              </w:rPr>
            </w:pPr>
          </w:p>
        </w:tc>
        <w:tc>
          <w:tcPr>
            <w:tcW w:w="7185" w:type="dxa"/>
          </w:tcPr>
          <w:p w14:paraId="407454EB" w14:textId="792A8CDE" w:rsidR="005A602C" w:rsidRPr="00DB7156" w:rsidRDefault="005A602C" w:rsidP="005A602C">
            <w:pPr>
              <w:spacing w:after="0"/>
              <w:rPr>
                <w:rFonts w:cs="Arial"/>
                <w:color w:val="000080"/>
                <w:szCs w:val="24"/>
              </w:rPr>
            </w:pPr>
          </w:p>
        </w:tc>
      </w:tr>
      <w:tr w:rsidR="00496389" w:rsidRPr="00DB7156" w14:paraId="59D0E298" w14:textId="77777777" w:rsidTr="003019E9">
        <w:tc>
          <w:tcPr>
            <w:tcW w:w="1680" w:type="dxa"/>
          </w:tcPr>
          <w:p w14:paraId="465CD672" w14:textId="01AC41DC" w:rsidR="00496389" w:rsidRPr="00DB7156" w:rsidRDefault="00496389" w:rsidP="00496389">
            <w:pPr>
              <w:spacing w:after="0"/>
              <w:ind w:left="-90"/>
              <w:rPr>
                <w:rFonts w:cs="Arial"/>
                <w:b/>
                <w:color w:val="000080"/>
                <w:szCs w:val="24"/>
              </w:rPr>
            </w:pPr>
            <w:r w:rsidRPr="00DB7156">
              <w:rPr>
                <w:rFonts w:cs="Arial"/>
                <w:b/>
                <w:color w:val="000080"/>
                <w:szCs w:val="24"/>
              </w:rPr>
              <w:t>MATS</w:t>
            </w:r>
          </w:p>
        </w:tc>
        <w:tc>
          <w:tcPr>
            <w:tcW w:w="7185" w:type="dxa"/>
          </w:tcPr>
          <w:p w14:paraId="729BB08C" w14:textId="486757AF" w:rsidR="00496389" w:rsidRPr="00DB7156" w:rsidRDefault="00496389" w:rsidP="00496389">
            <w:pPr>
              <w:spacing w:after="0"/>
              <w:rPr>
                <w:rFonts w:cs="Arial"/>
                <w:color w:val="000080"/>
                <w:szCs w:val="24"/>
              </w:rPr>
            </w:pPr>
            <w:r w:rsidRPr="00DB7156">
              <w:rPr>
                <w:rFonts w:cs="Arial"/>
                <w:color w:val="000080"/>
                <w:szCs w:val="24"/>
              </w:rPr>
              <w:t>Mercury and Air Toxics Standards</w:t>
            </w:r>
          </w:p>
        </w:tc>
      </w:tr>
      <w:tr w:rsidR="00AB4BF8" w:rsidRPr="00DB7156" w14:paraId="28FCFAA5" w14:textId="77777777" w:rsidTr="003019E9">
        <w:tc>
          <w:tcPr>
            <w:tcW w:w="1680" w:type="dxa"/>
          </w:tcPr>
          <w:p w14:paraId="7708C1AD" w14:textId="77777777" w:rsidR="00AB4BF8" w:rsidRPr="00DB7156" w:rsidRDefault="00AB4BF8" w:rsidP="009C7652">
            <w:pPr>
              <w:spacing w:after="0"/>
              <w:ind w:left="-90"/>
              <w:rPr>
                <w:rFonts w:cs="Arial"/>
                <w:b/>
                <w:color w:val="000080"/>
                <w:szCs w:val="24"/>
              </w:rPr>
            </w:pPr>
          </w:p>
        </w:tc>
        <w:tc>
          <w:tcPr>
            <w:tcW w:w="7185" w:type="dxa"/>
          </w:tcPr>
          <w:p w14:paraId="25FAFE5D" w14:textId="77777777" w:rsidR="00AB4BF8" w:rsidRPr="00DB7156" w:rsidRDefault="00AB4BF8" w:rsidP="009C7652">
            <w:pPr>
              <w:spacing w:after="0"/>
              <w:rPr>
                <w:rFonts w:cs="Arial"/>
                <w:color w:val="000080"/>
                <w:szCs w:val="24"/>
              </w:rPr>
            </w:pPr>
          </w:p>
        </w:tc>
      </w:tr>
      <w:tr w:rsidR="00496389" w:rsidRPr="00DB7156" w14:paraId="34F3BFC8" w14:textId="77777777" w:rsidTr="003019E9">
        <w:tc>
          <w:tcPr>
            <w:tcW w:w="1680" w:type="dxa"/>
          </w:tcPr>
          <w:p w14:paraId="3D91C540" w14:textId="42226C61" w:rsidR="00496389" w:rsidRPr="00DB7156" w:rsidRDefault="00496389" w:rsidP="00496389">
            <w:pPr>
              <w:spacing w:after="0"/>
              <w:ind w:left="-90"/>
              <w:rPr>
                <w:rFonts w:cs="Arial"/>
                <w:b/>
                <w:color w:val="000080"/>
                <w:szCs w:val="24"/>
              </w:rPr>
            </w:pPr>
            <w:r w:rsidRPr="00DB7156">
              <w:rPr>
                <w:rFonts w:cs="Arial"/>
                <w:b/>
                <w:color w:val="000080"/>
                <w:szCs w:val="24"/>
              </w:rPr>
              <w:t>MRCS</w:t>
            </w:r>
          </w:p>
        </w:tc>
        <w:tc>
          <w:tcPr>
            <w:tcW w:w="7185" w:type="dxa"/>
          </w:tcPr>
          <w:p w14:paraId="1C48EE89" w14:textId="6D77EAF4" w:rsidR="00496389" w:rsidRPr="00DB7156" w:rsidRDefault="00496389" w:rsidP="00496389">
            <w:pPr>
              <w:spacing w:after="0"/>
              <w:rPr>
                <w:rFonts w:cs="Arial"/>
                <w:color w:val="000080"/>
                <w:szCs w:val="24"/>
              </w:rPr>
            </w:pPr>
            <w:r w:rsidRPr="00DB7156">
              <w:rPr>
                <w:rFonts w:cs="Arial"/>
                <w:color w:val="000080"/>
                <w:szCs w:val="24"/>
              </w:rPr>
              <w:t>Mercury Re-emission Control System</w:t>
            </w:r>
          </w:p>
        </w:tc>
      </w:tr>
      <w:tr w:rsidR="00496389" w:rsidRPr="00DB7156" w14:paraId="4C2AB12B" w14:textId="77777777" w:rsidTr="003019E9">
        <w:tc>
          <w:tcPr>
            <w:tcW w:w="1680" w:type="dxa"/>
          </w:tcPr>
          <w:p w14:paraId="06113679" w14:textId="0EC9D4FE" w:rsidR="00496389" w:rsidRPr="00DB7156" w:rsidRDefault="00496389" w:rsidP="00496389">
            <w:pPr>
              <w:spacing w:after="0"/>
              <w:ind w:left="-90"/>
              <w:rPr>
                <w:rFonts w:cs="Arial"/>
                <w:b/>
                <w:color w:val="000080"/>
                <w:szCs w:val="24"/>
              </w:rPr>
            </w:pPr>
          </w:p>
        </w:tc>
        <w:tc>
          <w:tcPr>
            <w:tcW w:w="7185" w:type="dxa"/>
          </w:tcPr>
          <w:p w14:paraId="5D637920" w14:textId="6FFCCAF8" w:rsidR="00496389" w:rsidRPr="00DB7156" w:rsidRDefault="00496389" w:rsidP="00496389">
            <w:pPr>
              <w:spacing w:after="0"/>
              <w:rPr>
                <w:rFonts w:cs="Arial"/>
                <w:color w:val="000080"/>
                <w:szCs w:val="24"/>
              </w:rPr>
            </w:pPr>
          </w:p>
        </w:tc>
      </w:tr>
      <w:tr w:rsidR="00496389" w:rsidRPr="00DB7156" w14:paraId="6717255C" w14:textId="77777777" w:rsidTr="003019E9">
        <w:tc>
          <w:tcPr>
            <w:tcW w:w="1680" w:type="dxa"/>
          </w:tcPr>
          <w:p w14:paraId="1CDB91B8" w14:textId="691832F9" w:rsidR="00496389" w:rsidRPr="00DB7156" w:rsidRDefault="00496389" w:rsidP="00496389">
            <w:pPr>
              <w:spacing w:after="0"/>
              <w:ind w:left="-90"/>
              <w:rPr>
                <w:rFonts w:cs="Arial"/>
                <w:b/>
                <w:color w:val="000080"/>
                <w:szCs w:val="24"/>
              </w:rPr>
            </w:pPr>
            <w:r w:rsidRPr="00DB7156">
              <w:rPr>
                <w:rFonts w:cs="Arial"/>
                <w:b/>
                <w:color w:val="000080"/>
                <w:szCs w:val="24"/>
              </w:rPr>
              <w:t>MW</w:t>
            </w:r>
          </w:p>
        </w:tc>
        <w:tc>
          <w:tcPr>
            <w:tcW w:w="7185" w:type="dxa"/>
          </w:tcPr>
          <w:p w14:paraId="2E72042E" w14:textId="1E59CF11" w:rsidR="00496389" w:rsidRPr="00DB7156" w:rsidRDefault="00496389" w:rsidP="00496389">
            <w:pPr>
              <w:spacing w:after="0"/>
              <w:rPr>
                <w:rFonts w:cs="Arial"/>
                <w:color w:val="000080"/>
                <w:szCs w:val="24"/>
              </w:rPr>
            </w:pPr>
            <w:r w:rsidRPr="00DB7156">
              <w:rPr>
                <w:rFonts w:cs="Arial"/>
                <w:color w:val="000080"/>
                <w:szCs w:val="24"/>
              </w:rPr>
              <w:t>Megawatt</w:t>
            </w:r>
          </w:p>
        </w:tc>
      </w:tr>
      <w:tr w:rsidR="00496389" w:rsidRPr="00DB7156" w14:paraId="7ADF3CBD" w14:textId="77777777" w:rsidTr="003019E9">
        <w:tc>
          <w:tcPr>
            <w:tcW w:w="1680" w:type="dxa"/>
          </w:tcPr>
          <w:p w14:paraId="7E0133A7" w14:textId="333F7AF1" w:rsidR="00496389" w:rsidRPr="00DB7156" w:rsidRDefault="00496389" w:rsidP="00496389">
            <w:pPr>
              <w:spacing w:after="0"/>
              <w:ind w:left="-90"/>
              <w:rPr>
                <w:rFonts w:cs="Arial"/>
                <w:b/>
                <w:color w:val="000080"/>
                <w:szCs w:val="24"/>
              </w:rPr>
            </w:pPr>
          </w:p>
        </w:tc>
        <w:tc>
          <w:tcPr>
            <w:tcW w:w="7185" w:type="dxa"/>
          </w:tcPr>
          <w:p w14:paraId="0F2789D4" w14:textId="255C3935" w:rsidR="00496389" w:rsidRPr="00DB7156" w:rsidRDefault="00496389" w:rsidP="00496389">
            <w:pPr>
              <w:spacing w:after="0"/>
              <w:rPr>
                <w:rFonts w:cs="Arial"/>
                <w:color w:val="000080"/>
                <w:szCs w:val="24"/>
              </w:rPr>
            </w:pPr>
          </w:p>
        </w:tc>
      </w:tr>
      <w:tr w:rsidR="00496389" w:rsidRPr="00DB7156" w14:paraId="1A72BD09" w14:textId="77777777" w:rsidTr="003019E9">
        <w:tc>
          <w:tcPr>
            <w:tcW w:w="1680" w:type="dxa"/>
          </w:tcPr>
          <w:p w14:paraId="612A1DBD" w14:textId="577D0DFC" w:rsidR="00496389" w:rsidRPr="00DB7156" w:rsidRDefault="00496389" w:rsidP="00496389">
            <w:pPr>
              <w:spacing w:after="0"/>
              <w:ind w:left="-108"/>
              <w:rPr>
                <w:rFonts w:cs="Arial"/>
                <w:b/>
                <w:color w:val="000080"/>
                <w:szCs w:val="24"/>
              </w:rPr>
            </w:pPr>
            <w:r w:rsidRPr="00DB7156">
              <w:rPr>
                <w:rFonts w:cs="Arial"/>
                <w:b/>
                <w:color w:val="000080"/>
                <w:szCs w:val="24"/>
              </w:rPr>
              <w:t>NAAQS</w:t>
            </w:r>
          </w:p>
        </w:tc>
        <w:tc>
          <w:tcPr>
            <w:tcW w:w="7185" w:type="dxa"/>
          </w:tcPr>
          <w:p w14:paraId="27C3B7E6" w14:textId="36CE630D" w:rsidR="00496389" w:rsidRPr="00DB7156" w:rsidRDefault="00496389" w:rsidP="00496389">
            <w:pPr>
              <w:spacing w:after="0"/>
              <w:rPr>
                <w:rFonts w:cs="Arial"/>
                <w:color w:val="000080"/>
                <w:szCs w:val="24"/>
              </w:rPr>
            </w:pPr>
            <w:r w:rsidRPr="00DB7156">
              <w:rPr>
                <w:rFonts w:cs="Arial"/>
                <w:color w:val="000080"/>
                <w:szCs w:val="24"/>
              </w:rPr>
              <w:t>National Ambient Air Quality Standards</w:t>
            </w:r>
          </w:p>
        </w:tc>
      </w:tr>
      <w:tr w:rsidR="00A3776F" w:rsidRPr="00DB7156" w14:paraId="157FB3AC" w14:textId="77777777" w:rsidTr="003019E9">
        <w:tc>
          <w:tcPr>
            <w:tcW w:w="1680" w:type="dxa"/>
          </w:tcPr>
          <w:p w14:paraId="321ADB35" w14:textId="77777777" w:rsidR="00A3776F" w:rsidRPr="00DB7156" w:rsidRDefault="00A3776F" w:rsidP="00496389">
            <w:pPr>
              <w:spacing w:after="0"/>
              <w:ind w:left="-108"/>
              <w:rPr>
                <w:rFonts w:cs="Arial"/>
                <w:b/>
                <w:color w:val="000080"/>
                <w:szCs w:val="24"/>
              </w:rPr>
            </w:pPr>
          </w:p>
        </w:tc>
        <w:tc>
          <w:tcPr>
            <w:tcW w:w="7185" w:type="dxa"/>
          </w:tcPr>
          <w:p w14:paraId="4B584C9B" w14:textId="77777777" w:rsidR="00A3776F" w:rsidRPr="00DB7156" w:rsidRDefault="00A3776F" w:rsidP="00496389">
            <w:pPr>
              <w:spacing w:after="0"/>
              <w:rPr>
                <w:rFonts w:cs="Arial"/>
                <w:color w:val="000080"/>
                <w:szCs w:val="24"/>
              </w:rPr>
            </w:pPr>
          </w:p>
        </w:tc>
      </w:tr>
      <w:tr w:rsidR="00496389" w:rsidRPr="00DB7156" w14:paraId="7080989B" w14:textId="77777777" w:rsidTr="003019E9">
        <w:tc>
          <w:tcPr>
            <w:tcW w:w="1680" w:type="dxa"/>
          </w:tcPr>
          <w:p w14:paraId="3648EF7E" w14:textId="29A0F124" w:rsidR="00496389" w:rsidRPr="00DB7156" w:rsidRDefault="00496389" w:rsidP="00496389">
            <w:pPr>
              <w:spacing w:after="0"/>
              <w:ind w:left="-108"/>
              <w:rPr>
                <w:rFonts w:cs="Arial"/>
                <w:b/>
                <w:bCs/>
                <w:color w:val="000080"/>
                <w:szCs w:val="24"/>
              </w:rPr>
            </w:pPr>
            <w:r w:rsidRPr="0AF8DB6F">
              <w:rPr>
                <w:rFonts w:cs="Arial"/>
                <w:b/>
                <w:bCs/>
                <w:color w:val="000080"/>
                <w:szCs w:val="24"/>
              </w:rPr>
              <w:t>NDC</w:t>
            </w:r>
          </w:p>
        </w:tc>
        <w:tc>
          <w:tcPr>
            <w:tcW w:w="7185" w:type="dxa"/>
          </w:tcPr>
          <w:p w14:paraId="27187656" w14:textId="5911F0D2" w:rsidR="00496389" w:rsidRPr="00DB7156" w:rsidRDefault="00496389" w:rsidP="00496389">
            <w:pPr>
              <w:spacing w:after="0"/>
              <w:rPr>
                <w:rFonts w:cs="Arial"/>
                <w:color w:val="000080"/>
                <w:szCs w:val="24"/>
              </w:rPr>
            </w:pPr>
            <w:r w:rsidRPr="0AF8DB6F">
              <w:rPr>
                <w:rFonts w:cs="Arial"/>
                <w:color w:val="000080"/>
                <w:szCs w:val="24"/>
              </w:rPr>
              <w:t xml:space="preserve">Nationally </w:t>
            </w:r>
            <w:r w:rsidR="004F7B90">
              <w:rPr>
                <w:rFonts w:cs="Arial"/>
                <w:color w:val="000080"/>
                <w:szCs w:val="24"/>
              </w:rPr>
              <w:t>Determined</w:t>
            </w:r>
            <w:r w:rsidR="004F7B90" w:rsidRPr="0AF8DB6F">
              <w:rPr>
                <w:rFonts w:cs="Arial"/>
                <w:color w:val="000080"/>
                <w:szCs w:val="24"/>
              </w:rPr>
              <w:t xml:space="preserve"> </w:t>
            </w:r>
            <w:r w:rsidRPr="0AF8DB6F">
              <w:rPr>
                <w:rFonts w:cs="Arial"/>
                <w:color w:val="000080"/>
                <w:szCs w:val="24"/>
              </w:rPr>
              <w:t>Contribution</w:t>
            </w:r>
          </w:p>
        </w:tc>
      </w:tr>
      <w:tr w:rsidR="00496389" w:rsidRPr="00DB7156" w14:paraId="4873F183" w14:textId="77777777" w:rsidTr="003019E9">
        <w:tc>
          <w:tcPr>
            <w:tcW w:w="1680" w:type="dxa"/>
          </w:tcPr>
          <w:p w14:paraId="79558445" w14:textId="77777777" w:rsidR="00496389" w:rsidRDefault="00496389" w:rsidP="00496389">
            <w:pPr>
              <w:spacing w:after="0"/>
              <w:ind w:left="-108"/>
              <w:rPr>
                <w:rFonts w:cs="Arial"/>
                <w:b/>
                <w:bCs/>
                <w:color w:val="000080"/>
                <w:szCs w:val="24"/>
              </w:rPr>
            </w:pPr>
          </w:p>
        </w:tc>
        <w:tc>
          <w:tcPr>
            <w:tcW w:w="7185" w:type="dxa"/>
          </w:tcPr>
          <w:p w14:paraId="60C03311" w14:textId="77777777" w:rsidR="00496389" w:rsidRDefault="00496389" w:rsidP="00496389">
            <w:pPr>
              <w:spacing w:after="0"/>
              <w:rPr>
                <w:rFonts w:cs="Arial"/>
                <w:color w:val="000080"/>
                <w:szCs w:val="24"/>
              </w:rPr>
            </w:pPr>
          </w:p>
        </w:tc>
      </w:tr>
      <w:tr w:rsidR="00496389" w:rsidRPr="00DB7156" w14:paraId="276D0019" w14:textId="77777777" w:rsidTr="003019E9">
        <w:tc>
          <w:tcPr>
            <w:tcW w:w="1680" w:type="dxa"/>
          </w:tcPr>
          <w:p w14:paraId="21CAC8D9" w14:textId="27BBFC90" w:rsidR="00496389" w:rsidRDefault="00496389" w:rsidP="00496389">
            <w:pPr>
              <w:spacing w:after="0"/>
              <w:ind w:left="-108"/>
              <w:rPr>
                <w:rFonts w:cs="Arial"/>
                <w:b/>
                <w:bCs/>
                <w:color w:val="000080"/>
                <w:szCs w:val="24"/>
              </w:rPr>
            </w:pPr>
            <w:r w:rsidRPr="0AF8DB6F">
              <w:rPr>
                <w:rFonts w:cs="Arial"/>
                <w:b/>
                <w:bCs/>
                <w:color w:val="000080"/>
                <w:szCs w:val="24"/>
              </w:rPr>
              <w:t>NEPA</w:t>
            </w:r>
          </w:p>
        </w:tc>
        <w:tc>
          <w:tcPr>
            <w:tcW w:w="7185" w:type="dxa"/>
          </w:tcPr>
          <w:p w14:paraId="7B87E51A" w14:textId="2BBFB98C" w:rsidR="00496389" w:rsidRDefault="00496389" w:rsidP="00496389">
            <w:pPr>
              <w:spacing w:after="0"/>
              <w:rPr>
                <w:rFonts w:cs="Arial"/>
                <w:color w:val="000080"/>
                <w:szCs w:val="24"/>
              </w:rPr>
            </w:pPr>
            <w:r w:rsidRPr="0AF8DB6F">
              <w:rPr>
                <w:rFonts w:cs="Arial"/>
                <w:color w:val="000080"/>
                <w:szCs w:val="24"/>
              </w:rPr>
              <w:t>National Environmental Policy Act</w:t>
            </w:r>
          </w:p>
        </w:tc>
      </w:tr>
      <w:tr w:rsidR="00496389" w:rsidRPr="00DB7156" w14:paraId="1AF333D9" w14:textId="77777777" w:rsidTr="003019E9">
        <w:tc>
          <w:tcPr>
            <w:tcW w:w="1680" w:type="dxa"/>
          </w:tcPr>
          <w:p w14:paraId="39351516" w14:textId="77777777" w:rsidR="00496389" w:rsidRDefault="00496389" w:rsidP="00496389">
            <w:pPr>
              <w:spacing w:after="0"/>
              <w:ind w:left="-108"/>
              <w:rPr>
                <w:rFonts w:cs="Arial"/>
                <w:b/>
                <w:bCs/>
                <w:color w:val="000080"/>
                <w:szCs w:val="24"/>
              </w:rPr>
            </w:pPr>
          </w:p>
        </w:tc>
        <w:tc>
          <w:tcPr>
            <w:tcW w:w="7185" w:type="dxa"/>
          </w:tcPr>
          <w:p w14:paraId="4476C1BC" w14:textId="77777777" w:rsidR="00496389" w:rsidRDefault="00496389" w:rsidP="00496389">
            <w:pPr>
              <w:spacing w:after="0"/>
              <w:rPr>
                <w:rFonts w:cs="Arial"/>
                <w:color w:val="000080"/>
                <w:szCs w:val="24"/>
              </w:rPr>
            </w:pPr>
          </w:p>
        </w:tc>
      </w:tr>
      <w:tr w:rsidR="00496389" w:rsidRPr="00DB7156" w14:paraId="3422586A" w14:textId="77777777" w:rsidTr="003019E9">
        <w:tc>
          <w:tcPr>
            <w:tcW w:w="1680" w:type="dxa"/>
          </w:tcPr>
          <w:p w14:paraId="49B32080" w14:textId="5F3C18E5" w:rsidR="00496389" w:rsidRDefault="00496389" w:rsidP="00496389">
            <w:pPr>
              <w:spacing w:after="0"/>
              <w:ind w:left="-108"/>
              <w:rPr>
                <w:rFonts w:cs="Arial"/>
                <w:b/>
                <w:bCs/>
                <w:color w:val="000080"/>
                <w:szCs w:val="24"/>
              </w:rPr>
            </w:pPr>
            <w:r w:rsidRPr="0AF8DB6F">
              <w:rPr>
                <w:rFonts w:cs="Arial"/>
                <w:b/>
                <w:bCs/>
                <w:color w:val="000080"/>
                <w:szCs w:val="24"/>
              </w:rPr>
              <w:t>NESHAP</w:t>
            </w:r>
          </w:p>
        </w:tc>
        <w:tc>
          <w:tcPr>
            <w:tcW w:w="7185" w:type="dxa"/>
          </w:tcPr>
          <w:p w14:paraId="77F2AEA1" w14:textId="55217C83" w:rsidR="00496389" w:rsidRDefault="00496389" w:rsidP="00496389">
            <w:pPr>
              <w:spacing w:after="0"/>
              <w:rPr>
                <w:rFonts w:cs="Arial"/>
                <w:color w:val="000080"/>
                <w:szCs w:val="24"/>
              </w:rPr>
            </w:pPr>
            <w:r w:rsidRPr="0AF8DB6F">
              <w:rPr>
                <w:rFonts w:cs="Arial"/>
                <w:color w:val="000080"/>
                <w:szCs w:val="24"/>
              </w:rPr>
              <w:t>National Emission Standards for Hazardous Air Pollutants</w:t>
            </w:r>
          </w:p>
        </w:tc>
      </w:tr>
      <w:tr w:rsidR="00496389" w:rsidRPr="00DB7156" w14:paraId="1910B92D" w14:textId="77777777" w:rsidTr="003019E9">
        <w:tc>
          <w:tcPr>
            <w:tcW w:w="1680" w:type="dxa"/>
          </w:tcPr>
          <w:p w14:paraId="217D5E7C" w14:textId="27EDC59D" w:rsidR="00496389" w:rsidRDefault="00496389" w:rsidP="00496389">
            <w:pPr>
              <w:spacing w:after="0"/>
              <w:ind w:left="-108"/>
              <w:rPr>
                <w:rFonts w:cs="Arial"/>
                <w:b/>
                <w:bCs/>
                <w:color w:val="000080"/>
                <w:szCs w:val="24"/>
              </w:rPr>
            </w:pPr>
            <w:r w:rsidRPr="0AF8DB6F">
              <w:rPr>
                <w:rFonts w:cs="Arial"/>
                <w:b/>
                <w:bCs/>
                <w:color w:val="000080"/>
                <w:szCs w:val="24"/>
              </w:rPr>
              <w:t>NMFS</w:t>
            </w:r>
          </w:p>
        </w:tc>
        <w:tc>
          <w:tcPr>
            <w:tcW w:w="7185" w:type="dxa"/>
          </w:tcPr>
          <w:p w14:paraId="619E82E7" w14:textId="609EACDC" w:rsidR="00496389" w:rsidRDefault="00496389" w:rsidP="00496389">
            <w:pPr>
              <w:spacing w:after="0"/>
              <w:rPr>
                <w:rFonts w:cs="Arial"/>
                <w:color w:val="000080"/>
                <w:szCs w:val="24"/>
              </w:rPr>
            </w:pPr>
            <w:r w:rsidRPr="0AF8DB6F">
              <w:rPr>
                <w:rFonts w:cs="Arial"/>
                <w:color w:val="000080"/>
                <w:szCs w:val="24"/>
              </w:rPr>
              <w:t>National Marine Fisheries Service</w:t>
            </w:r>
          </w:p>
        </w:tc>
      </w:tr>
      <w:tr w:rsidR="00496389" w:rsidRPr="00DB7156" w14:paraId="7725792A" w14:textId="77777777" w:rsidTr="003019E9">
        <w:tc>
          <w:tcPr>
            <w:tcW w:w="1680" w:type="dxa"/>
          </w:tcPr>
          <w:p w14:paraId="3ADA6794" w14:textId="77777777" w:rsidR="00496389" w:rsidRDefault="00496389" w:rsidP="00496389">
            <w:pPr>
              <w:spacing w:after="0"/>
              <w:ind w:left="-108"/>
              <w:rPr>
                <w:rFonts w:cs="Arial"/>
                <w:b/>
                <w:bCs/>
                <w:color w:val="000080"/>
                <w:szCs w:val="24"/>
              </w:rPr>
            </w:pPr>
          </w:p>
        </w:tc>
        <w:tc>
          <w:tcPr>
            <w:tcW w:w="7185" w:type="dxa"/>
          </w:tcPr>
          <w:p w14:paraId="67C47766" w14:textId="77777777" w:rsidR="00496389" w:rsidRDefault="00496389" w:rsidP="00496389">
            <w:pPr>
              <w:spacing w:after="0"/>
              <w:rPr>
                <w:rFonts w:cs="Arial"/>
                <w:color w:val="000080"/>
                <w:szCs w:val="24"/>
              </w:rPr>
            </w:pPr>
          </w:p>
        </w:tc>
      </w:tr>
      <w:tr w:rsidR="0097527C" w:rsidRPr="00DB7156" w14:paraId="239C7B99" w14:textId="77777777" w:rsidTr="003019E9">
        <w:tc>
          <w:tcPr>
            <w:tcW w:w="1680" w:type="dxa"/>
          </w:tcPr>
          <w:p w14:paraId="18CF1444" w14:textId="4F03F958" w:rsidR="0097527C" w:rsidRDefault="0097527C" w:rsidP="00496389">
            <w:pPr>
              <w:spacing w:after="0"/>
              <w:ind w:left="-108"/>
              <w:rPr>
                <w:rFonts w:cs="Arial"/>
                <w:b/>
                <w:bCs/>
                <w:color w:val="000080"/>
                <w:szCs w:val="24"/>
              </w:rPr>
            </w:pPr>
            <w:r>
              <w:rPr>
                <w:rFonts w:cs="Arial"/>
                <w:b/>
                <w:bCs/>
                <w:color w:val="000080"/>
                <w:szCs w:val="24"/>
              </w:rPr>
              <w:t>NOPP</w:t>
            </w:r>
          </w:p>
        </w:tc>
        <w:tc>
          <w:tcPr>
            <w:tcW w:w="7185" w:type="dxa"/>
          </w:tcPr>
          <w:p w14:paraId="5B493C55" w14:textId="296BFFE0" w:rsidR="0097527C" w:rsidRDefault="0097527C" w:rsidP="00496389">
            <w:pPr>
              <w:spacing w:after="0"/>
              <w:rPr>
                <w:rFonts w:cs="Arial"/>
                <w:color w:val="000080"/>
                <w:szCs w:val="24"/>
              </w:rPr>
            </w:pPr>
            <w:r>
              <w:rPr>
                <w:rFonts w:cs="Arial"/>
                <w:color w:val="000080"/>
                <w:szCs w:val="24"/>
              </w:rPr>
              <w:t>Notice of Planned Participation</w:t>
            </w:r>
          </w:p>
        </w:tc>
      </w:tr>
      <w:tr w:rsidR="0097527C" w:rsidRPr="00DB7156" w14:paraId="73004D67" w14:textId="77777777" w:rsidTr="003019E9">
        <w:tc>
          <w:tcPr>
            <w:tcW w:w="1680" w:type="dxa"/>
          </w:tcPr>
          <w:p w14:paraId="6351554A" w14:textId="77777777" w:rsidR="0097527C" w:rsidRDefault="0097527C" w:rsidP="00496389">
            <w:pPr>
              <w:spacing w:after="0"/>
              <w:ind w:left="-108"/>
              <w:rPr>
                <w:rFonts w:cs="Arial"/>
                <w:b/>
                <w:bCs/>
                <w:color w:val="000080"/>
                <w:szCs w:val="24"/>
              </w:rPr>
            </w:pPr>
          </w:p>
        </w:tc>
        <w:tc>
          <w:tcPr>
            <w:tcW w:w="7185" w:type="dxa"/>
          </w:tcPr>
          <w:p w14:paraId="4241D7CB" w14:textId="77777777" w:rsidR="0097527C" w:rsidRDefault="0097527C" w:rsidP="00496389">
            <w:pPr>
              <w:spacing w:after="0"/>
              <w:rPr>
                <w:rFonts w:cs="Arial"/>
                <w:color w:val="000080"/>
                <w:szCs w:val="24"/>
              </w:rPr>
            </w:pPr>
          </w:p>
        </w:tc>
      </w:tr>
      <w:tr w:rsidR="00496389" w:rsidRPr="00DB7156" w14:paraId="23F62E72" w14:textId="77777777" w:rsidTr="003019E9">
        <w:tc>
          <w:tcPr>
            <w:tcW w:w="1680" w:type="dxa"/>
          </w:tcPr>
          <w:p w14:paraId="509D5983" w14:textId="1CAB8A43" w:rsidR="00496389" w:rsidRPr="00DB7156" w:rsidRDefault="00496389" w:rsidP="00496389">
            <w:pPr>
              <w:spacing w:after="0"/>
              <w:ind w:left="-90"/>
              <w:rPr>
                <w:rFonts w:cs="Arial"/>
                <w:b/>
                <w:color w:val="000080"/>
                <w:szCs w:val="24"/>
              </w:rPr>
            </w:pPr>
            <w:r w:rsidRPr="00DB7156">
              <w:rPr>
                <w:rFonts w:cs="Arial"/>
                <w:b/>
                <w:color w:val="000080"/>
                <w:szCs w:val="24"/>
              </w:rPr>
              <w:t>NO</w:t>
            </w:r>
            <w:r w:rsidRPr="00DB7156">
              <w:rPr>
                <w:rFonts w:cs="Arial"/>
                <w:b/>
                <w:color w:val="000080"/>
                <w:szCs w:val="24"/>
                <w:vertAlign w:val="subscript"/>
              </w:rPr>
              <w:t>2</w:t>
            </w:r>
          </w:p>
        </w:tc>
        <w:tc>
          <w:tcPr>
            <w:tcW w:w="7185" w:type="dxa"/>
          </w:tcPr>
          <w:p w14:paraId="3F7FC6B0" w14:textId="7335E241" w:rsidR="00496389" w:rsidRPr="00DB7156" w:rsidRDefault="00496389" w:rsidP="00496389">
            <w:pPr>
              <w:spacing w:after="0"/>
              <w:rPr>
                <w:rFonts w:cs="Arial"/>
                <w:color w:val="000080"/>
                <w:szCs w:val="24"/>
              </w:rPr>
            </w:pPr>
            <w:r w:rsidRPr="00DB7156">
              <w:rPr>
                <w:rFonts w:cs="Arial"/>
                <w:color w:val="000080"/>
                <w:szCs w:val="24"/>
              </w:rPr>
              <w:t>Nitrogen Dioxide</w:t>
            </w:r>
          </w:p>
        </w:tc>
      </w:tr>
      <w:tr w:rsidR="00496389" w:rsidRPr="00DB7156" w14:paraId="1B9C5C89" w14:textId="77777777" w:rsidTr="003019E9">
        <w:tc>
          <w:tcPr>
            <w:tcW w:w="1680" w:type="dxa"/>
          </w:tcPr>
          <w:p w14:paraId="3660A375" w14:textId="45EE2738" w:rsidR="00496389" w:rsidRPr="00DB7156" w:rsidRDefault="00496389" w:rsidP="00496389">
            <w:pPr>
              <w:spacing w:after="0"/>
              <w:ind w:left="-90"/>
              <w:rPr>
                <w:rFonts w:cs="Arial"/>
                <w:b/>
                <w:color w:val="000080"/>
                <w:szCs w:val="24"/>
              </w:rPr>
            </w:pPr>
          </w:p>
        </w:tc>
        <w:tc>
          <w:tcPr>
            <w:tcW w:w="7185" w:type="dxa"/>
          </w:tcPr>
          <w:p w14:paraId="346B8364" w14:textId="5C6367FC" w:rsidR="00496389" w:rsidRPr="00DB7156" w:rsidRDefault="00496389" w:rsidP="00496389">
            <w:pPr>
              <w:spacing w:after="0"/>
              <w:rPr>
                <w:rFonts w:cs="Arial"/>
                <w:color w:val="000080"/>
                <w:szCs w:val="24"/>
              </w:rPr>
            </w:pPr>
          </w:p>
        </w:tc>
      </w:tr>
      <w:tr w:rsidR="00496389" w:rsidRPr="00DB7156" w14:paraId="37C8686D" w14:textId="77777777" w:rsidTr="003019E9">
        <w:tc>
          <w:tcPr>
            <w:tcW w:w="1680" w:type="dxa"/>
          </w:tcPr>
          <w:p w14:paraId="5896B901" w14:textId="2C85CB9B" w:rsidR="00496389" w:rsidRPr="00DB7156" w:rsidRDefault="00496389" w:rsidP="00496389">
            <w:pPr>
              <w:spacing w:after="0"/>
              <w:ind w:left="-90"/>
              <w:rPr>
                <w:rFonts w:cs="Arial"/>
                <w:b/>
                <w:color w:val="000080"/>
                <w:szCs w:val="24"/>
              </w:rPr>
            </w:pPr>
            <w:r w:rsidRPr="00DB7156">
              <w:rPr>
                <w:rFonts w:cs="Arial"/>
                <w:b/>
                <w:color w:val="000080"/>
                <w:szCs w:val="24"/>
              </w:rPr>
              <w:t>NO</w:t>
            </w:r>
            <w:r w:rsidRPr="00DB7156">
              <w:rPr>
                <w:rFonts w:cs="Arial"/>
                <w:b/>
                <w:color w:val="000080"/>
                <w:szCs w:val="24"/>
                <w:vertAlign w:val="subscript"/>
              </w:rPr>
              <w:t>X</w:t>
            </w:r>
          </w:p>
        </w:tc>
        <w:tc>
          <w:tcPr>
            <w:tcW w:w="7185" w:type="dxa"/>
          </w:tcPr>
          <w:p w14:paraId="29442EE9" w14:textId="0292B02C" w:rsidR="00496389" w:rsidRPr="00DB7156" w:rsidRDefault="00496389" w:rsidP="00496389">
            <w:pPr>
              <w:spacing w:after="0"/>
              <w:rPr>
                <w:rFonts w:cs="Arial"/>
                <w:color w:val="000080"/>
                <w:szCs w:val="24"/>
              </w:rPr>
            </w:pPr>
            <w:r w:rsidRPr="00DB7156">
              <w:rPr>
                <w:rFonts w:cs="Arial"/>
                <w:color w:val="000080"/>
                <w:szCs w:val="24"/>
              </w:rPr>
              <w:t>Nitrogen Oxide</w:t>
            </w:r>
          </w:p>
        </w:tc>
      </w:tr>
      <w:tr w:rsidR="00496389" w:rsidRPr="00DB7156" w14:paraId="653847BB" w14:textId="77777777" w:rsidTr="003019E9">
        <w:tc>
          <w:tcPr>
            <w:tcW w:w="1680" w:type="dxa"/>
          </w:tcPr>
          <w:p w14:paraId="415A6B76" w14:textId="77777777" w:rsidR="00496389" w:rsidRPr="00DB7156" w:rsidRDefault="00496389" w:rsidP="00496389">
            <w:pPr>
              <w:spacing w:after="0"/>
              <w:ind w:left="-90"/>
              <w:rPr>
                <w:rFonts w:cs="Arial"/>
                <w:b/>
                <w:color w:val="000080"/>
                <w:szCs w:val="24"/>
              </w:rPr>
            </w:pPr>
          </w:p>
        </w:tc>
        <w:tc>
          <w:tcPr>
            <w:tcW w:w="7185" w:type="dxa"/>
          </w:tcPr>
          <w:p w14:paraId="44D973B2" w14:textId="77777777" w:rsidR="00496389" w:rsidRPr="00DB7156" w:rsidRDefault="00496389" w:rsidP="00496389">
            <w:pPr>
              <w:spacing w:after="0"/>
              <w:rPr>
                <w:rFonts w:cs="Arial"/>
                <w:color w:val="000080"/>
                <w:szCs w:val="24"/>
              </w:rPr>
            </w:pPr>
          </w:p>
        </w:tc>
      </w:tr>
      <w:tr w:rsidR="00496389" w:rsidRPr="00DB7156" w14:paraId="15CED922" w14:textId="77777777" w:rsidTr="003019E9">
        <w:tc>
          <w:tcPr>
            <w:tcW w:w="1680" w:type="dxa"/>
          </w:tcPr>
          <w:p w14:paraId="445D7201" w14:textId="6DBB426C" w:rsidR="00496389" w:rsidRPr="00DB7156" w:rsidRDefault="00496389" w:rsidP="00496389">
            <w:pPr>
              <w:spacing w:after="0"/>
              <w:ind w:left="-90"/>
              <w:rPr>
                <w:rFonts w:cs="Arial"/>
                <w:b/>
                <w:color w:val="000080"/>
                <w:szCs w:val="24"/>
              </w:rPr>
            </w:pPr>
            <w:r w:rsidRPr="00DB7156">
              <w:rPr>
                <w:rFonts w:cs="Arial"/>
                <w:b/>
                <w:color w:val="000080"/>
                <w:szCs w:val="24"/>
              </w:rPr>
              <w:t>NPDES</w:t>
            </w:r>
          </w:p>
        </w:tc>
        <w:tc>
          <w:tcPr>
            <w:tcW w:w="7185" w:type="dxa"/>
          </w:tcPr>
          <w:p w14:paraId="4FEB6D59" w14:textId="4CE425E1" w:rsidR="00496389" w:rsidRPr="00DB7156" w:rsidRDefault="00496389" w:rsidP="00496389">
            <w:pPr>
              <w:spacing w:after="0"/>
              <w:rPr>
                <w:rFonts w:cs="Arial"/>
                <w:color w:val="000080"/>
                <w:szCs w:val="24"/>
              </w:rPr>
            </w:pPr>
            <w:r w:rsidRPr="00DB7156">
              <w:rPr>
                <w:rFonts w:cs="Arial"/>
                <w:color w:val="000080"/>
                <w:szCs w:val="24"/>
              </w:rPr>
              <w:t>National Pollut</w:t>
            </w:r>
            <w:r w:rsidR="0019299F">
              <w:rPr>
                <w:rFonts w:cs="Arial"/>
                <w:color w:val="000080"/>
                <w:szCs w:val="24"/>
              </w:rPr>
              <w:t>ant</w:t>
            </w:r>
            <w:r w:rsidRPr="00DB7156">
              <w:rPr>
                <w:rFonts w:cs="Arial"/>
                <w:color w:val="000080"/>
                <w:szCs w:val="24"/>
              </w:rPr>
              <w:t xml:space="preserve"> Discharge Elimination System</w:t>
            </w:r>
          </w:p>
        </w:tc>
      </w:tr>
      <w:tr w:rsidR="00496389" w:rsidRPr="00DB7156" w14:paraId="55D13469" w14:textId="77777777" w:rsidTr="003019E9">
        <w:tc>
          <w:tcPr>
            <w:tcW w:w="1680" w:type="dxa"/>
          </w:tcPr>
          <w:p w14:paraId="6663A9DB" w14:textId="77777777" w:rsidR="00496389" w:rsidRPr="00DB7156" w:rsidRDefault="00496389" w:rsidP="00496389">
            <w:pPr>
              <w:spacing w:after="0"/>
              <w:ind w:left="-90"/>
              <w:rPr>
                <w:rFonts w:cs="Arial"/>
                <w:b/>
                <w:bCs/>
                <w:color w:val="000080"/>
                <w:szCs w:val="24"/>
              </w:rPr>
            </w:pPr>
          </w:p>
        </w:tc>
        <w:tc>
          <w:tcPr>
            <w:tcW w:w="7185" w:type="dxa"/>
          </w:tcPr>
          <w:p w14:paraId="18782FDF" w14:textId="77777777" w:rsidR="00496389" w:rsidRPr="00DB7156" w:rsidRDefault="00496389" w:rsidP="00496389">
            <w:pPr>
              <w:spacing w:after="0"/>
              <w:rPr>
                <w:rFonts w:cs="Arial"/>
                <w:color w:val="000080"/>
                <w:szCs w:val="24"/>
              </w:rPr>
            </w:pPr>
          </w:p>
        </w:tc>
      </w:tr>
      <w:tr w:rsidR="00496389" w:rsidRPr="00DB7156" w14:paraId="4C984E71" w14:textId="77777777" w:rsidTr="003019E9">
        <w:tc>
          <w:tcPr>
            <w:tcW w:w="1680" w:type="dxa"/>
          </w:tcPr>
          <w:p w14:paraId="006A7138" w14:textId="3FE98316" w:rsidR="00496389" w:rsidRPr="00DB7156" w:rsidRDefault="00496389" w:rsidP="00496389">
            <w:pPr>
              <w:spacing w:after="0"/>
              <w:ind w:left="-90"/>
              <w:rPr>
                <w:rFonts w:cs="Arial"/>
                <w:b/>
                <w:color w:val="000080"/>
                <w:szCs w:val="24"/>
              </w:rPr>
            </w:pPr>
            <w:r w:rsidRPr="00DB7156">
              <w:rPr>
                <w:rFonts w:cs="Arial"/>
                <w:b/>
                <w:color w:val="000080"/>
                <w:szCs w:val="24"/>
              </w:rPr>
              <w:t>NSPS</w:t>
            </w:r>
          </w:p>
        </w:tc>
        <w:tc>
          <w:tcPr>
            <w:tcW w:w="7185" w:type="dxa"/>
          </w:tcPr>
          <w:p w14:paraId="0E862DD0" w14:textId="280F981C" w:rsidR="00496389" w:rsidRPr="00DB7156" w:rsidRDefault="00496389" w:rsidP="00496389">
            <w:pPr>
              <w:spacing w:after="0"/>
              <w:rPr>
                <w:rFonts w:cs="Arial"/>
                <w:color w:val="000080"/>
                <w:szCs w:val="24"/>
              </w:rPr>
            </w:pPr>
            <w:r w:rsidRPr="00DB7156">
              <w:rPr>
                <w:rFonts w:cs="Arial"/>
                <w:color w:val="000080"/>
                <w:szCs w:val="24"/>
              </w:rPr>
              <w:t>New Source Performance Standards</w:t>
            </w:r>
          </w:p>
        </w:tc>
      </w:tr>
      <w:tr w:rsidR="00496389" w:rsidRPr="00DB7156" w14:paraId="6287BE93" w14:textId="77777777" w:rsidTr="003019E9">
        <w:tc>
          <w:tcPr>
            <w:tcW w:w="1680" w:type="dxa"/>
          </w:tcPr>
          <w:p w14:paraId="0A062E24" w14:textId="2B4944D0" w:rsidR="00496389" w:rsidRPr="00DB7156" w:rsidRDefault="00496389" w:rsidP="00496389">
            <w:pPr>
              <w:spacing w:after="0"/>
              <w:ind w:left="-90"/>
              <w:rPr>
                <w:rFonts w:cs="Arial"/>
                <w:b/>
                <w:color w:val="000080"/>
                <w:szCs w:val="24"/>
              </w:rPr>
            </w:pPr>
          </w:p>
        </w:tc>
        <w:tc>
          <w:tcPr>
            <w:tcW w:w="7185" w:type="dxa"/>
          </w:tcPr>
          <w:p w14:paraId="2A24D839" w14:textId="34E1A88C" w:rsidR="00496389" w:rsidRPr="00DB7156" w:rsidRDefault="00496389" w:rsidP="00496389">
            <w:pPr>
              <w:spacing w:after="0"/>
              <w:rPr>
                <w:rFonts w:cs="Arial"/>
                <w:color w:val="000080"/>
                <w:szCs w:val="24"/>
              </w:rPr>
            </w:pPr>
          </w:p>
        </w:tc>
      </w:tr>
      <w:tr w:rsidR="00496389" w:rsidRPr="00DB7156" w14:paraId="1748993B" w14:textId="77777777" w:rsidTr="003019E9">
        <w:tc>
          <w:tcPr>
            <w:tcW w:w="1680" w:type="dxa"/>
          </w:tcPr>
          <w:p w14:paraId="0CA6EC44" w14:textId="57043E31" w:rsidR="00496389" w:rsidRPr="00DB7156" w:rsidRDefault="00496389" w:rsidP="00496389">
            <w:pPr>
              <w:spacing w:after="0"/>
              <w:ind w:left="-90"/>
              <w:rPr>
                <w:rFonts w:cs="Arial"/>
                <w:b/>
                <w:color w:val="000080"/>
                <w:szCs w:val="24"/>
              </w:rPr>
            </w:pPr>
            <w:r w:rsidRPr="00DB7156">
              <w:rPr>
                <w:rFonts w:cs="Arial"/>
                <w:b/>
                <w:color w:val="000080"/>
                <w:szCs w:val="24"/>
              </w:rPr>
              <w:t>NSR</w:t>
            </w:r>
          </w:p>
        </w:tc>
        <w:tc>
          <w:tcPr>
            <w:tcW w:w="7185" w:type="dxa"/>
          </w:tcPr>
          <w:p w14:paraId="7AC29E87" w14:textId="29BBBF25" w:rsidR="00496389" w:rsidRPr="00DB7156" w:rsidRDefault="00496389" w:rsidP="00496389">
            <w:pPr>
              <w:spacing w:after="0"/>
              <w:rPr>
                <w:rFonts w:cs="Arial"/>
                <w:color w:val="000080"/>
                <w:szCs w:val="24"/>
              </w:rPr>
            </w:pPr>
            <w:r w:rsidRPr="00DB7156">
              <w:rPr>
                <w:rFonts w:cs="Arial"/>
                <w:color w:val="000080"/>
                <w:szCs w:val="24"/>
              </w:rPr>
              <w:t>New Source Review</w:t>
            </w:r>
          </w:p>
        </w:tc>
      </w:tr>
      <w:tr w:rsidR="00496389" w:rsidRPr="00DB7156" w14:paraId="6442877B" w14:textId="77777777" w:rsidTr="003019E9">
        <w:tc>
          <w:tcPr>
            <w:tcW w:w="1680" w:type="dxa"/>
          </w:tcPr>
          <w:p w14:paraId="3A6A1DD2" w14:textId="77777777" w:rsidR="00496389" w:rsidRPr="00DB7156" w:rsidRDefault="00496389" w:rsidP="00496389">
            <w:pPr>
              <w:spacing w:after="0"/>
              <w:ind w:left="-90"/>
              <w:rPr>
                <w:rFonts w:cs="Arial"/>
                <w:b/>
                <w:bCs/>
                <w:color w:val="000080"/>
                <w:szCs w:val="24"/>
              </w:rPr>
            </w:pPr>
          </w:p>
        </w:tc>
        <w:tc>
          <w:tcPr>
            <w:tcW w:w="7185" w:type="dxa"/>
          </w:tcPr>
          <w:p w14:paraId="1406CF11" w14:textId="77777777" w:rsidR="00496389" w:rsidRPr="00DB7156" w:rsidRDefault="00496389" w:rsidP="00496389">
            <w:pPr>
              <w:spacing w:after="0"/>
              <w:rPr>
                <w:rFonts w:cs="Arial"/>
                <w:color w:val="000080"/>
                <w:szCs w:val="24"/>
              </w:rPr>
            </w:pPr>
          </w:p>
        </w:tc>
      </w:tr>
      <w:tr w:rsidR="00496389" w:rsidRPr="00DB7156" w14:paraId="6EA16599" w14:textId="77777777" w:rsidTr="003019E9">
        <w:tc>
          <w:tcPr>
            <w:tcW w:w="1680" w:type="dxa"/>
          </w:tcPr>
          <w:p w14:paraId="1D90093C" w14:textId="7411336F" w:rsidR="00496389" w:rsidRPr="00DB7156" w:rsidRDefault="00496389" w:rsidP="00496389">
            <w:pPr>
              <w:spacing w:after="0"/>
              <w:ind w:left="-90"/>
              <w:rPr>
                <w:rFonts w:cs="Arial"/>
                <w:b/>
                <w:bCs/>
                <w:color w:val="000080"/>
                <w:szCs w:val="24"/>
              </w:rPr>
            </w:pPr>
            <w:r w:rsidRPr="0AF8DB6F">
              <w:rPr>
                <w:rFonts w:cs="Arial"/>
                <w:b/>
                <w:bCs/>
                <w:color w:val="000080"/>
                <w:szCs w:val="24"/>
              </w:rPr>
              <w:t>NWP</w:t>
            </w:r>
          </w:p>
        </w:tc>
        <w:tc>
          <w:tcPr>
            <w:tcW w:w="7185" w:type="dxa"/>
          </w:tcPr>
          <w:p w14:paraId="39BEFA9F" w14:textId="331999C5" w:rsidR="00496389" w:rsidRPr="00DB7156" w:rsidRDefault="00496389" w:rsidP="00496389">
            <w:pPr>
              <w:spacing w:after="0"/>
              <w:rPr>
                <w:rFonts w:cs="Arial"/>
                <w:color w:val="000080"/>
                <w:szCs w:val="24"/>
              </w:rPr>
            </w:pPr>
            <w:r w:rsidRPr="0AF8DB6F">
              <w:rPr>
                <w:rFonts w:cs="Arial"/>
                <w:color w:val="000080"/>
                <w:szCs w:val="24"/>
              </w:rPr>
              <w:t>Nationwide Permits</w:t>
            </w:r>
          </w:p>
        </w:tc>
      </w:tr>
      <w:tr w:rsidR="00496389" w:rsidRPr="00DB7156" w14:paraId="02991424" w14:textId="77777777" w:rsidTr="003019E9">
        <w:tc>
          <w:tcPr>
            <w:tcW w:w="1680" w:type="dxa"/>
          </w:tcPr>
          <w:p w14:paraId="572B2D65" w14:textId="33B1D16D" w:rsidR="00496389" w:rsidRPr="00DB7156" w:rsidRDefault="00496389" w:rsidP="00496389">
            <w:pPr>
              <w:spacing w:after="0"/>
              <w:ind w:left="-90"/>
              <w:rPr>
                <w:rFonts w:cs="Arial"/>
                <w:b/>
                <w:color w:val="000080"/>
                <w:szCs w:val="24"/>
              </w:rPr>
            </w:pPr>
          </w:p>
        </w:tc>
        <w:tc>
          <w:tcPr>
            <w:tcW w:w="7185" w:type="dxa"/>
          </w:tcPr>
          <w:p w14:paraId="2E79680A" w14:textId="47BC012A" w:rsidR="00496389" w:rsidRPr="00DB7156" w:rsidRDefault="00496389" w:rsidP="00496389">
            <w:pPr>
              <w:spacing w:after="0"/>
              <w:rPr>
                <w:rFonts w:cs="Arial"/>
                <w:color w:val="000080"/>
                <w:szCs w:val="24"/>
              </w:rPr>
            </w:pPr>
          </w:p>
        </w:tc>
      </w:tr>
      <w:tr w:rsidR="00E573A7" w:rsidRPr="00DB7156" w14:paraId="0D5EDB00" w14:textId="77777777" w:rsidTr="003019E9">
        <w:tc>
          <w:tcPr>
            <w:tcW w:w="1680" w:type="dxa"/>
          </w:tcPr>
          <w:p w14:paraId="14B309A0" w14:textId="657E1032" w:rsidR="00E573A7" w:rsidRPr="00DB7156" w:rsidRDefault="00E573A7" w:rsidP="00496389">
            <w:pPr>
              <w:spacing w:after="0"/>
              <w:ind w:left="-90"/>
              <w:rPr>
                <w:rFonts w:cs="Arial"/>
                <w:b/>
                <w:color w:val="000080"/>
                <w:szCs w:val="24"/>
              </w:rPr>
            </w:pPr>
            <w:r>
              <w:rPr>
                <w:rFonts w:cs="Arial"/>
                <w:b/>
                <w:color w:val="000080"/>
                <w:szCs w:val="24"/>
              </w:rPr>
              <w:t>NWPR</w:t>
            </w:r>
          </w:p>
        </w:tc>
        <w:tc>
          <w:tcPr>
            <w:tcW w:w="7185" w:type="dxa"/>
          </w:tcPr>
          <w:p w14:paraId="3384EC02" w14:textId="0DD10609" w:rsidR="00E573A7" w:rsidRPr="00DB7156" w:rsidRDefault="00E573A7" w:rsidP="00496389">
            <w:pPr>
              <w:spacing w:after="0"/>
              <w:rPr>
                <w:rFonts w:cs="Arial"/>
                <w:color w:val="000080"/>
                <w:szCs w:val="24"/>
              </w:rPr>
            </w:pPr>
            <w:r>
              <w:rPr>
                <w:rFonts w:cs="Arial"/>
                <w:color w:val="000080"/>
                <w:szCs w:val="24"/>
              </w:rPr>
              <w:t>Navigable Waters Protection Rule</w:t>
            </w:r>
          </w:p>
        </w:tc>
      </w:tr>
      <w:tr w:rsidR="00E573A7" w:rsidRPr="00DB7156" w14:paraId="2BCBCBD8" w14:textId="77777777" w:rsidTr="003019E9">
        <w:tc>
          <w:tcPr>
            <w:tcW w:w="1680" w:type="dxa"/>
          </w:tcPr>
          <w:p w14:paraId="76704BF3" w14:textId="77777777" w:rsidR="00E573A7" w:rsidRPr="00DB7156" w:rsidRDefault="00E573A7" w:rsidP="00496389">
            <w:pPr>
              <w:spacing w:after="0"/>
              <w:ind w:left="-90"/>
              <w:rPr>
                <w:rFonts w:cs="Arial"/>
                <w:b/>
                <w:color w:val="000080"/>
                <w:szCs w:val="24"/>
              </w:rPr>
            </w:pPr>
          </w:p>
        </w:tc>
        <w:tc>
          <w:tcPr>
            <w:tcW w:w="7185" w:type="dxa"/>
          </w:tcPr>
          <w:p w14:paraId="4D1EA5CF" w14:textId="77777777" w:rsidR="00E573A7" w:rsidRPr="00DB7156" w:rsidRDefault="00E573A7" w:rsidP="00496389">
            <w:pPr>
              <w:spacing w:after="0"/>
              <w:rPr>
                <w:rFonts w:cs="Arial"/>
                <w:color w:val="000080"/>
                <w:szCs w:val="24"/>
              </w:rPr>
            </w:pPr>
          </w:p>
        </w:tc>
      </w:tr>
      <w:tr w:rsidR="00496389" w:rsidRPr="00DB7156" w14:paraId="7CFCBDDF" w14:textId="77777777" w:rsidTr="003019E9">
        <w:tc>
          <w:tcPr>
            <w:tcW w:w="1680" w:type="dxa"/>
          </w:tcPr>
          <w:p w14:paraId="45A647A6" w14:textId="0A3F25B7" w:rsidR="00496389" w:rsidRPr="00DB7156" w:rsidRDefault="00496389" w:rsidP="00496389">
            <w:pPr>
              <w:spacing w:after="0"/>
              <w:ind w:left="-90"/>
              <w:rPr>
                <w:rFonts w:cs="Arial"/>
                <w:b/>
                <w:color w:val="000080"/>
                <w:szCs w:val="24"/>
              </w:rPr>
            </w:pPr>
            <w:r w:rsidRPr="00DB7156">
              <w:rPr>
                <w:rFonts w:cs="Arial"/>
                <w:b/>
                <w:color w:val="000080"/>
                <w:szCs w:val="24"/>
              </w:rPr>
              <w:t>OFA</w:t>
            </w:r>
          </w:p>
        </w:tc>
        <w:tc>
          <w:tcPr>
            <w:tcW w:w="7185" w:type="dxa"/>
          </w:tcPr>
          <w:p w14:paraId="17178958" w14:textId="33074FE2" w:rsidR="00496389" w:rsidRPr="00DB7156" w:rsidRDefault="00496389" w:rsidP="00496389">
            <w:pPr>
              <w:spacing w:after="0"/>
              <w:rPr>
                <w:rFonts w:cs="Arial"/>
                <w:color w:val="000080"/>
                <w:szCs w:val="24"/>
              </w:rPr>
            </w:pPr>
            <w:r w:rsidRPr="00DB7156">
              <w:rPr>
                <w:rFonts w:cs="Arial"/>
                <w:color w:val="000080"/>
                <w:szCs w:val="24"/>
              </w:rPr>
              <w:t>Overfire Air</w:t>
            </w:r>
          </w:p>
        </w:tc>
      </w:tr>
      <w:tr w:rsidR="00496389" w:rsidRPr="00DB7156" w14:paraId="07ED2FD2" w14:textId="77777777" w:rsidTr="003019E9">
        <w:tc>
          <w:tcPr>
            <w:tcW w:w="1680" w:type="dxa"/>
          </w:tcPr>
          <w:p w14:paraId="070D0A1A" w14:textId="32DF3FFB" w:rsidR="00496389" w:rsidRPr="00DB7156" w:rsidRDefault="00496389" w:rsidP="00496389">
            <w:pPr>
              <w:spacing w:after="0"/>
              <w:ind w:left="-90"/>
              <w:rPr>
                <w:rFonts w:cs="Arial"/>
                <w:b/>
                <w:color w:val="000080"/>
                <w:szCs w:val="24"/>
              </w:rPr>
            </w:pPr>
          </w:p>
        </w:tc>
        <w:tc>
          <w:tcPr>
            <w:tcW w:w="7185" w:type="dxa"/>
          </w:tcPr>
          <w:p w14:paraId="1A49451D" w14:textId="39A65BD2" w:rsidR="00496389" w:rsidRPr="00DB7156" w:rsidRDefault="00496389" w:rsidP="00496389">
            <w:pPr>
              <w:spacing w:after="0"/>
              <w:rPr>
                <w:rFonts w:cs="Arial"/>
                <w:color w:val="000080"/>
                <w:szCs w:val="24"/>
              </w:rPr>
            </w:pPr>
          </w:p>
        </w:tc>
      </w:tr>
      <w:tr w:rsidR="00496389" w:rsidRPr="00DB7156" w14:paraId="05C4C78F" w14:textId="77777777" w:rsidTr="003019E9">
        <w:tc>
          <w:tcPr>
            <w:tcW w:w="1680" w:type="dxa"/>
          </w:tcPr>
          <w:p w14:paraId="31504D4D" w14:textId="4F91C62C" w:rsidR="00496389" w:rsidRPr="00DB7156" w:rsidRDefault="00496389" w:rsidP="00496389">
            <w:pPr>
              <w:spacing w:after="0"/>
              <w:ind w:left="-90"/>
              <w:rPr>
                <w:rFonts w:cs="Arial"/>
                <w:b/>
                <w:color w:val="000080"/>
                <w:szCs w:val="24"/>
              </w:rPr>
            </w:pPr>
            <w:r>
              <w:rPr>
                <w:rFonts w:cs="Arial"/>
                <w:b/>
                <w:color w:val="000080"/>
                <w:szCs w:val="24"/>
              </w:rPr>
              <w:t>O&amp;M</w:t>
            </w:r>
          </w:p>
        </w:tc>
        <w:tc>
          <w:tcPr>
            <w:tcW w:w="7185" w:type="dxa"/>
          </w:tcPr>
          <w:p w14:paraId="70B25DC8" w14:textId="28E3D976" w:rsidR="00496389" w:rsidRPr="00DB7156" w:rsidRDefault="00496389" w:rsidP="00496389">
            <w:pPr>
              <w:spacing w:after="0"/>
              <w:rPr>
                <w:rFonts w:cs="Arial"/>
                <w:color w:val="000080"/>
                <w:szCs w:val="24"/>
              </w:rPr>
            </w:pPr>
            <w:r>
              <w:rPr>
                <w:rFonts w:cs="Arial"/>
                <w:color w:val="000080"/>
                <w:szCs w:val="24"/>
              </w:rPr>
              <w:t xml:space="preserve">Operating and Maintenance </w:t>
            </w:r>
          </w:p>
        </w:tc>
      </w:tr>
      <w:tr w:rsidR="00496389" w:rsidRPr="00DB7156" w14:paraId="2BBB1E33" w14:textId="77777777" w:rsidTr="003019E9">
        <w:trPr>
          <w:trHeight w:val="216"/>
        </w:trPr>
        <w:tc>
          <w:tcPr>
            <w:tcW w:w="1680" w:type="dxa"/>
          </w:tcPr>
          <w:p w14:paraId="69285CD6" w14:textId="36DB3296" w:rsidR="00496389" w:rsidRPr="00DB7156" w:rsidRDefault="00496389" w:rsidP="00496389">
            <w:pPr>
              <w:spacing w:after="0"/>
              <w:ind w:left="-90"/>
              <w:rPr>
                <w:rFonts w:cs="Arial"/>
                <w:b/>
                <w:color w:val="000080"/>
                <w:szCs w:val="24"/>
              </w:rPr>
            </w:pPr>
          </w:p>
        </w:tc>
        <w:tc>
          <w:tcPr>
            <w:tcW w:w="7185" w:type="dxa"/>
          </w:tcPr>
          <w:p w14:paraId="4C7E7E2B" w14:textId="12306875" w:rsidR="00496389" w:rsidRPr="00DB7156" w:rsidRDefault="00496389" w:rsidP="00496389">
            <w:pPr>
              <w:spacing w:after="0"/>
              <w:rPr>
                <w:rFonts w:cs="Arial"/>
                <w:color w:val="000080"/>
                <w:szCs w:val="24"/>
              </w:rPr>
            </w:pPr>
          </w:p>
        </w:tc>
      </w:tr>
      <w:tr w:rsidR="00496389" w:rsidRPr="00DB7156" w14:paraId="7368055F" w14:textId="77777777" w:rsidTr="003019E9">
        <w:trPr>
          <w:trHeight w:val="216"/>
        </w:trPr>
        <w:tc>
          <w:tcPr>
            <w:tcW w:w="1680" w:type="dxa"/>
          </w:tcPr>
          <w:p w14:paraId="4482578E" w14:textId="33AF9B47" w:rsidR="00496389" w:rsidRPr="00DB7156" w:rsidRDefault="00496389" w:rsidP="00496389">
            <w:pPr>
              <w:spacing w:after="0"/>
              <w:ind w:left="-90"/>
              <w:rPr>
                <w:rFonts w:cs="Arial"/>
                <w:b/>
                <w:color w:val="000080"/>
                <w:szCs w:val="24"/>
              </w:rPr>
            </w:pPr>
            <w:r w:rsidRPr="00DB7156">
              <w:rPr>
                <w:rFonts w:cs="Arial"/>
                <w:b/>
                <w:color w:val="000080"/>
                <w:szCs w:val="24"/>
              </w:rPr>
              <w:t>OMB</w:t>
            </w:r>
          </w:p>
        </w:tc>
        <w:tc>
          <w:tcPr>
            <w:tcW w:w="7185" w:type="dxa"/>
          </w:tcPr>
          <w:p w14:paraId="5765B1EF" w14:textId="4A5DE4A2" w:rsidR="00496389" w:rsidRPr="00DB7156" w:rsidRDefault="00496389" w:rsidP="00496389">
            <w:pPr>
              <w:spacing w:after="0"/>
              <w:rPr>
                <w:rFonts w:cs="Arial"/>
                <w:color w:val="000080"/>
                <w:szCs w:val="24"/>
              </w:rPr>
            </w:pPr>
            <w:r w:rsidRPr="00DB7156">
              <w:rPr>
                <w:rFonts w:cs="Arial"/>
                <w:color w:val="000080"/>
                <w:szCs w:val="24"/>
              </w:rPr>
              <w:t>Office of Management and Budget</w:t>
            </w:r>
          </w:p>
        </w:tc>
      </w:tr>
      <w:tr w:rsidR="00496389" w:rsidRPr="00DB7156" w14:paraId="389C3AA4" w14:textId="77777777" w:rsidTr="003019E9">
        <w:trPr>
          <w:trHeight w:val="216"/>
        </w:trPr>
        <w:tc>
          <w:tcPr>
            <w:tcW w:w="1680" w:type="dxa"/>
          </w:tcPr>
          <w:p w14:paraId="6695A6C8" w14:textId="77777777" w:rsidR="00496389" w:rsidRPr="00DB7156" w:rsidRDefault="00496389" w:rsidP="00496389">
            <w:pPr>
              <w:spacing w:after="0"/>
              <w:ind w:left="-90"/>
              <w:rPr>
                <w:rFonts w:cs="Arial"/>
                <w:b/>
                <w:bCs/>
                <w:color w:val="000080"/>
                <w:szCs w:val="24"/>
              </w:rPr>
            </w:pPr>
          </w:p>
        </w:tc>
        <w:tc>
          <w:tcPr>
            <w:tcW w:w="7185" w:type="dxa"/>
          </w:tcPr>
          <w:p w14:paraId="162C328E" w14:textId="77777777" w:rsidR="00496389" w:rsidRPr="00DB7156" w:rsidRDefault="00496389" w:rsidP="00496389">
            <w:pPr>
              <w:spacing w:after="0"/>
              <w:rPr>
                <w:rFonts w:cs="Arial"/>
                <w:color w:val="000080"/>
                <w:szCs w:val="24"/>
              </w:rPr>
            </w:pPr>
          </w:p>
        </w:tc>
      </w:tr>
      <w:tr w:rsidR="00496389" w:rsidRPr="00DB7156" w14:paraId="4B499FF6" w14:textId="77777777" w:rsidTr="003019E9">
        <w:trPr>
          <w:trHeight w:val="216"/>
        </w:trPr>
        <w:tc>
          <w:tcPr>
            <w:tcW w:w="1680" w:type="dxa"/>
          </w:tcPr>
          <w:p w14:paraId="4145F97B" w14:textId="0256EC14" w:rsidR="00496389" w:rsidRDefault="00496389" w:rsidP="00496389">
            <w:pPr>
              <w:spacing w:after="0"/>
              <w:ind w:left="-90"/>
              <w:rPr>
                <w:rFonts w:cs="Arial"/>
                <w:b/>
                <w:bCs/>
                <w:color w:val="000080"/>
                <w:szCs w:val="24"/>
              </w:rPr>
            </w:pPr>
            <w:r w:rsidRPr="0AF8DB6F">
              <w:rPr>
                <w:rFonts w:cs="Arial"/>
                <w:b/>
                <w:bCs/>
                <w:color w:val="000080"/>
                <w:szCs w:val="24"/>
              </w:rPr>
              <w:t>PJFF</w:t>
            </w:r>
          </w:p>
        </w:tc>
        <w:tc>
          <w:tcPr>
            <w:tcW w:w="7185" w:type="dxa"/>
          </w:tcPr>
          <w:p w14:paraId="3480C671" w14:textId="5FA163A1" w:rsidR="00496389" w:rsidRDefault="00496389" w:rsidP="00496389">
            <w:pPr>
              <w:spacing w:after="0"/>
              <w:rPr>
                <w:rFonts w:cs="Arial"/>
                <w:color w:val="000080"/>
                <w:szCs w:val="24"/>
              </w:rPr>
            </w:pPr>
            <w:r w:rsidRPr="0AF8DB6F">
              <w:rPr>
                <w:rFonts w:cs="Arial"/>
                <w:color w:val="000080"/>
                <w:szCs w:val="24"/>
              </w:rPr>
              <w:t>Pulse Jet Fabric Filter</w:t>
            </w:r>
          </w:p>
        </w:tc>
      </w:tr>
      <w:tr w:rsidR="00496389" w:rsidRPr="00DB7156" w14:paraId="456016F9" w14:textId="77777777" w:rsidTr="003019E9">
        <w:trPr>
          <w:trHeight w:val="216"/>
        </w:trPr>
        <w:tc>
          <w:tcPr>
            <w:tcW w:w="1680" w:type="dxa"/>
          </w:tcPr>
          <w:p w14:paraId="78A30EC3" w14:textId="6CD5A00D" w:rsidR="00496389" w:rsidRPr="00DB7156" w:rsidRDefault="00496389" w:rsidP="00496389">
            <w:pPr>
              <w:spacing w:after="0"/>
              <w:ind w:left="-90"/>
              <w:rPr>
                <w:rFonts w:cs="Arial"/>
                <w:b/>
                <w:color w:val="000080"/>
                <w:szCs w:val="24"/>
              </w:rPr>
            </w:pPr>
          </w:p>
        </w:tc>
        <w:tc>
          <w:tcPr>
            <w:tcW w:w="7185" w:type="dxa"/>
          </w:tcPr>
          <w:p w14:paraId="227A356B" w14:textId="5A69FD58" w:rsidR="00496389" w:rsidRPr="00DB7156" w:rsidRDefault="00496389" w:rsidP="00496389">
            <w:pPr>
              <w:spacing w:after="0"/>
              <w:rPr>
                <w:rFonts w:cs="Arial"/>
                <w:color w:val="000080"/>
                <w:szCs w:val="24"/>
              </w:rPr>
            </w:pPr>
          </w:p>
        </w:tc>
      </w:tr>
      <w:tr w:rsidR="00496389" w:rsidRPr="00DB7156" w14:paraId="1348DBB0" w14:textId="77777777" w:rsidTr="003019E9">
        <w:tc>
          <w:tcPr>
            <w:tcW w:w="1680" w:type="dxa"/>
          </w:tcPr>
          <w:p w14:paraId="125E24C7" w14:textId="48AD78B4" w:rsidR="00496389" w:rsidRPr="00DB7156" w:rsidRDefault="00496389" w:rsidP="00496389">
            <w:pPr>
              <w:spacing w:after="0"/>
              <w:ind w:left="-90"/>
              <w:rPr>
                <w:rFonts w:cs="Arial"/>
                <w:b/>
                <w:color w:val="000080"/>
                <w:szCs w:val="24"/>
              </w:rPr>
            </w:pPr>
            <w:r w:rsidRPr="00DB7156">
              <w:rPr>
                <w:rFonts w:cs="Arial"/>
                <w:b/>
                <w:color w:val="000080"/>
                <w:szCs w:val="24"/>
              </w:rPr>
              <w:t>PM</w:t>
            </w:r>
          </w:p>
        </w:tc>
        <w:tc>
          <w:tcPr>
            <w:tcW w:w="7185" w:type="dxa"/>
          </w:tcPr>
          <w:p w14:paraId="40B5A35C" w14:textId="0C51409C" w:rsidR="00496389" w:rsidRPr="00DB7156" w:rsidRDefault="00496389" w:rsidP="00496389">
            <w:pPr>
              <w:spacing w:after="0"/>
              <w:rPr>
                <w:rFonts w:cs="Arial"/>
                <w:color w:val="000080"/>
                <w:szCs w:val="24"/>
              </w:rPr>
            </w:pPr>
            <w:r w:rsidRPr="00DB7156">
              <w:rPr>
                <w:rFonts w:cs="Arial"/>
                <w:color w:val="000080"/>
                <w:szCs w:val="24"/>
              </w:rPr>
              <w:t>Particulate Matter</w:t>
            </w:r>
          </w:p>
        </w:tc>
      </w:tr>
      <w:tr w:rsidR="00496389" w:rsidRPr="00DB7156" w14:paraId="6900CAC2" w14:textId="77777777" w:rsidTr="003019E9">
        <w:tc>
          <w:tcPr>
            <w:tcW w:w="1680" w:type="dxa"/>
          </w:tcPr>
          <w:p w14:paraId="6D20AB8D" w14:textId="66CBF1B9" w:rsidR="00496389" w:rsidRPr="00DB7156" w:rsidRDefault="00496389" w:rsidP="00496389">
            <w:pPr>
              <w:spacing w:after="0"/>
              <w:ind w:left="-90"/>
              <w:rPr>
                <w:rFonts w:cs="Arial"/>
                <w:b/>
                <w:color w:val="000080"/>
                <w:szCs w:val="24"/>
              </w:rPr>
            </w:pPr>
          </w:p>
        </w:tc>
        <w:tc>
          <w:tcPr>
            <w:tcW w:w="7185" w:type="dxa"/>
          </w:tcPr>
          <w:p w14:paraId="19623E68" w14:textId="3905231E" w:rsidR="00496389" w:rsidRPr="00DB7156" w:rsidRDefault="00496389" w:rsidP="00496389">
            <w:pPr>
              <w:spacing w:after="0"/>
              <w:rPr>
                <w:rFonts w:cs="Arial"/>
                <w:color w:val="000080"/>
                <w:szCs w:val="24"/>
              </w:rPr>
            </w:pPr>
          </w:p>
        </w:tc>
      </w:tr>
      <w:tr w:rsidR="00496389" w:rsidRPr="00DB7156" w14:paraId="2AA00BBA" w14:textId="77777777" w:rsidTr="003019E9">
        <w:tc>
          <w:tcPr>
            <w:tcW w:w="1680" w:type="dxa"/>
          </w:tcPr>
          <w:p w14:paraId="5E6F7068" w14:textId="38CC9784" w:rsidR="00496389" w:rsidRPr="00DB7156" w:rsidRDefault="00496389" w:rsidP="00496389">
            <w:pPr>
              <w:spacing w:after="0"/>
              <w:ind w:left="-90"/>
              <w:rPr>
                <w:rFonts w:cs="Arial"/>
                <w:b/>
                <w:color w:val="000080"/>
                <w:szCs w:val="24"/>
              </w:rPr>
            </w:pPr>
            <w:r w:rsidRPr="00DB7156">
              <w:rPr>
                <w:rFonts w:cs="Arial"/>
                <w:b/>
                <w:color w:val="000080"/>
                <w:szCs w:val="24"/>
              </w:rPr>
              <w:t>PM2.5</w:t>
            </w:r>
          </w:p>
        </w:tc>
        <w:tc>
          <w:tcPr>
            <w:tcW w:w="7185" w:type="dxa"/>
          </w:tcPr>
          <w:p w14:paraId="74383040" w14:textId="170FB734" w:rsidR="00496389" w:rsidRPr="00DB7156" w:rsidRDefault="00496389" w:rsidP="00496389">
            <w:pPr>
              <w:spacing w:after="0"/>
              <w:rPr>
                <w:rFonts w:cs="Arial"/>
                <w:color w:val="000080"/>
                <w:szCs w:val="24"/>
              </w:rPr>
            </w:pPr>
            <w:r w:rsidRPr="00DB7156">
              <w:rPr>
                <w:rFonts w:cs="Arial"/>
                <w:color w:val="000080"/>
                <w:szCs w:val="24"/>
              </w:rPr>
              <w:t>Particulate Matter less than 2.5 micrometers in size</w:t>
            </w:r>
          </w:p>
        </w:tc>
      </w:tr>
      <w:tr w:rsidR="00FA54A3" w:rsidRPr="00DB7156" w14:paraId="407FFE91" w14:textId="77777777" w:rsidTr="003019E9">
        <w:tc>
          <w:tcPr>
            <w:tcW w:w="1680" w:type="dxa"/>
          </w:tcPr>
          <w:p w14:paraId="215FF573" w14:textId="77777777" w:rsidR="00FA54A3" w:rsidRPr="00DB7156" w:rsidRDefault="00FA54A3" w:rsidP="00496389">
            <w:pPr>
              <w:spacing w:after="0"/>
              <w:ind w:left="-90"/>
              <w:rPr>
                <w:rFonts w:cs="Arial"/>
                <w:b/>
                <w:color w:val="000080"/>
                <w:szCs w:val="24"/>
              </w:rPr>
            </w:pPr>
          </w:p>
        </w:tc>
        <w:tc>
          <w:tcPr>
            <w:tcW w:w="7185" w:type="dxa"/>
          </w:tcPr>
          <w:p w14:paraId="79580335" w14:textId="77777777" w:rsidR="00FA54A3" w:rsidRPr="00DB7156" w:rsidRDefault="00FA54A3" w:rsidP="00496389">
            <w:pPr>
              <w:spacing w:after="0"/>
              <w:rPr>
                <w:rFonts w:cs="Arial"/>
                <w:color w:val="000080"/>
                <w:szCs w:val="24"/>
              </w:rPr>
            </w:pPr>
          </w:p>
        </w:tc>
      </w:tr>
      <w:tr w:rsidR="00496389" w:rsidRPr="00DB7156" w14:paraId="7CB04C79" w14:textId="77777777" w:rsidTr="003019E9">
        <w:tc>
          <w:tcPr>
            <w:tcW w:w="1680" w:type="dxa"/>
          </w:tcPr>
          <w:p w14:paraId="365C7A8D" w14:textId="53C4BD33" w:rsidR="00496389" w:rsidRPr="00DB7156" w:rsidRDefault="00496389" w:rsidP="00496389">
            <w:pPr>
              <w:keepNext/>
              <w:keepLines/>
              <w:spacing w:after="0"/>
              <w:ind w:left="-86"/>
              <w:rPr>
                <w:rFonts w:cs="Arial"/>
                <w:b/>
                <w:bCs/>
                <w:color w:val="000080"/>
                <w:szCs w:val="24"/>
              </w:rPr>
            </w:pPr>
            <w:r w:rsidRPr="0AF8DB6F">
              <w:rPr>
                <w:rFonts w:cs="Arial"/>
                <w:b/>
                <w:bCs/>
                <w:color w:val="000080"/>
                <w:szCs w:val="24"/>
              </w:rPr>
              <w:t>PRB</w:t>
            </w:r>
          </w:p>
        </w:tc>
        <w:tc>
          <w:tcPr>
            <w:tcW w:w="7185" w:type="dxa"/>
          </w:tcPr>
          <w:p w14:paraId="14D64F63" w14:textId="1049CD64" w:rsidR="00496389" w:rsidRPr="00DB7156" w:rsidRDefault="00496389" w:rsidP="00496389">
            <w:pPr>
              <w:spacing w:after="0"/>
              <w:rPr>
                <w:rFonts w:cs="Arial"/>
                <w:color w:val="000080"/>
                <w:szCs w:val="24"/>
              </w:rPr>
            </w:pPr>
            <w:r w:rsidRPr="0AF8DB6F">
              <w:rPr>
                <w:rFonts w:cs="Arial"/>
                <w:color w:val="000080"/>
                <w:szCs w:val="24"/>
              </w:rPr>
              <w:t>Powder River Basin Coal</w:t>
            </w:r>
          </w:p>
        </w:tc>
      </w:tr>
      <w:tr w:rsidR="00496389" w:rsidRPr="00DB7156" w14:paraId="1E65F78F" w14:textId="77777777" w:rsidTr="003019E9">
        <w:tc>
          <w:tcPr>
            <w:tcW w:w="1680" w:type="dxa"/>
          </w:tcPr>
          <w:p w14:paraId="434D8EE9" w14:textId="13C5141C" w:rsidR="00496389" w:rsidRPr="00DB7156" w:rsidRDefault="00496389" w:rsidP="00496389">
            <w:pPr>
              <w:keepNext/>
              <w:keepLines/>
              <w:spacing w:after="0"/>
              <w:ind w:left="-86"/>
              <w:rPr>
                <w:rFonts w:cs="Arial"/>
                <w:b/>
                <w:color w:val="000080"/>
                <w:szCs w:val="24"/>
              </w:rPr>
            </w:pPr>
          </w:p>
        </w:tc>
        <w:tc>
          <w:tcPr>
            <w:tcW w:w="7185" w:type="dxa"/>
          </w:tcPr>
          <w:p w14:paraId="11705B29" w14:textId="0AA14394" w:rsidR="00496389" w:rsidRPr="00DB7156" w:rsidRDefault="00496389" w:rsidP="00496389">
            <w:pPr>
              <w:spacing w:after="0"/>
              <w:rPr>
                <w:rFonts w:cs="Arial"/>
                <w:color w:val="000080"/>
                <w:szCs w:val="24"/>
              </w:rPr>
            </w:pPr>
          </w:p>
        </w:tc>
      </w:tr>
      <w:tr w:rsidR="00496389" w:rsidRPr="00DB7156" w14:paraId="7A9DA440" w14:textId="77777777" w:rsidTr="003019E9">
        <w:tc>
          <w:tcPr>
            <w:tcW w:w="1680" w:type="dxa"/>
          </w:tcPr>
          <w:p w14:paraId="48D6DD40" w14:textId="014501EC" w:rsidR="00496389" w:rsidRPr="00DB7156" w:rsidRDefault="00496389" w:rsidP="00496389">
            <w:pPr>
              <w:spacing w:after="0"/>
              <w:ind w:left="-90"/>
              <w:rPr>
                <w:rFonts w:cs="Arial"/>
                <w:b/>
                <w:color w:val="000080"/>
                <w:szCs w:val="24"/>
              </w:rPr>
            </w:pPr>
            <w:r w:rsidRPr="00DB7156">
              <w:rPr>
                <w:rFonts w:cs="Arial"/>
                <w:b/>
                <w:color w:val="000080"/>
                <w:szCs w:val="24"/>
              </w:rPr>
              <w:t>PSC</w:t>
            </w:r>
          </w:p>
        </w:tc>
        <w:tc>
          <w:tcPr>
            <w:tcW w:w="7185" w:type="dxa"/>
          </w:tcPr>
          <w:p w14:paraId="75F2B1D8" w14:textId="4AF0E256" w:rsidR="00496389" w:rsidRPr="00DB7156" w:rsidRDefault="00496389" w:rsidP="00496389">
            <w:pPr>
              <w:spacing w:after="0"/>
              <w:rPr>
                <w:rFonts w:cs="Arial"/>
                <w:color w:val="000080"/>
                <w:szCs w:val="24"/>
              </w:rPr>
            </w:pPr>
            <w:r w:rsidRPr="00DB7156">
              <w:rPr>
                <w:rFonts w:cs="Arial"/>
                <w:color w:val="000080"/>
                <w:szCs w:val="24"/>
              </w:rPr>
              <w:t>Georgia Public Service Commission</w:t>
            </w:r>
          </w:p>
        </w:tc>
      </w:tr>
      <w:tr w:rsidR="00496389" w:rsidRPr="00DB7156" w14:paraId="31A3D1C2" w14:textId="77777777" w:rsidTr="003019E9">
        <w:tc>
          <w:tcPr>
            <w:tcW w:w="1680" w:type="dxa"/>
          </w:tcPr>
          <w:p w14:paraId="0CB323F7" w14:textId="04D32201" w:rsidR="00496389" w:rsidRPr="00DB7156" w:rsidRDefault="00496389" w:rsidP="00496389">
            <w:pPr>
              <w:spacing w:after="0"/>
              <w:ind w:left="-90"/>
              <w:rPr>
                <w:rFonts w:cs="Arial"/>
                <w:b/>
                <w:color w:val="000080"/>
                <w:szCs w:val="24"/>
              </w:rPr>
            </w:pPr>
          </w:p>
        </w:tc>
        <w:tc>
          <w:tcPr>
            <w:tcW w:w="7185" w:type="dxa"/>
          </w:tcPr>
          <w:p w14:paraId="4F775FD2" w14:textId="32CC2EE5" w:rsidR="00496389" w:rsidRPr="00DB7156" w:rsidRDefault="00496389" w:rsidP="00496389">
            <w:pPr>
              <w:spacing w:after="0"/>
              <w:rPr>
                <w:rFonts w:cs="Arial"/>
                <w:color w:val="000080"/>
                <w:szCs w:val="24"/>
              </w:rPr>
            </w:pPr>
          </w:p>
        </w:tc>
      </w:tr>
      <w:tr w:rsidR="00496389" w:rsidRPr="00DB7156" w14:paraId="6EAB141E" w14:textId="77777777" w:rsidTr="003019E9">
        <w:tc>
          <w:tcPr>
            <w:tcW w:w="1680" w:type="dxa"/>
          </w:tcPr>
          <w:p w14:paraId="74B2CA7A" w14:textId="13BD77EC" w:rsidR="00496389" w:rsidRPr="00DB7156" w:rsidRDefault="00496389" w:rsidP="00496389">
            <w:pPr>
              <w:spacing w:after="0"/>
              <w:ind w:left="-90"/>
              <w:rPr>
                <w:rFonts w:cs="Arial"/>
                <w:b/>
                <w:color w:val="000080"/>
                <w:szCs w:val="24"/>
              </w:rPr>
            </w:pPr>
            <w:r>
              <w:rPr>
                <w:rFonts w:cs="Arial"/>
                <w:b/>
                <w:color w:val="000080"/>
                <w:szCs w:val="24"/>
              </w:rPr>
              <w:t>PSD</w:t>
            </w:r>
          </w:p>
        </w:tc>
        <w:tc>
          <w:tcPr>
            <w:tcW w:w="7185" w:type="dxa"/>
          </w:tcPr>
          <w:p w14:paraId="0A0EA3B5" w14:textId="481BC060" w:rsidR="00496389" w:rsidRPr="00DB7156" w:rsidRDefault="00496389" w:rsidP="00496389">
            <w:pPr>
              <w:spacing w:after="0"/>
              <w:rPr>
                <w:rFonts w:cs="Arial"/>
                <w:color w:val="000080"/>
                <w:szCs w:val="24"/>
              </w:rPr>
            </w:pPr>
            <w:r>
              <w:rPr>
                <w:rFonts w:cs="Arial"/>
                <w:color w:val="000080"/>
                <w:szCs w:val="24"/>
              </w:rPr>
              <w:t xml:space="preserve">Prevention of Significant Deterioration </w:t>
            </w:r>
          </w:p>
        </w:tc>
      </w:tr>
      <w:tr w:rsidR="00496389" w:rsidRPr="00DB7156" w14:paraId="0582A143" w14:textId="77777777" w:rsidTr="003019E9">
        <w:tc>
          <w:tcPr>
            <w:tcW w:w="1680" w:type="dxa"/>
          </w:tcPr>
          <w:p w14:paraId="342FBA09" w14:textId="5132896B" w:rsidR="00496389" w:rsidRPr="00DB7156" w:rsidRDefault="00496389" w:rsidP="00496389">
            <w:pPr>
              <w:spacing w:after="0"/>
              <w:ind w:left="-90"/>
              <w:rPr>
                <w:rFonts w:cs="Arial"/>
                <w:b/>
                <w:color w:val="000080"/>
                <w:szCs w:val="24"/>
              </w:rPr>
            </w:pPr>
          </w:p>
        </w:tc>
        <w:tc>
          <w:tcPr>
            <w:tcW w:w="7185" w:type="dxa"/>
          </w:tcPr>
          <w:p w14:paraId="2600BDEB" w14:textId="1ACE9C06" w:rsidR="00496389" w:rsidRPr="00DB7156" w:rsidRDefault="00496389" w:rsidP="00496389">
            <w:pPr>
              <w:spacing w:after="0"/>
              <w:rPr>
                <w:rFonts w:cs="Arial"/>
                <w:color w:val="000080"/>
                <w:szCs w:val="24"/>
              </w:rPr>
            </w:pPr>
          </w:p>
        </w:tc>
      </w:tr>
      <w:tr w:rsidR="00496389" w14:paraId="4B72BB22" w14:textId="77777777" w:rsidTr="003019E9">
        <w:tc>
          <w:tcPr>
            <w:tcW w:w="1680" w:type="dxa"/>
          </w:tcPr>
          <w:p w14:paraId="7F71465A" w14:textId="58F4D05C" w:rsidR="00496389" w:rsidRDefault="00496389" w:rsidP="00496389">
            <w:pPr>
              <w:spacing w:after="0"/>
              <w:ind w:left="-90"/>
              <w:rPr>
                <w:rFonts w:cs="Arial"/>
                <w:b/>
                <w:color w:val="000080"/>
                <w:szCs w:val="24"/>
              </w:rPr>
            </w:pPr>
            <w:r w:rsidRPr="00DB7156">
              <w:rPr>
                <w:rFonts w:cs="Arial"/>
                <w:b/>
                <w:color w:val="000080"/>
                <w:szCs w:val="24"/>
              </w:rPr>
              <w:t>PSES</w:t>
            </w:r>
          </w:p>
        </w:tc>
        <w:tc>
          <w:tcPr>
            <w:tcW w:w="7185" w:type="dxa"/>
          </w:tcPr>
          <w:p w14:paraId="37A4E1AF" w14:textId="2E97D92F" w:rsidR="00496389" w:rsidRDefault="00496389" w:rsidP="00496389">
            <w:pPr>
              <w:spacing w:after="0"/>
              <w:rPr>
                <w:rFonts w:cs="Arial"/>
                <w:color w:val="000080"/>
                <w:szCs w:val="24"/>
              </w:rPr>
            </w:pPr>
            <w:r w:rsidRPr="00DB7156">
              <w:rPr>
                <w:rFonts w:cs="Arial"/>
                <w:color w:val="000080"/>
                <w:szCs w:val="24"/>
              </w:rPr>
              <w:t>Pretreatment Standards for Existing Sources</w:t>
            </w:r>
          </w:p>
        </w:tc>
      </w:tr>
      <w:tr w:rsidR="00496389" w14:paraId="18F32416" w14:textId="77777777" w:rsidTr="003019E9">
        <w:tc>
          <w:tcPr>
            <w:tcW w:w="1680" w:type="dxa"/>
          </w:tcPr>
          <w:p w14:paraId="0B81E8E9" w14:textId="0FBDD287" w:rsidR="00496389" w:rsidRDefault="00496389" w:rsidP="00496389">
            <w:pPr>
              <w:spacing w:after="0"/>
              <w:ind w:left="-90"/>
              <w:rPr>
                <w:rFonts w:cs="Arial"/>
                <w:b/>
                <w:color w:val="000080"/>
                <w:szCs w:val="24"/>
              </w:rPr>
            </w:pPr>
          </w:p>
        </w:tc>
        <w:tc>
          <w:tcPr>
            <w:tcW w:w="7185" w:type="dxa"/>
          </w:tcPr>
          <w:p w14:paraId="11D0F928" w14:textId="00424DCD" w:rsidR="00496389" w:rsidRDefault="00496389" w:rsidP="00496389">
            <w:pPr>
              <w:spacing w:after="0"/>
              <w:rPr>
                <w:rFonts w:cs="Arial"/>
                <w:color w:val="000080"/>
                <w:szCs w:val="24"/>
              </w:rPr>
            </w:pPr>
          </w:p>
        </w:tc>
      </w:tr>
      <w:tr w:rsidR="00496389" w:rsidRPr="00DB7156" w14:paraId="076C56BC" w14:textId="77777777" w:rsidTr="003019E9">
        <w:tc>
          <w:tcPr>
            <w:tcW w:w="1680" w:type="dxa"/>
          </w:tcPr>
          <w:p w14:paraId="42BC2E71" w14:textId="1798353B" w:rsidR="00496389" w:rsidRPr="00DB7156" w:rsidRDefault="00496389" w:rsidP="00496389">
            <w:pPr>
              <w:spacing w:after="0"/>
              <w:ind w:left="-90"/>
              <w:rPr>
                <w:rFonts w:cs="Arial"/>
                <w:b/>
                <w:color w:val="000080"/>
                <w:szCs w:val="24"/>
              </w:rPr>
            </w:pPr>
            <w:r>
              <w:rPr>
                <w:rFonts w:cs="Arial"/>
                <w:b/>
                <w:color w:val="000080"/>
                <w:szCs w:val="24"/>
              </w:rPr>
              <w:t>R&amp;D</w:t>
            </w:r>
          </w:p>
        </w:tc>
        <w:tc>
          <w:tcPr>
            <w:tcW w:w="7185" w:type="dxa"/>
          </w:tcPr>
          <w:p w14:paraId="484E85B5" w14:textId="174C425C" w:rsidR="00496389" w:rsidRPr="00DB7156" w:rsidRDefault="00496389" w:rsidP="00496389">
            <w:pPr>
              <w:spacing w:after="0"/>
              <w:rPr>
                <w:rFonts w:cs="Arial"/>
                <w:color w:val="000080"/>
                <w:szCs w:val="24"/>
              </w:rPr>
            </w:pPr>
            <w:r>
              <w:rPr>
                <w:rFonts w:cs="Arial"/>
                <w:color w:val="000080"/>
                <w:szCs w:val="24"/>
              </w:rPr>
              <w:t xml:space="preserve">Research and Development </w:t>
            </w:r>
          </w:p>
        </w:tc>
      </w:tr>
      <w:tr w:rsidR="00496389" w:rsidRPr="00DB7156" w14:paraId="4724316B" w14:textId="77777777" w:rsidTr="003019E9">
        <w:tc>
          <w:tcPr>
            <w:tcW w:w="1680" w:type="dxa"/>
          </w:tcPr>
          <w:p w14:paraId="624825F0" w14:textId="0DE8462A" w:rsidR="00496389" w:rsidRPr="00DB7156" w:rsidRDefault="00496389" w:rsidP="00496389">
            <w:pPr>
              <w:spacing w:after="0"/>
              <w:ind w:left="-90"/>
              <w:rPr>
                <w:rFonts w:cs="Arial"/>
                <w:b/>
                <w:color w:val="000080"/>
                <w:szCs w:val="24"/>
              </w:rPr>
            </w:pPr>
          </w:p>
        </w:tc>
        <w:tc>
          <w:tcPr>
            <w:tcW w:w="7185" w:type="dxa"/>
          </w:tcPr>
          <w:p w14:paraId="04E45882" w14:textId="22D86E43" w:rsidR="00496389" w:rsidRPr="00DB7156" w:rsidRDefault="00496389" w:rsidP="00496389">
            <w:pPr>
              <w:spacing w:after="0"/>
              <w:rPr>
                <w:rFonts w:cs="Arial"/>
                <w:color w:val="000080"/>
                <w:szCs w:val="24"/>
              </w:rPr>
            </w:pPr>
          </w:p>
        </w:tc>
      </w:tr>
      <w:tr w:rsidR="00BB7E3D" w:rsidRPr="00DB7156" w14:paraId="45CA6C02" w14:textId="77777777" w:rsidTr="003019E9">
        <w:tc>
          <w:tcPr>
            <w:tcW w:w="1680" w:type="dxa"/>
          </w:tcPr>
          <w:p w14:paraId="1A884E66" w14:textId="76DF2A0A" w:rsidR="00BB7E3D" w:rsidRPr="00DB7156" w:rsidRDefault="00BB7E3D" w:rsidP="00496389">
            <w:pPr>
              <w:spacing w:after="0"/>
              <w:ind w:left="-90"/>
              <w:rPr>
                <w:rFonts w:cs="Arial"/>
                <w:b/>
                <w:color w:val="000080"/>
                <w:szCs w:val="24"/>
              </w:rPr>
            </w:pPr>
            <w:r>
              <w:rPr>
                <w:rFonts w:cs="Arial"/>
                <w:b/>
                <w:color w:val="000080"/>
                <w:szCs w:val="24"/>
              </w:rPr>
              <w:t>RFP</w:t>
            </w:r>
          </w:p>
        </w:tc>
        <w:tc>
          <w:tcPr>
            <w:tcW w:w="7185" w:type="dxa"/>
          </w:tcPr>
          <w:p w14:paraId="7A345C6B" w14:textId="03236A4D" w:rsidR="00BB7E3D" w:rsidRPr="00DB7156" w:rsidRDefault="00BB7E3D" w:rsidP="00496389">
            <w:pPr>
              <w:spacing w:after="0"/>
              <w:rPr>
                <w:rFonts w:cs="Arial"/>
                <w:color w:val="000080"/>
                <w:szCs w:val="24"/>
              </w:rPr>
            </w:pPr>
            <w:r>
              <w:rPr>
                <w:rFonts w:cs="Arial"/>
                <w:color w:val="000080"/>
                <w:szCs w:val="24"/>
              </w:rPr>
              <w:t>Request for Proposals</w:t>
            </w:r>
          </w:p>
        </w:tc>
      </w:tr>
      <w:tr w:rsidR="00BB7E3D" w:rsidRPr="00DB7156" w14:paraId="645396CD" w14:textId="77777777" w:rsidTr="003019E9">
        <w:tc>
          <w:tcPr>
            <w:tcW w:w="1680" w:type="dxa"/>
          </w:tcPr>
          <w:p w14:paraId="0EBC4839" w14:textId="77777777" w:rsidR="00BB7E3D" w:rsidRPr="00DB7156" w:rsidRDefault="00BB7E3D" w:rsidP="00496389">
            <w:pPr>
              <w:spacing w:after="0"/>
              <w:ind w:left="-90"/>
              <w:rPr>
                <w:rFonts w:cs="Arial"/>
                <w:b/>
                <w:color w:val="000080"/>
                <w:szCs w:val="24"/>
              </w:rPr>
            </w:pPr>
          </w:p>
        </w:tc>
        <w:tc>
          <w:tcPr>
            <w:tcW w:w="7185" w:type="dxa"/>
          </w:tcPr>
          <w:p w14:paraId="682B6877" w14:textId="77777777" w:rsidR="00BB7E3D" w:rsidRPr="00DB7156" w:rsidRDefault="00BB7E3D" w:rsidP="00496389">
            <w:pPr>
              <w:spacing w:after="0"/>
              <w:rPr>
                <w:rFonts w:cs="Arial"/>
                <w:color w:val="000080"/>
                <w:szCs w:val="24"/>
              </w:rPr>
            </w:pPr>
          </w:p>
        </w:tc>
      </w:tr>
      <w:tr w:rsidR="00496389" w:rsidRPr="00DB7156" w14:paraId="261B6A1D" w14:textId="77777777" w:rsidTr="003019E9">
        <w:tc>
          <w:tcPr>
            <w:tcW w:w="1680" w:type="dxa"/>
          </w:tcPr>
          <w:p w14:paraId="5288A691" w14:textId="7E44675A" w:rsidR="00496389" w:rsidRPr="00DB7156" w:rsidRDefault="00496389" w:rsidP="00496389">
            <w:pPr>
              <w:spacing w:after="0"/>
              <w:ind w:left="-90"/>
              <w:rPr>
                <w:rFonts w:cs="Arial"/>
                <w:b/>
                <w:color w:val="000080"/>
                <w:szCs w:val="24"/>
              </w:rPr>
            </w:pPr>
            <w:r w:rsidRPr="00DB7156">
              <w:rPr>
                <w:rFonts w:cs="Arial"/>
                <w:b/>
                <w:color w:val="000080"/>
                <w:szCs w:val="24"/>
              </w:rPr>
              <w:t>RCRA</w:t>
            </w:r>
          </w:p>
        </w:tc>
        <w:tc>
          <w:tcPr>
            <w:tcW w:w="7185" w:type="dxa"/>
          </w:tcPr>
          <w:p w14:paraId="5F6AFA91" w14:textId="5BC0194A" w:rsidR="00496389" w:rsidRPr="00DB7156" w:rsidRDefault="00496389" w:rsidP="00496389">
            <w:pPr>
              <w:spacing w:after="0"/>
              <w:rPr>
                <w:rFonts w:cs="Arial"/>
                <w:color w:val="000080"/>
                <w:szCs w:val="24"/>
              </w:rPr>
            </w:pPr>
            <w:r w:rsidRPr="00DB7156">
              <w:rPr>
                <w:rFonts w:cs="Arial"/>
                <w:color w:val="000080"/>
                <w:szCs w:val="24"/>
              </w:rPr>
              <w:t>Resource Conservation and Recovery Act</w:t>
            </w:r>
          </w:p>
        </w:tc>
      </w:tr>
      <w:tr w:rsidR="00496389" w:rsidRPr="00DB7156" w14:paraId="76837C7A" w14:textId="77777777" w:rsidTr="003019E9">
        <w:tc>
          <w:tcPr>
            <w:tcW w:w="1680" w:type="dxa"/>
          </w:tcPr>
          <w:p w14:paraId="47091DDE" w14:textId="5104DDA0" w:rsidR="00496389" w:rsidRPr="00DB7156" w:rsidRDefault="00496389" w:rsidP="00496389">
            <w:pPr>
              <w:spacing w:after="0"/>
              <w:ind w:left="-90"/>
              <w:rPr>
                <w:rFonts w:cs="Arial"/>
                <w:b/>
                <w:color w:val="000080"/>
                <w:szCs w:val="24"/>
              </w:rPr>
            </w:pPr>
            <w:r>
              <w:rPr>
                <w:rFonts w:cs="Arial"/>
                <w:b/>
                <w:color w:val="000080"/>
                <w:szCs w:val="24"/>
              </w:rPr>
              <w:t>RMDC</w:t>
            </w:r>
          </w:p>
        </w:tc>
        <w:tc>
          <w:tcPr>
            <w:tcW w:w="7185" w:type="dxa"/>
          </w:tcPr>
          <w:p w14:paraId="43CBA4F1" w14:textId="65A94D6E" w:rsidR="00496389" w:rsidRPr="00DB7156" w:rsidRDefault="00496389" w:rsidP="00496389">
            <w:pPr>
              <w:spacing w:after="0"/>
              <w:rPr>
                <w:rFonts w:cs="Arial"/>
                <w:color w:val="000080"/>
                <w:szCs w:val="24"/>
              </w:rPr>
            </w:pPr>
            <w:r>
              <w:rPr>
                <w:rFonts w:cs="Arial"/>
                <w:color w:val="000080"/>
                <w:szCs w:val="24"/>
              </w:rPr>
              <w:t>Remote Mechanical Drag Chain</w:t>
            </w:r>
          </w:p>
        </w:tc>
      </w:tr>
      <w:tr w:rsidR="00496389" w:rsidRPr="00DB7156" w14:paraId="5EAE3B94" w14:textId="77777777" w:rsidTr="003019E9">
        <w:tc>
          <w:tcPr>
            <w:tcW w:w="1680" w:type="dxa"/>
          </w:tcPr>
          <w:p w14:paraId="2E8D7000" w14:textId="77777777" w:rsidR="00496389" w:rsidRPr="00DB7156" w:rsidRDefault="00496389" w:rsidP="00496389">
            <w:pPr>
              <w:spacing w:after="0"/>
              <w:ind w:left="-90"/>
              <w:rPr>
                <w:rFonts w:cs="Arial"/>
                <w:b/>
                <w:color w:val="000080"/>
                <w:szCs w:val="24"/>
              </w:rPr>
            </w:pPr>
          </w:p>
        </w:tc>
        <w:tc>
          <w:tcPr>
            <w:tcW w:w="7185" w:type="dxa"/>
          </w:tcPr>
          <w:p w14:paraId="030E826D" w14:textId="77777777" w:rsidR="00496389" w:rsidRPr="00DB7156" w:rsidRDefault="00496389" w:rsidP="00496389">
            <w:pPr>
              <w:spacing w:after="0"/>
              <w:rPr>
                <w:rFonts w:cs="Arial"/>
                <w:color w:val="000080"/>
                <w:szCs w:val="24"/>
              </w:rPr>
            </w:pPr>
          </w:p>
        </w:tc>
      </w:tr>
      <w:tr w:rsidR="00496389" w:rsidRPr="00DB7156" w14:paraId="2E4352B4" w14:textId="77777777" w:rsidTr="003019E9">
        <w:tc>
          <w:tcPr>
            <w:tcW w:w="1680" w:type="dxa"/>
          </w:tcPr>
          <w:p w14:paraId="739A7E2C" w14:textId="032542FF" w:rsidR="00496389" w:rsidRPr="00DB7156" w:rsidRDefault="00496389" w:rsidP="00496389">
            <w:pPr>
              <w:spacing w:after="0"/>
              <w:ind w:left="-90"/>
              <w:rPr>
                <w:rFonts w:cs="Arial"/>
                <w:b/>
                <w:color w:val="000080"/>
                <w:szCs w:val="24"/>
              </w:rPr>
            </w:pPr>
            <w:r w:rsidRPr="00DB7156">
              <w:rPr>
                <w:rFonts w:cs="Arial"/>
                <w:b/>
                <w:color w:val="000080"/>
                <w:szCs w:val="24"/>
              </w:rPr>
              <w:t>RTR</w:t>
            </w:r>
          </w:p>
        </w:tc>
        <w:tc>
          <w:tcPr>
            <w:tcW w:w="7185" w:type="dxa"/>
          </w:tcPr>
          <w:p w14:paraId="08E758B8" w14:textId="42B184EF" w:rsidR="00496389" w:rsidRPr="00DB7156" w:rsidRDefault="00496389" w:rsidP="00496389">
            <w:pPr>
              <w:spacing w:after="0"/>
              <w:rPr>
                <w:rFonts w:cs="Arial"/>
                <w:color w:val="000080"/>
                <w:szCs w:val="24"/>
              </w:rPr>
            </w:pPr>
            <w:r w:rsidRPr="00DB7156">
              <w:rPr>
                <w:rFonts w:cs="Arial"/>
                <w:color w:val="000080"/>
                <w:szCs w:val="24"/>
              </w:rPr>
              <w:t>Risk and Technology Review</w:t>
            </w:r>
          </w:p>
        </w:tc>
      </w:tr>
      <w:tr w:rsidR="00496389" w:rsidRPr="00DB7156" w14:paraId="7CD8BA5A" w14:textId="77777777" w:rsidTr="003019E9">
        <w:tc>
          <w:tcPr>
            <w:tcW w:w="1680" w:type="dxa"/>
          </w:tcPr>
          <w:p w14:paraId="67C87E48" w14:textId="12011829" w:rsidR="00496389" w:rsidRPr="00DB7156" w:rsidRDefault="00496389" w:rsidP="00496389">
            <w:pPr>
              <w:spacing w:after="0"/>
              <w:ind w:left="-90"/>
              <w:rPr>
                <w:rFonts w:cs="Arial"/>
                <w:b/>
                <w:color w:val="000080"/>
                <w:szCs w:val="24"/>
              </w:rPr>
            </w:pPr>
          </w:p>
        </w:tc>
        <w:tc>
          <w:tcPr>
            <w:tcW w:w="7185" w:type="dxa"/>
          </w:tcPr>
          <w:p w14:paraId="11A18785" w14:textId="4F08867B" w:rsidR="00496389" w:rsidRPr="00DB7156" w:rsidRDefault="00496389" w:rsidP="00496389">
            <w:pPr>
              <w:spacing w:after="0"/>
              <w:rPr>
                <w:rFonts w:cs="Arial"/>
                <w:color w:val="000080"/>
                <w:szCs w:val="24"/>
              </w:rPr>
            </w:pPr>
          </w:p>
        </w:tc>
      </w:tr>
      <w:tr w:rsidR="00496389" w:rsidRPr="00DB7156" w14:paraId="51AFC823" w14:textId="77777777" w:rsidTr="003019E9">
        <w:tc>
          <w:tcPr>
            <w:tcW w:w="1680" w:type="dxa"/>
          </w:tcPr>
          <w:p w14:paraId="21720203" w14:textId="0EDE8A9A" w:rsidR="00496389" w:rsidRPr="00DB7156" w:rsidRDefault="00496389" w:rsidP="00496389">
            <w:pPr>
              <w:spacing w:after="0"/>
              <w:ind w:left="-90"/>
              <w:rPr>
                <w:rFonts w:cs="Arial"/>
                <w:b/>
                <w:color w:val="000080"/>
                <w:szCs w:val="24"/>
              </w:rPr>
            </w:pPr>
            <w:r w:rsidRPr="00DB7156">
              <w:rPr>
                <w:rFonts w:cs="Arial"/>
                <w:b/>
                <w:color w:val="000080"/>
                <w:szCs w:val="24"/>
              </w:rPr>
              <w:t>SCR</w:t>
            </w:r>
          </w:p>
        </w:tc>
        <w:tc>
          <w:tcPr>
            <w:tcW w:w="7185" w:type="dxa"/>
          </w:tcPr>
          <w:p w14:paraId="2DC3F58C" w14:textId="38D1DCE9" w:rsidR="00496389" w:rsidRPr="00DB7156" w:rsidRDefault="00496389" w:rsidP="00496389">
            <w:pPr>
              <w:spacing w:after="0"/>
              <w:rPr>
                <w:rFonts w:cs="Arial"/>
                <w:color w:val="000080"/>
                <w:szCs w:val="24"/>
              </w:rPr>
            </w:pPr>
            <w:r w:rsidRPr="00DB7156">
              <w:rPr>
                <w:rFonts w:cs="Arial"/>
                <w:color w:val="000080"/>
                <w:szCs w:val="24"/>
              </w:rPr>
              <w:t>Selective Catalytic Reduction</w:t>
            </w:r>
          </w:p>
        </w:tc>
      </w:tr>
      <w:tr w:rsidR="009A2963" w:rsidRPr="00DB7156" w14:paraId="655EC8D2" w14:textId="77777777" w:rsidTr="003019E9">
        <w:tc>
          <w:tcPr>
            <w:tcW w:w="1680" w:type="dxa"/>
          </w:tcPr>
          <w:p w14:paraId="02BB7A2D" w14:textId="77777777" w:rsidR="009A2963" w:rsidRPr="00DB7156" w:rsidRDefault="009A2963" w:rsidP="00496389">
            <w:pPr>
              <w:spacing w:after="0"/>
              <w:ind w:left="-90"/>
              <w:rPr>
                <w:rFonts w:cs="Arial"/>
                <w:b/>
                <w:color w:val="000080"/>
                <w:szCs w:val="24"/>
              </w:rPr>
            </w:pPr>
          </w:p>
        </w:tc>
        <w:tc>
          <w:tcPr>
            <w:tcW w:w="7185" w:type="dxa"/>
          </w:tcPr>
          <w:p w14:paraId="6D4AB06A" w14:textId="77777777" w:rsidR="009A2963" w:rsidRPr="00DB7156" w:rsidRDefault="009A2963" w:rsidP="00496389">
            <w:pPr>
              <w:spacing w:after="0"/>
              <w:rPr>
                <w:rFonts w:cs="Arial"/>
                <w:color w:val="000080"/>
                <w:szCs w:val="24"/>
              </w:rPr>
            </w:pPr>
          </w:p>
        </w:tc>
      </w:tr>
      <w:tr w:rsidR="005736E8" w:rsidRPr="00DB7156" w14:paraId="0F4088E2" w14:textId="77777777" w:rsidTr="003019E9">
        <w:tc>
          <w:tcPr>
            <w:tcW w:w="1680" w:type="dxa"/>
          </w:tcPr>
          <w:p w14:paraId="3C825C7E" w14:textId="4A33DC48" w:rsidR="005736E8" w:rsidRPr="00DB7156" w:rsidRDefault="005736E8" w:rsidP="00496389">
            <w:pPr>
              <w:spacing w:after="0"/>
              <w:ind w:left="-90"/>
              <w:rPr>
                <w:rFonts w:cs="Arial"/>
                <w:b/>
                <w:color w:val="000080"/>
                <w:szCs w:val="24"/>
              </w:rPr>
            </w:pPr>
            <w:r>
              <w:rPr>
                <w:rFonts w:cs="Arial"/>
                <w:b/>
                <w:color w:val="000080"/>
                <w:szCs w:val="24"/>
              </w:rPr>
              <w:t>SC-GHG</w:t>
            </w:r>
          </w:p>
        </w:tc>
        <w:tc>
          <w:tcPr>
            <w:tcW w:w="7185" w:type="dxa"/>
          </w:tcPr>
          <w:p w14:paraId="7023249D" w14:textId="3C7B9D80" w:rsidR="005736E8" w:rsidRPr="00DB7156" w:rsidRDefault="005736E8" w:rsidP="00496389">
            <w:pPr>
              <w:spacing w:after="0"/>
              <w:rPr>
                <w:rFonts w:cs="Arial"/>
                <w:color w:val="000080"/>
                <w:szCs w:val="24"/>
              </w:rPr>
            </w:pPr>
            <w:r>
              <w:rPr>
                <w:rFonts w:cs="Arial"/>
                <w:color w:val="000080"/>
                <w:szCs w:val="24"/>
              </w:rPr>
              <w:t>Social Cost of Greenhouse Gases</w:t>
            </w:r>
          </w:p>
        </w:tc>
      </w:tr>
      <w:tr w:rsidR="005736E8" w:rsidRPr="00DB7156" w14:paraId="3208FF02" w14:textId="77777777" w:rsidTr="003019E9">
        <w:tc>
          <w:tcPr>
            <w:tcW w:w="1680" w:type="dxa"/>
          </w:tcPr>
          <w:p w14:paraId="1F82FDE6" w14:textId="77777777" w:rsidR="005736E8" w:rsidRPr="00DB7156" w:rsidRDefault="005736E8" w:rsidP="00496389">
            <w:pPr>
              <w:spacing w:after="0"/>
              <w:ind w:left="-90"/>
              <w:rPr>
                <w:rFonts w:cs="Arial"/>
                <w:b/>
                <w:color w:val="000080"/>
                <w:szCs w:val="24"/>
              </w:rPr>
            </w:pPr>
          </w:p>
        </w:tc>
        <w:tc>
          <w:tcPr>
            <w:tcW w:w="7185" w:type="dxa"/>
          </w:tcPr>
          <w:p w14:paraId="7F531992" w14:textId="77777777" w:rsidR="005736E8" w:rsidRPr="00DB7156" w:rsidRDefault="005736E8" w:rsidP="00496389">
            <w:pPr>
              <w:spacing w:after="0"/>
              <w:rPr>
                <w:rFonts w:cs="Arial"/>
                <w:color w:val="000080"/>
                <w:szCs w:val="24"/>
              </w:rPr>
            </w:pPr>
          </w:p>
        </w:tc>
      </w:tr>
      <w:tr w:rsidR="009A2963" w:rsidRPr="00DB7156" w14:paraId="03D6C420" w14:textId="77777777" w:rsidTr="003019E9">
        <w:tc>
          <w:tcPr>
            <w:tcW w:w="1680" w:type="dxa"/>
          </w:tcPr>
          <w:p w14:paraId="2B348459" w14:textId="24BF2AD4" w:rsidR="009A2963" w:rsidRPr="00DB7156" w:rsidRDefault="009A2963" w:rsidP="00496389">
            <w:pPr>
              <w:spacing w:after="0"/>
              <w:ind w:left="-90"/>
              <w:rPr>
                <w:rFonts w:cs="Arial"/>
                <w:b/>
                <w:color w:val="000080"/>
                <w:szCs w:val="24"/>
              </w:rPr>
            </w:pPr>
            <w:r>
              <w:rPr>
                <w:rFonts w:cs="Arial"/>
                <w:b/>
                <w:color w:val="000080"/>
                <w:szCs w:val="24"/>
              </w:rPr>
              <w:t>SGC</w:t>
            </w:r>
          </w:p>
        </w:tc>
        <w:tc>
          <w:tcPr>
            <w:tcW w:w="7185" w:type="dxa"/>
          </w:tcPr>
          <w:p w14:paraId="18C6206D" w14:textId="341E450F" w:rsidR="009A2963" w:rsidRPr="00DB7156" w:rsidRDefault="00ED58C5" w:rsidP="00496389">
            <w:pPr>
              <w:spacing w:after="0"/>
              <w:rPr>
                <w:rFonts w:cs="Arial"/>
                <w:color w:val="000080"/>
                <w:szCs w:val="24"/>
              </w:rPr>
            </w:pPr>
            <w:r>
              <w:rPr>
                <w:rFonts w:cs="Arial"/>
                <w:color w:val="000080"/>
                <w:szCs w:val="24"/>
              </w:rPr>
              <w:t>Submerged Grinding Conveyor</w:t>
            </w:r>
          </w:p>
        </w:tc>
      </w:tr>
      <w:tr w:rsidR="00496389" w:rsidRPr="00DB7156" w14:paraId="7F248B64" w14:textId="77777777" w:rsidTr="003019E9">
        <w:tc>
          <w:tcPr>
            <w:tcW w:w="1680" w:type="dxa"/>
          </w:tcPr>
          <w:p w14:paraId="5F9DBD1B" w14:textId="5115EAB1" w:rsidR="00496389" w:rsidRPr="00DB7156" w:rsidRDefault="00496389" w:rsidP="00496389">
            <w:pPr>
              <w:spacing w:after="0"/>
              <w:ind w:left="-90"/>
              <w:rPr>
                <w:rFonts w:cs="Arial"/>
                <w:b/>
                <w:color w:val="000080"/>
                <w:szCs w:val="24"/>
              </w:rPr>
            </w:pPr>
          </w:p>
        </w:tc>
        <w:tc>
          <w:tcPr>
            <w:tcW w:w="7185" w:type="dxa"/>
          </w:tcPr>
          <w:p w14:paraId="416C9F35" w14:textId="50D9588C" w:rsidR="00496389" w:rsidRPr="00DB7156" w:rsidRDefault="00496389" w:rsidP="00496389">
            <w:pPr>
              <w:spacing w:after="0"/>
              <w:rPr>
                <w:rFonts w:cs="Arial"/>
                <w:color w:val="000080"/>
                <w:szCs w:val="24"/>
              </w:rPr>
            </w:pPr>
          </w:p>
        </w:tc>
      </w:tr>
      <w:tr w:rsidR="00496389" w:rsidRPr="00DB7156" w14:paraId="27F93A83" w14:textId="77777777" w:rsidTr="003019E9">
        <w:tc>
          <w:tcPr>
            <w:tcW w:w="1680" w:type="dxa"/>
          </w:tcPr>
          <w:p w14:paraId="3804850C" w14:textId="401E200A" w:rsidR="00496389" w:rsidRPr="00DB7156" w:rsidRDefault="00496389" w:rsidP="00496389">
            <w:pPr>
              <w:spacing w:after="0"/>
              <w:ind w:left="-90"/>
              <w:rPr>
                <w:rFonts w:cs="Arial"/>
                <w:b/>
                <w:color w:val="000080"/>
                <w:szCs w:val="24"/>
              </w:rPr>
            </w:pPr>
            <w:r w:rsidRPr="00DB7156">
              <w:rPr>
                <w:rFonts w:cs="Arial"/>
                <w:b/>
                <w:color w:val="000080"/>
                <w:szCs w:val="24"/>
              </w:rPr>
              <w:t>SIP</w:t>
            </w:r>
          </w:p>
        </w:tc>
        <w:tc>
          <w:tcPr>
            <w:tcW w:w="7185" w:type="dxa"/>
          </w:tcPr>
          <w:p w14:paraId="2070F1CE" w14:textId="05FAA6D2" w:rsidR="00496389" w:rsidRPr="00DB7156" w:rsidRDefault="00496389" w:rsidP="00496389">
            <w:pPr>
              <w:spacing w:after="0"/>
              <w:rPr>
                <w:rFonts w:cs="Arial"/>
                <w:color w:val="000080"/>
                <w:szCs w:val="24"/>
              </w:rPr>
            </w:pPr>
            <w:r w:rsidRPr="00DB7156">
              <w:rPr>
                <w:rFonts w:cs="Arial"/>
                <w:color w:val="000080"/>
                <w:szCs w:val="24"/>
              </w:rPr>
              <w:t>State Implementation Plan</w:t>
            </w:r>
          </w:p>
        </w:tc>
      </w:tr>
      <w:tr w:rsidR="00496389" w:rsidRPr="00DB7156" w14:paraId="400AD6DE" w14:textId="77777777" w:rsidTr="003019E9">
        <w:tc>
          <w:tcPr>
            <w:tcW w:w="1680" w:type="dxa"/>
          </w:tcPr>
          <w:p w14:paraId="0AF242D3" w14:textId="77777777" w:rsidR="00496389" w:rsidRPr="00DB7156" w:rsidRDefault="00496389" w:rsidP="00496389">
            <w:pPr>
              <w:spacing w:after="0"/>
              <w:ind w:left="-90"/>
              <w:rPr>
                <w:rFonts w:cs="Arial"/>
                <w:b/>
                <w:bCs/>
                <w:color w:val="000080"/>
                <w:szCs w:val="24"/>
              </w:rPr>
            </w:pPr>
          </w:p>
        </w:tc>
        <w:tc>
          <w:tcPr>
            <w:tcW w:w="7185" w:type="dxa"/>
          </w:tcPr>
          <w:p w14:paraId="0AFA513A" w14:textId="77777777" w:rsidR="00496389" w:rsidRPr="00DB7156" w:rsidRDefault="00496389" w:rsidP="00496389">
            <w:pPr>
              <w:spacing w:after="0"/>
              <w:rPr>
                <w:rFonts w:cs="Arial"/>
                <w:color w:val="000080"/>
                <w:szCs w:val="24"/>
              </w:rPr>
            </w:pPr>
          </w:p>
        </w:tc>
      </w:tr>
      <w:tr w:rsidR="00496389" w:rsidRPr="00DB7156" w14:paraId="26C751F9" w14:textId="77777777" w:rsidTr="003019E9">
        <w:tc>
          <w:tcPr>
            <w:tcW w:w="1680" w:type="dxa"/>
          </w:tcPr>
          <w:p w14:paraId="3AA6F1BB" w14:textId="27CB7BF1" w:rsidR="00496389" w:rsidRPr="00DB7156" w:rsidRDefault="00496389" w:rsidP="00496389">
            <w:pPr>
              <w:spacing w:after="0"/>
              <w:ind w:left="-90"/>
              <w:rPr>
                <w:rFonts w:cs="Arial"/>
                <w:b/>
                <w:bCs/>
                <w:color w:val="000080"/>
                <w:szCs w:val="24"/>
              </w:rPr>
            </w:pPr>
            <w:r w:rsidRPr="0AF8DB6F">
              <w:rPr>
                <w:rFonts w:cs="Arial"/>
                <w:b/>
                <w:bCs/>
                <w:color w:val="000080"/>
                <w:szCs w:val="24"/>
              </w:rPr>
              <w:t>SNCR</w:t>
            </w:r>
          </w:p>
        </w:tc>
        <w:tc>
          <w:tcPr>
            <w:tcW w:w="7185" w:type="dxa"/>
          </w:tcPr>
          <w:p w14:paraId="31947132" w14:textId="0217DB09" w:rsidR="00496389" w:rsidRPr="00DB7156" w:rsidRDefault="00496389" w:rsidP="00496389">
            <w:pPr>
              <w:spacing w:after="0"/>
              <w:rPr>
                <w:rFonts w:cs="Arial"/>
                <w:color w:val="000080"/>
                <w:szCs w:val="24"/>
              </w:rPr>
            </w:pPr>
            <w:r w:rsidRPr="0AF8DB6F">
              <w:rPr>
                <w:rFonts w:cs="Arial"/>
                <w:color w:val="000080"/>
                <w:szCs w:val="24"/>
              </w:rPr>
              <w:t>Selective Non-Catalytic Reduction</w:t>
            </w:r>
          </w:p>
        </w:tc>
      </w:tr>
      <w:tr w:rsidR="00496389" w:rsidRPr="00DB7156" w14:paraId="7AA711C3" w14:textId="77777777" w:rsidTr="003019E9">
        <w:tc>
          <w:tcPr>
            <w:tcW w:w="1680" w:type="dxa"/>
          </w:tcPr>
          <w:p w14:paraId="1F4682CB" w14:textId="2C9C2C5A" w:rsidR="00496389" w:rsidRPr="00DB7156" w:rsidRDefault="00496389" w:rsidP="00496389">
            <w:pPr>
              <w:spacing w:after="0"/>
              <w:ind w:left="-90"/>
              <w:rPr>
                <w:rFonts w:cs="Arial"/>
                <w:b/>
                <w:color w:val="000080"/>
                <w:szCs w:val="24"/>
              </w:rPr>
            </w:pPr>
          </w:p>
        </w:tc>
        <w:tc>
          <w:tcPr>
            <w:tcW w:w="7185" w:type="dxa"/>
          </w:tcPr>
          <w:p w14:paraId="6F1458FF" w14:textId="7E5E3ADB" w:rsidR="00496389" w:rsidRPr="00DB7156" w:rsidRDefault="00496389" w:rsidP="00496389">
            <w:pPr>
              <w:spacing w:after="0"/>
              <w:rPr>
                <w:rFonts w:cs="Arial"/>
                <w:color w:val="000080"/>
                <w:szCs w:val="24"/>
              </w:rPr>
            </w:pPr>
          </w:p>
        </w:tc>
      </w:tr>
      <w:tr w:rsidR="00496389" w:rsidRPr="00DB7156" w14:paraId="75DDD8F6" w14:textId="77777777" w:rsidTr="003019E9">
        <w:tc>
          <w:tcPr>
            <w:tcW w:w="1680" w:type="dxa"/>
          </w:tcPr>
          <w:p w14:paraId="76617207" w14:textId="0FC8A7BE" w:rsidR="00496389" w:rsidRPr="00DB7156" w:rsidRDefault="00496389" w:rsidP="00496389">
            <w:pPr>
              <w:spacing w:after="0"/>
              <w:ind w:left="-90"/>
              <w:rPr>
                <w:rFonts w:cs="Arial"/>
                <w:b/>
                <w:color w:val="000080"/>
                <w:szCs w:val="24"/>
              </w:rPr>
            </w:pPr>
            <w:r w:rsidRPr="00DB7156">
              <w:rPr>
                <w:rFonts w:cs="Arial"/>
                <w:b/>
                <w:color w:val="000080"/>
                <w:szCs w:val="24"/>
              </w:rPr>
              <w:t>SO</w:t>
            </w:r>
            <w:r w:rsidRPr="00DB7156">
              <w:rPr>
                <w:rFonts w:cs="Arial"/>
                <w:b/>
                <w:color w:val="000080"/>
                <w:szCs w:val="24"/>
                <w:vertAlign w:val="subscript"/>
              </w:rPr>
              <w:t>2</w:t>
            </w:r>
          </w:p>
        </w:tc>
        <w:tc>
          <w:tcPr>
            <w:tcW w:w="7185" w:type="dxa"/>
          </w:tcPr>
          <w:p w14:paraId="1360710E" w14:textId="3847A618" w:rsidR="00496389" w:rsidRPr="00DB7156" w:rsidRDefault="00496389" w:rsidP="00496389">
            <w:pPr>
              <w:spacing w:after="0"/>
              <w:rPr>
                <w:rFonts w:cs="Arial"/>
                <w:color w:val="000080"/>
                <w:szCs w:val="24"/>
              </w:rPr>
            </w:pPr>
            <w:r w:rsidRPr="00DB7156">
              <w:rPr>
                <w:rFonts w:cs="Arial"/>
                <w:color w:val="000080"/>
                <w:szCs w:val="24"/>
              </w:rPr>
              <w:t>Sulfur Dioxide</w:t>
            </w:r>
          </w:p>
        </w:tc>
      </w:tr>
      <w:tr w:rsidR="00496389" w:rsidRPr="00DB7156" w14:paraId="6CCE3988" w14:textId="77777777" w:rsidTr="003019E9">
        <w:tc>
          <w:tcPr>
            <w:tcW w:w="1680" w:type="dxa"/>
          </w:tcPr>
          <w:p w14:paraId="5AD93C05" w14:textId="5F3D9FF1" w:rsidR="00496389" w:rsidRPr="00DB7156" w:rsidRDefault="00496389" w:rsidP="00496389">
            <w:pPr>
              <w:spacing w:after="0"/>
              <w:ind w:left="-90"/>
              <w:rPr>
                <w:rFonts w:cs="Arial"/>
                <w:b/>
                <w:color w:val="000080"/>
                <w:szCs w:val="24"/>
              </w:rPr>
            </w:pPr>
          </w:p>
        </w:tc>
        <w:tc>
          <w:tcPr>
            <w:tcW w:w="7185" w:type="dxa"/>
          </w:tcPr>
          <w:p w14:paraId="5AE05FF6" w14:textId="5A2DD896" w:rsidR="00496389" w:rsidRPr="00DB7156" w:rsidRDefault="00496389" w:rsidP="00496389">
            <w:pPr>
              <w:spacing w:after="0"/>
              <w:rPr>
                <w:rFonts w:cs="Arial"/>
                <w:color w:val="000080"/>
                <w:szCs w:val="24"/>
              </w:rPr>
            </w:pPr>
          </w:p>
        </w:tc>
      </w:tr>
      <w:tr w:rsidR="00496389" w:rsidRPr="00DB7156" w14:paraId="48A9DCC5" w14:textId="77777777" w:rsidTr="003019E9">
        <w:tc>
          <w:tcPr>
            <w:tcW w:w="1680" w:type="dxa"/>
          </w:tcPr>
          <w:p w14:paraId="1573C71E" w14:textId="6EFFB648" w:rsidR="00496389" w:rsidRPr="00DB7156" w:rsidRDefault="00496389" w:rsidP="00496389">
            <w:pPr>
              <w:spacing w:after="0"/>
              <w:ind w:left="-90"/>
              <w:rPr>
                <w:rFonts w:cs="Arial"/>
                <w:b/>
                <w:color w:val="000080"/>
                <w:szCs w:val="24"/>
              </w:rPr>
            </w:pPr>
            <w:r w:rsidRPr="00DB7156">
              <w:rPr>
                <w:rFonts w:cs="Arial"/>
                <w:b/>
                <w:color w:val="000080"/>
                <w:szCs w:val="24"/>
              </w:rPr>
              <w:t>SSM</w:t>
            </w:r>
          </w:p>
        </w:tc>
        <w:tc>
          <w:tcPr>
            <w:tcW w:w="7185" w:type="dxa"/>
          </w:tcPr>
          <w:p w14:paraId="15AA7DD4" w14:textId="354C1E41" w:rsidR="00496389" w:rsidRPr="00DB7156" w:rsidRDefault="00496389" w:rsidP="00496389">
            <w:pPr>
              <w:spacing w:after="0"/>
              <w:rPr>
                <w:rFonts w:cs="Arial"/>
                <w:color w:val="000080"/>
                <w:szCs w:val="24"/>
              </w:rPr>
            </w:pPr>
            <w:r w:rsidRPr="00DB7156">
              <w:rPr>
                <w:rFonts w:cs="Arial"/>
                <w:color w:val="000080"/>
                <w:szCs w:val="24"/>
              </w:rPr>
              <w:t>Startup, Shutdown, Malfunction</w:t>
            </w:r>
          </w:p>
        </w:tc>
      </w:tr>
      <w:tr w:rsidR="00496389" w:rsidRPr="00DB7156" w14:paraId="0B6E4B33" w14:textId="77777777" w:rsidTr="003019E9">
        <w:tc>
          <w:tcPr>
            <w:tcW w:w="1680" w:type="dxa"/>
          </w:tcPr>
          <w:p w14:paraId="7BE5AA70" w14:textId="77777777" w:rsidR="00496389" w:rsidRPr="00DB7156" w:rsidRDefault="00496389" w:rsidP="00496389">
            <w:pPr>
              <w:spacing w:after="0"/>
              <w:ind w:left="-90"/>
              <w:rPr>
                <w:rFonts w:cs="Arial"/>
                <w:b/>
                <w:bCs/>
                <w:color w:val="000080"/>
                <w:szCs w:val="24"/>
              </w:rPr>
            </w:pPr>
          </w:p>
        </w:tc>
        <w:tc>
          <w:tcPr>
            <w:tcW w:w="7185" w:type="dxa"/>
          </w:tcPr>
          <w:p w14:paraId="34C8839F" w14:textId="77777777" w:rsidR="00496389" w:rsidRPr="00DB7156" w:rsidRDefault="00496389" w:rsidP="00496389">
            <w:pPr>
              <w:spacing w:after="0"/>
              <w:rPr>
                <w:rFonts w:cs="Arial"/>
                <w:color w:val="000080"/>
                <w:szCs w:val="24"/>
              </w:rPr>
            </w:pPr>
          </w:p>
        </w:tc>
      </w:tr>
      <w:tr w:rsidR="00496389" w:rsidRPr="00DB7156" w14:paraId="7F5955F5" w14:textId="77777777" w:rsidTr="003019E9">
        <w:tc>
          <w:tcPr>
            <w:tcW w:w="1680" w:type="dxa"/>
          </w:tcPr>
          <w:p w14:paraId="2433B4A8" w14:textId="45551FDC" w:rsidR="00496389" w:rsidRDefault="00496389" w:rsidP="00496389">
            <w:pPr>
              <w:spacing w:after="0"/>
              <w:ind w:left="-90"/>
              <w:rPr>
                <w:rFonts w:cs="Arial"/>
                <w:b/>
                <w:bCs/>
                <w:color w:val="000080"/>
                <w:szCs w:val="24"/>
              </w:rPr>
            </w:pPr>
            <w:r w:rsidRPr="0AF8DB6F">
              <w:rPr>
                <w:rFonts w:cs="Arial"/>
                <w:b/>
                <w:bCs/>
                <w:color w:val="000080"/>
                <w:szCs w:val="24"/>
              </w:rPr>
              <w:t>TWS</w:t>
            </w:r>
          </w:p>
        </w:tc>
        <w:tc>
          <w:tcPr>
            <w:tcW w:w="7185" w:type="dxa"/>
          </w:tcPr>
          <w:p w14:paraId="6EA65D61" w14:textId="5BEA4227" w:rsidR="00496389" w:rsidRDefault="00496389" w:rsidP="00496389">
            <w:pPr>
              <w:spacing w:after="0"/>
              <w:rPr>
                <w:rFonts w:cs="Arial"/>
                <w:color w:val="000080"/>
                <w:szCs w:val="24"/>
              </w:rPr>
            </w:pPr>
            <w:r w:rsidRPr="0AF8DB6F">
              <w:rPr>
                <w:rFonts w:cs="Arial"/>
                <w:color w:val="000080"/>
                <w:szCs w:val="24"/>
              </w:rPr>
              <w:t>Traveling Water Screens</w:t>
            </w:r>
          </w:p>
        </w:tc>
      </w:tr>
      <w:tr w:rsidR="00496389" w:rsidRPr="00DB7156" w14:paraId="6CBB5649" w14:textId="77777777" w:rsidTr="003019E9">
        <w:tc>
          <w:tcPr>
            <w:tcW w:w="1680" w:type="dxa"/>
          </w:tcPr>
          <w:p w14:paraId="37875898" w14:textId="3BE56B91" w:rsidR="00496389" w:rsidRPr="00DB7156" w:rsidRDefault="00496389" w:rsidP="00496389">
            <w:pPr>
              <w:spacing w:after="0"/>
              <w:ind w:left="-90"/>
              <w:rPr>
                <w:rFonts w:cs="Arial"/>
                <w:b/>
                <w:color w:val="000080"/>
                <w:szCs w:val="24"/>
              </w:rPr>
            </w:pPr>
          </w:p>
        </w:tc>
        <w:tc>
          <w:tcPr>
            <w:tcW w:w="7185" w:type="dxa"/>
          </w:tcPr>
          <w:p w14:paraId="5E5E8FB1" w14:textId="6B5C6799" w:rsidR="00496389" w:rsidRPr="00DB7156" w:rsidRDefault="00496389" w:rsidP="00496389">
            <w:pPr>
              <w:spacing w:after="0"/>
              <w:rPr>
                <w:rFonts w:cs="Arial"/>
                <w:color w:val="000080"/>
                <w:szCs w:val="24"/>
              </w:rPr>
            </w:pPr>
          </w:p>
        </w:tc>
      </w:tr>
      <w:tr w:rsidR="00496389" w:rsidRPr="00DB7156" w14:paraId="0FFB23D3" w14:textId="77777777" w:rsidTr="003019E9">
        <w:tc>
          <w:tcPr>
            <w:tcW w:w="1680" w:type="dxa"/>
          </w:tcPr>
          <w:p w14:paraId="69EA1851" w14:textId="14F05E28" w:rsidR="00496389" w:rsidRPr="00DB7156" w:rsidRDefault="00496389" w:rsidP="00496389">
            <w:pPr>
              <w:spacing w:after="0"/>
              <w:ind w:left="-90"/>
              <w:rPr>
                <w:rFonts w:cs="Arial"/>
                <w:b/>
                <w:color w:val="000080"/>
                <w:szCs w:val="24"/>
              </w:rPr>
            </w:pPr>
            <w:r>
              <w:rPr>
                <w:rFonts w:cs="Arial"/>
                <w:b/>
                <w:color w:val="000080"/>
                <w:szCs w:val="24"/>
              </w:rPr>
              <w:t>UNFCCC</w:t>
            </w:r>
          </w:p>
        </w:tc>
        <w:tc>
          <w:tcPr>
            <w:tcW w:w="7185" w:type="dxa"/>
          </w:tcPr>
          <w:p w14:paraId="54B3C78C" w14:textId="415A9FC4" w:rsidR="00496389" w:rsidRPr="00DB7156" w:rsidRDefault="00496389" w:rsidP="00496389">
            <w:pPr>
              <w:spacing w:after="0"/>
              <w:rPr>
                <w:rFonts w:cs="Arial"/>
                <w:color w:val="000080"/>
                <w:szCs w:val="24"/>
              </w:rPr>
            </w:pPr>
            <w:r>
              <w:rPr>
                <w:rFonts w:cs="Arial"/>
                <w:color w:val="000080"/>
                <w:szCs w:val="24"/>
              </w:rPr>
              <w:t xml:space="preserve">United Nations Framework Convention on Climate Change </w:t>
            </w:r>
          </w:p>
        </w:tc>
      </w:tr>
      <w:tr w:rsidR="00496389" w:rsidRPr="00DB7156" w14:paraId="6D04CAB6" w14:textId="77777777" w:rsidTr="003019E9">
        <w:tc>
          <w:tcPr>
            <w:tcW w:w="1680" w:type="dxa"/>
          </w:tcPr>
          <w:p w14:paraId="63EC82B3" w14:textId="77777777" w:rsidR="00496389" w:rsidRDefault="00496389" w:rsidP="00496389">
            <w:pPr>
              <w:spacing w:after="0"/>
              <w:ind w:left="-90"/>
              <w:rPr>
                <w:rFonts w:cs="Arial"/>
                <w:b/>
                <w:bCs/>
                <w:color w:val="000080"/>
                <w:szCs w:val="24"/>
              </w:rPr>
            </w:pPr>
          </w:p>
        </w:tc>
        <w:tc>
          <w:tcPr>
            <w:tcW w:w="7185" w:type="dxa"/>
          </w:tcPr>
          <w:p w14:paraId="035EF5B5" w14:textId="77777777" w:rsidR="00496389" w:rsidRDefault="00496389" w:rsidP="00496389">
            <w:pPr>
              <w:spacing w:after="0"/>
              <w:rPr>
                <w:rFonts w:cs="Arial"/>
                <w:color w:val="000080"/>
                <w:szCs w:val="24"/>
              </w:rPr>
            </w:pPr>
          </w:p>
        </w:tc>
      </w:tr>
      <w:tr w:rsidR="003A22EC" w:rsidRPr="00DB7156" w14:paraId="04ACAB78" w14:textId="77777777" w:rsidTr="003019E9">
        <w:tc>
          <w:tcPr>
            <w:tcW w:w="1680" w:type="dxa"/>
          </w:tcPr>
          <w:p w14:paraId="1EF70F92" w14:textId="3DCE4C30" w:rsidR="003A22EC" w:rsidRDefault="003A22EC" w:rsidP="00496389">
            <w:pPr>
              <w:spacing w:after="0"/>
              <w:ind w:left="-90"/>
              <w:rPr>
                <w:rFonts w:cs="Arial"/>
                <w:b/>
                <w:bCs/>
                <w:color w:val="000080"/>
                <w:szCs w:val="24"/>
              </w:rPr>
            </w:pPr>
            <w:r>
              <w:rPr>
                <w:rFonts w:cs="Arial"/>
                <w:b/>
                <w:bCs/>
                <w:color w:val="000080"/>
                <w:szCs w:val="24"/>
              </w:rPr>
              <w:t>URS</w:t>
            </w:r>
          </w:p>
        </w:tc>
        <w:tc>
          <w:tcPr>
            <w:tcW w:w="7185" w:type="dxa"/>
          </w:tcPr>
          <w:p w14:paraId="071D28A3" w14:textId="49085C96" w:rsidR="003A22EC" w:rsidRDefault="003A22EC" w:rsidP="00496389">
            <w:pPr>
              <w:spacing w:after="0"/>
              <w:rPr>
                <w:rFonts w:cs="Arial"/>
                <w:color w:val="000080"/>
                <w:szCs w:val="24"/>
              </w:rPr>
            </w:pPr>
            <w:r>
              <w:rPr>
                <w:rFonts w:cs="Arial"/>
                <w:color w:val="000080"/>
                <w:szCs w:val="24"/>
              </w:rPr>
              <w:t>Unit Retirement Study</w:t>
            </w:r>
          </w:p>
        </w:tc>
      </w:tr>
      <w:tr w:rsidR="003A22EC" w:rsidRPr="00DB7156" w14:paraId="69B89C2F" w14:textId="77777777" w:rsidTr="003019E9">
        <w:tc>
          <w:tcPr>
            <w:tcW w:w="1680" w:type="dxa"/>
          </w:tcPr>
          <w:p w14:paraId="214166B6" w14:textId="77777777" w:rsidR="003A22EC" w:rsidRDefault="003A22EC" w:rsidP="00496389">
            <w:pPr>
              <w:spacing w:after="0"/>
              <w:ind w:left="-90"/>
              <w:rPr>
                <w:rFonts w:cs="Arial"/>
                <w:b/>
                <w:bCs/>
                <w:color w:val="000080"/>
                <w:szCs w:val="24"/>
              </w:rPr>
            </w:pPr>
          </w:p>
        </w:tc>
        <w:tc>
          <w:tcPr>
            <w:tcW w:w="7185" w:type="dxa"/>
          </w:tcPr>
          <w:p w14:paraId="650E1E98" w14:textId="77777777" w:rsidR="003A22EC" w:rsidRDefault="003A22EC" w:rsidP="00496389">
            <w:pPr>
              <w:spacing w:after="0"/>
              <w:rPr>
                <w:rFonts w:cs="Arial"/>
                <w:color w:val="000080"/>
                <w:szCs w:val="24"/>
              </w:rPr>
            </w:pPr>
          </w:p>
        </w:tc>
      </w:tr>
      <w:tr w:rsidR="00496389" w:rsidRPr="00DB7156" w14:paraId="18A14C9B" w14:textId="77777777" w:rsidTr="003019E9">
        <w:tc>
          <w:tcPr>
            <w:tcW w:w="1680" w:type="dxa"/>
          </w:tcPr>
          <w:p w14:paraId="4ADB8EF2" w14:textId="096FAC93" w:rsidR="00496389" w:rsidRDefault="00496389" w:rsidP="00496389">
            <w:pPr>
              <w:spacing w:after="0"/>
              <w:ind w:left="-90"/>
              <w:rPr>
                <w:rFonts w:cs="Arial"/>
                <w:b/>
                <w:bCs/>
                <w:color w:val="000080"/>
                <w:szCs w:val="24"/>
              </w:rPr>
            </w:pPr>
            <w:r w:rsidRPr="0AF8DB6F">
              <w:rPr>
                <w:rFonts w:cs="Arial"/>
                <w:b/>
                <w:bCs/>
                <w:color w:val="000080"/>
                <w:szCs w:val="24"/>
              </w:rPr>
              <w:t>USFWS</w:t>
            </w:r>
          </w:p>
        </w:tc>
        <w:tc>
          <w:tcPr>
            <w:tcW w:w="7185" w:type="dxa"/>
          </w:tcPr>
          <w:p w14:paraId="6407C1C3" w14:textId="15667643" w:rsidR="00496389" w:rsidRDefault="00496389" w:rsidP="00496389">
            <w:pPr>
              <w:spacing w:after="0"/>
              <w:rPr>
                <w:rFonts w:cs="Arial"/>
                <w:color w:val="000080"/>
                <w:szCs w:val="24"/>
              </w:rPr>
            </w:pPr>
            <w:r w:rsidRPr="0AF8DB6F">
              <w:rPr>
                <w:rFonts w:cs="Arial"/>
                <w:color w:val="000080"/>
                <w:szCs w:val="24"/>
              </w:rPr>
              <w:t>U</w:t>
            </w:r>
            <w:r w:rsidR="00C231C8">
              <w:rPr>
                <w:rFonts w:cs="Arial"/>
                <w:color w:val="000080"/>
                <w:szCs w:val="24"/>
              </w:rPr>
              <w:t>.</w:t>
            </w:r>
            <w:r w:rsidRPr="0AF8DB6F">
              <w:rPr>
                <w:rFonts w:cs="Arial"/>
                <w:color w:val="000080"/>
                <w:szCs w:val="24"/>
              </w:rPr>
              <w:t>S</w:t>
            </w:r>
            <w:r w:rsidR="00C231C8">
              <w:rPr>
                <w:rFonts w:cs="Arial"/>
                <w:color w:val="000080"/>
                <w:szCs w:val="24"/>
              </w:rPr>
              <w:t>.</w:t>
            </w:r>
            <w:r w:rsidRPr="0AF8DB6F">
              <w:rPr>
                <w:rFonts w:cs="Arial"/>
                <w:color w:val="000080"/>
                <w:szCs w:val="24"/>
              </w:rPr>
              <w:t xml:space="preserve"> Fish and Wildlife Service</w:t>
            </w:r>
          </w:p>
        </w:tc>
      </w:tr>
      <w:tr w:rsidR="00496389" w:rsidRPr="00DB7156" w14:paraId="10C6ED40" w14:textId="77777777" w:rsidTr="003019E9">
        <w:tc>
          <w:tcPr>
            <w:tcW w:w="1680" w:type="dxa"/>
          </w:tcPr>
          <w:p w14:paraId="309A0096" w14:textId="02A3ACD0" w:rsidR="00496389" w:rsidRPr="00DB7156" w:rsidRDefault="00496389" w:rsidP="00496389">
            <w:pPr>
              <w:spacing w:after="0"/>
              <w:ind w:left="-90"/>
              <w:rPr>
                <w:rFonts w:cs="Arial"/>
                <w:b/>
                <w:color w:val="000080"/>
                <w:szCs w:val="24"/>
              </w:rPr>
            </w:pPr>
          </w:p>
        </w:tc>
        <w:tc>
          <w:tcPr>
            <w:tcW w:w="7185" w:type="dxa"/>
          </w:tcPr>
          <w:p w14:paraId="1F155768" w14:textId="5C295FAF" w:rsidR="00496389" w:rsidRPr="00DB7156" w:rsidRDefault="00496389" w:rsidP="00496389">
            <w:pPr>
              <w:spacing w:after="0"/>
              <w:rPr>
                <w:rFonts w:cs="Arial"/>
                <w:color w:val="000080"/>
                <w:szCs w:val="24"/>
              </w:rPr>
            </w:pPr>
          </w:p>
        </w:tc>
      </w:tr>
      <w:tr w:rsidR="00496389" w:rsidRPr="00DB7156" w14:paraId="528ED938" w14:textId="77777777" w:rsidTr="003019E9">
        <w:tc>
          <w:tcPr>
            <w:tcW w:w="1680" w:type="dxa"/>
          </w:tcPr>
          <w:p w14:paraId="3A887A21" w14:textId="177BD720" w:rsidR="00496389" w:rsidRPr="00DB7156" w:rsidRDefault="00496389" w:rsidP="00496389">
            <w:pPr>
              <w:spacing w:after="0"/>
              <w:ind w:left="-90"/>
              <w:rPr>
                <w:rFonts w:cs="Arial"/>
                <w:b/>
                <w:color w:val="000080"/>
                <w:szCs w:val="24"/>
              </w:rPr>
            </w:pPr>
            <w:r w:rsidRPr="00DB7156">
              <w:rPr>
                <w:rFonts w:cs="Arial"/>
                <w:b/>
                <w:color w:val="000080"/>
                <w:szCs w:val="24"/>
              </w:rPr>
              <w:t>USWAG</w:t>
            </w:r>
          </w:p>
        </w:tc>
        <w:tc>
          <w:tcPr>
            <w:tcW w:w="7185" w:type="dxa"/>
          </w:tcPr>
          <w:p w14:paraId="20C22193" w14:textId="5381237C" w:rsidR="00496389" w:rsidRPr="00DB7156" w:rsidRDefault="00496389" w:rsidP="00496389">
            <w:pPr>
              <w:spacing w:after="0"/>
              <w:rPr>
                <w:rFonts w:cs="Arial"/>
                <w:color w:val="000080"/>
                <w:szCs w:val="24"/>
              </w:rPr>
            </w:pPr>
            <w:r w:rsidRPr="00DB7156">
              <w:rPr>
                <w:rFonts w:cs="Arial"/>
                <w:color w:val="000080"/>
                <w:szCs w:val="24"/>
              </w:rPr>
              <w:t>Utility Solid Waste Activities Group</w:t>
            </w:r>
          </w:p>
        </w:tc>
      </w:tr>
      <w:tr w:rsidR="00496389" w:rsidRPr="00DB7156" w14:paraId="48B9053A" w14:textId="77777777" w:rsidTr="003019E9">
        <w:tc>
          <w:tcPr>
            <w:tcW w:w="1680" w:type="dxa"/>
          </w:tcPr>
          <w:p w14:paraId="4D302ADC" w14:textId="4347B7AA" w:rsidR="00496389" w:rsidRPr="00DB7156" w:rsidRDefault="00496389" w:rsidP="00496389">
            <w:pPr>
              <w:spacing w:after="0"/>
              <w:ind w:left="-90"/>
              <w:rPr>
                <w:rFonts w:cs="Arial"/>
                <w:b/>
                <w:color w:val="000080"/>
                <w:szCs w:val="24"/>
              </w:rPr>
            </w:pPr>
          </w:p>
        </w:tc>
        <w:tc>
          <w:tcPr>
            <w:tcW w:w="7185" w:type="dxa"/>
          </w:tcPr>
          <w:p w14:paraId="4BE91AE1" w14:textId="315DCD2D" w:rsidR="00496389" w:rsidRPr="00DB7156" w:rsidRDefault="00496389" w:rsidP="00496389">
            <w:pPr>
              <w:spacing w:after="0"/>
              <w:rPr>
                <w:rFonts w:cs="Arial"/>
                <w:color w:val="000080"/>
                <w:szCs w:val="24"/>
              </w:rPr>
            </w:pPr>
          </w:p>
        </w:tc>
      </w:tr>
      <w:tr w:rsidR="007D6793" w:rsidRPr="00DB7156" w14:paraId="2B656557" w14:textId="77777777" w:rsidTr="003019E9">
        <w:tc>
          <w:tcPr>
            <w:tcW w:w="1680" w:type="dxa"/>
          </w:tcPr>
          <w:p w14:paraId="50C4F7E8" w14:textId="0FE48F78" w:rsidR="007D6793" w:rsidRPr="00DB7156" w:rsidRDefault="007D6793" w:rsidP="00496389">
            <w:pPr>
              <w:spacing w:after="0"/>
              <w:ind w:left="-90"/>
              <w:rPr>
                <w:rFonts w:cs="Arial"/>
                <w:b/>
                <w:bCs/>
                <w:color w:val="000080"/>
                <w:szCs w:val="24"/>
              </w:rPr>
            </w:pPr>
            <w:r w:rsidRPr="0AF8DB6F">
              <w:rPr>
                <w:rFonts w:cs="Arial"/>
                <w:b/>
                <w:bCs/>
                <w:color w:val="000080"/>
                <w:szCs w:val="24"/>
              </w:rPr>
              <w:t>VIP</w:t>
            </w:r>
          </w:p>
        </w:tc>
        <w:tc>
          <w:tcPr>
            <w:tcW w:w="7185" w:type="dxa"/>
          </w:tcPr>
          <w:p w14:paraId="2F675CF1" w14:textId="4E6098B4" w:rsidR="007D6793" w:rsidRPr="00DB7156" w:rsidRDefault="007D6793" w:rsidP="00496389">
            <w:pPr>
              <w:spacing w:after="0"/>
              <w:rPr>
                <w:rFonts w:cs="Arial"/>
                <w:color w:val="000080"/>
                <w:szCs w:val="24"/>
              </w:rPr>
            </w:pPr>
            <w:r w:rsidRPr="0AF8DB6F">
              <w:rPr>
                <w:rFonts w:cs="Arial"/>
                <w:color w:val="000080"/>
                <w:szCs w:val="24"/>
              </w:rPr>
              <w:t>Voluntary Incentive Program</w:t>
            </w:r>
          </w:p>
        </w:tc>
      </w:tr>
      <w:tr w:rsidR="007D6793" w:rsidRPr="00DB7156" w14:paraId="1E6D45D2" w14:textId="77777777" w:rsidTr="003019E9">
        <w:tc>
          <w:tcPr>
            <w:tcW w:w="1680" w:type="dxa"/>
          </w:tcPr>
          <w:p w14:paraId="73D13368" w14:textId="388DC7DA" w:rsidR="007D6793" w:rsidRPr="00DB7156" w:rsidRDefault="007D6793" w:rsidP="00496389">
            <w:pPr>
              <w:spacing w:after="0"/>
              <w:ind w:left="-90"/>
              <w:rPr>
                <w:rFonts w:cs="Arial"/>
                <w:b/>
                <w:color w:val="000080"/>
                <w:szCs w:val="24"/>
              </w:rPr>
            </w:pPr>
          </w:p>
        </w:tc>
        <w:tc>
          <w:tcPr>
            <w:tcW w:w="7185" w:type="dxa"/>
          </w:tcPr>
          <w:p w14:paraId="3BAE07C8" w14:textId="3238DA13" w:rsidR="007D6793" w:rsidRPr="00DB7156" w:rsidRDefault="007D6793" w:rsidP="00496389">
            <w:pPr>
              <w:spacing w:after="0"/>
              <w:rPr>
                <w:rFonts w:cs="Arial"/>
                <w:color w:val="000080"/>
                <w:szCs w:val="24"/>
              </w:rPr>
            </w:pPr>
          </w:p>
        </w:tc>
      </w:tr>
      <w:tr w:rsidR="00C231C8" w:rsidRPr="00DB7156" w14:paraId="2A74D168" w14:textId="77777777" w:rsidTr="003019E9">
        <w:tc>
          <w:tcPr>
            <w:tcW w:w="1680" w:type="dxa"/>
          </w:tcPr>
          <w:p w14:paraId="29F68DFC" w14:textId="5DADC8AD" w:rsidR="00C231C8" w:rsidRPr="00DB7156" w:rsidRDefault="00C231C8" w:rsidP="00496389">
            <w:pPr>
              <w:spacing w:after="0"/>
              <w:ind w:left="-90"/>
              <w:rPr>
                <w:rFonts w:cs="Arial"/>
                <w:b/>
                <w:color w:val="000080"/>
                <w:szCs w:val="24"/>
              </w:rPr>
            </w:pPr>
            <w:r>
              <w:rPr>
                <w:rFonts w:cs="Arial"/>
                <w:b/>
                <w:color w:val="000080"/>
                <w:szCs w:val="24"/>
              </w:rPr>
              <w:t>VOC</w:t>
            </w:r>
          </w:p>
        </w:tc>
        <w:tc>
          <w:tcPr>
            <w:tcW w:w="7185" w:type="dxa"/>
          </w:tcPr>
          <w:p w14:paraId="72B1CF91" w14:textId="303758E1" w:rsidR="00C231C8" w:rsidRPr="00DB7156" w:rsidRDefault="00C231C8" w:rsidP="00496389">
            <w:pPr>
              <w:spacing w:after="0"/>
              <w:rPr>
                <w:rFonts w:cs="Arial"/>
                <w:color w:val="000080"/>
                <w:szCs w:val="24"/>
              </w:rPr>
            </w:pPr>
            <w:r>
              <w:rPr>
                <w:rFonts w:cs="Arial"/>
                <w:color w:val="000080"/>
                <w:szCs w:val="24"/>
              </w:rPr>
              <w:t>Volatile Organic Compound</w:t>
            </w:r>
          </w:p>
        </w:tc>
      </w:tr>
      <w:tr w:rsidR="00C231C8" w:rsidRPr="00DB7156" w14:paraId="6910F13A" w14:textId="77777777" w:rsidTr="003019E9">
        <w:tc>
          <w:tcPr>
            <w:tcW w:w="1680" w:type="dxa"/>
          </w:tcPr>
          <w:p w14:paraId="29C005D6" w14:textId="77777777" w:rsidR="00C231C8" w:rsidRPr="00DB7156" w:rsidRDefault="00C231C8" w:rsidP="00496389">
            <w:pPr>
              <w:spacing w:after="0"/>
              <w:ind w:left="-90"/>
              <w:rPr>
                <w:rFonts w:cs="Arial"/>
                <w:b/>
                <w:color w:val="000080"/>
                <w:szCs w:val="24"/>
              </w:rPr>
            </w:pPr>
          </w:p>
        </w:tc>
        <w:tc>
          <w:tcPr>
            <w:tcW w:w="7185" w:type="dxa"/>
          </w:tcPr>
          <w:p w14:paraId="46ACAA60" w14:textId="77777777" w:rsidR="00C231C8" w:rsidRPr="00DB7156" w:rsidRDefault="00C231C8" w:rsidP="00496389">
            <w:pPr>
              <w:spacing w:after="0"/>
              <w:rPr>
                <w:rFonts w:cs="Arial"/>
                <w:color w:val="000080"/>
                <w:szCs w:val="24"/>
              </w:rPr>
            </w:pPr>
          </w:p>
        </w:tc>
      </w:tr>
      <w:tr w:rsidR="007D6793" w:rsidRPr="00DB7156" w14:paraId="465C3125" w14:textId="77777777" w:rsidTr="003019E9">
        <w:tc>
          <w:tcPr>
            <w:tcW w:w="1680" w:type="dxa"/>
          </w:tcPr>
          <w:p w14:paraId="50D54701" w14:textId="2D414C9B" w:rsidR="007D6793" w:rsidRPr="00DB7156" w:rsidRDefault="007D6793" w:rsidP="00496389">
            <w:pPr>
              <w:spacing w:after="0"/>
              <w:ind w:left="-90"/>
              <w:rPr>
                <w:rFonts w:cs="Arial"/>
                <w:b/>
                <w:color w:val="000080"/>
                <w:szCs w:val="24"/>
              </w:rPr>
            </w:pPr>
            <w:r w:rsidRPr="00DB7156">
              <w:rPr>
                <w:rFonts w:cs="Arial"/>
                <w:b/>
                <w:color w:val="000080"/>
                <w:szCs w:val="24"/>
              </w:rPr>
              <w:t>WI</w:t>
            </w:r>
            <w:r>
              <w:rPr>
                <w:rFonts w:cs="Arial"/>
                <w:b/>
                <w:color w:val="000080"/>
                <w:szCs w:val="24"/>
              </w:rPr>
              <w:t>I</w:t>
            </w:r>
            <w:r w:rsidRPr="00DB7156">
              <w:rPr>
                <w:rFonts w:cs="Arial"/>
                <w:b/>
                <w:color w:val="000080"/>
                <w:szCs w:val="24"/>
              </w:rPr>
              <w:t>N Act</w:t>
            </w:r>
          </w:p>
        </w:tc>
        <w:tc>
          <w:tcPr>
            <w:tcW w:w="7185" w:type="dxa"/>
          </w:tcPr>
          <w:p w14:paraId="2111E3C8" w14:textId="3D24B445" w:rsidR="007D6793" w:rsidRPr="00DB7156" w:rsidRDefault="007D6793" w:rsidP="00496389">
            <w:pPr>
              <w:spacing w:after="0"/>
              <w:rPr>
                <w:rFonts w:cs="Arial"/>
                <w:color w:val="000080"/>
              </w:rPr>
            </w:pPr>
            <w:r w:rsidRPr="00DB7156">
              <w:rPr>
                <w:rFonts w:cs="Arial"/>
                <w:color w:val="000080"/>
                <w:szCs w:val="24"/>
              </w:rPr>
              <w:t>Water Infrastructure Improvements for the Nation Act</w:t>
            </w:r>
          </w:p>
        </w:tc>
      </w:tr>
      <w:tr w:rsidR="007D6793" w:rsidRPr="00DB7156" w14:paraId="722DD529" w14:textId="77777777" w:rsidTr="003019E9">
        <w:tc>
          <w:tcPr>
            <w:tcW w:w="1680" w:type="dxa"/>
          </w:tcPr>
          <w:p w14:paraId="3DBEAC01" w14:textId="512D4EF2" w:rsidR="007D6793" w:rsidRPr="00DB7156" w:rsidRDefault="007D6793" w:rsidP="00496389">
            <w:pPr>
              <w:spacing w:after="0"/>
              <w:ind w:left="-90"/>
              <w:rPr>
                <w:rFonts w:cs="Arial"/>
                <w:b/>
                <w:color w:val="000080"/>
                <w:szCs w:val="24"/>
              </w:rPr>
            </w:pPr>
          </w:p>
        </w:tc>
        <w:tc>
          <w:tcPr>
            <w:tcW w:w="7185" w:type="dxa"/>
          </w:tcPr>
          <w:p w14:paraId="56D98771" w14:textId="69F03DD2" w:rsidR="007D6793" w:rsidRPr="00DB7156" w:rsidRDefault="007D6793" w:rsidP="00496389">
            <w:pPr>
              <w:spacing w:after="0"/>
              <w:rPr>
                <w:rFonts w:cs="Arial"/>
                <w:color w:val="000080"/>
                <w:szCs w:val="24"/>
              </w:rPr>
            </w:pPr>
          </w:p>
        </w:tc>
      </w:tr>
      <w:tr w:rsidR="007D6793" w:rsidRPr="00DB7156" w14:paraId="6B9CB25E" w14:textId="77777777" w:rsidTr="003019E9">
        <w:tc>
          <w:tcPr>
            <w:tcW w:w="1680" w:type="dxa"/>
          </w:tcPr>
          <w:p w14:paraId="6357814D" w14:textId="79AC814A" w:rsidR="007D6793" w:rsidRPr="00DB7156" w:rsidRDefault="007D6793" w:rsidP="00496389">
            <w:pPr>
              <w:spacing w:after="0"/>
              <w:ind w:left="-90"/>
              <w:rPr>
                <w:rFonts w:cs="Arial"/>
                <w:b/>
                <w:color w:val="000080"/>
                <w:szCs w:val="24"/>
              </w:rPr>
            </w:pPr>
            <w:r w:rsidRPr="00DB7156">
              <w:rPr>
                <w:rFonts w:cs="Arial"/>
                <w:b/>
                <w:color w:val="000080"/>
                <w:szCs w:val="24"/>
              </w:rPr>
              <w:t>WOTUS</w:t>
            </w:r>
          </w:p>
        </w:tc>
        <w:tc>
          <w:tcPr>
            <w:tcW w:w="7185" w:type="dxa"/>
          </w:tcPr>
          <w:p w14:paraId="2F08471B" w14:textId="69E8FB33" w:rsidR="007D6793" w:rsidRPr="00DB7156" w:rsidRDefault="007D6793" w:rsidP="00496389">
            <w:pPr>
              <w:spacing w:after="0"/>
              <w:rPr>
                <w:rFonts w:cs="Arial"/>
                <w:color w:val="000080"/>
                <w:szCs w:val="24"/>
              </w:rPr>
            </w:pPr>
            <w:r w:rsidRPr="00DB7156">
              <w:rPr>
                <w:rFonts w:cs="Arial"/>
                <w:color w:val="000080"/>
                <w:szCs w:val="24"/>
              </w:rPr>
              <w:t>Waters of the U.S.</w:t>
            </w:r>
          </w:p>
        </w:tc>
      </w:tr>
      <w:tr w:rsidR="007D6793" w:rsidRPr="00DB7156" w14:paraId="06EE7375" w14:textId="77777777" w:rsidTr="003019E9">
        <w:tc>
          <w:tcPr>
            <w:tcW w:w="1680" w:type="dxa"/>
          </w:tcPr>
          <w:p w14:paraId="7573BF00" w14:textId="408088D7" w:rsidR="007D6793" w:rsidRPr="00DB7156" w:rsidRDefault="007D6793" w:rsidP="00496389">
            <w:pPr>
              <w:spacing w:after="0"/>
              <w:ind w:left="-90"/>
              <w:rPr>
                <w:rFonts w:cs="Arial"/>
                <w:b/>
                <w:color w:val="000080"/>
                <w:szCs w:val="24"/>
              </w:rPr>
            </w:pPr>
          </w:p>
        </w:tc>
        <w:tc>
          <w:tcPr>
            <w:tcW w:w="7185" w:type="dxa"/>
          </w:tcPr>
          <w:p w14:paraId="747350C4" w14:textId="1E0E7AFF" w:rsidR="007D6793" w:rsidRPr="00DB7156" w:rsidRDefault="007D6793" w:rsidP="00496389">
            <w:pPr>
              <w:spacing w:after="0"/>
              <w:rPr>
                <w:rFonts w:cs="Arial"/>
                <w:color w:val="000080"/>
                <w:szCs w:val="24"/>
              </w:rPr>
            </w:pPr>
          </w:p>
        </w:tc>
      </w:tr>
      <w:tr w:rsidR="007D6793" w:rsidRPr="00DB7156" w14:paraId="12F5FD79" w14:textId="77777777" w:rsidTr="003019E9">
        <w:tc>
          <w:tcPr>
            <w:tcW w:w="1680" w:type="dxa"/>
          </w:tcPr>
          <w:p w14:paraId="04CFF38C" w14:textId="326BC713" w:rsidR="007D6793" w:rsidRPr="00DB7156" w:rsidRDefault="007D6793" w:rsidP="00496389">
            <w:pPr>
              <w:spacing w:after="0"/>
              <w:ind w:left="-90"/>
              <w:rPr>
                <w:rFonts w:cs="Arial"/>
                <w:b/>
                <w:color w:val="000080"/>
                <w:szCs w:val="24"/>
              </w:rPr>
            </w:pPr>
            <w:r>
              <w:rPr>
                <w:rFonts w:cs="Arial"/>
                <w:b/>
                <w:color w:val="000080"/>
                <w:szCs w:val="24"/>
              </w:rPr>
              <w:t>WRC</w:t>
            </w:r>
          </w:p>
        </w:tc>
        <w:tc>
          <w:tcPr>
            <w:tcW w:w="7185" w:type="dxa"/>
          </w:tcPr>
          <w:p w14:paraId="38BF037F" w14:textId="6BC0FB31" w:rsidR="007D6793" w:rsidRPr="00DB7156" w:rsidRDefault="007D6793" w:rsidP="00496389">
            <w:pPr>
              <w:spacing w:after="0"/>
              <w:rPr>
                <w:rFonts w:cs="Arial"/>
                <w:color w:val="000080"/>
                <w:szCs w:val="24"/>
              </w:rPr>
            </w:pPr>
            <w:r>
              <w:rPr>
                <w:rFonts w:cs="Arial"/>
                <w:color w:val="000080"/>
                <w:szCs w:val="24"/>
              </w:rPr>
              <w:t>Water Research Center</w:t>
            </w:r>
          </w:p>
        </w:tc>
      </w:tr>
      <w:tr w:rsidR="007D6793" w:rsidRPr="00DB7156" w14:paraId="640FBC5C" w14:textId="77777777" w:rsidTr="003019E9">
        <w:tc>
          <w:tcPr>
            <w:tcW w:w="1680" w:type="dxa"/>
          </w:tcPr>
          <w:p w14:paraId="540EF78F" w14:textId="2C9148C7" w:rsidR="007D6793" w:rsidRPr="00DB7156" w:rsidRDefault="007D6793" w:rsidP="00496389">
            <w:pPr>
              <w:spacing w:after="0"/>
              <w:ind w:left="-90"/>
              <w:rPr>
                <w:rFonts w:cs="Arial"/>
                <w:b/>
                <w:color w:val="000080"/>
                <w:szCs w:val="24"/>
              </w:rPr>
            </w:pPr>
          </w:p>
        </w:tc>
        <w:tc>
          <w:tcPr>
            <w:tcW w:w="7185" w:type="dxa"/>
          </w:tcPr>
          <w:p w14:paraId="5D3C0EC6" w14:textId="445D102A" w:rsidR="007D6793" w:rsidRPr="00DB7156" w:rsidRDefault="007D6793" w:rsidP="00496389">
            <w:pPr>
              <w:spacing w:after="0"/>
              <w:rPr>
                <w:rFonts w:cs="Arial"/>
                <w:color w:val="000080"/>
                <w:szCs w:val="24"/>
              </w:rPr>
            </w:pPr>
          </w:p>
        </w:tc>
      </w:tr>
      <w:tr w:rsidR="007D6793" w:rsidRPr="00DB7156" w14:paraId="60DD86AF" w14:textId="77777777" w:rsidTr="003019E9">
        <w:tc>
          <w:tcPr>
            <w:tcW w:w="1680" w:type="dxa"/>
          </w:tcPr>
          <w:p w14:paraId="363876A7" w14:textId="445E4E45" w:rsidR="007D6793" w:rsidRPr="00DB7156" w:rsidRDefault="007D6793" w:rsidP="00496389">
            <w:pPr>
              <w:spacing w:after="0"/>
              <w:ind w:left="-90"/>
              <w:rPr>
                <w:rFonts w:cs="Arial"/>
                <w:b/>
                <w:color w:val="000080"/>
                <w:szCs w:val="24"/>
              </w:rPr>
            </w:pPr>
            <w:r>
              <w:rPr>
                <w:rFonts w:cs="Arial"/>
                <w:b/>
                <w:color w:val="000080"/>
                <w:szCs w:val="24"/>
              </w:rPr>
              <w:t>WRCC</w:t>
            </w:r>
          </w:p>
        </w:tc>
        <w:tc>
          <w:tcPr>
            <w:tcW w:w="7185" w:type="dxa"/>
          </w:tcPr>
          <w:p w14:paraId="2F2CB30B" w14:textId="70ED8315" w:rsidR="007D6793" w:rsidRPr="00DB7156" w:rsidRDefault="007D6793" w:rsidP="00496389">
            <w:pPr>
              <w:spacing w:after="0"/>
              <w:rPr>
                <w:rFonts w:cs="Arial"/>
                <w:color w:val="000080"/>
                <w:szCs w:val="24"/>
              </w:rPr>
            </w:pPr>
            <w:r>
              <w:rPr>
                <w:rFonts w:cs="Arial"/>
                <w:color w:val="000080"/>
                <w:szCs w:val="24"/>
              </w:rPr>
              <w:t>Water Research and Conservation Center</w:t>
            </w:r>
          </w:p>
        </w:tc>
      </w:tr>
    </w:tbl>
    <w:p w14:paraId="6A81D8B6" w14:textId="2EF47BF8" w:rsidR="004C3F56" w:rsidRDefault="004C3F56">
      <w:pPr>
        <w:rPr>
          <w:rFonts w:cs="Arial"/>
          <w:bCs/>
          <w:color w:val="000000"/>
          <w:szCs w:val="24"/>
        </w:rPr>
      </w:pPr>
    </w:p>
    <w:p w14:paraId="7444B7E0" w14:textId="77777777" w:rsidR="004C3F56" w:rsidRDefault="004C3F56">
      <w:pPr>
        <w:spacing w:after="160" w:line="259" w:lineRule="auto"/>
        <w:jc w:val="left"/>
        <w:rPr>
          <w:rFonts w:cs="Arial"/>
          <w:bCs/>
          <w:color w:val="000000"/>
          <w:szCs w:val="24"/>
        </w:rPr>
      </w:pPr>
      <w:r>
        <w:rPr>
          <w:rFonts w:cs="Arial"/>
          <w:bCs/>
          <w:color w:val="000000"/>
          <w:szCs w:val="24"/>
        </w:rPr>
        <w:br w:type="page"/>
      </w:r>
    </w:p>
    <w:p w14:paraId="3F5159F2" w14:textId="77777777" w:rsidR="00247CBA" w:rsidRDefault="00247CBA">
      <w:pPr>
        <w:rPr>
          <w:rFonts w:cs="Arial"/>
          <w:bCs/>
          <w:color w:val="000000"/>
          <w:szCs w:val="24"/>
        </w:rPr>
      </w:pPr>
    </w:p>
    <w:p w14:paraId="1263B8A1" w14:textId="45EE1591" w:rsidR="00247CBA" w:rsidRPr="00DB7156" w:rsidRDefault="00247CBA" w:rsidP="00247CBA">
      <w:pPr>
        <w:spacing w:after="0"/>
        <w:outlineLvl w:val="0"/>
        <w:rPr>
          <w:rFonts w:cs="Arial"/>
          <w:b/>
          <w:color w:val="000080"/>
          <w:szCs w:val="24"/>
        </w:rPr>
      </w:pPr>
      <w:bookmarkStart w:id="81" w:name="_Toc94197923"/>
      <w:r w:rsidRPr="00DB7156">
        <w:rPr>
          <w:rFonts w:cs="Arial"/>
          <w:b/>
          <w:color w:val="000080"/>
          <w:szCs w:val="24"/>
        </w:rPr>
        <w:t xml:space="preserve">ECS-APPENDIX </w:t>
      </w:r>
      <w:r>
        <w:rPr>
          <w:rFonts w:cs="Arial"/>
          <w:b/>
          <w:color w:val="000080"/>
          <w:szCs w:val="24"/>
        </w:rPr>
        <w:t>B</w:t>
      </w:r>
      <w:bookmarkEnd w:id="81"/>
    </w:p>
    <w:p w14:paraId="6A5D692D" w14:textId="77777777" w:rsidR="003C37F7" w:rsidRPr="00DB7156" w:rsidRDefault="003C37F7" w:rsidP="003C37F7">
      <w:pPr>
        <w:spacing w:after="0"/>
        <w:rPr>
          <w:rFonts w:cs="Arial"/>
          <w:b/>
          <w:caps/>
          <w:color w:val="000080"/>
          <w:szCs w:val="24"/>
          <w:u w:val="single"/>
        </w:rPr>
      </w:pPr>
      <w:r w:rsidRPr="00DB7156">
        <w:rPr>
          <w:rFonts w:cs="Arial"/>
          <w:b/>
          <w:caps/>
          <w:color w:val="000080"/>
          <w:szCs w:val="24"/>
          <w:u w:val="single"/>
        </w:rPr>
        <w:t>envrionmental Control Alternatives</w:t>
      </w:r>
    </w:p>
    <w:p w14:paraId="1C98C3C8" w14:textId="77777777" w:rsidR="003C37F7" w:rsidRPr="00DB7156" w:rsidRDefault="003C37F7" w:rsidP="003C37F7">
      <w:pPr>
        <w:spacing w:after="0"/>
        <w:rPr>
          <w:rFonts w:cs="Arial"/>
          <w:color w:val="000080"/>
          <w:sz w:val="18"/>
          <w:szCs w:val="24"/>
          <w:u w:val="single"/>
        </w:rPr>
      </w:pPr>
    </w:p>
    <w:p w14:paraId="2B9BA0BB" w14:textId="77777777" w:rsidR="003C37F7" w:rsidRPr="00DB7156" w:rsidRDefault="003C37F7" w:rsidP="003C37F7">
      <w:pPr>
        <w:spacing w:after="0"/>
        <w:rPr>
          <w:rFonts w:cs="Arial"/>
          <w:b/>
          <w:color w:val="000080"/>
          <w:szCs w:val="24"/>
        </w:rPr>
      </w:pPr>
      <w:r w:rsidRPr="00DB7156">
        <w:rPr>
          <w:rFonts w:cs="Arial"/>
          <w:b/>
          <w:color w:val="000080"/>
          <w:szCs w:val="24"/>
        </w:rPr>
        <w:t>INDEX</w:t>
      </w:r>
    </w:p>
    <w:p w14:paraId="0C71EDF1" w14:textId="77777777" w:rsidR="003C37F7" w:rsidRPr="00DB7156" w:rsidRDefault="003C37F7" w:rsidP="003C37F7">
      <w:pPr>
        <w:spacing w:after="0"/>
        <w:rPr>
          <w:rFonts w:cs="Arial"/>
          <w:b/>
          <w:color w:val="333399"/>
          <w:sz w:val="18"/>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770"/>
      </w:tblGrid>
      <w:tr w:rsidR="003C37F7" w:rsidRPr="00DB7156" w14:paraId="2B795A36" w14:textId="77777777" w:rsidTr="00C7260E">
        <w:tc>
          <w:tcPr>
            <w:tcW w:w="1086" w:type="dxa"/>
          </w:tcPr>
          <w:p w14:paraId="09C1FF62" w14:textId="77777777" w:rsidR="003C37F7" w:rsidRPr="00DB7156" w:rsidRDefault="003C37F7" w:rsidP="00C7260E">
            <w:pPr>
              <w:spacing w:after="0"/>
              <w:rPr>
                <w:rFonts w:cs="Arial"/>
                <w:color w:val="000080"/>
                <w:szCs w:val="24"/>
              </w:rPr>
            </w:pPr>
            <w:r w:rsidRPr="00DB7156">
              <w:rPr>
                <w:rFonts w:cs="Arial"/>
                <w:color w:val="000080"/>
                <w:szCs w:val="24"/>
              </w:rPr>
              <w:t>I.</w:t>
            </w:r>
          </w:p>
        </w:tc>
        <w:tc>
          <w:tcPr>
            <w:tcW w:w="7770" w:type="dxa"/>
          </w:tcPr>
          <w:p w14:paraId="726F1B5B" w14:textId="77777777" w:rsidR="003C37F7" w:rsidRPr="00DB7156" w:rsidRDefault="003C37F7" w:rsidP="00C7260E">
            <w:pPr>
              <w:spacing w:after="0"/>
              <w:rPr>
                <w:rFonts w:cs="Arial"/>
                <w:b/>
                <w:color w:val="000080"/>
                <w:szCs w:val="24"/>
              </w:rPr>
            </w:pPr>
            <w:r w:rsidRPr="00DB7156">
              <w:rPr>
                <w:rFonts w:cs="Arial"/>
                <w:color w:val="000080"/>
                <w:szCs w:val="24"/>
              </w:rPr>
              <w:t>Selective Catalytic Reduction (SCR)</w:t>
            </w:r>
          </w:p>
        </w:tc>
      </w:tr>
      <w:tr w:rsidR="003C37F7" w:rsidRPr="00DB7156" w14:paraId="1BE6119B" w14:textId="77777777" w:rsidTr="00C7260E">
        <w:tc>
          <w:tcPr>
            <w:tcW w:w="1086" w:type="dxa"/>
          </w:tcPr>
          <w:p w14:paraId="69868FAC" w14:textId="77777777" w:rsidR="003C37F7" w:rsidRPr="00DB7156" w:rsidRDefault="003C37F7" w:rsidP="00C7260E">
            <w:pPr>
              <w:spacing w:after="0"/>
              <w:rPr>
                <w:rFonts w:cs="Arial"/>
                <w:color w:val="000080"/>
                <w:szCs w:val="24"/>
              </w:rPr>
            </w:pPr>
          </w:p>
        </w:tc>
        <w:tc>
          <w:tcPr>
            <w:tcW w:w="7770" w:type="dxa"/>
          </w:tcPr>
          <w:p w14:paraId="6A42B351" w14:textId="77777777" w:rsidR="003C37F7" w:rsidRPr="00DB7156" w:rsidRDefault="003C37F7" w:rsidP="00C7260E">
            <w:pPr>
              <w:spacing w:after="0"/>
              <w:rPr>
                <w:rFonts w:cs="Arial"/>
                <w:b/>
                <w:color w:val="000080"/>
                <w:szCs w:val="24"/>
              </w:rPr>
            </w:pPr>
          </w:p>
        </w:tc>
      </w:tr>
      <w:tr w:rsidR="003C37F7" w:rsidRPr="00DB7156" w14:paraId="141C3506" w14:textId="77777777" w:rsidTr="00C7260E">
        <w:tc>
          <w:tcPr>
            <w:tcW w:w="1086" w:type="dxa"/>
          </w:tcPr>
          <w:p w14:paraId="643E1F5A" w14:textId="77777777" w:rsidR="003C37F7" w:rsidRPr="00DB7156" w:rsidRDefault="003C37F7" w:rsidP="00C7260E">
            <w:pPr>
              <w:spacing w:after="0"/>
              <w:rPr>
                <w:rFonts w:cs="Arial"/>
                <w:color w:val="000080"/>
                <w:szCs w:val="24"/>
              </w:rPr>
            </w:pPr>
            <w:r w:rsidRPr="00DB7156">
              <w:rPr>
                <w:rFonts w:cs="Arial"/>
                <w:color w:val="000080"/>
                <w:szCs w:val="24"/>
              </w:rPr>
              <w:t>II.</w:t>
            </w:r>
          </w:p>
        </w:tc>
        <w:tc>
          <w:tcPr>
            <w:tcW w:w="7770" w:type="dxa"/>
          </w:tcPr>
          <w:p w14:paraId="3E45BACE" w14:textId="77777777" w:rsidR="003C37F7" w:rsidRPr="00DB7156" w:rsidRDefault="003C37F7" w:rsidP="00C7260E">
            <w:pPr>
              <w:spacing w:after="0"/>
              <w:rPr>
                <w:rFonts w:cs="Arial"/>
                <w:color w:val="000080"/>
                <w:szCs w:val="24"/>
              </w:rPr>
            </w:pPr>
            <w:r w:rsidRPr="00DB7156">
              <w:rPr>
                <w:rFonts w:cs="Arial"/>
                <w:color w:val="000080"/>
                <w:szCs w:val="24"/>
              </w:rPr>
              <w:t>Selective Noncatalytic Reduction (SNCR)</w:t>
            </w:r>
          </w:p>
        </w:tc>
      </w:tr>
      <w:tr w:rsidR="003C37F7" w:rsidRPr="00DB7156" w14:paraId="44824E61" w14:textId="77777777" w:rsidTr="00C7260E">
        <w:tc>
          <w:tcPr>
            <w:tcW w:w="1086" w:type="dxa"/>
          </w:tcPr>
          <w:p w14:paraId="192AE5E6" w14:textId="77777777" w:rsidR="003C37F7" w:rsidRPr="00DB7156" w:rsidRDefault="003C37F7" w:rsidP="00C7260E">
            <w:pPr>
              <w:spacing w:after="0"/>
              <w:rPr>
                <w:rFonts w:cs="Arial"/>
                <w:color w:val="000080"/>
                <w:szCs w:val="24"/>
              </w:rPr>
            </w:pPr>
          </w:p>
        </w:tc>
        <w:tc>
          <w:tcPr>
            <w:tcW w:w="7770" w:type="dxa"/>
          </w:tcPr>
          <w:p w14:paraId="1DC25D4E" w14:textId="77777777" w:rsidR="003C37F7" w:rsidRPr="00DB7156" w:rsidRDefault="003C37F7" w:rsidP="00C7260E">
            <w:pPr>
              <w:spacing w:after="0"/>
              <w:rPr>
                <w:rFonts w:cs="Arial"/>
                <w:b/>
                <w:color w:val="000080"/>
                <w:szCs w:val="24"/>
              </w:rPr>
            </w:pPr>
          </w:p>
        </w:tc>
      </w:tr>
      <w:tr w:rsidR="003C37F7" w:rsidRPr="00DB7156" w14:paraId="54B6F680" w14:textId="77777777" w:rsidTr="00C7260E">
        <w:tc>
          <w:tcPr>
            <w:tcW w:w="1086" w:type="dxa"/>
          </w:tcPr>
          <w:p w14:paraId="5605BF4C" w14:textId="77777777" w:rsidR="003C37F7" w:rsidRPr="00DB7156" w:rsidRDefault="003C37F7" w:rsidP="00C7260E">
            <w:pPr>
              <w:spacing w:after="0"/>
              <w:rPr>
                <w:rFonts w:cs="Arial"/>
                <w:color w:val="000080"/>
                <w:szCs w:val="24"/>
              </w:rPr>
            </w:pPr>
            <w:r w:rsidRPr="00DB7156">
              <w:rPr>
                <w:rFonts w:cs="Arial"/>
                <w:color w:val="000080"/>
                <w:szCs w:val="24"/>
              </w:rPr>
              <w:t>III</w:t>
            </w:r>
          </w:p>
        </w:tc>
        <w:tc>
          <w:tcPr>
            <w:tcW w:w="7770" w:type="dxa"/>
          </w:tcPr>
          <w:p w14:paraId="35889B34" w14:textId="77777777" w:rsidR="003C37F7" w:rsidRPr="00DB7156" w:rsidRDefault="003C37F7" w:rsidP="00C7260E">
            <w:pPr>
              <w:spacing w:after="0"/>
              <w:rPr>
                <w:rFonts w:cs="Arial"/>
                <w:color w:val="000080"/>
                <w:szCs w:val="24"/>
              </w:rPr>
            </w:pPr>
            <w:r w:rsidRPr="00DB7156">
              <w:rPr>
                <w:rFonts w:cs="Arial"/>
                <w:color w:val="000080"/>
                <w:szCs w:val="24"/>
              </w:rPr>
              <w:t>Fuel Switch to Natural Gas</w:t>
            </w:r>
          </w:p>
        </w:tc>
      </w:tr>
      <w:tr w:rsidR="003C37F7" w:rsidRPr="00DB7156" w14:paraId="0D52ADC2" w14:textId="77777777" w:rsidTr="00C7260E">
        <w:tc>
          <w:tcPr>
            <w:tcW w:w="1086" w:type="dxa"/>
          </w:tcPr>
          <w:p w14:paraId="0A1B79D3" w14:textId="77777777" w:rsidR="003C37F7" w:rsidRPr="00DB7156" w:rsidRDefault="003C37F7" w:rsidP="00C7260E">
            <w:pPr>
              <w:spacing w:after="0"/>
              <w:rPr>
                <w:rFonts w:cs="Arial"/>
                <w:color w:val="000080"/>
                <w:szCs w:val="24"/>
              </w:rPr>
            </w:pPr>
          </w:p>
        </w:tc>
        <w:tc>
          <w:tcPr>
            <w:tcW w:w="7770" w:type="dxa"/>
          </w:tcPr>
          <w:p w14:paraId="5B1D47A7" w14:textId="77777777" w:rsidR="003C37F7" w:rsidRPr="00DB7156" w:rsidRDefault="003C37F7" w:rsidP="00C7260E">
            <w:pPr>
              <w:spacing w:after="0"/>
              <w:rPr>
                <w:rFonts w:cs="Arial"/>
                <w:b/>
                <w:color w:val="000080"/>
                <w:szCs w:val="24"/>
              </w:rPr>
            </w:pPr>
          </w:p>
        </w:tc>
      </w:tr>
      <w:tr w:rsidR="003C37F7" w:rsidRPr="00DB7156" w14:paraId="05DF8B3A" w14:textId="77777777" w:rsidTr="00C7260E">
        <w:tc>
          <w:tcPr>
            <w:tcW w:w="1086" w:type="dxa"/>
          </w:tcPr>
          <w:p w14:paraId="37E0A805" w14:textId="77777777" w:rsidR="003C37F7" w:rsidRPr="00DB7156" w:rsidRDefault="003C37F7" w:rsidP="00C7260E">
            <w:pPr>
              <w:spacing w:after="0"/>
              <w:rPr>
                <w:rFonts w:cs="Arial"/>
                <w:color w:val="000080"/>
                <w:szCs w:val="24"/>
              </w:rPr>
            </w:pPr>
            <w:r w:rsidRPr="00DB7156">
              <w:rPr>
                <w:rFonts w:cs="Arial"/>
                <w:color w:val="000080"/>
                <w:szCs w:val="24"/>
              </w:rPr>
              <w:t>IV.</w:t>
            </w:r>
          </w:p>
        </w:tc>
        <w:tc>
          <w:tcPr>
            <w:tcW w:w="7770" w:type="dxa"/>
          </w:tcPr>
          <w:p w14:paraId="409A98AA" w14:textId="77777777" w:rsidR="003C37F7" w:rsidRPr="00DB7156" w:rsidRDefault="003C37F7" w:rsidP="00C7260E">
            <w:pPr>
              <w:spacing w:after="0"/>
              <w:rPr>
                <w:rFonts w:cs="Arial"/>
                <w:color w:val="000080"/>
                <w:szCs w:val="24"/>
              </w:rPr>
            </w:pPr>
            <w:r w:rsidRPr="00DB7156">
              <w:rPr>
                <w:rFonts w:cs="Arial"/>
                <w:color w:val="000080"/>
                <w:szCs w:val="24"/>
              </w:rPr>
              <w:t>Low-NO</w:t>
            </w:r>
            <w:r w:rsidRPr="00DB7156">
              <w:rPr>
                <w:rFonts w:cs="Arial"/>
                <w:color w:val="000080"/>
                <w:szCs w:val="24"/>
                <w:vertAlign w:val="subscript"/>
              </w:rPr>
              <w:t>X</w:t>
            </w:r>
            <w:r w:rsidRPr="00DB7156">
              <w:rPr>
                <w:rFonts w:cs="Arial"/>
                <w:color w:val="000080"/>
                <w:szCs w:val="24"/>
              </w:rPr>
              <w:t xml:space="preserve"> Burners (LNBs) and Overfire Air</w:t>
            </w:r>
          </w:p>
        </w:tc>
      </w:tr>
      <w:tr w:rsidR="003C37F7" w:rsidRPr="00DB7156" w14:paraId="4337EC93" w14:textId="77777777" w:rsidTr="00C7260E">
        <w:tc>
          <w:tcPr>
            <w:tcW w:w="1086" w:type="dxa"/>
          </w:tcPr>
          <w:p w14:paraId="6BECDEE6" w14:textId="77777777" w:rsidR="003C37F7" w:rsidRPr="00DB7156" w:rsidRDefault="003C37F7" w:rsidP="00C7260E">
            <w:pPr>
              <w:spacing w:after="0"/>
              <w:rPr>
                <w:rFonts w:cs="Arial"/>
                <w:color w:val="000080"/>
                <w:szCs w:val="24"/>
              </w:rPr>
            </w:pPr>
          </w:p>
        </w:tc>
        <w:tc>
          <w:tcPr>
            <w:tcW w:w="7770" w:type="dxa"/>
          </w:tcPr>
          <w:p w14:paraId="79300B8C" w14:textId="77777777" w:rsidR="003C37F7" w:rsidRPr="00DB7156" w:rsidRDefault="003C37F7" w:rsidP="00C7260E">
            <w:pPr>
              <w:spacing w:after="0"/>
              <w:rPr>
                <w:rFonts w:cs="Arial"/>
                <w:color w:val="000080"/>
                <w:szCs w:val="24"/>
              </w:rPr>
            </w:pPr>
          </w:p>
        </w:tc>
      </w:tr>
      <w:tr w:rsidR="003C37F7" w:rsidRPr="00DB7156" w14:paraId="596FA34E" w14:textId="77777777" w:rsidTr="00C7260E">
        <w:tc>
          <w:tcPr>
            <w:tcW w:w="1086" w:type="dxa"/>
          </w:tcPr>
          <w:p w14:paraId="537BA0D6" w14:textId="77777777" w:rsidR="003C37F7" w:rsidRPr="00DB7156" w:rsidRDefault="003C37F7" w:rsidP="00C7260E">
            <w:pPr>
              <w:spacing w:after="0"/>
              <w:rPr>
                <w:rFonts w:cs="Arial"/>
                <w:color w:val="000080"/>
                <w:szCs w:val="24"/>
              </w:rPr>
            </w:pPr>
            <w:r w:rsidRPr="00DB7156">
              <w:rPr>
                <w:rFonts w:cs="Arial"/>
                <w:color w:val="000080"/>
                <w:szCs w:val="24"/>
              </w:rPr>
              <w:t>V.</w:t>
            </w:r>
          </w:p>
        </w:tc>
        <w:tc>
          <w:tcPr>
            <w:tcW w:w="7770" w:type="dxa"/>
          </w:tcPr>
          <w:p w14:paraId="48D61EFD" w14:textId="77777777" w:rsidR="003C37F7" w:rsidRPr="00DB7156" w:rsidRDefault="003C37F7" w:rsidP="00C7260E">
            <w:pPr>
              <w:spacing w:after="0"/>
              <w:rPr>
                <w:rFonts w:cs="Arial"/>
                <w:color w:val="000080"/>
                <w:szCs w:val="24"/>
              </w:rPr>
            </w:pPr>
            <w:r w:rsidRPr="00DB7156">
              <w:rPr>
                <w:rFonts w:cs="Arial"/>
                <w:color w:val="000080"/>
                <w:szCs w:val="24"/>
              </w:rPr>
              <w:t>Powder River Basin (PRB) Coal</w:t>
            </w:r>
          </w:p>
        </w:tc>
      </w:tr>
      <w:tr w:rsidR="003C37F7" w:rsidRPr="00DB7156" w14:paraId="1F969AEA" w14:textId="77777777" w:rsidTr="00C7260E">
        <w:tc>
          <w:tcPr>
            <w:tcW w:w="1086" w:type="dxa"/>
          </w:tcPr>
          <w:p w14:paraId="2AD8C78C" w14:textId="77777777" w:rsidR="003C37F7" w:rsidRPr="00DB7156" w:rsidRDefault="003C37F7" w:rsidP="00C7260E">
            <w:pPr>
              <w:spacing w:after="0"/>
              <w:rPr>
                <w:rFonts w:cs="Arial"/>
                <w:color w:val="000080"/>
                <w:szCs w:val="24"/>
              </w:rPr>
            </w:pPr>
          </w:p>
        </w:tc>
        <w:tc>
          <w:tcPr>
            <w:tcW w:w="7770" w:type="dxa"/>
          </w:tcPr>
          <w:p w14:paraId="596C0207" w14:textId="77777777" w:rsidR="003C37F7" w:rsidRPr="00DB7156" w:rsidRDefault="003C37F7" w:rsidP="00C7260E">
            <w:pPr>
              <w:spacing w:after="0"/>
              <w:rPr>
                <w:rFonts w:cs="Arial"/>
                <w:color w:val="000080"/>
                <w:szCs w:val="24"/>
              </w:rPr>
            </w:pPr>
          </w:p>
        </w:tc>
      </w:tr>
      <w:tr w:rsidR="003C37F7" w:rsidRPr="00DB7156" w14:paraId="796E0EB6" w14:textId="77777777" w:rsidTr="00C7260E">
        <w:tc>
          <w:tcPr>
            <w:tcW w:w="1086" w:type="dxa"/>
          </w:tcPr>
          <w:p w14:paraId="6FC1CAB6" w14:textId="77777777" w:rsidR="003C37F7" w:rsidRPr="00DB7156" w:rsidRDefault="003C37F7" w:rsidP="00C7260E">
            <w:pPr>
              <w:spacing w:after="0"/>
              <w:rPr>
                <w:rFonts w:cs="Arial"/>
                <w:color w:val="000080"/>
                <w:szCs w:val="24"/>
              </w:rPr>
            </w:pPr>
            <w:r w:rsidRPr="00DB7156">
              <w:rPr>
                <w:rFonts w:cs="Arial"/>
                <w:color w:val="000080"/>
                <w:szCs w:val="24"/>
              </w:rPr>
              <w:t>VI.</w:t>
            </w:r>
          </w:p>
        </w:tc>
        <w:tc>
          <w:tcPr>
            <w:tcW w:w="7770" w:type="dxa"/>
          </w:tcPr>
          <w:p w14:paraId="788AA1CC" w14:textId="77777777" w:rsidR="003C37F7" w:rsidRPr="00DB7156" w:rsidRDefault="003C37F7" w:rsidP="00C7260E">
            <w:pPr>
              <w:spacing w:after="0"/>
              <w:rPr>
                <w:rFonts w:cs="Arial"/>
                <w:color w:val="000080"/>
                <w:szCs w:val="24"/>
              </w:rPr>
            </w:pPr>
            <w:r w:rsidRPr="00DB7156">
              <w:rPr>
                <w:rFonts w:cs="Arial"/>
                <w:color w:val="000080"/>
                <w:szCs w:val="24"/>
              </w:rPr>
              <w:t>Flue Gas Desulfurization (FGD)</w:t>
            </w:r>
          </w:p>
        </w:tc>
      </w:tr>
      <w:tr w:rsidR="003C37F7" w:rsidRPr="00DB7156" w14:paraId="6420D04D" w14:textId="77777777" w:rsidTr="00C7260E">
        <w:tc>
          <w:tcPr>
            <w:tcW w:w="1086" w:type="dxa"/>
          </w:tcPr>
          <w:p w14:paraId="0E3742D9" w14:textId="77777777" w:rsidR="003C37F7" w:rsidRPr="00DB7156" w:rsidRDefault="003C37F7" w:rsidP="00C7260E">
            <w:pPr>
              <w:spacing w:after="0"/>
              <w:rPr>
                <w:rFonts w:cs="Arial"/>
                <w:color w:val="000080"/>
                <w:szCs w:val="24"/>
              </w:rPr>
            </w:pPr>
          </w:p>
        </w:tc>
        <w:tc>
          <w:tcPr>
            <w:tcW w:w="7770" w:type="dxa"/>
          </w:tcPr>
          <w:p w14:paraId="790C3381" w14:textId="77777777" w:rsidR="003C37F7" w:rsidRPr="00DB7156" w:rsidRDefault="003C37F7" w:rsidP="00C7260E">
            <w:pPr>
              <w:spacing w:after="0"/>
              <w:rPr>
                <w:rFonts w:cs="Arial"/>
                <w:color w:val="000080"/>
                <w:szCs w:val="24"/>
              </w:rPr>
            </w:pPr>
          </w:p>
        </w:tc>
      </w:tr>
      <w:tr w:rsidR="003C37F7" w:rsidRPr="00DB7156" w14:paraId="7B8173E0" w14:textId="77777777" w:rsidTr="00C7260E">
        <w:tc>
          <w:tcPr>
            <w:tcW w:w="1086" w:type="dxa"/>
          </w:tcPr>
          <w:p w14:paraId="59E3FE4D" w14:textId="77777777" w:rsidR="003C37F7" w:rsidRPr="00DB7156" w:rsidRDefault="003C37F7" w:rsidP="00C7260E">
            <w:pPr>
              <w:spacing w:after="0"/>
              <w:rPr>
                <w:rFonts w:cs="Arial"/>
                <w:color w:val="000080"/>
                <w:szCs w:val="24"/>
              </w:rPr>
            </w:pPr>
            <w:r w:rsidRPr="00DB7156">
              <w:rPr>
                <w:rFonts w:cs="Arial"/>
                <w:color w:val="000080"/>
                <w:szCs w:val="24"/>
              </w:rPr>
              <w:t>VII.</w:t>
            </w:r>
          </w:p>
        </w:tc>
        <w:tc>
          <w:tcPr>
            <w:tcW w:w="7770" w:type="dxa"/>
          </w:tcPr>
          <w:p w14:paraId="1A9FB222" w14:textId="77777777" w:rsidR="003C37F7" w:rsidRPr="00DB7156" w:rsidRDefault="003C37F7" w:rsidP="00C7260E">
            <w:pPr>
              <w:spacing w:after="0"/>
              <w:rPr>
                <w:rFonts w:cs="Arial"/>
                <w:color w:val="000080"/>
                <w:szCs w:val="24"/>
              </w:rPr>
            </w:pPr>
            <w:r w:rsidRPr="00DB7156">
              <w:rPr>
                <w:rFonts w:cs="Arial"/>
                <w:color w:val="000080"/>
                <w:szCs w:val="24"/>
              </w:rPr>
              <w:t>Dry Sorbent Injection (DSI)</w:t>
            </w:r>
          </w:p>
        </w:tc>
      </w:tr>
      <w:tr w:rsidR="003C37F7" w:rsidRPr="00DB7156" w14:paraId="1BBE0379" w14:textId="77777777" w:rsidTr="00C7260E">
        <w:tc>
          <w:tcPr>
            <w:tcW w:w="1086" w:type="dxa"/>
          </w:tcPr>
          <w:p w14:paraId="30475B0D" w14:textId="77777777" w:rsidR="003C37F7" w:rsidRPr="00DB7156" w:rsidRDefault="003C37F7" w:rsidP="00C7260E">
            <w:pPr>
              <w:spacing w:after="0"/>
              <w:rPr>
                <w:rFonts w:cs="Arial"/>
                <w:color w:val="000080"/>
                <w:szCs w:val="24"/>
              </w:rPr>
            </w:pPr>
          </w:p>
        </w:tc>
        <w:tc>
          <w:tcPr>
            <w:tcW w:w="7770" w:type="dxa"/>
          </w:tcPr>
          <w:p w14:paraId="3C7CD32C" w14:textId="77777777" w:rsidR="003C37F7" w:rsidRPr="00DB7156" w:rsidRDefault="003C37F7" w:rsidP="00C7260E">
            <w:pPr>
              <w:spacing w:after="0"/>
              <w:rPr>
                <w:rFonts w:cs="Arial"/>
                <w:color w:val="000080"/>
                <w:szCs w:val="24"/>
              </w:rPr>
            </w:pPr>
          </w:p>
        </w:tc>
      </w:tr>
      <w:tr w:rsidR="003C37F7" w:rsidRPr="00DB7156" w14:paraId="123C45F0" w14:textId="77777777" w:rsidTr="00C7260E">
        <w:tc>
          <w:tcPr>
            <w:tcW w:w="1086" w:type="dxa"/>
          </w:tcPr>
          <w:p w14:paraId="6397ED2E" w14:textId="77777777" w:rsidR="003C37F7" w:rsidRPr="00DB7156" w:rsidRDefault="003C37F7" w:rsidP="00C7260E">
            <w:pPr>
              <w:spacing w:after="0"/>
              <w:rPr>
                <w:rFonts w:cs="Arial"/>
                <w:color w:val="000080"/>
                <w:szCs w:val="24"/>
              </w:rPr>
            </w:pPr>
            <w:r w:rsidRPr="00DB7156">
              <w:rPr>
                <w:rFonts w:cs="Arial"/>
                <w:color w:val="000080"/>
                <w:szCs w:val="24"/>
              </w:rPr>
              <w:t>VIII.</w:t>
            </w:r>
          </w:p>
        </w:tc>
        <w:tc>
          <w:tcPr>
            <w:tcW w:w="7770" w:type="dxa"/>
          </w:tcPr>
          <w:p w14:paraId="5672EEB4" w14:textId="77777777" w:rsidR="003C37F7" w:rsidRPr="00DB7156" w:rsidRDefault="003C37F7" w:rsidP="00C7260E">
            <w:pPr>
              <w:spacing w:after="0"/>
              <w:rPr>
                <w:rFonts w:cs="Arial"/>
                <w:color w:val="000080"/>
                <w:szCs w:val="24"/>
              </w:rPr>
            </w:pPr>
            <w:r w:rsidRPr="00DB7156">
              <w:rPr>
                <w:rFonts w:cs="Arial"/>
                <w:color w:val="000080"/>
                <w:szCs w:val="24"/>
              </w:rPr>
              <w:t>Baghouses</w:t>
            </w:r>
          </w:p>
        </w:tc>
      </w:tr>
      <w:tr w:rsidR="003C37F7" w:rsidRPr="00DB7156" w14:paraId="5913F8D4" w14:textId="77777777" w:rsidTr="00C7260E">
        <w:tc>
          <w:tcPr>
            <w:tcW w:w="1086" w:type="dxa"/>
          </w:tcPr>
          <w:p w14:paraId="2D53B3CC" w14:textId="77777777" w:rsidR="003C37F7" w:rsidRPr="00DB7156" w:rsidRDefault="003C37F7" w:rsidP="00C7260E">
            <w:pPr>
              <w:spacing w:after="0"/>
              <w:rPr>
                <w:rFonts w:cs="Arial"/>
                <w:color w:val="000080"/>
                <w:szCs w:val="24"/>
              </w:rPr>
            </w:pPr>
          </w:p>
        </w:tc>
        <w:tc>
          <w:tcPr>
            <w:tcW w:w="7770" w:type="dxa"/>
          </w:tcPr>
          <w:p w14:paraId="7F256801" w14:textId="77777777" w:rsidR="003C37F7" w:rsidRPr="00DB7156" w:rsidRDefault="003C37F7" w:rsidP="00C7260E">
            <w:pPr>
              <w:spacing w:after="0"/>
              <w:rPr>
                <w:rFonts w:cs="Arial"/>
                <w:color w:val="000080"/>
                <w:szCs w:val="24"/>
              </w:rPr>
            </w:pPr>
          </w:p>
        </w:tc>
      </w:tr>
      <w:tr w:rsidR="003C37F7" w:rsidRPr="00DB7156" w14:paraId="574C185C" w14:textId="77777777" w:rsidTr="00C7260E">
        <w:tc>
          <w:tcPr>
            <w:tcW w:w="1086" w:type="dxa"/>
          </w:tcPr>
          <w:p w14:paraId="6E3DD0A1" w14:textId="77777777" w:rsidR="003C37F7" w:rsidRPr="00DB7156" w:rsidRDefault="003C37F7" w:rsidP="00C7260E">
            <w:pPr>
              <w:spacing w:after="0"/>
              <w:rPr>
                <w:rFonts w:cs="Arial"/>
                <w:color w:val="000080"/>
                <w:szCs w:val="24"/>
              </w:rPr>
            </w:pPr>
            <w:r w:rsidRPr="00DB7156">
              <w:rPr>
                <w:rFonts w:cs="Arial"/>
                <w:color w:val="000080"/>
                <w:szCs w:val="24"/>
              </w:rPr>
              <w:t>IX.</w:t>
            </w:r>
          </w:p>
        </w:tc>
        <w:tc>
          <w:tcPr>
            <w:tcW w:w="7770" w:type="dxa"/>
          </w:tcPr>
          <w:p w14:paraId="547994BE" w14:textId="77777777" w:rsidR="003C37F7" w:rsidRPr="00DB7156" w:rsidRDefault="003C37F7" w:rsidP="00C7260E">
            <w:pPr>
              <w:spacing w:after="0"/>
              <w:rPr>
                <w:rFonts w:cs="Arial"/>
                <w:color w:val="000080"/>
                <w:szCs w:val="24"/>
              </w:rPr>
            </w:pPr>
            <w:r w:rsidRPr="00DB7156">
              <w:rPr>
                <w:rFonts w:cs="Arial"/>
                <w:color w:val="000080"/>
                <w:szCs w:val="24"/>
              </w:rPr>
              <w:t>Activated Carbon Injection (ACI) and Alkali Sorbent Injection (ALK)</w:t>
            </w:r>
          </w:p>
        </w:tc>
      </w:tr>
      <w:tr w:rsidR="003C37F7" w:rsidRPr="00DB7156" w14:paraId="25E48777" w14:textId="77777777" w:rsidTr="00C7260E">
        <w:tc>
          <w:tcPr>
            <w:tcW w:w="1086" w:type="dxa"/>
          </w:tcPr>
          <w:p w14:paraId="1D3C2CE4" w14:textId="77777777" w:rsidR="003C37F7" w:rsidRPr="00DB7156" w:rsidRDefault="003C37F7" w:rsidP="00C7260E">
            <w:pPr>
              <w:spacing w:after="0"/>
              <w:rPr>
                <w:rFonts w:cs="Arial"/>
                <w:color w:val="000080"/>
                <w:szCs w:val="24"/>
              </w:rPr>
            </w:pPr>
          </w:p>
        </w:tc>
        <w:tc>
          <w:tcPr>
            <w:tcW w:w="7770" w:type="dxa"/>
          </w:tcPr>
          <w:p w14:paraId="2892E193" w14:textId="77777777" w:rsidR="003C37F7" w:rsidRPr="00DB7156" w:rsidRDefault="003C37F7" w:rsidP="00C7260E">
            <w:pPr>
              <w:spacing w:after="0"/>
              <w:rPr>
                <w:rFonts w:cs="Arial"/>
                <w:color w:val="000080"/>
                <w:szCs w:val="24"/>
              </w:rPr>
            </w:pPr>
          </w:p>
        </w:tc>
      </w:tr>
      <w:tr w:rsidR="003C37F7" w:rsidRPr="00DB7156" w14:paraId="19BF852C" w14:textId="77777777" w:rsidTr="00C7260E">
        <w:tc>
          <w:tcPr>
            <w:tcW w:w="1086" w:type="dxa"/>
          </w:tcPr>
          <w:p w14:paraId="4B2DA983" w14:textId="556D7272" w:rsidR="003C37F7" w:rsidRPr="00DB7156" w:rsidRDefault="003C37F7" w:rsidP="00C7260E">
            <w:pPr>
              <w:spacing w:after="0"/>
              <w:rPr>
                <w:rFonts w:cs="Arial"/>
                <w:color w:val="000080"/>
                <w:szCs w:val="24"/>
              </w:rPr>
            </w:pPr>
            <w:r w:rsidRPr="6A44F22A">
              <w:rPr>
                <w:rFonts w:cs="Arial"/>
                <w:color w:val="000080"/>
                <w:szCs w:val="24"/>
              </w:rPr>
              <w:t>X</w:t>
            </w:r>
            <w:r w:rsidRPr="00DB7156">
              <w:rPr>
                <w:rFonts w:cs="Arial"/>
                <w:color w:val="000080"/>
                <w:szCs w:val="24"/>
              </w:rPr>
              <w:t>.</w:t>
            </w:r>
          </w:p>
        </w:tc>
        <w:tc>
          <w:tcPr>
            <w:tcW w:w="7770" w:type="dxa"/>
          </w:tcPr>
          <w:p w14:paraId="31CCD2CB" w14:textId="77777777" w:rsidR="003C37F7" w:rsidRPr="00DB7156" w:rsidRDefault="003C37F7" w:rsidP="00C7260E">
            <w:pPr>
              <w:spacing w:after="0"/>
              <w:rPr>
                <w:rFonts w:cs="Arial"/>
                <w:color w:val="000080"/>
                <w:szCs w:val="24"/>
              </w:rPr>
            </w:pPr>
            <w:r w:rsidRPr="00DB7156">
              <w:rPr>
                <w:rFonts w:cs="Arial"/>
                <w:color w:val="000080"/>
                <w:szCs w:val="24"/>
              </w:rPr>
              <w:t>Mercury Re-emission Control Systems (MRCS)</w:t>
            </w:r>
          </w:p>
        </w:tc>
      </w:tr>
      <w:tr w:rsidR="003C37F7" w:rsidRPr="00DB7156" w14:paraId="154AAD59" w14:textId="77777777" w:rsidTr="00C7260E">
        <w:tc>
          <w:tcPr>
            <w:tcW w:w="1086" w:type="dxa"/>
          </w:tcPr>
          <w:p w14:paraId="6364B123" w14:textId="77777777" w:rsidR="003C37F7" w:rsidRPr="00DB7156" w:rsidRDefault="003C37F7" w:rsidP="00C7260E">
            <w:pPr>
              <w:spacing w:after="0"/>
              <w:rPr>
                <w:rFonts w:cs="Arial"/>
                <w:color w:val="000080"/>
                <w:szCs w:val="24"/>
              </w:rPr>
            </w:pPr>
          </w:p>
        </w:tc>
        <w:tc>
          <w:tcPr>
            <w:tcW w:w="7770" w:type="dxa"/>
          </w:tcPr>
          <w:p w14:paraId="28EC88D9" w14:textId="77777777" w:rsidR="003C37F7" w:rsidRPr="00DB7156" w:rsidRDefault="003C37F7" w:rsidP="00C7260E">
            <w:pPr>
              <w:spacing w:after="0"/>
              <w:rPr>
                <w:rFonts w:cs="Arial"/>
                <w:color w:val="000080"/>
                <w:szCs w:val="24"/>
              </w:rPr>
            </w:pPr>
          </w:p>
        </w:tc>
      </w:tr>
      <w:tr w:rsidR="003C37F7" w:rsidRPr="00DB7156" w14:paraId="20DB9880" w14:textId="77777777" w:rsidTr="00C7260E">
        <w:tc>
          <w:tcPr>
            <w:tcW w:w="1086" w:type="dxa"/>
          </w:tcPr>
          <w:p w14:paraId="6CE8F1DE" w14:textId="1008359B" w:rsidR="003C37F7" w:rsidRPr="00DB7156" w:rsidRDefault="003C37F7" w:rsidP="00C7260E">
            <w:pPr>
              <w:spacing w:after="0"/>
              <w:rPr>
                <w:rFonts w:cs="Arial"/>
                <w:color w:val="000080"/>
                <w:szCs w:val="24"/>
              </w:rPr>
            </w:pPr>
            <w:r w:rsidRPr="6A44F22A">
              <w:rPr>
                <w:rFonts w:cs="Arial"/>
                <w:color w:val="000080"/>
                <w:szCs w:val="24"/>
              </w:rPr>
              <w:t>XI</w:t>
            </w:r>
            <w:r w:rsidRPr="00DB7156">
              <w:rPr>
                <w:rFonts w:cs="Arial"/>
                <w:color w:val="000080"/>
                <w:szCs w:val="24"/>
              </w:rPr>
              <w:t>.</w:t>
            </w:r>
          </w:p>
        </w:tc>
        <w:tc>
          <w:tcPr>
            <w:tcW w:w="7770" w:type="dxa"/>
          </w:tcPr>
          <w:p w14:paraId="3F93B6E0" w14:textId="77777777" w:rsidR="003C37F7" w:rsidRPr="00DB7156" w:rsidRDefault="003C37F7" w:rsidP="00C7260E">
            <w:pPr>
              <w:spacing w:after="0"/>
              <w:rPr>
                <w:rFonts w:cs="Arial"/>
                <w:color w:val="000080"/>
                <w:szCs w:val="24"/>
              </w:rPr>
            </w:pPr>
            <w:r w:rsidRPr="00DB7156">
              <w:rPr>
                <w:rFonts w:cs="Arial"/>
                <w:color w:val="000080"/>
                <w:szCs w:val="24"/>
              </w:rPr>
              <w:t>Containment and Control Technologies for Ash Storage Areas</w:t>
            </w:r>
          </w:p>
        </w:tc>
      </w:tr>
      <w:tr w:rsidR="003C37F7" w:rsidRPr="00DB7156" w14:paraId="4ACECB0A" w14:textId="77777777" w:rsidTr="00C7260E">
        <w:tc>
          <w:tcPr>
            <w:tcW w:w="1086" w:type="dxa"/>
          </w:tcPr>
          <w:p w14:paraId="23763A46" w14:textId="77777777" w:rsidR="003C37F7" w:rsidRPr="00DB7156" w:rsidRDefault="003C37F7" w:rsidP="00C7260E">
            <w:pPr>
              <w:spacing w:after="0"/>
              <w:rPr>
                <w:rFonts w:cs="Arial"/>
                <w:color w:val="000080"/>
                <w:szCs w:val="24"/>
              </w:rPr>
            </w:pPr>
          </w:p>
        </w:tc>
        <w:tc>
          <w:tcPr>
            <w:tcW w:w="7770" w:type="dxa"/>
          </w:tcPr>
          <w:p w14:paraId="09A645C2" w14:textId="77777777" w:rsidR="003C37F7" w:rsidRPr="00DB7156" w:rsidRDefault="003C37F7" w:rsidP="00C7260E">
            <w:pPr>
              <w:spacing w:after="0"/>
              <w:rPr>
                <w:rFonts w:cs="Arial"/>
                <w:color w:val="000080"/>
                <w:szCs w:val="24"/>
                <w:lang w:val="nl-NL"/>
              </w:rPr>
            </w:pPr>
          </w:p>
        </w:tc>
      </w:tr>
      <w:tr w:rsidR="003C37F7" w:rsidRPr="00DB7156" w14:paraId="72DC3E46" w14:textId="77777777" w:rsidTr="00C7260E">
        <w:tc>
          <w:tcPr>
            <w:tcW w:w="1086" w:type="dxa"/>
          </w:tcPr>
          <w:p w14:paraId="7A5014DF" w14:textId="1F151260" w:rsidR="003C37F7" w:rsidRPr="00DB7156" w:rsidRDefault="003C37F7" w:rsidP="00C7260E">
            <w:pPr>
              <w:spacing w:after="0"/>
              <w:rPr>
                <w:rFonts w:cs="Arial"/>
                <w:color w:val="000080"/>
                <w:szCs w:val="24"/>
              </w:rPr>
            </w:pPr>
            <w:r w:rsidRPr="6A44F22A">
              <w:rPr>
                <w:rFonts w:cs="Arial"/>
                <w:color w:val="000080"/>
                <w:szCs w:val="24"/>
              </w:rPr>
              <w:t>XII.</w:t>
            </w:r>
          </w:p>
        </w:tc>
        <w:tc>
          <w:tcPr>
            <w:tcW w:w="7770" w:type="dxa"/>
          </w:tcPr>
          <w:p w14:paraId="6D3DB1D6" w14:textId="77777777" w:rsidR="003C37F7" w:rsidRPr="00DB7156" w:rsidRDefault="003C37F7" w:rsidP="00C7260E">
            <w:pPr>
              <w:spacing w:after="0"/>
              <w:rPr>
                <w:rFonts w:cs="Arial"/>
                <w:color w:val="000080"/>
                <w:szCs w:val="24"/>
              </w:rPr>
            </w:pPr>
            <w:r w:rsidRPr="00DB7156">
              <w:rPr>
                <w:rFonts w:cs="Arial"/>
                <w:color w:val="000080"/>
                <w:szCs w:val="24"/>
              </w:rPr>
              <w:t>Cooling Water Intake Screen Technology</w:t>
            </w:r>
          </w:p>
        </w:tc>
      </w:tr>
      <w:tr w:rsidR="003C37F7" w:rsidRPr="00DB7156" w14:paraId="286ED7AF" w14:textId="77777777" w:rsidTr="00C7260E">
        <w:tc>
          <w:tcPr>
            <w:tcW w:w="1086" w:type="dxa"/>
          </w:tcPr>
          <w:p w14:paraId="064DF40D" w14:textId="77777777" w:rsidR="003C37F7" w:rsidRPr="00DB7156" w:rsidRDefault="003C37F7" w:rsidP="00C7260E">
            <w:pPr>
              <w:spacing w:after="0"/>
              <w:rPr>
                <w:rFonts w:cs="Arial"/>
                <w:color w:val="000080"/>
                <w:szCs w:val="24"/>
              </w:rPr>
            </w:pPr>
          </w:p>
        </w:tc>
        <w:tc>
          <w:tcPr>
            <w:tcW w:w="7770" w:type="dxa"/>
          </w:tcPr>
          <w:p w14:paraId="77984A7F" w14:textId="77777777" w:rsidR="003C37F7" w:rsidRPr="00DB7156" w:rsidRDefault="003C37F7" w:rsidP="00C7260E">
            <w:pPr>
              <w:spacing w:after="0"/>
              <w:rPr>
                <w:rFonts w:cs="Arial"/>
                <w:color w:val="000080"/>
                <w:szCs w:val="24"/>
              </w:rPr>
            </w:pPr>
          </w:p>
        </w:tc>
      </w:tr>
      <w:tr w:rsidR="003C37F7" w:rsidRPr="00DB7156" w14:paraId="28739898" w14:textId="77777777" w:rsidTr="00C7260E">
        <w:tc>
          <w:tcPr>
            <w:tcW w:w="1086" w:type="dxa"/>
          </w:tcPr>
          <w:p w14:paraId="3F551DA1" w14:textId="30027883" w:rsidR="003C37F7" w:rsidRPr="00DB7156" w:rsidRDefault="003C37F7" w:rsidP="00C7260E">
            <w:pPr>
              <w:spacing w:after="0"/>
              <w:rPr>
                <w:rFonts w:cs="Arial"/>
                <w:color w:val="000080"/>
                <w:szCs w:val="24"/>
              </w:rPr>
            </w:pPr>
            <w:r w:rsidRPr="6A44F22A">
              <w:rPr>
                <w:rFonts w:cs="Arial"/>
                <w:color w:val="000080"/>
                <w:szCs w:val="24"/>
              </w:rPr>
              <w:t>XI</w:t>
            </w:r>
            <w:r w:rsidR="05B9A158" w:rsidRPr="6A44F22A">
              <w:rPr>
                <w:rFonts w:cs="Arial"/>
                <w:color w:val="000080"/>
                <w:szCs w:val="24"/>
              </w:rPr>
              <w:t>II</w:t>
            </w:r>
            <w:r w:rsidRPr="6A44F22A">
              <w:rPr>
                <w:rFonts w:cs="Arial"/>
                <w:color w:val="000080"/>
                <w:szCs w:val="24"/>
              </w:rPr>
              <w:t>.</w:t>
            </w:r>
          </w:p>
        </w:tc>
        <w:tc>
          <w:tcPr>
            <w:tcW w:w="7770" w:type="dxa"/>
          </w:tcPr>
          <w:p w14:paraId="3F5E8726" w14:textId="77777777" w:rsidR="003C37F7" w:rsidRPr="00DB7156" w:rsidRDefault="003C37F7" w:rsidP="00C7260E">
            <w:pPr>
              <w:spacing w:after="0"/>
              <w:rPr>
                <w:rFonts w:cs="Arial"/>
                <w:color w:val="000080"/>
                <w:szCs w:val="24"/>
              </w:rPr>
            </w:pPr>
            <w:r w:rsidRPr="00DB7156">
              <w:rPr>
                <w:rFonts w:cs="Arial"/>
                <w:color w:val="000080"/>
                <w:szCs w:val="24"/>
              </w:rPr>
              <w:t>Water Cooling Technologies</w:t>
            </w:r>
          </w:p>
        </w:tc>
      </w:tr>
      <w:tr w:rsidR="003C37F7" w:rsidRPr="00DB7156" w14:paraId="29DF3A2C" w14:textId="77777777" w:rsidTr="00C7260E">
        <w:tc>
          <w:tcPr>
            <w:tcW w:w="1086" w:type="dxa"/>
          </w:tcPr>
          <w:p w14:paraId="75B1C63F" w14:textId="77777777" w:rsidR="003C37F7" w:rsidRPr="00DB7156" w:rsidRDefault="003C37F7" w:rsidP="00C7260E">
            <w:pPr>
              <w:spacing w:after="0"/>
              <w:rPr>
                <w:rFonts w:cs="Arial"/>
                <w:color w:val="000080"/>
                <w:szCs w:val="24"/>
              </w:rPr>
            </w:pPr>
          </w:p>
        </w:tc>
        <w:tc>
          <w:tcPr>
            <w:tcW w:w="7770" w:type="dxa"/>
          </w:tcPr>
          <w:p w14:paraId="400F6695" w14:textId="77777777" w:rsidR="003C37F7" w:rsidRPr="00DB7156" w:rsidRDefault="003C37F7" w:rsidP="00C7260E">
            <w:pPr>
              <w:spacing w:after="0"/>
              <w:rPr>
                <w:rFonts w:cs="Arial"/>
                <w:color w:val="000080"/>
                <w:szCs w:val="24"/>
              </w:rPr>
            </w:pPr>
          </w:p>
        </w:tc>
      </w:tr>
      <w:tr w:rsidR="003C37F7" w:rsidRPr="00DB7156" w14:paraId="4CA3A2A7" w14:textId="77777777" w:rsidTr="00C7260E">
        <w:tc>
          <w:tcPr>
            <w:tcW w:w="1086" w:type="dxa"/>
          </w:tcPr>
          <w:p w14:paraId="73C76DDE" w14:textId="7C9D43FA" w:rsidR="003C37F7" w:rsidRPr="00DB7156" w:rsidRDefault="003C37F7" w:rsidP="00C7260E">
            <w:pPr>
              <w:spacing w:after="0"/>
              <w:rPr>
                <w:rFonts w:cs="Arial"/>
                <w:color w:val="000080"/>
                <w:szCs w:val="24"/>
              </w:rPr>
            </w:pPr>
            <w:r w:rsidRPr="6A44F22A">
              <w:rPr>
                <w:rFonts w:cs="Arial"/>
                <w:color w:val="000080"/>
                <w:szCs w:val="24"/>
              </w:rPr>
              <w:t>X</w:t>
            </w:r>
            <w:r w:rsidR="3F857E7C" w:rsidRPr="6A44F22A">
              <w:rPr>
                <w:rFonts w:cs="Arial"/>
                <w:color w:val="000080"/>
                <w:szCs w:val="24"/>
              </w:rPr>
              <w:t>I</w:t>
            </w:r>
            <w:r w:rsidRPr="6A44F22A">
              <w:rPr>
                <w:rFonts w:cs="Arial"/>
                <w:color w:val="000080"/>
                <w:szCs w:val="24"/>
              </w:rPr>
              <w:t>V</w:t>
            </w:r>
            <w:r w:rsidRPr="00DB7156">
              <w:rPr>
                <w:rFonts w:cs="Arial"/>
                <w:color w:val="000080"/>
                <w:szCs w:val="24"/>
              </w:rPr>
              <w:t>.</w:t>
            </w:r>
          </w:p>
        </w:tc>
        <w:tc>
          <w:tcPr>
            <w:tcW w:w="7770" w:type="dxa"/>
          </w:tcPr>
          <w:p w14:paraId="44CECD37" w14:textId="77777777" w:rsidR="003C37F7" w:rsidRPr="00DB7156" w:rsidRDefault="003C37F7" w:rsidP="00C7260E">
            <w:pPr>
              <w:spacing w:after="0"/>
              <w:rPr>
                <w:rFonts w:cs="Arial"/>
                <w:color w:val="000080"/>
                <w:szCs w:val="24"/>
              </w:rPr>
            </w:pPr>
            <w:r w:rsidRPr="00DB7156">
              <w:rPr>
                <w:rFonts w:cs="Arial"/>
                <w:color w:val="000080"/>
                <w:szCs w:val="24"/>
              </w:rPr>
              <w:t>Water Research Center</w:t>
            </w:r>
          </w:p>
        </w:tc>
      </w:tr>
      <w:tr w:rsidR="003C37F7" w:rsidRPr="00DB7156" w14:paraId="648BAFF5" w14:textId="77777777" w:rsidTr="00C7260E">
        <w:tc>
          <w:tcPr>
            <w:tcW w:w="1086" w:type="dxa"/>
          </w:tcPr>
          <w:p w14:paraId="3CA3BB2F" w14:textId="77777777" w:rsidR="003C37F7" w:rsidRPr="00DB7156" w:rsidRDefault="003C37F7" w:rsidP="00C7260E">
            <w:pPr>
              <w:spacing w:after="0"/>
              <w:rPr>
                <w:rFonts w:cs="Arial"/>
                <w:color w:val="000080"/>
                <w:szCs w:val="24"/>
              </w:rPr>
            </w:pPr>
          </w:p>
        </w:tc>
        <w:tc>
          <w:tcPr>
            <w:tcW w:w="7770" w:type="dxa"/>
          </w:tcPr>
          <w:p w14:paraId="7050BDBB" w14:textId="77777777" w:rsidR="003C37F7" w:rsidRPr="00DB7156" w:rsidRDefault="003C37F7" w:rsidP="00C7260E">
            <w:pPr>
              <w:spacing w:after="0"/>
              <w:rPr>
                <w:rFonts w:cs="Arial"/>
                <w:color w:val="000080"/>
                <w:szCs w:val="24"/>
              </w:rPr>
            </w:pPr>
          </w:p>
        </w:tc>
      </w:tr>
      <w:tr w:rsidR="003C37F7" w:rsidRPr="00DB7156" w14:paraId="6C68454B" w14:textId="77777777" w:rsidTr="00C7260E">
        <w:tc>
          <w:tcPr>
            <w:tcW w:w="1086" w:type="dxa"/>
          </w:tcPr>
          <w:p w14:paraId="5DEA421D" w14:textId="284F9393" w:rsidR="003C37F7" w:rsidRPr="00DB7156" w:rsidRDefault="003C37F7" w:rsidP="00C7260E">
            <w:pPr>
              <w:spacing w:after="0"/>
              <w:rPr>
                <w:rFonts w:cs="Arial"/>
                <w:color w:val="000080"/>
                <w:szCs w:val="24"/>
              </w:rPr>
            </w:pPr>
            <w:r w:rsidRPr="6A44F22A">
              <w:rPr>
                <w:rFonts w:cs="Arial"/>
                <w:color w:val="000080"/>
                <w:szCs w:val="24"/>
              </w:rPr>
              <w:t>XV</w:t>
            </w:r>
            <w:r w:rsidRPr="00DB7156">
              <w:rPr>
                <w:rFonts w:cs="Arial"/>
                <w:color w:val="000080"/>
                <w:szCs w:val="24"/>
              </w:rPr>
              <w:t>.</w:t>
            </w:r>
          </w:p>
        </w:tc>
        <w:tc>
          <w:tcPr>
            <w:tcW w:w="7770" w:type="dxa"/>
          </w:tcPr>
          <w:p w14:paraId="7EF732E4" w14:textId="77777777" w:rsidR="003C37F7" w:rsidRPr="00DB7156" w:rsidRDefault="003C37F7" w:rsidP="00C7260E">
            <w:pPr>
              <w:spacing w:after="0"/>
              <w:rPr>
                <w:rFonts w:cs="Arial"/>
                <w:color w:val="000080"/>
                <w:szCs w:val="24"/>
              </w:rPr>
            </w:pPr>
            <w:r w:rsidRPr="00DB7156">
              <w:rPr>
                <w:rFonts w:cs="Arial"/>
                <w:color w:val="000080"/>
                <w:szCs w:val="24"/>
              </w:rPr>
              <w:t>Ash Handling Methods</w:t>
            </w:r>
          </w:p>
        </w:tc>
      </w:tr>
      <w:tr w:rsidR="003C37F7" w:rsidRPr="00DB7156" w14:paraId="25ECA403" w14:textId="77777777" w:rsidTr="00C7260E">
        <w:tc>
          <w:tcPr>
            <w:tcW w:w="1086" w:type="dxa"/>
          </w:tcPr>
          <w:p w14:paraId="773740CF" w14:textId="77777777" w:rsidR="003C37F7" w:rsidRPr="00DB7156" w:rsidRDefault="003C37F7" w:rsidP="00C7260E">
            <w:pPr>
              <w:spacing w:after="0"/>
              <w:rPr>
                <w:rFonts w:cs="Arial"/>
                <w:color w:val="000080"/>
                <w:szCs w:val="24"/>
              </w:rPr>
            </w:pPr>
          </w:p>
        </w:tc>
        <w:tc>
          <w:tcPr>
            <w:tcW w:w="7770" w:type="dxa"/>
          </w:tcPr>
          <w:p w14:paraId="1DBE3B10" w14:textId="77777777" w:rsidR="003C37F7" w:rsidRPr="00DB7156" w:rsidRDefault="003C37F7" w:rsidP="00C7260E">
            <w:pPr>
              <w:spacing w:after="0"/>
              <w:rPr>
                <w:rFonts w:cs="Arial"/>
                <w:color w:val="000080"/>
                <w:szCs w:val="24"/>
              </w:rPr>
            </w:pPr>
          </w:p>
        </w:tc>
      </w:tr>
      <w:tr w:rsidR="003C37F7" w:rsidRPr="00DB7156" w14:paraId="6F8FA012" w14:textId="77777777" w:rsidTr="00C7260E">
        <w:tc>
          <w:tcPr>
            <w:tcW w:w="1086" w:type="dxa"/>
          </w:tcPr>
          <w:p w14:paraId="025CE0B5" w14:textId="32A5C516" w:rsidR="003C37F7" w:rsidRPr="00DB7156" w:rsidRDefault="003C37F7" w:rsidP="00C7260E">
            <w:pPr>
              <w:spacing w:after="0"/>
              <w:rPr>
                <w:rFonts w:cs="Arial"/>
                <w:color w:val="000080"/>
                <w:szCs w:val="24"/>
              </w:rPr>
            </w:pPr>
            <w:r w:rsidRPr="6A44F22A">
              <w:rPr>
                <w:rFonts w:cs="Arial"/>
                <w:color w:val="000080"/>
                <w:szCs w:val="24"/>
              </w:rPr>
              <w:t>XVI.</w:t>
            </w:r>
          </w:p>
        </w:tc>
        <w:tc>
          <w:tcPr>
            <w:tcW w:w="7770" w:type="dxa"/>
          </w:tcPr>
          <w:p w14:paraId="40253C85" w14:textId="77777777" w:rsidR="003C37F7" w:rsidRPr="00DB7156" w:rsidRDefault="003C37F7" w:rsidP="00C7260E">
            <w:pPr>
              <w:spacing w:after="0"/>
              <w:rPr>
                <w:rFonts w:cs="Arial"/>
                <w:color w:val="000080"/>
                <w:szCs w:val="24"/>
              </w:rPr>
            </w:pPr>
            <w:r w:rsidRPr="00DB7156">
              <w:rPr>
                <w:rFonts w:cs="Arial"/>
                <w:color w:val="000080"/>
                <w:szCs w:val="24"/>
              </w:rPr>
              <w:t>Landfills</w:t>
            </w:r>
          </w:p>
        </w:tc>
      </w:tr>
      <w:tr w:rsidR="003C37F7" w:rsidRPr="00DB7156" w14:paraId="77892D20" w14:textId="77777777" w:rsidTr="00C7260E">
        <w:tc>
          <w:tcPr>
            <w:tcW w:w="1086" w:type="dxa"/>
          </w:tcPr>
          <w:p w14:paraId="73FCB6A4" w14:textId="77777777" w:rsidR="003C37F7" w:rsidRPr="00DB7156" w:rsidRDefault="003C37F7" w:rsidP="00C7260E">
            <w:pPr>
              <w:spacing w:after="0"/>
              <w:rPr>
                <w:rFonts w:cs="Arial"/>
                <w:color w:val="000080"/>
                <w:szCs w:val="24"/>
              </w:rPr>
            </w:pPr>
          </w:p>
        </w:tc>
        <w:tc>
          <w:tcPr>
            <w:tcW w:w="7770" w:type="dxa"/>
          </w:tcPr>
          <w:p w14:paraId="40F7A531" w14:textId="77777777" w:rsidR="003C37F7" w:rsidRPr="00DB7156" w:rsidRDefault="003C37F7" w:rsidP="00C7260E">
            <w:pPr>
              <w:spacing w:after="0"/>
              <w:rPr>
                <w:rFonts w:cs="Arial"/>
                <w:color w:val="000080"/>
                <w:szCs w:val="24"/>
              </w:rPr>
            </w:pPr>
          </w:p>
        </w:tc>
      </w:tr>
      <w:tr w:rsidR="003C37F7" w:rsidRPr="00DB7156" w14:paraId="59D8A4EE" w14:textId="77777777" w:rsidTr="00C7260E">
        <w:tc>
          <w:tcPr>
            <w:tcW w:w="1086" w:type="dxa"/>
          </w:tcPr>
          <w:p w14:paraId="64952D24" w14:textId="304744E3" w:rsidR="003C37F7" w:rsidRPr="00DB7156" w:rsidRDefault="003C37F7" w:rsidP="00C7260E">
            <w:pPr>
              <w:spacing w:after="0"/>
              <w:rPr>
                <w:rFonts w:cs="Arial"/>
                <w:color w:val="000080"/>
                <w:szCs w:val="24"/>
              </w:rPr>
            </w:pPr>
            <w:r w:rsidRPr="6A44F22A">
              <w:rPr>
                <w:rFonts w:cs="Arial"/>
                <w:color w:val="000080"/>
                <w:szCs w:val="24"/>
              </w:rPr>
              <w:t>XVII.</w:t>
            </w:r>
          </w:p>
        </w:tc>
        <w:tc>
          <w:tcPr>
            <w:tcW w:w="7770" w:type="dxa"/>
          </w:tcPr>
          <w:p w14:paraId="49F1BC7B" w14:textId="77777777" w:rsidR="003C37F7" w:rsidRPr="00DB7156" w:rsidRDefault="003C37F7" w:rsidP="00C7260E">
            <w:pPr>
              <w:spacing w:after="0"/>
              <w:rPr>
                <w:rFonts w:cs="Arial"/>
                <w:color w:val="000080"/>
                <w:szCs w:val="24"/>
              </w:rPr>
            </w:pPr>
            <w:r w:rsidRPr="00DB7156">
              <w:rPr>
                <w:rFonts w:cs="Arial"/>
                <w:color w:val="000080"/>
                <w:szCs w:val="24"/>
              </w:rPr>
              <w:t>Waste</w:t>
            </w:r>
            <w:r>
              <w:rPr>
                <w:rFonts w:cs="Arial"/>
                <w:color w:val="000080"/>
                <w:szCs w:val="24"/>
              </w:rPr>
              <w:t>w</w:t>
            </w:r>
            <w:r w:rsidRPr="00DB7156">
              <w:rPr>
                <w:rFonts w:cs="Arial"/>
                <w:color w:val="000080"/>
                <w:szCs w:val="24"/>
              </w:rPr>
              <w:t>ater Treatment</w:t>
            </w:r>
          </w:p>
        </w:tc>
      </w:tr>
    </w:tbl>
    <w:p w14:paraId="27511310" w14:textId="70E5D835" w:rsidR="3B8630E7" w:rsidRDefault="3B8630E7"/>
    <w:p w14:paraId="673C2E07" w14:textId="582D3D1B" w:rsidR="003C37F7" w:rsidRPr="00DB7156" w:rsidRDefault="00624EAE" w:rsidP="003C37F7">
      <w:pPr>
        <w:spacing w:after="0"/>
        <w:rPr>
          <w:rFonts w:cs="Arial"/>
          <w:b/>
          <w:caps/>
          <w:color w:val="000080"/>
          <w:szCs w:val="24"/>
          <w:u w:val="single"/>
        </w:rPr>
      </w:pPr>
      <w:r>
        <w:rPr>
          <w:rFonts w:cs="Arial"/>
          <w:b/>
          <w:caps/>
          <w:color w:val="000080"/>
          <w:szCs w:val="24"/>
          <w:u w:val="single"/>
        </w:rPr>
        <w:br w:type="page"/>
      </w:r>
    </w:p>
    <w:p w14:paraId="502B6E9F" w14:textId="1C9442A7" w:rsidR="003C37F7" w:rsidRPr="00DB7156" w:rsidRDefault="003C37F7" w:rsidP="003C37F7">
      <w:pPr>
        <w:spacing w:after="0"/>
        <w:rPr>
          <w:rFonts w:cs="Arial"/>
          <w:b/>
          <w:caps/>
          <w:color w:val="000080"/>
          <w:szCs w:val="24"/>
          <w:u w:val="single"/>
        </w:rPr>
      </w:pPr>
      <w:r w:rsidRPr="00DB7156">
        <w:rPr>
          <w:rFonts w:cs="Arial"/>
          <w:b/>
          <w:caps/>
          <w:color w:val="000080"/>
          <w:szCs w:val="24"/>
          <w:u w:val="single"/>
        </w:rPr>
        <w:t>environmental Control Alternatives</w:t>
      </w:r>
    </w:p>
    <w:p w14:paraId="2D3FB7E8" w14:textId="77777777" w:rsidR="003C37F7" w:rsidRPr="00DB7156" w:rsidRDefault="003C37F7" w:rsidP="003C37F7">
      <w:pPr>
        <w:spacing w:after="0"/>
        <w:rPr>
          <w:rFonts w:cs="Arial"/>
          <w:color w:val="333399"/>
          <w:szCs w:val="24"/>
        </w:rPr>
      </w:pPr>
    </w:p>
    <w:p w14:paraId="007F1993" w14:textId="77777777" w:rsidR="003C37F7" w:rsidRPr="00DB7156" w:rsidRDefault="003C37F7" w:rsidP="003C37F7">
      <w:pPr>
        <w:spacing w:after="0"/>
        <w:rPr>
          <w:rFonts w:cs="Arial"/>
          <w:szCs w:val="24"/>
        </w:rPr>
      </w:pPr>
    </w:p>
    <w:p w14:paraId="2704CB29" w14:textId="52A6BC12" w:rsidR="003C37F7" w:rsidRPr="00DB7156" w:rsidRDefault="003C37F7" w:rsidP="003C37F7">
      <w:pPr>
        <w:tabs>
          <w:tab w:val="left" w:pos="540"/>
        </w:tabs>
        <w:spacing w:after="0"/>
        <w:rPr>
          <w:rFonts w:cs="Arial"/>
          <w:b/>
          <w:color w:val="000080"/>
          <w:szCs w:val="24"/>
        </w:rPr>
      </w:pPr>
      <w:r w:rsidRPr="00DB7156">
        <w:rPr>
          <w:rFonts w:cs="Arial"/>
          <w:b/>
          <w:color w:val="000080"/>
          <w:szCs w:val="24"/>
        </w:rPr>
        <w:t>I.</w:t>
      </w:r>
      <w:r>
        <w:tab/>
      </w:r>
      <w:r w:rsidRPr="00DB7156">
        <w:rPr>
          <w:rFonts w:cs="Arial"/>
          <w:b/>
          <w:color w:val="000080"/>
          <w:szCs w:val="24"/>
          <w:u w:val="single"/>
        </w:rPr>
        <w:t xml:space="preserve">Selective Catalytic Reduction </w:t>
      </w:r>
      <w:r w:rsidR="5669CB3C" w:rsidRPr="0AF8DB6F">
        <w:rPr>
          <w:rFonts w:cs="Arial"/>
          <w:b/>
          <w:bCs/>
          <w:color w:val="000080"/>
          <w:szCs w:val="24"/>
          <w:u w:val="single"/>
        </w:rPr>
        <w:t>(</w:t>
      </w:r>
      <w:r w:rsidR="4E4FDB38" w:rsidRPr="0AF8DB6F">
        <w:rPr>
          <w:rFonts w:cs="Arial"/>
          <w:b/>
          <w:bCs/>
          <w:color w:val="000080"/>
          <w:szCs w:val="24"/>
          <w:u w:val="single"/>
        </w:rPr>
        <w:t>“</w:t>
      </w:r>
      <w:r w:rsidRPr="00DB7156">
        <w:rPr>
          <w:rFonts w:cs="Arial"/>
          <w:b/>
          <w:color w:val="000080"/>
          <w:szCs w:val="24"/>
          <w:u w:val="single"/>
        </w:rPr>
        <w:t>SCR</w:t>
      </w:r>
      <w:r w:rsidR="4E4FDB38" w:rsidRPr="0AF8DB6F">
        <w:rPr>
          <w:rFonts w:cs="Arial"/>
          <w:b/>
          <w:bCs/>
          <w:color w:val="000080"/>
          <w:szCs w:val="24"/>
          <w:u w:val="single"/>
        </w:rPr>
        <w:t>”</w:t>
      </w:r>
      <w:r w:rsidR="5669CB3C" w:rsidRPr="0AF8DB6F">
        <w:rPr>
          <w:rFonts w:cs="Arial"/>
          <w:b/>
          <w:bCs/>
          <w:color w:val="000080"/>
          <w:szCs w:val="24"/>
          <w:u w:val="single"/>
        </w:rPr>
        <w:t>)</w:t>
      </w:r>
    </w:p>
    <w:p w14:paraId="7DF2A48E" w14:textId="77777777" w:rsidR="003C37F7" w:rsidRPr="00DB7156" w:rsidRDefault="003C37F7" w:rsidP="003C37F7">
      <w:pPr>
        <w:spacing w:after="0"/>
        <w:rPr>
          <w:rFonts w:cs="Arial"/>
          <w:szCs w:val="24"/>
        </w:rPr>
      </w:pPr>
    </w:p>
    <w:p w14:paraId="609FDDEC" w14:textId="77777777" w:rsidR="003C37F7" w:rsidRPr="00DB7156" w:rsidRDefault="003C37F7" w:rsidP="003C37F7">
      <w:pPr>
        <w:spacing w:after="0"/>
        <w:rPr>
          <w:rFonts w:cs="Arial"/>
          <w:szCs w:val="24"/>
        </w:rPr>
      </w:pPr>
      <w:r w:rsidRPr="00DB7156">
        <w:rPr>
          <w:rFonts w:cs="Arial"/>
          <w:szCs w:val="24"/>
        </w:rPr>
        <w:t>SCR technology involves the catalytic reaction of ammonia, which is injected into the flue gas, with NO</w:t>
      </w:r>
      <w:r w:rsidRPr="00DB7156">
        <w:rPr>
          <w:rFonts w:cs="Arial"/>
          <w:szCs w:val="24"/>
          <w:vertAlign w:val="subscript"/>
        </w:rPr>
        <w:t>X</w:t>
      </w:r>
      <w:r w:rsidRPr="00DB7156">
        <w:rPr>
          <w:rFonts w:cs="Arial"/>
          <w:szCs w:val="24"/>
        </w:rPr>
        <w:t xml:space="preserve"> to produce molecular nitrogen (N</w:t>
      </w:r>
      <w:r w:rsidRPr="00DB7156">
        <w:rPr>
          <w:rFonts w:cs="Arial"/>
          <w:szCs w:val="24"/>
          <w:vertAlign w:val="subscript"/>
        </w:rPr>
        <w:t>2</w:t>
      </w:r>
      <w:r>
        <w:rPr>
          <w:rFonts w:cs="Arial"/>
          <w:szCs w:val="24"/>
        </w:rPr>
        <w:t xml:space="preserve">) and water vapor. </w:t>
      </w:r>
      <w:r w:rsidRPr="00DB7156">
        <w:rPr>
          <w:rFonts w:cs="Arial"/>
          <w:szCs w:val="24"/>
        </w:rPr>
        <w:t>These reactions take place across multiple layers of catalyst in the SCR reactor and generally result in a NO</w:t>
      </w:r>
      <w:r w:rsidRPr="00DB7156">
        <w:rPr>
          <w:rFonts w:cs="Arial"/>
          <w:szCs w:val="24"/>
          <w:vertAlign w:val="subscript"/>
        </w:rPr>
        <w:t>X</w:t>
      </w:r>
      <w:r w:rsidRPr="00DB7156">
        <w:rPr>
          <w:rFonts w:cs="Arial"/>
          <w:szCs w:val="24"/>
        </w:rPr>
        <w:t xml:space="preserve"> reduction capability of 85 to 90 percent depending upon the particular application.  Theoretically, the NO</w:t>
      </w:r>
      <w:r w:rsidRPr="00DB7156">
        <w:rPr>
          <w:rFonts w:cs="Arial"/>
          <w:szCs w:val="24"/>
          <w:vertAlign w:val="subscript"/>
        </w:rPr>
        <w:t>X</w:t>
      </w:r>
      <w:r w:rsidRPr="00DB7156">
        <w:rPr>
          <w:rFonts w:cs="Arial"/>
          <w:szCs w:val="24"/>
        </w:rPr>
        <w:t xml:space="preserve"> and ammonia react in the presence of SCR catalysts. However, side reactions that produce undesirable byproducts can occur between ammonia and sulfur trioxide (SO</w:t>
      </w:r>
      <w:r w:rsidRPr="00DB7156">
        <w:rPr>
          <w:rFonts w:cs="Arial"/>
          <w:szCs w:val="24"/>
          <w:vertAlign w:val="subscript"/>
        </w:rPr>
        <w:t>3</w:t>
      </w:r>
      <w:r w:rsidRPr="00DB7156">
        <w:rPr>
          <w:rFonts w:cs="Arial"/>
          <w:szCs w:val="24"/>
        </w:rPr>
        <w:t xml:space="preserve">) in the flue gas.  </w:t>
      </w:r>
    </w:p>
    <w:p w14:paraId="70119267" w14:textId="77777777" w:rsidR="003C37F7" w:rsidRPr="00DB7156" w:rsidRDefault="003C37F7" w:rsidP="003C37F7">
      <w:pPr>
        <w:spacing w:after="0"/>
        <w:rPr>
          <w:rFonts w:cs="Arial"/>
          <w:sz w:val="16"/>
          <w:szCs w:val="16"/>
        </w:rPr>
      </w:pPr>
    </w:p>
    <w:p w14:paraId="6D2A7A4B" w14:textId="77777777" w:rsidR="003C37F7" w:rsidRPr="00DB7156" w:rsidRDefault="003C37F7" w:rsidP="003C37F7">
      <w:pPr>
        <w:spacing w:after="0"/>
        <w:rPr>
          <w:rFonts w:cs="Arial"/>
          <w:szCs w:val="24"/>
        </w:rPr>
      </w:pPr>
      <w:r w:rsidRPr="00DB7156">
        <w:rPr>
          <w:rFonts w:cs="Arial"/>
          <w:szCs w:val="24"/>
        </w:rPr>
        <w:t>The SCR operating temperature ranges from 550 to 750°F. As a result, the SCR system normally is located in a high-dust configuration between the boiler economizer flue gas outlet and the air preheater flue gas inlet where the above temperature range normally occurs. Prior to entering the reactor, ammonia is injected into the flue gas at a sufficient distance upstream of the reactor to provide for adequate mixing of the ammonia and flue gas. The quantity of ammonia injected is adjusted to maintain the desired NO</w:t>
      </w:r>
      <w:r w:rsidRPr="00DB7156">
        <w:rPr>
          <w:rFonts w:cs="Arial"/>
          <w:szCs w:val="24"/>
          <w:vertAlign w:val="subscript"/>
        </w:rPr>
        <w:t>X</w:t>
      </w:r>
      <w:r w:rsidRPr="00DB7156">
        <w:rPr>
          <w:rFonts w:cs="Arial"/>
          <w:szCs w:val="24"/>
        </w:rPr>
        <w:t xml:space="preserve"> reduction level (within design limits). NO</w:t>
      </w:r>
      <w:r w:rsidRPr="00DB7156">
        <w:rPr>
          <w:rFonts w:cs="Arial"/>
          <w:szCs w:val="24"/>
          <w:vertAlign w:val="subscript"/>
        </w:rPr>
        <w:t>X</w:t>
      </w:r>
      <w:r w:rsidRPr="00DB7156">
        <w:rPr>
          <w:rFonts w:cs="Arial"/>
          <w:szCs w:val="24"/>
        </w:rPr>
        <w:t xml:space="preserve"> emissions are reduced in direct proportion to the quantity of ammonia injected up to an ammonia-to-NO</w:t>
      </w:r>
      <w:r w:rsidRPr="00DB7156">
        <w:rPr>
          <w:rFonts w:cs="Arial"/>
          <w:szCs w:val="24"/>
          <w:vertAlign w:val="subscript"/>
        </w:rPr>
        <w:t>X</w:t>
      </w:r>
      <w:r w:rsidRPr="00DB7156">
        <w:rPr>
          <w:rFonts w:cs="Arial"/>
          <w:szCs w:val="24"/>
        </w:rPr>
        <w:t xml:space="preserve"> ratio of approximately 0.80. Above this value (and as the activity of the catalyst declines with age), some of the ammonia can escape the SCR reactor as ammonia slip. This ammonia can react with small quantities of SO</w:t>
      </w:r>
      <w:r w:rsidRPr="00DB7156">
        <w:rPr>
          <w:rFonts w:cs="Arial"/>
          <w:szCs w:val="24"/>
          <w:vertAlign w:val="subscript"/>
        </w:rPr>
        <w:t>3</w:t>
      </w:r>
      <w:r w:rsidRPr="00DB7156">
        <w:rPr>
          <w:rFonts w:cs="Arial"/>
          <w:szCs w:val="24"/>
        </w:rPr>
        <w:t xml:space="preserve"> present in the flue gas to form ammonium bisulfate, which can foul and/or increase the corrosion potential for downstream equipment.</w:t>
      </w:r>
    </w:p>
    <w:p w14:paraId="11A27946" w14:textId="77777777" w:rsidR="003C37F7" w:rsidRPr="00DB7156" w:rsidRDefault="003C37F7" w:rsidP="003C37F7">
      <w:pPr>
        <w:spacing w:after="0"/>
        <w:rPr>
          <w:rFonts w:cs="Arial"/>
          <w:szCs w:val="24"/>
        </w:rPr>
      </w:pPr>
    </w:p>
    <w:p w14:paraId="211326CF" w14:textId="5726A353" w:rsidR="003C37F7" w:rsidRPr="00DB7156" w:rsidRDefault="003C37F7" w:rsidP="003C37F7">
      <w:pPr>
        <w:tabs>
          <w:tab w:val="left" w:pos="540"/>
        </w:tabs>
        <w:spacing w:after="0"/>
        <w:rPr>
          <w:rFonts w:cs="Arial"/>
          <w:b/>
          <w:color w:val="000080"/>
          <w:szCs w:val="24"/>
        </w:rPr>
      </w:pPr>
      <w:r w:rsidRPr="00DB7156">
        <w:rPr>
          <w:rFonts w:cs="Arial"/>
          <w:b/>
          <w:color w:val="000080"/>
          <w:szCs w:val="24"/>
        </w:rPr>
        <w:t>II.</w:t>
      </w:r>
      <w:r>
        <w:tab/>
      </w:r>
      <w:r w:rsidRPr="00DB7156">
        <w:rPr>
          <w:rFonts w:cs="Arial"/>
          <w:b/>
          <w:color w:val="000080"/>
          <w:szCs w:val="24"/>
          <w:u w:val="single"/>
        </w:rPr>
        <w:t xml:space="preserve">Selective Noncatalytic Reduction </w:t>
      </w:r>
      <w:r w:rsidR="5669CB3C" w:rsidRPr="0AF8DB6F">
        <w:rPr>
          <w:rFonts w:cs="Arial"/>
          <w:b/>
          <w:bCs/>
          <w:color w:val="000080"/>
          <w:szCs w:val="24"/>
          <w:u w:val="single"/>
        </w:rPr>
        <w:t>(</w:t>
      </w:r>
      <w:r w:rsidR="4E4FDB38" w:rsidRPr="0AF8DB6F">
        <w:rPr>
          <w:rFonts w:cs="Arial"/>
          <w:b/>
          <w:bCs/>
          <w:color w:val="000080"/>
          <w:szCs w:val="24"/>
          <w:u w:val="single"/>
        </w:rPr>
        <w:t>“</w:t>
      </w:r>
      <w:r w:rsidRPr="00DB7156">
        <w:rPr>
          <w:rFonts w:cs="Arial"/>
          <w:b/>
          <w:color w:val="000080"/>
          <w:szCs w:val="24"/>
          <w:u w:val="single"/>
        </w:rPr>
        <w:t>SNCR</w:t>
      </w:r>
      <w:r w:rsidR="4E4FDB38" w:rsidRPr="0AF8DB6F">
        <w:rPr>
          <w:rFonts w:cs="Arial"/>
          <w:b/>
          <w:bCs/>
          <w:color w:val="000080"/>
          <w:szCs w:val="24"/>
          <w:u w:val="single"/>
        </w:rPr>
        <w:t>”</w:t>
      </w:r>
      <w:r w:rsidR="5669CB3C" w:rsidRPr="0AF8DB6F">
        <w:rPr>
          <w:rFonts w:cs="Arial"/>
          <w:b/>
          <w:bCs/>
          <w:color w:val="000080"/>
          <w:szCs w:val="24"/>
          <w:u w:val="single"/>
        </w:rPr>
        <w:t>)</w:t>
      </w:r>
    </w:p>
    <w:p w14:paraId="76C48566" w14:textId="77777777" w:rsidR="003C37F7" w:rsidRPr="00DB7156" w:rsidRDefault="003C37F7" w:rsidP="003C37F7">
      <w:pPr>
        <w:spacing w:after="0"/>
        <w:rPr>
          <w:rFonts w:cs="Arial"/>
          <w:szCs w:val="24"/>
        </w:rPr>
      </w:pPr>
    </w:p>
    <w:p w14:paraId="6C3E8EB7" w14:textId="77777777" w:rsidR="003C37F7" w:rsidRPr="00DB7156" w:rsidRDefault="003C37F7" w:rsidP="003C37F7">
      <w:pPr>
        <w:spacing w:after="0"/>
        <w:rPr>
          <w:rFonts w:cs="Arial"/>
          <w:szCs w:val="24"/>
        </w:rPr>
      </w:pPr>
      <w:r w:rsidRPr="00DB7156">
        <w:rPr>
          <w:rFonts w:cs="Arial"/>
          <w:szCs w:val="24"/>
        </w:rPr>
        <w:t>SNCR employs chemical injection of ammonia or urea directly into the boiler at a flue gas temperature between 1,600 and 2,100°F. In this temperature range, which is typically near the top of the boiler close to the furnace exit or in the convective pass, the reagent reacts with NO</w:t>
      </w:r>
      <w:r w:rsidRPr="00DB7156">
        <w:rPr>
          <w:rFonts w:cs="Arial"/>
          <w:szCs w:val="24"/>
          <w:vertAlign w:val="subscript"/>
        </w:rPr>
        <w:t>X</w:t>
      </w:r>
      <w:r w:rsidRPr="00DB7156">
        <w:rPr>
          <w:rFonts w:cs="Arial"/>
          <w:szCs w:val="24"/>
        </w:rPr>
        <w:t xml:space="preserve"> to form nitrogen and water without the use of a catalyst to promote the reaction.</w:t>
      </w:r>
    </w:p>
    <w:p w14:paraId="36F5FBA4" w14:textId="77777777" w:rsidR="003C37F7" w:rsidRPr="00DB7156" w:rsidRDefault="003C37F7" w:rsidP="003C37F7">
      <w:pPr>
        <w:spacing w:after="0"/>
        <w:rPr>
          <w:rFonts w:cs="Arial"/>
          <w:szCs w:val="24"/>
        </w:rPr>
      </w:pPr>
    </w:p>
    <w:p w14:paraId="15C3917B" w14:textId="6384BEAF" w:rsidR="003C37F7" w:rsidRPr="00DB7156" w:rsidRDefault="003C37F7" w:rsidP="003C37F7">
      <w:pPr>
        <w:spacing w:after="0"/>
        <w:rPr>
          <w:rFonts w:cs="Arial"/>
          <w:szCs w:val="24"/>
        </w:rPr>
      </w:pPr>
      <w:r w:rsidRPr="00DB7156">
        <w:rPr>
          <w:rFonts w:cs="Arial"/>
          <w:szCs w:val="24"/>
        </w:rPr>
        <w:t>As with SCR, the ammonia slip constraint imposes a limit on the maximum amount of NO</w:t>
      </w:r>
      <w:r w:rsidRPr="00DB7156">
        <w:rPr>
          <w:rFonts w:cs="Arial"/>
          <w:szCs w:val="24"/>
          <w:vertAlign w:val="subscript"/>
        </w:rPr>
        <w:t>X</w:t>
      </w:r>
      <w:r w:rsidRPr="00DB7156">
        <w:rPr>
          <w:rFonts w:cs="Arial"/>
          <w:szCs w:val="24"/>
        </w:rPr>
        <w:t xml:space="preserve"> that can be removed with the SNCR process. Because the process is so temperature sensitive, the ability to follow boiler load becomes </w:t>
      </w:r>
      <w:r w:rsidR="005A1C66">
        <w:rPr>
          <w:rFonts w:cs="Arial"/>
          <w:szCs w:val="24"/>
        </w:rPr>
        <w:t>important</w:t>
      </w:r>
      <w:r w:rsidR="00DD7955" w:rsidRPr="00DB7156">
        <w:rPr>
          <w:rFonts w:cs="Arial"/>
          <w:szCs w:val="24"/>
        </w:rPr>
        <w:t xml:space="preserve"> </w:t>
      </w:r>
      <w:r w:rsidRPr="00DB7156">
        <w:rPr>
          <w:rFonts w:cs="Arial"/>
          <w:szCs w:val="24"/>
        </w:rPr>
        <w:t>when constrained by ammonia slip limits. Advanced SNCR systems use retractable injection lances that improve load-following control for the process. These lances use a “jet curtain” to provide better cross-sectional coverage and rotation of the lance allows for better response to process signals such as boiler load or furnace temperature.</w:t>
      </w:r>
    </w:p>
    <w:p w14:paraId="0AB0D96E" w14:textId="77777777" w:rsidR="003C37F7" w:rsidRPr="00DB7156" w:rsidRDefault="003C37F7" w:rsidP="003C37F7">
      <w:pPr>
        <w:spacing w:after="0"/>
        <w:rPr>
          <w:rFonts w:cs="Arial"/>
          <w:szCs w:val="24"/>
        </w:rPr>
      </w:pPr>
    </w:p>
    <w:p w14:paraId="3D91F7D9" w14:textId="76BCACD3" w:rsidR="003C37F7" w:rsidRPr="00DB7156" w:rsidRDefault="003C37F7" w:rsidP="003C37F7">
      <w:pPr>
        <w:spacing w:after="0"/>
        <w:rPr>
          <w:rFonts w:cs="Arial"/>
          <w:szCs w:val="24"/>
        </w:rPr>
      </w:pPr>
      <w:r w:rsidRPr="00DB7156">
        <w:rPr>
          <w:rFonts w:cs="Arial"/>
          <w:szCs w:val="24"/>
        </w:rPr>
        <w:t>Application of SNCR to utility-scale boilers is highly site specific. Generally, SNCR is capable of 15- to 40-percent NO</w:t>
      </w:r>
      <w:r w:rsidRPr="00DB7156">
        <w:rPr>
          <w:rFonts w:cs="Arial"/>
          <w:szCs w:val="24"/>
          <w:vertAlign w:val="subscript"/>
        </w:rPr>
        <w:t>X</w:t>
      </w:r>
      <w:r w:rsidRPr="00DB7156">
        <w:rPr>
          <w:rFonts w:cs="Arial"/>
          <w:szCs w:val="24"/>
        </w:rPr>
        <w:t xml:space="preserve"> removal, consistent with a 5-parts per million (ppm) ammonia slip constraint. Removal levels above 40 to 50 percent are difficult to achieve due to the high</w:t>
      </w:r>
      <w:r w:rsidR="008178C7">
        <w:rPr>
          <w:rFonts w:cs="Arial"/>
          <w:szCs w:val="24"/>
        </w:rPr>
        <w:t xml:space="preserve"> </w:t>
      </w:r>
      <w:r w:rsidRPr="00DB7156">
        <w:rPr>
          <w:rFonts w:cs="Arial"/>
          <w:szCs w:val="24"/>
        </w:rPr>
        <w:t>ammonia slip that is produced, the stringent requirements placed on the distributions for injected reagents, and the narrow temperature window required for the reaction.</w:t>
      </w:r>
    </w:p>
    <w:p w14:paraId="23DE2417" w14:textId="77777777" w:rsidR="003C37F7" w:rsidRPr="00DB7156" w:rsidRDefault="003C37F7" w:rsidP="003C37F7">
      <w:pPr>
        <w:spacing w:after="0"/>
        <w:rPr>
          <w:rFonts w:cs="Arial"/>
          <w:szCs w:val="24"/>
        </w:rPr>
      </w:pPr>
    </w:p>
    <w:p w14:paraId="1C1B3B2F" w14:textId="77777777" w:rsidR="003C37F7" w:rsidRPr="00DB7156" w:rsidRDefault="003C37F7" w:rsidP="003C37F7">
      <w:pPr>
        <w:spacing w:after="0"/>
        <w:rPr>
          <w:rFonts w:cs="Arial"/>
          <w:szCs w:val="24"/>
        </w:rPr>
      </w:pPr>
      <w:r w:rsidRPr="00DB7156">
        <w:rPr>
          <w:rFonts w:cs="Arial"/>
          <w:szCs w:val="24"/>
        </w:rPr>
        <w:t>One particular benefit of SNCR as compared to SCR is that capital cost is limited due to the absence of catalyst and the associated reactor vessel. However, potentially much higher ammonia slip levels cause increased downstream problems. In addition, the difficulty in meeting temperature and distribution requirements makes implementation of the technology difficult on many boilers, especially on a large-scale boiler (typically greater than 300 MW). SNCR systems also generally require more reducing agent for a given NO</w:t>
      </w:r>
      <w:r w:rsidRPr="00DB7156">
        <w:rPr>
          <w:rFonts w:cs="Arial"/>
          <w:szCs w:val="24"/>
          <w:vertAlign w:val="subscript"/>
        </w:rPr>
        <w:t>X</w:t>
      </w:r>
      <w:r w:rsidRPr="00DB7156">
        <w:rPr>
          <w:rFonts w:cs="Arial"/>
          <w:szCs w:val="24"/>
        </w:rPr>
        <w:t xml:space="preserve"> reduction than do SCR systems since part of the reducing agent can be oxidized at the higher injection temperature, representing an initial loss of reagent.  Furthermore, the oxidation product is often NO</w:t>
      </w:r>
      <w:r w:rsidRPr="00DB7156">
        <w:rPr>
          <w:rFonts w:cs="Arial"/>
          <w:szCs w:val="24"/>
          <w:vertAlign w:val="subscript"/>
        </w:rPr>
        <w:t>X</w:t>
      </w:r>
      <w:r w:rsidRPr="00DB7156">
        <w:rPr>
          <w:rFonts w:cs="Arial"/>
          <w:szCs w:val="24"/>
        </w:rPr>
        <w:t>, requiring additional reagent (ammonia) to remove the NO</w:t>
      </w:r>
      <w:r w:rsidRPr="00DB7156">
        <w:rPr>
          <w:rFonts w:cs="Arial"/>
          <w:szCs w:val="24"/>
          <w:vertAlign w:val="subscript"/>
        </w:rPr>
        <w:t>X</w:t>
      </w:r>
      <w:r w:rsidRPr="00DB7156">
        <w:rPr>
          <w:rFonts w:cs="Arial"/>
          <w:szCs w:val="24"/>
        </w:rPr>
        <w:t xml:space="preserve"> formed via oxidation.</w:t>
      </w:r>
    </w:p>
    <w:p w14:paraId="5BBA2FB9" w14:textId="77777777" w:rsidR="003C37F7" w:rsidRPr="00DB7156" w:rsidRDefault="003C37F7" w:rsidP="003C37F7">
      <w:pPr>
        <w:spacing w:after="0"/>
        <w:rPr>
          <w:rFonts w:cs="Arial"/>
          <w:szCs w:val="24"/>
        </w:rPr>
      </w:pPr>
    </w:p>
    <w:p w14:paraId="10C5A826" w14:textId="77777777" w:rsidR="003C37F7" w:rsidRPr="00DB7156" w:rsidRDefault="003C37F7" w:rsidP="003C37F7">
      <w:pPr>
        <w:tabs>
          <w:tab w:val="left" w:pos="540"/>
        </w:tabs>
        <w:spacing w:after="0"/>
        <w:rPr>
          <w:rFonts w:cs="Arial"/>
          <w:b/>
          <w:color w:val="000080"/>
          <w:szCs w:val="24"/>
        </w:rPr>
      </w:pPr>
      <w:r w:rsidRPr="00DB7156">
        <w:rPr>
          <w:rFonts w:cs="Arial"/>
          <w:b/>
          <w:color w:val="000080"/>
          <w:szCs w:val="24"/>
        </w:rPr>
        <w:t>III.</w:t>
      </w:r>
      <w:r w:rsidRPr="00DB7156">
        <w:rPr>
          <w:rFonts w:cs="Arial"/>
          <w:b/>
          <w:color w:val="000080"/>
          <w:szCs w:val="24"/>
        </w:rPr>
        <w:tab/>
      </w:r>
      <w:r w:rsidRPr="00DB7156">
        <w:rPr>
          <w:rFonts w:cs="Arial"/>
          <w:b/>
          <w:color w:val="000080"/>
          <w:szCs w:val="24"/>
          <w:u w:val="single"/>
        </w:rPr>
        <w:t>Fuel Switch to Natural Gas</w:t>
      </w:r>
    </w:p>
    <w:p w14:paraId="09D0686A" w14:textId="77777777" w:rsidR="003C37F7" w:rsidRPr="00DB7156" w:rsidRDefault="003C37F7" w:rsidP="003C37F7">
      <w:pPr>
        <w:spacing w:after="0"/>
        <w:rPr>
          <w:rFonts w:cs="Arial"/>
          <w:szCs w:val="24"/>
        </w:rPr>
      </w:pPr>
    </w:p>
    <w:p w14:paraId="1B425D3D" w14:textId="77777777" w:rsidR="003C37F7" w:rsidRPr="00DB7156" w:rsidRDefault="003C37F7" w:rsidP="003C37F7">
      <w:pPr>
        <w:spacing w:after="0"/>
        <w:rPr>
          <w:rFonts w:cs="Arial"/>
          <w:szCs w:val="24"/>
        </w:rPr>
      </w:pPr>
      <w:r w:rsidRPr="00DB7156">
        <w:rPr>
          <w:rFonts w:cs="Arial"/>
          <w:szCs w:val="24"/>
        </w:rPr>
        <w:t xml:space="preserve">Existing coal plants can be partially or completely converted to burn natural gas instead of coal.  Since natural gas contains very little sulfur, sulfur oxide emissions can be reduced to a level that is below that produced by flue gas desulfurization. Natural gas does not have constituents that remain after combustion to create ash, unlike coal where the natural minerals are transformed in the coal combustion process. Trace metals, which are present in coal, are largely absent from natural gas and so they are not emitted from natural gas combustion.  </w:t>
      </w:r>
    </w:p>
    <w:p w14:paraId="5BFF9F83" w14:textId="77777777" w:rsidR="003C37F7" w:rsidRPr="00DB7156" w:rsidRDefault="003C37F7" w:rsidP="003C37F7">
      <w:pPr>
        <w:spacing w:after="0"/>
        <w:rPr>
          <w:rFonts w:cs="Arial"/>
          <w:szCs w:val="24"/>
        </w:rPr>
      </w:pPr>
    </w:p>
    <w:p w14:paraId="789740D3" w14:textId="77777777" w:rsidR="003C37F7" w:rsidRPr="00DB7156" w:rsidRDefault="003C37F7" w:rsidP="003C37F7">
      <w:pPr>
        <w:spacing w:after="0"/>
        <w:rPr>
          <w:rFonts w:cs="Arial"/>
          <w:szCs w:val="24"/>
        </w:rPr>
      </w:pPr>
      <w:r w:rsidRPr="00DB7156">
        <w:rPr>
          <w:rFonts w:cs="Arial"/>
          <w:szCs w:val="24"/>
        </w:rPr>
        <w:t>Nitrogen oxides or NO</w:t>
      </w:r>
      <w:r w:rsidRPr="003C04D8">
        <w:rPr>
          <w:rFonts w:cs="Arial"/>
          <w:szCs w:val="24"/>
          <w:vertAlign w:val="subscript"/>
        </w:rPr>
        <w:t>x</w:t>
      </w:r>
      <w:r w:rsidRPr="00DB7156">
        <w:rPr>
          <w:rFonts w:cs="Arial"/>
          <w:szCs w:val="24"/>
        </w:rPr>
        <w:t xml:space="preserve"> results from both fuel chemistry and from the air used in combustion. Therefore, a natural gas conversion does not automatically eliminate emissions of nitrogen oxides. The level of NOx in such a conversion is determined by the boiler design plus the presence and design of low NOx firing systems (see the next section). Well designed and operated low NOx firing systems on coal boilers can produce similar NOx emissions to those seen in natural gas conversions.</w:t>
      </w:r>
    </w:p>
    <w:p w14:paraId="5D9ECF7E" w14:textId="77777777" w:rsidR="003C37F7" w:rsidRPr="00DB7156" w:rsidRDefault="003C37F7" w:rsidP="003C37F7">
      <w:pPr>
        <w:spacing w:after="0"/>
        <w:rPr>
          <w:rFonts w:cs="Arial"/>
          <w:szCs w:val="24"/>
        </w:rPr>
      </w:pPr>
    </w:p>
    <w:p w14:paraId="308B03E5" w14:textId="77777777" w:rsidR="003C37F7" w:rsidRPr="00DB7156" w:rsidRDefault="003C37F7" w:rsidP="003C37F7">
      <w:pPr>
        <w:spacing w:after="0"/>
        <w:rPr>
          <w:rFonts w:cs="Arial"/>
          <w:szCs w:val="24"/>
        </w:rPr>
      </w:pPr>
      <w:r w:rsidRPr="00DB7156">
        <w:rPr>
          <w:rFonts w:cs="Arial"/>
          <w:szCs w:val="24"/>
        </w:rPr>
        <w:t>Natural gas steam electric boile</w:t>
      </w:r>
      <w:r>
        <w:rPr>
          <w:rFonts w:cs="Arial"/>
          <w:szCs w:val="24"/>
        </w:rPr>
        <w:t>rs are not subject to the MATS R</w:t>
      </w:r>
      <w:r w:rsidRPr="00DB7156">
        <w:rPr>
          <w:rFonts w:cs="Arial"/>
          <w:szCs w:val="24"/>
        </w:rPr>
        <w:t xml:space="preserve">ule, which also allows up to an annual 10% heat input from coal. Thus, a coal boiler which is switched to natural gas could still use coal as a backup fuel and not be subject to MATS requirements.  </w:t>
      </w:r>
    </w:p>
    <w:p w14:paraId="602129FA" w14:textId="77777777" w:rsidR="003C37F7" w:rsidRPr="00DB7156" w:rsidRDefault="003C37F7" w:rsidP="003C37F7">
      <w:pPr>
        <w:spacing w:after="0"/>
        <w:rPr>
          <w:rFonts w:cs="Arial"/>
          <w:szCs w:val="24"/>
        </w:rPr>
      </w:pPr>
    </w:p>
    <w:p w14:paraId="73544817" w14:textId="77777777" w:rsidR="003C37F7" w:rsidRPr="00DB7156" w:rsidRDefault="003C37F7" w:rsidP="003C37F7">
      <w:pPr>
        <w:spacing w:after="0"/>
        <w:rPr>
          <w:rFonts w:cs="Arial"/>
          <w:szCs w:val="24"/>
        </w:rPr>
      </w:pPr>
      <w:r w:rsidRPr="00DB7156">
        <w:rPr>
          <w:rFonts w:cs="Arial"/>
          <w:szCs w:val="24"/>
        </w:rPr>
        <w:t>The choice of switching a coal boiler to natural gas is complex, with many factors to be considered. The location of natural gas pipelines, the availability of natural gas in either summer or winter, the energy diversity of the generating fleet, the other environmental regulations surrounding coal ash and water treatment, and local ambient air attainment status all have to be considered.  Switching a coal unit to natural gas can produce lower emissions and – if natural gas prices remain low – produce affordable electricity for customers.</w:t>
      </w:r>
    </w:p>
    <w:p w14:paraId="035E8642" w14:textId="77777777" w:rsidR="003C37F7" w:rsidRPr="00DB7156" w:rsidRDefault="003C37F7" w:rsidP="003C37F7">
      <w:pPr>
        <w:spacing w:after="0"/>
        <w:rPr>
          <w:rFonts w:cs="Arial"/>
          <w:szCs w:val="24"/>
        </w:rPr>
      </w:pPr>
    </w:p>
    <w:p w14:paraId="5C5134AB" w14:textId="77777777" w:rsidR="003C37F7" w:rsidRPr="00DB7156" w:rsidRDefault="003C37F7" w:rsidP="003C37F7">
      <w:pPr>
        <w:keepNext/>
        <w:keepLines/>
        <w:tabs>
          <w:tab w:val="left" w:pos="540"/>
        </w:tabs>
        <w:spacing w:after="0"/>
        <w:rPr>
          <w:rFonts w:cs="Arial"/>
          <w:b/>
          <w:color w:val="000080"/>
          <w:szCs w:val="24"/>
        </w:rPr>
      </w:pPr>
      <w:r w:rsidRPr="00DB7156">
        <w:rPr>
          <w:rFonts w:cs="Arial"/>
          <w:b/>
          <w:color w:val="000080"/>
          <w:szCs w:val="24"/>
        </w:rPr>
        <w:t>IV.</w:t>
      </w:r>
      <w:r w:rsidRPr="00DB7156">
        <w:rPr>
          <w:rFonts w:cs="Arial"/>
          <w:b/>
          <w:color w:val="000080"/>
          <w:szCs w:val="24"/>
        </w:rPr>
        <w:tab/>
      </w:r>
      <w:r w:rsidRPr="00DB7156">
        <w:rPr>
          <w:rFonts w:cs="Arial"/>
          <w:b/>
          <w:color w:val="000080"/>
          <w:szCs w:val="24"/>
          <w:u w:val="single"/>
        </w:rPr>
        <w:t>Low-NO</w:t>
      </w:r>
      <w:r w:rsidRPr="00DB7156">
        <w:rPr>
          <w:rFonts w:cs="Arial"/>
          <w:b/>
          <w:color w:val="000080"/>
          <w:szCs w:val="24"/>
          <w:u w:val="single"/>
          <w:vertAlign w:val="subscript"/>
        </w:rPr>
        <w:t>X</w:t>
      </w:r>
      <w:r w:rsidRPr="00DB7156">
        <w:rPr>
          <w:rFonts w:cs="Arial"/>
          <w:b/>
          <w:color w:val="000080"/>
          <w:szCs w:val="24"/>
          <w:u w:val="single"/>
        </w:rPr>
        <w:t xml:space="preserve"> Burners and Overfire Air </w:t>
      </w:r>
    </w:p>
    <w:p w14:paraId="325E61C8" w14:textId="77777777" w:rsidR="003C37F7" w:rsidRPr="00DB7156" w:rsidRDefault="003C37F7" w:rsidP="003C37F7">
      <w:pPr>
        <w:keepNext/>
        <w:keepLines/>
        <w:spacing w:after="0"/>
        <w:rPr>
          <w:rFonts w:cs="Arial"/>
          <w:b/>
          <w:szCs w:val="24"/>
        </w:rPr>
      </w:pPr>
    </w:p>
    <w:p w14:paraId="69DA1171" w14:textId="77777777" w:rsidR="003C37F7" w:rsidRPr="00DB7156" w:rsidRDefault="003C37F7" w:rsidP="003C37F7">
      <w:pPr>
        <w:keepNext/>
        <w:keepLines/>
        <w:spacing w:after="0"/>
        <w:rPr>
          <w:rFonts w:cs="Arial"/>
          <w:szCs w:val="24"/>
        </w:rPr>
      </w:pPr>
      <w:r w:rsidRPr="00DB7156">
        <w:rPr>
          <w:rFonts w:cs="Arial"/>
          <w:szCs w:val="24"/>
        </w:rPr>
        <w:t>Low-NO</w:t>
      </w:r>
      <w:r w:rsidRPr="00DB7156">
        <w:rPr>
          <w:rFonts w:cs="Arial"/>
          <w:szCs w:val="24"/>
          <w:vertAlign w:val="subscript"/>
        </w:rPr>
        <w:t>X</w:t>
      </w:r>
      <w:r>
        <w:rPr>
          <w:rFonts w:cs="Arial"/>
          <w:szCs w:val="24"/>
        </w:rPr>
        <w:t xml:space="preserve"> B</w:t>
      </w:r>
      <w:r w:rsidRPr="00DB7156">
        <w:rPr>
          <w:rFonts w:cs="Arial"/>
          <w:szCs w:val="24"/>
        </w:rPr>
        <w:t xml:space="preserve">urner </w:t>
      </w:r>
      <w:r>
        <w:rPr>
          <w:rFonts w:cs="Arial"/>
          <w:szCs w:val="24"/>
        </w:rPr>
        <w:t xml:space="preserve">(“LNB”) </w:t>
      </w:r>
      <w:r w:rsidRPr="00DB7156">
        <w:rPr>
          <w:rFonts w:cs="Arial"/>
          <w:szCs w:val="24"/>
        </w:rPr>
        <w:t>is a generic term for a burner designed to combust the fuel while reducing the amount of NO</w:t>
      </w:r>
      <w:r w:rsidRPr="00DB7156">
        <w:rPr>
          <w:rFonts w:cs="Arial"/>
          <w:szCs w:val="24"/>
          <w:vertAlign w:val="subscript"/>
        </w:rPr>
        <w:t>X</w:t>
      </w:r>
      <w:r w:rsidRPr="00DB7156">
        <w:rPr>
          <w:rFonts w:cs="Arial"/>
          <w:szCs w:val="24"/>
        </w:rPr>
        <w:t xml:space="preserve"> that is formed. Since there are several different firing arrangements for oil- and coal-fired boilers, there are several different types of LNBs.</w:t>
      </w:r>
    </w:p>
    <w:p w14:paraId="6DDC0972" w14:textId="77777777" w:rsidR="003C37F7" w:rsidRPr="00DB7156" w:rsidRDefault="003C37F7" w:rsidP="003C37F7">
      <w:pPr>
        <w:spacing w:after="0"/>
        <w:rPr>
          <w:rFonts w:cs="Arial"/>
          <w:szCs w:val="24"/>
        </w:rPr>
      </w:pPr>
    </w:p>
    <w:p w14:paraId="2D633BBF" w14:textId="77777777" w:rsidR="003C37F7" w:rsidRPr="00DB7156" w:rsidRDefault="003C37F7" w:rsidP="003C37F7">
      <w:pPr>
        <w:spacing w:after="0"/>
        <w:rPr>
          <w:rFonts w:cs="Arial"/>
          <w:szCs w:val="24"/>
        </w:rPr>
      </w:pPr>
      <w:r w:rsidRPr="00DB7156">
        <w:rPr>
          <w:rFonts w:cs="Arial"/>
          <w:szCs w:val="24"/>
        </w:rPr>
        <w:t>NO</w:t>
      </w:r>
      <w:r w:rsidRPr="00DB7156">
        <w:rPr>
          <w:rFonts w:cs="Arial"/>
          <w:szCs w:val="24"/>
          <w:vertAlign w:val="subscript"/>
        </w:rPr>
        <w:t>X</w:t>
      </w:r>
      <w:r w:rsidRPr="00DB7156">
        <w:rPr>
          <w:rFonts w:cs="Arial"/>
          <w:szCs w:val="24"/>
        </w:rPr>
        <w:t xml:space="preserve"> is formed during combustion from either the nitrogen in the fuel or the air. NO</w:t>
      </w:r>
      <w:r w:rsidRPr="00DB7156">
        <w:rPr>
          <w:rFonts w:cs="Arial"/>
          <w:szCs w:val="24"/>
          <w:vertAlign w:val="subscript"/>
        </w:rPr>
        <w:t>X</w:t>
      </w:r>
      <w:r w:rsidRPr="00DB7156">
        <w:rPr>
          <w:rFonts w:cs="Arial"/>
          <w:szCs w:val="24"/>
        </w:rPr>
        <w:t xml:space="preserve"> formed from nitrogen in air requires high-flame temperatures and because of this, is usually referred to as thermal NO</w:t>
      </w:r>
      <w:r w:rsidRPr="00DB7156">
        <w:rPr>
          <w:rFonts w:cs="Arial"/>
          <w:szCs w:val="24"/>
          <w:vertAlign w:val="subscript"/>
        </w:rPr>
        <w:t>X</w:t>
      </w:r>
      <w:r w:rsidRPr="00DB7156">
        <w:rPr>
          <w:rFonts w:cs="Arial"/>
          <w:szCs w:val="24"/>
        </w:rPr>
        <w:t>. Some fuels, particularly coal and oil, contain small amounts (2 percent or less) of nitrogen as a chemical constituent. When these fuels are burned, this fuel nitrogen can be oxidized in the flame-producing NO</w:t>
      </w:r>
      <w:r w:rsidRPr="00DB7156">
        <w:rPr>
          <w:rFonts w:cs="Arial"/>
          <w:szCs w:val="24"/>
          <w:vertAlign w:val="subscript"/>
        </w:rPr>
        <w:t>X</w:t>
      </w:r>
      <w:r w:rsidRPr="00DB7156">
        <w:rPr>
          <w:rFonts w:cs="Arial"/>
          <w:szCs w:val="24"/>
        </w:rPr>
        <w:t>, which is referred to as fuel NO</w:t>
      </w:r>
      <w:r w:rsidRPr="00DB7156">
        <w:rPr>
          <w:rFonts w:cs="Arial"/>
          <w:szCs w:val="24"/>
          <w:vertAlign w:val="subscript"/>
        </w:rPr>
        <w:t>X</w:t>
      </w:r>
      <w:r w:rsidRPr="00DB7156">
        <w:rPr>
          <w:rFonts w:cs="Arial"/>
          <w:szCs w:val="24"/>
        </w:rPr>
        <w:t>. Thus, coal and oil can form NO</w:t>
      </w:r>
      <w:r w:rsidRPr="00DB7156">
        <w:rPr>
          <w:rFonts w:cs="Arial"/>
          <w:szCs w:val="24"/>
          <w:vertAlign w:val="subscript"/>
        </w:rPr>
        <w:t>X</w:t>
      </w:r>
      <w:r w:rsidRPr="00DB7156">
        <w:rPr>
          <w:rFonts w:cs="Arial"/>
          <w:szCs w:val="24"/>
        </w:rPr>
        <w:t xml:space="preserve"> from the thermal NO</w:t>
      </w:r>
      <w:r w:rsidRPr="00DB7156">
        <w:rPr>
          <w:rFonts w:cs="Arial"/>
          <w:szCs w:val="24"/>
          <w:vertAlign w:val="subscript"/>
        </w:rPr>
        <w:t>X</w:t>
      </w:r>
      <w:r w:rsidRPr="00DB7156">
        <w:rPr>
          <w:rFonts w:cs="Arial"/>
          <w:szCs w:val="24"/>
        </w:rPr>
        <w:t xml:space="preserve"> and the fuel NO</w:t>
      </w:r>
      <w:r w:rsidRPr="00DB7156">
        <w:rPr>
          <w:rFonts w:cs="Arial"/>
          <w:szCs w:val="24"/>
          <w:vertAlign w:val="subscript"/>
        </w:rPr>
        <w:t>X</w:t>
      </w:r>
      <w:r w:rsidRPr="00DB7156">
        <w:rPr>
          <w:rFonts w:cs="Arial"/>
          <w:szCs w:val="24"/>
        </w:rPr>
        <w:t xml:space="preserve"> mechanisms, but the fuel-nitrogen pathway is by far the predominant one. Since natural gas contains no fuel nitrogen, thermal NO</w:t>
      </w:r>
      <w:r w:rsidRPr="00DB7156">
        <w:rPr>
          <w:rFonts w:cs="Arial"/>
          <w:szCs w:val="24"/>
          <w:vertAlign w:val="subscript"/>
        </w:rPr>
        <w:t>X</w:t>
      </w:r>
      <w:r w:rsidRPr="00DB7156">
        <w:rPr>
          <w:rFonts w:cs="Arial"/>
          <w:szCs w:val="24"/>
        </w:rPr>
        <w:t xml:space="preserve"> </w:t>
      </w:r>
      <w:r w:rsidRPr="00DB7156">
        <w:rPr>
          <w:rFonts w:cs="Arial"/>
          <w:i/>
          <w:szCs w:val="24"/>
        </w:rPr>
        <w:t>only</w:t>
      </w:r>
      <w:r w:rsidRPr="00DB7156">
        <w:rPr>
          <w:rFonts w:cs="Arial"/>
          <w:szCs w:val="24"/>
        </w:rPr>
        <w:t xml:space="preserve"> is formed, explaining why natural gas flames have much lower NO</w:t>
      </w:r>
      <w:r w:rsidRPr="00DB7156">
        <w:rPr>
          <w:rFonts w:cs="Arial"/>
          <w:szCs w:val="24"/>
          <w:vertAlign w:val="subscript"/>
        </w:rPr>
        <w:t>X</w:t>
      </w:r>
      <w:r w:rsidRPr="00DB7156">
        <w:rPr>
          <w:rFonts w:cs="Arial"/>
          <w:szCs w:val="24"/>
        </w:rPr>
        <w:t xml:space="preserve"> levels than coal.</w:t>
      </w:r>
    </w:p>
    <w:p w14:paraId="52F7E66D" w14:textId="77777777" w:rsidR="003C37F7" w:rsidRPr="00DB7156" w:rsidRDefault="003C37F7" w:rsidP="003C37F7">
      <w:pPr>
        <w:spacing w:after="0"/>
        <w:rPr>
          <w:rFonts w:cs="Arial"/>
          <w:szCs w:val="24"/>
        </w:rPr>
      </w:pPr>
    </w:p>
    <w:p w14:paraId="0B4FCDD9" w14:textId="77777777" w:rsidR="003C37F7" w:rsidRPr="00DB7156" w:rsidRDefault="003C37F7" w:rsidP="003C37F7">
      <w:pPr>
        <w:spacing w:after="0"/>
        <w:rPr>
          <w:rFonts w:cs="Arial"/>
          <w:szCs w:val="24"/>
        </w:rPr>
      </w:pPr>
      <w:r w:rsidRPr="00DB7156">
        <w:rPr>
          <w:rFonts w:cs="Arial"/>
          <w:szCs w:val="24"/>
        </w:rPr>
        <w:t>LNBs for coal and heavy oil are designed to reduce NO</w:t>
      </w:r>
      <w:r w:rsidRPr="00DB7156">
        <w:rPr>
          <w:rFonts w:cs="Arial"/>
          <w:szCs w:val="24"/>
          <w:vertAlign w:val="subscript"/>
        </w:rPr>
        <w:t>X</w:t>
      </w:r>
      <w:r w:rsidRPr="00DB7156">
        <w:rPr>
          <w:rFonts w:cs="Arial"/>
          <w:szCs w:val="24"/>
        </w:rPr>
        <w:t xml:space="preserve"> by allowing the fuel nitrogen to be released from the fuel in a region with low-oxygen concentration. Most of the fuel nitrogen can then react to molecular nitrogen (N</w:t>
      </w:r>
      <w:r w:rsidRPr="00DB7156">
        <w:rPr>
          <w:rFonts w:cs="Arial"/>
          <w:szCs w:val="24"/>
          <w:vertAlign w:val="subscript"/>
        </w:rPr>
        <w:t>2</w:t>
      </w:r>
      <w:r w:rsidRPr="00DB7156">
        <w:rPr>
          <w:rFonts w:cs="Arial"/>
          <w:szCs w:val="24"/>
        </w:rPr>
        <w:t>, the main constituent of air). High temperatures are needed to extract most of the nitrogen from the fuel and low-oxygen concentrations are also necessary to prevent the fuel nitrogen from being oxidized. This approach is known as air staging because a portion of the combustion air must be introduced later in the combustion process to form this low-oxygen reduction zone. Wall-fired LNBs achieve this end by an aerodynamic trick in each burner’s flame while, in a tangentially fired furnace, a portion of the secondary air is diverted above the flame (</w:t>
      </w:r>
      <w:r>
        <w:rPr>
          <w:rFonts w:cs="Arial"/>
          <w:szCs w:val="24"/>
        </w:rPr>
        <w:t xml:space="preserve">i.e. </w:t>
      </w:r>
      <w:r w:rsidRPr="00DB7156">
        <w:rPr>
          <w:rFonts w:cs="Arial"/>
          <w:szCs w:val="24"/>
        </w:rPr>
        <w:t>OFA), producing a low-oxygen zone in the entire lower furnace.</w:t>
      </w:r>
    </w:p>
    <w:p w14:paraId="0F98C70A" w14:textId="77777777" w:rsidR="003C37F7" w:rsidRPr="00DB7156" w:rsidRDefault="003C37F7" w:rsidP="003C37F7">
      <w:pPr>
        <w:spacing w:after="0"/>
        <w:rPr>
          <w:rFonts w:cs="Arial"/>
          <w:szCs w:val="24"/>
        </w:rPr>
      </w:pPr>
    </w:p>
    <w:p w14:paraId="73188FDD" w14:textId="77777777" w:rsidR="003C37F7" w:rsidRPr="00DB7156" w:rsidRDefault="003C37F7" w:rsidP="003C37F7">
      <w:pPr>
        <w:spacing w:after="0"/>
        <w:rPr>
          <w:rFonts w:cs="Arial"/>
          <w:szCs w:val="24"/>
        </w:rPr>
      </w:pPr>
      <w:r w:rsidRPr="00DB7156">
        <w:rPr>
          <w:rFonts w:cs="Arial"/>
          <w:szCs w:val="24"/>
        </w:rPr>
        <w:t>LNBs for wall-fired units are typically dual-register burners. By using two separate registers for the secondary air, some of the secondary air is used to initiate and stabilize the flame (with inner-register air), while most of the secondary air is directed by the outer register to bypass the initial flame and then mix with the flame after the fuel nitrogen is released and converted to N</w:t>
      </w:r>
      <w:r w:rsidRPr="00DB7156">
        <w:rPr>
          <w:rFonts w:cs="Arial"/>
          <w:szCs w:val="24"/>
          <w:vertAlign w:val="subscript"/>
        </w:rPr>
        <w:t>2</w:t>
      </w:r>
      <w:r w:rsidRPr="00DB7156">
        <w:rPr>
          <w:rFonts w:cs="Arial"/>
          <w:szCs w:val="24"/>
        </w:rPr>
        <w:t>. Different manufacturers use different hardware implementations for this process, but the general technical concept is much the same.  Most also use some means of ensuring the flame stays attached to the tip of the burner.  A stable, attached flame is a lower NO</w:t>
      </w:r>
      <w:r w:rsidRPr="00DB7156">
        <w:rPr>
          <w:rFonts w:cs="Arial"/>
          <w:szCs w:val="24"/>
          <w:vertAlign w:val="subscript"/>
        </w:rPr>
        <w:t>X</w:t>
      </w:r>
      <w:r w:rsidRPr="00DB7156">
        <w:rPr>
          <w:rFonts w:cs="Arial"/>
          <w:szCs w:val="24"/>
        </w:rPr>
        <w:t xml:space="preserve"> producer than either an unstable flame or a detached flame.</w:t>
      </w:r>
    </w:p>
    <w:p w14:paraId="10540B32" w14:textId="77777777" w:rsidR="003C37F7" w:rsidRPr="00DB7156" w:rsidRDefault="003C37F7" w:rsidP="003C37F7">
      <w:pPr>
        <w:spacing w:after="0"/>
        <w:rPr>
          <w:rFonts w:cs="Arial"/>
          <w:szCs w:val="24"/>
        </w:rPr>
      </w:pPr>
    </w:p>
    <w:p w14:paraId="033E4506" w14:textId="77777777" w:rsidR="003C37F7" w:rsidRPr="00DB7156" w:rsidRDefault="003C37F7" w:rsidP="003C37F7">
      <w:pPr>
        <w:tabs>
          <w:tab w:val="left" w:pos="540"/>
        </w:tabs>
        <w:spacing w:after="0"/>
        <w:rPr>
          <w:rFonts w:cs="Arial"/>
          <w:szCs w:val="24"/>
        </w:rPr>
      </w:pPr>
      <w:r w:rsidRPr="00DB7156">
        <w:rPr>
          <w:rFonts w:cs="Arial"/>
          <w:szCs w:val="24"/>
        </w:rPr>
        <w:t>LNBs for tangentially fired boilers serve to assist in NO</w:t>
      </w:r>
      <w:r w:rsidRPr="00DB7156">
        <w:rPr>
          <w:rFonts w:cs="Arial"/>
          <w:szCs w:val="24"/>
          <w:vertAlign w:val="subscript"/>
        </w:rPr>
        <w:t>X</w:t>
      </w:r>
      <w:r w:rsidRPr="00DB7156">
        <w:rPr>
          <w:rFonts w:cs="Arial"/>
          <w:szCs w:val="24"/>
        </w:rPr>
        <w:t xml:space="preserve"> reduction by supporting the air staging used for the major NO</w:t>
      </w:r>
      <w:r w:rsidRPr="00DB7156">
        <w:rPr>
          <w:rFonts w:cs="Arial"/>
          <w:szCs w:val="24"/>
          <w:vertAlign w:val="subscript"/>
        </w:rPr>
        <w:t>X</w:t>
      </w:r>
      <w:r w:rsidRPr="00DB7156">
        <w:rPr>
          <w:rFonts w:cs="Arial"/>
          <w:szCs w:val="24"/>
        </w:rPr>
        <w:t xml:space="preserve"> reduction technique. There are different manufacturing designs for low NO</w:t>
      </w:r>
      <w:r w:rsidRPr="00A10BC9">
        <w:rPr>
          <w:rFonts w:cs="Arial"/>
          <w:szCs w:val="24"/>
          <w:vertAlign w:val="subscript"/>
        </w:rPr>
        <w:t>X</w:t>
      </w:r>
      <w:r w:rsidRPr="00DB7156">
        <w:rPr>
          <w:rFonts w:cs="Arial"/>
          <w:szCs w:val="24"/>
        </w:rPr>
        <w:t xml:space="preserve"> burners for these plants that control the mixing and direction of the combustion air relative to the coal-air mixture injected into the furnace. Most tangentially-fired boilers rely heavily on OFA in addition to low NO</w:t>
      </w:r>
      <w:r w:rsidRPr="00A10BC9">
        <w:rPr>
          <w:rFonts w:cs="Arial"/>
          <w:szCs w:val="24"/>
          <w:vertAlign w:val="subscript"/>
        </w:rPr>
        <w:t>X</w:t>
      </w:r>
      <w:r w:rsidRPr="00DB7156">
        <w:rPr>
          <w:rFonts w:cs="Arial"/>
          <w:szCs w:val="24"/>
        </w:rPr>
        <w:t xml:space="preserve"> burners.</w:t>
      </w:r>
    </w:p>
    <w:p w14:paraId="06EAB214" w14:textId="77777777" w:rsidR="003C37F7" w:rsidRPr="00DB7156" w:rsidRDefault="003C37F7" w:rsidP="003C37F7">
      <w:pPr>
        <w:tabs>
          <w:tab w:val="left" w:pos="540"/>
        </w:tabs>
        <w:spacing w:after="0"/>
        <w:rPr>
          <w:rFonts w:cs="Arial"/>
          <w:szCs w:val="24"/>
        </w:rPr>
      </w:pPr>
    </w:p>
    <w:p w14:paraId="74BE53E6" w14:textId="77777777" w:rsidR="003C37F7" w:rsidRPr="00DB7156" w:rsidRDefault="003C37F7" w:rsidP="003C37F7">
      <w:pPr>
        <w:spacing w:after="0"/>
        <w:rPr>
          <w:rFonts w:cs="Arial"/>
          <w:szCs w:val="24"/>
        </w:rPr>
      </w:pPr>
      <w:r w:rsidRPr="00DB7156">
        <w:rPr>
          <w:rFonts w:cs="Arial"/>
          <w:szCs w:val="24"/>
        </w:rPr>
        <w:t>OFA is a very effective method to reduce NO</w:t>
      </w:r>
      <w:r w:rsidRPr="00A10BC9">
        <w:rPr>
          <w:rFonts w:cs="Arial"/>
          <w:szCs w:val="24"/>
          <w:vertAlign w:val="subscript"/>
        </w:rPr>
        <w:t>X</w:t>
      </w:r>
      <w:r w:rsidRPr="00DB7156">
        <w:rPr>
          <w:rFonts w:cs="Arial"/>
          <w:szCs w:val="24"/>
        </w:rPr>
        <w:t xml:space="preserve"> emissions. In fact, the most general approach to lowering NO</w:t>
      </w:r>
      <w:r w:rsidRPr="00DB7156">
        <w:rPr>
          <w:rFonts w:cs="Arial"/>
          <w:szCs w:val="24"/>
          <w:vertAlign w:val="subscript"/>
        </w:rPr>
        <w:t>X</w:t>
      </w:r>
      <w:r w:rsidRPr="00DB7156">
        <w:rPr>
          <w:rFonts w:cs="Arial"/>
          <w:szCs w:val="24"/>
        </w:rPr>
        <w:t xml:space="preserve"> produced in oil or coal combustion is to create a main flame zone that is deficient in oxygen and is known as a reducing atmosphere. If the temperature can be held high in this reducing zone, the majority of the fuel nitrogen can be driven from the fuel. Since little oxygen would be present, this fuel nitrogen then reacts to form N</w:t>
      </w:r>
      <w:r w:rsidRPr="00DB7156">
        <w:rPr>
          <w:rFonts w:cs="Arial"/>
          <w:szCs w:val="24"/>
          <w:vertAlign w:val="subscript"/>
        </w:rPr>
        <w:t>2</w:t>
      </w:r>
      <w:r w:rsidRPr="00DB7156">
        <w:rPr>
          <w:rFonts w:cs="Arial"/>
          <w:szCs w:val="24"/>
        </w:rPr>
        <w:t>, which is the main constituent of air. OFA is the air that is added to finish the combustion process started in the combustion zone. In a vertical flow typical of boilers, the reducing zone is the main combustion zone. OFA is added above this flame zone, thus the name “overfire” air.</w:t>
      </w:r>
    </w:p>
    <w:p w14:paraId="44A59CF3" w14:textId="77777777" w:rsidR="003C37F7" w:rsidRPr="00DB7156" w:rsidRDefault="003C37F7" w:rsidP="003C37F7">
      <w:pPr>
        <w:spacing w:after="0"/>
        <w:rPr>
          <w:rFonts w:cs="Arial"/>
          <w:szCs w:val="24"/>
        </w:rPr>
      </w:pPr>
    </w:p>
    <w:p w14:paraId="2082F151" w14:textId="77777777" w:rsidR="003C37F7" w:rsidRPr="00DB7156" w:rsidRDefault="003C37F7" w:rsidP="003C37F7">
      <w:pPr>
        <w:spacing w:after="0"/>
        <w:rPr>
          <w:rFonts w:cs="Arial"/>
          <w:szCs w:val="24"/>
        </w:rPr>
      </w:pPr>
      <w:r w:rsidRPr="00DB7156">
        <w:rPr>
          <w:rFonts w:cs="Arial"/>
          <w:szCs w:val="24"/>
        </w:rPr>
        <w:t>Up to approximately 30 percent of the total air needed for combustion may be supplied as OFA. As the amount of OFA increases, the NO</w:t>
      </w:r>
      <w:r w:rsidRPr="00DB7156">
        <w:rPr>
          <w:rFonts w:cs="Arial"/>
          <w:szCs w:val="24"/>
          <w:vertAlign w:val="subscript"/>
        </w:rPr>
        <w:t>X</w:t>
      </w:r>
      <w:r w:rsidRPr="00DB7156">
        <w:rPr>
          <w:rFonts w:cs="Arial"/>
          <w:szCs w:val="24"/>
        </w:rPr>
        <w:t xml:space="preserve"> emissions of the combustion process decrease, up to a point. Any further increase in the amount of OFA above this point will cause the NO</w:t>
      </w:r>
      <w:r w:rsidRPr="00DB7156">
        <w:rPr>
          <w:rFonts w:cs="Arial"/>
          <w:szCs w:val="24"/>
          <w:vertAlign w:val="subscript"/>
        </w:rPr>
        <w:t>X</w:t>
      </w:r>
      <w:r w:rsidRPr="00DB7156">
        <w:rPr>
          <w:rFonts w:cs="Arial"/>
          <w:szCs w:val="24"/>
        </w:rPr>
        <w:t xml:space="preserve"> emissions to increase. The practical limitations on the amount of OFA that can be used are:</w:t>
      </w:r>
    </w:p>
    <w:p w14:paraId="5A707E80" w14:textId="77777777" w:rsidR="003C37F7" w:rsidRPr="00DB7156" w:rsidRDefault="003C37F7" w:rsidP="003C37F7">
      <w:pPr>
        <w:spacing w:after="0"/>
        <w:rPr>
          <w:rFonts w:cs="Arial"/>
          <w:szCs w:val="24"/>
        </w:rPr>
      </w:pPr>
    </w:p>
    <w:p w14:paraId="28B1D8AE" w14:textId="77777777" w:rsidR="003C37F7" w:rsidRPr="00DB7156" w:rsidRDefault="003C37F7" w:rsidP="0034029A">
      <w:pPr>
        <w:numPr>
          <w:ilvl w:val="0"/>
          <w:numId w:val="3"/>
        </w:numPr>
        <w:spacing w:after="0"/>
        <w:rPr>
          <w:rFonts w:cs="Arial"/>
        </w:rPr>
      </w:pPr>
      <w:r w:rsidRPr="0B10EE18">
        <w:rPr>
          <w:rFonts w:cs="Arial"/>
        </w:rPr>
        <w:t>Stability of the main flame</w:t>
      </w:r>
    </w:p>
    <w:p w14:paraId="49D25F6E" w14:textId="77777777" w:rsidR="003C37F7" w:rsidRPr="00DB7156" w:rsidRDefault="003C37F7" w:rsidP="0034029A">
      <w:pPr>
        <w:numPr>
          <w:ilvl w:val="0"/>
          <w:numId w:val="3"/>
        </w:numPr>
        <w:spacing w:after="0"/>
        <w:rPr>
          <w:rFonts w:cs="Arial"/>
        </w:rPr>
      </w:pPr>
      <w:r w:rsidRPr="0B10EE18">
        <w:rPr>
          <w:rFonts w:cs="Arial"/>
        </w:rPr>
        <w:t>Corrosion of the metal steam tubes</w:t>
      </w:r>
    </w:p>
    <w:p w14:paraId="26A3DF19" w14:textId="77777777" w:rsidR="003C37F7" w:rsidRPr="00DB7156" w:rsidRDefault="003C37F7" w:rsidP="0034029A">
      <w:pPr>
        <w:numPr>
          <w:ilvl w:val="0"/>
          <w:numId w:val="3"/>
        </w:numPr>
        <w:spacing w:after="0"/>
        <w:rPr>
          <w:rFonts w:cs="Arial"/>
        </w:rPr>
      </w:pPr>
      <w:r w:rsidRPr="0B10EE18">
        <w:rPr>
          <w:rFonts w:cs="Arial"/>
        </w:rPr>
        <w:t>Production of carbon monoxide</w:t>
      </w:r>
    </w:p>
    <w:p w14:paraId="77B27747" w14:textId="77777777" w:rsidR="003C37F7" w:rsidRPr="00DB7156" w:rsidRDefault="003C37F7" w:rsidP="0034029A">
      <w:pPr>
        <w:numPr>
          <w:ilvl w:val="0"/>
          <w:numId w:val="3"/>
        </w:numPr>
        <w:spacing w:after="0"/>
        <w:rPr>
          <w:rFonts w:cs="Arial"/>
        </w:rPr>
      </w:pPr>
      <w:r w:rsidRPr="0B10EE18">
        <w:rPr>
          <w:rFonts w:cs="Arial"/>
        </w:rPr>
        <w:t>Increases in the amount of unburned carbon that escapes the furnace and is collected with the fly ash</w:t>
      </w:r>
    </w:p>
    <w:p w14:paraId="1496DDA6" w14:textId="77777777" w:rsidR="003C37F7" w:rsidRPr="00DB7156" w:rsidRDefault="003C37F7" w:rsidP="003C37F7">
      <w:pPr>
        <w:spacing w:after="0"/>
        <w:rPr>
          <w:rFonts w:cs="Arial"/>
          <w:szCs w:val="24"/>
        </w:rPr>
      </w:pPr>
    </w:p>
    <w:p w14:paraId="7AC1F0B5" w14:textId="77777777" w:rsidR="003C37F7" w:rsidRPr="00DB7156" w:rsidRDefault="003C37F7" w:rsidP="003C37F7">
      <w:pPr>
        <w:spacing w:after="0"/>
        <w:rPr>
          <w:rFonts w:cs="Arial"/>
          <w:szCs w:val="24"/>
        </w:rPr>
      </w:pPr>
      <w:r w:rsidRPr="00DB7156">
        <w:rPr>
          <w:rFonts w:cs="Arial"/>
          <w:szCs w:val="24"/>
        </w:rPr>
        <w:t>OFA is a part of most of the tangentially fired NO</w:t>
      </w:r>
      <w:r w:rsidRPr="00DB7156">
        <w:rPr>
          <w:rFonts w:cs="Arial"/>
          <w:szCs w:val="24"/>
          <w:vertAlign w:val="subscript"/>
        </w:rPr>
        <w:t>X</w:t>
      </w:r>
      <w:r w:rsidRPr="00DB7156">
        <w:rPr>
          <w:rFonts w:cs="Arial"/>
          <w:szCs w:val="24"/>
        </w:rPr>
        <w:t xml:space="preserve"> control systems described.</w:t>
      </w:r>
    </w:p>
    <w:p w14:paraId="7D3C53ED" w14:textId="77777777" w:rsidR="003C37F7" w:rsidRPr="00DB7156" w:rsidRDefault="003C37F7" w:rsidP="003C37F7">
      <w:pPr>
        <w:tabs>
          <w:tab w:val="left" w:pos="540"/>
        </w:tabs>
        <w:spacing w:after="0"/>
        <w:rPr>
          <w:rFonts w:cs="Arial"/>
          <w:szCs w:val="24"/>
        </w:rPr>
      </w:pPr>
    </w:p>
    <w:p w14:paraId="0E6C94D3" w14:textId="3CD63AF6" w:rsidR="003C37F7" w:rsidRPr="00DB7156" w:rsidRDefault="003C37F7" w:rsidP="003C37F7">
      <w:pPr>
        <w:tabs>
          <w:tab w:val="left" w:pos="540"/>
        </w:tabs>
        <w:spacing w:after="0"/>
        <w:rPr>
          <w:rFonts w:cs="Arial"/>
          <w:b/>
          <w:color w:val="CC0000"/>
          <w:szCs w:val="24"/>
        </w:rPr>
      </w:pPr>
      <w:r w:rsidRPr="00DB7156">
        <w:rPr>
          <w:rFonts w:cs="Arial"/>
          <w:b/>
          <w:color w:val="000080"/>
          <w:szCs w:val="24"/>
        </w:rPr>
        <w:t>V.</w:t>
      </w:r>
      <w:r>
        <w:tab/>
      </w:r>
      <w:r w:rsidRPr="00DB7156">
        <w:rPr>
          <w:rFonts w:cs="Arial"/>
          <w:b/>
          <w:color w:val="000080"/>
          <w:szCs w:val="24"/>
          <w:u w:val="single"/>
        </w:rPr>
        <w:t>Powder River Basin (</w:t>
      </w:r>
      <w:r w:rsidR="005E530B">
        <w:rPr>
          <w:rFonts w:cs="Arial"/>
          <w:b/>
          <w:color w:val="000080"/>
          <w:szCs w:val="24"/>
          <w:u w:val="single"/>
        </w:rPr>
        <w:t>“</w:t>
      </w:r>
      <w:r w:rsidRPr="00DB7156">
        <w:rPr>
          <w:rFonts w:cs="Arial"/>
          <w:b/>
          <w:color w:val="000080"/>
          <w:szCs w:val="24"/>
          <w:u w:val="single"/>
        </w:rPr>
        <w:t>PRB</w:t>
      </w:r>
      <w:r w:rsidR="005E530B">
        <w:rPr>
          <w:rFonts w:cs="Arial"/>
          <w:b/>
          <w:color w:val="000080"/>
          <w:szCs w:val="24"/>
          <w:u w:val="single"/>
        </w:rPr>
        <w:t>”</w:t>
      </w:r>
      <w:r w:rsidRPr="00DB7156">
        <w:rPr>
          <w:rFonts w:cs="Arial"/>
          <w:b/>
          <w:color w:val="000080"/>
          <w:szCs w:val="24"/>
          <w:u w:val="single"/>
        </w:rPr>
        <w:t>) Coal</w:t>
      </w:r>
    </w:p>
    <w:p w14:paraId="76962184" w14:textId="77777777" w:rsidR="003C37F7" w:rsidRPr="00DB7156" w:rsidRDefault="003C37F7" w:rsidP="003C37F7">
      <w:pPr>
        <w:spacing w:after="0"/>
        <w:rPr>
          <w:rFonts w:cs="Arial"/>
          <w:szCs w:val="24"/>
        </w:rPr>
      </w:pPr>
    </w:p>
    <w:p w14:paraId="7890AE00" w14:textId="1916BA8C" w:rsidR="003C37F7" w:rsidRDefault="003C37F7" w:rsidP="003C37F7">
      <w:pPr>
        <w:tabs>
          <w:tab w:val="left" w:pos="540"/>
        </w:tabs>
        <w:spacing w:after="0"/>
        <w:rPr>
          <w:rFonts w:cs="Arial"/>
          <w:szCs w:val="24"/>
        </w:rPr>
      </w:pPr>
      <w:r w:rsidRPr="00DB7156">
        <w:rPr>
          <w:rFonts w:cs="Arial"/>
          <w:szCs w:val="24"/>
        </w:rPr>
        <w:t>PRB coal is a subbituminous coal mined primarily from seams in the PRB located in Wyoming and Montana in the western United States. Reasons for broadening the use of PRB coal include favorable economics and the added benefits of lower fuel-bound nitrogen and sulfur components that enhance the ability of generating units to minimize NO</w:t>
      </w:r>
      <w:r w:rsidRPr="00DB7156">
        <w:rPr>
          <w:rFonts w:cs="Arial"/>
          <w:szCs w:val="24"/>
          <w:vertAlign w:val="subscript"/>
        </w:rPr>
        <w:t>X</w:t>
      </w:r>
      <w:r w:rsidRPr="00DB7156">
        <w:rPr>
          <w:rFonts w:cs="Arial"/>
          <w:szCs w:val="24"/>
        </w:rPr>
        <w:t>, as well as SO</w:t>
      </w:r>
      <w:r w:rsidRPr="00DB7156">
        <w:rPr>
          <w:rFonts w:cs="Arial"/>
          <w:szCs w:val="24"/>
          <w:vertAlign w:val="subscript"/>
        </w:rPr>
        <w:t>2</w:t>
      </w:r>
      <w:r w:rsidRPr="00DB7156">
        <w:rPr>
          <w:rFonts w:cs="Arial"/>
          <w:szCs w:val="24"/>
        </w:rPr>
        <w:t xml:space="preserve"> emissions. Additional NO</w:t>
      </w:r>
      <w:r w:rsidRPr="00DB7156">
        <w:rPr>
          <w:rFonts w:cs="Arial"/>
          <w:szCs w:val="24"/>
          <w:vertAlign w:val="subscript"/>
        </w:rPr>
        <w:t>X</w:t>
      </w:r>
      <w:r w:rsidRPr="00DB7156">
        <w:rPr>
          <w:rFonts w:cs="Arial"/>
          <w:szCs w:val="24"/>
        </w:rPr>
        <w:t xml:space="preserve"> reductions are realized because of the lower combustion flame temperature brought about by the higher moisture content in PRB coal. With this increase in moisture content come lower heat contents (heating values), suppression of mill outlet temperatures below design minimums, possible loss of generation due to unit-load deratings, and potential increased forced outage rates during the peak season. Increased heat rate and higher operating and maintenance costs are also usually associated with a switch to PRB coal from bituminous coal. Compacting the stockout piles and increased housekeeping around transfer points are considerations to alleviate potential problems with self-heating of the higher-reactivity PRB coal. Soot blower maintenance and increased boiler inspection may be required to maintain/sustain boiler operation. ESP capacity may also be affected</w:t>
      </w:r>
      <w:r w:rsidR="007174A4">
        <w:rPr>
          <w:rFonts w:cs="Arial"/>
          <w:szCs w:val="24"/>
        </w:rPr>
        <w:t>,</w:t>
      </w:r>
      <w:r w:rsidRPr="00DB7156">
        <w:rPr>
          <w:rFonts w:cs="Arial"/>
          <w:szCs w:val="24"/>
        </w:rPr>
        <w:t xml:space="preserve"> and additional fields or flue gas conditioning may be required to adequately collect the PRB fly ash. The impact on SCR catalyst activity of elevated levels of alkali earth metals in PRB fly ash is also a </w:t>
      </w:r>
      <w:r w:rsidR="0090712D">
        <w:rPr>
          <w:rFonts w:cs="Arial"/>
          <w:szCs w:val="24"/>
        </w:rPr>
        <w:t>consideration</w:t>
      </w:r>
      <w:r w:rsidRPr="00DB7156">
        <w:rPr>
          <w:rFonts w:cs="Arial"/>
          <w:szCs w:val="24"/>
        </w:rPr>
        <w:t>, but has been seen as a controllable factor</w:t>
      </w:r>
      <w:r>
        <w:rPr>
          <w:rFonts w:cs="Arial"/>
          <w:szCs w:val="24"/>
        </w:rPr>
        <w:t>.</w:t>
      </w:r>
    </w:p>
    <w:p w14:paraId="61702950" w14:textId="77777777" w:rsidR="003C37F7" w:rsidRPr="00DB7156" w:rsidRDefault="003C37F7" w:rsidP="003C37F7">
      <w:pPr>
        <w:tabs>
          <w:tab w:val="left" w:pos="540"/>
        </w:tabs>
        <w:spacing w:after="0"/>
        <w:rPr>
          <w:rFonts w:cs="Arial"/>
          <w:szCs w:val="24"/>
        </w:rPr>
      </w:pPr>
    </w:p>
    <w:p w14:paraId="59D764E5" w14:textId="77777777" w:rsidR="00652FFC" w:rsidRDefault="00652FFC">
      <w:pPr>
        <w:spacing w:after="160" w:line="259" w:lineRule="auto"/>
        <w:jc w:val="left"/>
        <w:rPr>
          <w:rFonts w:cs="Arial"/>
          <w:b/>
          <w:color w:val="000080"/>
          <w:szCs w:val="24"/>
        </w:rPr>
      </w:pPr>
      <w:r>
        <w:rPr>
          <w:rFonts w:cs="Arial"/>
          <w:b/>
          <w:color w:val="000080"/>
          <w:szCs w:val="24"/>
        </w:rPr>
        <w:br w:type="page"/>
      </w:r>
    </w:p>
    <w:p w14:paraId="26EDD0E2" w14:textId="0B807363" w:rsidR="003C37F7" w:rsidRDefault="003C37F7" w:rsidP="003C37F7">
      <w:pPr>
        <w:tabs>
          <w:tab w:val="left" w:pos="540"/>
        </w:tabs>
        <w:spacing w:after="0"/>
        <w:rPr>
          <w:rFonts w:cs="Arial"/>
          <w:b/>
          <w:color w:val="000080"/>
          <w:szCs w:val="24"/>
          <w:u w:val="single"/>
        </w:rPr>
      </w:pPr>
      <w:r w:rsidRPr="00DB7156">
        <w:rPr>
          <w:rFonts w:cs="Arial"/>
          <w:b/>
          <w:color w:val="000080"/>
          <w:szCs w:val="24"/>
        </w:rPr>
        <w:t>VI.</w:t>
      </w:r>
      <w:r>
        <w:tab/>
      </w:r>
      <w:r w:rsidRPr="00DB7156">
        <w:rPr>
          <w:rFonts w:cs="Arial"/>
          <w:b/>
          <w:color w:val="000080"/>
          <w:szCs w:val="24"/>
          <w:u w:val="single"/>
        </w:rPr>
        <w:t>Flue Gas Desulfurization (</w:t>
      </w:r>
      <w:r w:rsidR="001457D6">
        <w:rPr>
          <w:rFonts w:cs="Arial"/>
          <w:b/>
          <w:color w:val="000080"/>
          <w:szCs w:val="24"/>
          <w:u w:val="single"/>
        </w:rPr>
        <w:t>“</w:t>
      </w:r>
      <w:r w:rsidRPr="00DB7156">
        <w:rPr>
          <w:rFonts w:cs="Arial"/>
          <w:b/>
          <w:color w:val="000080"/>
          <w:szCs w:val="24"/>
          <w:u w:val="single"/>
        </w:rPr>
        <w:t>FGD</w:t>
      </w:r>
      <w:r w:rsidR="001457D6">
        <w:rPr>
          <w:rFonts w:cs="Arial"/>
          <w:b/>
          <w:color w:val="000080"/>
          <w:szCs w:val="24"/>
          <w:u w:val="single"/>
        </w:rPr>
        <w:t>”</w:t>
      </w:r>
      <w:r w:rsidRPr="00DB7156">
        <w:rPr>
          <w:rFonts w:cs="Arial"/>
          <w:b/>
          <w:color w:val="000080"/>
          <w:szCs w:val="24"/>
          <w:u w:val="single"/>
        </w:rPr>
        <w:t>)</w:t>
      </w:r>
    </w:p>
    <w:p w14:paraId="0C733A62" w14:textId="77777777" w:rsidR="003C37F7" w:rsidRPr="00DB7156" w:rsidRDefault="003C37F7" w:rsidP="003C37F7">
      <w:pPr>
        <w:tabs>
          <w:tab w:val="left" w:pos="540"/>
        </w:tabs>
        <w:spacing w:after="0"/>
        <w:rPr>
          <w:rFonts w:cs="Arial"/>
          <w:b/>
          <w:color w:val="000080"/>
          <w:szCs w:val="24"/>
        </w:rPr>
      </w:pPr>
    </w:p>
    <w:p w14:paraId="3B9371A2" w14:textId="77777777" w:rsidR="003C37F7" w:rsidRPr="00DB7156" w:rsidRDefault="003C37F7" w:rsidP="003C37F7">
      <w:pPr>
        <w:spacing w:after="0"/>
        <w:rPr>
          <w:rFonts w:cs="Arial"/>
          <w:szCs w:val="24"/>
        </w:rPr>
      </w:pPr>
      <w:r w:rsidRPr="00DB7156">
        <w:rPr>
          <w:rFonts w:cs="Arial"/>
          <w:szCs w:val="24"/>
        </w:rPr>
        <w:t>Flue gas from coal- and oil-fired boilers will contain sulfur oxides produced from any sulfur in the fuel. FGD is any process that removes these sulfur oxides, primarily SO</w:t>
      </w:r>
      <w:r w:rsidRPr="00DB7156">
        <w:rPr>
          <w:rFonts w:cs="Arial"/>
          <w:szCs w:val="24"/>
          <w:vertAlign w:val="subscript"/>
        </w:rPr>
        <w:t>2</w:t>
      </w:r>
      <w:r w:rsidRPr="00DB7156">
        <w:rPr>
          <w:rFonts w:cs="Arial"/>
          <w:szCs w:val="24"/>
        </w:rPr>
        <w:t xml:space="preserve"> with a small amount of SO</w:t>
      </w:r>
      <w:r w:rsidRPr="00DB7156">
        <w:rPr>
          <w:rFonts w:cs="Arial"/>
          <w:szCs w:val="24"/>
          <w:vertAlign w:val="subscript"/>
        </w:rPr>
        <w:t>3</w:t>
      </w:r>
      <w:r w:rsidRPr="00DB7156">
        <w:rPr>
          <w:rFonts w:cs="Arial"/>
          <w:szCs w:val="24"/>
        </w:rPr>
        <w:t>. These sulfur oxides (SO</w:t>
      </w:r>
      <w:r w:rsidRPr="00DB7156">
        <w:rPr>
          <w:rFonts w:cs="Arial"/>
          <w:szCs w:val="24"/>
          <w:vertAlign w:val="subscript"/>
        </w:rPr>
        <w:t>X</w:t>
      </w:r>
      <w:r w:rsidRPr="00DB7156">
        <w:rPr>
          <w:rFonts w:cs="Arial"/>
          <w:szCs w:val="24"/>
        </w:rPr>
        <w:t>), can range from 0.3 percent of the flue gas by volume down to several hundred parts per million. The two main types of processes are characterized by either wet- or dry-process chemistry.</w:t>
      </w:r>
    </w:p>
    <w:p w14:paraId="227B17E3" w14:textId="77777777" w:rsidR="003C37F7" w:rsidRPr="00DB7156" w:rsidRDefault="003C37F7" w:rsidP="003C37F7">
      <w:pPr>
        <w:spacing w:after="0"/>
        <w:rPr>
          <w:rFonts w:cs="Arial"/>
          <w:szCs w:val="24"/>
        </w:rPr>
      </w:pPr>
    </w:p>
    <w:p w14:paraId="6750369B" w14:textId="31ED6C6C" w:rsidR="003C37F7" w:rsidRPr="00DB7156" w:rsidRDefault="003C37F7" w:rsidP="003C37F7">
      <w:pPr>
        <w:spacing w:after="0"/>
        <w:rPr>
          <w:rFonts w:cs="Arial"/>
          <w:szCs w:val="24"/>
        </w:rPr>
      </w:pPr>
      <w:r w:rsidRPr="00DB7156">
        <w:rPr>
          <w:rFonts w:cs="Arial"/>
          <w:szCs w:val="24"/>
        </w:rPr>
        <w:t>As implied by the category, wet processes collect the SO</w:t>
      </w:r>
      <w:r w:rsidRPr="00DB7156">
        <w:rPr>
          <w:rFonts w:cs="Arial"/>
          <w:szCs w:val="24"/>
          <w:vertAlign w:val="subscript"/>
        </w:rPr>
        <w:t>X</w:t>
      </w:r>
      <w:r w:rsidRPr="00DB7156">
        <w:rPr>
          <w:rFonts w:cs="Arial"/>
          <w:szCs w:val="24"/>
        </w:rPr>
        <w:t xml:space="preserve"> by treating the flue gas with a water-based solution or slurry. One typical design the utility industry uses is a spray tower module where the flue gas flows up the tower and a series of nozzles spray an alkaline solution into the flue gas. The common chemical used in wet </w:t>
      </w:r>
      <w:r>
        <w:rPr>
          <w:rFonts w:cs="Arial"/>
          <w:szCs w:val="24"/>
        </w:rPr>
        <w:t>FGD</w:t>
      </w:r>
      <w:r w:rsidRPr="00DB7156">
        <w:rPr>
          <w:rFonts w:cs="Arial"/>
          <w:szCs w:val="24"/>
        </w:rPr>
        <w:t>s is limestone and the solids produced by modern designs are predominantly calcium sulfate, or gypsum.</w:t>
      </w:r>
      <w:r>
        <w:rPr>
          <w:rFonts w:cs="Arial"/>
          <w:szCs w:val="24"/>
        </w:rPr>
        <w:t xml:space="preserve"> </w:t>
      </w:r>
      <w:r w:rsidRPr="00DB7156">
        <w:rPr>
          <w:rFonts w:cs="Arial"/>
          <w:szCs w:val="24"/>
        </w:rPr>
        <w:t xml:space="preserve">This gypsum can either be sold </w:t>
      </w:r>
      <w:r w:rsidRPr="003E5EA3">
        <w:rPr>
          <w:rFonts w:cs="Arial"/>
          <w:szCs w:val="24"/>
        </w:rPr>
        <w:t>as a pre-cursor to wallboard, used in cement or concrete, or used for agricultural purposes or be disposed of in a landfill</w:t>
      </w:r>
      <w:r w:rsidR="00C7714C" w:rsidRPr="003E5EA3">
        <w:rPr>
          <w:rFonts w:cs="Arial"/>
          <w:szCs w:val="24"/>
        </w:rPr>
        <w:t>.</w:t>
      </w:r>
      <w:r w:rsidRPr="003E5EA3">
        <w:rPr>
          <w:rFonts w:cs="Arial"/>
          <w:szCs w:val="24"/>
        </w:rPr>
        <w:t xml:space="preserve"> </w:t>
      </w:r>
      <w:r w:rsidRPr="00DB7156">
        <w:rPr>
          <w:rFonts w:cs="Arial"/>
          <w:szCs w:val="24"/>
        </w:rPr>
        <w:t xml:space="preserve"> The wet processes are very efficient and remove 80 to 99 percent of the SO</w:t>
      </w:r>
      <w:r w:rsidRPr="00DB7156">
        <w:rPr>
          <w:rFonts w:cs="Arial"/>
          <w:szCs w:val="24"/>
          <w:vertAlign w:val="subscript"/>
        </w:rPr>
        <w:t>2</w:t>
      </w:r>
      <w:r w:rsidRPr="00DB7156">
        <w:rPr>
          <w:rFonts w:cs="Arial"/>
          <w:szCs w:val="24"/>
        </w:rPr>
        <w:t xml:space="preserve"> in flue gas with 95 percent removal typical.</w:t>
      </w:r>
    </w:p>
    <w:p w14:paraId="0B4BBBAB" w14:textId="77777777" w:rsidR="003C37F7" w:rsidRPr="00DB7156" w:rsidRDefault="003C37F7" w:rsidP="003C37F7">
      <w:pPr>
        <w:spacing w:after="0"/>
        <w:rPr>
          <w:rFonts w:cs="Arial"/>
          <w:szCs w:val="24"/>
        </w:rPr>
      </w:pPr>
    </w:p>
    <w:p w14:paraId="736B3D0D" w14:textId="7F5443DC" w:rsidR="003C37F7" w:rsidRPr="00DB7156" w:rsidRDefault="003C37F7" w:rsidP="003C37F7">
      <w:pPr>
        <w:spacing w:after="0"/>
        <w:rPr>
          <w:rFonts w:cs="Arial"/>
          <w:szCs w:val="24"/>
        </w:rPr>
      </w:pPr>
      <w:r w:rsidRPr="00DB7156">
        <w:rPr>
          <w:rFonts w:cs="Arial"/>
          <w:szCs w:val="24"/>
        </w:rPr>
        <w:t>Dry processes inject an alkaline slurry into the flue gas stream in a spray dryer followed by a particulate control device. The spray dryer is a unit where the hot flue gases are contacted with the wet alkaline spray that absorbs the SO</w:t>
      </w:r>
      <w:r w:rsidRPr="00DB7156">
        <w:rPr>
          <w:rFonts w:cs="Arial"/>
          <w:szCs w:val="24"/>
          <w:vertAlign w:val="subscript"/>
        </w:rPr>
        <w:t>2</w:t>
      </w:r>
      <w:r w:rsidRPr="00DB7156">
        <w:rPr>
          <w:rFonts w:cs="Arial"/>
          <w:szCs w:val="24"/>
        </w:rPr>
        <w:t>. The hot flue gas evaporates the water and leaves a dry residue that can then be captured with the fly ash, typically in a baghouse. ESPs are normally not used behind a spray dryer because of the high resistivity of the calcium residues that are added to the fly ash. The residue also contains a mixture of calcium sulfite/sulfate, along with the fly ash from the fuel. This waste is not suitable for other uses and must be disposed of in a landfill. Historically, dry scrubbing is considered to typically remove 75 to 90 percent of the SO</w:t>
      </w:r>
      <w:r w:rsidRPr="00DB7156">
        <w:rPr>
          <w:rFonts w:cs="Arial"/>
          <w:szCs w:val="24"/>
          <w:vertAlign w:val="subscript"/>
        </w:rPr>
        <w:t>2</w:t>
      </w:r>
      <w:r w:rsidRPr="00DB7156">
        <w:rPr>
          <w:rFonts w:cs="Arial"/>
          <w:szCs w:val="24"/>
        </w:rPr>
        <w:t xml:space="preserve"> in flue gas.</w:t>
      </w:r>
    </w:p>
    <w:p w14:paraId="741202D2" w14:textId="77777777" w:rsidR="003C37F7" w:rsidRPr="00DB7156" w:rsidRDefault="003C37F7" w:rsidP="003C37F7">
      <w:pPr>
        <w:keepNext/>
        <w:keepLines/>
        <w:tabs>
          <w:tab w:val="left" w:pos="540"/>
        </w:tabs>
        <w:spacing w:after="0"/>
        <w:rPr>
          <w:rFonts w:cs="Arial"/>
          <w:szCs w:val="24"/>
        </w:rPr>
      </w:pPr>
    </w:p>
    <w:p w14:paraId="72033017" w14:textId="22E9B7C3" w:rsidR="003C37F7" w:rsidRPr="00DB7156" w:rsidRDefault="003C37F7" w:rsidP="003C37F7">
      <w:pPr>
        <w:tabs>
          <w:tab w:val="left" w:pos="540"/>
        </w:tabs>
        <w:spacing w:after="0"/>
        <w:rPr>
          <w:rFonts w:cs="Arial"/>
          <w:b/>
          <w:color w:val="000080"/>
          <w:szCs w:val="24"/>
          <w:u w:val="single"/>
        </w:rPr>
      </w:pPr>
      <w:r w:rsidRPr="00DB7156">
        <w:rPr>
          <w:rFonts w:cs="Arial"/>
          <w:b/>
          <w:color w:val="000080"/>
          <w:szCs w:val="24"/>
        </w:rPr>
        <w:t>VII.</w:t>
      </w:r>
      <w:r>
        <w:tab/>
      </w:r>
      <w:r w:rsidRPr="00DB7156">
        <w:rPr>
          <w:rFonts w:cs="Arial"/>
          <w:b/>
          <w:color w:val="000080"/>
          <w:szCs w:val="24"/>
          <w:u w:val="single"/>
        </w:rPr>
        <w:t>Dry Sorbent Injection (</w:t>
      </w:r>
      <w:r w:rsidR="000F6E88">
        <w:rPr>
          <w:rFonts w:cs="Arial"/>
          <w:b/>
          <w:color w:val="000080"/>
          <w:szCs w:val="24"/>
          <w:u w:val="single"/>
        </w:rPr>
        <w:t>“</w:t>
      </w:r>
      <w:r w:rsidRPr="00DB7156">
        <w:rPr>
          <w:rFonts w:cs="Arial"/>
          <w:b/>
          <w:color w:val="000080"/>
          <w:szCs w:val="24"/>
          <w:u w:val="single"/>
        </w:rPr>
        <w:t>DSI</w:t>
      </w:r>
      <w:r w:rsidR="000F6E88">
        <w:rPr>
          <w:rFonts w:cs="Arial"/>
          <w:b/>
          <w:color w:val="000080"/>
          <w:szCs w:val="24"/>
          <w:u w:val="single"/>
        </w:rPr>
        <w:t>”</w:t>
      </w:r>
      <w:r w:rsidRPr="00DB7156">
        <w:rPr>
          <w:rFonts w:cs="Arial"/>
          <w:b/>
          <w:color w:val="000080"/>
          <w:szCs w:val="24"/>
          <w:u w:val="single"/>
        </w:rPr>
        <w:t>)</w:t>
      </w:r>
    </w:p>
    <w:p w14:paraId="7F58E1A8" w14:textId="77777777" w:rsidR="003C37F7" w:rsidRPr="00DB7156" w:rsidRDefault="003C37F7" w:rsidP="003C37F7">
      <w:pPr>
        <w:spacing w:after="0"/>
        <w:rPr>
          <w:rFonts w:cs="Arial"/>
          <w:szCs w:val="24"/>
        </w:rPr>
      </w:pPr>
    </w:p>
    <w:p w14:paraId="0FD5DB40" w14:textId="77777777" w:rsidR="003C37F7" w:rsidRPr="00DB7156" w:rsidRDefault="003C37F7" w:rsidP="003C37F7">
      <w:pPr>
        <w:spacing w:after="0"/>
        <w:rPr>
          <w:rFonts w:cs="Arial"/>
          <w:szCs w:val="24"/>
        </w:rPr>
      </w:pPr>
      <w:r w:rsidRPr="00DB7156">
        <w:rPr>
          <w:rFonts w:cs="Arial"/>
          <w:szCs w:val="24"/>
        </w:rPr>
        <w:t xml:space="preserve">Dry sorbent injection is a technology that can help reduce acid gas emissions. DSI systems remove HCl and other acid gases through two basic steps. In step one, a powdered sorbent is injected into the flue gas where it reacts with the HCl. The sorbents most commonly associated with DSI are trona (sodium sesquicarbonate, a naturally occurring mineral mined in Wyoming), sodium bicarbonate, and hydrated lime. </w:t>
      </w:r>
    </w:p>
    <w:p w14:paraId="1A48EB69" w14:textId="77777777" w:rsidR="003C37F7" w:rsidRPr="00DB7156" w:rsidRDefault="003C37F7" w:rsidP="003C37F7">
      <w:pPr>
        <w:spacing w:after="0"/>
        <w:rPr>
          <w:rFonts w:cs="Arial"/>
          <w:szCs w:val="24"/>
        </w:rPr>
      </w:pPr>
    </w:p>
    <w:p w14:paraId="7A7BE7B8" w14:textId="77777777" w:rsidR="003C37F7" w:rsidRPr="00DB7156" w:rsidRDefault="003C37F7" w:rsidP="003C37F7">
      <w:pPr>
        <w:spacing w:after="0"/>
        <w:rPr>
          <w:rFonts w:cs="Arial"/>
          <w:szCs w:val="24"/>
        </w:rPr>
      </w:pPr>
      <w:r w:rsidRPr="00DB7156">
        <w:rPr>
          <w:rFonts w:cs="Arial"/>
          <w:szCs w:val="24"/>
        </w:rPr>
        <w:t xml:space="preserve">For step two, the compound is removed by a downstream </w:t>
      </w:r>
      <w:r>
        <w:rPr>
          <w:rFonts w:cs="Arial"/>
          <w:szCs w:val="24"/>
        </w:rPr>
        <w:t>PM</w:t>
      </w:r>
      <w:r w:rsidRPr="00DB7156">
        <w:rPr>
          <w:rFonts w:cs="Arial"/>
          <w:szCs w:val="24"/>
        </w:rPr>
        <w:t xml:space="preserve"> control device such as an ESP or a baghouse. Baghouses are generally more effective (when combined with DSI) than ESPs, with respect to overall HCl reduction. For modeling purposes, EPA estimates a DSI system with a baghouse is expected to achieve 90% removal of HCl, while a DSI system with an ESP only achieves 60% removal, although actual performance will vary by individual plant. </w:t>
      </w:r>
    </w:p>
    <w:p w14:paraId="7E75701B" w14:textId="77777777" w:rsidR="003C37F7" w:rsidRPr="00DB7156" w:rsidRDefault="003C37F7" w:rsidP="003C37F7">
      <w:pPr>
        <w:spacing w:after="0"/>
        <w:rPr>
          <w:rFonts w:cs="Arial"/>
          <w:szCs w:val="24"/>
        </w:rPr>
      </w:pPr>
    </w:p>
    <w:p w14:paraId="7A5ABC28" w14:textId="0DD83147" w:rsidR="003C37F7" w:rsidRPr="00DB7156" w:rsidRDefault="003C37F7" w:rsidP="003C37F7">
      <w:pPr>
        <w:spacing w:after="0"/>
        <w:rPr>
          <w:rFonts w:cs="Arial"/>
        </w:rPr>
      </w:pPr>
      <w:r w:rsidRPr="43AD390E">
        <w:rPr>
          <w:rFonts w:cs="Arial"/>
        </w:rPr>
        <w:t xml:space="preserve">DSI systems generally do not require significant capital expenses but may rely on significant quantities of sorbent to operate effectively, which increases the operating costs. Waste disposal for DSI may also be a significant variable cost, while the waste products from an FGD system can be sold as feedstock for industrial processes. In addition, DSI's potential effectiveness is limited to certain types of plants. Because of the amount of sorbent needed, DSI will likely be implemented most often at plants that are 300 megawatts or less and burn low-sulfur coal. </w:t>
      </w:r>
    </w:p>
    <w:p w14:paraId="05F15095" w14:textId="77777777" w:rsidR="003C37F7" w:rsidRPr="00DB7156" w:rsidRDefault="003C37F7" w:rsidP="003C37F7">
      <w:pPr>
        <w:spacing w:after="0"/>
        <w:rPr>
          <w:rFonts w:cs="Arial"/>
          <w:szCs w:val="24"/>
        </w:rPr>
      </w:pPr>
    </w:p>
    <w:p w14:paraId="15AD15F6" w14:textId="77777777" w:rsidR="003C37F7" w:rsidRPr="00DB7156" w:rsidRDefault="003C37F7" w:rsidP="003C37F7">
      <w:pPr>
        <w:spacing w:after="0"/>
        <w:rPr>
          <w:rFonts w:cs="Arial"/>
          <w:szCs w:val="24"/>
        </w:rPr>
      </w:pPr>
      <w:r w:rsidRPr="00DB7156">
        <w:rPr>
          <w:rFonts w:cs="Arial"/>
          <w:szCs w:val="24"/>
        </w:rPr>
        <w:t>DSI systems can also significantly reduce SO</w:t>
      </w:r>
      <w:r w:rsidRPr="00DB7156">
        <w:rPr>
          <w:rFonts w:cs="Arial"/>
          <w:szCs w:val="24"/>
          <w:vertAlign w:val="subscript"/>
        </w:rPr>
        <w:t>2</w:t>
      </w:r>
      <w:r w:rsidRPr="00DB7156">
        <w:rPr>
          <w:rFonts w:cs="Arial"/>
          <w:szCs w:val="24"/>
        </w:rPr>
        <w:t xml:space="preserve"> emissions through the same process as HCl removal.  </w:t>
      </w:r>
    </w:p>
    <w:p w14:paraId="2C3029D4" w14:textId="77777777" w:rsidR="003C37F7" w:rsidRPr="00DB7156" w:rsidRDefault="003C37F7" w:rsidP="003C37F7">
      <w:pPr>
        <w:spacing w:after="0"/>
        <w:rPr>
          <w:rFonts w:cs="Arial"/>
          <w:szCs w:val="24"/>
        </w:rPr>
      </w:pPr>
    </w:p>
    <w:p w14:paraId="4EC16AFA" w14:textId="77777777" w:rsidR="003C37F7" w:rsidRPr="00DB7156" w:rsidRDefault="003C37F7" w:rsidP="003C37F7">
      <w:pPr>
        <w:tabs>
          <w:tab w:val="left" w:pos="720"/>
        </w:tabs>
        <w:spacing w:after="0"/>
        <w:rPr>
          <w:rFonts w:cs="Arial"/>
          <w:b/>
          <w:color w:val="000080"/>
          <w:szCs w:val="24"/>
        </w:rPr>
      </w:pPr>
      <w:r w:rsidRPr="00DB7156">
        <w:rPr>
          <w:rFonts w:cs="Arial"/>
          <w:b/>
          <w:color w:val="000080"/>
          <w:szCs w:val="24"/>
        </w:rPr>
        <w:t>VIII.</w:t>
      </w:r>
      <w:r w:rsidRPr="00DB7156">
        <w:rPr>
          <w:rFonts w:cs="Arial"/>
          <w:b/>
          <w:color w:val="000080"/>
          <w:szCs w:val="24"/>
        </w:rPr>
        <w:tab/>
      </w:r>
      <w:r w:rsidRPr="00DB7156">
        <w:rPr>
          <w:rFonts w:cs="Arial"/>
          <w:b/>
          <w:color w:val="000080"/>
          <w:szCs w:val="24"/>
          <w:u w:val="single"/>
        </w:rPr>
        <w:t>Baghouses</w:t>
      </w:r>
    </w:p>
    <w:p w14:paraId="6D31E52A" w14:textId="77777777" w:rsidR="003C37F7" w:rsidRPr="00DB7156" w:rsidRDefault="003C37F7" w:rsidP="003C37F7">
      <w:pPr>
        <w:spacing w:after="0"/>
        <w:rPr>
          <w:rFonts w:cs="Arial"/>
          <w:szCs w:val="24"/>
        </w:rPr>
      </w:pPr>
    </w:p>
    <w:p w14:paraId="2E316F20" w14:textId="77777777" w:rsidR="003C37F7" w:rsidRPr="00DB7156" w:rsidRDefault="003C37F7" w:rsidP="003C37F7">
      <w:pPr>
        <w:spacing w:after="0"/>
        <w:rPr>
          <w:rFonts w:cs="Arial"/>
          <w:szCs w:val="24"/>
        </w:rPr>
      </w:pPr>
      <w:r w:rsidRPr="00DB7156">
        <w:rPr>
          <w:rFonts w:cs="Arial"/>
          <w:szCs w:val="24"/>
        </w:rPr>
        <w:t>Baghouses are filter devices that remove solid particles from flue gas streams by passing the gases through a fabric, and thus collecting the particles. While baghouses can either operate as a standalone control device or in conjunction with other particulate capture devices, all of Georgia Power’s baghouses are located downstream of the plant’s electrostatic precipitators. This configuration – a baghouse located downstream of an existing ESP – was patented by EPRI and is known as a Compact Hybrid Particulate Collector (</w:t>
      </w:r>
      <w:r>
        <w:rPr>
          <w:rFonts w:cs="Arial"/>
          <w:szCs w:val="24"/>
        </w:rPr>
        <w:t>“</w:t>
      </w:r>
      <w:r w:rsidRPr="00DB7156">
        <w:rPr>
          <w:rFonts w:cs="Arial"/>
          <w:szCs w:val="24"/>
        </w:rPr>
        <w:t>COHPAC</w:t>
      </w:r>
      <w:r>
        <w:rPr>
          <w:rFonts w:cs="Arial"/>
          <w:szCs w:val="24"/>
        </w:rPr>
        <w:t>”</w:t>
      </w:r>
      <w:r w:rsidRPr="00DB7156">
        <w:rPr>
          <w:rFonts w:cs="Arial"/>
          <w:szCs w:val="24"/>
        </w:rPr>
        <w:t xml:space="preserve">).  </w:t>
      </w:r>
    </w:p>
    <w:p w14:paraId="3980E3A2" w14:textId="77777777" w:rsidR="003C37F7" w:rsidRPr="00DB7156" w:rsidRDefault="003C37F7" w:rsidP="003C37F7">
      <w:pPr>
        <w:spacing w:after="0"/>
        <w:rPr>
          <w:rFonts w:cs="Arial"/>
          <w:szCs w:val="24"/>
        </w:rPr>
      </w:pPr>
    </w:p>
    <w:p w14:paraId="26D97FB4" w14:textId="77A67596" w:rsidR="003C37F7" w:rsidRPr="00DB7156" w:rsidRDefault="003C37F7" w:rsidP="008C74C5">
      <w:pPr>
        <w:spacing w:after="0"/>
        <w:rPr>
          <w:rFonts w:cs="Arial"/>
          <w:szCs w:val="24"/>
        </w:rPr>
      </w:pPr>
      <w:r w:rsidRPr="00DB7156">
        <w:rPr>
          <w:rFonts w:cs="Arial"/>
          <w:szCs w:val="24"/>
        </w:rPr>
        <w:t>The basic COHPAC concept is to place a pulse-jet fabric filter (</w:t>
      </w:r>
      <w:r>
        <w:rPr>
          <w:rFonts w:cs="Arial"/>
          <w:szCs w:val="24"/>
        </w:rPr>
        <w:t>“</w:t>
      </w:r>
      <w:r w:rsidRPr="00DB7156">
        <w:rPr>
          <w:rFonts w:cs="Arial"/>
          <w:szCs w:val="24"/>
        </w:rPr>
        <w:t>PJFF</w:t>
      </w:r>
      <w:r>
        <w:rPr>
          <w:rFonts w:cs="Arial"/>
          <w:szCs w:val="24"/>
        </w:rPr>
        <w:t>”</w:t>
      </w:r>
      <w:r w:rsidRPr="00DB7156">
        <w:rPr>
          <w:rFonts w:cs="Arial"/>
          <w:szCs w:val="24"/>
        </w:rPr>
        <w:t>) downstream of an existing ESP to serve as a “polishing” or performance-upgrading unit. The flue gas enters the PJFF and passes through the fabric where the fly ash particles are filtered from the gas. The particles are collected on the outside of the fabric and the resulting dust layer is cleaned from the bags by air pulses (and thus, the nomenclature: pulse-jet fabric filters). Since the ESP removes a significant amount of the particles from the gas stream the flue gas reaching the baghouse has a significantly reduced dust load. The residual electrical charge from particle charging in the ESP and low-dust loading enables the COHPAC PJFF to operate at an air-to-cloth ratio (A/C) in the 6 to 12 range. (A/C is a ratio of the amount of gas to the amount of fabric present.) A typical full-scale PJFF without an upstream ESP must operate at A/C ratios of 4 or below, allowing the physical size of a COHPAC PJFF to be up to one-fourth the size of a normal PJFF, which reduces the cost significantly.</w:t>
      </w:r>
    </w:p>
    <w:p w14:paraId="0104F58F" w14:textId="77777777" w:rsidR="003C37F7" w:rsidRDefault="003C37F7" w:rsidP="003C37F7">
      <w:pPr>
        <w:spacing w:after="0"/>
        <w:rPr>
          <w:rFonts w:cs="Arial"/>
          <w:b/>
          <w:color w:val="000080"/>
          <w:szCs w:val="24"/>
        </w:rPr>
      </w:pPr>
    </w:p>
    <w:p w14:paraId="364D2845" w14:textId="3B1195D5" w:rsidR="003C37F7" w:rsidRPr="00DB7156" w:rsidRDefault="003C37F7" w:rsidP="003C37F7">
      <w:pPr>
        <w:spacing w:after="0"/>
        <w:rPr>
          <w:rFonts w:cs="Arial"/>
          <w:b/>
          <w:color w:val="000080"/>
          <w:szCs w:val="24"/>
        </w:rPr>
      </w:pPr>
      <w:r w:rsidRPr="00DB7156">
        <w:rPr>
          <w:rFonts w:cs="Arial"/>
          <w:b/>
          <w:color w:val="000080"/>
          <w:szCs w:val="24"/>
        </w:rPr>
        <w:t>IX.</w:t>
      </w:r>
      <w:r>
        <w:tab/>
      </w:r>
      <w:r w:rsidRPr="00DB7156">
        <w:rPr>
          <w:rFonts w:cs="Arial"/>
          <w:b/>
          <w:color w:val="000080"/>
          <w:szCs w:val="24"/>
          <w:u w:val="single"/>
        </w:rPr>
        <w:t>Activated Carbon Injection</w:t>
      </w:r>
      <w:r w:rsidR="008B143C">
        <w:rPr>
          <w:rFonts w:cs="Arial"/>
          <w:b/>
          <w:color w:val="000080"/>
          <w:szCs w:val="24"/>
          <w:u w:val="single"/>
        </w:rPr>
        <w:t xml:space="preserve"> (</w:t>
      </w:r>
      <w:r w:rsidR="00465361">
        <w:rPr>
          <w:rFonts w:cs="Arial"/>
          <w:b/>
          <w:color w:val="000080"/>
          <w:szCs w:val="24"/>
          <w:u w:val="single"/>
        </w:rPr>
        <w:t>“</w:t>
      </w:r>
      <w:r w:rsidR="008B143C">
        <w:rPr>
          <w:rFonts w:cs="Arial"/>
          <w:b/>
          <w:color w:val="000080"/>
          <w:szCs w:val="24"/>
          <w:u w:val="single"/>
        </w:rPr>
        <w:t>ACI</w:t>
      </w:r>
      <w:r w:rsidR="00465361">
        <w:rPr>
          <w:rFonts w:cs="Arial"/>
          <w:b/>
          <w:color w:val="000080"/>
          <w:szCs w:val="24"/>
          <w:u w:val="single"/>
        </w:rPr>
        <w:t>”</w:t>
      </w:r>
      <w:r w:rsidR="008B143C">
        <w:rPr>
          <w:rFonts w:cs="Arial"/>
          <w:b/>
          <w:color w:val="000080"/>
          <w:szCs w:val="24"/>
          <w:u w:val="single"/>
        </w:rPr>
        <w:t>)</w:t>
      </w:r>
      <w:r w:rsidRPr="00DB7156">
        <w:rPr>
          <w:rFonts w:cs="Arial"/>
          <w:b/>
          <w:color w:val="000080"/>
          <w:szCs w:val="24"/>
          <w:u w:val="single"/>
        </w:rPr>
        <w:t xml:space="preserve"> and Alkali Sorbent Injection</w:t>
      </w:r>
      <w:r w:rsidR="008B143C">
        <w:rPr>
          <w:rFonts w:cs="Arial"/>
          <w:b/>
          <w:color w:val="000080"/>
          <w:szCs w:val="24"/>
          <w:u w:val="single"/>
        </w:rPr>
        <w:t xml:space="preserve"> </w:t>
      </w:r>
      <w:r w:rsidR="00885A60">
        <w:rPr>
          <w:rFonts w:cs="Arial"/>
          <w:b/>
          <w:color w:val="000080"/>
          <w:szCs w:val="24"/>
          <w:u w:val="single"/>
        </w:rPr>
        <w:t>(</w:t>
      </w:r>
      <w:r w:rsidR="00465361">
        <w:rPr>
          <w:rFonts w:cs="Arial"/>
          <w:b/>
          <w:color w:val="000080"/>
          <w:szCs w:val="24"/>
          <w:u w:val="single"/>
        </w:rPr>
        <w:t>“</w:t>
      </w:r>
      <w:r w:rsidR="00885A60">
        <w:rPr>
          <w:rFonts w:cs="Arial"/>
          <w:b/>
          <w:color w:val="000080"/>
          <w:szCs w:val="24"/>
          <w:u w:val="single"/>
        </w:rPr>
        <w:t>ALK</w:t>
      </w:r>
      <w:r w:rsidR="00465361">
        <w:rPr>
          <w:rFonts w:cs="Arial"/>
          <w:b/>
          <w:color w:val="000080"/>
          <w:szCs w:val="24"/>
          <w:u w:val="single"/>
        </w:rPr>
        <w:t>”</w:t>
      </w:r>
      <w:r w:rsidR="00885A60">
        <w:rPr>
          <w:rFonts w:cs="Arial"/>
          <w:b/>
          <w:color w:val="000080"/>
          <w:szCs w:val="24"/>
          <w:u w:val="single"/>
        </w:rPr>
        <w:t>)</w:t>
      </w:r>
    </w:p>
    <w:p w14:paraId="490EB72F" w14:textId="77777777" w:rsidR="003C37F7" w:rsidRPr="00DB7156" w:rsidRDefault="003C37F7" w:rsidP="003C37F7">
      <w:pPr>
        <w:spacing w:after="0"/>
        <w:rPr>
          <w:rFonts w:cs="Arial"/>
          <w:szCs w:val="24"/>
        </w:rPr>
      </w:pPr>
    </w:p>
    <w:p w14:paraId="54965C64" w14:textId="77777777" w:rsidR="003C37F7" w:rsidRPr="00DB7156" w:rsidRDefault="003C37F7" w:rsidP="003C37F7">
      <w:pPr>
        <w:spacing w:after="0"/>
        <w:rPr>
          <w:rFonts w:cs="Arial"/>
          <w:szCs w:val="24"/>
        </w:rPr>
      </w:pPr>
      <w:r w:rsidRPr="00DB7156">
        <w:rPr>
          <w:rFonts w:cs="Arial"/>
          <w:szCs w:val="24"/>
        </w:rPr>
        <w:t xml:space="preserve">ACI for </w:t>
      </w:r>
      <w:r>
        <w:rPr>
          <w:rFonts w:cs="Arial"/>
          <w:szCs w:val="24"/>
        </w:rPr>
        <w:t>mercury</w:t>
      </w:r>
      <w:r w:rsidRPr="00DB7156">
        <w:rPr>
          <w:rFonts w:cs="Arial"/>
          <w:szCs w:val="24"/>
        </w:rPr>
        <w:t xml:space="preserve"> control involves the addition of powdered activated carbon to flue gas streams where it adsorbs vapor phase mercury. This powdered material is made by “cooking” low rank coals with steam and temperature to activate the surface, generating a highly reactive product that acts like a chemical sponge. Once injected into the flue gas, the activated carbon (and adsorbed mercury) must be collected in a particulate collection device. The applications of this technology are either </w:t>
      </w:r>
      <w:r>
        <w:rPr>
          <w:rFonts w:cs="Arial"/>
          <w:szCs w:val="24"/>
        </w:rPr>
        <w:t>(</w:t>
      </w:r>
      <w:r w:rsidRPr="00DB7156">
        <w:rPr>
          <w:rFonts w:cs="Arial"/>
          <w:szCs w:val="24"/>
        </w:rPr>
        <w:t xml:space="preserve">1) ahead of an ESP or </w:t>
      </w:r>
      <w:r>
        <w:rPr>
          <w:rFonts w:cs="Arial"/>
          <w:szCs w:val="24"/>
        </w:rPr>
        <w:t>(</w:t>
      </w:r>
      <w:r w:rsidRPr="00DB7156">
        <w:rPr>
          <w:rFonts w:cs="Arial"/>
          <w:szCs w:val="24"/>
        </w:rPr>
        <w:t xml:space="preserve">2) downstream of an existing ESP but upstream of a high ratio (COHPAC) baghouse. </w:t>
      </w:r>
    </w:p>
    <w:p w14:paraId="27634BC3" w14:textId="77777777" w:rsidR="003C37F7" w:rsidRPr="00DB7156" w:rsidRDefault="003C37F7" w:rsidP="003C37F7">
      <w:pPr>
        <w:spacing w:after="0"/>
        <w:rPr>
          <w:rFonts w:cs="Arial"/>
          <w:szCs w:val="24"/>
        </w:rPr>
      </w:pPr>
    </w:p>
    <w:p w14:paraId="275E2CBE" w14:textId="77777777" w:rsidR="003C37F7" w:rsidRPr="00DB7156" w:rsidRDefault="003C37F7" w:rsidP="003C37F7">
      <w:pPr>
        <w:spacing w:after="0"/>
        <w:rPr>
          <w:rFonts w:cs="Arial"/>
          <w:szCs w:val="24"/>
        </w:rPr>
      </w:pPr>
      <w:r w:rsidRPr="00DB7156">
        <w:rPr>
          <w:rFonts w:cs="Arial"/>
          <w:szCs w:val="24"/>
        </w:rPr>
        <w:t xml:space="preserve">The first configuration mentioned above has been tested under various conditions with wide ranging results depending on contact time, fuel type, ESP size, and process conditions. Typically, due to rapid removal of the carbon in the ESP and limited contact time with the flue gas, these applications typically achieve lower removal of mercury than carbon into baghouses. Injecting activated carbon upstream of an ESP remains useful as needed for mercury control to complement the passive co-benefits of SCR and FGD.   </w:t>
      </w:r>
    </w:p>
    <w:p w14:paraId="62E731A3" w14:textId="77777777" w:rsidR="003C37F7" w:rsidRPr="00DB7156" w:rsidRDefault="003C37F7" w:rsidP="003C37F7">
      <w:pPr>
        <w:spacing w:after="0"/>
        <w:rPr>
          <w:rFonts w:cs="Arial"/>
          <w:szCs w:val="24"/>
        </w:rPr>
      </w:pPr>
    </w:p>
    <w:p w14:paraId="5A683865" w14:textId="77777777" w:rsidR="003C37F7" w:rsidRPr="00DB7156" w:rsidRDefault="003C37F7" w:rsidP="003C37F7">
      <w:pPr>
        <w:spacing w:after="0"/>
        <w:rPr>
          <w:rFonts w:cs="Arial"/>
          <w:szCs w:val="24"/>
        </w:rPr>
      </w:pPr>
      <w:r w:rsidRPr="00DB7156">
        <w:rPr>
          <w:rFonts w:cs="Arial"/>
          <w:szCs w:val="24"/>
        </w:rPr>
        <w:t>The second application, injection into a COHPAC baghouse, is an EPRI patented technology known as TOXECON</w:t>
      </w:r>
      <w:r w:rsidRPr="00DB7156">
        <w:rPr>
          <w:rFonts w:cs="Arial"/>
          <w:szCs w:val="24"/>
          <w:vertAlign w:val="superscript"/>
        </w:rPr>
        <w:t>TM</w:t>
      </w:r>
      <w:r w:rsidRPr="00DB7156">
        <w:rPr>
          <w:rFonts w:cs="Arial"/>
          <w:szCs w:val="24"/>
        </w:rPr>
        <w:t>. This process attempts to limit the co-mingling of fly ash and activated carbon by collecting a high fraction of fly ash in the ESP before injecting the activated carbon. Furthermore, because the activated carbon is collected on bag surfaces (where it can stay from several minutes to hours), the TOXECON</w:t>
      </w:r>
      <w:r w:rsidRPr="00DB7156">
        <w:rPr>
          <w:rFonts w:cs="Arial"/>
          <w:szCs w:val="24"/>
          <w:vertAlign w:val="superscript"/>
        </w:rPr>
        <w:t>TM</w:t>
      </w:r>
      <w:r w:rsidRPr="00DB7156">
        <w:rPr>
          <w:rFonts w:cs="Arial"/>
          <w:szCs w:val="24"/>
        </w:rPr>
        <w:t xml:space="preserve"> process can typically achieve much higher removal rates than ESP injection (up to 90 percent), again depending on fuel type and process conditions. The primary drawback to this process is the added financial requirement in building a COHPAC baghouse, which significantly affects the overall cost of mercury removal.</w:t>
      </w:r>
    </w:p>
    <w:p w14:paraId="6B485008" w14:textId="77777777" w:rsidR="003C37F7" w:rsidRPr="00DB7156" w:rsidRDefault="003C37F7" w:rsidP="003C37F7">
      <w:pPr>
        <w:spacing w:after="0"/>
        <w:rPr>
          <w:rFonts w:cs="Arial"/>
          <w:szCs w:val="24"/>
        </w:rPr>
      </w:pPr>
    </w:p>
    <w:p w14:paraId="699E6EFF" w14:textId="7D373289" w:rsidR="003C37F7" w:rsidRPr="00DB7156" w:rsidRDefault="003C37F7" w:rsidP="003C37F7">
      <w:pPr>
        <w:spacing w:after="0"/>
        <w:rPr>
          <w:rFonts w:cs="Arial"/>
          <w:szCs w:val="24"/>
        </w:rPr>
      </w:pPr>
      <w:r w:rsidRPr="00DB7156">
        <w:rPr>
          <w:rFonts w:cs="Arial"/>
          <w:szCs w:val="24"/>
        </w:rPr>
        <w:t xml:space="preserve">In either application, the mercury removal effectiveness of </w:t>
      </w:r>
      <w:r w:rsidR="00171A53">
        <w:rPr>
          <w:rFonts w:cs="Arial"/>
          <w:szCs w:val="24"/>
        </w:rPr>
        <w:t>ACI</w:t>
      </w:r>
      <w:r w:rsidRPr="00DB7156">
        <w:rPr>
          <w:rFonts w:cs="Arial"/>
          <w:szCs w:val="24"/>
        </w:rPr>
        <w:t xml:space="preserve"> can be enhanced when burning coals with higher sulfur content (e.g. non-PRB coals) by employing ALK, typically hydrated lime injection, ahead of the </w:t>
      </w:r>
      <w:r w:rsidR="00171A53">
        <w:rPr>
          <w:rFonts w:cs="Arial"/>
          <w:szCs w:val="24"/>
        </w:rPr>
        <w:t>ACI</w:t>
      </w:r>
      <w:r w:rsidRPr="00DB7156">
        <w:rPr>
          <w:rFonts w:cs="Arial"/>
          <w:szCs w:val="24"/>
        </w:rPr>
        <w:t xml:space="preserve">.  Typically, the hydrated lime used for ALK is less expensive than the activated carbon, so the use of ACI plus ALK is a more economical process than ACI alone for a given mercury capture target. </w:t>
      </w:r>
    </w:p>
    <w:p w14:paraId="13359E48" w14:textId="7FCB822F" w:rsidR="6A44F22A" w:rsidRDefault="6A44F22A" w:rsidP="6A44F22A">
      <w:pPr>
        <w:spacing w:after="0"/>
        <w:rPr>
          <w:rFonts w:cs="Arial"/>
          <w:szCs w:val="24"/>
        </w:rPr>
      </w:pPr>
    </w:p>
    <w:p w14:paraId="7E1512FC" w14:textId="2CFE6B47" w:rsidR="003C37F7" w:rsidRPr="00DB7156" w:rsidRDefault="003C37F7" w:rsidP="003C37F7">
      <w:pPr>
        <w:spacing w:after="0"/>
        <w:rPr>
          <w:rFonts w:cs="Arial"/>
          <w:b/>
          <w:color w:val="000080"/>
          <w:szCs w:val="24"/>
        </w:rPr>
      </w:pPr>
      <w:r w:rsidRPr="6A44F22A">
        <w:rPr>
          <w:rFonts w:cs="Arial"/>
          <w:b/>
          <w:bCs/>
          <w:color w:val="000080"/>
          <w:szCs w:val="24"/>
        </w:rPr>
        <w:t>X</w:t>
      </w:r>
      <w:r w:rsidRPr="00DB7156">
        <w:rPr>
          <w:rFonts w:cs="Arial"/>
          <w:b/>
          <w:color w:val="000080"/>
          <w:szCs w:val="24"/>
        </w:rPr>
        <w:t>.</w:t>
      </w:r>
      <w:r>
        <w:tab/>
      </w:r>
      <w:r w:rsidRPr="00DB7156">
        <w:rPr>
          <w:rFonts w:cs="Arial"/>
          <w:b/>
          <w:color w:val="000080"/>
          <w:szCs w:val="24"/>
          <w:u w:val="single"/>
        </w:rPr>
        <w:t>Mercury Re-emission Controls System (</w:t>
      </w:r>
      <w:r w:rsidR="00487BB1">
        <w:rPr>
          <w:rFonts w:cs="Arial"/>
          <w:b/>
          <w:color w:val="000080"/>
          <w:szCs w:val="24"/>
          <w:u w:val="single"/>
        </w:rPr>
        <w:t>“</w:t>
      </w:r>
      <w:r w:rsidRPr="00DB7156">
        <w:rPr>
          <w:rFonts w:cs="Arial"/>
          <w:b/>
          <w:color w:val="000080"/>
          <w:szCs w:val="24"/>
          <w:u w:val="single"/>
        </w:rPr>
        <w:t>MRCS</w:t>
      </w:r>
      <w:r w:rsidR="0094373E">
        <w:rPr>
          <w:rFonts w:cs="Arial"/>
          <w:b/>
          <w:color w:val="000080"/>
          <w:szCs w:val="24"/>
          <w:u w:val="single"/>
        </w:rPr>
        <w:t>”</w:t>
      </w:r>
      <w:r w:rsidRPr="00DB7156">
        <w:rPr>
          <w:rFonts w:cs="Arial"/>
          <w:b/>
          <w:color w:val="000080"/>
          <w:szCs w:val="24"/>
          <w:u w:val="single"/>
        </w:rPr>
        <w:t>)</w:t>
      </w:r>
    </w:p>
    <w:p w14:paraId="09865266" w14:textId="77777777" w:rsidR="003C37F7" w:rsidRPr="00DB7156" w:rsidRDefault="003C37F7" w:rsidP="003C37F7">
      <w:pPr>
        <w:spacing w:after="0"/>
        <w:rPr>
          <w:rFonts w:cs="Arial"/>
          <w:szCs w:val="24"/>
        </w:rPr>
      </w:pPr>
    </w:p>
    <w:p w14:paraId="0113C87C" w14:textId="77777777" w:rsidR="003C37F7" w:rsidRPr="00DB7156" w:rsidRDefault="003C37F7" w:rsidP="003C37F7">
      <w:pPr>
        <w:tabs>
          <w:tab w:val="left" w:pos="540"/>
        </w:tabs>
        <w:spacing w:after="0"/>
        <w:rPr>
          <w:rFonts w:cs="Arial"/>
          <w:b/>
          <w:bCs/>
          <w:color w:val="000080"/>
          <w:szCs w:val="24"/>
        </w:rPr>
      </w:pPr>
      <w:r w:rsidRPr="00DB7156">
        <w:rPr>
          <w:rFonts w:cs="Arial"/>
          <w:szCs w:val="24"/>
        </w:rPr>
        <w:t xml:space="preserve">Wet </w:t>
      </w:r>
      <w:r>
        <w:rPr>
          <w:rFonts w:cs="Arial"/>
          <w:szCs w:val="24"/>
        </w:rPr>
        <w:t>FGD</w:t>
      </w:r>
      <w:r w:rsidRPr="00DB7156">
        <w:rPr>
          <w:rFonts w:cs="Arial"/>
          <w:szCs w:val="24"/>
        </w:rPr>
        <w:t xml:space="preserve">s are effective at removing oxidized mercury. However, as the captured mercury may remain in a dissolved form in the </w:t>
      </w:r>
      <w:r>
        <w:rPr>
          <w:rFonts w:cs="Arial"/>
          <w:szCs w:val="24"/>
        </w:rPr>
        <w:t>FGD</w:t>
      </w:r>
      <w:r w:rsidRPr="00DB7156">
        <w:rPr>
          <w:rFonts w:cs="Arial"/>
          <w:szCs w:val="24"/>
        </w:rPr>
        <w:t xml:space="preserve"> slurry in the vessel, the </w:t>
      </w:r>
      <w:r>
        <w:rPr>
          <w:rFonts w:cs="Arial"/>
          <w:szCs w:val="24"/>
        </w:rPr>
        <w:t>FGD</w:t>
      </w:r>
      <w:r w:rsidRPr="00DB7156">
        <w:rPr>
          <w:rFonts w:cs="Arial"/>
          <w:szCs w:val="24"/>
        </w:rPr>
        <w:t xml:space="preserve"> may from time to time re-emit the mercury that was captured from the flue gas. This can cause increased levels of mercury emissions out of the stack. The addition of additives into the </w:t>
      </w:r>
      <w:r>
        <w:rPr>
          <w:rFonts w:cs="Arial"/>
          <w:szCs w:val="24"/>
        </w:rPr>
        <w:t>FGD</w:t>
      </w:r>
      <w:r w:rsidRPr="00DB7156">
        <w:rPr>
          <w:rFonts w:cs="Arial"/>
          <w:szCs w:val="24"/>
        </w:rPr>
        <w:t xml:space="preserve"> slurry can help prevent the occurrence of mercury re-emission by encouraging the mercury dissolved in the slurry to precipitate into a solid. Typically, additives injected into the </w:t>
      </w:r>
      <w:r>
        <w:rPr>
          <w:rFonts w:cs="Arial"/>
          <w:szCs w:val="24"/>
        </w:rPr>
        <w:t>FGD</w:t>
      </w:r>
      <w:r w:rsidRPr="00DB7156">
        <w:rPr>
          <w:rFonts w:cs="Arial"/>
          <w:szCs w:val="24"/>
        </w:rPr>
        <w:t xml:space="preserve"> slurry to address mercury re-emission are less expensive than the activated carbon injected upstream of the ESP or baghouse for mercury control; therefore, if mercury re-emission is observed in a given </w:t>
      </w:r>
      <w:r>
        <w:rPr>
          <w:rFonts w:cs="Arial"/>
          <w:szCs w:val="24"/>
        </w:rPr>
        <w:t>FGD</w:t>
      </w:r>
      <w:r w:rsidRPr="00DB7156">
        <w:rPr>
          <w:rFonts w:cs="Arial"/>
          <w:szCs w:val="24"/>
        </w:rPr>
        <w:t xml:space="preserve">, an installed MRCS can be a cost-effective means of removing mercury in the </w:t>
      </w:r>
      <w:r>
        <w:rPr>
          <w:rFonts w:cs="Arial"/>
          <w:szCs w:val="24"/>
        </w:rPr>
        <w:t>FGD</w:t>
      </w:r>
      <w:r w:rsidRPr="00DB7156">
        <w:rPr>
          <w:rFonts w:cs="Arial"/>
          <w:szCs w:val="24"/>
        </w:rPr>
        <w:t>.</w:t>
      </w:r>
    </w:p>
    <w:p w14:paraId="6EFEDDB7" w14:textId="77777777" w:rsidR="003C37F7" w:rsidRPr="00DB7156" w:rsidRDefault="003C37F7" w:rsidP="003C37F7">
      <w:pPr>
        <w:tabs>
          <w:tab w:val="left" w:pos="720"/>
        </w:tabs>
        <w:spacing w:after="0"/>
        <w:rPr>
          <w:rFonts w:cs="Arial"/>
          <w:b/>
          <w:bCs/>
          <w:color w:val="000080"/>
          <w:szCs w:val="24"/>
        </w:rPr>
      </w:pPr>
    </w:p>
    <w:p w14:paraId="428C96D0" w14:textId="5D8F493C" w:rsidR="003C37F7" w:rsidRPr="00DB7156" w:rsidRDefault="003C37F7" w:rsidP="003C37F7">
      <w:pPr>
        <w:tabs>
          <w:tab w:val="left" w:pos="720"/>
        </w:tabs>
        <w:spacing w:after="0"/>
        <w:rPr>
          <w:rFonts w:cs="Arial"/>
          <w:b/>
          <w:color w:val="CC0000"/>
          <w:szCs w:val="24"/>
          <w:u w:val="single"/>
        </w:rPr>
      </w:pPr>
      <w:bookmarkStart w:id="82" w:name="_Hlk534293831"/>
      <w:r w:rsidRPr="6A44F22A">
        <w:rPr>
          <w:rFonts w:cs="Arial"/>
          <w:b/>
          <w:bCs/>
          <w:color w:val="000080"/>
          <w:szCs w:val="24"/>
        </w:rPr>
        <w:t>XI</w:t>
      </w:r>
      <w:r w:rsidRPr="00DB7156">
        <w:rPr>
          <w:rFonts w:cs="Arial"/>
          <w:b/>
          <w:bCs/>
          <w:color w:val="000080"/>
          <w:szCs w:val="24"/>
        </w:rPr>
        <w:t>.</w:t>
      </w:r>
      <w:r>
        <w:tab/>
      </w:r>
      <w:r w:rsidRPr="00DB7156">
        <w:rPr>
          <w:rFonts w:cs="Arial"/>
          <w:b/>
          <w:color w:val="000080"/>
          <w:szCs w:val="24"/>
          <w:u w:val="single"/>
        </w:rPr>
        <w:t>Containment and Control Technologies for Ash Storage Areas</w:t>
      </w:r>
    </w:p>
    <w:p w14:paraId="26828D25" w14:textId="77777777" w:rsidR="003C37F7" w:rsidRPr="00DB7156" w:rsidRDefault="003C37F7" w:rsidP="003C37F7">
      <w:pPr>
        <w:spacing w:after="0"/>
        <w:rPr>
          <w:rFonts w:cs="Arial"/>
          <w:szCs w:val="24"/>
        </w:rPr>
      </w:pPr>
    </w:p>
    <w:p w14:paraId="796D8746" w14:textId="77777777" w:rsidR="003C37F7" w:rsidRPr="00DB7156" w:rsidRDefault="003C37F7" w:rsidP="003C37F7">
      <w:pPr>
        <w:spacing w:after="0"/>
        <w:rPr>
          <w:rFonts w:cs="Arial"/>
          <w:szCs w:val="24"/>
        </w:rPr>
      </w:pPr>
      <w:r w:rsidRPr="00DB7156">
        <w:rPr>
          <w:rFonts w:cs="Arial"/>
          <w:szCs w:val="24"/>
        </w:rPr>
        <w:t xml:space="preserve">Several technologies are available to control and close ash storage areas. The most common technologies include liners, caps, slurry walls, sheet pile walls, grouting, and </w:t>
      </w:r>
      <w:r w:rsidRPr="00DB7156">
        <w:rPr>
          <w:rFonts w:cs="Arial"/>
          <w:i/>
          <w:iCs/>
          <w:szCs w:val="24"/>
        </w:rPr>
        <w:t>in situ</w:t>
      </w:r>
      <w:r w:rsidRPr="00DB7156">
        <w:rPr>
          <w:rFonts w:cs="Arial"/>
          <w:szCs w:val="24"/>
        </w:rPr>
        <w:t xml:space="preserve"> solidification and stabilization. A brief description of each technology is provided below.</w:t>
      </w:r>
    </w:p>
    <w:p w14:paraId="1B011C33" w14:textId="77777777" w:rsidR="003C37F7" w:rsidRPr="00DB7156" w:rsidRDefault="003C37F7" w:rsidP="003C37F7">
      <w:pPr>
        <w:spacing w:after="0"/>
        <w:rPr>
          <w:rFonts w:cs="Arial"/>
          <w:szCs w:val="24"/>
        </w:rPr>
      </w:pPr>
    </w:p>
    <w:p w14:paraId="14A37ED6" w14:textId="77777777" w:rsidR="003C37F7" w:rsidRDefault="003C37F7" w:rsidP="003C37F7">
      <w:pPr>
        <w:spacing w:after="0"/>
        <w:rPr>
          <w:rFonts w:cs="Arial"/>
          <w:b/>
          <w:szCs w:val="24"/>
          <w:u w:val="single"/>
        </w:rPr>
      </w:pPr>
      <w:r>
        <w:rPr>
          <w:rFonts w:cs="Arial"/>
          <w:b/>
          <w:szCs w:val="24"/>
          <w:u w:val="single"/>
        </w:rPr>
        <w:t>Closure Footprint Reduction</w:t>
      </w:r>
    </w:p>
    <w:p w14:paraId="5F4594F5" w14:textId="52A95896" w:rsidR="003C37F7" w:rsidRPr="00B87D57" w:rsidRDefault="003C37F7" w:rsidP="003C37F7">
      <w:pPr>
        <w:spacing w:after="0"/>
        <w:rPr>
          <w:rFonts w:cs="Arial"/>
          <w:szCs w:val="24"/>
        </w:rPr>
      </w:pPr>
      <w:r>
        <w:rPr>
          <w:rFonts w:cs="Arial"/>
          <w:szCs w:val="24"/>
        </w:rPr>
        <w:t xml:space="preserve">Ash ponds closed in place may involve consolidating ash into a smaller footprint. This </w:t>
      </w:r>
      <w:r w:rsidR="00975C8E">
        <w:rPr>
          <w:rFonts w:cs="Arial"/>
          <w:szCs w:val="24"/>
        </w:rPr>
        <w:t xml:space="preserve">will likely reduce the extent of groundwater impacts and the area requiring </w:t>
      </w:r>
      <w:r>
        <w:rPr>
          <w:rFonts w:cs="Arial"/>
          <w:szCs w:val="24"/>
        </w:rPr>
        <w:t xml:space="preserve">long term O&amp;M associated with maintaining the closed facility. </w:t>
      </w:r>
    </w:p>
    <w:p w14:paraId="0B706435" w14:textId="77777777" w:rsidR="003C37F7" w:rsidRDefault="003C37F7" w:rsidP="003C37F7">
      <w:pPr>
        <w:spacing w:after="0"/>
        <w:rPr>
          <w:rFonts w:cs="Arial"/>
          <w:b/>
          <w:szCs w:val="24"/>
          <w:u w:val="single"/>
        </w:rPr>
      </w:pPr>
    </w:p>
    <w:p w14:paraId="71C0F9A0" w14:textId="77777777" w:rsidR="003C37F7" w:rsidRPr="00DB7156" w:rsidRDefault="003C37F7" w:rsidP="003C37F7">
      <w:pPr>
        <w:spacing w:after="0"/>
        <w:rPr>
          <w:rFonts w:cs="Arial"/>
          <w:b/>
          <w:szCs w:val="24"/>
          <w:u w:val="single"/>
        </w:rPr>
      </w:pPr>
      <w:r w:rsidRPr="00DB7156">
        <w:rPr>
          <w:rFonts w:cs="Arial"/>
          <w:b/>
          <w:szCs w:val="24"/>
          <w:u w:val="single"/>
        </w:rPr>
        <w:t>Liners</w:t>
      </w:r>
    </w:p>
    <w:p w14:paraId="13356E0E" w14:textId="7272D0E4" w:rsidR="003C37F7" w:rsidRPr="00DB7156" w:rsidRDefault="003C37F7" w:rsidP="003C37F7">
      <w:pPr>
        <w:spacing w:after="0"/>
        <w:rPr>
          <w:rFonts w:cs="Arial"/>
          <w:b/>
          <w:szCs w:val="24"/>
          <w:u w:val="single"/>
        </w:rPr>
      </w:pPr>
      <w:r w:rsidRPr="00DB7156">
        <w:rPr>
          <w:rFonts w:cs="Arial"/>
          <w:szCs w:val="24"/>
        </w:rPr>
        <w:t>A liner is a layer of impermeable or low-permeability material placed at the bottom of ash storage facilities, which prevents ash leachate from entering soil and groundwater. Liners can be constructed of compacted natural material (such as clay), synthetic m</w:t>
      </w:r>
      <w:r>
        <w:rPr>
          <w:rFonts w:cs="Arial"/>
          <w:szCs w:val="24"/>
        </w:rPr>
        <w:t>aterials (such as High-Density Polyethylene</w:t>
      </w:r>
      <w:r w:rsidRPr="00DB7156">
        <w:rPr>
          <w:rFonts w:cs="Arial"/>
          <w:szCs w:val="24"/>
        </w:rPr>
        <w:t xml:space="preserve"> </w:t>
      </w:r>
      <w:r>
        <w:rPr>
          <w:rFonts w:cs="Arial"/>
          <w:szCs w:val="24"/>
        </w:rPr>
        <w:t>(“</w:t>
      </w:r>
      <w:r w:rsidRPr="00DB7156">
        <w:rPr>
          <w:rFonts w:cs="Arial"/>
          <w:szCs w:val="24"/>
        </w:rPr>
        <w:t>HDPE</w:t>
      </w:r>
      <w:r>
        <w:rPr>
          <w:rFonts w:cs="Arial"/>
          <w:szCs w:val="24"/>
        </w:rPr>
        <w:t>”</w:t>
      </w:r>
      <w:r w:rsidRPr="00DB7156">
        <w:rPr>
          <w:rFonts w:cs="Arial"/>
          <w:szCs w:val="24"/>
        </w:rPr>
        <w:t>)</w:t>
      </w:r>
      <w:r>
        <w:rPr>
          <w:rFonts w:cs="Arial"/>
          <w:szCs w:val="24"/>
        </w:rPr>
        <w:t>)</w:t>
      </w:r>
      <w:r w:rsidRPr="00DB7156">
        <w:rPr>
          <w:rFonts w:cs="Arial"/>
          <w:szCs w:val="24"/>
        </w:rPr>
        <w:t>, or composite materials (combination of synthetic and natural materials). Regulations</w:t>
      </w:r>
      <w:r w:rsidRPr="00DB7156" w:rsidDel="000A5E7E">
        <w:rPr>
          <w:rFonts w:cs="Arial"/>
          <w:szCs w:val="24"/>
        </w:rPr>
        <w:t xml:space="preserve"> </w:t>
      </w:r>
      <w:r w:rsidRPr="00DB7156">
        <w:rPr>
          <w:rFonts w:cs="Arial"/>
          <w:szCs w:val="24"/>
        </w:rPr>
        <w:t>require liners under new ash storage areas.</w:t>
      </w:r>
    </w:p>
    <w:p w14:paraId="03CBDD8A" w14:textId="77777777" w:rsidR="003C37F7" w:rsidRPr="00DB7156" w:rsidRDefault="003C37F7" w:rsidP="003C37F7">
      <w:pPr>
        <w:spacing w:after="0"/>
        <w:rPr>
          <w:rFonts w:cs="Arial"/>
          <w:b/>
          <w:szCs w:val="24"/>
          <w:u w:val="single"/>
        </w:rPr>
      </w:pPr>
    </w:p>
    <w:p w14:paraId="3EFEB16D" w14:textId="77777777" w:rsidR="003C37F7" w:rsidRPr="00DB7156" w:rsidRDefault="003C37F7" w:rsidP="003C37F7">
      <w:pPr>
        <w:spacing w:after="0"/>
        <w:rPr>
          <w:rFonts w:cs="Arial"/>
          <w:b/>
          <w:szCs w:val="24"/>
          <w:u w:val="single"/>
        </w:rPr>
      </w:pPr>
      <w:r w:rsidRPr="00DB7156">
        <w:rPr>
          <w:rFonts w:cs="Arial"/>
          <w:b/>
          <w:szCs w:val="24"/>
          <w:u w:val="single"/>
        </w:rPr>
        <w:t>Caps</w:t>
      </w:r>
    </w:p>
    <w:p w14:paraId="4BE98893" w14:textId="15E80C9D" w:rsidR="003C37F7" w:rsidRPr="00DB7156" w:rsidRDefault="003C37F7" w:rsidP="003C37F7">
      <w:pPr>
        <w:spacing w:after="0"/>
        <w:rPr>
          <w:rFonts w:cs="Arial"/>
        </w:rPr>
      </w:pPr>
      <w:r w:rsidRPr="3671CFEC">
        <w:rPr>
          <w:rFonts w:cs="Arial"/>
        </w:rPr>
        <w:t>A cap is a layer of impermeable or low-permeability material placed on top of ash storage areas, to prevent</w:t>
      </w:r>
      <w:r w:rsidRPr="3671CFEC">
        <w:rPr>
          <w:rFonts w:cs="Arial"/>
          <w:b/>
        </w:rPr>
        <w:t xml:space="preserve"> </w:t>
      </w:r>
      <w:r w:rsidRPr="3671CFEC">
        <w:rPr>
          <w:rFonts w:cs="Arial"/>
        </w:rPr>
        <w:t>surface water infiltration and resulting leachate. As with liners, caps can be constructed of natural materials (for example, compacted clay), synthetic materials (HDPE), or composite</w:t>
      </w:r>
      <w:r w:rsidR="00B86005" w:rsidRPr="3671CFEC">
        <w:rPr>
          <w:rFonts w:cs="Arial"/>
        </w:rPr>
        <w:t xml:space="preserve"> materials</w:t>
      </w:r>
      <w:r w:rsidRPr="3671CFEC">
        <w:rPr>
          <w:rFonts w:cs="Arial"/>
        </w:rPr>
        <w:t>. Capping may be used in conjunction with liners</w:t>
      </w:r>
      <w:r w:rsidR="003B374A" w:rsidRPr="3671CFEC">
        <w:rPr>
          <w:rFonts w:cs="Arial"/>
        </w:rPr>
        <w:t xml:space="preserve">, </w:t>
      </w:r>
      <w:r w:rsidR="00BB76B4" w:rsidRPr="3671CFEC">
        <w:rPr>
          <w:rFonts w:cs="Arial"/>
        </w:rPr>
        <w:t xml:space="preserve">slurry </w:t>
      </w:r>
      <w:r w:rsidRPr="3671CFEC">
        <w:rPr>
          <w:rFonts w:cs="Arial"/>
        </w:rPr>
        <w:t>walls</w:t>
      </w:r>
      <w:r w:rsidR="003B374A" w:rsidRPr="3671CFEC">
        <w:rPr>
          <w:rFonts w:cs="Arial"/>
        </w:rPr>
        <w:t xml:space="preserve">, or other </w:t>
      </w:r>
      <w:r w:rsidR="004D1515">
        <w:rPr>
          <w:rFonts w:cs="Arial"/>
        </w:rPr>
        <w:t>proven</w:t>
      </w:r>
      <w:r w:rsidR="004D1515" w:rsidRPr="3671CFEC">
        <w:rPr>
          <w:rFonts w:cs="Arial"/>
        </w:rPr>
        <w:t xml:space="preserve"> </w:t>
      </w:r>
      <w:r w:rsidR="58531BE4" w:rsidRPr="3671CFEC">
        <w:rPr>
          <w:rFonts w:cs="Arial"/>
        </w:rPr>
        <w:t xml:space="preserve">engineering methods </w:t>
      </w:r>
      <w:r w:rsidRPr="3671CFEC">
        <w:rPr>
          <w:rFonts w:cs="Arial"/>
        </w:rPr>
        <w:t>to</w:t>
      </w:r>
      <w:r w:rsidR="003B374A" w:rsidRPr="3671CFEC">
        <w:rPr>
          <w:rFonts w:cs="Arial"/>
        </w:rPr>
        <w:t xml:space="preserve"> effectively</w:t>
      </w:r>
      <w:r w:rsidRPr="3671CFEC">
        <w:rPr>
          <w:rFonts w:cs="Arial"/>
        </w:rPr>
        <w:t xml:space="preserve"> encapsulate a material in place.</w:t>
      </w:r>
    </w:p>
    <w:p w14:paraId="59295168" w14:textId="77777777" w:rsidR="003C37F7" w:rsidRPr="00DB7156" w:rsidRDefault="003C37F7" w:rsidP="003C37F7">
      <w:pPr>
        <w:keepNext/>
        <w:keepLines/>
        <w:spacing w:after="0"/>
        <w:rPr>
          <w:rFonts w:cs="Arial"/>
          <w:b/>
          <w:szCs w:val="24"/>
          <w:u w:val="single"/>
        </w:rPr>
      </w:pPr>
    </w:p>
    <w:p w14:paraId="2124F31A" w14:textId="77777777" w:rsidR="003C37F7" w:rsidRPr="00DB7156" w:rsidRDefault="003C37F7" w:rsidP="003C37F7">
      <w:pPr>
        <w:keepNext/>
        <w:keepLines/>
        <w:spacing w:after="0"/>
        <w:rPr>
          <w:rFonts w:cs="Arial"/>
          <w:b/>
          <w:szCs w:val="24"/>
          <w:u w:val="single"/>
        </w:rPr>
      </w:pPr>
      <w:r w:rsidRPr="00DB7156">
        <w:rPr>
          <w:rFonts w:cs="Arial"/>
          <w:b/>
          <w:szCs w:val="24"/>
          <w:u w:val="single"/>
        </w:rPr>
        <w:t>Slurry Walls</w:t>
      </w:r>
    </w:p>
    <w:p w14:paraId="218EEAA3" w14:textId="775BE03B" w:rsidR="003C37F7" w:rsidRPr="00DB7156" w:rsidRDefault="003C37F7" w:rsidP="003C37F7">
      <w:pPr>
        <w:keepNext/>
        <w:keepLines/>
        <w:spacing w:after="0"/>
        <w:rPr>
          <w:rFonts w:cs="Arial"/>
          <w:szCs w:val="24"/>
        </w:rPr>
      </w:pPr>
      <w:r w:rsidRPr="00DB7156">
        <w:rPr>
          <w:rFonts w:cs="Arial"/>
          <w:szCs w:val="24"/>
        </w:rPr>
        <w:t>Slurry walls are subsurface walls constructed in trenches</w:t>
      </w:r>
      <w:r w:rsidR="007017DC">
        <w:rPr>
          <w:rFonts w:cs="Arial"/>
          <w:szCs w:val="24"/>
        </w:rPr>
        <w:t xml:space="preserve"> </w:t>
      </w:r>
      <w:r w:rsidR="007017DC" w:rsidRPr="003A2A49">
        <w:rPr>
          <w:rFonts w:cs="Arial"/>
          <w:szCs w:val="24"/>
        </w:rPr>
        <w:t>that are designed and installed to a pre-determined depth based on site conditions and project objective</w:t>
      </w:r>
      <w:r w:rsidR="007017DC">
        <w:rPr>
          <w:rFonts w:cs="Arial"/>
          <w:szCs w:val="24"/>
        </w:rPr>
        <w:t>s</w:t>
      </w:r>
      <w:r w:rsidRPr="00DB7156">
        <w:rPr>
          <w:rFonts w:cs="Arial"/>
          <w:szCs w:val="24"/>
        </w:rPr>
        <w:t>. The trench is filled with a slurry of materials that forms an impermeable barrier to prevent/minimize the migration of groundwater within the area. Slurry materials can include various mixtures of soil, bentonite clay, and/or cement.</w:t>
      </w:r>
    </w:p>
    <w:p w14:paraId="02CC3FEB" w14:textId="77777777" w:rsidR="003C37F7" w:rsidRPr="00DB7156" w:rsidRDefault="003C37F7" w:rsidP="003C37F7">
      <w:pPr>
        <w:spacing w:after="0"/>
        <w:rPr>
          <w:rFonts w:cs="Arial"/>
          <w:szCs w:val="24"/>
        </w:rPr>
      </w:pPr>
    </w:p>
    <w:p w14:paraId="70BCBF88" w14:textId="77777777" w:rsidR="003C37F7" w:rsidRPr="00DB7156" w:rsidRDefault="003C37F7" w:rsidP="003C37F7">
      <w:pPr>
        <w:spacing w:after="0"/>
        <w:rPr>
          <w:rFonts w:cs="Arial"/>
          <w:b/>
          <w:szCs w:val="24"/>
          <w:u w:val="single"/>
        </w:rPr>
      </w:pPr>
      <w:r w:rsidRPr="00DB7156">
        <w:rPr>
          <w:rFonts w:cs="Arial"/>
          <w:b/>
          <w:szCs w:val="24"/>
          <w:u w:val="single"/>
        </w:rPr>
        <w:t>Sheet Pile Walls</w:t>
      </w:r>
    </w:p>
    <w:p w14:paraId="140CC836" w14:textId="77777777" w:rsidR="003C37F7" w:rsidRPr="00DB7156" w:rsidRDefault="003C37F7" w:rsidP="003C37F7">
      <w:pPr>
        <w:spacing w:after="0"/>
        <w:rPr>
          <w:rFonts w:cs="Arial"/>
          <w:szCs w:val="24"/>
        </w:rPr>
      </w:pPr>
      <w:r w:rsidRPr="00DB7156">
        <w:rPr>
          <w:rFonts w:cs="Arial"/>
          <w:szCs w:val="24"/>
        </w:rPr>
        <w:t>Sheet piling includes interlocking wood, concrete, or steel sectors driven into the ground or forced into pre-dug trenches, usually to the top of a relatively impermeable layer (for example, clay or bedrock). As with slurry walls, sheet pile walls form an impermeable barrier to prevent/minimize the migration of groundwater. Steel sheet pilings are the most reliable and most commonly used. Sheet piling is often used as a temporary measure of containment while dewatering or excavation, or while other containment is constructed.</w:t>
      </w:r>
    </w:p>
    <w:p w14:paraId="49697724" w14:textId="77777777" w:rsidR="003C37F7" w:rsidRPr="00DB7156" w:rsidRDefault="003C37F7" w:rsidP="003C37F7">
      <w:pPr>
        <w:keepNext/>
        <w:spacing w:after="0"/>
        <w:rPr>
          <w:rFonts w:cs="Arial"/>
          <w:b/>
          <w:szCs w:val="24"/>
          <w:u w:val="single"/>
        </w:rPr>
      </w:pPr>
    </w:p>
    <w:p w14:paraId="6E0C6A68" w14:textId="77777777" w:rsidR="003C37F7" w:rsidRPr="00DB7156" w:rsidRDefault="003C37F7" w:rsidP="003C37F7">
      <w:pPr>
        <w:keepNext/>
        <w:spacing w:after="0"/>
        <w:rPr>
          <w:rFonts w:cs="Arial"/>
          <w:b/>
          <w:szCs w:val="24"/>
          <w:u w:val="single"/>
        </w:rPr>
      </w:pPr>
      <w:r w:rsidRPr="00DB7156">
        <w:rPr>
          <w:rFonts w:cs="Arial"/>
          <w:b/>
          <w:szCs w:val="24"/>
          <w:u w:val="single"/>
        </w:rPr>
        <w:t>Grout Curtains</w:t>
      </w:r>
    </w:p>
    <w:p w14:paraId="6D5AF8D0" w14:textId="77777777" w:rsidR="003C37F7" w:rsidRPr="00DB7156" w:rsidRDefault="003C37F7" w:rsidP="003C37F7">
      <w:pPr>
        <w:keepNext/>
        <w:spacing w:after="0"/>
        <w:rPr>
          <w:rFonts w:cs="Arial"/>
        </w:rPr>
      </w:pPr>
      <w:r w:rsidRPr="6BABA098">
        <w:rPr>
          <w:rFonts w:cs="Arial"/>
        </w:rPr>
        <w:t>A grout curtain is a method of sealing gaps in subsurface geology by injection of grout to fill voids in fractured rock, or to consolidate soil by filling the pore space. The grout material may be a Portland cement mix or any fluid material that hardens, such as a resin or sodium silicate. The grout material is injected as a pressurized fluid through holes drilled into the ground, generally in rows. Under ideal conditions, the injected fluids harden to create a relatively impermeable barrier, similar to a wall, in the subsurface.</w:t>
      </w:r>
    </w:p>
    <w:p w14:paraId="56082618" w14:textId="77777777" w:rsidR="003C37F7" w:rsidRPr="00DB7156" w:rsidRDefault="003C37F7" w:rsidP="003C37F7">
      <w:pPr>
        <w:spacing w:after="0"/>
        <w:rPr>
          <w:rFonts w:cs="Arial"/>
          <w:szCs w:val="24"/>
        </w:rPr>
      </w:pPr>
    </w:p>
    <w:p w14:paraId="11AA3B2B" w14:textId="77777777" w:rsidR="003C37F7" w:rsidRPr="00DB7156" w:rsidRDefault="003C37F7" w:rsidP="003C37F7">
      <w:pPr>
        <w:spacing w:after="0"/>
        <w:rPr>
          <w:rFonts w:cs="Arial"/>
          <w:b/>
          <w:szCs w:val="24"/>
          <w:u w:val="single"/>
        </w:rPr>
      </w:pPr>
      <w:r w:rsidRPr="00DB7156">
        <w:rPr>
          <w:rFonts w:cs="Arial"/>
          <w:b/>
          <w:szCs w:val="24"/>
          <w:u w:val="single"/>
        </w:rPr>
        <w:t>In situ Solidification/Stabilization</w:t>
      </w:r>
    </w:p>
    <w:p w14:paraId="4AAC88EF" w14:textId="1F25F3C6" w:rsidR="003C37F7" w:rsidRPr="00DB7156" w:rsidRDefault="003C37F7" w:rsidP="003C37F7">
      <w:pPr>
        <w:spacing w:after="0"/>
        <w:rPr>
          <w:rFonts w:cs="Arial"/>
          <w:snapToGrid w:val="0"/>
          <w:szCs w:val="24"/>
        </w:rPr>
      </w:pPr>
      <w:r w:rsidRPr="00DB7156">
        <w:rPr>
          <w:rFonts w:cs="Arial"/>
          <w:snapToGrid w:val="0"/>
          <w:szCs w:val="24"/>
        </w:rPr>
        <w:t xml:space="preserve">Solidification/stabilization describes the technique of solidifying soil or waste material (e.g., a sludge), to reduce the potential for groundwater interaction. Solidification refers to the addition of a binder to produce a solid. Stabilization refers to the addition of a chemical agent to convert the soil or waste material to a more chemically stable form.  Some additives, such as Portland cement, produce both physical and chemical changes.  Large augers or equipment with rotary blades are </w:t>
      </w:r>
      <w:r w:rsidR="00600E98">
        <w:rPr>
          <w:rFonts w:cs="Arial"/>
          <w:snapToGrid w:val="0"/>
          <w:szCs w:val="24"/>
        </w:rPr>
        <w:t xml:space="preserve">typically </w:t>
      </w:r>
      <w:r w:rsidRPr="00DB7156">
        <w:rPr>
          <w:rFonts w:cs="Arial"/>
          <w:snapToGrid w:val="0"/>
          <w:szCs w:val="24"/>
        </w:rPr>
        <w:t xml:space="preserve">used to mix the additives with contaminated soil or waste material.  </w:t>
      </w:r>
    </w:p>
    <w:bookmarkEnd w:id="82"/>
    <w:p w14:paraId="580E0806" w14:textId="77777777" w:rsidR="003C37F7" w:rsidRPr="00DB7156" w:rsidRDefault="003C37F7" w:rsidP="003C37F7">
      <w:pPr>
        <w:tabs>
          <w:tab w:val="left" w:pos="540"/>
        </w:tabs>
        <w:autoSpaceDE w:val="0"/>
        <w:autoSpaceDN w:val="0"/>
        <w:adjustRightInd w:val="0"/>
        <w:spacing w:after="0"/>
        <w:rPr>
          <w:rFonts w:cs="Arial"/>
          <w:szCs w:val="24"/>
        </w:rPr>
      </w:pPr>
    </w:p>
    <w:p w14:paraId="2D56A7CC" w14:textId="296F0833" w:rsidR="003C37F7" w:rsidRPr="00DB7156" w:rsidRDefault="003C37F7" w:rsidP="003C37F7">
      <w:pPr>
        <w:keepNext/>
        <w:spacing w:after="0"/>
        <w:rPr>
          <w:rFonts w:cs="Arial"/>
          <w:b/>
          <w:color w:val="000080"/>
          <w:szCs w:val="24"/>
        </w:rPr>
      </w:pPr>
      <w:r w:rsidRPr="6A44F22A">
        <w:rPr>
          <w:rFonts w:cs="Arial"/>
          <w:b/>
          <w:bCs/>
          <w:color w:val="000080"/>
          <w:szCs w:val="24"/>
        </w:rPr>
        <w:t>XII</w:t>
      </w:r>
      <w:r w:rsidRPr="00DB7156">
        <w:rPr>
          <w:rFonts w:cs="Arial"/>
          <w:b/>
          <w:color w:val="000080"/>
          <w:szCs w:val="24"/>
        </w:rPr>
        <w:t>.</w:t>
      </w:r>
      <w:r>
        <w:tab/>
      </w:r>
      <w:r w:rsidRPr="00DB7156">
        <w:rPr>
          <w:rFonts w:cs="Arial"/>
          <w:b/>
          <w:color w:val="000080"/>
          <w:szCs w:val="24"/>
          <w:u w:val="single"/>
        </w:rPr>
        <w:t>Cooling Water Intake Screen Technology</w:t>
      </w:r>
    </w:p>
    <w:p w14:paraId="706FF9E0" w14:textId="77777777" w:rsidR="003C37F7" w:rsidRPr="00DB7156" w:rsidRDefault="003C37F7" w:rsidP="003C37F7">
      <w:pPr>
        <w:keepNext/>
        <w:spacing w:after="0"/>
        <w:rPr>
          <w:rFonts w:cs="Arial"/>
          <w:szCs w:val="24"/>
        </w:rPr>
      </w:pPr>
    </w:p>
    <w:p w14:paraId="12D1EC21" w14:textId="77777777" w:rsidR="003C37F7" w:rsidRPr="00DB7156" w:rsidRDefault="003C37F7" w:rsidP="003C37F7">
      <w:pPr>
        <w:tabs>
          <w:tab w:val="left" w:pos="540"/>
        </w:tabs>
        <w:spacing w:after="0"/>
        <w:rPr>
          <w:rFonts w:cs="Arial"/>
          <w:b/>
          <w:color w:val="CC0000"/>
          <w:szCs w:val="24"/>
        </w:rPr>
      </w:pPr>
      <w:r w:rsidRPr="00DB7156">
        <w:rPr>
          <w:rFonts w:cs="Arial"/>
          <w:szCs w:val="24"/>
        </w:rPr>
        <w:t>Inclined traveling water screens (</w:t>
      </w:r>
      <w:r>
        <w:rPr>
          <w:rFonts w:cs="Arial"/>
          <w:szCs w:val="24"/>
        </w:rPr>
        <w:t>“</w:t>
      </w:r>
      <w:r w:rsidRPr="00DB7156">
        <w:rPr>
          <w:rFonts w:cs="Arial"/>
          <w:szCs w:val="24"/>
        </w:rPr>
        <w:t>TWS</w:t>
      </w:r>
      <w:r>
        <w:rPr>
          <w:rFonts w:cs="Arial"/>
          <w:szCs w:val="24"/>
        </w:rPr>
        <w:t>”</w:t>
      </w:r>
      <w:r w:rsidRPr="00DB7156">
        <w:rPr>
          <w:rFonts w:cs="Arial"/>
          <w:szCs w:val="24"/>
        </w:rPr>
        <w:t>) and cylindrical wedge wire screens (</w:t>
      </w:r>
      <w:r>
        <w:rPr>
          <w:rFonts w:cs="Arial"/>
          <w:szCs w:val="24"/>
        </w:rPr>
        <w:t>“</w:t>
      </w:r>
      <w:r w:rsidRPr="00DB7156">
        <w:rPr>
          <w:rFonts w:cs="Arial"/>
          <w:szCs w:val="24"/>
        </w:rPr>
        <w:t>CWWS</w:t>
      </w:r>
      <w:r>
        <w:rPr>
          <w:rFonts w:cs="Arial"/>
          <w:szCs w:val="24"/>
        </w:rPr>
        <w:t>”</w:t>
      </w:r>
      <w:r w:rsidRPr="00DB7156">
        <w:rPr>
          <w:rFonts w:cs="Arial"/>
          <w:szCs w:val="24"/>
        </w:rPr>
        <w:t>) will generally be the preferred water screen technologies. Both screens will allow debris handling and the design is also adaptable to minimize impingement and entrainment.  Screen wash systems for the TWS and airburst systems for the CWWS can maintain screen cleanliness to an acceptable level. If needed, continuous fish and debris handling systems can also be designed to work with the TWS. As needed, fish-return technologies are also available.</w:t>
      </w:r>
    </w:p>
    <w:p w14:paraId="1A5C7B3E" w14:textId="77777777" w:rsidR="003C37F7" w:rsidRPr="00DB7156" w:rsidRDefault="003C37F7" w:rsidP="003C37F7">
      <w:pPr>
        <w:spacing w:after="0"/>
        <w:rPr>
          <w:rFonts w:cs="Arial"/>
          <w:b/>
          <w:color w:val="CC0000"/>
          <w:szCs w:val="24"/>
        </w:rPr>
      </w:pPr>
    </w:p>
    <w:p w14:paraId="68F0B769" w14:textId="74483C03" w:rsidR="003C37F7" w:rsidRPr="00DB7156" w:rsidRDefault="003C37F7" w:rsidP="003C37F7">
      <w:pPr>
        <w:spacing w:after="0"/>
        <w:rPr>
          <w:rFonts w:cs="Arial"/>
          <w:b/>
          <w:color w:val="CC0000"/>
          <w:szCs w:val="24"/>
        </w:rPr>
      </w:pPr>
      <w:r w:rsidRPr="480A2D46">
        <w:rPr>
          <w:rFonts w:cs="Arial"/>
          <w:b/>
          <w:bCs/>
          <w:color w:val="000080"/>
          <w:szCs w:val="24"/>
        </w:rPr>
        <w:t>X</w:t>
      </w:r>
      <w:r w:rsidR="000E1EB0">
        <w:rPr>
          <w:rFonts w:cs="Arial"/>
          <w:b/>
          <w:bCs/>
          <w:color w:val="000080"/>
          <w:szCs w:val="24"/>
        </w:rPr>
        <w:t>III</w:t>
      </w:r>
      <w:r w:rsidRPr="00DB7156">
        <w:rPr>
          <w:rFonts w:cs="Arial"/>
          <w:b/>
          <w:color w:val="000080"/>
          <w:szCs w:val="24"/>
        </w:rPr>
        <w:t>.</w:t>
      </w:r>
      <w:r>
        <w:tab/>
      </w:r>
      <w:r w:rsidRPr="00DB7156">
        <w:rPr>
          <w:rFonts w:cs="Arial"/>
          <w:b/>
          <w:color w:val="000080"/>
          <w:szCs w:val="24"/>
          <w:u w:val="single"/>
        </w:rPr>
        <w:t>Water Cooling Technologies</w:t>
      </w:r>
    </w:p>
    <w:p w14:paraId="75B938B1" w14:textId="77777777" w:rsidR="003C37F7" w:rsidRPr="00DB7156" w:rsidRDefault="003C37F7" w:rsidP="003C37F7">
      <w:pPr>
        <w:spacing w:after="0"/>
        <w:rPr>
          <w:rFonts w:cs="Arial"/>
          <w:szCs w:val="24"/>
        </w:rPr>
      </w:pPr>
    </w:p>
    <w:p w14:paraId="5DC0E0AD" w14:textId="26A4C679" w:rsidR="003C37F7" w:rsidRPr="00DB7156" w:rsidRDefault="003C37F7" w:rsidP="003C37F7">
      <w:pPr>
        <w:rPr>
          <w:rFonts w:cs="Arial"/>
          <w:szCs w:val="24"/>
        </w:rPr>
      </w:pPr>
      <w:r w:rsidRPr="00DB7156">
        <w:rPr>
          <w:rFonts w:cs="Arial"/>
          <w:szCs w:val="24"/>
        </w:rPr>
        <w:t xml:space="preserve">Cooling water systems are generally placed into two </w:t>
      </w:r>
      <w:r w:rsidR="481F321C" w:rsidRPr="6A44F22A">
        <w:rPr>
          <w:rFonts w:cs="Arial"/>
          <w:szCs w:val="24"/>
        </w:rPr>
        <w:t>categories</w:t>
      </w:r>
      <w:r w:rsidRPr="00DB7156">
        <w:rPr>
          <w:rFonts w:cs="Arial"/>
          <w:szCs w:val="24"/>
        </w:rPr>
        <w:t xml:space="preserve">: either wet systems, which use water as the cooling medium, or dry systems that </w:t>
      </w:r>
      <w:r w:rsidRPr="6A44F22A">
        <w:rPr>
          <w:rFonts w:cs="Arial"/>
          <w:szCs w:val="24"/>
        </w:rPr>
        <w:t>ut</w:t>
      </w:r>
      <w:r w:rsidR="3906DFFE" w:rsidRPr="6A44F22A">
        <w:rPr>
          <w:rFonts w:cs="Arial"/>
          <w:szCs w:val="24"/>
        </w:rPr>
        <w:t>i</w:t>
      </w:r>
      <w:r w:rsidRPr="6A44F22A">
        <w:rPr>
          <w:rFonts w:cs="Arial"/>
          <w:szCs w:val="24"/>
        </w:rPr>
        <w:t>lize</w:t>
      </w:r>
      <w:r w:rsidRPr="00DB7156">
        <w:rPr>
          <w:rFonts w:cs="Arial"/>
          <w:szCs w:val="24"/>
        </w:rPr>
        <w:t xml:space="preserve"> air.</w:t>
      </w:r>
      <w:r>
        <w:rPr>
          <w:rFonts w:cs="Arial"/>
          <w:szCs w:val="24"/>
        </w:rPr>
        <w:t xml:space="preserve"> </w:t>
      </w:r>
      <w:r w:rsidRPr="00DB7156">
        <w:rPr>
          <w:rFonts w:cs="Arial"/>
          <w:szCs w:val="24"/>
        </w:rPr>
        <w:t xml:space="preserve">Wet cooling systems withdraw water to absorb heat via indirect contact with steam in a condenser. These wet cooling systems are divided into two types, based on the manner in which the cooling water is used: once-through and closed-cycle systems with cooling towers or ponds. Unlike once-through systems that continuously draw fresh cold water from a large water source, closed cycle systems recirculate the same cooling water in a continuous loop through the condenser, with only very small amounts of water being withdrawn from a source to replace the water that is lost due to evaporation, drift, and blowdown in the cooling tower.  </w:t>
      </w:r>
    </w:p>
    <w:p w14:paraId="4B7828C9" w14:textId="3E028B99" w:rsidR="003C37F7" w:rsidRPr="00DB7156" w:rsidRDefault="003C37F7" w:rsidP="003C37F7">
      <w:pPr>
        <w:rPr>
          <w:rFonts w:cs="Arial"/>
          <w:szCs w:val="24"/>
        </w:rPr>
      </w:pPr>
      <w:r w:rsidRPr="00DB7156">
        <w:rPr>
          <w:rFonts w:cs="Arial"/>
          <w:szCs w:val="24"/>
        </w:rPr>
        <w:t xml:space="preserve">Because of the relative simplicity, the capital and operating costs for once-through systems are less than those for closed-cycle systems with a cooling tower. Once-through systems can also include helper cooling towers to reduce thermal load at the water discharge point, but these systems do not reduce water withdrawals. </w:t>
      </w:r>
      <w:r w:rsidR="00AA4618">
        <w:rPr>
          <w:rFonts w:cs="Arial"/>
          <w:szCs w:val="24"/>
        </w:rPr>
        <w:t>C</w:t>
      </w:r>
      <w:r w:rsidRPr="00DB7156">
        <w:rPr>
          <w:rFonts w:cs="Arial"/>
          <w:szCs w:val="24"/>
        </w:rPr>
        <w:t>losed-cycle cooling water system</w:t>
      </w:r>
      <w:r w:rsidR="00AA4618">
        <w:rPr>
          <w:rFonts w:cs="Arial"/>
          <w:szCs w:val="24"/>
        </w:rPr>
        <w:t>s</w:t>
      </w:r>
      <w:r w:rsidRPr="00DB7156">
        <w:rPr>
          <w:rFonts w:cs="Arial"/>
          <w:szCs w:val="24"/>
        </w:rPr>
        <w:t xml:space="preserve"> reduce water withdrawals about 95%. Because of this, </w:t>
      </w:r>
      <w:r w:rsidR="00AA4618">
        <w:rPr>
          <w:rFonts w:cs="Arial"/>
          <w:szCs w:val="24"/>
        </w:rPr>
        <w:t>use</w:t>
      </w:r>
      <w:r w:rsidRPr="00DB7156">
        <w:rPr>
          <w:rFonts w:cs="Arial"/>
          <w:szCs w:val="24"/>
        </w:rPr>
        <w:t xml:space="preserve"> of a closed-cycle system with a cooling tower is one potential method of minimizing impingement and entrainment. However, consumptive use of water </w:t>
      </w:r>
      <w:r w:rsidR="00AA4618">
        <w:rPr>
          <w:rFonts w:cs="Arial"/>
          <w:szCs w:val="24"/>
        </w:rPr>
        <w:t>is</w:t>
      </w:r>
      <w:r w:rsidRPr="00DB7156">
        <w:rPr>
          <w:rFonts w:cs="Arial"/>
          <w:szCs w:val="24"/>
        </w:rPr>
        <w:t xml:space="preserve"> increased from use of cooling towers and approximately 75% of the cooling water withdrawn is not returned to source but is lost to the atmosphere via evaporation. </w:t>
      </w:r>
    </w:p>
    <w:p w14:paraId="5BC17BFD" w14:textId="77777777" w:rsidR="003C37F7" w:rsidRPr="00DB7156" w:rsidRDefault="003C37F7" w:rsidP="003C37F7">
      <w:pPr>
        <w:spacing w:after="0"/>
        <w:rPr>
          <w:rFonts w:cs="Arial"/>
          <w:szCs w:val="24"/>
        </w:rPr>
      </w:pPr>
      <w:r w:rsidRPr="00DB7156">
        <w:rPr>
          <w:rFonts w:cs="Arial"/>
          <w:szCs w:val="24"/>
        </w:rPr>
        <w:t>Dry cooling systems transfer heat to the atmosphere without the use of water. Steam leaving the turbine is piped to an air-cooled, finned-tube condenser. Dry cooling has an adverse effect on power plant efficiency, requires a large area of land, and is more expensive than wet cooling. A hybrid system incorporates elements of both wet and dry cooling systems in an attempt to maximize the benefits of each. Few large-scale applications of hybrid systems exist in the United States and the cost is commensurate with that of dry cooling. Neither a dry nor a hybrid cooling system is considered an economically or technically viable option for retrofit of an existing generating unit in the Southeast.</w:t>
      </w:r>
    </w:p>
    <w:p w14:paraId="28BE7200" w14:textId="77777777" w:rsidR="003C37F7" w:rsidRPr="00DB7156" w:rsidRDefault="003C37F7" w:rsidP="003C37F7">
      <w:pPr>
        <w:spacing w:after="0"/>
        <w:rPr>
          <w:rFonts w:cs="Arial"/>
          <w:szCs w:val="24"/>
        </w:rPr>
      </w:pPr>
    </w:p>
    <w:p w14:paraId="2D2842B7" w14:textId="2F1FF76A" w:rsidR="003C37F7" w:rsidRPr="00DB7156" w:rsidRDefault="003C37F7" w:rsidP="003C37F7">
      <w:pPr>
        <w:keepNext/>
        <w:spacing w:after="0"/>
        <w:rPr>
          <w:rFonts w:cs="Arial"/>
          <w:color w:val="000080"/>
          <w:szCs w:val="24"/>
        </w:rPr>
      </w:pPr>
      <w:r w:rsidRPr="6A44F22A">
        <w:rPr>
          <w:rFonts w:cs="Arial"/>
          <w:b/>
          <w:bCs/>
          <w:color w:val="000080"/>
          <w:szCs w:val="24"/>
        </w:rPr>
        <w:t>X</w:t>
      </w:r>
      <w:r w:rsidR="1ED4E8E4" w:rsidRPr="6A44F22A">
        <w:rPr>
          <w:rFonts w:cs="Arial"/>
          <w:b/>
          <w:bCs/>
          <w:color w:val="000080"/>
          <w:szCs w:val="24"/>
        </w:rPr>
        <w:t>I</w:t>
      </w:r>
      <w:r w:rsidRPr="6A44F22A">
        <w:rPr>
          <w:rFonts w:cs="Arial"/>
          <w:b/>
          <w:bCs/>
          <w:color w:val="000080"/>
          <w:szCs w:val="24"/>
        </w:rPr>
        <w:t>V</w:t>
      </w:r>
      <w:r w:rsidRPr="00DB7156">
        <w:rPr>
          <w:rFonts w:cs="Arial"/>
          <w:b/>
          <w:color w:val="000080"/>
          <w:szCs w:val="24"/>
        </w:rPr>
        <w:t>.</w:t>
      </w:r>
      <w:r>
        <w:tab/>
      </w:r>
      <w:r w:rsidRPr="00DB7156">
        <w:rPr>
          <w:rFonts w:cs="Arial"/>
          <w:b/>
          <w:color w:val="000080"/>
          <w:szCs w:val="24"/>
          <w:u w:val="single"/>
        </w:rPr>
        <w:t xml:space="preserve">Water Research </w:t>
      </w:r>
      <w:r>
        <w:rPr>
          <w:rFonts w:cs="Arial"/>
          <w:b/>
          <w:color w:val="000080"/>
          <w:szCs w:val="24"/>
          <w:u w:val="single"/>
        </w:rPr>
        <w:t xml:space="preserve">and Conservation </w:t>
      </w:r>
      <w:r w:rsidRPr="00DB7156">
        <w:rPr>
          <w:rFonts w:cs="Arial"/>
          <w:b/>
          <w:color w:val="000080"/>
          <w:szCs w:val="24"/>
          <w:u w:val="single"/>
        </w:rPr>
        <w:t>Center</w:t>
      </w:r>
    </w:p>
    <w:p w14:paraId="7C9442B7" w14:textId="77777777" w:rsidR="003C37F7" w:rsidRPr="00DB7156" w:rsidRDefault="003C37F7" w:rsidP="003C37F7">
      <w:pPr>
        <w:spacing w:after="0"/>
        <w:rPr>
          <w:rFonts w:cs="Arial"/>
          <w:szCs w:val="24"/>
        </w:rPr>
      </w:pPr>
    </w:p>
    <w:p w14:paraId="5C78536E" w14:textId="6D77961D" w:rsidR="003C37F7" w:rsidRPr="00DB7156" w:rsidRDefault="003C37F7" w:rsidP="0060527B">
      <w:pPr>
        <w:spacing w:after="0"/>
        <w:rPr>
          <w:rFonts w:cs="Arial"/>
        </w:rPr>
      </w:pPr>
      <w:r w:rsidRPr="02B41C92">
        <w:rPr>
          <w:rFonts w:cs="Arial"/>
          <w:szCs w:val="24"/>
        </w:rPr>
        <w:t>Originally developed in 2012 through collaboration with EPRI and Southern Company,</w:t>
      </w:r>
      <w:r w:rsidR="0025652D">
        <w:rPr>
          <w:rFonts w:cs="Arial"/>
          <w:szCs w:val="24"/>
        </w:rPr>
        <w:t xml:space="preserve"> </w:t>
      </w:r>
      <w:r w:rsidR="1A9A29A9" w:rsidRPr="02B41C92">
        <w:rPr>
          <w:rFonts w:cs="Arial"/>
          <w:szCs w:val="24"/>
        </w:rPr>
        <w:t xml:space="preserve">the </w:t>
      </w:r>
      <w:r w:rsidR="5B081485" w:rsidRPr="02B41C92">
        <w:rPr>
          <w:rFonts w:cs="Arial"/>
          <w:szCs w:val="24"/>
        </w:rPr>
        <w:t>WRC</w:t>
      </w:r>
      <w:r w:rsidR="28622DC9" w:rsidRPr="02B41C92">
        <w:rPr>
          <w:rFonts w:cs="Arial"/>
          <w:szCs w:val="24"/>
        </w:rPr>
        <w:t xml:space="preserve"> at Georgia Power’s Plant Bowen </w:t>
      </w:r>
      <w:r w:rsidR="2A77FAAD" w:rsidRPr="02B41C92">
        <w:rPr>
          <w:rFonts w:cs="Arial"/>
          <w:szCs w:val="24"/>
        </w:rPr>
        <w:t>provided</w:t>
      </w:r>
      <w:r w:rsidRPr="02B41C92" w:rsidDel="003C37F7">
        <w:rPr>
          <w:rFonts w:cs="Arial"/>
          <w:szCs w:val="24"/>
        </w:rPr>
        <w:t xml:space="preserve"> </w:t>
      </w:r>
      <w:r w:rsidRPr="02B41C92">
        <w:rPr>
          <w:rFonts w:cs="Arial"/>
          <w:szCs w:val="24"/>
        </w:rPr>
        <w:t xml:space="preserve">a venue for </w:t>
      </w:r>
      <w:r w:rsidR="658375B5" w:rsidRPr="02B41C92">
        <w:rPr>
          <w:rFonts w:cs="Arial"/>
          <w:szCs w:val="24"/>
        </w:rPr>
        <w:t>technology evaluation</w:t>
      </w:r>
      <w:r w:rsidR="435BC1E3" w:rsidRPr="02B41C92">
        <w:rPr>
          <w:rFonts w:cs="Arial"/>
          <w:szCs w:val="24"/>
        </w:rPr>
        <w:t>s</w:t>
      </w:r>
      <w:r w:rsidRPr="02B41C92">
        <w:rPr>
          <w:rFonts w:cs="Arial"/>
          <w:szCs w:val="24"/>
        </w:rPr>
        <w:t xml:space="preserve"> to address water use, withdrawal, consumption, treatment, and recycling throughout the power generation process. </w:t>
      </w:r>
      <w:r w:rsidR="0E7495F8" w:rsidRPr="02B41C92">
        <w:rPr>
          <w:rFonts w:cs="Arial"/>
          <w:szCs w:val="24"/>
        </w:rPr>
        <w:t>T</w:t>
      </w:r>
      <w:r w:rsidRPr="02B41C92">
        <w:rPr>
          <w:rFonts w:cs="Arial"/>
          <w:szCs w:val="24"/>
        </w:rPr>
        <w:t xml:space="preserve">he WRC </w:t>
      </w:r>
      <w:r w:rsidR="00FB61BA">
        <w:rPr>
          <w:rFonts w:cs="Arial"/>
          <w:szCs w:val="24"/>
        </w:rPr>
        <w:t>has</w:t>
      </w:r>
      <w:r w:rsidRPr="02B41C92">
        <w:rPr>
          <w:rFonts w:cs="Arial"/>
          <w:szCs w:val="24"/>
        </w:rPr>
        <w:t xml:space="preserve"> generated new information regarding current and future regulatory compliance issues related to water withdrawal, use, and discharge restrictions. Testing at the WRC </w:t>
      </w:r>
      <w:r w:rsidR="118E896C" w:rsidRPr="02B41C92">
        <w:rPr>
          <w:rFonts w:cs="Arial"/>
          <w:szCs w:val="24"/>
        </w:rPr>
        <w:t>successfully informed technology</w:t>
      </w:r>
      <w:r w:rsidRPr="02B41C92">
        <w:rPr>
          <w:rFonts w:cs="Arial"/>
          <w:szCs w:val="24"/>
        </w:rPr>
        <w:t xml:space="preserve"> strategies for achieving cost-effective environmental compliance</w:t>
      </w:r>
      <w:r w:rsidR="72928685" w:rsidRPr="02B41C92">
        <w:rPr>
          <w:rFonts w:cs="Arial"/>
          <w:szCs w:val="24"/>
        </w:rPr>
        <w:t>, and several technologies have been implemented throughout the energy industry and across the Southern Company fleet.</w:t>
      </w:r>
    </w:p>
    <w:p w14:paraId="164D85E5" w14:textId="05BC2C9C" w:rsidR="003C37F7" w:rsidRPr="00DB7156" w:rsidRDefault="003C37F7" w:rsidP="0060527B">
      <w:pPr>
        <w:spacing w:after="0"/>
        <w:rPr>
          <w:rFonts w:cs="Arial"/>
        </w:rPr>
      </w:pPr>
    </w:p>
    <w:p w14:paraId="4A3C9BA5" w14:textId="51951634" w:rsidR="003C37F7" w:rsidRPr="008C74C5" w:rsidRDefault="2A4E6BF4" w:rsidP="003C37F7">
      <w:pPr>
        <w:spacing w:after="0"/>
        <w:rPr>
          <w:rStyle w:val="CommentReference"/>
          <w:rFonts w:eastAsia="Arial" w:cs="Arial"/>
          <w:sz w:val="24"/>
          <w:szCs w:val="24"/>
        </w:rPr>
      </w:pPr>
      <w:r w:rsidRPr="008E4AAF">
        <w:rPr>
          <w:rFonts w:eastAsia="Arial" w:cs="Arial"/>
          <w:szCs w:val="24"/>
        </w:rPr>
        <w:t>Due to the success of the WRC, Southern Company and EPRI developed t</w:t>
      </w:r>
      <w:r w:rsidR="3C50990D" w:rsidRPr="008E4AAF">
        <w:rPr>
          <w:rFonts w:eastAsia="Arial" w:cs="Arial"/>
          <w:szCs w:val="24"/>
        </w:rPr>
        <w:t>he state-of-the-art WRCC at Georgia Power's Plant McDonough</w:t>
      </w:r>
      <w:r w:rsidR="3E57A84B" w:rsidRPr="008E4AAF">
        <w:rPr>
          <w:rFonts w:eastAsia="Arial" w:cs="Arial"/>
          <w:szCs w:val="24"/>
        </w:rPr>
        <w:t>.</w:t>
      </w:r>
      <w:r w:rsidR="3C50990D" w:rsidRPr="008E4AAF">
        <w:rPr>
          <w:rFonts w:eastAsia="Arial" w:cs="Arial"/>
          <w:szCs w:val="24"/>
        </w:rPr>
        <w:t xml:space="preserve"> </w:t>
      </w:r>
      <w:r w:rsidR="19E728D5" w:rsidRPr="008E4AAF">
        <w:rPr>
          <w:rFonts w:eastAsia="Arial" w:cs="Arial"/>
          <w:szCs w:val="24"/>
        </w:rPr>
        <w:t>This research center</w:t>
      </w:r>
      <w:r w:rsidR="39508EE1" w:rsidRPr="008E4AAF">
        <w:rPr>
          <w:rFonts w:eastAsia="Arial" w:cs="Arial"/>
          <w:szCs w:val="24"/>
        </w:rPr>
        <w:t xml:space="preserve"> </w:t>
      </w:r>
      <w:r w:rsidR="3C50990D" w:rsidRPr="008E4AAF">
        <w:rPr>
          <w:rFonts w:eastAsia="Arial" w:cs="Arial"/>
          <w:szCs w:val="24"/>
        </w:rPr>
        <w:t>provide</w:t>
      </w:r>
      <w:r w:rsidR="283570C9" w:rsidRPr="008E4AAF">
        <w:rPr>
          <w:rFonts w:eastAsia="Arial" w:cs="Arial"/>
          <w:szCs w:val="24"/>
        </w:rPr>
        <w:t>s</w:t>
      </w:r>
      <w:r w:rsidR="3C50990D" w:rsidRPr="008E4AAF">
        <w:rPr>
          <w:rFonts w:eastAsia="Arial" w:cs="Arial"/>
          <w:szCs w:val="24"/>
        </w:rPr>
        <w:t xml:space="preserve"> the infrastructure needed to </w:t>
      </w:r>
      <w:r w:rsidR="72D6DF7E" w:rsidRPr="008E4AAF">
        <w:rPr>
          <w:rFonts w:eastAsia="Arial" w:cs="Arial"/>
          <w:szCs w:val="24"/>
        </w:rPr>
        <w:t xml:space="preserve">test and </w:t>
      </w:r>
      <w:r w:rsidR="3C50990D" w:rsidRPr="008E4AAF">
        <w:rPr>
          <w:rFonts w:eastAsia="Arial" w:cs="Arial"/>
          <w:szCs w:val="24"/>
        </w:rPr>
        <w:t>identify the most promising water technologies</w:t>
      </w:r>
      <w:r w:rsidR="7BCCC02C" w:rsidRPr="008E4AAF">
        <w:rPr>
          <w:rFonts w:eastAsia="Arial" w:cs="Arial"/>
          <w:szCs w:val="24"/>
        </w:rPr>
        <w:t>.</w:t>
      </w:r>
      <w:r w:rsidR="3C50990D" w:rsidRPr="008E4AAF">
        <w:rPr>
          <w:rFonts w:eastAsia="Arial" w:cs="Arial"/>
          <w:szCs w:val="24"/>
        </w:rPr>
        <w:t xml:space="preserve"> </w:t>
      </w:r>
      <w:r w:rsidR="6D521822" w:rsidRPr="008E4AAF">
        <w:rPr>
          <w:rFonts w:eastAsia="Arial" w:cs="Arial"/>
          <w:szCs w:val="24"/>
        </w:rPr>
        <w:t>T</w:t>
      </w:r>
      <w:r w:rsidR="3C50990D" w:rsidRPr="008E4AAF">
        <w:rPr>
          <w:rFonts w:eastAsia="Arial" w:cs="Arial"/>
          <w:szCs w:val="24"/>
        </w:rPr>
        <w:t>o better manage and conserve water across our thermoelectric power generation sites</w:t>
      </w:r>
      <w:r w:rsidR="30B06E8D" w:rsidRPr="008E4AAF">
        <w:rPr>
          <w:rFonts w:eastAsia="Arial" w:cs="Arial"/>
          <w:szCs w:val="24"/>
        </w:rPr>
        <w:t>, t</w:t>
      </w:r>
      <w:r w:rsidR="3C50990D" w:rsidRPr="008E4AAF">
        <w:rPr>
          <w:rFonts w:eastAsia="Arial" w:cs="Arial"/>
          <w:szCs w:val="24"/>
        </w:rPr>
        <w:t>he WRCC at Plant McDonough promotes advancements in power plant cooling systems leading to reduced freshwater withdrawal and consumption as well as improved plant efficiency while optimizing total cost and energy generation.</w:t>
      </w:r>
    </w:p>
    <w:p w14:paraId="122BE209" w14:textId="77777777" w:rsidR="003C37F7" w:rsidRPr="00DB7156" w:rsidRDefault="003C37F7" w:rsidP="003C37F7">
      <w:pPr>
        <w:spacing w:after="0"/>
        <w:rPr>
          <w:rFonts w:cs="Arial"/>
          <w:szCs w:val="24"/>
        </w:rPr>
      </w:pPr>
    </w:p>
    <w:p w14:paraId="388B259F" w14:textId="45617195" w:rsidR="003C37F7" w:rsidRPr="00DB7156" w:rsidRDefault="003C37F7" w:rsidP="003C37F7">
      <w:pPr>
        <w:tabs>
          <w:tab w:val="left" w:pos="360"/>
        </w:tabs>
        <w:spacing w:after="0"/>
        <w:rPr>
          <w:rFonts w:cs="Arial"/>
          <w:b/>
          <w:color w:val="000080"/>
          <w:szCs w:val="24"/>
        </w:rPr>
      </w:pPr>
      <w:r w:rsidRPr="6A44F22A">
        <w:rPr>
          <w:rFonts w:cs="Arial"/>
          <w:b/>
          <w:bCs/>
          <w:color w:val="000080"/>
          <w:szCs w:val="24"/>
        </w:rPr>
        <w:t>XV</w:t>
      </w:r>
      <w:r w:rsidRPr="00DB7156">
        <w:rPr>
          <w:rFonts w:cs="Arial"/>
          <w:b/>
          <w:color w:val="000080"/>
          <w:szCs w:val="24"/>
        </w:rPr>
        <w:t>.</w:t>
      </w:r>
      <w:r>
        <w:tab/>
      </w:r>
      <w:r w:rsidRPr="00DB7156">
        <w:rPr>
          <w:rFonts w:cs="Arial"/>
          <w:b/>
          <w:color w:val="000080"/>
          <w:szCs w:val="24"/>
          <w:u w:val="single"/>
        </w:rPr>
        <w:t>Ash Handling Methods</w:t>
      </w:r>
    </w:p>
    <w:p w14:paraId="4D2F20FF" w14:textId="77777777" w:rsidR="003C37F7" w:rsidRPr="00DB7156" w:rsidRDefault="003C37F7" w:rsidP="003C37F7">
      <w:pPr>
        <w:tabs>
          <w:tab w:val="left" w:pos="360"/>
        </w:tabs>
        <w:spacing w:after="0"/>
        <w:rPr>
          <w:rFonts w:cs="Arial"/>
          <w:b/>
          <w:color w:val="CC0000"/>
          <w:szCs w:val="24"/>
        </w:rPr>
      </w:pPr>
    </w:p>
    <w:p w14:paraId="2411C77B" w14:textId="767ED114" w:rsidR="003C37F7" w:rsidRPr="00DB7156" w:rsidRDefault="003C37F7" w:rsidP="003C37F7">
      <w:pPr>
        <w:spacing w:after="0"/>
        <w:rPr>
          <w:rFonts w:cs="Arial"/>
          <w:szCs w:val="24"/>
        </w:rPr>
      </w:pPr>
      <w:r w:rsidRPr="00DB7156">
        <w:rPr>
          <w:rFonts w:cs="Arial"/>
          <w:szCs w:val="24"/>
        </w:rPr>
        <w:t xml:space="preserve">The ELG and </w:t>
      </w:r>
      <w:r>
        <w:rPr>
          <w:rFonts w:cs="Arial"/>
          <w:szCs w:val="24"/>
        </w:rPr>
        <w:t xml:space="preserve">federal and Georgia </w:t>
      </w:r>
      <w:r w:rsidRPr="00DB7156">
        <w:rPr>
          <w:rFonts w:cs="Arial"/>
          <w:szCs w:val="24"/>
        </w:rPr>
        <w:t>CCR</w:t>
      </w:r>
      <w:r>
        <w:rPr>
          <w:rFonts w:cs="Arial"/>
          <w:szCs w:val="24"/>
        </w:rPr>
        <w:t xml:space="preserve"> r</w:t>
      </w:r>
      <w:r w:rsidRPr="00DB7156">
        <w:rPr>
          <w:rFonts w:cs="Arial"/>
          <w:szCs w:val="24"/>
        </w:rPr>
        <w:t xml:space="preserve">ules affect coal ash handling and disposal methods at most Georgia Power units. In order to comply with the </w:t>
      </w:r>
      <w:r>
        <w:rPr>
          <w:rFonts w:cs="Arial"/>
          <w:szCs w:val="24"/>
        </w:rPr>
        <w:t xml:space="preserve">federal and Georgia </w:t>
      </w:r>
      <w:r w:rsidRPr="00DB7156">
        <w:rPr>
          <w:rFonts w:cs="Arial"/>
          <w:szCs w:val="24"/>
        </w:rPr>
        <w:t xml:space="preserve">CCR </w:t>
      </w:r>
      <w:r>
        <w:rPr>
          <w:rFonts w:cs="Arial"/>
          <w:szCs w:val="24"/>
        </w:rPr>
        <w:t>r</w:t>
      </w:r>
      <w:r w:rsidRPr="00DB7156">
        <w:rPr>
          <w:rFonts w:cs="Arial"/>
          <w:szCs w:val="24"/>
        </w:rPr>
        <w:t>ule</w:t>
      </w:r>
      <w:r>
        <w:rPr>
          <w:rFonts w:cs="Arial"/>
          <w:szCs w:val="24"/>
        </w:rPr>
        <w:t>s</w:t>
      </w:r>
      <w:r w:rsidRPr="00DB7156">
        <w:rPr>
          <w:rFonts w:cs="Arial"/>
          <w:szCs w:val="24"/>
        </w:rPr>
        <w:t xml:space="preserve"> and ELG</w:t>
      </w:r>
      <w:r>
        <w:rPr>
          <w:rFonts w:cs="Arial"/>
          <w:szCs w:val="24"/>
        </w:rPr>
        <w:t xml:space="preserve"> Rule</w:t>
      </w:r>
      <w:r w:rsidRPr="00DB7156">
        <w:rPr>
          <w:rFonts w:cs="Arial"/>
          <w:szCs w:val="24"/>
        </w:rPr>
        <w:t xml:space="preserve"> requirements, Georgia Power is closing all ash ponds and </w:t>
      </w:r>
      <w:r w:rsidR="00EA525B">
        <w:rPr>
          <w:rFonts w:cs="Arial"/>
          <w:szCs w:val="24"/>
        </w:rPr>
        <w:t>stopped</w:t>
      </w:r>
      <w:r w:rsidRPr="00DB7156">
        <w:rPr>
          <w:rFonts w:cs="Arial"/>
          <w:szCs w:val="24"/>
        </w:rPr>
        <w:t xml:space="preserve"> stop sluicing coal ash in 2019.  Significant construction </w:t>
      </w:r>
      <w:r w:rsidR="003F232E">
        <w:rPr>
          <w:rFonts w:cs="Arial"/>
          <w:szCs w:val="24"/>
        </w:rPr>
        <w:t>has been completed</w:t>
      </w:r>
      <w:r w:rsidRPr="00DB7156">
        <w:rPr>
          <w:rFonts w:cs="Arial"/>
          <w:szCs w:val="24"/>
        </w:rPr>
        <w:t xml:space="preserve"> at each generating plant to modify coal ash handling systems, such as pneumatic dry ash handling equipment, remote submerged chain conveyors and ash coolers. These systems are utilized in conjunction with additional storage silos and collection systems to facilitate disposal or reuse options.  </w:t>
      </w:r>
    </w:p>
    <w:p w14:paraId="591E824A" w14:textId="77777777" w:rsidR="003C37F7" w:rsidRPr="00DB7156" w:rsidRDefault="003C37F7" w:rsidP="003C37F7">
      <w:pPr>
        <w:spacing w:after="0"/>
        <w:rPr>
          <w:rFonts w:cs="Arial"/>
          <w:szCs w:val="24"/>
        </w:rPr>
      </w:pPr>
    </w:p>
    <w:p w14:paraId="02792B1A" w14:textId="45617195" w:rsidR="003C37F7" w:rsidRPr="00DB7156" w:rsidRDefault="003C37F7" w:rsidP="003C37F7">
      <w:pPr>
        <w:spacing w:after="0"/>
        <w:rPr>
          <w:rFonts w:cs="Arial"/>
          <w:b/>
          <w:color w:val="000080"/>
          <w:szCs w:val="24"/>
        </w:rPr>
      </w:pPr>
      <w:r w:rsidRPr="480A2D46">
        <w:rPr>
          <w:rFonts w:cs="Arial"/>
          <w:b/>
          <w:bCs/>
          <w:color w:val="000080"/>
          <w:szCs w:val="24"/>
        </w:rPr>
        <w:t>XVI.</w:t>
      </w:r>
      <w:r w:rsidRPr="00DB7156">
        <w:rPr>
          <w:rFonts w:cs="Arial"/>
          <w:b/>
          <w:color w:val="000080"/>
          <w:szCs w:val="24"/>
        </w:rPr>
        <w:t xml:space="preserve">  </w:t>
      </w:r>
      <w:r w:rsidRPr="00DB7156">
        <w:rPr>
          <w:rFonts w:cs="Arial"/>
          <w:b/>
          <w:color w:val="000080"/>
          <w:szCs w:val="24"/>
          <w:u w:val="single"/>
        </w:rPr>
        <w:t>Landfills</w:t>
      </w:r>
    </w:p>
    <w:p w14:paraId="7D772C3B" w14:textId="77777777" w:rsidR="003C37F7" w:rsidRPr="00DB7156" w:rsidRDefault="003C37F7" w:rsidP="003C37F7">
      <w:pPr>
        <w:keepNext/>
        <w:spacing w:after="0"/>
        <w:rPr>
          <w:rFonts w:cs="Arial"/>
          <w:b/>
          <w:color w:val="CC0000"/>
          <w:szCs w:val="24"/>
        </w:rPr>
      </w:pPr>
    </w:p>
    <w:p w14:paraId="5FE8BE95" w14:textId="44F6033C" w:rsidR="003C37F7" w:rsidRPr="00DB7156" w:rsidRDefault="003C37F7" w:rsidP="003C37F7">
      <w:pPr>
        <w:keepNext/>
        <w:spacing w:after="0"/>
        <w:rPr>
          <w:rFonts w:cs="Arial"/>
          <w:szCs w:val="24"/>
        </w:rPr>
      </w:pPr>
      <w:r w:rsidRPr="00DB7156">
        <w:rPr>
          <w:rFonts w:cs="Arial"/>
          <w:szCs w:val="24"/>
        </w:rPr>
        <w:t xml:space="preserve">As additional ash storage is needed beyond the useful life of existing landfills or as the </w:t>
      </w:r>
      <w:r>
        <w:rPr>
          <w:rFonts w:cs="Arial"/>
          <w:szCs w:val="24"/>
        </w:rPr>
        <w:t xml:space="preserve">federal and Georgia </w:t>
      </w:r>
      <w:r w:rsidRPr="00DB7156">
        <w:rPr>
          <w:rFonts w:cs="Arial"/>
          <w:szCs w:val="24"/>
        </w:rPr>
        <w:t xml:space="preserve">CCR </w:t>
      </w:r>
      <w:r>
        <w:rPr>
          <w:rFonts w:cs="Arial"/>
          <w:szCs w:val="24"/>
        </w:rPr>
        <w:t>r</w:t>
      </w:r>
      <w:r w:rsidRPr="00DB7156">
        <w:rPr>
          <w:rFonts w:cs="Arial"/>
          <w:szCs w:val="24"/>
        </w:rPr>
        <w:t>ule</w:t>
      </w:r>
      <w:r>
        <w:rPr>
          <w:rFonts w:cs="Arial"/>
          <w:szCs w:val="24"/>
        </w:rPr>
        <w:t>s</w:t>
      </w:r>
      <w:r w:rsidRPr="00DB7156">
        <w:rPr>
          <w:rFonts w:cs="Arial"/>
          <w:szCs w:val="24"/>
        </w:rPr>
        <w:t xml:space="preserve"> </w:t>
      </w:r>
      <w:r w:rsidR="004A1063">
        <w:rPr>
          <w:rFonts w:cs="Arial"/>
          <w:szCs w:val="24"/>
        </w:rPr>
        <w:t>have</w:t>
      </w:r>
      <w:r w:rsidR="004A1063" w:rsidRPr="00DB7156">
        <w:rPr>
          <w:rFonts w:cs="Arial"/>
          <w:szCs w:val="24"/>
        </w:rPr>
        <w:t xml:space="preserve"> </w:t>
      </w:r>
      <w:r w:rsidRPr="00DB7156">
        <w:rPr>
          <w:rFonts w:cs="Arial"/>
          <w:szCs w:val="24"/>
        </w:rPr>
        <w:t>require</w:t>
      </w:r>
      <w:r w:rsidR="00B1635A">
        <w:rPr>
          <w:rFonts w:cs="Arial"/>
          <w:szCs w:val="24"/>
        </w:rPr>
        <w:t>d</w:t>
      </w:r>
      <w:r w:rsidRPr="00DB7156">
        <w:rPr>
          <w:rFonts w:cs="Arial"/>
          <w:szCs w:val="24"/>
        </w:rPr>
        <w:t xml:space="preserve"> ash ponds to be closed before their useful life is spent, landfill disposal is the alternative for long</w:t>
      </w:r>
      <w:r w:rsidR="004A1063">
        <w:rPr>
          <w:rFonts w:cs="Arial"/>
          <w:szCs w:val="24"/>
        </w:rPr>
        <w:t>-</w:t>
      </w:r>
      <w:r w:rsidRPr="00DB7156">
        <w:rPr>
          <w:rFonts w:cs="Arial"/>
          <w:szCs w:val="24"/>
        </w:rPr>
        <w:t>term ash disposal. This technology has been implemented for ash and gypsum at several Georgia Power facilities. This requires regulatory permitting, hydrogeologic/geologic studies, and large amounts of available property.  In addition, a leachate collection and pumping system would be installed to manage any landfill leachate collected</w:t>
      </w:r>
      <w:r w:rsidR="00B16C92">
        <w:rPr>
          <w:rFonts w:cs="Arial"/>
          <w:szCs w:val="24"/>
        </w:rPr>
        <w:t xml:space="preserve"> and groundwater monitoring</w:t>
      </w:r>
      <w:r w:rsidRPr="00DB7156">
        <w:rPr>
          <w:rFonts w:cs="Arial"/>
          <w:szCs w:val="24"/>
        </w:rPr>
        <w:t>.</w:t>
      </w:r>
    </w:p>
    <w:p w14:paraId="7EE4414D" w14:textId="77777777" w:rsidR="003C37F7" w:rsidRPr="00DB7156" w:rsidRDefault="003C37F7" w:rsidP="003C37F7">
      <w:pPr>
        <w:spacing w:after="0"/>
        <w:rPr>
          <w:rFonts w:cs="Arial"/>
          <w:szCs w:val="24"/>
        </w:rPr>
      </w:pPr>
    </w:p>
    <w:p w14:paraId="15AA2BC0" w14:textId="20CE6DA2" w:rsidR="003C37F7" w:rsidRPr="00DB7156" w:rsidRDefault="003C37F7" w:rsidP="1ACC5B7C">
      <w:pPr>
        <w:spacing w:after="0"/>
        <w:rPr>
          <w:rFonts w:cs="Arial"/>
          <w:b/>
          <w:bCs/>
          <w:color w:val="000080"/>
          <w:u w:val="single"/>
        </w:rPr>
      </w:pPr>
      <w:r w:rsidRPr="1ACC5B7C">
        <w:rPr>
          <w:rFonts w:cs="Arial"/>
          <w:b/>
          <w:bCs/>
          <w:color w:val="000080"/>
        </w:rPr>
        <w:t>XVI</w:t>
      </w:r>
      <w:r w:rsidR="000E1EB0">
        <w:rPr>
          <w:rFonts w:cs="Arial"/>
          <w:b/>
          <w:bCs/>
          <w:color w:val="000080"/>
        </w:rPr>
        <w:t>I</w:t>
      </w:r>
      <w:r w:rsidRPr="1ACC5B7C">
        <w:rPr>
          <w:rFonts w:cs="Arial"/>
          <w:b/>
          <w:bCs/>
          <w:color w:val="000080"/>
        </w:rPr>
        <w:t>.</w:t>
      </w:r>
      <w:r>
        <w:tab/>
      </w:r>
      <w:r w:rsidRPr="1ACC5B7C">
        <w:rPr>
          <w:rFonts w:cs="Arial"/>
          <w:b/>
          <w:bCs/>
          <w:color w:val="000080"/>
        </w:rPr>
        <w:t xml:space="preserve"> </w:t>
      </w:r>
      <w:r w:rsidRPr="1ACC5B7C">
        <w:rPr>
          <w:rFonts w:cs="Arial"/>
          <w:b/>
          <w:bCs/>
          <w:color w:val="000080"/>
          <w:u w:val="single"/>
        </w:rPr>
        <w:t>Wastewater Treatment</w:t>
      </w:r>
    </w:p>
    <w:p w14:paraId="3C5D1322" w14:textId="77777777" w:rsidR="003C37F7" w:rsidRPr="00DB7156" w:rsidRDefault="003C37F7" w:rsidP="003C37F7">
      <w:pPr>
        <w:spacing w:after="0"/>
        <w:rPr>
          <w:rFonts w:cs="Arial"/>
          <w:b/>
          <w:color w:val="CC0000"/>
          <w:szCs w:val="24"/>
          <w:u w:val="single"/>
        </w:rPr>
      </w:pPr>
    </w:p>
    <w:p w14:paraId="606143D9" w14:textId="316BB487" w:rsidR="003C37F7" w:rsidRPr="00DB7156" w:rsidRDefault="00AD2DF7" w:rsidP="1ACC5B7C">
      <w:pPr>
        <w:spacing w:after="0"/>
        <w:rPr>
          <w:rFonts w:cs="Arial"/>
        </w:rPr>
      </w:pPr>
      <w:r>
        <w:rPr>
          <w:rFonts w:cs="Arial"/>
        </w:rPr>
        <w:t>T</w:t>
      </w:r>
      <w:r w:rsidR="003C37F7" w:rsidRPr="1ACC5B7C">
        <w:rPr>
          <w:rFonts w:cs="Arial"/>
        </w:rPr>
        <w:t>he ELG Rule requires additional treatment of the wastewater discharged from FGD systems to remove from the water certain trace metals that the FGD removed from the flue gas. Most of the metals may be treated to the anticipated limits by relatively conventional physical and chemical treatment, such as flocculation, coagulation, precipitation and filtration. However, the selenium limits in the</w:t>
      </w:r>
      <w:r w:rsidR="009B66F4" w:rsidRPr="1ACC5B7C">
        <w:rPr>
          <w:rFonts w:cs="Arial"/>
        </w:rPr>
        <w:t xml:space="preserve"> ELG Reconsideration</w:t>
      </w:r>
      <w:r w:rsidR="003C37F7" w:rsidRPr="1ACC5B7C">
        <w:rPr>
          <w:rFonts w:cs="Arial"/>
        </w:rPr>
        <w:t xml:space="preserve"> rule </w:t>
      </w:r>
      <w:r w:rsidR="00681C80">
        <w:rPr>
          <w:rFonts w:cs="Arial"/>
        </w:rPr>
        <w:t>are</w:t>
      </w:r>
      <w:r w:rsidR="003C37F7" w:rsidRPr="1ACC5B7C">
        <w:rPr>
          <w:rFonts w:cs="Arial"/>
        </w:rPr>
        <w:t xml:space="preserve"> very low and</w:t>
      </w:r>
      <w:r w:rsidR="009B66F4" w:rsidRPr="1ACC5B7C">
        <w:rPr>
          <w:rFonts w:cs="Arial"/>
        </w:rPr>
        <w:t xml:space="preserve"> are based upon</w:t>
      </w:r>
      <w:r w:rsidR="003C37F7" w:rsidRPr="1ACC5B7C">
        <w:rPr>
          <w:rFonts w:cs="Arial"/>
        </w:rPr>
        <w:t xml:space="preserve"> biological treatment</w:t>
      </w:r>
      <w:r w:rsidR="009B66F4" w:rsidRPr="1ACC5B7C">
        <w:rPr>
          <w:rFonts w:cs="Arial"/>
        </w:rPr>
        <w:t xml:space="preserve"> systems</w:t>
      </w:r>
      <w:r w:rsidR="005F3E8C" w:rsidRPr="1ACC5B7C">
        <w:rPr>
          <w:rFonts w:cs="Arial"/>
        </w:rPr>
        <w:t xml:space="preserve"> that have</w:t>
      </w:r>
      <w:r w:rsidR="003C37F7" w:rsidRPr="1ACC5B7C">
        <w:rPr>
          <w:rFonts w:cs="Arial"/>
        </w:rPr>
        <w:t xml:space="preserve"> not</w:t>
      </w:r>
      <w:r w:rsidR="005F3E8C" w:rsidRPr="1ACC5B7C">
        <w:rPr>
          <w:rFonts w:cs="Arial"/>
        </w:rPr>
        <w:t xml:space="preserve"> widely</w:t>
      </w:r>
      <w:r w:rsidR="003C37F7" w:rsidRPr="1ACC5B7C">
        <w:rPr>
          <w:rFonts w:cs="Arial"/>
        </w:rPr>
        <w:t xml:space="preserve"> been </w:t>
      </w:r>
      <w:r w:rsidR="005F3E8C" w:rsidRPr="1ACC5B7C">
        <w:rPr>
          <w:rFonts w:cs="Arial"/>
        </w:rPr>
        <w:t xml:space="preserve">used and </w:t>
      </w:r>
      <w:r w:rsidR="003C37F7" w:rsidRPr="1ACC5B7C">
        <w:rPr>
          <w:rFonts w:cs="Arial"/>
        </w:rPr>
        <w:t xml:space="preserve">demonstrated </w:t>
      </w:r>
      <w:r w:rsidR="005F3E8C" w:rsidRPr="1ACC5B7C">
        <w:rPr>
          <w:rFonts w:cs="Arial"/>
        </w:rPr>
        <w:t xml:space="preserve">nationally. </w:t>
      </w:r>
      <w:r w:rsidR="007C68EC" w:rsidRPr="1ACC5B7C">
        <w:rPr>
          <w:rFonts w:cs="Arial"/>
        </w:rPr>
        <w:t xml:space="preserve">These systems continue to be tested, researched and evaluated to ensure any potential installations are technically supported for a specific facility. </w:t>
      </w:r>
      <w:r w:rsidR="003C37F7" w:rsidRPr="1ACC5B7C">
        <w:rPr>
          <w:rFonts w:cs="Arial"/>
        </w:rPr>
        <w:t xml:space="preserve"> </w:t>
      </w:r>
    </w:p>
    <w:p w14:paraId="386EA4C2" w14:textId="6DA5C9C3" w:rsidR="18B0A556" w:rsidRDefault="18B0A556" w:rsidP="1ACC5B7C">
      <w:pPr>
        <w:spacing w:after="0"/>
        <w:rPr>
          <w:rFonts w:eastAsia="Calibri" w:cs="Arial"/>
          <w:szCs w:val="24"/>
        </w:rPr>
      </w:pPr>
    </w:p>
    <w:p w14:paraId="3DB6F1DC" w14:textId="0805D50F" w:rsidR="18B0A556" w:rsidRDefault="1209955A" w:rsidP="003C37F7">
      <w:pPr>
        <w:spacing w:after="0"/>
        <w:rPr>
          <w:rFonts w:eastAsia="Arial" w:cs="Arial"/>
          <w:szCs w:val="24"/>
        </w:rPr>
      </w:pPr>
      <w:r w:rsidRPr="1ACC5B7C">
        <w:rPr>
          <w:rFonts w:eastAsia="Arial" w:cs="Arial"/>
          <w:szCs w:val="24"/>
        </w:rPr>
        <w:t xml:space="preserve">In addition to the biological treatment options, the </w:t>
      </w:r>
      <w:r w:rsidR="006E3DA7">
        <w:rPr>
          <w:rFonts w:eastAsia="Arial" w:cs="Arial"/>
          <w:szCs w:val="24"/>
        </w:rPr>
        <w:t>membrane-based treatment</w:t>
      </w:r>
      <w:r w:rsidRPr="1ACC5B7C">
        <w:rPr>
          <w:rFonts w:eastAsia="Arial" w:cs="Arial"/>
          <w:szCs w:val="24"/>
        </w:rPr>
        <w:t xml:space="preserve"> is being researched for </w:t>
      </w:r>
      <w:r w:rsidR="005545CF" w:rsidRPr="1ACC5B7C">
        <w:rPr>
          <w:rFonts w:eastAsia="Arial" w:cs="Arial"/>
          <w:szCs w:val="24"/>
        </w:rPr>
        <w:t>feasib</w:t>
      </w:r>
      <w:r w:rsidR="006E3DA7">
        <w:rPr>
          <w:rFonts w:eastAsia="Arial" w:cs="Arial"/>
          <w:szCs w:val="24"/>
        </w:rPr>
        <w:t>i</w:t>
      </w:r>
      <w:r w:rsidR="005545CF" w:rsidRPr="1ACC5B7C">
        <w:rPr>
          <w:rFonts w:eastAsia="Arial" w:cs="Arial"/>
          <w:szCs w:val="24"/>
        </w:rPr>
        <w:t>l</w:t>
      </w:r>
      <w:r w:rsidR="005730E5">
        <w:rPr>
          <w:rFonts w:eastAsia="Arial" w:cs="Arial"/>
          <w:szCs w:val="24"/>
        </w:rPr>
        <w:t>it</w:t>
      </w:r>
      <w:r w:rsidR="005545CF" w:rsidRPr="1ACC5B7C">
        <w:rPr>
          <w:rFonts w:eastAsia="Arial" w:cs="Arial"/>
          <w:szCs w:val="24"/>
        </w:rPr>
        <w:t>y</w:t>
      </w:r>
      <w:r w:rsidRPr="1ACC5B7C">
        <w:rPr>
          <w:rFonts w:eastAsia="Arial" w:cs="Arial"/>
          <w:szCs w:val="24"/>
        </w:rPr>
        <w:t xml:space="preserve"> in FGD wastewater treatment.  In this approach, FGD return water use is maximized and FGD wastewater discharge is minimized. The chloride purge stream is processed through an advanced membrane process to produce a clean permeate stream and a small brine concentrate stream. The concentrate is managed either through third party disposal, ash conditioning and landfill on-site or off-site, or paste processing and landfill on-site.</w:t>
      </w:r>
    </w:p>
    <w:p w14:paraId="78BC7C01" w14:textId="294BB63C" w:rsidR="18B0A556" w:rsidRDefault="18B0A556" w:rsidP="1ACC5B7C">
      <w:pPr>
        <w:spacing w:after="0"/>
        <w:rPr>
          <w:rFonts w:eastAsia="Calibri" w:cs="Arial"/>
          <w:szCs w:val="24"/>
        </w:rPr>
      </w:pPr>
    </w:p>
    <w:p w14:paraId="0E74B6F3" w14:textId="371C3A41" w:rsidR="003C37F7" w:rsidRPr="00DB7156" w:rsidRDefault="003C37F7" w:rsidP="003C37F7">
      <w:pPr>
        <w:spacing w:after="0"/>
        <w:rPr>
          <w:rFonts w:cs="Arial"/>
          <w:szCs w:val="24"/>
        </w:rPr>
      </w:pPr>
      <w:r>
        <w:rPr>
          <w:rFonts w:cs="Arial"/>
          <w:szCs w:val="24"/>
        </w:rPr>
        <w:t>LVW</w:t>
      </w:r>
      <w:r w:rsidRPr="00DB7156">
        <w:rPr>
          <w:rFonts w:cs="Arial"/>
          <w:szCs w:val="24"/>
        </w:rPr>
        <w:t xml:space="preserve"> is another category of waste stream that </w:t>
      </w:r>
      <w:r w:rsidR="00D35725">
        <w:rPr>
          <w:rFonts w:cs="Arial"/>
          <w:szCs w:val="24"/>
        </w:rPr>
        <w:t xml:space="preserve">has </w:t>
      </w:r>
      <w:r w:rsidRPr="00DB7156">
        <w:rPr>
          <w:rFonts w:cs="Arial"/>
          <w:szCs w:val="24"/>
        </w:rPr>
        <w:t>require</w:t>
      </w:r>
      <w:r w:rsidR="003E207A">
        <w:rPr>
          <w:rFonts w:cs="Arial"/>
          <w:szCs w:val="24"/>
        </w:rPr>
        <w:t>d</w:t>
      </w:r>
      <w:r w:rsidRPr="00DB7156">
        <w:rPr>
          <w:rFonts w:cs="Arial"/>
          <w:szCs w:val="24"/>
        </w:rPr>
        <w:t xml:space="preserve"> new treatment systems due to the closure of ash ponds. LVW </w:t>
      </w:r>
      <w:r w:rsidR="00420DC9">
        <w:rPr>
          <w:rFonts w:cs="Arial"/>
          <w:szCs w:val="24"/>
        </w:rPr>
        <w:t xml:space="preserve">was historically </w:t>
      </w:r>
      <w:r w:rsidRPr="00DB7156">
        <w:rPr>
          <w:rFonts w:cs="Arial"/>
          <w:szCs w:val="24"/>
        </w:rPr>
        <w:t xml:space="preserve">collected from many sources throughout the plant and conveyed to the ash pond for co-treatment with ash transport water. The new site-specific treatment facilities include physical-chemical treatment systems, utilizing lined settling basins, tanks, clarifiers, pH adjustment, and associated pumps, piping and equipment.  </w:t>
      </w:r>
    </w:p>
    <w:p w14:paraId="2E9B36F6" w14:textId="77777777" w:rsidR="003C37F7" w:rsidRPr="00DB7156" w:rsidRDefault="003C37F7" w:rsidP="003C37F7">
      <w:pPr>
        <w:rPr>
          <w:rFonts w:cs="Arial"/>
        </w:rPr>
      </w:pPr>
    </w:p>
    <w:p w14:paraId="65A89847" w14:textId="0FE6DB8D" w:rsidR="003E1A62" w:rsidRDefault="003E1A62">
      <w:pPr>
        <w:rPr>
          <w:rFonts w:cs="Arial"/>
          <w:bCs/>
          <w:color w:val="000000"/>
          <w:szCs w:val="24"/>
        </w:rPr>
      </w:pPr>
      <w:r>
        <w:rPr>
          <w:rFonts w:cs="Arial"/>
          <w:bCs/>
          <w:color w:val="000000"/>
          <w:szCs w:val="24"/>
        </w:rPr>
        <w:br w:type="page"/>
      </w:r>
    </w:p>
    <w:p w14:paraId="4B1D0FBF" w14:textId="4410A907" w:rsidR="00E37512" w:rsidRPr="00DB7156" w:rsidRDefault="00E37512" w:rsidP="00E37512">
      <w:pPr>
        <w:spacing w:after="0"/>
        <w:outlineLvl w:val="0"/>
        <w:rPr>
          <w:rFonts w:cs="Arial"/>
          <w:b/>
          <w:color w:val="000080"/>
          <w:szCs w:val="24"/>
        </w:rPr>
      </w:pPr>
      <w:bookmarkStart w:id="83" w:name="_Toc496107769"/>
      <w:bookmarkStart w:id="84" w:name="_Toc527987362"/>
      <w:bookmarkStart w:id="85" w:name="_Toc527983909"/>
      <w:bookmarkStart w:id="86" w:name="_Toc530487296"/>
      <w:bookmarkStart w:id="87" w:name="_Toc535908106"/>
      <w:bookmarkStart w:id="88" w:name="_Toc94197924"/>
      <w:r w:rsidRPr="00DB7156">
        <w:rPr>
          <w:rFonts w:cs="Arial"/>
          <w:b/>
          <w:color w:val="000080"/>
          <w:szCs w:val="24"/>
        </w:rPr>
        <w:t>ECS-APPENDIX C</w:t>
      </w:r>
      <w:bookmarkEnd w:id="83"/>
      <w:bookmarkEnd w:id="84"/>
      <w:bookmarkEnd w:id="85"/>
      <w:bookmarkEnd w:id="86"/>
      <w:bookmarkEnd w:id="87"/>
      <w:bookmarkEnd w:id="88"/>
    </w:p>
    <w:p w14:paraId="34F1DE5D" w14:textId="77777777" w:rsidR="00E37512" w:rsidRPr="00DB7156" w:rsidRDefault="00E37512" w:rsidP="00E37512">
      <w:pPr>
        <w:spacing w:after="0"/>
        <w:rPr>
          <w:rFonts w:cs="Arial"/>
          <w:b/>
          <w:color w:val="000080"/>
          <w:szCs w:val="24"/>
        </w:rPr>
      </w:pPr>
    </w:p>
    <w:p w14:paraId="402445A4" w14:textId="77777777" w:rsidR="00EC3B09" w:rsidRPr="00DB7156" w:rsidRDefault="00EC3B09" w:rsidP="00EC3B09">
      <w:pPr>
        <w:spacing w:after="0"/>
        <w:rPr>
          <w:rFonts w:cs="Arial"/>
          <w:b/>
          <w:color w:val="000080"/>
          <w:szCs w:val="24"/>
          <w:u w:val="single"/>
        </w:rPr>
      </w:pPr>
      <w:r w:rsidRPr="00DB7156">
        <w:rPr>
          <w:rFonts w:cs="Arial"/>
          <w:b/>
          <w:color w:val="000080"/>
          <w:szCs w:val="24"/>
          <w:u w:val="single"/>
        </w:rPr>
        <w:t xml:space="preserve">HIGH-LEVEL AND LOW-LEVEL RADIOACTIVE WASTE STORAGE </w:t>
      </w:r>
    </w:p>
    <w:p w14:paraId="4A906DEF" w14:textId="77777777" w:rsidR="00EC3B09" w:rsidRPr="00DB7156" w:rsidRDefault="00EC3B09" w:rsidP="00EC3B09">
      <w:pPr>
        <w:spacing w:after="0"/>
        <w:rPr>
          <w:rFonts w:cs="Arial"/>
          <w:b/>
          <w:color w:val="000080"/>
          <w:szCs w:val="24"/>
          <w:u w:val="single"/>
        </w:rPr>
      </w:pPr>
      <w:r w:rsidRPr="00DB7156">
        <w:rPr>
          <w:rFonts w:cs="Arial"/>
          <w:b/>
          <w:color w:val="000080"/>
          <w:szCs w:val="24"/>
          <w:u w:val="single"/>
        </w:rPr>
        <w:t xml:space="preserve">PLANTS HATCH AND VOGTLE </w:t>
      </w:r>
    </w:p>
    <w:p w14:paraId="21D63CFF" w14:textId="77777777" w:rsidR="00EC3B09" w:rsidRPr="00DB7156" w:rsidRDefault="00EC3B09" w:rsidP="00EC3B09">
      <w:pPr>
        <w:spacing w:after="0"/>
        <w:rPr>
          <w:rFonts w:cs="Arial"/>
          <w:szCs w:val="24"/>
        </w:rPr>
      </w:pPr>
    </w:p>
    <w:p w14:paraId="32EECDF1" w14:textId="77777777" w:rsidR="00EC3B09" w:rsidRPr="00DB7156" w:rsidRDefault="00EC3B09" w:rsidP="00EC3B09">
      <w:pPr>
        <w:spacing w:after="0"/>
        <w:rPr>
          <w:rFonts w:cs="Arial"/>
          <w:sz w:val="32"/>
          <w:szCs w:val="32"/>
        </w:rPr>
      </w:pPr>
      <w:r>
        <w:rPr>
          <w:rFonts w:cs="Arial"/>
          <w:szCs w:val="24"/>
        </w:rPr>
        <w:t>Georgia Power’s affiliate</w:t>
      </w:r>
      <w:r w:rsidRPr="00DB7156">
        <w:rPr>
          <w:rFonts w:cs="Arial"/>
          <w:szCs w:val="24"/>
        </w:rPr>
        <w:t>, Southern Nuclear Operating Company (</w:t>
      </w:r>
      <w:r>
        <w:rPr>
          <w:rFonts w:cs="Arial"/>
          <w:szCs w:val="24"/>
        </w:rPr>
        <w:t>“</w:t>
      </w:r>
      <w:r w:rsidRPr="00DB7156">
        <w:rPr>
          <w:rFonts w:cs="Arial"/>
          <w:szCs w:val="24"/>
        </w:rPr>
        <w:t>Southern Nuclear</w:t>
      </w:r>
      <w:r>
        <w:rPr>
          <w:rFonts w:cs="Arial"/>
          <w:szCs w:val="24"/>
        </w:rPr>
        <w:t>”</w:t>
      </w:r>
      <w:r w:rsidRPr="00DB7156">
        <w:rPr>
          <w:rFonts w:cs="Arial"/>
          <w:szCs w:val="24"/>
        </w:rPr>
        <w:t>) safely operates and maintains Plants Hatch and Vogtle in accordance with industry standards and regulatory requirements. Southern Nuclear is dedicated to maintaining the highest standards for safely handling radioactive waste to protect the public, the environment, and its workers.</w:t>
      </w:r>
    </w:p>
    <w:p w14:paraId="0E5F5F16" w14:textId="77777777" w:rsidR="00EC3B09" w:rsidRPr="00DB7156" w:rsidRDefault="00EC3B09" w:rsidP="00EC3B09">
      <w:pPr>
        <w:spacing w:after="0"/>
        <w:rPr>
          <w:rFonts w:cs="Arial"/>
          <w:sz w:val="32"/>
          <w:szCs w:val="32"/>
        </w:rPr>
      </w:pPr>
    </w:p>
    <w:p w14:paraId="7BCF7BDF" w14:textId="77777777" w:rsidR="00EC3B09" w:rsidRPr="00DB7156" w:rsidRDefault="00EC3B09" w:rsidP="00EC3B09">
      <w:pPr>
        <w:spacing w:after="0"/>
        <w:rPr>
          <w:rFonts w:cs="Arial"/>
          <w:b/>
          <w:szCs w:val="24"/>
          <w:u w:val="single"/>
        </w:rPr>
      </w:pPr>
      <w:r w:rsidRPr="00DB7156">
        <w:rPr>
          <w:rFonts w:cs="Arial"/>
          <w:b/>
          <w:szCs w:val="24"/>
          <w:u w:val="single"/>
        </w:rPr>
        <w:t>High-Level Radioactive Waste (</w:t>
      </w:r>
      <w:r>
        <w:rPr>
          <w:rFonts w:cs="Arial"/>
          <w:b/>
          <w:szCs w:val="24"/>
          <w:u w:val="single"/>
        </w:rPr>
        <w:t>“</w:t>
      </w:r>
      <w:r w:rsidRPr="00DB7156">
        <w:rPr>
          <w:rFonts w:cs="Arial"/>
          <w:b/>
          <w:szCs w:val="24"/>
          <w:u w:val="single"/>
        </w:rPr>
        <w:t>HLRW</w:t>
      </w:r>
      <w:r>
        <w:rPr>
          <w:rFonts w:cs="Arial"/>
          <w:b/>
          <w:szCs w:val="24"/>
          <w:u w:val="single"/>
        </w:rPr>
        <w:t>”</w:t>
      </w:r>
      <w:r w:rsidRPr="00DB7156">
        <w:rPr>
          <w:rFonts w:cs="Arial"/>
          <w:b/>
          <w:szCs w:val="24"/>
          <w:u w:val="single"/>
        </w:rPr>
        <w:t xml:space="preserve"> - spent fuel) </w:t>
      </w:r>
    </w:p>
    <w:p w14:paraId="61D012A5" w14:textId="77777777" w:rsidR="00EC3B09" w:rsidRPr="00DB7156" w:rsidRDefault="00EC3B09" w:rsidP="00EC3B09">
      <w:pPr>
        <w:spacing w:after="0"/>
        <w:rPr>
          <w:rFonts w:cs="Arial"/>
          <w:szCs w:val="24"/>
          <w:u w:val="single"/>
        </w:rPr>
      </w:pPr>
      <w:r w:rsidRPr="00DB7156">
        <w:rPr>
          <w:rFonts w:cs="Arial"/>
          <w:szCs w:val="24"/>
          <w:u w:val="single"/>
        </w:rPr>
        <w:t>Dry Cask Storage:</w:t>
      </w:r>
    </w:p>
    <w:p w14:paraId="06682EDE" w14:textId="031CA126" w:rsidR="00EC3B09" w:rsidRPr="00DB7156" w:rsidRDefault="00EC3B09" w:rsidP="1ACC5B7C">
      <w:pPr>
        <w:spacing w:after="0"/>
        <w:rPr>
          <w:rFonts w:cs="Arial"/>
        </w:rPr>
      </w:pPr>
      <w:r w:rsidRPr="1ACC5B7C">
        <w:rPr>
          <w:rFonts w:cs="Arial"/>
          <w:color w:val="000000" w:themeColor="text1"/>
        </w:rPr>
        <w:t>Plant Hatch and Plant Vogtle</w:t>
      </w:r>
      <w:r w:rsidRPr="1ACC5B7C">
        <w:rPr>
          <w:rFonts w:cs="Arial"/>
        </w:rPr>
        <w:t xml:space="preserve"> currently store spent fuel in underwater spent fuel pools and some above ground in dry casks on concrete pads</w:t>
      </w:r>
      <w:r w:rsidR="050E5A09" w:rsidRPr="1ACC5B7C">
        <w:rPr>
          <w:rFonts w:cs="Arial"/>
        </w:rPr>
        <w:t xml:space="preserve"> known as Independent Spent Fuel Storage Installations </w:t>
      </w:r>
      <w:r w:rsidRPr="1ACC5B7C">
        <w:rPr>
          <w:rFonts w:cs="Arial"/>
        </w:rPr>
        <w:t>until such time that the federal government licenses and builds a permanent disposal facility capable of accepting this waste.</w:t>
      </w:r>
    </w:p>
    <w:p w14:paraId="65DAB5D7" w14:textId="77777777" w:rsidR="00EC3B09" w:rsidRPr="00DB7156" w:rsidRDefault="00EC3B09" w:rsidP="00EC3B09">
      <w:pPr>
        <w:spacing w:after="0"/>
        <w:rPr>
          <w:rFonts w:cs="Arial"/>
          <w:szCs w:val="24"/>
        </w:rPr>
      </w:pPr>
    </w:p>
    <w:p w14:paraId="127EE5FB" w14:textId="3E42E826" w:rsidR="00EC3B09" w:rsidRPr="00DB7156" w:rsidRDefault="00EC3B09" w:rsidP="1ACC5B7C">
      <w:pPr>
        <w:spacing w:after="0"/>
        <w:rPr>
          <w:rFonts w:cs="Arial"/>
        </w:rPr>
      </w:pPr>
      <w:r w:rsidRPr="1ACC5B7C">
        <w:rPr>
          <w:rFonts w:cs="Arial"/>
        </w:rPr>
        <w:t xml:space="preserve">These above ground dry casks are engineered to assist in cooling the spent fuel bundles while providing adequate shielding for the protection of plant employees as well as the surrounding community and environment. </w:t>
      </w:r>
    </w:p>
    <w:p w14:paraId="29497EBD" w14:textId="77777777" w:rsidR="00EC3B09" w:rsidRPr="00DB7156" w:rsidRDefault="00EC3B09" w:rsidP="00EC3B09">
      <w:pPr>
        <w:spacing w:after="0"/>
        <w:rPr>
          <w:rFonts w:cs="Arial"/>
          <w:szCs w:val="24"/>
        </w:rPr>
      </w:pPr>
    </w:p>
    <w:p w14:paraId="42A1FDD4" w14:textId="77777777" w:rsidR="00EC3B09" w:rsidRPr="00DB7156" w:rsidRDefault="00EC3B09" w:rsidP="00EC3B09">
      <w:pPr>
        <w:spacing w:after="0"/>
        <w:rPr>
          <w:rFonts w:cs="Arial"/>
          <w:szCs w:val="24"/>
        </w:rPr>
      </w:pPr>
    </w:p>
    <w:p w14:paraId="5B9393FE" w14:textId="77777777" w:rsidR="00EC3B09" w:rsidRPr="00DB7156" w:rsidRDefault="00EC3B09" w:rsidP="00EC3B09">
      <w:pPr>
        <w:spacing w:after="0"/>
        <w:rPr>
          <w:rFonts w:cs="Arial"/>
          <w:b/>
          <w:szCs w:val="24"/>
          <w:u w:val="single"/>
        </w:rPr>
      </w:pPr>
      <w:r w:rsidRPr="00DB7156">
        <w:rPr>
          <w:rFonts w:cs="Arial"/>
          <w:b/>
          <w:szCs w:val="24"/>
          <w:u w:val="single"/>
        </w:rPr>
        <w:t>Low-Level Radioactive Waste (</w:t>
      </w:r>
      <w:r>
        <w:rPr>
          <w:rFonts w:cs="Arial"/>
          <w:b/>
          <w:szCs w:val="24"/>
          <w:u w:val="single"/>
        </w:rPr>
        <w:t>“</w:t>
      </w:r>
      <w:r w:rsidRPr="00DB7156">
        <w:rPr>
          <w:rFonts w:cs="Arial"/>
          <w:b/>
          <w:szCs w:val="24"/>
          <w:u w:val="single"/>
        </w:rPr>
        <w:t>LLRW</w:t>
      </w:r>
      <w:r>
        <w:rPr>
          <w:rFonts w:cs="Arial"/>
          <w:b/>
          <w:szCs w:val="24"/>
          <w:u w:val="single"/>
        </w:rPr>
        <w:t>”</w:t>
      </w:r>
      <w:r w:rsidRPr="00DB7156">
        <w:rPr>
          <w:rFonts w:cs="Arial"/>
          <w:b/>
          <w:szCs w:val="24"/>
          <w:u w:val="single"/>
        </w:rPr>
        <w:t xml:space="preserve"> - trash, tools, scrap, filtering media, irradiated hardware, etc.)</w:t>
      </w:r>
    </w:p>
    <w:p w14:paraId="47A15948" w14:textId="4CC8BC7A" w:rsidR="00EC3B09" w:rsidRPr="00DB7156" w:rsidRDefault="00EC3B09" w:rsidP="00EC3B09">
      <w:pPr>
        <w:spacing w:after="0"/>
        <w:rPr>
          <w:rFonts w:cs="Arial"/>
          <w:szCs w:val="24"/>
        </w:rPr>
      </w:pPr>
      <w:r w:rsidRPr="00DB7156">
        <w:rPr>
          <w:rFonts w:cs="Arial"/>
          <w:szCs w:val="24"/>
        </w:rPr>
        <w:t>Similar to the nuclear power industry, over 95 percent of the LLRW generated by Plant Hatch and Plant Vogtle continues to be buried at the Energy Solutions burial site in Clive, U</w:t>
      </w:r>
      <w:r w:rsidR="00957C51">
        <w:rPr>
          <w:rFonts w:cs="Arial"/>
          <w:szCs w:val="24"/>
        </w:rPr>
        <w:t>tah</w:t>
      </w:r>
      <w:r w:rsidRPr="00DB7156">
        <w:rPr>
          <w:rFonts w:cs="Arial"/>
          <w:szCs w:val="24"/>
        </w:rPr>
        <w:t>.</w:t>
      </w:r>
    </w:p>
    <w:p w14:paraId="62179F44" w14:textId="77777777" w:rsidR="00EC3B09" w:rsidRPr="00DB7156" w:rsidRDefault="00EC3B09" w:rsidP="00EC3B09">
      <w:pPr>
        <w:spacing w:after="0"/>
        <w:rPr>
          <w:rFonts w:cs="Arial"/>
          <w:szCs w:val="24"/>
        </w:rPr>
      </w:pPr>
    </w:p>
    <w:p w14:paraId="3F45E598" w14:textId="5A749B86" w:rsidR="00EC3B09" w:rsidRPr="00DB7156" w:rsidRDefault="00EC3B09" w:rsidP="1ACC5B7C">
      <w:pPr>
        <w:spacing w:after="0"/>
        <w:rPr>
          <w:rFonts w:cs="Arial"/>
        </w:rPr>
      </w:pPr>
      <w:r w:rsidRPr="1ACC5B7C">
        <w:rPr>
          <w:rFonts w:cs="Arial"/>
        </w:rPr>
        <w:t>Plant Hatch and Plant Vogtle send waste that cannot be disposed of directly at Energy Solutions</w:t>
      </w:r>
      <w:r w:rsidR="32A0B704" w:rsidRPr="1ACC5B7C">
        <w:rPr>
          <w:rFonts w:cs="Arial"/>
        </w:rPr>
        <w:t>’</w:t>
      </w:r>
      <w:r w:rsidRPr="1ACC5B7C">
        <w:rPr>
          <w:rFonts w:cs="Arial"/>
        </w:rPr>
        <w:t>, Clive, Utah facility either</w:t>
      </w:r>
      <w:r w:rsidR="2F4B7E32" w:rsidRPr="1ACC5B7C">
        <w:rPr>
          <w:rFonts w:cs="Arial"/>
        </w:rPr>
        <w:t xml:space="preserve"> to</w:t>
      </w:r>
      <w:r w:rsidRPr="1ACC5B7C">
        <w:rPr>
          <w:rFonts w:cs="Arial"/>
        </w:rPr>
        <w:t>, Energy Solutions for additional processing or to the Waste Control Specialist, Andrew County, Texas facility for disposal. Plant Hatch and Plant Vogtle may store this waste on the site where it was generated inside concrete shields on a concrete pad until it can be further processed for disposal at Clive, Utah or shipped to Andrew County, Texas for disposal.</w:t>
      </w:r>
      <w:r w:rsidR="4FAC9A77" w:rsidRPr="1ACC5B7C">
        <w:rPr>
          <w:rFonts w:cs="Arial"/>
        </w:rPr>
        <w:t xml:space="preserve"> Plant Hatch does not have any on-site storage capability for LLRW and Vogtle does not have any LLRW stored on site. All </w:t>
      </w:r>
      <w:r w:rsidR="00700109">
        <w:rPr>
          <w:rFonts w:cs="Arial"/>
        </w:rPr>
        <w:t>low-level radioactive</w:t>
      </w:r>
      <w:r w:rsidR="4FAC9A77" w:rsidRPr="1ACC5B7C">
        <w:rPr>
          <w:rFonts w:cs="Arial"/>
        </w:rPr>
        <w:t xml:space="preserve"> was</w:t>
      </w:r>
      <w:r w:rsidR="550A7680" w:rsidRPr="1ACC5B7C">
        <w:rPr>
          <w:rFonts w:cs="Arial"/>
        </w:rPr>
        <w:t>te</w:t>
      </w:r>
      <w:r w:rsidR="4FAC9A77" w:rsidRPr="1ACC5B7C">
        <w:rPr>
          <w:rFonts w:cs="Arial"/>
        </w:rPr>
        <w:t xml:space="preserve"> that was stored in the environmental shields at Vogtle has been shipped for disposal. Hatch ships all waste promptly after generation and pac</w:t>
      </w:r>
      <w:r w:rsidR="767DF26F" w:rsidRPr="1ACC5B7C">
        <w:rPr>
          <w:rFonts w:cs="Arial"/>
        </w:rPr>
        <w:t>kaging.</w:t>
      </w:r>
      <w:r w:rsidRPr="1ACC5B7C">
        <w:rPr>
          <w:rFonts w:cs="Arial"/>
        </w:rPr>
        <w:t xml:space="preserve">  </w:t>
      </w:r>
    </w:p>
    <w:p w14:paraId="7785D5A7" w14:textId="77777777" w:rsidR="00EC3B09" w:rsidRPr="00DB7156" w:rsidRDefault="00EC3B09" w:rsidP="00EC3B09">
      <w:pPr>
        <w:spacing w:after="0"/>
        <w:rPr>
          <w:rFonts w:cs="Arial"/>
          <w:szCs w:val="24"/>
        </w:rPr>
      </w:pPr>
    </w:p>
    <w:p w14:paraId="521A0752" w14:textId="74F30861" w:rsidR="000E0C7C" w:rsidRDefault="00EC3B09" w:rsidP="00E37512">
      <w:pPr>
        <w:spacing w:after="0"/>
        <w:rPr>
          <w:rFonts w:cs="Arial"/>
          <w:b/>
          <w:color w:val="000080"/>
          <w:szCs w:val="24"/>
          <w:u w:val="single"/>
        </w:rPr>
      </w:pPr>
      <w:r w:rsidRPr="00DB7156">
        <w:rPr>
          <w:rFonts w:cs="Arial"/>
          <w:szCs w:val="24"/>
        </w:rPr>
        <w:t>Southern Nuclear in conjunction with the nuclear industry is always working towards reducing the generation of radioactive waste.</w:t>
      </w:r>
      <w:r w:rsidRPr="00DB7156" w:rsidDel="004A1AE1">
        <w:rPr>
          <w:rFonts w:cs="Arial"/>
          <w:b/>
          <w:bCs/>
          <w:szCs w:val="20"/>
        </w:rPr>
        <w:t xml:space="preserve"> </w:t>
      </w:r>
    </w:p>
    <w:p w14:paraId="6B86EFF5" w14:textId="77777777" w:rsidR="00FE5E2C" w:rsidRPr="009A31F0" w:rsidRDefault="00FE5E2C" w:rsidP="00AD24E0">
      <w:pPr>
        <w:ind w:left="428"/>
        <w:rPr>
          <w:rFonts w:cs="Arial"/>
          <w:color w:val="171717" w:themeColor="background2" w:themeShade="1A"/>
        </w:rPr>
      </w:pPr>
    </w:p>
    <w:sectPr w:rsidR="00FE5E2C" w:rsidRPr="009A31F0" w:rsidSect="00BC48E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1A6E5" w14:textId="77777777" w:rsidR="00BB6897" w:rsidRDefault="00BB6897" w:rsidP="002D1D70">
      <w:pPr>
        <w:spacing w:after="0"/>
      </w:pPr>
      <w:r>
        <w:separator/>
      </w:r>
    </w:p>
  </w:endnote>
  <w:endnote w:type="continuationSeparator" w:id="0">
    <w:p w14:paraId="0E9F4B6E" w14:textId="77777777" w:rsidR="00BB6897" w:rsidRDefault="00BB6897" w:rsidP="002D1D70">
      <w:pPr>
        <w:spacing w:after="0"/>
      </w:pPr>
      <w:r>
        <w:continuationSeparator/>
      </w:r>
    </w:p>
  </w:endnote>
  <w:endnote w:type="continuationNotice" w:id="1">
    <w:p w14:paraId="530E9CC6" w14:textId="77777777" w:rsidR="00BB6897" w:rsidRDefault="00BB68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2FA4" w14:textId="77777777" w:rsidR="00522EEF" w:rsidRDefault="00522E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65526" w14:textId="0E44CA47" w:rsidR="00E35075" w:rsidRDefault="00E35075">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80FFA" w14:textId="77777777" w:rsidR="00522EEF" w:rsidRDefault="00522E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678040"/>
      <w:docPartObj>
        <w:docPartGallery w:val="Page Numbers (Bottom of Page)"/>
        <w:docPartUnique/>
      </w:docPartObj>
    </w:sdtPr>
    <w:sdtEndPr>
      <w:rPr>
        <w:noProof/>
      </w:rPr>
    </w:sdtEndPr>
    <w:sdtContent>
      <w:sdt>
        <w:sdtPr>
          <w:id w:val="476193872"/>
          <w:docPartObj>
            <w:docPartGallery w:val="Page Numbers (Bottom of Page)"/>
            <w:docPartUnique/>
          </w:docPartObj>
        </w:sdtPr>
        <w:sdtEndPr>
          <w:rPr>
            <w:noProof/>
          </w:rPr>
        </w:sdtEndPr>
        <w:sdtContent>
          <w:p w14:paraId="35250504" w14:textId="77777777" w:rsidR="003340FF" w:rsidRDefault="003340FF" w:rsidP="003340FF">
            <w:pPr>
              <w:pStyle w:val="Footer"/>
              <w:jc w:val="right"/>
            </w:pPr>
          </w:p>
          <w:sdt>
            <w:sdtPr>
              <w:id w:val="1703901728"/>
              <w:docPartObj>
                <w:docPartGallery w:val="Page Numbers (Bottom of Page)"/>
                <w:docPartUnique/>
              </w:docPartObj>
            </w:sdtPr>
            <w:sdtEndPr>
              <w:rPr>
                <w:noProof/>
              </w:rPr>
            </w:sdtEndPr>
            <w:sdtContent>
              <w:p w14:paraId="683E2798" w14:textId="4BA2EA65" w:rsidR="003340FF" w:rsidRPr="0055291A" w:rsidRDefault="003340FF" w:rsidP="003340FF">
                <w:pPr>
                  <w:pStyle w:val="Header"/>
                  <w:pBdr>
                    <w:top w:val="single" w:sz="36" w:space="1" w:color="CC0000"/>
                  </w:pBdr>
                </w:pPr>
              </w:p>
              <w:p w14:paraId="3381D473" w14:textId="662FEBF4" w:rsidR="003340FF" w:rsidRDefault="003340FF" w:rsidP="003340FF">
                <w:pPr>
                  <w:pStyle w:val="Footer"/>
                  <w:jc w:val="center"/>
                </w:pPr>
                <w:r w:rsidRPr="002445ED">
                  <w:rPr>
                    <w:rStyle w:val="PageNumber"/>
                    <w:rFonts w:cs="Arial"/>
                    <w:sz w:val="20"/>
                    <w:szCs w:val="20"/>
                  </w:rPr>
                  <w:t>Environmental Compliance Strategy</w:t>
                </w:r>
                <w:r w:rsidRPr="002445ED">
                  <w:rPr>
                    <w:rStyle w:val="PageNumber"/>
                    <w:rFonts w:cs="Arial"/>
                    <w:sz w:val="20"/>
                    <w:szCs w:val="20"/>
                  </w:rPr>
                  <w:tab/>
                </w:r>
                <w:r>
                  <w:rPr>
                    <w:rStyle w:val="PageNumber"/>
                    <w:rFonts w:cs="Arial"/>
                    <w:sz w:val="20"/>
                    <w:szCs w:val="20"/>
                  </w:rPr>
                  <w:tab/>
                </w:r>
                <w:r w:rsidRPr="00DB53AA">
                  <w:rPr>
                    <w:rStyle w:val="PageNumber"/>
                    <w:rFonts w:cs="Arial"/>
                    <w:sz w:val="20"/>
                    <w:szCs w:val="20"/>
                  </w:rPr>
                  <w:fldChar w:fldCharType="begin"/>
                </w:r>
                <w:r>
                  <w:instrText xml:space="preserve"> PAGE   \* MERGEFORMAT </w:instrText>
                </w:r>
                <w:r w:rsidRPr="00DB53AA">
                  <w:rPr>
                    <w:rStyle w:val="PageNumber"/>
                    <w:rFonts w:cs="Arial"/>
                    <w:sz w:val="20"/>
                    <w:szCs w:val="20"/>
                  </w:rPr>
                  <w:fldChar w:fldCharType="separate"/>
                </w:r>
                <w:r w:rsidR="000073D0">
                  <w:rPr>
                    <w:rStyle w:val="PageNumber"/>
                    <w:rFonts w:cs="Arial"/>
                    <w:noProof/>
                    <w:sz w:val="20"/>
                    <w:szCs w:val="20"/>
                  </w:rPr>
                  <w:t>i</w:t>
                </w:r>
                <w:r w:rsidRPr="00DB53AA">
                  <w:rPr>
                    <w:rStyle w:val="PageNumber"/>
                    <w:rFonts w:cs="Arial"/>
                    <w:noProof/>
                    <w:sz w:val="20"/>
                    <w:szCs w:val="20"/>
                  </w:rPr>
                  <w:fldChar w:fldCharType="end"/>
                </w:r>
              </w:p>
            </w:sdtContent>
          </w:sdt>
          <w:p w14:paraId="3F5BBA18" w14:textId="5F280F1E" w:rsidR="00E35075" w:rsidRDefault="006E47BF" w:rsidP="00294515">
            <w:pPr>
              <w:pStyle w:val="Footer"/>
              <w:jc w:val="right"/>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6883E" w14:textId="77777777" w:rsidR="00BB6897" w:rsidRDefault="00BB6897" w:rsidP="002D1D70">
      <w:pPr>
        <w:spacing w:after="0"/>
      </w:pPr>
      <w:r>
        <w:separator/>
      </w:r>
    </w:p>
  </w:footnote>
  <w:footnote w:type="continuationSeparator" w:id="0">
    <w:p w14:paraId="17038187" w14:textId="77777777" w:rsidR="00BB6897" w:rsidRDefault="00BB6897" w:rsidP="002D1D70">
      <w:pPr>
        <w:spacing w:after="0"/>
      </w:pPr>
      <w:r>
        <w:continuationSeparator/>
      </w:r>
    </w:p>
  </w:footnote>
  <w:footnote w:type="continuationNotice" w:id="1">
    <w:p w14:paraId="3F2C4D37" w14:textId="77777777" w:rsidR="00BB6897" w:rsidRDefault="00BB6897">
      <w:pPr>
        <w:spacing w:after="0"/>
      </w:pPr>
    </w:p>
  </w:footnote>
  <w:footnote w:id="2">
    <w:p w14:paraId="1B08C9C1" w14:textId="77777777" w:rsidR="00FF60A3" w:rsidRDefault="00896575" w:rsidP="00FF60A3">
      <w:pPr>
        <w:pStyle w:val="FootnoteText"/>
      </w:pPr>
      <w:r>
        <w:rPr>
          <w:rStyle w:val="FootnoteReference"/>
        </w:rPr>
        <w:footnoteRef/>
      </w:r>
      <w:r>
        <w:t xml:space="preserve"> </w:t>
      </w:r>
      <w:r w:rsidR="00FF60A3">
        <w:t>See Am. Final Decision, Coosa River Basin Initiative v. Dunn, Nos. 1825406-BNR-WQC-57-Howells,</w:t>
      </w:r>
    </w:p>
    <w:p w14:paraId="7B066C37" w14:textId="5704058C" w:rsidR="00896575" w:rsidRDefault="00FF60A3" w:rsidP="00FF60A3">
      <w:pPr>
        <w:pStyle w:val="FootnoteText"/>
      </w:pPr>
      <w:r>
        <w:t>1826761-BNR-WQC-57-Howells at 13-14, 18 (OSAH Oct. 15, 2018).</w:t>
      </w:r>
    </w:p>
    <w:p w14:paraId="5055BC8D" w14:textId="3AC4FFF2" w:rsidR="00896575" w:rsidRDefault="00896575">
      <w:pPr>
        <w:pStyle w:val="FootnoteText"/>
      </w:pPr>
    </w:p>
  </w:footnote>
  <w:footnote w:id="3">
    <w:p w14:paraId="3BBF1EF3" w14:textId="00D19EF6" w:rsidR="003833F0" w:rsidRPr="005E42BB" w:rsidRDefault="007E4D1D" w:rsidP="003833F0">
      <w:pPr>
        <w:pStyle w:val="FootnoteText"/>
      </w:pPr>
      <w:r w:rsidRPr="005E42BB">
        <w:rPr>
          <w:rStyle w:val="FootnoteReference"/>
        </w:rPr>
        <w:footnoteRef/>
      </w:r>
      <w:r w:rsidRPr="005E42BB">
        <w:t xml:space="preserve"> </w:t>
      </w:r>
      <w:r w:rsidR="00D3355E" w:rsidRPr="005E42BB">
        <w:rPr>
          <w:i/>
          <w:iCs/>
        </w:rPr>
        <w:t xml:space="preserve">See </w:t>
      </w:r>
      <w:r w:rsidR="003833F0" w:rsidRPr="005E42BB">
        <w:t xml:space="preserve">Letters, October 13, 2021, Georgia Power to Georgia </w:t>
      </w:r>
      <w:r w:rsidR="00C107D0">
        <w:t xml:space="preserve">Environmental Protection </w:t>
      </w:r>
      <w:r w:rsidR="00F07CFA">
        <w:t>Division</w:t>
      </w:r>
      <w:r w:rsidR="003833F0" w:rsidRPr="005E42BB">
        <w:t>, RE: Plant Bowen – NPDES Permit No. GA0001449, Notice of Planned Participation Bowen Units 1 and 2</w:t>
      </w:r>
    </w:p>
    <w:p w14:paraId="1A63A698" w14:textId="77777777" w:rsidR="003833F0" w:rsidRDefault="003833F0" w:rsidP="003833F0">
      <w:pPr>
        <w:pStyle w:val="FootnoteText"/>
      </w:pPr>
    </w:p>
    <w:p w14:paraId="576232F8" w14:textId="20BB0348" w:rsidR="007E4D1D" w:rsidRDefault="003833F0" w:rsidP="003833F0">
      <w:pPr>
        <w:pStyle w:val="FootnoteText"/>
      </w:pPr>
      <w:r>
        <w:t>October 13, 2021</w:t>
      </w:r>
      <w:r w:rsidR="00E657EC">
        <w:t>,</w:t>
      </w:r>
      <w:r w:rsidR="003C783E">
        <w:t xml:space="preserve"> Georgia Power to Georgia Environmental Protection </w:t>
      </w:r>
      <w:r w:rsidR="00F07CFA">
        <w:t>Division</w:t>
      </w:r>
      <w:r w:rsidR="00D3355E">
        <w:t xml:space="preserve">, </w:t>
      </w:r>
      <w:r>
        <w:t>RE: Plant Scherer – NPDES Permit No. GA0035564 Notice of Planned Participation Scherer Units 1 and 2</w:t>
      </w:r>
    </w:p>
    <w:p w14:paraId="4B1B572E" w14:textId="77777777" w:rsidR="003833F0" w:rsidRDefault="003833F0" w:rsidP="003833F0">
      <w:pPr>
        <w:pStyle w:val="FootnoteText"/>
      </w:pPr>
    </w:p>
    <w:p w14:paraId="6DE59AE4" w14:textId="41799EC8" w:rsidR="003833F0" w:rsidRDefault="003833F0" w:rsidP="003833F0">
      <w:pPr>
        <w:pStyle w:val="FootnoteText"/>
      </w:pPr>
      <w:r>
        <w:t xml:space="preserve">October 13, 2021, Georgia Power to Georgia Environmental Protection </w:t>
      </w:r>
      <w:r w:rsidR="00F07CFA">
        <w:t>Division</w:t>
      </w:r>
      <w:r>
        <w:t>, RE: Plant Scherer – NPDES Permit No. GA0035564 Notice of Planned Participation Scherer Unit 3</w:t>
      </w:r>
    </w:p>
    <w:p w14:paraId="61F371DD" w14:textId="77777777" w:rsidR="003833F0" w:rsidRDefault="003833F0" w:rsidP="003833F0">
      <w:pPr>
        <w:pStyle w:val="FootnoteText"/>
      </w:pPr>
    </w:p>
    <w:p w14:paraId="668703A4" w14:textId="71CD2CFE" w:rsidR="003833F0" w:rsidRDefault="003833F0" w:rsidP="00E35367">
      <w:pPr>
        <w:pStyle w:val="FootnoteText"/>
      </w:pPr>
      <w:r>
        <w:t xml:space="preserve">October 13, 2021, Georgia Power to Georgia Environmental Protection </w:t>
      </w:r>
      <w:r w:rsidR="00F07CFA">
        <w:t>Division</w:t>
      </w:r>
      <w:r>
        <w:t xml:space="preserve">, </w:t>
      </w:r>
      <w:r w:rsidR="00E35367">
        <w:t>RE: Plant Wansley – NPDES Permit No. GA0026778, Notice of Planned Participation Wansley Units 1 and 2</w:t>
      </w:r>
    </w:p>
    <w:p w14:paraId="6EB22E93" w14:textId="5C45120A" w:rsidR="00E657EC" w:rsidRDefault="00E657EC" w:rsidP="00E657EC">
      <w:pPr>
        <w:pStyle w:val="FootnoteText"/>
      </w:pPr>
    </w:p>
  </w:footnote>
  <w:footnote w:id="4">
    <w:p w14:paraId="606140E0" w14:textId="7F1E5564" w:rsidR="003617BB" w:rsidRDefault="003617BB">
      <w:pPr>
        <w:pStyle w:val="FootnoteText"/>
      </w:pPr>
      <w:r w:rsidRPr="005C05E9">
        <w:rPr>
          <w:rStyle w:val="FootnoteReference"/>
        </w:rPr>
        <w:footnoteRef/>
      </w:r>
      <w:r w:rsidRPr="005C05E9">
        <w:t xml:space="preserve"> Values reflect 2019 approved environmental compliance strategy and do not reflect Plant Wansley closure by removal values.</w:t>
      </w:r>
      <w:r w:rsidR="008E0CA2" w:rsidRPr="005C05E9">
        <w:t xml:space="preserve"> Please see Selected Supporting Information in Technical Appendix Volume 2 for updated estimates for Plant Wansley.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7D52" w14:textId="77777777" w:rsidR="00522EEF" w:rsidRDefault="00522E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4180" w14:textId="77777777" w:rsidR="00E35075" w:rsidRDefault="00E35075" w:rsidP="00E219B7">
    <w:pPr>
      <w:pStyle w:val="Header"/>
      <w:pBdr>
        <w:top w:val="single" w:sz="36" w:space="1" w:color="CC0000"/>
      </w:pBd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B299" w14:textId="77777777" w:rsidR="00522EEF" w:rsidRDefault="00522E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A36BB" w14:textId="4AB96DC9" w:rsidR="00E35075" w:rsidRPr="005E0D01" w:rsidRDefault="005E0D01" w:rsidP="009F6151">
    <w:pPr>
      <w:pStyle w:val="Header"/>
      <w:jc w:val="right"/>
      <w:rPr>
        <w:rFonts w:cs="Arial"/>
        <w:b/>
      </w:rPr>
    </w:pPr>
    <w:r w:rsidRPr="005E0D01">
      <w:rPr>
        <w:rFonts w:cs="Arial"/>
        <w:b/>
      </w:rPr>
      <w:t>PUBLIC DISCLOSURE</w:t>
    </w:r>
  </w:p>
</w:hdr>
</file>

<file path=word/intelligence.xml><?xml version="1.0" encoding="utf-8"?>
<int:Intelligence xmlns:int="http://schemas.microsoft.com/office/intelligence/2019/intelligence">
  <int:IntelligenceSettings/>
  <int:Manifest>
    <int:WordHash hashCode="C7m7h05/w3HxJL" id="geglkJuU"/>
    <int:WordHash hashCode="jjMfTx3u/1Jl0w" id="zFnzpxWm"/>
    <int:WordHash hashCode="StwWm77PdcJQK3" id="8VkBIgIx"/>
    <int:ParagraphRange paragraphId="1126701690" textId="70356866" start="105" length="2" invalidationStart="105" invalidationLength="2" id="TjnrMaWt"/>
    <int:ParagraphRange paragraphId="944331176" textId="1421714609" start="73" length="24" invalidationStart="73" invalidationLength="24" id="6L0XX1Rc"/>
    <int:WordHash hashCode="RoHRJMxsS3O6q/" id="vrPv68b6"/>
    <int:ParagraphRange paragraphId="50836563" textId="1885344296" start="711" length="13" invalidationStart="711" invalidationLength="13" id="AosCKIZu"/>
    <int:ParagraphRange paragraphId="1834678480" textId="2004318071" start="498" length="10" invalidationStart="498" invalidationLength="10" id="UDTdV1Re"/>
    <int:ParagraphRange paragraphId="1834678480" textId="2004318071" start="263" length="7" invalidationStart="263" invalidationLength="7" id="RwqpI2qq"/>
  </int:Manifest>
  <int:Observations>
    <int:Content id="geglkJuU">
      <int:Rejection type="AugLoop_Text_Critique"/>
    </int:Content>
    <int:Content id="zFnzpxWm">
      <int:Rejection type="AugLoop_Text_Critique"/>
    </int:Content>
    <int:Content id="8VkBIgIx">
      <int:Rejection type="AugLoop_Text_Critique"/>
    </int:Content>
    <int:Content id="TjnrMaWt">
      <int:Rejection type="LegacyProofing"/>
    </int:Content>
    <int:Content id="6L0XX1Rc">
      <int:Rejection type="LegacyProofing"/>
    </int:Content>
    <int:Content id="vrPv68b6">
      <int:Rejection type="AugLoop_Text_Critique"/>
    </int:Content>
    <int:Content id="AosCKIZu">
      <int:Rejection type="LegacyProofing"/>
    </int:Content>
    <int:Content id="UDTdV1Re">
      <int:Rejection type="LegacyProofing"/>
    </int:Content>
    <int:Content id="RwqpI2qq">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255"/>
    <w:multiLevelType w:val="hybridMultilevel"/>
    <w:tmpl w:val="ECECDFC4"/>
    <w:lvl w:ilvl="0" w:tplc="04090011">
      <w:start w:val="1"/>
      <w:numFmt w:val="decimal"/>
      <w:lvlText w:val="%1)"/>
      <w:lvlJc w:val="left"/>
      <w:pPr>
        <w:ind w:left="720" w:hanging="360"/>
      </w:pPr>
    </w:lvl>
    <w:lvl w:ilvl="1" w:tplc="5A9EB828">
      <w:start w:val="1"/>
      <w:numFmt w:val="lowerLetter"/>
      <w:lvlText w:val="%2."/>
      <w:lvlJc w:val="left"/>
      <w:pPr>
        <w:ind w:left="1440" w:hanging="360"/>
      </w:pPr>
    </w:lvl>
    <w:lvl w:ilvl="2" w:tplc="4BAC9612">
      <w:start w:val="1"/>
      <w:numFmt w:val="lowerRoman"/>
      <w:lvlText w:val="%3."/>
      <w:lvlJc w:val="right"/>
      <w:pPr>
        <w:ind w:left="2160" w:hanging="180"/>
      </w:pPr>
    </w:lvl>
    <w:lvl w:ilvl="3" w:tplc="98349A6C">
      <w:start w:val="1"/>
      <w:numFmt w:val="decimal"/>
      <w:lvlText w:val="%4."/>
      <w:lvlJc w:val="left"/>
      <w:pPr>
        <w:ind w:left="2880" w:hanging="360"/>
      </w:pPr>
    </w:lvl>
    <w:lvl w:ilvl="4" w:tplc="D0AE25B0">
      <w:start w:val="1"/>
      <w:numFmt w:val="lowerLetter"/>
      <w:lvlText w:val="%5."/>
      <w:lvlJc w:val="left"/>
      <w:pPr>
        <w:ind w:left="3600" w:hanging="360"/>
      </w:pPr>
    </w:lvl>
    <w:lvl w:ilvl="5" w:tplc="22B25C40">
      <w:start w:val="1"/>
      <w:numFmt w:val="lowerRoman"/>
      <w:lvlText w:val="%6."/>
      <w:lvlJc w:val="right"/>
      <w:pPr>
        <w:ind w:left="4320" w:hanging="180"/>
      </w:pPr>
    </w:lvl>
    <w:lvl w:ilvl="6" w:tplc="99B66C0C">
      <w:start w:val="1"/>
      <w:numFmt w:val="decimal"/>
      <w:lvlText w:val="%7."/>
      <w:lvlJc w:val="left"/>
      <w:pPr>
        <w:ind w:left="5040" w:hanging="360"/>
      </w:pPr>
    </w:lvl>
    <w:lvl w:ilvl="7" w:tplc="9FC26BAA">
      <w:start w:val="1"/>
      <w:numFmt w:val="lowerLetter"/>
      <w:lvlText w:val="%8."/>
      <w:lvlJc w:val="left"/>
      <w:pPr>
        <w:ind w:left="5760" w:hanging="360"/>
      </w:pPr>
    </w:lvl>
    <w:lvl w:ilvl="8" w:tplc="CABE70F6">
      <w:start w:val="1"/>
      <w:numFmt w:val="lowerRoman"/>
      <w:lvlText w:val="%9."/>
      <w:lvlJc w:val="right"/>
      <w:pPr>
        <w:ind w:left="6480" w:hanging="180"/>
      </w:pPr>
    </w:lvl>
  </w:abstractNum>
  <w:abstractNum w:abstractNumId="1" w15:restartNumberingAfterBreak="0">
    <w:nsid w:val="044F0033"/>
    <w:multiLevelType w:val="multilevel"/>
    <w:tmpl w:val="735857D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5A45BE"/>
    <w:multiLevelType w:val="hybridMultilevel"/>
    <w:tmpl w:val="B998A85C"/>
    <w:lvl w:ilvl="0" w:tplc="71B8FF08">
      <w:start w:val="1"/>
      <w:numFmt w:val="bullet"/>
      <w:lvlText w:val="•"/>
      <w:lvlJc w:val="left"/>
      <w:pPr>
        <w:tabs>
          <w:tab w:val="num" w:pos="720"/>
        </w:tabs>
        <w:ind w:left="720" w:hanging="360"/>
      </w:pPr>
      <w:rPr>
        <w:rFonts w:ascii="Arial" w:hAnsi="Arial" w:hint="default"/>
      </w:rPr>
    </w:lvl>
    <w:lvl w:ilvl="1" w:tplc="910CE7E4">
      <w:numFmt w:val="bullet"/>
      <w:lvlText w:val="•"/>
      <w:lvlJc w:val="left"/>
      <w:pPr>
        <w:tabs>
          <w:tab w:val="num" w:pos="1440"/>
        </w:tabs>
        <w:ind w:left="1440" w:hanging="360"/>
      </w:pPr>
      <w:rPr>
        <w:rFonts w:ascii="Arial" w:hAnsi="Arial" w:hint="default"/>
      </w:rPr>
    </w:lvl>
    <w:lvl w:ilvl="2" w:tplc="C8285F5C">
      <w:numFmt w:val="bullet"/>
      <w:lvlText w:val="•"/>
      <w:lvlJc w:val="left"/>
      <w:pPr>
        <w:tabs>
          <w:tab w:val="num" w:pos="2160"/>
        </w:tabs>
        <w:ind w:left="2160" w:hanging="360"/>
      </w:pPr>
      <w:rPr>
        <w:rFonts w:ascii="Arial" w:hAnsi="Arial" w:hint="default"/>
      </w:rPr>
    </w:lvl>
    <w:lvl w:ilvl="3" w:tplc="CEE49BD4" w:tentative="1">
      <w:start w:val="1"/>
      <w:numFmt w:val="bullet"/>
      <w:lvlText w:val="•"/>
      <w:lvlJc w:val="left"/>
      <w:pPr>
        <w:tabs>
          <w:tab w:val="num" w:pos="2880"/>
        </w:tabs>
        <w:ind w:left="2880" w:hanging="360"/>
      </w:pPr>
      <w:rPr>
        <w:rFonts w:ascii="Arial" w:hAnsi="Arial" w:hint="default"/>
      </w:rPr>
    </w:lvl>
    <w:lvl w:ilvl="4" w:tplc="8C62195C" w:tentative="1">
      <w:start w:val="1"/>
      <w:numFmt w:val="bullet"/>
      <w:lvlText w:val="•"/>
      <w:lvlJc w:val="left"/>
      <w:pPr>
        <w:tabs>
          <w:tab w:val="num" w:pos="3600"/>
        </w:tabs>
        <w:ind w:left="3600" w:hanging="360"/>
      </w:pPr>
      <w:rPr>
        <w:rFonts w:ascii="Arial" w:hAnsi="Arial" w:hint="default"/>
      </w:rPr>
    </w:lvl>
    <w:lvl w:ilvl="5" w:tplc="445E42EC" w:tentative="1">
      <w:start w:val="1"/>
      <w:numFmt w:val="bullet"/>
      <w:lvlText w:val="•"/>
      <w:lvlJc w:val="left"/>
      <w:pPr>
        <w:tabs>
          <w:tab w:val="num" w:pos="4320"/>
        </w:tabs>
        <w:ind w:left="4320" w:hanging="360"/>
      </w:pPr>
      <w:rPr>
        <w:rFonts w:ascii="Arial" w:hAnsi="Arial" w:hint="default"/>
      </w:rPr>
    </w:lvl>
    <w:lvl w:ilvl="6" w:tplc="C6CE7132" w:tentative="1">
      <w:start w:val="1"/>
      <w:numFmt w:val="bullet"/>
      <w:lvlText w:val="•"/>
      <w:lvlJc w:val="left"/>
      <w:pPr>
        <w:tabs>
          <w:tab w:val="num" w:pos="5040"/>
        </w:tabs>
        <w:ind w:left="5040" w:hanging="360"/>
      </w:pPr>
      <w:rPr>
        <w:rFonts w:ascii="Arial" w:hAnsi="Arial" w:hint="default"/>
      </w:rPr>
    </w:lvl>
    <w:lvl w:ilvl="7" w:tplc="EB6E6C8A" w:tentative="1">
      <w:start w:val="1"/>
      <w:numFmt w:val="bullet"/>
      <w:lvlText w:val="•"/>
      <w:lvlJc w:val="left"/>
      <w:pPr>
        <w:tabs>
          <w:tab w:val="num" w:pos="5760"/>
        </w:tabs>
        <w:ind w:left="5760" w:hanging="360"/>
      </w:pPr>
      <w:rPr>
        <w:rFonts w:ascii="Arial" w:hAnsi="Arial" w:hint="default"/>
      </w:rPr>
    </w:lvl>
    <w:lvl w:ilvl="8" w:tplc="45505F0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006499"/>
    <w:multiLevelType w:val="multilevel"/>
    <w:tmpl w:val="38686C5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F13D3C"/>
    <w:multiLevelType w:val="hybridMultilevel"/>
    <w:tmpl w:val="D242B8D4"/>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75F19"/>
    <w:multiLevelType w:val="hybridMultilevel"/>
    <w:tmpl w:val="27320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780038"/>
    <w:multiLevelType w:val="hybridMultilevel"/>
    <w:tmpl w:val="1BFE1EC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DAE0F4B"/>
    <w:multiLevelType w:val="hybridMultilevel"/>
    <w:tmpl w:val="56EE3CC6"/>
    <w:lvl w:ilvl="0" w:tplc="01BA9D56">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781E28"/>
    <w:multiLevelType w:val="hybridMultilevel"/>
    <w:tmpl w:val="BA96A0EE"/>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D60547"/>
    <w:multiLevelType w:val="hybridMultilevel"/>
    <w:tmpl w:val="FFFFFFFF"/>
    <w:lvl w:ilvl="0" w:tplc="2F0EA454">
      <w:start w:val="1"/>
      <w:numFmt w:val="bullet"/>
      <w:lvlText w:val=""/>
      <w:lvlJc w:val="left"/>
      <w:pPr>
        <w:ind w:left="720" w:hanging="360"/>
      </w:pPr>
      <w:rPr>
        <w:rFonts w:ascii="Symbol" w:hAnsi="Symbol" w:hint="default"/>
      </w:rPr>
    </w:lvl>
    <w:lvl w:ilvl="1" w:tplc="DAC0B156">
      <w:start w:val="1"/>
      <w:numFmt w:val="bullet"/>
      <w:lvlText w:val="o"/>
      <w:lvlJc w:val="left"/>
      <w:pPr>
        <w:ind w:left="1440" w:hanging="360"/>
      </w:pPr>
      <w:rPr>
        <w:rFonts w:ascii="Courier New" w:hAnsi="Courier New" w:hint="default"/>
      </w:rPr>
    </w:lvl>
    <w:lvl w:ilvl="2" w:tplc="D34A69CE">
      <w:start w:val="1"/>
      <w:numFmt w:val="bullet"/>
      <w:lvlText w:val=""/>
      <w:lvlJc w:val="left"/>
      <w:pPr>
        <w:ind w:left="2160" w:hanging="360"/>
      </w:pPr>
      <w:rPr>
        <w:rFonts w:ascii="Wingdings" w:hAnsi="Wingdings" w:hint="default"/>
      </w:rPr>
    </w:lvl>
    <w:lvl w:ilvl="3" w:tplc="8368A410">
      <w:start w:val="1"/>
      <w:numFmt w:val="bullet"/>
      <w:lvlText w:val=""/>
      <w:lvlJc w:val="left"/>
      <w:pPr>
        <w:ind w:left="2880" w:hanging="360"/>
      </w:pPr>
      <w:rPr>
        <w:rFonts w:ascii="Symbol" w:hAnsi="Symbol" w:hint="default"/>
      </w:rPr>
    </w:lvl>
    <w:lvl w:ilvl="4" w:tplc="AD7618DA">
      <w:start w:val="1"/>
      <w:numFmt w:val="bullet"/>
      <w:lvlText w:val="o"/>
      <w:lvlJc w:val="left"/>
      <w:pPr>
        <w:ind w:left="3600" w:hanging="360"/>
      </w:pPr>
      <w:rPr>
        <w:rFonts w:ascii="Courier New" w:hAnsi="Courier New" w:hint="default"/>
      </w:rPr>
    </w:lvl>
    <w:lvl w:ilvl="5" w:tplc="B21EDF90">
      <w:start w:val="1"/>
      <w:numFmt w:val="bullet"/>
      <w:lvlText w:val=""/>
      <w:lvlJc w:val="left"/>
      <w:pPr>
        <w:ind w:left="4320" w:hanging="360"/>
      </w:pPr>
      <w:rPr>
        <w:rFonts w:ascii="Wingdings" w:hAnsi="Wingdings" w:hint="default"/>
      </w:rPr>
    </w:lvl>
    <w:lvl w:ilvl="6" w:tplc="3F3A12F2">
      <w:start w:val="1"/>
      <w:numFmt w:val="bullet"/>
      <w:lvlText w:val=""/>
      <w:lvlJc w:val="left"/>
      <w:pPr>
        <w:ind w:left="5040" w:hanging="360"/>
      </w:pPr>
      <w:rPr>
        <w:rFonts w:ascii="Symbol" w:hAnsi="Symbol" w:hint="default"/>
      </w:rPr>
    </w:lvl>
    <w:lvl w:ilvl="7" w:tplc="37E6BF9E">
      <w:start w:val="1"/>
      <w:numFmt w:val="bullet"/>
      <w:lvlText w:val="o"/>
      <w:lvlJc w:val="left"/>
      <w:pPr>
        <w:ind w:left="5760" w:hanging="360"/>
      </w:pPr>
      <w:rPr>
        <w:rFonts w:ascii="Courier New" w:hAnsi="Courier New" w:hint="default"/>
      </w:rPr>
    </w:lvl>
    <w:lvl w:ilvl="8" w:tplc="8A80B726">
      <w:start w:val="1"/>
      <w:numFmt w:val="bullet"/>
      <w:lvlText w:val=""/>
      <w:lvlJc w:val="left"/>
      <w:pPr>
        <w:ind w:left="6480" w:hanging="360"/>
      </w:pPr>
      <w:rPr>
        <w:rFonts w:ascii="Wingdings" w:hAnsi="Wingdings" w:hint="default"/>
      </w:rPr>
    </w:lvl>
  </w:abstractNum>
  <w:abstractNum w:abstractNumId="10" w15:restartNumberingAfterBreak="0">
    <w:nsid w:val="1216006F"/>
    <w:multiLevelType w:val="hybridMultilevel"/>
    <w:tmpl w:val="1DF6BDE4"/>
    <w:lvl w:ilvl="0" w:tplc="660C6F04">
      <w:start w:val="1"/>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662B0"/>
    <w:multiLevelType w:val="hybridMultilevel"/>
    <w:tmpl w:val="96B41586"/>
    <w:lvl w:ilvl="0" w:tplc="04090003">
      <w:start w:val="1"/>
      <w:numFmt w:val="bullet"/>
      <w:lvlText w:val="o"/>
      <w:lvlJc w:val="left"/>
      <w:pPr>
        <w:ind w:left="1080" w:hanging="360"/>
      </w:pPr>
      <w:rPr>
        <w:rFonts w:ascii="Courier New" w:hAnsi="Courier New" w:cs="Courier New" w:hint="default"/>
      </w:rPr>
    </w:lvl>
    <w:lvl w:ilvl="1" w:tplc="0AEC6026">
      <w:start w:val="1"/>
      <w:numFmt w:val="bullet"/>
      <w:lvlText w:val="o"/>
      <w:lvlJc w:val="left"/>
      <w:pPr>
        <w:ind w:left="1800" w:hanging="360"/>
      </w:pPr>
      <w:rPr>
        <w:rFonts w:ascii="Courier New" w:hAnsi="Courier New" w:cs="Times New Roman" w:hint="default"/>
      </w:rPr>
    </w:lvl>
    <w:lvl w:ilvl="2" w:tplc="23C20D76">
      <w:start w:val="1"/>
      <w:numFmt w:val="bullet"/>
      <w:lvlText w:val=""/>
      <w:lvlJc w:val="left"/>
      <w:pPr>
        <w:ind w:left="2520" w:hanging="360"/>
      </w:pPr>
      <w:rPr>
        <w:rFonts w:ascii="Wingdings" w:hAnsi="Wingdings" w:hint="default"/>
      </w:rPr>
    </w:lvl>
    <w:lvl w:ilvl="3" w:tplc="C6228872">
      <w:start w:val="1"/>
      <w:numFmt w:val="bullet"/>
      <w:lvlText w:val=""/>
      <w:lvlJc w:val="left"/>
      <w:pPr>
        <w:ind w:left="3240" w:hanging="360"/>
      </w:pPr>
      <w:rPr>
        <w:rFonts w:ascii="Symbol" w:hAnsi="Symbol" w:hint="default"/>
      </w:rPr>
    </w:lvl>
    <w:lvl w:ilvl="4" w:tplc="04F2F97C">
      <w:start w:val="1"/>
      <w:numFmt w:val="bullet"/>
      <w:lvlText w:val="o"/>
      <w:lvlJc w:val="left"/>
      <w:pPr>
        <w:ind w:left="3960" w:hanging="360"/>
      </w:pPr>
      <w:rPr>
        <w:rFonts w:ascii="Courier New" w:hAnsi="Courier New" w:cs="Times New Roman" w:hint="default"/>
      </w:rPr>
    </w:lvl>
    <w:lvl w:ilvl="5" w:tplc="B77C9618">
      <w:start w:val="1"/>
      <w:numFmt w:val="bullet"/>
      <w:lvlText w:val=""/>
      <w:lvlJc w:val="left"/>
      <w:pPr>
        <w:ind w:left="4680" w:hanging="360"/>
      </w:pPr>
      <w:rPr>
        <w:rFonts w:ascii="Wingdings" w:hAnsi="Wingdings" w:hint="default"/>
      </w:rPr>
    </w:lvl>
    <w:lvl w:ilvl="6" w:tplc="B2866528">
      <w:start w:val="1"/>
      <w:numFmt w:val="bullet"/>
      <w:lvlText w:val=""/>
      <w:lvlJc w:val="left"/>
      <w:pPr>
        <w:ind w:left="5400" w:hanging="360"/>
      </w:pPr>
      <w:rPr>
        <w:rFonts w:ascii="Symbol" w:hAnsi="Symbol" w:hint="default"/>
      </w:rPr>
    </w:lvl>
    <w:lvl w:ilvl="7" w:tplc="2EBC2BB6">
      <w:start w:val="1"/>
      <w:numFmt w:val="bullet"/>
      <w:lvlText w:val="o"/>
      <w:lvlJc w:val="left"/>
      <w:pPr>
        <w:ind w:left="6120" w:hanging="360"/>
      </w:pPr>
      <w:rPr>
        <w:rFonts w:ascii="Courier New" w:hAnsi="Courier New" w:cs="Times New Roman" w:hint="default"/>
      </w:rPr>
    </w:lvl>
    <w:lvl w:ilvl="8" w:tplc="4E404DE2">
      <w:start w:val="1"/>
      <w:numFmt w:val="bullet"/>
      <w:lvlText w:val=""/>
      <w:lvlJc w:val="left"/>
      <w:pPr>
        <w:ind w:left="6840" w:hanging="360"/>
      </w:pPr>
      <w:rPr>
        <w:rFonts w:ascii="Wingdings" w:hAnsi="Wingdings" w:hint="default"/>
      </w:rPr>
    </w:lvl>
  </w:abstractNum>
  <w:abstractNum w:abstractNumId="12" w15:restartNumberingAfterBreak="0">
    <w:nsid w:val="12CE2D94"/>
    <w:multiLevelType w:val="hybridMultilevel"/>
    <w:tmpl w:val="89C824C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1349025B"/>
    <w:multiLevelType w:val="hybridMultilevel"/>
    <w:tmpl w:val="24C274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6A24F0"/>
    <w:multiLevelType w:val="hybridMultilevel"/>
    <w:tmpl w:val="FFFFFFFF"/>
    <w:lvl w:ilvl="0" w:tplc="7B40D024">
      <w:start w:val="1"/>
      <w:numFmt w:val="bullet"/>
      <w:lvlText w:val=""/>
      <w:lvlJc w:val="left"/>
      <w:pPr>
        <w:ind w:left="720" w:hanging="360"/>
      </w:pPr>
      <w:rPr>
        <w:rFonts w:ascii="Symbol" w:hAnsi="Symbol" w:hint="default"/>
      </w:rPr>
    </w:lvl>
    <w:lvl w:ilvl="1" w:tplc="6A0236AC">
      <w:start w:val="1"/>
      <w:numFmt w:val="bullet"/>
      <w:lvlText w:val="o"/>
      <w:lvlJc w:val="left"/>
      <w:pPr>
        <w:ind w:left="1440" w:hanging="360"/>
      </w:pPr>
      <w:rPr>
        <w:rFonts w:ascii="Courier New" w:hAnsi="Courier New" w:hint="default"/>
      </w:rPr>
    </w:lvl>
    <w:lvl w:ilvl="2" w:tplc="BA340A02">
      <w:start w:val="1"/>
      <w:numFmt w:val="bullet"/>
      <w:lvlText w:val=""/>
      <w:lvlJc w:val="left"/>
      <w:pPr>
        <w:ind w:left="2160" w:hanging="360"/>
      </w:pPr>
      <w:rPr>
        <w:rFonts w:ascii="Wingdings" w:hAnsi="Wingdings" w:hint="default"/>
      </w:rPr>
    </w:lvl>
    <w:lvl w:ilvl="3" w:tplc="6E4614C6">
      <w:start w:val="1"/>
      <w:numFmt w:val="bullet"/>
      <w:lvlText w:val=""/>
      <w:lvlJc w:val="left"/>
      <w:pPr>
        <w:ind w:left="2880" w:hanging="360"/>
      </w:pPr>
      <w:rPr>
        <w:rFonts w:ascii="Symbol" w:hAnsi="Symbol" w:hint="default"/>
      </w:rPr>
    </w:lvl>
    <w:lvl w:ilvl="4" w:tplc="723CF6F2">
      <w:start w:val="1"/>
      <w:numFmt w:val="bullet"/>
      <w:lvlText w:val="o"/>
      <w:lvlJc w:val="left"/>
      <w:pPr>
        <w:ind w:left="3600" w:hanging="360"/>
      </w:pPr>
      <w:rPr>
        <w:rFonts w:ascii="Courier New" w:hAnsi="Courier New" w:hint="default"/>
      </w:rPr>
    </w:lvl>
    <w:lvl w:ilvl="5" w:tplc="67F4901E">
      <w:start w:val="1"/>
      <w:numFmt w:val="bullet"/>
      <w:lvlText w:val=""/>
      <w:lvlJc w:val="left"/>
      <w:pPr>
        <w:ind w:left="4320" w:hanging="360"/>
      </w:pPr>
      <w:rPr>
        <w:rFonts w:ascii="Wingdings" w:hAnsi="Wingdings" w:hint="default"/>
      </w:rPr>
    </w:lvl>
    <w:lvl w:ilvl="6" w:tplc="5B764BC2">
      <w:start w:val="1"/>
      <w:numFmt w:val="bullet"/>
      <w:lvlText w:val=""/>
      <w:lvlJc w:val="left"/>
      <w:pPr>
        <w:ind w:left="5040" w:hanging="360"/>
      </w:pPr>
      <w:rPr>
        <w:rFonts w:ascii="Symbol" w:hAnsi="Symbol" w:hint="default"/>
      </w:rPr>
    </w:lvl>
    <w:lvl w:ilvl="7" w:tplc="E18A2D9A">
      <w:start w:val="1"/>
      <w:numFmt w:val="bullet"/>
      <w:lvlText w:val="o"/>
      <w:lvlJc w:val="left"/>
      <w:pPr>
        <w:ind w:left="5760" w:hanging="360"/>
      </w:pPr>
      <w:rPr>
        <w:rFonts w:ascii="Courier New" w:hAnsi="Courier New" w:hint="default"/>
      </w:rPr>
    </w:lvl>
    <w:lvl w:ilvl="8" w:tplc="C8F4AC4E">
      <w:start w:val="1"/>
      <w:numFmt w:val="bullet"/>
      <w:lvlText w:val=""/>
      <w:lvlJc w:val="left"/>
      <w:pPr>
        <w:ind w:left="6480" w:hanging="360"/>
      </w:pPr>
      <w:rPr>
        <w:rFonts w:ascii="Wingdings" w:hAnsi="Wingdings" w:hint="default"/>
      </w:rPr>
    </w:lvl>
  </w:abstractNum>
  <w:abstractNum w:abstractNumId="15" w15:restartNumberingAfterBreak="0">
    <w:nsid w:val="177D45BD"/>
    <w:multiLevelType w:val="hybridMultilevel"/>
    <w:tmpl w:val="2DD21B2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89D00EA"/>
    <w:multiLevelType w:val="hybridMultilevel"/>
    <w:tmpl w:val="DAEE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6A047B"/>
    <w:multiLevelType w:val="hybridMultilevel"/>
    <w:tmpl w:val="3B44E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E734DCC"/>
    <w:multiLevelType w:val="hybridMultilevel"/>
    <w:tmpl w:val="C570F2B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ED16939"/>
    <w:multiLevelType w:val="hybridMultilevel"/>
    <w:tmpl w:val="F61C1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1F437FD5"/>
    <w:multiLevelType w:val="hybridMultilevel"/>
    <w:tmpl w:val="FFFFFFFF"/>
    <w:lvl w:ilvl="0" w:tplc="BEB0FB1A">
      <w:start w:val="1"/>
      <w:numFmt w:val="bullet"/>
      <w:lvlText w:val=""/>
      <w:lvlJc w:val="left"/>
      <w:pPr>
        <w:ind w:left="720" w:hanging="360"/>
      </w:pPr>
      <w:rPr>
        <w:rFonts w:ascii="Symbol" w:hAnsi="Symbol" w:hint="default"/>
      </w:rPr>
    </w:lvl>
    <w:lvl w:ilvl="1" w:tplc="CA0A7E0E">
      <w:start w:val="1"/>
      <w:numFmt w:val="bullet"/>
      <w:lvlText w:val="o"/>
      <w:lvlJc w:val="left"/>
      <w:pPr>
        <w:ind w:left="1440" w:hanging="360"/>
      </w:pPr>
      <w:rPr>
        <w:rFonts w:ascii="Courier New" w:hAnsi="Courier New" w:hint="default"/>
      </w:rPr>
    </w:lvl>
    <w:lvl w:ilvl="2" w:tplc="5BB224DC">
      <w:start w:val="1"/>
      <w:numFmt w:val="bullet"/>
      <w:lvlText w:val=""/>
      <w:lvlJc w:val="left"/>
      <w:pPr>
        <w:ind w:left="2160" w:hanging="360"/>
      </w:pPr>
      <w:rPr>
        <w:rFonts w:ascii="Wingdings" w:hAnsi="Wingdings" w:hint="default"/>
      </w:rPr>
    </w:lvl>
    <w:lvl w:ilvl="3" w:tplc="8D4285C8">
      <w:start w:val="1"/>
      <w:numFmt w:val="bullet"/>
      <w:lvlText w:val=""/>
      <w:lvlJc w:val="left"/>
      <w:pPr>
        <w:ind w:left="2880" w:hanging="360"/>
      </w:pPr>
      <w:rPr>
        <w:rFonts w:ascii="Symbol" w:hAnsi="Symbol" w:hint="default"/>
      </w:rPr>
    </w:lvl>
    <w:lvl w:ilvl="4" w:tplc="F3C465E4">
      <w:start w:val="1"/>
      <w:numFmt w:val="bullet"/>
      <w:lvlText w:val="o"/>
      <w:lvlJc w:val="left"/>
      <w:pPr>
        <w:ind w:left="3600" w:hanging="360"/>
      </w:pPr>
      <w:rPr>
        <w:rFonts w:ascii="Courier New" w:hAnsi="Courier New" w:hint="default"/>
      </w:rPr>
    </w:lvl>
    <w:lvl w:ilvl="5" w:tplc="7898E5E0">
      <w:start w:val="1"/>
      <w:numFmt w:val="bullet"/>
      <w:lvlText w:val=""/>
      <w:lvlJc w:val="left"/>
      <w:pPr>
        <w:ind w:left="4320" w:hanging="360"/>
      </w:pPr>
      <w:rPr>
        <w:rFonts w:ascii="Wingdings" w:hAnsi="Wingdings" w:hint="default"/>
      </w:rPr>
    </w:lvl>
    <w:lvl w:ilvl="6" w:tplc="581481B6">
      <w:start w:val="1"/>
      <w:numFmt w:val="bullet"/>
      <w:lvlText w:val=""/>
      <w:lvlJc w:val="left"/>
      <w:pPr>
        <w:ind w:left="5040" w:hanging="360"/>
      </w:pPr>
      <w:rPr>
        <w:rFonts w:ascii="Symbol" w:hAnsi="Symbol" w:hint="default"/>
      </w:rPr>
    </w:lvl>
    <w:lvl w:ilvl="7" w:tplc="B61E53B2">
      <w:start w:val="1"/>
      <w:numFmt w:val="bullet"/>
      <w:lvlText w:val="o"/>
      <w:lvlJc w:val="left"/>
      <w:pPr>
        <w:ind w:left="5760" w:hanging="360"/>
      </w:pPr>
      <w:rPr>
        <w:rFonts w:ascii="Courier New" w:hAnsi="Courier New" w:hint="default"/>
      </w:rPr>
    </w:lvl>
    <w:lvl w:ilvl="8" w:tplc="329C16F0">
      <w:start w:val="1"/>
      <w:numFmt w:val="bullet"/>
      <w:lvlText w:val=""/>
      <w:lvlJc w:val="left"/>
      <w:pPr>
        <w:ind w:left="6480" w:hanging="360"/>
      </w:pPr>
      <w:rPr>
        <w:rFonts w:ascii="Wingdings" w:hAnsi="Wingdings" w:hint="default"/>
      </w:rPr>
    </w:lvl>
  </w:abstractNum>
  <w:abstractNum w:abstractNumId="21" w15:restartNumberingAfterBreak="0">
    <w:nsid w:val="21212174"/>
    <w:multiLevelType w:val="hybridMultilevel"/>
    <w:tmpl w:val="2F5A0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664A81"/>
    <w:multiLevelType w:val="hybridMultilevel"/>
    <w:tmpl w:val="F2B25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856865"/>
    <w:multiLevelType w:val="hybridMultilevel"/>
    <w:tmpl w:val="6D2454F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093C1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02828E9"/>
    <w:multiLevelType w:val="hybridMultilevel"/>
    <w:tmpl w:val="369A0F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8E05EA"/>
    <w:multiLevelType w:val="hybridMultilevel"/>
    <w:tmpl w:val="01046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B1C71E6"/>
    <w:multiLevelType w:val="multilevel"/>
    <w:tmpl w:val="202CA6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2205" w:hanging="405"/>
      </w:pPr>
      <w:rPr>
        <w:rFonts w:eastAsia="Calibri" w:hint="default"/>
        <w:color w:val="000000" w:themeColor="text1"/>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CCE711D"/>
    <w:multiLevelType w:val="hybridMultilevel"/>
    <w:tmpl w:val="8674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005704"/>
    <w:multiLevelType w:val="hybridMultilevel"/>
    <w:tmpl w:val="F32A1334"/>
    <w:lvl w:ilvl="0" w:tplc="0150C31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047C32"/>
    <w:multiLevelType w:val="hybridMultilevel"/>
    <w:tmpl w:val="CC90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AE1131"/>
    <w:multiLevelType w:val="hybridMultilevel"/>
    <w:tmpl w:val="914478B8"/>
    <w:lvl w:ilvl="0" w:tplc="B388040A">
      <w:start w:val="1"/>
      <w:numFmt w:val="bullet"/>
      <w:lvlText w:val="•"/>
      <w:lvlJc w:val="left"/>
      <w:pPr>
        <w:tabs>
          <w:tab w:val="num" w:pos="720"/>
        </w:tabs>
        <w:ind w:left="720" w:hanging="360"/>
      </w:pPr>
      <w:rPr>
        <w:rFonts w:ascii="Arial" w:hAnsi="Arial" w:hint="default"/>
      </w:rPr>
    </w:lvl>
    <w:lvl w:ilvl="1" w:tplc="5FFE317C" w:tentative="1">
      <w:start w:val="1"/>
      <w:numFmt w:val="bullet"/>
      <w:lvlText w:val="•"/>
      <w:lvlJc w:val="left"/>
      <w:pPr>
        <w:tabs>
          <w:tab w:val="num" w:pos="1440"/>
        </w:tabs>
        <w:ind w:left="1440" w:hanging="360"/>
      </w:pPr>
      <w:rPr>
        <w:rFonts w:ascii="Arial" w:hAnsi="Arial" w:hint="default"/>
      </w:rPr>
    </w:lvl>
    <w:lvl w:ilvl="2" w:tplc="D9FE838C" w:tentative="1">
      <w:start w:val="1"/>
      <w:numFmt w:val="bullet"/>
      <w:lvlText w:val="•"/>
      <w:lvlJc w:val="left"/>
      <w:pPr>
        <w:tabs>
          <w:tab w:val="num" w:pos="2160"/>
        </w:tabs>
        <w:ind w:left="2160" w:hanging="360"/>
      </w:pPr>
      <w:rPr>
        <w:rFonts w:ascii="Arial" w:hAnsi="Arial" w:hint="default"/>
      </w:rPr>
    </w:lvl>
    <w:lvl w:ilvl="3" w:tplc="F4842D42" w:tentative="1">
      <w:start w:val="1"/>
      <w:numFmt w:val="bullet"/>
      <w:lvlText w:val="•"/>
      <w:lvlJc w:val="left"/>
      <w:pPr>
        <w:tabs>
          <w:tab w:val="num" w:pos="2880"/>
        </w:tabs>
        <w:ind w:left="2880" w:hanging="360"/>
      </w:pPr>
      <w:rPr>
        <w:rFonts w:ascii="Arial" w:hAnsi="Arial" w:hint="default"/>
      </w:rPr>
    </w:lvl>
    <w:lvl w:ilvl="4" w:tplc="A36A9214" w:tentative="1">
      <w:start w:val="1"/>
      <w:numFmt w:val="bullet"/>
      <w:lvlText w:val="•"/>
      <w:lvlJc w:val="left"/>
      <w:pPr>
        <w:tabs>
          <w:tab w:val="num" w:pos="3600"/>
        </w:tabs>
        <w:ind w:left="3600" w:hanging="360"/>
      </w:pPr>
      <w:rPr>
        <w:rFonts w:ascii="Arial" w:hAnsi="Arial" w:hint="default"/>
      </w:rPr>
    </w:lvl>
    <w:lvl w:ilvl="5" w:tplc="A9941BC0" w:tentative="1">
      <w:start w:val="1"/>
      <w:numFmt w:val="bullet"/>
      <w:lvlText w:val="•"/>
      <w:lvlJc w:val="left"/>
      <w:pPr>
        <w:tabs>
          <w:tab w:val="num" w:pos="4320"/>
        </w:tabs>
        <w:ind w:left="4320" w:hanging="360"/>
      </w:pPr>
      <w:rPr>
        <w:rFonts w:ascii="Arial" w:hAnsi="Arial" w:hint="default"/>
      </w:rPr>
    </w:lvl>
    <w:lvl w:ilvl="6" w:tplc="F842C274" w:tentative="1">
      <w:start w:val="1"/>
      <w:numFmt w:val="bullet"/>
      <w:lvlText w:val="•"/>
      <w:lvlJc w:val="left"/>
      <w:pPr>
        <w:tabs>
          <w:tab w:val="num" w:pos="5040"/>
        </w:tabs>
        <w:ind w:left="5040" w:hanging="360"/>
      </w:pPr>
      <w:rPr>
        <w:rFonts w:ascii="Arial" w:hAnsi="Arial" w:hint="default"/>
      </w:rPr>
    </w:lvl>
    <w:lvl w:ilvl="7" w:tplc="7C20579C" w:tentative="1">
      <w:start w:val="1"/>
      <w:numFmt w:val="bullet"/>
      <w:lvlText w:val="•"/>
      <w:lvlJc w:val="left"/>
      <w:pPr>
        <w:tabs>
          <w:tab w:val="num" w:pos="5760"/>
        </w:tabs>
        <w:ind w:left="5760" w:hanging="360"/>
      </w:pPr>
      <w:rPr>
        <w:rFonts w:ascii="Arial" w:hAnsi="Arial" w:hint="default"/>
      </w:rPr>
    </w:lvl>
    <w:lvl w:ilvl="8" w:tplc="5AEA253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63E60DC"/>
    <w:multiLevelType w:val="hybridMultilevel"/>
    <w:tmpl w:val="5A3E57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93207D"/>
    <w:multiLevelType w:val="hybridMultilevel"/>
    <w:tmpl w:val="1E8056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1386B13"/>
    <w:multiLevelType w:val="hybridMultilevel"/>
    <w:tmpl w:val="2D1282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DA5C79"/>
    <w:multiLevelType w:val="hybridMultilevel"/>
    <w:tmpl w:val="17DCD8BA"/>
    <w:lvl w:ilvl="0" w:tplc="DC38E6DC">
      <w:start w:val="1"/>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3DE1082"/>
    <w:multiLevelType w:val="hybridMultilevel"/>
    <w:tmpl w:val="056A1608"/>
    <w:lvl w:ilvl="0" w:tplc="9C4A64C2">
      <w:start w:val="1"/>
      <w:numFmt w:val="bullet"/>
      <w:lvlText w:val="•"/>
      <w:lvlJc w:val="left"/>
      <w:pPr>
        <w:tabs>
          <w:tab w:val="num" w:pos="360"/>
        </w:tabs>
        <w:ind w:left="360" w:hanging="360"/>
      </w:pPr>
      <w:rPr>
        <w:rFonts w:ascii="Arial" w:hAnsi="Arial" w:hint="default"/>
      </w:rPr>
    </w:lvl>
    <w:lvl w:ilvl="1" w:tplc="CBC4C46A" w:tentative="1">
      <w:start w:val="1"/>
      <w:numFmt w:val="bullet"/>
      <w:lvlText w:val="•"/>
      <w:lvlJc w:val="left"/>
      <w:pPr>
        <w:tabs>
          <w:tab w:val="num" w:pos="1080"/>
        </w:tabs>
        <w:ind w:left="1080" w:hanging="360"/>
      </w:pPr>
      <w:rPr>
        <w:rFonts w:ascii="Arial" w:hAnsi="Arial" w:hint="default"/>
      </w:rPr>
    </w:lvl>
    <w:lvl w:ilvl="2" w:tplc="9F645C72" w:tentative="1">
      <w:start w:val="1"/>
      <w:numFmt w:val="bullet"/>
      <w:lvlText w:val="•"/>
      <w:lvlJc w:val="left"/>
      <w:pPr>
        <w:tabs>
          <w:tab w:val="num" w:pos="1800"/>
        </w:tabs>
        <w:ind w:left="1800" w:hanging="360"/>
      </w:pPr>
      <w:rPr>
        <w:rFonts w:ascii="Arial" w:hAnsi="Arial" w:hint="default"/>
      </w:rPr>
    </w:lvl>
    <w:lvl w:ilvl="3" w:tplc="D6202560" w:tentative="1">
      <w:start w:val="1"/>
      <w:numFmt w:val="bullet"/>
      <w:lvlText w:val="•"/>
      <w:lvlJc w:val="left"/>
      <w:pPr>
        <w:tabs>
          <w:tab w:val="num" w:pos="2520"/>
        </w:tabs>
        <w:ind w:left="2520" w:hanging="360"/>
      </w:pPr>
      <w:rPr>
        <w:rFonts w:ascii="Arial" w:hAnsi="Arial" w:hint="default"/>
      </w:rPr>
    </w:lvl>
    <w:lvl w:ilvl="4" w:tplc="26DE554A" w:tentative="1">
      <w:start w:val="1"/>
      <w:numFmt w:val="bullet"/>
      <w:lvlText w:val="•"/>
      <w:lvlJc w:val="left"/>
      <w:pPr>
        <w:tabs>
          <w:tab w:val="num" w:pos="3240"/>
        </w:tabs>
        <w:ind w:left="3240" w:hanging="360"/>
      </w:pPr>
      <w:rPr>
        <w:rFonts w:ascii="Arial" w:hAnsi="Arial" w:hint="default"/>
      </w:rPr>
    </w:lvl>
    <w:lvl w:ilvl="5" w:tplc="5C0486B8" w:tentative="1">
      <w:start w:val="1"/>
      <w:numFmt w:val="bullet"/>
      <w:lvlText w:val="•"/>
      <w:lvlJc w:val="left"/>
      <w:pPr>
        <w:tabs>
          <w:tab w:val="num" w:pos="3960"/>
        </w:tabs>
        <w:ind w:left="3960" w:hanging="360"/>
      </w:pPr>
      <w:rPr>
        <w:rFonts w:ascii="Arial" w:hAnsi="Arial" w:hint="default"/>
      </w:rPr>
    </w:lvl>
    <w:lvl w:ilvl="6" w:tplc="CBE81B3E" w:tentative="1">
      <w:start w:val="1"/>
      <w:numFmt w:val="bullet"/>
      <w:lvlText w:val="•"/>
      <w:lvlJc w:val="left"/>
      <w:pPr>
        <w:tabs>
          <w:tab w:val="num" w:pos="4680"/>
        </w:tabs>
        <w:ind w:left="4680" w:hanging="360"/>
      </w:pPr>
      <w:rPr>
        <w:rFonts w:ascii="Arial" w:hAnsi="Arial" w:hint="default"/>
      </w:rPr>
    </w:lvl>
    <w:lvl w:ilvl="7" w:tplc="8646968C" w:tentative="1">
      <w:start w:val="1"/>
      <w:numFmt w:val="bullet"/>
      <w:lvlText w:val="•"/>
      <w:lvlJc w:val="left"/>
      <w:pPr>
        <w:tabs>
          <w:tab w:val="num" w:pos="5400"/>
        </w:tabs>
        <w:ind w:left="5400" w:hanging="360"/>
      </w:pPr>
      <w:rPr>
        <w:rFonts w:ascii="Arial" w:hAnsi="Arial" w:hint="default"/>
      </w:rPr>
    </w:lvl>
    <w:lvl w:ilvl="8" w:tplc="15386830" w:tentative="1">
      <w:start w:val="1"/>
      <w:numFmt w:val="bullet"/>
      <w:lvlText w:val="•"/>
      <w:lvlJc w:val="left"/>
      <w:pPr>
        <w:tabs>
          <w:tab w:val="num" w:pos="6120"/>
        </w:tabs>
        <w:ind w:left="6120" w:hanging="360"/>
      </w:pPr>
      <w:rPr>
        <w:rFonts w:ascii="Arial" w:hAnsi="Arial" w:hint="default"/>
      </w:rPr>
    </w:lvl>
  </w:abstractNum>
  <w:abstractNum w:abstractNumId="37" w15:restartNumberingAfterBreak="0">
    <w:nsid w:val="67086FB5"/>
    <w:multiLevelType w:val="hybridMultilevel"/>
    <w:tmpl w:val="FFFFFFFF"/>
    <w:lvl w:ilvl="0" w:tplc="75247632">
      <w:start w:val="1"/>
      <w:numFmt w:val="bullet"/>
      <w:lvlText w:val=""/>
      <w:lvlJc w:val="left"/>
      <w:pPr>
        <w:ind w:left="720" w:hanging="360"/>
      </w:pPr>
      <w:rPr>
        <w:rFonts w:ascii="Symbol" w:hAnsi="Symbol" w:hint="default"/>
      </w:rPr>
    </w:lvl>
    <w:lvl w:ilvl="1" w:tplc="D9BE110A">
      <w:start w:val="1"/>
      <w:numFmt w:val="bullet"/>
      <w:lvlText w:val="o"/>
      <w:lvlJc w:val="left"/>
      <w:pPr>
        <w:ind w:left="1440" w:hanging="360"/>
      </w:pPr>
      <w:rPr>
        <w:rFonts w:ascii="Courier New" w:hAnsi="Courier New" w:hint="default"/>
      </w:rPr>
    </w:lvl>
    <w:lvl w:ilvl="2" w:tplc="176CCBDE">
      <w:start w:val="1"/>
      <w:numFmt w:val="bullet"/>
      <w:lvlText w:val=""/>
      <w:lvlJc w:val="left"/>
      <w:pPr>
        <w:ind w:left="2160" w:hanging="360"/>
      </w:pPr>
      <w:rPr>
        <w:rFonts w:ascii="Wingdings" w:hAnsi="Wingdings" w:hint="default"/>
      </w:rPr>
    </w:lvl>
    <w:lvl w:ilvl="3" w:tplc="98F2272E">
      <w:start w:val="1"/>
      <w:numFmt w:val="bullet"/>
      <w:lvlText w:val=""/>
      <w:lvlJc w:val="left"/>
      <w:pPr>
        <w:ind w:left="2880" w:hanging="360"/>
      </w:pPr>
      <w:rPr>
        <w:rFonts w:ascii="Symbol" w:hAnsi="Symbol" w:hint="default"/>
      </w:rPr>
    </w:lvl>
    <w:lvl w:ilvl="4" w:tplc="6A32564E">
      <w:start w:val="1"/>
      <w:numFmt w:val="bullet"/>
      <w:lvlText w:val="o"/>
      <w:lvlJc w:val="left"/>
      <w:pPr>
        <w:ind w:left="3600" w:hanging="360"/>
      </w:pPr>
      <w:rPr>
        <w:rFonts w:ascii="Courier New" w:hAnsi="Courier New" w:hint="default"/>
      </w:rPr>
    </w:lvl>
    <w:lvl w:ilvl="5" w:tplc="45925CBE">
      <w:start w:val="1"/>
      <w:numFmt w:val="bullet"/>
      <w:lvlText w:val=""/>
      <w:lvlJc w:val="left"/>
      <w:pPr>
        <w:ind w:left="4320" w:hanging="360"/>
      </w:pPr>
      <w:rPr>
        <w:rFonts w:ascii="Wingdings" w:hAnsi="Wingdings" w:hint="default"/>
      </w:rPr>
    </w:lvl>
    <w:lvl w:ilvl="6" w:tplc="536260C4">
      <w:start w:val="1"/>
      <w:numFmt w:val="bullet"/>
      <w:lvlText w:val=""/>
      <w:lvlJc w:val="left"/>
      <w:pPr>
        <w:ind w:left="5040" w:hanging="360"/>
      </w:pPr>
      <w:rPr>
        <w:rFonts w:ascii="Symbol" w:hAnsi="Symbol" w:hint="default"/>
      </w:rPr>
    </w:lvl>
    <w:lvl w:ilvl="7" w:tplc="B4F0E56C">
      <w:start w:val="1"/>
      <w:numFmt w:val="bullet"/>
      <w:lvlText w:val="o"/>
      <w:lvlJc w:val="left"/>
      <w:pPr>
        <w:ind w:left="5760" w:hanging="360"/>
      </w:pPr>
      <w:rPr>
        <w:rFonts w:ascii="Courier New" w:hAnsi="Courier New" w:hint="default"/>
      </w:rPr>
    </w:lvl>
    <w:lvl w:ilvl="8" w:tplc="F55448EC">
      <w:start w:val="1"/>
      <w:numFmt w:val="bullet"/>
      <w:lvlText w:val=""/>
      <w:lvlJc w:val="left"/>
      <w:pPr>
        <w:ind w:left="6480" w:hanging="360"/>
      </w:pPr>
      <w:rPr>
        <w:rFonts w:ascii="Wingdings" w:hAnsi="Wingdings" w:hint="default"/>
      </w:rPr>
    </w:lvl>
  </w:abstractNum>
  <w:abstractNum w:abstractNumId="38" w15:restartNumberingAfterBreak="0">
    <w:nsid w:val="688C1407"/>
    <w:multiLevelType w:val="hybridMultilevel"/>
    <w:tmpl w:val="0BF29E5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9" w15:restartNumberingAfterBreak="0">
    <w:nsid w:val="69497182"/>
    <w:multiLevelType w:val="multilevel"/>
    <w:tmpl w:val="B0764AA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9B35262"/>
    <w:multiLevelType w:val="hybridMultilevel"/>
    <w:tmpl w:val="A21EF716"/>
    <w:lvl w:ilvl="0" w:tplc="FFFFFFFF">
      <w:start w:val="10"/>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434AA4"/>
    <w:multiLevelType w:val="hybridMultilevel"/>
    <w:tmpl w:val="73FC0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8243D5"/>
    <w:multiLevelType w:val="hybridMultilevel"/>
    <w:tmpl w:val="EF181B3C"/>
    <w:lvl w:ilvl="0" w:tplc="32FE80B2">
      <w:start w:val="1"/>
      <w:numFmt w:val="decimal"/>
      <w:lvlText w:val="%1)"/>
      <w:lvlJc w:val="left"/>
      <w:pPr>
        <w:tabs>
          <w:tab w:val="num" w:pos="720"/>
        </w:tabs>
        <w:ind w:left="720" w:hanging="360"/>
      </w:pPr>
    </w:lvl>
    <w:lvl w:ilvl="1" w:tplc="8A8A6546" w:tentative="1">
      <w:start w:val="1"/>
      <w:numFmt w:val="decimal"/>
      <w:lvlText w:val="%2)"/>
      <w:lvlJc w:val="left"/>
      <w:pPr>
        <w:tabs>
          <w:tab w:val="num" w:pos="1440"/>
        </w:tabs>
        <w:ind w:left="1440" w:hanging="360"/>
      </w:pPr>
    </w:lvl>
    <w:lvl w:ilvl="2" w:tplc="98E65E9E" w:tentative="1">
      <w:start w:val="1"/>
      <w:numFmt w:val="decimal"/>
      <w:lvlText w:val="%3)"/>
      <w:lvlJc w:val="left"/>
      <w:pPr>
        <w:tabs>
          <w:tab w:val="num" w:pos="2160"/>
        </w:tabs>
        <w:ind w:left="2160" w:hanging="360"/>
      </w:pPr>
    </w:lvl>
    <w:lvl w:ilvl="3" w:tplc="33523D7A" w:tentative="1">
      <w:start w:val="1"/>
      <w:numFmt w:val="decimal"/>
      <w:lvlText w:val="%4)"/>
      <w:lvlJc w:val="left"/>
      <w:pPr>
        <w:tabs>
          <w:tab w:val="num" w:pos="2880"/>
        </w:tabs>
        <w:ind w:left="2880" w:hanging="360"/>
      </w:pPr>
    </w:lvl>
    <w:lvl w:ilvl="4" w:tplc="EB14DC36" w:tentative="1">
      <w:start w:val="1"/>
      <w:numFmt w:val="decimal"/>
      <w:lvlText w:val="%5)"/>
      <w:lvlJc w:val="left"/>
      <w:pPr>
        <w:tabs>
          <w:tab w:val="num" w:pos="3600"/>
        </w:tabs>
        <w:ind w:left="3600" w:hanging="360"/>
      </w:pPr>
    </w:lvl>
    <w:lvl w:ilvl="5" w:tplc="A35ED850" w:tentative="1">
      <w:start w:val="1"/>
      <w:numFmt w:val="decimal"/>
      <w:lvlText w:val="%6)"/>
      <w:lvlJc w:val="left"/>
      <w:pPr>
        <w:tabs>
          <w:tab w:val="num" w:pos="4320"/>
        </w:tabs>
        <w:ind w:left="4320" w:hanging="360"/>
      </w:pPr>
    </w:lvl>
    <w:lvl w:ilvl="6" w:tplc="FCDAEAF6" w:tentative="1">
      <w:start w:val="1"/>
      <w:numFmt w:val="decimal"/>
      <w:lvlText w:val="%7)"/>
      <w:lvlJc w:val="left"/>
      <w:pPr>
        <w:tabs>
          <w:tab w:val="num" w:pos="5040"/>
        </w:tabs>
        <w:ind w:left="5040" w:hanging="360"/>
      </w:pPr>
    </w:lvl>
    <w:lvl w:ilvl="7" w:tplc="A792F736" w:tentative="1">
      <w:start w:val="1"/>
      <w:numFmt w:val="decimal"/>
      <w:lvlText w:val="%8)"/>
      <w:lvlJc w:val="left"/>
      <w:pPr>
        <w:tabs>
          <w:tab w:val="num" w:pos="5760"/>
        </w:tabs>
        <w:ind w:left="5760" w:hanging="360"/>
      </w:pPr>
    </w:lvl>
    <w:lvl w:ilvl="8" w:tplc="5BA2DD60" w:tentative="1">
      <w:start w:val="1"/>
      <w:numFmt w:val="decimal"/>
      <w:lvlText w:val="%9)"/>
      <w:lvlJc w:val="left"/>
      <w:pPr>
        <w:tabs>
          <w:tab w:val="num" w:pos="6480"/>
        </w:tabs>
        <w:ind w:left="6480" w:hanging="360"/>
      </w:pPr>
    </w:lvl>
  </w:abstractNum>
  <w:abstractNum w:abstractNumId="43" w15:restartNumberingAfterBreak="0">
    <w:nsid w:val="730C6F98"/>
    <w:multiLevelType w:val="hybridMultilevel"/>
    <w:tmpl w:val="AEF80A6E"/>
    <w:lvl w:ilvl="0" w:tplc="A13032C0">
      <w:start w:val="1"/>
      <w:numFmt w:val="bullet"/>
      <w:lvlText w:val="•"/>
      <w:lvlJc w:val="left"/>
      <w:pPr>
        <w:tabs>
          <w:tab w:val="num" w:pos="720"/>
        </w:tabs>
        <w:ind w:left="720" w:hanging="360"/>
      </w:pPr>
      <w:rPr>
        <w:rFonts w:ascii="Arial" w:hAnsi="Arial" w:hint="default"/>
      </w:rPr>
    </w:lvl>
    <w:lvl w:ilvl="1" w:tplc="6EEE38BE" w:tentative="1">
      <w:start w:val="1"/>
      <w:numFmt w:val="bullet"/>
      <w:lvlText w:val="•"/>
      <w:lvlJc w:val="left"/>
      <w:pPr>
        <w:tabs>
          <w:tab w:val="num" w:pos="1440"/>
        </w:tabs>
        <w:ind w:left="1440" w:hanging="360"/>
      </w:pPr>
      <w:rPr>
        <w:rFonts w:ascii="Arial" w:hAnsi="Arial" w:hint="default"/>
      </w:rPr>
    </w:lvl>
    <w:lvl w:ilvl="2" w:tplc="1F9AB1CC" w:tentative="1">
      <w:start w:val="1"/>
      <w:numFmt w:val="bullet"/>
      <w:lvlText w:val="•"/>
      <w:lvlJc w:val="left"/>
      <w:pPr>
        <w:tabs>
          <w:tab w:val="num" w:pos="2160"/>
        </w:tabs>
        <w:ind w:left="2160" w:hanging="360"/>
      </w:pPr>
      <w:rPr>
        <w:rFonts w:ascii="Arial" w:hAnsi="Arial" w:hint="default"/>
      </w:rPr>
    </w:lvl>
    <w:lvl w:ilvl="3" w:tplc="57C805DA" w:tentative="1">
      <w:start w:val="1"/>
      <w:numFmt w:val="bullet"/>
      <w:lvlText w:val="•"/>
      <w:lvlJc w:val="left"/>
      <w:pPr>
        <w:tabs>
          <w:tab w:val="num" w:pos="2880"/>
        </w:tabs>
        <w:ind w:left="2880" w:hanging="360"/>
      </w:pPr>
      <w:rPr>
        <w:rFonts w:ascii="Arial" w:hAnsi="Arial" w:hint="default"/>
      </w:rPr>
    </w:lvl>
    <w:lvl w:ilvl="4" w:tplc="D346A864" w:tentative="1">
      <w:start w:val="1"/>
      <w:numFmt w:val="bullet"/>
      <w:lvlText w:val="•"/>
      <w:lvlJc w:val="left"/>
      <w:pPr>
        <w:tabs>
          <w:tab w:val="num" w:pos="3600"/>
        </w:tabs>
        <w:ind w:left="3600" w:hanging="360"/>
      </w:pPr>
      <w:rPr>
        <w:rFonts w:ascii="Arial" w:hAnsi="Arial" w:hint="default"/>
      </w:rPr>
    </w:lvl>
    <w:lvl w:ilvl="5" w:tplc="B21C5E4E" w:tentative="1">
      <w:start w:val="1"/>
      <w:numFmt w:val="bullet"/>
      <w:lvlText w:val="•"/>
      <w:lvlJc w:val="left"/>
      <w:pPr>
        <w:tabs>
          <w:tab w:val="num" w:pos="4320"/>
        </w:tabs>
        <w:ind w:left="4320" w:hanging="360"/>
      </w:pPr>
      <w:rPr>
        <w:rFonts w:ascii="Arial" w:hAnsi="Arial" w:hint="default"/>
      </w:rPr>
    </w:lvl>
    <w:lvl w:ilvl="6" w:tplc="4FF60654" w:tentative="1">
      <w:start w:val="1"/>
      <w:numFmt w:val="bullet"/>
      <w:lvlText w:val="•"/>
      <w:lvlJc w:val="left"/>
      <w:pPr>
        <w:tabs>
          <w:tab w:val="num" w:pos="5040"/>
        </w:tabs>
        <w:ind w:left="5040" w:hanging="360"/>
      </w:pPr>
      <w:rPr>
        <w:rFonts w:ascii="Arial" w:hAnsi="Arial" w:hint="default"/>
      </w:rPr>
    </w:lvl>
    <w:lvl w:ilvl="7" w:tplc="2C6234C0" w:tentative="1">
      <w:start w:val="1"/>
      <w:numFmt w:val="bullet"/>
      <w:lvlText w:val="•"/>
      <w:lvlJc w:val="left"/>
      <w:pPr>
        <w:tabs>
          <w:tab w:val="num" w:pos="5760"/>
        </w:tabs>
        <w:ind w:left="5760" w:hanging="360"/>
      </w:pPr>
      <w:rPr>
        <w:rFonts w:ascii="Arial" w:hAnsi="Arial" w:hint="default"/>
      </w:rPr>
    </w:lvl>
    <w:lvl w:ilvl="8" w:tplc="386ABDB8"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9DE1454"/>
    <w:multiLevelType w:val="multilevel"/>
    <w:tmpl w:val="3CEEDF3C"/>
    <w:lvl w:ilvl="0">
      <w:start w:val="1"/>
      <w:numFmt w:val="decimal"/>
      <w:lvlText w:val="%1.0"/>
      <w:lvlJc w:val="left"/>
      <w:pPr>
        <w:ind w:left="735" w:hanging="735"/>
      </w:pPr>
      <w:rPr>
        <w:rFonts w:hint="default"/>
      </w:rPr>
    </w:lvl>
    <w:lvl w:ilvl="1">
      <w:start w:val="1"/>
      <w:numFmt w:val="decimal"/>
      <w:lvlText w:val="%1.%2"/>
      <w:lvlJc w:val="left"/>
      <w:pPr>
        <w:ind w:left="1455" w:hanging="735"/>
      </w:pPr>
      <w:rPr>
        <w:rFonts w:hint="default"/>
      </w:rPr>
    </w:lvl>
    <w:lvl w:ilvl="2">
      <w:start w:val="1"/>
      <w:numFmt w:val="decimal"/>
      <w:lvlText w:val="%1.%2.%3"/>
      <w:lvlJc w:val="left"/>
      <w:pPr>
        <w:ind w:left="2175" w:hanging="735"/>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C1C1BAF"/>
    <w:multiLevelType w:val="hybridMultilevel"/>
    <w:tmpl w:val="81BA4F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7CE412AE"/>
    <w:multiLevelType w:val="hybridMultilevel"/>
    <w:tmpl w:val="A06252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7" w15:restartNumberingAfterBreak="0">
    <w:nsid w:val="7D23055D"/>
    <w:multiLevelType w:val="hybridMultilevel"/>
    <w:tmpl w:val="D1ECE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28"/>
  </w:num>
  <w:num w:numId="4">
    <w:abstractNumId w:val="7"/>
  </w:num>
  <w:num w:numId="5">
    <w:abstractNumId w:val="19"/>
  </w:num>
  <w:num w:numId="6">
    <w:abstractNumId w:val="6"/>
  </w:num>
  <w:num w:numId="7">
    <w:abstractNumId w:val="38"/>
  </w:num>
  <w:num w:numId="8">
    <w:abstractNumId w:val="12"/>
  </w:num>
  <w:num w:numId="9">
    <w:abstractNumId w:val="11"/>
  </w:num>
  <w:num w:numId="10">
    <w:abstractNumId w:val="27"/>
  </w:num>
  <w:num w:numId="11">
    <w:abstractNumId w:val="1"/>
  </w:num>
  <w:num w:numId="12">
    <w:abstractNumId w:val="46"/>
  </w:num>
  <w:num w:numId="13">
    <w:abstractNumId w:val="21"/>
  </w:num>
  <w:num w:numId="14">
    <w:abstractNumId w:val="47"/>
  </w:num>
  <w:num w:numId="15">
    <w:abstractNumId w:val="20"/>
  </w:num>
  <w:num w:numId="16">
    <w:abstractNumId w:val="25"/>
  </w:num>
  <w:num w:numId="17">
    <w:abstractNumId w:val="32"/>
  </w:num>
  <w:num w:numId="18">
    <w:abstractNumId w:val="0"/>
  </w:num>
  <w:num w:numId="19">
    <w:abstractNumId w:val="5"/>
  </w:num>
  <w:num w:numId="20">
    <w:abstractNumId w:val="16"/>
  </w:num>
  <w:num w:numId="21">
    <w:abstractNumId w:val="22"/>
  </w:num>
  <w:num w:numId="22">
    <w:abstractNumId w:val="45"/>
  </w:num>
  <w:num w:numId="23">
    <w:abstractNumId w:val="36"/>
  </w:num>
  <w:num w:numId="24">
    <w:abstractNumId w:val="31"/>
  </w:num>
  <w:num w:numId="25">
    <w:abstractNumId w:val="43"/>
  </w:num>
  <w:num w:numId="26">
    <w:abstractNumId w:val="14"/>
  </w:num>
  <w:num w:numId="27">
    <w:abstractNumId w:val="37"/>
  </w:num>
  <w:num w:numId="28">
    <w:abstractNumId w:val="23"/>
  </w:num>
  <w:num w:numId="29">
    <w:abstractNumId w:val="40"/>
  </w:num>
  <w:num w:numId="30">
    <w:abstractNumId w:val="2"/>
  </w:num>
  <w:num w:numId="31">
    <w:abstractNumId w:val="34"/>
  </w:num>
  <w:num w:numId="32">
    <w:abstractNumId w:val="24"/>
  </w:num>
  <w:num w:numId="33">
    <w:abstractNumId w:val="18"/>
  </w:num>
  <w:num w:numId="34">
    <w:abstractNumId w:val="15"/>
  </w:num>
  <w:num w:numId="35">
    <w:abstractNumId w:val="35"/>
  </w:num>
  <w:num w:numId="36">
    <w:abstractNumId w:val="8"/>
  </w:num>
  <w:num w:numId="37">
    <w:abstractNumId w:val="26"/>
  </w:num>
  <w:num w:numId="38">
    <w:abstractNumId w:val="29"/>
  </w:num>
  <w:num w:numId="39">
    <w:abstractNumId w:val="33"/>
  </w:num>
  <w:num w:numId="40">
    <w:abstractNumId w:val="41"/>
  </w:num>
  <w:num w:numId="41">
    <w:abstractNumId w:val="44"/>
  </w:num>
  <w:num w:numId="42">
    <w:abstractNumId w:val="3"/>
  </w:num>
  <w:num w:numId="43">
    <w:abstractNumId w:val="39"/>
  </w:num>
  <w:num w:numId="44">
    <w:abstractNumId w:val="10"/>
  </w:num>
  <w:num w:numId="45">
    <w:abstractNumId w:val="17"/>
  </w:num>
  <w:num w:numId="46">
    <w:abstractNumId w:val="42"/>
  </w:num>
  <w:num w:numId="47">
    <w:abstractNumId w:val="30"/>
  </w:num>
  <w:num w:numId="48">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wMTcytzA3tTQxMzBQ0lEKTi0uzszPAykwrgUABkPSiCwAAAA="/>
  </w:docVars>
  <w:rsids>
    <w:rsidRoot w:val="004137CF"/>
    <w:rsid w:val="00000050"/>
    <w:rsid w:val="000001C0"/>
    <w:rsid w:val="000001EB"/>
    <w:rsid w:val="00000339"/>
    <w:rsid w:val="00000464"/>
    <w:rsid w:val="000005B1"/>
    <w:rsid w:val="000006D9"/>
    <w:rsid w:val="00000AEC"/>
    <w:rsid w:val="00000DBD"/>
    <w:rsid w:val="00000EE3"/>
    <w:rsid w:val="00001020"/>
    <w:rsid w:val="00001204"/>
    <w:rsid w:val="0000128E"/>
    <w:rsid w:val="000014DD"/>
    <w:rsid w:val="0000161E"/>
    <w:rsid w:val="0000176F"/>
    <w:rsid w:val="000019F6"/>
    <w:rsid w:val="00001A78"/>
    <w:rsid w:val="00001A9C"/>
    <w:rsid w:val="00001B01"/>
    <w:rsid w:val="00001BA4"/>
    <w:rsid w:val="00001BDA"/>
    <w:rsid w:val="00001D50"/>
    <w:rsid w:val="00001FE3"/>
    <w:rsid w:val="000020A9"/>
    <w:rsid w:val="0000218F"/>
    <w:rsid w:val="00002351"/>
    <w:rsid w:val="000024BC"/>
    <w:rsid w:val="000026C3"/>
    <w:rsid w:val="000026E8"/>
    <w:rsid w:val="00002709"/>
    <w:rsid w:val="00002788"/>
    <w:rsid w:val="000027A0"/>
    <w:rsid w:val="000027B2"/>
    <w:rsid w:val="000029D4"/>
    <w:rsid w:val="000029DF"/>
    <w:rsid w:val="00002B0D"/>
    <w:rsid w:val="00002B19"/>
    <w:rsid w:val="00002B2F"/>
    <w:rsid w:val="0000305E"/>
    <w:rsid w:val="00003068"/>
    <w:rsid w:val="000031A5"/>
    <w:rsid w:val="000032B2"/>
    <w:rsid w:val="000032D4"/>
    <w:rsid w:val="000033DD"/>
    <w:rsid w:val="000034B3"/>
    <w:rsid w:val="0000375B"/>
    <w:rsid w:val="00003783"/>
    <w:rsid w:val="000037A6"/>
    <w:rsid w:val="00003847"/>
    <w:rsid w:val="000039A3"/>
    <w:rsid w:val="00003A7A"/>
    <w:rsid w:val="00003AC1"/>
    <w:rsid w:val="00003EF3"/>
    <w:rsid w:val="00004197"/>
    <w:rsid w:val="00004562"/>
    <w:rsid w:val="0000458D"/>
    <w:rsid w:val="00004627"/>
    <w:rsid w:val="0000476F"/>
    <w:rsid w:val="000047C7"/>
    <w:rsid w:val="00004905"/>
    <w:rsid w:val="00004915"/>
    <w:rsid w:val="00004946"/>
    <w:rsid w:val="0000494F"/>
    <w:rsid w:val="00004AA8"/>
    <w:rsid w:val="00004AB2"/>
    <w:rsid w:val="00004AC3"/>
    <w:rsid w:val="00004AD1"/>
    <w:rsid w:val="00004B5E"/>
    <w:rsid w:val="00004C71"/>
    <w:rsid w:val="00004D5D"/>
    <w:rsid w:val="00004E43"/>
    <w:rsid w:val="00004E4E"/>
    <w:rsid w:val="00004E58"/>
    <w:rsid w:val="00004EC9"/>
    <w:rsid w:val="00004F36"/>
    <w:rsid w:val="00004F71"/>
    <w:rsid w:val="00004F82"/>
    <w:rsid w:val="00005053"/>
    <w:rsid w:val="000050D6"/>
    <w:rsid w:val="00005149"/>
    <w:rsid w:val="000051E6"/>
    <w:rsid w:val="0000540B"/>
    <w:rsid w:val="00005495"/>
    <w:rsid w:val="000054EE"/>
    <w:rsid w:val="000056AE"/>
    <w:rsid w:val="000056F2"/>
    <w:rsid w:val="0000579F"/>
    <w:rsid w:val="00005898"/>
    <w:rsid w:val="00005966"/>
    <w:rsid w:val="000059E7"/>
    <w:rsid w:val="00005A83"/>
    <w:rsid w:val="00005A85"/>
    <w:rsid w:val="00005A9C"/>
    <w:rsid w:val="00005AC5"/>
    <w:rsid w:val="00005B13"/>
    <w:rsid w:val="00005B5A"/>
    <w:rsid w:val="00005B5E"/>
    <w:rsid w:val="00005B82"/>
    <w:rsid w:val="00005C42"/>
    <w:rsid w:val="00005C9D"/>
    <w:rsid w:val="00005CB8"/>
    <w:rsid w:val="00005E0D"/>
    <w:rsid w:val="00005E78"/>
    <w:rsid w:val="000063F3"/>
    <w:rsid w:val="00006755"/>
    <w:rsid w:val="000067F4"/>
    <w:rsid w:val="00006853"/>
    <w:rsid w:val="00006A33"/>
    <w:rsid w:val="00006C64"/>
    <w:rsid w:val="00006CAE"/>
    <w:rsid w:val="00006CBF"/>
    <w:rsid w:val="00006D58"/>
    <w:rsid w:val="00006F3B"/>
    <w:rsid w:val="00006F80"/>
    <w:rsid w:val="00007064"/>
    <w:rsid w:val="00007233"/>
    <w:rsid w:val="00007335"/>
    <w:rsid w:val="000073D0"/>
    <w:rsid w:val="00007488"/>
    <w:rsid w:val="000075C6"/>
    <w:rsid w:val="000077AB"/>
    <w:rsid w:val="000078CE"/>
    <w:rsid w:val="0000792B"/>
    <w:rsid w:val="000079A5"/>
    <w:rsid w:val="00007CFC"/>
    <w:rsid w:val="00007D3B"/>
    <w:rsid w:val="00007F3A"/>
    <w:rsid w:val="00007FAD"/>
    <w:rsid w:val="000100B2"/>
    <w:rsid w:val="000101D0"/>
    <w:rsid w:val="0001031F"/>
    <w:rsid w:val="00010332"/>
    <w:rsid w:val="00010359"/>
    <w:rsid w:val="000103DE"/>
    <w:rsid w:val="00010518"/>
    <w:rsid w:val="00010753"/>
    <w:rsid w:val="000107A5"/>
    <w:rsid w:val="0001081F"/>
    <w:rsid w:val="00010828"/>
    <w:rsid w:val="00010B26"/>
    <w:rsid w:val="00010FA4"/>
    <w:rsid w:val="000110DF"/>
    <w:rsid w:val="000110E9"/>
    <w:rsid w:val="000111C4"/>
    <w:rsid w:val="00011349"/>
    <w:rsid w:val="0001134F"/>
    <w:rsid w:val="0001138C"/>
    <w:rsid w:val="000113E9"/>
    <w:rsid w:val="000114C8"/>
    <w:rsid w:val="000114E5"/>
    <w:rsid w:val="000115DA"/>
    <w:rsid w:val="000118E4"/>
    <w:rsid w:val="000118F5"/>
    <w:rsid w:val="000118F6"/>
    <w:rsid w:val="000119CC"/>
    <w:rsid w:val="00011A42"/>
    <w:rsid w:val="00011AAB"/>
    <w:rsid w:val="00011B03"/>
    <w:rsid w:val="00011B5D"/>
    <w:rsid w:val="00011D58"/>
    <w:rsid w:val="00012047"/>
    <w:rsid w:val="00012092"/>
    <w:rsid w:val="00012161"/>
    <w:rsid w:val="0001216E"/>
    <w:rsid w:val="00012202"/>
    <w:rsid w:val="00012325"/>
    <w:rsid w:val="00012347"/>
    <w:rsid w:val="00012411"/>
    <w:rsid w:val="00012444"/>
    <w:rsid w:val="00012465"/>
    <w:rsid w:val="0001260C"/>
    <w:rsid w:val="0001270C"/>
    <w:rsid w:val="00012877"/>
    <w:rsid w:val="00012891"/>
    <w:rsid w:val="000128E9"/>
    <w:rsid w:val="000130CD"/>
    <w:rsid w:val="0001310D"/>
    <w:rsid w:val="0001325C"/>
    <w:rsid w:val="00013281"/>
    <w:rsid w:val="00013304"/>
    <w:rsid w:val="000133ED"/>
    <w:rsid w:val="000134BE"/>
    <w:rsid w:val="0001375A"/>
    <w:rsid w:val="0001376E"/>
    <w:rsid w:val="00013771"/>
    <w:rsid w:val="000137AA"/>
    <w:rsid w:val="00013945"/>
    <w:rsid w:val="0001394C"/>
    <w:rsid w:val="0001397A"/>
    <w:rsid w:val="0001399C"/>
    <w:rsid w:val="000139CE"/>
    <w:rsid w:val="00013A36"/>
    <w:rsid w:val="00013B2E"/>
    <w:rsid w:val="00013C37"/>
    <w:rsid w:val="00013C49"/>
    <w:rsid w:val="00013C67"/>
    <w:rsid w:val="00013C92"/>
    <w:rsid w:val="00013D8A"/>
    <w:rsid w:val="00014040"/>
    <w:rsid w:val="000140BE"/>
    <w:rsid w:val="00014266"/>
    <w:rsid w:val="00014442"/>
    <w:rsid w:val="00014565"/>
    <w:rsid w:val="00014B9B"/>
    <w:rsid w:val="00014BBD"/>
    <w:rsid w:val="00014C71"/>
    <w:rsid w:val="00014CB3"/>
    <w:rsid w:val="00014CB6"/>
    <w:rsid w:val="00014DA3"/>
    <w:rsid w:val="00014DA9"/>
    <w:rsid w:val="00014E57"/>
    <w:rsid w:val="00014F01"/>
    <w:rsid w:val="00014F49"/>
    <w:rsid w:val="000150A4"/>
    <w:rsid w:val="00015225"/>
    <w:rsid w:val="00015509"/>
    <w:rsid w:val="000156A1"/>
    <w:rsid w:val="00015887"/>
    <w:rsid w:val="0001589E"/>
    <w:rsid w:val="000158C8"/>
    <w:rsid w:val="00015988"/>
    <w:rsid w:val="00015A4C"/>
    <w:rsid w:val="00015A7A"/>
    <w:rsid w:val="00015B77"/>
    <w:rsid w:val="00015CDD"/>
    <w:rsid w:val="00015D36"/>
    <w:rsid w:val="00015DE4"/>
    <w:rsid w:val="00015E63"/>
    <w:rsid w:val="00016031"/>
    <w:rsid w:val="00016290"/>
    <w:rsid w:val="00016476"/>
    <w:rsid w:val="0001655F"/>
    <w:rsid w:val="0001664C"/>
    <w:rsid w:val="00016657"/>
    <w:rsid w:val="0001668D"/>
    <w:rsid w:val="0001672D"/>
    <w:rsid w:val="00016731"/>
    <w:rsid w:val="000167AF"/>
    <w:rsid w:val="00016848"/>
    <w:rsid w:val="000168E1"/>
    <w:rsid w:val="000168E2"/>
    <w:rsid w:val="0001696F"/>
    <w:rsid w:val="00016A85"/>
    <w:rsid w:val="00016DA0"/>
    <w:rsid w:val="00016DC3"/>
    <w:rsid w:val="00016F7B"/>
    <w:rsid w:val="00017098"/>
    <w:rsid w:val="00017172"/>
    <w:rsid w:val="00017216"/>
    <w:rsid w:val="00017296"/>
    <w:rsid w:val="00017381"/>
    <w:rsid w:val="00017570"/>
    <w:rsid w:val="00017647"/>
    <w:rsid w:val="00017671"/>
    <w:rsid w:val="0001794B"/>
    <w:rsid w:val="000179A4"/>
    <w:rsid w:val="000179FE"/>
    <w:rsid w:val="00017C4E"/>
    <w:rsid w:val="00017CF0"/>
    <w:rsid w:val="00017DDE"/>
    <w:rsid w:val="00017EE0"/>
    <w:rsid w:val="00017F5B"/>
    <w:rsid w:val="00017FAF"/>
    <w:rsid w:val="000200DC"/>
    <w:rsid w:val="000201A0"/>
    <w:rsid w:val="00020317"/>
    <w:rsid w:val="00020381"/>
    <w:rsid w:val="0002048F"/>
    <w:rsid w:val="00020522"/>
    <w:rsid w:val="000207E9"/>
    <w:rsid w:val="000208FF"/>
    <w:rsid w:val="00020A59"/>
    <w:rsid w:val="00020A74"/>
    <w:rsid w:val="00020B90"/>
    <w:rsid w:val="00020B95"/>
    <w:rsid w:val="00020C08"/>
    <w:rsid w:val="00020D39"/>
    <w:rsid w:val="00020DAF"/>
    <w:rsid w:val="00020E13"/>
    <w:rsid w:val="00020E39"/>
    <w:rsid w:val="000210CB"/>
    <w:rsid w:val="000210CE"/>
    <w:rsid w:val="0002116A"/>
    <w:rsid w:val="00021183"/>
    <w:rsid w:val="000211C9"/>
    <w:rsid w:val="00021255"/>
    <w:rsid w:val="000213FA"/>
    <w:rsid w:val="00021759"/>
    <w:rsid w:val="000217DD"/>
    <w:rsid w:val="00021806"/>
    <w:rsid w:val="000219D7"/>
    <w:rsid w:val="00021A64"/>
    <w:rsid w:val="00021E8F"/>
    <w:rsid w:val="00021EAE"/>
    <w:rsid w:val="0002200C"/>
    <w:rsid w:val="000220C8"/>
    <w:rsid w:val="000220F6"/>
    <w:rsid w:val="0002212F"/>
    <w:rsid w:val="00022271"/>
    <w:rsid w:val="000223D3"/>
    <w:rsid w:val="000224AF"/>
    <w:rsid w:val="00022579"/>
    <w:rsid w:val="00022609"/>
    <w:rsid w:val="0002264B"/>
    <w:rsid w:val="00022681"/>
    <w:rsid w:val="000227CC"/>
    <w:rsid w:val="00022845"/>
    <w:rsid w:val="00022949"/>
    <w:rsid w:val="00022983"/>
    <w:rsid w:val="00022B6B"/>
    <w:rsid w:val="00022BD9"/>
    <w:rsid w:val="00022BDF"/>
    <w:rsid w:val="00022E3E"/>
    <w:rsid w:val="0002302C"/>
    <w:rsid w:val="00023033"/>
    <w:rsid w:val="00023190"/>
    <w:rsid w:val="000231A1"/>
    <w:rsid w:val="00023329"/>
    <w:rsid w:val="00023350"/>
    <w:rsid w:val="000233B4"/>
    <w:rsid w:val="000234CF"/>
    <w:rsid w:val="000235E5"/>
    <w:rsid w:val="000235EB"/>
    <w:rsid w:val="00023695"/>
    <w:rsid w:val="00023724"/>
    <w:rsid w:val="0002396A"/>
    <w:rsid w:val="000239F1"/>
    <w:rsid w:val="00023B65"/>
    <w:rsid w:val="00023D4A"/>
    <w:rsid w:val="00023E05"/>
    <w:rsid w:val="00023E39"/>
    <w:rsid w:val="00023F60"/>
    <w:rsid w:val="00023F7D"/>
    <w:rsid w:val="00023FAF"/>
    <w:rsid w:val="0002412F"/>
    <w:rsid w:val="000241F9"/>
    <w:rsid w:val="00024240"/>
    <w:rsid w:val="0002435E"/>
    <w:rsid w:val="0002444D"/>
    <w:rsid w:val="0002459C"/>
    <w:rsid w:val="000248EC"/>
    <w:rsid w:val="00024B26"/>
    <w:rsid w:val="00024C9C"/>
    <w:rsid w:val="00024E17"/>
    <w:rsid w:val="00024F75"/>
    <w:rsid w:val="0002510E"/>
    <w:rsid w:val="000252A6"/>
    <w:rsid w:val="0002533B"/>
    <w:rsid w:val="00025378"/>
    <w:rsid w:val="000253C0"/>
    <w:rsid w:val="000254A7"/>
    <w:rsid w:val="000254E5"/>
    <w:rsid w:val="000254F3"/>
    <w:rsid w:val="00025586"/>
    <w:rsid w:val="00025670"/>
    <w:rsid w:val="000256CB"/>
    <w:rsid w:val="00025A7D"/>
    <w:rsid w:val="00025B19"/>
    <w:rsid w:val="00025D9B"/>
    <w:rsid w:val="00025FB5"/>
    <w:rsid w:val="00025FD6"/>
    <w:rsid w:val="0002616A"/>
    <w:rsid w:val="000262CC"/>
    <w:rsid w:val="00026414"/>
    <w:rsid w:val="0002649D"/>
    <w:rsid w:val="0002658E"/>
    <w:rsid w:val="00026609"/>
    <w:rsid w:val="000266C3"/>
    <w:rsid w:val="00026945"/>
    <w:rsid w:val="000269E1"/>
    <w:rsid w:val="000269FF"/>
    <w:rsid w:val="00026AE7"/>
    <w:rsid w:val="00026B69"/>
    <w:rsid w:val="00026B75"/>
    <w:rsid w:val="00026CC2"/>
    <w:rsid w:val="00026E46"/>
    <w:rsid w:val="00026EC3"/>
    <w:rsid w:val="00026F65"/>
    <w:rsid w:val="00026F6F"/>
    <w:rsid w:val="00027208"/>
    <w:rsid w:val="000272B7"/>
    <w:rsid w:val="00027357"/>
    <w:rsid w:val="0002740E"/>
    <w:rsid w:val="000274F9"/>
    <w:rsid w:val="0002762B"/>
    <w:rsid w:val="0002764B"/>
    <w:rsid w:val="0002782B"/>
    <w:rsid w:val="00027832"/>
    <w:rsid w:val="00027860"/>
    <w:rsid w:val="00027874"/>
    <w:rsid w:val="00027890"/>
    <w:rsid w:val="000278CA"/>
    <w:rsid w:val="00027AE4"/>
    <w:rsid w:val="00027C92"/>
    <w:rsid w:val="00027F76"/>
    <w:rsid w:val="0002DA33"/>
    <w:rsid w:val="0003006C"/>
    <w:rsid w:val="00030096"/>
    <w:rsid w:val="000300DA"/>
    <w:rsid w:val="00030130"/>
    <w:rsid w:val="000302B4"/>
    <w:rsid w:val="00030400"/>
    <w:rsid w:val="00030411"/>
    <w:rsid w:val="00030561"/>
    <w:rsid w:val="00030800"/>
    <w:rsid w:val="00030819"/>
    <w:rsid w:val="000308C5"/>
    <w:rsid w:val="000308FE"/>
    <w:rsid w:val="00030B10"/>
    <w:rsid w:val="00030B1D"/>
    <w:rsid w:val="00030C14"/>
    <w:rsid w:val="00030E20"/>
    <w:rsid w:val="00030F6C"/>
    <w:rsid w:val="0003119A"/>
    <w:rsid w:val="000313B7"/>
    <w:rsid w:val="000313F0"/>
    <w:rsid w:val="000314EA"/>
    <w:rsid w:val="000315A7"/>
    <w:rsid w:val="000315E2"/>
    <w:rsid w:val="000315F4"/>
    <w:rsid w:val="00031611"/>
    <w:rsid w:val="00031804"/>
    <w:rsid w:val="0003183F"/>
    <w:rsid w:val="0003185C"/>
    <w:rsid w:val="000318F8"/>
    <w:rsid w:val="00031E18"/>
    <w:rsid w:val="00031F9E"/>
    <w:rsid w:val="00031FA7"/>
    <w:rsid w:val="0003201B"/>
    <w:rsid w:val="000320C3"/>
    <w:rsid w:val="0003219D"/>
    <w:rsid w:val="000322C3"/>
    <w:rsid w:val="0003234B"/>
    <w:rsid w:val="000323C0"/>
    <w:rsid w:val="00032559"/>
    <w:rsid w:val="000325AC"/>
    <w:rsid w:val="000327E8"/>
    <w:rsid w:val="00032A31"/>
    <w:rsid w:val="00032A5E"/>
    <w:rsid w:val="00032D94"/>
    <w:rsid w:val="00032DF2"/>
    <w:rsid w:val="00032E0F"/>
    <w:rsid w:val="00032EEF"/>
    <w:rsid w:val="00032EFF"/>
    <w:rsid w:val="00032F21"/>
    <w:rsid w:val="00032FD8"/>
    <w:rsid w:val="00032FFC"/>
    <w:rsid w:val="00033147"/>
    <w:rsid w:val="00033224"/>
    <w:rsid w:val="0003323A"/>
    <w:rsid w:val="000332BC"/>
    <w:rsid w:val="000332E1"/>
    <w:rsid w:val="000333D0"/>
    <w:rsid w:val="0003342B"/>
    <w:rsid w:val="00033511"/>
    <w:rsid w:val="00033582"/>
    <w:rsid w:val="000335FE"/>
    <w:rsid w:val="000338FA"/>
    <w:rsid w:val="0003398C"/>
    <w:rsid w:val="00033BBD"/>
    <w:rsid w:val="00033DDD"/>
    <w:rsid w:val="00033E7D"/>
    <w:rsid w:val="0003420A"/>
    <w:rsid w:val="000342EE"/>
    <w:rsid w:val="000343F6"/>
    <w:rsid w:val="000345C3"/>
    <w:rsid w:val="0003465A"/>
    <w:rsid w:val="0003472A"/>
    <w:rsid w:val="00034889"/>
    <w:rsid w:val="000349D5"/>
    <w:rsid w:val="00034A40"/>
    <w:rsid w:val="00034AF7"/>
    <w:rsid w:val="00034AFB"/>
    <w:rsid w:val="00034CA8"/>
    <w:rsid w:val="00034DF1"/>
    <w:rsid w:val="00034F5C"/>
    <w:rsid w:val="000352F2"/>
    <w:rsid w:val="0003535E"/>
    <w:rsid w:val="000353BB"/>
    <w:rsid w:val="000353D2"/>
    <w:rsid w:val="00035439"/>
    <w:rsid w:val="0003567B"/>
    <w:rsid w:val="000357DB"/>
    <w:rsid w:val="00035975"/>
    <w:rsid w:val="00035E29"/>
    <w:rsid w:val="00035E2F"/>
    <w:rsid w:val="00035E8E"/>
    <w:rsid w:val="00035EC3"/>
    <w:rsid w:val="00035F81"/>
    <w:rsid w:val="00036432"/>
    <w:rsid w:val="000366E2"/>
    <w:rsid w:val="0003674C"/>
    <w:rsid w:val="00036812"/>
    <w:rsid w:val="00036974"/>
    <w:rsid w:val="000369A1"/>
    <w:rsid w:val="000369C2"/>
    <w:rsid w:val="00036AD0"/>
    <w:rsid w:val="00036B22"/>
    <w:rsid w:val="00036B6A"/>
    <w:rsid w:val="00036CF3"/>
    <w:rsid w:val="000370AB"/>
    <w:rsid w:val="00037122"/>
    <w:rsid w:val="000371C7"/>
    <w:rsid w:val="000371ED"/>
    <w:rsid w:val="000372C9"/>
    <w:rsid w:val="000374B0"/>
    <w:rsid w:val="0003755E"/>
    <w:rsid w:val="000376ED"/>
    <w:rsid w:val="0003799B"/>
    <w:rsid w:val="00037B85"/>
    <w:rsid w:val="00037C80"/>
    <w:rsid w:val="00037DBE"/>
    <w:rsid w:val="00037EC7"/>
    <w:rsid w:val="00037F90"/>
    <w:rsid w:val="00037FA1"/>
    <w:rsid w:val="0004010A"/>
    <w:rsid w:val="0004016C"/>
    <w:rsid w:val="000401B1"/>
    <w:rsid w:val="0004085B"/>
    <w:rsid w:val="0004085E"/>
    <w:rsid w:val="00040903"/>
    <w:rsid w:val="0004095C"/>
    <w:rsid w:val="00040960"/>
    <w:rsid w:val="00040A75"/>
    <w:rsid w:val="00040B59"/>
    <w:rsid w:val="00040BEC"/>
    <w:rsid w:val="00040EA9"/>
    <w:rsid w:val="00041001"/>
    <w:rsid w:val="00041026"/>
    <w:rsid w:val="000410FE"/>
    <w:rsid w:val="00041163"/>
    <w:rsid w:val="000411B9"/>
    <w:rsid w:val="00041223"/>
    <w:rsid w:val="000412D3"/>
    <w:rsid w:val="000413E0"/>
    <w:rsid w:val="000413F7"/>
    <w:rsid w:val="0004149C"/>
    <w:rsid w:val="00041550"/>
    <w:rsid w:val="000415FF"/>
    <w:rsid w:val="0004175F"/>
    <w:rsid w:val="0004177F"/>
    <w:rsid w:val="00041814"/>
    <w:rsid w:val="00041950"/>
    <w:rsid w:val="00041B86"/>
    <w:rsid w:val="000420ED"/>
    <w:rsid w:val="00042150"/>
    <w:rsid w:val="000422EB"/>
    <w:rsid w:val="0004230E"/>
    <w:rsid w:val="000423C5"/>
    <w:rsid w:val="000425F2"/>
    <w:rsid w:val="0004273A"/>
    <w:rsid w:val="0004282D"/>
    <w:rsid w:val="000428C8"/>
    <w:rsid w:val="00042919"/>
    <w:rsid w:val="00042C99"/>
    <w:rsid w:val="00042CE0"/>
    <w:rsid w:val="00042CFF"/>
    <w:rsid w:val="00042D45"/>
    <w:rsid w:val="00042E6E"/>
    <w:rsid w:val="00042E94"/>
    <w:rsid w:val="00043060"/>
    <w:rsid w:val="00043071"/>
    <w:rsid w:val="0004307E"/>
    <w:rsid w:val="00043183"/>
    <w:rsid w:val="0004323F"/>
    <w:rsid w:val="000432C5"/>
    <w:rsid w:val="000433A7"/>
    <w:rsid w:val="0004341C"/>
    <w:rsid w:val="000436D0"/>
    <w:rsid w:val="000436D1"/>
    <w:rsid w:val="000437C9"/>
    <w:rsid w:val="0004380F"/>
    <w:rsid w:val="000439F4"/>
    <w:rsid w:val="00043B0A"/>
    <w:rsid w:val="00043BEF"/>
    <w:rsid w:val="00043C72"/>
    <w:rsid w:val="00043CC3"/>
    <w:rsid w:val="00043F17"/>
    <w:rsid w:val="00043FA7"/>
    <w:rsid w:val="00044036"/>
    <w:rsid w:val="0004435B"/>
    <w:rsid w:val="000443B1"/>
    <w:rsid w:val="000445E7"/>
    <w:rsid w:val="0004479A"/>
    <w:rsid w:val="00044A32"/>
    <w:rsid w:val="00044A68"/>
    <w:rsid w:val="00044B38"/>
    <w:rsid w:val="00044B3E"/>
    <w:rsid w:val="00044B92"/>
    <w:rsid w:val="00044C3D"/>
    <w:rsid w:val="00044CE2"/>
    <w:rsid w:val="00044F01"/>
    <w:rsid w:val="0004517F"/>
    <w:rsid w:val="000451E0"/>
    <w:rsid w:val="0004530C"/>
    <w:rsid w:val="000453C8"/>
    <w:rsid w:val="00045406"/>
    <w:rsid w:val="0004556F"/>
    <w:rsid w:val="0004559D"/>
    <w:rsid w:val="000455CD"/>
    <w:rsid w:val="000456C1"/>
    <w:rsid w:val="000458BB"/>
    <w:rsid w:val="000458E1"/>
    <w:rsid w:val="00045DFE"/>
    <w:rsid w:val="00045F62"/>
    <w:rsid w:val="0004601E"/>
    <w:rsid w:val="0004605C"/>
    <w:rsid w:val="0004611C"/>
    <w:rsid w:val="00046146"/>
    <w:rsid w:val="0004622B"/>
    <w:rsid w:val="000463CB"/>
    <w:rsid w:val="000463E9"/>
    <w:rsid w:val="00046423"/>
    <w:rsid w:val="0004652A"/>
    <w:rsid w:val="000465C1"/>
    <w:rsid w:val="0004674E"/>
    <w:rsid w:val="000467E5"/>
    <w:rsid w:val="000467EC"/>
    <w:rsid w:val="00046944"/>
    <w:rsid w:val="0004694A"/>
    <w:rsid w:val="000469DF"/>
    <w:rsid w:val="000469F7"/>
    <w:rsid w:val="00046AAB"/>
    <w:rsid w:val="00046C83"/>
    <w:rsid w:val="00046E3C"/>
    <w:rsid w:val="00046F2D"/>
    <w:rsid w:val="00046FA4"/>
    <w:rsid w:val="0004700B"/>
    <w:rsid w:val="0004706E"/>
    <w:rsid w:val="000471C2"/>
    <w:rsid w:val="000477CC"/>
    <w:rsid w:val="000477F0"/>
    <w:rsid w:val="000478F9"/>
    <w:rsid w:val="0004795C"/>
    <w:rsid w:val="00047994"/>
    <w:rsid w:val="00047A6D"/>
    <w:rsid w:val="00047A82"/>
    <w:rsid w:val="00047A90"/>
    <w:rsid w:val="00047CDB"/>
    <w:rsid w:val="00047D2F"/>
    <w:rsid w:val="00047D63"/>
    <w:rsid w:val="00047DA6"/>
    <w:rsid w:val="00047FBB"/>
    <w:rsid w:val="00047FCF"/>
    <w:rsid w:val="0005008C"/>
    <w:rsid w:val="000500E4"/>
    <w:rsid w:val="00050101"/>
    <w:rsid w:val="00050133"/>
    <w:rsid w:val="00050181"/>
    <w:rsid w:val="0005018C"/>
    <w:rsid w:val="000501D5"/>
    <w:rsid w:val="00050332"/>
    <w:rsid w:val="0005034A"/>
    <w:rsid w:val="00050419"/>
    <w:rsid w:val="00050424"/>
    <w:rsid w:val="00050452"/>
    <w:rsid w:val="00050603"/>
    <w:rsid w:val="0005069B"/>
    <w:rsid w:val="000508EF"/>
    <w:rsid w:val="000509BF"/>
    <w:rsid w:val="00050A38"/>
    <w:rsid w:val="00050AE9"/>
    <w:rsid w:val="00050C9C"/>
    <w:rsid w:val="00050DD1"/>
    <w:rsid w:val="00050E25"/>
    <w:rsid w:val="00050F5B"/>
    <w:rsid w:val="000510E3"/>
    <w:rsid w:val="0005119B"/>
    <w:rsid w:val="000511FE"/>
    <w:rsid w:val="00051388"/>
    <w:rsid w:val="0005138D"/>
    <w:rsid w:val="000513B2"/>
    <w:rsid w:val="0005141B"/>
    <w:rsid w:val="00051565"/>
    <w:rsid w:val="00051594"/>
    <w:rsid w:val="000515CF"/>
    <w:rsid w:val="000515EA"/>
    <w:rsid w:val="0005161F"/>
    <w:rsid w:val="000517E3"/>
    <w:rsid w:val="000518CF"/>
    <w:rsid w:val="0005191E"/>
    <w:rsid w:val="00051AB5"/>
    <w:rsid w:val="00051B54"/>
    <w:rsid w:val="00051B83"/>
    <w:rsid w:val="00051C9F"/>
    <w:rsid w:val="00051CAC"/>
    <w:rsid w:val="00051E21"/>
    <w:rsid w:val="00051E9E"/>
    <w:rsid w:val="00051F7A"/>
    <w:rsid w:val="000520D6"/>
    <w:rsid w:val="000521AB"/>
    <w:rsid w:val="00052524"/>
    <w:rsid w:val="00052563"/>
    <w:rsid w:val="000525CE"/>
    <w:rsid w:val="000526CC"/>
    <w:rsid w:val="000526F4"/>
    <w:rsid w:val="0005273C"/>
    <w:rsid w:val="00052842"/>
    <w:rsid w:val="00052B51"/>
    <w:rsid w:val="00052CB8"/>
    <w:rsid w:val="00052D05"/>
    <w:rsid w:val="00052E9F"/>
    <w:rsid w:val="00052ED3"/>
    <w:rsid w:val="0005305F"/>
    <w:rsid w:val="000530AB"/>
    <w:rsid w:val="00053186"/>
    <w:rsid w:val="00053579"/>
    <w:rsid w:val="0005357E"/>
    <w:rsid w:val="00053662"/>
    <w:rsid w:val="00053789"/>
    <w:rsid w:val="0005383F"/>
    <w:rsid w:val="000538B9"/>
    <w:rsid w:val="00053EDD"/>
    <w:rsid w:val="00053FE7"/>
    <w:rsid w:val="000543CD"/>
    <w:rsid w:val="0005457E"/>
    <w:rsid w:val="0005458D"/>
    <w:rsid w:val="0005461F"/>
    <w:rsid w:val="00054737"/>
    <w:rsid w:val="0005473E"/>
    <w:rsid w:val="00054C52"/>
    <w:rsid w:val="00054C86"/>
    <w:rsid w:val="00054FFE"/>
    <w:rsid w:val="0005518B"/>
    <w:rsid w:val="00055290"/>
    <w:rsid w:val="00055330"/>
    <w:rsid w:val="00055480"/>
    <w:rsid w:val="000556AE"/>
    <w:rsid w:val="000557B4"/>
    <w:rsid w:val="0005583E"/>
    <w:rsid w:val="000558EF"/>
    <w:rsid w:val="0005591C"/>
    <w:rsid w:val="00055947"/>
    <w:rsid w:val="00055B23"/>
    <w:rsid w:val="00055C7F"/>
    <w:rsid w:val="00055CDE"/>
    <w:rsid w:val="00055F98"/>
    <w:rsid w:val="00056153"/>
    <w:rsid w:val="0005616B"/>
    <w:rsid w:val="000563E5"/>
    <w:rsid w:val="00056425"/>
    <w:rsid w:val="00056466"/>
    <w:rsid w:val="0005648F"/>
    <w:rsid w:val="000564C7"/>
    <w:rsid w:val="000564F3"/>
    <w:rsid w:val="00056559"/>
    <w:rsid w:val="00056595"/>
    <w:rsid w:val="000566F6"/>
    <w:rsid w:val="00056752"/>
    <w:rsid w:val="0005682F"/>
    <w:rsid w:val="00056853"/>
    <w:rsid w:val="000569B5"/>
    <w:rsid w:val="00056B09"/>
    <w:rsid w:val="00056B1C"/>
    <w:rsid w:val="00056C5B"/>
    <w:rsid w:val="00056C84"/>
    <w:rsid w:val="00056CCB"/>
    <w:rsid w:val="00056CD7"/>
    <w:rsid w:val="00056DA7"/>
    <w:rsid w:val="00056DB0"/>
    <w:rsid w:val="00056F65"/>
    <w:rsid w:val="0005702A"/>
    <w:rsid w:val="000571D9"/>
    <w:rsid w:val="000572F8"/>
    <w:rsid w:val="000573BF"/>
    <w:rsid w:val="000573F8"/>
    <w:rsid w:val="000575FE"/>
    <w:rsid w:val="00057848"/>
    <w:rsid w:val="0005794E"/>
    <w:rsid w:val="00057C3D"/>
    <w:rsid w:val="00057C7A"/>
    <w:rsid w:val="00057CB2"/>
    <w:rsid w:val="00057CC0"/>
    <w:rsid w:val="00057F1D"/>
    <w:rsid w:val="00060034"/>
    <w:rsid w:val="0006010F"/>
    <w:rsid w:val="0006022C"/>
    <w:rsid w:val="00060256"/>
    <w:rsid w:val="0006054C"/>
    <w:rsid w:val="000605A3"/>
    <w:rsid w:val="00060885"/>
    <w:rsid w:val="00060992"/>
    <w:rsid w:val="00060C19"/>
    <w:rsid w:val="00060D2B"/>
    <w:rsid w:val="00060E60"/>
    <w:rsid w:val="000610BD"/>
    <w:rsid w:val="0006123D"/>
    <w:rsid w:val="000612AC"/>
    <w:rsid w:val="000612FD"/>
    <w:rsid w:val="00061306"/>
    <w:rsid w:val="00061485"/>
    <w:rsid w:val="000614FF"/>
    <w:rsid w:val="00061504"/>
    <w:rsid w:val="000615A0"/>
    <w:rsid w:val="0006167D"/>
    <w:rsid w:val="000616A3"/>
    <w:rsid w:val="000616D5"/>
    <w:rsid w:val="00061772"/>
    <w:rsid w:val="00061854"/>
    <w:rsid w:val="00061903"/>
    <w:rsid w:val="0006190F"/>
    <w:rsid w:val="00061A4A"/>
    <w:rsid w:val="00061AE8"/>
    <w:rsid w:val="00061AF5"/>
    <w:rsid w:val="00061B91"/>
    <w:rsid w:val="00061C73"/>
    <w:rsid w:val="00061D32"/>
    <w:rsid w:val="00061E0F"/>
    <w:rsid w:val="00061E2F"/>
    <w:rsid w:val="00061FAC"/>
    <w:rsid w:val="000621FB"/>
    <w:rsid w:val="0006227D"/>
    <w:rsid w:val="0006232E"/>
    <w:rsid w:val="00062397"/>
    <w:rsid w:val="000624AF"/>
    <w:rsid w:val="0006258C"/>
    <w:rsid w:val="000625E5"/>
    <w:rsid w:val="00062620"/>
    <w:rsid w:val="00062BC2"/>
    <w:rsid w:val="00062E89"/>
    <w:rsid w:val="00062EA1"/>
    <w:rsid w:val="000630F7"/>
    <w:rsid w:val="00063189"/>
    <w:rsid w:val="0006324D"/>
    <w:rsid w:val="000632F2"/>
    <w:rsid w:val="00063374"/>
    <w:rsid w:val="00063395"/>
    <w:rsid w:val="000633EE"/>
    <w:rsid w:val="000638B7"/>
    <w:rsid w:val="000638BE"/>
    <w:rsid w:val="0006390B"/>
    <w:rsid w:val="000639DE"/>
    <w:rsid w:val="00063BC7"/>
    <w:rsid w:val="00063C03"/>
    <w:rsid w:val="00063C94"/>
    <w:rsid w:val="00063C97"/>
    <w:rsid w:val="00063EB5"/>
    <w:rsid w:val="00063F30"/>
    <w:rsid w:val="000640A0"/>
    <w:rsid w:val="000640DE"/>
    <w:rsid w:val="0006416E"/>
    <w:rsid w:val="0006421F"/>
    <w:rsid w:val="0006429B"/>
    <w:rsid w:val="000642C6"/>
    <w:rsid w:val="00064306"/>
    <w:rsid w:val="00064315"/>
    <w:rsid w:val="0006437B"/>
    <w:rsid w:val="0006457E"/>
    <w:rsid w:val="000646A9"/>
    <w:rsid w:val="000647AB"/>
    <w:rsid w:val="000647E3"/>
    <w:rsid w:val="00064833"/>
    <w:rsid w:val="00064B66"/>
    <w:rsid w:val="00064C90"/>
    <w:rsid w:val="00064F1B"/>
    <w:rsid w:val="00065035"/>
    <w:rsid w:val="000650F0"/>
    <w:rsid w:val="0006511A"/>
    <w:rsid w:val="0006533F"/>
    <w:rsid w:val="00065634"/>
    <w:rsid w:val="000656FF"/>
    <w:rsid w:val="000659D2"/>
    <w:rsid w:val="00065AD6"/>
    <w:rsid w:val="00065B07"/>
    <w:rsid w:val="00065B52"/>
    <w:rsid w:val="00065BC9"/>
    <w:rsid w:val="00065BD0"/>
    <w:rsid w:val="00065BD2"/>
    <w:rsid w:val="00065BD8"/>
    <w:rsid w:val="00065BDA"/>
    <w:rsid w:val="00065C51"/>
    <w:rsid w:val="00065E96"/>
    <w:rsid w:val="00065F27"/>
    <w:rsid w:val="0006600A"/>
    <w:rsid w:val="00066263"/>
    <w:rsid w:val="0006663A"/>
    <w:rsid w:val="000668DF"/>
    <w:rsid w:val="00066A69"/>
    <w:rsid w:val="00066C60"/>
    <w:rsid w:val="00066E74"/>
    <w:rsid w:val="00066EDA"/>
    <w:rsid w:val="00066F73"/>
    <w:rsid w:val="00066FDA"/>
    <w:rsid w:val="00066FF9"/>
    <w:rsid w:val="000670F3"/>
    <w:rsid w:val="000672DE"/>
    <w:rsid w:val="0006745F"/>
    <w:rsid w:val="0006750F"/>
    <w:rsid w:val="000678C7"/>
    <w:rsid w:val="000678CB"/>
    <w:rsid w:val="0006791E"/>
    <w:rsid w:val="000679EE"/>
    <w:rsid w:val="00067D31"/>
    <w:rsid w:val="00067DD1"/>
    <w:rsid w:val="00067E55"/>
    <w:rsid w:val="00067EAA"/>
    <w:rsid w:val="00067F60"/>
    <w:rsid w:val="00067F8A"/>
    <w:rsid w:val="00067F9F"/>
    <w:rsid w:val="00070331"/>
    <w:rsid w:val="00070550"/>
    <w:rsid w:val="00070574"/>
    <w:rsid w:val="000705AC"/>
    <w:rsid w:val="0007074C"/>
    <w:rsid w:val="00070778"/>
    <w:rsid w:val="000707BB"/>
    <w:rsid w:val="00070A2C"/>
    <w:rsid w:val="00070AA0"/>
    <w:rsid w:val="00070AA1"/>
    <w:rsid w:val="00070AAF"/>
    <w:rsid w:val="00070B0C"/>
    <w:rsid w:val="00070C0F"/>
    <w:rsid w:val="00070DBF"/>
    <w:rsid w:val="00070F01"/>
    <w:rsid w:val="000711C4"/>
    <w:rsid w:val="000711FB"/>
    <w:rsid w:val="0007126C"/>
    <w:rsid w:val="00071325"/>
    <w:rsid w:val="000714F5"/>
    <w:rsid w:val="00071554"/>
    <w:rsid w:val="00071567"/>
    <w:rsid w:val="000716DD"/>
    <w:rsid w:val="000718CA"/>
    <w:rsid w:val="00071ACE"/>
    <w:rsid w:val="00071B27"/>
    <w:rsid w:val="00071C70"/>
    <w:rsid w:val="00071F1B"/>
    <w:rsid w:val="00071F43"/>
    <w:rsid w:val="000720FC"/>
    <w:rsid w:val="00072125"/>
    <w:rsid w:val="00072179"/>
    <w:rsid w:val="000721B9"/>
    <w:rsid w:val="0007236B"/>
    <w:rsid w:val="0007240D"/>
    <w:rsid w:val="0007255C"/>
    <w:rsid w:val="000726ED"/>
    <w:rsid w:val="0007276F"/>
    <w:rsid w:val="00072938"/>
    <w:rsid w:val="00072A7D"/>
    <w:rsid w:val="00072C75"/>
    <w:rsid w:val="00072CC8"/>
    <w:rsid w:val="00072D9F"/>
    <w:rsid w:val="00072EA9"/>
    <w:rsid w:val="00073187"/>
    <w:rsid w:val="0007319D"/>
    <w:rsid w:val="000731E1"/>
    <w:rsid w:val="000732C2"/>
    <w:rsid w:val="000733E7"/>
    <w:rsid w:val="000735B4"/>
    <w:rsid w:val="000736ED"/>
    <w:rsid w:val="00073746"/>
    <w:rsid w:val="000737A5"/>
    <w:rsid w:val="00073904"/>
    <w:rsid w:val="00073F38"/>
    <w:rsid w:val="00074045"/>
    <w:rsid w:val="0007433D"/>
    <w:rsid w:val="00074384"/>
    <w:rsid w:val="0007477F"/>
    <w:rsid w:val="00074974"/>
    <w:rsid w:val="000749F8"/>
    <w:rsid w:val="00074ACD"/>
    <w:rsid w:val="00074B85"/>
    <w:rsid w:val="00074EBB"/>
    <w:rsid w:val="00074EBD"/>
    <w:rsid w:val="00074F0B"/>
    <w:rsid w:val="0007503C"/>
    <w:rsid w:val="00075218"/>
    <w:rsid w:val="0007541C"/>
    <w:rsid w:val="000754D4"/>
    <w:rsid w:val="000754E3"/>
    <w:rsid w:val="000755AA"/>
    <w:rsid w:val="00075745"/>
    <w:rsid w:val="0007574C"/>
    <w:rsid w:val="000758FB"/>
    <w:rsid w:val="0007593D"/>
    <w:rsid w:val="00075A4C"/>
    <w:rsid w:val="00075A9C"/>
    <w:rsid w:val="00075AA7"/>
    <w:rsid w:val="00075D37"/>
    <w:rsid w:val="00075D90"/>
    <w:rsid w:val="00075F44"/>
    <w:rsid w:val="00075F5E"/>
    <w:rsid w:val="00075F62"/>
    <w:rsid w:val="00075F66"/>
    <w:rsid w:val="000760EA"/>
    <w:rsid w:val="000761A7"/>
    <w:rsid w:val="000761C3"/>
    <w:rsid w:val="0007623E"/>
    <w:rsid w:val="000762E8"/>
    <w:rsid w:val="000762FD"/>
    <w:rsid w:val="0007633C"/>
    <w:rsid w:val="000766FF"/>
    <w:rsid w:val="00076739"/>
    <w:rsid w:val="000768F8"/>
    <w:rsid w:val="00076AC4"/>
    <w:rsid w:val="00076B24"/>
    <w:rsid w:val="00076BB1"/>
    <w:rsid w:val="00076BCD"/>
    <w:rsid w:val="00076BE8"/>
    <w:rsid w:val="00076BED"/>
    <w:rsid w:val="00076CE5"/>
    <w:rsid w:val="00076D81"/>
    <w:rsid w:val="00076F32"/>
    <w:rsid w:val="00076F6B"/>
    <w:rsid w:val="00076F87"/>
    <w:rsid w:val="00077118"/>
    <w:rsid w:val="00077354"/>
    <w:rsid w:val="00077387"/>
    <w:rsid w:val="000773C8"/>
    <w:rsid w:val="000773E3"/>
    <w:rsid w:val="000773FC"/>
    <w:rsid w:val="000774CC"/>
    <w:rsid w:val="00077587"/>
    <w:rsid w:val="000775D2"/>
    <w:rsid w:val="00077752"/>
    <w:rsid w:val="0007776F"/>
    <w:rsid w:val="000779FF"/>
    <w:rsid w:val="00077A85"/>
    <w:rsid w:val="00077AAC"/>
    <w:rsid w:val="00077ADE"/>
    <w:rsid w:val="00077B4E"/>
    <w:rsid w:val="00077BA0"/>
    <w:rsid w:val="00077BFA"/>
    <w:rsid w:val="00077BFB"/>
    <w:rsid w:val="00077C52"/>
    <w:rsid w:val="00077EC9"/>
    <w:rsid w:val="00077F81"/>
    <w:rsid w:val="00080010"/>
    <w:rsid w:val="00080280"/>
    <w:rsid w:val="000802EF"/>
    <w:rsid w:val="00080366"/>
    <w:rsid w:val="0008039C"/>
    <w:rsid w:val="00080486"/>
    <w:rsid w:val="0008054B"/>
    <w:rsid w:val="00080B4E"/>
    <w:rsid w:val="00080CB4"/>
    <w:rsid w:val="00080CEA"/>
    <w:rsid w:val="00080EC7"/>
    <w:rsid w:val="00080F34"/>
    <w:rsid w:val="00080FBE"/>
    <w:rsid w:val="00080FC6"/>
    <w:rsid w:val="0008106A"/>
    <w:rsid w:val="000810A6"/>
    <w:rsid w:val="000810FB"/>
    <w:rsid w:val="00081527"/>
    <w:rsid w:val="0008156E"/>
    <w:rsid w:val="0008159F"/>
    <w:rsid w:val="000815FA"/>
    <w:rsid w:val="00081642"/>
    <w:rsid w:val="0008175D"/>
    <w:rsid w:val="00081789"/>
    <w:rsid w:val="0008193B"/>
    <w:rsid w:val="000819C1"/>
    <w:rsid w:val="00081AE4"/>
    <w:rsid w:val="00081B8E"/>
    <w:rsid w:val="00081C98"/>
    <w:rsid w:val="00081CB2"/>
    <w:rsid w:val="00081DB9"/>
    <w:rsid w:val="00081F42"/>
    <w:rsid w:val="00081FC1"/>
    <w:rsid w:val="00082025"/>
    <w:rsid w:val="00082084"/>
    <w:rsid w:val="00082162"/>
    <w:rsid w:val="000821A5"/>
    <w:rsid w:val="00082452"/>
    <w:rsid w:val="0008245F"/>
    <w:rsid w:val="00082496"/>
    <w:rsid w:val="000824CB"/>
    <w:rsid w:val="0008251E"/>
    <w:rsid w:val="000827D0"/>
    <w:rsid w:val="0008287F"/>
    <w:rsid w:val="0008298D"/>
    <w:rsid w:val="00082B8B"/>
    <w:rsid w:val="00082C64"/>
    <w:rsid w:val="00082CC1"/>
    <w:rsid w:val="00082D7E"/>
    <w:rsid w:val="00082DBD"/>
    <w:rsid w:val="00082EB3"/>
    <w:rsid w:val="00082F05"/>
    <w:rsid w:val="00082F1F"/>
    <w:rsid w:val="00082F87"/>
    <w:rsid w:val="00082F91"/>
    <w:rsid w:val="000830CB"/>
    <w:rsid w:val="000830F2"/>
    <w:rsid w:val="00083165"/>
    <w:rsid w:val="0008333C"/>
    <w:rsid w:val="000835CD"/>
    <w:rsid w:val="0008362C"/>
    <w:rsid w:val="00083AC8"/>
    <w:rsid w:val="00083C65"/>
    <w:rsid w:val="00083CFA"/>
    <w:rsid w:val="00083E2E"/>
    <w:rsid w:val="00083E89"/>
    <w:rsid w:val="00083F26"/>
    <w:rsid w:val="00083F62"/>
    <w:rsid w:val="00084046"/>
    <w:rsid w:val="000841FC"/>
    <w:rsid w:val="0008424E"/>
    <w:rsid w:val="000842B6"/>
    <w:rsid w:val="00084388"/>
    <w:rsid w:val="000844EA"/>
    <w:rsid w:val="000845D7"/>
    <w:rsid w:val="000846EA"/>
    <w:rsid w:val="0008474E"/>
    <w:rsid w:val="00084835"/>
    <w:rsid w:val="0008488D"/>
    <w:rsid w:val="000848B3"/>
    <w:rsid w:val="0008499F"/>
    <w:rsid w:val="000849F0"/>
    <w:rsid w:val="00084DA6"/>
    <w:rsid w:val="00084E6B"/>
    <w:rsid w:val="000850FF"/>
    <w:rsid w:val="00085234"/>
    <w:rsid w:val="00085279"/>
    <w:rsid w:val="000853E7"/>
    <w:rsid w:val="00085425"/>
    <w:rsid w:val="000854E7"/>
    <w:rsid w:val="000856E8"/>
    <w:rsid w:val="000856F3"/>
    <w:rsid w:val="00085A0D"/>
    <w:rsid w:val="00085B61"/>
    <w:rsid w:val="00085BBC"/>
    <w:rsid w:val="00086100"/>
    <w:rsid w:val="000862A2"/>
    <w:rsid w:val="00086327"/>
    <w:rsid w:val="00086344"/>
    <w:rsid w:val="000863B1"/>
    <w:rsid w:val="00086468"/>
    <w:rsid w:val="00086496"/>
    <w:rsid w:val="000864F4"/>
    <w:rsid w:val="000865D1"/>
    <w:rsid w:val="000867A5"/>
    <w:rsid w:val="000867AD"/>
    <w:rsid w:val="00086A63"/>
    <w:rsid w:val="00086B2A"/>
    <w:rsid w:val="00086D64"/>
    <w:rsid w:val="00086FF3"/>
    <w:rsid w:val="00087049"/>
    <w:rsid w:val="00087053"/>
    <w:rsid w:val="00087063"/>
    <w:rsid w:val="00087142"/>
    <w:rsid w:val="000871E1"/>
    <w:rsid w:val="000873C4"/>
    <w:rsid w:val="000874D1"/>
    <w:rsid w:val="000874EA"/>
    <w:rsid w:val="00087642"/>
    <w:rsid w:val="00087733"/>
    <w:rsid w:val="0008776F"/>
    <w:rsid w:val="00087AC2"/>
    <w:rsid w:val="00087D13"/>
    <w:rsid w:val="00087E32"/>
    <w:rsid w:val="00090164"/>
    <w:rsid w:val="000901C8"/>
    <w:rsid w:val="0009027B"/>
    <w:rsid w:val="0009058D"/>
    <w:rsid w:val="000907B0"/>
    <w:rsid w:val="000909D3"/>
    <w:rsid w:val="00090A59"/>
    <w:rsid w:val="00090D37"/>
    <w:rsid w:val="00090E8A"/>
    <w:rsid w:val="00091095"/>
    <w:rsid w:val="000910F1"/>
    <w:rsid w:val="000912B4"/>
    <w:rsid w:val="0009159D"/>
    <w:rsid w:val="0009174E"/>
    <w:rsid w:val="0009185D"/>
    <w:rsid w:val="00091879"/>
    <w:rsid w:val="000919BB"/>
    <w:rsid w:val="00091AA7"/>
    <w:rsid w:val="00091B22"/>
    <w:rsid w:val="00091E68"/>
    <w:rsid w:val="00091F47"/>
    <w:rsid w:val="00091FEE"/>
    <w:rsid w:val="00092048"/>
    <w:rsid w:val="00092068"/>
    <w:rsid w:val="0009210D"/>
    <w:rsid w:val="000921BB"/>
    <w:rsid w:val="000923C3"/>
    <w:rsid w:val="000924B7"/>
    <w:rsid w:val="000926C3"/>
    <w:rsid w:val="00092725"/>
    <w:rsid w:val="0009275C"/>
    <w:rsid w:val="00092763"/>
    <w:rsid w:val="0009286B"/>
    <w:rsid w:val="00092D49"/>
    <w:rsid w:val="00092D6A"/>
    <w:rsid w:val="00092EB3"/>
    <w:rsid w:val="00092EC6"/>
    <w:rsid w:val="00092F08"/>
    <w:rsid w:val="00092F8D"/>
    <w:rsid w:val="00092FAD"/>
    <w:rsid w:val="0009301B"/>
    <w:rsid w:val="00093070"/>
    <w:rsid w:val="000930A0"/>
    <w:rsid w:val="000930D0"/>
    <w:rsid w:val="00093269"/>
    <w:rsid w:val="000932A1"/>
    <w:rsid w:val="000933AD"/>
    <w:rsid w:val="000933CC"/>
    <w:rsid w:val="00093523"/>
    <w:rsid w:val="00093531"/>
    <w:rsid w:val="000935FB"/>
    <w:rsid w:val="000936EB"/>
    <w:rsid w:val="00093792"/>
    <w:rsid w:val="00093902"/>
    <w:rsid w:val="00093A0E"/>
    <w:rsid w:val="00093C2D"/>
    <w:rsid w:val="00093CAB"/>
    <w:rsid w:val="00094191"/>
    <w:rsid w:val="000941C6"/>
    <w:rsid w:val="000941DE"/>
    <w:rsid w:val="00094245"/>
    <w:rsid w:val="0009435F"/>
    <w:rsid w:val="000943E5"/>
    <w:rsid w:val="000945A9"/>
    <w:rsid w:val="000945F4"/>
    <w:rsid w:val="00094789"/>
    <w:rsid w:val="000947DE"/>
    <w:rsid w:val="00094824"/>
    <w:rsid w:val="0009487F"/>
    <w:rsid w:val="00094AE6"/>
    <w:rsid w:val="00094AF3"/>
    <w:rsid w:val="00094C38"/>
    <w:rsid w:val="00094CF5"/>
    <w:rsid w:val="00094D52"/>
    <w:rsid w:val="00094DC0"/>
    <w:rsid w:val="000950E3"/>
    <w:rsid w:val="000950EA"/>
    <w:rsid w:val="000951CD"/>
    <w:rsid w:val="0009523E"/>
    <w:rsid w:val="00095286"/>
    <w:rsid w:val="00095387"/>
    <w:rsid w:val="00095504"/>
    <w:rsid w:val="00095561"/>
    <w:rsid w:val="0009556F"/>
    <w:rsid w:val="000955AE"/>
    <w:rsid w:val="00095709"/>
    <w:rsid w:val="0009573E"/>
    <w:rsid w:val="00095747"/>
    <w:rsid w:val="00095912"/>
    <w:rsid w:val="00095AEF"/>
    <w:rsid w:val="00095BC3"/>
    <w:rsid w:val="00095BD9"/>
    <w:rsid w:val="00095CCA"/>
    <w:rsid w:val="00095CED"/>
    <w:rsid w:val="00095EA5"/>
    <w:rsid w:val="00095ED3"/>
    <w:rsid w:val="00095EF3"/>
    <w:rsid w:val="00095FC5"/>
    <w:rsid w:val="00096016"/>
    <w:rsid w:val="000960E3"/>
    <w:rsid w:val="000961E3"/>
    <w:rsid w:val="00096217"/>
    <w:rsid w:val="000962A7"/>
    <w:rsid w:val="0009630D"/>
    <w:rsid w:val="000964BD"/>
    <w:rsid w:val="000964F0"/>
    <w:rsid w:val="000965E6"/>
    <w:rsid w:val="000965ED"/>
    <w:rsid w:val="000966C5"/>
    <w:rsid w:val="00096820"/>
    <w:rsid w:val="0009689D"/>
    <w:rsid w:val="000969FE"/>
    <w:rsid w:val="00096A08"/>
    <w:rsid w:val="00096BFB"/>
    <w:rsid w:val="00096C1B"/>
    <w:rsid w:val="00096C4E"/>
    <w:rsid w:val="00096FC2"/>
    <w:rsid w:val="0009707B"/>
    <w:rsid w:val="00097232"/>
    <w:rsid w:val="00097375"/>
    <w:rsid w:val="000973A4"/>
    <w:rsid w:val="000974AF"/>
    <w:rsid w:val="000975A4"/>
    <w:rsid w:val="00097786"/>
    <w:rsid w:val="0009783F"/>
    <w:rsid w:val="000978B8"/>
    <w:rsid w:val="000979A5"/>
    <w:rsid w:val="00097BCF"/>
    <w:rsid w:val="00097D76"/>
    <w:rsid w:val="00097E2B"/>
    <w:rsid w:val="00097E5B"/>
    <w:rsid w:val="00097EA5"/>
    <w:rsid w:val="00097EB2"/>
    <w:rsid w:val="00097EDE"/>
    <w:rsid w:val="00097F3D"/>
    <w:rsid w:val="000A001C"/>
    <w:rsid w:val="000A0031"/>
    <w:rsid w:val="000A007E"/>
    <w:rsid w:val="000A00ED"/>
    <w:rsid w:val="000A0154"/>
    <w:rsid w:val="000A0361"/>
    <w:rsid w:val="000A03C0"/>
    <w:rsid w:val="000A0458"/>
    <w:rsid w:val="000A0512"/>
    <w:rsid w:val="000A051B"/>
    <w:rsid w:val="000A056A"/>
    <w:rsid w:val="000A0816"/>
    <w:rsid w:val="000A08CF"/>
    <w:rsid w:val="000A08E6"/>
    <w:rsid w:val="000A0985"/>
    <w:rsid w:val="000A09AD"/>
    <w:rsid w:val="000A0BC5"/>
    <w:rsid w:val="000A0F13"/>
    <w:rsid w:val="000A103A"/>
    <w:rsid w:val="000A1145"/>
    <w:rsid w:val="000A1276"/>
    <w:rsid w:val="000A142E"/>
    <w:rsid w:val="000A147D"/>
    <w:rsid w:val="000A162D"/>
    <w:rsid w:val="000A16B3"/>
    <w:rsid w:val="000A171D"/>
    <w:rsid w:val="000A1798"/>
    <w:rsid w:val="000A1880"/>
    <w:rsid w:val="000A18B8"/>
    <w:rsid w:val="000A18BC"/>
    <w:rsid w:val="000A193D"/>
    <w:rsid w:val="000A198B"/>
    <w:rsid w:val="000A1B97"/>
    <w:rsid w:val="000A1CC5"/>
    <w:rsid w:val="000A1FE6"/>
    <w:rsid w:val="000A2158"/>
    <w:rsid w:val="000A26A8"/>
    <w:rsid w:val="000A2720"/>
    <w:rsid w:val="000A28D9"/>
    <w:rsid w:val="000A29A0"/>
    <w:rsid w:val="000A2B19"/>
    <w:rsid w:val="000A2D0B"/>
    <w:rsid w:val="000A2D33"/>
    <w:rsid w:val="000A2D67"/>
    <w:rsid w:val="000A2DB6"/>
    <w:rsid w:val="000A2DD5"/>
    <w:rsid w:val="000A2EDD"/>
    <w:rsid w:val="000A300C"/>
    <w:rsid w:val="000A3047"/>
    <w:rsid w:val="000A315A"/>
    <w:rsid w:val="000A3181"/>
    <w:rsid w:val="000A3273"/>
    <w:rsid w:val="000A3316"/>
    <w:rsid w:val="000A34C4"/>
    <w:rsid w:val="000A3567"/>
    <w:rsid w:val="000A3779"/>
    <w:rsid w:val="000A3853"/>
    <w:rsid w:val="000A3896"/>
    <w:rsid w:val="000A3922"/>
    <w:rsid w:val="000A39A9"/>
    <w:rsid w:val="000A39E0"/>
    <w:rsid w:val="000A3B67"/>
    <w:rsid w:val="000A3E2F"/>
    <w:rsid w:val="000A3E4D"/>
    <w:rsid w:val="000A401F"/>
    <w:rsid w:val="000A41D7"/>
    <w:rsid w:val="000A42E1"/>
    <w:rsid w:val="000A43BE"/>
    <w:rsid w:val="000A44CE"/>
    <w:rsid w:val="000A465C"/>
    <w:rsid w:val="000A468D"/>
    <w:rsid w:val="000A469C"/>
    <w:rsid w:val="000A4915"/>
    <w:rsid w:val="000A4A60"/>
    <w:rsid w:val="000A4B3B"/>
    <w:rsid w:val="000A4B93"/>
    <w:rsid w:val="000A4DB6"/>
    <w:rsid w:val="000A4DD3"/>
    <w:rsid w:val="000A51ED"/>
    <w:rsid w:val="000A5297"/>
    <w:rsid w:val="000A5434"/>
    <w:rsid w:val="000A556A"/>
    <w:rsid w:val="000A558E"/>
    <w:rsid w:val="000A55D0"/>
    <w:rsid w:val="000A57D6"/>
    <w:rsid w:val="000A581C"/>
    <w:rsid w:val="000A5E28"/>
    <w:rsid w:val="000A5E7E"/>
    <w:rsid w:val="000A5F58"/>
    <w:rsid w:val="000A5FD2"/>
    <w:rsid w:val="000A60B5"/>
    <w:rsid w:val="000A60FF"/>
    <w:rsid w:val="000A612E"/>
    <w:rsid w:val="000A62B7"/>
    <w:rsid w:val="000A6312"/>
    <w:rsid w:val="000A63E2"/>
    <w:rsid w:val="000A6446"/>
    <w:rsid w:val="000A6499"/>
    <w:rsid w:val="000A64CD"/>
    <w:rsid w:val="000A65E9"/>
    <w:rsid w:val="000A665E"/>
    <w:rsid w:val="000A669F"/>
    <w:rsid w:val="000A673A"/>
    <w:rsid w:val="000A675A"/>
    <w:rsid w:val="000A681E"/>
    <w:rsid w:val="000A6941"/>
    <w:rsid w:val="000A6963"/>
    <w:rsid w:val="000A6C34"/>
    <w:rsid w:val="000A6DA4"/>
    <w:rsid w:val="000A6EA4"/>
    <w:rsid w:val="000A6EB7"/>
    <w:rsid w:val="000A6FDD"/>
    <w:rsid w:val="000A7012"/>
    <w:rsid w:val="000A70A5"/>
    <w:rsid w:val="000A70BA"/>
    <w:rsid w:val="000A71A1"/>
    <w:rsid w:val="000A74E3"/>
    <w:rsid w:val="000A7510"/>
    <w:rsid w:val="000A75C1"/>
    <w:rsid w:val="000A7716"/>
    <w:rsid w:val="000A78B8"/>
    <w:rsid w:val="000A7901"/>
    <w:rsid w:val="000A795E"/>
    <w:rsid w:val="000A7A3A"/>
    <w:rsid w:val="000A7A61"/>
    <w:rsid w:val="000A7A6A"/>
    <w:rsid w:val="000A7AFC"/>
    <w:rsid w:val="000A7BEB"/>
    <w:rsid w:val="000A7C97"/>
    <w:rsid w:val="000A7CB1"/>
    <w:rsid w:val="000A7CB4"/>
    <w:rsid w:val="000A7CF8"/>
    <w:rsid w:val="000B012D"/>
    <w:rsid w:val="000B01AA"/>
    <w:rsid w:val="000B0216"/>
    <w:rsid w:val="000B0288"/>
    <w:rsid w:val="000B0289"/>
    <w:rsid w:val="000B02AC"/>
    <w:rsid w:val="000B03D9"/>
    <w:rsid w:val="000B0546"/>
    <w:rsid w:val="000B06D3"/>
    <w:rsid w:val="000B090C"/>
    <w:rsid w:val="000B097E"/>
    <w:rsid w:val="000B0BD1"/>
    <w:rsid w:val="000B0CBE"/>
    <w:rsid w:val="000B0CCC"/>
    <w:rsid w:val="000B0D09"/>
    <w:rsid w:val="000B0DBF"/>
    <w:rsid w:val="000B0DD0"/>
    <w:rsid w:val="000B0E04"/>
    <w:rsid w:val="000B0F8E"/>
    <w:rsid w:val="000B0FAE"/>
    <w:rsid w:val="000B1051"/>
    <w:rsid w:val="000B1075"/>
    <w:rsid w:val="000B1190"/>
    <w:rsid w:val="000B11D0"/>
    <w:rsid w:val="000B121D"/>
    <w:rsid w:val="000B1381"/>
    <w:rsid w:val="000B1405"/>
    <w:rsid w:val="000B140E"/>
    <w:rsid w:val="000B1467"/>
    <w:rsid w:val="000B14FA"/>
    <w:rsid w:val="000B1585"/>
    <w:rsid w:val="000B1774"/>
    <w:rsid w:val="000B1843"/>
    <w:rsid w:val="000B185A"/>
    <w:rsid w:val="000B18A7"/>
    <w:rsid w:val="000B1B60"/>
    <w:rsid w:val="000B1BB4"/>
    <w:rsid w:val="000B1CB7"/>
    <w:rsid w:val="000B1D86"/>
    <w:rsid w:val="000B1DA3"/>
    <w:rsid w:val="000B1E66"/>
    <w:rsid w:val="000B1F2F"/>
    <w:rsid w:val="000B201D"/>
    <w:rsid w:val="000B209D"/>
    <w:rsid w:val="000B2144"/>
    <w:rsid w:val="000B222F"/>
    <w:rsid w:val="000B2314"/>
    <w:rsid w:val="000B262B"/>
    <w:rsid w:val="000B27B6"/>
    <w:rsid w:val="000B2879"/>
    <w:rsid w:val="000B28D3"/>
    <w:rsid w:val="000B2917"/>
    <w:rsid w:val="000B2C0B"/>
    <w:rsid w:val="000B2F2B"/>
    <w:rsid w:val="000B3159"/>
    <w:rsid w:val="000B3174"/>
    <w:rsid w:val="000B3259"/>
    <w:rsid w:val="000B326F"/>
    <w:rsid w:val="000B3366"/>
    <w:rsid w:val="000B342D"/>
    <w:rsid w:val="000B34E3"/>
    <w:rsid w:val="000B365F"/>
    <w:rsid w:val="000B36AC"/>
    <w:rsid w:val="000B36AF"/>
    <w:rsid w:val="000B36D3"/>
    <w:rsid w:val="000B3719"/>
    <w:rsid w:val="000B384C"/>
    <w:rsid w:val="000B386B"/>
    <w:rsid w:val="000B3887"/>
    <w:rsid w:val="000B39B5"/>
    <w:rsid w:val="000B3ACC"/>
    <w:rsid w:val="000B3BC8"/>
    <w:rsid w:val="000B3D11"/>
    <w:rsid w:val="000B3E38"/>
    <w:rsid w:val="000B3E9D"/>
    <w:rsid w:val="000B3F41"/>
    <w:rsid w:val="000B400C"/>
    <w:rsid w:val="000B4223"/>
    <w:rsid w:val="000B436E"/>
    <w:rsid w:val="000B43BB"/>
    <w:rsid w:val="000B44DF"/>
    <w:rsid w:val="000B4525"/>
    <w:rsid w:val="000B4545"/>
    <w:rsid w:val="000B4673"/>
    <w:rsid w:val="000B4778"/>
    <w:rsid w:val="000B47FF"/>
    <w:rsid w:val="000B4861"/>
    <w:rsid w:val="000B48E6"/>
    <w:rsid w:val="000B4C14"/>
    <w:rsid w:val="000B4D4F"/>
    <w:rsid w:val="000B4D7B"/>
    <w:rsid w:val="000B4D91"/>
    <w:rsid w:val="000B4EEA"/>
    <w:rsid w:val="000B4F28"/>
    <w:rsid w:val="000B4FA5"/>
    <w:rsid w:val="000B4FAD"/>
    <w:rsid w:val="000B4FE0"/>
    <w:rsid w:val="000B50C3"/>
    <w:rsid w:val="000B511B"/>
    <w:rsid w:val="000B5163"/>
    <w:rsid w:val="000B5195"/>
    <w:rsid w:val="000B51ED"/>
    <w:rsid w:val="000B54D7"/>
    <w:rsid w:val="000B56E4"/>
    <w:rsid w:val="000B573A"/>
    <w:rsid w:val="000B5867"/>
    <w:rsid w:val="000B58DB"/>
    <w:rsid w:val="000B5985"/>
    <w:rsid w:val="000B59AA"/>
    <w:rsid w:val="000B5A5A"/>
    <w:rsid w:val="000B5AC0"/>
    <w:rsid w:val="000B5AC2"/>
    <w:rsid w:val="000B5B8F"/>
    <w:rsid w:val="000B5BAF"/>
    <w:rsid w:val="000B5C15"/>
    <w:rsid w:val="000B5DE3"/>
    <w:rsid w:val="000B6008"/>
    <w:rsid w:val="000B6068"/>
    <w:rsid w:val="000B60C9"/>
    <w:rsid w:val="000B614D"/>
    <w:rsid w:val="000B6495"/>
    <w:rsid w:val="000B64E4"/>
    <w:rsid w:val="000B6515"/>
    <w:rsid w:val="000B6521"/>
    <w:rsid w:val="000B6544"/>
    <w:rsid w:val="000B654C"/>
    <w:rsid w:val="000B65E3"/>
    <w:rsid w:val="000B6600"/>
    <w:rsid w:val="000B6871"/>
    <w:rsid w:val="000B68A9"/>
    <w:rsid w:val="000B697B"/>
    <w:rsid w:val="000B69E8"/>
    <w:rsid w:val="000B6A7E"/>
    <w:rsid w:val="000B6AB5"/>
    <w:rsid w:val="000B6B20"/>
    <w:rsid w:val="000B6D57"/>
    <w:rsid w:val="000B6E40"/>
    <w:rsid w:val="000B6E41"/>
    <w:rsid w:val="000B6E56"/>
    <w:rsid w:val="000B7067"/>
    <w:rsid w:val="000B70CA"/>
    <w:rsid w:val="000B7412"/>
    <w:rsid w:val="000B74DF"/>
    <w:rsid w:val="000B76E2"/>
    <w:rsid w:val="000B7765"/>
    <w:rsid w:val="000B79A6"/>
    <w:rsid w:val="000B7AD9"/>
    <w:rsid w:val="000B7B57"/>
    <w:rsid w:val="000B7CD1"/>
    <w:rsid w:val="000B7CF5"/>
    <w:rsid w:val="000B7FDE"/>
    <w:rsid w:val="000C0144"/>
    <w:rsid w:val="000C0174"/>
    <w:rsid w:val="000C0218"/>
    <w:rsid w:val="000C0350"/>
    <w:rsid w:val="000C03C9"/>
    <w:rsid w:val="000C05B5"/>
    <w:rsid w:val="000C0705"/>
    <w:rsid w:val="000C0781"/>
    <w:rsid w:val="000C07DE"/>
    <w:rsid w:val="000C09C1"/>
    <w:rsid w:val="000C0AEC"/>
    <w:rsid w:val="000C0AFD"/>
    <w:rsid w:val="000C0CB9"/>
    <w:rsid w:val="000C0CED"/>
    <w:rsid w:val="000C0D28"/>
    <w:rsid w:val="000C0EB9"/>
    <w:rsid w:val="000C0FBD"/>
    <w:rsid w:val="000C11A3"/>
    <w:rsid w:val="000C1272"/>
    <w:rsid w:val="000C15EA"/>
    <w:rsid w:val="000C164F"/>
    <w:rsid w:val="000C173F"/>
    <w:rsid w:val="000C17C7"/>
    <w:rsid w:val="000C1AC7"/>
    <w:rsid w:val="000C1C05"/>
    <w:rsid w:val="000C1D45"/>
    <w:rsid w:val="000C1DDD"/>
    <w:rsid w:val="000C1F96"/>
    <w:rsid w:val="000C2076"/>
    <w:rsid w:val="000C2166"/>
    <w:rsid w:val="000C217B"/>
    <w:rsid w:val="000C2211"/>
    <w:rsid w:val="000C2369"/>
    <w:rsid w:val="000C24CA"/>
    <w:rsid w:val="000C2759"/>
    <w:rsid w:val="000C2BEF"/>
    <w:rsid w:val="000C2C5E"/>
    <w:rsid w:val="000C2E62"/>
    <w:rsid w:val="000C2E9F"/>
    <w:rsid w:val="000C2EA3"/>
    <w:rsid w:val="000C30FB"/>
    <w:rsid w:val="000C3158"/>
    <w:rsid w:val="000C317D"/>
    <w:rsid w:val="000C32AB"/>
    <w:rsid w:val="000C331C"/>
    <w:rsid w:val="000C33DE"/>
    <w:rsid w:val="000C3405"/>
    <w:rsid w:val="000C36B8"/>
    <w:rsid w:val="000C372C"/>
    <w:rsid w:val="000C3894"/>
    <w:rsid w:val="000C3B21"/>
    <w:rsid w:val="000C3CC9"/>
    <w:rsid w:val="000C40F5"/>
    <w:rsid w:val="000C45AF"/>
    <w:rsid w:val="000C45C5"/>
    <w:rsid w:val="000C47F3"/>
    <w:rsid w:val="000C47FC"/>
    <w:rsid w:val="000C4A12"/>
    <w:rsid w:val="000C4A41"/>
    <w:rsid w:val="000C4AF6"/>
    <w:rsid w:val="000C4B6D"/>
    <w:rsid w:val="000C4EC0"/>
    <w:rsid w:val="000C4F14"/>
    <w:rsid w:val="000C5044"/>
    <w:rsid w:val="000C541D"/>
    <w:rsid w:val="000C56EB"/>
    <w:rsid w:val="000C5763"/>
    <w:rsid w:val="000C5A16"/>
    <w:rsid w:val="000C5B16"/>
    <w:rsid w:val="000C5B1A"/>
    <w:rsid w:val="000C5BA0"/>
    <w:rsid w:val="000C5C65"/>
    <w:rsid w:val="000C5C86"/>
    <w:rsid w:val="000C5CE3"/>
    <w:rsid w:val="000C5DB4"/>
    <w:rsid w:val="000C5F01"/>
    <w:rsid w:val="000C5F48"/>
    <w:rsid w:val="000C6049"/>
    <w:rsid w:val="000C613C"/>
    <w:rsid w:val="000C63ED"/>
    <w:rsid w:val="000C640C"/>
    <w:rsid w:val="000C649F"/>
    <w:rsid w:val="000C64B0"/>
    <w:rsid w:val="000C64BA"/>
    <w:rsid w:val="000C64F8"/>
    <w:rsid w:val="000C68E0"/>
    <w:rsid w:val="000C698D"/>
    <w:rsid w:val="000C6AB9"/>
    <w:rsid w:val="000C6C36"/>
    <w:rsid w:val="000C6EFC"/>
    <w:rsid w:val="000C701B"/>
    <w:rsid w:val="000C7093"/>
    <w:rsid w:val="000C70AF"/>
    <w:rsid w:val="000C7136"/>
    <w:rsid w:val="000C718E"/>
    <w:rsid w:val="000C71E7"/>
    <w:rsid w:val="000C72BA"/>
    <w:rsid w:val="000C72C0"/>
    <w:rsid w:val="000C730C"/>
    <w:rsid w:val="000C74F7"/>
    <w:rsid w:val="000C7594"/>
    <w:rsid w:val="000C76DA"/>
    <w:rsid w:val="000C76F2"/>
    <w:rsid w:val="000C78C7"/>
    <w:rsid w:val="000C78D4"/>
    <w:rsid w:val="000C7946"/>
    <w:rsid w:val="000C794E"/>
    <w:rsid w:val="000C7956"/>
    <w:rsid w:val="000C7B12"/>
    <w:rsid w:val="000C7C66"/>
    <w:rsid w:val="000C7CC4"/>
    <w:rsid w:val="000C7DB5"/>
    <w:rsid w:val="000C7DFD"/>
    <w:rsid w:val="000C7E1E"/>
    <w:rsid w:val="000C7EEB"/>
    <w:rsid w:val="000C7F0A"/>
    <w:rsid w:val="000C7F3E"/>
    <w:rsid w:val="000D0022"/>
    <w:rsid w:val="000D0046"/>
    <w:rsid w:val="000D00B9"/>
    <w:rsid w:val="000D0498"/>
    <w:rsid w:val="000D04F2"/>
    <w:rsid w:val="000D0606"/>
    <w:rsid w:val="000D0711"/>
    <w:rsid w:val="000D0849"/>
    <w:rsid w:val="000D08DE"/>
    <w:rsid w:val="000D0918"/>
    <w:rsid w:val="000D09B6"/>
    <w:rsid w:val="000D0AA2"/>
    <w:rsid w:val="000D0C26"/>
    <w:rsid w:val="000D0C40"/>
    <w:rsid w:val="000D0CC3"/>
    <w:rsid w:val="000D0D02"/>
    <w:rsid w:val="000D0D44"/>
    <w:rsid w:val="000D0F0C"/>
    <w:rsid w:val="000D0F13"/>
    <w:rsid w:val="000D0F3D"/>
    <w:rsid w:val="000D10B2"/>
    <w:rsid w:val="000D118B"/>
    <w:rsid w:val="000D14AD"/>
    <w:rsid w:val="000D1511"/>
    <w:rsid w:val="000D1576"/>
    <w:rsid w:val="000D15A3"/>
    <w:rsid w:val="000D1646"/>
    <w:rsid w:val="000D166D"/>
    <w:rsid w:val="000D189F"/>
    <w:rsid w:val="000D19FD"/>
    <w:rsid w:val="000D1A0D"/>
    <w:rsid w:val="000D1AC2"/>
    <w:rsid w:val="000D1AD7"/>
    <w:rsid w:val="000D1B68"/>
    <w:rsid w:val="000D1C1C"/>
    <w:rsid w:val="000D1CA2"/>
    <w:rsid w:val="000D1CDD"/>
    <w:rsid w:val="000D1CE1"/>
    <w:rsid w:val="000D1D7B"/>
    <w:rsid w:val="000D1DD8"/>
    <w:rsid w:val="000D1E60"/>
    <w:rsid w:val="000D1E98"/>
    <w:rsid w:val="000D2007"/>
    <w:rsid w:val="000D2080"/>
    <w:rsid w:val="000D2100"/>
    <w:rsid w:val="000D222D"/>
    <w:rsid w:val="000D22CF"/>
    <w:rsid w:val="000D2328"/>
    <w:rsid w:val="000D235F"/>
    <w:rsid w:val="000D240F"/>
    <w:rsid w:val="000D25B1"/>
    <w:rsid w:val="000D2674"/>
    <w:rsid w:val="000D2BD0"/>
    <w:rsid w:val="000D2CBE"/>
    <w:rsid w:val="000D2D9E"/>
    <w:rsid w:val="000D3337"/>
    <w:rsid w:val="000D3341"/>
    <w:rsid w:val="000D335F"/>
    <w:rsid w:val="000D3401"/>
    <w:rsid w:val="000D3603"/>
    <w:rsid w:val="000D367A"/>
    <w:rsid w:val="000D367E"/>
    <w:rsid w:val="000D388B"/>
    <w:rsid w:val="000D3AF0"/>
    <w:rsid w:val="000D3BF0"/>
    <w:rsid w:val="000D3CB0"/>
    <w:rsid w:val="000D3FC0"/>
    <w:rsid w:val="000D41FC"/>
    <w:rsid w:val="000D4370"/>
    <w:rsid w:val="000D4409"/>
    <w:rsid w:val="000D4419"/>
    <w:rsid w:val="000D4479"/>
    <w:rsid w:val="000D4505"/>
    <w:rsid w:val="000D46CD"/>
    <w:rsid w:val="000D49AA"/>
    <w:rsid w:val="000D4AAA"/>
    <w:rsid w:val="000D4B17"/>
    <w:rsid w:val="000D537B"/>
    <w:rsid w:val="000D557A"/>
    <w:rsid w:val="000D55E7"/>
    <w:rsid w:val="000D56DB"/>
    <w:rsid w:val="000D56FD"/>
    <w:rsid w:val="000D575E"/>
    <w:rsid w:val="000D578E"/>
    <w:rsid w:val="000D58AA"/>
    <w:rsid w:val="000D595A"/>
    <w:rsid w:val="000D5ADD"/>
    <w:rsid w:val="000D5C17"/>
    <w:rsid w:val="000D5C38"/>
    <w:rsid w:val="000D5D62"/>
    <w:rsid w:val="000D5EBE"/>
    <w:rsid w:val="000D5EFA"/>
    <w:rsid w:val="000D5F57"/>
    <w:rsid w:val="000D5F5E"/>
    <w:rsid w:val="000D61B5"/>
    <w:rsid w:val="000D6216"/>
    <w:rsid w:val="000D62A6"/>
    <w:rsid w:val="000D6329"/>
    <w:rsid w:val="000D634E"/>
    <w:rsid w:val="000D6417"/>
    <w:rsid w:val="000D64AD"/>
    <w:rsid w:val="000D676A"/>
    <w:rsid w:val="000D679D"/>
    <w:rsid w:val="000D67DD"/>
    <w:rsid w:val="000D6900"/>
    <w:rsid w:val="000D6AB3"/>
    <w:rsid w:val="000D6AC8"/>
    <w:rsid w:val="000D6CC7"/>
    <w:rsid w:val="000D6D8A"/>
    <w:rsid w:val="000D6EF9"/>
    <w:rsid w:val="000D70C7"/>
    <w:rsid w:val="000D7289"/>
    <w:rsid w:val="000D7357"/>
    <w:rsid w:val="000D751E"/>
    <w:rsid w:val="000D7712"/>
    <w:rsid w:val="000D777D"/>
    <w:rsid w:val="000D7A89"/>
    <w:rsid w:val="000D7B2E"/>
    <w:rsid w:val="000D7C1B"/>
    <w:rsid w:val="000D7C28"/>
    <w:rsid w:val="000D7D29"/>
    <w:rsid w:val="000D7E01"/>
    <w:rsid w:val="000D7E19"/>
    <w:rsid w:val="000D7E28"/>
    <w:rsid w:val="000D7F03"/>
    <w:rsid w:val="000D7FAB"/>
    <w:rsid w:val="000E029E"/>
    <w:rsid w:val="000E044C"/>
    <w:rsid w:val="000E045A"/>
    <w:rsid w:val="000E04D8"/>
    <w:rsid w:val="000E0702"/>
    <w:rsid w:val="000E077A"/>
    <w:rsid w:val="000E0AFB"/>
    <w:rsid w:val="000E0BA6"/>
    <w:rsid w:val="000E0BB9"/>
    <w:rsid w:val="000E0BC3"/>
    <w:rsid w:val="000E0BEF"/>
    <w:rsid w:val="000E0C7C"/>
    <w:rsid w:val="000E0F63"/>
    <w:rsid w:val="000E0F8A"/>
    <w:rsid w:val="000E100F"/>
    <w:rsid w:val="000E103C"/>
    <w:rsid w:val="000E1183"/>
    <w:rsid w:val="000E1344"/>
    <w:rsid w:val="000E13A6"/>
    <w:rsid w:val="000E13B4"/>
    <w:rsid w:val="000E15B2"/>
    <w:rsid w:val="000E15F5"/>
    <w:rsid w:val="000E1687"/>
    <w:rsid w:val="000E177E"/>
    <w:rsid w:val="000E17D8"/>
    <w:rsid w:val="000E181C"/>
    <w:rsid w:val="000E187C"/>
    <w:rsid w:val="000E1932"/>
    <w:rsid w:val="000E1C1E"/>
    <w:rsid w:val="000E1D51"/>
    <w:rsid w:val="000E1E63"/>
    <w:rsid w:val="000E1E66"/>
    <w:rsid w:val="000E1E93"/>
    <w:rsid w:val="000E1EB0"/>
    <w:rsid w:val="000E1EE7"/>
    <w:rsid w:val="000E1EFD"/>
    <w:rsid w:val="000E21BE"/>
    <w:rsid w:val="000E230B"/>
    <w:rsid w:val="000E237A"/>
    <w:rsid w:val="000E239D"/>
    <w:rsid w:val="000E24DD"/>
    <w:rsid w:val="000E2526"/>
    <w:rsid w:val="000E2571"/>
    <w:rsid w:val="000E25E5"/>
    <w:rsid w:val="000E26B4"/>
    <w:rsid w:val="000E27D9"/>
    <w:rsid w:val="000E27E8"/>
    <w:rsid w:val="000E2A2D"/>
    <w:rsid w:val="000E2A6C"/>
    <w:rsid w:val="000E2AA8"/>
    <w:rsid w:val="000E2ACA"/>
    <w:rsid w:val="000E2C96"/>
    <w:rsid w:val="000E304A"/>
    <w:rsid w:val="000E314D"/>
    <w:rsid w:val="000E31B1"/>
    <w:rsid w:val="000E340F"/>
    <w:rsid w:val="000E392B"/>
    <w:rsid w:val="000E3941"/>
    <w:rsid w:val="000E3BA3"/>
    <w:rsid w:val="000E3BCE"/>
    <w:rsid w:val="000E3C7A"/>
    <w:rsid w:val="000E3D0E"/>
    <w:rsid w:val="000E3D85"/>
    <w:rsid w:val="000E3DAC"/>
    <w:rsid w:val="000E3E3F"/>
    <w:rsid w:val="000E41E2"/>
    <w:rsid w:val="000E41F1"/>
    <w:rsid w:val="000E4346"/>
    <w:rsid w:val="000E4407"/>
    <w:rsid w:val="000E4635"/>
    <w:rsid w:val="000E46B6"/>
    <w:rsid w:val="000E499F"/>
    <w:rsid w:val="000E4C21"/>
    <w:rsid w:val="000E4D9D"/>
    <w:rsid w:val="000E4F9A"/>
    <w:rsid w:val="000E50FF"/>
    <w:rsid w:val="000E517A"/>
    <w:rsid w:val="000E52C1"/>
    <w:rsid w:val="000E5538"/>
    <w:rsid w:val="000E5694"/>
    <w:rsid w:val="000E57EB"/>
    <w:rsid w:val="000E59E3"/>
    <w:rsid w:val="000E5A2C"/>
    <w:rsid w:val="000E5AFE"/>
    <w:rsid w:val="000E5C73"/>
    <w:rsid w:val="000E5CF2"/>
    <w:rsid w:val="000E5D57"/>
    <w:rsid w:val="000E5DD0"/>
    <w:rsid w:val="000E5F4C"/>
    <w:rsid w:val="000E5F62"/>
    <w:rsid w:val="000E5F77"/>
    <w:rsid w:val="000E6301"/>
    <w:rsid w:val="000E6354"/>
    <w:rsid w:val="000E669E"/>
    <w:rsid w:val="000E6718"/>
    <w:rsid w:val="000E671F"/>
    <w:rsid w:val="000E67CE"/>
    <w:rsid w:val="000E68FA"/>
    <w:rsid w:val="000E68FD"/>
    <w:rsid w:val="000E691F"/>
    <w:rsid w:val="000E6974"/>
    <w:rsid w:val="000E6AFD"/>
    <w:rsid w:val="000E6B0D"/>
    <w:rsid w:val="000E6C33"/>
    <w:rsid w:val="000E6CC1"/>
    <w:rsid w:val="000E6D0E"/>
    <w:rsid w:val="000E6D9E"/>
    <w:rsid w:val="000E6E07"/>
    <w:rsid w:val="000E6F38"/>
    <w:rsid w:val="000E6F83"/>
    <w:rsid w:val="000E71D1"/>
    <w:rsid w:val="000E7294"/>
    <w:rsid w:val="000E735D"/>
    <w:rsid w:val="000E74F9"/>
    <w:rsid w:val="000E755B"/>
    <w:rsid w:val="000E760B"/>
    <w:rsid w:val="000E7622"/>
    <w:rsid w:val="000E77AD"/>
    <w:rsid w:val="000E7A06"/>
    <w:rsid w:val="000E7B43"/>
    <w:rsid w:val="000E7B49"/>
    <w:rsid w:val="000E7BA0"/>
    <w:rsid w:val="000E7D90"/>
    <w:rsid w:val="000E7FB7"/>
    <w:rsid w:val="000F00CA"/>
    <w:rsid w:val="000F00F0"/>
    <w:rsid w:val="000F0186"/>
    <w:rsid w:val="000F01E8"/>
    <w:rsid w:val="000F058B"/>
    <w:rsid w:val="000F0615"/>
    <w:rsid w:val="000F06F9"/>
    <w:rsid w:val="000F0792"/>
    <w:rsid w:val="000F0854"/>
    <w:rsid w:val="000F0895"/>
    <w:rsid w:val="000F08B8"/>
    <w:rsid w:val="000F0936"/>
    <w:rsid w:val="000F0B45"/>
    <w:rsid w:val="000F0BCE"/>
    <w:rsid w:val="000F0D05"/>
    <w:rsid w:val="000F0E86"/>
    <w:rsid w:val="000F1325"/>
    <w:rsid w:val="000F134E"/>
    <w:rsid w:val="000F1445"/>
    <w:rsid w:val="000F148D"/>
    <w:rsid w:val="000F15C6"/>
    <w:rsid w:val="000F16EE"/>
    <w:rsid w:val="000F1817"/>
    <w:rsid w:val="000F197C"/>
    <w:rsid w:val="000F1983"/>
    <w:rsid w:val="000F1A9B"/>
    <w:rsid w:val="000F1BB6"/>
    <w:rsid w:val="000F1C0D"/>
    <w:rsid w:val="000F1D25"/>
    <w:rsid w:val="000F1D28"/>
    <w:rsid w:val="000F1DFB"/>
    <w:rsid w:val="000F1EAC"/>
    <w:rsid w:val="000F1FBD"/>
    <w:rsid w:val="000F1FF0"/>
    <w:rsid w:val="000F2229"/>
    <w:rsid w:val="000F27C6"/>
    <w:rsid w:val="000F27EC"/>
    <w:rsid w:val="000F282E"/>
    <w:rsid w:val="000F28C0"/>
    <w:rsid w:val="000F290D"/>
    <w:rsid w:val="000F2B8C"/>
    <w:rsid w:val="000F2BEB"/>
    <w:rsid w:val="000F2C1D"/>
    <w:rsid w:val="000F2C60"/>
    <w:rsid w:val="000F2D26"/>
    <w:rsid w:val="000F2F68"/>
    <w:rsid w:val="000F2F7D"/>
    <w:rsid w:val="000F2FC5"/>
    <w:rsid w:val="000F3092"/>
    <w:rsid w:val="000F32CC"/>
    <w:rsid w:val="000F33A6"/>
    <w:rsid w:val="000F3425"/>
    <w:rsid w:val="000F358A"/>
    <w:rsid w:val="000F3733"/>
    <w:rsid w:val="000F392E"/>
    <w:rsid w:val="000F395F"/>
    <w:rsid w:val="000F3962"/>
    <w:rsid w:val="000F3998"/>
    <w:rsid w:val="000F39F9"/>
    <w:rsid w:val="000F3A2B"/>
    <w:rsid w:val="000F3A6B"/>
    <w:rsid w:val="000F3B46"/>
    <w:rsid w:val="000F3BD1"/>
    <w:rsid w:val="000F3CF6"/>
    <w:rsid w:val="000F3DBC"/>
    <w:rsid w:val="000F3E69"/>
    <w:rsid w:val="000F3ECF"/>
    <w:rsid w:val="000F3F1C"/>
    <w:rsid w:val="000F3FB6"/>
    <w:rsid w:val="000F404D"/>
    <w:rsid w:val="000F4113"/>
    <w:rsid w:val="000F413E"/>
    <w:rsid w:val="000F4184"/>
    <w:rsid w:val="000F432A"/>
    <w:rsid w:val="000F435B"/>
    <w:rsid w:val="000F45EE"/>
    <w:rsid w:val="000F4619"/>
    <w:rsid w:val="000F48C5"/>
    <w:rsid w:val="000F498B"/>
    <w:rsid w:val="000F499E"/>
    <w:rsid w:val="000F49B8"/>
    <w:rsid w:val="000F4AA4"/>
    <w:rsid w:val="000F4B49"/>
    <w:rsid w:val="000F4B82"/>
    <w:rsid w:val="000F4BA5"/>
    <w:rsid w:val="000F4C3E"/>
    <w:rsid w:val="000F4EEB"/>
    <w:rsid w:val="000F4F94"/>
    <w:rsid w:val="000F4F95"/>
    <w:rsid w:val="000F5159"/>
    <w:rsid w:val="000F5177"/>
    <w:rsid w:val="000F5194"/>
    <w:rsid w:val="000F52E2"/>
    <w:rsid w:val="000F5397"/>
    <w:rsid w:val="000F53BA"/>
    <w:rsid w:val="000F55B8"/>
    <w:rsid w:val="000F56CC"/>
    <w:rsid w:val="000F579D"/>
    <w:rsid w:val="000F57DC"/>
    <w:rsid w:val="000F586B"/>
    <w:rsid w:val="000F5B3E"/>
    <w:rsid w:val="000F5DBA"/>
    <w:rsid w:val="000F60F8"/>
    <w:rsid w:val="000F623B"/>
    <w:rsid w:val="000F6327"/>
    <w:rsid w:val="000F637E"/>
    <w:rsid w:val="000F639A"/>
    <w:rsid w:val="000F647C"/>
    <w:rsid w:val="000F65AF"/>
    <w:rsid w:val="000F675D"/>
    <w:rsid w:val="000F67A0"/>
    <w:rsid w:val="000F67E7"/>
    <w:rsid w:val="000F6971"/>
    <w:rsid w:val="000F6A81"/>
    <w:rsid w:val="000F6BE6"/>
    <w:rsid w:val="000F6CB1"/>
    <w:rsid w:val="000F6D20"/>
    <w:rsid w:val="000F6E74"/>
    <w:rsid w:val="000F6E88"/>
    <w:rsid w:val="000F6EFE"/>
    <w:rsid w:val="000F6F0A"/>
    <w:rsid w:val="000F6F0D"/>
    <w:rsid w:val="000F70EE"/>
    <w:rsid w:val="000F7155"/>
    <w:rsid w:val="000F7289"/>
    <w:rsid w:val="000F72DE"/>
    <w:rsid w:val="000F74A2"/>
    <w:rsid w:val="000F7684"/>
    <w:rsid w:val="000F76F8"/>
    <w:rsid w:val="000F7A64"/>
    <w:rsid w:val="000F7A6C"/>
    <w:rsid w:val="000F7A79"/>
    <w:rsid w:val="000F7C29"/>
    <w:rsid w:val="000F7CDA"/>
    <w:rsid w:val="000F7E1E"/>
    <w:rsid w:val="000F7E66"/>
    <w:rsid w:val="000F7F11"/>
    <w:rsid w:val="000F7FE8"/>
    <w:rsid w:val="000FD7C2"/>
    <w:rsid w:val="0010020E"/>
    <w:rsid w:val="00100297"/>
    <w:rsid w:val="0010039A"/>
    <w:rsid w:val="0010043D"/>
    <w:rsid w:val="001005B7"/>
    <w:rsid w:val="001005DC"/>
    <w:rsid w:val="001005EE"/>
    <w:rsid w:val="00100629"/>
    <w:rsid w:val="0010064A"/>
    <w:rsid w:val="00100693"/>
    <w:rsid w:val="00100713"/>
    <w:rsid w:val="00100763"/>
    <w:rsid w:val="00100877"/>
    <w:rsid w:val="00100925"/>
    <w:rsid w:val="00100977"/>
    <w:rsid w:val="001009FA"/>
    <w:rsid w:val="00100A1D"/>
    <w:rsid w:val="00100BA0"/>
    <w:rsid w:val="00100D7D"/>
    <w:rsid w:val="00100F50"/>
    <w:rsid w:val="00101063"/>
    <w:rsid w:val="0010115F"/>
    <w:rsid w:val="00101300"/>
    <w:rsid w:val="00101475"/>
    <w:rsid w:val="001015A7"/>
    <w:rsid w:val="00101AFE"/>
    <w:rsid w:val="00101BF4"/>
    <w:rsid w:val="00101CA0"/>
    <w:rsid w:val="00101E8C"/>
    <w:rsid w:val="00101EBE"/>
    <w:rsid w:val="00101EEB"/>
    <w:rsid w:val="00101F74"/>
    <w:rsid w:val="00101FAE"/>
    <w:rsid w:val="001020D4"/>
    <w:rsid w:val="001022E1"/>
    <w:rsid w:val="001024D4"/>
    <w:rsid w:val="00102554"/>
    <w:rsid w:val="0010263F"/>
    <w:rsid w:val="0010267B"/>
    <w:rsid w:val="001026A0"/>
    <w:rsid w:val="001029E6"/>
    <w:rsid w:val="00102C35"/>
    <w:rsid w:val="00102CA9"/>
    <w:rsid w:val="00102E8A"/>
    <w:rsid w:val="00102F14"/>
    <w:rsid w:val="0010331C"/>
    <w:rsid w:val="0010347E"/>
    <w:rsid w:val="001034B6"/>
    <w:rsid w:val="00103531"/>
    <w:rsid w:val="00103627"/>
    <w:rsid w:val="00103668"/>
    <w:rsid w:val="00103747"/>
    <w:rsid w:val="001037C7"/>
    <w:rsid w:val="00103823"/>
    <w:rsid w:val="00103B56"/>
    <w:rsid w:val="00103B67"/>
    <w:rsid w:val="00103E36"/>
    <w:rsid w:val="00103F27"/>
    <w:rsid w:val="0010403C"/>
    <w:rsid w:val="001040BD"/>
    <w:rsid w:val="00104175"/>
    <w:rsid w:val="0010474E"/>
    <w:rsid w:val="0010482C"/>
    <w:rsid w:val="00104830"/>
    <w:rsid w:val="0010488D"/>
    <w:rsid w:val="00104A2A"/>
    <w:rsid w:val="00104AB4"/>
    <w:rsid w:val="00104AD6"/>
    <w:rsid w:val="00104CFA"/>
    <w:rsid w:val="00104F99"/>
    <w:rsid w:val="0010508B"/>
    <w:rsid w:val="0010509E"/>
    <w:rsid w:val="001051FA"/>
    <w:rsid w:val="0010524C"/>
    <w:rsid w:val="0010528B"/>
    <w:rsid w:val="001054A2"/>
    <w:rsid w:val="001055E3"/>
    <w:rsid w:val="00105668"/>
    <w:rsid w:val="00105814"/>
    <w:rsid w:val="00105B7F"/>
    <w:rsid w:val="00105BF6"/>
    <w:rsid w:val="00105CA9"/>
    <w:rsid w:val="00105CB2"/>
    <w:rsid w:val="00105CC7"/>
    <w:rsid w:val="00105D73"/>
    <w:rsid w:val="00105F9E"/>
    <w:rsid w:val="0010608E"/>
    <w:rsid w:val="0010618C"/>
    <w:rsid w:val="0010619F"/>
    <w:rsid w:val="00106278"/>
    <w:rsid w:val="0010642B"/>
    <w:rsid w:val="001064ED"/>
    <w:rsid w:val="0010650C"/>
    <w:rsid w:val="001066E7"/>
    <w:rsid w:val="001066FE"/>
    <w:rsid w:val="00106C87"/>
    <w:rsid w:val="00106C92"/>
    <w:rsid w:val="00106E1B"/>
    <w:rsid w:val="00106ED2"/>
    <w:rsid w:val="00106FF0"/>
    <w:rsid w:val="00107010"/>
    <w:rsid w:val="001071A0"/>
    <w:rsid w:val="001075DE"/>
    <w:rsid w:val="00107668"/>
    <w:rsid w:val="00107832"/>
    <w:rsid w:val="00107935"/>
    <w:rsid w:val="00107A2F"/>
    <w:rsid w:val="00107AB8"/>
    <w:rsid w:val="00107B4A"/>
    <w:rsid w:val="00107C61"/>
    <w:rsid w:val="00107C75"/>
    <w:rsid w:val="00107CB5"/>
    <w:rsid w:val="00107CB7"/>
    <w:rsid w:val="00107CC8"/>
    <w:rsid w:val="00107D3D"/>
    <w:rsid w:val="00107F90"/>
    <w:rsid w:val="00107F96"/>
    <w:rsid w:val="00107FD2"/>
    <w:rsid w:val="001100DF"/>
    <w:rsid w:val="001100EF"/>
    <w:rsid w:val="001100FE"/>
    <w:rsid w:val="00110196"/>
    <w:rsid w:val="00110267"/>
    <w:rsid w:val="00110874"/>
    <w:rsid w:val="0011089C"/>
    <w:rsid w:val="001108D0"/>
    <w:rsid w:val="00110A55"/>
    <w:rsid w:val="00110BB5"/>
    <w:rsid w:val="00110C12"/>
    <w:rsid w:val="00110CE3"/>
    <w:rsid w:val="00110DD7"/>
    <w:rsid w:val="00110E8B"/>
    <w:rsid w:val="00110E8C"/>
    <w:rsid w:val="00110FAE"/>
    <w:rsid w:val="001111C9"/>
    <w:rsid w:val="00111227"/>
    <w:rsid w:val="0011143B"/>
    <w:rsid w:val="0011158D"/>
    <w:rsid w:val="00111798"/>
    <w:rsid w:val="001117D5"/>
    <w:rsid w:val="00111808"/>
    <w:rsid w:val="0011181C"/>
    <w:rsid w:val="0011195B"/>
    <w:rsid w:val="00111A29"/>
    <w:rsid w:val="00111A53"/>
    <w:rsid w:val="00111B65"/>
    <w:rsid w:val="00111D19"/>
    <w:rsid w:val="00111DA3"/>
    <w:rsid w:val="00111DC4"/>
    <w:rsid w:val="00111DC7"/>
    <w:rsid w:val="00111E18"/>
    <w:rsid w:val="00111E65"/>
    <w:rsid w:val="00112002"/>
    <w:rsid w:val="001120DE"/>
    <w:rsid w:val="001122E5"/>
    <w:rsid w:val="00112334"/>
    <w:rsid w:val="00112388"/>
    <w:rsid w:val="001123FB"/>
    <w:rsid w:val="00112435"/>
    <w:rsid w:val="0011247F"/>
    <w:rsid w:val="00112551"/>
    <w:rsid w:val="00112616"/>
    <w:rsid w:val="001126E2"/>
    <w:rsid w:val="00112894"/>
    <w:rsid w:val="00112917"/>
    <w:rsid w:val="00112921"/>
    <w:rsid w:val="001129D8"/>
    <w:rsid w:val="00112A07"/>
    <w:rsid w:val="00112B5E"/>
    <w:rsid w:val="00112E80"/>
    <w:rsid w:val="00112F1F"/>
    <w:rsid w:val="00112F32"/>
    <w:rsid w:val="00112FA0"/>
    <w:rsid w:val="00113094"/>
    <w:rsid w:val="0011347A"/>
    <w:rsid w:val="00113506"/>
    <w:rsid w:val="0011354C"/>
    <w:rsid w:val="00113787"/>
    <w:rsid w:val="001137C4"/>
    <w:rsid w:val="001139CE"/>
    <w:rsid w:val="00113A8D"/>
    <w:rsid w:val="00113C3B"/>
    <w:rsid w:val="00113C43"/>
    <w:rsid w:val="00113C76"/>
    <w:rsid w:val="00113D11"/>
    <w:rsid w:val="00113D49"/>
    <w:rsid w:val="00113DA3"/>
    <w:rsid w:val="00113F31"/>
    <w:rsid w:val="00113F97"/>
    <w:rsid w:val="00114243"/>
    <w:rsid w:val="0011427C"/>
    <w:rsid w:val="0011438D"/>
    <w:rsid w:val="00114578"/>
    <w:rsid w:val="00114879"/>
    <w:rsid w:val="001148AE"/>
    <w:rsid w:val="00114956"/>
    <w:rsid w:val="00114AA5"/>
    <w:rsid w:val="00114B56"/>
    <w:rsid w:val="00114B8A"/>
    <w:rsid w:val="00114BF2"/>
    <w:rsid w:val="00114C6D"/>
    <w:rsid w:val="00114C8D"/>
    <w:rsid w:val="00114D1F"/>
    <w:rsid w:val="00114D7D"/>
    <w:rsid w:val="00114E95"/>
    <w:rsid w:val="00114F1C"/>
    <w:rsid w:val="00114F84"/>
    <w:rsid w:val="001150A1"/>
    <w:rsid w:val="001151F6"/>
    <w:rsid w:val="001151FC"/>
    <w:rsid w:val="00115216"/>
    <w:rsid w:val="001152DF"/>
    <w:rsid w:val="00115327"/>
    <w:rsid w:val="0011535B"/>
    <w:rsid w:val="001155AB"/>
    <w:rsid w:val="0011560E"/>
    <w:rsid w:val="001156A2"/>
    <w:rsid w:val="00115752"/>
    <w:rsid w:val="00115808"/>
    <w:rsid w:val="0011584F"/>
    <w:rsid w:val="001158B7"/>
    <w:rsid w:val="0011597B"/>
    <w:rsid w:val="00115999"/>
    <w:rsid w:val="001159D7"/>
    <w:rsid w:val="00115A17"/>
    <w:rsid w:val="00115A18"/>
    <w:rsid w:val="00115ADF"/>
    <w:rsid w:val="00115BAD"/>
    <w:rsid w:val="00115BE2"/>
    <w:rsid w:val="00115CB1"/>
    <w:rsid w:val="00115CF4"/>
    <w:rsid w:val="00115D7A"/>
    <w:rsid w:val="00115D9B"/>
    <w:rsid w:val="00115ED5"/>
    <w:rsid w:val="00116086"/>
    <w:rsid w:val="00116131"/>
    <w:rsid w:val="001163FA"/>
    <w:rsid w:val="001164F5"/>
    <w:rsid w:val="00116583"/>
    <w:rsid w:val="00116585"/>
    <w:rsid w:val="001165B8"/>
    <w:rsid w:val="00116ACA"/>
    <w:rsid w:val="00116B87"/>
    <w:rsid w:val="00116CB7"/>
    <w:rsid w:val="00116F41"/>
    <w:rsid w:val="00117077"/>
    <w:rsid w:val="001170A9"/>
    <w:rsid w:val="001170AC"/>
    <w:rsid w:val="001171CA"/>
    <w:rsid w:val="001172E0"/>
    <w:rsid w:val="001173E1"/>
    <w:rsid w:val="001175CB"/>
    <w:rsid w:val="001177BC"/>
    <w:rsid w:val="00117823"/>
    <w:rsid w:val="00117871"/>
    <w:rsid w:val="001178BE"/>
    <w:rsid w:val="00117B10"/>
    <w:rsid w:val="00117B1D"/>
    <w:rsid w:val="00117D0E"/>
    <w:rsid w:val="00117D41"/>
    <w:rsid w:val="00117DE9"/>
    <w:rsid w:val="00117F58"/>
    <w:rsid w:val="001203DA"/>
    <w:rsid w:val="00120587"/>
    <w:rsid w:val="0012059D"/>
    <w:rsid w:val="00120AA6"/>
    <w:rsid w:val="00120AD2"/>
    <w:rsid w:val="00120AE3"/>
    <w:rsid w:val="00120D2B"/>
    <w:rsid w:val="00120DA6"/>
    <w:rsid w:val="00120F4E"/>
    <w:rsid w:val="00120F6C"/>
    <w:rsid w:val="0012111B"/>
    <w:rsid w:val="0012112B"/>
    <w:rsid w:val="00121146"/>
    <w:rsid w:val="0012125F"/>
    <w:rsid w:val="001212B5"/>
    <w:rsid w:val="001212BC"/>
    <w:rsid w:val="001212BD"/>
    <w:rsid w:val="001212DF"/>
    <w:rsid w:val="0012156D"/>
    <w:rsid w:val="0012171F"/>
    <w:rsid w:val="00121760"/>
    <w:rsid w:val="00121871"/>
    <w:rsid w:val="00121A5A"/>
    <w:rsid w:val="00121B53"/>
    <w:rsid w:val="00121BB5"/>
    <w:rsid w:val="00121D6F"/>
    <w:rsid w:val="00121E0C"/>
    <w:rsid w:val="00121EAE"/>
    <w:rsid w:val="00121F02"/>
    <w:rsid w:val="00121F80"/>
    <w:rsid w:val="0012202B"/>
    <w:rsid w:val="00122164"/>
    <w:rsid w:val="001221F8"/>
    <w:rsid w:val="00122220"/>
    <w:rsid w:val="0012222D"/>
    <w:rsid w:val="001222AA"/>
    <w:rsid w:val="001222BD"/>
    <w:rsid w:val="00122400"/>
    <w:rsid w:val="00122467"/>
    <w:rsid w:val="00122488"/>
    <w:rsid w:val="001225A9"/>
    <w:rsid w:val="001227B2"/>
    <w:rsid w:val="00122873"/>
    <w:rsid w:val="00122899"/>
    <w:rsid w:val="00122991"/>
    <w:rsid w:val="00122AC7"/>
    <w:rsid w:val="00122C57"/>
    <w:rsid w:val="00122CD4"/>
    <w:rsid w:val="00122E95"/>
    <w:rsid w:val="00122F22"/>
    <w:rsid w:val="00123079"/>
    <w:rsid w:val="00123288"/>
    <w:rsid w:val="001233A9"/>
    <w:rsid w:val="001236D4"/>
    <w:rsid w:val="00123ADF"/>
    <w:rsid w:val="00123C30"/>
    <w:rsid w:val="00123C46"/>
    <w:rsid w:val="00123CBD"/>
    <w:rsid w:val="00123D9E"/>
    <w:rsid w:val="00123E34"/>
    <w:rsid w:val="00124105"/>
    <w:rsid w:val="00124136"/>
    <w:rsid w:val="001242D1"/>
    <w:rsid w:val="001246CF"/>
    <w:rsid w:val="001246F4"/>
    <w:rsid w:val="00124AA8"/>
    <w:rsid w:val="00124B53"/>
    <w:rsid w:val="00124BD3"/>
    <w:rsid w:val="00124E83"/>
    <w:rsid w:val="00125151"/>
    <w:rsid w:val="00125348"/>
    <w:rsid w:val="0012549E"/>
    <w:rsid w:val="00125526"/>
    <w:rsid w:val="0012563F"/>
    <w:rsid w:val="001257DB"/>
    <w:rsid w:val="00125864"/>
    <w:rsid w:val="001259DA"/>
    <w:rsid w:val="00125BF7"/>
    <w:rsid w:val="00125C2D"/>
    <w:rsid w:val="00125C49"/>
    <w:rsid w:val="00125C73"/>
    <w:rsid w:val="00125CAE"/>
    <w:rsid w:val="00125D8D"/>
    <w:rsid w:val="00125D94"/>
    <w:rsid w:val="00125DFE"/>
    <w:rsid w:val="00125E5E"/>
    <w:rsid w:val="00125F96"/>
    <w:rsid w:val="00125FB1"/>
    <w:rsid w:val="001261D1"/>
    <w:rsid w:val="001262F9"/>
    <w:rsid w:val="0012646D"/>
    <w:rsid w:val="00126648"/>
    <w:rsid w:val="001266C9"/>
    <w:rsid w:val="001266ED"/>
    <w:rsid w:val="00126710"/>
    <w:rsid w:val="0012674F"/>
    <w:rsid w:val="001267ED"/>
    <w:rsid w:val="00126800"/>
    <w:rsid w:val="00126847"/>
    <w:rsid w:val="001268AB"/>
    <w:rsid w:val="00126C1A"/>
    <w:rsid w:val="00126C3D"/>
    <w:rsid w:val="00126C94"/>
    <w:rsid w:val="00126C95"/>
    <w:rsid w:val="00126CF0"/>
    <w:rsid w:val="00126DEE"/>
    <w:rsid w:val="001271C0"/>
    <w:rsid w:val="00127229"/>
    <w:rsid w:val="0012728B"/>
    <w:rsid w:val="001272ED"/>
    <w:rsid w:val="001274DD"/>
    <w:rsid w:val="0012774E"/>
    <w:rsid w:val="001277A2"/>
    <w:rsid w:val="001277F9"/>
    <w:rsid w:val="001278DB"/>
    <w:rsid w:val="00127B04"/>
    <w:rsid w:val="00127D43"/>
    <w:rsid w:val="00127E7F"/>
    <w:rsid w:val="00127EE0"/>
    <w:rsid w:val="00127F03"/>
    <w:rsid w:val="00127F6E"/>
    <w:rsid w:val="00127FA7"/>
    <w:rsid w:val="001300E6"/>
    <w:rsid w:val="00130270"/>
    <w:rsid w:val="00130482"/>
    <w:rsid w:val="001304FF"/>
    <w:rsid w:val="0013050A"/>
    <w:rsid w:val="0013055D"/>
    <w:rsid w:val="001306B4"/>
    <w:rsid w:val="0013077F"/>
    <w:rsid w:val="001307F5"/>
    <w:rsid w:val="00130825"/>
    <w:rsid w:val="0013091F"/>
    <w:rsid w:val="001309E1"/>
    <w:rsid w:val="00130AFF"/>
    <w:rsid w:val="00130B4D"/>
    <w:rsid w:val="00130B69"/>
    <w:rsid w:val="00130C6A"/>
    <w:rsid w:val="00130DA9"/>
    <w:rsid w:val="00130E16"/>
    <w:rsid w:val="00130F39"/>
    <w:rsid w:val="00130FF4"/>
    <w:rsid w:val="001310F6"/>
    <w:rsid w:val="001311AF"/>
    <w:rsid w:val="0013149A"/>
    <w:rsid w:val="00131561"/>
    <w:rsid w:val="00131A11"/>
    <w:rsid w:val="00131B7F"/>
    <w:rsid w:val="00131B95"/>
    <w:rsid w:val="00131C0A"/>
    <w:rsid w:val="00131E81"/>
    <w:rsid w:val="00131FB2"/>
    <w:rsid w:val="00131FBD"/>
    <w:rsid w:val="00132039"/>
    <w:rsid w:val="00132164"/>
    <w:rsid w:val="00132617"/>
    <w:rsid w:val="001326D7"/>
    <w:rsid w:val="00132728"/>
    <w:rsid w:val="0013292C"/>
    <w:rsid w:val="00132BAF"/>
    <w:rsid w:val="00132C37"/>
    <w:rsid w:val="00132CEA"/>
    <w:rsid w:val="00132FE7"/>
    <w:rsid w:val="001330BB"/>
    <w:rsid w:val="0013325C"/>
    <w:rsid w:val="0013333A"/>
    <w:rsid w:val="0013343D"/>
    <w:rsid w:val="00133465"/>
    <w:rsid w:val="00133469"/>
    <w:rsid w:val="001335D5"/>
    <w:rsid w:val="00133640"/>
    <w:rsid w:val="00133683"/>
    <w:rsid w:val="001336E4"/>
    <w:rsid w:val="001337A8"/>
    <w:rsid w:val="00133823"/>
    <w:rsid w:val="0013394A"/>
    <w:rsid w:val="00133A68"/>
    <w:rsid w:val="00133B31"/>
    <w:rsid w:val="00133BBB"/>
    <w:rsid w:val="00133BC7"/>
    <w:rsid w:val="00133D32"/>
    <w:rsid w:val="00133D89"/>
    <w:rsid w:val="00133E1B"/>
    <w:rsid w:val="00133E5B"/>
    <w:rsid w:val="00133E68"/>
    <w:rsid w:val="00133F10"/>
    <w:rsid w:val="00133FA2"/>
    <w:rsid w:val="0013418A"/>
    <w:rsid w:val="00134296"/>
    <w:rsid w:val="00134501"/>
    <w:rsid w:val="0013462B"/>
    <w:rsid w:val="0013469B"/>
    <w:rsid w:val="001347A5"/>
    <w:rsid w:val="00134923"/>
    <w:rsid w:val="00134A54"/>
    <w:rsid w:val="00134B25"/>
    <w:rsid w:val="00134BF3"/>
    <w:rsid w:val="00134D64"/>
    <w:rsid w:val="00134DE9"/>
    <w:rsid w:val="00134E7C"/>
    <w:rsid w:val="00135063"/>
    <w:rsid w:val="00135103"/>
    <w:rsid w:val="001351D2"/>
    <w:rsid w:val="001351E4"/>
    <w:rsid w:val="001352CE"/>
    <w:rsid w:val="00135344"/>
    <w:rsid w:val="0013537E"/>
    <w:rsid w:val="00135630"/>
    <w:rsid w:val="00135831"/>
    <w:rsid w:val="00135BF5"/>
    <w:rsid w:val="00135C1B"/>
    <w:rsid w:val="00135C7A"/>
    <w:rsid w:val="00135D96"/>
    <w:rsid w:val="00135DD4"/>
    <w:rsid w:val="00135EC0"/>
    <w:rsid w:val="00135ED1"/>
    <w:rsid w:val="001360D6"/>
    <w:rsid w:val="001361C3"/>
    <w:rsid w:val="0013628D"/>
    <w:rsid w:val="00136387"/>
    <w:rsid w:val="001364E3"/>
    <w:rsid w:val="00136531"/>
    <w:rsid w:val="00136B51"/>
    <w:rsid w:val="00136ED9"/>
    <w:rsid w:val="00136F87"/>
    <w:rsid w:val="001370D0"/>
    <w:rsid w:val="001372AB"/>
    <w:rsid w:val="001372D9"/>
    <w:rsid w:val="0013733A"/>
    <w:rsid w:val="001374BD"/>
    <w:rsid w:val="00137617"/>
    <w:rsid w:val="0013769F"/>
    <w:rsid w:val="00137740"/>
    <w:rsid w:val="00137C05"/>
    <w:rsid w:val="00137CCB"/>
    <w:rsid w:val="00137CEF"/>
    <w:rsid w:val="00137DC0"/>
    <w:rsid w:val="0014001B"/>
    <w:rsid w:val="0014009F"/>
    <w:rsid w:val="001401CE"/>
    <w:rsid w:val="001403FD"/>
    <w:rsid w:val="00140421"/>
    <w:rsid w:val="001404D0"/>
    <w:rsid w:val="00140672"/>
    <w:rsid w:val="00140683"/>
    <w:rsid w:val="00140814"/>
    <w:rsid w:val="001409E3"/>
    <w:rsid w:val="00140A2A"/>
    <w:rsid w:val="00140A64"/>
    <w:rsid w:val="00140B64"/>
    <w:rsid w:val="00140D52"/>
    <w:rsid w:val="00140DBB"/>
    <w:rsid w:val="00140FE6"/>
    <w:rsid w:val="0014106C"/>
    <w:rsid w:val="001410F2"/>
    <w:rsid w:val="0014113E"/>
    <w:rsid w:val="001411ED"/>
    <w:rsid w:val="001412B3"/>
    <w:rsid w:val="001414D5"/>
    <w:rsid w:val="001414E8"/>
    <w:rsid w:val="001416A6"/>
    <w:rsid w:val="001418BC"/>
    <w:rsid w:val="001418D1"/>
    <w:rsid w:val="00141913"/>
    <w:rsid w:val="00141A0D"/>
    <w:rsid w:val="00141A44"/>
    <w:rsid w:val="00141B38"/>
    <w:rsid w:val="00141C8A"/>
    <w:rsid w:val="00141DDD"/>
    <w:rsid w:val="00141E5C"/>
    <w:rsid w:val="00141E79"/>
    <w:rsid w:val="00141F97"/>
    <w:rsid w:val="00141FB8"/>
    <w:rsid w:val="00141FC5"/>
    <w:rsid w:val="00142045"/>
    <w:rsid w:val="00142076"/>
    <w:rsid w:val="0014213C"/>
    <w:rsid w:val="001421CF"/>
    <w:rsid w:val="001422B4"/>
    <w:rsid w:val="001422C6"/>
    <w:rsid w:val="001423D4"/>
    <w:rsid w:val="00142552"/>
    <w:rsid w:val="00142773"/>
    <w:rsid w:val="0014280F"/>
    <w:rsid w:val="00142955"/>
    <w:rsid w:val="00142B12"/>
    <w:rsid w:val="00142B28"/>
    <w:rsid w:val="00142B84"/>
    <w:rsid w:val="00142CBF"/>
    <w:rsid w:val="00142CF5"/>
    <w:rsid w:val="00142DAA"/>
    <w:rsid w:val="00142EC5"/>
    <w:rsid w:val="00142F00"/>
    <w:rsid w:val="00142F95"/>
    <w:rsid w:val="001430A9"/>
    <w:rsid w:val="001430E7"/>
    <w:rsid w:val="001431D4"/>
    <w:rsid w:val="001432D2"/>
    <w:rsid w:val="00143487"/>
    <w:rsid w:val="0014349E"/>
    <w:rsid w:val="00143626"/>
    <w:rsid w:val="00143745"/>
    <w:rsid w:val="001437F3"/>
    <w:rsid w:val="00143884"/>
    <w:rsid w:val="001439E3"/>
    <w:rsid w:val="00143B06"/>
    <w:rsid w:val="00143C36"/>
    <w:rsid w:val="00143C85"/>
    <w:rsid w:val="00143C93"/>
    <w:rsid w:val="00143EFF"/>
    <w:rsid w:val="00143F51"/>
    <w:rsid w:val="00143F68"/>
    <w:rsid w:val="00143FC2"/>
    <w:rsid w:val="00143FF6"/>
    <w:rsid w:val="001440F6"/>
    <w:rsid w:val="0014414C"/>
    <w:rsid w:val="0014430A"/>
    <w:rsid w:val="0014430B"/>
    <w:rsid w:val="00144471"/>
    <w:rsid w:val="001444E7"/>
    <w:rsid w:val="0014477B"/>
    <w:rsid w:val="00144819"/>
    <w:rsid w:val="0014484E"/>
    <w:rsid w:val="001448B5"/>
    <w:rsid w:val="00144AE7"/>
    <w:rsid w:val="00144BBB"/>
    <w:rsid w:val="00144C98"/>
    <w:rsid w:val="00144CAD"/>
    <w:rsid w:val="00144D27"/>
    <w:rsid w:val="0014513C"/>
    <w:rsid w:val="00145281"/>
    <w:rsid w:val="001453DA"/>
    <w:rsid w:val="0014540C"/>
    <w:rsid w:val="00145537"/>
    <w:rsid w:val="0014565E"/>
    <w:rsid w:val="001456F5"/>
    <w:rsid w:val="001457D6"/>
    <w:rsid w:val="0014591B"/>
    <w:rsid w:val="00145923"/>
    <w:rsid w:val="00145BDF"/>
    <w:rsid w:val="00145BF6"/>
    <w:rsid w:val="00145C06"/>
    <w:rsid w:val="00145DE4"/>
    <w:rsid w:val="00145F72"/>
    <w:rsid w:val="00145FB2"/>
    <w:rsid w:val="00146172"/>
    <w:rsid w:val="001462C7"/>
    <w:rsid w:val="00146377"/>
    <w:rsid w:val="0014659E"/>
    <w:rsid w:val="0014665B"/>
    <w:rsid w:val="00146717"/>
    <w:rsid w:val="001469E8"/>
    <w:rsid w:val="00146C4C"/>
    <w:rsid w:val="00146D4B"/>
    <w:rsid w:val="00146EFF"/>
    <w:rsid w:val="00146F27"/>
    <w:rsid w:val="001473E8"/>
    <w:rsid w:val="001473F6"/>
    <w:rsid w:val="0014767D"/>
    <w:rsid w:val="001476EA"/>
    <w:rsid w:val="0014787A"/>
    <w:rsid w:val="001479A3"/>
    <w:rsid w:val="00147AD7"/>
    <w:rsid w:val="00147B53"/>
    <w:rsid w:val="00147C3F"/>
    <w:rsid w:val="00147FDF"/>
    <w:rsid w:val="00150017"/>
    <w:rsid w:val="00150052"/>
    <w:rsid w:val="0015006B"/>
    <w:rsid w:val="001500EA"/>
    <w:rsid w:val="00150505"/>
    <w:rsid w:val="00150704"/>
    <w:rsid w:val="001507CE"/>
    <w:rsid w:val="001507D7"/>
    <w:rsid w:val="00150949"/>
    <w:rsid w:val="00150ACE"/>
    <w:rsid w:val="00150B6E"/>
    <w:rsid w:val="00150BFB"/>
    <w:rsid w:val="00150C18"/>
    <w:rsid w:val="00150D1D"/>
    <w:rsid w:val="00150D24"/>
    <w:rsid w:val="00150D6D"/>
    <w:rsid w:val="00150FF8"/>
    <w:rsid w:val="00151011"/>
    <w:rsid w:val="0015104F"/>
    <w:rsid w:val="0015116A"/>
    <w:rsid w:val="00151523"/>
    <w:rsid w:val="0015153F"/>
    <w:rsid w:val="001515C9"/>
    <w:rsid w:val="00151688"/>
    <w:rsid w:val="00151946"/>
    <w:rsid w:val="00151A36"/>
    <w:rsid w:val="00151A94"/>
    <w:rsid w:val="00151BE3"/>
    <w:rsid w:val="00151C2F"/>
    <w:rsid w:val="00151C33"/>
    <w:rsid w:val="00151D10"/>
    <w:rsid w:val="00151F49"/>
    <w:rsid w:val="00151FE7"/>
    <w:rsid w:val="00152018"/>
    <w:rsid w:val="001520E4"/>
    <w:rsid w:val="00152277"/>
    <w:rsid w:val="001522CF"/>
    <w:rsid w:val="001524C0"/>
    <w:rsid w:val="0015251E"/>
    <w:rsid w:val="00152644"/>
    <w:rsid w:val="00152742"/>
    <w:rsid w:val="0015280E"/>
    <w:rsid w:val="00152815"/>
    <w:rsid w:val="0015284D"/>
    <w:rsid w:val="00152939"/>
    <w:rsid w:val="00152993"/>
    <w:rsid w:val="00152AFF"/>
    <w:rsid w:val="00152C8F"/>
    <w:rsid w:val="001531D3"/>
    <w:rsid w:val="0015331C"/>
    <w:rsid w:val="00153329"/>
    <w:rsid w:val="0015338B"/>
    <w:rsid w:val="001533D0"/>
    <w:rsid w:val="001533EC"/>
    <w:rsid w:val="0015340B"/>
    <w:rsid w:val="001534C1"/>
    <w:rsid w:val="001535F0"/>
    <w:rsid w:val="001536DC"/>
    <w:rsid w:val="00153BB2"/>
    <w:rsid w:val="00153C1C"/>
    <w:rsid w:val="00153DD0"/>
    <w:rsid w:val="00153F37"/>
    <w:rsid w:val="00154168"/>
    <w:rsid w:val="0015431D"/>
    <w:rsid w:val="00154453"/>
    <w:rsid w:val="00154465"/>
    <w:rsid w:val="001544D4"/>
    <w:rsid w:val="00154502"/>
    <w:rsid w:val="0015450F"/>
    <w:rsid w:val="0015459D"/>
    <w:rsid w:val="001545C9"/>
    <w:rsid w:val="0015467B"/>
    <w:rsid w:val="001546A7"/>
    <w:rsid w:val="001546F2"/>
    <w:rsid w:val="00154776"/>
    <w:rsid w:val="00154853"/>
    <w:rsid w:val="00154906"/>
    <w:rsid w:val="00154A0A"/>
    <w:rsid w:val="00154A16"/>
    <w:rsid w:val="00154A78"/>
    <w:rsid w:val="00154AD3"/>
    <w:rsid w:val="00154B00"/>
    <w:rsid w:val="00154BBC"/>
    <w:rsid w:val="00154C88"/>
    <w:rsid w:val="0015505F"/>
    <w:rsid w:val="00155163"/>
    <w:rsid w:val="00155214"/>
    <w:rsid w:val="001552E4"/>
    <w:rsid w:val="00155311"/>
    <w:rsid w:val="0015533F"/>
    <w:rsid w:val="00155443"/>
    <w:rsid w:val="001554B2"/>
    <w:rsid w:val="00155751"/>
    <w:rsid w:val="0015577D"/>
    <w:rsid w:val="001559E6"/>
    <w:rsid w:val="00155D88"/>
    <w:rsid w:val="00155EE9"/>
    <w:rsid w:val="00155FD1"/>
    <w:rsid w:val="00156170"/>
    <w:rsid w:val="00156175"/>
    <w:rsid w:val="001563AA"/>
    <w:rsid w:val="00156407"/>
    <w:rsid w:val="00156499"/>
    <w:rsid w:val="0015673B"/>
    <w:rsid w:val="001567D9"/>
    <w:rsid w:val="00156A07"/>
    <w:rsid w:val="00156A40"/>
    <w:rsid w:val="00156A83"/>
    <w:rsid w:val="00156BD5"/>
    <w:rsid w:val="00156DF0"/>
    <w:rsid w:val="00156E1C"/>
    <w:rsid w:val="00156E47"/>
    <w:rsid w:val="00156EBF"/>
    <w:rsid w:val="00156F88"/>
    <w:rsid w:val="00156FDA"/>
    <w:rsid w:val="0015704D"/>
    <w:rsid w:val="0015707E"/>
    <w:rsid w:val="00157092"/>
    <w:rsid w:val="00157137"/>
    <w:rsid w:val="0015715D"/>
    <w:rsid w:val="0015718A"/>
    <w:rsid w:val="00157341"/>
    <w:rsid w:val="001573E1"/>
    <w:rsid w:val="00157478"/>
    <w:rsid w:val="00157499"/>
    <w:rsid w:val="001575F2"/>
    <w:rsid w:val="0015760F"/>
    <w:rsid w:val="001576F0"/>
    <w:rsid w:val="00157794"/>
    <w:rsid w:val="001578EC"/>
    <w:rsid w:val="00157A18"/>
    <w:rsid w:val="00157ABE"/>
    <w:rsid w:val="00157AEA"/>
    <w:rsid w:val="00157B56"/>
    <w:rsid w:val="00157BF3"/>
    <w:rsid w:val="00157C0F"/>
    <w:rsid w:val="00157C89"/>
    <w:rsid w:val="00157D80"/>
    <w:rsid w:val="00160143"/>
    <w:rsid w:val="001601D8"/>
    <w:rsid w:val="00160249"/>
    <w:rsid w:val="00160302"/>
    <w:rsid w:val="001603B8"/>
    <w:rsid w:val="0016047A"/>
    <w:rsid w:val="001604B1"/>
    <w:rsid w:val="001605BB"/>
    <w:rsid w:val="001605D5"/>
    <w:rsid w:val="00160739"/>
    <w:rsid w:val="0016082D"/>
    <w:rsid w:val="00160933"/>
    <w:rsid w:val="001609F5"/>
    <w:rsid w:val="00160AAE"/>
    <w:rsid w:val="00160B9C"/>
    <w:rsid w:val="00160DC8"/>
    <w:rsid w:val="00160F60"/>
    <w:rsid w:val="0016131F"/>
    <w:rsid w:val="00161463"/>
    <w:rsid w:val="00161484"/>
    <w:rsid w:val="00161645"/>
    <w:rsid w:val="001618AA"/>
    <w:rsid w:val="0016191C"/>
    <w:rsid w:val="00161A5E"/>
    <w:rsid w:val="00161C09"/>
    <w:rsid w:val="00161D49"/>
    <w:rsid w:val="00161E75"/>
    <w:rsid w:val="00161F37"/>
    <w:rsid w:val="00161FAE"/>
    <w:rsid w:val="00162112"/>
    <w:rsid w:val="001622A5"/>
    <w:rsid w:val="0016238C"/>
    <w:rsid w:val="0016245F"/>
    <w:rsid w:val="0016256A"/>
    <w:rsid w:val="001626BA"/>
    <w:rsid w:val="001626E3"/>
    <w:rsid w:val="00162757"/>
    <w:rsid w:val="001628B5"/>
    <w:rsid w:val="0016298E"/>
    <w:rsid w:val="001629E8"/>
    <w:rsid w:val="00162DE5"/>
    <w:rsid w:val="00162E97"/>
    <w:rsid w:val="00162EDC"/>
    <w:rsid w:val="00162F09"/>
    <w:rsid w:val="00163015"/>
    <w:rsid w:val="0016315E"/>
    <w:rsid w:val="00163269"/>
    <w:rsid w:val="00163287"/>
    <w:rsid w:val="00163300"/>
    <w:rsid w:val="001633DB"/>
    <w:rsid w:val="00163412"/>
    <w:rsid w:val="001634BF"/>
    <w:rsid w:val="0016358B"/>
    <w:rsid w:val="00163669"/>
    <w:rsid w:val="0016382D"/>
    <w:rsid w:val="001639F3"/>
    <w:rsid w:val="00163A17"/>
    <w:rsid w:val="00163AE9"/>
    <w:rsid w:val="00163AF0"/>
    <w:rsid w:val="00163B24"/>
    <w:rsid w:val="00163BA7"/>
    <w:rsid w:val="00163D1A"/>
    <w:rsid w:val="00163D38"/>
    <w:rsid w:val="00163D40"/>
    <w:rsid w:val="00163D5F"/>
    <w:rsid w:val="00163E6C"/>
    <w:rsid w:val="00163EC3"/>
    <w:rsid w:val="00163FF7"/>
    <w:rsid w:val="0016409E"/>
    <w:rsid w:val="00164182"/>
    <w:rsid w:val="001641A6"/>
    <w:rsid w:val="001641EE"/>
    <w:rsid w:val="001641FE"/>
    <w:rsid w:val="0016421E"/>
    <w:rsid w:val="001642E0"/>
    <w:rsid w:val="001644DA"/>
    <w:rsid w:val="00164544"/>
    <w:rsid w:val="0016456F"/>
    <w:rsid w:val="001645F6"/>
    <w:rsid w:val="001645FE"/>
    <w:rsid w:val="001647CB"/>
    <w:rsid w:val="0016490E"/>
    <w:rsid w:val="00164BF5"/>
    <w:rsid w:val="00164D4B"/>
    <w:rsid w:val="00164D57"/>
    <w:rsid w:val="00164DB6"/>
    <w:rsid w:val="00164E09"/>
    <w:rsid w:val="00164F72"/>
    <w:rsid w:val="00164FE1"/>
    <w:rsid w:val="00165237"/>
    <w:rsid w:val="001652C0"/>
    <w:rsid w:val="0016546A"/>
    <w:rsid w:val="0016568A"/>
    <w:rsid w:val="00165732"/>
    <w:rsid w:val="00165766"/>
    <w:rsid w:val="0016577B"/>
    <w:rsid w:val="001658D5"/>
    <w:rsid w:val="00165950"/>
    <w:rsid w:val="00165A38"/>
    <w:rsid w:val="00165B67"/>
    <w:rsid w:val="00165C10"/>
    <w:rsid w:val="00165C7C"/>
    <w:rsid w:val="00165D53"/>
    <w:rsid w:val="00165EAF"/>
    <w:rsid w:val="00166045"/>
    <w:rsid w:val="0016608A"/>
    <w:rsid w:val="001660EF"/>
    <w:rsid w:val="00166300"/>
    <w:rsid w:val="00166327"/>
    <w:rsid w:val="0016645E"/>
    <w:rsid w:val="001664DC"/>
    <w:rsid w:val="00166578"/>
    <w:rsid w:val="00166631"/>
    <w:rsid w:val="001666ED"/>
    <w:rsid w:val="00166798"/>
    <w:rsid w:val="0016688D"/>
    <w:rsid w:val="001668E5"/>
    <w:rsid w:val="00166B07"/>
    <w:rsid w:val="00166FD8"/>
    <w:rsid w:val="00167022"/>
    <w:rsid w:val="00167112"/>
    <w:rsid w:val="00167215"/>
    <w:rsid w:val="0016739C"/>
    <w:rsid w:val="001673A4"/>
    <w:rsid w:val="001673E0"/>
    <w:rsid w:val="00167493"/>
    <w:rsid w:val="001674E4"/>
    <w:rsid w:val="00167500"/>
    <w:rsid w:val="00167558"/>
    <w:rsid w:val="00167567"/>
    <w:rsid w:val="0016770A"/>
    <w:rsid w:val="001677C3"/>
    <w:rsid w:val="0016782C"/>
    <w:rsid w:val="001678DE"/>
    <w:rsid w:val="00167ADF"/>
    <w:rsid w:val="00167BE7"/>
    <w:rsid w:val="00167C56"/>
    <w:rsid w:val="00167CD6"/>
    <w:rsid w:val="00167DB4"/>
    <w:rsid w:val="00167E40"/>
    <w:rsid w:val="00167F79"/>
    <w:rsid w:val="001700FA"/>
    <w:rsid w:val="0017018A"/>
    <w:rsid w:val="001701B3"/>
    <w:rsid w:val="0017023C"/>
    <w:rsid w:val="001703AE"/>
    <w:rsid w:val="0017040D"/>
    <w:rsid w:val="00170414"/>
    <w:rsid w:val="00170558"/>
    <w:rsid w:val="0017056D"/>
    <w:rsid w:val="001705A6"/>
    <w:rsid w:val="001708A7"/>
    <w:rsid w:val="00170BDC"/>
    <w:rsid w:val="00170BE5"/>
    <w:rsid w:val="00170D1D"/>
    <w:rsid w:val="00170D41"/>
    <w:rsid w:val="00171083"/>
    <w:rsid w:val="001710A9"/>
    <w:rsid w:val="00171110"/>
    <w:rsid w:val="00171216"/>
    <w:rsid w:val="00171236"/>
    <w:rsid w:val="00171271"/>
    <w:rsid w:val="001712B8"/>
    <w:rsid w:val="0017137C"/>
    <w:rsid w:val="0017148A"/>
    <w:rsid w:val="001714DF"/>
    <w:rsid w:val="001715B4"/>
    <w:rsid w:val="001716E8"/>
    <w:rsid w:val="0017194C"/>
    <w:rsid w:val="00171A2F"/>
    <w:rsid w:val="00171A53"/>
    <w:rsid w:val="00171A71"/>
    <w:rsid w:val="00171B91"/>
    <w:rsid w:val="00171C35"/>
    <w:rsid w:val="00171D53"/>
    <w:rsid w:val="00171DBC"/>
    <w:rsid w:val="00171ED3"/>
    <w:rsid w:val="00171F62"/>
    <w:rsid w:val="00171F7B"/>
    <w:rsid w:val="00171FEA"/>
    <w:rsid w:val="00172019"/>
    <w:rsid w:val="001721C1"/>
    <w:rsid w:val="00172242"/>
    <w:rsid w:val="0017235C"/>
    <w:rsid w:val="00172402"/>
    <w:rsid w:val="00172901"/>
    <w:rsid w:val="00172C18"/>
    <w:rsid w:val="00172CA2"/>
    <w:rsid w:val="00172DDD"/>
    <w:rsid w:val="00172DDE"/>
    <w:rsid w:val="00172F10"/>
    <w:rsid w:val="00172F4F"/>
    <w:rsid w:val="00172FB9"/>
    <w:rsid w:val="001731F7"/>
    <w:rsid w:val="00173221"/>
    <w:rsid w:val="00173414"/>
    <w:rsid w:val="00173459"/>
    <w:rsid w:val="0017346A"/>
    <w:rsid w:val="001737A6"/>
    <w:rsid w:val="001738E7"/>
    <w:rsid w:val="001739DE"/>
    <w:rsid w:val="00173A12"/>
    <w:rsid w:val="00173A40"/>
    <w:rsid w:val="00173A6C"/>
    <w:rsid w:val="00173A72"/>
    <w:rsid w:val="00173B45"/>
    <w:rsid w:val="00173D6D"/>
    <w:rsid w:val="00173E27"/>
    <w:rsid w:val="00173F6D"/>
    <w:rsid w:val="00174078"/>
    <w:rsid w:val="001741B3"/>
    <w:rsid w:val="001745C7"/>
    <w:rsid w:val="00174750"/>
    <w:rsid w:val="0017476E"/>
    <w:rsid w:val="00174830"/>
    <w:rsid w:val="00174899"/>
    <w:rsid w:val="001748C2"/>
    <w:rsid w:val="001748F6"/>
    <w:rsid w:val="00174B3F"/>
    <w:rsid w:val="00174C2C"/>
    <w:rsid w:val="00174C31"/>
    <w:rsid w:val="00174D8D"/>
    <w:rsid w:val="00174E1F"/>
    <w:rsid w:val="00174E43"/>
    <w:rsid w:val="00174ECB"/>
    <w:rsid w:val="00174F46"/>
    <w:rsid w:val="00174F89"/>
    <w:rsid w:val="00175025"/>
    <w:rsid w:val="0017514B"/>
    <w:rsid w:val="0017518E"/>
    <w:rsid w:val="001753E3"/>
    <w:rsid w:val="00175646"/>
    <w:rsid w:val="0017566D"/>
    <w:rsid w:val="0017569E"/>
    <w:rsid w:val="00175738"/>
    <w:rsid w:val="0017583D"/>
    <w:rsid w:val="00175A9B"/>
    <w:rsid w:val="00175B27"/>
    <w:rsid w:val="00175BBC"/>
    <w:rsid w:val="00175C1C"/>
    <w:rsid w:val="00175C78"/>
    <w:rsid w:val="00175D10"/>
    <w:rsid w:val="00175D77"/>
    <w:rsid w:val="00175E03"/>
    <w:rsid w:val="00175E39"/>
    <w:rsid w:val="00175E95"/>
    <w:rsid w:val="00175F29"/>
    <w:rsid w:val="00175F33"/>
    <w:rsid w:val="00176009"/>
    <w:rsid w:val="00176231"/>
    <w:rsid w:val="0017633C"/>
    <w:rsid w:val="00176381"/>
    <w:rsid w:val="00176426"/>
    <w:rsid w:val="0017665E"/>
    <w:rsid w:val="0017685E"/>
    <w:rsid w:val="001768CF"/>
    <w:rsid w:val="001769A4"/>
    <w:rsid w:val="00176A46"/>
    <w:rsid w:val="00176AFC"/>
    <w:rsid w:val="00176B22"/>
    <w:rsid w:val="00176BF1"/>
    <w:rsid w:val="00176CEE"/>
    <w:rsid w:val="00176E15"/>
    <w:rsid w:val="00176EA0"/>
    <w:rsid w:val="00176EAB"/>
    <w:rsid w:val="00176F5E"/>
    <w:rsid w:val="001770B2"/>
    <w:rsid w:val="001770C4"/>
    <w:rsid w:val="001770FA"/>
    <w:rsid w:val="001771C1"/>
    <w:rsid w:val="0017726C"/>
    <w:rsid w:val="0017736C"/>
    <w:rsid w:val="001773B3"/>
    <w:rsid w:val="00177453"/>
    <w:rsid w:val="00177882"/>
    <w:rsid w:val="00177885"/>
    <w:rsid w:val="00177964"/>
    <w:rsid w:val="001779D7"/>
    <w:rsid w:val="00177CAA"/>
    <w:rsid w:val="00177CC8"/>
    <w:rsid w:val="00177F52"/>
    <w:rsid w:val="00177F71"/>
    <w:rsid w:val="00177FD0"/>
    <w:rsid w:val="0018003F"/>
    <w:rsid w:val="00180342"/>
    <w:rsid w:val="0018039A"/>
    <w:rsid w:val="001803D0"/>
    <w:rsid w:val="00180499"/>
    <w:rsid w:val="001804C9"/>
    <w:rsid w:val="0018052A"/>
    <w:rsid w:val="00180746"/>
    <w:rsid w:val="00180770"/>
    <w:rsid w:val="00180891"/>
    <w:rsid w:val="001808EB"/>
    <w:rsid w:val="00180906"/>
    <w:rsid w:val="0018092E"/>
    <w:rsid w:val="00180A51"/>
    <w:rsid w:val="00180D43"/>
    <w:rsid w:val="00180D7E"/>
    <w:rsid w:val="00180EEE"/>
    <w:rsid w:val="00180F15"/>
    <w:rsid w:val="0018113D"/>
    <w:rsid w:val="0018115A"/>
    <w:rsid w:val="00181299"/>
    <w:rsid w:val="001812E5"/>
    <w:rsid w:val="001813D5"/>
    <w:rsid w:val="001813ED"/>
    <w:rsid w:val="00181411"/>
    <w:rsid w:val="00181899"/>
    <w:rsid w:val="00181A01"/>
    <w:rsid w:val="00181BEA"/>
    <w:rsid w:val="00181C46"/>
    <w:rsid w:val="00181C6B"/>
    <w:rsid w:val="00181CF6"/>
    <w:rsid w:val="00181CF8"/>
    <w:rsid w:val="00181EAA"/>
    <w:rsid w:val="00181F33"/>
    <w:rsid w:val="00181F41"/>
    <w:rsid w:val="00181F78"/>
    <w:rsid w:val="001820A6"/>
    <w:rsid w:val="00182112"/>
    <w:rsid w:val="0018238A"/>
    <w:rsid w:val="0018256B"/>
    <w:rsid w:val="0018259C"/>
    <w:rsid w:val="0018286A"/>
    <w:rsid w:val="001828B7"/>
    <w:rsid w:val="00182B65"/>
    <w:rsid w:val="00182BA5"/>
    <w:rsid w:val="00182C69"/>
    <w:rsid w:val="00182D3C"/>
    <w:rsid w:val="00182EA3"/>
    <w:rsid w:val="00182EB4"/>
    <w:rsid w:val="00182F44"/>
    <w:rsid w:val="00183087"/>
    <w:rsid w:val="001830DD"/>
    <w:rsid w:val="00183277"/>
    <w:rsid w:val="001832E4"/>
    <w:rsid w:val="001834DA"/>
    <w:rsid w:val="001835C7"/>
    <w:rsid w:val="00183767"/>
    <w:rsid w:val="00183773"/>
    <w:rsid w:val="001838B2"/>
    <w:rsid w:val="001838F9"/>
    <w:rsid w:val="00183A17"/>
    <w:rsid w:val="00183A20"/>
    <w:rsid w:val="00183B55"/>
    <w:rsid w:val="00183B67"/>
    <w:rsid w:val="00183C2A"/>
    <w:rsid w:val="00183D97"/>
    <w:rsid w:val="00183E38"/>
    <w:rsid w:val="00183F03"/>
    <w:rsid w:val="00183F85"/>
    <w:rsid w:val="0018420A"/>
    <w:rsid w:val="0018439B"/>
    <w:rsid w:val="001845E0"/>
    <w:rsid w:val="00184BD2"/>
    <w:rsid w:val="00184C86"/>
    <w:rsid w:val="00184D8C"/>
    <w:rsid w:val="00184F28"/>
    <w:rsid w:val="0018511A"/>
    <w:rsid w:val="0018514B"/>
    <w:rsid w:val="0018517C"/>
    <w:rsid w:val="0018519B"/>
    <w:rsid w:val="001851DD"/>
    <w:rsid w:val="001852BA"/>
    <w:rsid w:val="00185437"/>
    <w:rsid w:val="001854DE"/>
    <w:rsid w:val="001855A3"/>
    <w:rsid w:val="001855C8"/>
    <w:rsid w:val="001855D4"/>
    <w:rsid w:val="00185625"/>
    <w:rsid w:val="00185677"/>
    <w:rsid w:val="00185709"/>
    <w:rsid w:val="00185745"/>
    <w:rsid w:val="00185775"/>
    <w:rsid w:val="001857D5"/>
    <w:rsid w:val="0018598E"/>
    <w:rsid w:val="00185AB3"/>
    <w:rsid w:val="00185AD1"/>
    <w:rsid w:val="00185ADF"/>
    <w:rsid w:val="00185CA0"/>
    <w:rsid w:val="00185E05"/>
    <w:rsid w:val="00185F1A"/>
    <w:rsid w:val="00186031"/>
    <w:rsid w:val="0018614F"/>
    <w:rsid w:val="001861C3"/>
    <w:rsid w:val="001861CA"/>
    <w:rsid w:val="00186319"/>
    <w:rsid w:val="0018650E"/>
    <w:rsid w:val="0018653D"/>
    <w:rsid w:val="00186638"/>
    <w:rsid w:val="001866EF"/>
    <w:rsid w:val="00186780"/>
    <w:rsid w:val="00186861"/>
    <w:rsid w:val="001868BC"/>
    <w:rsid w:val="001868BF"/>
    <w:rsid w:val="001868FD"/>
    <w:rsid w:val="00186AD7"/>
    <w:rsid w:val="00186C3A"/>
    <w:rsid w:val="00186CB7"/>
    <w:rsid w:val="00186CDB"/>
    <w:rsid w:val="00186E28"/>
    <w:rsid w:val="00186E30"/>
    <w:rsid w:val="00186E6A"/>
    <w:rsid w:val="00187183"/>
    <w:rsid w:val="001871A1"/>
    <w:rsid w:val="00187222"/>
    <w:rsid w:val="0018734A"/>
    <w:rsid w:val="00187370"/>
    <w:rsid w:val="00187395"/>
    <w:rsid w:val="001874F8"/>
    <w:rsid w:val="0018762A"/>
    <w:rsid w:val="00187641"/>
    <w:rsid w:val="00187805"/>
    <w:rsid w:val="00187ABF"/>
    <w:rsid w:val="00187C37"/>
    <w:rsid w:val="00187C39"/>
    <w:rsid w:val="00187DDE"/>
    <w:rsid w:val="00187DE7"/>
    <w:rsid w:val="00187E55"/>
    <w:rsid w:val="00187F48"/>
    <w:rsid w:val="00187FA9"/>
    <w:rsid w:val="0019016B"/>
    <w:rsid w:val="00190276"/>
    <w:rsid w:val="001902FC"/>
    <w:rsid w:val="0019030B"/>
    <w:rsid w:val="00190326"/>
    <w:rsid w:val="001905B6"/>
    <w:rsid w:val="001906B3"/>
    <w:rsid w:val="00190766"/>
    <w:rsid w:val="001907E6"/>
    <w:rsid w:val="00190904"/>
    <w:rsid w:val="00190A56"/>
    <w:rsid w:val="00190AD9"/>
    <w:rsid w:val="00190BFD"/>
    <w:rsid w:val="00190C7C"/>
    <w:rsid w:val="00191130"/>
    <w:rsid w:val="00191269"/>
    <w:rsid w:val="00191287"/>
    <w:rsid w:val="0019134D"/>
    <w:rsid w:val="001913C7"/>
    <w:rsid w:val="0019141E"/>
    <w:rsid w:val="00191451"/>
    <w:rsid w:val="001915DA"/>
    <w:rsid w:val="001917AF"/>
    <w:rsid w:val="0019184E"/>
    <w:rsid w:val="0019186D"/>
    <w:rsid w:val="00191885"/>
    <w:rsid w:val="0019188A"/>
    <w:rsid w:val="001918F9"/>
    <w:rsid w:val="00191A90"/>
    <w:rsid w:val="00191C36"/>
    <w:rsid w:val="00191D55"/>
    <w:rsid w:val="00191D96"/>
    <w:rsid w:val="00191F88"/>
    <w:rsid w:val="0019228A"/>
    <w:rsid w:val="00192297"/>
    <w:rsid w:val="001923B6"/>
    <w:rsid w:val="00192429"/>
    <w:rsid w:val="001924A2"/>
    <w:rsid w:val="001924D1"/>
    <w:rsid w:val="00192694"/>
    <w:rsid w:val="00192707"/>
    <w:rsid w:val="0019276D"/>
    <w:rsid w:val="00192911"/>
    <w:rsid w:val="0019299F"/>
    <w:rsid w:val="001929AC"/>
    <w:rsid w:val="00192A3C"/>
    <w:rsid w:val="00192A80"/>
    <w:rsid w:val="00192D3F"/>
    <w:rsid w:val="00192DB5"/>
    <w:rsid w:val="00192E23"/>
    <w:rsid w:val="00192F89"/>
    <w:rsid w:val="00193093"/>
    <w:rsid w:val="001930F2"/>
    <w:rsid w:val="001931E8"/>
    <w:rsid w:val="00193237"/>
    <w:rsid w:val="00193252"/>
    <w:rsid w:val="00193292"/>
    <w:rsid w:val="0019348F"/>
    <w:rsid w:val="00193632"/>
    <w:rsid w:val="001939FD"/>
    <w:rsid w:val="00193A8D"/>
    <w:rsid w:val="00193C43"/>
    <w:rsid w:val="00193CD3"/>
    <w:rsid w:val="00193F06"/>
    <w:rsid w:val="0019404C"/>
    <w:rsid w:val="0019414E"/>
    <w:rsid w:val="0019420F"/>
    <w:rsid w:val="00194333"/>
    <w:rsid w:val="001944A5"/>
    <w:rsid w:val="00194545"/>
    <w:rsid w:val="00194651"/>
    <w:rsid w:val="00194689"/>
    <w:rsid w:val="001948C7"/>
    <w:rsid w:val="0019495F"/>
    <w:rsid w:val="00194A1F"/>
    <w:rsid w:val="00194A2A"/>
    <w:rsid w:val="00194A7E"/>
    <w:rsid w:val="00194F2B"/>
    <w:rsid w:val="001952FA"/>
    <w:rsid w:val="00195408"/>
    <w:rsid w:val="0019550B"/>
    <w:rsid w:val="00195514"/>
    <w:rsid w:val="00195515"/>
    <w:rsid w:val="00195539"/>
    <w:rsid w:val="00195726"/>
    <w:rsid w:val="001957CE"/>
    <w:rsid w:val="001958C8"/>
    <w:rsid w:val="00195AD9"/>
    <w:rsid w:val="00195AEF"/>
    <w:rsid w:val="00195D0A"/>
    <w:rsid w:val="00195D54"/>
    <w:rsid w:val="00195D63"/>
    <w:rsid w:val="00195DDA"/>
    <w:rsid w:val="00195FE6"/>
    <w:rsid w:val="00196041"/>
    <w:rsid w:val="001960B4"/>
    <w:rsid w:val="001960CF"/>
    <w:rsid w:val="001960F2"/>
    <w:rsid w:val="00196324"/>
    <w:rsid w:val="00196725"/>
    <w:rsid w:val="00196772"/>
    <w:rsid w:val="00196897"/>
    <w:rsid w:val="0019692A"/>
    <w:rsid w:val="0019694D"/>
    <w:rsid w:val="00196AE1"/>
    <w:rsid w:val="00196AE8"/>
    <w:rsid w:val="00196BC8"/>
    <w:rsid w:val="00196D5B"/>
    <w:rsid w:val="00196EA9"/>
    <w:rsid w:val="00197027"/>
    <w:rsid w:val="00197057"/>
    <w:rsid w:val="0019714B"/>
    <w:rsid w:val="00197225"/>
    <w:rsid w:val="0019739C"/>
    <w:rsid w:val="0019752C"/>
    <w:rsid w:val="00197545"/>
    <w:rsid w:val="00197711"/>
    <w:rsid w:val="0019775A"/>
    <w:rsid w:val="001977F4"/>
    <w:rsid w:val="0019780C"/>
    <w:rsid w:val="00197971"/>
    <w:rsid w:val="00197982"/>
    <w:rsid w:val="00197A63"/>
    <w:rsid w:val="00197A79"/>
    <w:rsid w:val="00197BA3"/>
    <w:rsid w:val="00197DDF"/>
    <w:rsid w:val="00197DF5"/>
    <w:rsid w:val="00197F75"/>
    <w:rsid w:val="001A0291"/>
    <w:rsid w:val="001A03AA"/>
    <w:rsid w:val="001A03F7"/>
    <w:rsid w:val="001A053E"/>
    <w:rsid w:val="001A0605"/>
    <w:rsid w:val="001A0639"/>
    <w:rsid w:val="001A0893"/>
    <w:rsid w:val="001A0AAD"/>
    <w:rsid w:val="001A0B7D"/>
    <w:rsid w:val="001A0C49"/>
    <w:rsid w:val="001A0E9F"/>
    <w:rsid w:val="001A0F07"/>
    <w:rsid w:val="001A1074"/>
    <w:rsid w:val="001A1264"/>
    <w:rsid w:val="001A160F"/>
    <w:rsid w:val="001A16CD"/>
    <w:rsid w:val="001A1724"/>
    <w:rsid w:val="001A172A"/>
    <w:rsid w:val="001A18DF"/>
    <w:rsid w:val="001A190D"/>
    <w:rsid w:val="001A1973"/>
    <w:rsid w:val="001A198C"/>
    <w:rsid w:val="001A1A41"/>
    <w:rsid w:val="001A1AAA"/>
    <w:rsid w:val="001A1ABC"/>
    <w:rsid w:val="001A1B3D"/>
    <w:rsid w:val="001A1CE2"/>
    <w:rsid w:val="001A1CF3"/>
    <w:rsid w:val="001A1E66"/>
    <w:rsid w:val="001A1EF9"/>
    <w:rsid w:val="001A1F74"/>
    <w:rsid w:val="001A1FDD"/>
    <w:rsid w:val="001A1FF0"/>
    <w:rsid w:val="001A20CD"/>
    <w:rsid w:val="001A20DC"/>
    <w:rsid w:val="001A2119"/>
    <w:rsid w:val="001A21FB"/>
    <w:rsid w:val="001A2268"/>
    <w:rsid w:val="001A22EC"/>
    <w:rsid w:val="001A2430"/>
    <w:rsid w:val="001A2433"/>
    <w:rsid w:val="001A244C"/>
    <w:rsid w:val="001A25F7"/>
    <w:rsid w:val="001A26A2"/>
    <w:rsid w:val="001A2746"/>
    <w:rsid w:val="001A27C3"/>
    <w:rsid w:val="001A27DE"/>
    <w:rsid w:val="001A28C0"/>
    <w:rsid w:val="001A2A0B"/>
    <w:rsid w:val="001A2A13"/>
    <w:rsid w:val="001A2B64"/>
    <w:rsid w:val="001A2CA3"/>
    <w:rsid w:val="001A2CB3"/>
    <w:rsid w:val="001A2CEC"/>
    <w:rsid w:val="001A2D95"/>
    <w:rsid w:val="001A2F7B"/>
    <w:rsid w:val="001A2FA0"/>
    <w:rsid w:val="001A2FAA"/>
    <w:rsid w:val="001A2FCE"/>
    <w:rsid w:val="001A301A"/>
    <w:rsid w:val="001A3072"/>
    <w:rsid w:val="001A3384"/>
    <w:rsid w:val="001A341B"/>
    <w:rsid w:val="001A3426"/>
    <w:rsid w:val="001A3495"/>
    <w:rsid w:val="001A34DB"/>
    <w:rsid w:val="001A34E4"/>
    <w:rsid w:val="001A34FD"/>
    <w:rsid w:val="001A3518"/>
    <w:rsid w:val="001A36F3"/>
    <w:rsid w:val="001A37E2"/>
    <w:rsid w:val="001A3886"/>
    <w:rsid w:val="001A394D"/>
    <w:rsid w:val="001A3A51"/>
    <w:rsid w:val="001A3A74"/>
    <w:rsid w:val="001A3C92"/>
    <w:rsid w:val="001A3CC5"/>
    <w:rsid w:val="001A3DA1"/>
    <w:rsid w:val="001A3FCF"/>
    <w:rsid w:val="001A3FFA"/>
    <w:rsid w:val="001A421F"/>
    <w:rsid w:val="001A4246"/>
    <w:rsid w:val="001A462E"/>
    <w:rsid w:val="001A466C"/>
    <w:rsid w:val="001A46AB"/>
    <w:rsid w:val="001A46C8"/>
    <w:rsid w:val="001A4711"/>
    <w:rsid w:val="001A4899"/>
    <w:rsid w:val="001A48BE"/>
    <w:rsid w:val="001A48C0"/>
    <w:rsid w:val="001A49E0"/>
    <w:rsid w:val="001A49E4"/>
    <w:rsid w:val="001A4A4C"/>
    <w:rsid w:val="001A4A5C"/>
    <w:rsid w:val="001A4B9D"/>
    <w:rsid w:val="001A4D58"/>
    <w:rsid w:val="001A4E15"/>
    <w:rsid w:val="001A4E65"/>
    <w:rsid w:val="001A503F"/>
    <w:rsid w:val="001A50D2"/>
    <w:rsid w:val="001A50EC"/>
    <w:rsid w:val="001A531F"/>
    <w:rsid w:val="001A5340"/>
    <w:rsid w:val="001A53A5"/>
    <w:rsid w:val="001A5467"/>
    <w:rsid w:val="001A5509"/>
    <w:rsid w:val="001A56D3"/>
    <w:rsid w:val="001A5789"/>
    <w:rsid w:val="001A579F"/>
    <w:rsid w:val="001A57A3"/>
    <w:rsid w:val="001A57CD"/>
    <w:rsid w:val="001A5853"/>
    <w:rsid w:val="001A5990"/>
    <w:rsid w:val="001A59D2"/>
    <w:rsid w:val="001A5A5E"/>
    <w:rsid w:val="001A5BE4"/>
    <w:rsid w:val="001A5D0B"/>
    <w:rsid w:val="001A5D82"/>
    <w:rsid w:val="001A5D98"/>
    <w:rsid w:val="001A5E22"/>
    <w:rsid w:val="001A5E6F"/>
    <w:rsid w:val="001A5F48"/>
    <w:rsid w:val="001A5F5F"/>
    <w:rsid w:val="001A60D5"/>
    <w:rsid w:val="001A610A"/>
    <w:rsid w:val="001A61C0"/>
    <w:rsid w:val="001A61D3"/>
    <w:rsid w:val="001A635D"/>
    <w:rsid w:val="001A6389"/>
    <w:rsid w:val="001A63B6"/>
    <w:rsid w:val="001A646D"/>
    <w:rsid w:val="001A64D8"/>
    <w:rsid w:val="001A64F7"/>
    <w:rsid w:val="001A6571"/>
    <w:rsid w:val="001A67EC"/>
    <w:rsid w:val="001A67EF"/>
    <w:rsid w:val="001A681C"/>
    <w:rsid w:val="001A68E1"/>
    <w:rsid w:val="001A6995"/>
    <w:rsid w:val="001A6BA9"/>
    <w:rsid w:val="001A6F1B"/>
    <w:rsid w:val="001A71BE"/>
    <w:rsid w:val="001A720C"/>
    <w:rsid w:val="001A722B"/>
    <w:rsid w:val="001A7231"/>
    <w:rsid w:val="001A7322"/>
    <w:rsid w:val="001A751C"/>
    <w:rsid w:val="001A791D"/>
    <w:rsid w:val="001A7988"/>
    <w:rsid w:val="001A7B63"/>
    <w:rsid w:val="001A7B8D"/>
    <w:rsid w:val="001A7BB4"/>
    <w:rsid w:val="001A7C48"/>
    <w:rsid w:val="001A7E12"/>
    <w:rsid w:val="001A7E46"/>
    <w:rsid w:val="001A7ED8"/>
    <w:rsid w:val="001B00BF"/>
    <w:rsid w:val="001B04E7"/>
    <w:rsid w:val="001B05C8"/>
    <w:rsid w:val="001B0604"/>
    <w:rsid w:val="001B0773"/>
    <w:rsid w:val="001B08EC"/>
    <w:rsid w:val="001B0907"/>
    <w:rsid w:val="001B09E2"/>
    <w:rsid w:val="001B0B30"/>
    <w:rsid w:val="001B0D9F"/>
    <w:rsid w:val="001B0F71"/>
    <w:rsid w:val="001B0FAE"/>
    <w:rsid w:val="001B1072"/>
    <w:rsid w:val="001B1123"/>
    <w:rsid w:val="001B1179"/>
    <w:rsid w:val="001B1232"/>
    <w:rsid w:val="001B1247"/>
    <w:rsid w:val="001B1296"/>
    <w:rsid w:val="001B12C9"/>
    <w:rsid w:val="001B1323"/>
    <w:rsid w:val="001B15B1"/>
    <w:rsid w:val="001B1642"/>
    <w:rsid w:val="001B1824"/>
    <w:rsid w:val="001B18DA"/>
    <w:rsid w:val="001B1951"/>
    <w:rsid w:val="001B1979"/>
    <w:rsid w:val="001B1A55"/>
    <w:rsid w:val="001B1A74"/>
    <w:rsid w:val="001B1A99"/>
    <w:rsid w:val="001B1AFA"/>
    <w:rsid w:val="001B1E71"/>
    <w:rsid w:val="001B1EBC"/>
    <w:rsid w:val="001B1FB4"/>
    <w:rsid w:val="001B2094"/>
    <w:rsid w:val="001B20C2"/>
    <w:rsid w:val="001B2168"/>
    <w:rsid w:val="001B2177"/>
    <w:rsid w:val="001B2262"/>
    <w:rsid w:val="001B24A6"/>
    <w:rsid w:val="001B25DD"/>
    <w:rsid w:val="001B2608"/>
    <w:rsid w:val="001B26A6"/>
    <w:rsid w:val="001B26E1"/>
    <w:rsid w:val="001B2720"/>
    <w:rsid w:val="001B2793"/>
    <w:rsid w:val="001B27FC"/>
    <w:rsid w:val="001B285D"/>
    <w:rsid w:val="001B2958"/>
    <w:rsid w:val="001B2A27"/>
    <w:rsid w:val="001B2B66"/>
    <w:rsid w:val="001B2BAF"/>
    <w:rsid w:val="001B2C58"/>
    <w:rsid w:val="001B2DB0"/>
    <w:rsid w:val="001B2EAC"/>
    <w:rsid w:val="001B2EF9"/>
    <w:rsid w:val="001B2FFD"/>
    <w:rsid w:val="001B304F"/>
    <w:rsid w:val="001B3154"/>
    <w:rsid w:val="001B32C9"/>
    <w:rsid w:val="001B3304"/>
    <w:rsid w:val="001B3310"/>
    <w:rsid w:val="001B332F"/>
    <w:rsid w:val="001B355C"/>
    <w:rsid w:val="001B366E"/>
    <w:rsid w:val="001B3777"/>
    <w:rsid w:val="001B3818"/>
    <w:rsid w:val="001B3843"/>
    <w:rsid w:val="001B389F"/>
    <w:rsid w:val="001B39BA"/>
    <w:rsid w:val="001B3CB6"/>
    <w:rsid w:val="001B3DAE"/>
    <w:rsid w:val="001B3EED"/>
    <w:rsid w:val="001B429F"/>
    <w:rsid w:val="001B4351"/>
    <w:rsid w:val="001B4356"/>
    <w:rsid w:val="001B44E8"/>
    <w:rsid w:val="001B44F8"/>
    <w:rsid w:val="001B4583"/>
    <w:rsid w:val="001B45A4"/>
    <w:rsid w:val="001B45E3"/>
    <w:rsid w:val="001B4872"/>
    <w:rsid w:val="001B4946"/>
    <w:rsid w:val="001B4A25"/>
    <w:rsid w:val="001B4BA3"/>
    <w:rsid w:val="001B4CF8"/>
    <w:rsid w:val="001B4EDE"/>
    <w:rsid w:val="001B4F0A"/>
    <w:rsid w:val="001B5063"/>
    <w:rsid w:val="001B50B6"/>
    <w:rsid w:val="001B50C6"/>
    <w:rsid w:val="001B52A3"/>
    <w:rsid w:val="001B555C"/>
    <w:rsid w:val="001B561F"/>
    <w:rsid w:val="001B57A4"/>
    <w:rsid w:val="001B58DF"/>
    <w:rsid w:val="001B59A7"/>
    <w:rsid w:val="001B5BD5"/>
    <w:rsid w:val="001B5C16"/>
    <w:rsid w:val="001B5C3E"/>
    <w:rsid w:val="001B5D05"/>
    <w:rsid w:val="001B5EE0"/>
    <w:rsid w:val="001B5EF2"/>
    <w:rsid w:val="001B5F9D"/>
    <w:rsid w:val="001B602A"/>
    <w:rsid w:val="001B61A4"/>
    <w:rsid w:val="001B61C5"/>
    <w:rsid w:val="001B6264"/>
    <w:rsid w:val="001B628A"/>
    <w:rsid w:val="001B6293"/>
    <w:rsid w:val="001B62AD"/>
    <w:rsid w:val="001B62F6"/>
    <w:rsid w:val="001B65DA"/>
    <w:rsid w:val="001B6985"/>
    <w:rsid w:val="001B69DA"/>
    <w:rsid w:val="001B6A70"/>
    <w:rsid w:val="001B6B30"/>
    <w:rsid w:val="001B6D91"/>
    <w:rsid w:val="001B6EA5"/>
    <w:rsid w:val="001B7043"/>
    <w:rsid w:val="001B709D"/>
    <w:rsid w:val="001B70B3"/>
    <w:rsid w:val="001B70DA"/>
    <w:rsid w:val="001B70F0"/>
    <w:rsid w:val="001B710F"/>
    <w:rsid w:val="001B71DC"/>
    <w:rsid w:val="001B72AE"/>
    <w:rsid w:val="001B7302"/>
    <w:rsid w:val="001B7383"/>
    <w:rsid w:val="001B7413"/>
    <w:rsid w:val="001B780A"/>
    <w:rsid w:val="001B78AF"/>
    <w:rsid w:val="001B7A8F"/>
    <w:rsid w:val="001B7BAB"/>
    <w:rsid w:val="001B7CB5"/>
    <w:rsid w:val="001B7D28"/>
    <w:rsid w:val="001B7D4C"/>
    <w:rsid w:val="001B7DB0"/>
    <w:rsid w:val="001B7DC4"/>
    <w:rsid w:val="001B7DCD"/>
    <w:rsid w:val="001B7EA3"/>
    <w:rsid w:val="001B7F00"/>
    <w:rsid w:val="001C005C"/>
    <w:rsid w:val="001C0107"/>
    <w:rsid w:val="001C01C3"/>
    <w:rsid w:val="001C0206"/>
    <w:rsid w:val="001C0211"/>
    <w:rsid w:val="001C0362"/>
    <w:rsid w:val="001C0607"/>
    <w:rsid w:val="001C0633"/>
    <w:rsid w:val="001C065C"/>
    <w:rsid w:val="001C072F"/>
    <w:rsid w:val="001C07C4"/>
    <w:rsid w:val="001C07EB"/>
    <w:rsid w:val="001C0814"/>
    <w:rsid w:val="001C0815"/>
    <w:rsid w:val="001C083A"/>
    <w:rsid w:val="001C0B67"/>
    <w:rsid w:val="001C0CDD"/>
    <w:rsid w:val="001C0D2E"/>
    <w:rsid w:val="001C0DC8"/>
    <w:rsid w:val="001C0E5E"/>
    <w:rsid w:val="001C0F0A"/>
    <w:rsid w:val="001C0FC8"/>
    <w:rsid w:val="001C1117"/>
    <w:rsid w:val="001C128C"/>
    <w:rsid w:val="001C133B"/>
    <w:rsid w:val="001C13D4"/>
    <w:rsid w:val="001C164A"/>
    <w:rsid w:val="001C166E"/>
    <w:rsid w:val="001C16C5"/>
    <w:rsid w:val="001C1998"/>
    <w:rsid w:val="001C1C5E"/>
    <w:rsid w:val="001C1D6C"/>
    <w:rsid w:val="001C1D92"/>
    <w:rsid w:val="001C1DD4"/>
    <w:rsid w:val="001C1E42"/>
    <w:rsid w:val="001C20C8"/>
    <w:rsid w:val="001C211D"/>
    <w:rsid w:val="001C21BD"/>
    <w:rsid w:val="001C247B"/>
    <w:rsid w:val="001C25F8"/>
    <w:rsid w:val="001C2714"/>
    <w:rsid w:val="001C28CE"/>
    <w:rsid w:val="001C29BD"/>
    <w:rsid w:val="001C2B6E"/>
    <w:rsid w:val="001C2BE5"/>
    <w:rsid w:val="001C2BF3"/>
    <w:rsid w:val="001C2C4F"/>
    <w:rsid w:val="001C2CE8"/>
    <w:rsid w:val="001C2CED"/>
    <w:rsid w:val="001C2D66"/>
    <w:rsid w:val="001C3058"/>
    <w:rsid w:val="001C3366"/>
    <w:rsid w:val="001C350C"/>
    <w:rsid w:val="001C358F"/>
    <w:rsid w:val="001C36D3"/>
    <w:rsid w:val="001C37EC"/>
    <w:rsid w:val="001C3900"/>
    <w:rsid w:val="001C3A21"/>
    <w:rsid w:val="001C3A5E"/>
    <w:rsid w:val="001C3B82"/>
    <w:rsid w:val="001C3BED"/>
    <w:rsid w:val="001C3C63"/>
    <w:rsid w:val="001C3D47"/>
    <w:rsid w:val="001C3E25"/>
    <w:rsid w:val="001C4045"/>
    <w:rsid w:val="001C40CF"/>
    <w:rsid w:val="001C4181"/>
    <w:rsid w:val="001C425B"/>
    <w:rsid w:val="001C4323"/>
    <w:rsid w:val="001C4358"/>
    <w:rsid w:val="001C4526"/>
    <w:rsid w:val="001C47EE"/>
    <w:rsid w:val="001C4845"/>
    <w:rsid w:val="001C48A5"/>
    <w:rsid w:val="001C48C2"/>
    <w:rsid w:val="001C4A6B"/>
    <w:rsid w:val="001C4B34"/>
    <w:rsid w:val="001C4BFE"/>
    <w:rsid w:val="001C4E42"/>
    <w:rsid w:val="001C4FF9"/>
    <w:rsid w:val="001C50A5"/>
    <w:rsid w:val="001C5660"/>
    <w:rsid w:val="001C56DF"/>
    <w:rsid w:val="001C56EA"/>
    <w:rsid w:val="001C57B0"/>
    <w:rsid w:val="001C57E5"/>
    <w:rsid w:val="001C5801"/>
    <w:rsid w:val="001C5888"/>
    <w:rsid w:val="001C59A1"/>
    <w:rsid w:val="001C5A1A"/>
    <w:rsid w:val="001C5A5F"/>
    <w:rsid w:val="001C5AAB"/>
    <w:rsid w:val="001C5C32"/>
    <w:rsid w:val="001C5DD8"/>
    <w:rsid w:val="001C5EA2"/>
    <w:rsid w:val="001C5F3D"/>
    <w:rsid w:val="001C601F"/>
    <w:rsid w:val="001C6315"/>
    <w:rsid w:val="001C63B2"/>
    <w:rsid w:val="001C664D"/>
    <w:rsid w:val="001C66B4"/>
    <w:rsid w:val="001C67C7"/>
    <w:rsid w:val="001C683D"/>
    <w:rsid w:val="001C685E"/>
    <w:rsid w:val="001C6948"/>
    <w:rsid w:val="001C6C91"/>
    <w:rsid w:val="001C6E9C"/>
    <w:rsid w:val="001C700B"/>
    <w:rsid w:val="001C70EF"/>
    <w:rsid w:val="001C7313"/>
    <w:rsid w:val="001C7582"/>
    <w:rsid w:val="001C799D"/>
    <w:rsid w:val="001C79B6"/>
    <w:rsid w:val="001C7A6C"/>
    <w:rsid w:val="001C7B1B"/>
    <w:rsid w:val="001C7C92"/>
    <w:rsid w:val="001C7D3C"/>
    <w:rsid w:val="001C7E92"/>
    <w:rsid w:val="001C7F56"/>
    <w:rsid w:val="001C7FE9"/>
    <w:rsid w:val="001D019F"/>
    <w:rsid w:val="001D01AE"/>
    <w:rsid w:val="001D0225"/>
    <w:rsid w:val="001D03A2"/>
    <w:rsid w:val="001D04D6"/>
    <w:rsid w:val="001D073E"/>
    <w:rsid w:val="001D098F"/>
    <w:rsid w:val="001D0C60"/>
    <w:rsid w:val="001D0CA2"/>
    <w:rsid w:val="001D0D43"/>
    <w:rsid w:val="001D0DE8"/>
    <w:rsid w:val="001D0E2C"/>
    <w:rsid w:val="001D1030"/>
    <w:rsid w:val="001D1067"/>
    <w:rsid w:val="001D1111"/>
    <w:rsid w:val="001D1132"/>
    <w:rsid w:val="001D121F"/>
    <w:rsid w:val="001D13F6"/>
    <w:rsid w:val="001D14DB"/>
    <w:rsid w:val="001D16C7"/>
    <w:rsid w:val="001D16C8"/>
    <w:rsid w:val="001D17C6"/>
    <w:rsid w:val="001D18BA"/>
    <w:rsid w:val="001D1B05"/>
    <w:rsid w:val="001D1BBB"/>
    <w:rsid w:val="001D1BE6"/>
    <w:rsid w:val="001D1D2C"/>
    <w:rsid w:val="001D1DA5"/>
    <w:rsid w:val="001D2134"/>
    <w:rsid w:val="001D21A7"/>
    <w:rsid w:val="001D2280"/>
    <w:rsid w:val="001D241F"/>
    <w:rsid w:val="001D277A"/>
    <w:rsid w:val="001D28FC"/>
    <w:rsid w:val="001D291D"/>
    <w:rsid w:val="001D2940"/>
    <w:rsid w:val="001D2A59"/>
    <w:rsid w:val="001D2B91"/>
    <w:rsid w:val="001D2C26"/>
    <w:rsid w:val="001D2F11"/>
    <w:rsid w:val="001D2F4B"/>
    <w:rsid w:val="001D3187"/>
    <w:rsid w:val="001D318A"/>
    <w:rsid w:val="001D3203"/>
    <w:rsid w:val="001D3342"/>
    <w:rsid w:val="001D3365"/>
    <w:rsid w:val="001D34C7"/>
    <w:rsid w:val="001D34D9"/>
    <w:rsid w:val="001D3642"/>
    <w:rsid w:val="001D369F"/>
    <w:rsid w:val="001D36CB"/>
    <w:rsid w:val="001D371A"/>
    <w:rsid w:val="001D399A"/>
    <w:rsid w:val="001D3AE1"/>
    <w:rsid w:val="001D3B80"/>
    <w:rsid w:val="001D3BE5"/>
    <w:rsid w:val="001D3C27"/>
    <w:rsid w:val="001D3C35"/>
    <w:rsid w:val="001D3CF4"/>
    <w:rsid w:val="001D3F26"/>
    <w:rsid w:val="001D3F39"/>
    <w:rsid w:val="001D409B"/>
    <w:rsid w:val="001D4260"/>
    <w:rsid w:val="001D4395"/>
    <w:rsid w:val="001D43BC"/>
    <w:rsid w:val="001D43E8"/>
    <w:rsid w:val="001D456D"/>
    <w:rsid w:val="001D4624"/>
    <w:rsid w:val="001D462C"/>
    <w:rsid w:val="001D479C"/>
    <w:rsid w:val="001D481D"/>
    <w:rsid w:val="001D4852"/>
    <w:rsid w:val="001D4BE9"/>
    <w:rsid w:val="001D4E69"/>
    <w:rsid w:val="001D4EB1"/>
    <w:rsid w:val="001D4FB6"/>
    <w:rsid w:val="001D509D"/>
    <w:rsid w:val="001D512A"/>
    <w:rsid w:val="001D514C"/>
    <w:rsid w:val="001D5499"/>
    <w:rsid w:val="001D553B"/>
    <w:rsid w:val="001D5543"/>
    <w:rsid w:val="001D5605"/>
    <w:rsid w:val="001D5608"/>
    <w:rsid w:val="001D56B1"/>
    <w:rsid w:val="001D56D3"/>
    <w:rsid w:val="001D5850"/>
    <w:rsid w:val="001D5904"/>
    <w:rsid w:val="001D590B"/>
    <w:rsid w:val="001D59B2"/>
    <w:rsid w:val="001D59F6"/>
    <w:rsid w:val="001D5A29"/>
    <w:rsid w:val="001D5A8B"/>
    <w:rsid w:val="001D5B4F"/>
    <w:rsid w:val="001D5D05"/>
    <w:rsid w:val="001D5D1C"/>
    <w:rsid w:val="001D5E0E"/>
    <w:rsid w:val="001D5F1A"/>
    <w:rsid w:val="001D5FA9"/>
    <w:rsid w:val="001D5FC3"/>
    <w:rsid w:val="001D614A"/>
    <w:rsid w:val="001D622A"/>
    <w:rsid w:val="001D63C9"/>
    <w:rsid w:val="001D6514"/>
    <w:rsid w:val="001D654C"/>
    <w:rsid w:val="001D67DC"/>
    <w:rsid w:val="001D6B56"/>
    <w:rsid w:val="001D6B6F"/>
    <w:rsid w:val="001D6DB2"/>
    <w:rsid w:val="001D6DD3"/>
    <w:rsid w:val="001D6DE3"/>
    <w:rsid w:val="001D6ECD"/>
    <w:rsid w:val="001D6F5E"/>
    <w:rsid w:val="001D6FD9"/>
    <w:rsid w:val="001D712D"/>
    <w:rsid w:val="001D7192"/>
    <w:rsid w:val="001D71A5"/>
    <w:rsid w:val="001D71D2"/>
    <w:rsid w:val="001D724E"/>
    <w:rsid w:val="001D728C"/>
    <w:rsid w:val="001D7469"/>
    <w:rsid w:val="001D7557"/>
    <w:rsid w:val="001D76CD"/>
    <w:rsid w:val="001D76E0"/>
    <w:rsid w:val="001D7888"/>
    <w:rsid w:val="001D788F"/>
    <w:rsid w:val="001D78E4"/>
    <w:rsid w:val="001D7AB0"/>
    <w:rsid w:val="001D7BD0"/>
    <w:rsid w:val="001D7C32"/>
    <w:rsid w:val="001D7E6A"/>
    <w:rsid w:val="001D7F87"/>
    <w:rsid w:val="001D7F89"/>
    <w:rsid w:val="001D7FCB"/>
    <w:rsid w:val="001E0033"/>
    <w:rsid w:val="001E0072"/>
    <w:rsid w:val="001E0121"/>
    <w:rsid w:val="001E0208"/>
    <w:rsid w:val="001E023E"/>
    <w:rsid w:val="001E02EE"/>
    <w:rsid w:val="001E035F"/>
    <w:rsid w:val="001E04DC"/>
    <w:rsid w:val="001E0506"/>
    <w:rsid w:val="001E0680"/>
    <w:rsid w:val="001E06C7"/>
    <w:rsid w:val="001E0856"/>
    <w:rsid w:val="001E086F"/>
    <w:rsid w:val="001E0A67"/>
    <w:rsid w:val="001E0AE1"/>
    <w:rsid w:val="001E0E8A"/>
    <w:rsid w:val="001E0E92"/>
    <w:rsid w:val="001E0FBE"/>
    <w:rsid w:val="001E105E"/>
    <w:rsid w:val="001E108E"/>
    <w:rsid w:val="001E121B"/>
    <w:rsid w:val="001E12B0"/>
    <w:rsid w:val="001E1312"/>
    <w:rsid w:val="001E13C3"/>
    <w:rsid w:val="001E13E2"/>
    <w:rsid w:val="001E14C5"/>
    <w:rsid w:val="001E1501"/>
    <w:rsid w:val="001E1940"/>
    <w:rsid w:val="001E1960"/>
    <w:rsid w:val="001E19B5"/>
    <w:rsid w:val="001E19D6"/>
    <w:rsid w:val="001E1B05"/>
    <w:rsid w:val="001E1B1F"/>
    <w:rsid w:val="001E1B45"/>
    <w:rsid w:val="001E1C69"/>
    <w:rsid w:val="001E1C9E"/>
    <w:rsid w:val="001E1D2E"/>
    <w:rsid w:val="001E1D83"/>
    <w:rsid w:val="001E22D6"/>
    <w:rsid w:val="001E23CF"/>
    <w:rsid w:val="001E2424"/>
    <w:rsid w:val="001E2485"/>
    <w:rsid w:val="001E24CC"/>
    <w:rsid w:val="001E252A"/>
    <w:rsid w:val="001E27A9"/>
    <w:rsid w:val="001E28B6"/>
    <w:rsid w:val="001E29BD"/>
    <w:rsid w:val="001E2AAB"/>
    <w:rsid w:val="001E2BBE"/>
    <w:rsid w:val="001E2F09"/>
    <w:rsid w:val="001E30BF"/>
    <w:rsid w:val="001E31FB"/>
    <w:rsid w:val="001E34A2"/>
    <w:rsid w:val="001E36A1"/>
    <w:rsid w:val="001E36E1"/>
    <w:rsid w:val="001E3886"/>
    <w:rsid w:val="001E3AA3"/>
    <w:rsid w:val="001E3AE4"/>
    <w:rsid w:val="001E3C92"/>
    <w:rsid w:val="001E3D36"/>
    <w:rsid w:val="001E3E85"/>
    <w:rsid w:val="001E3EF6"/>
    <w:rsid w:val="001E3FE1"/>
    <w:rsid w:val="001E41F4"/>
    <w:rsid w:val="001E446D"/>
    <w:rsid w:val="001E453F"/>
    <w:rsid w:val="001E4665"/>
    <w:rsid w:val="001E4689"/>
    <w:rsid w:val="001E4876"/>
    <w:rsid w:val="001E4EB8"/>
    <w:rsid w:val="001E5049"/>
    <w:rsid w:val="001E5242"/>
    <w:rsid w:val="001E53A7"/>
    <w:rsid w:val="001E553D"/>
    <w:rsid w:val="001E55BC"/>
    <w:rsid w:val="001E5809"/>
    <w:rsid w:val="001E58A1"/>
    <w:rsid w:val="001E58BF"/>
    <w:rsid w:val="001E590C"/>
    <w:rsid w:val="001E5AFF"/>
    <w:rsid w:val="001E5BDA"/>
    <w:rsid w:val="001E5CE7"/>
    <w:rsid w:val="001E5D22"/>
    <w:rsid w:val="001E5D29"/>
    <w:rsid w:val="001E5DA2"/>
    <w:rsid w:val="001E5DC1"/>
    <w:rsid w:val="001E5F20"/>
    <w:rsid w:val="001E6080"/>
    <w:rsid w:val="001E6217"/>
    <w:rsid w:val="001E6272"/>
    <w:rsid w:val="001E627D"/>
    <w:rsid w:val="001E641D"/>
    <w:rsid w:val="001E670D"/>
    <w:rsid w:val="001E684B"/>
    <w:rsid w:val="001E6865"/>
    <w:rsid w:val="001E6DA5"/>
    <w:rsid w:val="001E6DB5"/>
    <w:rsid w:val="001E6F7D"/>
    <w:rsid w:val="001E705F"/>
    <w:rsid w:val="001E7480"/>
    <w:rsid w:val="001E74F0"/>
    <w:rsid w:val="001E7509"/>
    <w:rsid w:val="001E7510"/>
    <w:rsid w:val="001E7560"/>
    <w:rsid w:val="001E769D"/>
    <w:rsid w:val="001E76D2"/>
    <w:rsid w:val="001E779E"/>
    <w:rsid w:val="001E7ABA"/>
    <w:rsid w:val="001E7AE7"/>
    <w:rsid w:val="001E7B02"/>
    <w:rsid w:val="001E7BC7"/>
    <w:rsid w:val="001E7C76"/>
    <w:rsid w:val="001E7CF6"/>
    <w:rsid w:val="001E7D02"/>
    <w:rsid w:val="001E7D1F"/>
    <w:rsid w:val="001E7D74"/>
    <w:rsid w:val="001E7DF7"/>
    <w:rsid w:val="001E7E00"/>
    <w:rsid w:val="001E7E99"/>
    <w:rsid w:val="001F006B"/>
    <w:rsid w:val="001F0132"/>
    <w:rsid w:val="001F01DB"/>
    <w:rsid w:val="001F022B"/>
    <w:rsid w:val="001F0344"/>
    <w:rsid w:val="001F03C8"/>
    <w:rsid w:val="001F0575"/>
    <w:rsid w:val="001F062D"/>
    <w:rsid w:val="001F0741"/>
    <w:rsid w:val="001F0824"/>
    <w:rsid w:val="001F08C1"/>
    <w:rsid w:val="001F08EB"/>
    <w:rsid w:val="001F09AD"/>
    <w:rsid w:val="001F09C5"/>
    <w:rsid w:val="001F0A39"/>
    <w:rsid w:val="001F0A5C"/>
    <w:rsid w:val="001F0B11"/>
    <w:rsid w:val="001F0C82"/>
    <w:rsid w:val="001F0CB3"/>
    <w:rsid w:val="001F0D85"/>
    <w:rsid w:val="001F0DAD"/>
    <w:rsid w:val="001F0F63"/>
    <w:rsid w:val="001F1014"/>
    <w:rsid w:val="001F10FA"/>
    <w:rsid w:val="001F1158"/>
    <w:rsid w:val="001F1237"/>
    <w:rsid w:val="001F124B"/>
    <w:rsid w:val="001F1336"/>
    <w:rsid w:val="001F143D"/>
    <w:rsid w:val="001F158D"/>
    <w:rsid w:val="001F159D"/>
    <w:rsid w:val="001F1639"/>
    <w:rsid w:val="001F17C2"/>
    <w:rsid w:val="001F1809"/>
    <w:rsid w:val="001F180A"/>
    <w:rsid w:val="001F1898"/>
    <w:rsid w:val="001F197A"/>
    <w:rsid w:val="001F1997"/>
    <w:rsid w:val="001F1A19"/>
    <w:rsid w:val="001F1B57"/>
    <w:rsid w:val="001F1B78"/>
    <w:rsid w:val="001F1DA0"/>
    <w:rsid w:val="001F1DE2"/>
    <w:rsid w:val="001F2021"/>
    <w:rsid w:val="001F2091"/>
    <w:rsid w:val="001F20B1"/>
    <w:rsid w:val="001F2141"/>
    <w:rsid w:val="001F217F"/>
    <w:rsid w:val="001F2216"/>
    <w:rsid w:val="001F23CB"/>
    <w:rsid w:val="001F2515"/>
    <w:rsid w:val="001F26CE"/>
    <w:rsid w:val="001F2733"/>
    <w:rsid w:val="001F283F"/>
    <w:rsid w:val="001F28D3"/>
    <w:rsid w:val="001F2AA4"/>
    <w:rsid w:val="001F2ADB"/>
    <w:rsid w:val="001F2B5F"/>
    <w:rsid w:val="001F2C08"/>
    <w:rsid w:val="001F2C0A"/>
    <w:rsid w:val="001F2CA1"/>
    <w:rsid w:val="001F2F37"/>
    <w:rsid w:val="001F3226"/>
    <w:rsid w:val="001F3269"/>
    <w:rsid w:val="001F32FA"/>
    <w:rsid w:val="001F33E0"/>
    <w:rsid w:val="001F349A"/>
    <w:rsid w:val="001F36FA"/>
    <w:rsid w:val="001F3897"/>
    <w:rsid w:val="001F389F"/>
    <w:rsid w:val="001F38F6"/>
    <w:rsid w:val="001F38F7"/>
    <w:rsid w:val="001F396A"/>
    <w:rsid w:val="001F39B5"/>
    <w:rsid w:val="001F3AE1"/>
    <w:rsid w:val="001F3B13"/>
    <w:rsid w:val="001F3B37"/>
    <w:rsid w:val="001F3C04"/>
    <w:rsid w:val="001F3C16"/>
    <w:rsid w:val="001F3DEF"/>
    <w:rsid w:val="001F3F15"/>
    <w:rsid w:val="001F3F9A"/>
    <w:rsid w:val="001F4048"/>
    <w:rsid w:val="001F41E7"/>
    <w:rsid w:val="001F4593"/>
    <w:rsid w:val="001F4629"/>
    <w:rsid w:val="001F4649"/>
    <w:rsid w:val="001F46C3"/>
    <w:rsid w:val="001F4784"/>
    <w:rsid w:val="001F480C"/>
    <w:rsid w:val="001F488A"/>
    <w:rsid w:val="001F493A"/>
    <w:rsid w:val="001F4950"/>
    <w:rsid w:val="001F498D"/>
    <w:rsid w:val="001F4C12"/>
    <w:rsid w:val="001F4C39"/>
    <w:rsid w:val="001F4CAE"/>
    <w:rsid w:val="001F4D8D"/>
    <w:rsid w:val="001F4E65"/>
    <w:rsid w:val="001F4E9A"/>
    <w:rsid w:val="001F5093"/>
    <w:rsid w:val="001F513E"/>
    <w:rsid w:val="001F51C3"/>
    <w:rsid w:val="001F5227"/>
    <w:rsid w:val="001F530A"/>
    <w:rsid w:val="001F53E0"/>
    <w:rsid w:val="001F548E"/>
    <w:rsid w:val="001F54B7"/>
    <w:rsid w:val="001F568C"/>
    <w:rsid w:val="001F5739"/>
    <w:rsid w:val="001F57D9"/>
    <w:rsid w:val="001F5A5C"/>
    <w:rsid w:val="001F5B4D"/>
    <w:rsid w:val="001F5E58"/>
    <w:rsid w:val="001F5F45"/>
    <w:rsid w:val="001F5F74"/>
    <w:rsid w:val="001F5FA5"/>
    <w:rsid w:val="001F625E"/>
    <w:rsid w:val="001F6398"/>
    <w:rsid w:val="001F64A3"/>
    <w:rsid w:val="001F6576"/>
    <w:rsid w:val="001F657C"/>
    <w:rsid w:val="001F6853"/>
    <w:rsid w:val="001F685A"/>
    <w:rsid w:val="001F6995"/>
    <w:rsid w:val="001F6A00"/>
    <w:rsid w:val="001F6A97"/>
    <w:rsid w:val="001F6BA8"/>
    <w:rsid w:val="001F6CB4"/>
    <w:rsid w:val="001F6DA4"/>
    <w:rsid w:val="001F6E25"/>
    <w:rsid w:val="001F6E6B"/>
    <w:rsid w:val="001F6E98"/>
    <w:rsid w:val="001F6ECA"/>
    <w:rsid w:val="001F6F00"/>
    <w:rsid w:val="001F6F41"/>
    <w:rsid w:val="001F71B0"/>
    <w:rsid w:val="001F720D"/>
    <w:rsid w:val="001F721F"/>
    <w:rsid w:val="001F735F"/>
    <w:rsid w:val="001F7366"/>
    <w:rsid w:val="001F73AC"/>
    <w:rsid w:val="001F76A6"/>
    <w:rsid w:val="001F76F7"/>
    <w:rsid w:val="001F7807"/>
    <w:rsid w:val="001F7ABB"/>
    <w:rsid w:val="001F7AFA"/>
    <w:rsid w:val="001F7B3A"/>
    <w:rsid w:val="001F7BBF"/>
    <w:rsid w:val="001F7D1A"/>
    <w:rsid w:val="001F7D2B"/>
    <w:rsid w:val="001F7E94"/>
    <w:rsid w:val="001F7ED7"/>
    <w:rsid w:val="001F7EFD"/>
    <w:rsid w:val="001F7F44"/>
    <w:rsid w:val="001F7FAF"/>
    <w:rsid w:val="00200135"/>
    <w:rsid w:val="002002EF"/>
    <w:rsid w:val="002003B1"/>
    <w:rsid w:val="00200453"/>
    <w:rsid w:val="00200539"/>
    <w:rsid w:val="0020054B"/>
    <w:rsid w:val="0020064B"/>
    <w:rsid w:val="00200755"/>
    <w:rsid w:val="0020076C"/>
    <w:rsid w:val="002007A4"/>
    <w:rsid w:val="00200856"/>
    <w:rsid w:val="002009A3"/>
    <w:rsid w:val="00200BBF"/>
    <w:rsid w:val="00200BDA"/>
    <w:rsid w:val="00200BE6"/>
    <w:rsid w:val="00200C83"/>
    <w:rsid w:val="00200D05"/>
    <w:rsid w:val="00200D78"/>
    <w:rsid w:val="00200E29"/>
    <w:rsid w:val="00200E6F"/>
    <w:rsid w:val="00200F9B"/>
    <w:rsid w:val="00200FE8"/>
    <w:rsid w:val="00201076"/>
    <w:rsid w:val="002011B4"/>
    <w:rsid w:val="0020121C"/>
    <w:rsid w:val="0020125A"/>
    <w:rsid w:val="0020135A"/>
    <w:rsid w:val="002013CF"/>
    <w:rsid w:val="00201582"/>
    <w:rsid w:val="002015DE"/>
    <w:rsid w:val="002016EF"/>
    <w:rsid w:val="002017B9"/>
    <w:rsid w:val="00201842"/>
    <w:rsid w:val="002018D4"/>
    <w:rsid w:val="00201903"/>
    <w:rsid w:val="00201934"/>
    <w:rsid w:val="002019E2"/>
    <w:rsid w:val="002019E3"/>
    <w:rsid w:val="00201AE6"/>
    <w:rsid w:val="00201BC8"/>
    <w:rsid w:val="00201F9F"/>
    <w:rsid w:val="002020E1"/>
    <w:rsid w:val="002021C6"/>
    <w:rsid w:val="0020229D"/>
    <w:rsid w:val="00202394"/>
    <w:rsid w:val="00202657"/>
    <w:rsid w:val="00202742"/>
    <w:rsid w:val="00202795"/>
    <w:rsid w:val="002029B3"/>
    <w:rsid w:val="00202AA3"/>
    <w:rsid w:val="00202AB7"/>
    <w:rsid w:val="00202D2F"/>
    <w:rsid w:val="00202F26"/>
    <w:rsid w:val="00202FA0"/>
    <w:rsid w:val="00202FD9"/>
    <w:rsid w:val="0020304C"/>
    <w:rsid w:val="0020314C"/>
    <w:rsid w:val="002031F3"/>
    <w:rsid w:val="002032AB"/>
    <w:rsid w:val="002033C1"/>
    <w:rsid w:val="00203544"/>
    <w:rsid w:val="002036F0"/>
    <w:rsid w:val="0020396C"/>
    <w:rsid w:val="00203C00"/>
    <w:rsid w:val="00203C5B"/>
    <w:rsid w:val="00203C61"/>
    <w:rsid w:val="00203C7B"/>
    <w:rsid w:val="00203E61"/>
    <w:rsid w:val="00203EA6"/>
    <w:rsid w:val="00203FC5"/>
    <w:rsid w:val="00204046"/>
    <w:rsid w:val="002041AF"/>
    <w:rsid w:val="002042FA"/>
    <w:rsid w:val="002043B4"/>
    <w:rsid w:val="0020443D"/>
    <w:rsid w:val="002045BE"/>
    <w:rsid w:val="00204765"/>
    <w:rsid w:val="002048ED"/>
    <w:rsid w:val="0020492D"/>
    <w:rsid w:val="00204AE9"/>
    <w:rsid w:val="00204AFB"/>
    <w:rsid w:val="00204CAB"/>
    <w:rsid w:val="00204F93"/>
    <w:rsid w:val="00204FB3"/>
    <w:rsid w:val="00204FB7"/>
    <w:rsid w:val="00205094"/>
    <w:rsid w:val="002052CA"/>
    <w:rsid w:val="00205361"/>
    <w:rsid w:val="00205530"/>
    <w:rsid w:val="00205636"/>
    <w:rsid w:val="00205729"/>
    <w:rsid w:val="0020577D"/>
    <w:rsid w:val="002059AD"/>
    <w:rsid w:val="00205A33"/>
    <w:rsid w:val="00205AA9"/>
    <w:rsid w:val="00205AF4"/>
    <w:rsid w:val="00205B95"/>
    <w:rsid w:val="00205C15"/>
    <w:rsid w:val="00205C59"/>
    <w:rsid w:val="00205D07"/>
    <w:rsid w:val="00205D3F"/>
    <w:rsid w:val="00205ECD"/>
    <w:rsid w:val="00205F47"/>
    <w:rsid w:val="00205F61"/>
    <w:rsid w:val="00205F9B"/>
    <w:rsid w:val="002060F3"/>
    <w:rsid w:val="002060F4"/>
    <w:rsid w:val="002061FE"/>
    <w:rsid w:val="002062D5"/>
    <w:rsid w:val="00206309"/>
    <w:rsid w:val="0020632F"/>
    <w:rsid w:val="0020645B"/>
    <w:rsid w:val="002065F1"/>
    <w:rsid w:val="00206610"/>
    <w:rsid w:val="00206827"/>
    <w:rsid w:val="00206873"/>
    <w:rsid w:val="002069A4"/>
    <w:rsid w:val="00206A77"/>
    <w:rsid w:val="00206AFA"/>
    <w:rsid w:val="00206B69"/>
    <w:rsid w:val="00206C00"/>
    <w:rsid w:val="00206C70"/>
    <w:rsid w:val="00206C81"/>
    <w:rsid w:val="00206CC7"/>
    <w:rsid w:val="00206D2A"/>
    <w:rsid w:val="00206E33"/>
    <w:rsid w:val="00206F03"/>
    <w:rsid w:val="00206F66"/>
    <w:rsid w:val="00207104"/>
    <w:rsid w:val="0020721A"/>
    <w:rsid w:val="0020722C"/>
    <w:rsid w:val="00207351"/>
    <w:rsid w:val="002073DE"/>
    <w:rsid w:val="0020748F"/>
    <w:rsid w:val="002075EE"/>
    <w:rsid w:val="00207689"/>
    <w:rsid w:val="002076AF"/>
    <w:rsid w:val="0020772C"/>
    <w:rsid w:val="0020779E"/>
    <w:rsid w:val="00207901"/>
    <w:rsid w:val="0020795F"/>
    <w:rsid w:val="00207D26"/>
    <w:rsid w:val="00207DD3"/>
    <w:rsid w:val="00207F78"/>
    <w:rsid w:val="00207FD2"/>
    <w:rsid w:val="00210055"/>
    <w:rsid w:val="00210056"/>
    <w:rsid w:val="002100A1"/>
    <w:rsid w:val="002100CC"/>
    <w:rsid w:val="00210315"/>
    <w:rsid w:val="002105A4"/>
    <w:rsid w:val="002105F1"/>
    <w:rsid w:val="00210617"/>
    <w:rsid w:val="0021063E"/>
    <w:rsid w:val="0021065F"/>
    <w:rsid w:val="0021069F"/>
    <w:rsid w:val="002106B8"/>
    <w:rsid w:val="002107E6"/>
    <w:rsid w:val="00210823"/>
    <w:rsid w:val="00210954"/>
    <w:rsid w:val="00210991"/>
    <w:rsid w:val="00210A2F"/>
    <w:rsid w:val="00210AEE"/>
    <w:rsid w:val="00210B1A"/>
    <w:rsid w:val="00210B29"/>
    <w:rsid w:val="00210B38"/>
    <w:rsid w:val="00210BCF"/>
    <w:rsid w:val="00210C7D"/>
    <w:rsid w:val="00210F72"/>
    <w:rsid w:val="00210FEB"/>
    <w:rsid w:val="00211006"/>
    <w:rsid w:val="0021100E"/>
    <w:rsid w:val="00211161"/>
    <w:rsid w:val="00211429"/>
    <w:rsid w:val="002114CB"/>
    <w:rsid w:val="0021154C"/>
    <w:rsid w:val="002117F3"/>
    <w:rsid w:val="0021182F"/>
    <w:rsid w:val="00211A29"/>
    <w:rsid w:val="00211DC6"/>
    <w:rsid w:val="00211F34"/>
    <w:rsid w:val="00211F8A"/>
    <w:rsid w:val="002120AC"/>
    <w:rsid w:val="00212113"/>
    <w:rsid w:val="0021221C"/>
    <w:rsid w:val="00212305"/>
    <w:rsid w:val="00212466"/>
    <w:rsid w:val="002124A2"/>
    <w:rsid w:val="002124FB"/>
    <w:rsid w:val="00212550"/>
    <w:rsid w:val="0021261B"/>
    <w:rsid w:val="00212791"/>
    <w:rsid w:val="00212A32"/>
    <w:rsid w:val="00212AD3"/>
    <w:rsid w:val="00212B5D"/>
    <w:rsid w:val="00212CD1"/>
    <w:rsid w:val="00212CEB"/>
    <w:rsid w:val="00212D20"/>
    <w:rsid w:val="00212E46"/>
    <w:rsid w:val="00212ECA"/>
    <w:rsid w:val="00212F93"/>
    <w:rsid w:val="00213045"/>
    <w:rsid w:val="0021309B"/>
    <w:rsid w:val="002130A6"/>
    <w:rsid w:val="00213221"/>
    <w:rsid w:val="002132C2"/>
    <w:rsid w:val="002132DC"/>
    <w:rsid w:val="002132FA"/>
    <w:rsid w:val="0021354B"/>
    <w:rsid w:val="00213563"/>
    <w:rsid w:val="002135DD"/>
    <w:rsid w:val="00213681"/>
    <w:rsid w:val="00213738"/>
    <w:rsid w:val="00213745"/>
    <w:rsid w:val="00213813"/>
    <w:rsid w:val="002138DF"/>
    <w:rsid w:val="0021392B"/>
    <w:rsid w:val="002139D4"/>
    <w:rsid w:val="002139E5"/>
    <w:rsid w:val="00213D0C"/>
    <w:rsid w:val="00213E82"/>
    <w:rsid w:val="00213F26"/>
    <w:rsid w:val="00213FD8"/>
    <w:rsid w:val="00214045"/>
    <w:rsid w:val="00214071"/>
    <w:rsid w:val="00214164"/>
    <w:rsid w:val="002141D3"/>
    <w:rsid w:val="00214244"/>
    <w:rsid w:val="00214269"/>
    <w:rsid w:val="002142CC"/>
    <w:rsid w:val="002142EE"/>
    <w:rsid w:val="0021443D"/>
    <w:rsid w:val="002144EA"/>
    <w:rsid w:val="002145F9"/>
    <w:rsid w:val="0021471F"/>
    <w:rsid w:val="00214837"/>
    <w:rsid w:val="0021483A"/>
    <w:rsid w:val="002148D0"/>
    <w:rsid w:val="00214AC7"/>
    <w:rsid w:val="00214B95"/>
    <w:rsid w:val="00214BBA"/>
    <w:rsid w:val="00214C95"/>
    <w:rsid w:val="00214E91"/>
    <w:rsid w:val="00214FF3"/>
    <w:rsid w:val="0021501F"/>
    <w:rsid w:val="00215150"/>
    <w:rsid w:val="00215163"/>
    <w:rsid w:val="002151EF"/>
    <w:rsid w:val="00215268"/>
    <w:rsid w:val="00215353"/>
    <w:rsid w:val="002153D0"/>
    <w:rsid w:val="00215440"/>
    <w:rsid w:val="0021544B"/>
    <w:rsid w:val="0021575E"/>
    <w:rsid w:val="0021576A"/>
    <w:rsid w:val="002158AB"/>
    <w:rsid w:val="002158B4"/>
    <w:rsid w:val="0021596C"/>
    <w:rsid w:val="00215A77"/>
    <w:rsid w:val="00215A90"/>
    <w:rsid w:val="00215AD9"/>
    <w:rsid w:val="00215B6E"/>
    <w:rsid w:val="00215C26"/>
    <w:rsid w:val="00215C53"/>
    <w:rsid w:val="00215CEA"/>
    <w:rsid w:val="00215D2C"/>
    <w:rsid w:val="00215DE6"/>
    <w:rsid w:val="00215F11"/>
    <w:rsid w:val="002160FA"/>
    <w:rsid w:val="002163EB"/>
    <w:rsid w:val="002164A0"/>
    <w:rsid w:val="0021654A"/>
    <w:rsid w:val="0021656B"/>
    <w:rsid w:val="002167E6"/>
    <w:rsid w:val="0021680D"/>
    <w:rsid w:val="00216819"/>
    <w:rsid w:val="0021690F"/>
    <w:rsid w:val="00216948"/>
    <w:rsid w:val="002169D4"/>
    <w:rsid w:val="002169E3"/>
    <w:rsid w:val="00216A33"/>
    <w:rsid w:val="00216A9C"/>
    <w:rsid w:val="00216ABE"/>
    <w:rsid w:val="00216ACD"/>
    <w:rsid w:val="00216B8A"/>
    <w:rsid w:val="00216BD5"/>
    <w:rsid w:val="00216C39"/>
    <w:rsid w:val="00216C40"/>
    <w:rsid w:val="00216D0A"/>
    <w:rsid w:val="00216D69"/>
    <w:rsid w:val="00216E33"/>
    <w:rsid w:val="00216FB6"/>
    <w:rsid w:val="00217205"/>
    <w:rsid w:val="00217230"/>
    <w:rsid w:val="002172DC"/>
    <w:rsid w:val="0021739A"/>
    <w:rsid w:val="0021764A"/>
    <w:rsid w:val="002176BB"/>
    <w:rsid w:val="00217766"/>
    <w:rsid w:val="0021795D"/>
    <w:rsid w:val="00217AF0"/>
    <w:rsid w:val="00217B0A"/>
    <w:rsid w:val="00217B68"/>
    <w:rsid w:val="00217BF2"/>
    <w:rsid w:val="00217E3B"/>
    <w:rsid w:val="00217E90"/>
    <w:rsid w:val="00217F0A"/>
    <w:rsid w:val="00217F23"/>
    <w:rsid w:val="00217F27"/>
    <w:rsid w:val="00220002"/>
    <w:rsid w:val="00220116"/>
    <w:rsid w:val="00220369"/>
    <w:rsid w:val="00220395"/>
    <w:rsid w:val="002204D7"/>
    <w:rsid w:val="002204E1"/>
    <w:rsid w:val="0022060F"/>
    <w:rsid w:val="00220883"/>
    <w:rsid w:val="002208C1"/>
    <w:rsid w:val="002209AB"/>
    <w:rsid w:val="002209FC"/>
    <w:rsid w:val="00220AAD"/>
    <w:rsid w:val="00220AD4"/>
    <w:rsid w:val="00220CE7"/>
    <w:rsid w:val="00220CEF"/>
    <w:rsid w:val="00220DA6"/>
    <w:rsid w:val="00220DC0"/>
    <w:rsid w:val="00220F4F"/>
    <w:rsid w:val="002210DD"/>
    <w:rsid w:val="002211E5"/>
    <w:rsid w:val="002211EC"/>
    <w:rsid w:val="002212BC"/>
    <w:rsid w:val="002212DD"/>
    <w:rsid w:val="002212EF"/>
    <w:rsid w:val="0022136C"/>
    <w:rsid w:val="002213BE"/>
    <w:rsid w:val="002217C8"/>
    <w:rsid w:val="0022186F"/>
    <w:rsid w:val="00221985"/>
    <w:rsid w:val="002219B1"/>
    <w:rsid w:val="00221AE4"/>
    <w:rsid w:val="00221C0D"/>
    <w:rsid w:val="00221ED1"/>
    <w:rsid w:val="00222005"/>
    <w:rsid w:val="0022201F"/>
    <w:rsid w:val="00222163"/>
    <w:rsid w:val="00222272"/>
    <w:rsid w:val="0022247A"/>
    <w:rsid w:val="002224D7"/>
    <w:rsid w:val="0022253A"/>
    <w:rsid w:val="0022258B"/>
    <w:rsid w:val="00222710"/>
    <w:rsid w:val="00222833"/>
    <w:rsid w:val="0022287C"/>
    <w:rsid w:val="00222890"/>
    <w:rsid w:val="002228E3"/>
    <w:rsid w:val="00222994"/>
    <w:rsid w:val="002229BF"/>
    <w:rsid w:val="00222A44"/>
    <w:rsid w:val="00222AD9"/>
    <w:rsid w:val="00222BD4"/>
    <w:rsid w:val="00222C17"/>
    <w:rsid w:val="00222E63"/>
    <w:rsid w:val="00223042"/>
    <w:rsid w:val="002230AB"/>
    <w:rsid w:val="002230B1"/>
    <w:rsid w:val="00223243"/>
    <w:rsid w:val="002232FD"/>
    <w:rsid w:val="0022336F"/>
    <w:rsid w:val="002235EF"/>
    <w:rsid w:val="002236A0"/>
    <w:rsid w:val="002236A3"/>
    <w:rsid w:val="002238D0"/>
    <w:rsid w:val="00223990"/>
    <w:rsid w:val="00223A11"/>
    <w:rsid w:val="00223A67"/>
    <w:rsid w:val="00223ACC"/>
    <w:rsid w:val="00223F83"/>
    <w:rsid w:val="00224157"/>
    <w:rsid w:val="002243AE"/>
    <w:rsid w:val="002243C0"/>
    <w:rsid w:val="002243C5"/>
    <w:rsid w:val="002243E8"/>
    <w:rsid w:val="002243EE"/>
    <w:rsid w:val="0022454D"/>
    <w:rsid w:val="00224584"/>
    <w:rsid w:val="002245DB"/>
    <w:rsid w:val="00224653"/>
    <w:rsid w:val="002248C1"/>
    <w:rsid w:val="0022493D"/>
    <w:rsid w:val="00224941"/>
    <w:rsid w:val="00224A0A"/>
    <w:rsid w:val="00224A2C"/>
    <w:rsid w:val="00224AA9"/>
    <w:rsid w:val="00224B8A"/>
    <w:rsid w:val="00224C49"/>
    <w:rsid w:val="002251B3"/>
    <w:rsid w:val="002252CD"/>
    <w:rsid w:val="002252DE"/>
    <w:rsid w:val="0022531D"/>
    <w:rsid w:val="00225387"/>
    <w:rsid w:val="002254D3"/>
    <w:rsid w:val="002255DF"/>
    <w:rsid w:val="00225632"/>
    <w:rsid w:val="002256CA"/>
    <w:rsid w:val="002257D0"/>
    <w:rsid w:val="002259EB"/>
    <w:rsid w:val="00225A40"/>
    <w:rsid w:val="00225A57"/>
    <w:rsid w:val="00225B1A"/>
    <w:rsid w:val="00225CF7"/>
    <w:rsid w:val="00225D50"/>
    <w:rsid w:val="00225D59"/>
    <w:rsid w:val="00226059"/>
    <w:rsid w:val="00226089"/>
    <w:rsid w:val="00226344"/>
    <w:rsid w:val="00226505"/>
    <w:rsid w:val="00226537"/>
    <w:rsid w:val="00226699"/>
    <w:rsid w:val="002266E6"/>
    <w:rsid w:val="0022675B"/>
    <w:rsid w:val="002267CD"/>
    <w:rsid w:val="002268B1"/>
    <w:rsid w:val="002268B7"/>
    <w:rsid w:val="00226990"/>
    <w:rsid w:val="002269D4"/>
    <w:rsid w:val="00226A89"/>
    <w:rsid w:val="00226D83"/>
    <w:rsid w:val="00226E8A"/>
    <w:rsid w:val="002271A1"/>
    <w:rsid w:val="002271CC"/>
    <w:rsid w:val="00227805"/>
    <w:rsid w:val="0022780A"/>
    <w:rsid w:val="0022786F"/>
    <w:rsid w:val="00227974"/>
    <w:rsid w:val="00227AE3"/>
    <w:rsid w:val="00227DA3"/>
    <w:rsid w:val="00227E0B"/>
    <w:rsid w:val="00227E5D"/>
    <w:rsid w:val="00227ECA"/>
    <w:rsid w:val="00227F6D"/>
    <w:rsid w:val="00227FBD"/>
    <w:rsid w:val="0023001A"/>
    <w:rsid w:val="00230084"/>
    <w:rsid w:val="0023016F"/>
    <w:rsid w:val="00230397"/>
    <w:rsid w:val="00230428"/>
    <w:rsid w:val="00230709"/>
    <w:rsid w:val="0023071A"/>
    <w:rsid w:val="00230755"/>
    <w:rsid w:val="0023083B"/>
    <w:rsid w:val="0023091A"/>
    <w:rsid w:val="002309C5"/>
    <w:rsid w:val="00230A6D"/>
    <w:rsid w:val="00230AD1"/>
    <w:rsid w:val="00230AFD"/>
    <w:rsid w:val="00230BB2"/>
    <w:rsid w:val="00230DF6"/>
    <w:rsid w:val="00230FAB"/>
    <w:rsid w:val="00230FD2"/>
    <w:rsid w:val="00231036"/>
    <w:rsid w:val="002311CE"/>
    <w:rsid w:val="00231276"/>
    <w:rsid w:val="002313A2"/>
    <w:rsid w:val="002314F2"/>
    <w:rsid w:val="002315A8"/>
    <w:rsid w:val="0023169E"/>
    <w:rsid w:val="002316A9"/>
    <w:rsid w:val="002316FC"/>
    <w:rsid w:val="00231852"/>
    <w:rsid w:val="00231A11"/>
    <w:rsid w:val="00231CA5"/>
    <w:rsid w:val="00231F6A"/>
    <w:rsid w:val="00231FA6"/>
    <w:rsid w:val="00232033"/>
    <w:rsid w:val="002320D7"/>
    <w:rsid w:val="002321DF"/>
    <w:rsid w:val="00232260"/>
    <w:rsid w:val="0023245A"/>
    <w:rsid w:val="002324CE"/>
    <w:rsid w:val="00232519"/>
    <w:rsid w:val="00232568"/>
    <w:rsid w:val="00232617"/>
    <w:rsid w:val="002327E6"/>
    <w:rsid w:val="0023281A"/>
    <w:rsid w:val="002329F4"/>
    <w:rsid w:val="00232F5D"/>
    <w:rsid w:val="00233230"/>
    <w:rsid w:val="002333DF"/>
    <w:rsid w:val="0023341A"/>
    <w:rsid w:val="00233529"/>
    <w:rsid w:val="0023377E"/>
    <w:rsid w:val="002339E1"/>
    <w:rsid w:val="00233A58"/>
    <w:rsid w:val="00233B1E"/>
    <w:rsid w:val="00233BB0"/>
    <w:rsid w:val="00233C86"/>
    <w:rsid w:val="00233EA1"/>
    <w:rsid w:val="00233EFD"/>
    <w:rsid w:val="00233F07"/>
    <w:rsid w:val="00234063"/>
    <w:rsid w:val="002341D1"/>
    <w:rsid w:val="00234358"/>
    <w:rsid w:val="00234396"/>
    <w:rsid w:val="00234603"/>
    <w:rsid w:val="0023467C"/>
    <w:rsid w:val="00234748"/>
    <w:rsid w:val="00234837"/>
    <w:rsid w:val="00234A23"/>
    <w:rsid w:val="00234B02"/>
    <w:rsid w:val="00234BC5"/>
    <w:rsid w:val="00234CC3"/>
    <w:rsid w:val="00234FC8"/>
    <w:rsid w:val="00235016"/>
    <w:rsid w:val="002350FE"/>
    <w:rsid w:val="00235118"/>
    <w:rsid w:val="00235179"/>
    <w:rsid w:val="002352C3"/>
    <w:rsid w:val="002352D9"/>
    <w:rsid w:val="002352FF"/>
    <w:rsid w:val="00235409"/>
    <w:rsid w:val="00235480"/>
    <w:rsid w:val="0023570C"/>
    <w:rsid w:val="002358CA"/>
    <w:rsid w:val="002359F4"/>
    <w:rsid w:val="00235A8E"/>
    <w:rsid w:val="00235B80"/>
    <w:rsid w:val="00235C95"/>
    <w:rsid w:val="00235CC5"/>
    <w:rsid w:val="00235D7F"/>
    <w:rsid w:val="00235FA6"/>
    <w:rsid w:val="002361D8"/>
    <w:rsid w:val="0023651F"/>
    <w:rsid w:val="00236681"/>
    <w:rsid w:val="002366FA"/>
    <w:rsid w:val="002367A8"/>
    <w:rsid w:val="0023680B"/>
    <w:rsid w:val="0023682B"/>
    <w:rsid w:val="002369AD"/>
    <w:rsid w:val="00236AB7"/>
    <w:rsid w:val="00236AE3"/>
    <w:rsid w:val="00236C57"/>
    <w:rsid w:val="00236CDB"/>
    <w:rsid w:val="002371C5"/>
    <w:rsid w:val="0023724E"/>
    <w:rsid w:val="00237397"/>
    <w:rsid w:val="0023743F"/>
    <w:rsid w:val="0023749E"/>
    <w:rsid w:val="002374B1"/>
    <w:rsid w:val="002375F9"/>
    <w:rsid w:val="0023763A"/>
    <w:rsid w:val="00237674"/>
    <w:rsid w:val="0023767D"/>
    <w:rsid w:val="0023772A"/>
    <w:rsid w:val="00237756"/>
    <w:rsid w:val="00237828"/>
    <w:rsid w:val="00237868"/>
    <w:rsid w:val="00237922"/>
    <w:rsid w:val="00237992"/>
    <w:rsid w:val="00237A43"/>
    <w:rsid w:val="00237B1A"/>
    <w:rsid w:val="00237B58"/>
    <w:rsid w:val="00237E02"/>
    <w:rsid w:val="00237E6E"/>
    <w:rsid w:val="00240064"/>
    <w:rsid w:val="002402A1"/>
    <w:rsid w:val="002402C6"/>
    <w:rsid w:val="00240402"/>
    <w:rsid w:val="00240451"/>
    <w:rsid w:val="002404EA"/>
    <w:rsid w:val="00240678"/>
    <w:rsid w:val="00240816"/>
    <w:rsid w:val="00240864"/>
    <w:rsid w:val="00240D0C"/>
    <w:rsid w:val="00240D8D"/>
    <w:rsid w:val="00240DF8"/>
    <w:rsid w:val="00240E2E"/>
    <w:rsid w:val="00240F31"/>
    <w:rsid w:val="00240FD1"/>
    <w:rsid w:val="0024100B"/>
    <w:rsid w:val="002410BB"/>
    <w:rsid w:val="0024111F"/>
    <w:rsid w:val="00241325"/>
    <w:rsid w:val="00241355"/>
    <w:rsid w:val="00241611"/>
    <w:rsid w:val="00241612"/>
    <w:rsid w:val="0024169B"/>
    <w:rsid w:val="00241887"/>
    <w:rsid w:val="0024188A"/>
    <w:rsid w:val="00241AAE"/>
    <w:rsid w:val="00241C63"/>
    <w:rsid w:val="00241CDB"/>
    <w:rsid w:val="00241CF0"/>
    <w:rsid w:val="00241D70"/>
    <w:rsid w:val="00241DA0"/>
    <w:rsid w:val="00241E1D"/>
    <w:rsid w:val="00241F38"/>
    <w:rsid w:val="00242019"/>
    <w:rsid w:val="0024206A"/>
    <w:rsid w:val="00242196"/>
    <w:rsid w:val="00242297"/>
    <w:rsid w:val="002422E3"/>
    <w:rsid w:val="002425CD"/>
    <w:rsid w:val="0024261D"/>
    <w:rsid w:val="00242626"/>
    <w:rsid w:val="0024264E"/>
    <w:rsid w:val="002426F4"/>
    <w:rsid w:val="00242713"/>
    <w:rsid w:val="00242775"/>
    <w:rsid w:val="00242A6A"/>
    <w:rsid w:val="00242A7F"/>
    <w:rsid w:val="00242AB4"/>
    <w:rsid w:val="00242C03"/>
    <w:rsid w:val="00242D09"/>
    <w:rsid w:val="00242D94"/>
    <w:rsid w:val="00242E6F"/>
    <w:rsid w:val="00243143"/>
    <w:rsid w:val="00243324"/>
    <w:rsid w:val="00243330"/>
    <w:rsid w:val="0024333B"/>
    <w:rsid w:val="0024340E"/>
    <w:rsid w:val="00243413"/>
    <w:rsid w:val="0024343E"/>
    <w:rsid w:val="0024348D"/>
    <w:rsid w:val="0024349F"/>
    <w:rsid w:val="0024351D"/>
    <w:rsid w:val="00243669"/>
    <w:rsid w:val="002436A0"/>
    <w:rsid w:val="00243927"/>
    <w:rsid w:val="00243939"/>
    <w:rsid w:val="00243A45"/>
    <w:rsid w:val="00243A5E"/>
    <w:rsid w:val="00243AAC"/>
    <w:rsid w:val="00243B33"/>
    <w:rsid w:val="00243B4F"/>
    <w:rsid w:val="00243DB2"/>
    <w:rsid w:val="00243DE3"/>
    <w:rsid w:val="00243F1E"/>
    <w:rsid w:val="00244005"/>
    <w:rsid w:val="0024401D"/>
    <w:rsid w:val="00244099"/>
    <w:rsid w:val="00244184"/>
    <w:rsid w:val="0024423C"/>
    <w:rsid w:val="002442E4"/>
    <w:rsid w:val="0024434F"/>
    <w:rsid w:val="00244687"/>
    <w:rsid w:val="002446F8"/>
    <w:rsid w:val="0024490B"/>
    <w:rsid w:val="00244B5E"/>
    <w:rsid w:val="00244CC7"/>
    <w:rsid w:val="00244DAE"/>
    <w:rsid w:val="00245006"/>
    <w:rsid w:val="00245044"/>
    <w:rsid w:val="0024521D"/>
    <w:rsid w:val="00245272"/>
    <w:rsid w:val="0024537C"/>
    <w:rsid w:val="002453A0"/>
    <w:rsid w:val="00245423"/>
    <w:rsid w:val="00245463"/>
    <w:rsid w:val="002454F6"/>
    <w:rsid w:val="0024552F"/>
    <w:rsid w:val="00245565"/>
    <w:rsid w:val="002456BB"/>
    <w:rsid w:val="002456FF"/>
    <w:rsid w:val="00245920"/>
    <w:rsid w:val="00245956"/>
    <w:rsid w:val="002459D2"/>
    <w:rsid w:val="00245A03"/>
    <w:rsid w:val="00245A08"/>
    <w:rsid w:val="00245AE7"/>
    <w:rsid w:val="00245DB0"/>
    <w:rsid w:val="00245E01"/>
    <w:rsid w:val="00245FCF"/>
    <w:rsid w:val="0024611C"/>
    <w:rsid w:val="00246340"/>
    <w:rsid w:val="00246353"/>
    <w:rsid w:val="0024639C"/>
    <w:rsid w:val="00246510"/>
    <w:rsid w:val="0024662C"/>
    <w:rsid w:val="0024667D"/>
    <w:rsid w:val="002468FD"/>
    <w:rsid w:val="00246A07"/>
    <w:rsid w:val="00246AAC"/>
    <w:rsid w:val="00246B7E"/>
    <w:rsid w:val="00246BA5"/>
    <w:rsid w:val="00246D6E"/>
    <w:rsid w:val="00246EA2"/>
    <w:rsid w:val="00246EFD"/>
    <w:rsid w:val="00246F3A"/>
    <w:rsid w:val="00246F6A"/>
    <w:rsid w:val="002470F8"/>
    <w:rsid w:val="0024713F"/>
    <w:rsid w:val="002471AE"/>
    <w:rsid w:val="00247200"/>
    <w:rsid w:val="002472A5"/>
    <w:rsid w:val="002472AA"/>
    <w:rsid w:val="002473E5"/>
    <w:rsid w:val="00247472"/>
    <w:rsid w:val="00247543"/>
    <w:rsid w:val="002476D6"/>
    <w:rsid w:val="00247829"/>
    <w:rsid w:val="0024787A"/>
    <w:rsid w:val="00247882"/>
    <w:rsid w:val="00247A0F"/>
    <w:rsid w:val="00247A25"/>
    <w:rsid w:val="00247ABB"/>
    <w:rsid w:val="00247B1F"/>
    <w:rsid w:val="00247B22"/>
    <w:rsid w:val="00247C06"/>
    <w:rsid w:val="00247C1B"/>
    <w:rsid w:val="00247CBA"/>
    <w:rsid w:val="00247D46"/>
    <w:rsid w:val="00247FC0"/>
    <w:rsid w:val="002501D5"/>
    <w:rsid w:val="002502BD"/>
    <w:rsid w:val="002502F3"/>
    <w:rsid w:val="0025036D"/>
    <w:rsid w:val="002503EF"/>
    <w:rsid w:val="002505AA"/>
    <w:rsid w:val="00250698"/>
    <w:rsid w:val="002506A6"/>
    <w:rsid w:val="002506C8"/>
    <w:rsid w:val="00250766"/>
    <w:rsid w:val="002507A0"/>
    <w:rsid w:val="002507DE"/>
    <w:rsid w:val="00250801"/>
    <w:rsid w:val="00250B5F"/>
    <w:rsid w:val="00250B9D"/>
    <w:rsid w:val="00250C29"/>
    <w:rsid w:val="00250C8A"/>
    <w:rsid w:val="00250CAF"/>
    <w:rsid w:val="00250DA4"/>
    <w:rsid w:val="00250E61"/>
    <w:rsid w:val="00250EAF"/>
    <w:rsid w:val="00250F78"/>
    <w:rsid w:val="00251060"/>
    <w:rsid w:val="0025110D"/>
    <w:rsid w:val="00251255"/>
    <w:rsid w:val="002512D1"/>
    <w:rsid w:val="002512EA"/>
    <w:rsid w:val="00251306"/>
    <w:rsid w:val="0025135A"/>
    <w:rsid w:val="002514F4"/>
    <w:rsid w:val="0025150F"/>
    <w:rsid w:val="00251630"/>
    <w:rsid w:val="002516D4"/>
    <w:rsid w:val="00251740"/>
    <w:rsid w:val="00251841"/>
    <w:rsid w:val="00251B86"/>
    <w:rsid w:val="00251C00"/>
    <w:rsid w:val="00251DBC"/>
    <w:rsid w:val="00251E88"/>
    <w:rsid w:val="00251EB9"/>
    <w:rsid w:val="00252305"/>
    <w:rsid w:val="00252476"/>
    <w:rsid w:val="00252490"/>
    <w:rsid w:val="002525D2"/>
    <w:rsid w:val="002528A8"/>
    <w:rsid w:val="002529A5"/>
    <w:rsid w:val="00252A10"/>
    <w:rsid w:val="00252A76"/>
    <w:rsid w:val="00252AA5"/>
    <w:rsid w:val="00252B5C"/>
    <w:rsid w:val="00252B7E"/>
    <w:rsid w:val="00252F4D"/>
    <w:rsid w:val="00253066"/>
    <w:rsid w:val="002530BE"/>
    <w:rsid w:val="00253188"/>
    <w:rsid w:val="0025319F"/>
    <w:rsid w:val="002531D4"/>
    <w:rsid w:val="0025325C"/>
    <w:rsid w:val="002532A5"/>
    <w:rsid w:val="002532B8"/>
    <w:rsid w:val="00253357"/>
    <w:rsid w:val="002534AC"/>
    <w:rsid w:val="002535CC"/>
    <w:rsid w:val="002535F6"/>
    <w:rsid w:val="002536F5"/>
    <w:rsid w:val="00253730"/>
    <w:rsid w:val="00253739"/>
    <w:rsid w:val="0025382C"/>
    <w:rsid w:val="00253932"/>
    <w:rsid w:val="002539CD"/>
    <w:rsid w:val="002539E9"/>
    <w:rsid w:val="00253A2B"/>
    <w:rsid w:val="00253A8C"/>
    <w:rsid w:val="00253BAE"/>
    <w:rsid w:val="00253F7E"/>
    <w:rsid w:val="00253FD8"/>
    <w:rsid w:val="0025409A"/>
    <w:rsid w:val="002540A6"/>
    <w:rsid w:val="002540EC"/>
    <w:rsid w:val="00254106"/>
    <w:rsid w:val="00254259"/>
    <w:rsid w:val="0025428C"/>
    <w:rsid w:val="0025435D"/>
    <w:rsid w:val="002544FB"/>
    <w:rsid w:val="00254590"/>
    <w:rsid w:val="0025468C"/>
    <w:rsid w:val="0025475C"/>
    <w:rsid w:val="00254860"/>
    <w:rsid w:val="002549CA"/>
    <w:rsid w:val="00254B37"/>
    <w:rsid w:val="00254C5B"/>
    <w:rsid w:val="00254D1B"/>
    <w:rsid w:val="00254EE8"/>
    <w:rsid w:val="00254F41"/>
    <w:rsid w:val="00254F7E"/>
    <w:rsid w:val="00254F91"/>
    <w:rsid w:val="002550F3"/>
    <w:rsid w:val="0025515A"/>
    <w:rsid w:val="002551A6"/>
    <w:rsid w:val="002551CB"/>
    <w:rsid w:val="002551D8"/>
    <w:rsid w:val="002551E0"/>
    <w:rsid w:val="0025531A"/>
    <w:rsid w:val="00255356"/>
    <w:rsid w:val="0025537D"/>
    <w:rsid w:val="00255520"/>
    <w:rsid w:val="00255553"/>
    <w:rsid w:val="002555B1"/>
    <w:rsid w:val="0025571A"/>
    <w:rsid w:val="002559EE"/>
    <w:rsid w:val="00255A2A"/>
    <w:rsid w:val="00255BC3"/>
    <w:rsid w:val="00255CC1"/>
    <w:rsid w:val="00255DB7"/>
    <w:rsid w:val="00255EDC"/>
    <w:rsid w:val="0025602A"/>
    <w:rsid w:val="00256099"/>
    <w:rsid w:val="002560C2"/>
    <w:rsid w:val="00256172"/>
    <w:rsid w:val="00256295"/>
    <w:rsid w:val="00256307"/>
    <w:rsid w:val="00256382"/>
    <w:rsid w:val="00256436"/>
    <w:rsid w:val="00256489"/>
    <w:rsid w:val="002564DE"/>
    <w:rsid w:val="0025652D"/>
    <w:rsid w:val="0025652F"/>
    <w:rsid w:val="00256581"/>
    <w:rsid w:val="0025675F"/>
    <w:rsid w:val="002569AD"/>
    <w:rsid w:val="00256A52"/>
    <w:rsid w:val="00256A6C"/>
    <w:rsid w:val="00256BEA"/>
    <w:rsid w:val="00256C06"/>
    <w:rsid w:val="00256C3D"/>
    <w:rsid w:val="00256CE8"/>
    <w:rsid w:val="00256DE7"/>
    <w:rsid w:val="00256EE4"/>
    <w:rsid w:val="00256F11"/>
    <w:rsid w:val="00256F4A"/>
    <w:rsid w:val="00257033"/>
    <w:rsid w:val="002572E4"/>
    <w:rsid w:val="00257300"/>
    <w:rsid w:val="00257385"/>
    <w:rsid w:val="002574EF"/>
    <w:rsid w:val="0025752B"/>
    <w:rsid w:val="0025764B"/>
    <w:rsid w:val="00257670"/>
    <w:rsid w:val="002576EF"/>
    <w:rsid w:val="00257708"/>
    <w:rsid w:val="00257841"/>
    <w:rsid w:val="002578CC"/>
    <w:rsid w:val="00257965"/>
    <w:rsid w:val="0025798A"/>
    <w:rsid w:val="00257AB9"/>
    <w:rsid w:val="00257B1B"/>
    <w:rsid w:val="00257BD8"/>
    <w:rsid w:val="00257C9A"/>
    <w:rsid w:val="00257DA9"/>
    <w:rsid w:val="00257DAB"/>
    <w:rsid w:val="00257DEE"/>
    <w:rsid w:val="00257E2F"/>
    <w:rsid w:val="00257E5F"/>
    <w:rsid w:val="00257E98"/>
    <w:rsid w:val="00257EA3"/>
    <w:rsid w:val="00257EC8"/>
    <w:rsid w:val="00257EE8"/>
    <w:rsid w:val="00260091"/>
    <w:rsid w:val="0026012F"/>
    <w:rsid w:val="002601AE"/>
    <w:rsid w:val="002601D3"/>
    <w:rsid w:val="002603B0"/>
    <w:rsid w:val="00260422"/>
    <w:rsid w:val="00260449"/>
    <w:rsid w:val="002605EC"/>
    <w:rsid w:val="00260626"/>
    <w:rsid w:val="0026078A"/>
    <w:rsid w:val="002607AA"/>
    <w:rsid w:val="002608E0"/>
    <w:rsid w:val="00260993"/>
    <w:rsid w:val="00260A33"/>
    <w:rsid w:val="00260AD0"/>
    <w:rsid w:val="00260B9E"/>
    <w:rsid w:val="00260C2E"/>
    <w:rsid w:val="00260D72"/>
    <w:rsid w:val="00260D7F"/>
    <w:rsid w:val="00260DB1"/>
    <w:rsid w:val="00260DB4"/>
    <w:rsid w:val="00260E5B"/>
    <w:rsid w:val="00260F8A"/>
    <w:rsid w:val="00260FE7"/>
    <w:rsid w:val="00261095"/>
    <w:rsid w:val="0026118E"/>
    <w:rsid w:val="002611B9"/>
    <w:rsid w:val="00261581"/>
    <w:rsid w:val="002616A3"/>
    <w:rsid w:val="002619CD"/>
    <w:rsid w:val="00261B18"/>
    <w:rsid w:val="00261BCC"/>
    <w:rsid w:val="00261E8D"/>
    <w:rsid w:val="00262129"/>
    <w:rsid w:val="002621AA"/>
    <w:rsid w:val="002621CC"/>
    <w:rsid w:val="00262588"/>
    <w:rsid w:val="0026277C"/>
    <w:rsid w:val="00262822"/>
    <w:rsid w:val="002628BF"/>
    <w:rsid w:val="00262949"/>
    <w:rsid w:val="00262982"/>
    <w:rsid w:val="00262A99"/>
    <w:rsid w:val="00262ADB"/>
    <w:rsid w:val="00262BA8"/>
    <w:rsid w:val="00263048"/>
    <w:rsid w:val="002630AD"/>
    <w:rsid w:val="0026310A"/>
    <w:rsid w:val="002633B4"/>
    <w:rsid w:val="0026362F"/>
    <w:rsid w:val="002637A2"/>
    <w:rsid w:val="002637FB"/>
    <w:rsid w:val="0026383F"/>
    <w:rsid w:val="0026393A"/>
    <w:rsid w:val="00263BD7"/>
    <w:rsid w:val="00263C1F"/>
    <w:rsid w:val="00263F7F"/>
    <w:rsid w:val="00263F83"/>
    <w:rsid w:val="00263FCF"/>
    <w:rsid w:val="00263FE4"/>
    <w:rsid w:val="00264098"/>
    <w:rsid w:val="0026413F"/>
    <w:rsid w:val="0026414A"/>
    <w:rsid w:val="0026417D"/>
    <w:rsid w:val="002641C6"/>
    <w:rsid w:val="0026424E"/>
    <w:rsid w:val="00264284"/>
    <w:rsid w:val="00264347"/>
    <w:rsid w:val="00264432"/>
    <w:rsid w:val="002645E4"/>
    <w:rsid w:val="00264766"/>
    <w:rsid w:val="00264897"/>
    <w:rsid w:val="00264C1B"/>
    <w:rsid w:val="00264CC7"/>
    <w:rsid w:val="00264D41"/>
    <w:rsid w:val="00264E06"/>
    <w:rsid w:val="00265208"/>
    <w:rsid w:val="002652A4"/>
    <w:rsid w:val="00265722"/>
    <w:rsid w:val="00265801"/>
    <w:rsid w:val="00265896"/>
    <w:rsid w:val="002658A5"/>
    <w:rsid w:val="002658E0"/>
    <w:rsid w:val="00265A87"/>
    <w:rsid w:val="00265B6A"/>
    <w:rsid w:val="00265BE5"/>
    <w:rsid w:val="00265CC6"/>
    <w:rsid w:val="00265CC9"/>
    <w:rsid w:val="00265E60"/>
    <w:rsid w:val="00265EBE"/>
    <w:rsid w:val="00265EDA"/>
    <w:rsid w:val="00265F6F"/>
    <w:rsid w:val="00265F91"/>
    <w:rsid w:val="00265FB0"/>
    <w:rsid w:val="00266122"/>
    <w:rsid w:val="002661C9"/>
    <w:rsid w:val="00266341"/>
    <w:rsid w:val="002663B4"/>
    <w:rsid w:val="002663C0"/>
    <w:rsid w:val="002663CF"/>
    <w:rsid w:val="002663FB"/>
    <w:rsid w:val="00266427"/>
    <w:rsid w:val="00266524"/>
    <w:rsid w:val="00266607"/>
    <w:rsid w:val="0026667E"/>
    <w:rsid w:val="0026670C"/>
    <w:rsid w:val="002667DC"/>
    <w:rsid w:val="0026686E"/>
    <w:rsid w:val="002669E3"/>
    <w:rsid w:val="00266AFA"/>
    <w:rsid w:val="00266B9E"/>
    <w:rsid w:val="00266BB6"/>
    <w:rsid w:val="00266CB1"/>
    <w:rsid w:val="00266D56"/>
    <w:rsid w:val="00266D84"/>
    <w:rsid w:val="00266DC9"/>
    <w:rsid w:val="00266E6C"/>
    <w:rsid w:val="00266EE4"/>
    <w:rsid w:val="00266EF1"/>
    <w:rsid w:val="00266F45"/>
    <w:rsid w:val="00267029"/>
    <w:rsid w:val="00267095"/>
    <w:rsid w:val="002671C3"/>
    <w:rsid w:val="00267371"/>
    <w:rsid w:val="002673D8"/>
    <w:rsid w:val="002674AF"/>
    <w:rsid w:val="002674BE"/>
    <w:rsid w:val="002674DE"/>
    <w:rsid w:val="0026767C"/>
    <w:rsid w:val="00267837"/>
    <w:rsid w:val="002678F2"/>
    <w:rsid w:val="00267995"/>
    <w:rsid w:val="00267B7E"/>
    <w:rsid w:val="00267BAC"/>
    <w:rsid w:val="00267E4E"/>
    <w:rsid w:val="00267EB2"/>
    <w:rsid w:val="00267EEB"/>
    <w:rsid w:val="00267F63"/>
    <w:rsid w:val="00267F9B"/>
    <w:rsid w:val="00268756"/>
    <w:rsid w:val="00270067"/>
    <w:rsid w:val="002700F7"/>
    <w:rsid w:val="00270224"/>
    <w:rsid w:val="00270261"/>
    <w:rsid w:val="00270415"/>
    <w:rsid w:val="002704D3"/>
    <w:rsid w:val="002704FB"/>
    <w:rsid w:val="0027052D"/>
    <w:rsid w:val="002705AC"/>
    <w:rsid w:val="002706CF"/>
    <w:rsid w:val="002706DA"/>
    <w:rsid w:val="002707A7"/>
    <w:rsid w:val="002707C9"/>
    <w:rsid w:val="00270851"/>
    <w:rsid w:val="00270895"/>
    <w:rsid w:val="002708C5"/>
    <w:rsid w:val="002709A2"/>
    <w:rsid w:val="00270AB5"/>
    <w:rsid w:val="00270AB9"/>
    <w:rsid w:val="00270C5E"/>
    <w:rsid w:val="00270C89"/>
    <w:rsid w:val="00270D61"/>
    <w:rsid w:val="00270D9B"/>
    <w:rsid w:val="00270E06"/>
    <w:rsid w:val="00270FBA"/>
    <w:rsid w:val="00271119"/>
    <w:rsid w:val="00271175"/>
    <w:rsid w:val="0027126F"/>
    <w:rsid w:val="00271340"/>
    <w:rsid w:val="0027150B"/>
    <w:rsid w:val="0027162F"/>
    <w:rsid w:val="00271816"/>
    <w:rsid w:val="0027184E"/>
    <w:rsid w:val="002718F0"/>
    <w:rsid w:val="0027190A"/>
    <w:rsid w:val="0027194D"/>
    <w:rsid w:val="00271A2B"/>
    <w:rsid w:val="00271B30"/>
    <w:rsid w:val="00271BD5"/>
    <w:rsid w:val="00271C00"/>
    <w:rsid w:val="00271C03"/>
    <w:rsid w:val="00271D34"/>
    <w:rsid w:val="00271DA3"/>
    <w:rsid w:val="00271E1E"/>
    <w:rsid w:val="00271EE1"/>
    <w:rsid w:val="00271FC2"/>
    <w:rsid w:val="00272597"/>
    <w:rsid w:val="00272637"/>
    <w:rsid w:val="0027268F"/>
    <w:rsid w:val="0027278D"/>
    <w:rsid w:val="00272871"/>
    <w:rsid w:val="00272BF7"/>
    <w:rsid w:val="00272C97"/>
    <w:rsid w:val="00272D48"/>
    <w:rsid w:val="00272DA5"/>
    <w:rsid w:val="00272E48"/>
    <w:rsid w:val="00272F0E"/>
    <w:rsid w:val="00273122"/>
    <w:rsid w:val="0027322A"/>
    <w:rsid w:val="002732E4"/>
    <w:rsid w:val="00273461"/>
    <w:rsid w:val="002735A5"/>
    <w:rsid w:val="002738C7"/>
    <w:rsid w:val="002738E5"/>
    <w:rsid w:val="0027399E"/>
    <w:rsid w:val="00273A09"/>
    <w:rsid w:val="00273A0E"/>
    <w:rsid w:val="00273A4A"/>
    <w:rsid w:val="00273B81"/>
    <w:rsid w:val="00273E4E"/>
    <w:rsid w:val="00273EB6"/>
    <w:rsid w:val="00273F96"/>
    <w:rsid w:val="00274049"/>
    <w:rsid w:val="002740D5"/>
    <w:rsid w:val="00274343"/>
    <w:rsid w:val="0027446D"/>
    <w:rsid w:val="002744B3"/>
    <w:rsid w:val="002745A4"/>
    <w:rsid w:val="00274618"/>
    <w:rsid w:val="00274624"/>
    <w:rsid w:val="002746F5"/>
    <w:rsid w:val="00274828"/>
    <w:rsid w:val="00274988"/>
    <w:rsid w:val="00274A54"/>
    <w:rsid w:val="00274C29"/>
    <w:rsid w:val="00274C4D"/>
    <w:rsid w:val="00274C98"/>
    <w:rsid w:val="00274D79"/>
    <w:rsid w:val="00274EE4"/>
    <w:rsid w:val="00274F14"/>
    <w:rsid w:val="00274F4F"/>
    <w:rsid w:val="00274FD2"/>
    <w:rsid w:val="00275224"/>
    <w:rsid w:val="0027547E"/>
    <w:rsid w:val="00275574"/>
    <w:rsid w:val="002758C0"/>
    <w:rsid w:val="002759B5"/>
    <w:rsid w:val="002759FD"/>
    <w:rsid w:val="00275A7C"/>
    <w:rsid w:val="00275AAE"/>
    <w:rsid w:val="00275B48"/>
    <w:rsid w:val="00275BDB"/>
    <w:rsid w:val="00275BDC"/>
    <w:rsid w:val="00275E19"/>
    <w:rsid w:val="00276004"/>
    <w:rsid w:val="002761F2"/>
    <w:rsid w:val="00276211"/>
    <w:rsid w:val="00276298"/>
    <w:rsid w:val="002763D8"/>
    <w:rsid w:val="002763DE"/>
    <w:rsid w:val="00276434"/>
    <w:rsid w:val="0027656E"/>
    <w:rsid w:val="002765C4"/>
    <w:rsid w:val="00276932"/>
    <w:rsid w:val="0027698A"/>
    <w:rsid w:val="002769EB"/>
    <w:rsid w:val="00276A70"/>
    <w:rsid w:val="00276ACA"/>
    <w:rsid w:val="00276B45"/>
    <w:rsid w:val="00276BD2"/>
    <w:rsid w:val="00276D19"/>
    <w:rsid w:val="00276DA4"/>
    <w:rsid w:val="00276DC0"/>
    <w:rsid w:val="00276EC9"/>
    <w:rsid w:val="0027704B"/>
    <w:rsid w:val="00277358"/>
    <w:rsid w:val="002773EF"/>
    <w:rsid w:val="00277497"/>
    <w:rsid w:val="0027753F"/>
    <w:rsid w:val="002775EE"/>
    <w:rsid w:val="002777A3"/>
    <w:rsid w:val="00277808"/>
    <w:rsid w:val="002778B7"/>
    <w:rsid w:val="002778D8"/>
    <w:rsid w:val="002779E5"/>
    <w:rsid w:val="00277BC5"/>
    <w:rsid w:val="00277C0D"/>
    <w:rsid w:val="00277DD6"/>
    <w:rsid w:val="00277DFE"/>
    <w:rsid w:val="00277E33"/>
    <w:rsid w:val="00277ED1"/>
    <w:rsid w:val="0028035E"/>
    <w:rsid w:val="0028043B"/>
    <w:rsid w:val="0028046A"/>
    <w:rsid w:val="002804EE"/>
    <w:rsid w:val="00280527"/>
    <w:rsid w:val="0028062D"/>
    <w:rsid w:val="0028086D"/>
    <w:rsid w:val="00280988"/>
    <w:rsid w:val="00280AC6"/>
    <w:rsid w:val="00280B1D"/>
    <w:rsid w:val="00280C3D"/>
    <w:rsid w:val="00280CD4"/>
    <w:rsid w:val="00280E1B"/>
    <w:rsid w:val="00280E56"/>
    <w:rsid w:val="00280E88"/>
    <w:rsid w:val="00280E92"/>
    <w:rsid w:val="00280EDB"/>
    <w:rsid w:val="00280F3F"/>
    <w:rsid w:val="0028102E"/>
    <w:rsid w:val="00281067"/>
    <w:rsid w:val="00281111"/>
    <w:rsid w:val="00281181"/>
    <w:rsid w:val="00281273"/>
    <w:rsid w:val="00281288"/>
    <w:rsid w:val="002812CA"/>
    <w:rsid w:val="00281315"/>
    <w:rsid w:val="0028134C"/>
    <w:rsid w:val="002813E5"/>
    <w:rsid w:val="002814A1"/>
    <w:rsid w:val="002814CA"/>
    <w:rsid w:val="00281578"/>
    <w:rsid w:val="002816E4"/>
    <w:rsid w:val="0028174E"/>
    <w:rsid w:val="00281797"/>
    <w:rsid w:val="002818A2"/>
    <w:rsid w:val="002818EE"/>
    <w:rsid w:val="002818F2"/>
    <w:rsid w:val="00281936"/>
    <w:rsid w:val="00281938"/>
    <w:rsid w:val="002819BF"/>
    <w:rsid w:val="00281A21"/>
    <w:rsid w:val="00281A7F"/>
    <w:rsid w:val="00281B38"/>
    <w:rsid w:val="00281C00"/>
    <w:rsid w:val="00281F1B"/>
    <w:rsid w:val="00282283"/>
    <w:rsid w:val="002822B2"/>
    <w:rsid w:val="0028235A"/>
    <w:rsid w:val="002823CF"/>
    <w:rsid w:val="002826A6"/>
    <w:rsid w:val="002826A9"/>
    <w:rsid w:val="00282922"/>
    <w:rsid w:val="00282985"/>
    <w:rsid w:val="002829B5"/>
    <w:rsid w:val="002829CB"/>
    <w:rsid w:val="00282AC8"/>
    <w:rsid w:val="00282B5B"/>
    <w:rsid w:val="00282BCA"/>
    <w:rsid w:val="00282C6D"/>
    <w:rsid w:val="00282D8A"/>
    <w:rsid w:val="00282DCD"/>
    <w:rsid w:val="00282FC7"/>
    <w:rsid w:val="00283003"/>
    <w:rsid w:val="002830DB"/>
    <w:rsid w:val="0028321C"/>
    <w:rsid w:val="0028328A"/>
    <w:rsid w:val="002832BE"/>
    <w:rsid w:val="002833AB"/>
    <w:rsid w:val="00283419"/>
    <w:rsid w:val="0028351C"/>
    <w:rsid w:val="002835EC"/>
    <w:rsid w:val="00283640"/>
    <w:rsid w:val="002836E9"/>
    <w:rsid w:val="00283986"/>
    <w:rsid w:val="002839DC"/>
    <w:rsid w:val="00283ABA"/>
    <w:rsid w:val="00283B36"/>
    <w:rsid w:val="00283BE4"/>
    <w:rsid w:val="00283DC5"/>
    <w:rsid w:val="00283DF8"/>
    <w:rsid w:val="00283E26"/>
    <w:rsid w:val="00283EE3"/>
    <w:rsid w:val="00284063"/>
    <w:rsid w:val="002840DE"/>
    <w:rsid w:val="00284189"/>
    <w:rsid w:val="002841C3"/>
    <w:rsid w:val="002842CE"/>
    <w:rsid w:val="00284301"/>
    <w:rsid w:val="00284345"/>
    <w:rsid w:val="0028444C"/>
    <w:rsid w:val="00284547"/>
    <w:rsid w:val="00284592"/>
    <w:rsid w:val="00284716"/>
    <w:rsid w:val="0028473A"/>
    <w:rsid w:val="0028474F"/>
    <w:rsid w:val="002847DC"/>
    <w:rsid w:val="00284884"/>
    <w:rsid w:val="00284B3F"/>
    <w:rsid w:val="00284BA4"/>
    <w:rsid w:val="00284DCD"/>
    <w:rsid w:val="00284E0C"/>
    <w:rsid w:val="00284E21"/>
    <w:rsid w:val="002850E3"/>
    <w:rsid w:val="00285140"/>
    <w:rsid w:val="002851A5"/>
    <w:rsid w:val="00285515"/>
    <w:rsid w:val="002855F7"/>
    <w:rsid w:val="002856D6"/>
    <w:rsid w:val="002856E5"/>
    <w:rsid w:val="00285775"/>
    <w:rsid w:val="00285780"/>
    <w:rsid w:val="002858F6"/>
    <w:rsid w:val="00285937"/>
    <w:rsid w:val="0028594E"/>
    <w:rsid w:val="0028599F"/>
    <w:rsid w:val="002859EB"/>
    <w:rsid w:val="00285BAC"/>
    <w:rsid w:val="00285BD1"/>
    <w:rsid w:val="00285C3D"/>
    <w:rsid w:val="00285D23"/>
    <w:rsid w:val="00285E69"/>
    <w:rsid w:val="00285EBF"/>
    <w:rsid w:val="00285F01"/>
    <w:rsid w:val="00285F77"/>
    <w:rsid w:val="00285FEA"/>
    <w:rsid w:val="002860C7"/>
    <w:rsid w:val="00286106"/>
    <w:rsid w:val="002864BA"/>
    <w:rsid w:val="00286542"/>
    <w:rsid w:val="002865D0"/>
    <w:rsid w:val="00286669"/>
    <w:rsid w:val="00286696"/>
    <w:rsid w:val="002866A3"/>
    <w:rsid w:val="002867B0"/>
    <w:rsid w:val="0028687E"/>
    <w:rsid w:val="00286A7A"/>
    <w:rsid w:val="00286C02"/>
    <w:rsid w:val="00286D17"/>
    <w:rsid w:val="00286DA2"/>
    <w:rsid w:val="00286DC6"/>
    <w:rsid w:val="00286DF6"/>
    <w:rsid w:val="00286FA7"/>
    <w:rsid w:val="00286FC3"/>
    <w:rsid w:val="00286FFE"/>
    <w:rsid w:val="0028725C"/>
    <w:rsid w:val="00287349"/>
    <w:rsid w:val="002873D3"/>
    <w:rsid w:val="00287853"/>
    <w:rsid w:val="002878F6"/>
    <w:rsid w:val="0028798D"/>
    <w:rsid w:val="00287A15"/>
    <w:rsid w:val="00287AF3"/>
    <w:rsid w:val="00287B23"/>
    <w:rsid w:val="00287B55"/>
    <w:rsid w:val="00287C21"/>
    <w:rsid w:val="00287C25"/>
    <w:rsid w:val="00287C65"/>
    <w:rsid w:val="00290130"/>
    <w:rsid w:val="00290297"/>
    <w:rsid w:val="002903F2"/>
    <w:rsid w:val="00290428"/>
    <w:rsid w:val="0029061F"/>
    <w:rsid w:val="00290938"/>
    <w:rsid w:val="00290B06"/>
    <w:rsid w:val="00290C9D"/>
    <w:rsid w:val="00290D11"/>
    <w:rsid w:val="00291123"/>
    <w:rsid w:val="002912CD"/>
    <w:rsid w:val="002912E0"/>
    <w:rsid w:val="002916D1"/>
    <w:rsid w:val="00291881"/>
    <w:rsid w:val="00291A77"/>
    <w:rsid w:val="00291C53"/>
    <w:rsid w:val="00291E48"/>
    <w:rsid w:val="00292156"/>
    <w:rsid w:val="00292236"/>
    <w:rsid w:val="0029223D"/>
    <w:rsid w:val="0029225F"/>
    <w:rsid w:val="00292294"/>
    <w:rsid w:val="002922FB"/>
    <w:rsid w:val="00292306"/>
    <w:rsid w:val="00292336"/>
    <w:rsid w:val="002923D3"/>
    <w:rsid w:val="0029247F"/>
    <w:rsid w:val="0029276C"/>
    <w:rsid w:val="0029278C"/>
    <w:rsid w:val="002927AC"/>
    <w:rsid w:val="002929B6"/>
    <w:rsid w:val="00292B03"/>
    <w:rsid w:val="00292C2E"/>
    <w:rsid w:val="00292CB7"/>
    <w:rsid w:val="00293227"/>
    <w:rsid w:val="002932AE"/>
    <w:rsid w:val="002932D1"/>
    <w:rsid w:val="00293323"/>
    <w:rsid w:val="002933E7"/>
    <w:rsid w:val="00293592"/>
    <w:rsid w:val="002935F9"/>
    <w:rsid w:val="0029381B"/>
    <w:rsid w:val="0029394D"/>
    <w:rsid w:val="00293B40"/>
    <w:rsid w:val="00293B93"/>
    <w:rsid w:val="00293BA2"/>
    <w:rsid w:val="00293C68"/>
    <w:rsid w:val="00293C96"/>
    <w:rsid w:val="00293D16"/>
    <w:rsid w:val="00293DFB"/>
    <w:rsid w:val="00293FA4"/>
    <w:rsid w:val="00294212"/>
    <w:rsid w:val="002943CC"/>
    <w:rsid w:val="002943F3"/>
    <w:rsid w:val="00294405"/>
    <w:rsid w:val="0029441A"/>
    <w:rsid w:val="002944A4"/>
    <w:rsid w:val="00294515"/>
    <w:rsid w:val="00294654"/>
    <w:rsid w:val="002946BE"/>
    <w:rsid w:val="0029474C"/>
    <w:rsid w:val="0029488E"/>
    <w:rsid w:val="002948C1"/>
    <w:rsid w:val="00294C32"/>
    <w:rsid w:val="00294D4F"/>
    <w:rsid w:val="00294DE4"/>
    <w:rsid w:val="00294E4A"/>
    <w:rsid w:val="00294E58"/>
    <w:rsid w:val="00294E9A"/>
    <w:rsid w:val="00294EDD"/>
    <w:rsid w:val="00294F2E"/>
    <w:rsid w:val="002950A5"/>
    <w:rsid w:val="002950C2"/>
    <w:rsid w:val="002951DF"/>
    <w:rsid w:val="00295478"/>
    <w:rsid w:val="0029559B"/>
    <w:rsid w:val="00295620"/>
    <w:rsid w:val="00295727"/>
    <w:rsid w:val="00295B1E"/>
    <w:rsid w:val="00295B75"/>
    <w:rsid w:val="00295CB1"/>
    <w:rsid w:val="00295EA7"/>
    <w:rsid w:val="00295FBA"/>
    <w:rsid w:val="00295FBC"/>
    <w:rsid w:val="00296197"/>
    <w:rsid w:val="0029622C"/>
    <w:rsid w:val="002963C5"/>
    <w:rsid w:val="00296516"/>
    <w:rsid w:val="0029657C"/>
    <w:rsid w:val="00296622"/>
    <w:rsid w:val="0029669A"/>
    <w:rsid w:val="00296750"/>
    <w:rsid w:val="00296894"/>
    <w:rsid w:val="002969A5"/>
    <w:rsid w:val="00296BCC"/>
    <w:rsid w:val="00296CEF"/>
    <w:rsid w:val="00296DCB"/>
    <w:rsid w:val="00296E63"/>
    <w:rsid w:val="00296EB1"/>
    <w:rsid w:val="002970C9"/>
    <w:rsid w:val="002974F8"/>
    <w:rsid w:val="00297666"/>
    <w:rsid w:val="002976A6"/>
    <w:rsid w:val="002976EC"/>
    <w:rsid w:val="002979B3"/>
    <w:rsid w:val="00297A54"/>
    <w:rsid w:val="00297A6E"/>
    <w:rsid w:val="00297CE0"/>
    <w:rsid w:val="00297D59"/>
    <w:rsid w:val="00297E23"/>
    <w:rsid w:val="00297E27"/>
    <w:rsid w:val="00297EAA"/>
    <w:rsid w:val="002A018D"/>
    <w:rsid w:val="002A0230"/>
    <w:rsid w:val="002A03E6"/>
    <w:rsid w:val="002A05D5"/>
    <w:rsid w:val="002A05D6"/>
    <w:rsid w:val="002A067D"/>
    <w:rsid w:val="002A071E"/>
    <w:rsid w:val="002A0782"/>
    <w:rsid w:val="002A08DA"/>
    <w:rsid w:val="002A08F4"/>
    <w:rsid w:val="002A0960"/>
    <w:rsid w:val="002A0985"/>
    <w:rsid w:val="002A0A72"/>
    <w:rsid w:val="002A0A7A"/>
    <w:rsid w:val="002A0BB2"/>
    <w:rsid w:val="002A0BFC"/>
    <w:rsid w:val="002A0C6C"/>
    <w:rsid w:val="002A0D42"/>
    <w:rsid w:val="002A0D53"/>
    <w:rsid w:val="002A0E84"/>
    <w:rsid w:val="002A0EA5"/>
    <w:rsid w:val="002A1135"/>
    <w:rsid w:val="002A11BB"/>
    <w:rsid w:val="002A12F5"/>
    <w:rsid w:val="002A1310"/>
    <w:rsid w:val="002A13F1"/>
    <w:rsid w:val="002A1512"/>
    <w:rsid w:val="002A164A"/>
    <w:rsid w:val="002A16B0"/>
    <w:rsid w:val="002A16DD"/>
    <w:rsid w:val="002A1715"/>
    <w:rsid w:val="002A1738"/>
    <w:rsid w:val="002A1800"/>
    <w:rsid w:val="002A18AA"/>
    <w:rsid w:val="002A18E0"/>
    <w:rsid w:val="002A1A43"/>
    <w:rsid w:val="002A1BAF"/>
    <w:rsid w:val="002A1C09"/>
    <w:rsid w:val="002A1CF1"/>
    <w:rsid w:val="002A1D0D"/>
    <w:rsid w:val="002A1DCC"/>
    <w:rsid w:val="002A1F08"/>
    <w:rsid w:val="002A1F3D"/>
    <w:rsid w:val="002A1FB4"/>
    <w:rsid w:val="002A20CD"/>
    <w:rsid w:val="002A20F1"/>
    <w:rsid w:val="002A214D"/>
    <w:rsid w:val="002A2328"/>
    <w:rsid w:val="002A2343"/>
    <w:rsid w:val="002A265B"/>
    <w:rsid w:val="002A2727"/>
    <w:rsid w:val="002A277B"/>
    <w:rsid w:val="002A2A4A"/>
    <w:rsid w:val="002A2B4E"/>
    <w:rsid w:val="002A2CA1"/>
    <w:rsid w:val="002A2D28"/>
    <w:rsid w:val="002A3013"/>
    <w:rsid w:val="002A3019"/>
    <w:rsid w:val="002A3038"/>
    <w:rsid w:val="002A31FB"/>
    <w:rsid w:val="002A3275"/>
    <w:rsid w:val="002A335D"/>
    <w:rsid w:val="002A3495"/>
    <w:rsid w:val="002A3583"/>
    <w:rsid w:val="002A35A8"/>
    <w:rsid w:val="002A3641"/>
    <w:rsid w:val="002A370B"/>
    <w:rsid w:val="002A3751"/>
    <w:rsid w:val="002A3768"/>
    <w:rsid w:val="002A37A5"/>
    <w:rsid w:val="002A37FE"/>
    <w:rsid w:val="002A3B97"/>
    <w:rsid w:val="002A3BC0"/>
    <w:rsid w:val="002A3D29"/>
    <w:rsid w:val="002A3FDE"/>
    <w:rsid w:val="002A40E4"/>
    <w:rsid w:val="002A40F2"/>
    <w:rsid w:val="002A4186"/>
    <w:rsid w:val="002A420B"/>
    <w:rsid w:val="002A44F5"/>
    <w:rsid w:val="002A459D"/>
    <w:rsid w:val="002A45CD"/>
    <w:rsid w:val="002A4615"/>
    <w:rsid w:val="002A47AC"/>
    <w:rsid w:val="002A48DF"/>
    <w:rsid w:val="002A48E2"/>
    <w:rsid w:val="002A4919"/>
    <w:rsid w:val="002A4953"/>
    <w:rsid w:val="002A4A94"/>
    <w:rsid w:val="002A4BB7"/>
    <w:rsid w:val="002A4D6E"/>
    <w:rsid w:val="002A4DFC"/>
    <w:rsid w:val="002A4E05"/>
    <w:rsid w:val="002A4E68"/>
    <w:rsid w:val="002A50B0"/>
    <w:rsid w:val="002A516C"/>
    <w:rsid w:val="002A51B0"/>
    <w:rsid w:val="002A5233"/>
    <w:rsid w:val="002A52BC"/>
    <w:rsid w:val="002A534E"/>
    <w:rsid w:val="002A53A8"/>
    <w:rsid w:val="002A5522"/>
    <w:rsid w:val="002A553B"/>
    <w:rsid w:val="002A5571"/>
    <w:rsid w:val="002A558E"/>
    <w:rsid w:val="002A55F5"/>
    <w:rsid w:val="002A564C"/>
    <w:rsid w:val="002A5A4D"/>
    <w:rsid w:val="002A5B7A"/>
    <w:rsid w:val="002A5CAB"/>
    <w:rsid w:val="002A5D9C"/>
    <w:rsid w:val="002A5DD1"/>
    <w:rsid w:val="002A5FC2"/>
    <w:rsid w:val="002A6093"/>
    <w:rsid w:val="002A6180"/>
    <w:rsid w:val="002A61B2"/>
    <w:rsid w:val="002A61D7"/>
    <w:rsid w:val="002A61DD"/>
    <w:rsid w:val="002A6283"/>
    <w:rsid w:val="002A6361"/>
    <w:rsid w:val="002A6413"/>
    <w:rsid w:val="002A6453"/>
    <w:rsid w:val="002A64A9"/>
    <w:rsid w:val="002A64C0"/>
    <w:rsid w:val="002A6692"/>
    <w:rsid w:val="002A66B7"/>
    <w:rsid w:val="002A67FC"/>
    <w:rsid w:val="002A680A"/>
    <w:rsid w:val="002A692A"/>
    <w:rsid w:val="002A6A79"/>
    <w:rsid w:val="002A6AF1"/>
    <w:rsid w:val="002A6B2F"/>
    <w:rsid w:val="002A6B62"/>
    <w:rsid w:val="002A6BB4"/>
    <w:rsid w:val="002A6C82"/>
    <w:rsid w:val="002A6CE4"/>
    <w:rsid w:val="002A6DBE"/>
    <w:rsid w:val="002A6ED3"/>
    <w:rsid w:val="002A6FD1"/>
    <w:rsid w:val="002A7043"/>
    <w:rsid w:val="002A708F"/>
    <w:rsid w:val="002A70B0"/>
    <w:rsid w:val="002A70D4"/>
    <w:rsid w:val="002A7186"/>
    <w:rsid w:val="002A724C"/>
    <w:rsid w:val="002A728C"/>
    <w:rsid w:val="002A72ED"/>
    <w:rsid w:val="002A745A"/>
    <w:rsid w:val="002A7485"/>
    <w:rsid w:val="002A7601"/>
    <w:rsid w:val="002A765C"/>
    <w:rsid w:val="002A787D"/>
    <w:rsid w:val="002A787E"/>
    <w:rsid w:val="002A7924"/>
    <w:rsid w:val="002A7941"/>
    <w:rsid w:val="002A794D"/>
    <w:rsid w:val="002A7A3E"/>
    <w:rsid w:val="002A7C69"/>
    <w:rsid w:val="002A7D00"/>
    <w:rsid w:val="002A7E37"/>
    <w:rsid w:val="002A7E7A"/>
    <w:rsid w:val="002A7E7D"/>
    <w:rsid w:val="002A7E98"/>
    <w:rsid w:val="002A7FDD"/>
    <w:rsid w:val="002B02AB"/>
    <w:rsid w:val="002B0393"/>
    <w:rsid w:val="002B03C7"/>
    <w:rsid w:val="002B0457"/>
    <w:rsid w:val="002B052C"/>
    <w:rsid w:val="002B0621"/>
    <w:rsid w:val="002B0A11"/>
    <w:rsid w:val="002B0B2C"/>
    <w:rsid w:val="002B0C3B"/>
    <w:rsid w:val="002B0CED"/>
    <w:rsid w:val="002B0CF0"/>
    <w:rsid w:val="002B0D69"/>
    <w:rsid w:val="002B0DF4"/>
    <w:rsid w:val="002B0F3D"/>
    <w:rsid w:val="002B1061"/>
    <w:rsid w:val="002B1068"/>
    <w:rsid w:val="002B10E4"/>
    <w:rsid w:val="002B12E0"/>
    <w:rsid w:val="002B12F4"/>
    <w:rsid w:val="002B1520"/>
    <w:rsid w:val="002B1538"/>
    <w:rsid w:val="002B158A"/>
    <w:rsid w:val="002B15C8"/>
    <w:rsid w:val="002B1795"/>
    <w:rsid w:val="002B17D1"/>
    <w:rsid w:val="002B1841"/>
    <w:rsid w:val="002B1919"/>
    <w:rsid w:val="002B1939"/>
    <w:rsid w:val="002B198E"/>
    <w:rsid w:val="002B1A83"/>
    <w:rsid w:val="002B1A9A"/>
    <w:rsid w:val="002B1BD7"/>
    <w:rsid w:val="002B1C6C"/>
    <w:rsid w:val="002B1D86"/>
    <w:rsid w:val="002B1DBF"/>
    <w:rsid w:val="002B1DC2"/>
    <w:rsid w:val="002B20A4"/>
    <w:rsid w:val="002B21D0"/>
    <w:rsid w:val="002B21F3"/>
    <w:rsid w:val="002B235C"/>
    <w:rsid w:val="002B23F2"/>
    <w:rsid w:val="002B24A1"/>
    <w:rsid w:val="002B2595"/>
    <w:rsid w:val="002B25E1"/>
    <w:rsid w:val="002B2691"/>
    <w:rsid w:val="002B29C2"/>
    <w:rsid w:val="002B29E8"/>
    <w:rsid w:val="002B2B47"/>
    <w:rsid w:val="002B2B4E"/>
    <w:rsid w:val="002B2BE3"/>
    <w:rsid w:val="002B2C3A"/>
    <w:rsid w:val="002B3085"/>
    <w:rsid w:val="002B320A"/>
    <w:rsid w:val="002B3284"/>
    <w:rsid w:val="002B3294"/>
    <w:rsid w:val="002B32CF"/>
    <w:rsid w:val="002B32D1"/>
    <w:rsid w:val="002B32D6"/>
    <w:rsid w:val="002B34BD"/>
    <w:rsid w:val="002B3729"/>
    <w:rsid w:val="002B37D4"/>
    <w:rsid w:val="002B384E"/>
    <w:rsid w:val="002B3A16"/>
    <w:rsid w:val="002B3AC8"/>
    <w:rsid w:val="002B3B51"/>
    <w:rsid w:val="002B3C1F"/>
    <w:rsid w:val="002B3CAA"/>
    <w:rsid w:val="002B3D0C"/>
    <w:rsid w:val="002B3D69"/>
    <w:rsid w:val="002B3DB0"/>
    <w:rsid w:val="002B3EB4"/>
    <w:rsid w:val="002B3EBF"/>
    <w:rsid w:val="002B409E"/>
    <w:rsid w:val="002B424E"/>
    <w:rsid w:val="002B42E5"/>
    <w:rsid w:val="002B4A77"/>
    <w:rsid w:val="002B4B08"/>
    <w:rsid w:val="002B4EC5"/>
    <w:rsid w:val="002B4FA5"/>
    <w:rsid w:val="002B5024"/>
    <w:rsid w:val="002B5036"/>
    <w:rsid w:val="002B505D"/>
    <w:rsid w:val="002B5199"/>
    <w:rsid w:val="002B546E"/>
    <w:rsid w:val="002B5477"/>
    <w:rsid w:val="002B54DC"/>
    <w:rsid w:val="002B5646"/>
    <w:rsid w:val="002B5649"/>
    <w:rsid w:val="002B56A0"/>
    <w:rsid w:val="002B570E"/>
    <w:rsid w:val="002B575B"/>
    <w:rsid w:val="002B5767"/>
    <w:rsid w:val="002B5894"/>
    <w:rsid w:val="002B591B"/>
    <w:rsid w:val="002B5B0A"/>
    <w:rsid w:val="002B5B8D"/>
    <w:rsid w:val="002B5EA1"/>
    <w:rsid w:val="002B5FB1"/>
    <w:rsid w:val="002B6088"/>
    <w:rsid w:val="002B61D8"/>
    <w:rsid w:val="002B6368"/>
    <w:rsid w:val="002B636D"/>
    <w:rsid w:val="002B6668"/>
    <w:rsid w:val="002B6732"/>
    <w:rsid w:val="002B6813"/>
    <w:rsid w:val="002B69D7"/>
    <w:rsid w:val="002B69E8"/>
    <w:rsid w:val="002B6BC1"/>
    <w:rsid w:val="002B6C50"/>
    <w:rsid w:val="002B6C5A"/>
    <w:rsid w:val="002B6C83"/>
    <w:rsid w:val="002B6D34"/>
    <w:rsid w:val="002B6D7E"/>
    <w:rsid w:val="002B6E59"/>
    <w:rsid w:val="002B6F66"/>
    <w:rsid w:val="002B6FCE"/>
    <w:rsid w:val="002B6FF0"/>
    <w:rsid w:val="002B6FF7"/>
    <w:rsid w:val="002B6FF9"/>
    <w:rsid w:val="002B7089"/>
    <w:rsid w:val="002B7120"/>
    <w:rsid w:val="002B7314"/>
    <w:rsid w:val="002B7400"/>
    <w:rsid w:val="002B74AD"/>
    <w:rsid w:val="002B75C6"/>
    <w:rsid w:val="002B767D"/>
    <w:rsid w:val="002B7711"/>
    <w:rsid w:val="002B7721"/>
    <w:rsid w:val="002B77BD"/>
    <w:rsid w:val="002B7881"/>
    <w:rsid w:val="002B78E0"/>
    <w:rsid w:val="002B794C"/>
    <w:rsid w:val="002B797A"/>
    <w:rsid w:val="002B7AB4"/>
    <w:rsid w:val="002B7E45"/>
    <w:rsid w:val="002B7F48"/>
    <w:rsid w:val="002C0050"/>
    <w:rsid w:val="002C0410"/>
    <w:rsid w:val="002C059A"/>
    <w:rsid w:val="002C068C"/>
    <w:rsid w:val="002C07BA"/>
    <w:rsid w:val="002C0E32"/>
    <w:rsid w:val="002C0ED2"/>
    <w:rsid w:val="002C0F27"/>
    <w:rsid w:val="002C127B"/>
    <w:rsid w:val="002C1316"/>
    <w:rsid w:val="002C1441"/>
    <w:rsid w:val="002C14B9"/>
    <w:rsid w:val="002C14EB"/>
    <w:rsid w:val="002C1518"/>
    <w:rsid w:val="002C1528"/>
    <w:rsid w:val="002C1648"/>
    <w:rsid w:val="002C1684"/>
    <w:rsid w:val="002C16FC"/>
    <w:rsid w:val="002C1744"/>
    <w:rsid w:val="002C1883"/>
    <w:rsid w:val="002C1981"/>
    <w:rsid w:val="002C1C9B"/>
    <w:rsid w:val="002C1E09"/>
    <w:rsid w:val="002C1E66"/>
    <w:rsid w:val="002C1FE3"/>
    <w:rsid w:val="002C20F9"/>
    <w:rsid w:val="002C2114"/>
    <w:rsid w:val="002C2202"/>
    <w:rsid w:val="002C2275"/>
    <w:rsid w:val="002C2351"/>
    <w:rsid w:val="002C237E"/>
    <w:rsid w:val="002C2388"/>
    <w:rsid w:val="002C2467"/>
    <w:rsid w:val="002C249C"/>
    <w:rsid w:val="002C24FE"/>
    <w:rsid w:val="002C2740"/>
    <w:rsid w:val="002C2B7E"/>
    <w:rsid w:val="002C2BEE"/>
    <w:rsid w:val="002C2C97"/>
    <w:rsid w:val="002C2CFD"/>
    <w:rsid w:val="002C2D22"/>
    <w:rsid w:val="002C2D66"/>
    <w:rsid w:val="002C30C0"/>
    <w:rsid w:val="002C32AD"/>
    <w:rsid w:val="002C3390"/>
    <w:rsid w:val="002C34F8"/>
    <w:rsid w:val="002C35E8"/>
    <w:rsid w:val="002C35F1"/>
    <w:rsid w:val="002C36B2"/>
    <w:rsid w:val="002C3770"/>
    <w:rsid w:val="002C3849"/>
    <w:rsid w:val="002C3888"/>
    <w:rsid w:val="002C388A"/>
    <w:rsid w:val="002C3A9D"/>
    <w:rsid w:val="002C3BEB"/>
    <w:rsid w:val="002C3F6F"/>
    <w:rsid w:val="002C4024"/>
    <w:rsid w:val="002C4115"/>
    <w:rsid w:val="002C42FF"/>
    <w:rsid w:val="002C4623"/>
    <w:rsid w:val="002C4737"/>
    <w:rsid w:val="002C486A"/>
    <w:rsid w:val="002C4870"/>
    <w:rsid w:val="002C495E"/>
    <w:rsid w:val="002C4AFC"/>
    <w:rsid w:val="002C4C85"/>
    <w:rsid w:val="002C4D8D"/>
    <w:rsid w:val="002C4F18"/>
    <w:rsid w:val="002C520A"/>
    <w:rsid w:val="002C544F"/>
    <w:rsid w:val="002C5556"/>
    <w:rsid w:val="002C557E"/>
    <w:rsid w:val="002C564B"/>
    <w:rsid w:val="002C5B73"/>
    <w:rsid w:val="002C5BD9"/>
    <w:rsid w:val="002C5DDD"/>
    <w:rsid w:val="002C5EC9"/>
    <w:rsid w:val="002C5FD2"/>
    <w:rsid w:val="002C600D"/>
    <w:rsid w:val="002C60BD"/>
    <w:rsid w:val="002C6115"/>
    <w:rsid w:val="002C62E1"/>
    <w:rsid w:val="002C633C"/>
    <w:rsid w:val="002C64E7"/>
    <w:rsid w:val="002C65A5"/>
    <w:rsid w:val="002C65AC"/>
    <w:rsid w:val="002C672B"/>
    <w:rsid w:val="002C687D"/>
    <w:rsid w:val="002C6A2B"/>
    <w:rsid w:val="002C6AE7"/>
    <w:rsid w:val="002C6B39"/>
    <w:rsid w:val="002C6BCF"/>
    <w:rsid w:val="002C6C5D"/>
    <w:rsid w:val="002C6D83"/>
    <w:rsid w:val="002C6D9D"/>
    <w:rsid w:val="002C6E9F"/>
    <w:rsid w:val="002C6F51"/>
    <w:rsid w:val="002C70F7"/>
    <w:rsid w:val="002C71CE"/>
    <w:rsid w:val="002C7320"/>
    <w:rsid w:val="002C734D"/>
    <w:rsid w:val="002C75FA"/>
    <w:rsid w:val="002C76B3"/>
    <w:rsid w:val="002C76B4"/>
    <w:rsid w:val="002C7706"/>
    <w:rsid w:val="002C7753"/>
    <w:rsid w:val="002C780F"/>
    <w:rsid w:val="002C793D"/>
    <w:rsid w:val="002C7BFA"/>
    <w:rsid w:val="002C7D68"/>
    <w:rsid w:val="002C7DE3"/>
    <w:rsid w:val="002C7F72"/>
    <w:rsid w:val="002D0006"/>
    <w:rsid w:val="002D00CD"/>
    <w:rsid w:val="002D0158"/>
    <w:rsid w:val="002D01B1"/>
    <w:rsid w:val="002D01DB"/>
    <w:rsid w:val="002D01E5"/>
    <w:rsid w:val="002D02A1"/>
    <w:rsid w:val="002D0411"/>
    <w:rsid w:val="002D044A"/>
    <w:rsid w:val="002D0459"/>
    <w:rsid w:val="002D0641"/>
    <w:rsid w:val="002D0672"/>
    <w:rsid w:val="002D068A"/>
    <w:rsid w:val="002D06A6"/>
    <w:rsid w:val="002D06DC"/>
    <w:rsid w:val="002D0735"/>
    <w:rsid w:val="002D0759"/>
    <w:rsid w:val="002D07E2"/>
    <w:rsid w:val="002D0822"/>
    <w:rsid w:val="002D08A0"/>
    <w:rsid w:val="002D08E0"/>
    <w:rsid w:val="002D0953"/>
    <w:rsid w:val="002D0B1E"/>
    <w:rsid w:val="002D0BD7"/>
    <w:rsid w:val="002D0CA0"/>
    <w:rsid w:val="002D0F9B"/>
    <w:rsid w:val="002D1032"/>
    <w:rsid w:val="002D1072"/>
    <w:rsid w:val="002D14CB"/>
    <w:rsid w:val="002D15A3"/>
    <w:rsid w:val="002D15F5"/>
    <w:rsid w:val="002D16FE"/>
    <w:rsid w:val="002D1778"/>
    <w:rsid w:val="002D1980"/>
    <w:rsid w:val="002D1D70"/>
    <w:rsid w:val="002D1E10"/>
    <w:rsid w:val="002D1F9E"/>
    <w:rsid w:val="002D1FBC"/>
    <w:rsid w:val="002D1FCF"/>
    <w:rsid w:val="002D2232"/>
    <w:rsid w:val="002D22FA"/>
    <w:rsid w:val="002D230B"/>
    <w:rsid w:val="002D2502"/>
    <w:rsid w:val="002D282C"/>
    <w:rsid w:val="002D294A"/>
    <w:rsid w:val="002D29DC"/>
    <w:rsid w:val="002D2BBF"/>
    <w:rsid w:val="002D2DBE"/>
    <w:rsid w:val="002D2F17"/>
    <w:rsid w:val="002D2F36"/>
    <w:rsid w:val="002D3017"/>
    <w:rsid w:val="002D3083"/>
    <w:rsid w:val="002D3175"/>
    <w:rsid w:val="002D331C"/>
    <w:rsid w:val="002D341F"/>
    <w:rsid w:val="002D34A5"/>
    <w:rsid w:val="002D36DA"/>
    <w:rsid w:val="002D3968"/>
    <w:rsid w:val="002D39AA"/>
    <w:rsid w:val="002D39D0"/>
    <w:rsid w:val="002D3A7A"/>
    <w:rsid w:val="002D3C43"/>
    <w:rsid w:val="002D3CE4"/>
    <w:rsid w:val="002D3D5E"/>
    <w:rsid w:val="002D3FAE"/>
    <w:rsid w:val="002D41C9"/>
    <w:rsid w:val="002D4244"/>
    <w:rsid w:val="002D4250"/>
    <w:rsid w:val="002D4271"/>
    <w:rsid w:val="002D4276"/>
    <w:rsid w:val="002D44A9"/>
    <w:rsid w:val="002D44EC"/>
    <w:rsid w:val="002D45DD"/>
    <w:rsid w:val="002D461F"/>
    <w:rsid w:val="002D4674"/>
    <w:rsid w:val="002D477F"/>
    <w:rsid w:val="002D47A8"/>
    <w:rsid w:val="002D47FE"/>
    <w:rsid w:val="002D48EC"/>
    <w:rsid w:val="002D4A30"/>
    <w:rsid w:val="002D4B51"/>
    <w:rsid w:val="002D4BA8"/>
    <w:rsid w:val="002D4CF0"/>
    <w:rsid w:val="002D4D0A"/>
    <w:rsid w:val="002D4D95"/>
    <w:rsid w:val="002D4E52"/>
    <w:rsid w:val="002D4EA8"/>
    <w:rsid w:val="002D4EAB"/>
    <w:rsid w:val="002D5036"/>
    <w:rsid w:val="002D51D7"/>
    <w:rsid w:val="002D520E"/>
    <w:rsid w:val="002D5369"/>
    <w:rsid w:val="002D5686"/>
    <w:rsid w:val="002D56D2"/>
    <w:rsid w:val="002D578B"/>
    <w:rsid w:val="002D579C"/>
    <w:rsid w:val="002D5848"/>
    <w:rsid w:val="002D5872"/>
    <w:rsid w:val="002D5888"/>
    <w:rsid w:val="002D589F"/>
    <w:rsid w:val="002D58B9"/>
    <w:rsid w:val="002D594C"/>
    <w:rsid w:val="002D5A0F"/>
    <w:rsid w:val="002D5AAA"/>
    <w:rsid w:val="002D5B09"/>
    <w:rsid w:val="002D5B49"/>
    <w:rsid w:val="002D5B80"/>
    <w:rsid w:val="002D5C30"/>
    <w:rsid w:val="002D5CFA"/>
    <w:rsid w:val="002D5DB9"/>
    <w:rsid w:val="002D5DBD"/>
    <w:rsid w:val="002D5E53"/>
    <w:rsid w:val="002D613E"/>
    <w:rsid w:val="002D628C"/>
    <w:rsid w:val="002D6297"/>
    <w:rsid w:val="002D642F"/>
    <w:rsid w:val="002D670A"/>
    <w:rsid w:val="002D6853"/>
    <w:rsid w:val="002D692B"/>
    <w:rsid w:val="002D6A9D"/>
    <w:rsid w:val="002D6B94"/>
    <w:rsid w:val="002D6D72"/>
    <w:rsid w:val="002D6E78"/>
    <w:rsid w:val="002D6F98"/>
    <w:rsid w:val="002D7054"/>
    <w:rsid w:val="002D7085"/>
    <w:rsid w:val="002D70A1"/>
    <w:rsid w:val="002D7201"/>
    <w:rsid w:val="002D727A"/>
    <w:rsid w:val="002D72ED"/>
    <w:rsid w:val="002D736A"/>
    <w:rsid w:val="002D738C"/>
    <w:rsid w:val="002D738D"/>
    <w:rsid w:val="002D7737"/>
    <w:rsid w:val="002D78E8"/>
    <w:rsid w:val="002D7B6A"/>
    <w:rsid w:val="002D7CFA"/>
    <w:rsid w:val="002D7E74"/>
    <w:rsid w:val="002D7F35"/>
    <w:rsid w:val="002D7F4A"/>
    <w:rsid w:val="002D7F59"/>
    <w:rsid w:val="002D7FD4"/>
    <w:rsid w:val="002E0041"/>
    <w:rsid w:val="002E0045"/>
    <w:rsid w:val="002E00F9"/>
    <w:rsid w:val="002E0115"/>
    <w:rsid w:val="002E01FA"/>
    <w:rsid w:val="002E0264"/>
    <w:rsid w:val="002E0357"/>
    <w:rsid w:val="002E03CC"/>
    <w:rsid w:val="002E03EF"/>
    <w:rsid w:val="002E0475"/>
    <w:rsid w:val="002E0476"/>
    <w:rsid w:val="002E06B5"/>
    <w:rsid w:val="002E08C5"/>
    <w:rsid w:val="002E0A92"/>
    <w:rsid w:val="002E0B71"/>
    <w:rsid w:val="002E0B79"/>
    <w:rsid w:val="002E0C0D"/>
    <w:rsid w:val="002E0C3A"/>
    <w:rsid w:val="002E0CFA"/>
    <w:rsid w:val="002E0D2C"/>
    <w:rsid w:val="002E0D66"/>
    <w:rsid w:val="002E0D71"/>
    <w:rsid w:val="002E0EFC"/>
    <w:rsid w:val="002E1089"/>
    <w:rsid w:val="002E109C"/>
    <w:rsid w:val="002E11CF"/>
    <w:rsid w:val="002E11E8"/>
    <w:rsid w:val="002E12F5"/>
    <w:rsid w:val="002E133F"/>
    <w:rsid w:val="002E1532"/>
    <w:rsid w:val="002E15B2"/>
    <w:rsid w:val="002E15C1"/>
    <w:rsid w:val="002E1634"/>
    <w:rsid w:val="002E1643"/>
    <w:rsid w:val="002E1831"/>
    <w:rsid w:val="002E1837"/>
    <w:rsid w:val="002E1840"/>
    <w:rsid w:val="002E1968"/>
    <w:rsid w:val="002E1993"/>
    <w:rsid w:val="002E19AA"/>
    <w:rsid w:val="002E19EB"/>
    <w:rsid w:val="002E1A39"/>
    <w:rsid w:val="002E1C7E"/>
    <w:rsid w:val="002E1D4E"/>
    <w:rsid w:val="002E1DA6"/>
    <w:rsid w:val="002E204E"/>
    <w:rsid w:val="002E2095"/>
    <w:rsid w:val="002E24F0"/>
    <w:rsid w:val="002E27FF"/>
    <w:rsid w:val="002E29BD"/>
    <w:rsid w:val="002E2C45"/>
    <w:rsid w:val="002E2C7D"/>
    <w:rsid w:val="002E2DB8"/>
    <w:rsid w:val="002E2F7E"/>
    <w:rsid w:val="002E3072"/>
    <w:rsid w:val="002E30DD"/>
    <w:rsid w:val="002E31BB"/>
    <w:rsid w:val="002E3281"/>
    <w:rsid w:val="002E33C5"/>
    <w:rsid w:val="002E3416"/>
    <w:rsid w:val="002E3522"/>
    <w:rsid w:val="002E353F"/>
    <w:rsid w:val="002E368F"/>
    <w:rsid w:val="002E36FC"/>
    <w:rsid w:val="002E396B"/>
    <w:rsid w:val="002E3D37"/>
    <w:rsid w:val="002E3E04"/>
    <w:rsid w:val="002E3E58"/>
    <w:rsid w:val="002E3E67"/>
    <w:rsid w:val="002E3EC8"/>
    <w:rsid w:val="002E3F71"/>
    <w:rsid w:val="002E411C"/>
    <w:rsid w:val="002E426D"/>
    <w:rsid w:val="002E43CF"/>
    <w:rsid w:val="002E44DD"/>
    <w:rsid w:val="002E4806"/>
    <w:rsid w:val="002E49CC"/>
    <w:rsid w:val="002E4AE3"/>
    <w:rsid w:val="002E4B6C"/>
    <w:rsid w:val="002E4E3A"/>
    <w:rsid w:val="002E4EB8"/>
    <w:rsid w:val="002E4EF7"/>
    <w:rsid w:val="002E4FFC"/>
    <w:rsid w:val="002E500D"/>
    <w:rsid w:val="002E51E0"/>
    <w:rsid w:val="002E5241"/>
    <w:rsid w:val="002E5319"/>
    <w:rsid w:val="002E5420"/>
    <w:rsid w:val="002E54B8"/>
    <w:rsid w:val="002E555A"/>
    <w:rsid w:val="002E5590"/>
    <w:rsid w:val="002E55AF"/>
    <w:rsid w:val="002E563B"/>
    <w:rsid w:val="002E5777"/>
    <w:rsid w:val="002E5793"/>
    <w:rsid w:val="002E5856"/>
    <w:rsid w:val="002E5956"/>
    <w:rsid w:val="002E59C7"/>
    <w:rsid w:val="002E5F5E"/>
    <w:rsid w:val="002E5FD7"/>
    <w:rsid w:val="002E6026"/>
    <w:rsid w:val="002E61D3"/>
    <w:rsid w:val="002E6261"/>
    <w:rsid w:val="002E62B1"/>
    <w:rsid w:val="002E6355"/>
    <w:rsid w:val="002E64B6"/>
    <w:rsid w:val="002E64C4"/>
    <w:rsid w:val="002E6574"/>
    <w:rsid w:val="002E67C3"/>
    <w:rsid w:val="002E6854"/>
    <w:rsid w:val="002E6891"/>
    <w:rsid w:val="002E68E9"/>
    <w:rsid w:val="002E6BAC"/>
    <w:rsid w:val="002E6CFF"/>
    <w:rsid w:val="002E6D4E"/>
    <w:rsid w:val="002E6D60"/>
    <w:rsid w:val="002E6E76"/>
    <w:rsid w:val="002E6F65"/>
    <w:rsid w:val="002E6FD9"/>
    <w:rsid w:val="002E716A"/>
    <w:rsid w:val="002E71C2"/>
    <w:rsid w:val="002E72A5"/>
    <w:rsid w:val="002E733A"/>
    <w:rsid w:val="002E7346"/>
    <w:rsid w:val="002E7375"/>
    <w:rsid w:val="002E74D3"/>
    <w:rsid w:val="002E7507"/>
    <w:rsid w:val="002E783D"/>
    <w:rsid w:val="002E7864"/>
    <w:rsid w:val="002E786D"/>
    <w:rsid w:val="002E7B92"/>
    <w:rsid w:val="002E7CBE"/>
    <w:rsid w:val="002E7CE9"/>
    <w:rsid w:val="002E7DB5"/>
    <w:rsid w:val="002EFEEE"/>
    <w:rsid w:val="002F0049"/>
    <w:rsid w:val="002F0061"/>
    <w:rsid w:val="002F00C0"/>
    <w:rsid w:val="002F0116"/>
    <w:rsid w:val="002F0259"/>
    <w:rsid w:val="002F0306"/>
    <w:rsid w:val="002F0317"/>
    <w:rsid w:val="002F0581"/>
    <w:rsid w:val="002F0625"/>
    <w:rsid w:val="002F0652"/>
    <w:rsid w:val="002F0664"/>
    <w:rsid w:val="002F070F"/>
    <w:rsid w:val="002F094F"/>
    <w:rsid w:val="002F0A85"/>
    <w:rsid w:val="002F0B45"/>
    <w:rsid w:val="002F0BB5"/>
    <w:rsid w:val="002F0BD9"/>
    <w:rsid w:val="002F0EAF"/>
    <w:rsid w:val="002F0F59"/>
    <w:rsid w:val="002F0F76"/>
    <w:rsid w:val="002F1013"/>
    <w:rsid w:val="002F105A"/>
    <w:rsid w:val="002F11CC"/>
    <w:rsid w:val="002F137C"/>
    <w:rsid w:val="002F1447"/>
    <w:rsid w:val="002F1647"/>
    <w:rsid w:val="002F1794"/>
    <w:rsid w:val="002F1987"/>
    <w:rsid w:val="002F1B48"/>
    <w:rsid w:val="002F1BC5"/>
    <w:rsid w:val="002F1C5A"/>
    <w:rsid w:val="002F1C8B"/>
    <w:rsid w:val="002F1D4F"/>
    <w:rsid w:val="002F1E03"/>
    <w:rsid w:val="002F214C"/>
    <w:rsid w:val="002F217C"/>
    <w:rsid w:val="002F22AE"/>
    <w:rsid w:val="002F2992"/>
    <w:rsid w:val="002F2A7F"/>
    <w:rsid w:val="002F2AF1"/>
    <w:rsid w:val="002F2AF9"/>
    <w:rsid w:val="002F2B79"/>
    <w:rsid w:val="002F2BFC"/>
    <w:rsid w:val="002F2C2E"/>
    <w:rsid w:val="002F2C4C"/>
    <w:rsid w:val="002F2EEE"/>
    <w:rsid w:val="002F308D"/>
    <w:rsid w:val="002F308E"/>
    <w:rsid w:val="002F3157"/>
    <w:rsid w:val="002F317D"/>
    <w:rsid w:val="002F3235"/>
    <w:rsid w:val="002F3265"/>
    <w:rsid w:val="002F327B"/>
    <w:rsid w:val="002F329B"/>
    <w:rsid w:val="002F3408"/>
    <w:rsid w:val="002F34F9"/>
    <w:rsid w:val="002F355A"/>
    <w:rsid w:val="002F35C0"/>
    <w:rsid w:val="002F369E"/>
    <w:rsid w:val="002F380B"/>
    <w:rsid w:val="002F3992"/>
    <w:rsid w:val="002F3B90"/>
    <w:rsid w:val="002F3BD4"/>
    <w:rsid w:val="002F3CCC"/>
    <w:rsid w:val="002F3CDD"/>
    <w:rsid w:val="002F3CE1"/>
    <w:rsid w:val="002F3D0F"/>
    <w:rsid w:val="002F3DD7"/>
    <w:rsid w:val="002F3F23"/>
    <w:rsid w:val="002F3FF4"/>
    <w:rsid w:val="002F4057"/>
    <w:rsid w:val="002F4106"/>
    <w:rsid w:val="002F447F"/>
    <w:rsid w:val="002F4640"/>
    <w:rsid w:val="002F47C7"/>
    <w:rsid w:val="002F4B10"/>
    <w:rsid w:val="002F4B7C"/>
    <w:rsid w:val="002F4D22"/>
    <w:rsid w:val="002F4DAE"/>
    <w:rsid w:val="002F4EF0"/>
    <w:rsid w:val="002F5061"/>
    <w:rsid w:val="002F510E"/>
    <w:rsid w:val="002F517F"/>
    <w:rsid w:val="002F51B4"/>
    <w:rsid w:val="002F5207"/>
    <w:rsid w:val="002F534C"/>
    <w:rsid w:val="002F541C"/>
    <w:rsid w:val="002F5B4C"/>
    <w:rsid w:val="002F5B72"/>
    <w:rsid w:val="002F5ED4"/>
    <w:rsid w:val="002F6143"/>
    <w:rsid w:val="002F61BE"/>
    <w:rsid w:val="002F629C"/>
    <w:rsid w:val="002F6448"/>
    <w:rsid w:val="002F66F6"/>
    <w:rsid w:val="002F67CD"/>
    <w:rsid w:val="002F69D5"/>
    <w:rsid w:val="002F69D8"/>
    <w:rsid w:val="002F69F3"/>
    <w:rsid w:val="002F6AEE"/>
    <w:rsid w:val="002F6B07"/>
    <w:rsid w:val="002F6DB3"/>
    <w:rsid w:val="002F6DFA"/>
    <w:rsid w:val="002F6EFD"/>
    <w:rsid w:val="002F6FC8"/>
    <w:rsid w:val="002F6FEA"/>
    <w:rsid w:val="002F7010"/>
    <w:rsid w:val="002F7085"/>
    <w:rsid w:val="002F70BC"/>
    <w:rsid w:val="002F72E6"/>
    <w:rsid w:val="002F73CB"/>
    <w:rsid w:val="002F7407"/>
    <w:rsid w:val="002F751F"/>
    <w:rsid w:val="002F76F0"/>
    <w:rsid w:val="002F7706"/>
    <w:rsid w:val="002F78DF"/>
    <w:rsid w:val="002F7A0E"/>
    <w:rsid w:val="002F7A91"/>
    <w:rsid w:val="002F7B9B"/>
    <w:rsid w:val="002F7D29"/>
    <w:rsid w:val="002F7FAA"/>
    <w:rsid w:val="002F7FF5"/>
    <w:rsid w:val="003001F8"/>
    <w:rsid w:val="0030033C"/>
    <w:rsid w:val="0030034C"/>
    <w:rsid w:val="0030036B"/>
    <w:rsid w:val="003003C4"/>
    <w:rsid w:val="00300474"/>
    <w:rsid w:val="00300527"/>
    <w:rsid w:val="00300597"/>
    <w:rsid w:val="003005B8"/>
    <w:rsid w:val="0030065F"/>
    <w:rsid w:val="00300807"/>
    <w:rsid w:val="003008B2"/>
    <w:rsid w:val="0030096E"/>
    <w:rsid w:val="00300971"/>
    <w:rsid w:val="00300A65"/>
    <w:rsid w:val="00300AD6"/>
    <w:rsid w:val="00300C36"/>
    <w:rsid w:val="00300C66"/>
    <w:rsid w:val="00300CB3"/>
    <w:rsid w:val="00300D7F"/>
    <w:rsid w:val="00300F1F"/>
    <w:rsid w:val="00300F79"/>
    <w:rsid w:val="00301106"/>
    <w:rsid w:val="00301417"/>
    <w:rsid w:val="003016C2"/>
    <w:rsid w:val="00301896"/>
    <w:rsid w:val="00301959"/>
    <w:rsid w:val="00301980"/>
    <w:rsid w:val="0030199C"/>
    <w:rsid w:val="003019E9"/>
    <w:rsid w:val="00301AF4"/>
    <w:rsid w:val="00301D3D"/>
    <w:rsid w:val="00301D52"/>
    <w:rsid w:val="00302033"/>
    <w:rsid w:val="00302063"/>
    <w:rsid w:val="003020D8"/>
    <w:rsid w:val="003020F0"/>
    <w:rsid w:val="00302128"/>
    <w:rsid w:val="00302147"/>
    <w:rsid w:val="003021E7"/>
    <w:rsid w:val="0030228E"/>
    <w:rsid w:val="003023F4"/>
    <w:rsid w:val="00302428"/>
    <w:rsid w:val="00302445"/>
    <w:rsid w:val="0030255F"/>
    <w:rsid w:val="003027D2"/>
    <w:rsid w:val="003027EA"/>
    <w:rsid w:val="00302825"/>
    <w:rsid w:val="0030282A"/>
    <w:rsid w:val="00302ADA"/>
    <w:rsid w:val="00302B7B"/>
    <w:rsid w:val="00302D40"/>
    <w:rsid w:val="00302E22"/>
    <w:rsid w:val="00302F34"/>
    <w:rsid w:val="00302F4D"/>
    <w:rsid w:val="00302F78"/>
    <w:rsid w:val="00303105"/>
    <w:rsid w:val="00303224"/>
    <w:rsid w:val="00303241"/>
    <w:rsid w:val="003032A1"/>
    <w:rsid w:val="003034E9"/>
    <w:rsid w:val="00303580"/>
    <w:rsid w:val="003036A7"/>
    <w:rsid w:val="003036AA"/>
    <w:rsid w:val="00303776"/>
    <w:rsid w:val="003037B1"/>
    <w:rsid w:val="00303832"/>
    <w:rsid w:val="00303928"/>
    <w:rsid w:val="003039D4"/>
    <w:rsid w:val="003039FE"/>
    <w:rsid w:val="00303A3F"/>
    <w:rsid w:val="00303A87"/>
    <w:rsid w:val="00303AB4"/>
    <w:rsid w:val="00303B2A"/>
    <w:rsid w:val="00303C92"/>
    <w:rsid w:val="00303F7B"/>
    <w:rsid w:val="003040CB"/>
    <w:rsid w:val="003040F7"/>
    <w:rsid w:val="003043ED"/>
    <w:rsid w:val="00304456"/>
    <w:rsid w:val="00304498"/>
    <w:rsid w:val="00304554"/>
    <w:rsid w:val="003045F4"/>
    <w:rsid w:val="00304712"/>
    <w:rsid w:val="003047F6"/>
    <w:rsid w:val="0030481C"/>
    <w:rsid w:val="003048CB"/>
    <w:rsid w:val="00304930"/>
    <w:rsid w:val="00304977"/>
    <w:rsid w:val="00304A4D"/>
    <w:rsid w:val="00304A75"/>
    <w:rsid w:val="00304AC0"/>
    <w:rsid w:val="00304B5E"/>
    <w:rsid w:val="00304C4B"/>
    <w:rsid w:val="00304E58"/>
    <w:rsid w:val="00304F4C"/>
    <w:rsid w:val="00305076"/>
    <w:rsid w:val="003050B1"/>
    <w:rsid w:val="003050D0"/>
    <w:rsid w:val="0030518D"/>
    <w:rsid w:val="00305270"/>
    <w:rsid w:val="0030530B"/>
    <w:rsid w:val="00305327"/>
    <w:rsid w:val="00305882"/>
    <w:rsid w:val="003058C6"/>
    <w:rsid w:val="00305A5E"/>
    <w:rsid w:val="00305B60"/>
    <w:rsid w:val="00305DA4"/>
    <w:rsid w:val="00306099"/>
    <w:rsid w:val="003062DA"/>
    <w:rsid w:val="00306477"/>
    <w:rsid w:val="003068B3"/>
    <w:rsid w:val="003069A9"/>
    <w:rsid w:val="00306A04"/>
    <w:rsid w:val="00306A05"/>
    <w:rsid w:val="00306C69"/>
    <w:rsid w:val="00306CF3"/>
    <w:rsid w:val="00306D1B"/>
    <w:rsid w:val="00306E03"/>
    <w:rsid w:val="00306E0F"/>
    <w:rsid w:val="00306E47"/>
    <w:rsid w:val="00307055"/>
    <w:rsid w:val="00307074"/>
    <w:rsid w:val="0030710E"/>
    <w:rsid w:val="00307119"/>
    <w:rsid w:val="0030719F"/>
    <w:rsid w:val="003072E0"/>
    <w:rsid w:val="003072F0"/>
    <w:rsid w:val="003073C8"/>
    <w:rsid w:val="003077AE"/>
    <w:rsid w:val="003077E3"/>
    <w:rsid w:val="00307B4B"/>
    <w:rsid w:val="00307C70"/>
    <w:rsid w:val="00307CCA"/>
    <w:rsid w:val="00307CF4"/>
    <w:rsid w:val="00307D51"/>
    <w:rsid w:val="00307DA5"/>
    <w:rsid w:val="00307E46"/>
    <w:rsid w:val="00307ECB"/>
    <w:rsid w:val="00307FB7"/>
    <w:rsid w:val="0030BAD4"/>
    <w:rsid w:val="003101F1"/>
    <w:rsid w:val="00310274"/>
    <w:rsid w:val="003102B0"/>
    <w:rsid w:val="00310333"/>
    <w:rsid w:val="003104F9"/>
    <w:rsid w:val="0031072B"/>
    <w:rsid w:val="003107D2"/>
    <w:rsid w:val="003107DC"/>
    <w:rsid w:val="00310848"/>
    <w:rsid w:val="00310A46"/>
    <w:rsid w:val="00310A4F"/>
    <w:rsid w:val="00310ABF"/>
    <w:rsid w:val="00310AF5"/>
    <w:rsid w:val="00310C9E"/>
    <w:rsid w:val="00310CDE"/>
    <w:rsid w:val="00310D2C"/>
    <w:rsid w:val="00310DB9"/>
    <w:rsid w:val="003110E2"/>
    <w:rsid w:val="003111A1"/>
    <w:rsid w:val="00311287"/>
    <w:rsid w:val="003115ED"/>
    <w:rsid w:val="00311686"/>
    <w:rsid w:val="0031180E"/>
    <w:rsid w:val="00311D1E"/>
    <w:rsid w:val="00311D4A"/>
    <w:rsid w:val="00311D70"/>
    <w:rsid w:val="00311DC9"/>
    <w:rsid w:val="00311EA0"/>
    <w:rsid w:val="00311F67"/>
    <w:rsid w:val="00311F8E"/>
    <w:rsid w:val="00311FC0"/>
    <w:rsid w:val="00311FF9"/>
    <w:rsid w:val="00312018"/>
    <w:rsid w:val="0031202A"/>
    <w:rsid w:val="0031231B"/>
    <w:rsid w:val="00312380"/>
    <w:rsid w:val="0031238C"/>
    <w:rsid w:val="00312833"/>
    <w:rsid w:val="0031295E"/>
    <w:rsid w:val="00312B17"/>
    <w:rsid w:val="00312D3C"/>
    <w:rsid w:val="00312E40"/>
    <w:rsid w:val="00312F52"/>
    <w:rsid w:val="00312F9E"/>
    <w:rsid w:val="0031310C"/>
    <w:rsid w:val="003131CF"/>
    <w:rsid w:val="00313269"/>
    <w:rsid w:val="00313400"/>
    <w:rsid w:val="00313413"/>
    <w:rsid w:val="003134AC"/>
    <w:rsid w:val="003134F4"/>
    <w:rsid w:val="00313532"/>
    <w:rsid w:val="003135A7"/>
    <w:rsid w:val="00313674"/>
    <w:rsid w:val="003136E3"/>
    <w:rsid w:val="00313778"/>
    <w:rsid w:val="00313883"/>
    <w:rsid w:val="00313B64"/>
    <w:rsid w:val="00313E07"/>
    <w:rsid w:val="00313E85"/>
    <w:rsid w:val="00313F2F"/>
    <w:rsid w:val="00314006"/>
    <w:rsid w:val="00314292"/>
    <w:rsid w:val="00314357"/>
    <w:rsid w:val="003144C1"/>
    <w:rsid w:val="00314572"/>
    <w:rsid w:val="003145B6"/>
    <w:rsid w:val="003146EA"/>
    <w:rsid w:val="00314844"/>
    <w:rsid w:val="00314868"/>
    <w:rsid w:val="00314B68"/>
    <w:rsid w:val="00314DE0"/>
    <w:rsid w:val="00314E16"/>
    <w:rsid w:val="00314E86"/>
    <w:rsid w:val="00314EFC"/>
    <w:rsid w:val="00314F9E"/>
    <w:rsid w:val="00315093"/>
    <w:rsid w:val="00315114"/>
    <w:rsid w:val="00315195"/>
    <w:rsid w:val="003154AE"/>
    <w:rsid w:val="0031556B"/>
    <w:rsid w:val="00315593"/>
    <w:rsid w:val="003155AD"/>
    <w:rsid w:val="0031571B"/>
    <w:rsid w:val="00315AEF"/>
    <w:rsid w:val="00315BB2"/>
    <w:rsid w:val="00315C25"/>
    <w:rsid w:val="00315C28"/>
    <w:rsid w:val="00315C62"/>
    <w:rsid w:val="00315EA1"/>
    <w:rsid w:val="0031601C"/>
    <w:rsid w:val="0031605D"/>
    <w:rsid w:val="0031606A"/>
    <w:rsid w:val="003160B8"/>
    <w:rsid w:val="003160F2"/>
    <w:rsid w:val="0031629F"/>
    <w:rsid w:val="00316338"/>
    <w:rsid w:val="003163DA"/>
    <w:rsid w:val="003165DE"/>
    <w:rsid w:val="003166CB"/>
    <w:rsid w:val="0031676D"/>
    <w:rsid w:val="00316801"/>
    <w:rsid w:val="00316870"/>
    <w:rsid w:val="0031689B"/>
    <w:rsid w:val="003169EE"/>
    <w:rsid w:val="00316A7B"/>
    <w:rsid w:val="00316D75"/>
    <w:rsid w:val="00316E85"/>
    <w:rsid w:val="00316F8E"/>
    <w:rsid w:val="00316FCB"/>
    <w:rsid w:val="00317054"/>
    <w:rsid w:val="003171AA"/>
    <w:rsid w:val="0031720E"/>
    <w:rsid w:val="0031740A"/>
    <w:rsid w:val="0031745B"/>
    <w:rsid w:val="00317462"/>
    <w:rsid w:val="00317675"/>
    <w:rsid w:val="0031776E"/>
    <w:rsid w:val="0031793E"/>
    <w:rsid w:val="00317947"/>
    <w:rsid w:val="003179C0"/>
    <w:rsid w:val="00317BC4"/>
    <w:rsid w:val="00317D5C"/>
    <w:rsid w:val="00317F35"/>
    <w:rsid w:val="00317F55"/>
    <w:rsid w:val="00317FF7"/>
    <w:rsid w:val="003200E6"/>
    <w:rsid w:val="003203AB"/>
    <w:rsid w:val="003204DC"/>
    <w:rsid w:val="00320509"/>
    <w:rsid w:val="00320522"/>
    <w:rsid w:val="00320536"/>
    <w:rsid w:val="00320593"/>
    <w:rsid w:val="003205F6"/>
    <w:rsid w:val="0032065D"/>
    <w:rsid w:val="003207F3"/>
    <w:rsid w:val="00320A1A"/>
    <w:rsid w:val="00320BFD"/>
    <w:rsid w:val="00320F2A"/>
    <w:rsid w:val="00321053"/>
    <w:rsid w:val="0032117D"/>
    <w:rsid w:val="003211B6"/>
    <w:rsid w:val="003211FE"/>
    <w:rsid w:val="00321546"/>
    <w:rsid w:val="0032196E"/>
    <w:rsid w:val="00321B63"/>
    <w:rsid w:val="00321B96"/>
    <w:rsid w:val="00321D0D"/>
    <w:rsid w:val="00321D10"/>
    <w:rsid w:val="00321FC5"/>
    <w:rsid w:val="0032207D"/>
    <w:rsid w:val="0032212A"/>
    <w:rsid w:val="003221AA"/>
    <w:rsid w:val="00322261"/>
    <w:rsid w:val="0032241F"/>
    <w:rsid w:val="00322439"/>
    <w:rsid w:val="0032245B"/>
    <w:rsid w:val="00322543"/>
    <w:rsid w:val="00322583"/>
    <w:rsid w:val="00322588"/>
    <w:rsid w:val="00322692"/>
    <w:rsid w:val="0032270D"/>
    <w:rsid w:val="0032270F"/>
    <w:rsid w:val="003227AC"/>
    <w:rsid w:val="0032290A"/>
    <w:rsid w:val="0032294D"/>
    <w:rsid w:val="00322981"/>
    <w:rsid w:val="00322B27"/>
    <w:rsid w:val="00322C02"/>
    <w:rsid w:val="00322DBD"/>
    <w:rsid w:val="00322E41"/>
    <w:rsid w:val="00322E87"/>
    <w:rsid w:val="00322F75"/>
    <w:rsid w:val="00322FB5"/>
    <w:rsid w:val="00323041"/>
    <w:rsid w:val="0032347A"/>
    <w:rsid w:val="00323499"/>
    <w:rsid w:val="003236FD"/>
    <w:rsid w:val="0032377C"/>
    <w:rsid w:val="00323A01"/>
    <w:rsid w:val="00323ABC"/>
    <w:rsid w:val="00323B0E"/>
    <w:rsid w:val="00323B1A"/>
    <w:rsid w:val="00323B99"/>
    <w:rsid w:val="00323BB3"/>
    <w:rsid w:val="00323C92"/>
    <w:rsid w:val="00323D19"/>
    <w:rsid w:val="00323D2A"/>
    <w:rsid w:val="00323E60"/>
    <w:rsid w:val="00323F1C"/>
    <w:rsid w:val="00324007"/>
    <w:rsid w:val="00324123"/>
    <w:rsid w:val="00324173"/>
    <w:rsid w:val="003242BA"/>
    <w:rsid w:val="00324449"/>
    <w:rsid w:val="00324540"/>
    <w:rsid w:val="0032461A"/>
    <w:rsid w:val="0032475B"/>
    <w:rsid w:val="0032487D"/>
    <w:rsid w:val="003248A8"/>
    <w:rsid w:val="00324984"/>
    <w:rsid w:val="0032498D"/>
    <w:rsid w:val="00324AD1"/>
    <w:rsid w:val="00324B7D"/>
    <w:rsid w:val="00324CD6"/>
    <w:rsid w:val="00324CF9"/>
    <w:rsid w:val="00324D23"/>
    <w:rsid w:val="00324D9F"/>
    <w:rsid w:val="00324DB0"/>
    <w:rsid w:val="00324ED4"/>
    <w:rsid w:val="00324EE3"/>
    <w:rsid w:val="00324EFE"/>
    <w:rsid w:val="00324F57"/>
    <w:rsid w:val="00325073"/>
    <w:rsid w:val="00325159"/>
    <w:rsid w:val="003251AE"/>
    <w:rsid w:val="0032520B"/>
    <w:rsid w:val="00325327"/>
    <w:rsid w:val="00325469"/>
    <w:rsid w:val="003254A5"/>
    <w:rsid w:val="00325760"/>
    <w:rsid w:val="003257AA"/>
    <w:rsid w:val="0032589E"/>
    <w:rsid w:val="00325959"/>
    <w:rsid w:val="00325A30"/>
    <w:rsid w:val="00325A81"/>
    <w:rsid w:val="00325C0B"/>
    <w:rsid w:val="00325E4B"/>
    <w:rsid w:val="00325F93"/>
    <w:rsid w:val="00326132"/>
    <w:rsid w:val="0032616E"/>
    <w:rsid w:val="00326194"/>
    <w:rsid w:val="0032620E"/>
    <w:rsid w:val="00326214"/>
    <w:rsid w:val="00326232"/>
    <w:rsid w:val="00326353"/>
    <w:rsid w:val="0032642F"/>
    <w:rsid w:val="00326759"/>
    <w:rsid w:val="0032699F"/>
    <w:rsid w:val="003269DE"/>
    <w:rsid w:val="00326A01"/>
    <w:rsid w:val="00326BDA"/>
    <w:rsid w:val="00326C04"/>
    <w:rsid w:val="00326CDA"/>
    <w:rsid w:val="00326EC0"/>
    <w:rsid w:val="00326F4F"/>
    <w:rsid w:val="00327224"/>
    <w:rsid w:val="0032722B"/>
    <w:rsid w:val="00327286"/>
    <w:rsid w:val="003272E6"/>
    <w:rsid w:val="00327410"/>
    <w:rsid w:val="00327447"/>
    <w:rsid w:val="003275EC"/>
    <w:rsid w:val="0032761A"/>
    <w:rsid w:val="0032796D"/>
    <w:rsid w:val="00327CD4"/>
    <w:rsid w:val="00327D6C"/>
    <w:rsid w:val="00327DA0"/>
    <w:rsid w:val="00327DFF"/>
    <w:rsid w:val="00327E66"/>
    <w:rsid w:val="00327F2E"/>
    <w:rsid w:val="0033012E"/>
    <w:rsid w:val="0033018A"/>
    <w:rsid w:val="003301A5"/>
    <w:rsid w:val="003303F2"/>
    <w:rsid w:val="0033043E"/>
    <w:rsid w:val="00330518"/>
    <w:rsid w:val="003305A5"/>
    <w:rsid w:val="0033060C"/>
    <w:rsid w:val="003306EB"/>
    <w:rsid w:val="00330906"/>
    <w:rsid w:val="00330933"/>
    <w:rsid w:val="003309B4"/>
    <w:rsid w:val="00330D0A"/>
    <w:rsid w:val="00330E1F"/>
    <w:rsid w:val="00331043"/>
    <w:rsid w:val="00331510"/>
    <w:rsid w:val="0033158B"/>
    <w:rsid w:val="00331622"/>
    <w:rsid w:val="00331639"/>
    <w:rsid w:val="00331658"/>
    <w:rsid w:val="00331684"/>
    <w:rsid w:val="003317C8"/>
    <w:rsid w:val="003317EF"/>
    <w:rsid w:val="00331841"/>
    <w:rsid w:val="00331B1A"/>
    <w:rsid w:val="00331B8F"/>
    <w:rsid w:val="00331C98"/>
    <w:rsid w:val="00331E75"/>
    <w:rsid w:val="00331FE9"/>
    <w:rsid w:val="00332119"/>
    <w:rsid w:val="0033214F"/>
    <w:rsid w:val="00332168"/>
    <w:rsid w:val="0033220C"/>
    <w:rsid w:val="00332387"/>
    <w:rsid w:val="0033238F"/>
    <w:rsid w:val="0033251D"/>
    <w:rsid w:val="003328C7"/>
    <w:rsid w:val="0033293E"/>
    <w:rsid w:val="00332960"/>
    <w:rsid w:val="00332A78"/>
    <w:rsid w:val="00332C06"/>
    <w:rsid w:val="00332D60"/>
    <w:rsid w:val="00332D67"/>
    <w:rsid w:val="00332D69"/>
    <w:rsid w:val="00332D9E"/>
    <w:rsid w:val="00332DFF"/>
    <w:rsid w:val="0033306A"/>
    <w:rsid w:val="003330D2"/>
    <w:rsid w:val="003330DD"/>
    <w:rsid w:val="003331CD"/>
    <w:rsid w:val="00333399"/>
    <w:rsid w:val="0033343D"/>
    <w:rsid w:val="0033350C"/>
    <w:rsid w:val="00333525"/>
    <w:rsid w:val="00333592"/>
    <w:rsid w:val="0033368A"/>
    <w:rsid w:val="00333772"/>
    <w:rsid w:val="0033377C"/>
    <w:rsid w:val="0033378F"/>
    <w:rsid w:val="003338A5"/>
    <w:rsid w:val="003339CC"/>
    <w:rsid w:val="00333A03"/>
    <w:rsid w:val="00333B1D"/>
    <w:rsid w:val="00333B75"/>
    <w:rsid w:val="00333B77"/>
    <w:rsid w:val="00333C2B"/>
    <w:rsid w:val="00333C2D"/>
    <w:rsid w:val="00333D55"/>
    <w:rsid w:val="003340FF"/>
    <w:rsid w:val="003341CB"/>
    <w:rsid w:val="0033426F"/>
    <w:rsid w:val="00334295"/>
    <w:rsid w:val="00334449"/>
    <w:rsid w:val="0033450C"/>
    <w:rsid w:val="0033456D"/>
    <w:rsid w:val="003346BC"/>
    <w:rsid w:val="0033475C"/>
    <w:rsid w:val="003347AB"/>
    <w:rsid w:val="003347BD"/>
    <w:rsid w:val="00334A5C"/>
    <w:rsid w:val="00334B0F"/>
    <w:rsid w:val="00334B37"/>
    <w:rsid w:val="00334B61"/>
    <w:rsid w:val="00334BD6"/>
    <w:rsid w:val="00334CF1"/>
    <w:rsid w:val="00334DD9"/>
    <w:rsid w:val="00335004"/>
    <w:rsid w:val="00335081"/>
    <w:rsid w:val="003350F6"/>
    <w:rsid w:val="00335199"/>
    <w:rsid w:val="00335353"/>
    <w:rsid w:val="0033537E"/>
    <w:rsid w:val="003353C0"/>
    <w:rsid w:val="00335487"/>
    <w:rsid w:val="0033549B"/>
    <w:rsid w:val="00335610"/>
    <w:rsid w:val="00335860"/>
    <w:rsid w:val="00335A18"/>
    <w:rsid w:val="00335A26"/>
    <w:rsid w:val="00335A2D"/>
    <w:rsid w:val="00335C2E"/>
    <w:rsid w:val="00335C83"/>
    <w:rsid w:val="00335CE8"/>
    <w:rsid w:val="00335E89"/>
    <w:rsid w:val="00335E91"/>
    <w:rsid w:val="00335EB8"/>
    <w:rsid w:val="00335EC9"/>
    <w:rsid w:val="00335FFC"/>
    <w:rsid w:val="00336035"/>
    <w:rsid w:val="00336067"/>
    <w:rsid w:val="00336177"/>
    <w:rsid w:val="00336247"/>
    <w:rsid w:val="0033658B"/>
    <w:rsid w:val="003365A0"/>
    <w:rsid w:val="0033662F"/>
    <w:rsid w:val="0033664F"/>
    <w:rsid w:val="003366E4"/>
    <w:rsid w:val="0033677A"/>
    <w:rsid w:val="003367E6"/>
    <w:rsid w:val="003368DE"/>
    <w:rsid w:val="00336933"/>
    <w:rsid w:val="00336A3D"/>
    <w:rsid w:val="00336B58"/>
    <w:rsid w:val="00336B73"/>
    <w:rsid w:val="00336CFE"/>
    <w:rsid w:val="00336E08"/>
    <w:rsid w:val="00336F88"/>
    <w:rsid w:val="003370CE"/>
    <w:rsid w:val="003370EE"/>
    <w:rsid w:val="003371A3"/>
    <w:rsid w:val="0033723C"/>
    <w:rsid w:val="0033725E"/>
    <w:rsid w:val="0033727C"/>
    <w:rsid w:val="003373B6"/>
    <w:rsid w:val="0033755E"/>
    <w:rsid w:val="003375B2"/>
    <w:rsid w:val="003375D2"/>
    <w:rsid w:val="0033781A"/>
    <w:rsid w:val="00337870"/>
    <w:rsid w:val="00337A33"/>
    <w:rsid w:val="00337AB2"/>
    <w:rsid w:val="00337B0E"/>
    <w:rsid w:val="00337D32"/>
    <w:rsid w:val="00337EA0"/>
    <w:rsid w:val="00337EAA"/>
    <w:rsid w:val="00337F1F"/>
    <w:rsid w:val="00337F46"/>
    <w:rsid w:val="00337F9F"/>
    <w:rsid w:val="00337FB4"/>
    <w:rsid w:val="0033914B"/>
    <w:rsid w:val="0034000F"/>
    <w:rsid w:val="00340084"/>
    <w:rsid w:val="003400C2"/>
    <w:rsid w:val="00340136"/>
    <w:rsid w:val="0034029A"/>
    <w:rsid w:val="00340309"/>
    <w:rsid w:val="003404B1"/>
    <w:rsid w:val="003407AA"/>
    <w:rsid w:val="0034084D"/>
    <w:rsid w:val="0034086E"/>
    <w:rsid w:val="00340887"/>
    <w:rsid w:val="003408AD"/>
    <w:rsid w:val="003408AE"/>
    <w:rsid w:val="003408C6"/>
    <w:rsid w:val="0034092A"/>
    <w:rsid w:val="00340990"/>
    <w:rsid w:val="003409CF"/>
    <w:rsid w:val="00340A1F"/>
    <w:rsid w:val="00340A35"/>
    <w:rsid w:val="00340AD7"/>
    <w:rsid w:val="00340CC7"/>
    <w:rsid w:val="00340DD1"/>
    <w:rsid w:val="00340DE1"/>
    <w:rsid w:val="00340E20"/>
    <w:rsid w:val="00340E4F"/>
    <w:rsid w:val="00340E90"/>
    <w:rsid w:val="00341093"/>
    <w:rsid w:val="00341123"/>
    <w:rsid w:val="00341255"/>
    <w:rsid w:val="00341266"/>
    <w:rsid w:val="003412B6"/>
    <w:rsid w:val="00341340"/>
    <w:rsid w:val="003414A5"/>
    <w:rsid w:val="003414C1"/>
    <w:rsid w:val="003414C4"/>
    <w:rsid w:val="003415D9"/>
    <w:rsid w:val="003417FC"/>
    <w:rsid w:val="003418BF"/>
    <w:rsid w:val="00341901"/>
    <w:rsid w:val="003419ED"/>
    <w:rsid w:val="00341BA9"/>
    <w:rsid w:val="00341BD1"/>
    <w:rsid w:val="00341C7E"/>
    <w:rsid w:val="00341D1E"/>
    <w:rsid w:val="00341D27"/>
    <w:rsid w:val="00341D38"/>
    <w:rsid w:val="00341DE0"/>
    <w:rsid w:val="00341FFE"/>
    <w:rsid w:val="00342012"/>
    <w:rsid w:val="003420D6"/>
    <w:rsid w:val="003420D7"/>
    <w:rsid w:val="003421B6"/>
    <w:rsid w:val="00342240"/>
    <w:rsid w:val="00342335"/>
    <w:rsid w:val="003423F3"/>
    <w:rsid w:val="0034257F"/>
    <w:rsid w:val="003426E2"/>
    <w:rsid w:val="00342705"/>
    <w:rsid w:val="0034295D"/>
    <w:rsid w:val="00342A6E"/>
    <w:rsid w:val="00342AC8"/>
    <w:rsid w:val="00342AFC"/>
    <w:rsid w:val="00342B89"/>
    <w:rsid w:val="00342BBD"/>
    <w:rsid w:val="00342BDD"/>
    <w:rsid w:val="00342BF9"/>
    <w:rsid w:val="00342C59"/>
    <w:rsid w:val="00342CCC"/>
    <w:rsid w:val="00342D71"/>
    <w:rsid w:val="00342E01"/>
    <w:rsid w:val="00342EA4"/>
    <w:rsid w:val="00342F3C"/>
    <w:rsid w:val="003434B0"/>
    <w:rsid w:val="003434CD"/>
    <w:rsid w:val="0034371F"/>
    <w:rsid w:val="00343A15"/>
    <w:rsid w:val="00343A46"/>
    <w:rsid w:val="00343B4F"/>
    <w:rsid w:val="00343C1A"/>
    <w:rsid w:val="00343C76"/>
    <w:rsid w:val="00343D61"/>
    <w:rsid w:val="00343DAC"/>
    <w:rsid w:val="00343EDF"/>
    <w:rsid w:val="00343EE6"/>
    <w:rsid w:val="00343EF9"/>
    <w:rsid w:val="00343F30"/>
    <w:rsid w:val="0034406F"/>
    <w:rsid w:val="003440EF"/>
    <w:rsid w:val="003441E1"/>
    <w:rsid w:val="003441EA"/>
    <w:rsid w:val="003442CB"/>
    <w:rsid w:val="00344400"/>
    <w:rsid w:val="00344704"/>
    <w:rsid w:val="003449B0"/>
    <w:rsid w:val="00344B64"/>
    <w:rsid w:val="00344BDD"/>
    <w:rsid w:val="00344CC5"/>
    <w:rsid w:val="00344D1E"/>
    <w:rsid w:val="00344DF2"/>
    <w:rsid w:val="00344E46"/>
    <w:rsid w:val="00344F0A"/>
    <w:rsid w:val="00345007"/>
    <w:rsid w:val="003450BB"/>
    <w:rsid w:val="003450EB"/>
    <w:rsid w:val="003451C1"/>
    <w:rsid w:val="0034521B"/>
    <w:rsid w:val="00345365"/>
    <w:rsid w:val="003454CF"/>
    <w:rsid w:val="00345505"/>
    <w:rsid w:val="00345655"/>
    <w:rsid w:val="00345947"/>
    <w:rsid w:val="00345A77"/>
    <w:rsid w:val="00345B4C"/>
    <w:rsid w:val="00345C05"/>
    <w:rsid w:val="00345CA8"/>
    <w:rsid w:val="00345D90"/>
    <w:rsid w:val="00345DCD"/>
    <w:rsid w:val="00345DDD"/>
    <w:rsid w:val="00345EF2"/>
    <w:rsid w:val="00345F4F"/>
    <w:rsid w:val="00345FDE"/>
    <w:rsid w:val="00346006"/>
    <w:rsid w:val="00346040"/>
    <w:rsid w:val="003460B6"/>
    <w:rsid w:val="00346220"/>
    <w:rsid w:val="0034629E"/>
    <w:rsid w:val="00346440"/>
    <w:rsid w:val="003464EA"/>
    <w:rsid w:val="00346512"/>
    <w:rsid w:val="00346531"/>
    <w:rsid w:val="0034655C"/>
    <w:rsid w:val="0034658D"/>
    <w:rsid w:val="003466E1"/>
    <w:rsid w:val="0034680C"/>
    <w:rsid w:val="00346B08"/>
    <w:rsid w:val="00346C9A"/>
    <w:rsid w:val="00346CCB"/>
    <w:rsid w:val="00346CDB"/>
    <w:rsid w:val="00346F0D"/>
    <w:rsid w:val="00346FB6"/>
    <w:rsid w:val="003470CA"/>
    <w:rsid w:val="003471BF"/>
    <w:rsid w:val="003474DF"/>
    <w:rsid w:val="0034762B"/>
    <w:rsid w:val="0034762E"/>
    <w:rsid w:val="0034778C"/>
    <w:rsid w:val="00347836"/>
    <w:rsid w:val="003478CF"/>
    <w:rsid w:val="00347901"/>
    <w:rsid w:val="00347A2B"/>
    <w:rsid w:val="00347AB0"/>
    <w:rsid w:val="00347BDE"/>
    <w:rsid w:val="00347CD5"/>
    <w:rsid w:val="00347DE1"/>
    <w:rsid w:val="00347F2D"/>
    <w:rsid w:val="00350075"/>
    <w:rsid w:val="00350277"/>
    <w:rsid w:val="00350309"/>
    <w:rsid w:val="00350515"/>
    <w:rsid w:val="00350706"/>
    <w:rsid w:val="00350A0F"/>
    <w:rsid w:val="00350A99"/>
    <w:rsid w:val="00350A9C"/>
    <w:rsid w:val="00350BE1"/>
    <w:rsid w:val="00351020"/>
    <w:rsid w:val="00351101"/>
    <w:rsid w:val="00351107"/>
    <w:rsid w:val="00351136"/>
    <w:rsid w:val="00351174"/>
    <w:rsid w:val="0035122A"/>
    <w:rsid w:val="003512AA"/>
    <w:rsid w:val="0035130B"/>
    <w:rsid w:val="0035142A"/>
    <w:rsid w:val="0035155A"/>
    <w:rsid w:val="00351562"/>
    <w:rsid w:val="003515E4"/>
    <w:rsid w:val="00351835"/>
    <w:rsid w:val="00351881"/>
    <w:rsid w:val="003518FC"/>
    <w:rsid w:val="0035195E"/>
    <w:rsid w:val="003519EF"/>
    <w:rsid w:val="00351C3C"/>
    <w:rsid w:val="00351CE2"/>
    <w:rsid w:val="00351CFE"/>
    <w:rsid w:val="00351D4F"/>
    <w:rsid w:val="00351DA0"/>
    <w:rsid w:val="00352074"/>
    <w:rsid w:val="003520AF"/>
    <w:rsid w:val="0035229F"/>
    <w:rsid w:val="003522CD"/>
    <w:rsid w:val="00352367"/>
    <w:rsid w:val="003523D6"/>
    <w:rsid w:val="00352481"/>
    <w:rsid w:val="003524D5"/>
    <w:rsid w:val="00352585"/>
    <w:rsid w:val="003525FE"/>
    <w:rsid w:val="003526B6"/>
    <w:rsid w:val="0035282C"/>
    <w:rsid w:val="003529EF"/>
    <w:rsid w:val="00352AC6"/>
    <w:rsid w:val="00352B2D"/>
    <w:rsid w:val="00352BF0"/>
    <w:rsid w:val="00352D5C"/>
    <w:rsid w:val="00352D82"/>
    <w:rsid w:val="003530D6"/>
    <w:rsid w:val="00353282"/>
    <w:rsid w:val="003532EA"/>
    <w:rsid w:val="00353379"/>
    <w:rsid w:val="00353467"/>
    <w:rsid w:val="0035354C"/>
    <w:rsid w:val="0035354D"/>
    <w:rsid w:val="00353587"/>
    <w:rsid w:val="0035361E"/>
    <w:rsid w:val="003536CB"/>
    <w:rsid w:val="0035381B"/>
    <w:rsid w:val="0035389E"/>
    <w:rsid w:val="00353915"/>
    <w:rsid w:val="00353B18"/>
    <w:rsid w:val="00353BF4"/>
    <w:rsid w:val="00353CC3"/>
    <w:rsid w:val="00353E79"/>
    <w:rsid w:val="00353EA2"/>
    <w:rsid w:val="00353F46"/>
    <w:rsid w:val="00354199"/>
    <w:rsid w:val="003541D5"/>
    <w:rsid w:val="0035434E"/>
    <w:rsid w:val="00354560"/>
    <w:rsid w:val="003545B2"/>
    <w:rsid w:val="003545B6"/>
    <w:rsid w:val="00354667"/>
    <w:rsid w:val="00354772"/>
    <w:rsid w:val="003548D7"/>
    <w:rsid w:val="003548DB"/>
    <w:rsid w:val="003548E1"/>
    <w:rsid w:val="00354A00"/>
    <w:rsid w:val="00354A2D"/>
    <w:rsid w:val="00354AF3"/>
    <w:rsid w:val="00354B4B"/>
    <w:rsid w:val="00354CDD"/>
    <w:rsid w:val="00354F94"/>
    <w:rsid w:val="0035504B"/>
    <w:rsid w:val="00355101"/>
    <w:rsid w:val="00355342"/>
    <w:rsid w:val="003553E7"/>
    <w:rsid w:val="003556D9"/>
    <w:rsid w:val="00355784"/>
    <w:rsid w:val="003557B0"/>
    <w:rsid w:val="00355A38"/>
    <w:rsid w:val="00355A57"/>
    <w:rsid w:val="00355BAC"/>
    <w:rsid w:val="00355D31"/>
    <w:rsid w:val="00355D41"/>
    <w:rsid w:val="00355E9D"/>
    <w:rsid w:val="003560E8"/>
    <w:rsid w:val="00356240"/>
    <w:rsid w:val="003564E4"/>
    <w:rsid w:val="003566D8"/>
    <w:rsid w:val="003567F1"/>
    <w:rsid w:val="00356820"/>
    <w:rsid w:val="003568B5"/>
    <w:rsid w:val="003569A3"/>
    <w:rsid w:val="00356B11"/>
    <w:rsid w:val="00356BFA"/>
    <w:rsid w:val="00356E15"/>
    <w:rsid w:val="00356E4D"/>
    <w:rsid w:val="0035703A"/>
    <w:rsid w:val="003570A2"/>
    <w:rsid w:val="0035714F"/>
    <w:rsid w:val="00357220"/>
    <w:rsid w:val="003572F7"/>
    <w:rsid w:val="003575CD"/>
    <w:rsid w:val="003576FB"/>
    <w:rsid w:val="0035774E"/>
    <w:rsid w:val="00357934"/>
    <w:rsid w:val="003579B9"/>
    <w:rsid w:val="00357A28"/>
    <w:rsid w:val="00357A7F"/>
    <w:rsid w:val="00357B8F"/>
    <w:rsid w:val="00357DB3"/>
    <w:rsid w:val="00357EDE"/>
    <w:rsid w:val="00357F3B"/>
    <w:rsid w:val="0035DEE0"/>
    <w:rsid w:val="0036006B"/>
    <w:rsid w:val="0036036C"/>
    <w:rsid w:val="00360484"/>
    <w:rsid w:val="003607A9"/>
    <w:rsid w:val="003607B4"/>
    <w:rsid w:val="00360856"/>
    <w:rsid w:val="00360896"/>
    <w:rsid w:val="00360949"/>
    <w:rsid w:val="003609DC"/>
    <w:rsid w:val="00360A70"/>
    <w:rsid w:val="00360B9F"/>
    <w:rsid w:val="00360C22"/>
    <w:rsid w:val="00360EED"/>
    <w:rsid w:val="00360F49"/>
    <w:rsid w:val="00360F51"/>
    <w:rsid w:val="00361044"/>
    <w:rsid w:val="003610D4"/>
    <w:rsid w:val="003612AE"/>
    <w:rsid w:val="00361437"/>
    <w:rsid w:val="0036144B"/>
    <w:rsid w:val="003615A1"/>
    <w:rsid w:val="003617BB"/>
    <w:rsid w:val="00361855"/>
    <w:rsid w:val="003618BE"/>
    <w:rsid w:val="00361B5F"/>
    <w:rsid w:val="00361B8F"/>
    <w:rsid w:val="00361BFF"/>
    <w:rsid w:val="00361CB5"/>
    <w:rsid w:val="00361D8B"/>
    <w:rsid w:val="00361E36"/>
    <w:rsid w:val="00361E37"/>
    <w:rsid w:val="00362039"/>
    <w:rsid w:val="0036208F"/>
    <w:rsid w:val="0036211B"/>
    <w:rsid w:val="00362129"/>
    <w:rsid w:val="00362219"/>
    <w:rsid w:val="00362229"/>
    <w:rsid w:val="00362353"/>
    <w:rsid w:val="00362365"/>
    <w:rsid w:val="003623CD"/>
    <w:rsid w:val="003623F7"/>
    <w:rsid w:val="00362475"/>
    <w:rsid w:val="003626DF"/>
    <w:rsid w:val="003627C7"/>
    <w:rsid w:val="00362803"/>
    <w:rsid w:val="00362873"/>
    <w:rsid w:val="003628D8"/>
    <w:rsid w:val="003629AD"/>
    <w:rsid w:val="003629B1"/>
    <w:rsid w:val="00362A23"/>
    <w:rsid w:val="00362A52"/>
    <w:rsid w:val="00362A67"/>
    <w:rsid w:val="00362AAA"/>
    <w:rsid w:val="00362B00"/>
    <w:rsid w:val="00362B55"/>
    <w:rsid w:val="00362BB4"/>
    <w:rsid w:val="00362BBD"/>
    <w:rsid w:val="00362C42"/>
    <w:rsid w:val="00362DF7"/>
    <w:rsid w:val="00362E94"/>
    <w:rsid w:val="0036305A"/>
    <w:rsid w:val="0036312F"/>
    <w:rsid w:val="0036318A"/>
    <w:rsid w:val="003632A0"/>
    <w:rsid w:val="003632FC"/>
    <w:rsid w:val="0036340F"/>
    <w:rsid w:val="00363469"/>
    <w:rsid w:val="0036351D"/>
    <w:rsid w:val="00363576"/>
    <w:rsid w:val="0036363F"/>
    <w:rsid w:val="003637A2"/>
    <w:rsid w:val="00363957"/>
    <w:rsid w:val="00363A70"/>
    <w:rsid w:val="00363BC5"/>
    <w:rsid w:val="00363F7B"/>
    <w:rsid w:val="00363F92"/>
    <w:rsid w:val="003640B8"/>
    <w:rsid w:val="003641EE"/>
    <w:rsid w:val="00364201"/>
    <w:rsid w:val="003643F2"/>
    <w:rsid w:val="003644BF"/>
    <w:rsid w:val="003644E6"/>
    <w:rsid w:val="003645E6"/>
    <w:rsid w:val="00364635"/>
    <w:rsid w:val="00364686"/>
    <w:rsid w:val="0036480F"/>
    <w:rsid w:val="003648B3"/>
    <w:rsid w:val="00364928"/>
    <w:rsid w:val="003649E7"/>
    <w:rsid w:val="00364A2B"/>
    <w:rsid w:val="00364A3E"/>
    <w:rsid w:val="00364AB4"/>
    <w:rsid w:val="00364AC5"/>
    <w:rsid w:val="00364BAF"/>
    <w:rsid w:val="00364E74"/>
    <w:rsid w:val="00364F2B"/>
    <w:rsid w:val="003650AD"/>
    <w:rsid w:val="00365153"/>
    <w:rsid w:val="00365378"/>
    <w:rsid w:val="00365385"/>
    <w:rsid w:val="0036540F"/>
    <w:rsid w:val="00365473"/>
    <w:rsid w:val="00365651"/>
    <w:rsid w:val="003656B3"/>
    <w:rsid w:val="0036598D"/>
    <w:rsid w:val="00365A12"/>
    <w:rsid w:val="00365C67"/>
    <w:rsid w:val="00365C75"/>
    <w:rsid w:val="00365C7A"/>
    <w:rsid w:val="00365D48"/>
    <w:rsid w:val="00365FCB"/>
    <w:rsid w:val="0036604E"/>
    <w:rsid w:val="003661AE"/>
    <w:rsid w:val="00366358"/>
    <w:rsid w:val="00366361"/>
    <w:rsid w:val="003663CC"/>
    <w:rsid w:val="0036645A"/>
    <w:rsid w:val="0036686F"/>
    <w:rsid w:val="00366A12"/>
    <w:rsid w:val="00366C1F"/>
    <w:rsid w:val="00366C23"/>
    <w:rsid w:val="00366C4F"/>
    <w:rsid w:val="00366C88"/>
    <w:rsid w:val="00366CAC"/>
    <w:rsid w:val="00366CD8"/>
    <w:rsid w:val="00366D06"/>
    <w:rsid w:val="00366D20"/>
    <w:rsid w:val="00366D30"/>
    <w:rsid w:val="00366D48"/>
    <w:rsid w:val="00366FBD"/>
    <w:rsid w:val="00366FEB"/>
    <w:rsid w:val="003670B8"/>
    <w:rsid w:val="003670EB"/>
    <w:rsid w:val="00367231"/>
    <w:rsid w:val="00367234"/>
    <w:rsid w:val="00367402"/>
    <w:rsid w:val="00367431"/>
    <w:rsid w:val="00367454"/>
    <w:rsid w:val="0036751C"/>
    <w:rsid w:val="003679FC"/>
    <w:rsid w:val="00367C93"/>
    <w:rsid w:val="00367F9E"/>
    <w:rsid w:val="00368DD8"/>
    <w:rsid w:val="003700C7"/>
    <w:rsid w:val="00370288"/>
    <w:rsid w:val="00370570"/>
    <w:rsid w:val="003705A9"/>
    <w:rsid w:val="00370675"/>
    <w:rsid w:val="00370943"/>
    <w:rsid w:val="003709AD"/>
    <w:rsid w:val="003709FD"/>
    <w:rsid w:val="00370BB4"/>
    <w:rsid w:val="00370D6A"/>
    <w:rsid w:val="00370DB0"/>
    <w:rsid w:val="00370DBA"/>
    <w:rsid w:val="00370DE1"/>
    <w:rsid w:val="00370EA9"/>
    <w:rsid w:val="0037108A"/>
    <w:rsid w:val="003711F2"/>
    <w:rsid w:val="0037134D"/>
    <w:rsid w:val="00371425"/>
    <w:rsid w:val="0037146D"/>
    <w:rsid w:val="00371637"/>
    <w:rsid w:val="00371838"/>
    <w:rsid w:val="00371BCA"/>
    <w:rsid w:val="00371CB2"/>
    <w:rsid w:val="00371CC8"/>
    <w:rsid w:val="00371E4D"/>
    <w:rsid w:val="00371F8E"/>
    <w:rsid w:val="00371FAB"/>
    <w:rsid w:val="0037203F"/>
    <w:rsid w:val="003720CC"/>
    <w:rsid w:val="003721D0"/>
    <w:rsid w:val="003721FD"/>
    <w:rsid w:val="003722D5"/>
    <w:rsid w:val="0037253D"/>
    <w:rsid w:val="00372894"/>
    <w:rsid w:val="0037294E"/>
    <w:rsid w:val="003729C5"/>
    <w:rsid w:val="00372BC9"/>
    <w:rsid w:val="00372C31"/>
    <w:rsid w:val="00372D82"/>
    <w:rsid w:val="00372E3C"/>
    <w:rsid w:val="00372EA4"/>
    <w:rsid w:val="00372EBB"/>
    <w:rsid w:val="00372F95"/>
    <w:rsid w:val="00373121"/>
    <w:rsid w:val="00373166"/>
    <w:rsid w:val="003732A4"/>
    <w:rsid w:val="003733D4"/>
    <w:rsid w:val="00373418"/>
    <w:rsid w:val="00373438"/>
    <w:rsid w:val="0037376D"/>
    <w:rsid w:val="00373778"/>
    <w:rsid w:val="00373798"/>
    <w:rsid w:val="00373899"/>
    <w:rsid w:val="003738A7"/>
    <w:rsid w:val="0037399D"/>
    <w:rsid w:val="00373C7C"/>
    <w:rsid w:val="00373CC6"/>
    <w:rsid w:val="00373D3A"/>
    <w:rsid w:val="00373DA4"/>
    <w:rsid w:val="00373E03"/>
    <w:rsid w:val="00373ED4"/>
    <w:rsid w:val="00373EE4"/>
    <w:rsid w:val="00373FBA"/>
    <w:rsid w:val="00374177"/>
    <w:rsid w:val="003744FE"/>
    <w:rsid w:val="00374546"/>
    <w:rsid w:val="00374870"/>
    <w:rsid w:val="0037491C"/>
    <w:rsid w:val="00374A97"/>
    <w:rsid w:val="00374AEC"/>
    <w:rsid w:val="00374B21"/>
    <w:rsid w:val="00374B6B"/>
    <w:rsid w:val="00374BB3"/>
    <w:rsid w:val="00374D84"/>
    <w:rsid w:val="00374D9D"/>
    <w:rsid w:val="00374DDE"/>
    <w:rsid w:val="003753A6"/>
    <w:rsid w:val="003753B9"/>
    <w:rsid w:val="00375497"/>
    <w:rsid w:val="0037555B"/>
    <w:rsid w:val="003758BD"/>
    <w:rsid w:val="00375975"/>
    <w:rsid w:val="00375A62"/>
    <w:rsid w:val="00375A67"/>
    <w:rsid w:val="00375B9E"/>
    <w:rsid w:val="00375BDD"/>
    <w:rsid w:val="00375D78"/>
    <w:rsid w:val="00375F4C"/>
    <w:rsid w:val="00376132"/>
    <w:rsid w:val="003764E3"/>
    <w:rsid w:val="00376536"/>
    <w:rsid w:val="00376675"/>
    <w:rsid w:val="0037680D"/>
    <w:rsid w:val="00376B32"/>
    <w:rsid w:val="00376C4B"/>
    <w:rsid w:val="00376C6E"/>
    <w:rsid w:val="00376CCD"/>
    <w:rsid w:val="00376E62"/>
    <w:rsid w:val="00376FF8"/>
    <w:rsid w:val="0037707C"/>
    <w:rsid w:val="003770A6"/>
    <w:rsid w:val="003770F2"/>
    <w:rsid w:val="00377121"/>
    <w:rsid w:val="003771A3"/>
    <w:rsid w:val="003771B4"/>
    <w:rsid w:val="0037732E"/>
    <w:rsid w:val="00377371"/>
    <w:rsid w:val="003773B9"/>
    <w:rsid w:val="0037757C"/>
    <w:rsid w:val="0037759F"/>
    <w:rsid w:val="003775D3"/>
    <w:rsid w:val="00377698"/>
    <w:rsid w:val="00377831"/>
    <w:rsid w:val="0037790E"/>
    <w:rsid w:val="00377995"/>
    <w:rsid w:val="00377AB4"/>
    <w:rsid w:val="00377BA5"/>
    <w:rsid w:val="00377BFD"/>
    <w:rsid w:val="00377C8A"/>
    <w:rsid w:val="00377DD5"/>
    <w:rsid w:val="00377EB3"/>
    <w:rsid w:val="00377F15"/>
    <w:rsid w:val="00377F69"/>
    <w:rsid w:val="003802A5"/>
    <w:rsid w:val="00380430"/>
    <w:rsid w:val="0038059B"/>
    <w:rsid w:val="00380A55"/>
    <w:rsid w:val="00380A6A"/>
    <w:rsid w:val="00380B30"/>
    <w:rsid w:val="00380BAA"/>
    <w:rsid w:val="00380D52"/>
    <w:rsid w:val="00380D95"/>
    <w:rsid w:val="00380EDC"/>
    <w:rsid w:val="0038114E"/>
    <w:rsid w:val="003811DE"/>
    <w:rsid w:val="00381210"/>
    <w:rsid w:val="00381230"/>
    <w:rsid w:val="00381320"/>
    <w:rsid w:val="0038148C"/>
    <w:rsid w:val="00381579"/>
    <w:rsid w:val="00381645"/>
    <w:rsid w:val="003816D5"/>
    <w:rsid w:val="003816EE"/>
    <w:rsid w:val="00381715"/>
    <w:rsid w:val="00381A1B"/>
    <w:rsid w:val="00381A98"/>
    <w:rsid w:val="00381D10"/>
    <w:rsid w:val="00381D1D"/>
    <w:rsid w:val="00381D26"/>
    <w:rsid w:val="00381D2C"/>
    <w:rsid w:val="00381ED0"/>
    <w:rsid w:val="00381EF5"/>
    <w:rsid w:val="0038206D"/>
    <w:rsid w:val="003820BD"/>
    <w:rsid w:val="003820DF"/>
    <w:rsid w:val="003821A2"/>
    <w:rsid w:val="003821A9"/>
    <w:rsid w:val="00382492"/>
    <w:rsid w:val="00382598"/>
    <w:rsid w:val="00382662"/>
    <w:rsid w:val="003826CD"/>
    <w:rsid w:val="00382715"/>
    <w:rsid w:val="0038274F"/>
    <w:rsid w:val="00382772"/>
    <w:rsid w:val="0038282E"/>
    <w:rsid w:val="00382840"/>
    <w:rsid w:val="00382950"/>
    <w:rsid w:val="0038296C"/>
    <w:rsid w:val="00382A41"/>
    <w:rsid w:val="00382B0C"/>
    <w:rsid w:val="00382C47"/>
    <w:rsid w:val="00382C4A"/>
    <w:rsid w:val="00382CC1"/>
    <w:rsid w:val="00382D06"/>
    <w:rsid w:val="00382FE3"/>
    <w:rsid w:val="00383006"/>
    <w:rsid w:val="0038302F"/>
    <w:rsid w:val="00383033"/>
    <w:rsid w:val="003831D6"/>
    <w:rsid w:val="003833F0"/>
    <w:rsid w:val="00383538"/>
    <w:rsid w:val="00383680"/>
    <w:rsid w:val="00383839"/>
    <w:rsid w:val="00383901"/>
    <w:rsid w:val="00383933"/>
    <w:rsid w:val="00383A1C"/>
    <w:rsid w:val="00383BD5"/>
    <w:rsid w:val="00383D27"/>
    <w:rsid w:val="00383E93"/>
    <w:rsid w:val="00383F49"/>
    <w:rsid w:val="00383FD7"/>
    <w:rsid w:val="00384015"/>
    <w:rsid w:val="00384069"/>
    <w:rsid w:val="00384220"/>
    <w:rsid w:val="003842A0"/>
    <w:rsid w:val="003844DF"/>
    <w:rsid w:val="00384549"/>
    <w:rsid w:val="00384819"/>
    <w:rsid w:val="00384843"/>
    <w:rsid w:val="00384852"/>
    <w:rsid w:val="00384A9F"/>
    <w:rsid w:val="00384C73"/>
    <w:rsid w:val="00384CD2"/>
    <w:rsid w:val="00384CD7"/>
    <w:rsid w:val="00384EC6"/>
    <w:rsid w:val="00384F0E"/>
    <w:rsid w:val="00384FEC"/>
    <w:rsid w:val="0038519B"/>
    <w:rsid w:val="003851FB"/>
    <w:rsid w:val="003852A7"/>
    <w:rsid w:val="00385325"/>
    <w:rsid w:val="00385352"/>
    <w:rsid w:val="003854D9"/>
    <w:rsid w:val="00385678"/>
    <w:rsid w:val="003856F4"/>
    <w:rsid w:val="00385974"/>
    <w:rsid w:val="00385BD8"/>
    <w:rsid w:val="00385C84"/>
    <w:rsid w:val="00385CCC"/>
    <w:rsid w:val="00385D23"/>
    <w:rsid w:val="00385F51"/>
    <w:rsid w:val="00386143"/>
    <w:rsid w:val="00386195"/>
    <w:rsid w:val="00386443"/>
    <w:rsid w:val="00386465"/>
    <w:rsid w:val="003864A0"/>
    <w:rsid w:val="003864E8"/>
    <w:rsid w:val="0038653F"/>
    <w:rsid w:val="00386661"/>
    <w:rsid w:val="00386711"/>
    <w:rsid w:val="0038688D"/>
    <w:rsid w:val="00386940"/>
    <w:rsid w:val="00386974"/>
    <w:rsid w:val="00386A77"/>
    <w:rsid w:val="00386AE1"/>
    <w:rsid w:val="00386B1F"/>
    <w:rsid w:val="00386B2A"/>
    <w:rsid w:val="00386B3F"/>
    <w:rsid w:val="00386BF0"/>
    <w:rsid w:val="00386CC7"/>
    <w:rsid w:val="00386D06"/>
    <w:rsid w:val="00386ED3"/>
    <w:rsid w:val="00386F8E"/>
    <w:rsid w:val="00386F97"/>
    <w:rsid w:val="003872CB"/>
    <w:rsid w:val="003873C4"/>
    <w:rsid w:val="00387518"/>
    <w:rsid w:val="003875B8"/>
    <w:rsid w:val="00387641"/>
    <w:rsid w:val="0038779D"/>
    <w:rsid w:val="00387803"/>
    <w:rsid w:val="00387CFA"/>
    <w:rsid w:val="00387D7A"/>
    <w:rsid w:val="00387E7C"/>
    <w:rsid w:val="00387ED9"/>
    <w:rsid w:val="00387EFE"/>
    <w:rsid w:val="00387FFE"/>
    <w:rsid w:val="00390021"/>
    <w:rsid w:val="00390023"/>
    <w:rsid w:val="0039008F"/>
    <w:rsid w:val="00390224"/>
    <w:rsid w:val="0039022D"/>
    <w:rsid w:val="003902E4"/>
    <w:rsid w:val="003904C2"/>
    <w:rsid w:val="003905C2"/>
    <w:rsid w:val="00390B83"/>
    <w:rsid w:val="00390C9F"/>
    <w:rsid w:val="00390CCB"/>
    <w:rsid w:val="00390DE9"/>
    <w:rsid w:val="00391093"/>
    <w:rsid w:val="003911F0"/>
    <w:rsid w:val="00391200"/>
    <w:rsid w:val="00391261"/>
    <w:rsid w:val="00391279"/>
    <w:rsid w:val="003912FE"/>
    <w:rsid w:val="00391350"/>
    <w:rsid w:val="00391369"/>
    <w:rsid w:val="003913FF"/>
    <w:rsid w:val="0039157A"/>
    <w:rsid w:val="003915FB"/>
    <w:rsid w:val="003916BD"/>
    <w:rsid w:val="00391947"/>
    <w:rsid w:val="00391B16"/>
    <w:rsid w:val="00391BD7"/>
    <w:rsid w:val="00392115"/>
    <w:rsid w:val="0039216C"/>
    <w:rsid w:val="0039224A"/>
    <w:rsid w:val="0039252C"/>
    <w:rsid w:val="0039257B"/>
    <w:rsid w:val="00392629"/>
    <w:rsid w:val="00392657"/>
    <w:rsid w:val="003928C5"/>
    <w:rsid w:val="003928DB"/>
    <w:rsid w:val="00392B0F"/>
    <w:rsid w:val="00392C03"/>
    <w:rsid w:val="00392C5B"/>
    <w:rsid w:val="00392D34"/>
    <w:rsid w:val="00392F5D"/>
    <w:rsid w:val="00392F6F"/>
    <w:rsid w:val="00392FDB"/>
    <w:rsid w:val="00393045"/>
    <w:rsid w:val="003931A5"/>
    <w:rsid w:val="003933CA"/>
    <w:rsid w:val="0039343E"/>
    <w:rsid w:val="003934DB"/>
    <w:rsid w:val="00393556"/>
    <w:rsid w:val="00393590"/>
    <w:rsid w:val="00393643"/>
    <w:rsid w:val="003937A3"/>
    <w:rsid w:val="003937EF"/>
    <w:rsid w:val="00393961"/>
    <w:rsid w:val="003939B6"/>
    <w:rsid w:val="00393AE7"/>
    <w:rsid w:val="00393B13"/>
    <w:rsid w:val="00393BDB"/>
    <w:rsid w:val="00393C19"/>
    <w:rsid w:val="00393D7E"/>
    <w:rsid w:val="00393FCF"/>
    <w:rsid w:val="00393FE9"/>
    <w:rsid w:val="00394056"/>
    <w:rsid w:val="003940B3"/>
    <w:rsid w:val="003940E3"/>
    <w:rsid w:val="003940FD"/>
    <w:rsid w:val="0039418B"/>
    <w:rsid w:val="0039420A"/>
    <w:rsid w:val="003942C2"/>
    <w:rsid w:val="003942F7"/>
    <w:rsid w:val="00394487"/>
    <w:rsid w:val="00394751"/>
    <w:rsid w:val="00394812"/>
    <w:rsid w:val="00394985"/>
    <w:rsid w:val="00394A5D"/>
    <w:rsid w:val="00394CD7"/>
    <w:rsid w:val="00394D4B"/>
    <w:rsid w:val="00394D6D"/>
    <w:rsid w:val="00394DE6"/>
    <w:rsid w:val="00394E73"/>
    <w:rsid w:val="00394F15"/>
    <w:rsid w:val="003950A1"/>
    <w:rsid w:val="003950B1"/>
    <w:rsid w:val="003950BC"/>
    <w:rsid w:val="003951FA"/>
    <w:rsid w:val="00395272"/>
    <w:rsid w:val="00395294"/>
    <w:rsid w:val="003952BC"/>
    <w:rsid w:val="003953BB"/>
    <w:rsid w:val="0039568C"/>
    <w:rsid w:val="003956DC"/>
    <w:rsid w:val="00395843"/>
    <w:rsid w:val="0039590B"/>
    <w:rsid w:val="00395B5D"/>
    <w:rsid w:val="00395BE5"/>
    <w:rsid w:val="00395C9C"/>
    <w:rsid w:val="00395D96"/>
    <w:rsid w:val="00395E31"/>
    <w:rsid w:val="00395E7D"/>
    <w:rsid w:val="00395EC3"/>
    <w:rsid w:val="00395F94"/>
    <w:rsid w:val="0039641A"/>
    <w:rsid w:val="00396544"/>
    <w:rsid w:val="00396550"/>
    <w:rsid w:val="00396570"/>
    <w:rsid w:val="00396573"/>
    <w:rsid w:val="00396609"/>
    <w:rsid w:val="003968BE"/>
    <w:rsid w:val="0039690E"/>
    <w:rsid w:val="00396CBA"/>
    <w:rsid w:val="00396E53"/>
    <w:rsid w:val="00396E9D"/>
    <w:rsid w:val="00396EAF"/>
    <w:rsid w:val="00396F50"/>
    <w:rsid w:val="0039705D"/>
    <w:rsid w:val="0039706F"/>
    <w:rsid w:val="00397105"/>
    <w:rsid w:val="0039712B"/>
    <w:rsid w:val="003971A3"/>
    <w:rsid w:val="0039726C"/>
    <w:rsid w:val="003972DE"/>
    <w:rsid w:val="00397465"/>
    <w:rsid w:val="00397517"/>
    <w:rsid w:val="00397557"/>
    <w:rsid w:val="003975BA"/>
    <w:rsid w:val="003975E9"/>
    <w:rsid w:val="00397647"/>
    <w:rsid w:val="0039781D"/>
    <w:rsid w:val="00397845"/>
    <w:rsid w:val="0039791A"/>
    <w:rsid w:val="00397A33"/>
    <w:rsid w:val="00397AC4"/>
    <w:rsid w:val="00397B55"/>
    <w:rsid w:val="00397C0A"/>
    <w:rsid w:val="00397C7E"/>
    <w:rsid w:val="00397CB6"/>
    <w:rsid w:val="00397E0E"/>
    <w:rsid w:val="00397E4F"/>
    <w:rsid w:val="003A0224"/>
    <w:rsid w:val="003A0361"/>
    <w:rsid w:val="003A038C"/>
    <w:rsid w:val="003A03FE"/>
    <w:rsid w:val="003A0552"/>
    <w:rsid w:val="003A0930"/>
    <w:rsid w:val="003A0934"/>
    <w:rsid w:val="003A0937"/>
    <w:rsid w:val="003A09DD"/>
    <w:rsid w:val="003A0B0A"/>
    <w:rsid w:val="003A0C57"/>
    <w:rsid w:val="003A0C5A"/>
    <w:rsid w:val="003A0F35"/>
    <w:rsid w:val="003A0F93"/>
    <w:rsid w:val="003A1135"/>
    <w:rsid w:val="003A1232"/>
    <w:rsid w:val="003A128F"/>
    <w:rsid w:val="003A132F"/>
    <w:rsid w:val="003A134B"/>
    <w:rsid w:val="003A13E3"/>
    <w:rsid w:val="003A14AF"/>
    <w:rsid w:val="003A160E"/>
    <w:rsid w:val="003A1810"/>
    <w:rsid w:val="003A1892"/>
    <w:rsid w:val="003A1F95"/>
    <w:rsid w:val="003A1FC0"/>
    <w:rsid w:val="003A21C4"/>
    <w:rsid w:val="003A21FB"/>
    <w:rsid w:val="003A2245"/>
    <w:rsid w:val="003A2259"/>
    <w:rsid w:val="003A229D"/>
    <w:rsid w:val="003A22EC"/>
    <w:rsid w:val="003A22FC"/>
    <w:rsid w:val="003A2339"/>
    <w:rsid w:val="003A2358"/>
    <w:rsid w:val="003A243A"/>
    <w:rsid w:val="003A2506"/>
    <w:rsid w:val="003A25BE"/>
    <w:rsid w:val="003A262E"/>
    <w:rsid w:val="003A267F"/>
    <w:rsid w:val="003A26F6"/>
    <w:rsid w:val="003A2717"/>
    <w:rsid w:val="003A276C"/>
    <w:rsid w:val="003A27E9"/>
    <w:rsid w:val="003A2822"/>
    <w:rsid w:val="003A2A37"/>
    <w:rsid w:val="003A2B21"/>
    <w:rsid w:val="003A2CA9"/>
    <w:rsid w:val="003A2D74"/>
    <w:rsid w:val="003A2EC4"/>
    <w:rsid w:val="003A2F76"/>
    <w:rsid w:val="003A2F8B"/>
    <w:rsid w:val="003A2FB6"/>
    <w:rsid w:val="003A315F"/>
    <w:rsid w:val="003A31FD"/>
    <w:rsid w:val="003A33B0"/>
    <w:rsid w:val="003A35BB"/>
    <w:rsid w:val="003A3614"/>
    <w:rsid w:val="003A3617"/>
    <w:rsid w:val="003A37C9"/>
    <w:rsid w:val="003A37DA"/>
    <w:rsid w:val="003A3971"/>
    <w:rsid w:val="003A3976"/>
    <w:rsid w:val="003A3982"/>
    <w:rsid w:val="003A39B1"/>
    <w:rsid w:val="003A3AE1"/>
    <w:rsid w:val="003A3B95"/>
    <w:rsid w:val="003A3BC2"/>
    <w:rsid w:val="003A3D18"/>
    <w:rsid w:val="003A3D1F"/>
    <w:rsid w:val="003A3D27"/>
    <w:rsid w:val="003A3D35"/>
    <w:rsid w:val="003A3E0C"/>
    <w:rsid w:val="003A3E77"/>
    <w:rsid w:val="003A3E8D"/>
    <w:rsid w:val="003A3F1B"/>
    <w:rsid w:val="003A4069"/>
    <w:rsid w:val="003A4173"/>
    <w:rsid w:val="003A41D3"/>
    <w:rsid w:val="003A43FD"/>
    <w:rsid w:val="003A4547"/>
    <w:rsid w:val="003A4596"/>
    <w:rsid w:val="003A4701"/>
    <w:rsid w:val="003A47E1"/>
    <w:rsid w:val="003A488C"/>
    <w:rsid w:val="003A48BC"/>
    <w:rsid w:val="003A48DD"/>
    <w:rsid w:val="003A4BF1"/>
    <w:rsid w:val="003A4BFF"/>
    <w:rsid w:val="003A4D7B"/>
    <w:rsid w:val="003A4F86"/>
    <w:rsid w:val="003A4FE6"/>
    <w:rsid w:val="003A4FFA"/>
    <w:rsid w:val="003A5200"/>
    <w:rsid w:val="003A52EA"/>
    <w:rsid w:val="003A5414"/>
    <w:rsid w:val="003A5646"/>
    <w:rsid w:val="003A5775"/>
    <w:rsid w:val="003A58C1"/>
    <w:rsid w:val="003A58F1"/>
    <w:rsid w:val="003A5A65"/>
    <w:rsid w:val="003A5BB4"/>
    <w:rsid w:val="003A5C6F"/>
    <w:rsid w:val="003A5D40"/>
    <w:rsid w:val="003A5DBA"/>
    <w:rsid w:val="003A5FED"/>
    <w:rsid w:val="003A60A2"/>
    <w:rsid w:val="003A611A"/>
    <w:rsid w:val="003A6217"/>
    <w:rsid w:val="003A626A"/>
    <w:rsid w:val="003A635F"/>
    <w:rsid w:val="003A640D"/>
    <w:rsid w:val="003A6439"/>
    <w:rsid w:val="003A65D7"/>
    <w:rsid w:val="003A6B77"/>
    <w:rsid w:val="003A6D13"/>
    <w:rsid w:val="003A6D46"/>
    <w:rsid w:val="003A6DDB"/>
    <w:rsid w:val="003A6FB9"/>
    <w:rsid w:val="003A7055"/>
    <w:rsid w:val="003A70C2"/>
    <w:rsid w:val="003A7370"/>
    <w:rsid w:val="003A7508"/>
    <w:rsid w:val="003A7595"/>
    <w:rsid w:val="003A75EA"/>
    <w:rsid w:val="003A760F"/>
    <w:rsid w:val="003A7616"/>
    <w:rsid w:val="003A7803"/>
    <w:rsid w:val="003A7882"/>
    <w:rsid w:val="003A7974"/>
    <w:rsid w:val="003A7A98"/>
    <w:rsid w:val="003A7B00"/>
    <w:rsid w:val="003A7B2C"/>
    <w:rsid w:val="003A7B6C"/>
    <w:rsid w:val="003A7B82"/>
    <w:rsid w:val="003A7BD4"/>
    <w:rsid w:val="003A7C86"/>
    <w:rsid w:val="003A7D17"/>
    <w:rsid w:val="003A7D3A"/>
    <w:rsid w:val="003A7D85"/>
    <w:rsid w:val="003A7DFF"/>
    <w:rsid w:val="003A967F"/>
    <w:rsid w:val="003B0009"/>
    <w:rsid w:val="003B009E"/>
    <w:rsid w:val="003B0179"/>
    <w:rsid w:val="003B0183"/>
    <w:rsid w:val="003B043C"/>
    <w:rsid w:val="003B0557"/>
    <w:rsid w:val="003B0659"/>
    <w:rsid w:val="003B0874"/>
    <w:rsid w:val="003B0A31"/>
    <w:rsid w:val="003B0AA3"/>
    <w:rsid w:val="003B0BA0"/>
    <w:rsid w:val="003B0D81"/>
    <w:rsid w:val="003B0EFA"/>
    <w:rsid w:val="003B0F03"/>
    <w:rsid w:val="003B139C"/>
    <w:rsid w:val="003B1629"/>
    <w:rsid w:val="003B17B5"/>
    <w:rsid w:val="003B1957"/>
    <w:rsid w:val="003B19D1"/>
    <w:rsid w:val="003B1A64"/>
    <w:rsid w:val="003B1E94"/>
    <w:rsid w:val="003B1F11"/>
    <w:rsid w:val="003B1F64"/>
    <w:rsid w:val="003B2002"/>
    <w:rsid w:val="003B209E"/>
    <w:rsid w:val="003B20C0"/>
    <w:rsid w:val="003B20C5"/>
    <w:rsid w:val="003B2199"/>
    <w:rsid w:val="003B2240"/>
    <w:rsid w:val="003B2387"/>
    <w:rsid w:val="003B2650"/>
    <w:rsid w:val="003B2715"/>
    <w:rsid w:val="003B2ADA"/>
    <w:rsid w:val="003B2B4D"/>
    <w:rsid w:val="003B2BCE"/>
    <w:rsid w:val="003B2BE6"/>
    <w:rsid w:val="003B2C66"/>
    <w:rsid w:val="003B2CF9"/>
    <w:rsid w:val="003B2D23"/>
    <w:rsid w:val="003B2D79"/>
    <w:rsid w:val="003B2D9A"/>
    <w:rsid w:val="003B3001"/>
    <w:rsid w:val="003B3055"/>
    <w:rsid w:val="003B3080"/>
    <w:rsid w:val="003B30C8"/>
    <w:rsid w:val="003B3229"/>
    <w:rsid w:val="003B334B"/>
    <w:rsid w:val="003B35F4"/>
    <w:rsid w:val="003B360A"/>
    <w:rsid w:val="003B3675"/>
    <w:rsid w:val="003B36A1"/>
    <w:rsid w:val="003B374A"/>
    <w:rsid w:val="003B3A5A"/>
    <w:rsid w:val="003B3B0B"/>
    <w:rsid w:val="003B3B27"/>
    <w:rsid w:val="003B3C99"/>
    <w:rsid w:val="003B3CCA"/>
    <w:rsid w:val="003B3CD6"/>
    <w:rsid w:val="003B3CFD"/>
    <w:rsid w:val="003B3DE0"/>
    <w:rsid w:val="003B3F6B"/>
    <w:rsid w:val="003B423C"/>
    <w:rsid w:val="003B4364"/>
    <w:rsid w:val="003B4383"/>
    <w:rsid w:val="003B4391"/>
    <w:rsid w:val="003B4587"/>
    <w:rsid w:val="003B4945"/>
    <w:rsid w:val="003B49B7"/>
    <w:rsid w:val="003B49F8"/>
    <w:rsid w:val="003B4D85"/>
    <w:rsid w:val="003B4E9A"/>
    <w:rsid w:val="003B4F2C"/>
    <w:rsid w:val="003B4F78"/>
    <w:rsid w:val="003B50E6"/>
    <w:rsid w:val="003B51A4"/>
    <w:rsid w:val="003B5324"/>
    <w:rsid w:val="003B53C6"/>
    <w:rsid w:val="003B5830"/>
    <w:rsid w:val="003B59C6"/>
    <w:rsid w:val="003B5D1D"/>
    <w:rsid w:val="003B5F5F"/>
    <w:rsid w:val="003B5FC6"/>
    <w:rsid w:val="003B6111"/>
    <w:rsid w:val="003B6117"/>
    <w:rsid w:val="003B612F"/>
    <w:rsid w:val="003B6202"/>
    <w:rsid w:val="003B624A"/>
    <w:rsid w:val="003B62DF"/>
    <w:rsid w:val="003B62FB"/>
    <w:rsid w:val="003B639A"/>
    <w:rsid w:val="003B645B"/>
    <w:rsid w:val="003B6692"/>
    <w:rsid w:val="003B66EF"/>
    <w:rsid w:val="003B670B"/>
    <w:rsid w:val="003B6787"/>
    <w:rsid w:val="003B67D6"/>
    <w:rsid w:val="003B67E6"/>
    <w:rsid w:val="003B69C6"/>
    <w:rsid w:val="003B6A63"/>
    <w:rsid w:val="003B6B54"/>
    <w:rsid w:val="003B6C4C"/>
    <w:rsid w:val="003B6D95"/>
    <w:rsid w:val="003B6EA0"/>
    <w:rsid w:val="003B6EF0"/>
    <w:rsid w:val="003B6F6B"/>
    <w:rsid w:val="003B71EF"/>
    <w:rsid w:val="003B7291"/>
    <w:rsid w:val="003B72B2"/>
    <w:rsid w:val="003B7315"/>
    <w:rsid w:val="003B7486"/>
    <w:rsid w:val="003B763F"/>
    <w:rsid w:val="003B77CC"/>
    <w:rsid w:val="003B7804"/>
    <w:rsid w:val="003B79F6"/>
    <w:rsid w:val="003B7A0E"/>
    <w:rsid w:val="003B7A99"/>
    <w:rsid w:val="003B7B21"/>
    <w:rsid w:val="003B7B7D"/>
    <w:rsid w:val="003B7DBA"/>
    <w:rsid w:val="003B7F45"/>
    <w:rsid w:val="003C000D"/>
    <w:rsid w:val="003C03FD"/>
    <w:rsid w:val="003C0419"/>
    <w:rsid w:val="003C0448"/>
    <w:rsid w:val="003C0455"/>
    <w:rsid w:val="003C04D8"/>
    <w:rsid w:val="003C0697"/>
    <w:rsid w:val="003C076F"/>
    <w:rsid w:val="003C0951"/>
    <w:rsid w:val="003C09D3"/>
    <w:rsid w:val="003C09FE"/>
    <w:rsid w:val="003C0A85"/>
    <w:rsid w:val="003C0A86"/>
    <w:rsid w:val="003C0AAF"/>
    <w:rsid w:val="003C0EAD"/>
    <w:rsid w:val="003C0F1F"/>
    <w:rsid w:val="003C11ED"/>
    <w:rsid w:val="003C1209"/>
    <w:rsid w:val="003C129F"/>
    <w:rsid w:val="003C1356"/>
    <w:rsid w:val="003C13E5"/>
    <w:rsid w:val="003C140A"/>
    <w:rsid w:val="003C1482"/>
    <w:rsid w:val="003C15ED"/>
    <w:rsid w:val="003C179E"/>
    <w:rsid w:val="003C1842"/>
    <w:rsid w:val="003C19A8"/>
    <w:rsid w:val="003C1A12"/>
    <w:rsid w:val="003C1ADE"/>
    <w:rsid w:val="003C1FBA"/>
    <w:rsid w:val="003C212D"/>
    <w:rsid w:val="003C227B"/>
    <w:rsid w:val="003C22D1"/>
    <w:rsid w:val="003C22DC"/>
    <w:rsid w:val="003C239F"/>
    <w:rsid w:val="003C24D6"/>
    <w:rsid w:val="003C25C3"/>
    <w:rsid w:val="003C265A"/>
    <w:rsid w:val="003C267D"/>
    <w:rsid w:val="003C2680"/>
    <w:rsid w:val="003C2688"/>
    <w:rsid w:val="003C26B1"/>
    <w:rsid w:val="003C272A"/>
    <w:rsid w:val="003C2768"/>
    <w:rsid w:val="003C2782"/>
    <w:rsid w:val="003C2885"/>
    <w:rsid w:val="003C2963"/>
    <w:rsid w:val="003C2B06"/>
    <w:rsid w:val="003C2BC3"/>
    <w:rsid w:val="003C2BCD"/>
    <w:rsid w:val="003C2C7C"/>
    <w:rsid w:val="003C2CF4"/>
    <w:rsid w:val="003C2E30"/>
    <w:rsid w:val="003C2E97"/>
    <w:rsid w:val="003C3380"/>
    <w:rsid w:val="003C33A5"/>
    <w:rsid w:val="003C33B6"/>
    <w:rsid w:val="003C3588"/>
    <w:rsid w:val="003C3708"/>
    <w:rsid w:val="003C3737"/>
    <w:rsid w:val="003C3789"/>
    <w:rsid w:val="003C37DE"/>
    <w:rsid w:val="003C37E5"/>
    <w:rsid w:val="003C37F7"/>
    <w:rsid w:val="003C3924"/>
    <w:rsid w:val="003C3D7F"/>
    <w:rsid w:val="003C3D9D"/>
    <w:rsid w:val="003C3E19"/>
    <w:rsid w:val="003C3E2B"/>
    <w:rsid w:val="003C3ECE"/>
    <w:rsid w:val="003C3FC9"/>
    <w:rsid w:val="003C4032"/>
    <w:rsid w:val="003C40AF"/>
    <w:rsid w:val="003C40F1"/>
    <w:rsid w:val="003C41A7"/>
    <w:rsid w:val="003C420B"/>
    <w:rsid w:val="003C4362"/>
    <w:rsid w:val="003C44D4"/>
    <w:rsid w:val="003C470F"/>
    <w:rsid w:val="003C47E6"/>
    <w:rsid w:val="003C47EF"/>
    <w:rsid w:val="003C48F4"/>
    <w:rsid w:val="003C49FE"/>
    <w:rsid w:val="003C4A59"/>
    <w:rsid w:val="003C4BE2"/>
    <w:rsid w:val="003C4E4A"/>
    <w:rsid w:val="003C4E89"/>
    <w:rsid w:val="003C4F41"/>
    <w:rsid w:val="003C5029"/>
    <w:rsid w:val="003C50BA"/>
    <w:rsid w:val="003C50FF"/>
    <w:rsid w:val="003C518A"/>
    <w:rsid w:val="003C51D1"/>
    <w:rsid w:val="003C5473"/>
    <w:rsid w:val="003C5475"/>
    <w:rsid w:val="003C54B1"/>
    <w:rsid w:val="003C54B5"/>
    <w:rsid w:val="003C5535"/>
    <w:rsid w:val="003C5619"/>
    <w:rsid w:val="003C5627"/>
    <w:rsid w:val="003C57F4"/>
    <w:rsid w:val="003C5819"/>
    <w:rsid w:val="003C599F"/>
    <w:rsid w:val="003C5A31"/>
    <w:rsid w:val="003C5A58"/>
    <w:rsid w:val="003C5CB8"/>
    <w:rsid w:val="003C5DC3"/>
    <w:rsid w:val="003C5ED2"/>
    <w:rsid w:val="003C5F0E"/>
    <w:rsid w:val="003C5F5C"/>
    <w:rsid w:val="003C5F9F"/>
    <w:rsid w:val="003C6001"/>
    <w:rsid w:val="003C609E"/>
    <w:rsid w:val="003C609F"/>
    <w:rsid w:val="003C60C2"/>
    <w:rsid w:val="003C6117"/>
    <w:rsid w:val="003C61E7"/>
    <w:rsid w:val="003C64E1"/>
    <w:rsid w:val="003C659F"/>
    <w:rsid w:val="003C65D8"/>
    <w:rsid w:val="003C67E5"/>
    <w:rsid w:val="003C6831"/>
    <w:rsid w:val="003C6960"/>
    <w:rsid w:val="003C6A9D"/>
    <w:rsid w:val="003C6B02"/>
    <w:rsid w:val="003C6C6E"/>
    <w:rsid w:val="003C6F56"/>
    <w:rsid w:val="003C722D"/>
    <w:rsid w:val="003C73A9"/>
    <w:rsid w:val="003C73B3"/>
    <w:rsid w:val="003C7428"/>
    <w:rsid w:val="003C7497"/>
    <w:rsid w:val="003C7543"/>
    <w:rsid w:val="003C758E"/>
    <w:rsid w:val="003C76FC"/>
    <w:rsid w:val="003C76FE"/>
    <w:rsid w:val="003C782C"/>
    <w:rsid w:val="003C783E"/>
    <w:rsid w:val="003C7881"/>
    <w:rsid w:val="003C78C5"/>
    <w:rsid w:val="003C7935"/>
    <w:rsid w:val="003C7940"/>
    <w:rsid w:val="003C7A1A"/>
    <w:rsid w:val="003C7A9B"/>
    <w:rsid w:val="003C7BC5"/>
    <w:rsid w:val="003C7DA7"/>
    <w:rsid w:val="003C7F0B"/>
    <w:rsid w:val="003D00CB"/>
    <w:rsid w:val="003D019D"/>
    <w:rsid w:val="003D02EA"/>
    <w:rsid w:val="003D0339"/>
    <w:rsid w:val="003D0344"/>
    <w:rsid w:val="003D0453"/>
    <w:rsid w:val="003D04A4"/>
    <w:rsid w:val="003D04D7"/>
    <w:rsid w:val="003D04ED"/>
    <w:rsid w:val="003D05FD"/>
    <w:rsid w:val="003D0680"/>
    <w:rsid w:val="003D081F"/>
    <w:rsid w:val="003D0901"/>
    <w:rsid w:val="003D092A"/>
    <w:rsid w:val="003D0B21"/>
    <w:rsid w:val="003D0B3D"/>
    <w:rsid w:val="003D0D48"/>
    <w:rsid w:val="003D0EF1"/>
    <w:rsid w:val="003D124D"/>
    <w:rsid w:val="003D12C3"/>
    <w:rsid w:val="003D1409"/>
    <w:rsid w:val="003D15AA"/>
    <w:rsid w:val="003D16A4"/>
    <w:rsid w:val="003D1762"/>
    <w:rsid w:val="003D176C"/>
    <w:rsid w:val="003D1969"/>
    <w:rsid w:val="003D19D1"/>
    <w:rsid w:val="003D1A11"/>
    <w:rsid w:val="003D1BD2"/>
    <w:rsid w:val="003D1BF9"/>
    <w:rsid w:val="003D1D15"/>
    <w:rsid w:val="003D1F60"/>
    <w:rsid w:val="003D1F79"/>
    <w:rsid w:val="003D1F8D"/>
    <w:rsid w:val="003D2060"/>
    <w:rsid w:val="003D2147"/>
    <w:rsid w:val="003D2264"/>
    <w:rsid w:val="003D22F6"/>
    <w:rsid w:val="003D233D"/>
    <w:rsid w:val="003D2591"/>
    <w:rsid w:val="003D2597"/>
    <w:rsid w:val="003D25CB"/>
    <w:rsid w:val="003D2694"/>
    <w:rsid w:val="003D2703"/>
    <w:rsid w:val="003D294A"/>
    <w:rsid w:val="003D2A82"/>
    <w:rsid w:val="003D2B1F"/>
    <w:rsid w:val="003D305D"/>
    <w:rsid w:val="003D3064"/>
    <w:rsid w:val="003D3078"/>
    <w:rsid w:val="003D3128"/>
    <w:rsid w:val="003D322D"/>
    <w:rsid w:val="003D3305"/>
    <w:rsid w:val="003D336A"/>
    <w:rsid w:val="003D340C"/>
    <w:rsid w:val="003D3527"/>
    <w:rsid w:val="003D35B3"/>
    <w:rsid w:val="003D3638"/>
    <w:rsid w:val="003D37A5"/>
    <w:rsid w:val="003D3803"/>
    <w:rsid w:val="003D391B"/>
    <w:rsid w:val="003D3966"/>
    <w:rsid w:val="003D399B"/>
    <w:rsid w:val="003D39B6"/>
    <w:rsid w:val="003D3A14"/>
    <w:rsid w:val="003D3AC1"/>
    <w:rsid w:val="003D3DDE"/>
    <w:rsid w:val="003D3E03"/>
    <w:rsid w:val="003D3EA4"/>
    <w:rsid w:val="003D3ECF"/>
    <w:rsid w:val="003D40B2"/>
    <w:rsid w:val="003D40E4"/>
    <w:rsid w:val="003D42AC"/>
    <w:rsid w:val="003D4305"/>
    <w:rsid w:val="003D4307"/>
    <w:rsid w:val="003D44EB"/>
    <w:rsid w:val="003D46AE"/>
    <w:rsid w:val="003D4855"/>
    <w:rsid w:val="003D4939"/>
    <w:rsid w:val="003D49C5"/>
    <w:rsid w:val="003D4AA3"/>
    <w:rsid w:val="003D4B81"/>
    <w:rsid w:val="003D4B90"/>
    <w:rsid w:val="003D4DDF"/>
    <w:rsid w:val="003D5092"/>
    <w:rsid w:val="003D50FB"/>
    <w:rsid w:val="003D5228"/>
    <w:rsid w:val="003D5285"/>
    <w:rsid w:val="003D52A6"/>
    <w:rsid w:val="003D5546"/>
    <w:rsid w:val="003D5614"/>
    <w:rsid w:val="003D57E5"/>
    <w:rsid w:val="003D5879"/>
    <w:rsid w:val="003D58C8"/>
    <w:rsid w:val="003D58F8"/>
    <w:rsid w:val="003D5997"/>
    <w:rsid w:val="003D5DF4"/>
    <w:rsid w:val="003D5FD6"/>
    <w:rsid w:val="003D6294"/>
    <w:rsid w:val="003D64B8"/>
    <w:rsid w:val="003D6736"/>
    <w:rsid w:val="003D6855"/>
    <w:rsid w:val="003D685C"/>
    <w:rsid w:val="003D6894"/>
    <w:rsid w:val="003D6AD4"/>
    <w:rsid w:val="003D6CCB"/>
    <w:rsid w:val="003D6D52"/>
    <w:rsid w:val="003D6D7C"/>
    <w:rsid w:val="003D6E22"/>
    <w:rsid w:val="003D6E2C"/>
    <w:rsid w:val="003D6FB6"/>
    <w:rsid w:val="003D7016"/>
    <w:rsid w:val="003D7044"/>
    <w:rsid w:val="003D70C6"/>
    <w:rsid w:val="003D73BF"/>
    <w:rsid w:val="003D740B"/>
    <w:rsid w:val="003D750A"/>
    <w:rsid w:val="003D758B"/>
    <w:rsid w:val="003D75B7"/>
    <w:rsid w:val="003D7650"/>
    <w:rsid w:val="003D777D"/>
    <w:rsid w:val="003D77A9"/>
    <w:rsid w:val="003D7838"/>
    <w:rsid w:val="003D78A8"/>
    <w:rsid w:val="003D7956"/>
    <w:rsid w:val="003D7A3A"/>
    <w:rsid w:val="003D7B22"/>
    <w:rsid w:val="003D7BD3"/>
    <w:rsid w:val="003D7C8B"/>
    <w:rsid w:val="003D7CC8"/>
    <w:rsid w:val="003D7D10"/>
    <w:rsid w:val="003D7D7F"/>
    <w:rsid w:val="003D7F10"/>
    <w:rsid w:val="003DA852"/>
    <w:rsid w:val="003E003D"/>
    <w:rsid w:val="003E0067"/>
    <w:rsid w:val="003E009F"/>
    <w:rsid w:val="003E017C"/>
    <w:rsid w:val="003E0213"/>
    <w:rsid w:val="003E0236"/>
    <w:rsid w:val="003E0251"/>
    <w:rsid w:val="003E02AB"/>
    <w:rsid w:val="003E05F7"/>
    <w:rsid w:val="003E087F"/>
    <w:rsid w:val="003E0892"/>
    <w:rsid w:val="003E0951"/>
    <w:rsid w:val="003E0AB9"/>
    <w:rsid w:val="003E0B2A"/>
    <w:rsid w:val="003E0B46"/>
    <w:rsid w:val="003E0E78"/>
    <w:rsid w:val="003E0F05"/>
    <w:rsid w:val="003E0F17"/>
    <w:rsid w:val="003E0F32"/>
    <w:rsid w:val="003E0FB3"/>
    <w:rsid w:val="003E10FE"/>
    <w:rsid w:val="003E1115"/>
    <w:rsid w:val="003E1139"/>
    <w:rsid w:val="003E1251"/>
    <w:rsid w:val="003E1256"/>
    <w:rsid w:val="003E1381"/>
    <w:rsid w:val="003E1521"/>
    <w:rsid w:val="003E1672"/>
    <w:rsid w:val="003E1681"/>
    <w:rsid w:val="003E182F"/>
    <w:rsid w:val="003E187D"/>
    <w:rsid w:val="003E189D"/>
    <w:rsid w:val="003E1A62"/>
    <w:rsid w:val="003E1DC4"/>
    <w:rsid w:val="003E1F02"/>
    <w:rsid w:val="003E1FD0"/>
    <w:rsid w:val="003E1FD9"/>
    <w:rsid w:val="003E2036"/>
    <w:rsid w:val="003E207A"/>
    <w:rsid w:val="003E207D"/>
    <w:rsid w:val="003E218D"/>
    <w:rsid w:val="003E25A4"/>
    <w:rsid w:val="003E2703"/>
    <w:rsid w:val="003E274A"/>
    <w:rsid w:val="003E27CC"/>
    <w:rsid w:val="003E28E8"/>
    <w:rsid w:val="003E28EC"/>
    <w:rsid w:val="003E2908"/>
    <w:rsid w:val="003E2AEE"/>
    <w:rsid w:val="003E2BFB"/>
    <w:rsid w:val="003E2C38"/>
    <w:rsid w:val="003E2C73"/>
    <w:rsid w:val="003E2F24"/>
    <w:rsid w:val="003E2F97"/>
    <w:rsid w:val="003E30C3"/>
    <w:rsid w:val="003E32F4"/>
    <w:rsid w:val="003E3306"/>
    <w:rsid w:val="003E3391"/>
    <w:rsid w:val="003E33C8"/>
    <w:rsid w:val="003E3646"/>
    <w:rsid w:val="003E364D"/>
    <w:rsid w:val="003E383F"/>
    <w:rsid w:val="003E3954"/>
    <w:rsid w:val="003E3B5E"/>
    <w:rsid w:val="003E3C23"/>
    <w:rsid w:val="003E3F39"/>
    <w:rsid w:val="003E3F75"/>
    <w:rsid w:val="003E3F76"/>
    <w:rsid w:val="003E3FD9"/>
    <w:rsid w:val="003E41AD"/>
    <w:rsid w:val="003E41E3"/>
    <w:rsid w:val="003E421E"/>
    <w:rsid w:val="003E4236"/>
    <w:rsid w:val="003E4319"/>
    <w:rsid w:val="003E4357"/>
    <w:rsid w:val="003E44A2"/>
    <w:rsid w:val="003E4576"/>
    <w:rsid w:val="003E46A2"/>
    <w:rsid w:val="003E4766"/>
    <w:rsid w:val="003E4781"/>
    <w:rsid w:val="003E47BE"/>
    <w:rsid w:val="003E4907"/>
    <w:rsid w:val="003E4910"/>
    <w:rsid w:val="003E4921"/>
    <w:rsid w:val="003E49EF"/>
    <w:rsid w:val="003E4D71"/>
    <w:rsid w:val="003E4E74"/>
    <w:rsid w:val="003E4ECC"/>
    <w:rsid w:val="003E4FBF"/>
    <w:rsid w:val="003E510F"/>
    <w:rsid w:val="003E512C"/>
    <w:rsid w:val="003E51A5"/>
    <w:rsid w:val="003E52AA"/>
    <w:rsid w:val="003E52BB"/>
    <w:rsid w:val="003E52F0"/>
    <w:rsid w:val="003E5303"/>
    <w:rsid w:val="003E5311"/>
    <w:rsid w:val="003E548F"/>
    <w:rsid w:val="003E54FF"/>
    <w:rsid w:val="003E55CA"/>
    <w:rsid w:val="003E55E5"/>
    <w:rsid w:val="003E560A"/>
    <w:rsid w:val="003E5665"/>
    <w:rsid w:val="003E5806"/>
    <w:rsid w:val="003E58B6"/>
    <w:rsid w:val="003E592A"/>
    <w:rsid w:val="003E5A71"/>
    <w:rsid w:val="003E5B3B"/>
    <w:rsid w:val="003E5B60"/>
    <w:rsid w:val="003E5C84"/>
    <w:rsid w:val="003E5D90"/>
    <w:rsid w:val="003E5E06"/>
    <w:rsid w:val="003E5EA3"/>
    <w:rsid w:val="003E5F79"/>
    <w:rsid w:val="003E601F"/>
    <w:rsid w:val="003E6193"/>
    <w:rsid w:val="003E626C"/>
    <w:rsid w:val="003E62D9"/>
    <w:rsid w:val="003E664E"/>
    <w:rsid w:val="003E665C"/>
    <w:rsid w:val="003E665E"/>
    <w:rsid w:val="003E680A"/>
    <w:rsid w:val="003E68C4"/>
    <w:rsid w:val="003E6A07"/>
    <w:rsid w:val="003E6B26"/>
    <w:rsid w:val="003E6F54"/>
    <w:rsid w:val="003E7062"/>
    <w:rsid w:val="003E7302"/>
    <w:rsid w:val="003E731C"/>
    <w:rsid w:val="003E734D"/>
    <w:rsid w:val="003E73A1"/>
    <w:rsid w:val="003E76C5"/>
    <w:rsid w:val="003E7873"/>
    <w:rsid w:val="003E790D"/>
    <w:rsid w:val="003E7974"/>
    <w:rsid w:val="003E7983"/>
    <w:rsid w:val="003E7A91"/>
    <w:rsid w:val="003E7AB9"/>
    <w:rsid w:val="003E7B1D"/>
    <w:rsid w:val="003E7D7D"/>
    <w:rsid w:val="003E7DB4"/>
    <w:rsid w:val="003F0147"/>
    <w:rsid w:val="003F0178"/>
    <w:rsid w:val="003F0184"/>
    <w:rsid w:val="003F01C7"/>
    <w:rsid w:val="003F0201"/>
    <w:rsid w:val="003F023B"/>
    <w:rsid w:val="003F0481"/>
    <w:rsid w:val="003F0582"/>
    <w:rsid w:val="003F0618"/>
    <w:rsid w:val="003F0650"/>
    <w:rsid w:val="003F080C"/>
    <w:rsid w:val="003F087A"/>
    <w:rsid w:val="003F09EE"/>
    <w:rsid w:val="003F0A10"/>
    <w:rsid w:val="003F0B1E"/>
    <w:rsid w:val="003F0CA1"/>
    <w:rsid w:val="003F0CE5"/>
    <w:rsid w:val="003F0D05"/>
    <w:rsid w:val="003F0E20"/>
    <w:rsid w:val="003F0E67"/>
    <w:rsid w:val="003F0FDB"/>
    <w:rsid w:val="003F11D8"/>
    <w:rsid w:val="003F131E"/>
    <w:rsid w:val="003F15A1"/>
    <w:rsid w:val="003F15BF"/>
    <w:rsid w:val="003F1707"/>
    <w:rsid w:val="003F17DD"/>
    <w:rsid w:val="003F1954"/>
    <w:rsid w:val="003F19B1"/>
    <w:rsid w:val="003F19C6"/>
    <w:rsid w:val="003F1CE3"/>
    <w:rsid w:val="003F1EC5"/>
    <w:rsid w:val="003F1F56"/>
    <w:rsid w:val="003F1F70"/>
    <w:rsid w:val="003F1F8A"/>
    <w:rsid w:val="003F206A"/>
    <w:rsid w:val="003F2103"/>
    <w:rsid w:val="003F2179"/>
    <w:rsid w:val="003F232E"/>
    <w:rsid w:val="003F25B3"/>
    <w:rsid w:val="003F27F4"/>
    <w:rsid w:val="003F294A"/>
    <w:rsid w:val="003F2964"/>
    <w:rsid w:val="003F2AF8"/>
    <w:rsid w:val="003F2B44"/>
    <w:rsid w:val="003F2C51"/>
    <w:rsid w:val="003F2CCB"/>
    <w:rsid w:val="003F2D15"/>
    <w:rsid w:val="003F2D3B"/>
    <w:rsid w:val="003F2D77"/>
    <w:rsid w:val="003F2D89"/>
    <w:rsid w:val="003F2DD5"/>
    <w:rsid w:val="003F2E1B"/>
    <w:rsid w:val="003F2E58"/>
    <w:rsid w:val="003F31F4"/>
    <w:rsid w:val="003F324B"/>
    <w:rsid w:val="003F32AC"/>
    <w:rsid w:val="003F33A5"/>
    <w:rsid w:val="003F3481"/>
    <w:rsid w:val="003F3493"/>
    <w:rsid w:val="003F35F0"/>
    <w:rsid w:val="003F360A"/>
    <w:rsid w:val="003F3721"/>
    <w:rsid w:val="003F3741"/>
    <w:rsid w:val="003F37F0"/>
    <w:rsid w:val="003F3990"/>
    <w:rsid w:val="003F3B19"/>
    <w:rsid w:val="003F3D17"/>
    <w:rsid w:val="003F3EB9"/>
    <w:rsid w:val="003F3ED9"/>
    <w:rsid w:val="003F41FF"/>
    <w:rsid w:val="003F4553"/>
    <w:rsid w:val="003F45A3"/>
    <w:rsid w:val="003F4678"/>
    <w:rsid w:val="003F47E6"/>
    <w:rsid w:val="003F47E9"/>
    <w:rsid w:val="003F47F9"/>
    <w:rsid w:val="003F4B15"/>
    <w:rsid w:val="003F4B90"/>
    <w:rsid w:val="003F4DE6"/>
    <w:rsid w:val="003F4EA0"/>
    <w:rsid w:val="003F4F46"/>
    <w:rsid w:val="003F50CD"/>
    <w:rsid w:val="003F53AB"/>
    <w:rsid w:val="003F5480"/>
    <w:rsid w:val="003F5558"/>
    <w:rsid w:val="003F5614"/>
    <w:rsid w:val="003F57A9"/>
    <w:rsid w:val="003F57F7"/>
    <w:rsid w:val="003F591E"/>
    <w:rsid w:val="003F5999"/>
    <w:rsid w:val="003F59A8"/>
    <w:rsid w:val="003F59D5"/>
    <w:rsid w:val="003F5C4F"/>
    <w:rsid w:val="003F5D5C"/>
    <w:rsid w:val="003F6016"/>
    <w:rsid w:val="003F60DD"/>
    <w:rsid w:val="003F6137"/>
    <w:rsid w:val="003F6298"/>
    <w:rsid w:val="003F639B"/>
    <w:rsid w:val="003F63EB"/>
    <w:rsid w:val="003F6482"/>
    <w:rsid w:val="003F65BE"/>
    <w:rsid w:val="003F66E9"/>
    <w:rsid w:val="003F6768"/>
    <w:rsid w:val="003F6944"/>
    <w:rsid w:val="003F6A9D"/>
    <w:rsid w:val="003F6B6F"/>
    <w:rsid w:val="003F6C0F"/>
    <w:rsid w:val="003F6CB8"/>
    <w:rsid w:val="003F6D89"/>
    <w:rsid w:val="003F6EB4"/>
    <w:rsid w:val="003F6FA1"/>
    <w:rsid w:val="003F7076"/>
    <w:rsid w:val="003F71D4"/>
    <w:rsid w:val="003F7241"/>
    <w:rsid w:val="003F726F"/>
    <w:rsid w:val="003F732F"/>
    <w:rsid w:val="003F7546"/>
    <w:rsid w:val="003F7607"/>
    <w:rsid w:val="003F7760"/>
    <w:rsid w:val="003F79B4"/>
    <w:rsid w:val="003F7A43"/>
    <w:rsid w:val="003F7AB2"/>
    <w:rsid w:val="003F7DB7"/>
    <w:rsid w:val="003F7F09"/>
    <w:rsid w:val="003F7F73"/>
    <w:rsid w:val="0040006A"/>
    <w:rsid w:val="004002B7"/>
    <w:rsid w:val="00400379"/>
    <w:rsid w:val="00400430"/>
    <w:rsid w:val="00400445"/>
    <w:rsid w:val="00400696"/>
    <w:rsid w:val="00400752"/>
    <w:rsid w:val="0040077A"/>
    <w:rsid w:val="004008A4"/>
    <w:rsid w:val="00400987"/>
    <w:rsid w:val="00400AA5"/>
    <w:rsid w:val="00400AF8"/>
    <w:rsid w:val="00400B12"/>
    <w:rsid w:val="00400B56"/>
    <w:rsid w:val="00400B64"/>
    <w:rsid w:val="00400DAB"/>
    <w:rsid w:val="00400F44"/>
    <w:rsid w:val="00401064"/>
    <w:rsid w:val="004012BF"/>
    <w:rsid w:val="00401881"/>
    <w:rsid w:val="00401A21"/>
    <w:rsid w:val="00401AFC"/>
    <w:rsid w:val="00401CA3"/>
    <w:rsid w:val="00401CC0"/>
    <w:rsid w:val="00401D05"/>
    <w:rsid w:val="00402044"/>
    <w:rsid w:val="0040220E"/>
    <w:rsid w:val="0040239D"/>
    <w:rsid w:val="00402482"/>
    <w:rsid w:val="00402791"/>
    <w:rsid w:val="004027CA"/>
    <w:rsid w:val="004029F7"/>
    <w:rsid w:val="00402B60"/>
    <w:rsid w:val="00402B77"/>
    <w:rsid w:val="00402BF3"/>
    <w:rsid w:val="00402D69"/>
    <w:rsid w:val="00402E3D"/>
    <w:rsid w:val="00402E6D"/>
    <w:rsid w:val="00402EA5"/>
    <w:rsid w:val="00402EB0"/>
    <w:rsid w:val="00402ED9"/>
    <w:rsid w:val="00402EE8"/>
    <w:rsid w:val="00402F01"/>
    <w:rsid w:val="00403065"/>
    <w:rsid w:val="00403178"/>
    <w:rsid w:val="004031D2"/>
    <w:rsid w:val="004031FD"/>
    <w:rsid w:val="0040333A"/>
    <w:rsid w:val="004033B6"/>
    <w:rsid w:val="0040340A"/>
    <w:rsid w:val="00403417"/>
    <w:rsid w:val="0040361E"/>
    <w:rsid w:val="00403772"/>
    <w:rsid w:val="00403786"/>
    <w:rsid w:val="00403787"/>
    <w:rsid w:val="004037A5"/>
    <w:rsid w:val="00403824"/>
    <w:rsid w:val="0040382D"/>
    <w:rsid w:val="004038D4"/>
    <w:rsid w:val="00403AB4"/>
    <w:rsid w:val="00403BC6"/>
    <w:rsid w:val="00403F36"/>
    <w:rsid w:val="004040F1"/>
    <w:rsid w:val="0040410B"/>
    <w:rsid w:val="004042C7"/>
    <w:rsid w:val="00404439"/>
    <w:rsid w:val="004044F4"/>
    <w:rsid w:val="004045A8"/>
    <w:rsid w:val="00404664"/>
    <w:rsid w:val="00404699"/>
    <w:rsid w:val="00404A2E"/>
    <w:rsid w:val="00404A53"/>
    <w:rsid w:val="00404A63"/>
    <w:rsid w:val="00404C2C"/>
    <w:rsid w:val="00404E82"/>
    <w:rsid w:val="00404F11"/>
    <w:rsid w:val="00405080"/>
    <w:rsid w:val="004050F8"/>
    <w:rsid w:val="0040544D"/>
    <w:rsid w:val="00405464"/>
    <w:rsid w:val="00405494"/>
    <w:rsid w:val="0040556B"/>
    <w:rsid w:val="004055DE"/>
    <w:rsid w:val="00405741"/>
    <w:rsid w:val="00405B18"/>
    <w:rsid w:val="00405B2C"/>
    <w:rsid w:val="00405B31"/>
    <w:rsid w:val="00405B51"/>
    <w:rsid w:val="00405B9E"/>
    <w:rsid w:val="00405C0C"/>
    <w:rsid w:val="00405E68"/>
    <w:rsid w:val="00405F35"/>
    <w:rsid w:val="00405F48"/>
    <w:rsid w:val="00406010"/>
    <w:rsid w:val="0040610A"/>
    <w:rsid w:val="00406225"/>
    <w:rsid w:val="0040635D"/>
    <w:rsid w:val="0040647C"/>
    <w:rsid w:val="00406490"/>
    <w:rsid w:val="004065ED"/>
    <w:rsid w:val="0040660E"/>
    <w:rsid w:val="00406656"/>
    <w:rsid w:val="0040672D"/>
    <w:rsid w:val="00406803"/>
    <w:rsid w:val="004069BD"/>
    <w:rsid w:val="004069FE"/>
    <w:rsid w:val="00406B07"/>
    <w:rsid w:val="00406C32"/>
    <w:rsid w:val="00406C91"/>
    <w:rsid w:val="00406E50"/>
    <w:rsid w:val="00407157"/>
    <w:rsid w:val="004071F6"/>
    <w:rsid w:val="00407429"/>
    <w:rsid w:val="0040743B"/>
    <w:rsid w:val="00407531"/>
    <w:rsid w:val="00407555"/>
    <w:rsid w:val="00407590"/>
    <w:rsid w:val="004075FB"/>
    <w:rsid w:val="0040773A"/>
    <w:rsid w:val="00407775"/>
    <w:rsid w:val="00407807"/>
    <w:rsid w:val="00407956"/>
    <w:rsid w:val="00407A2A"/>
    <w:rsid w:val="00407AD1"/>
    <w:rsid w:val="00407B20"/>
    <w:rsid w:val="00407BFA"/>
    <w:rsid w:val="00407D4F"/>
    <w:rsid w:val="00407D6A"/>
    <w:rsid w:val="00407D79"/>
    <w:rsid w:val="00407E9E"/>
    <w:rsid w:val="00407EEC"/>
    <w:rsid w:val="0040E930"/>
    <w:rsid w:val="00410017"/>
    <w:rsid w:val="00410242"/>
    <w:rsid w:val="004103B4"/>
    <w:rsid w:val="004104DB"/>
    <w:rsid w:val="0041052F"/>
    <w:rsid w:val="004105D5"/>
    <w:rsid w:val="0041069B"/>
    <w:rsid w:val="004109B4"/>
    <w:rsid w:val="004109C8"/>
    <w:rsid w:val="00410AEC"/>
    <w:rsid w:val="00410BEE"/>
    <w:rsid w:val="00410F7F"/>
    <w:rsid w:val="00411021"/>
    <w:rsid w:val="0041119C"/>
    <w:rsid w:val="00411447"/>
    <w:rsid w:val="00411572"/>
    <w:rsid w:val="00411660"/>
    <w:rsid w:val="00411804"/>
    <w:rsid w:val="004118CF"/>
    <w:rsid w:val="004119C8"/>
    <w:rsid w:val="00411A57"/>
    <w:rsid w:val="00411AEF"/>
    <w:rsid w:val="00411B12"/>
    <w:rsid w:val="00411B4F"/>
    <w:rsid w:val="00411C28"/>
    <w:rsid w:val="00411C52"/>
    <w:rsid w:val="00411D32"/>
    <w:rsid w:val="00411E1B"/>
    <w:rsid w:val="00411FA6"/>
    <w:rsid w:val="004120BC"/>
    <w:rsid w:val="004121B7"/>
    <w:rsid w:val="004121D7"/>
    <w:rsid w:val="00412306"/>
    <w:rsid w:val="004123A7"/>
    <w:rsid w:val="004123EA"/>
    <w:rsid w:val="00412403"/>
    <w:rsid w:val="00412458"/>
    <w:rsid w:val="00412677"/>
    <w:rsid w:val="0041274B"/>
    <w:rsid w:val="00412915"/>
    <w:rsid w:val="00412FF2"/>
    <w:rsid w:val="0041317D"/>
    <w:rsid w:val="004131DB"/>
    <w:rsid w:val="00413294"/>
    <w:rsid w:val="00413298"/>
    <w:rsid w:val="0041341F"/>
    <w:rsid w:val="004136EA"/>
    <w:rsid w:val="00413728"/>
    <w:rsid w:val="004137BA"/>
    <w:rsid w:val="004137CF"/>
    <w:rsid w:val="00413830"/>
    <w:rsid w:val="00413852"/>
    <w:rsid w:val="00413854"/>
    <w:rsid w:val="00413966"/>
    <w:rsid w:val="0041398B"/>
    <w:rsid w:val="004139B2"/>
    <w:rsid w:val="004139FD"/>
    <w:rsid w:val="00413BE9"/>
    <w:rsid w:val="00413C50"/>
    <w:rsid w:val="00413CE1"/>
    <w:rsid w:val="00413D54"/>
    <w:rsid w:val="00413D58"/>
    <w:rsid w:val="00413E95"/>
    <w:rsid w:val="00413EAB"/>
    <w:rsid w:val="00413EFB"/>
    <w:rsid w:val="004140E6"/>
    <w:rsid w:val="004141E5"/>
    <w:rsid w:val="00414226"/>
    <w:rsid w:val="00414295"/>
    <w:rsid w:val="004142BD"/>
    <w:rsid w:val="004143D2"/>
    <w:rsid w:val="004143EA"/>
    <w:rsid w:val="004143F4"/>
    <w:rsid w:val="00414486"/>
    <w:rsid w:val="0041468B"/>
    <w:rsid w:val="004147B9"/>
    <w:rsid w:val="004147DA"/>
    <w:rsid w:val="004147EB"/>
    <w:rsid w:val="0041493E"/>
    <w:rsid w:val="00414B23"/>
    <w:rsid w:val="00414B55"/>
    <w:rsid w:val="00414B79"/>
    <w:rsid w:val="00414BC1"/>
    <w:rsid w:val="00414DEB"/>
    <w:rsid w:val="00414E76"/>
    <w:rsid w:val="00414E7F"/>
    <w:rsid w:val="004150C6"/>
    <w:rsid w:val="00415140"/>
    <w:rsid w:val="004151DB"/>
    <w:rsid w:val="00415220"/>
    <w:rsid w:val="004153CD"/>
    <w:rsid w:val="00415444"/>
    <w:rsid w:val="00415539"/>
    <w:rsid w:val="00415699"/>
    <w:rsid w:val="00415889"/>
    <w:rsid w:val="00415B0B"/>
    <w:rsid w:val="00415B4F"/>
    <w:rsid w:val="00415B83"/>
    <w:rsid w:val="00415CD7"/>
    <w:rsid w:val="00415D16"/>
    <w:rsid w:val="00415E0D"/>
    <w:rsid w:val="00415EA4"/>
    <w:rsid w:val="00415F84"/>
    <w:rsid w:val="0041625F"/>
    <w:rsid w:val="00416351"/>
    <w:rsid w:val="004163EA"/>
    <w:rsid w:val="00416538"/>
    <w:rsid w:val="004165E7"/>
    <w:rsid w:val="004166BA"/>
    <w:rsid w:val="004166C4"/>
    <w:rsid w:val="004166FF"/>
    <w:rsid w:val="0041673D"/>
    <w:rsid w:val="0041688E"/>
    <w:rsid w:val="00416B2D"/>
    <w:rsid w:val="00416BF3"/>
    <w:rsid w:val="00416E55"/>
    <w:rsid w:val="00417182"/>
    <w:rsid w:val="00417184"/>
    <w:rsid w:val="004171C7"/>
    <w:rsid w:val="00417218"/>
    <w:rsid w:val="00417239"/>
    <w:rsid w:val="00417243"/>
    <w:rsid w:val="004173B9"/>
    <w:rsid w:val="0041782E"/>
    <w:rsid w:val="00417B7E"/>
    <w:rsid w:val="00417D26"/>
    <w:rsid w:val="00417F15"/>
    <w:rsid w:val="00417FE5"/>
    <w:rsid w:val="004200AD"/>
    <w:rsid w:val="004200B6"/>
    <w:rsid w:val="00420815"/>
    <w:rsid w:val="00420940"/>
    <w:rsid w:val="00420A6D"/>
    <w:rsid w:val="00420BA2"/>
    <w:rsid w:val="00420C89"/>
    <w:rsid w:val="00420DC9"/>
    <w:rsid w:val="00420FDC"/>
    <w:rsid w:val="00421156"/>
    <w:rsid w:val="004211E9"/>
    <w:rsid w:val="004213A3"/>
    <w:rsid w:val="0042163D"/>
    <w:rsid w:val="0042176E"/>
    <w:rsid w:val="0042188F"/>
    <w:rsid w:val="00421893"/>
    <w:rsid w:val="0042191E"/>
    <w:rsid w:val="00421967"/>
    <w:rsid w:val="00421B83"/>
    <w:rsid w:val="00421BDF"/>
    <w:rsid w:val="00421C24"/>
    <w:rsid w:val="00421C2F"/>
    <w:rsid w:val="00421FCA"/>
    <w:rsid w:val="004222F8"/>
    <w:rsid w:val="004224FD"/>
    <w:rsid w:val="00422584"/>
    <w:rsid w:val="0042260E"/>
    <w:rsid w:val="00422617"/>
    <w:rsid w:val="0042265E"/>
    <w:rsid w:val="004226B0"/>
    <w:rsid w:val="004226CA"/>
    <w:rsid w:val="0042270F"/>
    <w:rsid w:val="00422744"/>
    <w:rsid w:val="00422BB6"/>
    <w:rsid w:val="00422BB9"/>
    <w:rsid w:val="00422D67"/>
    <w:rsid w:val="00422DDD"/>
    <w:rsid w:val="00422E4A"/>
    <w:rsid w:val="00422E61"/>
    <w:rsid w:val="00422E80"/>
    <w:rsid w:val="00422F22"/>
    <w:rsid w:val="004231C1"/>
    <w:rsid w:val="00423324"/>
    <w:rsid w:val="00423493"/>
    <w:rsid w:val="004234D6"/>
    <w:rsid w:val="00423793"/>
    <w:rsid w:val="004237A2"/>
    <w:rsid w:val="004237C0"/>
    <w:rsid w:val="00423845"/>
    <w:rsid w:val="00423888"/>
    <w:rsid w:val="004238BE"/>
    <w:rsid w:val="00423984"/>
    <w:rsid w:val="004239E4"/>
    <w:rsid w:val="00423FBE"/>
    <w:rsid w:val="00424070"/>
    <w:rsid w:val="004240AF"/>
    <w:rsid w:val="004244DD"/>
    <w:rsid w:val="004248B3"/>
    <w:rsid w:val="00424A51"/>
    <w:rsid w:val="00424AA3"/>
    <w:rsid w:val="00424AEB"/>
    <w:rsid w:val="00424B3A"/>
    <w:rsid w:val="00424B55"/>
    <w:rsid w:val="00424DC8"/>
    <w:rsid w:val="0042500E"/>
    <w:rsid w:val="00425053"/>
    <w:rsid w:val="004250A8"/>
    <w:rsid w:val="004251A7"/>
    <w:rsid w:val="0042524E"/>
    <w:rsid w:val="00425479"/>
    <w:rsid w:val="004254E0"/>
    <w:rsid w:val="00425631"/>
    <w:rsid w:val="00425693"/>
    <w:rsid w:val="0042574C"/>
    <w:rsid w:val="004257CE"/>
    <w:rsid w:val="004258A0"/>
    <w:rsid w:val="00425B92"/>
    <w:rsid w:val="00425C84"/>
    <w:rsid w:val="00425CBA"/>
    <w:rsid w:val="00425DD9"/>
    <w:rsid w:val="00426066"/>
    <w:rsid w:val="0042614F"/>
    <w:rsid w:val="0042625B"/>
    <w:rsid w:val="004262BC"/>
    <w:rsid w:val="0042639D"/>
    <w:rsid w:val="004264E9"/>
    <w:rsid w:val="00426586"/>
    <w:rsid w:val="004265D8"/>
    <w:rsid w:val="00426697"/>
    <w:rsid w:val="00426713"/>
    <w:rsid w:val="004269AB"/>
    <w:rsid w:val="004269FE"/>
    <w:rsid w:val="00426C2B"/>
    <w:rsid w:val="00426D6F"/>
    <w:rsid w:val="00427094"/>
    <w:rsid w:val="004272FD"/>
    <w:rsid w:val="00427336"/>
    <w:rsid w:val="0042733F"/>
    <w:rsid w:val="0042743A"/>
    <w:rsid w:val="004275C7"/>
    <w:rsid w:val="004275DE"/>
    <w:rsid w:val="00427819"/>
    <w:rsid w:val="0042783F"/>
    <w:rsid w:val="00427A9F"/>
    <w:rsid w:val="00427B2C"/>
    <w:rsid w:val="00427C58"/>
    <w:rsid w:val="00427C5C"/>
    <w:rsid w:val="00427DA9"/>
    <w:rsid w:val="00427E0D"/>
    <w:rsid w:val="00427EA5"/>
    <w:rsid w:val="00427ED2"/>
    <w:rsid w:val="0042F0A2"/>
    <w:rsid w:val="0043005F"/>
    <w:rsid w:val="004300A7"/>
    <w:rsid w:val="00430178"/>
    <w:rsid w:val="00430211"/>
    <w:rsid w:val="004302BE"/>
    <w:rsid w:val="00430377"/>
    <w:rsid w:val="004305A3"/>
    <w:rsid w:val="00430820"/>
    <w:rsid w:val="0043087B"/>
    <w:rsid w:val="004309D5"/>
    <w:rsid w:val="004309DC"/>
    <w:rsid w:val="00430DCC"/>
    <w:rsid w:val="00430F24"/>
    <w:rsid w:val="00430F53"/>
    <w:rsid w:val="00430F96"/>
    <w:rsid w:val="00431220"/>
    <w:rsid w:val="004313DC"/>
    <w:rsid w:val="004315AA"/>
    <w:rsid w:val="004315AB"/>
    <w:rsid w:val="00431635"/>
    <w:rsid w:val="0043172A"/>
    <w:rsid w:val="00431981"/>
    <w:rsid w:val="00431A36"/>
    <w:rsid w:val="00431A6D"/>
    <w:rsid w:val="00431D30"/>
    <w:rsid w:val="00431D3F"/>
    <w:rsid w:val="00431D80"/>
    <w:rsid w:val="00431E74"/>
    <w:rsid w:val="00432130"/>
    <w:rsid w:val="004321AF"/>
    <w:rsid w:val="004321DD"/>
    <w:rsid w:val="00432224"/>
    <w:rsid w:val="004323F3"/>
    <w:rsid w:val="00432454"/>
    <w:rsid w:val="00432462"/>
    <w:rsid w:val="00432481"/>
    <w:rsid w:val="00432562"/>
    <w:rsid w:val="00432826"/>
    <w:rsid w:val="004328B0"/>
    <w:rsid w:val="004328DB"/>
    <w:rsid w:val="004328FF"/>
    <w:rsid w:val="00432A84"/>
    <w:rsid w:val="00432A9C"/>
    <w:rsid w:val="00432BE7"/>
    <w:rsid w:val="00432CB1"/>
    <w:rsid w:val="00432CE2"/>
    <w:rsid w:val="00432DC6"/>
    <w:rsid w:val="00432E7E"/>
    <w:rsid w:val="00432F58"/>
    <w:rsid w:val="00432FDC"/>
    <w:rsid w:val="004331F9"/>
    <w:rsid w:val="00433277"/>
    <w:rsid w:val="004332F4"/>
    <w:rsid w:val="00433541"/>
    <w:rsid w:val="004335EE"/>
    <w:rsid w:val="004335EF"/>
    <w:rsid w:val="004336B7"/>
    <w:rsid w:val="004337EC"/>
    <w:rsid w:val="0043389B"/>
    <w:rsid w:val="004339E6"/>
    <w:rsid w:val="00433C03"/>
    <w:rsid w:val="00433CEA"/>
    <w:rsid w:val="00433F37"/>
    <w:rsid w:val="00433F60"/>
    <w:rsid w:val="00433FC5"/>
    <w:rsid w:val="00434195"/>
    <w:rsid w:val="004341BE"/>
    <w:rsid w:val="00434254"/>
    <w:rsid w:val="00434401"/>
    <w:rsid w:val="00434414"/>
    <w:rsid w:val="0043444E"/>
    <w:rsid w:val="004346C8"/>
    <w:rsid w:val="00434753"/>
    <w:rsid w:val="00434793"/>
    <w:rsid w:val="004348F9"/>
    <w:rsid w:val="00434C14"/>
    <w:rsid w:val="00434CBB"/>
    <w:rsid w:val="00434CD9"/>
    <w:rsid w:val="00434D43"/>
    <w:rsid w:val="00434F22"/>
    <w:rsid w:val="00434FC5"/>
    <w:rsid w:val="004351C0"/>
    <w:rsid w:val="004352A0"/>
    <w:rsid w:val="00435307"/>
    <w:rsid w:val="0043534B"/>
    <w:rsid w:val="00435492"/>
    <w:rsid w:val="004357E2"/>
    <w:rsid w:val="0043587F"/>
    <w:rsid w:val="004358D4"/>
    <w:rsid w:val="00435956"/>
    <w:rsid w:val="00435B1E"/>
    <w:rsid w:val="00435B5A"/>
    <w:rsid w:val="00435C09"/>
    <w:rsid w:val="00435CB0"/>
    <w:rsid w:val="00435CE4"/>
    <w:rsid w:val="00435D84"/>
    <w:rsid w:val="00435DC5"/>
    <w:rsid w:val="00436244"/>
    <w:rsid w:val="004362EB"/>
    <w:rsid w:val="00436362"/>
    <w:rsid w:val="004363A0"/>
    <w:rsid w:val="00436485"/>
    <w:rsid w:val="004365B3"/>
    <w:rsid w:val="004365FA"/>
    <w:rsid w:val="0043681D"/>
    <w:rsid w:val="00436938"/>
    <w:rsid w:val="00436A56"/>
    <w:rsid w:val="00436B4B"/>
    <w:rsid w:val="00436C7B"/>
    <w:rsid w:val="00436E04"/>
    <w:rsid w:val="00436E12"/>
    <w:rsid w:val="004374E2"/>
    <w:rsid w:val="0043757F"/>
    <w:rsid w:val="004375D2"/>
    <w:rsid w:val="0043769C"/>
    <w:rsid w:val="00437717"/>
    <w:rsid w:val="00437764"/>
    <w:rsid w:val="004379AA"/>
    <w:rsid w:val="00437A71"/>
    <w:rsid w:val="00437ADD"/>
    <w:rsid w:val="00437B32"/>
    <w:rsid w:val="00437BF4"/>
    <w:rsid w:val="00437CC5"/>
    <w:rsid w:val="00437D3F"/>
    <w:rsid w:val="00437DE4"/>
    <w:rsid w:val="00437F64"/>
    <w:rsid w:val="00437FDB"/>
    <w:rsid w:val="0044013B"/>
    <w:rsid w:val="0044032B"/>
    <w:rsid w:val="0044035B"/>
    <w:rsid w:val="004404D3"/>
    <w:rsid w:val="00440B44"/>
    <w:rsid w:val="00440C0E"/>
    <w:rsid w:val="00440D3E"/>
    <w:rsid w:val="00441071"/>
    <w:rsid w:val="00441075"/>
    <w:rsid w:val="004410AF"/>
    <w:rsid w:val="004410B7"/>
    <w:rsid w:val="0044143F"/>
    <w:rsid w:val="00441453"/>
    <w:rsid w:val="00441582"/>
    <w:rsid w:val="004415EE"/>
    <w:rsid w:val="00441913"/>
    <w:rsid w:val="004419F0"/>
    <w:rsid w:val="00441A7C"/>
    <w:rsid w:val="00441AF3"/>
    <w:rsid w:val="00441C44"/>
    <w:rsid w:val="00441E46"/>
    <w:rsid w:val="00441EA2"/>
    <w:rsid w:val="00441F2D"/>
    <w:rsid w:val="00441FC7"/>
    <w:rsid w:val="00441FDE"/>
    <w:rsid w:val="004421A5"/>
    <w:rsid w:val="004421E4"/>
    <w:rsid w:val="0044225F"/>
    <w:rsid w:val="004423A7"/>
    <w:rsid w:val="00442621"/>
    <w:rsid w:val="00442679"/>
    <w:rsid w:val="004427AF"/>
    <w:rsid w:val="0044289C"/>
    <w:rsid w:val="00442937"/>
    <w:rsid w:val="0044295D"/>
    <w:rsid w:val="00442978"/>
    <w:rsid w:val="004429DC"/>
    <w:rsid w:val="00442C72"/>
    <w:rsid w:val="00442E2C"/>
    <w:rsid w:val="00442EC2"/>
    <w:rsid w:val="00442F68"/>
    <w:rsid w:val="00443165"/>
    <w:rsid w:val="00443184"/>
    <w:rsid w:val="004432BF"/>
    <w:rsid w:val="004432C9"/>
    <w:rsid w:val="00443498"/>
    <w:rsid w:val="00443522"/>
    <w:rsid w:val="00443589"/>
    <w:rsid w:val="004435DB"/>
    <w:rsid w:val="0044364B"/>
    <w:rsid w:val="0044364F"/>
    <w:rsid w:val="0044368A"/>
    <w:rsid w:val="00443707"/>
    <w:rsid w:val="004437BA"/>
    <w:rsid w:val="00443873"/>
    <w:rsid w:val="004438D1"/>
    <w:rsid w:val="00443BC2"/>
    <w:rsid w:val="00443BF0"/>
    <w:rsid w:val="00443C66"/>
    <w:rsid w:val="00443CEF"/>
    <w:rsid w:val="00443D19"/>
    <w:rsid w:val="00443DCE"/>
    <w:rsid w:val="00444116"/>
    <w:rsid w:val="0044426A"/>
    <w:rsid w:val="0044430F"/>
    <w:rsid w:val="0044465C"/>
    <w:rsid w:val="00444A04"/>
    <w:rsid w:val="00444A50"/>
    <w:rsid w:val="00444A7F"/>
    <w:rsid w:val="00444CBC"/>
    <w:rsid w:val="00444CE2"/>
    <w:rsid w:val="00444D26"/>
    <w:rsid w:val="00444DBA"/>
    <w:rsid w:val="00444E03"/>
    <w:rsid w:val="00444E58"/>
    <w:rsid w:val="00444EA1"/>
    <w:rsid w:val="00444F79"/>
    <w:rsid w:val="00444F9A"/>
    <w:rsid w:val="00444FB8"/>
    <w:rsid w:val="00445006"/>
    <w:rsid w:val="0044510A"/>
    <w:rsid w:val="00445114"/>
    <w:rsid w:val="004451B8"/>
    <w:rsid w:val="004452A8"/>
    <w:rsid w:val="004452BB"/>
    <w:rsid w:val="0044531B"/>
    <w:rsid w:val="004453F6"/>
    <w:rsid w:val="004453FE"/>
    <w:rsid w:val="00445473"/>
    <w:rsid w:val="00445533"/>
    <w:rsid w:val="004456AE"/>
    <w:rsid w:val="004458DE"/>
    <w:rsid w:val="0044592D"/>
    <w:rsid w:val="00445A61"/>
    <w:rsid w:val="00445A7C"/>
    <w:rsid w:val="00445B7B"/>
    <w:rsid w:val="00445EE1"/>
    <w:rsid w:val="00446170"/>
    <w:rsid w:val="004462B8"/>
    <w:rsid w:val="0044630A"/>
    <w:rsid w:val="00446362"/>
    <w:rsid w:val="00446368"/>
    <w:rsid w:val="0044637E"/>
    <w:rsid w:val="004464F2"/>
    <w:rsid w:val="004464F6"/>
    <w:rsid w:val="004464F8"/>
    <w:rsid w:val="004465FE"/>
    <w:rsid w:val="0044660A"/>
    <w:rsid w:val="004468D1"/>
    <w:rsid w:val="00446A1F"/>
    <w:rsid w:val="00446BF6"/>
    <w:rsid w:val="00447045"/>
    <w:rsid w:val="00447068"/>
    <w:rsid w:val="00447219"/>
    <w:rsid w:val="00447795"/>
    <w:rsid w:val="004477E2"/>
    <w:rsid w:val="00447870"/>
    <w:rsid w:val="004478EA"/>
    <w:rsid w:val="0044790C"/>
    <w:rsid w:val="004479FB"/>
    <w:rsid w:val="00447AA4"/>
    <w:rsid w:val="00447C15"/>
    <w:rsid w:val="00447DCE"/>
    <w:rsid w:val="00447DFE"/>
    <w:rsid w:val="00447E2C"/>
    <w:rsid w:val="00447E6F"/>
    <w:rsid w:val="00450199"/>
    <w:rsid w:val="00450263"/>
    <w:rsid w:val="004504B0"/>
    <w:rsid w:val="0045053B"/>
    <w:rsid w:val="004505B6"/>
    <w:rsid w:val="004507AC"/>
    <w:rsid w:val="004507CA"/>
    <w:rsid w:val="0045080D"/>
    <w:rsid w:val="00450822"/>
    <w:rsid w:val="0045090D"/>
    <w:rsid w:val="00450917"/>
    <w:rsid w:val="00450943"/>
    <w:rsid w:val="00450976"/>
    <w:rsid w:val="00450A12"/>
    <w:rsid w:val="00450B16"/>
    <w:rsid w:val="00450B3F"/>
    <w:rsid w:val="00450D02"/>
    <w:rsid w:val="00450D0A"/>
    <w:rsid w:val="00450E41"/>
    <w:rsid w:val="00450F31"/>
    <w:rsid w:val="00450F71"/>
    <w:rsid w:val="00450FAA"/>
    <w:rsid w:val="004512E8"/>
    <w:rsid w:val="0045137D"/>
    <w:rsid w:val="004513D3"/>
    <w:rsid w:val="004514AD"/>
    <w:rsid w:val="00451551"/>
    <w:rsid w:val="004515B1"/>
    <w:rsid w:val="00451644"/>
    <w:rsid w:val="00451731"/>
    <w:rsid w:val="00451734"/>
    <w:rsid w:val="0045174C"/>
    <w:rsid w:val="00451987"/>
    <w:rsid w:val="00451A41"/>
    <w:rsid w:val="00451B14"/>
    <w:rsid w:val="00451BDC"/>
    <w:rsid w:val="00451D5A"/>
    <w:rsid w:val="00451D7A"/>
    <w:rsid w:val="00451FF1"/>
    <w:rsid w:val="004520B6"/>
    <w:rsid w:val="00452116"/>
    <w:rsid w:val="0045223F"/>
    <w:rsid w:val="00452307"/>
    <w:rsid w:val="00452387"/>
    <w:rsid w:val="00452453"/>
    <w:rsid w:val="004524AE"/>
    <w:rsid w:val="004524DC"/>
    <w:rsid w:val="00452531"/>
    <w:rsid w:val="004527B4"/>
    <w:rsid w:val="0045290D"/>
    <w:rsid w:val="00452A7E"/>
    <w:rsid w:val="00452BA7"/>
    <w:rsid w:val="00452D54"/>
    <w:rsid w:val="00452EFE"/>
    <w:rsid w:val="00452F04"/>
    <w:rsid w:val="0045315E"/>
    <w:rsid w:val="0045317C"/>
    <w:rsid w:val="0045328E"/>
    <w:rsid w:val="004532F9"/>
    <w:rsid w:val="004537A6"/>
    <w:rsid w:val="004537F7"/>
    <w:rsid w:val="00453A27"/>
    <w:rsid w:val="00453A4E"/>
    <w:rsid w:val="00453BFA"/>
    <w:rsid w:val="00453C16"/>
    <w:rsid w:val="00453E1D"/>
    <w:rsid w:val="00453EB1"/>
    <w:rsid w:val="00454035"/>
    <w:rsid w:val="0045425C"/>
    <w:rsid w:val="004542AA"/>
    <w:rsid w:val="004542DF"/>
    <w:rsid w:val="004543D1"/>
    <w:rsid w:val="004543D7"/>
    <w:rsid w:val="00454445"/>
    <w:rsid w:val="004544B6"/>
    <w:rsid w:val="004545B5"/>
    <w:rsid w:val="004546AD"/>
    <w:rsid w:val="004546CD"/>
    <w:rsid w:val="004547D5"/>
    <w:rsid w:val="004549EB"/>
    <w:rsid w:val="004549ED"/>
    <w:rsid w:val="00454AE6"/>
    <w:rsid w:val="00454D69"/>
    <w:rsid w:val="00454F3C"/>
    <w:rsid w:val="00455050"/>
    <w:rsid w:val="0045505E"/>
    <w:rsid w:val="00455081"/>
    <w:rsid w:val="004551C8"/>
    <w:rsid w:val="004551FC"/>
    <w:rsid w:val="00455355"/>
    <w:rsid w:val="00455503"/>
    <w:rsid w:val="0045580A"/>
    <w:rsid w:val="00455844"/>
    <w:rsid w:val="004558C9"/>
    <w:rsid w:val="00455A6B"/>
    <w:rsid w:val="00455C08"/>
    <w:rsid w:val="00455C9E"/>
    <w:rsid w:val="00455CD2"/>
    <w:rsid w:val="00455DEA"/>
    <w:rsid w:val="00455FA9"/>
    <w:rsid w:val="00456144"/>
    <w:rsid w:val="00456189"/>
    <w:rsid w:val="00456331"/>
    <w:rsid w:val="00456353"/>
    <w:rsid w:val="00456354"/>
    <w:rsid w:val="004563BB"/>
    <w:rsid w:val="0045642F"/>
    <w:rsid w:val="004564B4"/>
    <w:rsid w:val="00456590"/>
    <w:rsid w:val="0045667D"/>
    <w:rsid w:val="00456C11"/>
    <w:rsid w:val="00456D4A"/>
    <w:rsid w:val="00456D75"/>
    <w:rsid w:val="00456DD6"/>
    <w:rsid w:val="00456E83"/>
    <w:rsid w:val="00456F1A"/>
    <w:rsid w:val="004572EA"/>
    <w:rsid w:val="0045735E"/>
    <w:rsid w:val="00457547"/>
    <w:rsid w:val="00457601"/>
    <w:rsid w:val="0045760E"/>
    <w:rsid w:val="004576B6"/>
    <w:rsid w:val="0045786D"/>
    <w:rsid w:val="0045797A"/>
    <w:rsid w:val="00457A32"/>
    <w:rsid w:val="00457AA5"/>
    <w:rsid w:val="00457C4E"/>
    <w:rsid w:val="00457F67"/>
    <w:rsid w:val="00457F79"/>
    <w:rsid w:val="00458231"/>
    <w:rsid w:val="0046009C"/>
    <w:rsid w:val="00460106"/>
    <w:rsid w:val="004601A0"/>
    <w:rsid w:val="00460252"/>
    <w:rsid w:val="0046026F"/>
    <w:rsid w:val="004602AE"/>
    <w:rsid w:val="004603CE"/>
    <w:rsid w:val="00460529"/>
    <w:rsid w:val="0046057E"/>
    <w:rsid w:val="004605AB"/>
    <w:rsid w:val="004605EC"/>
    <w:rsid w:val="00460882"/>
    <w:rsid w:val="004609CF"/>
    <w:rsid w:val="00460BA5"/>
    <w:rsid w:val="00460C00"/>
    <w:rsid w:val="00460E1D"/>
    <w:rsid w:val="00460E23"/>
    <w:rsid w:val="00460F83"/>
    <w:rsid w:val="0046102E"/>
    <w:rsid w:val="0046108C"/>
    <w:rsid w:val="00461212"/>
    <w:rsid w:val="00461297"/>
    <w:rsid w:val="004612BC"/>
    <w:rsid w:val="004614D4"/>
    <w:rsid w:val="00461669"/>
    <w:rsid w:val="00461AE7"/>
    <w:rsid w:val="00461B4F"/>
    <w:rsid w:val="00461BC6"/>
    <w:rsid w:val="00461CF1"/>
    <w:rsid w:val="00461DA5"/>
    <w:rsid w:val="00461DB3"/>
    <w:rsid w:val="00461E74"/>
    <w:rsid w:val="00461E9B"/>
    <w:rsid w:val="00461EC7"/>
    <w:rsid w:val="00461FC0"/>
    <w:rsid w:val="00461FDC"/>
    <w:rsid w:val="00462057"/>
    <w:rsid w:val="00462100"/>
    <w:rsid w:val="00462110"/>
    <w:rsid w:val="00462157"/>
    <w:rsid w:val="00462166"/>
    <w:rsid w:val="004621FB"/>
    <w:rsid w:val="0046227D"/>
    <w:rsid w:val="0046231F"/>
    <w:rsid w:val="004623A6"/>
    <w:rsid w:val="00462688"/>
    <w:rsid w:val="00462738"/>
    <w:rsid w:val="004627E9"/>
    <w:rsid w:val="00462813"/>
    <w:rsid w:val="0046294F"/>
    <w:rsid w:val="004629D3"/>
    <w:rsid w:val="00462A5B"/>
    <w:rsid w:val="00462DC1"/>
    <w:rsid w:val="00462E9D"/>
    <w:rsid w:val="00462ED7"/>
    <w:rsid w:val="00463179"/>
    <w:rsid w:val="004634A0"/>
    <w:rsid w:val="004634FC"/>
    <w:rsid w:val="00463563"/>
    <w:rsid w:val="004635CC"/>
    <w:rsid w:val="004635E5"/>
    <w:rsid w:val="00463647"/>
    <w:rsid w:val="00463835"/>
    <w:rsid w:val="004639D5"/>
    <w:rsid w:val="00463A1E"/>
    <w:rsid w:val="00463D43"/>
    <w:rsid w:val="00463E9B"/>
    <w:rsid w:val="00463EBB"/>
    <w:rsid w:val="00464327"/>
    <w:rsid w:val="0046449F"/>
    <w:rsid w:val="004645E3"/>
    <w:rsid w:val="00464617"/>
    <w:rsid w:val="004646EB"/>
    <w:rsid w:val="00464C54"/>
    <w:rsid w:val="00464CF0"/>
    <w:rsid w:val="00464DA7"/>
    <w:rsid w:val="00464DD1"/>
    <w:rsid w:val="00464DDB"/>
    <w:rsid w:val="00464E40"/>
    <w:rsid w:val="00464E92"/>
    <w:rsid w:val="00465009"/>
    <w:rsid w:val="00465027"/>
    <w:rsid w:val="0046502E"/>
    <w:rsid w:val="004650B0"/>
    <w:rsid w:val="00465288"/>
    <w:rsid w:val="00465361"/>
    <w:rsid w:val="0046536F"/>
    <w:rsid w:val="004653E6"/>
    <w:rsid w:val="00465434"/>
    <w:rsid w:val="004655B1"/>
    <w:rsid w:val="00465664"/>
    <w:rsid w:val="0046573F"/>
    <w:rsid w:val="00465748"/>
    <w:rsid w:val="0046577F"/>
    <w:rsid w:val="004657FE"/>
    <w:rsid w:val="00465ACD"/>
    <w:rsid w:val="00465CDA"/>
    <w:rsid w:val="00465E52"/>
    <w:rsid w:val="00465E92"/>
    <w:rsid w:val="00466185"/>
    <w:rsid w:val="00466260"/>
    <w:rsid w:val="004662F6"/>
    <w:rsid w:val="00466330"/>
    <w:rsid w:val="0046633C"/>
    <w:rsid w:val="004664A5"/>
    <w:rsid w:val="00466587"/>
    <w:rsid w:val="004665E5"/>
    <w:rsid w:val="00466626"/>
    <w:rsid w:val="0046676A"/>
    <w:rsid w:val="00466783"/>
    <w:rsid w:val="0046679B"/>
    <w:rsid w:val="00466866"/>
    <w:rsid w:val="00466892"/>
    <w:rsid w:val="00466C10"/>
    <w:rsid w:val="00466C5B"/>
    <w:rsid w:val="00466E10"/>
    <w:rsid w:val="00466E7F"/>
    <w:rsid w:val="00466EB2"/>
    <w:rsid w:val="00466EEC"/>
    <w:rsid w:val="00466F33"/>
    <w:rsid w:val="004671B1"/>
    <w:rsid w:val="00467449"/>
    <w:rsid w:val="004675B6"/>
    <w:rsid w:val="004675F4"/>
    <w:rsid w:val="00467756"/>
    <w:rsid w:val="0046783B"/>
    <w:rsid w:val="004678D9"/>
    <w:rsid w:val="00467956"/>
    <w:rsid w:val="0046798F"/>
    <w:rsid w:val="00467A8B"/>
    <w:rsid w:val="00467B00"/>
    <w:rsid w:val="00467BB4"/>
    <w:rsid w:val="00467CB8"/>
    <w:rsid w:val="00467D97"/>
    <w:rsid w:val="00467DAB"/>
    <w:rsid w:val="00467E9B"/>
    <w:rsid w:val="00467EA3"/>
    <w:rsid w:val="00467EA4"/>
    <w:rsid w:val="00467F08"/>
    <w:rsid w:val="00470234"/>
    <w:rsid w:val="00470668"/>
    <w:rsid w:val="00470735"/>
    <w:rsid w:val="0047087A"/>
    <w:rsid w:val="00470924"/>
    <w:rsid w:val="0047092E"/>
    <w:rsid w:val="00470940"/>
    <w:rsid w:val="00470B32"/>
    <w:rsid w:val="00470C07"/>
    <w:rsid w:val="00470E97"/>
    <w:rsid w:val="00470F4C"/>
    <w:rsid w:val="00471238"/>
    <w:rsid w:val="004712D9"/>
    <w:rsid w:val="00471402"/>
    <w:rsid w:val="0047159E"/>
    <w:rsid w:val="004715BD"/>
    <w:rsid w:val="004716CB"/>
    <w:rsid w:val="00471771"/>
    <w:rsid w:val="00471886"/>
    <w:rsid w:val="00471972"/>
    <w:rsid w:val="00471D12"/>
    <w:rsid w:val="00471DCD"/>
    <w:rsid w:val="00471E16"/>
    <w:rsid w:val="00471E1D"/>
    <w:rsid w:val="00471EBA"/>
    <w:rsid w:val="00471F8D"/>
    <w:rsid w:val="00471F9C"/>
    <w:rsid w:val="004720F1"/>
    <w:rsid w:val="00472145"/>
    <w:rsid w:val="00472543"/>
    <w:rsid w:val="00472623"/>
    <w:rsid w:val="004727C4"/>
    <w:rsid w:val="004727E4"/>
    <w:rsid w:val="004728A8"/>
    <w:rsid w:val="00472B30"/>
    <w:rsid w:val="00472ECC"/>
    <w:rsid w:val="00472F5E"/>
    <w:rsid w:val="00472FF9"/>
    <w:rsid w:val="004730F6"/>
    <w:rsid w:val="004731C4"/>
    <w:rsid w:val="00473231"/>
    <w:rsid w:val="00473361"/>
    <w:rsid w:val="004733A2"/>
    <w:rsid w:val="00473615"/>
    <w:rsid w:val="004736AB"/>
    <w:rsid w:val="004736B4"/>
    <w:rsid w:val="004737B0"/>
    <w:rsid w:val="00473892"/>
    <w:rsid w:val="004738E5"/>
    <w:rsid w:val="00473A24"/>
    <w:rsid w:val="00473B0C"/>
    <w:rsid w:val="00473B9B"/>
    <w:rsid w:val="00473CA2"/>
    <w:rsid w:val="00473E66"/>
    <w:rsid w:val="00473E68"/>
    <w:rsid w:val="004740CC"/>
    <w:rsid w:val="00474110"/>
    <w:rsid w:val="0047417D"/>
    <w:rsid w:val="0047435D"/>
    <w:rsid w:val="0047447F"/>
    <w:rsid w:val="0047450B"/>
    <w:rsid w:val="00474576"/>
    <w:rsid w:val="0047479E"/>
    <w:rsid w:val="00474843"/>
    <w:rsid w:val="00474DCF"/>
    <w:rsid w:val="00474DD8"/>
    <w:rsid w:val="00474F84"/>
    <w:rsid w:val="00475000"/>
    <w:rsid w:val="00475480"/>
    <w:rsid w:val="0047585D"/>
    <w:rsid w:val="004758B2"/>
    <w:rsid w:val="00475935"/>
    <w:rsid w:val="00475CB2"/>
    <w:rsid w:val="00475D9A"/>
    <w:rsid w:val="00475E0C"/>
    <w:rsid w:val="00475ED9"/>
    <w:rsid w:val="00475F97"/>
    <w:rsid w:val="00475FD3"/>
    <w:rsid w:val="004760DD"/>
    <w:rsid w:val="00476109"/>
    <w:rsid w:val="00476147"/>
    <w:rsid w:val="004761F2"/>
    <w:rsid w:val="00476278"/>
    <w:rsid w:val="004762CD"/>
    <w:rsid w:val="0047663B"/>
    <w:rsid w:val="0047673F"/>
    <w:rsid w:val="0047677B"/>
    <w:rsid w:val="00476787"/>
    <w:rsid w:val="00476807"/>
    <w:rsid w:val="00476824"/>
    <w:rsid w:val="00476921"/>
    <w:rsid w:val="00476AF2"/>
    <w:rsid w:val="00476BD8"/>
    <w:rsid w:val="00476C12"/>
    <w:rsid w:val="00476C50"/>
    <w:rsid w:val="00476C57"/>
    <w:rsid w:val="00476D49"/>
    <w:rsid w:val="00476E17"/>
    <w:rsid w:val="00476EB0"/>
    <w:rsid w:val="00476EE1"/>
    <w:rsid w:val="00476FE6"/>
    <w:rsid w:val="0047708A"/>
    <w:rsid w:val="00477187"/>
    <w:rsid w:val="004772B2"/>
    <w:rsid w:val="0047730A"/>
    <w:rsid w:val="004774E0"/>
    <w:rsid w:val="004775F3"/>
    <w:rsid w:val="00477A69"/>
    <w:rsid w:val="00477A7B"/>
    <w:rsid w:val="00477B0A"/>
    <w:rsid w:val="00477C4F"/>
    <w:rsid w:val="00477CE0"/>
    <w:rsid w:val="00477D35"/>
    <w:rsid w:val="00477EF0"/>
    <w:rsid w:val="00477F04"/>
    <w:rsid w:val="0048022B"/>
    <w:rsid w:val="0048026F"/>
    <w:rsid w:val="00480399"/>
    <w:rsid w:val="004803A3"/>
    <w:rsid w:val="004804B9"/>
    <w:rsid w:val="004804BC"/>
    <w:rsid w:val="004804DF"/>
    <w:rsid w:val="00480510"/>
    <w:rsid w:val="0048055D"/>
    <w:rsid w:val="0048059D"/>
    <w:rsid w:val="004805B1"/>
    <w:rsid w:val="0048084A"/>
    <w:rsid w:val="004809B3"/>
    <w:rsid w:val="00480BC5"/>
    <w:rsid w:val="00480CE0"/>
    <w:rsid w:val="00480E10"/>
    <w:rsid w:val="00480ED8"/>
    <w:rsid w:val="00481025"/>
    <w:rsid w:val="00481046"/>
    <w:rsid w:val="00481156"/>
    <w:rsid w:val="00481187"/>
    <w:rsid w:val="004812DA"/>
    <w:rsid w:val="0048151F"/>
    <w:rsid w:val="004815C6"/>
    <w:rsid w:val="00481677"/>
    <w:rsid w:val="0048169A"/>
    <w:rsid w:val="00481707"/>
    <w:rsid w:val="00481986"/>
    <w:rsid w:val="00481ACC"/>
    <w:rsid w:val="00481C6E"/>
    <w:rsid w:val="00481CE4"/>
    <w:rsid w:val="00481E0C"/>
    <w:rsid w:val="00481E7E"/>
    <w:rsid w:val="00481F0C"/>
    <w:rsid w:val="00481F8B"/>
    <w:rsid w:val="00482142"/>
    <w:rsid w:val="0048221C"/>
    <w:rsid w:val="0048223A"/>
    <w:rsid w:val="004822D6"/>
    <w:rsid w:val="00482465"/>
    <w:rsid w:val="004826E4"/>
    <w:rsid w:val="00482791"/>
    <w:rsid w:val="004829A2"/>
    <w:rsid w:val="00482A84"/>
    <w:rsid w:val="00482BE0"/>
    <w:rsid w:val="00482C39"/>
    <w:rsid w:val="00482C5F"/>
    <w:rsid w:val="00482D29"/>
    <w:rsid w:val="00482D8B"/>
    <w:rsid w:val="00483038"/>
    <w:rsid w:val="00483129"/>
    <w:rsid w:val="00483250"/>
    <w:rsid w:val="004832A7"/>
    <w:rsid w:val="004832B9"/>
    <w:rsid w:val="004833E1"/>
    <w:rsid w:val="0048342E"/>
    <w:rsid w:val="00483505"/>
    <w:rsid w:val="004835EB"/>
    <w:rsid w:val="00483622"/>
    <w:rsid w:val="0048380D"/>
    <w:rsid w:val="00483853"/>
    <w:rsid w:val="004839D8"/>
    <w:rsid w:val="00483CDB"/>
    <w:rsid w:val="00483D47"/>
    <w:rsid w:val="00483D6A"/>
    <w:rsid w:val="00483EE3"/>
    <w:rsid w:val="00483FEB"/>
    <w:rsid w:val="00484036"/>
    <w:rsid w:val="00484087"/>
    <w:rsid w:val="004840FC"/>
    <w:rsid w:val="00484124"/>
    <w:rsid w:val="004841C1"/>
    <w:rsid w:val="004844B9"/>
    <w:rsid w:val="0048453B"/>
    <w:rsid w:val="004845A8"/>
    <w:rsid w:val="00484860"/>
    <w:rsid w:val="0048499C"/>
    <w:rsid w:val="004849C2"/>
    <w:rsid w:val="00484AC1"/>
    <w:rsid w:val="00484E7B"/>
    <w:rsid w:val="00485195"/>
    <w:rsid w:val="00485215"/>
    <w:rsid w:val="0048532C"/>
    <w:rsid w:val="0048532F"/>
    <w:rsid w:val="004853C1"/>
    <w:rsid w:val="00485506"/>
    <w:rsid w:val="004855BC"/>
    <w:rsid w:val="004855F9"/>
    <w:rsid w:val="0048578B"/>
    <w:rsid w:val="004857D6"/>
    <w:rsid w:val="0048586C"/>
    <w:rsid w:val="00486043"/>
    <w:rsid w:val="004861FF"/>
    <w:rsid w:val="004862C1"/>
    <w:rsid w:val="004862D0"/>
    <w:rsid w:val="004862E5"/>
    <w:rsid w:val="0048630F"/>
    <w:rsid w:val="00486694"/>
    <w:rsid w:val="004868DA"/>
    <w:rsid w:val="00486B35"/>
    <w:rsid w:val="00486B5E"/>
    <w:rsid w:val="00486C29"/>
    <w:rsid w:val="00486D86"/>
    <w:rsid w:val="00487087"/>
    <w:rsid w:val="00487193"/>
    <w:rsid w:val="004871EC"/>
    <w:rsid w:val="0048736A"/>
    <w:rsid w:val="0048740D"/>
    <w:rsid w:val="0048746F"/>
    <w:rsid w:val="0048769B"/>
    <w:rsid w:val="0048787F"/>
    <w:rsid w:val="00487AAD"/>
    <w:rsid w:val="00487AFD"/>
    <w:rsid w:val="00487BB1"/>
    <w:rsid w:val="00487D07"/>
    <w:rsid w:val="00487D0E"/>
    <w:rsid w:val="00487FAC"/>
    <w:rsid w:val="00490274"/>
    <w:rsid w:val="00490290"/>
    <w:rsid w:val="0049038C"/>
    <w:rsid w:val="0049048A"/>
    <w:rsid w:val="004904CE"/>
    <w:rsid w:val="00490511"/>
    <w:rsid w:val="0049062B"/>
    <w:rsid w:val="00490674"/>
    <w:rsid w:val="004906EB"/>
    <w:rsid w:val="0049078E"/>
    <w:rsid w:val="00490853"/>
    <w:rsid w:val="00490900"/>
    <w:rsid w:val="004909C5"/>
    <w:rsid w:val="00490A38"/>
    <w:rsid w:val="00490A9C"/>
    <w:rsid w:val="00490AA0"/>
    <w:rsid w:val="00490AE8"/>
    <w:rsid w:val="00490CBD"/>
    <w:rsid w:val="00490E17"/>
    <w:rsid w:val="00490E76"/>
    <w:rsid w:val="00490EEC"/>
    <w:rsid w:val="00491030"/>
    <w:rsid w:val="00491051"/>
    <w:rsid w:val="0049118B"/>
    <w:rsid w:val="00491336"/>
    <w:rsid w:val="004916F6"/>
    <w:rsid w:val="00491722"/>
    <w:rsid w:val="00491741"/>
    <w:rsid w:val="004918F5"/>
    <w:rsid w:val="00491920"/>
    <w:rsid w:val="0049196A"/>
    <w:rsid w:val="004919E2"/>
    <w:rsid w:val="00491A41"/>
    <w:rsid w:val="00491BF4"/>
    <w:rsid w:val="00491E78"/>
    <w:rsid w:val="00491E7D"/>
    <w:rsid w:val="00491F2A"/>
    <w:rsid w:val="00491F9A"/>
    <w:rsid w:val="00492054"/>
    <w:rsid w:val="004920DE"/>
    <w:rsid w:val="004922E0"/>
    <w:rsid w:val="004923F8"/>
    <w:rsid w:val="00492747"/>
    <w:rsid w:val="004927A2"/>
    <w:rsid w:val="00492941"/>
    <w:rsid w:val="00492968"/>
    <w:rsid w:val="00492A76"/>
    <w:rsid w:val="00492B60"/>
    <w:rsid w:val="00492BD4"/>
    <w:rsid w:val="0049306F"/>
    <w:rsid w:val="0049321A"/>
    <w:rsid w:val="004933A3"/>
    <w:rsid w:val="004934EF"/>
    <w:rsid w:val="00493575"/>
    <w:rsid w:val="004935EF"/>
    <w:rsid w:val="00493713"/>
    <w:rsid w:val="0049374F"/>
    <w:rsid w:val="0049376E"/>
    <w:rsid w:val="00493873"/>
    <w:rsid w:val="00493987"/>
    <w:rsid w:val="00493A71"/>
    <w:rsid w:val="00493AE4"/>
    <w:rsid w:val="00493BF8"/>
    <w:rsid w:val="00493C1E"/>
    <w:rsid w:val="00494334"/>
    <w:rsid w:val="004946C5"/>
    <w:rsid w:val="004947E7"/>
    <w:rsid w:val="004948CE"/>
    <w:rsid w:val="004948EA"/>
    <w:rsid w:val="00494927"/>
    <w:rsid w:val="00494C02"/>
    <w:rsid w:val="00494CAE"/>
    <w:rsid w:val="00494E6C"/>
    <w:rsid w:val="00494F1D"/>
    <w:rsid w:val="00494F90"/>
    <w:rsid w:val="00495114"/>
    <w:rsid w:val="0049514C"/>
    <w:rsid w:val="00495158"/>
    <w:rsid w:val="00495177"/>
    <w:rsid w:val="0049518E"/>
    <w:rsid w:val="00495257"/>
    <w:rsid w:val="00495346"/>
    <w:rsid w:val="0049534D"/>
    <w:rsid w:val="004953AD"/>
    <w:rsid w:val="00495542"/>
    <w:rsid w:val="0049554E"/>
    <w:rsid w:val="004958BA"/>
    <w:rsid w:val="004959AD"/>
    <w:rsid w:val="00495A34"/>
    <w:rsid w:val="00495BE7"/>
    <w:rsid w:val="00495E3A"/>
    <w:rsid w:val="00495F0F"/>
    <w:rsid w:val="00495F2E"/>
    <w:rsid w:val="00495FC6"/>
    <w:rsid w:val="004961EE"/>
    <w:rsid w:val="004962BF"/>
    <w:rsid w:val="00496389"/>
    <w:rsid w:val="004963C7"/>
    <w:rsid w:val="0049640D"/>
    <w:rsid w:val="00496435"/>
    <w:rsid w:val="00496654"/>
    <w:rsid w:val="00496A16"/>
    <w:rsid w:val="00496AC0"/>
    <w:rsid w:val="00496C31"/>
    <w:rsid w:val="00496C3C"/>
    <w:rsid w:val="00496DF6"/>
    <w:rsid w:val="00496F18"/>
    <w:rsid w:val="004970D5"/>
    <w:rsid w:val="0049726D"/>
    <w:rsid w:val="004972A7"/>
    <w:rsid w:val="00497342"/>
    <w:rsid w:val="004974FB"/>
    <w:rsid w:val="00497897"/>
    <w:rsid w:val="00497973"/>
    <w:rsid w:val="00497B89"/>
    <w:rsid w:val="00497D26"/>
    <w:rsid w:val="00497D3F"/>
    <w:rsid w:val="00497D57"/>
    <w:rsid w:val="00497E51"/>
    <w:rsid w:val="004A004A"/>
    <w:rsid w:val="004A01D6"/>
    <w:rsid w:val="004A02E4"/>
    <w:rsid w:val="004A04C0"/>
    <w:rsid w:val="004A04E7"/>
    <w:rsid w:val="004A0558"/>
    <w:rsid w:val="004A0732"/>
    <w:rsid w:val="004A0859"/>
    <w:rsid w:val="004A0A6D"/>
    <w:rsid w:val="004A0B87"/>
    <w:rsid w:val="004A0BB7"/>
    <w:rsid w:val="004A0C40"/>
    <w:rsid w:val="004A0C49"/>
    <w:rsid w:val="004A0D8E"/>
    <w:rsid w:val="004A0EB7"/>
    <w:rsid w:val="004A0F07"/>
    <w:rsid w:val="004A0F2E"/>
    <w:rsid w:val="004A1044"/>
    <w:rsid w:val="004A1063"/>
    <w:rsid w:val="004A1159"/>
    <w:rsid w:val="004A1246"/>
    <w:rsid w:val="004A125B"/>
    <w:rsid w:val="004A1328"/>
    <w:rsid w:val="004A135F"/>
    <w:rsid w:val="004A1367"/>
    <w:rsid w:val="004A1464"/>
    <w:rsid w:val="004A1468"/>
    <w:rsid w:val="004A1606"/>
    <w:rsid w:val="004A163A"/>
    <w:rsid w:val="004A17AD"/>
    <w:rsid w:val="004A17B1"/>
    <w:rsid w:val="004A187A"/>
    <w:rsid w:val="004A19C0"/>
    <w:rsid w:val="004A19E3"/>
    <w:rsid w:val="004A1A63"/>
    <w:rsid w:val="004A1BBD"/>
    <w:rsid w:val="004A1BD6"/>
    <w:rsid w:val="004A1BDE"/>
    <w:rsid w:val="004A1CA3"/>
    <w:rsid w:val="004A1CEC"/>
    <w:rsid w:val="004A1DBC"/>
    <w:rsid w:val="004A1E19"/>
    <w:rsid w:val="004A1E6F"/>
    <w:rsid w:val="004A1EA5"/>
    <w:rsid w:val="004A1F5C"/>
    <w:rsid w:val="004A1F90"/>
    <w:rsid w:val="004A2020"/>
    <w:rsid w:val="004A22AF"/>
    <w:rsid w:val="004A22C9"/>
    <w:rsid w:val="004A23F0"/>
    <w:rsid w:val="004A240C"/>
    <w:rsid w:val="004A242E"/>
    <w:rsid w:val="004A2593"/>
    <w:rsid w:val="004A2820"/>
    <w:rsid w:val="004A288F"/>
    <w:rsid w:val="004A291A"/>
    <w:rsid w:val="004A2A96"/>
    <w:rsid w:val="004A2B29"/>
    <w:rsid w:val="004A2BD9"/>
    <w:rsid w:val="004A2BFC"/>
    <w:rsid w:val="004A2DB4"/>
    <w:rsid w:val="004A2F27"/>
    <w:rsid w:val="004A2FD3"/>
    <w:rsid w:val="004A30A0"/>
    <w:rsid w:val="004A30C1"/>
    <w:rsid w:val="004A30F7"/>
    <w:rsid w:val="004A322B"/>
    <w:rsid w:val="004A333E"/>
    <w:rsid w:val="004A3384"/>
    <w:rsid w:val="004A3393"/>
    <w:rsid w:val="004A3513"/>
    <w:rsid w:val="004A3520"/>
    <w:rsid w:val="004A3526"/>
    <w:rsid w:val="004A3558"/>
    <w:rsid w:val="004A3602"/>
    <w:rsid w:val="004A38A8"/>
    <w:rsid w:val="004A3906"/>
    <w:rsid w:val="004A3911"/>
    <w:rsid w:val="004A3942"/>
    <w:rsid w:val="004A39BD"/>
    <w:rsid w:val="004A3A82"/>
    <w:rsid w:val="004A3BC2"/>
    <w:rsid w:val="004A3CF1"/>
    <w:rsid w:val="004A3DE8"/>
    <w:rsid w:val="004A3DFA"/>
    <w:rsid w:val="004A3E2B"/>
    <w:rsid w:val="004A3E57"/>
    <w:rsid w:val="004A3E86"/>
    <w:rsid w:val="004A3F48"/>
    <w:rsid w:val="004A3FCB"/>
    <w:rsid w:val="004A3FCF"/>
    <w:rsid w:val="004A4061"/>
    <w:rsid w:val="004A4068"/>
    <w:rsid w:val="004A4319"/>
    <w:rsid w:val="004A434C"/>
    <w:rsid w:val="004A43A3"/>
    <w:rsid w:val="004A4489"/>
    <w:rsid w:val="004A48C8"/>
    <w:rsid w:val="004A49DD"/>
    <w:rsid w:val="004A4A1B"/>
    <w:rsid w:val="004A4A82"/>
    <w:rsid w:val="004A4B25"/>
    <w:rsid w:val="004A4C67"/>
    <w:rsid w:val="004A4CAB"/>
    <w:rsid w:val="004A4CE2"/>
    <w:rsid w:val="004A4CE4"/>
    <w:rsid w:val="004A4E81"/>
    <w:rsid w:val="004A504C"/>
    <w:rsid w:val="004A50F0"/>
    <w:rsid w:val="004A514B"/>
    <w:rsid w:val="004A5200"/>
    <w:rsid w:val="004A5329"/>
    <w:rsid w:val="004A53DD"/>
    <w:rsid w:val="004A5437"/>
    <w:rsid w:val="004A564F"/>
    <w:rsid w:val="004A5668"/>
    <w:rsid w:val="004A575D"/>
    <w:rsid w:val="004A57A6"/>
    <w:rsid w:val="004A57C8"/>
    <w:rsid w:val="004A5F80"/>
    <w:rsid w:val="004A6006"/>
    <w:rsid w:val="004A61B4"/>
    <w:rsid w:val="004A62B2"/>
    <w:rsid w:val="004A632C"/>
    <w:rsid w:val="004A6339"/>
    <w:rsid w:val="004A637C"/>
    <w:rsid w:val="004A63F1"/>
    <w:rsid w:val="004A63F3"/>
    <w:rsid w:val="004A657C"/>
    <w:rsid w:val="004A65AA"/>
    <w:rsid w:val="004A681E"/>
    <w:rsid w:val="004A6993"/>
    <w:rsid w:val="004A69F5"/>
    <w:rsid w:val="004A6AD0"/>
    <w:rsid w:val="004A6B20"/>
    <w:rsid w:val="004A6B4D"/>
    <w:rsid w:val="004A6B9E"/>
    <w:rsid w:val="004A6C54"/>
    <w:rsid w:val="004A6D1A"/>
    <w:rsid w:val="004A6EAB"/>
    <w:rsid w:val="004A6ED0"/>
    <w:rsid w:val="004A7151"/>
    <w:rsid w:val="004A7163"/>
    <w:rsid w:val="004A7231"/>
    <w:rsid w:val="004A72E4"/>
    <w:rsid w:val="004A735B"/>
    <w:rsid w:val="004A7439"/>
    <w:rsid w:val="004A746F"/>
    <w:rsid w:val="004A7533"/>
    <w:rsid w:val="004A7AD9"/>
    <w:rsid w:val="004A7AE6"/>
    <w:rsid w:val="004A7D87"/>
    <w:rsid w:val="004A7E81"/>
    <w:rsid w:val="004A7FF2"/>
    <w:rsid w:val="004AE899"/>
    <w:rsid w:val="004B0001"/>
    <w:rsid w:val="004B010F"/>
    <w:rsid w:val="004B012C"/>
    <w:rsid w:val="004B01E4"/>
    <w:rsid w:val="004B0335"/>
    <w:rsid w:val="004B034D"/>
    <w:rsid w:val="004B0403"/>
    <w:rsid w:val="004B050B"/>
    <w:rsid w:val="004B053D"/>
    <w:rsid w:val="004B06B2"/>
    <w:rsid w:val="004B078B"/>
    <w:rsid w:val="004B08FD"/>
    <w:rsid w:val="004B0915"/>
    <w:rsid w:val="004B0A3F"/>
    <w:rsid w:val="004B0B2B"/>
    <w:rsid w:val="004B0B61"/>
    <w:rsid w:val="004B0BF7"/>
    <w:rsid w:val="004B0C6D"/>
    <w:rsid w:val="004B0F63"/>
    <w:rsid w:val="004B10DC"/>
    <w:rsid w:val="004B12E2"/>
    <w:rsid w:val="004B1485"/>
    <w:rsid w:val="004B15C2"/>
    <w:rsid w:val="004B15F2"/>
    <w:rsid w:val="004B1853"/>
    <w:rsid w:val="004B1BE4"/>
    <w:rsid w:val="004B1C91"/>
    <w:rsid w:val="004B1EAF"/>
    <w:rsid w:val="004B1F3F"/>
    <w:rsid w:val="004B2035"/>
    <w:rsid w:val="004B203E"/>
    <w:rsid w:val="004B21F4"/>
    <w:rsid w:val="004B2267"/>
    <w:rsid w:val="004B2290"/>
    <w:rsid w:val="004B233C"/>
    <w:rsid w:val="004B23C0"/>
    <w:rsid w:val="004B242D"/>
    <w:rsid w:val="004B244A"/>
    <w:rsid w:val="004B2503"/>
    <w:rsid w:val="004B26F3"/>
    <w:rsid w:val="004B2719"/>
    <w:rsid w:val="004B29C8"/>
    <w:rsid w:val="004B2AA5"/>
    <w:rsid w:val="004B2BA2"/>
    <w:rsid w:val="004B2BB2"/>
    <w:rsid w:val="004B2C33"/>
    <w:rsid w:val="004B2C6B"/>
    <w:rsid w:val="004B2D81"/>
    <w:rsid w:val="004B2ED9"/>
    <w:rsid w:val="004B2FEE"/>
    <w:rsid w:val="004B3054"/>
    <w:rsid w:val="004B31D4"/>
    <w:rsid w:val="004B323F"/>
    <w:rsid w:val="004B3523"/>
    <w:rsid w:val="004B3530"/>
    <w:rsid w:val="004B35E8"/>
    <w:rsid w:val="004B360B"/>
    <w:rsid w:val="004B367D"/>
    <w:rsid w:val="004B36C1"/>
    <w:rsid w:val="004B3765"/>
    <w:rsid w:val="004B3800"/>
    <w:rsid w:val="004B3941"/>
    <w:rsid w:val="004B3A99"/>
    <w:rsid w:val="004B3AB4"/>
    <w:rsid w:val="004B3EC4"/>
    <w:rsid w:val="004B3FEC"/>
    <w:rsid w:val="004B40F7"/>
    <w:rsid w:val="004B422D"/>
    <w:rsid w:val="004B4268"/>
    <w:rsid w:val="004B42E5"/>
    <w:rsid w:val="004B42EB"/>
    <w:rsid w:val="004B4566"/>
    <w:rsid w:val="004B457E"/>
    <w:rsid w:val="004B45B4"/>
    <w:rsid w:val="004B462A"/>
    <w:rsid w:val="004B4836"/>
    <w:rsid w:val="004B4ACF"/>
    <w:rsid w:val="004B4B5B"/>
    <w:rsid w:val="004B4BAB"/>
    <w:rsid w:val="004B4C24"/>
    <w:rsid w:val="004B4E18"/>
    <w:rsid w:val="004B4EB4"/>
    <w:rsid w:val="004B4F25"/>
    <w:rsid w:val="004B4F3B"/>
    <w:rsid w:val="004B4FB8"/>
    <w:rsid w:val="004B50BE"/>
    <w:rsid w:val="004B50D0"/>
    <w:rsid w:val="004B50DF"/>
    <w:rsid w:val="004B5190"/>
    <w:rsid w:val="004B51C4"/>
    <w:rsid w:val="004B5226"/>
    <w:rsid w:val="004B53FE"/>
    <w:rsid w:val="004B54C0"/>
    <w:rsid w:val="004B55AF"/>
    <w:rsid w:val="004B562E"/>
    <w:rsid w:val="004B573E"/>
    <w:rsid w:val="004B593A"/>
    <w:rsid w:val="004B5991"/>
    <w:rsid w:val="004B59A2"/>
    <w:rsid w:val="004B5A9D"/>
    <w:rsid w:val="004B5B3A"/>
    <w:rsid w:val="004B5B81"/>
    <w:rsid w:val="004B5BB0"/>
    <w:rsid w:val="004B5D4E"/>
    <w:rsid w:val="004B5EB5"/>
    <w:rsid w:val="004B5FDE"/>
    <w:rsid w:val="004B5FE8"/>
    <w:rsid w:val="004B613D"/>
    <w:rsid w:val="004B639C"/>
    <w:rsid w:val="004B63E9"/>
    <w:rsid w:val="004B6712"/>
    <w:rsid w:val="004B678E"/>
    <w:rsid w:val="004B6847"/>
    <w:rsid w:val="004B685D"/>
    <w:rsid w:val="004B69F9"/>
    <w:rsid w:val="004B6A04"/>
    <w:rsid w:val="004B6A1B"/>
    <w:rsid w:val="004B6A2B"/>
    <w:rsid w:val="004B6A81"/>
    <w:rsid w:val="004B6ADD"/>
    <w:rsid w:val="004B6D4A"/>
    <w:rsid w:val="004B6F1D"/>
    <w:rsid w:val="004B716D"/>
    <w:rsid w:val="004B7233"/>
    <w:rsid w:val="004B7353"/>
    <w:rsid w:val="004B7356"/>
    <w:rsid w:val="004B73A7"/>
    <w:rsid w:val="004B743E"/>
    <w:rsid w:val="004B7459"/>
    <w:rsid w:val="004B74A8"/>
    <w:rsid w:val="004B761F"/>
    <w:rsid w:val="004B76F9"/>
    <w:rsid w:val="004B7B24"/>
    <w:rsid w:val="004B7B95"/>
    <w:rsid w:val="004B7D7B"/>
    <w:rsid w:val="004B7E44"/>
    <w:rsid w:val="004B7FEF"/>
    <w:rsid w:val="004C0184"/>
    <w:rsid w:val="004C018F"/>
    <w:rsid w:val="004C02B0"/>
    <w:rsid w:val="004C04AD"/>
    <w:rsid w:val="004C04BB"/>
    <w:rsid w:val="004C0626"/>
    <w:rsid w:val="004C06A5"/>
    <w:rsid w:val="004C0912"/>
    <w:rsid w:val="004C0924"/>
    <w:rsid w:val="004C0950"/>
    <w:rsid w:val="004C09C4"/>
    <w:rsid w:val="004C0E3D"/>
    <w:rsid w:val="004C0E5B"/>
    <w:rsid w:val="004C0EF3"/>
    <w:rsid w:val="004C1184"/>
    <w:rsid w:val="004C11BF"/>
    <w:rsid w:val="004C13E0"/>
    <w:rsid w:val="004C14FE"/>
    <w:rsid w:val="004C1589"/>
    <w:rsid w:val="004C1837"/>
    <w:rsid w:val="004C1845"/>
    <w:rsid w:val="004C188A"/>
    <w:rsid w:val="004C1971"/>
    <w:rsid w:val="004C19EA"/>
    <w:rsid w:val="004C1AEC"/>
    <w:rsid w:val="004C1C44"/>
    <w:rsid w:val="004C1C7F"/>
    <w:rsid w:val="004C1E28"/>
    <w:rsid w:val="004C1E51"/>
    <w:rsid w:val="004C1F00"/>
    <w:rsid w:val="004C223A"/>
    <w:rsid w:val="004C2334"/>
    <w:rsid w:val="004C2849"/>
    <w:rsid w:val="004C2939"/>
    <w:rsid w:val="004C295E"/>
    <w:rsid w:val="004C2AA9"/>
    <w:rsid w:val="004C2B75"/>
    <w:rsid w:val="004C2B97"/>
    <w:rsid w:val="004C2CED"/>
    <w:rsid w:val="004C2FDA"/>
    <w:rsid w:val="004C2FDF"/>
    <w:rsid w:val="004C3042"/>
    <w:rsid w:val="004C30DE"/>
    <w:rsid w:val="004C316E"/>
    <w:rsid w:val="004C3279"/>
    <w:rsid w:val="004C344B"/>
    <w:rsid w:val="004C3581"/>
    <w:rsid w:val="004C35E6"/>
    <w:rsid w:val="004C3634"/>
    <w:rsid w:val="004C364D"/>
    <w:rsid w:val="004C37FC"/>
    <w:rsid w:val="004C3875"/>
    <w:rsid w:val="004C396F"/>
    <w:rsid w:val="004C3F17"/>
    <w:rsid w:val="004C3F56"/>
    <w:rsid w:val="004C3FB5"/>
    <w:rsid w:val="004C3FE5"/>
    <w:rsid w:val="004C41C9"/>
    <w:rsid w:val="004C4492"/>
    <w:rsid w:val="004C45A2"/>
    <w:rsid w:val="004C4605"/>
    <w:rsid w:val="004C4933"/>
    <w:rsid w:val="004C4A4A"/>
    <w:rsid w:val="004C4B62"/>
    <w:rsid w:val="004C4BED"/>
    <w:rsid w:val="004C4CFE"/>
    <w:rsid w:val="004C4EA9"/>
    <w:rsid w:val="004C502A"/>
    <w:rsid w:val="004C503C"/>
    <w:rsid w:val="004C5044"/>
    <w:rsid w:val="004C5101"/>
    <w:rsid w:val="004C5155"/>
    <w:rsid w:val="004C515E"/>
    <w:rsid w:val="004C5221"/>
    <w:rsid w:val="004C5251"/>
    <w:rsid w:val="004C53BF"/>
    <w:rsid w:val="004C5502"/>
    <w:rsid w:val="004C559E"/>
    <w:rsid w:val="004C55CA"/>
    <w:rsid w:val="004C55E6"/>
    <w:rsid w:val="004C5609"/>
    <w:rsid w:val="004C5620"/>
    <w:rsid w:val="004C563F"/>
    <w:rsid w:val="004C5B13"/>
    <w:rsid w:val="004C5B74"/>
    <w:rsid w:val="004C5CAA"/>
    <w:rsid w:val="004C5DEA"/>
    <w:rsid w:val="004C5E3A"/>
    <w:rsid w:val="004C61AE"/>
    <w:rsid w:val="004C63D4"/>
    <w:rsid w:val="004C6482"/>
    <w:rsid w:val="004C6521"/>
    <w:rsid w:val="004C6711"/>
    <w:rsid w:val="004C67EE"/>
    <w:rsid w:val="004C68B3"/>
    <w:rsid w:val="004C69C7"/>
    <w:rsid w:val="004C6A4C"/>
    <w:rsid w:val="004C6B13"/>
    <w:rsid w:val="004C6B65"/>
    <w:rsid w:val="004C6B6F"/>
    <w:rsid w:val="004C6CB3"/>
    <w:rsid w:val="004C6D68"/>
    <w:rsid w:val="004C6EAA"/>
    <w:rsid w:val="004C6FC7"/>
    <w:rsid w:val="004C70A9"/>
    <w:rsid w:val="004C71F4"/>
    <w:rsid w:val="004C73B8"/>
    <w:rsid w:val="004C7410"/>
    <w:rsid w:val="004C74C3"/>
    <w:rsid w:val="004C7614"/>
    <w:rsid w:val="004C7739"/>
    <w:rsid w:val="004C78CA"/>
    <w:rsid w:val="004C78F5"/>
    <w:rsid w:val="004C7A1B"/>
    <w:rsid w:val="004C7A26"/>
    <w:rsid w:val="004C7B20"/>
    <w:rsid w:val="004C7C62"/>
    <w:rsid w:val="004C7CB9"/>
    <w:rsid w:val="004C7CD4"/>
    <w:rsid w:val="004C7DBF"/>
    <w:rsid w:val="004D0077"/>
    <w:rsid w:val="004D026F"/>
    <w:rsid w:val="004D0317"/>
    <w:rsid w:val="004D034F"/>
    <w:rsid w:val="004D03D4"/>
    <w:rsid w:val="004D0551"/>
    <w:rsid w:val="004D05D6"/>
    <w:rsid w:val="004D0699"/>
    <w:rsid w:val="004D06F6"/>
    <w:rsid w:val="004D07BB"/>
    <w:rsid w:val="004D0898"/>
    <w:rsid w:val="004D0B83"/>
    <w:rsid w:val="004D0C5F"/>
    <w:rsid w:val="004D0F9F"/>
    <w:rsid w:val="004D11AB"/>
    <w:rsid w:val="004D1285"/>
    <w:rsid w:val="004D12F4"/>
    <w:rsid w:val="004D13B6"/>
    <w:rsid w:val="004D1405"/>
    <w:rsid w:val="004D142D"/>
    <w:rsid w:val="004D1515"/>
    <w:rsid w:val="004D156C"/>
    <w:rsid w:val="004D159C"/>
    <w:rsid w:val="004D15E7"/>
    <w:rsid w:val="004D16D8"/>
    <w:rsid w:val="004D1707"/>
    <w:rsid w:val="004D17FB"/>
    <w:rsid w:val="004D195F"/>
    <w:rsid w:val="004D1A8D"/>
    <w:rsid w:val="004D1ACA"/>
    <w:rsid w:val="004D1AF8"/>
    <w:rsid w:val="004D1BE1"/>
    <w:rsid w:val="004D1CAE"/>
    <w:rsid w:val="004D1CF2"/>
    <w:rsid w:val="004D1EC0"/>
    <w:rsid w:val="004D1FBE"/>
    <w:rsid w:val="004D1FEA"/>
    <w:rsid w:val="004D22D1"/>
    <w:rsid w:val="004D2725"/>
    <w:rsid w:val="004D2742"/>
    <w:rsid w:val="004D29C3"/>
    <w:rsid w:val="004D2A15"/>
    <w:rsid w:val="004D2AA8"/>
    <w:rsid w:val="004D2AB8"/>
    <w:rsid w:val="004D2AE9"/>
    <w:rsid w:val="004D2BC2"/>
    <w:rsid w:val="004D2C4C"/>
    <w:rsid w:val="004D2CEC"/>
    <w:rsid w:val="004D2D38"/>
    <w:rsid w:val="004D2E1D"/>
    <w:rsid w:val="004D2E8B"/>
    <w:rsid w:val="004D2FB5"/>
    <w:rsid w:val="004D3017"/>
    <w:rsid w:val="004D306A"/>
    <w:rsid w:val="004D3104"/>
    <w:rsid w:val="004D31E2"/>
    <w:rsid w:val="004D3300"/>
    <w:rsid w:val="004D331C"/>
    <w:rsid w:val="004D35FD"/>
    <w:rsid w:val="004D3688"/>
    <w:rsid w:val="004D3742"/>
    <w:rsid w:val="004D38C7"/>
    <w:rsid w:val="004D3953"/>
    <w:rsid w:val="004D39FB"/>
    <w:rsid w:val="004D3A20"/>
    <w:rsid w:val="004D3A3A"/>
    <w:rsid w:val="004D3AC9"/>
    <w:rsid w:val="004D3B0C"/>
    <w:rsid w:val="004D3BEB"/>
    <w:rsid w:val="004D3C7E"/>
    <w:rsid w:val="004D3CD6"/>
    <w:rsid w:val="004D3D4E"/>
    <w:rsid w:val="004D3DD5"/>
    <w:rsid w:val="004D3FF4"/>
    <w:rsid w:val="004D4239"/>
    <w:rsid w:val="004D42D6"/>
    <w:rsid w:val="004D43E0"/>
    <w:rsid w:val="004D4495"/>
    <w:rsid w:val="004D45B3"/>
    <w:rsid w:val="004D45FF"/>
    <w:rsid w:val="004D4639"/>
    <w:rsid w:val="004D48AC"/>
    <w:rsid w:val="004D4919"/>
    <w:rsid w:val="004D4A41"/>
    <w:rsid w:val="004D4B59"/>
    <w:rsid w:val="004D4BEE"/>
    <w:rsid w:val="004D4CE5"/>
    <w:rsid w:val="004D4EA2"/>
    <w:rsid w:val="004D4EAA"/>
    <w:rsid w:val="004D4ED3"/>
    <w:rsid w:val="004D4F95"/>
    <w:rsid w:val="004D5047"/>
    <w:rsid w:val="004D50D5"/>
    <w:rsid w:val="004D513C"/>
    <w:rsid w:val="004D5422"/>
    <w:rsid w:val="004D55E1"/>
    <w:rsid w:val="004D5797"/>
    <w:rsid w:val="004D59F2"/>
    <w:rsid w:val="004D5ECB"/>
    <w:rsid w:val="004D5F70"/>
    <w:rsid w:val="004D5F7D"/>
    <w:rsid w:val="004D5F89"/>
    <w:rsid w:val="004D6083"/>
    <w:rsid w:val="004D60B9"/>
    <w:rsid w:val="004D60D7"/>
    <w:rsid w:val="004D61DF"/>
    <w:rsid w:val="004D6230"/>
    <w:rsid w:val="004D6271"/>
    <w:rsid w:val="004D6456"/>
    <w:rsid w:val="004D65FE"/>
    <w:rsid w:val="004D6721"/>
    <w:rsid w:val="004D6798"/>
    <w:rsid w:val="004D679D"/>
    <w:rsid w:val="004D6878"/>
    <w:rsid w:val="004D696E"/>
    <w:rsid w:val="004D69D7"/>
    <w:rsid w:val="004D6A87"/>
    <w:rsid w:val="004D6AAC"/>
    <w:rsid w:val="004D6AD4"/>
    <w:rsid w:val="004D6B3F"/>
    <w:rsid w:val="004D6BBD"/>
    <w:rsid w:val="004D6BD9"/>
    <w:rsid w:val="004D6C53"/>
    <w:rsid w:val="004D6E9C"/>
    <w:rsid w:val="004D6EEF"/>
    <w:rsid w:val="004D6F88"/>
    <w:rsid w:val="004D6F8F"/>
    <w:rsid w:val="004D6FC0"/>
    <w:rsid w:val="004D6FEA"/>
    <w:rsid w:val="004D717C"/>
    <w:rsid w:val="004D71EB"/>
    <w:rsid w:val="004D72E8"/>
    <w:rsid w:val="004D753F"/>
    <w:rsid w:val="004D7562"/>
    <w:rsid w:val="004D75A8"/>
    <w:rsid w:val="004D767E"/>
    <w:rsid w:val="004D7738"/>
    <w:rsid w:val="004D7824"/>
    <w:rsid w:val="004D783C"/>
    <w:rsid w:val="004D7893"/>
    <w:rsid w:val="004D79DB"/>
    <w:rsid w:val="004D7ADA"/>
    <w:rsid w:val="004D7B86"/>
    <w:rsid w:val="004D7B9B"/>
    <w:rsid w:val="004D7C33"/>
    <w:rsid w:val="004D7D9A"/>
    <w:rsid w:val="004D7EC1"/>
    <w:rsid w:val="004D7ED2"/>
    <w:rsid w:val="004D7FEC"/>
    <w:rsid w:val="004E00E6"/>
    <w:rsid w:val="004E01D7"/>
    <w:rsid w:val="004E052B"/>
    <w:rsid w:val="004E062C"/>
    <w:rsid w:val="004E0688"/>
    <w:rsid w:val="004E0771"/>
    <w:rsid w:val="004E0790"/>
    <w:rsid w:val="004E098F"/>
    <w:rsid w:val="004E0A16"/>
    <w:rsid w:val="004E0C67"/>
    <w:rsid w:val="004E0F65"/>
    <w:rsid w:val="004E0FCA"/>
    <w:rsid w:val="004E1031"/>
    <w:rsid w:val="004E108E"/>
    <w:rsid w:val="004E1161"/>
    <w:rsid w:val="004E1274"/>
    <w:rsid w:val="004E1365"/>
    <w:rsid w:val="004E13BD"/>
    <w:rsid w:val="004E14A3"/>
    <w:rsid w:val="004E1521"/>
    <w:rsid w:val="004E1814"/>
    <w:rsid w:val="004E184D"/>
    <w:rsid w:val="004E188F"/>
    <w:rsid w:val="004E18E8"/>
    <w:rsid w:val="004E19C6"/>
    <w:rsid w:val="004E19E6"/>
    <w:rsid w:val="004E1C8D"/>
    <w:rsid w:val="004E1DC8"/>
    <w:rsid w:val="004E1EA4"/>
    <w:rsid w:val="004E1EE8"/>
    <w:rsid w:val="004E209A"/>
    <w:rsid w:val="004E229F"/>
    <w:rsid w:val="004E2346"/>
    <w:rsid w:val="004E2353"/>
    <w:rsid w:val="004E265B"/>
    <w:rsid w:val="004E27F1"/>
    <w:rsid w:val="004E281C"/>
    <w:rsid w:val="004E2868"/>
    <w:rsid w:val="004E28C3"/>
    <w:rsid w:val="004E29A0"/>
    <w:rsid w:val="004E29A2"/>
    <w:rsid w:val="004E2A53"/>
    <w:rsid w:val="004E2B40"/>
    <w:rsid w:val="004E2C21"/>
    <w:rsid w:val="004E2C3A"/>
    <w:rsid w:val="004E2CFF"/>
    <w:rsid w:val="004E2D74"/>
    <w:rsid w:val="004E3047"/>
    <w:rsid w:val="004E3075"/>
    <w:rsid w:val="004E30C4"/>
    <w:rsid w:val="004E3126"/>
    <w:rsid w:val="004E3479"/>
    <w:rsid w:val="004E34A7"/>
    <w:rsid w:val="004E34C4"/>
    <w:rsid w:val="004E359C"/>
    <w:rsid w:val="004E3672"/>
    <w:rsid w:val="004E380D"/>
    <w:rsid w:val="004E387D"/>
    <w:rsid w:val="004E393B"/>
    <w:rsid w:val="004E39DB"/>
    <w:rsid w:val="004E3AF6"/>
    <w:rsid w:val="004E3B8E"/>
    <w:rsid w:val="004E3D21"/>
    <w:rsid w:val="004E3E0C"/>
    <w:rsid w:val="004E3E14"/>
    <w:rsid w:val="004E40F7"/>
    <w:rsid w:val="004E4127"/>
    <w:rsid w:val="004E421F"/>
    <w:rsid w:val="004E42A6"/>
    <w:rsid w:val="004E432D"/>
    <w:rsid w:val="004E43A9"/>
    <w:rsid w:val="004E450D"/>
    <w:rsid w:val="004E4565"/>
    <w:rsid w:val="004E45A4"/>
    <w:rsid w:val="004E4924"/>
    <w:rsid w:val="004E4AB5"/>
    <w:rsid w:val="004E4D41"/>
    <w:rsid w:val="004E4D7F"/>
    <w:rsid w:val="004E4D82"/>
    <w:rsid w:val="004E5234"/>
    <w:rsid w:val="004E5255"/>
    <w:rsid w:val="004E529E"/>
    <w:rsid w:val="004E5338"/>
    <w:rsid w:val="004E5615"/>
    <w:rsid w:val="004E5661"/>
    <w:rsid w:val="004E5772"/>
    <w:rsid w:val="004E5818"/>
    <w:rsid w:val="004E582D"/>
    <w:rsid w:val="004E58AA"/>
    <w:rsid w:val="004E58DB"/>
    <w:rsid w:val="004E59D1"/>
    <w:rsid w:val="004E5A53"/>
    <w:rsid w:val="004E5AFC"/>
    <w:rsid w:val="004E5BA8"/>
    <w:rsid w:val="004E5CEE"/>
    <w:rsid w:val="004E5D9A"/>
    <w:rsid w:val="004E5DF5"/>
    <w:rsid w:val="004E5F71"/>
    <w:rsid w:val="004E600A"/>
    <w:rsid w:val="004E6064"/>
    <w:rsid w:val="004E607B"/>
    <w:rsid w:val="004E613A"/>
    <w:rsid w:val="004E61FE"/>
    <w:rsid w:val="004E646A"/>
    <w:rsid w:val="004E64C3"/>
    <w:rsid w:val="004E6564"/>
    <w:rsid w:val="004E6693"/>
    <w:rsid w:val="004E6727"/>
    <w:rsid w:val="004E673A"/>
    <w:rsid w:val="004E68A1"/>
    <w:rsid w:val="004E6940"/>
    <w:rsid w:val="004E69B7"/>
    <w:rsid w:val="004E6A39"/>
    <w:rsid w:val="004E6A4B"/>
    <w:rsid w:val="004E6AAC"/>
    <w:rsid w:val="004E6B59"/>
    <w:rsid w:val="004E6E90"/>
    <w:rsid w:val="004E7053"/>
    <w:rsid w:val="004E7068"/>
    <w:rsid w:val="004E7072"/>
    <w:rsid w:val="004E70F2"/>
    <w:rsid w:val="004E712F"/>
    <w:rsid w:val="004E7152"/>
    <w:rsid w:val="004E72AB"/>
    <w:rsid w:val="004E72DE"/>
    <w:rsid w:val="004E742C"/>
    <w:rsid w:val="004E771F"/>
    <w:rsid w:val="004E7770"/>
    <w:rsid w:val="004E7825"/>
    <w:rsid w:val="004E7B40"/>
    <w:rsid w:val="004E7BF4"/>
    <w:rsid w:val="004E7D12"/>
    <w:rsid w:val="004E7D25"/>
    <w:rsid w:val="004E7D93"/>
    <w:rsid w:val="004E7E6C"/>
    <w:rsid w:val="004E7E96"/>
    <w:rsid w:val="004E7EB6"/>
    <w:rsid w:val="004E7F6C"/>
    <w:rsid w:val="004F001D"/>
    <w:rsid w:val="004F0115"/>
    <w:rsid w:val="004F026A"/>
    <w:rsid w:val="004F02A5"/>
    <w:rsid w:val="004F034B"/>
    <w:rsid w:val="004F049E"/>
    <w:rsid w:val="004F04B6"/>
    <w:rsid w:val="004F06A8"/>
    <w:rsid w:val="004F074D"/>
    <w:rsid w:val="004F085B"/>
    <w:rsid w:val="004F08B5"/>
    <w:rsid w:val="004F096E"/>
    <w:rsid w:val="004F0970"/>
    <w:rsid w:val="004F09BD"/>
    <w:rsid w:val="004F09D2"/>
    <w:rsid w:val="004F0A11"/>
    <w:rsid w:val="004F0ACC"/>
    <w:rsid w:val="004F0B42"/>
    <w:rsid w:val="004F0B7B"/>
    <w:rsid w:val="004F0BFC"/>
    <w:rsid w:val="004F0C3A"/>
    <w:rsid w:val="004F0CA1"/>
    <w:rsid w:val="004F0DF6"/>
    <w:rsid w:val="004F0E83"/>
    <w:rsid w:val="004F0F17"/>
    <w:rsid w:val="004F10AA"/>
    <w:rsid w:val="004F10E1"/>
    <w:rsid w:val="004F1144"/>
    <w:rsid w:val="004F11FF"/>
    <w:rsid w:val="004F13BF"/>
    <w:rsid w:val="004F145D"/>
    <w:rsid w:val="004F150D"/>
    <w:rsid w:val="004F16A8"/>
    <w:rsid w:val="004F17C8"/>
    <w:rsid w:val="004F1806"/>
    <w:rsid w:val="004F1855"/>
    <w:rsid w:val="004F1867"/>
    <w:rsid w:val="004F1BA4"/>
    <w:rsid w:val="004F1D82"/>
    <w:rsid w:val="004F1F39"/>
    <w:rsid w:val="004F1F50"/>
    <w:rsid w:val="004F1F9B"/>
    <w:rsid w:val="004F24A5"/>
    <w:rsid w:val="004F24DC"/>
    <w:rsid w:val="004F2750"/>
    <w:rsid w:val="004F2752"/>
    <w:rsid w:val="004F27AB"/>
    <w:rsid w:val="004F27F5"/>
    <w:rsid w:val="004F287B"/>
    <w:rsid w:val="004F2982"/>
    <w:rsid w:val="004F2A3C"/>
    <w:rsid w:val="004F2A63"/>
    <w:rsid w:val="004F2B1C"/>
    <w:rsid w:val="004F2B2F"/>
    <w:rsid w:val="004F2B49"/>
    <w:rsid w:val="004F2C9D"/>
    <w:rsid w:val="004F2DD1"/>
    <w:rsid w:val="004F2E18"/>
    <w:rsid w:val="004F2E67"/>
    <w:rsid w:val="004F2FA4"/>
    <w:rsid w:val="004F313E"/>
    <w:rsid w:val="004F32EE"/>
    <w:rsid w:val="004F355E"/>
    <w:rsid w:val="004F366B"/>
    <w:rsid w:val="004F36D7"/>
    <w:rsid w:val="004F3A0A"/>
    <w:rsid w:val="004F3A2F"/>
    <w:rsid w:val="004F3B69"/>
    <w:rsid w:val="004F3C17"/>
    <w:rsid w:val="004F3C35"/>
    <w:rsid w:val="004F3C68"/>
    <w:rsid w:val="004F3D19"/>
    <w:rsid w:val="004F3D84"/>
    <w:rsid w:val="004F3DE2"/>
    <w:rsid w:val="004F3E64"/>
    <w:rsid w:val="004F3E81"/>
    <w:rsid w:val="004F3E9C"/>
    <w:rsid w:val="004F3EF2"/>
    <w:rsid w:val="004F3F8D"/>
    <w:rsid w:val="004F403A"/>
    <w:rsid w:val="004F417A"/>
    <w:rsid w:val="004F42E8"/>
    <w:rsid w:val="004F458B"/>
    <w:rsid w:val="004F45CF"/>
    <w:rsid w:val="004F46D3"/>
    <w:rsid w:val="004F4813"/>
    <w:rsid w:val="004F4B6D"/>
    <w:rsid w:val="004F4BEA"/>
    <w:rsid w:val="004F4C1D"/>
    <w:rsid w:val="004F4D11"/>
    <w:rsid w:val="004F4D1C"/>
    <w:rsid w:val="004F4D40"/>
    <w:rsid w:val="004F4D80"/>
    <w:rsid w:val="004F4EE4"/>
    <w:rsid w:val="004F5393"/>
    <w:rsid w:val="004F5468"/>
    <w:rsid w:val="004F54AE"/>
    <w:rsid w:val="004F54E4"/>
    <w:rsid w:val="004F54EB"/>
    <w:rsid w:val="004F5575"/>
    <w:rsid w:val="004F56B9"/>
    <w:rsid w:val="004F5822"/>
    <w:rsid w:val="004F58E7"/>
    <w:rsid w:val="004F59DD"/>
    <w:rsid w:val="004F5B15"/>
    <w:rsid w:val="004F5B65"/>
    <w:rsid w:val="004F5BFE"/>
    <w:rsid w:val="004F5DA1"/>
    <w:rsid w:val="004F60E7"/>
    <w:rsid w:val="004F6137"/>
    <w:rsid w:val="004F6278"/>
    <w:rsid w:val="004F644B"/>
    <w:rsid w:val="004F64D3"/>
    <w:rsid w:val="004F670F"/>
    <w:rsid w:val="004F692B"/>
    <w:rsid w:val="004F69E4"/>
    <w:rsid w:val="004F6AE2"/>
    <w:rsid w:val="004F6D0A"/>
    <w:rsid w:val="004F6F5F"/>
    <w:rsid w:val="004F6FD9"/>
    <w:rsid w:val="004F7155"/>
    <w:rsid w:val="004F71CB"/>
    <w:rsid w:val="004F72D5"/>
    <w:rsid w:val="004F732F"/>
    <w:rsid w:val="004F73A4"/>
    <w:rsid w:val="004F74FD"/>
    <w:rsid w:val="004F7513"/>
    <w:rsid w:val="004F75E9"/>
    <w:rsid w:val="004F76CA"/>
    <w:rsid w:val="004F7718"/>
    <w:rsid w:val="004F7859"/>
    <w:rsid w:val="004F7A9A"/>
    <w:rsid w:val="004F7B68"/>
    <w:rsid w:val="004F7B7F"/>
    <w:rsid w:val="004F7B90"/>
    <w:rsid w:val="004F7BE8"/>
    <w:rsid w:val="004F7CA2"/>
    <w:rsid w:val="004F7DC6"/>
    <w:rsid w:val="004F7E1A"/>
    <w:rsid w:val="004F7E5A"/>
    <w:rsid w:val="004F7EED"/>
    <w:rsid w:val="004F7F5A"/>
    <w:rsid w:val="004F7FA9"/>
    <w:rsid w:val="00500145"/>
    <w:rsid w:val="00500314"/>
    <w:rsid w:val="005003AC"/>
    <w:rsid w:val="005005DB"/>
    <w:rsid w:val="00500712"/>
    <w:rsid w:val="00500769"/>
    <w:rsid w:val="00500811"/>
    <w:rsid w:val="00500995"/>
    <w:rsid w:val="0050099A"/>
    <w:rsid w:val="0050099F"/>
    <w:rsid w:val="00500A52"/>
    <w:rsid w:val="00500AA4"/>
    <w:rsid w:val="00500AD1"/>
    <w:rsid w:val="00500B1F"/>
    <w:rsid w:val="00500B7A"/>
    <w:rsid w:val="00500CCD"/>
    <w:rsid w:val="00500D49"/>
    <w:rsid w:val="00500D8C"/>
    <w:rsid w:val="00500DBF"/>
    <w:rsid w:val="00500DDE"/>
    <w:rsid w:val="00500E65"/>
    <w:rsid w:val="00501027"/>
    <w:rsid w:val="00501145"/>
    <w:rsid w:val="00501215"/>
    <w:rsid w:val="00501285"/>
    <w:rsid w:val="00501315"/>
    <w:rsid w:val="0050133D"/>
    <w:rsid w:val="0050136D"/>
    <w:rsid w:val="00501609"/>
    <w:rsid w:val="00501620"/>
    <w:rsid w:val="005016AA"/>
    <w:rsid w:val="00501700"/>
    <w:rsid w:val="00501799"/>
    <w:rsid w:val="005017AB"/>
    <w:rsid w:val="0050189E"/>
    <w:rsid w:val="005019AB"/>
    <w:rsid w:val="00501A9B"/>
    <w:rsid w:val="00501D7A"/>
    <w:rsid w:val="00501E8D"/>
    <w:rsid w:val="00501EB3"/>
    <w:rsid w:val="00501FDD"/>
    <w:rsid w:val="00502046"/>
    <w:rsid w:val="005020A4"/>
    <w:rsid w:val="00502209"/>
    <w:rsid w:val="005022D5"/>
    <w:rsid w:val="0050244E"/>
    <w:rsid w:val="00502519"/>
    <w:rsid w:val="00502628"/>
    <w:rsid w:val="0050262F"/>
    <w:rsid w:val="00502667"/>
    <w:rsid w:val="005026E2"/>
    <w:rsid w:val="005027CC"/>
    <w:rsid w:val="0050296B"/>
    <w:rsid w:val="00502980"/>
    <w:rsid w:val="00502A3E"/>
    <w:rsid w:val="00502B9D"/>
    <w:rsid w:val="00502D08"/>
    <w:rsid w:val="00502ED9"/>
    <w:rsid w:val="00502F5B"/>
    <w:rsid w:val="00502FFB"/>
    <w:rsid w:val="0050329F"/>
    <w:rsid w:val="00503347"/>
    <w:rsid w:val="00503382"/>
    <w:rsid w:val="005033A4"/>
    <w:rsid w:val="00503480"/>
    <w:rsid w:val="0050359E"/>
    <w:rsid w:val="005035C5"/>
    <w:rsid w:val="0050370F"/>
    <w:rsid w:val="0050388B"/>
    <w:rsid w:val="00503929"/>
    <w:rsid w:val="005039D2"/>
    <w:rsid w:val="00503AAF"/>
    <w:rsid w:val="00503B47"/>
    <w:rsid w:val="00503B88"/>
    <w:rsid w:val="00503C62"/>
    <w:rsid w:val="00503EAC"/>
    <w:rsid w:val="00503EE7"/>
    <w:rsid w:val="0050418D"/>
    <w:rsid w:val="005041B9"/>
    <w:rsid w:val="00504204"/>
    <w:rsid w:val="005043F0"/>
    <w:rsid w:val="0050442A"/>
    <w:rsid w:val="00504550"/>
    <w:rsid w:val="0050478E"/>
    <w:rsid w:val="00504823"/>
    <w:rsid w:val="00504856"/>
    <w:rsid w:val="00504ACE"/>
    <w:rsid w:val="00504BCB"/>
    <w:rsid w:val="00504CCD"/>
    <w:rsid w:val="00504CED"/>
    <w:rsid w:val="00504DF7"/>
    <w:rsid w:val="00504E06"/>
    <w:rsid w:val="00504E66"/>
    <w:rsid w:val="00504F54"/>
    <w:rsid w:val="005050BE"/>
    <w:rsid w:val="005051FE"/>
    <w:rsid w:val="00505306"/>
    <w:rsid w:val="00505343"/>
    <w:rsid w:val="005053B6"/>
    <w:rsid w:val="00505439"/>
    <w:rsid w:val="00505482"/>
    <w:rsid w:val="00505512"/>
    <w:rsid w:val="0050581C"/>
    <w:rsid w:val="005058B8"/>
    <w:rsid w:val="00505B66"/>
    <w:rsid w:val="00505BB3"/>
    <w:rsid w:val="00505E7D"/>
    <w:rsid w:val="00505E9D"/>
    <w:rsid w:val="00505F14"/>
    <w:rsid w:val="00505FF7"/>
    <w:rsid w:val="00506087"/>
    <w:rsid w:val="005060FF"/>
    <w:rsid w:val="00506126"/>
    <w:rsid w:val="005061C1"/>
    <w:rsid w:val="00506357"/>
    <w:rsid w:val="005065D1"/>
    <w:rsid w:val="0050664D"/>
    <w:rsid w:val="005066FD"/>
    <w:rsid w:val="0050684A"/>
    <w:rsid w:val="005068CB"/>
    <w:rsid w:val="005069AD"/>
    <w:rsid w:val="00506DC5"/>
    <w:rsid w:val="005071F2"/>
    <w:rsid w:val="00507216"/>
    <w:rsid w:val="005072DB"/>
    <w:rsid w:val="00507300"/>
    <w:rsid w:val="00507368"/>
    <w:rsid w:val="005073DC"/>
    <w:rsid w:val="0050758A"/>
    <w:rsid w:val="005075D6"/>
    <w:rsid w:val="005077EB"/>
    <w:rsid w:val="0050789E"/>
    <w:rsid w:val="0050792B"/>
    <w:rsid w:val="00507985"/>
    <w:rsid w:val="00507A25"/>
    <w:rsid w:val="00507D4C"/>
    <w:rsid w:val="00507D7D"/>
    <w:rsid w:val="00507EB9"/>
    <w:rsid w:val="00510042"/>
    <w:rsid w:val="00510046"/>
    <w:rsid w:val="0051021A"/>
    <w:rsid w:val="005102B2"/>
    <w:rsid w:val="005103B7"/>
    <w:rsid w:val="005104F0"/>
    <w:rsid w:val="005105EA"/>
    <w:rsid w:val="00510769"/>
    <w:rsid w:val="005107A7"/>
    <w:rsid w:val="005108F6"/>
    <w:rsid w:val="00510A44"/>
    <w:rsid w:val="00510A4B"/>
    <w:rsid w:val="00510AB3"/>
    <w:rsid w:val="00510CFB"/>
    <w:rsid w:val="00510DF4"/>
    <w:rsid w:val="00510EC7"/>
    <w:rsid w:val="00510F46"/>
    <w:rsid w:val="00511010"/>
    <w:rsid w:val="00511116"/>
    <w:rsid w:val="005115A1"/>
    <w:rsid w:val="00511648"/>
    <w:rsid w:val="00511697"/>
    <w:rsid w:val="005116FB"/>
    <w:rsid w:val="00511723"/>
    <w:rsid w:val="00511A15"/>
    <w:rsid w:val="00511AF3"/>
    <w:rsid w:val="00511CF1"/>
    <w:rsid w:val="0051218C"/>
    <w:rsid w:val="005121F7"/>
    <w:rsid w:val="005123A7"/>
    <w:rsid w:val="005123C5"/>
    <w:rsid w:val="005123E7"/>
    <w:rsid w:val="00512483"/>
    <w:rsid w:val="00512909"/>
    <w:rsid w:val="0051295E"/>
    <w:rsid w:val="00512A4F"/>
    <w:rsid w:val="00512AEA"/>
    <w:rsid w:val="00512B13"/>
    <w:rsid w:val="00512CD3"/>
    <w:rsid w:val="00512D03"/>
    <w:rsid w:val="00512E3A"/>
    <w:rsid w:val="00512E62"/>
    <w:rsid w:val="00512F75"/>
    <w:rsid w:val="0051316A"/>
    <w:rsid w:val="005131F8"/>
    <w:rsid w:val="005132E2"/>
    <w:rsid w:val="00513367"/>
    <w:rsid w:val="005134A4"/>
    <w:rsid w:val="00513699"/>
    <w:rsid w:val="00513935"/>
    <w:rsid w:val="005139B6"/>
    <w:rsid w:val="00513A28"/>
    <w:rsid w:val="00513BDC"/>
    <w:rsid w:val="00513BF2"/>
    <w:rsid w:val="00513CD0"/>
    <w:rsid w:val="00513D13"/>
    <w:rsid w:val="00513DD0"/>
    <w:rsid w:val="005140EF"/>
    <w:rsid w:val="005140F7"/>
    <w:rsid w:val="005141A7"/>
    <w:rsid w:val="005141B2"/>
    <w:rsid w:val="005141E1"/>
    <w:rsid w:val="005142AB"/>
    <w:rsid w:val="005142BB"/>
    <w:rsid w:val="00514398"/>
    <w:rsid w:val="00514466"/>
    <w:rsid w:val="0051448D"/>
    <w:rsid w:val="005144FA"/>
    <w:rsid w:val="005148F0"/>
    <w:rsid w:val="005149EB"/>
    <w:rsid w:val="00514A82"/>
    <w:rsid w:val="00514ABA"/>
    <w:rsid w:val="00514B52"/>
    <w:rsid w:val="00514C72"/>
    <w:rsid w:val="00514C74"/>
    <w:rsid w:val="00514C8C"/>
    <w:rsid w:val="00514DF7"/>
    <w:rsid w:val="00514E2D"/>
    <w:rsid w:val="00514E34"/>
    <w:rsid w:val="00514E50"/>
    <w:rsid w:val="00514F0D"/>
    <w:rsid w:val="00515080"/>
    <w:rsid w:val="00515161"/>
    <w:rsid w:val="0051517B"/>
    <w:rsid w:val="0051542E"/>
    <w:rsid w:val="00515450"/>
    <w:rsid w:val="00515592"/>
    <w:rsid w:val="005155DF"/>
    <w:rsid w:val="00515777"/>
    <w:rsid w:val="005157AF"/>
    <w:rsid w:val="0051588B"/>
    <w:rsid w:val="00515A3C"/>
    <w:rsid w:val="00515A78"/>
    <w:rsid w:val="00515B5A"/>
    <w:rsid w:val="00515CB1"/>
    <w:rsid w:val="00515DB6"/>
    <w:rsid w:val="00515EAA"/>
    <w:rsid w:val="00515EBD"/>
    <w:rsid w:val="00515EF5"/>
    <w:rsid w:val="00516127"/>
    <w:rsid w:val="00516156"/>
    <w:rsid w:val="005161CE"/>
    <w:rsid w:val="00516299"/>
    <w:rsid w:val="005162AB"/>
    <w:rsid w:val="005162D3"/>
    <w:rsid w:val="005162FD"/>
    <w:rsid w:val="00516376"/>
    <w:rsid w:val="0051673F"/>
    <w:rsid w:val="0051695E"/>
    <w:rsid w:val="00516A5E"/>
    <w:rsid w:val="00516B52"/>
    <w:rsid w:val="00516C8D"/>
    <w:rsid w:val="00516DA4"/>
    <w:rsid w:val="00516F6B"/>
    <w:rsid w:val="00516FCA"/>
    <w:rsid w:val="00517010"/>
    <w:rsid w:val="005170B0"/>
    <w:rsid w:val="00517201"/>
    <w:rsid w:val="00517202"/>
    <w:rsid w:val="00517248"/>
    <w:rsid w:val="00517446"/>
    <w:rsid w:val="0051754F"/>
    <w:rsid w:val="005176CF"/>
    <w:rsid w:val="005177F3"/>
    <w:rsid w:val="005177F6"/>
    <w:rsid w:val="00517B1F"/>
    <w:rsid w:val="00517B22"/>
    <w:rsid w:val="00517BC7"/>
    <w:rsid w:val="00517CC8"/>
    <w:rsid w:val="00520006"/>
    <w:rsid w:val="00520168"/>
    <w:rsid w:val="005201F8"/>
    <w:rsid w:val="00520836"/>
    <w:rsid w:val="0052084E"/>
    <w:rsid w:val="005209D0"/>
    <w:rsid w:val="00520A76"/>
    <w:rsid w:val="00520B55"/>
    <w:rsid w:val="00520B8A"/>
    <w:rsid w:val="00520B9A"/>
    <w:rsid w:val="00520BDD"/>
    <w:rsid w:val="00520BF4"/>
    <w:rsid w:val="00520C17"/>
    <w:rsid w:val="00520E56"/>
    <w:rsid w:val="00520E92"/>
    <w:rsid w:val="00520EB4"/>
    <w:rsid w:val="00520FAB"/>
    <w:rsid w:val="0052100E"/>
    <w:rsid w:val="0052103E"/>
    <w:rsid w:val="00521236"/>
    <w:rsid w:val="0052123A"/>
    <w:rsid w:val="0052127C"/>
    <w:rsid w:val="0052133D"/>
    <w:rsid w:val="0052148E"/>
    <w:rsid w:val="005214AD"/>
    <w:rsid w:val="0052166F"/>
    <w:rsid w:val="00521853"/>
    <w:rsid w:val="005219A1"/>
    <w:rsid w:val="00521A3C"/>
    <w:rsid w:val="00521AF3"/>
    <w:rsid w:val="00521AFF"/>
    <w:rsid w:val="00521CA2"/>
    <w:rsid w:val="00521CF7"/>
    <w:rsid w:val="00521D67"/>
    <w:rsid w:val="00521FA4"/>
    <w:rsid w:val="0052229E"/>
    <w:rsid w:val="005222D3"/>
    <w:rsid w:val="005223A2"/>
    <w:rsid w:val="005226AF"/>
    <w:rsid w:val="00522898"/>
    <w:rsid w:val="005228BE"/>
    <w:rsid w:val="005228D0"/>
    <w:rsid w:val="005229A9"/>
    <w:rsid w:val="00522A9E"/>
    <w:rsid w:val="00522AD1"/>
    <w:rsid w:val="00522AD8"/>
    <w:rsid w:val="00522AEB"/>
    <w:rsid w:val="00522C76"/>
    <w:rsid w:val="00522D3A"/>
    <w:rsid w:val="00522E4D"/>
    <w:rsid w:val="00522EDB"/>
    <w:rsid w:val="00522EEF"/>
    <w:rsid w:val="00523134"/>
    <w:rsid w:val="005231D9"/>
    <w:rsid w:val="005235A4"/>
    <w:rsid w:val="005236F9"/>
    <w:rsid w:val="0052372B"/>
    <w:rsid w:val="005237AD"/>
    <w:rsid w:val="00523852"/>
    <w:rsid w:val="00523916"/>
    <w:rsid w:val="00523943"/>
    <w:rsid w:val="00523B18"/>
    <w:rsid w:val="00523E44"/>
    <w:rsid w:val="0052407B"/>
    <w:rsid w:val="005240A9"/>
    <w:rsid w:val="0052419F"/>
    <w:rsid w:val="005241BE"/>
    <w:rsid w:val="005241DF"/>
    <w:rsid w:val="0052429C"/>
    <w:rsid w:val="00524330"/>
    <w:rsid w:val="005243B6"/>
    <w:rsid w:val="005247E6"/>
    <w:rsid w:val="005247F9"/>
    <w:rsid w:val="00524993"/>
    <w:rsid w:val="00524A53"/>
    <w:rsid w:val="00524B5C"/>
    <w:rsid w:val="00524E82"/>
    <w:rsid w:val="00524E8F"/>
    <w:rsid w:val="00524F73"/>
    <w:rsid w:val="005251B7"/>
    <w:rsid w:val="00525257"/>
    <w:rsid w:val="005254A2"/>
    <w:rsid w:val="005255ED"/>
    <w:rsid w:val="00525629"/>
    <w:rsid w:val="00525696"/>
    <w:rsid w:val="00525765"/>
    <w:rsid w:val="00525863"/>
    <w:rsid w:val="00525868"/>
    <w:rsid w:val="0052596A"/>
    <w:rsid w:val="00525BA3"/>
    <w:rsid w:val="00525C84"/>
    <w:rsid w:val="00525C98"/>
    <w:rsid w:val="00525D5B"/>
    <w:rsid w:val="00525EE2"/>
    <w:rsid w:val="0052625D"/>
    <w:rsid w:val="0052634C"/>
    <w:rsid w:val="005265A0"/>
    <w:rsid w:val="0052662E"/>
    <w:rsid w:val="00526699"/>
    <w:rsid w:val="00526752"/>
    <w:rsid w:val="005267BF"/>
    <w:rsid w:val="0052687B"/>
    <w:rsid w:val="00526888"/>
    <w:rsid w:val="005269F2"/>
    <w:rsid w:val="00526B58"/>
    <w:rsid w:val="00526BB0"/>
    <w:rsid w:val="00526C9B"/>
    <w:rsid w:val="00526CB5"/>
    <w:rsid w:val="00526D77"/>
    <w:rsid w:val="00526E07"/>
    <w:rsid w:val="00526E78"/>
    <w:rsid w:val="0052731E"/>
    <w:rsid w:val="005273E1"/>
    <w:rsid w:val="0052745C"/>
    <w:rsid w:val="0052746E"/>
    <w:rsid w:val="005276B8"/>
    <w:rsid w:val="005278D4"/>
    <w:rsid w:val="005278F4"/>
    <w:rsid w:val="005278F6"/>
    <w:rsid w:val="0052791D"/>
    <w:rsid w:val="005279B6"/>
    <w:rsid w:val="005279E2"/>
    <w:rsid w:val="00527B4D"/>
    <w:rsid w:val="00527BAF"/>
    <w:rsid w:val="00527C2B"/>
    <w:rsid w:val="00527DAC"/>
    <w:rsid w:val="00527EF8"/>
    <w:rsid w:val="00527F9E"/>
    <w:rsid w:val="00530205"/>
    <w:rsid w:val="0053030D"/>
    <w:rsid w:val="0053045C"/>
    <w:rsid w:val="00530529"/>
    <w:rsid w:val="005305FF"/>
    <w:rsid w:val="00530645"/>
    <w:rsid w:val="005309D5"/>
    <w:rsid w:val="00530C57"/>
    <w:rsid w:val="00530D0F"/>
    <w:rsid w:val="00530D74"/>
    <w:rsid w:val="00530E08"/>
    <w:rsid w:val="00530F52"/>
    <w:rsid w:val="005311AC"/>
    <w:rsid w:val="00531386"/>
    <w:rsid w:val="00531446"/>
    <w:rsid w:val="0053162F"/>
    <w:rsid w:val="0053163A"/>
    <w:rsid w:val="0053165A"/>
    <w:rsid w:val="005317DC"/>
    <w:rsid w:val="0053180B"/>
    <w:rsid w:val="0053186C"/>
    <w:rsid w:val="0053187D"/>
    <w:rsid w:val="00531918"/>
    <w:rsid w:val="005319A7"/>
    <w:rsid w:val="00531BD2"/>
    <w:rsid w:val="00531D96"/>
    <w:rsid w:val="00531E2B"/>
    <w:rsid w:val="00531E55"/>
    <w:rsid w:val="00531EDF"/>
    <w:rsid w:val="00532014"/>
    <w:rsid w:val="00532085"/>
    <w:rsid w:val="00532174"/>
    <w:rsid w:val="0053218C"/>
    <w:rsid w:val="0053237A"/>
    <w:rsid w:val="005324F1"/>
    <w:rsid w:val="00532647"/>
    <w:rsid w:val="00532769"/>
    <w:rsid w:val="005327C7"/>
    <w:rsid w:val="00532817"/>
    <w:rsid w:val="0053298B"/>
    <w:rsid w:val="00532C1D"/>
    <w:rsid w:val="00532E0B"/>
    <w:rsid w:val="00532F5C"/>
    <w:rsid w:val="00532FAD"/>
    <w:rsid w:val="00532FCF"/>
    <w:rsid w:val="005330DD"/>
    <w:rsid w:val="005330EB"/>
    <w:rsid w:val="0053314E"/>
    <w:rsid w:val="00533154"/>
    <w:rsid w:val="00533238"/>
    <w:rsid w:val="005333E2"/>
    <w:rsid w:val="00533443"/>
    <w:rsid w:val="0053344D"/>
    <w:rsid w:val="00533603"/>
    <w:rsid w:val="00533686"/>
    <w:rsid w:val="00533806"/>
    <w:rsid w:val="00533848"/>
    <w:rsid w:val="00533A42"/>
    <w:rsid w:val="00533A9E"/>
    <w:rsid w:val="00533B46"/>
    <w:rsid w:val="00533D68"/>
    <w:rsid w:val="00533D9E"/>
    <w:rsid w:val="00533DA3"/>
    <w:rsid w:val="00533DF2"/>
    <w:rsid w:val="00533E0F"/>
    <w:rsid w:val="00533E41"/>
    <w:rsid w:val="00533EA8"/>
    <w:rsid w:val="00533EE4"/>
    <w:rsid w:val="00533EF5"/>
    <w:rsid w:val="005340F6"/>
    <w:rsid w:val="00534123"/>
    <w:rsid w:val="0053412E"/>
    <w:rsid w:val="00534178"/>
    <w:rsid w:val="00534393"/>
    <w:rsid w:val="0053450B"/>
    <w:rsid w:val="0053452C"/>
    <w:rsid w:val="005345B8"/>
    <w:rsid w:val="0053463E"/>
    <w:rsid w:val="005346EA"/>
    <w:rsid w:val="00534875"/>
    <w:rsid w:val="005349EE"/>
    <w:rsid w:val="00534B4E"/>
    <w:rsid w:val="00534BAB"/>
    <w:rsid w:val="00534D75"/>
    <w:rsid w:val="00534E2C"/>
    <w:rsid w:val="00534E33"/>
    <w:rsid w:val="00534E8F"/>
    <w:rsid w:val="00534ED4"/>
    <w:rsid w:val="00534F75"/>
    <w:rsid w:val="00534FC2"/>
    <w:rsid w:val="005350E6"/>
    <w:rsid w:val="00535144"/>
    <w:rsid w:val="00535246"/>
    <w:rsid w:val="00535271"/>
    <w:rsid w:val="005352FE"/>
    <w:rsid w:val="00535458"/>
    <w:rsid w:val="005354D8"/>
    <w:rsid w:val="005356E1"/>
    <w:rsid w:val="005359E2"/>
    <w:rsid w:val="00535AB6"/>
    <w:rsid w:val="00535AC0"/>
    <w:rsid w:val="00535B2E"/>
    <w:rsid w:val="00535B83"/>
    <w:rsid w:val="00535C1C"/>
    <w:rsid w:val="00535CD1"/>
    <w:rsid w:val="00535DF7"/>
    <w:rsid w:val="00535FD8"/>
    <w:rsid w:val="00535FE5"/>
    <w:rsid w:val="00535FE8"/>
    <w:rsid w:val="0053600B"/>
    <w:rsid w:val="0053603D"/>
    <w:rsid w:val="005360EC"/>
    <w:rsid w:val="00536315"/>
    <w:rsid w:val="00536456"/>
    <w:rsid w:val="00536542"/>
    <w:rsid w:val="0053673B"/>
    <w:rsid w:val="00536869"/>
    <w:rsid w:val="0053697E"/>
    <w:rsid w:val="005369A1"/>
    <w:rsid w:val="005369B5"/>
    <w:rsid w:val="00536A41"/>
    <w:rsid w:val="00536B40"/>
    <w:rsid w:val="00536B4B"/>
    <w:rsid w:val="00536C44"/>
    <w:rsid w:val="00536C56"/>
    <w:rsid w:val="00536CB7"/>
    <w:rsid w:val="0053706D"/>
    <w:rsid w:val="005370D5"/>
    <w:rsid w:val="00537207"/>
    <w:rsid w:val="0053720D"/>
    <w:rsid w:val="0053731A"/>
    <w:rsid w:val="0053745E"/>
    <w:rsid w:val="00537482"/>
    <w:rsid w:val="00537495"/>
    <w:rsid w:val="0053753B"/>
    <w:rsid w:val="005375D1"/>
    <w:rsid w:val="00537629"/>
    <w:rsid w:val="005376B1"/>
    <w:rsid w:val="005378C0"/>
    <w:rsid w:val="005378D3"/>
    <w:rsid w:val="00537911"/>
    <w:rsid w:val="00537B11"/>
    <w:rsid w:val="00537BAA"/>
    <w:rsid w:val="00537BAC"/>
    <w:rsid w:val="00537D1B"/>
    <w:rsid w:val="00537E17"/>
    <w:rsid w:val="0053BA31"/>
    <w:rsid w:val="0054007D"/>
    <w:rsid w:val="005401A5"/>
    <w:rsid w:val="00540201"/>
    <w:rsid w:val="0054024B"/>
    <w:rsid w:val="00540252"/>
    <w:rsid w:val="0054032E"/>
    <w:rsid w:val="00540373"/>
    <w:rsid w:val="0054037F"/>
    <w:rsid w:val="0054059D"/>
    <w:rsid w:val="005406A3"/>
    <w:rsid w:val="00540790"/>
    <w:rsid w:val="00540955"/>
    <w:rsid w:val="00540B7B"/>
    <w:rsid w:val="00540BE9"/>
    <w:rsid w:val="00540D55"/>
    <w:rsid w:val="00540FB6"/>
    <w:rsid w:val="00541010"/>
    <w:rsid w:val="00541036"/>
    <w:rsid w:val="00541280"/>
    <w:rsid w:val="005413BE"/>
    <w:rsid w:val="00541480"/>
    <w:rsid w:val="005415D8"/>
    <w:rsid w:val="00541689"/>
    <w:rsid w:val="005416EC"/>
    <w:rsid w:val="00541899"/>
    <w:rsid w:val="005418D1"/>
    <w:rsid w:val="005419AC"/>
    <w:rsid w:val="005419FA"/>
    <w:rsid w:val="00541B73"/>
    <w:rsid w:val="00541BD1"/>
    <w:rsid w:val="00541BE2"/>
    <w:rsid w:val="00541C96"/>
    <w:rsid w:val="00541CD3"/>
    <w:rsid w:val="00541E83"/>
    <w:rsid w:val="00541E87"/>
    <w:rsid w:val="00541EC8"/>
    <w:rsid w:val="005420AB"/>
    <w:rsid w:val="005420D9"/>
    <w:rsid w:val="00542133"/>
    <w:rsid w:val="00542240"/>
    <w:rsid w:val="00542255"/>
    <w:rsid w:val="005422AA"/>
    <w:rsid w:val="0054235A"/>
    <w:rsid w:val="005424CA"/>
    <w:rsid w:val="0054257F"/>
    <w:rsid w:val="00542589"/>
    <w:rsid w:val="005425E6"/>
    <w:rsid w:val="0054265D"/>
    <w:rsid w:val="005426DF"/>
    <w:rsid w:val="00542775"/>
    <w:rsid w:val="005428CC"/>
    <w:rsid w:val="0054297F"/>
    <w:rsid w:val="0054298A"/>
    <w:rsid w:val="00542995"/>
    <w:rsid w:val="005429A5"/>
    <w:rsid w:val="005429B3"/>
    <w:rsid w:val="005429C2"/>
    <w:rsid w:val="00542A3D"/>
    <w:rsid w:val="00542A8A"/>
    <w:rsid w:val="00542AB4"/>
    <w:rsid w:val="00542AE7"/>
    <w:rsid w:val="00542BA6"/>
    <w:rsid w:val="00542DED"/>
    <w:rsid w:val="00542F85"/>
    <w:rsid w:val="005430B7"/>
    <w:rsid w:val="005430C9"/>
    <w:rsid w:val="005432D6"/>
    <w:rsid w:val="0054341C"/>
    <w:rsid w:val="00543643"/>
    <w:rsid w:val="0054366A"/>
    <w:rsid w:val="00543746"/>
    <w:rsid w:val="0054391E"/>
    <w:rsid w:val="00543A37"/>
    <w:rsid w:val="00543A5B"/>
    <w:rsid w:val="00543B54"/>
    <w:rsid w:val="00543C28"/>
    <w:rsid w:val="00543CA5"/>
    <w:rsid w:val="00544147"/>
    <w:rsid w:val="005441C5"/>
    <w:rsid w:val="005442B2"/>
    <w:rsid w:val="005442CC"/>
    <w:rsid w:val="00544403"/>
    <w:rsid w:val="005444DB"/>
    <w:rsid w:val="00544724"/>
    <w:rsid w:val="00544834"/>
    <w:rsid w:val="00544940"/>
    <w:rsid w:val="005449B5"/>
    <w:rsid w:val="00544D61"/>
    <w:rsid w:val="00544E00"/>
    <w:rsid w:val="00544EAE"/>
    <w:rsid w:val="00544F5F"/>
    <w:rsid w:val="00545034"/>
    <w:rsid w:val="0054515C"/>
    <w:rsid w:val="00545219"/>
    <w:rsid w:val="005452CB"/>
    <w:rsid w:val="00545339"/>
    <w:rsid w:val="00545358"/>
    <w:rsid w:val="00545404"/>
    <w:rsid w:val="005456A0"/>
    <w:rsid w:val="0054570A"/>
    <w:rsid w:val="0054581C"/>
    <w:rsid w:val="005458FF"/>
    <w:rsid w:val="0054594B"/>
    <w:rsid w:val="00545A31"/>
    <w:rsid w:val="00545A35"/>
    <w:rsid w:val="00545AB6"/>
    <w:rsid w:val="00545AE6"/>
    <w:rsid w:val="00545B8F"/>
    <w:rsid w:val="00545BE4"/>
    <w:rsid w:val="00545C47"/>
    <w:rsid w:val="00545C65"/>
    <w:rsid w:val="00545D12"/>
    <w:rsid w:val="00545D88"/>
    <w:rsid w:val="00546033"/>
    <w:rsid w:val="00546070"/>
    <w:rsid w:val="005462E0"/>
    <w:rsid w:val="0054634D"/>
    <w:rsid w:val="0054634F"/>
    <w:rsid w:val="00546371"/>
    <w:rsid w:val="005463A9"/>
    <w:rsid w:val="00546489"/>
    <w:rsid w:val="005466EB"/>
    <w:rsid w:val="00546AE3"/>
    <w:rsid w:val="00546AFB"/>
    <w:rsid w:val="00546BB6"/>
    <w:rsid w:val="00546CD2"/>
    <w:rsid w:val="00546D57"/>
    <w:rsid w:val="00546E65"/>
    <w:rsid w:val="00546F0D"/>
    <w:rsid w:val="0054701F"/>
    <w:rsid w:val="005470E4"/>
    <w:rsid w:val="00547270"/>
    <w:rsid w:val="005472D8"/>
    <w:rsid w:val="00547302"/>
    <w:rsid w:val="00547416"/>
    <w:rsid w:val="00547462"/>
    <w:rsid w:val="00547571"/>
    <w:rsid w:val="0054768A"/>
    <w:rsid w:val="005476F4"/>
    <w:rsid w:val="00547702"/>
    <w:rsid w:val="0054790D"/>
    <w:rsid w:val="00547B10"/>
    <w:rsid w:val="00547B66"/>
    <w:rsid w:val="00547C14"/>
    <w:rsid w:val="00547D5F"/>
    <w:rsid w:val="00547EF7"/>
    <w:rsid w:val="00550231"/>
    <w:rsid w:val="00550257"/>
    <w:rsid w:val="005502F6"/>
    <w:rsid w:val="00550376"/>
    <w:rsid w:val="005503F6"/>
    <w:rsid w:val="00550447"/>
    <w:rsid w:val="0055051D"/>
    <w:rsid w:val="00550687"/>
    <w:rsid w:val="005506DC"/>
    <w:rsid w:val="005506F2"/>
    <w:rsid w:val="005507C0"/>
    <w:rsid w:val="00550858"/>
    <w:rsid w:val="00550A34"/>
    <w:rsid w:val="00550ACF"/>
    <w:rsid w:val="00550B45"/>
    <w:rsid w:val="00550BA3"/>
    <w:rsid w:val="00550C2C"/>
    <w:rsid w:val="00550CBD"/>
    <w:rsid w:val="00550D43"/>
    <w:rsid w:val="00550D9B"/>
    <w:rsid w:val="00550E4D"/>
    <w:rsid w:val="00550E4E"/>
    <w:rsid w:val="00550EC0"/>
    <w:rsid w:val="00550F4B"/>
    <w:rsid w:val="00550F6C"/>
    <w:rsid w:val="0055108D"/>
    <w:rsid w:val="0055110C"/>
    <w:rsid w:val="0055114D"/>
    <w:rsid w:val="005511A6"/>
    <w:rsid w:val="00551279"/>
    <w:rsid w:val="00551360"/>
    <w:rsid w:val="00551362"/>
    <w:rsid w:val="0055136F"/>
    <w:rsid w:val="005513F6"/>
    <w:rsid w:val="0055143F"/>
    <w:rsid w:val="0055146F"/>
    <w:rsid w:val="005514C1"/>
    <w:rsid w:val="00551674"/>
    <w:rsid w:val="00551A62"/>
    <w:rsid w:val="00551AB3"/>
    <w:rsid w:val="00551AFE"/>
    <w:rsid w:val="00551B13"/>
    <w:rsid w:val="00551C19"/>
    <w:rsid w:val="00551C49"/>
    <w:rsid w:val="00551C69"/>
    <w:rsid w:val="00551CFE"/>
    <w:rsid w:val="00551DB2"/>
    <w:rsid w:val="00551E5C"/>
    <w:rsid w:val="00551F78"/>
    <w:rsid w:val="00552099"/>
    <w:rsid w:val="005522B7"/>
    <w:rsid w:val="00552354"/>
    <w:rsid w:val="005523C0"/>
    <w:rsid w:val="0055253B"/>
    <w:rsid w:val="00552A26"/>
    <w:rsid w:val="00552A63"/>
    <w:rsid w:val="00552AE0"/>
    <w:rsid w:val="00552B28"/>
    <w:rsid w:val="00552B4A"/>
    <w:rsid w:val="00552C90"/>
    <w:rsid w:val="00552CE1"/>
    <w:rsid w:val="00552CE8"/>
    <w:rsid w:val="00552D5A"/>
    <w:rsid w:val="00552D5C"/>
    <w:rsid w:val="00552D9E"/>
    <w:rsid w:val="00552DAE"/>
    <w:rsid w:val="0055325B"/>
    <w:rsid w:val="005532F3"/>
    <w:rsid w:val="005533FE"/>
    <w:rsid w:val="00553482"/>
    <w:rsid w:val="005535B1"/>
    <w:rsid w:val="005535DB"/>
    <w:rsid w:val="00553695"/>
    <w:rsid w:val="005536F2"/>
    <w:rsid w:val="0055372A"/>
    <w:rsid w:val="0055379E"/>
    <w:rsid w:val="005537ED"/>
    <w:rsid w:val="00553A25"/>
    <w:rsid w:val="00553A78"/>
    <w:rsid w:val="00553AE8"/>
    <w:rsid w:val="00553CF9"/>
    <w:rsid w:val="00553D20"/>
    <w:rsid w:val="00553D30"/>
    <w:rsid w:val="00553F18"/>
    <w:rsid w:val="00553FB2"/>
    <w:rsid w:val="005541BC"/>
    <w:rsid w:val="005541DC"/>
    <w:rsid w:val="00554233"/>
    <w:rsid w:val="005542C6"/>
    <w:rsid w:val="00554399"/>
    <w:rsid w:val="005543D4"/>
    <w:rsid w:val="00554494"/>
    <w:rsid w:val="0055451E"/>
    <w:rsid w:val="005545CF"/>
    <w:rsid w:val="005545DA"/>
    <w:rsid w:val="00554751"/>
    <w:rsid w:val="00554766"/>
    <w:rsid w:val="0055479E"/>
    <w:rsid w:val="005547F1"/>
    <w:rsid w:val="005548EE"/>
    <w:rsid w:val="00554904"/>
    <w:rsid w:val="00554987"/>
    <w:rsid w:val="005549D0"/>
    <w:rsid w:val="00554DC5"/>
    <w:rsid w:val="00554DCD"/>
    <w:rsid w:val="00554EA3"/>
    <w:rsid w:val="00554F62"/>
    <w:rsid w:val="00554FC5"/>
    <w:rsid w:val="00555128"/>
    <w:rsid w:val="0055529B"/>
    <w:rsid w:val="00555460"/>
    <w:rsid w:val="0055550F"/>
    <w:rsid w:val="00555615"/>
    <w:rsid w:val="00555652"/>
    <w:rsid w:val="0055565C"/>
    <w:rsid w:val="005556C5"/>
    <w:rsid w:val="0055590B"/>
    <w:rsid w:val="00555A11"/>
    <w:rsid w:val="00555A46"/>
    <w:rsid w:val="00555A70"/>
    <w:rsid w:val="00555AE1"/>
    <w:rsid w:val="00555C13"/>
    <w:rsid w:val="00555C67"/>
    <w:rsid w:val="00555D3E"/>
    <w:rsid w:val="00555EF5"/>
    <w:rsid w:val="00555EF7"/>
    <w:rsid w:val="00555FAB"/>
    <w:rsid w:val="00556011"/>
    <w:rsid w:val="005560A3"/>
    <w:rsid w:val="005560B1"/>
    <w:rsid w:val="005560CD"/>
    <w:rsid w:val="00556169"/>
    <w:rsid w:val="00556175"/>
    <w:rsid w:val="00556235"/>
    <w:rsid w:val="00556242"/>
    <w:rsid w:val="00556537"/>
    <w:rsid w:val="00556539"/>
    <w:rsid w:val="0055661E"/>
    <w:rsid w:val="00556797"/>
    <w:rsid w:val="00556865"/>
    <w:rsid w:val="00556900"/>
    <w:rsid w:val="00556949"/>
    <w:rsid w:val="0055695E"/>
    <w:rsid w:val="005569ED"/>
    <w:rsid w:val="005569FF"/>
    <w:rsid w:val="00556A3B"/>
    <w:rsid w:val="00556A84"/>
    <w:rsid w:val="00556AA4"/>
    <w:rsid w:val="00556C36"/>
    <w:rsid w:val="00556D0E"/>
    <w:rsid w:val="00556DD9"/>
    <w:rsid w:val="00556E6D"/>
    <w:rsid w:val="00556EA9"/>
    <w:rsid w:val="00556F63"/>
    <w:rsid w:val="0055705A"/>
    <w:rsid w:val="005571FC"/>
    <w:rsid w:val="005574A8"/>
    <w:rsid w:val="00557A3D"/>
    <w:rsid w:val="00557B25"/>
    <w:rsid w:val="00557B46"/>
    <w:rsid w:val="00557C3F"/>
    <w:rsid w:val="00557DFE"/>
    <w:rsid w:val="00557E19"/>
    <w:rsid w:val="00557EF0"/>
    <w:rsid w:val="00557F5E"/>
    <w:rsid w:val="00557F9D"/>
    <w:rsid w:val="00557FA7"/>
    <w:rsid w:val="005590FA"/>
    <w:rsid w:val="00560005"/>
    <w:rsid w:val="00560023"/>
    <w:rsid w:val="0056019D"/>
    <w:rsid w:val="00560253"/>
    <w:rsid w:val="0056043A"/>
    <w:rsid w:val="00560443"/>
    <w:rsid w:val="005604DE"/>
    <w:rsid w:val="00560592"/>
    <w:rsid w:val="00560661"/>
    <w:rsid w:val="0056070F"/>
    <w:rsid w:val="00560770"/>
    <w:rsid w:val="00560A87"/>
    <w:rsid w:val="00560B09"/>
    <w:rsid w:val="00560BE1"/>
    <w:rsid w:val="00560C27"/>
    <w:rsid w:val="0056102F"/>
    <w:rsid w:val="00561112"/>
    <w:rsid w:val="005611D1"/>
    <w:rsid w:val="0056122C"/>
    <w:rsid w:val="00561306"/>
    <w:rsid w:val="005613A9"/>
    <w:rsid w:val="00561551"/>
    <w:rsid w:val="0056169D"/>
    <w:rsid w:val="00561756"/>
    <w:rsid w:val="0056183D"/>
    <w:rsid w:val="00561968"/>
    <w:rsid w:val="00561E4E"/>
    <w:rsid w:val="00561E90"/>
    <w:rsid w:val="00561FD2"/>
    <w:rsid w:val="0056228D"/>
    <w:rsid w:val="00562301"/>
    <w:rsid w:val="00562429"/>
    <w:rsid w:val="00562551"/>
    <w:rsid w:val="005625A8"/>
    <w:rsid w:val="005626E4"/>
    <w:rsid w:val="00562754"/>
    <w:rsid w:val="005628AC"/>
    <w:rsid w:val="0056294F"/>
    <w:rsid w:val="00562984"/>
    <w:rsid w:val="00562AF9"/>
    <w:rsid w:val="00562BC9"/>
    <w:rsid w:val="00562CAE"/>
    <w:rsid w:val="005630D5"/>
    <w:rsid w:val="00563173"/>
    <w:rsid w:val="00563494"/>
    <w:rsid w:val="005635C8"/>
    <w:rsid w:val="00563662"/>
    <w:rsid w:val="00563953"/>
    <w:rsid w:val="005639F3"/>
    <w:rsid w:val="00563CF9"/>
    <w:rsid w:val="00563D23"/>
    <w:rsid w:val="00563E0E"/>
    <w:rsid w:val="00563E1F"/>
    <w:rsid w:val="00563ED0"/>
    <w:rsid w:val="00563FC3"/>
    <w:rsid w:val="0056405C"/>
    <w:rsid w:val="0056412F"/>
    <w:rsid w:val="0056424D"/>
    <w:rsid w:val="00564465"/>
    <w:rsid w:val="0056447F"/>
    <w:rsid w:val="005644BB"/>
    <w:rsid w:val="005644E7"/>
    <w:rsid w:val="005645A5"/>
    <w:rsid w:val="0056465E"/>
    <w:rsid w:val="0056473D"/>
    <w:rsid w:val="005647EB"/>
    <w:rsid w:val="00564816"/>
    <w:rsid w:val="005648F1"/>
    <w:rsid w:val="00564938"/>
    <w:rsid w:val="005649B1"/>
    <w:rsid w:val="005649CA"/>
    <w:rsid w:val="00564A62"/>
    <w:rsid w:val="00564B27"/>
    <w:rsid w:val="00564B72"/>
    <w:rsid w:val="00564C73"/>
    <w:rsid w:val="00564FF0"/>
    <w:rsid w:val="0056514D"/>
    <w:rsid w:val="0056538E"/>
    <w:rsid w:val="005653A7"/>
    <w:rsid w:val="005654A1"/>
    <w:rsid w:val="005654AC"/>
    <w:rsid w:val="00565541"/>
    <w:rsid w:val="0056559C"/>
    <w:rsid w:val="005655A1"/>
    <w:rsid w:val="0056561D"/>
    <w:rsid w:val="00565621"/>
    <w:rsid w:val="00565789"/>
    <w:rsid w:val="005657AF"/>
    <w:rsid w:val="00565873"/>
    <w:rsid w:val="00565925"/>
    <w:rsid w:val="00565A59"/>
    <w:rsid w:val="00565BAE"/>
    <w:rsid w:val="00565C51"/>
    <w:rsid w:val="00565CA8"/>
    <w:rsid w:val="00565FB4"/>
    <w:rsid w:val="0056625A"/>
    <w:rsid w:val="00566266"/>
    <w:rsid w:val="005663A1"/>
    <w:rsid w:val="0056650F"/>
    <w:rsid w:val="0056654E"/>
    <w:rsid w:val="005666B0"/>
    <w:rsid w:val="00566703"/>
    <w:rsid w:val="00566731"/>
    <w:rsid w:val="00566742"/>
    <w:rsid w:val="00566882"/>
    <w:rsid w:val="00566BC2"/>
    <w:rsid w:val="00566E38"/>
    <w:rsid w:val="00566F5C"/>
    <w:rsid w:val="00566F5F"/>
    <w:rsid w:val="00566F6E"/>
    <w:rsid w:val="00567053"/>
    <w:rsid w:val="00567139"/>
    <w:rsid w:val="005673A5"/>
    <w:rsid w:val="005675A3"/>
    <w:rsid w:val="0056763B"/>
    <w:rsid w:val="00567648"/>
    <w:rsid w:val="005677F1"/>
    <w:rsid w:val="00567841"/>
    <w:rsid w:val="005678CF"/>
    <w:rsid w:val="005678E1"/>
    <w:rsid w:val="005678E4"/>
    <w:rsid w:val="0056795D"/>
    <w:rsid w:val="00567C78"/>
    <w:rsid w:val="00567C8D"/>
    <w:rsid w:val="00567CBB"/>
    <w:rsid w:val="00567F7D"/>
    <w:rsid w:val="00567FCB"/>
    <w:rsid w:val="00567FEA"/>
    <w:rsid w:val="005700BB"/>
    <w:rsid w:val="00570168"/>
    <w:rsid w:val="00570192"/>
    <w:rsid w:val="0057027F"/>
    <w:rsid w:val="00570477"/>
    <w:rsid w:val="00570499"/>
    <w:rsid w:val="005704B3"/>
    <w:rsid w:val="00570535"/>
    <w:rsid w:val="00570541"/>
    <w:rsid w:val="0057057C"/>
    <w:rsid w:val="00570903"/>
    <w:rsid w:val="00570909"/>
    <w:rsid w:val="00570996"/>
    <w:rsid w:val="00570C0E"/>
    <w:rsid w:val="00570C7D"/>
    <w:rsid w:val="00571097"/>
    <w:rsid w:val="00571146"/>
    <w:rsid w:val="0057114C"/>
    <w:rsid w:val="005713AA"/>
    <w:rsid w:val="005713F2"/>
    <w:rsid w:val="0057154E"/>
    <w:rsid w:val="00571666"/>
    <w:rsid w:val="005716D0"/>
    <w:rsid w:val="00571763"/>
    <w:rsid w:val="00571814"/>
    <w:rsid w:val="00571A12"/>
    <w:rsid w:val="00571AC9"/>
    <w:rsid w:val="00571E6E"/>
    <w:rsid w:val="005720BE"/>
    <w:rsid w:val="005720ED"/>
    <w:rsid w:val="005722E5"/>
    <w:rsid w:val="00572542"/>
    <w:rsid w:val="0057273C"/>
    <w:rsid w:val="00572862"/>
    <w:rsid w:val="0057299C"/>
    <w:rsid w:val="00572B21"/>
    <w:rsid w:val="00572B3E"/>
    <w:rsid w:val="00572B92"/>
    <w:rsid w:val="00572C43"/>
    <w:rsid w:val="00572D11"/>
    <w:rsid w:val="00573055"/>
    <w:rsid w:val="005730E5"/>
    <w:rsid w:val="00573137"/>
    <w:rsid w:val="0057329D"/>
    <w:rsid w:val="00573459"/>
    <w:rsid w:val="00573467"/>
    <w:rsid w:val="005734FE"/>
    <w:rsid w:val="00573585"/>
    <w:rsid w:val="005736E8"/>
    <w:rsid w:val="005736F5"/>
    <w:rsid w:val="0057373D"/>
    <w:rsid w:val="005738C6"/>
    <w:rsid w:val="005738CA"/>
    <w:rsid w:val="0057392B"/>
    <w:rsid w:val="00573ABE"/>
    <w:rsid w:val="00573BA5"/>
    <w:rsid w:val="00573C28"/>
    <w:rsid w:val="00573CB8"/>
    <w:rsid w:val="00573D1F"/>
    <w:rsid w:val="00573DD8"/>
    <w:rsid w:val="00573EF3"/>
    <w:rsid w:val="00573F4D"/>
    <w:rsid w:val="005740C6"/>
    <w:rsid w:val="0057417F"/>
    <w:rsid w:val="0057433E"/>
    <w:rsid w:val="005744F5"/>
    <w:rsid w:val="005745E4"/>
    <w:rsid w:val="00574610"/>
    <w:rsid w:val="0057462B"/>
    <w:rsid w:val="00574660"/>
    <w:rsid w:val="00574829"/>
    <w:rsid w:val="005749E6"/>
    <w:rsid w:val="00574CBC"/>
    <w:rsid w:val="00574CC6"/>
    <w:rsid w:val="00574D90"/>
    <w:rsid w:val="00574F12"/>
    <w:rsid w:val="00574F80"/>
    <w:rsid w:val="00574FDE"/>
    <w:rsid w:val="0057507D"/>
    <w:rsid w:val="00575125"/>
    <w:rsid w:val="00575193"/>
    <w:rsid w:val="005751A4"/>
    <w:rsid w:val="005751B3"/>
    <w:rsid w:val="005751DD"/>
    <w:rsid w:val="00575351"/>
    <w:rsid w:val="0057535B"/>
    <w:rsid w:val="00575427"/>
    <w:rsid w:val="00575575"/>
    <w:rsid w:val="005755ED"/>
    <w:rsid w:val="0057567C"/>
    <w:rsid w:val="00575726"/>
    <w:rsid w:val="0057582B"/>
    <w:rsid w:val="005758E1"/>
    <w:rsid w:val="005758E4"/>
    <w:rsid w:val="00575965"/>
    <w:rsid w:val="00575AD6"/>
    <w:rsid w:val="00575BDA"/>
    <w:rsid w:val="00575BE5"/>
    <w:rsid w:val="00575E02"/>
    <w:rsid w:val="00576241"/>
    <w:rsid w:val="0057628E"/>
    <w:rsid w:val="0057635E"/>
    <w:rsid w:val="005763B9"/>
    <w:rsid w:val="0057648C"/>
    <w:rsid w:val="005764A1"/>
    <w:rsid w:val="005766B7"/>
    <w:rsid w:val="0057676A"/>
    <w:rsid w:val="005768DD"/>
    <w:rsid w:val="005768EA"/>
    <w:rsid w:val="0057696D"/>
    <w:rsid w:val="00576CDB"/>
    <w:rsid w:val="00576DED"/>
    <w:rsid w:val="00576EBE"/>
    <w:rsid w:val="00576F07"/>
    <w:rsid w:val="005770B4"/>
    <w:rsid w:val="00577232"/>
    <w:rsid w:val="0057729F"/>
    <w:rsid w:val="00577374"/>
    <w:rsid w:val="00577490"/>
    <w:rsid w:val="005774F2"/>
    <w:rsid w:val="005775A4"/>
    <w:rsid w:val="00577684"/>
    <w:rsid w:val="00577688"/>
    <w:rsid w:val="005776D8"/>
    <w:rsid w:val="00577722"/>
    <w:rsid w:val="005777EF"/>
    <w:rsid w:val="00577830"/>
    <w:rsid w:val="00577A27"/>
    <w:rsid w:val="00577B02"/>
    <w:rsid w:val="00577C78"/>
    <w:rsid w:val="00577DB8"/>
    <w:rsid w:val="00577F76"/>
    <w:rsid w:val="0058007F"/>
    <w:rsid w:val="00580154"/>
    <w:rsid w:val="00580314"/>
    <w:rsid w:val="0058053C"/>
    <w:rsid w:val="005805E5"/>
    <w:rsid w:val="0058089A"/>
    <w:rsid w:val="00580928"/>
    <w:rsid w:val="00580957"/>
    <w:rsid w:val="00580962"/>
    <w:rsid w:val="005809DD"/>
    <w:rsid w:val="00580AC1"/>
    <w:rsid w:val="00580AFC"/>
    <w:rsid w:val="00580B3E"/>
    <w:rsid w:val="00580D2E"/>
    <w:rsid w:val="00580EE3"/>
    <w:rsid w:val="0058103F"/>
    <w:rsid w:val="00581112"/>
    <w:rsid w:val="00581149"/>
    <w:rsid w:val="00581157"/>
    <w:rsid w:val="0058124B"/>
    <w:rsid w:val="0058125F"/>
    <w:rsid w:val="00581280"/>
    <w:rsid w:val="005812B1"/>
    <w:rsid w:val="005813A9"/>
    <w:rsid w:val="00581437"/>
    <w:rsid w:val="005814D5"/>
    <w:rsid w:val="00581567"/>
    <w:rsid w:val="005815C0"/>
    <w:rsid w:val="005816B6"/>
    <w:rsid w:val="005816BD"/>
    <w:rsid w:val="005816EB"/>
    <w:rsid w:val="005817AB"/>
    <w:rsid w:val="00581AA8"/>
    <w:rsid w:val="00581AB2"/>
    <w:rsid w:val="00581B36"/>
    <w:rsid w:val="00581B82"/>
    <w:rsid w:val="00581BEA"/>
    <w:rsid w:val="00581CB3"/>
    <w:rsid w:val="00581DEC"/>
    <w:rsid w:val="00581F76"/>
    <w:rsid w:val="0058206A"/>
    <w:rsid w:val="005820ED"/>
    <w:rsid w:val="0058217F"/>
    <w:rsid w:val="005821EC"/>
    <w:rsid w:val="00582208"/>
    <w:rsid w:val="00582406"/>
    <w:rsid w:val="00582491"/>
    <w:rsid w:val="005825B6"/>
    <w:rsid w:val="00582668"/>
    <w:rsid w:val="005826D7"/>
    <w:rsid w:val="005826E4"/>
    <w:rsid w:val="005827C7"/>
    <w:rsid w:val="005828B7"/>
    <w:rsid w:val="0058293B"/>
    <w:rsid w:val="00582951"/>
    <w:rsid w:val="005829C3"/>
    <w:rsid w:val="00582A0A"/>
    <w:rsid w:val="00582B37"/>
    <w:rsid w:val="00582B3E"/>
    <w:rsid w:val="00582C82"/>
    <w:rsid w:val="00582CB8"/>
    <w:rsid w:val="00582D87"/>
    <w:rsid w:val="0058323A"/>
    <w:rsid w:val="005833F6"/>
    <w:rsid w:val="005834E3"/>
    <w:rsid w:val="005837FE"/>
    <w:rsid w:val="00583807"/>
    <w:rsid w:val="005838AE"/>
    <w:rsid w:val="0058396C"/>
    <w:rsid w:val="005839C4"/>
    <w:rsid w:val="00583B72"/>
    <w:rsid w:val="00583C11"/>
    <w:rsid w:val="00584071"/>
    <w:rsid w:val="00584101"/>
    <w:rsid w:val="00584157"/>
    <w:rsid w:val="005841D3"/>
    <w:rsid w:val="005843FD"/>
    <w:rsid w:val="0058456C"/>
    <w:rsid w:val="00584651"/>
    <w:rsid w:val="00584694"/>
    <w:rsid w:val="005846C4"/>
    <w:rsid w:val="005847B3"/>
    <w:rsid w:val="00584B8F"/>
    <w:rsid w:val="00584BCC"/>
    <w:rsid w:val="00584C39"/>
    <w:rsid w:val="00584CF1"/>
    <w:rsid w:val="00584D01"/>
    <w:rsid w:val="00584E01"/>
    <w:rsid w:val="00584EF2"/>
    <w:rsid w:val="00584F56"/>
    <w:rsid w:val="00584F6C"/>
    <w:rsid w:val="00584FD3"/>
    <w:rsid w:val="00585266"/>
    <w:rsid w:val="00585331"/>
    <w:rsid w:val="005853F8"/>
    <w:rsid w:val="0058548A"/>
    <w:rsid w:val="0058551B"/>
    <w:rsid w:val="0058551C"/>
    <w:rsid w:val="005855DD"/>
    <w:rsid w:val="0058561D"/>
    <w:rsid w:val="00585624"/>
    <w:rsid w:val="00585837"/>
    <w:rsid w:val="00585A30"/>
    <w:rsid w:val="00585BE0"/>
    <w:rsid w:val="00585C49"/>
    <w:rsid w:val="00585CC7"/>
    <w:rsid w:val="00585CFB"/>
    <w:rsid w:val="00585D07"/>
    <w:rsid w:val="00585D97"/>
    <w:rsid w:val="00585F28"/>
    <w:rsid w:val="00585F5D"/>
    <w:rsid w:val="00586083"/>
    <w:rsid w:val="00586154"/>
    <w:rsid w:val="00586243"/>
    <w:rsid w:val="00586320"/>
    <w:rsid w:val="0058657A"/>
    <w:rsid w:val="00586635"/>
    <w:rsid w:val="005868DD"/>
    <w:rsid w:val="00586B9D"/>
    <w:rsid w:val="00586D91"/>
    <w:rsid w:val="00587147"/>
    <w:rsid w:val="00587163"/>
    <w:rsid w:val="005871BD"/>
    <w:rsid w:val="005871C2"/>
    <w:rsid w:val="00587232"/>
    <w:rsid w:val="0058737C"/>
    <w:rsid w:val="005874B9"/>
    <w:rsid w:val="00587551"/>
    <w:rsid w:val="005875BB"/>
    <w:rsid w:val="00587692"/>
    <w:rsid w:val="0058779A"/>
    <w:rsid w:val="0058783F"/>
    <w:rsid w:val="005878B3"/>
    <w:rsid w:val="00587A57"/>
    <w:rsid w:val="00587B12"/>
    <w:rsid w:val="00587B27"/>
    <w:rsid w:val="00587B3B"/>
    <w:rsid w:val="00587BB0"/>
    <w:rsid w:val="00587BBC"/>
    <w:rsid w:val="00587CF1"/>
    <w:rsid w:val="00587E68"/>
    <w:rsid w:val="00590039"/>
    <w:rsid w:val="00590157"/>
    <w:rsid w:val="0059033E"/>
    <w:rsid w:val="005904B1"/>
    <w:rsid w:val="005904F2"/>
    <w:rsid w:val="005904FA"/>
    <w:rsid w:val="00590529"/>
    <w:rsid w:val="0059062F"/>
    <w:rsid w:val="0059071D"/>
    <w:rsid w:val="005907B3"/>
    <w:rsid w:val="005907DA"/>
    <w:rsid w:val="00590A4A"/>
    <w:rsid w:val="00590B58"/>
    <w:rsid w:val="00590B7A"/>
    <w:rsid w:val="00590C24"/>
    <w:rsid w:val="00590CDC"/>
    <w:rsid w:val="00590DE9"/>
    <w:rsid w:val="00590E3B"/>
    <w:rsid w:val="005911E5"/>
    <w:rsid w:val="00591218"/>
    <w:rsid w:val="005912B3"/>
    <w:rsid w:val="00591314"/>
    <w:rsid w:val="005913C2"/>
    <w:rsid w:val="0059166C"/>
    <w:rsid w:val="00591859"/>
    <w:rsid w:val="00591AAF"/>
    <w:rsid w:val="00591AFC"/>
    <w:rsid w:val="00591B61"/>
    <w:rsid w:val="00591BDE"/>
    <w:rsid w:val="00591C3E"/>
    <w:rsid w:val="00591CB9"/>
    <w:rsid w:val="00591E63"/>
    <w:rsid w:val="00591F60"/>
    <w:rsid w:val="005920A8"/>
    <w:rsid w:val="005922F5"/>
    <w:rsid w:val="00592402"/>
    <w:rsid w:val="005924A3"/>
    <w:rsid w:val="00592597"/>
    <w:rsid w:val="005926A5"/>
    <w:rsid w:val="00592789"/>
    <w:rsid w:val="0059280B"/>
    <w:rsid w:val="00592897"/>
    <w:rsid w:val="00592A37"/>
    <w:rsid w:val="00592AB3"/>
    <w:rsid w:val="00592DEE"/>
    <w:rsid w:val="00592F11"/>
    <w:rsid w:val="00592FC9"/>
    <w:rsid w:val="00593070"/>
    <w:rsid w:val="00593107"/>
    <w:rsid w:val="00593192"/>
    <w:rsid w:val="005933F2"/>
    <w:rsid w:val="00593477"/>
    <w:rsid w:val="0059358A"/>
    <w:rsid w:val="005938C5"/>
    <w:rsid w:val="005939FE"/>
    <w:rsid w:val="00593A87"/>
    <w:rsid w:val="00593B3E"/>
    <w:rsid w:val="00593C8E"/>
    <w:rsid w:val="00593CD1"/>
    <w:rsid w:val="00593E22"/>
    <w:rsid w:val="00593F33"/>
    <w:rsid w:val="00593F3D"/>
    <w:rsid w:val="0059405C"/>
    <w:rsid w:val="0059410E"/>
    <w:rsid w:val="005941ED"/>
    <w:rsid w:val="005942BA"/>
    <w:rsid w:val="005942E3"/>
    <w:rsid w:val="005943E6"/>
    <w:rsid w:val="00594431"/>
    <w:rsid w:val="0059448E"/>
    <w:rsid w:val="005946F9"/>
    <w:rsid w:val="00594811"/>
    <w:rsid w:val="0059491A"/>
    <w:rsid w:val="00594C49"/>
    <w:rsid w:val="00594CB9"/>
    <w:rsid w:val="00594CE1"/>
    <w:rsid w:val="00594CE9"/>
    <w:rsid w:val="00594DFB"/>
    <w:rsid w:val="00594E15"/>
    <w:rsid w:val="00594FBB"/>
    <w:rsid w:val="005950AC"/>
    <w:rsid w:val="0059526D"/>
    <w:rsid w:val="00595302"/>
    <w:rsid w:val="0059534F"/>
    <w:rsid w:val="0059549C"/>
    <w:rsid w:val="00595787"/>
    <w:rsid w:val="00595844"/>
    <w:rsid w:val="00595870"/>
    <w:rsid w:val="0059599B"/>
    <w:rsid w:val="00595A73"/>
    <w:rsid w:val="00595AE9"/>
    <w:rsid w:val="00595D63"/>
    <w:rsid w:val="00595F31"/>
    <w:rsid w:val="00595FD9"/>
    <w:rsid w:val="005964DE"/>
    <w:rsid w:val="00596624"/>
    <w:rsid w:val="00596755"/>
    <w:rsid w:val="005968AD"/>
    <w:rsid w:val="00596915"/>
    <w:rsid w:val="00596A3E"/>
    <w:rsid w:val="00596A67"/>
    <w:rsid w:val="00596B7F"/>
    <w:rsid w:val="00596C89"/>
    <w:rsid w:val="00596CCC"/>
    <w:rsid w:val="00596D6B"/>
    <w:rsid w:val="00597027"/>
    <w:rsid w:val="0059713B"/>
    <w:rsid w:val="00597266"/>
    <w:rsid w:val="005973E5"/>
    <w:rsid w:val="005973F4"/>
    <w:rsid w:val="005973FB"/>
    <w:rsid w:val="005973FF"/>
    <w:rsid w:val="00597445"/>
    <w:rsid w:val="0059755E"/>
    <w:rsid w:val="00597640"/>
    <w:rsid w:val="005976B1"/>
    <w:rsid w:val="0059783E"/>
    <w:rsid w:val="005978A0"/>
    <w:rsid w:val="005978E4"/>
    <w:rsid w:val="00597996"/>
    <w:rsid w:val="0059799C"/>
    <w:rsid w:val="00597B45"/>
    <w:rsid w:val="00597BDD"/>
    <w:rsid w:val="00597BF7"/>
    <w:rsid w:val="00597C04"/>
    <w:rsid w:val="00597C67"/>
    <w:rsid w:val="00597D0B"/>
    <w:rsid w:val="00597D50"/>
    <w:rsid w:val="00597E2C"/>
    <w:rsid w:val="00597EA2"/>
    <w:rsid w:val="00597F4F"/>
    <w:rsid w:val="00597FAB"/>
    <w:rsid w:val="005A011B"/>
    <w:rsid w:val="005A0193"/>
    <w:rsid w:val="005A030F"/>
    <w:rsid w:val="005A0376"/>
    <w:rsid w:val="005A0486"/>
    <w:rsid w:val="005A04FC"/>
    <w:rsid w:val="005A0539"/>
    <w:rsid w:val="005A0587"/>
    <w:rsid w:val="005A0596"/>
    <w:rsid w:val="005A0663"/>
    <w:rsid w:val="005A074A"/>
    <w:rsid w:val="005A07FF"/>
    <w:rsid w:val="005A088A"/>
    <w:rsid w:val="005A09B3"/>
    <w:rsid w:val="005A0A3A"/>
    <w:rsid w:val="005A0A68"/>
    <w:rsid w:val="005A0ACA"/>
    <w:rsid w:val="005A0AD1"/>
    <w:rsid w:val="005A0C12"/>
    <w:rsid w:val="005A0C47"/>
    <w:rsid w:val="005A0C62"/>
    <w:rsid w:val="005A0C69"/>
    <w:rsid w:val="005A0D09"/>
    <w:rsid w:val="005A0D7B"/>
    <w:rsid w:val="005A0DDF"/>
    <w:rsid w:val="005A0EED"/>
    <w:rsid w:val="005A100D"/>
    <w:rsid w:val="005A1105"/>
    <w:rsid w:val="005A115F"/>
    <w:rsid w:val="005A11B1"/>
    <w:rsid w:val="005A11FD"/>
    <w:rsid w:val="005A1679"/>
    <w:rsid w:val="005A16E5"/>
    <w:rsid w:val="005A1753"/>
    <w:rsid w:val="005A180C"/>
    <w:rsid w:val="005A197B"/>
    <w:rsid w:val="005A19C3"/>
    <w:rsid w:val="005A1A3C"/>
    <w:rsid w:val="005A1A80"/>
    <w:rsid w:val="005A1AC0"/>
    <w:rsid w:val="005A1AF9"/>
    <w:rsid w:val="005A1B47"/>
    <w:rsid w:val="005A1BCD"/>
    <w:rsid w:val="005A1C66"/>
    <w:rsid w:val="005A1D29"/>
    <w:rsid w:val="005A1DCE"/>
    <w:rsid w:val="005A1E54"/>
    <w:rsid w:val="005A1F04"/>
    <w:rsid w:val="005A1F83"/>
    <w:rsid w:val="005A205D"/>
    <w:rsid w:val="005A20DD"/>
    <w:rsid w:val="005A210D"/>
    <w:rsid w:val="005A21CA"/>
    <w:rsid w:val="005A22A2"/>
    <w:rsid w:val="005A23C4"/>
    <w:rsid w:val="005A2646"/>
    <w:rsid w:val="005A26DB"/>
    <w:rsid w:val="005A26DD"/>
    <w:rsid w:val="005A27BF"/>
    <w:rsid w:val="005A27F2"/>
    <w:rsid w:val="005A2C36"/>
    <w:rsid w:val="005A2D29"/>
    <w:rsid w:val="005A2D64"/>
    <w:rsid w:val="005A2D9B"/>
    <w:rsid w:val="005A2DC5"/>
    <w:rsid w:val="005A2F66"/>
    <w:rsid w:val="005A2F7C"/>
    <w:rsid w:val="005A3157"/>
    <w:rsid w:val="005A3325"/>
    <w:rsid w:val="005A33CD"/>
    <w:rsid w:val="005A347A"/>
    <w:rsid w:val="005A358F"/>
    <w:rsid w:val="005A3704"/>
    <w:rsid w:val="005A386A"/>
    <w:rsid w:val="005A3874"/>
    <w:rsid w:val="005A397A"/>
    <w:rsid w:val="005A39B7"/>
    <w:rsid w:val="005A3B44"/>
    <w:rsid w:val="005A3C49"/>
    <w:rsid w:val="005A3D8C"/>
    <w:rsid w:val="005A3E39"/>
    <w:rsid w:val="005A3E57"/>
    <w:rsid w:val="005A4007"/>
    <w:rsid w:val="005A409B"/>
    <w:rsid w:val="005A43FC"/>
    <w:rsid w:val="005A4418"/>
    <w:rsid w:val="005A4429"/>
    <w:rsid w:val="005A444A"/>
    <w:rsid w:val="005A44F3"/>
    <w:rsid w:val="005A4647"/>
    <w:rsid w:val="005A476D"/>
    <w:rsid w:val="005A4795"/>
    <w:rsid w:val="005A4A05"/>
    <w:rsid w:val="005A4BC9"/>
    <w:rsid w:val="005A4C31"/>
    <w:rsid w:val="005A4DEA"/>
    <w:rsid w:val="005A4E7A"/>
    <w:rsid w:val="005A4E84"/>
    <w:rsid w:val="005A4FB4"/>
    <w:rsid w:val="005A5162"/>
    <w:rsid w:val="005A52B4"/>
    <w:rsid w:val="005A52B7"/>
    <w:rsid w:val="005A53CE"/>
    <w:rsid w:val="005A55C6"/>
    <w:rsid w:val="005A5616"/>
    <w:rsid w:val="005A5634"/>
    <w:rsid w:val="005A5666"/>
    <w:rsid w:val="005A57BF"/>
    <w:rsid w:val="005A57CE"/>
    <w:rsid w:val="005A57E7"/>
    <w:rsid w:val="005A58C7"/>
    <w:rsid w:val="005A58FB"/>
    <w:rsid w:val="005A5A8C"/>
    <w:rsid w:val="005A5B00"/>
    <w:rsid w:val="005A5BA8"/>
    <w:rsid w:val="005A5BFB"/>
    <w:rsid w:val="005A5C8E"/>
    <w:rsid w:val="005A5CF7"/>
    <w:rsid w:val="005A5E0D"/>
    <w:rsid w:val="005A5E75"/>
    <w:rsid w:val="005A5FDA"/>
    <w:rsid w:val="005A5FE2"/>
    <w:rsid w:val="005A602C"/>
    <w:rsid w:val="005A60AB"/>
    <w:rsid w:val="005A6383"/>
    <w:rsid w:val="005A645F"/>
    <w:rsid w:val="005A64B7"/>
    <w:rsid w:val="005A6506"/>
    <w:rsid w:val="005A6557"/>
    <w:rsid w:val="005A6753"/>
    <w:rsid w:val="005A6771"/>
    <w:rsid w:val="005A67CA"/>
    <w:rsid w:val="005A6815"/>
    <w:rsid w:val="005A688F"/>
    <w:rsid w:val="005A69F4"/>
    <w:rsid w:val="005A6ABF"/>
    <w:rsid w:val="005A6CBD"/>
    <w:rsid w:val="005A6D09"/>
    <w:rsid w:val="005A6DD2"/>
    <w:rsid w:val="005A6E55"/>
    <w:rsid w:val="005A6EE3"/>
    <w:rsid w:val="005A710C"/>
    <w:rsid w:val="005A716F"/>
    <w:rsid w:val="005A7253"/>
    <w:rsid w:val="005A7333"/>
    <w:rsid w:val="005A7454"/>
    <w:rsid w:val="005A753A"/>
    <w:rsid w:val="005A759A"/>
    <w:rsid w:val="005A7654"/>
    <w:rsid w:val="005A76DF"/>
    <w:rsid w:val="005A76EB"/>
    <w:rsid w:val="005A77BE"/>
    <w:rsid w:val="005A77E6"/>
    <w:rsid w:val="005A7826"/>
    <w:rsid w:val="005A78A9"/>
    <w:rsid w:val="005A7911"/>
    <w:rsid w:val="005A791A"/>
    <w:rsid w:val="005A7949"/>
    <w:rsid w:val="005A796F"/>
    <w:rsid w:val="005A7ACC"/>
    <w:rsid w:val="005A7B1C"/>
    <w:rsid w:val="005A7BB3"/>
    <w:rsid w:val="005A7CB6"/>
    <w:rsid w:val="005A7D1E"/>
    <w:rsid w:val="005A7EE4"/>
    <w:rsid w:val="005B023E"/>
    <w:rsid w:val="005B0307"/>
    <w:rsid w:val="005B0349"/>
    <w:rsid w:val="005B05EB"/>
    <w:rsid w:val="005B064E"/>
    <w:rsid w:val="005B06FD"/>
    <w:rsid w:val="005B0783"/>
    <w:rsid w:val="005B0954"/>
    <w:rsid w:val="005B0B82"/>
    <w:rsid w:val="005B0D42"/>
    <w:rsid w:val="005B0DCE"/>
    <w:rsid w:val="005B0DF9"/>
    <w:rsid w:val="005B0EAC"/>
    <w:rsid w:val="005B0EF1"/>
    <w:rsid w:val="005B0F5B"/>
    <w:rsid w:val="005B0F63"/>
    <w:rsid w:val="005B0FF6"/>
    <w:rsid w:val="005B1000"/>
    <w:rsid w:val="005B1036"/>
    <w:rsid w:val="005B10A2"/>
    <w:rsid w:val="005B111D"/>
    <w:rsid w:val="005B1140"/>
    <w:rsid w:val="005B11D1"/>
    <w:rsid w:val="005B1266"/>
    <w:rsid w:val="005B1283"/>
    <w:rsid w:val="005B142B"/>
    <w:rsid w:val="005B146B"/>
    <w:rsid w:val="005B15CB"/>
    <w:rsid w:val="005B1612"/>
    <w:rsid w:val="005B1690"/>
    <w:rsid w:val="005B1885"/>
    <w:rsid w:val="005B197B"/>
    <w:rsid w:val="005B19E2"/>
    <w:rsid w:val="005B1A26"/>
    <w:rsid w:val="005B1BE7"/>
    <w:rsid w:val="005B1C42"/>
    <w:rsid w:val="005B1C76"/>
    <w:rsid w:val="005B1D55"/>
    <w:rsid w:val="005B1E5E"/>
    <w:rsid w:val="005B1E6F"/>
    <w:rsid w:val="005B1FDC"/>
    <w:rsid w:val="005B2008"/>
    <w:rsid w:val="005B212B"/>
    <w:rsid w:val="005B21EE"/>
    <w:rsid w:val="005B2383"/>
    <w:rsid w:val="005B255D"/>
    <w:rsid w:val="005B259C"/>
    <w:rsid w:val="005B25D8"/>
    <w:rsid w:val="005B2642"/>
    <w:rsid w:val="005B26D8"/>
    <w:rsid w:val="005B26FC"/>
    <w:rsid w:val="005B2753"/>
    <w:rsid w:val="005B2781"/>
    <w:rsid w:val="005B2973"/>
    <w:rsid w:val="005B29CB"/>
    <w:rsid w:val="005B2A77"/>
    <w:rsid w:val="005B2A89"/>
    <w:rsid w:val="005B2BCF"/>
    <w:rsid w:val="005B2BF7"/>
    <w:rsid w:val="005B2D43"/>
    <w:rsid w:val="005B2DC2"/>
    <w:rsid w:val="005B3043"/>
    <w:rsid w:val="005B30E1"/>
    <w:rsid w:val="005B3328"/>
    <w:rsid w:val="005B3350"/>
    <w:rsid w:val="005B3376"/>
    <w:rsid w:val="005B33AE"/>
    <w:rsid w:val="005B33E0"/>
    <w:rsid w:val="005B34C0"/>
    <w:rsid w:val="005B355F"/>
    <w:rsid w:val="005B35B9"/>
    <w:rsid w:val="005B35F5"/>
    <w:rsid w:val="005B3786"/>
    <w:rsid w:val="005B396C"/>
    <w:rsid w:val="005B39A9"/>
    <w:rsid w:val="005B3AD3"/>
    <w:rsid w:val="005B3D02"/>
    <w:rsid w:val="005B3E62"/>
    <w:rsid w:val="005B3F0D"/>
    <w:rsid w:val="005B3FF1"/>
    <w:rsid w:val="005B40D2"/>
    <w:rsid w:val="005B4239"/>
    <w:rsid w:val="005B436B"/>
    <w:rsid w:val="005B4418"/>
    <w:rsid w:val="005B44FD"/>
    <w:rsid w:val="005B4570"/>
    <w:rsid w:val="005B469D"/>
    <w:rsid w:val="005B471D"/>
    <w:rsid w:val="005B47DD"/>
    <w:rsid w:val="005B485E"/>
    <w:rsid w:val="005B4998"/>
    <w:rsid w:val="005B4A27"/>
    <w:rsid w:val="005B4C1D"/>
    <w:rsid w:val="005B4E9A"/>
    <w:rsid w:val="005B4F28"/>
    <w:rsid w:val="005B4F6E"/>
    <w:rsid w:val="005B51F6"/>
    <w:rsid w:val="005B5219"/>
    <w:rsid w:val="005B5388"/>
    <w:rsid w:val="005B5411"/>
    <w:rsid w:val="005B5547"/>
    <w:rsid w:val="005B569F"/>
    <w:rsid w:val="005B58BA"/>
    <w:rsid w:val="005B5989"/>
    <w:rsid w:val="005B5AE6"/>
    <w:rsid w:val="005B5B27"/>
    <w:rsid w:val="005B5DCB"/>
    <w:rsid w:val="005B5E36"/>
    <w:rsid w:val="005B5E4E"/>
    <w:rsid w:val="005B5FE2"/>
    <w:rsid w:val="005B608F"/>
    <w:rsid w:val="005B61A1"/>
    <w:rsid w:val="005B6366"/>
    <w:rsid w:val="005B63A2"/>
    <w:rsid w:val="005B63BB"/>
    <w:rsid w:val="005B6469"/>
    <w:rsid w:val="005B6483"/>
    <w:rsid w:val="005B64FC"/>
    <w:rsid w:val="005B6588"/>
    <w:rsid w:val="005B671E"/>
    <w:rsid w:val="005B6726"/>
    <w:rsid w:val="005B6735"/>
    <w:rsid w:val="005B6849"/>
    <w:rsid w:val="005B6909"/>
    <w:rsid w:val="005B6938"/>
    <w:rsid w:val="005B697A"/>
    <w:rsid w:val="005B6AB1"/>
    <w:rsid w:val="005B6B67"/>
    <w:rsid w:val="005B6D01"/>
    <w:rsid w:val="005B6DE2"/>
    <w:rsid w:val="005B6E65"/>
    <w:rsid w:val="005B6F70"/>
    <w:rsid w:val="005B6F84"/>
    <w:rsid w:val="005B6F90"/>
    <w:rsid w:val="005B6FB1"/>
    <w:rsid w:val="005B70EF"/>
    <w:rsid w:val="005B7184"/>
    <w:rsid w:val="005B71D5"/>
    <w:rsid w:val="005B727C"/>
    <w:rsid w:val="005B75DC"/>
    <w:rsid w:val="005B7657"/>
    <w:rsid w:val="005B76AA"/>
    <w:rsid w:val="005B785F"/>
    <w:rsid w:val="005B78AF"/>
    <w:rsid w:val="005B7B6B"/>
    <w:rsid w:val="005B7DE1"/>
    <w:rsid w:val="005B7E4D"/>
    <w:rsid w:val="005C0009"/>
    <w:rsid w:val="005C0452"/>
    <w:rsid w:val="005C050D"/>
    <w:rsid w:val="005C0552"/>
    <w:rsid w:val="005C0581"/>
    <w:rsid w:val="005C05D4"/>
    <w:rsid w:val="005C05E9"/>
    <w:rsid w:val="005C08FB"/>
    <w:rsid w:val="005C0915"/>
    <w:rsid w:val="005C0BCB"/>
    <w:rsid w:val="005C0DDA"/>
    <w:rsid w:val="005C0E38"/>
    <w:rsid w:val="005C0E9B"/>
    <w:rsid w:val="005C0EC4"/>
    <w:rsid w:val="005C0F4A"/>
    <w:rsid w:val="005C1021"/>
    <w:rsid w:val="005C135F"/>
    <w:rsid w:val="005C160F"/>
    <w:rsid w:val="005C165D"/>
    <w:rsid w:val="005C16A6"/>
    <w:rsid w:val="005C16D3"/>
    <w:rsid w:val="005C171D"/>
    <w:rsid w:val="005C17C3"/>
    <w:rsid w:val="005C182C"/>
    <w:rsid w:val="005C1A7D"/>
    <w:rsid w:val="005C1BCB"/>
    <w:rsid w:val="005C1BD2"/>
    <w:rsid w:val="005C1C5D"/>
    <w:rsid w:val="005C1D15"/>
    <w:rsid w:val="005C1DD8"/>
    <w:rsid w:val="005C1E4D"/>
    <w:rsid w:val="005C1F6F"/>
    <w:rsid w:val="005C207A"/>
    <w:rsid w:val="005C2164"/>
    <w:rsid w:val="005C21D7"/>
    <w:rsid w:val="005C2202"/>
    <w:rsid w:val="005C23E0"/>
    <w:rsid w:val="005C25B8"/>
    <w:rsid w:val="005C25CD"/>
    <w:rsid w:val="005C2802"/>
    <w:rsid w:val="005C289F"/>
    <w:rsid w:val="005C28F5"/>
    <w:rsid w:val="005C2A1C"/>
    <w:rsid w:val="005C2A8A"/>
    <w:rsid w:val="005C2A90"/>
    <w:rsid w:val="005C2A9D"/>
    <w:rsid w:val="005C2CB6"/>
    <w:rsid w:val="005C2CBB"/>
    <w:rsid w:val="005C2D73"/>
    <w:rsid w:val="005C2DCF"/>
    <w:rsid w:val="005C2DE3"/>
    <w:rsid w:val="005C2F13"/>
    <w:rsid w:val="005C300A"/>
    <w:rsid w:val="005C3112"/>
    <w:rsid w:val="005C31C6"/>
    <w:rsid w:val="005C31D5"/>
    <w:rsid w:val="005C3205"/>
    <w:rsid w:val="005C322B"/>
    <w:rsid w:val="005C35B0"/>
    <w:rsid w:val="005C3648"/>
    <w:rsid w:val="005C3680"/>
    <w:rsid w:val="005C37CE"/>
    <w:rsid w:val="005C37DA"/>
    <w:rsid w:val="005C38EB"/>
    <w:rsid w:val="005C3995"/>
    <w:rsid w:val="005C3D18"/>
    <w:rsid w:val="005C3D80"/>
    <w:rsid w:val="005C3EA4"/>
    <w:rsid w:val="005C3FD6"/>
    <w:rsid w:val="005C4024"/>
    <w:rsid w:val="005C4083"/>
    <w:rsid w:val="005C40FE"/>
    <w:rsid w:val="005C4123"/>
    <w:rsid w:val="005C4480"/>
    <w:rsid w:val="005C47E0"/>
    <w:rsid w:val="005C4947"/>
    <w:rsid w:val="005C499D"/>
    <w:rsid w:val="005C4A14"/>
    <w:rsid w:val="005C4BAF"/>
    <w:rsid w:val="005C4C42"/>
    <w:rsid w:val="005C4C9A"/>
    <w:rsid w:val="005C4DC4"/>
    <w:rsid w:val="005C4DF7"/>
    <w:rsid w:val="005C4E84"/>
    <w:rsid w:val="005C4EFC"/>
    <w:rsid w:val="005C4F41"/>
    <w:rsid w:val="005C4F8F"/>
    <w:rsid w:val="005C4F9A"/>
    <w:rsid w:val="005C5049"/>
    <w:rsid w:val="005C51A3"/>
    <w:rsid w:val="005C522C"/>
    <w:rsid w:val="005C53A1"/>
    <w:rsid w:val="005C544A"/>
    <w:rsid w:val="005C5796"/>
    <w:rsid w:val="005C57AA"/>
    <w:rsid w:val="005C584A"/>
    <w:rsid w:val="005C5948"/>
    <w:rsid w:val="005C5B98"/>
    <w:rsid w:val="005C5BBE"/>
    <w:rsid w:val="005C5BE7"/>
    <w:rsid w:val="005C5C1D"/>
    <w:rsid w:val="005C5CCD"/>
    <w:rsid w:val="005C5DB2"/>
    <w:rsid w:val="005C5DEB"/>
    <w:rsid w:val="005C5EE6"/>
    <w:rsid w:val="005C60AE"/>
    <w:rsid w:val="005C60E8"/>
    <w:rsid w:val="005C6138"/>
    <w:rsid w:val="005C6385"/>
    <w:rsid w:val="005C63D2"/>
    <w:rsid w:val="005C64A4"/>
    <w:rsid w:val="005C64C6"/>
    <w:rsid w:val="005C64C9"/>
    <w:rsid w:val="005C661A"/>
    <w:rsid w:val="005C66AD"/>
    <w:rsid w:val="005C66B0"/>
    <w:rsid w:val="005C67D8"/>
    <w:rsid w:val="005C681C"/>
    <w:rsid w:val="005C6889"/>
    <w:rsid w:val="005C68D5"/>
    <w:rsid w:val="005C6B9A"/>
    <w:rsid w:val="005C6C33"/>
    <w:rsid w:val="005C6C5E"/>
    <w:rsid w:val="005C6CF1"/>
    <w:rsid w:val="005C6FB7"/>
    <w:rsid w:val="005C7054"/>
    <w:rsid w:val="005C70C4"/>
    <w:rsid w:val="005C72E4"/>
    <w:rsid w:val="005C7482"/>
    <w:rsid w:val="005C7526"/>
    <w:rsid w:val="005C75DE"/>
    <w:rsid w:val="005C7742"/>
    <w:rsid w:val="005C77BE"/>
    <w:rsid w:val="005C7809"/>
    <w:rsid w:val="005C78AE"/>
    <w:rsid w:val="005C798D"/>
    <w:rsid w:val="005C79EF"/>
    <w:rsid w:val="005C7C0B"/>
    <w:rsid w:val="005C7CAA"/>
    <w:rsid w:val="005C7CC3"/>
    <w:rsid w:val="005C7CC6"/>
    <w:rsid w:val="005C7CF2"/>
    <w:rsid w:val="005C7D51"/>
    <w:rsid w:val="005C7DB5"/>
    <w:rsid w:val="005C7E74"/>
    <w:rsid w:val="005C7EE5"/>
    <w:rsid w:val="005CD461"/>
    <w:rsid w:val="005D0289"/>
    <w:rsid w:val="005D0296"/>
    <w:rsid w:val="005D02D5"/>
    <w:rsid w:val="005D0343"/>
    <w:rsid w:val="005D03A1"/>
    <w:rsid w:val="005D054F"/>
    <w:rsid w:val="005D0678"/>
    <w:rsid w:val="005D0705"/>
    <w:rsid w:val="005D0721"/>
    <w:rsid w:val="005D0796"/>
    <w:rsid w:val="005D07BC"/>
    <w:rsid w:val="005D08E6"/>
    <w:rsid w:val="005D0907"/>
    <w:rsid w:val="005D0A61"/>
    <w:rsid w:val="005D0AAB"/>
    <w:rsid w:val="005D0CBE"/>
    <w:rsid w:val="005D0D16"/>
    <w:rsid w:val="005D0E1D"/>
    <w:rsid w:val="005D0E40"/>
    <w:rsid w:val="005D1084"/>
    <w:rsid w:val="005D10C5"/>
    <w:rsid w:val="005D10FC"/>
    <w:rsid w:val="005D11CB"/>
    <w:rsid w:val="005D12FE"/>
    <w:rsid w:val="005D1347"/>
    <w:rsid w:val="005D1390"/>
    <w:rsid w:val="005D142A"/>
    <w:rsid w:val="005D1481"/>
    <w:rsid w:val="005D1560"/>
    <w:rsid w:val="005D15B7"/>
    <w:rsid w:val="005D16CE"/>
    <w:rsid w:val="005D1814"/>
    <w:rsid w:val="005D1B7F"/>
    <w:rsid w:val="005D1B88"/>
    <w:rsid w:val="005D1C4D"/>
    <w:rsid w:val="005D1CE6"/>
    <w:rsid w:val="005D1E21"/>
    <w:rsid w:val="005D1FB8"/>
    <w:rsid w:val="005D2026"/>
    <w:rsid w:val="005D209A"/>
    <w:rsid w:val="005D20DE"/>
    <w:rsid w:val="005D2236"/>
    <w:rsid w:val="005D2324"/>
    <w:rsid w:val="005D23C5"/>
    <w:rsid w:val="005D23DF"/>
    <w:rsid w:val="005D25C5"/>
    <w:rsid w:val="005D2773"/>
    <w:rsid w:val="005D2894"/>
    <w:rsid w:val="005D291A"/>
    <w:rsid w:val="005D2968"/>
    <w:rsid w:val="005D296B"/>
    <w:rsid w:val="005D2A2F"/>
    <w:rsid w:val="005D2A64"/>
    <w:rsid w:val="005D2E5E"/>
    <w:rsid w:val="005D2F12"/>
    <w:rsid w:val="005D2FA1"/>
    <w:rsid w:val="005D313C"/>
    <w:rsid w:val="005D321E"/>
    <w:rsid w:val="005D3222"/>
    <w:rsid w:val="005D3233"/>
    <w:rsid w:val="005D36B3"/>
    <w:rsid w:val="005D36B5"/>
    <w:rsid w:val="005D376D"/>
    <w:rsid w:val="005D3783"/>
    <w:rsid w:val="005D3A3F"/>
    <w:rsid w:val="005D3E2F"/>
    <w:rsid w:val="005D3EE7"/>
    <w:rsid w:val="005D4088"/>
    <w:rsid w:val="005D4120"/>
    <w:rsid w:val="005D4315"/>
    <w:rsid w:val="005D438B"/>
    <w:rsid w:val="005D43AE"/>
    <w:rsid w:val="005D450F"/>
    <w:rsid w:val="005D46C1"/>
    <w:rsid w:val="005D470F"/>
    <w:rsid w:val="005D48DC"/>
    <w:rsid w:val="005D48E6"/>
    <w:rsid w:val="005D4937"/>
    <w:rsid w:val="005D49AE"/>
    <w:rsid w:val="005D4A11"/>
    <w:rsid w:val="005D4AB0"/>
    <w:rsid w:val="005D4BC4"/>
    <w:rsid w:val="005D4C5F"/>
    <w:rsid w:val="005D4FBA"/>
    <w:rsid w:val="005D4FE5"/>
    <w:rsid w:val="005D507A"/>
    <w:rsid w:val="005D5083"/>
    <w:rsid w:val="005D5088"/>
    <w:rsid w:val="005D50B9"/>
    <w:rsid w:val="005D5145"/>
    <w:rsid w:val="005D51CE"/>
    <w:rsid w:val="005D5302"/>
    <w:rsid w:val="005D536D"/>
    <w:rsid w:val="005D5384"/>
    <w:rsid w:val="005D548B"/>
    <w:rsid w:val="005D54C7"/>
    <w:rsid w:val="005D54E7"/>
    <w:rsid w:val="005D5591"/>
    <w:rsid w:val="005D55A1"/>
    <w:rsid w:val="005D56CE"/>
    <w:rsid w:val="005D580E"/>
    <w:rsid w:val="005D5913"/>
    <w:rsid w:val="005D5937"/>
    <w:rsid w:val="005D5958"/>
    <w:rsid w:val="005D5C7E"/>
    <w:rsid w:val="005D5CF2"/>
    <w:rsid w:val="005D5DEE"/>
    <w:rsid w:val="005D5E8F"/>
    <w:rsid w:val="005D5ECA"/>
    <w:rsid w:val="005D5EF8"/>
    <w:rsid w:val="005D5F1F"/>
    <w:rsid w:val="005D5FC5"/>
    <w:rsid w:val="005D6001"/>
    <w:rsid w:val="005D605F"/>
    <w:rsid w:val="005D6239"/>
    <w:rsid w:val="005D649F"/>
    <w:rsid w:val="005D6545"/>
    <w:rsid w:val="005D6747"/>
    <w:rsid w:val="005D679F"/>
    <w:rsid w:val="005D6849"/>
    <w:rsid w:val="005D6850"/>
    <w:rsid w:val="005D69C2"/>
    <w:rsid w:val="005D6A32"/>
    <w:rsid w:val="005D6AF4"/>
    <w:rsid w:val="005D6B26"/>
    <w:rsid w:val="005D6C01"/>
    <w:rsid w:val="005D6C9B"/>
    <w:rsid w:val="005D6D7B"/>
    <w:rsid w:val="005D6ECF"/>
    <w:rsid w:val="005D719F"/>
    <w:rsid w:val="005D71F6"/>
    <w:rsid w:val="005D743E"/>
    <w:rsid w:val="005D74FB"/>
    <w:rsid w:val="005D7777"/>
    <w:rsid w:val="005D780B"/>
    <w:rsid w:val="005D7BBB"/>
    <w:rsid w:val="005D7D18"/>
    <w:rsid w:val="005D7D82"/>
    <w:rsid w:val="005D7DB6"/>
    <w:rsid w:val="005D7E6C"/>
    <w:rsid w:val="005DB68D"/>
    <w:rsid w:val="005E0026"/>
    <w:rsid w:val="005E01B8"/>
    <w:rsid w:val="005E0251"/>
    <w:rsid w:val="005E043B"/>
    <w:rsid w:val="005E0459"/>
    <w:rsid w:val="005E0593"/>
    <w:rsid w:val="005E0916"/>
    <w:rsid w:val="005E0B69"/>
    <w:rsid w:val="005E0C26"/>
    <w:rsid w:val="005E0D01"/>
    <w:rsid w:val="005E0D2A"/>
    <w:rsid w:val="005E0D53"/>
    <w:rsid w:val="005E0E1B"/>
    <w:rsid w:val="005E0EA5"/>
    <w:rsid w:val="005E1004"/>
    <w:rsid w:val="005E13D3"/>
    <w:rsid w:val="005E1435"/>
    <w:rsid w:val="005E14E4"/>
    <w:rsid w:val="005E184F"/>
    <w:rsid w:val="005E1861"/>
    <w:rsid w:val="005E1959"/>
    <w:rsid w:val="005E1AC3"/>
    <w:rsid w:val="005E1B0A"/>
    <w:rsid w:val="005E1E7E"/>
    <w:rsid w:val="005E1FB4"/>
    <w:rsid w:val="005E20FF"/>
    <w:rsid w:val="005E2154"/>
    <w:rsid w:val="005E229F"/>
    <w:rsid w:val="005E22EE"/>
    <w:rsid w:val="005E233C"/>
    <w:rsid w:val="005E2584"/>
    <w:rsid w:val="005E2703"/>
    <w:rsid w:val="005E287F"/>
    <w:rsid w:val="005E293B"/>
    <w:rsid w:val="005E299C"/>
    <w:rsid w:val="005E2BBD"/>
    <w:rsid w:val="005E2BEE"/>
    <w:rsid w:val="005E2DBC"/>
    <w:rsid w:val="005E2DF8"/>
    <w:rsid w:val="005E31E3"/>
    <w:rsid w:val="005E34D3"/>
    <w:rsid w:val="005E357E"/>
    <w:rsid w:val="005E359D"/>
    <w:rsid w:val="005E35D8"/>
    <w:rsid w:val="005E363E"/>
    <w:rsid w:val="005E36F9"/>
    <w:rsid w:val="005E3807"/>
    <w:rsid w:val="005E3853"/>
    <w:rsid w:val="005E3913"/>
    <w:rsid w:val="005E3968"/>
    <w:rsid w:val="005E3999"/>
    <w:rsid w:val="005E39CD"/>
    <w:rsid w:val="005E3C8F"/>
    <w:rsid w:val="005E3FE6"/>
    <w:rsid w:val="005E410B"/>
    <w:rsid w:val="005E41FC"/>
    <w:rsid w:val="005E424C"/>
    <w:rsid w:val="005E42BB"/>
    <w:rsid w:val="005E4340"/>
    <w:rsid w:val="005E43B1"/>
    <w:rsid w:val="005E4464"/>
    <w:rsid w:val="005E452F"/>
    <w:rsid w:val="005E45C8"/>
    <w:rsid w:val="005E4713"/>
    <w:rsid w:val="005E48D9"/>
    <w:rsid w:val="005E4A1C"/>
    <w:rsid w:val="005E4AE5"/>
    <w:rsid w:val="005E4B7E"/>
    <w:rsid w:val="005E4BA4"/>
    <w:rsid w:val="005E4BA9"/>
    <w:rsid w:val="005E4D10"/>
    <w:rsid w:val="005E4D4C"/>
    <w:rsid w:val="005E4D7F"/>
    <w:rsid w:val="005E4EA7"/>
    <w:rsid w:val="005E4F77"/>
    <w:rsid w:val="005E4FE4"/>
    <w:rsid w:val="005E508B"/>
    <w:rsid w:val="005E530B"/>
    <w:rsid w:val="005E5582"/>
    <w:rsid w:val="005E55BF"/>
    <w:rsid w:val="005E55C9"/>
    <w:rsid w:val="005E55DB"/>
    <w:rsid w:val="005E568D"/>
    <w:rsid w:val="005E58C9"/>
    <w:rsid w:val="005E58D8"/>
    <w:rsid w:val="005E59EF"/>
    <w:rsid w:val="005E5B59"/>
    <w:rsid w:val="005E5BB1"/>
    <w:rsid w:val="005E5D48"/>
    <w:rsid w:val="005E5D4C"/>
    <w:rsid w:val="005E5D69"/>
    <w:rsid w:val="005E5ECA"/>
    <w:rsid w:val="005E6055"/>
    <w:rsid w:val="005E6141"/>
    <w:rsid w:val="005E637F"/>
    <w:rsid w:val="005E6430"/>
    <w:rsid w:val="005E6453"/>
    <w:rsid w:val="005E653B"/>
    <w:rsid w:val="005E6547"/>
    <w:rsid w:val="005E6623"/>
    <w:rsid w:val="005E6697"/>
    <w:rsid w:val="005E66AA"/>
    <w:rsid w:val="005E6930"/>
    <w:rsid w:val="005E6A13"/>
    <w:rsid w:val="005E6AF4"/>
    <w:rsid w:val="005E6B34"/>
    <w:rsid w:val="005E6B3E"/>
    <w:rsid w:val="005E6C31"/>
    <w:rsid w:val="005E6E90"/>
    <w:rsid w:val="005E6F2B"/>
    <w:rsid w:val="005E6FF9"/>
    <w:rsid w:val="005E78F4"/>
    <w:rsid w:val="005E790B"/>
    <w:rsid w:val="005E7A0C"/>
    <w:rsid w:val="005E7A92"/>
    <w:rsid w:val="005E7B82"/>
    <w:rsid w:val="005E7B8F"/>
    <w:rsid w:val="005E7C4B"/>
    <w:rsid w:val="005E7D21"/>
    <w:rsid w:val="005E7EA2"/>
    <w:rsid w:val="005E7EE6"/>
    <w:rsid w:val="005E7F88"/>
    <w:rsid w:val="005EFD42"/>
    <w:rsid w:val="005F00A3"/>
    <w:rsid w:val="005F01E3"/>
    <w:rsid w:val="005F032D"/>
    <w:rsid w:val="005F08CB"/>
    <w:rsid w:val="005F090E"/>
    <w:rsid w:val="005F0A3F"/>
    <w:rsid w:val="005F0A79"/>
    <w:rsid w:val="005F0B7F"/>
    <w:rsid w:val="005F0B9C"/>
    <w:rsid w:val="005F0C58"/>
    <w:rsid w:val="005F0C5A"/>
    <w:rsid w:val="005F0CD6"/>
    <w:rsid w:val="005F0F6C"/>
    <w:rsid w:val="005F0F72"/>
    <w:rsid w:val="005F1012"/>
    <w:rsid w:val="005F1062"/>
    <w:rsid w:val="005F10E3"/>
    <w:rsid w:val="005F1165"/>
    <w:rsid w:val="005F11A3"/>
    <w:rsid w:val="005F1500"/>
    <w:rsid w:val="005F16AA"/>
    <w:rsid w:val="005F16FD"/>
    <w:rsid w:val="005F19E2"/>
    <w:rsid w:val="005F1A3E"/>
    <w:rsid w:val="005F1B3C"/>
    <w:rsid w:val="005F1C6B"/>
    <w:rsid w:val="005F1D22"/>
    <w:rsid w:val="005F1D2F"/>
    <w:rsid w:val="005F1DA9"/>
    <w:rsid w:val="005F1F2E"/>
    <w:rsid w:val="005F21C9"/>
    <w:rsid w:val="005F21EF"/>
    <w:rsid w:val="005F2200"/>
    <w:rsid w:val="005F23A0"/>
    <w:rsid w:val="005F2481"/>
    <w:rsid w:val="005F2485"/>
    <w:rsid w:val="005F24BD"/>
    <w:rsid w:val="005F25FD"/>
    <w:rsid w:val="005F265B"/>
    <w:rsid w:val="005F2828"/>
    <w:rsid w:val="005F2A04"/>
    <w:rsid w:val="005F2AE7"/>
    <w:rsid w:val="005F2CC8"/>
    <w:rsid w:val="005F2D20"/>
    <w:rsid w:val="005F2FAA"/>
    <w:rsid w:val="005F300C"/>
    <w:rsid w:val="005F3294"/>
    <w:rsid w:val="005F3441"/>
    <w:rsid w:val="005F352E"/>
    <w:rsid w:val="005F37F6"/>
    <w:rsid w:val="005F393F"/>
    <w:rsid w:val="005F3A4F"/>
    <w:rsid w:val="005F3D2F"/>
    <w:rsid w:val="005F3E8C"/>
    <w:rsid w:val="005F3FCC"/>
    <w:rsid w:val="005F3FEB"/>
    <w:rsid w:val="005F41A5"/>
    <w:rsid w:val="005F42CA"/>
    <w:rsid w:val="005F4357"/>
    <w:rsid w:val="005F458B"/>
    <w:rsid w:val="005F4613"/>
    <w:rsid w:val="005F46E2"/>
    <w:rsid w:val="005F46FC"/>
    <w:rsid w:val="005F4B33"/>
    <w:rsid w:val="005F4D75"/>
    <w:rsid w:val="005F4D81"/>
    <w:rsid w:val="005F4DEB"/>
    <w:rsid w:val="005F4DFB"/>
    <w:rsid w:val="005F4E05"/>
    <w:rsid w:val="005F4E66"/>
    <w:rsid w:val="005F4FE9"/>
    <w:rsid w:val="005F50BD"/>
    <w:rsid w:val="005F52D6"/>
    <w:rsid w:val="005F53B0"/>
    <w:rsid w:val="005F546F"/>
    <w:rsid w:val="005F5549"/>
    <w:rsid w:val="005F56E2"/>
    <w:rsid w:val="005F5717"/>
    <w:rsid w:val="005F5900"/>
    <w:rsid w:val="005F596B"/>
    <w:rsid w:val="005F59A2"/>
    <w:rsid w:val="005F5A10"/>
    <w:rsid w:val="005F5B0A"/>
    <w:rsid w:val="005F5B6D"/>
    <w:rsid w:val="005F5BB4"/>
    <w:rsid w:val="005F5C0A"/>
    <w:rsid w:val="005F5CE5"/>
    <w:rsid w:val="005F5E03"/>
    <w:rsid w:val="005F5EC2"/>
    <w:rsid w:val="005F5FB2"/>
    <w:rsid w:val="005F60A5"/>
    <w:rsid w:val="005F60F0"/>
    <w:rsid w:val="005F6193"/>
    <w:rsid w:val="005F6437"/>
    <w:rsid w:val="005F647B"/>
    <w:rsid w:val="005F66E1"/>
    <w:rsid w:val="005F66F0"/>
    <w:rsid w:val="005F67AE"/>
    <w:rsid w:val="005F67E5"/>
    <w:rsid w:val="005F6874"/>
    <w:rsid w:val="005F6895"/>
    <w:rsid w:val="005F6AC1"/>
    <w:rsid w:val="005F6B01"/>
    <w:rsid w:val="005F6B8F"/>
    <w:rsid w:val="005F6CB2"/>
    <w:rsid w:val="005F6DA5"/>
    <w:rsid w:val="005F6DE3"/>
    <w:rsid w:val="005F6E92"/>
    <w:rsid w:val="005F6E93"/>
    <w:rsid w:val="005F6F8B"/>
    <w:rsid w:val="005F6FC9"/>
    <w:rsid w:val="005F7017"/>
    <w:rsid w:val="005F7120"/>
    <w:rsid w:val="005F719D"/>
    <w:rsid w:val="005F7284"/>
    <w:rsid w:val="005F72CD"/>
    <w:rsid w:val="005F74EC"/>
    <w:rsid w:val="005F77A5"/>
    <w:rsid w:val="005F7933"/>
    <w:rsid w:val="005F79DF"/>
    <w:rsid w:val="005F7A0B"/>
    <w:rsid w:val="005F7A34"/>
    <w:rsid w:val="005F7C17"/>
    <w:rsid w:val="005F7C71"/>
    <w:rsid w:val="005F7C89"/>
    <w:rsid w:val="005F7EBE"/>
    <w:rsid w:val="005F7ECA"/>
    <w:rsid w:val="00600013"/>
    <w:rsid w:val="00600081"/>
    <w:rsid w:val="006001C2"/>
    <w:rsid w:val="00600226"/>
    <w:rsid w:val="0060028A"/>
    <w:rsid w:val="00600303"/>
    <w:rsid w:val="00600355"/>
    <w:rsid w:val="0060035A"/>
    <w:rsid w:val="0060042E"/>
    <w:rsid w:val="0060047A"/>
    <w:rsid w:val="0060053E"/>
    <w:rsid w:val="00600592"/>
    <w:rsid w:val="006006C7"/>
    <w:rsid w:val="006006CE"/>
    <w:rsid w:val="00600756"/>
    <w:rsid w:val="00600840"/>
    <w:rsid w:val="00600930"/>
    <w:rsid w:val="006009FD"/>
    <w:rsid w:val="00600A32"/>
    <w:rsid w:val="00600BB5"/>
    <w:rsid w:val="00600CE4"/>
    <w:rsid w:val="00600DE2"/>
    <w:rsid w:val="00600E98"/>
    <w:rsid w:val="00600EF6"/>
    <w:rsid w:val="00600F60"/>
    <w:rsid w:val="00601028"/>
    <w:rsid w:val="00601227"/>
    <w:rsid w:val="0060136E"/>
    <w:rsid w:val="00601582"/>
    <w:rsid w:val="00601729"/>
    <w:rsid w:val="00601755"/>
    <w:rsid w:val="006018D0"/>
    <w:rsid w:val="00601A1E"/>
    <w:rsid w:val="00601A4D"/>
    <w:rsid w:val="00601ACF"/>
    <w:rsid w:val="00601C6A"/>
    <w:rsid w:val="00601CD9"/>
    <w:rsid w:val="00601D70"/>
    <w:rsid w:val="00601DBB"/>
    <w:rsid w:val="00601DEE"/>
    <w:rsid w:val="00601E38"/>
    <w:rsid w:val="00601E83"/>
    <w:rsid w:val="00601EE9"/>
    <w:rsid w:val="00601F07"/>
    <w:rsid w:val="0060201A"/>
    <w:rsid w:val="00602025"/>
    <w:rsid w:val="00602279"/>
    <w:rsid w:val="0060247D"/>
    <w:rsid w:val="0060267D"/>
    <w:rsid w:val="006027BC"/>
    <w:rsid w:val="00602812"/>
    <w:rsid w:val="00602A4C"/>
    <w:rsid w:val="00602C37"/>
    <w:rsid w:val="00602DC3"/>
    <w:rsid w:val="00602E36"/>
    <w:rsid w:val="00603039"/>
    <w:rsid w:val="006030EC"/>
    <w:rsid w:val="00603185"/>
    <w:rsid w:val="00603236"/>
    <w:rsid w:val="00603383"/>
    <w:rsid w:val="006039CA"/>
    <w:rsid w:val="00603AB6"/>
    <w:rsid w:val="00603B35"/>
    <w:rsid w:val="00603B97"/>
    <w:rsid w:val="00603CDE"/>
    <w:rsid w:val="00603DD1"/>
    <w:rsid w:val="00603EA5"/>
    <w:rsid w:val="00603F57"/>
    <w:rsid w:val="00604177"/>
    <w:rsid w:val="00604276"/>
    <w:rsid w:val="006042AD"/>
    <w:rsid w:val="00604353"/>
    <w:rsid w:val="00604401"/>
    <w:rsid w:val="006044F6"/>
    <w:rsid w:val="00604503"/>
    <w:rsid w:val="00604611"/>
    <w:rsid w:val="00604793"/>
    <w:rsid w:val="006047AC"/>
    <w:rsid w:val="0060497F"/>
    <w:rsid w:val="00604AB0"/>
    <w:rsid w:val="00604B46"/>
    <w:rsid w:val="00604BCE"/>
    <w:rsid w:val="00604D3F"/>
    <w:rsid w:val="00604EE5"/>
    <w:rsid w:val="00604EF7"/>
    <w:rsid w:val="00604F7C"/>
    <w:rsid w:val="00605017"/>
    <w:rsid w:val="00605046"/>
    <w:rsid w:val="0060507B"/>
    <w:rsid w:val="00605110"/>
    <w:rsid w:val="006051C8"/>
    <w:rsid w:val="00605262"/>
    <w:rsid w:val="0060527B"/>
    <w:rsid w:val="00605459"/>
    <w:rsid w:val="006054BC"/>
    <w:rsid w:val="00605539"/>
    <w:rsid w:val="0060578C"/>
    <w:rsid w:val="006059A1"/>
    <w:rsid w:val="00605AFC"/>
    <w:rsid w:val="00605BC4"/>
    <w:rsid w:val="00605D92"/>
    <w:rsid w:val="00605E2F"/>
    <w:rsid w:val="00605E48"/>
    <w:rsid w:val="00605EC2"/>
    <w:rsid w:val="00605F30"/>
    <w:rsid w:val="006062AF"/>
    <w:rsid w:val="006063B1"/>
    <w:rsid w:val="0060647C"/>
    <w:rsid w:val="006065A2"/>
    <w:rsid w:val="006065EF"/>
    <w:rsid w:val="0060665B"/>
    <w:rsid w:val="00606824"/>
    <w:rsid w:val="0060683C"/>
    <w:rsid w:val="00606875"/>
    <w:rsid w:val="00606A2A"/>
    <w:rsid w:val="00606A53"/>
    <w:rsid w:val="00606A6A"/>
    <w:rsid w:val="00606AD8"/>
    <w:rsid w:val="00606BDA"/>
    <w:rsid w:val="00606DA5"/>
    <w:rsid w:val="00606F89"/>
    <w:rsid w:val="00607012"/>
    <w:rsid w:val="006071B0"/>
    <w:rsid w:val="0060730A"/>
    <w:rsid w:val="006075A8"/>
    <w:rsid w:val="00607642"/>
    <w:rsid w:val="006076DB"/>
    <w:rsid w:val="00607843"/>
    <w:rsid w:val="00607865"/>
    <w:rsid w:val="006078A1"/>
    <w:rsid w:val="006078C8"/>
    <w:rsid w:val="00607952"/>
    <w:rsid w:val="00607A77"/>
    <w:rsid w:val="00607ACD"/>
    <w:rsid w:val="00607C25"/>
    <w:rsid w:val="00607C2C"/>
    <w:rsid w:val="00607C3E"/>
    <w:rsid w:val="00607E87"/>
    <w:rsid w:val="00607FB0"/>
    <w:rsid w:val="00610180"/>
    <w:rsid w:val="00610228"/>
    <w:rsid w:val="00610374"/>
    <w:rsid w:val="006103C2"/>
    <w:rsid w:val="00610407"/>
    <w:rsid w:val="00610495"/>
    <w:rsid w:val="0061056D"/>
    <w:rsid w:val="00610712"/>
    <w:rsid w:val="0061087F"/>
    <w:rsid w:val="006108FC"/>
    <w:rsid w:val="006109B8"/>
    <w:rsid w:val="00610B21"/>
    <w:rsid w:val="00610BC3"/>
    <w:rsid w:val="00610BDF"/>
    <w:rsid w:val="00610CA7"/>
    <w:rsid w:val="00610D6F"/>
    <w:rsid w:val="00610F59"/>
    <w:rsid w:val="00610F97"/>
    <w:rsid w:val="00611014"/>
    <w:rsid w:val="0061108A"/>
    <w:rsid w:val="0061113D"/>
    <w:rsid w:val="006112D3"/>
    <w:rsid w:val="006116F0"/>
    <w:rsid w:val="00611742"/>
    <w:rsid w:val="0061178E"/>
    <w:rsid w:val="006117C3"/>
    <w:rsid w:val="006117CA"/>
    <w:rsid w:val="00611B69"/>
    <w:rsid w:val="00611B9A"/>
    <w:rsid w:val="00611C0F"/>
    <w:rsid w:val="00611C25"/>
    <w:rsid w:val="00611C56"/>
    <w:rsid w:val="00611CC2"/>
    <w:rsid w:val="00611CDE"/>
    <w:rsid w:val="00611E77"/>
    <w:rsid w:val="00611F94"/>
    <w:rsid w:val="00611FB5"/>
    <w:rsid w:val="00611FC6"/>
    <w:rsid w:val="006122C2"/>
    <w:rsid w:val="00612388"/>
    <w:rsid w:val="006125B2"/>
    <w:rsid w:val="006125DC"/>
    <w:rsid w:val="006127CC"/>
    <w:rsid w:val="0061283D"/>
    <w:rsid w:val="00612947"/>
    <w:rsid w:val="006129CA"/>
    <w:rsid w:val="00612A73"/>
    <w:rsid w:val="00612AEC"/>
    <w:rsid w:val="00612AFC"/>
    <w:rsid w:val="00612B45"/>
    <w:rsid w:val="00612CEF"/>
    <w:rsid w:val="00612D7D"/>
    <w:rsid w:val="00612EB7"/>
    <w:rsid w:val="0061307C"/>
    <w:rsid w:val="00613285"/>
    <w:rsid w:val="00613331"/>
    <w:rsid w:val="006134A0"/>
    <w:rsid w:val="00613544"/>
    <w:rsid w:val="006135AE"/>
    <w:rsid w:val="006135B0"/>
    <w:rsid w:val="0061367F"/>
    <w:rsid w:val="006136E2"/>
    <w:rsid w:val="006138E0"/>
    <w:rsid w:val="00613913"/>
    <w:rsid w:val="00613BA0"/>
    <w:rsid w:val="00613BFC"/>
    <w:rsid w:val="00613CA0"/>
    <w:rsid w:val="00613CF5"/>
    <w:rsid w:val="00613ED7"/>
    <w:rsid w:val="00614054"/>
    <w:rsid w:val="006140E0"/>
    <w:rsid w:val="006141C1"/>
    <w:rsid w:val="0061430D"/>
    <w:rsid w:val="00614325"/>
    <w:rsid w:val="0061436D"/>
    <w:rsid w:val="00614575"/>
    <w:rsid w:val="00614620"/>
    <w:rsid w:val="0061465B"/>
    <w:rsid w:val="006146E6"/>
    <w:rsid w:val="006148C7"/>
    <w:rsid w:val="006148F5"/>
    <w:rsid w:val="00614915"/>
    <w:rsid w:val="00614970"/>
    <w:rsid w:val="00614AAA"/>
    <w:rsid w:val="00614B59"/>
    <w:rsid w:val="00614C55"/>
    <w:rsid w:val="00614D02"/>
    <w:rsid w:val="00614D33"/>
    <w:rsid w:val="00614D95"/>
    <w:rsid w:val="00614FC1"/>
    <w:rsid w:val="006150BD"/>
    <w:rsid w:val="0061512E"/>
    <w:rsid w:val="006151D9"/>
    <w:rsid w:val="0061531E"/>
    <w:rsid w:val="0061560C"/>
    <w:rsid w:val="00615683"/>
    <w:rsid w:val="00615692"/>
    <w:rsid w:val="006156EA"/>
    <w:rsid w:val="0061575C"/>
    <w:rsid w:val="0061577F"/>
    <w:rsid w:val="00615905"/>
    <w:rsid w:val="0061597B"/>
    <w:rsid w:val="0061599E"/>
    <w:rsid w:val="00615ACA"/>
    <w:rsid w:val="00615E6A"/>
    <w:rsid w:val="00616096"/>
    <w:rsid w:val="006160B9"/>
    <w:rsid w:val="0061650F"/>
    <w:rsid w:val="0061656C"/>
    <w:rsid w:val="00616598"/>
    <w:rsid w:val="006165D2"/>
    <w:rsid w:val="006166DF"/>
    <w:rsid w:val="00616789"/>
    <w:rsid w:val="006167C1"/>
    <w:rsid w:val="006169E2"/>
    <w:rsid w:val="00616A21"/>
    <w:rsid w:val="00616D5D"/>
    <w:rsid w:val="006171DA"/>
    <w:rsid w:val="00617209"/>
    <w:rsid w:val="0061731F"/>
    <w:rsid w:val="0061735A"/>
    <w:rsid w:val="006173D4"/>
    <w:rsid w:val="00617402"/>
    <w:rsid w:val="00617790"/>
    <w:rsid w:val="006178BA"/>
    <w:rsid w:val="00617970"/>
    <w:rsid w:val="006179A7"/>
    <w:rsid w:val="00617A89"/>
    <w:rsid w:val="00617CE1"/>
    <w:rsid w:val="00617D40"/>
    <w:rsid w:val="00617D45"/>
    <w:rsid w:val="00617E89"/>
    <w:rsid w:val="00617EA4"/>
    <w:rsid w:val="00620164"/>
    <w:rsid w:val="0062017F"/>
    <w:rsid w:val="0062034A"/>
    <w:rsid w:val="006203D7"/>
    <w:rsid w:val="0062048C"/>
    <w:rsid w:val="0062052F"/>
    <w:rsid w:val="00620563"/>
    <w:rsid w:val="006205D3"/>
    <w:rsid w:val="006207FE"/>
    <w:rsid w:val="0062083B"/>
    <w:rsid w:val="0062087C"/>
    <w:rsid w:val="00620888"/>
    <w:rsid w:val="0062099A"/>
    <w:rsid w:val="006209BF"/>
    <w:rsid w:val="00620A39"/>
    <w:rsid w:val="00620E42"/>
    <w:rsid w:val="00620EAE"/>
    <w:rsid w:val="00620EE8"/>
    <w:rsid w:val="0062103E"/>
    <w:rsid w:val="00621142"/>
    <w:rsid w:val="006212AF"/>
    <w:rsid w:val="006212BE"/>
    <w:rsid w:val="0062135C"/>
    <w:rsid w:val="006213AA"/>
    <w:rsid w:val="00621472"/>
    <w:rsid w:val="00621626"/>
    <w:rsid w:val="0062171B"/>
    <w:rsid w:val="0062177B"/>
    <w:rsid w:val="00621801"/>
    <w:rsid w:val="006218D0"/>
    <w:rsid w:val="00621B1E"/>
    <w:rsid w:val="00621B71"/>
    <w:rsid w:val="00621D37"/>
    <w:rsid w:val="00621D39"/>
    <w:rsid w:val="00621DB1"/>
    <w:rsid w:val="00621E64"/>
    <w:rsid w:val="00621E98"/>
    <w:rsid w:val="00621ED0"/>
    <w:rsid w:val="00622193"/>
    <w:rsid w:val="00622260"/>
    <w:rsid w:val="006222DD"/>
    <w:rsid w:val="00622477"/>
    <w:rsid w:val="0062266B"/>
    <w:rsid w:val="00622709"/>
    <w:rsid w:val="00622ABB"/>
    <w:rsid w:val="00622AF5"/>
    <w:rsid w:val="00622B97"/>
    <w:rsid w:val="00622C78"/>
    <w:rsid w:val="00622DEF"/>
    <w:rsid w:val="00622F6E"/>
    <w:rsid w:val="00623052"/>
    <w:rsid w:val="006230EE"/>
    <w:rsid w:val="006232E1"/>
    <w:rsid w:val="00623371"/>
    <w:rsid w:val="0062341A"/>
    <w:rsid w:val="006235AC"/>
    <w:rsid w:val="00623683"/>
    <w:rsid w:val="00623815"/>
    <w:rsid w:val="00623D23"/>
    <w:rsid w:val="00623F05"/>
    <w:rsid w:val="0062426E"/>
    <w:rsid w:val="006242A7"/>
    <w:rsid w:val="00624349"/>
    <w:rsid w:val="006243C6"/>
    <w:rsid w:val="00624405"/>
    <w:rsid w:val="00624487"/>
    <w:rsid w:val="00624563"/>
    <w:rsid w:val="00624697"/>
    <w:rsid w:val="0062469C"/>
    <w:rsid w:val="006246FA"/>
    <w:rsid w:val="00624879"/>
    <w:rsid w:val="006248E8"/>
    <w:rsid w:val="00624B5F"/>
    <w:rsid w:val="00624B7D"/>
    <w:rsid w:val="00624EAE"/>
    <w:rsid w:val="00624F54"/>
    <w:rsid w:val="0062504E"/>
    <w:rsid w:val="006250EF"/>
    <w:rsid w:val="0062512D"/>
    <w:rsid w:val="00625284"/>
    <w:rsid w:val="006252A9"/>
    <w:rsid w:val="006252C8"/>
    <w:rsid w:val="006253E4"/>
    <w:rsid w:val="00625542"/>
    <w:rsid w:val="00625699"/>
    <w:rsid w:val="006257A0"/>
    <w:rsid w:val="00625821"/>
    <w:rsid w:val="00625867"/>
    <w:rsid w:val="006259BD"/>
    <w:rsid w:val="006259E4"/>
    <w:rsid w:val="00625BF3"/>
    <w:rsid w:val="00625EFE"/>
    <w:rsid w:val="00625F96"/>
    <w:rsid w:val="00625FE8"/>
    <w:rsid w:val="00625FFF"/>
    <w:rsid w:val="006260F9"/>
    <w:rsid w:val="00626106"/>
    <w:rsid w:val="00626174"/>
    <w:rsid w:val="0062617F"/>
    <w:rsid w:val="00626210"/>
    <w:rsid w:val="006262CD"/>
    <w:rsid w:val="006262F0"/>
    <w:rsid w:val="0062637B"/>
    <w:rsid w:val="006266F4"/>
    <w:rsid w:val="00626762"/>
    <w:rsid w:val="006268DA"/>
    <w:rsid w:val="00626B08"/>
    <w:rsid w:val="00626C2D"/>
    <w:rsid w:val="00626C80"/>
    <w:rsid w:val="00626CDF"/>
    <w:rsid w:val="00626F38"/>
    <w:rsid w:val="0062721D"/>
    <w:rsid w:val="00627243"/>
    <w:rsid w:val="006274A8"/>
    <w:rsid w:val="0062754C"/>
    <w:rsid w:val="006277C5"/>
    <w:rsid w:val="00627895"/>
    <w:rsid w:val="00627B98"/>
    <w:rsid w:val="00627BBB"/>
    <w:rsid w:val="00627BFF"/>
    <w:rsid w:val="00627C07"/>
    <w:rsid w:val="00627E5F"/>
    <w:rsid w:val="00627E7B"/>
    <w:rsid w:val="00627FB7"/>
    <w:rsid w:val="0062996F"/>
    <w:rsid w:val="00630041"/>
    <w:rsid w:val="00630080"/>
    <w:rsid w:val="006300DD"/>
    <w:rsid w:val="006301F3"/>
    <w:rsid w:val="006302FE"/>
    <w:rsid w:val="0063030F"/>
    <w:rsid w:val="00630442"/>
    <w:rsid w:val="006304D9"/>
    <w:rsid w:val="0063069F"/>
    <w:rsid w:val="006306AB"/>
    <w:rsid w:val="006306CD"/>
    <w:rsid w:val="00630766"/>
    <w:rsid w:val="0063083F"/>
    <w:rsid w:val="00630A77"/>
    <w:rsid w:val="00630ACD"/>
    <w:rsid w:val="00630B01"/>
    <w:rsid w:val="00630C37"/>
    <w:rsid w:val="00630E6C"/>
    <w:rsid w:val="00630E8D"/>
    <w:rsid w:val="00630FA1"/>
    <w:rsid w:val="00631524"/>
    <w:rsid w:val="00631584"/>
    <w:rsid w:val="00631795"/>
    <w:rsid w:val="00631AE0"/>
    <w:rsid w:val="00631C0F"/>
    <w:rsid w:val="00631D51"/>
    <w:rsid w:val="00631DE9"/>
    <w:rsid w:val="00631E4C"/>
    <w:rsid w:val="00631FF9"/>
    <w:rsid w:val="0063210B"/>
    <w:rsid w:val="006321C1"/>
    <w:rsid w:val="0063222A"/>
    <w:rsid w:val="00632241"/>
    <w:rsid w:val="006322E5"/>
    <w:rsid w:val="00632341"/>
    <w:rsid w:val="0063246A"/>
    <w:rsid w:val="006324C2"/>
    <w:rsid w:val="006324FB"/>
    <w:rsid w:val="006325F4"/>
    <w:rsid w:val="00632642"/>
    <w:rsid w:val="006327CD"/>
    <w:rsid w:val="0063292B"/>
    <w:rsid w:val="006329B8"/>
    <w:rsid w:val="00632B67"/>
    <w:rsid w:val="00632BD6"/>
    <w:rsid w:val="00632D08"/>
    <w:rsid w:val="00632E64"/>
    <w:rsid w:val="00632E7E"/>
    <w:rsid w:val="00632EB6"/>
    <w:rsid w:val="00632EBD"/>
    <w:rsid w:val="00632EC4"/>
    <w:rsid w:val="00632ED7"/>
    <w:rsid w:val="0063312B"/>
    <w:rsid w:val="006333C2"/>
    <w:rsid w:val="00633624"/>
    <w:rsid w:val="006336C9"/>
    <w:rsid w:val="00633838"/>
    <w:rsid w:val="00633928"/>
    <w:rsid w:val="0063395A"/>
    <w:rsid w:val="00633A11"/>
    <w:rsid w:val="00633B55"/>
    <w:rsid w:val="00633BB2"/>
    <w:rsid w:val="00633C97"/>
    <w:rsid w:val="00633D11"/>
    <w:rsid w:val="00633D44"/>
    <w:rsid w:val="00633E36"/>
    <w:rsid w:val="00633FA8"/>
    <w:rsid w:val="006340A8"/>
    <w:rsid w:val="0063412A"/>
    <w:rsid w:val="0063426C"/>
    <w:rsid w:val="006342C5"/>
    <w:rsid w:val="006342E8"/>
    <w:rsid w:val="00634306"/>
    <w:rsid w:val="0063452A"/>
    <w:rsid w:val="0063457D"/>
    <w:rsid w:val="0063459A"/>
    <w:rsid w:val="006345B9"/>
    <w:rsid w:val="0063462E"/>
    <w:rsid w:val="00634723"/>
    <w:rsid w:val="0063472E"/>
    <w:rsid w:val="0063477A"/>
    <w:rsid w:val="006347E7"/>
    <w:rsid w:val="00634811"/>
    <w:rsid w:val="006348A5"/>
    <w:rsid w:val="006349BB"/>
    <w:rsid w:val="00634A0D"/>
    <w:rsid w:val="00634AF0"/>
    <w:rsid w:val="00634BB2"/>
    <w:rsid w:val="00634E82"/>
    <w:rsid w:val="00634F06"/>
    <w:rsid w:val="0063504D"/>
    <w:rsid w:val="00635263"/>
    <w:rsid w:val="0063533C"/>
    <w:rsid w:val="00635441"/>
    <w:rsid w:val="0063547F"/>
    <w:rsid w:val="006354C5"/>
    <w:rsid w:val="0063552B"/>
    <w:rsid w:val="0063562D"/>
    <w:rsid w:val="00635641"/>
    <w:rsid w:val="0063581F"/>
    <w:rsid w:val="006358C6"/>
    <w:rsid w:val="00635A67"/>
    <w:rsid w:val="00635AAE"/>
    <w:rsid w:val="00635C06"/>
    <w:rsid w:val="00635C2B"/>
    <w:rsid w:val="00635D86"/>
    <w:rsid w:val="00635DBA"/>
    <w:rsid w:val="00635DC6"/>
    <w:rsid w:val="00635EC8"/>
    <w:rsid w:val="00636094"/>
    <w:rsid w:val="00636152"/>
    <w:rsid w:val="00636190"/>
    <w:rsid w:val="00636391"/>
    <w:rsid w:val="00636400"/>
    <w:rsid w:val="00636454"/>
    <w:rsid w:val="006364BE"/>
    <w:rsid w:val="006364D1"/>
    <w:rsid w:val="006364D6"/>
    <w:rsid w:val="0063654F"/>
    <w:rsid w:val="006365B1"/>
    <w:rsid w:val="006366D6"/>
    <w:rsid w:val="00636793"/>
    <w:rsid w:val="006367CC"/>
    <w:rsid w:val="0063684D"/>
    <w:rsid w:val="00636867"/>
    <w:rsid w:val="00636950"/>
    <w:rsid w:val="00636A7C"/>
    <w:rsid w:val="00636B7C"/>
    <w:rsid w:val="00636C09"/>
    <w:rsid w:val="00636C46"/>
    <w:rsid w:val="00636C8E"/>
    <w:rsid w:val="00636E1B"/>
    <w:rsid w:val="00636F06"/>
    <w:rsid w:val="00637303"/>
    <w:rsid w:val="006373ED"/>
    <w:rsid w:val="0063749E"/>
    <w:rsid w:val="00637593"/>
    <w:rsid w:val="0063769E"/>
    <w:rsid w:val="00637774"/>
    <w:rsid w:val="006377B8"/>
    <w:rsid w:val="0063793E"/>
    <w:rsid w:val="006379A7"/>
    <w:rsid w:val="00637A04"/>
    <w:rsid w:val="00637AC9"/>
    <w:rsid w:val="00637B90"/>
    <w:rsid w:val="00637C2B"/>
    <w:rsid w:val="00637CD5"/>
    <w:rsid w:val="00637EFA"/>
    <w:rsid w:val="00637F20"/>
    <w:rsid w:val="00637F75"/>
    <w:rsid w:val="00637FBB"/>
    <w:rsid w:val="00640074"/>
    <w:rsid w:val="006400FC"/>
    <w:rsid w:val="006402A6"/>
    <w:rsid w:val="00640360"/>
    <w:rsid w:val="006403C0"/>
    <w:rsid w:val="00640560"/>
    <w:rsid w:val="006405A3"/>
    <w:rsid w:val="006405E8"/>
    <w:rsid w:val="006408B0"/>
    <w:rsid w:val="006408E5"/>
    <w:rsid w:val="0064093A"/>
    <w:rsid w:val="00640C24"/>
    <w:rsid w:val="00640C2C"/>
    <w:rsid w:val="00640C32"/>
    <w:rsid w:val="00640C96"/>
    <w:rsid w:val="00640D3C"/>
    <w:rsid w:val="00640DC2"/>
    <w:rsid w:val="00640E25"/>
    <w:rsid w:val="00640F46"/>
    <w:rsid w:val="00640FE6"/>
    <w:rsid w:val="006410AA"/>
    <w:rsid w:val="0064112D"/>
    <w:rsid w:val="0064115D"/>
    <w:rsid w:val="00641231"/>
    <w:rsid w:val="00641287"/>
    <w:rsid w:val="00641428"/>
    <w:rsid w:val="006415F2"/>
    <w:rsid w:val="0064165E"/>
    <w:rsid w:val="006416AF"/>
    <w:rsid w:val="0064179F"/>
    <w:rsid w:val="0064182B"/>
    <w:rsid w:val="00641870"/>
    <w:rsid w:val="00641977"/>
    <w:rsid w:val="00641A20"/>
    <w:rsid w:val="00641A5A"/>
    <w:rsid w:val="00641B65"/>
    <w:rsid w:val="00641BCD"/>
    <w:rsid w:val="00641C6E"/>
    <w:rsid w:val="00641CF6"/>
    <w:rsid w:val="00641D06"/>
    <w:rsid w:val="00641D34"/>
    <w:rsid w:val="00641D63"/>
    <w:rsid w:val="00641EB3"/>
    <w:rsid w:val="00641ED4"/>
    <w:rsid w:val="00641FB0"/>
    <w:rsid w:val="00641FBE"/>
    <w:rsid w:val="00642080"/>
    <w:rsid w:val="0064212B"/>
    <w:rsid w:val="00642147"/>
    <w:rsid w:val="006421CF"/>
    <w:rsid w:val="0064233F"/>
    <w:rsid w:val="006424E9"/>
    <w:rsid w:val="00642540"/>
    <w:rsid w:val="0064265E"/>
    <w:rsid w:val="006426BA"/>
    <w:rsid w:val="00642700"/>
    <w:rsid w:val="00642928"/>
    <w:rsid w:val="00642B8B"/>
    <w:rsid w:val="00642C33"/>
    <w:rsid w:val="00642C54"/>
    <w:rsid w:val="00642DEE"/>
    <w:rsid w:val="00642E4D"/>
    <w:rsid w:val="00642E5D"/>
    <w:rsid w:val="00642EB8"/>
    <w:rsid w:val="00643048"/>
    <w:rsid w:val="00643227"/>
    <w:rsid w:val="00643253"/>
    <w:rsid w:val="0064336A"/>
    <w:rsid w:val="00643493"/>
    <w:rsid w:val="006434F6"/>
    <w:rsid w:val="0064359A"/>
    <w:rsid w:val="00643694"/>
    <w:rsid w:val="0064371B"/>
    <w:rsid w:val="00643749"/>
    <w:rsid w:val="0064376E"/>
    <w:rsid w:val="006438FE"/>
    <w:rsid w:val="0064398B"/>
    <w:rsid w:val="00643A2E"/>
    <w:rsid w:val="00643BE7"/>
    <w:rsid w:val="00643BFC"/>
    <w:rsid w:val="00643DC7"/>
    <w:rsid w:val="00643E13"/>
    <w:rsid w:val="00643F4D"/>
    <w:rsid w:val="00643F59"/>
    <w:rsid w:val="00644161"/>
    <w:rsid w:val="006441BC"/>
    <w:rsid w:val="006441EC"/>
    <w:rsid w:val="00644366"/>
    <w:rsid w:val="006443BF"/>
    <w:rsid w:val="00644513"/>
    <w:rsid w:val="00644629"/>
    <w:rsid w:val="0064475A"/>
    <w:rsid w:val="0064484D"/>
    <w:rsid w:val="0064486A"/>
    <w:rsid w:val="00644A66"/>
    <w:rsid w:val="00644A6B"/>
    <w:rsid w:val="00644C16"/>
    <w:rsid w:val="00644CD7"/>
    <w:rsid w:val="00644D60"/>
    <w:rsid w:val="00644DBF"/>
    <w:rsid w:val="00644F49"/>
    <w:rsid w:val="00644F4A"/>
    <w:rsid w:val="00645165"/>
    <w:rsid w:val="006452F1"/>
    <w:rsid w:val="00645437"/>
    <w:rsid w:val="00645503"/>
    <w:rsid w:val="006456AC"/>
    <w:rsid w:val="006457F9"/>
    <w:rsid w:val="006459BC"/>
    <w:rsid w:val="00645B53"/>
    <w:rsid w:val="00645EDB"/>
    <w:rsid w:val="00645EF4"/>
    <w:rsid w:val="00645FC3"/>
    <w:rsid w:val="00645FF3"/>
    <w:rsid w:val="00645FF8"/>
    <w:rsid w:val="00646234"/>
    <w:rsid w:val="00646331"/>
    <w:rsid w:val="00646496"/>
    <w:rsid w:val="0064653B"/>
    <w:rsid w:val="00646546"/>
    <w:rsid w:val="00646713"/>
    <w:rsid w:val="00646854"/>
    <w:rsid w:val="00646880"/>
    <w:rsid w:val="00646A07"/>
    <w:rsid w:val="00646A41"/>
    <w:rsid w:val="00646B38"/>
    <w:rsid w:val="00646C18"/>
    <w:rsid w:val="00646D64"/>
    <w:rsid w:val="00646D92"/>
    <w:rsid w:val="00646F52"/>
    <w:rsid w:val="00646F56"/>
    <w:rsid w:val="00646F9F"/>
    <w:rsid w:val="00646FD2"/>
    <w:rsid w:val="00647026"/>
    <w:rsid w:val="00647149"/>
    <w:rsid w:val="006472FC"/>
    <w:rsid w:val="0064758C"/>
    <w:rsid w:val="006476AB"/>
    <w:rsid w:val="00647740"/>
    <w:rsid w:val="00647857"/>
    <w:rsid w:val="00647858"/>
    <w:rsid w:val="00647A48"/>
    <w:rsid w:val="00647BAD"/>
    <w:rsid w:val="00647C2E"/>
    <w:rsid w:val="00647D1E"/>
    <w:rsid w:val="0064D1F1"/>
    <w:rsid w:val="0065015B"/>
    <w:rsid w:val="00650182"/>
    <w:rsid w:val="006502FB"/>
    <w:rsid w:val="006503EA"/>
    <w:rsid w:val="0065043E"/>
    <w:rsid w:val="00650526"/>
    <w:rsid w:val="0065061D"/>
    <w:rsid w:val="00650B6A"/>
    <w:rsid w:val="00650C2A"/>
    <w:rsid w:val="00650E6C"/>
    <w:rsid w:val="00650FC8"/>
    <w:rsid w:val="00650FDB"/>
    <w:rsid w:val="00651030"/>
    <w:rsid w:val="00651046"/>
    <w:rsid w:val="00651121"/>
    <w:rsid w:val="006511C8"/>
    <w:rsid w:val="006514BB"/>
    <w:rsid w:val="0065158C"/>
    <w:rsid w:val="00651664"/>
    <w:rsid w:val="0065166B"/>
    <w:rsid w:val="0065177D"/>
    <w:rsid w:val="006518A7"/>
    <w:rsid w:val="00651900"/>
    <w:rsid w:val="00651972"/>
    <w:rsid w:val="00651A4B"/>
    <w:rsid w:val="00651A61"/>
    <w:rsid w:val="00651B25"/>
    <w:rsid w:val="00651B5A"/>
    <w:rsid w:val="00651CAF"/>
    <w:rsid w:val="00651E6E"/>
    <w:rsid w:val="00651ECF"/>
    <w:rsid w:val="00651EDD"/>
    <w:rsid w:val="00651F59"/>
    <w:rsid w:val="00652025"/>
    <w:rsid w:val="00652136"/>
    <w:rsid w:val="0065242A"/>
    <w:rsid w:val="00652439"/>
    <w:rsid w:val="006524EC"/>
    <w:rsid w:val="006526E6"/>
    <w:rsid w:val="0065273E"/>
    <w:rsid w:val="0065276C"/>
    <w:rsid w:val="006528D0"/>
    <w:rsid w:val="006529A7"/>
    <w:rsid w:val="00652BB3"/>
    <w:rsid w:val="00652C65"/>
    <w:rsid w:val="00652F63"/>
    <w:rsid w:val="00652FFC"/>
    <w:rsid w:val="00653279"/>
    <w:rsid w:val="0065327B"/>
    <w:rsid w:val="00653330"/>
    <w:rsid w:val="006533B9"/>
    <w:rsid w:val="006534F7"/>
    <w:rsid w:val="00653609"/>
    <w:rsid w:val="006536F9"/>
    <w:rsid w:val="00653711"/>
    <w:rsid w:val="00653741"/>
    <w:rsid w:val="00653747"/>
    <w:rsid w:val="006538C2"/>
    <w:rsid w:val="00653A8E"/>
    <w:rsid w:val="00653ACC"/>
    <w:rsid w:val="00653BC1"/>
    <w:rsid w:val="00653C93"/>
    <w:rsid w:val="00653CF5"/>
    <w:rsid w:val="00653EA5"/>
    <w:rsid w:val="00653EA9"/>
    <w:rsid w:val="00653F54"/>
    <w:rsid w:val="00653FE0"/>
    <w:rsid w:val="0065407A"/>
    <w:rsid w:val="0065408E"/>
    <w:rsid w:val="00654091"/>
    <w:rsid w:val="006541A7"/>
    <w:rsid w:val="0065425C"/>
    <w:rsid w:val="006543B8"/>
    <w:rsid w:val="006544A8"/>
    <w:rsid w:val="00654526"/>
    <w:rsid w:val="00654528"/>
    <w:rsid w:val="006547FE"/>
    <w:rsid w:val="006548B7"/>
    <w:rsid w:val="006548C3"/>
    <w:rsid w:val="006548C6"/>
    <w:rsid w:val="00654C38"/>
    <w:rsid w:val="00654C5A"/>
    <w:rsid w:val="00654D1F"/>
    <w:rsid w:val="00654DA6"/>
    <w:rsid w:val="00654E72"/>
    <w:rsid w:val="00654E77"/>
    <w:rsid w:val="00655012"/>
    <w:rsid w:val="006550B8"/>
    <w:rsid w:val="00655221"/>
    <w:rsid w:val="0065523C"/>
    <w:rsid w:val="006554E7"/>
    <w:rsid w:val="00655586"/>
    <w:rsid w:val="006555E2"/>
    <w:rsid w:val="0065574A"/>
    <w:rsid w:val="006557EA"/>
    <w:rsid w:val="0065594D"/>
    <w:rsid w:val="00655C47"/>
    <w:rsid w:val="00655C57"/>
    <w:rsid w:val="00655E81"/>
    <w:rsid w:val="00655EE5"/>
    <w:rsid w:val="00655F16"/>
    <w:rsid w:val="006562E3"/>
    <w:rsid w:val="006565AC"/>
    <w:rsid w:val="0065667E"/>
    <w:rsid w:val="006566A1"/>
    <w:rsid w:val="00656879"/>
    <w:rsid w:val="00656955"/>
    <w:rsid w:val="00656A1C"/>
    <w:rsid w:val="00656A61"/>
    <w:rsid w:val="00656A97"/>
    <w:rsid w:val="00656C97"/>
    <w:rsid w:val="00656DB0"/>
    <w:rsid w:val="00656E07"/>
    <w:rsid w:val="00656E48"/>
    <w:rsid w:val="006572A2"/>
    <w:rsid w:val="006572F0"/>
    <w:rsid w:val="00657340"/>
    <w:rsid w:val="0065739B"/>
    <w:rsid w:val="0065757E"/>
    <w:rsid w:val="006575DA"/>
    <w:rsid w:val="00657602"/>
    <w:rsid w:val="0065775A"/>
    <w:rsid w:val="00657919"/>
    <w:rsid w:val="00657B1D"/>
    <w:rsid w:val="00657BCC"/>
    <w:rsid w:val="00657C59"/>
    <w:rsid w:val="00657D20"/>
    <w:rsid w:val="00657D4C"/>
    <w:rsid w:val="00657D7A"/>
    <w:rsid w:val="00657E84"/>
    <w:rsid w:val="00660052"/>
    <w:rsid w:val="006600AD"/>
    <w:rsid w:val="006600FB"/>
    <w:rsid w:val="0066019A"/>
    <w:rsid w:val="006602EB"/>
    <w:rsid w:val="006602FA"/>
    <w:rsid w:val="006605F8"/>
    <w:rsid w:val="006606B5"/>
    <w:rsid w:val="006607B8"/>
    <w:rsid w:val="006607C4"/>
    <w:rsid w:val="00660886"/>
    <w:rsid w:val="006609FF"/>
    <w:rsid w:val="00660BA1"/>
    <w:rsid w:val="00660CAA"/>
    <w:rsid w:val="00660E71"/>
    <w:rsid w:val="00660F66"/>
    <w:rsid w:val="00660F6D"/>
    <w:rsid w:val="00661044"/>
    <w:rsid w:val="0066104B"/>
    <w:rsid w:val="00661069"/>
    <w:rsid w:val="00661359"/>
    <w:rsid w:val="00661469"/>
    <w:rsid w:val="0066156C"/>
    <w:rsid w:val="00661576"/>
    <w:rsid w:val="0066161E"/>
    <w:rsid w:val="006618AD"/>
    <w:rsid w:val="006618BE"/>
    <w:rsid w:val="006618EC"/>
    <w:rsid w:val="00661A12"/>
    <w:rsid w:val="00661A86"/>
    <w:rsid w:val="00661AD5"/>
    <w:rsid w:val="00661BE5"/>
    <w:rsid w:val="00661CB2"/>
    <w:rsid w:val="00661DB6"/>
    <w:rsid w:val="00661E6F"/>
    <w:rsid w:val="00661F0F"/>
    <w:rsid w:val="00661F59"/>
    <w:rsid w:val="00661F63"/>
    <w:rsid w:val="00662287"/>
    <w:rsid w:val="006622F8"/>
    <w:rsid w:val="006623D6"/>
    <w:rsid w:val="006623DC"/>
    <w:rsid w:val="006624C5"/>
    <w:rsid w:val="00662573"/>
    <w:rsid w:val="006625CA"/>
    <w:rsid w:val="006626CE"/>
    <w:rsid w:val="006627C6"/>
    <w:rsid w:val="0066293F"/>
    <w:rsid w:val="0066295E"/>
    <w:rsid w:val="00662C95"/>
    <w:rsid w:val="00662E1E"/>
    <w:rsid w:val="00662E8F"/>
    <w:rsid w:val="00662EF6"/>
    <w:rsid w:val="00662F20"/>
    <w:rsid w:val="00662F32"/>
    <w:rsid w:val="006630BA"/>
    <w:rsid w:val="0066321D"/>
    <w:rsid w:val="006632D8"/>
    <w:rsid w:val="00663452"/>
    <w:rsid w:val="00663541"/>
    <w:rsid w:val="0066374F"/>
    <w:rsid w:val="0066376E"/>
    <w:rsid w:val="00663789"/>
    <w:rsid w:val="00663840"/>
    <w:rsid w:val="00663AF0"/>
    <w:rsid w:val="00663BD2"/>
    <w:rsid w:val="00663C5A"/>
    <w:rsid w:val="00663C87"/>
    <w:rsid w:val="00663D56"/>
    <w:rsid w:val="00663E0B"/>
    <w:rsid w:val="00664037"/>
    <w:rsid w:val="00664088"/>
    <w:rsid w:val="006641B4"/>
    <w:rsid w:val="00664250"/>
    <w:rsid w:val="006643A8"/>
    <w:rsid w:val="006643EF"/>
    <w:rsid w:val="006644B9"/>
    <w:rsid w:val="00664510"/>
    <w:rsid w:val="00664682"/>
    <w:rsid w:val="006647E1"/>
    <w:rsid w:val="006649D3"/>
    <w:rsid w:val="006649FF"/>
    <w:rsid w:val="00664A68"/>
    <w:rsid w:val="00664C74"/>
    <w:rsid w:val="00664DC8"/>
    <w:rsid w:val="00664E8F"/>
    <w:rsid w:val="00664F33"/>
    <w:rsid w:val="00664FDA"/>
    <w:rsid w:val="0066503B"/>
    <w:rsid w:val="006650B5"/>
    <w:rsid w:val="00665156"/>
    <w:rsid w:val="0066518E"/>
    <w:rsid w:val="0066525D"/>
    <w:rsid w:val="0066536E"/>
    <w:rsid w:val="0066547F"/>
    <w:rsid w:val="006654F6"/>
    <w:rsid w:val="00665508"/>
    <w:rsid w:val="006655F7"/>
    <w:rsid w:val="0066560F"/>
    <w:rsid w:val="0066564E"/>
    <w:rsid w:val="006656DA"/>
    <w:rsid w:val="0066599B"/>
    <w:rsid w:val="006659B3"/>
    <w:rsid w:val="00665A1C"/>
    <w:rsid w:val="00665B1A"/>
    <w:rsid w:val="00665B78"/>
    <w:rsid w:val="00665BDF"/>
    <w:rsid w:val="00665C36"/>
    <w:rsid w:val="00665E1E"/>
    <w:rsid w:val="00665F31"/>
    <w:rsid w:val="00665F76"/>
    <w:rsid w:val="00666066"/>
    <w:rsid w:val="00666128"/>
    <w:rsid w:val="006661D3"/>
    <w:rsid w:val="006662CE"/>
    <w:rsid w:val="00666415"/>
    <w:rsid w:val="006664B5"/>
    <w:rsid w:val="0066660F"/>
    <w:rsid w:val="00666617"/>
    <w:rsid w:val="0066663B"/>
    <w:rsid w:val="00666785"/>
    <w:rsid w:val="006667EC"/>
    <w:rsid w:val="006668BB"/>
    <w:rsid w:val="006668F6"/>
    <w:rsid w:val="006669C6"/>
    <w:rsid w:val="00666AAE"/>
    <w:rsid w:val="00666C0A"/>
    <w:rsid w:val="00666C69"/>
    <w:rsid w:val="00666CD9"/>
    <w:rsid w:val="00666D7E"/>
    <w:rsid w:val="00666DC1"/>
    <w:rsid w:val="00666F1A"/>
    <w:rsid w:val="00667184"/>
    <w:rsid w:val="006671C3"/>
    <w:rsid w:val="006671E0"/>
    <w:rsid w:val="00667324"/>
    <w:rsid w:val="006677BE"/>
    <w:rsid w:val="0066781E"/>
    <w:rsid w:val="00667ACD"/>
    <w:rsid w:val="00667C16"/>
    <w:rsid w:val="00667C4F"/>
    <w:rsid w:val="00667DC9"/>
    <w:rsid w:val="00667DF0"/>
    <w:rsid w:val="00667FDD"/>
    <w:rsid w:val="006700B7"/>
    <w:rsid w:val="006702A7"/>
    <w:rsid w:val="006702FD"/>
    <w:rsid w:val="00670379"/>
    <w:rsid w:val="00670389"/>
    <w:rsid w:val="0067068F"/>
    <w:rsid w:val="006706E4"/>
    <w:rsid w:val="00670805"/>
    <w:rsid w:val="006709C7"/>
    <w:rsid w:val="00670A67"/>
    <w:rsid w:val="00670B8D"/>
    <w:rsid w:val="00670BA6"/>
    <w:rsid w:val="00670CD8"/>
    <w:rsid w:val="00670D56"/>
    <w:rsid w:val="00670D63"/>
    <w:rsid w:val="00670D98"/>
    <w:rsid w:val="00670DE4"/>
    <w:rsid w:val="00670F42"/>
    <w:rsid w:val="00671063"/>
    <w:rsid w:val="006713A0"/>
    <w:rsid w:val="00671627"/>
    <w:rsid w:val="00671767"/>
    <w:rsid w:val="0067190B"/>
    <w:rsid w:val="0067196B"/>
    <w:rsid w:val="00671B0B"/>
    <w:rsid w:val="00671C63"/>
    <w:rsid w:val="00671D1D"/>
    <w:rsid w:val="00671EEF"/>
    <w:rsid w:val="00671F56"/>
    <w:rsid w:val="00671F8F"/>
    <w:rsid w:val="00671FDD"/>
    <w:rsid w:val="00671FF3"/>
    <w:rsid w:val="00672149"/>
    <w:rsid w:val="00672194"/>
    <w:rsid w:val="006721B3"/>
    <w:rsid w:val="00672615"/>
    <w:rsid w:val="00672668"/>
    <w:rsid w:val="006727C9"/>
    <w:rsid w:val="006727F8"/>
    <w:rsid w:val="00672808"/>
    <w:rsid w:val="00672814"/>
    <w:rsid w:val="0067283B"/>
    <w:rsid w:val="006728E7"/>
    <w:rsid w:val="00672A15"/>
    <w:rsid w:val="00672A16"/>
    <w:rsid w:val="00672A21"/>
    <w:rsid w:val="00672F75"/>
    <w:rsid w:val="0067300D"/>
    <w:rsid w:val="00673020"/>
    <w:rsid w:val="00673377"/>
    <w:rsid w:val="0067339C"/>
    <w:rsid w:val="006733A9"/>
    <w:rsid w:val="0067346A"/>
    <w:rsid w:val="00673607"/>
    <w:rsid w:val="00673661"/>
    <w:rsid w:val="00673772"/>
    <w:rsid w:val="006737C8"/>
    <w:rsid w:val="006737ED"/>
    <w:rsid w:val="006738E0"/>
    <w:rsid w:val="00673A30"/>
    <w:rsid w:val="00673AEE"/>
    <w:rsid w:val="00673B4D"/>
    <w:rsid w:val="0067438D"/>
    <w:rsid w:val="006743C9"/>
    <w:rsid w:val="006744AE"/>
    <w:rsid w:val="00674512"/>
    <w:rsid w:val="006745D9"/>
    <w:rsid w:val="006745FB"/>
    <w:rsid w:val="00674608"/>
    <w:rsid w:val="0067464C"/>
    <w:rsid w:val="00674677"/>
    <w:rsid w:val="006746DF"/>
    <w:rsid w:val="00674847"/>
    <w:rsid w:val="00674AED"/>
    <w:rsid w:val="00674B3F"/>
    <w:rsid w:val="00674B70"/>
    <w:rsid w:val="00674BCE"/>
    <w:rsid w:val="00674C59"/>
    <w:rsid w:val="00674CB8"/>
    <w:rsid w:val="00674D52"/>
    <w:rsid w:val="00674D5B"/>
    <w:rsid w:val="00674E80"/>
    <w:rsid w:val="00674EE9"/>
    <w:rsid w:val="00674EF4"/>
    <w:rsid w:val="00674FD2"/>
    <w:rsid w:val="006750A4"/>
    <w:rsid w:val="006750C2"/>
    <w:rsid w:val="006750DE"/>
    <w:rsid w:val="0067528D"/>
    <w:rsid w:val="00675293"/>
    <w:rsid w:val="006752CA"/>
    <w:rsid w:val="00675327"/>
    <w:rsid w:val="006753D3"/>
    <w:rsid w:val="006754EB"/>
    <w:rsid w:val="006757F2"/>
    <w:rsid w:val="0067586F"/>
    <w:rsid w:val="0067588B"/>
    <w:rsid w:val="006758A1"/>
    <w:rsid w:val="00675A09"/>
    <w:rsid w:val="00675C20"/>
    <w:rsid w:val="00675DF7"/>
    <w:rsid w:val="00675E76"/>
    <w:rsid w:val="00675EDD"/>
    <w:rsid w:val="00675FB9"/>
    <w:rsid w:val="00675FF3"/>
    <w:rsid w:val="00676099"/>
    <w:rsid w:val="006760C9"/>
    <w:rsid w:val="00676154"/>
    <w:rsid w:val="006762BD"/>
    <w:rsid w:val="006763AD"/>
    <w:rsid w:val="006763F4"/>
    <w:rsid w:val="006764B0"/>
    <w:rsid w:val="00676592"/>
    <w:rsid w:val="006765A9"/>
    <w:rsid w:val="00676749"/>
    <w:rsid w:val="006767C8"/>
    <w:rsid w:val="0067697A"/>
    <w:rsid w:val="0067698D"/>
    <w:rsid w:val="00676A4B"/>
    <w:rsid w:val="00676A8A"/>
    <w:rsid w:val="00676B64"/>
    <w:rsid w:val="00676BA8"/>
    <w:rsid w:val="00676C61"/>
    <w:rsid w:val="00676C6D"/>
    <w:rsid w:val="00676C7F"/>
    <w:rsid w:val="00676CDD"/>
    <w:rsid w:val="00676E09"/>
    <w:rsid w:val="00676EA2"/>
    <w:rsid w:val="0067701F"/>
    <w:rsid w:val="0067709B"/>
    <w:rsid w:val="0067727B"/>
    <w:rsid w:val="006772C7"/>
    <w:rsid w:val="00677398"/>
    <w:rsid w:val="006774F7"/>
    <w:rsid w:val="006775BC"/>
    <w:rsid w:val="006775CE"/>
    <w:rsid w:val="00677684"/>
    <w:rsid w:val="006776A1"/>
    <w:rsid w:val="00677754"/>
    <w:rsid w:val="00677A05"/>
    <w:rsid w:val="00677B6E"/>
    <w:rsid w:val="00677DB4"/>
    <w:rsid w:val="00677DF4"/>
    <w:rsid w:val="00677E25"/>
    <w:rsid w:val="00677E75"/>
    <w:rsid w:val="00677E97"/>
    <w:rsid w:val="00677ED8"/>
    <w:rsid w:val="00677FD3"/>
    <w:rsid w:val="006795B1"/>
    <w:rsid w:val="0068002A"/>
    <w:rsid w:val="006800D0"/>
    <w:rsid w:val="0068069D"/>
    <w:rsid w:val="006807EE"/>
    <w:rsid w:val="006807F9"/>
    <w:rsid w:val="0068085F"/>
    <w:rsid w:val="00680AF4"/>
    <w:rsid w:val="00680C27"/>
    <w:rsid w:val="00680C5D"/>
    <w:rsid w:val="00680DE7"/>
    <w:rsid w:val="00680E43"/>
    <w:rsid w:val="00680E5D"/>
    <w:rsid w:val="00680EA4"/>
    <w:rsid w:val="00681194"/>
    <w:rsid w:val="00681195"/>
    <w:rsid w:val="006813DE"/>
    <w:rsid w:val="006816D1"/>
    <w:rsid w:val="00681802"/>
    <w:rsid w:val="00681A13"/>
    <w:rsid w:val="00681ADB"/>
    <w:rsid w:val="00681B1F"/>
    <w:rsid w:val="00681C6C"/>
    <w:rsid w:val="00681C80"/>
    <w:rsid w:val="00681EAD"/>
    <w:rsid w:val="0068217E"/>
    <w:rsid w:val="006821B2"/>
    <w:rsid w:val="006821C6"/>
    <w:rsid w:val="00682282"/>
    <w:rsid w:val="006822BC"/>
    <w:rsid w:val="006823D0"/>
    <w:rsid w:val="006823F2"/>
    <w:rsid w:val="00682447"/>
    <w:rsid w:val="006825B9"/>
    <w:rsid w:val="00682793"/>
    <w:rsid w:val="00682794"/>
    <w:rsid w:val="00682883"/>
    <w:rsid w:val="006828F3"/>
    <w:rsid w:val="00682B4F"/>
    <w:rsid w:val="00682BFC"/>
    <w:rsid w:val="00682C85"/>
    <w:rsid w:val="00682DD1"/>
    <w:rsid w:val="0068316E"/>
    <w:rsid w:val="00683198"/>
    <w:rsid w:val="0068321F"/>
    <w:rsid w:val="00683250"/>
    <w:rsid w:val="00683367"/>
    <w:rsid w:val="0068343F"/>
    <w:rsid w:val="0068371D"/>
    <w:rsid w:val="00683787"/>
    <w:rsid w:val="00683964"/>
    <w:rsid w:val="00683982"/>
    <w:rsid w:val="006839EF"/>
    <w:rsid w:val="006839F9"/>
    <w:rsid w:val="00683AB5"/>
    <w:rsid w:val="00683B61"/>
    <w:rsid w:val="00683BEC"/>
    <w:rsid w:val="00683CB6"/>
    <w:rsid w:val="00683D3A"/>
    <w:rsid w:val="00683FD7"/>
    <w:rsid w:val="006841F6"/>
    <w:rsid w:val="006843A4"/>
    <w:rsid w:val="00684494"/>
    <w:rsid w:val="0068471B"/>
    <w:rsid w:val="006848E2"/>
    <w:rsid w:val="00684A06"/>
    <w:rsid w:val="00684A0B"/>
    <w:rsid w:val="00684A0E"/>
    <w:rsid w:val="00684A2B"/>
    <w:rsid w:val="00684A91"/>
    <w:rsid w:val="00685139"/>
    <w:rsid w:val="0068532E"/>
    <w:rsid w:val="006856DA"/>
    <w:rsid w:val="00685761"/>
    <w:rsid w:val="0068583C"/>
    <w:rsid w:val="00685A96"/>
    <w:rsid w:val="00685AF0"/>
    <w:rsid w:val="00685B46"/>
    <w:rsid w:val="00685B8B"/>
    <w:rsid w:val="00685BD7"/>
    <w:rsid w:val="00685E50"/>
    <w:rsid w:val="00685E7A"/>
    <w:rsid w:val="00685E84"/>
    <w:rsid w:val="0068606E"/>
    <w:rsid w:val="00686162"/>
    <w:rsid w:val="00686164"/>
    <w:rsid w:val="006863CD"/>
    <w:rsid w:val="006863EE"/>
    <w:rsid w:val="0068645B"/>
    <w:rsid w:val="0068648D"/>
    <w:rsid w:val="006864C9"/>
    <w:rsid w:val="0068653B"/>
    <w:rsid w:val="006865B9"/>
    <w:rsid w:val="006865BF"/>
    <w:rsid w:val="006866E3"/>
    <w:rsid w:val="006867F9"/>
    <w:rsid w:val="00686979"/>
    <w:rsid w:val="0068697F"/>
    <w:rsid w:val="006869B4"/>
    <w:rsid w:val="00686A0F"/>
    <w:rsid w:val="00686A15"/>
    <w:rsid w:val="00686C6A"/>
    <w:rsid w:val="00686EA6"/>
    <w:rsid w:val="00686F23"/>
    <w:rsid w:val="00686F7F"/>
    <w:rsid w:val="00686F8D"/>
    <w:rsid w:val="00687033"/>
    <w:rsid w:val="006871AA"/>
    <w:rsid w:val="006871F2"/>
    <w:rsid w:val="00687247"/>
    <w:rsid w:val="00687278"/>
    <w:rsid w:val="006872C3"/>
    <w:rsid w:val="00687381"/>
    <w:rsid w:val="006874A0"/>
    <w:rsid w:val="006877DD"/>
    <w:rsid w:val="006879E5"/>
    <w:rsid w:val="00687AA6"/>
    <w:rsid w:val="00687AFB"/>
    <w:rsid w:val="00687BB9"/>
    <w:rsid w:val="00687C56"/>
    <w:rsid w:val="00687C91"/>
    <w:rsid w:val="00687D19"/>
    <w:rsid w:val="00687D89"/>
    <w:rsid w:val="006900C4"/>
    <w:rsid w:val="00690118"/>
    <w:rsid w:val="0069018A"/>
    <w:rsid w:val="006901AA"/>
    <w:rsid w:val="00690241"/>
    <w:rsid w:val="00690363"/>
    <w:rsid w:val="006905C1"/>
    <w:rsid w:val="006905F3"/>
    <w:rsid w:val="00690714"/>
    <w:rsid w:val="00690825"/>
    <w:rsid w:val="00690983"/>
    <w:rsid w:val="006909DF"/>
    <w:rsid w:val="00690CD1"/>
    <w:rsid w:val="00690E2D"/>
    <w:rsid w:val="00690EA7"/>
    <w:rsid w:val="00690FB7"/>
    <w:rsid w:val="006910D1"/>
    <w:rsid w:val="006911FD"/>
    <w:rsid w:val="006912DF"/>
    <w:rsid w:val="00691376"/>
    <w:rsid w:val="006913B2"/>
    <w:rsid w:val="0069148A"/>
    <w:rsid w:val="006914C6"/>
    <w:rsid w:val="0069169D"/>
    <w:rsid w:val="00691701"/>
    <w:rsid w:val="006917B6"/>
    <w:rsid w:val="006918A6"/>
    <w:rsid w:val="00691C4D"/>
    <w:rsid w:val="00691CA9"/>
    <w:rsid w:val="00691D23"/>
    <w:rsid w:val="00691EB5"/>
    <w:rsid w:val="00691F42"/>
    <w:rsid w:val="00691FD4"/>
    <w:rsid w:val="0069221A"/>
    <w:rsid w:val="00692335"/>
    <w:rsid w:val="0069241E"/>
    <w:rsid w:val="006924EA"/>
    <w:rsid w:val="00692506"/>
    <w:rsid w:val="00692556"/>
    <w:rsid w:val="00692585"/>
    <w:rsid w:val="00692622"/>
    <w:rsid w:val="00692830"/>
    <w:rsid w:val="0069289A"/>
    <w:rsid w:val="006928B2"/>
    <w:rsid w:val="0069292D"/>
    <w:rsid w:val="006929C8"/>
    <w:rsid w:val="00692A47"/>
    <w:rsid w:val="00692BDC"/>
    <w:rsid w:val="00692CD9"/>
    <w:rsid w:val="00692D3B"/>
    <w:rsid w:val="00692D57"/>
    <w:rsid w:val="00692D61"/>
    <w:rsid w:val="00693119"/>
    <w:rsid w:val="00693185"/>
    <w:rsid w:val="006931BF"/>
    <w:rsid w:val="00693619"/>
    <w:rsid w:val="0069362A"/>
    <w:rsid w:val="00693656"/>
    <w:rsid w:val="00693B49"/>
    <w:rsid w:val="00693EEC"/>
    <w:rsid w:val="00693F64"/>
    <w:rsid w:val="00693FD2"/>
    <w:rsid w:val="00693FF2"/>
    <w:rsid w:val="006940A0"/>
    <w:rsid w:val="006940D2"/>
    <w:rsid w:val="006940F9"/>
    <w:rsid w:val="006941D8"/>
    <w:rsid w:val="0069425F"/>
    <w:rsid w:val="006942BB"/>
    <w:rsid w:val="00694736"/>
    <w:rsid w:val="006947E8"/>
    <w:rsid w:val="0069483E"/>
    <w:rsid w:val="0069485F"/>
    <w:rsid w:val="0069495A"/>
    <w:rsid w:val="00694964"/>
    <w:rsid w:val="00694A1D"/>
    <w:rsid w:val="00694C03"/>
    <w:rsid w:val="00694CC3"/>
    <w:rsid w:val="00694D25"/>
    <w:rsid w:val="00694EE0"/>
    <w:rsid w:val="00695104"/>
    <w:rsid w:val="006951BF"/>
    <w:rsid w:val="006951C0"/>
    <w:rsid w:val="0069525F"/>
    <w:rsid w:val="006952AB"/>
    <w:rsid w:val="006952E4"/>
    <w:rsid w:val="006953B2"/>
    <w:rsid w:val="00695429"/>
    <w:rsid w:val="0069547D"/>
    <w:rsid w:val="006959B0"/>
    <w:rsid w:val="00695ADC"/>
    <w:rsid w:val="00695C1C"/>
    <w:rsid w:val="00695C5D"/>
    <w:rsid w:val="00695EEB"/>
    <w:rsid w:val="00695F72"/>
    <w:rsid w:val="0069604A"/>
    <w:rsid w:val="0069613A"/>
    <w:rsid w:val="006962E5"/>
    <w:rsid w:val="00696365"/>
    <w:rsid w:val="006964FE"/>
    <w:rsid w:val="0069659F"/>
    <w:rsid w:val="006965F7"/>
    <w:rsid w:val="0069675F"/>
    <w:rsid w:val="006967A1"/>
    <w:rsid w:val="006967B0"/>
    <w:rsid w:val="006967D8"/>
    <w:rsid w:val="00696ACC"/>
    <w:rsid w:val="00696AF4"/>
    <w:rsid w:val="00696B2E"/>
    <w:rsid w:val="00696C7E"/>
    <w:rsid w:val="00696C8D"/>
    <w:rsid w:val="00696DAE"/>
    <w:rsid w:val="00696F42"/>
    <w:rsid w:val="0069704D"/>
    <w:rsid w:val="00697085"/>
    <w:rsid w:val="006971C1"/>
    <w:rsid w:val="00697259"/>
    <w:rsid w:val="00697312"/>
    <w:rsid w:val="006973BC"/>
    <w:rsid w:val="006973C4"/>
    <w:rsid w:val="00697437"/>
    <w:rsid w:val="00697500"/>
    <w:rsid w:val="006975A3"/>
    <w:rsid w:val="0069760C"/>
    <w:rsid w:val="006977E7"/>
    <w:rsid w:val="00697B78"/>
    <w:rsid w:val="00697BF6"/>
    <w:rsid w:val="00697C02"/>
    <w:rsid w:val="00697D92"/>
    <w:rsid w:val="00697E4A"/>
    <w:rsid w:val="00697E9A"/>
    <w:rsid w:val="006A02B4"/>
    <w:rsid w:val="006A0325"/>
    <w:rsid w:val="006A05FA"/>
    <w:rsid w:val="006A077C"/>
    <w:rsid w:val="006A07E7"/>
    <w:rsid w:val="006A082D"/>
    <w:rsid w:val="006A0871"/>
    <w:rsid w:val="006A0881"/>
    <w:rsid w:val="006A08BE"/>
    <w:rsid w:val="006A0A0B"/>
    <w:rsid w:val="006A0D8E"/>
    <w:rsid w:val="006A0E8E"/>
    <w:rsid w:val="006A1049"/>
    <w:rsid w:val="006A1060"/>
    <w:rsid w:val="006A1062"/>
    <w:rsid w:val="006A1218"/>
    <w:rsid w:val="006A1261"/>
    <w:rsid w:val="006A12F8"/>
    <w:rsid w:val="006A133F"/>
    <w:rsid w:val="006A1359"/>
    <w:rsid w:val="006A1488"/>
    <w:rsid w:val="006A1C11"/>
    <w:rsid w:val="006A1C53"/>
    <w:rsid w:val="006A1C90"/>
    <w:rsid w:val="006A1E64"/>
    <w:rsid w:val="006A1F71"/>
    <w:rsid w:val="006A2176"/>
    <w:rsid w:val="006A21E6"/>
    <w:rsid w:val="006A2428"/>
    <w:rsid w:val="006A24A0"/>
    <w:rsid w:val="006A27DF"/>
    <w:rsid w:val="006A288D"/>
    <w:rsid w:val="006A2B91"/>
    <w:rsid w:val="006A2C89"/>
    <w:rsid w:val="006A2CD4"/>
    <w:rsid w:val="006A2DA3"/>
    <w:rsid w:val="006A2DF4"/>
    <w:rsid w:val="006A2E2E"/>
    <w:rsid w:val="006A2F13"/>
    <w:rsid w:val="006A2FC4"/>
    <w:rsid w:val="006A304C"/>
    <w:rsid w:val="006A3069"/>
    <w:rsid w:val="006A34EF"/>
    <w:rsid w:val="006A3529"/>
    <w:rsid w:val="006A35D5"/>
    <w:rsid w:val="006A37B3"/>
    <w:rsid w:val="006A39A9"/>
    <w:rsid w:val="006A3A93"/>
    <w:rsid w:val="006A3A9D"/>
    <w:rsid w:val="006A3AA4"/>
    <w:rsid w:val="006A3D04"/>
    <w:rsid w:val="006A3D36"/>
    <w:rsid w:val="006A3DFA"/>
    <w:rsid w:val="006A40CC"/>
    <w:rsid w:val="006A4367"/>
    <w:rsid w:val="006A43C5"/>
    <w:rsid w:val="006A466D"/>
    <w:rsid w:val="006A467D"/>
    <w:rsid w:val="006A4ACE"/>
    <w:rsid w:val="006A4BEE"/>
    <w:rsid w:val="006A4DA8"/>
    <w:rsid w:val="006A4E50"/>
    <w:rsid w:val="006A4FB8"/>
    <w:rsid w:val="006A50BB"/>
    <w:rsid w:val="006A538B"/>
    <w:rsid w:val="006A550D"/>
    <w:rsid w:val="006A5538"/>
    <w:rsid w:val="006A55B3"/>
    <w:rsid w:val="006A56ED"/>
    <w:rsid w:val="006A58DD"/>
    <w:rsid w:val="006A5906"/>
    <w:rsid w:val="006A5A55"/>
    <w:rsid w:val="006A5A6A"/>
    <w:rsid w:val="006A5AD4"/>
    <w:rsid w:val="006A5D5C"/>
    <w:rsid w:val="006A5F37"/>
    <w:rsid w:val="006A6076"/>
    <w:rsid w:val="006A61FE"/>
    <w:rsid w:val="006A622C"/>
    <w:rsid w:val="006A625C"/>
    <w:rsid w:val="006A6419"/>
    <w:rsid w:val="006A663A"/>
    <w:rsid w:val="006A666F"/>
    <w:rsid w:val="006A6734"/>
    <w:rsid w:val="006A687E"/>
    <w:rsid w:val="006A69B6"/>
    <w:rsid w:val="006A69DA"/>
    <w:rsid w:val="006A6A7C"/>
    <w:rsid w:val="006A6CB6"/>
    <w:rsid w:val="006A6E6A"/>
    <w:rsid w:val="006A6F1E"/>
    <w:rsid w:val="006A7042"/>
    <w:rsid w:val="006A706F"/>
    <w:rsid w:val="006A7077"/>
    <w:rsid w:val="006A7093"/>
    <w:rsid w:val="006A72DC"/>
    <w:rsid w:val="006A72ED"/>
    <w:rsid w:val="006A7354"/>
    <w:rsid w:val="006A737A"/>
    <w:rsid w:val="006A73B6"/>
    <w:rsid w:val="006A749A"/>
    <w:rsid w:val="006A75B3"/>
    <w:rsid w:val="006A77A3"/>
    <w:rsid w:val="006A77B3"/>
    <w:rsid w:val="006A7921"/>
    <w:rsid w:val="006A7964"/>
    <w:rsid w:val="006A7A1C"/>
    <w:rsid w:val="006A7A66"/>
    <w:rsid w:val="006A7E83"/>
    <w:rsid w:val="006A7F2B"/>
    <w:rsid w:val="006A7FBA"/>
    <w:rsid w:val="006AB3C1"/>
    <w:rsid w:val="006B00E6"/>
    <w:rsid w:val="006B01A6"/>
    <w:rsid w:val="006B02D1"/>
    <w:rsid w:val="006B0342"/>
    <w:rsid w:val="006B0360"/>
    <w:rsid w:val="006B0397"/>
    <w:rsid w:val="006B05AD"/>
    <w:rsid w:val="006B0998"/>
    <w:rsid w:val="006B0A66"/>
    <w:rsid w:val="006B0C24"/>
    <w:rsid w:val="006B0D7A"/>
    <w:rsid w:val="006B0E83"/>
    <w:rsid w:val="006B0F4B"/>
    <w:rsid w:val="006B0F75"/>
    <w:rsid w:val="006B10AA"/>
    <w:rsid w:val="006B10B2"/>
    <w:rsid w:val="006B1313"/>
    <w:rsid w:val="006B1381"/>
    <w:rsid w:val="006B14F2"/>
    <w:rsid w:val="006B15B8"/>
    <w:rsid w:val="006B15D7"/>
    <w:rsid w:val="006B1654"/>
    <w:rsid w:val="006B171D"/>
    <w:rsid w:val="006B176B"/>
    <w:rsid w:val="006B1860"/>
    <w:rsid w:val="006B1948"/>
    <w:rsid w:val="006B1BBF"/>
    <w:rsid w:val="006B1BFC"/>
    <w:rsid w:val="006B1C1D"/>
    <w:rsid w:val="006B1C44"/>
    <w:rsid w:val="006B1E49"/>
    <w:rsid w:val="006B1F2B"/>
    <w:rsid w:val="006B1F98"/>
    <w:rsid w:val="006B1FFD"/>
    <w:rsid w:val="006B21A3"/>
    <w:rsid w:val="006B21A6"/>
    <w:rsid w:val="006B21AA"/>
    <w:rsid w:val="006B225D"/>
    <w:rsid w:val="006B231D"/>
    <w:rsid w:val="006B24F1"/>
    <w:rsid w:val="006B2580"/>
    <w:rsid w:val="006B2599"/>
    <w:rsid w:val="006B26A2"/>
    <w:rsid w:val="006B2819"/>
    <w:rsid w:val="006B2854"/>
    <w:rsid w:val="006B290A"/>
    <w:rsid w:val="006B2B0D"/>
    <w:rsid w:val="006B2CB7"/>
    <w:rsid w:val="006B2D1E"/>
    <w:rsid w:val="006B2E41"/>
    <w:rsid w:val="006B2F64"/>
    <w:rsid w:val="006B3047"/>
    <w:rsid w:val="006B30BB"/>
    <w:rsid w:val="006B337F"/>
    <w:rsid w:val="006B3405"/>
    <w:rsid w:val="006B3443"/>
    <w:rsid w:val="006B34B4"/>
    <w:rsid w:val="006B3603"/>
    <w:rsid w:val="006B37DE"/>
    <w:rsid w:val="006B380C"/>
    <w:rsid w:val="006B3824"/>
    <w:rsid w:val="006B385B"/>
    <w:rsid w:val="006B38B4"/>
    <w:rsid w:val="006B3995"/>
    <w:rsid w:val="006B3B6D"/>
    <w:rsid w:val="006B3C8D"/>
    <w:rsid w:val="006B3D50"/>
    <w:rsid w:val="006B3F82"/>
    <w:rsid w:val="006B3FBB"/>
    <w:rsid w:val="006B4150"/>
    <w:rsid w:val="006B43E6"/>
    <w:rsid w:val="006B442C"/>
    <w:rsid w:val="006B454B"/>
    <w:rsid w:val="006B4630"/>
    <w:rsid w:val="006B466E"/>
    <w:rsid w:val="006B46E5"/>
    <w:rsid w:val="006B4A7D"/>
    <w:rsid w:val="006B4D36"/>
    <w:rsid w:val="006B4DFA"/>
    <w:rsid w:val="006B4E2B"/>
    <w:rsid w:val="006B4E42"/>
    <w:rsid w:val="006B4E4A"/>
    <w:rsid w:val="006B4EAE"/>
    <w:rsid w:val="006B4FDA"/>
    <w:rsid w:val="006B505D"/>
    <w:rsid w:val="006B5138"/>
    <w:rsid w:val="006B5701"/>
    <w:rsid w:val="006B578F"/>
    <w:rsid w:val="006B58AB"/>
    <w:rsid w:val="006B5A1C"/>
    <w:rsid w:val="006B5A28"/>
    <w:rsid w:val="006B5B4F"/>
    <w:rsid w:val="006B5C16"/>
    <w:rsid w:val="006B5D35"/>
    <w:rsid w:val="006B5E83"/>
    <w:rsid w:val="006B5EC0"/>
    <w:rsid w:val="006B5EC6"/>
    <w:rsid w:val="006B5F4F"/>
    <w:rsid w:val="006B5FB6"/>
    <w:rsid w:val="006B60BF"/>
    <w:rsid w:val="006B6228"/>
    <w:rsid w:val="006B6287"/>
    <w:rsid w:val="006B635B"/>
    <w:rsid w:val="006B64A6"/>
    <w:rsid w:val="006B6682"/>
    <w:rsid w:val="006B681A"/>
    <w:rsid w:val="006B68D9"/>
    <w:rsid w:val="006B6960"/>
    <w:rsid w:val="006B6A8E"/>
    <w:rsid w:val="006B6ADC"/>
    <w:rsid w:val="006B6BF9"/>
    <w:rsid w:val="006B6C58"/>
    <w:rsid w:val="006B6CCB"/>
    <w:rsid w:val="006B6CF5"/>
    <w:rsid w:val="006B6E5E"/>
    <w:rsid w:val="006B73EC"/>
    <w:rsid w:val="006B74F2"/>
    <w:rsid w:val="006B75EA"/>
    <w:rsid w:val="006B7896"/>
    <w:rsid w:val="006B78A5"/>
    <w:rsid w:val="006B78FB"/>
    <w:rsid w:val="006B79CA"/>
    <w:rsid w:val="006B7B1E"/>
    <w:rsid w:val="006B7B58"/>
    <w:rsid w:val="006B7BBF"/>
    <w:rsid w:val="006B7C84"/>
    <w:rsid w:val="006B7CC6"/>
    <w:rsid w:val="006B7CE7"/>
    <w:rsid w:val="006B7CF0"/>
    <w:rsid w:val="006B7CF5"/>
    <w:rsid w:val="006B7E8E"/>
    <w:rsid w:val="006C0376"/>
    <w:rsid w:val="006C039F"/>
    <w:rsid w:val="006C03C7"/>
    <w:rsid w:val="006C0490"/>
    <w:rsid w:val="006C049A"/>
    <w:rsid w:val="006C07F6"/>
    <w:rsid w:val="006C08AE"/>
    <w:rsid w:val="006C090A"/>
    <w:rsid w:val="006C0C2E"/>
    <w:rsid w:val="006C0CB6"/>
    <w:rsid w:val="006C0DCA"/>
    <w:rsid w:val="006C1085"/>
    <w:rsid w:val="006C10AE"/>
    <w:rsid w:val="006C117E"/>
    <w:rsid w:val="006C120E"/>
    <w:rsid w:val="006C122E"/>
    <w:rsid w:val="006C1283"/>
    <w:rsid w:val="006C12F2"/>
    <w:rsid w:val="006C1311"/>
    <w:rsid w:val="006C13BA"/>
    <w:rsid w:val="006C1574"/>
    <w:rsid w:val="006C15DC"/>
    <w:rsid w:val="006C166A"/>
    <w:rsid w:val="006C169A"/>
    <w:rsid w:val="006C1837"/>
    <w:rsid w:val="006C1864"/>
    <w:rsid w:val="006C1A2A"/>
    <w:rsid w:val="006C1AC0"/>
    <w:rsid w:val="006C1B92"/>
    <w:rsid w:val="006C1EA3"/>
    <w:rsid w:val="006C1EFE"/>
    <w:rsid w:val="006C1F2E"/>
    <w:rsid w:val="006C20B7"/>
    <w:rsid w:val="006C2154"/>
    <w:rsid w:val="006C21C7"/>
    <w:rsid w:val="006C2303"/>
    <w:rsid w:val="006C24AA"/>
    <w:rsid w:val="006C24C0"/>
    <w:rsid w:val="006C252C"/>
    <w:rsid w:val="006C2612"/>
    <w:rsid w:val="006C278E"/>
    <w:rsid w:val="006C27DA"/>
    <w:rsid w:val="006C28BC"/>
    <w:rsid w:val="006C28D4"/>
    <w:rsid w:val="006C29CD"/>
    <w:rsid w:val="006C2B50"/>
    <w:rsid w:val="006C2BEA"/>
    <w:rsid w:val="006C2C42"/>
    <w:rsid w:val="006C2D4C"/>
    <w:rsid w:val="006C2DF9"/>
    <w:rsid w:val="006C2E6D"/>
    <w:rsid w:val="006C2ECF"/>
    <w:rsid w:val="006C2EFE"/>
    <w:rsid w:val="006C30BD"/>
    <w:rsid w:val="006C320B"/>
    <w:rsid w:val="006C33FD"/>
    <w:rsid w:val="006C3614"/>
    <w:rsid w:val="006C373A"/>
    <w:rsid w:val="006C37F2"/>
    <w:rsid w:val="006C3A43"/>
    <w:rsid w:val="006C3C93"/>
    <w:rsid w:val="006C3D4A"/>
    <w:rsid w:val="006C3FA1"/>
    <w:rsid w:val="006C40C5"/>
    <w:rsid w:val="006C421B"/>
    <w:rsid w:val="006C4226"/>
    <w:rsid w:val="006C43F4"/>
    <w:rsid w:val="006C4688"/>
    <w:rsid w:val="006C472D"/>
    <w:rsid w:val="006C48B3"/>
    <w:rsid w:val="006C4939"/>
    <w:rsid w:val="006C496A"/>
    <w:rsid w:val="006C4A62"/>
    <w:rsid w:val="006C4A7B"/>
    <w:rsid w:val="006C4AB2"/>
    <w:rsid w:val="006C4AD5"/>
    <w:rsid w:val="006C4B87"/>
    <w:rsid w:val="006C4DBB"/>
    <w:rsid w:val="006C4E9B"/>
    <w:rsid w:val="006C4EFE"/>
    <w:rsid w:val="006C4F51"/>
    <w:rsid w:val="006C4F63"/>
    <w:rsid w:val="006C4FDE"/>
    <w:rsid w:val="006C5031"/>
    <w:rsid w:val="006C50D5"/>
    <w:rsid w:val="006C517A"/>
    <w:rsid w:val="006C556A"/>
    <w:rsid w:val="006C5944"/>
    <w:rsid w:val="006C594E"/>
    <w:rsid w:val="006C5BA9"/>
    <w:rsid w:val="006C5BBF"/>
    <w:rsid w:val="006C5BCB"/>
    <w:rsid w:val="006C5C71"/>
    <w:rsid w:val="006C5EE5"/>
    <w:rsid w:val="006C606F"/>
    <w:rsid w:val="006C6271"/>
    <w:rsid w:val="006C62C7"/>
    <w:rsid w:val="006C62E5"/>
    <w:rsid w:val="006C64F7"/>
    <w:rsid w:val="006C657B"/>
    <w:rsid w:val="006C6690"/>
    <w:rsid w:val="006C6989"/>
    <w:rsid w:val="006C6A8B"/>
    <w:rsid w:val="006C6DE3"/>
    <w:rsid w:val="006C6E29"/>
    <w:rsid w:val="006C6E97"/>
    <w:rsid w:val="006C6F17"/>
    <w:rsid w:val="006C70A0"/>
    <w:rsid w:val="006C7305"/>
    <w:rsid w:val="006C7466"/>
    <w:rsid w:val="006C74B4"/>
    <w:rsid w:val="006C752B"/>
    <w:rsid w:val="006C76EA"/>
    <w:rsid w:val="006C7830"/>
    <w:rsid w:val="006C7A04"/>
    <w:rsid w:val="006C7A1F"/>
    <w:rsid w:val="006C7A9B"/>
    <w:rsid w:val="006C7B19"/>
    <w:rsid w:val="006C7C11"/>
    <w:rsid w:val="006C7EEB"/>
    <w:rsid w:val="006C7EF9"/>
    <w:rsid w:val="006D0138"/>
    <w:rsid w:val="006D01D6"/>
    <w:rsid w:val="006D0273"/>
    <w:rsid w:val="006D02B1"/>
    <w:rsid w:val="006D02D9"/>
    <w:rsid w:val="006D02E8"/>
    <w:rsid w:val="006D0313"/>
    <w:rsid w:val="006D06AD"/>
    <w:rsid w:val="006D070D"/>
    <w:rsid w:val="006D0840"/>
    <w:rsid w:val="006D09B5"/>
    <w:rsid w:val="006D0B41"/>
    <w:rsid w:val="006D0C60"/>
    <w:rsid w:val="006D0CBE"/>
    <w:rsid w:val="006D0F3B"/>
    <w:rsid w:val="006D0FAF"/>
    <w:rsid w:val="006D1230"/>
    <w:rsid w:val="006D13C1"/>
    <w:rsid w:val="006D1536"/>
    <w:rsid w:val="006D195D"/>
    <w:rsid w:val="006D1982"/>
    <w:rsid w:val="006D1A0B"/>
    <w:rsid w:val="006D1B5B"/>
    <w:rsid w:val="006D1C6E"/>
    <w:rsid w:val="006D1CCE"/>
    <w:rsid w:val="006D1F5E"/>
    <w:rsid w:val="006D1FC6"/>
    <w:rsid w:val="006D201B"/>
    <w:rsid w:val="006D201D"/>
    <w:rsid w:val="006D2023"/>
    <w:rsid w:val="006D20CD"/>
    <w:rsid w:val="006D23BB"/>
    <w:rsid w:val="006D2429"/>
    <w:rsid w:val="006D276F"/>
    <w:rsid w:val="006D27EA"/>
    <w:rsid w:val="006D2A13"/>
    <w:rsid w:val="006D2AB9"/>
    <w:rsid w:val="006D2B59"/>
    <w:rsid w:val="006D2BD4"/>
    <w:rsid w:val="006D2C91"/>
    <w:rsid w:val="006D3088"/>
    <w:rsid w:val="006D3091"/>
    <w:rsid w:val="006D313E"/>
    <w:rsid w:val="006D31E1"/>
    <w:rsid w:val="006D326F"/>
    <w:rsid w:val="006D351F"/>
    <w:rsid w:val="006D36E4"/>
    <w:rsid w:val="006D36EF"/>
    <w:rsid w:val="006D37D4"/>
    <w:rsid w:val="006D380A"/>
    <w:rsid w:val="006D3946"/>
    <w:rsid w:val="006D3C32"/>
    <w:rsid w:val="006D3D28"/>
    <w:rsid w:val="006D3DEA"/>
    <w:rsid w:val="006D3E04"/>
    <w:rsid w:val="006D3E7C"/>
    <w:rsid w:val="006D3ECA"/>
    <w:rsid w:val="006D3F7E"/>
    <w:rsid w:val="006D4036"/>
    <w:rsid w:val="006D4361"/>
    <w:rsid w:val="006D43B3"/>
    <w:rsid w:val="006D44AF"/>
    <w:rsid w:val="006D45E0"/>
    <w:rsid w:val="006D462B"/>
    <w:rsid w:val="006D4802"/>
    <w:rsid w:val="006D483D"/>
    <w:rsid w:val="006D48A8"/>
    <w:rsid w:val="006D4910"/>
    <w:rsid w:val="006D4936"/>
    <w:rsid w:val="006D4A9A"/>
    <w:rsid w:val="006D4C0F"/>
    <w:rsid w:val="006D4C7A"/>
    <w:rsid w:val="006D4CA1"/>
    <w:rsid w:val="006D4CE6"/>
    <w:rsid w:val="006D524E"/>
    <w:rsid w:val="006D5257"/>
    <w:rsid w:val="006D5314"/>
    <w:rsid w:val="006D536B"/>
    <w:rsid w:val="006D53B3"/>
    <w:rsid w:val="006D53DA"/>
    <w:rsid w:val="006D5489"/>
    <w:rsid w:val="006D5521"/>
    <w:rsid w:val="006D5566"/>
    <w:rsid w:val="006D557C"/>
    <w:rsid w:val="006D56C1"/>
    <w:rsid w:val="006D56C8"/>
    <w:rsid w:val="006D5835"/>
    <w:rsid w:val="006D59A7"/>
    <w:rsid w:val="006D5A46"/>
    <w:rsid w:val="006D5BAC"/>
    <w:rsid w:val="006D5BD8"/>
    <w:rsid w:val="006D5BFB"/>
    <w:rsid w:val="006D5C36"/>
    <w:rsid w:val="006D5CFA"/>
    <w:rsid w:val="006D5D2E"/>
    <w:rsid w:val="006D6111"/>
    <w:rsid w:val="006D6388"/>
    <w:rsid w:val="006D63C0"/>
    <w:rsid w:val="006D6472"/>
    <w:rsid w:val="006D6551"/>
    <w:rsid w:val="006D659B"/>
    <w:rsid w:val="006D6C16"/>
    <w:rsid w:val="006D6D00"/>
    <w:rsid w:val="006D6D71"/>
    <w:rsid w:val="006D6E05"/>
    <w:rsid w:val="006D6E0D"/>
    <w:rsid w:val="006D6F60"/>
    <w:rsid w:val="006D7268"/>
    <w:rsid w:val="006D7368"/>
    <w:rsid w:val="006D7392"/>
    <w:rsid w:val="006D73EF"/>
    <w:rsid w:val="006D74A7"/>
    <w:rsid w:val="006D74D0"/>
    <w:rsid w:val="006D7510"/>
    <w:rsid w:val="006D7604"/>
    <w:rsid w:val="006D77EA"/>
    <w:rsid w:val="006D78FD"/>
    <w:rsid w:val="006D7993"/>
    <w:rsid w:val="006D7AA2"/>
    <w:rsid w:val="006D7BCC"/>
    <w:rsid w:val="006E002B"/>
    <w:rsid w:val="006E00A1"/>
    <w:rsid w:val="006E0334"/>
    <w:rsid w:val="006E0464"/>
    <w:rsid w:val="006E0505"/>
    <w:rsid w:val="006E0526"/>
    <w:rsid w:val="006E055F"/>
    <w:rsid w:val="006E05B8"/>
    <w:rsid w:val="006E05ED"/>
    <w:rsid w:val="006E062D"/>
    <w:rsid w:val="006E090D"/>
    <w:rsid w:val="006E0928"/>
    <w:rsid w:val="006E0B6D"/>
    <w:rsid w:val="006E0BB1"/>
    <w:rsid w:val="006E0C1D"/>
    <w:rsid w:val="006E0CE6"/>
    <w:rsid w:val="006E0D8E"/>
    <w:rsid w:val="006E1035"/>
    <w:rsid w:val="006E1073"/>
    <w:rsid w:val="006E12A4"/>
    <w:rsid w:val="006E12FA"/>
    <w:rsid w:val="006E1482"/>
    <w:rsid w:val="006E1727"/>
    <w:rsid w:val="006E1769"/>
    <w:rsid w:val="006E17AF"/>
    <w:rsid w:val="006E19A8"/>
    <w:rsid w:val="006E1A41"/>
    <w:rsid w:val="006E1B46"/>
    <w:rsid w:val="006E1B76"/>
    <w:rsid w:val="006E1C59"/>
    <w:rsid w:val="006E1DCA"/>
    <w:rsid w:val="006E1E1B"/>
    <w:rsid w:val="006E1E2F"/>
    <w:rsid w:val="006E1F04"/>
    <w:rsid w:val="006E1FFA"/>
    <w:rsid w:val="006E2040"/>
    <w:rsid w:val="006E2079"/>
    <w:rsid w:val="006E2290"/>
    <w:rsid w:val="006E2348"/>
    <w:rsid w:val="006E23A1"/>
    <w:rsid w:val="006E2517"/>
    <w:rsid w:val="006E253A"/>
    <w:rsid w:val="006E2612"/>
    <w:rsid w:val="006E2730"/>
    <w:rsid w:val="006E28E9"/>
    <w:rsid w:val="006E2986"/>
    <w:rsid w:val="006E2C9B"/>
    <w:rsid w:val="006E2CBD"/>
    <w:rsid w:val="006E3059"/>
    <w:rsid w:val="006E30C2"/>
    <w:rsid w:val="006E31FD"/>
    <w:rsid w:val="006E323E"/>
    <w:rsid w:val="006E3346"/>
    <w:rsid w:val="006E33D3"/>
    <w:rsid w:val="006E34CD"/>
    <w:rsid w:val="006E3783"/>
    <w:rsid w:val="006E3A40"/>
    <w:rsid w:val="006E3AE9"/>
    <w:rsid w:val="006E3B17"/>
    <w:rsid w:val="006E3C13"/>
    <w:rsid w:val="006E3DA7"/>
    <w:rsid w:val="006E3EBD"/>
    <w:rsid w:val="006E3F29"/>
    <w:rsid w:val="006E3F7E"/>
    <w:rsid w:val="006E4071"/>
    <w:rsid w:val="006E41F6"/>
    <w:rsid w:val="006E4228"/>
    <w:rsid w:val="006E43EF"/>
    <w:rsid w:val="006E447C"/>
    <w:rsid w:val="006E44B1"/>
    <w:rsid w:val="006E44FD"/>
    <w:rsid w:val="006E479C"/>
    <w:rsid w:val="006E47BF"/>
    <w:rsid w:val="006E47FC"/>
    <w:rsid w:val="006E4A29"/>
    <w:rsid w:val="006E4A41"/>
    <w:rsid w:val="006E4D62"/>
    <w:rsid w:val="006E4D64"/>
    <w:rsid w:val="006E4DCC"/>
    <w:rsid w:val="006E4E37"/>
    <w:rsid w:val="006E4EED"/>
    <w:rsid w:val="006E4F38"/>
    <w:rsid w:val="006E4F4F"/>
    <w:rsid w:val="006E518D"/>
    <w:rsid w:val="006E51A9"/>
    <w:rsid w:val="006E5553"/>
    <w:rsid w:val="006E55A5"/>
    <w:rsid w:val="006E58EE"/>
    <w:rsid w:val="006E5963"/>
    <w:rsid w:val="006E598A"/>
    <w:rsid w:val="006E5995"/>
    <w:rsid w:val="006E59E6"/>
    <w:rsid w:val="006E59FD"/>
    <w:rsid w:val="006E5AAA"/>
    <w:rsid w:val="006E5BC6"/>
    <w:rsid w:val="006E5BFE"/>
    <w:rsid w:val="006E5C52"/>
    <w:rsid w:val="006E5C69"/>
    <w:rsid w:val="006E5D03"/>
    <w:rsid w:val="006E5EA6"/>
    <w:rsid w:val="006E5EC1"/>
    <w:rsid w:val="006E5F81"/>
    <w:rsid w:val="006E601A"/>
    <w:rsid w:val="006E608C"/>
    <w:rsid w:val="006E619A"/>
    <w:rsid w:val="006E6319"/>
    <w:rsid w:val="006E6644"/>
    <w:rsid w:val="006E6687"/>
    <w:rsid w:val="006E66A8"/>
    <w:rsid w:val="006E67A6"/>
    <w:rsid w:val="006E67EE"/>
    <w:rsid w:val="006E683E"/>
    <w:rsid w:val="006E69A1"/>
    <w:rsid w:val="006E69E6"/>
    <w:rsid w:val="006E6A75"/>
    <w:rsid w:val="006E6A76"/>
    <w:rsid w:val="006E6CE0"/>
    <w:rsid w:val="006E6CE7"/>
    <w:rsid w:val="006E6E32"/>
    <w:rsid w:val="006E6E70"/>
    <w:rsid w:val="006E6E94"/>
    <w:rsid w:val="006E6FAA"/>
    <w:rsid w:val="006E6FDE"/>
    <w:rsid w:val="006E7067"/>
    <w:rsid w:val="006E7105"/>
    <w:rsid w:val="006E710C"/>
    <w:rsid w:val="006E71B8"/>
    <w:rsid w:val="006E72F1"/>
    <w:rsid w:val="006E7551"/>
    <w:rsid w:val="006E7728"/>
    <w:rsid w:val="006E779D"/>
    <w:rsid w:val="006E784E"/>
    <w:rsid w:val="006E78D6"/>
    <w:rsid w:val="006E78FD"/>
    <w:rsid w:val="006E7949"/>
    <w:rsid w:val="006E7A20"/>
    <w:rsid w:val="006E7B1B"/>
    <w:rsid w:val="006E7C2F"/>
    <w:rsid w:val="006E7CD9"/>
    <w:rsid w:val="006EDA43"/>
    <w:rsid w:val="006F0039"/>
    <w:rsid w:val="006F00A6"/>
    <w:rsid w:val="006F0276"/>
    <w:rsid w:val="006F029F"/>
    <w:rsid w:val="006F0590"/>
    <w:rsid w:val="006F05A7"/>
    <w:rsid w:val="006F066B"/>
    <w:rsid w:val="006F0792"/>
    <w:rsid w:val="006F0868"/>
    <w:rsid w:val="006F0938"/>
    <w:rsid w:val="006F0987"/>
    <w:rsid w:val="006F0B3D"/>
    <w:rsid w:val="006F0B53"/>
    <w:rsid w:val="006F0BCE"/>
    <w:rsid w:val="006F0C3E"/>
    <w:rsid w:val="006F0D98"/>
    <w:rsid w:val="006F0EC4"/>
    <w:rsid w:val="006F0F41"/>
    <w:rsid w:val="006F0FA6"/>
    <w:rsid w:val="006F0FF9"/>
    <w:rsid w:val="006F1023"/>
    <w:rsid w:val="006F1038"/>
    <w:rsid w:val="006F11AE"/>
    <w:rsid w:val="006F1323"/>
    <w:rsid w:val="006F13E7"/>
    <w:rsid w:val="006F161B"/>
    <w:rsid w:val="006F1985"/>
    <w:rsid w:val="006F199E"/>
    <w:rsid w:val="006F1A2D"/>
    <w:rsid w:val="006F1C9E"/>
    <w:rsid w:val="006F1CE5"/>
    <w:rsid w:val="006F1CFA"/>
    <w:rsid w:val="006F1CFB"/>
    <w:rsid w:val="006F1EAC"/>
    <w:rsid w:val="006F2171"/>
    <w:rsid w:val="006F21AA"/>
    <w:rsid w:val="006F2291"/>
    <w:rsid w:val="006F2648"/>
    <w:rsid w:val="006F2757"/>
    <w:rsid w:val="006F2835"/>
    <w:rsid w:val="006F28EF"/>
    <w:rsid w:val="006F2A4E"/>
    <w:rsid w:val="006F2ABA"/>
    <w:rsid w:val="006F2C73"/>
    <w:rsid w:val="006F2D6E"/>
    <w:rsid w:val="006F2DC4"/>
    <w:rsid w:val="006F2E90"/>
    <w:rsid w:val="006F2E99"/>
    <w:rsid w:val="006F33E9"/>
    <w:rsid w:val="006F3403"/>
    <w:rsid w:val="006F3662"/>
    <w:rsid w:val="006F3666"/>
    <w:rsid w:val="006F3789"/>
    <w:rsid w:val="006F3943"/>
    <w:rsid w:val="006F3C6C"/>
    <w:rsid w:val="006F3C90"/>
    <w:rsid w:val="006F3D3D"/>
    <w:rsid w:val="006F3ED6"/>
    <w:rsid w:val="006F3F17"/>
    <w:rsid w:val="006F3F25"/>
    <w:rsid w:val="006F3FB9"/>
    <w:rsid w:val="006F41D3"/>
    <w:rsid w:val="006F4495"/>
    <w:rsid w:val="006F453B"/>
    <w:rsid w:val="006F46CE"/>
    <w:rsid w:val="006F46F5"/>
    <w:rsid w:val="006F473B"/>
    <w:rsid w:val="006F47DB"/>
    <w:rsid w:val="006F48EC"/>
    <w:rsid w:val="006F493B"/>
    <w:rsid w:val="006F4989"/>
    <w:rsid w:val="006F4B3D"/>
    <w:rsid w:val="006F4C9B"/>
    <w:rsid w:val="006F4D16"/>
    <w:rsid w:val="006F4D31"/>
    <w:rsid w:val="006F4E2D"/>
    <w:rsid w:val="006F4EDF"/>
    <w:rsid w:val="006F4F12"/>
    <w:rsid w:val="006F4F5F"/>
    <w:rsid w:val="006F5069"/>
    <w:rsid w:val="006F50E4"/>
    <w:rsid w:val="006F513F"/>
    <w:rsid w:val="006F514D"/>
    <w:rsid w:val="006F52D7"/>
    <w:rsid w:val="006F5337"/>
    <w:rsid w:val="006F5401"/>
    <w:rsid w:val="006F5624"/>
    <w:rsid w:val="006F5694"/>
    <w:rsid w:val="006F5984"/>
    <w:rsid w:val="006F5AE9"/>
    <w:rsid w:val="006F5BBB"/>
    <w:rsid w:val="006F5CC1"/>
    <w:rsid w:val="006F5CD0"/>
    <w:rsid w:val="006F5D72"/>
    <w:rsid w:val="006F5D93"/>
    <w:rsid w:val="006F5F32"/>
    <w:rsid w:val="006F5F76"/>
    <w:rsid w:val="006F6004"/>
    <w:rsid w:val="006F6055"/>
    <w:rsid w:val="006F6344"/>
    <w:rsid w:val="006F634B"/>
    <w:rsid w:val="006F64C2"/>
    <w:rsid w:val="006F64F9"/>
    <w:rsid w:val="006F65E5"/>
    <w:rsid w:val="006F68C2"/>
    <w:rsid w:val="006F6942"/>
    <w:rsid w:val="006F6AC3"/>
    <w:rsid w:val="006F6C20"/>
    <w:rsid w:val="006F6DFE"/>
    <w:rsid w:val="006F6F9F"/>
    <w:rsid w:val="006F7170"/>
    <w:rsid w:val="006F7371"/>
    <w:rsid w:val="006F7452"/>
    <w:rsid w:val="006F751E"/>
    <w:rsid w:val="006F787E"/>
    <w:rsid w:val="006F7A5F"/>
    <w:rsid w:val="006F7A9F"/>
    <w:rsid w:val="006F7C7A"/>
    <w:rsid w:val="006F7D6B"/>
    <w:rsid w:val="0070007C"/>
    <w:rsid w:val="00700109"/>
    <w:rsid w:val="007002B0"/>
    <w:rsid w:val="00700352"/>
    <w:rsid w:val="00700442"/>
    <w:rsid w:val="0070048E"/>
    <w:rsid w:val="007004CF"/>
    <w:rsid w:val="007004DE"/>
    <w:rsid w:val="00700539"/>
    <w:rsid w:val="00700674"/>
    <w:rsid w:val="00700700"/>
    <w:rsid w:val="007007A9"/>
    <w:rsid w:val="00700812"/>
    <w:rsid w:val="00700A30"/>
    <w:rsid w:val="00700B5A"/>
    <w:rsid w:val="00700BA9"/>
    <w:rsid w:val="00700BFC"/>
    <w:rsid w:val="00700CF8"/>
    <w:rsid w:val="00700DB7"/>
    <w:rsid w:val="00700EB2"/>
    <w:rsid w:val="00700F06"/>
    <w:rsid w:val="00700FF0"/>
    <w:rsid w:val="00701183"/>
    <w:rsid w:val="007011C9"/>
    <w:rsid w:val="00701261"/>
    <w:rsid w:val="0070135D"/>
    <w:rsid w:val="00701468"/>
    <w:rsid w:val="00701657"/>
    <w:rsid w:val="00701783"/>
    <w:rsid w:val="00701790"/>
    <w:rsid w:val="007017DC"/>
    <w:rsid w:val="0070190C"/>
    <w:rsid w:val="007019CB"/>
    <w:rsid w:val="007019E6"/>
    <w:rsid w:val="00701A0B"/>
    <w:rsid w:val="00701B98"/>
    <w:rsid w:val="00701CE1"/>
    <w:rsid w:val="00701E87"/>
    <w:rsid w:val="00701FFB"/>
    <w:rsid w:val="007023FB"/>
    <w:rsid w:val="007024F5"/>
    <w:rsid w:val="00702699"/>
    <w:rsid w:val="00702803"/>
    <w:rsid w:val="00702845"/>
    <w:rsid w:val="007028AF"/>
    <w:rsid w:val="0070290B"/>
    <w:rsid w:val="0070295A"/>
    <w:rsid w:val="007029EA"/>
    <w:rsid w:val="00702C04"/>
    <w:rsid w:val="00703191"/>
    <w:rsid w:val="007031E0"/>
    <w:rsid w:val="00703443"/>
    <w:rsid w:val="00703624"/>
    <w:rsid w:val="00703665"/>
    <w:rsid w:val="007037A3"/>
    <w:rsid w:val="0070393A"/>
    <w:rsid w:val="007039AC"/>
    <w:rsid w:val="00703B19"/>
    <w:rsid w:val="00703BBB"/>
    <w:rsid w:val="00703BF2"/>
    <w:rsid w:val="00703C09"/>
    <w:rsid w:val="00703C2B"/>
    <w:rsid w:val="00703C3A"/>
    <w:rsid w:val="00703C7B"/>
    <w:rsid w:val="00703DDA"/>
    <w:rsid w:val="00704198"/>
    <w:rsid w:val="007042BD"/>
    <w:rsid w:val="00704442"/>
    <w:rsid w:val="007044A7"/>
    <w:rsid w:val="0070454F"/>
    <w:rsid w:val="00704628"/>
    <w:rsid w:val="007047FA"/>
    <w:rsid w:val="00704852"/>
    <w:rsid w:val="0070497D"/>
    <w:rsid w:val="00704A59"/>
    <w:rsid w:val="00704BDF"/>
    <w:rsid w:val="00704BF6"/>
    <w:rsid w:val="00704C8A"/>
    <w:rsid w:val="00704E26"/>
    <w:rsid w:val="00704ED3"/>
    <w:rsid w:val="00704F30"/>
    <w:rsid w:val="0070583B"/>
    <w:rsid w:val="00705852"/>
    <w:rsid w:val="00705858"/>
    <w:rsid w:val="0070587B"/>
    <w:rsid w:val="007059C2"/>
    <w:rsid w:val="00705A5F"/>
    <w:rsid w:val="00705AE4"/>
    <w:rsid w:val="00705AF9"/>
    <w:rsid w:val="00705D34"/>
    <w:rsid w:val="00705DC9"/>
    <w:rsid w:val="00705EDB"/>
    <w:rsid w:val="00705FA5"/>
    <w:rsid w:val="007060F0"/>
    <w:rsid w:val="00706172"/>
    <w:rsid w:val="00706253"/>
    <w:rsid w:val="0070636D"/>
    <w:rsid w:val="007065C9"/>
    <w:rsid w:val="00706610"/>
    <w:rsid w:val="007067D1"/>
    <w:rsid w:val="0070693B"/>
    <w:rsid w:val="00706954"/>
    <w:rsid w:val="00706A80"/>
    <w:rsid w:val="00706A90"/>
    <w:rsid w:val="00706A93"/>
    <w:rsid w:val="00706AEB"/>
    <w:rsid w:val="00706B30"/>
    <w:rsid w:val="00706C7A"/>
    <w:rsid w:val="00706D2A"/>
    <w:rsid w:val="00706EB7"/>
    <w:rsid w:val="00706EE9"/>
    <w:rsid w:val="007070C7"/>
    <w:rsid w:val="00707109"/>
    <w:rsid w:val="007072E9"/>
    <w:rsid w:val="00707382"/>
    <w:rsid w:val="007073DA"/>
    <w:rsid w:val="00707444"/>
    <w:rsid w:val="007076DD"/>
    <w:rsid w:val="007077A7"/>
    <w:rsid w:val="00707A41"/>
    <w:rsid w:val="00707A7F"/>
    <w:rsid w:val="00707CB2"/>
    <w:rsid w:val="00710372"/>
    <w:rsid w:val="00710395"/>
    <w:rsid w:val="007103C7"/>
    <w:rsid w:val="00710460"/>
    <w:rsid w:val="00710480"/>
    <w:rsid w:val="0071059C"/>
    <w:rsid w:val="0071068A"/>
    <w:rsid w:val="00710A27"/>
    <w:rsid w:val="00710A32"/>
    <w:rsid w:val="00710A35"/>
    <w:rsid w:val="00710B6F"/>
    <w:rsid w:val="00710BDC"/>
    <w:rsid w:val="00710BE5"/>
    <w:rsid w:val="00711107"/>
    <w:rsid w:val="00711169"/>
    <w:rsid w:val="007111D9"/>
    <w:rsid w:val="007115E9"/>
    <w:rsid w:val="00711706"/>
    <w:rsid w:val="00711941"/>
    <w:rsid w:val="00711CFF"/>
    <w:rsid w:val="00711DA3"/>
    <w:rsid w:val="00711EE5"/>
    <w:rsid w:val="0071206F"/>
    <w:rsid w:val="00712168"/>
    <w:rsid w:val="00712238"/>
    <w:rsid w:val="0071226C"/>
    <w:rsid w:val="007122B9"/>
    <w:rsid w:val="007123C6"/>
    <w:rsid w:val="0071247B"/>
    <w:rsid w:val="0071279E"/>
    <w:rsid w:val="007128F6"/>
    <w:rsid w:val="00712A0C"/>
    <w:rsid w:val="00712B60"/>
    <w:rsid w:val="00712CDE"/>
    <w:rsid w:val="00712D80"/>
    <w:rsid w:val="00712DA1"/>
    <w:rsid w:val="00712EE4"/>
    <w:rsid w:val="00712FBB"/>
    <w:rsid w:val="00712FFB"/>
    <w:rsid w:val="007130B3"/>
    <w:rsid w:val="007130E6"/>
    <w:rsid w:val="0071315A"/>
    <w:rsid w:val="007131AC"/>
    <w:rsid w:val="007131BC"/>
    <w:rsid w:val="00713249"/>
    <w:rsid w:val="00713295"/>
    <w:rsid w:val="007133B8"/>
    <w:rsid w:val="0071351A"/>
    <w:rsid w:val="007135FF"/>
    <w:rsid w:val="00713640"/>
    <w:rsid w:val="007137ED"/>
    <w:rsid w:val="007138B4"/>
    <w:rsid w:val="00713B5A"/>
    <w:rsid w:val="00713DFD"/>
    <w:rsid w:val="00713E93"/>
    <w:rsid w:val="00714044"/>
    <w:rsid w:val="007140CC"/>
    <w:rsid w:val="00714217"/>
    <w:rsid w:val="00714257"/>
    <w:rsid w:val="007144D8"/>
    <w:rsid w:val="00714526"/>
    <w:rsid w:val="0071464D"/>
    <w:rsid w:val="00714699"/>
    <w:rsid w:val="00714806"/>
    <w:rsid w:val="00714841"/>
    <w:rsid w:val="00714918"/>
    <w:rsid w:val="007149AA"/>
    <w:rsid w:val="00714B1F"/>
    <w:rsid w:val="00714D39"/>
    <w:rsid w:val="00714D5D"/>
    <w:rsid w:val="00714D97"/>
    <w:rsid w:val="00714DBB"/>
    <w:rsid w:val="00714DBE"/>
    <w:rsid w:val="007150ED"/>
    <w:rsid w:val="0071518B"/>
    <w:rsid w:val="007151D9"/>
    <w:rsid w:val="007152FD"/>
    <w:rsid w:val="0071537B"/>
    <w:rsid w:val="007153DC"/>
    <w:rsid w:val="0071552F"/>
    <w:rsid w:val="00715627"/>
    <w:rsid w:val="00715873"/>
    <w:rsid w:val="00715A07"/>
    <w:rsid w:val="00715A59"/>
    <w:rsid w:val="00715ABA"/>
    <w:rsid w:val="00715AE1"/>
    <w:rsid w:val="00715BEB"/>
    <w:rsid w:val="00715FBA"/>
    <w:rsid w:val="0071600D"/>
    <w:rsid w:val="0071608D"/>
    <w:rsid w:val="007161A3"/>
    <w:rsid w:val="00716432"/>
    <w:rsid w:val="007165ED"/>
    <w:rsid w:val="00716670"/>
    <w:rsid w:val="007168C8"/>
    <w:rsid w:val="00716925"/>
    <w:rsid w:val="00716A12"/>
    <w:rsid w:val="00716CFB"/>
    <w:rsid w:val="00716E47"/>
    <w:rsid w:val="00716E7A"/>
    <w:rsid w:val="00716F26"/>
    <w:rsid w:val="00716FAE"/>
    <w:rsid w:val="00716FB9"/>
    <w:rsid w:val="0071712D"/>
    <w:rsid w:val="00717130"/>
    <w:rsid w:val="00717156"/>
    <w:rsid w:val="0071721E"/>
    <w:rsid w:val="00717359"/>
    <w:rsid w:val="0071736B"/>
    <w:rsid w:val="00717433"/>
    <w:rsid w:val="007174A4"/>
    <w:rsid w:val="007177A1"/>
    <w:rsid w:val="007177C4"/>
    <w:rsid w:val="007177DB"/>
    <w:rsid w:val="007178D2"/>
    <w:rsid w:val="0071797D"/>
    <w:rsid w:val="00717ABC"/>
    <w:rsid w:val="00717B4B"/>
    <w:rsid w:val="00717BC1"/>
    <w:rsid w:val="00717C9F"/>
    <w:rsid w:val="00717E95"/>
    <w:rsid w:val="00717F16"/>
    <w:rsid w:val="00717FE3"/>
    <w:rsid w:val="007201A2"/>
    <w:rsid w:val="007202D6"/>
    <w:rsid w:val="00720304"/>
    <w:rsid w:val="00720437"/>
    <w:rsid w:val="00720462"/>
    <w:rsid w:val="007204BE"/>
    <w:rsid w:val="00720515"/>
    <w:rsid w:val="00720516"/>
    <w:rsid w:val="007205A7"/>
    <w:rsid w:val="00720773"/>
    <w:rsid w:val="007207E2"/>
    <w:rsid w:val="0072088F"/>
    <w:rsid w:val="00720955"/>
    <w:rsid w:val="00720988"/>
    <w:rsid w:val="00720BED"/>
    <w:rsid w:val="00720C32"/>
    <w:rsid w:val="00720F00"/>
    <w:rsid w:val="00720F4B"/>
    <w:rsid w:val="007211BE"/>
    <w:rsid w:val="0072132B"/>
    <w:rsid w:val="0072146D"/>
    <w:rsid w:val="007214FC"/>
    <w:rsid w:val="00721562"/>
    <w:rsid w:val="007215D4"/>
    <w:rsid w:val="00721610"/>
    <w:rsid w:val="00721692"/>
    <w:rsid w:val="00721910"/>
    <w:rsid w:val="00721A4F"/>
    <w:rsid w:val="00721B85"/>
    <w:rsid w:val="00721C55"/>
    <w:rsid w:val="00721DF1"/>
    <w:rsid w:val="00721E91"/>
    <w:rsid w:val="00721F51"/>
    <w:rsid w:val="0072218D"/>
    <w:rsid w:val="007222B1"/>
    <w:rsid w:val="00722344"/>
    <w:rsid w:val="00722404"/>
    <w:rsid w:val="00722424"/>
    <w:rsid w:val="00722427"/>
    <w:rsid w:val="00722432"/>
    <w:rsid w:val="00722491"/>
    <w:rsid w:val="007224E1"/>
    <w:rsid w:val="0072251E"/>
    <w:rsid w:val="007225D0"/>
    <w:rsid w:val="0072264A"/>
    <w:rsid w:val="007227BF"/>
    <w:rsid w:val="00722A24"/>
    <w:rsid w:val="00722B1A"/>
    <w:rsid w:val="00722B92"/>
    <w:rsid w:val="00722C1F"/>
    <w:rsid w:val="00722CBA"/>
    <w:rsid w:val="00722CBC"/>
    <w:rsid w:val="00722F0C"/>
    <w:rsid w:val="00723043"/>
    <w:rsid w:val="00723191"/>
    <w:rsid w:val="007232C3"/>
    <w:rsid w:val="007232E2"/>
    <w:rsid w:val="007234EA"/>
    <w:rsid w:val="0072350B"/>
    <w:rsid w:val="00723580"/>
    <w:rsid w:val="0072365E"/>
    <w:rsid w:val="007236D5"/>
    <w:rsid w:val="00723851"/>
    <w:rsid w:val="007238B7"/>
    <w:rsid w:val="00723B29"/>
    <w:rsid w:val="00723C17"/>
    <w:rsid w:val="00723D38"/>
    <w:rsid w:val="00723E62"/>
    <w:rsid w:val="00723F05"/>
    <w:rsid w:val="00723F4A"/>
    <w:rsid w:val="00724029"/>
    <w:rsid w:val="00724056"/>
    <w:rsid w:val="00724109"/>
    <w:rsid w:val="00724207"/>
    <w:rsid w:val="00724272"/>
    <w:rsid w:val="00724286"/>
    <w:rsid w:val="007243D3"/>
    <w:rsid w:val="0072441F"/>
    <w:rsid w:val="007246A6"/>
    <w:rsid w:val="007246FB"/>
    <w:rsid w:val="00724769"/>
    <w:rsid w:val="00724793"/>
    <w:rsid w:val="00724869"/>
    <w:rsid w:val="00724A64"/>
    <w:rsid w:val="00724A74"/>
    <w:rsid w:val="00724C09"/>
    <w:rsid w:val="00724C7B"/>
    <w:rsid w:val="007251BE"/>
    <w:rsid w:val="0072526D"/>
    <w:rsid w:val="00725466"/>
    <w:rsid w:val="007254FE"/>
    <w:rsid w:val="00725591"/>
    <w:rsid w:val="007256FA"/>
    <w:rsid w:val="007257A1"/>
    <w:rsid w:val="007257B6"/>
    <w:rsid w:val="007257F8"/>
    <w:rsid w:val="0072584B"/>
    <w:rsid w:val="00725858"/>
    <w:rsid w:val="00725B1E"/>
    <w:rsid w:val="00725EAE"/>
    <w:rsid w:val="00725ECF"/>
    <w:rsid w:val="00725ED0"/>
    <w:rsid w:val="00725EF9"/>
    <w:rsid w:val="00726056"/>
    <w:rsid w:val="007260D3"/>
    <w:rsid w:val="0072611A"/>
    <w:rsid w:val="00726172"/>
    <w:rsid w:val="00726198"/>
    <w:rsid w:val="00726228"/>
    <w:rsid w:val="0072624C"/>
    <w:rsid w:val="007262BF"/>
    <w:rsid w:val="007262C6"/>
    <w:rsid w:val="007262F9"/>
    <w:rsid w:val="0072654B"/>
    <w:rsid w:val="0072657C"/>
    <w:rsid w:val="007269D1"/>
    <w:rsid w:val="00726DB2"/>
    <w:rsid w:val="00726E27"/>
    <w:rsid w:val="00727234"/>
    <w:rsid w:val="00727244"/>
    <w:rsid w:val="007272D6"/>
    <w:rsid w:val="0072741A"/>
    <w:rsid w:val="00727462"/>
    <w:rsid w:val="007274D6"/>
    <w:rsid w:val="0072752E"/>
    <w:rsid w:val="00727591"/>
    <w:rsid w:val="007275B6"/>
    <w:rsid w:val="00727756"/>
    <w:rsid w:val="0072788A"/>
    <w:rsid w:val="007279AE"/>
    <w:rsid w:val="00727A68"/>
    <w:rsid w:val="00727BDF"/>
    <w:rsid w:val="00727BEA"/>
    <w:rsid w:val="00727DCC"/>
    <w:rsid w:val="00727F8B"/>
    <w:rsid w:val="007300B9"/>
    <w:rsid w:val="00730110"/>
    <w:rsid w:val="007303AE"/>
    <w:rsid w:val="007303EA"/>
    <w:rsid w:val="00730407"/>
    <w:rsid w:val="007304AA"/>
    <w:rsid w:val="007305A3"/>
    <w:rsid w:val="00730664"/>
    <w:rsid w:val="00730820"/>
    <w:rsid w:val="007309E7"/>
    <w:rsid w:val="00730A05"/>
    <w:rsid w:val="00730BF5"/>
    <w:rsid w:val="00730DC2"/>
    <w:rsid w:val="007310E1"/>
    <w:rsid w:val="00731280"/>
    <w:rsid w:val="00731557"/>
    <w:rsid w:val="00731672"/>
    <w:rsid w:val="00731877"/>
    <w:rsid w:val="007318F1"/>
    <w:rsid w:val="007319C9"/>
    <w:rsid w:val="00731A5F"/>
    <w:rsid w:val="00731A89"/>
    <w:rsid w:val="00731B2C"/>
    <w:rsid w:val="00731C79"/>
    <w:rsid w:val="00731E37"/>
    <w:rsid w:val="0073207F"/>
    <w:rsid w:val="00732152"/>
    <w:rsid w:val="007321B8"/>
    <w:rsid w:val="00732423"/>
    <w:rsid w:val="00732591"/>
    <w:rsid w:val="007326E7"/>
    <w:rsid w:val="00732816"/>
    <w:rsid w:val="00732BEB"/>
    <w:rsid w:val="00732F72"/>
    <w:rsid w:val="00732F9F"/>
    <w:rsid w:val="00733014"/>
    <w:rsid w:val="007332D5"/>
    <w:rsid w:val="0073331E"/>
    <w:rsid w:val="007333C5"/>
    <w:rsid w:val="007336D4"/>
    <w:rsid w:val="00733740"/>
    <w:rsid w:val="00733765"/>
    <w:rsid w:val="00733BC6"/>
    <w:rsid w:val="00733C5F"/>
    <w:rsid w:val="00733C72"/>
    <w:rsid w:val="00733D0B"/>
    <w:rsid w:val="00733D23"/>
    <w:rsid w:val="00733DD7"/>
    <w:rsid w:val="00733E78"/>
    <w:rsid w:val="00733FFC"/>
    <w:rsid w:val="00734104"/>
    <w:rsid w:val="00734189"/>
    <w:rsid w:val="007343F6"/>
    <w:rsid w:val="007344AE"/>
    <w:rsid w:val="007346ED"/>
    <w:rsid w:val="00734791"/>
    <w:rsid w:val="00734809"/>
    <w:rsid w:val="00734B97"/>
    <w:rsid w:val="00734BCB"/>
    <w:rsid w:val="00734CF4"/>
    <w:rsid w:val="00734E53"/>
    <w:rsid w:val="00734E85"/>
    <w:rsid w:val="00734F83"/>
    <w:rsid w:val="00735017"/>
    <w:rsid w:val="007350CB"/>
    <w:rsid w:val="00735187"/>
    <w:rsid w:val="007351BD"/>
    <w:rsid w:val="00735329"/>
    <w:rsid w:val="00735459"/>
    <w:rsid w:val="00735485"/>
    <w:rsid w:val="00735538"/>
    <w:rsid w:val="0073559E"/>
    <w:rsid w:val="007355BE"/>
    <w:rsid w:val="00735C0F"/>
    <w:rsid w:val="00735CC3"/>
    <w:rsid w:val="00735DC5"/>
    <w:rsid w:val="00735EBA"/>
    <w:rsid w:val="00735F88"/>
    <w:rsid w:val="0073603E"/>
    <w:rsid w:val="0073624F"/>
    <w:rsid w:val="007362F2"/>
    <w:rsid w:val="0073638F"/>
    <w:rsid w:val="00736522"/>
    <w:rsid w:val="00736568"/>
    <w:rsid w:val="007365E0"/>
    <w:rsid w:val="00736619"/>
    <w:rsid w:val="007366C5"/>
    <w:rsid w:val="00736709"/>
    <w:rsid w:val="00736882"/>
    <w:rsid w:val="007368CE"/>
    <w:rsid w:val="00736963"/>
    <w:rsid w:val="00736A56"/>
    <w:rsid w:val="00736B1C"/>
    <w:rsid w:val="00736B25"/>
    <w:rsid w:val="00736B6D"/>
    <w:rsid w:val="00736BAA"/>
    <w:rsid w:val="00736C48"/>
    <w:rsid w:val="00736D32"/>
    <w:rsid w:val="00737030"/>
    <w:rsid w:val="00737120"/>
    <w:rsid w:val="007371BB"/>
    <w:rsid w:val="0073729B"/>
    <w:rsid w:val="00737344"/>
    <w:rsid w:val="0073739A"/>
    <w:rsid w:val="007373B0"/>
    <w:rsid w:val="007375E2"/>
    <w:rsid w:val="0073765F"/>
    <w:rsid w:val="00737691"/>
    <w:rsid w:val="0073776A"/>
    <w:rsid w:val="007377B6"/>
    <w:rsid w:val="007378CB"/>
    <w:rsid w:val="0073791D"/>
    <w:rsid w:val="00737A8A"/>
    <w:rsid w:val="00737BFF"/>
    <w:rsid w:val="00737D00"/>
    <w:rsid w:val="00737E27"/>
    <w:rsid w:val="00737E8F"/>
    <w:rsid w:val="00737EC5"/>
    <w:rsid w:val="00740043"/>
    <w:rsid w:val="00740044"/>
    <w:rsid w:val="0074020C"/>
    <w:rsid w:val="007402CF"/>
    <w:rsid w:val="0074052B"/>
    <w:rsid w:val="00740533"/>
    <w:rsid w:val="00740642"/>
    <w:rsid w:val="00740698"/>
    <w:rsid w:val="007408D0"/>
    <w:rsid w:val="00740A7B"/>
    <w:rsid w:val="00740B8F"/>
    <w:rsid w:val="00740B94"/>
    <w:rsid w:val="00740D53"/>
    <w:rsid w:val="00740E34"/>
    <w:rsid w:val="00740F97"/>
    <w:rsid w:val="00741315"/>
    <w:rsid w:val="007413A6"/>
    <w:rsid w:val="007414AF"/>
    <w:rsid w:val="0074164E"/>
    <w:rsid w:val="00741868"/>
    <w:rsid w:val="00741877"/>
    <w:rsid w:val="00741892"/>
    <w:rsid w:val="007418B0"/>
    <w:rsid w:val="007418F9"/>
    <w:rsid w:val="0074191A"/>
    <w:rsid w:val="007419F3"/>
    <w:rsid w:val="00741B32"/>
    <w:rsid w:val="00741B97"/>
    <w:rsid w:val="00741D75"/>
    <w:rsid w:val="00741E22"/>
    <w:rsid w:val="00741FB8"/>
    <w:rsid w:val="007421FA"/>
    <w:rsid w:val="007423C8"/>
    <w:rsid w:val="007423DB"/>
    <w:rsid w:val="007424B5"/>
    <w:rsid w:val="007424E4"/>
    <w:rsid w:val="00742500"/>
    <w:rsid w:val="00742634"/>
    <w:rsid w:val="007426AB"/>
    <w:rsid w:val="007427B4"/>
    <w:rsid w:val="00742816"/>
    <w:rsid w:val="007428DF"/>
    <w:rsid w:val="00742ACA"/>
    <w:rsid w:val="00742CD5"/>
    <w:rsid w:val="00742EB7"/>
    <w:rsid w:val="007432C7"/>
    <w:rsid w:val="007432DA"/>
    <w:rsid w:val="007433C4"/>
    <w:rsid w:val="00743463"/>
    <w:rsid w:val="00743603"/>
    <w:rsid w:val="00743693"/>
    <w:rsid w:val="007436BF"/>
    <w:rsid w:val="007436DC"/>
    <w:rsid w:val="007436F4"/>
    <w:rsid w:val="00743720"/>
    <w:rsid w:val="007437C2"/>
    <w:rsid w:val="00743834"/>
    <w:rsid w:val="0074389E"/>
    <w:rsid w:val="00743911"/>
    <w:rsid w:val="00743982"/>
    <w:rsid w:val="007439CB"/>
    <w:rsid w:val="00743EDD"/>
    <w:rsid w:val="0074404E"/>
    <w:rsid w:val="00744157"/>
    <w:rsid w:val="007441A5"/>
    <w:rsid w:val="007443EF"/>
    <w:rsid w:val="00744430"/>
    <w:rsid w:val="0074467B"/>
    <w:rsid w:val="00744B38"/>
    <w:rsid w:val="00744BF7"/>
    <w:rsid w:val="00744D7D"/>
    <w:rsid w:val="00744D95"/>
    <w:rsid w:val="00744F49"/>
    <w:rsid w:val="00744FD2"/>
    <w:rsid w:val="00745005"/>
    <w:rsid w:val="00745053"/>
    <w:rsid w:val="00745385"/>
    <w:rsid w:val="00745430"/>
    <w:rsid w:val="0074547C"/>
    <w:rsid w:val="0074579C"/>
    <w:rsid w:val="0074579F"/>
    <w:rsid w:val="007458AC"/>
    <w:rsid w:val="007459AE"/>
    <w:rsid w:val="007459E4"/>
    <w:rsid w:val="00745A09"/>
    <w:rsid w:val="00745A9F"/>
    <w:rsid w:val="00745B56"/>
    <w:rsid w:val="00745C56"/>
    <w:rsid w:val="00745CD4"/>
    <w:rsid w:val="00745D5B"/>
    <w:rsid w:val="00745D69"/>
    <w:rsid w:val="00745D90"/>
    <w:rsid w:val="00745DC8"/>
    <w:rsid w:val="00745E3A"/>
    <w:rsid w:val="00745FB1"/>
    <w:rsid w:val="007460C7"/>
    <w:rsid w:val="007461B5"/>
    <w:rsid w:val="0074628A"/>
    <w:rsid w:val="00746295"/>
    <w:rsid w:val="007462AA"/>
    <w:rsid w:val="00746343"/>
    <w:rsid w:val="00746377"/>
    <w:rsid w:val="00746502"/>
    <w:rsid w:val="00746510"/>
    <w:rsid w:val="00746544"/>
    <w:rsid w:val="00746665"/>
    <w:rsid w:val="00746BE1"/>
    <w:rsid w:val="00746BE5"/>
    <w:rsid w:val="00746CDF"/>
    <w:rsid w:val="00746CFB"/>
    <w:rsid w:val="00746D7A"/>
    <w:rsid w:val="00746E78"/>
    <w:rsid w:val="00746EDB"/>
    <w:rsid w:val="007470DC"/>
    <w:rsid w:val="00747103"/>
    <w:rsid w:val="00747129"/>
    <w:rsid w:val="0074719C"/>
    <w:rsid w:val="007471FE"/>
    <w:rsid w:val="007472D1"/>
    <w:rsid w:val="0074747E"/>
    <w:rsid w:val="007475B3"/>
    <w:rsid w:val="00747603"/>
    <w:rsid w:val="0074768C"/>
    <w:rsid w:val="00747900"/>
    <w:rsid w:val="007479B7"/>
    <w:rsid w:val="007479D5"/>
    <w:rsid w:val="007479D8"/>
    <w:rsid w:val="00747B36"/>
    <w:rsid w:val="00747BA1"/>
    <w:rsid w:val="00747C10"/>
    <w:rsid w:val="00747C5D"/>
    <w:rsid w:val="00747D6C"/>
    <w:rsid w:val="00747DB0"/>
    <w:rsid w:val="00747E33"/>
    <w:rsid w:val="00747F0D"/>
    <w:rsid w:val="00747F67"/>
    <w:rsid w:val="00747F94"/>
    <w:rsid w:val="00750002"/>
    <w:rsid w:val="00750087"/>
    <w:rsid w:val="00750145"/>
    <w:rsid w:val="00750307"/>
    <w:rsid w:val="007503B7"/>
    <w:rsid w:val="007503E2"/>
    <w:rsid w:val="007503FE"/>
    <w:rsid w:val="00750682"/>
    <w:rsid w:val="00750701"/>
    <w:rsid w:val="00750712"/>
    <w:rsid w:val="007509C2"/>
    <w:rsid w:val="007509D7"/>
    <w:rsid w:val="007509EA"/>
    <w:rsid w:val="00750C87"/>
    <w:rsid w:val="00750C8F"/>
    <w:rsid w:val="00750CCD"/>
    <w:rsid w:val="00750D9C"/>
    <w:rsid w:val="00750DA7"/>
    <w:rsid w:val="0075105A"/>
    <w:rsid w:val="0075115B"/>
    <w:rsid w:val="00751245"/>
    <w:rsid w:val="0075131B"/>
    <w:rsid w:val="00751477"/>
    <w:rsid w:val="00751758"/>
    <w:rsid w:val="00751835"/>
    <w:rsid w:val="0075187C"/>
    <w:rsid w:val="00751BF4"/>
    <w:rsid w:val="00751DAF"/>
    <w:rsid w:val="00751E4D"/>
    <w:rsid w:val="00751EE9"/>
    <w:rsid w:val="007520BF"/>
    <w:rsid w:val="00752183"/>
    <w:rsid w:val="00752225"/>
    <w:rsid w:val="007522DE"/>
    <w:rsid w:val="0075232B"/>
    <w:rsid w:val="007523DE"/>
    <w:rsid w:val="00752468"/>
    <w:rsid w:val="00752592"/>
    <w:rsid w:val="007527AD"/>
    <w:rsid w:val="007527AF"/>
    <w:rsid w:val="00752904"/>
    <w:rsid w:val="00752A23"/>
    <w:rsid w:val="00752A6A"/>
    <w:rsid w:val="00752A85"/>
    <w:rsid w:val="00752A94"/>
    <w:rsid w:val="00752A9E"/>
    <w:rsid w:val="00752CEE"/>
    <w:rsid w:val="00752E04"/>
    <w:rsid w:val="00752FAB"/>
    <w:rsid w:val="007530F8"/>
    <w:rsid w:val="0075315C"/>
    <w:rsid w:val="00753257"/>
    <w:rsid w:val="00753374"/>
    <w:rsid w:val="007533E6"/>
    <w:rsid w:val="007534D1"/>
    <w:rsid w:val="0075355C"/>
    <w:rsid w:val="00753563"/>
    <w:rsid w:val="007535FB"/>
    <w:rsid w:val="00753637"/>
    <w:rsid w:val="007536EC"/>
    <w:rsid w:val="007538B8"/>
    <w:rsid w:val="00753B1E"/>
    <w:rsid w:val="00753F30"/>
    <w:rsid w:val="00753F5E"/>
    <w:rsid w:val="00753FAB"/>
    <w:rsid w:val="00753FD2"/>
    <w:rsid w:val="0075403D"/>
    <w:rsid w:val="007540B6"/>
    <w:rsid w:val="0075413D"/>
    <w:rsid w:val="0075424F"/>
    <w:rsid w:val="00754267"/>
    <w:rsid w:val="007543E5"/>
    <w:rsid w:val="007543EB"/>
    <w:rsid w:val="0075456A"/>
    <w:rsid w:val="00754732"/>
    <w:rsid w:val="00754776"/>
    <w:rsid w:val="007547B7"/>
    <w:rsid w:val="007547EA"/>
    <w:rsid w:val="00754882"/>
    <w:rsid w:val="007548EE"/>
    <w:rsid w:val="00754916"/>
    <w:rsid w:val="00754947"/>
    <w:rsid w:val="00754987"/>
    <w:rsid w:val="00754AC6"/>
    <w:rsid w:val="00754AD0"/>
    <w:rsid w:val="00754B1B"/>
    <w:rsid w:val="00754B73"/>
    <w:rsid w:val="00754C15"/>
    <w:rsid w:val="00754C23"/>
    <w:rsid w:val="00754E9A"/>
    <w:rsid w:val="007550EC"/>
    <w:rsid w:val="00755129"/>
    <w:rsid w:val="0075512E"/>
    <w:rsid w:val="007552F8"/>
    <w:rsid w:val="00755367"/>
    <w:rsid w:val="007553C0"/>
    <w:rsid w:val="007554B0"/>
    <w:rsid w:val="0075568F"/>
    <w:rsid w:val="007557BF"/>
    <w:rsid w:val="0075590F"/>
    <w:rsid w:val="0075595F"/>
    <w:rsid w:val="00755963"/>
    <w:rsid w:val="007559C5"/>
    <w:rsid w:val="00755A62"/>
    <w:rsid w:val="00755A71"/>
    <w:rsid w:val="00755AAB"/>
    <w:rsid w:val="00755DD3"/>
    <w:rsid w:val="00755E16"/>
    <w:rsid w:val="00755F14"/>
    <w:rsid w:val="00755FDE"/>
    <w:rsid w:val="00756035"/>
    <w:rsid w:val="00756185"/>
    <w:rsid w:val="007562B4"/>
    <w:rsid w:val="007562C9"/>
    <w:rsid w:val="00756325"/>
    <w:rsid w:val="0075638C"/>
    <w:rsid w:val="007563FC"/>
    <w:rsid w:val="007564C6"/>
    <w:rsid w:val="0075654C"/>
    <w:rsid w:val="007565B9"/>
    <w:rsid w:val="00756639"/>
    <w:rsid w:val="007566CF"/>
    <w:rsid w:val="007568A7"/>
    <w:rsid w:val="00756915"/>
    <w:rsid w:val="00756927"/>
    <w:rsid w:val="00756998"/>
    <w:rsid w:val="007569AC"/>
    <w:rsid w:val="00756A25"/>
    <w:rsid w:val="00756B23"/>
    <w:rsid w:val="00756C96"/>
    <w:rsid w:val="00756CF4"/>
    <w:rsid w:val="00756D46"/>
    <w:rsid w:val="00756DBB"/>
    <w:rsid w:val="00756FA0"/>
    <w:rsid w:val="00756FF0"/>
    <w:rsid w:val="00757027"/>
    <w:rsid w:val="0075706A"/>
    <w:rsid w:val="00757100"/>
    <w:rsid w:val="0075723F"/>
    <w:rsid w:val="007574AC"/>
    <w:rsid w:val="007575F7"/>
    <w:rsid w:val="0075764C"/>
    <w:rsid w:val="007576A3"/>
    <w:rsid w:val="007576FC"/>
    <w:rsid w:val="00757710"/>
    <w:rsid w:val="00757910"/>
    <w:rsid w:val="007579AD"/>
    <w:rsid w:val="00757B07"/>
    <w:rsid w:val="00757B53"/>
    <w:rsid w:val="00757D23"/>
    <w:rsid w:val="00757EAB"/>
    <w:rsid w:val="00757ED6"/>
    <w:rsid w:val="00757FFB"/>
    <w:rsid w:val="00760042"/>
    <w:rsid w:val="007601A8"/>
    <w:rsid w:val="007602E6"/>
    <w:rsid w:val="00760445"/>
    <w:rsid w:val="00760575"/>
    <w:rsid w:val="00760598"/>
    <w:rsid w:val="007605D0"/>
    <w:rsid w:val="0076066A"/>
    <w:rsid w:val="00760695"/>
    <w:rsid w:val="0076084E"/>
    <w:rsid w:val="00760932"/>
    <w:rsid w:val="00760959"/>
    <w:rsid w:val="007609A3"/>
    <w:rsid w:val="00760B96"/>
    <w:rsid w:val="00760BEA"/>
    <w:rsid w:val="00760D21"/>
    <w:rsid w:val="00760D80"/>
    <w:rsid w:val="00760DC8"/>
    <w:rsid w:val="00760E2A"/>
    <w:rsid w:val="00760E9E"/>
    <w:rsid w:val="00760F87"/>
    <w:rsid w:val="00760FF8"/>
    <w:rsid w:val="0076102E"/>
    <w:rsid w:val="0076117D"/>
    <w:rsid w:val="007613F7"/>
    <w:rsid w:val="007615E3"/>
    <w:rsid w:val="0076161C"/>
    <w:rsid w:val="007617C6"/>
    <w:rsid w:val="00761A2C"/>
    <w:rsid w:val="00761CA9"/>
    <w:rsid w:val="00761D22"/>
    <w:rsid w:val="00761DFA"/>
    <w:rsid w:val="00761E05"/>
    <w:rsid w:val="00761EA4"/>
    <w:rsid w:val="0076224D"/>
    <w:rsid w:val="007622DA"/>
    <w:rsid w:val="007624CE"/>
    <w:rsid w:val="007624ED"/>
    <w:rsid w:val="0076262C"/>
    <w:rsid w:val="00762830"/>
    <w:rsid w:val="00762853"/>
    <w:rsid w:val="00762884"/>
    <w:rsid w:val="007628B4"/>
    <w:rsid w:val="00762A98"/>
    <w:rsid w:val="00762AC2"/>
    <w:rsid w:val="00762BA6"/>
    <w:rsid w:val="00762CD9"/>
    <w:rsid w:val="00762EEB"/>
    <w:rsid w:val="00762FC9"/>
    <w:rsid w:val="007631D2"/>
    <w:rsid w:val="007631F5"/>
    <w:rsid w:val="00763224"/>
    <w:rsid w:val="00763356"/>
    <w:rsid w:val="00763427"/>
    <w:rsid w:val="00763489"/>
    <w:rsid w:val="007634BB"/>
    <w:rsid w:val="00763B1B"/>
    <w:rsid w:val="00763B70"/>
    <w:rsid w:val="00763BB7"/>
    <w:rsid w:val="00763BE2"/>
    <w:rsid w:val="00763C8D"/>
    <w:rsid w:val="00763D06"/>
    <w:rsid w:val="00763DAB"/>
    <w:rsid w:val="00763ECA"/>
    <w:rsid w:val="00763F05"/>
    <w:rsid w:val="007640FC"/>
    <w:rsid w:val="007640FD"/>
    <w:rsid w:val="00764342"/>
    <w:rsid w:val="007644E2"/>
    <w:rsid w:val="007644F8"/>
    <w:rsid w:val="00764548"/>
    <w:rsid w:val="00764626"/>
    <w:rsid w:val="0076462D"/>
    <w:rsid w:val="007646A0"/>
    <w:rsid w:val="007647AA"/>
    <w:rsid w:val="00764C44"/>
    <w:rsid w:val="00764C7D"/>
    <w:rsid w:val="00764D1E"/>
    <w:rsid w:val="00764DE7"/>
    <w:rsid w:val="00764E32"/>
    <w:rsid w:val="00764E94"/>
    <w:rsid w:val="00764F11"/>
    <w:rsid w:val="00764FD4"/>
    <w:rsid w:val="0076501E"/>
    <w:rsid w:val="00765054"/>
    <w:rsid w:val="00765088"/>
    <w:rsid w:val="00765107"/>
    <w:rsid w:val="00765138"/>
    <w:rsid w:val="00765307"/>
    <w:rsid w:val="00765353"/>
    <w:rsid w:val="007653CC"/>
    <w:rsid w:val="007653EC"/>
    <w:rsid w:val="00765487"/>
    <w:rsid w:val="007654E5"/>
    <w:rsid w:val="0076559B"/>
    <w:rsid w:val="007656DE"/>
    <w:rsid w:val="007658F7"/>
    <w:rsid w:val="007659C7"/>
    <w:rsid w:val="00765A0A"/>
    <w:rsid w:val="00765BD8"/>
    <w:rsid w:val="00765C5A"/>
    <w:rsid w:val="00765EA2"/>
    <w:rsid w:val="00765EB9"/>
    <w:rsid w:val="00765F18"/>
    <w:rsid w:val="00765F3D"/>
    <w:rsid w:val="00765F6F"/>
    <w:rsid w:val="007660DC"/>
    <w:rsid w:val="00766321"/>
    <w:rsid w:val="0076639C"/>
    <w:rsid w:val="00766571"/>
    <w:rsid w:val="00766804"/>
    <w:rsid w:val="007668FF"/>
    <w:rsid w:val="00766A60"/>
    <w:rsid w:val="00766C8F"/>
    <w:rsid w:val="00766C95"/>
    <w:rsid w:val="00766CB4"/>
    <w:rsid w:val="007670D6"/>
    <w:rsid w:val="007672D3"/>
    <w:rsid w:val="00767374"/>
    <w:rsid w:val="007674D8"/>
    <w:rsid w:val="00767514"/>
    <w:rsid w:val="00767555"/>
    <w:rsid w:val="00767604"/>
    <w:rsid w:val="0076761F"/>
    <w:rsid w:val="00767659"/>
    <w:rsid w:val="0076791A"/>
    <w:rsid w:val="00767A02"/>
    <w:rsid w:val="00767BF3"/>
    <w:rsid w:val="00767C6A"/>
    <w:rsid w:val="00767CA7"/>
    <w:rsid w:val="00767DB9"/>
    <w:rsid w:val="00767E4C"/>
    <w:rsid w:val="00770024"/>
    <w:rsid w:val="007702EA"/>
    <w:rsid w:val="00770341"/>
    <w:rsid w:val="00770422"/>
    <w:rsid w:val="0077045C"/>
    <w:rsid w:val="0077070A"/>
    <w:rsid w:val="007708B6"/>
    <w:rsid w:val="007709C6"/>
    <w:rsid w:val="00770B38"/>
    <w:rsid w:val="00770B97"/>
    <w:rsid w:val="00770C1C"/>
    <w:rsid w:val="00770C3D"/>
    <w:rsid w:val="00770F2A"/>
    <w:rsid w:val="00770FE6"/>
    <w:rsid w:val="00771348"/>
    <w:rsid w:val="0077155A"/>
    <w:rsid w:val="00771588"/>
    <w:rsid w:val="007715AD"/>
    <w:rsid w:val="00771642"/>
    <w:rsid w:val="0077164E"/>
    <w:rsid w:val="0077176D"/>
    <w:rsid w:val="0077194D"/>
    <w:rsid w:val="00771DCD"/>
    <w:rsid w:val="00771F72"/>
    <w:rsid w:val="00771FAA"/>
    <w:rsid w:val="007721FA"/>
    <w:rsid w:val="007722F6"/>
    <w:rsid w:val="00772329"/>
    <w:rsid w:val="007723DA"/>
    <w:rsid w:val="007723E8"/>
    <w:rsid w:val="007724E0"/>
    <w:rsid w:val="007724FA"/>
    <w:rsid w:val="00772A4A"/>
    <w:rsid w:val="00772E27"/>
    <w:rsid w:val="00772EA4"/>
    <w:rsid w:val="0077302C"/>
    <w:rsid w:val="007730D3"/>
    <w:rsid w:val="0077323C"/>
    <w:rsid w:val="00773278"/>
    <w:rsid w:val="0077330F"/>
    <w:rsid w:val="007733B0"/>
    <w:rsid w:val="0077357B"/>
    <w:rsid w:val="007736E1"/>
    <w:rsid w:val="007739B8"/>
    <w:rsid w:val="007739CE"/>
    <w:rsid w:val="00773B45"/>
    <w:rsid w:val="00773C19"/>
    <w:rsid w:val="00773C68"/>
    <w:rsid w:val="00773FBA"/>
    <w:rsid w:val="00774121"/>
    <w:rsid w:val="00774179"/>
    <w:rsid w:val="007741CC"/>
    <w:rsid w:val="007741E8"/>
    <w:rsid w:val="007741F6"/>
    <w:rsid w:val="007742D1"/>
    <w:rsid w:val="00774376"/>
    <w:rsid w:val="007743D0"/>
    <w:rsid w:val="00774689"/>
    <w:rsid w:val="00774695"/>
    <w:rsid w:val="00774817"/>
    <w:rsid w:val="00774A0D"/>
    <w:rsid w:val="00774A64"/>
    <w:rsid w:val="00774ADC"/>
    <w:rsid w:val="00774AE4"/>
    <w:rsid w:val="00774E43"/>
    <w:rsid w:val="00774E4A"/>
    <w:rsid w:val="00774E72"/>
    <w:rsid w:val="007750BC"/>
    <w:rsid w:val="007750E4"/>
    <w:rsid w:val="00775130"/>
    <w:rsid w:val="007753CE"/>
    <w:rsid w:val="007753F9"/>
    <w:rsid w:val="00775493"/>
    <w:rsid w:val="0077590D"/>
    <w:rsid w:val="00775A71"/>
    <w:rsid w:val="00775A8B"/>
    <w:rsid w:val="00775AAB"/>
    <w:rsid w:val="00775B88"/>
    <w:rsid w:val="00775B8F"/>
    <w:rsid w:val="00775BD9"/>
    <w:rsid w:val="00775D75"/>
    <w:rsid w:val="00775DBB"/>
    <w:rsid w:val="00775E4E"/>
    <w:rsid w:val="0077608B"/>
    <w:rsid w:val="007761E9"/>
    <w:rsid w:val="007762C3"/>
    <w:rsid w:val="007763A5"/>
    <w:rsid w:val="007763AD"/>
    <w:rsid w:val="00776405"/>
    <w:rsid w:val="00776508"/>
    <w:rsid w:val="00776542"/>
    <w:rsid w:val="007765AD"/>
    <w:rsid w:val="007766C7"/>
    <w:rsid w:val="00776798"/>
    <w:rsid w:val="0077683B"/>
    <w:rsid w:val="007768F6"/>
    <w:rsid w:val="0077690C"/>
    <w:rsid w:val="00776C53"/>
    <w:rsid w:val="00776D47"/>
    <w:rsid w:val="00776DD4"/>
    <w:rsid w:val="00776FA0"/>
    <w:rsid w:val="00776FCE"/>
    <w:rsid w:val="00777151"/>
    <w:rsid w:val="007774AF"/>
    <w:rsid w:val="007777FC"/>
    <w:rsid w:val="007779E9"/>
    <w:rsid w:val="00777B79"/>
    <w:rsid w:val="00777C73"/>
    <w:rsid w:val="00777E42"/>
    <w:rsid w:val="00777F63"/>
    <w:rsid w:val="00777FB8"/>
    <w:rsid w:val="00777FBC"/>
    <w:rsid w:val="0078006A"/>
    <w:rsid w:val="007800C7"/>
    <w:rsid w:val="007800D7"/>
    <w:rsid w:val="007801EC"/>
    <w:rsid w:val="0078023F"/>
    <w:rsid w:val="00780738"/>
    <w:rsid w:val="007807E5"/>
    <w:rsid w:val="007808EF"/>
    <w:rsid w:val="007809AB"/>
    <w:rsid w:val="00780A4E"/>
    <w:rsid w:val="00780B6B"/>
    <w:rsid w:val="00780C58"/>
    <w:rsid w:val="00780C62"/>
    <w:rsid w:val="00780C74"/>
    <w:rsid w:val="00780CBF"/>
    <w:rsid w:val="00780CE8"/>
    <w:rsid w:val="00780CF8"/>
    <w:rsid w:val="00780D2F"/>
    <w:rsid w:val="00780DF0"/>
    <w:rsid w:val="00780E06"/>
    <w:rsid w:val="007811C1"/>
    <w:rsid w:val="007814FD"/>
    <w:rsid w:val="007816CB"/>
    <w:rsid w:val="007817C9"/>
    <w:rsid w:val="007819BE"/>
    <w:rsid w:val="00781A02"/>
    <w:rsid w:val="00781BD2"/>
    <w:rsid w:val="00781C10"/>
    <w:rsid w:val="0078208D"/>
    <w:rsid w:val="0078209E"/>
    <w:rsid w:val="0078228D"/>
    <w:rsid w:val="0078262D"/>
    <w:rsid w:val="007826F7"/>
    <w:rsid w:val="007827F1"/>
    <w:rsid w:val="007828E0"/>
    <w:rsid w:val="00782B52"/>
    <w:rsid w:val="00782BA2"/>
    <w:rsid w:val="00782CC7"/>
    <w:rsid w:val="00782EFC"/>
    <w:rsid w:val="00782FAF"/>
    <w:rsid w:val="007831AC"/>
    <w:rsid w:val="0078340D"/>
    <w:rsid w:val="00783424"/>
    <w:rsid w:val="00783459"/>
    <w:rsid w:val="007835F4"/>
    <w:rsid w:val="007836D1"/>
    <w:rsid w:val="0078387D"/>
    <w:rsid w:val="007838E2"/>
    <w:rsid w:val="00783B8E"/>
    <w:rsid w:val="00783E1B"/>
    <w:rsid w:val="0078408B"/>
    <w:rsid w:val="007840E9"/>
    <w:rsid w:val="00784204"/>
    <w:rsid w:val="00784256"/>
    <w:rsid w:val="007844C9"/>
    <w:rsid w:val="00784513"/>
    <w:rsid w:val="00784518"/>
    <w:rsid w:val="007845B3"/>
    <w:rsid w:val="0078473E"/>
    <w:rsid w:val="00784AC2"/>
    <w:rsid w:val="00784B6A"/>
    <w:rsid w:val="00784C2C"/>
    <w:rsid w:val="00784C42"/>
    <w:rsid w:val="007850FB"/>
    <w:rsid w:val="00785216"/>
    <w:rsid w:val="00785487"/>
    <w:rsid w:val="00785503"/>
    <w:rsid w:val="007855D9"/>
    <w:rsid w:val="0078560F"/>
    <w:rsid w:val="00785670"/>
    <w:rsid w:val="007856D7"/>
    <w:rsid w:val="00785741"/>
    <w:rsid w:val="0078581A"/>
    <w:rsid w:val="00785A71"/>
    <w:rsid w:val="00785CF9"/>
    <w:rsid w:val="00785D9E"/>
    <w:rsid w:val="0078622D"/>
    <w:rsid w:val="00786291"/>
    <w:rsid w:val="00786499"/>
    <w:rsid w:val="007866EA"/>
    <w:rsid w:val="007868BD"/>
    <w:rsid w:val="0078693E"/>
    <w:rsid w:val="00786A03"/>
    <w:rsid w:val="00786A7F"/>
    <w:rsid w:val="00786AE4"/>
    <w:rsid w:val="00786AF0"/>
    <w:rsid w:val="00786CA9"/>
    <w:rsid w:val="00786D9F"/>
    <w:rsid w:val="00786E4B"/>
    <w:rsid w:val="00786E92"/>
    <w:rsid w:val="00787010"/>
    <w:rsid w:val="00787011"/>
    <w:rsid w:val="0078705B"/>
    <w:rsid w:val="007874A6"/>
    <w:rsid w:val="007874F2"/>
    <w:rsid w:val="00787720"/>
    <w:rsid w:val="007878C9"/>
    <w:rsid w:val="00787973"/>
    <w:rsid w:val="00787C24"/>
    <w:rsid w:val="00787C31"/>
    <w:rsid w:val="00787CDA"/>
    <w:rsid w:val="00787D9E"/>
    <w:rsid w:val="00790032"/>
    <w:rsid w:val="00790085"/>
    <w:rsid w:val="0079019B"/>
    <w:rsid w:val="00790225"/>
    <w:rsid w:val="007902A3"/>
    <w:rsid w:val="00790492"/>
    <w:rsid w:val="007905BD"/>
    <w:rsid w:val="007905DA"/>
    <w:rsid w:val="0079068A"/>
    <w:rsid w:val="0079076C"/>
    <w:rsid w:val="0079076D"/>
    <w:rsid w:val="0079077E"/>
    <w:rsid w:val="007907EC"/>
    <w:rsid w:val="0079084B"/>
    <w:rsid w:val="0079095F"/>
    <w:rsid w:val="00790A16"/>
    <w:rsid w:val="00790A5A"/>
    <w:rsid w:val="00790AC9"/>
    <w:rsid w:val="00790BD3"/>
    <w:rsid w:val="00790E99"/>
    <w:rsid w:val="00790EA6"/>
    <w:rsid w:val="00790EAC"/>
    <w:rsid w:val="007912E4"/>
    <w:rsid w:val="007917C2"/>
    <w:rsid w:val="0079181C"/>
    <w:rsid w:val="0079192B"/>
    <w:rsid w:val="007919E5"/>
    <w:rsid w:val="00791A05"/>
    <w:rsid w:val="00791AFF"/>
    <w:rsid w:val="00791B97"/>
    <w:rsid w:val="00791CAD"/>
    <w:rsid w:val="007920D4"/>
    <w:rsid w:val="00792139"/>
    <w:rsid w:val="0079229A"/>
    <w:rsid w:val="00792318"/>
    <w:rsid w:val="00792596"/>
    <w:rsid w:val="007926C3"/>
    <w:rsid w:val="0079270E"/>
    <w:rsid w:val="00792743"/>
    <w:rsid w:val="0079276F"/>
    <w:rsid w:val="0079277E"/>
    <w:rsid w:val="00792898"/>
    <w:rsid w:val="007928D0"/>
    <w:rsid w:val="007929E9"/>
    <w:rsid w:val="00792A00"/>
    <w:rsid w:val="00792C7B"/>
    <w:rsid w:val="00792D4F"/>
    <w:rsid w:val="00792E80"/>
    <w:rsid w:val="007930A9"/>
    <w:rsid w:val="007931CF"/>
    <w:rsid w:val="007931E6"/>
    <w:rsid w:val="0079329D"/>
    <w:rsid w:val="0079330E"/>
    <w:rsid w:val="0079331F"/>
    <w:rsid w:val="00793446"/>
    <w:rsid w:val="007934C0"/>
    <w:rsid w:val="00793571"/>
    <w:rsid w:val="007937AC"/>
    <w:rsid w:val="007937CB"/>
    <w:rsid w:val="00793955"/>
    <w:rsid w:val="00793AD1"/>
    <w:rsid w:val="00793BB7"/>
    <w:rsid w:val="00793D62"/>
    <w:rsid w:val="00793DD7"/>
    <w:rsid w:val="00793EC6"/>
    <w:rsid w:val="00793EE7"/>
    <w:rsid w:val="00793FE6"/>
    <w:rsid w:val="007941E9"/>
    <w:rsid w:val="0079422C"/>
    <w:rsid w:val="00794242"/>
    <w:rsid w:val="0079457B"/>
    <w:rsid w:val="007945D8"/>
    <w:rsid w:val="00794614"/>
    <w:rsid w:val="0079463A"/>
    <w:rsid w:val="007946FB"/>
    <w:rsid w:val="0079474C"/>
    <w:rsid w:val="00794820"/>
    <w:rsid w:val="0079499B"/>
    <w:rsid w:val="00794EA7"/>
    <w:rsid w:val="00795143"/>
    <w:rsid w:val="007951E0"/>
    <w:rsid w:val="0079533C"/>
    <w:rsid w:val="007953B3"/>
    <w:rsid w:val="0079562C"/>
    <w:rsid w:val="0079563C"/>
    <w:rsid w:val="007956F8"/>
    <w:rsid w:val="00795874"/>
    <w:rsid w:val="007958B2"/>
    <w:rsid w:val="007958B5"/>
    <w:rsid w:val="007959E0"/>
    <w:rsid w:val="00795A46"/>
    <w:rsid w:val="00795ABE"/>
    <w:rsid w:val="00795B1F"/>
    <w:rsid w:val="00795B9A"/>
    <w:rsid w:val="00795C12"/>
    <w:rsid w:val="00795CE8"/>
    <w:rsid w:val="00795D36"/>
    <w:rsid w:val="00795E09"/>
    <w:rsid w:val="00795E0F"/>
    <w:rsid w:val="00795E4D"/>
    <w:rsid w:val="00795EB3"/>
    <w:rsid w:val="00795F06"/>
    <w:rsid w:val="00795F3B"/>
    <w:rsid w:val="00796147"/>
    <w:rsid w:val="00796232"/>
    <w:rsid w:val="0079623D"/>
    <w:rsid w:val="00796584"/>
    <w:rsid w:val="00796661"/>
    <w:rsid w:val="007966E5"/>
    <w:rsid w:val="0079682A"/>
    <w:rsid w:val="00796869"/>
    <w:rsid w:val="0079687C"/>
    <w:rsid w:val="00796892"/>
    <w:rsid w:val="00796A17"/>
    <w:rsid w:val="00796A51"/>
    <w:rsid w:val="00796F4F"/>
    <w:rsid w:val="00797026"/>
    <w:rsid w:val="00797057"/>
    <w:rsid w:val="0079758A"/>
    <w:rsid w:val="007975D5"/>
    <w:rsid w:val="007976BD"/>
    <w:rsid w:val="00797894"/>
    <w:rsid w:val="007978D5"/>
    <w:rsid w:val="007978F2"/>
    <w:rsid w:val="00797956"/>
    <w:rsid w:val="00797A2E"/>
    <w:rsid w:val="00797BC0"/>
    <w:rsid w:val="00797C6C"/>
    <w:rsid w:val="00797C99"/>
    <w:rsid w:val="00797D2C"/>
    <w:rsid w:val="00797D9E"/>
    <w:rsid w:val="00797E65"/>
    <w:rsid w:val="00797E78"/>
    <w:rsid w:val="00797FAB"/>
    <w:rsid w:val="007A0136"/>
    <w:rsid w:val="007A015C"/>
    <w:rsid w:val="007A01D8"/>
    <w:rsid w:val="007A03E3"/>
    <w:rsid w:val="007A0403"/>
    <w:rsid w:val="007A04DD"/>
    <w:rsid w:val="007A0550"/>
    <w:rsid w:val="007A05EF"/>
    <w:rsid w:val="007A06A5"/>
    <w:rsid w:val="007A06B5"/>
    <w:rsid w:val="007A0714"/>
    <w:rsid w:val="007A07A4"/>
    <w:rsid w:val="007A0856"/>
    <w:rsid w:val="007A0B6D"/>
    <w:rsid w:val="007A0C7D"/>
    <w:rsid w:val="007A0D5C"/>
    <w:rsid w:val="007A0DF4"/>
    <w:rsid w:val="007A0F37"/>
    <w:rsid w:val="007A12AD"/>
    <w:rsid w:val="007A14A0"/>
    <w:rsid w:val="007A14F6"/>
    <w:rsid w:val="007A1578"/>
    <w:rsid w:val="007A1587"/>
    <w:rsid w:val="007A1781"/>
    <w:rsid w:val="007A17A8"/>
    <w:rsid w:val="007A17AC"/>
    <w:rsid w:val="007A17CE"/>
    <w:rsid w:val="007A1874"/>
    <w:rsid w:val="007A18A7"/>
    <w:rsid w:val="007A1958"/>
    <w:rsid w:val="007A1A92"/>
    <w:rsid w:val="007A1BB6"/>
    <w:rsid w:val="007A1C7B"/>
    <w:rsid w:val="007A1E10"/>
    <w:rsid w:val="007A20FA"/>
    <w:rsid w:val="007A21D3"/>
    <w:rsid w:val="007A21DE"/>
    <w:rsid w:val="007A240D"/>
    <w:rsid w:val="007A26B5"/>
    <w:rsid w:val="007A2732"/>
    <w:rsid w:val="007A2809"/>
    <w:rsid w:val="007A2872"/>
    <w:rsid w:val="007A28E4"/>
    <w:rsid w:val="007A2BD4"/>
    <w:rsid w:val="007A2BDA"/>
    <w:rsid w:val="007A2C55"/>
    <w:rsid w:val="007A2C9A"/>
    <w:rsid w:val="007A2E6D"/>
    <w:rsid w:val="007A2EA7"/>
    <w:rsid w:val="007A2F8E"/>
    <w:rsid w:val="007A2FB0"/>
    <w:rsid w:val="007A301A"/>
    <w:rsid w:val="007A3131"/>
    <w:rsid w:val="007A3262"/>
    <w:rsid w:val="007A3394"/>
    <w:rsid w:val="007A3457"/>
    <w:rsid w:val="007A34B6"/>
    <w:rsid w:val="007A34F0"/>
    <w:rsid w:val="007A356F"/>
    <w:rsid w:val="007A3735"/>
    <w:rsid w:val="007A3755"/>
    <w:rsid w:val="007A39D9"/>
    <w:rsid w:val="007A3A45"/>
    <w:rsid w:val="007A3B7E"/>
    <w:rsid w:val="007A3BD1"/>
    <w:rsid w:val="007A3E51"/>
    <w:rsid w:val="007A3FA5"/>
    <w:rsid w:val="007A3FBF"/>
    <w:rsid w:val="007A4151"/>
    <w:rsid w:val="007A4209"/>
    <w:rsid w:val="007A427E"/>
    <w:rsid w:val="007A447B"/>
    <w:rsid w:val="007A45BC"/>
    <w:rsid w:val="007A470F"/>
    <w:rsid w:val="007A4745"/>
    <w:rsid w:val="007A4961"/>
    <w:rsid w:val="007A4C25"/>
    <w:rsid w:val="007A4C92"/>
    <w:rsid w:val="007A4FC9"/>
    <w:rsid w:val="007A50F5"/>
    <w:rsid w:val="007A5152"/>
    <w:rsid w:val="007A5170"/>
    <w:rsid w:val="007A51D1"/>
    <w:rsid w:val="007A5404"/>
    <w:rsid w:val="007A5415"/>
    <w:rsid w:val="007A54F6"/>
    <w:rsid w:val="007A56A8"/>
    <w:rsid w:val="007A56C1"/>
    <w:rsid w:val="007A587B"/>
    <w:rsid w:val="007A58D4"/>
    <w:rsid w:val="007A5907"/>
    <w:rsid w:val="007A593F"/>
    <w:rsid w:val="007A5A18"/>
    <w:rsid w:val="007A5A91"/>
    <w:rsid w:val="007A5B40"/>
    <w:rsid w:val="007A5C30"/>
    <w:rsid w:val="007A5D0B"/>
    <w:rsid w:val="007A5D46"/>
    <w:rsid w:val="007A5E7B"/>
    <w:rsid w:val="007A5EDF"/>
    <w:rsid w:val="007A5FF9"/>
    <w:rsid w:val="007A60C5"/>
    <w:rsid w:val="007A612E"/>
    <w:rsid w:val="007A61DE"/>
    <w:rsid w:val="007A6279"/>
    <w:rsid w:val="007A631C"/>
    <w:rsid w:val="007A6436"/>
    <w:rsid w:val="007A654C"/>
    <w:rsid w:val="007A66E2"/>
    <w:rsid w:val="007A6780"/>
    <w:rsid w:val="007A6A95"/>
    <w:rsid w:val="007A6B5D"/>
    <w:rsid w:val="007A6BE2"/>
    <w:rsid w:val="007A6C83"/>
    <w:rsid w:val="007A6C8B"/>
    <w:rsid w:val="007A6CF4"/>
    <w:rsid w:val="007A6F50"/>
    <w:rsid w:val="007A7063"/>
    <w:rsid w:val="007A714C"/>
    <w:rsid w:val="007A72B0"/>
    <w:rsid w:val="007A7394"/>
    <w:rsid w:val="007A73A5"/>
    <w:rsid w:val="007A7456"/>
    <w:rsid w:val="007A74E2"/>
    <w:rsid w:val="007A751E"/>
    <w:rsid w:val="007A7656"/>
    <w:rsid w:val="007A7749"/>
    <w:rsid w:val="007A778C"/>
    <w:rsid w:val="007A78AF"/>
    <w:rsid w:val="007A78DC"/>
    <w:rsid w:val="007A7B5B"/>
    <w:rsid w:val="007A7BA8"/>
    <w:rsid w:val="007A7BD4"/>
    <w:rsid w:val="007A7BDA"/>
    <w:rsid w:val="007A7C34"/>
    <w:rsid w:val="007A7DFD"/>
    <w:rsid w:val="007A7F22"/>
    <w:rsid w:val="007B0074"/>
    <w:rsid w:val="007B023D"/>
    <w:rsid w:val="007B0260"/>
    <w:rsid w:val="007B0359"/>
    <w:rsid w:val="007B0449"/>
    <w:rsid w:val="007B05ED"/>
    <w:rsid w:val="007B0621"/>
    <w:rsid w:val="007B064E"/>
    <w:rsid w:val="007B06E3"/>
    <w:rsid w:val="007B077C"/>
    <w:rsid w:val="007B0780"/>
    <w:rsid w:val="007B07A7"/>
    <w:rsid w:val="007B082E"/>
    <w:rsid w:val="007B08BA"/>
    <w:rsid w:val="007B0A79"/>
    <w:rsid w:val="007B0B35"/>
    <w:rsid w:val="007B0B95"/>
    <w:rsid w:val="007B0B9F"/>
    <w:rsid w:val="007B0EE4"/>
    <w:rsid w:val="007B115B"/>
    <w:rsid w:val="007B1402"/>
    <w:rsid w:val="007B15C7"/>
    <w:rsid w:val="007B1759"/>
    <w:rsid w:val="007B185C"/>
    <w:rsid w:val="007B19EE"/>
    <w:rsid w:val="007B1A86"/>
    <w:rsid w:val="007B1C15"/>
    <w:rsid w:val="007B1C36"/>
    <w:rsid w:val="007B1DAD"/>
    <w:rsid w:val="007B1F2E"/>
    <w:rsid w:val="007B1FFF"/>
    <w:rsid w:val="007B207C"/>
    <w:rsid w:val="007B20CB"/>
    <w:rsid w:val="007B210B"/>
    <w:rsid w:val="007B23B7"/>
    <w:rsid w:val="007B2444"/>
    <w:rsid w:val="007B2583"/>
    <w:rsid w:val="007B26C4"/>
    <w:rsid w:val="007B2A5A"/>
    <w:rsid w:val="007B2C02"/>
    <w:rsid w:val="007B2C65"/>
    <w:rsid w:val="007B2C66"/>
    <w:rsid w:val="007B2DE8"/>
    <w:rsid w:val="007B2E69"/>
    <w:rsid w:val="007B2E74"/>
    <w:rsid w:val="007B2EAE"/>
    <w:rsid w:val="007B329D"/>
    <w:rsid w:val="007B3309"/>
    <w:rsid w:val="007B345E"/>
    <w:rsid w:val="007B351C"/>
    <w:rsid w:val="007B3659"/>
    <w:rsid w:val="007B3843"/>
    <w:rsid w:val="007B3A64"/>
    <w:rsid w:val="007B3B13"/>
    <w:rsid w:val="007B3C95"/>
    <w:rsid w:val="007B3E29"/>
    <w:rsid w:val="007B3F61"/>
    <w:rsid w:val="007B4383"/>
    <w:rsid w:val="007B446A"/>
    <w:rsid w:val="007B4644"/>
    <w:rsid w:val="007B4796"/>
    <w:rsid w:val="007B4821"/>
    <w:rsid w:val="007B48F9"/>
    <w:rsid w:val="007B49A5"/>
    <w:rsid w:val="007B4A28"/>
    <w:rsid w:val="007B4D38"/>
    <w:rsid w:val="007B4E1D"/>
    <w:rsid w:val="007B4E5D"/>
    <w:rsid w:val="007B4F48"/>
    <w:rsid w:val="007B4F4D"/>
    <w:rsid w:val="007B500F"/>
    <w:rsid w:val="007B51E6"/>
    <w:rsid w:val="007B54E8"/>
    <w:rsid w:val="007B550F"/>
    <w:rsid w:val="007B5530"/>
    <w:rsid w:val="007B55D5"/>
    <w:rsid w:val="007B561C"/>
    <w:rsid w:val="007B56F8"/>
    <w:rsid w:val="007B572E"/>
    <w:rsid w:val="007B579A"/>
    <w:rsid w:val="007B5914"/>
    <w:rsid w:val="007B5978"/>
    <w:rsid w:val="007B59CD"/>
    <w:rsid w:val="007B5A3B"/>
    <w:rsid w:val="007B5A5A"/>
    <w:rsid w:val="007B5CB6"/>
    <w:rsid w:val="007B5D5E"/>
    <w:rsid w:val="007B5E7E"/>
    <w:rsid w:val="007B5E93"/>
    <w:rsid w:val="007B6008"/>
    <w:rsid w:val="007B6022"/>
    <w:rsid w:val="007B6141"/>
    <w:rsid w:val="007B62AE"/>
    <w:rsid w:val="007B62E4"/>
    <w:rsid w:val="007B63F6"/>
    <w:rsid w:val="007B6405"/>
    <w:rsid w:val="007B64FA"/>
    <w:rsid w:val="007B6683"/>
    <w:rsid w:val="007B69CE"/>
    <w:rsid w:val="007B69F1"/>
    <w:rsid w:val="007B6A36"/>
    <w:rsid w:val="007B6AA5"/>
    <w:rsid w:val="007B6AC2"/>
    <w:rsid w:val="007B6AD6"/>
    <w:rsid w:val="007B6B0C"/>
    <w:rsid w:val="007B6C79"/>
    <w:rsid w:val="007B6C7B"/>
    <w:rsid w:val="007B6D5D"/>
    <w:rsid w:val="007B6ECA"/>
    <w:rsid w:val="007B6F8E"/>
    <w:rsid w:val="007B717B"/>
    <w:rsid w:val="007B71F8"/>
    <w:rsid w:val="007B7310"/>
    <w:rsid w:val="007B7348"/>
    <w:rsid w:val="007B7437"/>
    <w:rsid w:val="007B764C"/>
    <w:rsid w:val="007B766C"/>
    <w:rsid w:val="007B767C"/>
    <w:rsid w:val="007B77E4"/>
    <w:rsid w:val="007B7801"/>
    <w:rsid w:val="007B785E"/>
    <w:rsid w:val="007B78BE"/>
    <w:rsid w:val="007B7922"/>
    <w:rsid w:val="007B797D"/>
    <w:rsid w:val="007B7985"/>
    <w:rsid w:val="007B7AAD"/>
    <w:rsid w:val="007B7B89"/>
    <w:rsid w:val="007B7D8A"/>
    <w:rsid w:val="007B7F3C"/>
    <w:rsid w:val="007B7F46"/>
    <w:rsid w:val="007B7FBB"/>
    <w:rsid w:val="007B7FFB"/>
    <w:rsid w:val="007C0053"/>
    <w:rsid w:val="007C00FC"/>
    <w:rsid w:val="007C0193"/>
    <w:rsid w:val="007C0232"/>
    <w:rsid w:val="007C0306"/>
    <w:rsid w:val="007C03CD"/>
    <w:rsid w:val="007C048B"/>
    <w:rsid w:val="007C04F9"/>
    <w:rsid w:val="007C0542"/>
    <w:rsid w:val="007C0569"/>
    <w:rsid w:val="007C05A0"/>
    <w:rsid w:val="007C05D1"/>
    <w:rsid w:val="007C0BC2"/>
    <w:rsid w:val="007C0BDF"/>
    <w:rsid w:val="007C0BF5"/>
    <w:rsid w:val="007C0CE5"/>
    <w:rsid w:val="007C0D85"/>
    <w:rsid w:val="007C0D97"/>
    <w:rsid w:val="007C0E2F"/>
    <w:rsid w:val="007C1030"/>
    <w:rsid w:val="007C1295"/>
    <w:rsid w:val="007C1307"/>
    <w:rsid w:val="007C1330"/>
    <w:rsid w:val="007C13B7"/>
    <w:rsid w:val="007C141A"/>
    <w:rsid w:val="007C1428"/>
    <w:rsid w:val="007C155E"/>
    <w:rsid w:val="007C15C4"/>
    <w:rsid w:val="007C166A"/>
    <w:rsid w:val="007C16F3"/>
    <w:rsid w:val="007C1848"/>
    <w:rsid w:val="007C1911"/>
    <w:rsid w:val="007C1C12"/>
    <w:rsid w:val="007C1C67"/>
    <w:rsid w:val="007C1C96"/>
    <w:rsid w:val="007C1D9C"/>
    <w:rsid w:val="007C1ED6"/>
    <w:rsid w:val="007C1F8F"/>
    <w:rsid w:val="007C1FCE"/>
    <w:rsid w:val="007C20B7"/>
    <w:rsid w:val="007C20C8"/>
    <w:rsid w:val="007C2185"/>
    <w:rsid w:val="007C21FE"/>
    <w:rsid w:val="007C23FD"/>
    <w:rsid w:val="007C242D"/>
    <w:rsid w:val="007C2478"/>
    <w:rsid w:val="007C2570"/>
    <w:rsid w:val="007C2709"/>
    <w:rsid w:val="007C293C"/>
    <w:rsid w:val="007C29AB"/>
    <w:rsid w:val="007C29C7"/>
    <w:rsid w:val="007C29EB"/>
    <w:rsid w:val="007C2AEF"/>
    <w:rsid w:val="007C2BA2"/>
    <w:rsid w:val="007C2BAF"/>
    <w:rsid w:val="007C2C22"/>
    <w:rsid w:val="007C2C35"/>
    <w:rsid w:val="007C3181"/>
    <w:rsid w:val="007C3219"/>
    <w:rsid w:val="007C32EF"/>
    <w:rsid w:val="007C3382"/>
    <w:rsid w:val="007C33C0"/>
    <w:rsid w:val="007C3448"/>
    <w:rsid w:val="007C3475"/>
    <w:rsid w:val="007C352D"/>
    <w:rsid w:val="007C357E"/>
    <w:rsid w:val="007C35FB"/>
    <w:rsid w:val="007C3608"/>
    <w:rsid w:val="007C36AC"/>
    <w:rsid w:val="007C37BC"/>
    <w:rsid w:val="007C37C7"/>
    <w:rsid w:val="007C380E"/>
    <w:rsid w:val="007C3826"/>
    <w:rsid w:val="007C387E"/>
    <w:rsid w:val="007C38FD"/>
    <w:rsid w:val="007C3959"/>
    <w:rsid w:val="007C3A46"/>
    <w:rsid w:val="007C3AFD"/>
    <w:rsid w:val="007C3C76"/>
    <w:rsid w:val="007C3DEC"/>
    <w:rsid w:val="007C3FC7"/>
    <w:rsid w:val="007C4036"/>
    <w:rsid w:val="007C4122"/>
    <w:rsid w:val="007C4171"/>
    <w:rsid w:val="007C42F8"/>
    <w:rsid w:val="007C435F"/>
    <w:rsid w:val="007C4394"/>
    <w:rsid w:val="007C43D1"/>
    <w:rsid w:val="007C43DC"/>
    <w:rsid w:val="007C4407"/>
    <w:rsid w:val="007C4460"/>
    <w:rsid w:val="007C4569"/>
    <w:rsid w:val="007C45B0"/>
    <w:rsid w:val="007C46FE"/>
    <w:rsid w:val="007C4852"/>
    <w:rsid w:val="007C4A9B"/>
    <w:rsid w:val="007C4B7A"/>
    <w:rsid w:val="007C4E38"/>
    <w:rsid w:val="007C4E5E"/>
    <w:rsid w:val="007C4EA5"/>
    <w:rsid w:val="007C4EB1"/>
    <w:rsid w:val="007C4EBE"/>
    <w:rsid w:val="007C514B"/>
    <w:rsid w:val="007C5184"/>
    <w:rsid w:val="007C5288"/>
    <w:rsid w:val="007C5362"/>
    <w:rsid w:val="007C561C"/>
    <w:rsid w:val="007C561F"/>
    <w:rsid w:val="007C5742"/>
    <w:rsid w:val="007C5758"/>
    <w:rsid w:val="007C5925"/>
    <w:rsid w:val="007C5956"/>
    <w:rsid w:val="007C5967"/>
    <w:rsid w:val="007C5B04"/>
    <w:rsid w:val="007C5BDB"/>
    <w:rsid w:val="007C5E23"/>
    <w:rsid w:val="007C5E8D"/>
    <w:rsid w:val="007C5F92"/>
    <w:rsid w:val="007C605A"/>
    <w:rsid w:val="007C6083"/>
    <w:rsid w:val="007C618F"/>
    <w:rsid w:val="007C63CC"/>
    <w:rsid w:val="007C6401"/>
    <w:rsid w:val="007C6449"/>
    <w:rsid w:val="007C64F9"/>
    <w:rsid w:val="007C6577"/>
    <w:rsid w:val="007C65DD"/>
    <w:rsid w:val="007C660F"/>
    <w:rsid w:val="007C6658"/>
    <w:rsid w:val="007C68EC"/>
    <w:rsid w:val="007C699E"/>
    <w:rsid w:val="007C6A21"/>
    <w:rsid w:val="007C6A6F"/>
    <w:rsid w:val="007C6A9E"/>
    <w:rsid w:val="007C6B7C"/>
    <w:rsid w:val="007C6C49"/>
    <w:rsid w:val="007C6C68"/>
    <w:rsid w:val="007C70C7"/>
    <w:rsid w:val="007C718A"/>
    <w:rsid w:val="007C73B2"/>
    <w:rsid w:val="007C7855"/>
    <w:rsid w:val="007C7A49"/>
    <w:rsid w:val="007C7A63"/>
    <w:rsid w:val="007C7AA1"/>
    <w:rsid w:val="007C7BD2"/>
    <w:rsid w:val="007C7D9B"/>
    <w:rsid w:val="007C7E1D"/>
    <w:rsid w:val="007C7EED"/>
    <w:rsid w:val="007C7F73"/>
    <w:rsid w:val="007D0023"/>
    <w:rsid w:val="007D019A"/>
    <w:rsid w:val="007D027D"/>
    <w:rsid w:val="007D02B5"/>
    <w:rsid w:val="007D0427"/>
    <w:rsid w:val="007D04A8"/>
    <w:rsid w:val="007D04D0"/>
    <w:rsid w:val="007D04E1"/>
    <w:rsid w:val="007D0550"/>
    <w:rsid w:val="007D05F4"/>
    <w:rsid w:val="007D064C"/>
    <w:rsid w:val="007D0732"/>
    <w:rsid w:val="007D0764"/>
    <w:rsid w:val="007D0851"/>
    <w:rsid w:val="007D08A1"/>
    <w:rsid w:val="007D0C48"/>
    <w:rsid w:val="007D0D90"/>
    <w:rsid w:val="007D0E47"/>
    <w:rsid w:val="007D0F16"/>
    <w:rsid w:val="007D11E0"/>
    <w:rsid w:val="007D12E2"/>
    <w:rsid w:val="007D133D"/>
    <w:rsid w:val="007D14DE"/>
    <w:rsid w:val="007D1525"/>
    <w:rsid w:val="007D1660"/>
    <w:rsid w:val="007D1779"/>
    <w:rsid w:val="007D18C7"/>
    <w:rsid w:val="007D18DD"/>
    <w:rsid w:val="007D197F"/>
    <w:rsid w:val="007D1992"/>
    <w:rsid w:val="007D1B84"/>
    <w:rsid w:val="007D1BC6"/>
    <w:rsid w:val="007D1BE2"/>
    <w:rsid w:val="007D1E0B"/>
    <w:rsid w:val="007D1EA5"/>
    <w:rsid w:val="007D1EBC"/>
    <w:rsid w:val="007D20A2"/>
    <w:rsid w:val="007D20DB"/>
    <w:rsid w:val="007D2135"/>
    <w:rsid w:val="007D21D5"/>
    <w:rsid w:val="007D24E4"/>
    <w:rsid w:val="007D2665"/>
    <w:rsid w:val="007D2746"/>
    <w:rsid w:val="007D2B29"/>
    <w:rsid w:val="007D2E2D"/>
    <w:rsid w:val="007D2F60"/>
    <w:rsid w:val="007D3063"/>
    <w:rsid w:val="007D31E9"/>
    <w:rsid w:val="007D3247"/>
    <w:rsid w:val="007D328F"/>
    <w:rsid w:val="007D32AD"/>
    <w:rsid w:val="007D3324"/>
    <w:rsid w:val="007D3327"/>
    <w:rsid w:val="007D338E"/>
    <w:rsid w:val="007D33B0"/>
    <w:rsid w:val="007D34AC"/>
    <w:rsid w:val="007D352C"/>
    <w:rsid w:val="007D35A8"/>
    <w:rsid w:val="007D3651"/>
    <w:rsid w:val="007D3677"/>
    <w:rsid w:val="007D3826"/>
    <w:rsid w:val="007D3D52"/>
    <w:rsid w:val="007D3DBB"/>
    <w:rsid w:val="007D3DD4"/>
    <w:rsid w:val="007D3FB7"/>
    <w:rsid w:val="007D3FF6"/>
    <w:rsid w:val="007D406B"/>
    <w:rsid w:val="007D4242"/>
    <w:rsid w:val="007D4290"/>
    <w:rsid w:val="007D42BD"/>
    <w:rsid w:val="007D4317"/>
    <w:rsid w:val="007D4326"/>
    <w:rsid w:val="007D4347"/>
    <w:rsid w:val="007D43B1"/>
    <w:rsid w:val="007D459E"/>
    <w:rsid w:val="007D465B"/>
    <w:rsid w:val="007D4794"/>
    <w:rsid w:val="007D4862"/>
    <w:rsid w:val="007D48DB"/>
    <w:rsid w:val="007D48E9"/>
    <w:rsid w:val="007D4901"/>
    <w:rsid w:val="007D490F"/>
    <w:rsid w:val="007D49C0"/>
    <w:rsid w:val="007D4BAC"/>
    <w:rsid w:val="007D4D2E"/>
    <w:rsid w:val="007D4D6A"/>
    <w:rsid w:val="007D4E6A"/>
    <w:rsid w:val="007D4EFA"/>
    <w:rsid w:val="007D4EFC"/>
    <w:rsid w:val="007D4F5E"/>
    <w:rsid w:val="007D4F65"/>
    <w:rsid w:val="007D4FA8"/>
    <w:rsid w:val="007D5194"/>
    <w:rsid w:val="007D5209"/>
    <w:rsid w:val="007D5406"/>
    <w:rsid w:val="007D58C7"/>
    <w:rsid w:val="007D5924"/>
    <w:rsid w:val="007D5A5B"/>
    <w:rsid w:val="007D5A68"/>
    <w:rsid w:val="007D5B5F"/>
    <w:rsid w:val="007D5BC6"/>
    <w:rsid w:val="007D5D59"/>
    <w:rsid w:val="007D5D9A"/>
    <w:rsid w:val="007D5DA5"/>
    <w:rsid w:val="007D5E7D"/>
    <w:rsid w:val="007D5EFE"/>
    <w:rsid w:val="007D5F2C"/>
    <w:rsid w:val="007D5FC5"/>
    <w:rsid w:val="007D614B"/>
    <w:rsid w:val="007D6156"/>
    <w:rsid w:val="007D6171"/>
    <w:rsid w:val="007D61FD"/>
    <w:rsid w:val="007D6205"/>
    <w:rsid w:val="007D625E"/>
    <w:rsid w:val="007D643A"/>
    <w:rsid w:val="007D6510"/>
    <w:rsid w:val="007D654F"/>
    <w:rsid w:val="007D65E1"/>
    <w:rsid w:val="007D667F"/>
    <w:rsid w:val="007D6793"/>
    <w:rsid w:val="007D67F5"/>
    <w:rsid w:val="007D6AB8"/>
    <w:rsid w:val="007D6B9F"/>
    <w:rsid w:val="007D6C63"/>
    <w:rsid w:val="007D6DD4"/>
    <w:rsid w:val="007D6ED9"/>
    <w:rsid w:val="007D6F28"/>
    <w:rsid w:val="007D7195"/>
    <w:rsid w:val="007D7224"/>
    <w:rsid w:val="007D7287"/>
    <w:rsid w:val="007D7498"/>
    <w:rsid w:val="007D74DB"/>
    <w:rsid w:val="007D7568"/>
    <w:rsid w:val="007D75D2"/>
    <w:rsid w:val="007D766D"/>
    <w:rsid w:val="007D768A"/>
    <w:rsid w:val="007D7716"/>
    <w:rsid w:val="007D7973"/>
    <w:rsid w:val="007D7988"/>
    <w:rsid w:val="007D7B25"/>
    <w:rsid w:val="007D7BC4"/>
    <w:rsid w:val="007D7E32"/>
    <w:rsid w:val="007D7F15"/>
    <w:rsid w:val="007E02CF"/>
    <w:rsid w:val="007E03C5"/>
    <w:rsid w:val="007E0471"/>
    <w:rsid w:val="007E0683"/>
    <w:rsid w:val="007E070D"/>
    <w:rsid w:val="007E0771"/>
    <w:rsid w:val="007E0794"/>
    <w:rsid w:val="007E07EF"/>
    <w:rsid w:val="007E0950"/>
    <w:rsid w:val="007E097F"/>
    <w:rsid w:val="007E09E9"/>
    <w:rsid w:val="007E0A6C"/>
    <w:rsid w:val="007E0B14"/>
    <w:rsid w:val="007E0C79"/>
    <w:rsid w:val="007E0D2B"/>
    <w:rsid w:val="007E0D37"/>
    <w:rsid w:val="007E0DEF"/>
    <w:rsid w:val="007E0E73"/>
    <w:rsid w:val="007E0F25"/>
    <w:rsid w:val="007E1280"/>
    <w:rsid w:val="007E1333"/>
    <w:rsid w:val="007E1335"/>
    <w:rsid w:val="007E14AC"/>
    <w:rsid w:val="007E15A2"/>
    <w:rsid w:val="007E163D"/>
    <w:rsid w:val="007E1769"/>
    <w:rsid w:val="007E1974"/>
    <w:rsid w:val="007E1A9E"/>
    <w:rsid w:val="007E1BEE"/>
    <w:rsid w:val="007E1CD0"/>
    <w:rsid w:val="007E1D4C"/>
    <w:rsid w:val="007E1DB2"/>
    <w:rsid w:val="007E1DE0"/>
    <w:rsid w:val="007E1E44"/>
    <w:rsid w:val="007E1F72"/>
    <w:rsid w:val="007E20FF"/>
    <w:rsid w:val="007E2190"/>
    <w:rsid w:val="007E23F6"/>
    <w:rsid w:val="007E2517"/>
    <w:rsid w:val="007E28D2"/>
    <w:rsid w:val="007E2A3A"/>
    <w:rsid w:val="007E2ADE"/>
    <w:rsid w:val="007E2C27"/>
    <w:rsid w:val="007E2C31"/>
    <w:rsid w:val="007E2C79"/>
    <w:rsid w:val="007E2D45"/>
    <w:rsid w:val="007E2EBB"/>
    <w:rsid w:val="007E3061"/>
    <w:rsid w:val="007E32E6"/>
    <w:rsid w:val="007E32F9"/>
    <w:rsid w:val="007E33DA"/>
    <w:rsid w:val="007E346A"/>
    <w:rsid w:val="007E36B1"/>
    <w:rsid w:val="007E375C"/>
    <w:rsid w:val="007E38B2"/>
    <w:rsid w:val="007E38B4"/>
    <w:rsid w:val="007E38B6"/>
    <w:rsid w:val="007E38DD"/>
    <w:rsid w:val="007E396C"/>
    <w:rsid w:val="007E3EA2"/>
    <w:rsid w:val="007E4188"/>
    <w:rsid w:val="007E4268"/>
    <w:rsid w:val="007E4274"/>
    <w:rsid w:val="007E44DF"/>
    <w:rsid w:val="007E46C4"/>
    <w:rsid w:val="007E46F4"/>
    <w:rsid w:val="007E4953"/>
    <w:rsid w:val="007E4A8D"/>
    <w:rsid w:val="007E4B17"/>
    <w:rsid w:val="007E4CA2"/>
    <w:rsid w:val="007E4D1D"/>
    <w:rsid w:val="007E4D9E"/>
    <w:rsid w:val="007E4ECC"/>
    <w:rsid w:val="007E5106"/>
    <w:rsid w:val="007E510A"/>
    <w:rsid w:val="007E5263"/>
    <w:rsid w:val="007E52B6"/>
    <w:rsid w:val="007E5360"/>
    <w:rsid w:val="007E54E4"/>
    <w:rsid w:val="007E55B3"/>
    <w:rsid w:val="007E55C2"/>
    <w:rsid w:val="007E5663"/>
    <w:rsid w:val="007E5690"/>
    <w:rsid w:val="007E56BD"/>
    <w:rsid w:val="007E56E8"/>
    <w:rsid w:val="007E56EA"/>
    <w:rsid w:val="007E57BD"/>
    <w:rsid w:val="007E5923"/>
    <w:rsid w:val="007E59AE"/>
    <w:rsid w:val="007E5A43"/>
    <w:rsid w:val="007E5A46"/>
    <w:rsid w:val="007E5B96"/>
    <w:rsid w:val="007E5D86"/>
    <w:rsid w:val="007E5DA6"/>
    <w:rsid w:val="007E5F5D"/>
    <w:rsid w:val="007E60EE"/>
    <w:rsid w:val="007E616B"/>
    <w:rsid w:val="007E6408"/>
    <w:rsid w:val="007E6453"/>
    <w:rsid w:val="007E6676"/>
    <w:rsid w:val="007E69C3"/>
    <w:rsid w:val="007E6A7A"/>
    <w:rsid w:val="007E6BD9"/>
    <w:rsid w:val="007E6CB6"/>
    <w:rsid w:val="007E6D9B"/>
    <w:rsid w:val="007E6E43"/>
    <w:rsid w:val="007E71C2"/>
    <w:rsid w:val="007E72FB"/>
    <w:rsid w:val="007E73A8"/>
    <w:rsid w:val="007E7464"/>
    <w:rsid w:val="007E7594"/>
    <w:rsid w:val="007E76AB"/>
    <w:rsid w:val="007E7780"/>
    <w:rsid w:val="007E78B5"/>
    <w:rsid w:val="007E7A58"/>
    <w:rsid w:val="007E7A97"/>
    <w:rsid w:val="007E7BCD"/>
    <w:rsid w:val="007E7D85"/>
    <w:rsid w:val="007E7DE7"/>
    <w:rsid w:val="007E7EDB"/>
    <w:rsid w:val="007E7FF9"/>
    <w:rsid w:val="007F00BA"/>
    <w:rsid w:val="007F0232"/>
    <w:rsid w:val="007F0472"/>
    <w:rsid w:val="007F04C2"/>
    <w:rsid w:val="007F054D"/>
    <w:rsid w:val="007F06DE"/>
    <w:rsid w:val="007F0796"/>
    <w:rsid w:val="007F07A1"/>
    <w:rsid w:val="007F08B7"/>
    <w:rsid w:val="007F0C84"/>
    <w:rsid w:val="007F0CAC"/>
    <w:rsid w:val="007F0D25"/>
    <w:rsid w:val="007F0E87"/>
    <w:rsid w:val="007F0FCF"/>
    <w:rsid w:val="007F1158"/>
    <w:rsid w:val="007F11CC"/>
    <w:rsid w:val="007F133E"/>
    <w:rsid w:val="007F1430"/>
    <w:rsid w:val="007F15DF"/>
    <w:rsid w:val="007F16AC"/>
    <w:rsid w:val="007F1952"/>
    <w:rsid w:val="007F19C3"/>
    <w:rsid w:val="007F19D7"/>
    <w:rsid w:val="007F1B37"/>
    <w:rsid w:val="007F1D06"/>
    <w:rsid w:val="007F1D0D"/>
    <w:rsid w:val="007F1D38"/>
    <w:rsid w:val="007F1DFA"/>
    <w:rsid w:val="007F1E48"/>
    <w:rsid w:val="007F1FE2"/>
    <w:rsid w:val="007F204E"/>
    <w:rsid w:val="007F2170"/>
    <w:rsid w:val="007F21BA"/>
    <w:rsid w:val="007F225E"/>
    <w:rsid w:val="007F2416"/>
    <w:rsid w:val="007F2509"/>
    <w:rsid w:val="007F2552"/>
    <w:rsid w:val="007F26B1"/>
    <w:rsid w:val="007F2721"/>
    <w:rsid w:val="007F2772"/>
    <w:rsid w:val="007F27BB"/>
    <w:rsid w:val="007F2927"/>
    <w:rsid w:val="007F2AD6"/>
    <w:rsid w:val="007F2B2C"/>
    <w:rsid w:val="007F2BD1"/>
    <w:rsid w:val="007F2C7D"/>
    <w:rsid w:val="007F2D85"/>
    <w:rsid w:val="007F2D9E"/>
    <w:rsid w:val="007F2DCD"/>
    <w:rsid w:val="007F2DF8"/>
    <w:rsid w:val="007F2E4F"/>
    <w:rsid w:val="007F2EFD"/>
    <w:rsid w:val="007F2F4E"/>
    <w:rsid w:val="007F2FC5"/>
    <w:rsid w:val="007F312B"/>
    <w:rsid w:val="007F318C"/>
    <w:rsid w:val="007F31C0"/>
    <w:rsid w:val="007F323C"/>
    <w:rsid w:val="007F332E"/>
    <w:rsid w:val="007F3B03"/>
    <w:rsid w:val="007F3B06"/>
    <w:rsid w:val="007F3B15"/>
    <w:rsid w:val="007F3B2E"/>
    <w:rsid w:val="007F3C27"/>
    <w:rsid w:val="007F3C36"/>
    <w:rsid w:val="007F414F"/>
    <w:rsid w:val="007F41BC"/>
    <w:rsid w:val="007F4222"/>
    <w:rsid w:val="007F42BC"/>
    <w:rsid w:val="007F42D8"/>
    <w:rsid w:val="007F4351"/>
    <w:rsid w:val="007F440E"/>
    <w:rsid w:val="007F4412"/>
    <w:rsid w:val="007F44FF"/>
    <w:rsid w:val="007F477C"/>
    <w:rsid w:val="007F47AF"/>
    <w:rsid w:val="007F48B4"/>
    <w:rsid w:val="007F498F"/>
    <w:rsid w:val="007F49A3"/>
    <w:rsid w:val="007F4A78"/>
    <w:rsid w:val="007F4AA5"/>
    <w:rsid w:val="007F4C05"/>
    <w:rsid w:val="007F4E5C"/>
    <w:rsid w:val="007F4E6A"/>
    <w:rsid w:val="007F4F47"/>
    <w:rsid w:val="007F4F77"/>
    <w:rsid w:val="007F5005"/>
    <w:rsid w:val="007F50D3"/>
    <w:rsid w:val="007F5105"/>
    <w:rsid w:val="007F5140"/>
    <w:rsid w:val="007F515E"/>
    <w:rsid w:val="007F533C"/>
    <w:rsid w:val="007F5504"/>
    <w:rsid w:val="007F556A"/>
    <w:rsid w:val="007F557B"/>
    <w:rsid w:val="007F5653"/>
    <w:rsid w:val="007F5666"/>
    <w:rsid w:val="007F570D"/>
    <w:rsid w:val="007F5818"/>
    <w:rsid w:val="007F58A4"/>
    <w:rsid w:val="007F58BC"/>
    <w:rsid w:val="007F58FE"/>
    <w:rsid w:val="007F5939"/>
    <w:rsid w:val="007F5A03"/>
    <w:rsid w:val="007F5AA2"/>
    <w:rsid w:val="007F5BD9"/>
    <w:rsid w:val="007F5CEB"/>
    <w:rsid w:val="007F5D93"/>
    <w:rsid w:val="007F5E24"/>
    <w:rsid w:val="007F5E3B"/>
    <w:rsid w:val="007F5E8D"/>
    <w:rsid w:val="007F5EC1"/>
    <w:rsid w:val="007F5EEB"/>
    <w:rsid w:val="007F5F94"/>
    <w:rsid w:val="007F5FAE"/>
    <w:rsid w:val="007F6022"/>
    <w:rsid w:val="007F607D"/>
    <w:rsid w:val="007F6253"/>
    <w:rsid w:val="007F65CC"/>
    <w:rsid w:val="007F660B"/>
    <w:rsid w:val="007F66EC"/>
    <w:rsid w:val="007F671C"/>
    <w:rsid w:val="007F67B0"/>
    <w:rsid w:val="007F67FC"/>
    <w:rsid w:val="007F6879"/>
    <w:rsid w:val="007F69BA"/>
    <w:rsid w:val="007F6ADB"/>
    <w:rsid w:val="007F6C0B"/>
    <w:rsid w:val="007F6D28"/>
    <w:rsid w:val="007F6D55"/>
    <w:rsid w:val="007F6E1E"/>
    <w:rsid w:val="007F6E3D"/>
    <w:rsid w:val="007F7059"/>
    <w:rsid w:val="007F725C"/>
    <w:rsid w:val="007F731F"/>
    <w:rsid w:val="007F73CD"/>
    <w:rsid w:val="007F7514"/>
    <w:rsid w:val="007F77BB"/>
    <w:rsid w:val="007F78DB"/>
    <w:rsid w:val="007F791F"/>
    <w:rsid w:val="007F7A23"/>
    <w:rsid w:val="007F7E7C"/>
    <w:rsid w:val="007F7F37"/>
    <w:rsid w:val="007F7FC5"/>
    <w:rsid w:val="008001F0"/>
    <w:rsid w:val="0080020C"/>
    <w:rsid w:val="0080033D"/>
    <w:rsid w:val="0080033F"/>
    <w:rsid w:val="0080039C"/>
    <w:rsid w:val="00800518"/>
    <w:rsid w:val="008005B2"/>
    <w:rsid w:val="008005D6"/>
    <w:rsid w:val="00800845"/>
    <w:rsid w:val="00800953"/>
    <w:rsid w:val="008009F7"/>
    <w:rsid w:val="00800ACF"/>
    <w:rsid w:val="00800B7D"/>
    <w:rsid w:val="00800BB4"/>
    <w:rsid w:val="00800D54"/>
    <w:rsid w:val="00800E4A"/>
    <w:rsid w:val="00800E4E"/>
    <w:rsid w:val="00800E82"/>
    <w:rsid w:val="00800ECD"/>
    <w:rsid w:val="00800FFB"/>
    <w:rsid w:val="0080159F"/>
    <w:rsid w:val="008015A2"/>
    <w:rsid w:val="008016D3"/>
    <w:rsid w:val="008016E5"/>
    <w:rsid w:val="00801730"/>
    <w:rsid w:val="0080177A"/>
    <w:rsid w:val="008017D1"/>
    <w:rsid w:val="00801C0B"/>
    <w:rsid w:val="008021B6"/>
    <w:rsid w:val="0080227F"/>
    <w:rsid w:val="00802397"/>
    <w:rsid w:val="008023F4"/>
    <w:rsid w:val="008024DB"/>
    <w:rsid w:val="008025DB"/>
    <w:rsid w:val="008025F2"/>
    <w:rsid w:val="00802820"/>
    <w:rsid w:val="0080285E"/>
    <w:rsid w:val="008028BF"/>
    <w:rsid w:val="00802A5C"/>
    <w:rsid w:val="00802D1D"/>
    <w:rsid w:val="00802DFF"/>
    <w:rsid w:val="00802E26"/>
    <w:rsid w:val="00802FB5"/>
    <w:rsid w:val="00803014"/>
    <w:rsid w:val="008031FB"/>
    <w:rsid w:val="0080326E"/>
    <w:rsid w:val="008034D2"/>
    <w:rsid w:val="0080372A"/>
    <w:rsid w:val="008037DF"/>
    <w:rsid w:val="00803951"/>
    <w:rsid w:val="00803A39"/>
    <w:rsid w:val="00803A3E"/>
    <w:rsid w:val="00803B5C"/>
    <w:rsid w:val="00803B98"/>
    <w:rsid w:val="00803C18"/>
    <w:rsid w:val="00804094"/>
    <w:rsid w:val="00804103"/>
    <w:rsid w:val="008042D3"/>
    <w:rsid w:val="00804380"/>
    <w:rsid w:val="00804489"/>
    <w:rsid w:val="00804586"/>
    <w:rsid w:val="0080485A"/>
    <w:rsid w:val="008048B0"/>
    <w:rsid w:val="00804975"/>
    <w:rsid w:val="008049A4"/>
    <w:rsid w:val="008049E7"/>
    <w:rsid w:val="00804CB6"/>
    <w:rsid w:val="00804D8B"/>
    <w:rsid w:val="00804E0D"/>
    <w:rsid w:val="00804E56"/>
    <w:rsid w:val="00804EC8"/>
    <w:rsid w:val="00804EE1"/>
    <w:rsid w:val="00804F87"/>
    <w:rsid w:val="00804F91"/>
    <w:rsid w:val="00805037"/>
    <w:rsid w:val="0080511D"/>
    <w:rsid w:val="00805126"/>
    <w:rsid w:val="008051EF"/>
    <w:rsid w:val="00805401"/>
    <w:rsid w:val="00805548"/>
    <w:rsid w:val="008056A0"/>
    <w:rsid w:val="00805767"/>
    <w:rsid w:val="008057C8"/>
    <w:rsid w:val="00805800"/>
    <w:rsid w:val="0080592C"/>
    <w:rsid w:val="00805960"/>
    <w:rsid w:val="00805D1C"/>
    <w:rsid w:val="00805F98"/>
    <w:rsid w:val="008060E1"/>
    <w:rsid w:val="0080615F"/>
    <w:rsid w:val="008061AB"/>
    <w:rsid w:val="008062E4"/>
    <w:rsid w:val="0080637F"/>
    <w:rsid w:val="00806415"/>
    <w:rsid w:val="008065EA"/>
    <w:rsid w:val="0080663E"/>
    <w:rsid w:val="00806676"/>
    <w:rsid w:val="00806860"/>
    <w:rsid w:val="008068A6"/>
    <w:rsid w:val="00806A5C"/>
    <w:rsid w:val="00806ADF"/>
    <w:rsid w:val="00806B70"/>
    <w:rsid w:val="00806CBB"/>
    <w:rsid w:val="00806D10"/>
    <w:rsid w:val="00806DEF"/>
    <w:rsid w:val="00806F73"/>
    <w:rsid w:val="00806F9B"/>
    <w:rsid w:val="00806FBB"/>
    <w:rsid w:val="00807270"/>
    <w:rsid w:val="00807323"/>
    <w:rsid w:val="008073DD"/>
    <w:rsid w:val="00807449"/>
    <w:rsid w:val="00807560"/>
    <w:rsid w:val="00807578"/>
    <w:rsid w:val="00807623"/>
    <w:rsid w:val="0080764B"/>
    <w:rsid w:val="008076F1"/>
    <w:rsid w:val="00807739"/>
    <w:rsid w:val="00807799"/>
    <w:rsid w:val="00807903"/>
    <w:rsid w:val="008079D1"/>
    <w:rsid w:val="00807B10"/>
    <w:rsid w:val="00807BDD"/>
    <w:rsid w:val="00807C49"/>
    <w:rsid w:val="00807CBE"/>
    <w:rsid w:val="00807D8C"/>
    <w:rsid w:val="00807EF2"/>
    <w:rsid w:val="00807F54"/>
    <w:rsid w:val="00807FDB"/>
    <w:rsid w:val="00807FEE"/>
    <w:rsid w:val="0081002A"/>
    <w:rsid w:val="00810105"/>
    <w:rsid w:val="00810197"/>
    <w:rsid w:val="0081021F"/>
    <w:rsid w:val="00810276"/>
    <w:rsid w:val="008103F3"/>
    <w:rsid w:val="008104EC"/>
    <w:rsid w:val="008105A4"/>
    <w:rsid w:val="008105EB"/>
    <w:rsid w:val="0081070C"/>
    <w:rsid w:val="0081071D"/>
    <w:rsid w:val="008107CF"/>
    <w:rsid w:val="0081086F"/>
    <w:rsid w:val="008109C2"/>
    <w:rsid w:val="008109DD"/>
    <w:rsid w:val="00810ADC"/>
    <w:rsid w:val="00810B3A"/>
    <w:rsid w:val="00810BE8"/>
    <w:rsid w:val="00810D3A"/>
    <w:rsid w:val="00811029"/>
    <w:rsid w:val="0081122C"/>
    <w:rsid w:val="00811254"/>
    <w:rsid w:val="008112B8"/>
    <w:rsid w:val="0081132D"/>
    <w:rsid w:val="008113A3"/>
    <w:rsid w:val="008113A9"/>
    <w:rsid w:val="0081144B"/>
    <w:rsid w:val="0081164B"/>
    <w:rsid w:val="00811892"/>
    <w:rsid w:val="0081197E"/>
    <w:rsid w:val="0081198B"/>
    <w:rsid w:val="00811B57"/>
    <w:rsid w:val="00811BAE"/>
    <w:rsid w:val="00811CBC"/>
    <w:rsid w:val="00811F0B"/>
    <w:rsid w:val="00811F33"/>
    <w:rsid w:val="00812024"/>
    <w:rsid w:val="0081206D"/>
    <w:rsid w:val="008120D0"/>
    <w:rsid w:val="00812104"/>
    <w:rsid w:val="00812323"/>
    <w:rsid w:val="00812580"/>
    <w:rsid w:val="0081261A"/>
    <w:rsid w:val="008127A5"/>
    <w:rsid w:val="00812993"/>
    <w:rsid w:val="00812A0B"/>
    <w:rsid w:val="00812A28"/>
    <w:rsid w:val="00812A98"/>
    <w:rsid w:val="00812BCE"/>
    <w:rsid w:val="00812BE3"/>
    <w:rsid w:val="00812C70"/>
    <w:rsid w:val="00812D85"/>
    <w:rsid w:val="00812E69"/>
    <w:rsid w:val="00812E78"/>
    <w:rsid w:val="00812EB7"/>
    <w:rsid w:val="00812EC3"/>
    <w:rsid w:val="00812F8A"/>
    <w:rsid w:val="00813133"/>
    <w:rsid w:val="008131B2"/>
    <w:rsid w:val="008132BD"/>
    <w:rsid w:val="00813312"/>
    <w:rsid w:val="00813362"/>
    <w:rsid w:val="00813376"/>
    <w:rsid w:val="008133B2"/>
    <w:rsid w:val="008135B3"/>
    <w:rsid w:val="008135B8"/>
    <w:rsid w:val="00813763"/>
    <w:rsid w:val="00813798"/>
    <w:rsid w:val="008138E4"/>
    <w:rsid w:val="008139F1"/>
    <w:rsid w:val="00813AB4"/>
    <w:rsid w:val="00813CA2"/>
    <w:rsid w:val="00813D00"/>
    <w:rsid w:val="00813D2D"/>
    <w:rsid w:val="00813E7E"/>
    <w:rsid w:val="00814007"/>
    <w:rsid w:val="00814038"/>
    <w:rsid w:val="008142CB"/>
    <w:rsid w:val="0081450E"/>
    <w:rsid w:val="0081451B"/>
    <w:rsid w:val="008145C3"/>
    <w:rsid w:val="008146AA"/>
    <w:rsid w:val="0081471A"/>
    <w:rsid w:val="00814753"/>
    <w:rsid w:val="008147DD"/>
    <w:rsid w:val="00814A3E"/>
    <w:rsid w:val="00814B55"/>
    <w:rsid w:val="00814B90"/>
    <w:rsid w:val="00814C17"/>
    <w:rsid w:val="00814C8F"/>
    <w:rsid w:val="00814D6D"/>
    <w:rsid w:val="00814EBE"/>
    <w:rsid w:val="00815259"/>
    <w:rsid w:val="0081540D"/>
    <w:rsid w:val="0081561C"/>
    <w:rsid w:val="00815791"/>
    <w:rsid w:val="008157DE"/>
    <w:rsid w:val="0081586C"/>
    <w:rsid w:val="0081596D"/>
    <w:rsid w:val="0081598C"/>
    <w:rsid w:val="008159ED"/>
    <w:rsid w:val="00815CF2"/>
    <w:rsid w:val="00815DC8"/>
    <w:rsid w:val="00816413"/>
    <w:rsid w:val="0081644D"/>
    <w:rsid w:val="008164D2"/>
    <w:rsid w:val="00816614"/>
    <w:rsid w:val="008166A7"/>
    <w:rsid w:val="0081670D"/>
    <w:rsid w:val="008167A1"/>
    <w:rsid w:val="008167FA"/>
    <w:rsid w:val="00816826"/>
    <w:rsid w:val="00816847"/>
    <w:rsid w:val="008168B8"/>
    <w:rsid w:val="00816B72"/>
    <w:rsid w:val="00816C09"/>
    <w:rsid w:val="00816C23"/>
    <w:rsid w:val="00816C57"/>
    <w:rsid w:val="00816D0F"/>
    <w:rsid w:val="00816D53"/>
    <w:rsid w:val="00816EEB"/>
    <w:rsid w:val="00816F07"/>
    <w:rsid w:val="0081706B"/>
    <w:rsid w:val="008174DC"/>
    <w:rsid w:val="008176CD"/>
    <w:rsid w:val="0081775A"/>
    <w:rsid w:val="008178C7"/>
    <w:rsid w:val="00817A78"/>
    <w:rsid w:val="00817AAE"/>
    <w:rsid w:val="00817B81"/>
    <w:rsid w:val="00817CA6"/>
    <w:rsid w:val="00817E76"/>
    <w:rsid w:val="0082007E"/>
    <w:rsid w:val="00820117"/>
    <w:rsid w:val="0082016A"/>
    <w:rsid w:val="00820174"/>
    <w:rsid w:val="0082027B"/>
    <w:rsid w:val="00820294"/>
    <w:rsid w:val="00820311"/>
    <w:rsid w:val="008205B9"/>
    <w:rsid w:val="00820728"/>
    <w:rsid w:val="0082075D"/>
    <w:rsid w:val="0082076C"/>
    <w:rsid w:val="0082086C"/>
    <w:rsid w:val="0082092A"/>
    <w:rsid w:val="00820B84"/>
    <w:rsid w:val="00820C43"/>
    <w:rsid w:val="00820D5F"/>
    <w:rsid w:val="00820DF5"/>
    <w:rsid w:val="00820E70"/>
    <w:rsid w:val="00820EED"/>
    <w:rsid w:val="00820F1F"/>
    <w:rsid w:val="008210F3"/>
    <w:rsid w:val="0082126A"/>
    <w:rsid w:val="008213A3"/>
    <w:rsid w:val="00821570"/>
    <w:rsid w:val="00821675"/>
    <w:rsid w:val="0082175A"/>
    <w:rsid w:val="008217CC"/>
    <w:rsid w:val="008218B3"/>
    <w:rsid w:val="008219B9"/>
    <w:rsid w:val="00821A1E"/>
    <w:rsid w:val="00821B34"/>
    <w:rsid w:val="00821EB6"/>
    <w:rsid w:val="00821EDD"/>
    <w:rsid w:val="00821FFA"/>
    <w:rsid w:val="008220CD"/>
    <w:rsid w:val="0082220C"/>
    <w:rsid w:val="00822400"/>
    <w:rsid w:val="00822523"/>
    <w:rsid w:val="00822627"/>
    <w:rsid w:val="00822C13"/>
    <w:rsid w:val="00822CC3"/>
    <w:rsid w:val="00822D39"/>
    <w:rsid w:val="00822E17"/>
    <w:rsid w:val="00822E76"/>
    <w:rsid w:val="00822ED9"/>
    <w:rsid w:val="00822F30"/>
    <w:rsid w:val="00822F44"/>
    <w:rsid w:val="00822F5C"/>
    <w:rsid w:val="00822FF0"/>
    <w:rsid w:val="00823006"/>
    <w:rsid w:val="00823018"/>
    <w:rsid w:val="008230DC"/>
    <w:rsid w:val="008230DE"/>
    <w:rsid w:val="00823165"/>
    <w:rsid w:val="008231D4"/>
    <w:rsid w:val="00823253"/>
    <w:rsid w:val="008232DF"/>
    <w:rsid w:val="008233AA"/>
    <w:rsid w:val="008233F8"/>
    <w:rsid w:val="0082342C"/>
    <w:rsid w:val="00823466"/>
    <w:rsid w:val="00823468"/>
    <w:rsid w:val="008236B6"/>
    <w:rsid w:val="008237A9"/>
    <w:rsid w:val="008237C6"/>
    <w:rsid w:val="00823808"/>
    <w:rsid w:val="0082382C"/>
    <w:rsid w:val="008238F0"/>
    <w:rsid w:val="00823934"/>
    <w:rsid w:val="008239F2"/>
    <w:rsid w:val="00823B57"/>
    <w:rsid w:val="00823BD5"/>
    <w:rsid w:val="00823C69"/>
    <w:rsid w:val="00823DE1"/>
    <w:rsid w:val="00823E58"/>
    <w:rsid w:val="00824126"/>
    <w:rsid w:val="0082412D"/>
    <w:rsid w:val="008241B4"/>
    <w:rsid w:val="008241DE"/>
    <w:rsid w:val="0082421D"/>
    <w:rsid w:val="008242E9"/>
    <w:rsid w:val="00824668"/>
    <w:rsid w:val="008246AF"/>
    <w:rsid w:val="008246EA"/>
    <w:rsid w:val="00824B64"/>
    <w:rsid w:val="00824B83"/>
    <w:rsid w:val="00824B85"/>
    <w:rsid w:val="00824CA1"/>
    <w:rsid w:val="00824CCF"/>
    <w:rsid w:val="00824CF2"/>
    <w:rsid w:val="00824E2D"/>
    <w:rsid w:val="00824F0F"/>
    <w:rsid w:val="00824F62"/>
    <w:rsid w:val="00825126"/>
    <w:rsid w:val="008251CD"/>
    <w:rsid w:val="008251FA"/>
    <w:rsid w:val="00825335"/>
    <w:rsid w:val="008253CD"/>
    <w:rsid w:val="00825495"/>
    <w:rsid w:val="008254F7"/>
    <w:rsid w:val="008255BE"/>
    <w:rsid w:val="008256B0"/>
    <w:rsid w:val="00825932"/>
    <w:rsid w:val="00825A82"/>
    <w:rsid w:val="00825B8C"/>
    <w:rsid w:val="00825C1D"/>
    <w:rsid w:val="00825C58"/>
    <w:rsid w:val="00825C5F"/>
    <w:rsid w:val="00825CDF"/>
    <w:rsid w:val="00825D62"/>
    <w:rsid w:val="00825DAC"/>
    <w:rsid w:val="00825E8D"/>
    <w:rsid w:val="00825FB9"/>
    <w:rsid w:val="00826192"/>
    <w:rsid w:val="008264DF"/>
    <w:rsid w:val="008267B7"/>
    <w:rsid w:val="008269F6"/>
    <w:rsid w:val="00826B8B"/>
    <w:rsid w:val="00826BAF"/>
    <w:rsid w:val="00826BDF"/>
    <w:rsid w:val="00826C1D"/>
    <w:rsid w:val="00826C49"/>
    <w:rsid w:val="00826C82"/>
    <w:rsid w:val="00826C8D"/>
    <w:rsid w:val="00826CA8"/>
    <w:rsid w:val="00826D64"/>
    <w:rsid w:val="00826E12"/>
    <w:rsid w:val="00826E7F"/>
    <w:rsid w:val="00826F8A"/>
    <w:rsid w:val="008272CE"/>
    <w:rsid w:val="008272D2"/>
    <w:rsid w:val="00827320"/>
    <w:rsid w:val="008274AE"/>
    <w:rsid w:val="008274F0"/>
    <w:rsid w:val="008275CD"/>
    <w:rsid w:val="008275DD"/>
    <w:rsid w:val="008276DF"/>
    <w:rsid w:val="0082774A"/>
    <w:rsid w:val="008277AF"/>
    <w:rsid w:val="008277C2"/>
    <w:rsid w:val="008277FA"/>
    <w:rsid w:val="0082786A"/>
    <w:rsid w:val="00827988"/>
    <w:rsid w:val="008279C0"/>
    <w:rsid w:val="00827AF6"/>
    <w:rsid w:val="00827B93"/>
    <w:rsid w:val="00827B96"/>
    <w:rsid w:val="00827DCF"/>
    <w:rsid w:val="00827DD2"/>
    <w:rsid w:val="00827DD6"/>
    <w:rsid w:val="00827F42"/>
    <w:rsid w:val="0083001D"/>
    <w:rsid w:val="00830123"/>
    <w:rsid w:val="008301DD"/>
    <w:rsid w:val="008302A6"/>
    <w:rsid w:val="00830617"/>
    <w:rsid w:val="008309F9"/>
    <w:rsid w:val="00830BB8"/>
    <w:rsid w:val="00830C26"/>
    <w:rsid w:val="00830E7A"/>
    <w:rsid w:val="00830EA7"/>
    <w:rsid w:val="00830F36"/>
    <w:rsid w:val="0083107F"/>
    <w:rsid w:val="008310FD"/>
    <w:rsid w:val="00831141"/>
    <w:rsid w:val="0083128B"/>
    <w:rsid w:val="00831332"/>
    <w:rsid w:val="00831377"/>
    <w:rsid w:val="008317E5"/>
    <w:rsid w:val="00831817"/>
    <w:rsid w:val="00831D92"/>
    <w:rsid w:val="00831EFB"/>
    <w:rsid w:val="00831F36"/>
    <w:rsid w:val="00831F4A"/>
    <w:rsid w:val="0083238A"/>
    <w:rsid w:val="0083245F"/>
    <w:rsid w:val="00832475"/>
    <w:rsid w:val="008324EE"/>
    <w:rsid w:val="00832533"/>
    <w:rsid w:val="00832629"/>
    <w:rsid w:val="008326DB"/>
    <w:rsid w:val="00832835"/>
    <w:rsid w:val="00832841"/>
    <w:rsid w:val="0083289C"/>
    <w:rsid w:val="008328F6"/>
    <w:rsid w:val="008328FB"/>
    <w:rsid w:val="00832C51"/>
    <w:rsid w:val="00832CAB"/>
    <w:rsid w:val="00832D30"/>
    <w:rsid w:val="00832E7E"/>
    <w:rsid w:val="00832FFB"/>
    <w:rsid w:val="0083315E"/>
    <w:rsid w:val="00833281"/>
    <w:rsid w:val="0083338D"/>
    <w:rsid w:val="0083342C"/>
    <w:rsid w:val="00833470"/>
    <w:rsid w:val="0083354C"/>
    <w:rsid w:val="008336E4"/>
    <w:rsid w:val="00833814"/>
    <w:rsid w:val="00833839"/>
    <w:rsid w:val="00833A3E"/>
    <w:rsid w:val="00833A8A"/>
    <w:rsid w:val="00833BDC"/>
    <w:rsid w:val="00833D1E"/>
    <w:rsid w:val="00833E08"/>
    <w:rsid w:val="008340B4"/>
    <w:rsid w:val="00834110"/>
    <w:rsid w:val="008343A7"/>
    <w:rsid w:val="0083441C"/>
    <w:rsid w:val="0083447D"/>
    <w:rsid w:val="00834507"/>
    <w:rsid w:val="008345AD"/>
    <w:rsid w:val="00834721"/>
    <w:rsid w:val="00834756"/>
    <w:rsid w:val="008347EA"/>
    <w:rsid w:val="00834894"/>
    <w:rsid w:val="00834998"/>
    <w:rsid w:val="00834A70"/>
    <w:rsid w:val="00834DFB"/>
    <w:rsid w:val="00834E34"/>
    <w:rsid w:val="00834EEB"/>
    <w:rsid w:val="00834F11"/>
    <w:rsid w:val="008350E7"/>
    <w:rsid w:val="0083516B"/>
    <w:rsid w:val="008351CE"/>
    <w:rsid w:val="00835223"/>
    <w:rsid w:val="0083535B"/>
    <w:rsid w:val="0083540F"/>
    <w:rsid w:val="00835504"/>
    <w:rsid w:val="00835585"/>
    <w:rsid w:val="008355C3"/>
    <w:rsid w:val="0083569B"/>
    <w:rsid w:val="008358DD"/>
    <w:rsid w:val="00835954"/>
    <w:rsid w:val="00835BAB"/>
    <w:rsid w:val="00835C8B"/>
    <w:rsid w:val="00835C91"/>
    <w:rsid w:val="00835CE3"/>
    <w:rsid w:val="00835D5F"/>
    <w:rsid w:val="00836103"/>
    <w:rsid w:val="00836268"/>
    <w:rsid w:val="00836274"/>
    <w:rsid w:val="008362B6"/>
    <w:rsid w:val="00836364"/>
    <w:rsid w:val="008363F3"/>
    <w:rsid w:val="00836416"/>
    <w:rsid w:val="00836535"/>
    <w:rsid w:val="0083655E"/>
    <w:rsid w:val="008365FE"/>
    <w:rsid w:val="00836762"/>
    <w:rsid w:val="0083676F"/>
    <w:rsid w:val="008368E4"/>
    <w:rsid w:val="00836B8F"/>
    <w:rsid w:val="00836BB8"/>
    <w:rsid w:val="00836BD6"/>
    <w:rsid w:val="00836C17"/>
    <w:rsid w:val="00836CC8"/>
    <w:rsid w:val="00836DF7"/>
    <w:rsid w:val="00836FAC"/>
    <w:rsid w:val="008370C4"/>
    <w:rsid w:val="0083716D"/>
    <w:rsid w:val="00837289"/>
    <w:rsid w:val="00837375"/>
    <w:rsid w:val="008375BC"/>
    <w:rsid w:val="008375CE"/>
    <w:rsid w:val="00837627"/>
    <w:rsid w:val="00837BA6"/>
    <w:rsid w:val="00837D9F"/>
    <w:rsid w:val="00837DA7"/>
    <w:rsid w:val="00837DB1"/>
    <w:rsid w:val="00837DF9"/>
    <w:rsid w:val="00837E38"/>
    <w:rsid w:val="00837F23"/>
    <w:rsid w:val="00837F98"/>
    <w:rsid w:val="008400A3"/>
    <w:rsid w:val="00840112"/>
    <w:rsid w:val="008402D4"/>
    <w:rsid w:val="00840377"/>
    <w:rsid w:val="008404AD"/>
    <w:rsid w:val="008404B0"/>
    <w:rsid w:val="00840589"/>
    <w:rsid w:val="0084061D"/>
    <w:rsid w:val="008407AD"/>
    <w:rsid w:val="00840841"/>
    <w:rsid w:val="008408A1"/>
    <w:rsid w:val="008409FA"/>
    <w:rsid w:val="00840AB2"/>
    <w:rsid w:val="00840ACF"/>
    <w:rsid w:val="00840C07"/>
    <w:rsid w:val="00840FE1"/>
    <w:rsid w:val="00841227"/>
    <w:rsid w:val="008413C1"/>
    <w:rsid w:val="00841466"/>
    <w:rsid w:val="008416BF"/>
    <w:rsid w:val="008417DF"/>
    <w:rsid w:val="0084188A"/>
    <w:rsid w:val="008418A2"/>
    <w:rsid w:val="008418B7"/>
    <w:rsid w:val="008418D9"/>
    <w:rsid w:val="00841997"/>
    <w:rsid w:val="00841BC5"/>
    <w:rsid w:val="00841C51"/>
    <w:rsid w:val="00841DEC"/>
    <w:rsid w:val="00841F0D"/>
    <w:rsid w:val="0084202E"/>
    <w:rsid w:val="00842417"/>
    <w:rsid w:val="008425E3"/>
    <w:rsid w:val="008428CA"/>
    <w:rsid w:val="008428DC"/>
    <w:rsid w:val="0084296F"/>
    <w:rsid w:val="00842AEF"/>
    <w:rsid w:val="00842B44"/>
    <w:rsid w:val="00842B7F"/>
    <w:rsid w:val="00842D1A"/>
    <w:rsid w:val="00842DA0"/>
    <w:rsid w:val="0084300D"/>
    <w:rsid w:val="00843156"/>
    <w:rsid w:val="00843222"/>
    <w:rsid w:val="00843256"/>
    <w:rsid w:val="008432EC"/>
    <w:rsid w:val="00843354"/>
    <w:rsid w:val="008435C5"/>
    <w:rsid w:val="008439BD"/>
    <w:rsid w:val="00843A92"/>
    <w:rsid w:val="00843AC7"/>
    <w:rsid w:val="00843B59"/>
    <w:rsid w:val="00843BC6"/>
    <w:rsid w:val="00843BF4"/>
    <w:rsid w:val="00843C6D"/>
    <w:rsid w:val="00843C78"/>
    <w:rsid w:val="00843D04"/>
    <w:rsid w:val="00843DA4"/>
    <w:rsid w:val="00843E6E"/>
    <w:rsid w:val="00843EBD"/>
    <w:rsid w:val="00843F71"/>
    <w:rsid w:val="00843FF6"/>
    <w:rsid w:val="00844202"/>
    <w:rsid w:val="00844333"/>
    <w:rsid w:val="00844426"/>
    <w:rsid w:val="00844631"/>
    <w:rsid w:val="00844730"/>
    <w:rsid w:val="00844823"/>
    <w:rsid w:val="0084491A"/>
    <w:rsid w:val="00844940"/>
    <w:rsid w:val="00844A0C"/>
    <w:rsid w:val="00844A96"/>
    <w:rsid w:val="00844BE6"/>
    <w:rsid w:val="00844D12"/>
    <w:rsid w:val="00844DB0"/>
    <w:rsid w:val="00844E34"/>
    <w:rsid w:val="00844EFE"/>
    <w:rsid w:val="00845214"/>
    <w:rsid w:val="0084528B"/>
    <w:rsid w:val="00845491"/>
    <w:rsid w:val="008454FA"/>
    <w:rsid w:val="00845539"/>
    <w:rsid w:val="00845690"/>
    <w:rsid w:val="008456BD"/>
    <w:rsid w:val="00845798"/>
    <w:rsid w:val="008458AA"/>
    <w:rsid w:val="008458B0"/>
    <w:rsid w:val="00845976"/>
    <w:rsid w:val="0084598D"/>
    <w:rsid w:val="00845A5F"/>
    <w:rsid w:val="00845ADA"/>
    <w:rsid w:val="00845B04"/>
    <w:rsid w:val="00845B17"/>
    <w:rsid w:val="00845D43"/>
    <w:rsid w:val="00845FC2"/>
    <w:rsid w:val="00846046"/>
    <w:rsid w:val="00846088"/>
    <w:rsid w:val="0084631A"/>
    <w:rsid w:val="008464B5"/>
    <w:rsid w:val="00846582"/>
    <w:rsid w:val="0084669F"/>
    <w:rsid w:val="00846888"/>
    <w:rsid w:val="00846B0A"/>
    <w:rsid w:val="00846B39"/>
    <w:rsid w:val="00846BCC"/>
    <w:rsid w:val="00846E2C"/>
    <w:rsid w:val="00846F36"/>
    <w:rsid w:val="008470DF"/>
    <w:rsid w:val="008470ED"/>
    <w:rsid w:val="00847118"/>
    <w:rsid w:val="008471B4"/>
    <w:rsid w:val="008472B9"/>
    <w:rsid w:val="00847388"/>
    <w:rsid w:val="00847406"/>
    <w:rsid w:val="008474A8"/>
    <w:rsid w:val="008474E1"/>
    <w:rsid w:val="0084759E"/>
    <w:rsid w:val="0084763D"/>
    <w:rsid w:val="008476BC"/>
    <w:rsid w:val="00847796"/>
    <w:rsid w:val="0084785A"/>
    <w:rsid w:val="00847887"/>
    <w:rsid w:val="00847941"/>
    <w:rsid w:val="00847AB9"/>
    <w:rsid w:val="00847AD3"/>
    <w:rsid w:val="00847B5D"/>
    <w:rsid w:val="00847C7C"/>
    <w:rsid w:val="00847E49"/>
    <w:rsid w:val="00847FA3"/>
    <w:rsid w:val="0084DBB9"/>
    <w:rsid w:val="0085011A"/>
    <w:rsid w:val="0085016E"/>
    <w:rsid w:val="008501BE"/>
    <w:rsid w:val="00850212"/>
    <w:rsid w:val="00850355"/>
    <w:rsid w:val="00850519"/>
    <w:rsid w:val="00850641"/>
    <w:rsid w:val="00850663"/>
    <w:rsid w:val="008507D8"/>
    <w:rsid w:val="00850873"/>
    <w:rsid w:val="00850964"/>
    <w:rsid w:val="008509D8"/>
    <w:rsid w:val="00850DA5"/>
    <w:rsid w:val="00850F92"/>
    <w:rsid w:val="00851031"/>
    <w:rsid w:val="0085118F"/>
    <w:rsid w:val="0085132B"/>
    <w:rsid w:val="0085137E"/>
    <w:rsid w:val="0085139F"/>
    <w:rsid w:val="008513E8"/>
    <w:rsid w:val="008513F8"/>
    <w:rsid w:val="00851594"/>
    <w:rsid w:val="008516DA"/>
    <w:rsid w:val="0085173E"/>
    <w:rsid w:val="00851870"/>
    <w:rsid w:val="0085188B"/>
    <w:rsid w:val="008518D4"/>
    <w:rsid w:val="00851A83"/>
    <w:rsid w:val="00851B34"/>
    <w:rsid w:val="00851B6F"/>
    <w:rsid w:val="00851C16"/>
    <w:rsid w:val="00851DF3"/>
    <w:rsid w:val="00851E18"/>
    <w:rsid w:val="00852053"/>
    <w:rsid w:val="008520F4"/>
    <w:rsid w:val="008522EE"/>
    <w:rsid w:val="00852305"/>
    <w:rsid w:val="008523C7"/>
    <w:rsid w:val="0085246A"/>
    <w:rsid w:val="00852472"/>
    <w:rsid w:val="008529D4"/>
    <w:rsid w:val="00852CD7"/>
    <w:rsid w:val="00852DB9"/>
    <w:rsid w:val="00852E59"/>
    <w:rsid w:val="00852E5C"/>
    <w:rsid w:val="00852E7E"/>
    <w:rsid w:val="00852FA5"/>
    <w:rsid w:val="00853113"/>
    <w:rsid w:val="00853275"/>
    <w:rsid w:val="008532EF"/>
    <w:rsid w:val="0085375D"/>
    <w:rsid w:val="00853939"/>
    <w:rsid w:val="0085393E"/>
    <w:rsid w:val="00853ABE"/>
    <w:rsid w:val="00853B6A"/>
    <w:rsid w:val="00853BBE"/>
    <w:rsid w:val="00853C73"/>
    <w:rsid w:val="00853C8E"/>
    <w:rsid w:val="00853E1B"/>
    <w:rsid w:val="00853E80"/>
    <w:rsid w:val="00853EF0"/>
    <w:rsid w:val="00854068"/>
    <w:rsid w:val="008541FF"/>
    <w:rsid w:val="00854353"/>
    <w:rsid w:val="008544A8"/>
    <w:rsid w:val="008544C9"/>
    <w:rsid w:val="00854555"/>
    <w:rsid w:val="00854637"/>
    <w:rsid w:val="0085482C"/>
    <w:rsid w:val="00854871"/>
    <w:rsid w:val="00854B1E"/>
    <w:rsid w:val="00854D14"/>
    <w:rsid w:val="00854F87"/>
    <w:rsid w:val="008550A8"/>
    <w:rsid w:val="00855114"/>
    <w:rsid w:val="008551D9"/>
    <w:rsid w:val="00855214"/>
    <w:rsid w:val="0085540B"/>
    <w:rsid w:val="00855579"/>
    <w:rsid w:val="00855731"/>
    <w:rsid w:val="00855C9E"/>
    <w:rsid w:val="00855CB2"/>
    <w:rsid w:val="00855CEB"/>
    <w:rsid w:val="00855D72"/>
    <w:rsid w:val="00855DD6"/>
    <w:rsid w:val="00855E0A"/>
    <w:rsid w:val="00855E9B"/>
    <w:rsid w:val="00856091"/>
    <w:rsid w:val="00856116"/>
    <w:rsid w:val="0085636C"/>
    <w:rsid w:val="00856435"/>
    <w:rsid w:val="008564ED"/>
    <w:rsid w:val="00856518"/>
    <w:rsid w:val="008565D6"/>
    <w:rsid w:val="008566C3"/>
    <w:rsid w:val="008567CE"/>
    <w:rsid w:val="008567D7"/>
    <w:rsid w:val="0085694D"/>
    <w:rsid w:val="00856A05"/>
    <w:rsid w:val="00856A19"/>
    <w:rsid w:val="00856A4F"/>
    <w:rsid w:val="00856A9B"/>
    <w:rsid w:val="00856C47"/>
    <w:rsid w:val="00856C61"/>
    <w:rsid w:val="00856CE4"/>
    <w:rsid w:val="00856D62"/>
    <w:rsid w:val="00856E81"/>
    <w:rsid w:val="00856EBA"/>
    <w:rsid w:val="00856F73"/>
    <w:rsid w:val="008571BE"/>
    <w:rsid w:val="00857240"/>
    <w:rsid w:val="0085727F"/>
    <w:rsid w:val="0085732D"/>
    <w:rsid w:val="008573BA"/>
    <w:rsid w:val="008575BF"/>
    <w:rsid w:val="0085789B"/>
    <w:rsid w:val="00857948"/>
    <w:rsid w:val="008579DE"/>
    <w:rsid w:val="008579FB"/>
    <w:rsid w:val="00857A97"/>
    <w:rsid w:val="00857B88"/>
    <w:rsid w:val="00857DFC"/>
    <w:rsid w:val="00857E24"/>
    <w:rsid w:val="00857E6F"/>
    <w:rsid w:val="00857EEB"/>
    <w:rsid w:val="00857F84"/>
    <w:rsid w:val="00860026"/>
    <w:rsid w:val="008602BC"/>
    <w:rsid w:val="00860385"/>
    <w:rsid w:val="008604A2"/>
    <w:rsid w:val="008605E1"/>
    <w:rsid w:val="0086062C"/>
    <w:rsid w:val="00860747"/>
    <w:rsid w:val="00860A00"/>
    <w:rsid w:val="00860A4F"/>
    <w:rsid w:val="00860AD2"/>
    <w:rsid w:val="00860C63"/>
    <w:rsid w:val="00860CF0"/>
    <w:rsid w:val="00860D31"/>
    <w:rsid w:val="00860D73"/>
    <w:rsid w:val="00860EB1"/>
    <w:rsid w:val="00860EF2"/>
    <w:rsid w:val="00861004"/>
    <w:rsid w:val="008610C3"/>
    <w:rsid w:val="008611E5"/>
    <w:rsid w:val="008611FD"/>
    <w:rsid w:val="00861206"/>
    <w:rsid w:val="00861360"/>
    <w:rsid w:val="008613BB"/>
    <w:rsid w:val="008613CC"/>
    <w:rsid w:val="0086165C"/>
    <w:rsid w:val="00861775"/>
    <w:rsid w:val="00861816"/>
    <w:rsid w:val="008618C6"/>
    <w:rsid w:val="00861AA6"/>
    <w:rsid w:val="00861B84"/>
    <w:rsid w:val="00861D52"/>
    <w:rsid w:val="00861E56"/>
    <w:rsid w:val="00861FA8"/>
    <w:rsid w:val="0086202E"/>
    <w:rsid w:val="00862181"/>
    <w:rsid w:val="00862201"/>
    <w:rsid w:val="0086225E"/>
    <w:rsid w:val="0086226F"/>
    <w:rsid w:val="00862343"/>
    <w:rsid w:val="008623F1"/>
    <w:rsid w:val="0086251F"/>
    <w:rsid w:val="00862629"/>
    <w:rsid w:val="00862760"/>
    <w:rsid w:val="00862791"/>
    <w:rsid w:val="008627B0"/>
    <w:rsid w:val="008629C8"/>
    <w:rsid w:val="008629DF"/>
    <w:rsid w:val="00862A97"/>
    <w:rsid w:val="00862AEF"/>
    <w:rsid w:val="00862B2E"/>
    <w:rsid w:val="00862C20"/>
    <w:rsid w:val="00862DBD"/>
    <w:rsid w:val="00862EB3"/>
    <w:rsid w:val="0086304A"/>
    <w:rsid w:val="00863052"/>
    <w:rsid w:val="0086305A"/>
    <w:rsid w:val="00863190"/>
    <w:rsid w:val="008631DA"/>
    <w:rsid w:val="008634DB"/>
    <w:rsid w:val="0086350E"/>
    <w:rsid w:val="008635C5"/>
    <w:rsid w:val="008635CC"/>
    <w:rsid w:val="008636D5"/>
    <w:rsid w:val="00863741"/>
    <w:rsid w:val="008637CD"/>
    <w:rsid w:val="00863953"/>
    <w:rsid w:val="00863977"/>
    <w:rsid w:val="00863ACE"/>
    <w:rsid w:val="00863B54"/>
    <w:rsid w:val="00863E7A"/>
    <w:rsid w:val="00863F99"/>
    <w:rsid w:val="0086402B"/>
    <w:rsid w:val="0086405E"/>
    <w:rsid w:val="008640D6"/>
    <w:rsid w:val="0086415D"/>
    <w:rsid w:val="0086428B"/>
    <w:rsid w:val="008644D2"/>
    <w:rsid w:val="008645F2"/>
    <w:rsid w:val="008646F9"/>
    <w:rsid w:val="0086470E"/>
    <w:rsid w:val="00864990"/>
    <w:rsid w:val="00864992"/>
    <w:rsid w:val="00864BE7"/>
    <w:rsid w:val="00864D2F"/>
    <w:rsid w:val="00864FC7"/>
    <w:rsid w:val="0086525A"/>
    <w:rsid w:val="0086527F"/>
    <w:rsid w:val="00865358"/>
    <w:rsid w:val="0086550C"/>
    <w:rsid w:val="0086551C"/>
    <w:rsid w:val="00865549"/>
    <w:rsid w:val="008655C2"/>
    <w:rsid w:val="008655E5"/>
    <w:rsid w:val="0086563B"/>
    <w:rsid w:val="00865842"/>
    <w:rsid w:val="008658BC"/>
    <w:rsid w:val="008659DC"/>
    <w:rsid w:val="00865A59"/>
    <w:rsid w:val="00865B6A"/>
    <w:rsid w:val="00865C14"/>
    <w:rsid w:val="00865D08"/>
    <w:rsid w:val="00865DEB"/>
    <w:rsid w:val="00865F61"/>
    <w:rsid w:val="00865F6F"/>
    <w:rsid w:val="00865FF2"/>
    <w:rsid w:val="0086614F"/>
    <w:rsid w:val="008662CB"/>
    <w:rsid w:val="00866313"/>
    <w:rsid w:val="0086643C"/>
    <w:rsid w:val="0086647C"/>
    <w:rsid w:val="00866541"/>
    <w:rsid w:val="008665AC"/>
    <w:rsid w:val="00866603"/>
    <w:rsid w:val="00866743"/>
    <w:rsid w:val="008667EF"/>
    <w:rsid w:val="008668A1"/>
    <w:rsid w:val="0086690D"/>
    <w:rsid w:val="008669D3"/>
    <w:rsid w:val="00866D23"/>
    <w:rsid w:val="00866E5B"/>
    <w:rsid w:val="00866ED7"/>
    <w:rsid w:val="00866F78"/>
    <w:rsid w:val="00866FBD"/>
    <w:rsid w:val="008671B2"/>
    <w:rsid w:val="008671D6"/>
    <w:rsid w:val="00867218"/>
    <w:rsid w:val="008672B5"/>
    <w:rsid w:val="008672BE"/>
    <w:rsid w:val="0086737A"/>
    <w:rsid w:val="00867387"/>
    <w:rsid w:val="00867396"/>
    <w:rsid w:val="008673AE"/>
    <w:rsid w:val="00867461"/>
    <w:rsid w:val="0086785B"/>
    <w:rsid w:val="0086787C"/>
    <w:rsid w:val="008678ED"/>
    <w:rsid w:val="0086795B"/>
    <w:rsid w:val="00867A34"/>
    <w:rsid w:val="00867BA9"/>
    <w:rsid w:val="00867C93"/>
    <w:rsid w:val="00867E4B"/>
    <w:rsid w:val="00867EA7"/>
    <w:rsid w:val="008700A6"/>
    <w:rsid w:val="008702E7"/>
    <w:rsid w:val="00870361"/>
    <w:rsid w:val="0087046D"/>
    <w:rsid w:val="00870500"/>
    <w:rsid w:val="0087055E"/>
    <w:rsid w:val="00870921"/>
    <w:rsid w:val="00870964"/>
    <w:rsid w:val="008709C6"/>
    <w:rsid w:val="00870A5F"/>
    <w:rsid w:val="00870A96"/>
    <w:rsid w:val="00870AA0"/>
    <w:rsid w:val="00870BC6"/>
    <w:rsid w:val="00870C3A"/>
    <w:rsid w:val="00870D91"/>
    <w:rsid w:val="0087100E"/>
    <w:rsid w:val="00871016"/>
    <w:rsid w:val="00871114"/>
    <w:rsid w:val="00871265"/>
    <w:rsid w:val="0087136D"/>
    <w:rsid w:val="00871446"/>
    <w:rsid w:val="0087148E"/>
    <w:rsid w:val="0087168B"/>
    <w:rsid w:val="008716FB"/>
    <w:rsid w:val="0087183C"/>
    <w:rsid w:val="00871866"/>
    <w:rsid w:val="008718C9"/>
    <w:rsid w:val="008719E5"/>
    <w:rsid w:val="00871A02"/>
    <w:rsid w:val="00871AA6"/>
    <w:rsid w:val="00871C64"/>
    <w:rsid w:val="00871D1D"/>
    <w:rsid w:val="00871DE5"/>
    <w:rsid w:val="00871E69"/>
    <w:rsid w:val="00871ECA"/>
    <w:rsid w:val="00871F68"/>
    <w:rsid w:val="00872043"/>
    <w:rsid w:val="00872086"/>
    <w:rsid w:val="00872133"/>
    <w:rsid w:val="008723D3"/>
    <w:rsid w:val="00872489"/>
    <w:rsid w:val="0087279F"/>
    <w:rsid w:val="008727DA"/>
    <w:rsid w:val="0087298F"/>
    <w:rsid w:val="008729B4"/>
    <w:rsid w:val="008729D6"/>
    <w:rsid w:val="00872A65"/>
    <w:rsid w:val="00872AC6"/>
    <w:rsid w:val="00872B1D"/>
    <w:rsid w:val="00872DEF"/>
    <w:rsid w:val="00872EF8"/>
    <w:rsid w:val="008730CD"/>
    <w:rsid w:val="00873114"/>
    <w:rsid w:val="00873145"/>
    <w:rsid w:val="00873164"/>
    <w:rsid w:val="0087323C"/>
    <w:rsid w:val="0087339C"/>
    <w:rsid w:val="008734B4"/>
    <w:rsid w:val="00873536"/>
    <w:rsid w:val="00873608"/>
    <w:rsid w:val="00873714"/>
    <w:rsid w:val="00873867"/>
    <w:rsid w:val="0087386F"/>
    <w:rsid w:val="00873AD8"/>
    <w:rsid w:val="00873B1E"/>
    <w:rsid w:val="00873C93"/>
    <w:rsid w:val="00873D89"/>
    <w:rsid w:val="00873E4A"/>
    <w:rsid w:val="00873F08"/>
    <w:rsid w:val="00873FAB"/>
    <w:rsid w:val="0087403B"/>
    <w:rsid w:val="0087404C"/>
    <w:rsid w:val="0087410B"/>
    <w:rsid w:val="00874174"/>
    <w:rsid w:val="008742EB"/>
    <w:rsid w:val="00874325"/>
    <w:rsid w:val="008747FF"/>
    <w:rsid w:val="00874858"/>
    <w:rsid w:val="00874937"/>
    <w:rsid w:val="008749CD"/>
    <w:rsid w:val="00874B6A"/>
    <w:rsid w:val="00874D3C"/>
    <w:rsid w:val="00875135"/>
    <w:rsid w:val="008751E7"/>
    <w:rsid w:val="0087525F"/>
    <w:rsid w:val="008752CB"/>
    <w:rsid w:val="00875308"/>
    <w:rsid w:val="00875365"/>
    <w:rsid w:val="008753EC"/>
    <w:rsid w:val="00875483"/>
    <w:rsid w:val="00875744"/>
    <w:rsid w:val="008757CC"/>
    <w:rsid w:val="008760A5"/>
    <w:rsid w:val="008760CD"/>
    <w:rsid w:val="008760D6"/>
    <w:rsid w:val="0087613E"/>
    <w:rsid w:val="008762A0"/>
    <w:rsid w:val="0087633D"/>
    <w:rsid w:val="008763F9"/>
    <w:rsid w:val="00876467"/>
    <w:rsid w:val="008766DE"/>
    <w:rsid w:val="008769F1"/>
    <w:rsid w:val="00876BF4"/>
    <w:rsid w:val="00876C49"/>
    <w:rsid w:val="00876E9B"/>
    <w:rsid w:val="00876F2D"/>
    <w:rsid w:val="00876F5F"/>
    <w:rsid w:val="00876FCB"/>
    <w:rsid w:val="00876FF3"/>
    <w:rsid w:val="0087701F"/>
    <w:rsid w:val="008770A3"/>
    <w:rsid w:val="0087739C"/>
    <w:rsid w:val="0087743E"/>
    <w:rsid w:val="00877501"/>
    <w:rsid w:val="008776DA"/>
    <w:rsid w:val="008776E7"/>
    <w:rsid w:val="00877775"/>
    <w:rsid w:val="00877855"/>
    <w:rsid w:val="00877BBF"/>
    <w:rsid w:val="00877E54"/>
    <w:rsid w:val="00877FE5"/>
    <w:rsid w:val="008801CB"/>
    <w:rsid w:val="008802C5"/>
    <w:rsid w:val="00880368"/>
    <w:rsid w:val="008803CB"/>
    <w:rsid w:val="00880454"/>
    <w:rsid w:val="00880460"/>
    <w:rsid w:val="008805FC"/>
    <w:rsid w:val="0088070A"/>
    <w:rsid w:val="0088084F"/>
    <w:rsid w:val="008809CE"/>
    <w:rsid w:val="00880A01"/>
    <w:rsid w:val="00880AA6"/>
    <w:rsid w:val="00880AFC"/>
    <w:rsid w:val="00880B5B"/>
    <w:rsid w:val="00880BAD"/>
    <w:rsid w:val="00880BCA"/>
    <w:rsid w:val="00880CC3"/>
    <w:rsid w:val="00880DAA"/>
    <w:rsid w:val="00880E6B"/>
    <w:rsid w:val="00881287"/>
    <w:rsid w:val="008812B8"/>
    <w:rsid w:val="008812BF"/>
    <w:rsid w:val="008812C7"/>
    <w:rsid w:val="0088134F"/>
    <w:rsid w:val="00881505"/>
    <w:rsid w:val="00881515"/>
    <w:rsid w:val="008816BA"/>
    <w:rsid w:val="008817C3"/>
    <w:rsid w:val="0088181E"/>
    <w:rsid w:val="00881938"/>
    <w:rsid w:val="00881A17"/>
    <w:rsid w:val="00881D05"/>
    <w:rsid w:val="00881D76"/>
    <w:rsid w:val="00881E12"/>
    <w:rsid w:val="00881E96"/>
    <w:rsid w:val="00881EA2"/>
    <w:rsid w:val="00881F91"/>
    <w:rsid w:val="0088214C"/>
    <w:rsid w:val="0088218F"/>
    <w:rsid w:val="00882233"/>
    <w:rsid w:val="0088240E"/>
    <w:rsid w:val="00882572"/>
    <w:rsid w:val="0088260B"/>
    <w:rsid w:val="008826BA"/>
    <w:rsid w:val="008826D0"/>
    <w:rsid w:val="00882717"/>
    <w:rsid w:val="0088271A"/>
    <w:rsid w:val="0088286B"/>
    <w:rsid w:val="0088291E"/>
    <w:rsid w:val="008829CE"/>
    <w:rsid w:val="008829E9"/>
    <w:rsid w:val="00882A1B"/>
    <w:rsid w:val="00882AE3"/>
    <w:rsid w:val="00882C87"/>
    <w:rsid w:val="00882D4C"/>
    <w:rsid w:val="00882DBC"/>
    <w:rsid w:val="00882DD1"/>
    <w:rsid w:val="00882E3D"/>
    <w:rsid w:val="00882F6F"/>
    <w:rsid w:val="008831FD"/>
    <w:rsid w:val="0088325D"/>
    <w:rsid w:val="008832D9"/>
    <w:rsid w:val="008835BA"/>
    <w:rsid w:val="00883697"/>
    <w:rsid w:val="008836D6"/>
    <w:rsid w:val="008836FD"/>
    <w:rsid w:val="008838FA"/>
    <w:rsid w:val="00883994"/>
    <w:rsid w:val="008839E7"/>
    <w:rsid w:val="00883B0A"/>
    <w:rsid w:val="00883B53"/>
    <w:rsid w:val="00883B88"/>
    <w:rsid w:val="00883BD7"/>
    <w:rsid w:val="00883BE9"/>
    <w:rsid w:val="00883BF0"/>
    <w:rsid w:val="00883C66"/>
    <w:rsid w:val="00883D2B"/>
    <w:rsid w:val="00883E7E"/>
    <w:rsid w:val="00883F4F"/>
    <w:rsid w:val="00883FC7"/>
    <w:rsid w:val="008842F1"/>
    <w:rsid w:val="00884367"/>
    <w:rsid w:val="008843FC"/>
    <w:rsid w:val="00884533"/>
    <w:rsid w:val="00884601"/>
    <w:rsid w:val="00884980"/>
    <w:rsid w:val="00884A87"/>
    <w:rsid w:val="00884BAC"/>
    <w:rsid w:val="00884CD5"/>
    <w:rsid w:val="00884D18"/>
    <w:rsid w:val="00884D82"/>
    <w:rsid w:val="00884E48"/>
    <w:rsid w:val="00884E63"/>
    <w:rsid w:val="008850F4"/>
    <w:rsid w:val="008851BA"/>
    <w:rsid w:val="008851F4"/>
    <w:rsid w:val="00885289"/>
    <w:rsid w:val="008855BD"/>
    <w:rsid w:val="00885691"/>
    <w:rsid w:val="008856BE"/>
    <w:rsid w:val="00885783"/>
    <w:rsid w:val="00885970"/>
    <w:rsid w:val="00885A60"/>
    <w:rsid w:val="00885AB7"/>
    <w:rsid w:val="00885B1F"/>
    <w:rsid w:val="00885B92"/>
    <w:rsid w:val="00885C79"/>
    <w:rsid w:val="00885C93"/>
    <w:rsid w:val="00885CB2"/>
    <w:rsid w:val="00886067"/>
    <w:rsid w:val="0088612F"/>
    <w:rsid w:val="00886174"/>
    <w:rsid w:val="008865E0"/>
    <w:rsid w:val="00886649"/>
    <w:rsid w:val="00886675"/>
    <w:rsid w:val="008866B2"/>
    <w:rsid w:val="008866D2"/>
    <w:rsid w:val="00886716"/>
    <w:rsid w:val="00886761"/>
    <w:rsid w:val="0088694E"/>
    <w:rsid w:val="00886998"/>
    <w:rsid w:val="00886A08"/>
    <w:rsid w:val="00886A2F"/>
    <w:rsid w:val="00886A89"/>
    <w:rsid w:val="00886B21"/>
    <w:rsid w:val="00886B35"/>
    <w:rsid w:val="00886C32"/>
    <w:rsid w:val="00886C37"/>
    <w:rsid w:val="00886CC4"/>
    <w:rsid w:val="00886F17"/>
    <w:rsid w:val="00886F94"/>
    <w:rsid w:val="00887030"/>
    <w:rsid w:val="00887177"/>
    <w:rsid w:val="008871CB"/>
    <w:rsid w:val="0088735C"/>
    <w:rsid w:val="00887498"/>
    <w:rsid w:val="00887694"/>
    <w:rsid w:val="008876CE"/>
    <w:rsid w:val="00887842"/>
    <w:rsid w:val="00887994"/>
    <w:rsid w:val="00887996"/>
    <w:rsid w:val="008879C5"/>
    <w:rsid w:val="008879F6"/>
    <w:rsid w:val="00887A9C"/>
    <w:rsid w:val="00887ABD"/>
    <w:rsid w:val="00887B7E"/>
    <w:rsid w:val="00887D06"/>
    <w:rsid w:val="00887EC2"/>
    <w:rsid w:val="00887FD0"/>
    <w:rsid w:val="0088897F"/>
    <w:rsid w:val="0089006E"/>
    <w:rsid w:val="00890262"/>
    <w:rsid w:val="008902A5"/>
    <w:rsid w:val="0089044F"/>
    <w:rsid w:val="008904B6"/>
    <w:rsid w:val="008905AD"/>
    <w:rsid w:val="008905FB"/>
    <w:rsid w:val="008909C9"/>
    <w:rsid w:val="008909E9"/>
    <w:rsid w:val="00890A5D"/>
    <w:rsid w:val="00890A78"/>
    <w:rsid w:val="00890B96"/>
    <w:rsid w:val="00890BD3"/>
    <w:rsid w:val="00890BEF"/>
    <w:rsid w:val="00890C47"/>
    <w:rsid w:val="00890FA3"/>
    <w:rsid w:val="00891129"/>
    <w:rsid w:val="00891228"/>
    <w:rsid w:val="008913A5"/>
    <w:rsid w:val="00891429"/>
    <w:rsid w:val="008914BF"/>
    <w:rsid w:val="00891517"/>
    <w:rsid w:val="00891520"/>
    <w:rsid w:val="008915BC"/>
    <w:rsid w:val="00891840"/>
    <w:rsid w:val="00891862"/>
    <w:rsid w:val="00891A88"/>
    <w:rsid w:val="00891C79"/>
    <w:rsid w:val="00891E0E"/>
    <w:rsid w:val="00891E26"/>
    <w:rsid w:val="00891E33"/>
    <w:rsid w:val="00891F0E"/>
    <w:rsid w:val="00892073"/>
    <w:rsid w:val="008922DB"/>
    <w:rsid w:val="008925C8"/>
    <w:rsid w:val="0089260D"/>
    <w:rsid w:val="0089276D"/>
    <w:rsid w:val="0089292A"/>
    <w:rsid w:val="00892967"/>
    <w:rsid w:val="0089298E"/>
    <w:rsid w:val="008929A8"/>
    <w:rsid w:val="00892A46"/>
    <w:rsid w:val="00892B23"/>
    <w:rsid w:val="00892B8E"/>
    <w:rsid w:val="00892C25"/>
    <w:rsid w:val="0089313F"/>
    <w:rsid w:val="00893229"/>
    <w:rsid w:val="00893317"/>
    <w:rsid w:val="0089341C"/>
    <w:rsid w:val="0089349F"/>
    <w:rsid w:val="008935AC"/>
    <w:rsid w:val="008937CF"/>
    <w:rsid w:val="008937FC"/>
    <w:rsid w:val="00893979"/>
    <w:rsid w:val="008939DB"/>
    <w:rsid w:val="00893C98"/>
    <w:rsid w:val="00893DAD"/>
    <w:rsid w:val="00893EE2"/>
    <w:rsid w:val="00893F37"/>
    <w:rsid w:val="00893F7B"/>
    <w:rsid w:val="0089406C"/>
    <w:rsid w:val="00894078"/>
    <w:rsid w:val="00894267"/>
    <w:rsid w:val="008942BA"/>
    <w:rsid w:val="008944B9"/>
    <w:rsid w:val="0089468C"/>
    <w:rsid w:val="008947F5"/>
    <w:rsid w:val="00894BA2"/>
    <w:rsid w:val="00894D44"/>
    <w:rsid w:val="00894D45"/>
    <w:rsid w:val="00894D6B"/>
    <w:rsid w:val="00894D8C"/>
    <w:rsid w:val="00894FEE"/>
    <w:rsid w:val="0089518B"/>
    <w:rsid w:val="008952E0"/>
    <w:rsid w:val="00895361"/>
    <w:rsid w:val="0089542D"/>
    <w:rsid w:val="00895474"/>
    <w:rsid w:val="00895495"/>
    <w:rsid w:val="00895536"/>
    <w:rsid w:val="0089574E"/>
    <w:rsid w:val="008957B3"/>
    <w:rsid w:val="00895855"/>
    <w:rsid w:val="00895A8B"/>
    <w:rsid w:val="00895BAD"/>
    <w:rsid w:val="00895CAD"/>
    <w:rsid w:val="00895D0C"/>
    <w:rsid w:val="00895DD1"/>
    <w:rsid w:val="00895E01"/>
    <w:rsid w:val="00895F9E"/>
    <w:rsid w:val="00896228"/>
    <w:rsid w:val="00896243"/>
    <w:rsid w:val="00896279"/>
    <w:rsid w:val="00896434"/>
    <w:rsid w:val="0089646D"/>
    <w:rsid w:val="00896575"/>
    <w:rsid w:val="0089684F"/>
    <w:rsid w:val="00896851"/>
    <w:rsid w:val="00896929"/>
    <w:rsid w:val="00896B53"/>
    <w:rsid w:val="00896BEB"/>
    <w:rsid w:val="00896C46"/>
    <w:rsid w:val="00896D3C"/>
    <w:rsid w:val="00896D84"/>
    <w:rsid w:val="00896D86"/>
    <w:rsid w:val="00896EE2"/>
    <w:rsid w:val="008972D3"/>
    <w:rsid w:val="008973A0"/>
    <w:rsid w:val="00897443"/>
    <w:rsid w:val="00897454"/>
    <w:rsid w:val="00897864"/>
    <w:rsid w:val="008978B9"/>
    <w:rsid w:val="008978FE"/>
    <w:rsid w:val="00897971"/>
    <w:rsid w:val="00897B80"/>
    <w:rsid w:val="00897CC3"/>
    <w:rsid w:val="00897D7D"/>
    <w:rsid w:val="00897EDA"/>
    <w:rsid w:val="00897EDE"/>
    <w:rsid w:val="00897FD5"/>
    <w:rsid w:val="0089D338"/>
    <w:rsid w:val="008A00B6"/>
    <w:rsid w:val="008A0161"/>
    <w:rsid w:val="008A0244"/>
    <w:rsid w:val="008A039F"/>
    <w:rsid w:val="008A04B8"/>
    <w:rsid w:val="008A0522"/>
    <w:rsid w:val="008A0669"/>
    <w:rsid w:val="008A06F6"/>
    <w:rsid w:val="008A0856"/>
    <w:rsid w:val="008A085B"/>
    <w:rsid w:val="008A086E"/>
    <w:rsid w:val="008A0890"/>
    <w:rsid w:val="008A0C0B"/>
    <w:rsid w:val="008A0CE0"/>
    <w:rsid w:val="008A0D92"/>
    <w:rsid w:val="008A0DB6"/>
    <w:rsid w:val="008A0E19"/>
    <w:rsid w:val="008A0F5B"/>
    <w:rsid w:val="008A0F7F"/>
    <w:rsid w:val="008A0FB4"/>
    <w:rsid w:val="008A105F"/>
    <w:rsid w:val="008A1458"/>
    <w:rsid w:val="008A1512"/>
    <w:rsid w:val="008A16C6"/>
    <w:rsid w:val="008A1D40"/>
    <w:rsid w:val="008A1D56"/>
    <w:rsid w:val="008A1EA1"/>
    <w:rsid w:val="008A1F0C"/>
    <w:rsid w:val="008A2056"/>
    <w:rsid w:val="008A205F"/>
    <w:rsid w:val="008A2071"/>
    <w:rsid w:val="008A219C"/>
    <w:rsid w:val="008A21D2"/>
    <w:rsid w:val="008A24B9"/>
    <w:rsid w:val="008A24E7"/>
    <w:rsid w:val="008A2568"/>
    <w:rsid w:val="008A26C7"/>
    <w:rsid w:val="008A26C9"/>
    <w:rsid w:val="008A2771"/>
    <w:rsid w:val="008A2785"/>
    <w:rsid w:val="008A282C"/>
    <w:rsid w:val="008A2AA3"/>
    <w:rsid w:val="008A2AD1"/>
    <w:rsid w:val="008A2AD7"/>
    <w:rsid w:val="008A2C63"/>
    <w:rsid w:val="008A2C91"/>
    <w:rsid w:val="008A2F26"/>
    <w:rsid w:val="008A3035"/>
    <w:rsid w:val="008A319A"/>
    <w:rsid w:val="008A375E"/>
    <w:rsid w:val="008A378B"/>
    <w:rsid w:val="008A37B9"/>
    <w:rsid w:val="008A3E2E"/>
    <w:rsid w:val="008A3E44"/>
    <w:rsid w:val="008A3E59"/>
    <w:rsid w:val="008A3E60"/>
    <w:rsid w:val="008A3EBE"/>
    <w:rsid w:val="008A4057"/>
    <w:rsid w:val="008A40F5"/>
    <w:rsid w:val="008A419C"/>
    <w:rsid w:val="008A4666"/>
    <w:rsid w:val="008A46A0"/>
    <w:rsid w:val="008A47B3"/>
    <w:rsid w:val="008A4881"/>
    <w:rsid w:val="008A4AF7"/>
    <w:rsid w:val="008A4BCD"/>
    <w:rsid w:val="008A4D11"/>
    <w:rsid w:val="008A4EEE"/>
    <w:rsid w:val="008A53E2"/>
    <w:rsid w:val="008A5414"/>
    <w:rsid w:val="008A54B8"/>
    <w:rsid w:val="008A55B5"/>
    <w:rsid w:val="008A55D6"/>
    <w:rsid w:val="008A55ED"/>
    <w:rsid w:val="008A5652"/>
    <w:rsid w:val="008A5689"/>
    <w:rsid w:val="008A5742"/>
    <w:rsid w:val="008A575D"/>
    <w:rsid w:val="008A59AC"/>
    <w:rsid w:val="008A5BBB"/>
    <w:rsid w:val="008A5E25"/>
    <w:rsid w:val="008A5EF4"/>
    <w:rsid w:val="008A669F"/>
    <w:rsid w:val="008A6724"/>
    <w:rsid w:val="008A67FA"/>
    <w:rsid w:val="008A6955"/>
    <w:rsid w:val="008A6B4B"/>
    <w:rsid w:val="008A6BFB"/>
    <w:rsid w:val="008A6D4A"/>
    <w:rsid w:val="008A6E09"/>
    <w:rsid w:val="008A6E43"/>
    <w:rsid w:val="008A6E62"/>
    <w:rsid w:val="008A6F00"/>
    <w:rsid w:val="008A6F3A"/>
    <w:rsid w:val="008A7216"/>
    <w:rsid w:val="008A73D9"/>
    <w:rsid w:val="008A746B"/>
    <w:rsid w:val="008A7507"/>
    <w:rsid w:val="008A77EA"/>
    <w:rsid w:val="008A7978"/>
    <w:rsid w:val="008A79A6"/>
    <w:rsid w:val="008A7A83"/>
    <w:rsid w:val="008A7B90"/>
    <w:rsid w:val="008A7C2C"/>
    <w:rsid w:val="008A7DB5"/>
    <w:rsid w:val="008B03E3"/>
    <w:rsid w:val="008B055D"/>
    <w:rsid w:val="008B063A"/>
    <w:rsid w:val="008B0691"/>
    <w:rsid w:val="008B0756"/>
    <w:rsid w:val="008B0803"/>
    <w:rsid w:val="008B0973"/>
    <w:rsid w:val="008B0A17"/>
    <w:rsid w:val="008B0A25"/>
    <w:rsid w:val="008B0AE3"/>
    <w:rsid w:val="008B0C74"/>
    <w:rsid w:val="008B143C"/>
    <w:rsid w:val="008B16D4"/>
    <w:rsid w:val="008B16EF"/>
    <w:rsid w:val="008B173C"/>
    <w:rsid w:val="008B1767"/>
    <w:rsid w:val="008B1A8D"/>
    <w:rsid w:val="008B1ACB"/>
    <w:rsid w:val="008B1BAC"/>
    <w:rsid w:val="008B1C60"/>
    <w:rsid w:val="008B1CB6"/>
    <w:rsid w:val="008B1D16"/>
    <w:rsid w:val="008B1EF7"/>
    <w:rsid w:val="008B1F7F"/>
    <w:rsid w:val="008B20AC"/>
    <w:rsid w:val="008B20FC"/>
    <w:rsid w:val="008B233B"/>
    <w:rsid w:val="008B2341"/>
    <w:rsid w:val="008B2566"/>
    <w:rsid w:val="008B257C"/>
    <w:rsid w:val="008B257F"/>
    <w:rsid w:val="008B2691"/>
    <w:rsid w:val="008B2A57"/>
    <w:rsid w:val="008B2C8C"/>
    <w:rsid w:val="008B2C9A"/>
    <w:rsid w:val="008B2E3F"/>
    <w:rsid w:val="008B31F2"/>
    <w:rsid w:val="008B34EF"/>
    <w:rsid w:val="008B3532"/>
    <w:rsid w:val="008B361E"/>
    <w:rsid w:val="008B3AC3"/>
    <w:rsid w:val="008B3AF0"/>
    <w:rsid w:val="008B3B81"/>
    <w:rsid w:val="008B3D20"/>
    <w:rsid w:val="008B3F14"/>
    <w:rsid w:val="008B408B"/>
    <w:rsid w:val="008B40B6"/>
    <w:rsid w:val="008B4148"/>
    <w:rsid w:val="008B41F4"/>
    <w:rsid w:val="008B4319"/>
    <w:rsid w:val="008B4364"/>
    <w:rsid w:val="008B43AB"/>
    <w:rsid w:val="008B43CF"/>
    <w:rsid w:val="008B445E"/>
    <w:rsid w:val="008B44C1"/>
    <w:rsid w:val="008B4573"/>
    <w:rsid w:val="008B45B7"/>
    <w:rsid w:val="008B4735"/>
    <w:rsid w:val="008B4989"/>
    <w:rsid w:val="008B4A6D"/>
    <w:rsid w:val="008B4AB6"/>
    <w:rsid w:val="008B4AD1"/>
    <w:rsid w:val="008B4BAD"/>
    <w:rsid w:val="008B4CB9"/>
    <w:rsid w:val="008B4D15"/>
    <w:rsid w:val="008B4DDC"/>
    <w:rsid w:val="008B4DFC"/>
    <w:rsid w:val="008B4EEF"/>
    <w:rsid w:val="008B4F92"/>
    <w:rsid w:val="008B5046"/>
    <w:rsid w:val="008B50A8"/>
    <w:rsid w:val="008B51D3"/>
    <w:rsid w:val="008B51D8"/>
    <w:rsid w:val="008B526B"/>
    <w:rsid w:val="008B5414"/>
    <w:rsid w:val="008B5492"/>
    <w:rsid w:val="008B5493"/>
    <w:rsid w:val="008B5560"/>
    <w:rsid w:val="008B55C6"/>
    <w:rsid w:val="008B564C"/>
    <w:rsid w:val="008B56B8"/>
    <w:rsid w:val="008B56D6"/>
    <w:rsid w:val="008B5838"/>
    <w:rsid w:val="008B5A27"/>
    <w:rsid w:val="008B5D25"/>
    <w:rsid w:val="008B5D41"/>
    <w:rsid w:val="008B5D5D"/>
    <w:rsid w:val="008B5D8E"/>
    <w:rsid w:val="008B5D93"/>
    <w:rsid w:val="008B5FC5"/>
    <w:rsid w:val="008B6124"/>
    <w:rsid w:val="008B618C"/>
    <w:rsid w:val="008B61E6"/>
    <w:rsid w:val="008B61E7"/>
    <w:rsid w:val="008B63DB"/>
    <w:rsid w:val="008B6423"/>
    <w:rsid w:val="008B6454"/>
    <w:rsid w:val="008B646B"/>
    <w:rsid w:val="008B64DC"/>
    <w:rsid w:val="008B64EB"/>
    <w:rsid w:val="008B6612"/>
    <w:rsid w:val="008B6614"/>
    <w:rsid w:val="008B6687"/>
    <w:rsid w:val="008B6A25"/>
    <w:rsid w:val="008B6CFD"/>
    <w:rsid w:val="008B6D1D"/>
    <w:rsid w:val="008B6ECB"/>
    <w:rsid w:val="008B6ED0"/>
    <w:rsid w:val="008B6EEA"/>
    <w:rsid w:val="008B6FDD"/>
    <w:rsid w:val="008B703B"/>
    <w:rsid w:val="008B7076"/>
    <w:rsid w:val="008B7181"/>
    <w:rsid w:val="008B7314"/>
    <w:rsid w:val="008B7393"/>
    <w:rsid w:val="008B73BA"/>
    <w:rsid w:val="008B73FF"/>
    <w:rsid w:val="008B750D"/>
    <w:rsid w:val="008B7536"/>
    <w:rsid w:val="008B7652"/>
    <w:rsid w:val="008B7696"/>
    <w:rsid w:val="008B76E2"/>
    <w:rsid w:val="008B7700"/>
    <w:rsid w:val="008B77EF"/>
    <w:rsid w:val="008B7834"/>
    <w:rsid w:val="008B7AE9"/>
    <w:rsid w:val="008B7CD2"/>
    <w:rsid w:val="008B7F40"/>
    <w:rsid w:val="008C0136"/>
    <w:rsid w:val="008C0425"/>
    <w:rsid w:val="008C0516"/>
    <w:rsid w:val="008C08F2"/>
    <w:rsid w:val="008C0B01"/>
    <w:rsid w:val="008C0BDA"/>
    <w:rsid w:val="008C0CEA"/>
    <w:rsid w:val="008C0EBC"/>
    <w:rsid w:val="008C0F1B"/>
    <w:rsid w:val="008C0F9D"/>
    <w:rsid w:val="008C1116"/>
    <w:rsid w:val="008C12E7"/>
    <w:rsid w:val="008C1303"/>
    <w:rsid w:val="008C14C9"/>
    <w:rsid w:val="008C16F9"/>
    <w:rsid w:val="008C1770"/>
    <w:rsid w:val="008C178D"/>
    <w:rsid w:val="008C1858"/>
    <w:rsid w:val="008C185B"/>
    <w:rsid w:val="008C1A4F"/>
    <w:rsid w:val="008C1C46"/>
    <w:rsid w:val="008C1D1C"/>
    <w:rsid w:val="008C1D52"/>
    <w:rsid w:val="008C1E0D"/>
    <w:rsid w:val="008C1EC1"/>
    <w:rsid w:val="008C1FE8"/>
    <w:rsid w:val="008C20F3"/>
    <w:rsid w:val="008C211C"/>
    <w:rsid w:val="008C221E"/>
    <w:rsid w:val="008C222F"/>
    <w:rsid w:val="008C2302"/>
    <w:rsid w:val="008C2428"/>
    <w:rsid w:val="008C245A"/>
    <w:rsid w:val="008C24A5"/>
    <w:rsid w:val="008C2520"/>
    <w:rsid w:val="008C2613"/>
    <w:rsid w:val="008C26B3"/>
    <w:rsid w:val="008C2705"/>
    <w:rsid w:val="008C27A7"/>
    <w:rsid w:val="008C288A"/>
    <w:rsid w:val="008C28A3"/>
    <w:rsid w:val="008C2983"/>
    <w:rsid w:val="008C2AB2"/>
    <w:rsid w:val="008C2AC8"/>
    <w:rsid w:val="008C2ACE"/>
    <w:rsid w:val="008C2B52"/>
    <w:rsid w:val="008C2E7C"/>
    <w:rsid w:val="008C2F2A"/>
    <w:rsid w:val="008C30B2"/>
    <w:rsid w:val="008C3125"/>
    <w:rsid w:val="008C31D3"/>
    <w:rsid w:val="008C3376"/>
    <w:rsid w:val="008C3395"/>
    <w:rsid w:val="008C3441"/>
    <w:rsid w:val="008C344A"/>
    <w:rsid w:val="008C3582"/>
    <w:rsid w:val="008C365E"/>
    <w:rsid w:val="008C36DF"/>
    <w:rsid w:val="008C3752"/>
    <w:rsid w:val="008C37B3"/>
    <w:rsid w:val="008C3955"/>
    <w:rsid w:val="008C39E4"/>
    <w:rsid w:val="008C3AF1"/>
    <w:rsid w:val="008C3B91"/>
    <w:rsid w:val="008C3BC2"/>
    <w:rsid w:val="008C3BEC"/>
    <w:rsid w:val="008C3C00"/>
    <w:rsid w:val="008C3C84"/>
    <w:rsid w:val="008C3D02"/>
    <w:rsid w:val="008C3D92"/>
    <w:rsid w:val="008C3F7A"/>
    <w:rsid w:val="008C403E"/>
    <w:rsid w:val="008C4307"/>
    <w:rsid w:val="008C4368"/>
    <w:rsid w:val="008C4616"/>
    <w:rsid w:val="008C4680"/>
    <w:rsid w:val="008C46FD"/>
    <w:rsid w:val="008C485F"/>
    <w:rsid w:val="008C4905"/>
    <w:rsid w:val="008C49AF"/>
    <w:rsid w:val="008C4B42"/>
    <w:rsid w:val="008C4E8C"/>
    <w:rsid w:val="008C502B"/>
    <w:rsid w:val="008C526E"/>
    <w:rsid w:val="008C5440"/>
    <w:rsid w:val="008C545D"/>
    <w:rsid w:val="008C5482"/>
    <w:rsid w:val="008C5688"/>
    <w:rsid w:val="008C57CF"/>
    <w:rsid w:val="008C585F"/>
    <w:rsid w:val="008C5864"/>
    <w:rsid w:val="008C591A"/>
    <w:rsid w:val="008C59AF"/>
    <w:rsid w:val="008C5AC8"/>
    <w:rsid w:val="008C5ACE"/>
    <w:rsid w:val="008C5AD1"/>
    <w:rsid w:val="008C6478"/>
    <w:rsid w:val="008C6481"/>
    <w:rsid w:val="008C65B0"/>
    <w:rsid w:val="008C667E"/>
    <w:rsid w:val="008C686C"/>
    <w:rsid w:val="008C68C2"/>
    <w:rsid w:val="008C6AB6"/>
    <w:rsid w:val="008C6ABC"/>
    <w:rsid w:val="008C6FA3"/>
    <w:rsid w:val="008C7339"/>
    <w:rsid w:val="008C74C5"/>
    <w:rsid w:val="008C752A"/>
    <w:rsid w:val="008C75AB"/>
    <w:rsid w:val="008C75BE"/>
    <w:rsid w:val="008C764A"/>
    <w:rsid w:val="008C76CC"/>
    <w:rsid w:val="008C7718"/>
    <w:rsid w:val="008C78EF"/>
    <w:rsid w:val="008C79E5"/>
    <w:rsid w:val="008C7C07"/>
    <w:rsid w:val="008C7C29"/>
    <w:rsid w:val="008C7DF9"/>
    <w:rsid w:val="008C7E09"/>
    <w:rsid w:val="008C7ED9"/>
    <w:rsid w:val="008C7F47"/>
    <w:rsid w:val="008D0347"/>
    <w:rsid w:val="008D0420"/>
    <w:rsid w:val="008D04F9"/>
    <w:rsid w:val="008D05C8"/>
    <w:rsid w:val="008D05ED"/>
    <w:rsid w:val="008D060C"/>
    <w:rsid w:val="008D0699"/>
    <w:rsid w:val="008D06BB"/>
    <w:rsid w:val="008D092D"/>
    <w:rsid w:val="008D09F6"/>
    <w:rsid w:val="008D0A0B"/>
    <w:rsid w:val="008D0B11"/>
    <w:rsid w:val="008D0B3D"/>
    <w:rsid w:val="008D0B8F"/>
    <w:rsid w:val="008D0B91"/>
    <w:rsid w:val="008D0C48"/>
    <w:rsid w:val="008D0C4F"/>
    <w:rsid w:val="008D0D02"/>
    <w:rsid w:val="008D0DFD"/>
    <w:rsid w:val="008D0EE5"/>
    <w:rsid w:val="008D0EE8"/>
    <w:rsid w:val="008D1330"/>
    <w:rsid w:val="008D1444"/>
    <w:rsid w:val="008D1481"/>
    <w:rsid w:val="008D14A0"/>
    <w:rsid w:val="008D14D4"/>
    <w:rsid w:val="008D150E"/>
    <w:rsid w:val="008D1655"/>
    <w:rsid w:val="008D1986"/>
    <w:rsid w:val="008D1A6E"/>
    <w:rsid w:val="008D1A8A"/>
    <w:rsid w:val="008D1B50"/>
    <w:rsid w:val="008D1C01"/>
    <w:rsid w:val="008D1E67"/>
    <w:rsid w:val="008D20AB"/>
    <w:rsid w:val="008D211B"/>
    <w:rsid w:val="008D2417"/>
    <w:rsid w:val="008D243F"/>
    <w:rsid w:val="008D2454"/>
    <w:rsid w:val="008D253B"/>
    <w:rsid w:val="008D257C"/>
    <w:rsid w:val="008D2816"/>
    <w:rsid w:val="008D2829"/>
    <w:rsid w:val="008D28D9"/>
    <w:rsid w:val="008D293D"/>
    <w:rsid w:val="008D2B98"/>
    <w:rsid w:val="008D2BDD"/>
    <w:rsid w:val="008D2D1A"/>
    <w:rsid w:val="008D2D2C"/>
    <w:rsid w:val="008D2EDB"/>
    <w:rsid w:val="008D2FFD"/>
    <w:rsid w:val="008D3232"/>
    <w:rsid w:val="008D32FF"/>
    <w:rsid w:val="008D3363"/>
    <w:rsid w:val="008D337C"/>
    <w:rsid w:val="008D34C1"/>
    <w:rsid w:val="008D34E8"/>
    <w:rsid w:val="008D3509"/>
    <w:rsid w:val="008D38CD"/>
    <w:rsid w:val="008D38E3"/>
    <w:rsid w:val="008D398C"/>
    <w:rsid w:val="008D3991"/>
    <w:rsid w:val="008D39CB"/>
    <w:rsid w:val="008D39D3"/>
    <w:rsid w:val="008D3A73"/>
    <w:rsid w:val="008D3C21"/>
    <w:rsid w:val="008D3D09"/>
    <w:rsid w:val="008D3DC6"/>
    <w:rsid w:val="008D3F26"/>
    <w:rsid w:val="008D3F79"/>
    <w:rsid w:val="008D400E"/>
    <w:rsid w:val="008D409A"/>
    <w:rsid w:val="008D40F2"/>
    <w:rsid w:val="008D4211"/>
    <w:rsid w:val="008D4240"/>
    <w:rsid w:val="008D4256"/>
    <w:rsid w:val="008D4548"/>
    <w:rsid w:val="008D47A2"/>
    <w:rsid w:val="008D47F8"/>
    <w:rsid w:val="008D4893"/>
    <w:rsid w:val="008D4971"/>
    <w:rsid w:val="008D4AAD"/>
    <w:rsid w:val="008D4BFC"/>
    <w:rsid w:val="008D4D3B"/>
    <w:rsid w:val="008D4DCE"/>
    <w:rsid w:val="008D5034"/>
    <w:rsid w:val="008D503F"/>
    <w:rsid w:val="008D510E"/>
    <w:rsid w:val="008D5155"/>
    <w:rsid w:val="008D51AB"/>
    <w:rsid w:val="008D5207"/>
    <w:rsid w:val="008D526F"/>
    <w:rsid w:val="008D5271"/>
    <w:rsid w:val="008D53FA"/>
    <w:rsid w:val="008D54BA"/>
    <w:rsid w:val="008D54CE"/>
    <w:rsid w:val="008D5516"/>
    <w:rsid w:val="008D557D"/>
    <w:rsid w:val="008D5631"/>
    <w:rsid w:val="008D5638"/>
    <w:rsid w:val="008D56F9"/>
    <w:rsid w:val="008D57B1"/>
    <w:rsid w:val="008D5817"/>
    <w:rsid w:val="008D5843"/>
    <w:rsid w:val="008D591A"/>
    <w:rsid w:val="008D59DF"/>
    <w:rsid w:val="008D5A64"/>
    <w:rsid w:val="008D5A6D"/>
    <w:rsid w:val="008D5EBA"/>
    <w:rsid w:val="008D5EC2"/>
    <w:rsid w:val="008D5F86"/>
    <w:rsid w:val="008D60D0"/>
    <w:rsid w:val="008D61BE"/>
    <w:rsid w:val="008D61F6"/>
    <w:rsid w:val="008D6392"/>
    <w:rsid w:val="008D645E"/>
    <w:rsid w:val="008D6498"/>
    <w:rsid w:val="008D64BD"/>
    <w:rsid w:val="008D6830"/>
    <w:rsid w:val="008D684B"/>
    <w:rsid w:val="008D6908"/>
    <w:rsid w:val="008D6A6B"/>
    <w:rsid w:val="008D6ADC"/>
    <w:rsid w:val="008D6AE3"/>
    <w:rsid w:val="008D6B10"/>
    <w:rsid w:val="008D6BF4"/>
    <w:rsid w:val="008D6C5F"/>
    <w:rsid w:val="008D6CE5"/>
    <w:rsid w:val="008D6D69"/>
    <w:rsid w:val="008D6DE0"/>
    <w:rsid w:val="008D6F03"/>
    <w:rsid w:val="008D6F2E"/>
    <w:rsid w:val="008D6FD7"/>
    <w:rsid w:val="008D7136"/>
    <w:rsid w:val="008D7211"/>
    <w:rsid w:val="008D729D"/>
    <w:rsid w:val="008D72F4"/>
    <w:rsid w:val="008D7361"/>
    <w:rsid w:val="008D73A2"/>
    <w:rsid w:val="008D7461"/>
    <w:rsid w:val="008D74E2"/>
    <w:rsid w:val="008D75DF"/>
    <w:rsid w:val="008D7667"/>
    <w:rsid w:val="008D7A05"/>
    <w:rsid w:val="008D7A99"/>
    <w:rsid w:val="008D7AF4"/>
    <w:rsid w:val="008D7B41"/>
    <w:rsid w:val="008D7D3B"/>
    <w:rsid w:val="008D7DC6"/>
    <w:rsid w:val="008D7DF2"/>
    <w:rsid w:val="008D7E73"/>
    <w:rsid w:val="008D7F3F"/>
    <w:rsid w:val="008D7F58"/>
    <w:rsid w:val="008D7FE8"/>
    <w:rsid w:val="008E01BE"/>
    <w:rsid w:val="008E03B2"/>
    <w:rsid w:val="008E03C0"/>
    <w:rsid w:val="008E0463"/>
    <w:rsid w:val="008E0495"/>
    <w:rsid w:val="008E0718"/>
    <w:rsid w:val="008E08CA"/>
    <w:rsid w:val="008E0AFC"/>
    <w:rsid w:val="008E0CA2"/>
    <w:rsid w:val="008E0E04"/>
    <w:rsid w:val="008E0EA0"/>
    <w:rsid w:val="008E1073"/>
    <w:rsid w:val="008E10B9"/>
    <w:rsid w:val="008E116E"/>
    <w:rsid w:val="008E1193"/>
    <w:rsid w:val="008E12A6"/>
    <w:rsid w:val="008E1616"/>
    <w:rsid w:val="008E16C1"/>
    <w:rsid w:val="008E16E7"/>
    <w:rsid w:val="008E18C1"/>
    <w:rsid w:val="008E1971"/>
    <w:rsid w:val="008E1A4B"/>
    <w:rsid w:val="008E1B3D"/>
    <w:rsid w:val="008E1D33"/>
    <w:rsid w:val="008E1DDC"/>
    <w:rsid w:val="008E1F64"/>
    <w:rsid w:val="008E22B2"/>
    <w:rsid w:val="008E244B"/>
    <w:rsid w:val="008E250D"/>
    <w:rsid w:val="008E2797"/>
    <w:rsid w:val="008E27DD"/>
    <w:rsid w:val="008E28F5"/>
    <w:rsid w:val="008E2A82"/>
    <w:rsid w:val="008E2C58"/>
    <w:rsid w:val="008E2C6C"/>
    <w:rsid w:val="008E2DA3"/>
    <w:rsid w:val="008E2E3E"/>
    <w:rsid w:val="008E2ED4"/>
    <w:rsid w:val="008E2EE1"/>
    <w:rsid w:val="008E2EFD"/>
    <w:rsid w:val="008E2FB2"/>
    <w:rsid w:val="008E2FEC"/>
    <w:rsid w:val="008E2FF2"/>
    <w:rsid w:val="008E3068"/>
    <w:rsid w:val="008E30F5"/>
    <w:rsid w:val="008E3140"/>
    <w:rsid w:val="008E319D"/>
    <w:rsid w:val="008E31BF"/>
    <w:rsid w:val="008E31EA"/>
    <w:rsid w:val="008E33C1"/>
    <w:rsid w:val="008E342E"/>
    <w:rsid w:val="008E34B8"/>
    <w:rsid w:val="008E37B3"/>
    <w:rsid w:val="008E37C1"/>
    <w:rsid w:val="008E3914"/>
    <w:rsid w:val="008E3ABD"/>
    <w:rsid w:val="008E3C29"/>
    <w:rsid w:val="008E3F90"/>
    <w:rsid w:val="008E4076"/>
    <w:rsid w:val="008E40CE"/>
    <w:rsid w:val="008E42DA"/>
    <w:rsid w:val="008E43B3"/>
    <w:rsid w:val="008E4462"/>
    <w:rsid w:val="008E4758"/>
    <w:rsid w:val="008E48C3"/>
    <w:rsid w:val="008E4940"/>
    <w:rsid w:val="008E4AAF"/>
    <w:rsid w:val="008E4B50"/>
    <w:rsid w:val="008E4C79"/>
    <w:rsid w:val="008E4CCE"/>
    <w:rsid w:val="008E4E91"/>
    <w:rsid w:val="008E4F5A"/>
    <w:rsid w:val="008E50D2"/>
    <w:rsid w:val="008E5302"/>
    <w:rsid w:val="008E53B7"/>
    <w:rsid w:val="008E5D8D"/>
    <w:rsid w:val="008E5DC3"/>
    <w:rsid w:val="008E6037"/>
    <w:rsid w:val="008E6181"/>
    <w:rsid w:val="008E638D"/>
    <w:rsid w:val="008E648E"/>
    <w:rsid w:val="008E6559"/>
    <w:rsid w:val="008E66B3"/>
    <w:rsid w:val="008E67BE"/>
    <w:rsid w:val="008E680C"/>
    <w:rsid w:val="008E6B86"/>
    <w:rsid w:val="008E6CAC"/>
    <w:rsid w:val="008E6CAE"/>
    <w:rsid w:val="008E6DBB"/>
    <w:rsid w:val="008E6E0C"/>
    <w:rsid w:val="008E6E7B"/>
    <w:rsid w:val="008E6F13"/>
    <w:rsid w:val="008E6F27"/>
    <w:rsid w:val="008E6FC0"/>
    <w:rsid w:val="008E7223"/>
    <w:rsid w:val="008E7263"/>
    <w:rsid w:val="008E7286"/>
    <w:rsid w:val="008E7351"/>
    <w:rsid w:val="008E744C"/>
    <w:rsid w:val="008E75FF"/>
    <w:rsid w:val="008E76D1"/>
    <w:rsid w:val="008E76DE"/>
    <w:rsid w:val="008E778D"/>
    <w:rsid w:val="008E77DE"/>
    <w:rsid w:val="008E7B1D"/>
    <w:rsid w:val="008E7B77"/>
    <w:rsid w:val="008E7CB6"/>
    <w:rsid w:val="008E7DCE"/>
    <w:rsid w:val="008E7E2B"/>
    <w:rsid w:val="008E7E70"/>
    <w:rsid w:val="008E7E91"/>
    <w:rsid w:val="008E7F15"/>
    <w:rsid w:val="008E7FAB"/>
    <w:rsid w:val="008E7FF7"/>
    <w:rsid w:val="008F037A"/>
    <w:rsid w:val="008F03B3"/>
    <w:rsid w:val="008F05F8"/>
    <w:rsid w:val="008F078E"/>
    <w:rsid w:val="008F079D"/>
    <w:rsid w:val="008F07B7"/>
    <w:rsid w:val="008F07F6"/>
    <w:rsid w:val="008F080E"/>
    <w:rsid w:val="008F0E7E"/>
    <w:rsid w:val="008F1129"/>
    <w:rsid w:val="008F1137"/>
    <w:rsid w:val="008F115A"/>
    <w:rsid w:val="008F132C"/>
    <w:rsid w:val="008F15B8"/>
    <w:rsid w:val="008F164A"/>
    <w:rsid w:val="008F16AA"/>
    <w:rsid w:val="008F16AE"/>
    <w:rsid w:val="008F171C"/>
    <w:rsid w:val="008F1869"/>
    <w:rsid w:val="008F18C9"/>
    <w:rsid w:val="008F1C0D"/>
    <w:rsid w:val="008F1C4D"/>
    <w:rsid w:val="008F1C96"/>
    <w:rsid w:val="008F1C99"/>
    <w:rsid w:val="008F1F1C"/>
    <w:rsid w:val="008F1F1D"/>
    <w:rsid w:val="008F201F"/>
    <w:rsid w:val="008F2159"/>
    <w:rsid w:val="008F216F"/>
    <w:rsid w:val="008F2266"/>
    <w:rsid w:val="008F2338"/>
    <w:rsid w:val="008F2342"/>
    <w:rsid w:val="008F23B9"/>
    <w:rsid w:val="008F246D"/>
    <w:rsid w:val="008F26C1"/>
    <w:rsid w:val="008F2B9D"/>
    <w:rsid w:val="008F2C80"/>
    <w:rsid w:val="008F2CDC"/>
    <w:rsid w:val="008F2D67"/>
    <w:rsid w:val="008F2DBC"/>
    <w:rsid w:val="008F2EC6"/>
    <w:rsid w:val="008F2ED7"/>
    <w:rsid w:val="008F3350"/>
    <w:rsid w:val="008F342C"/>
    <w:rsid w:val="008F3432"/>
    <w:rsid w:val="008F34FE"/>
    <w:rsid w:val="008F3518"/>
    <w:rsid w:val="008F3784"/>
    <w:rsid w:val="008F3859"/>
    <w:rsid w:val="008F3B63"/>
    <w:rsid w:val="008F3E66"/>
    <w:rsid w:val="008F3E77"/>
    <w:rsid w:val="008F3F84"/>
    <w:rsid w:val="008F3FAB"/>
    <w:rsid w:val="008F40CF"/>
    <w:rsid w:val="008F40F8"/>
    <w:rsid w:val="008F41D9"/>
    <w:rsid w:val="008F4320"/>
    <w:rsid w:val="008F4412"/>
    <w:rsid w:val="008F4670"/>
    <w:rsid w:val="008F46A0"/>
    <w:rsid w:val="008F4717"/>
    <w:rsid w:val="008F472C"/>
    <w:rsid w:val="008F47BD"/>
    <w:rsid w:val="008F4826"/>
    <w:rsid w:val="008F4A9E"/>
    <w:rsid w:val="008F4B0F"/>
    <w:rsid w:val="008F4B49"/>
    <w:rsid w:val="008F4C45"/>
    <w:rsid w:val="008F4D59"/>
    <w:rsid w:val="008F4DA5"/>
    <w:rsid w:val="008F4EA8"/>
    <w:rsid w:val="008F5099"/>
    <w:rsid w:val="008F50EE"/>
    <w:rsid w:val="008F5192"/>
    <w:rsid w:val="008F520C"/>
    <w:rsid w:val="008F5301"/>
    <w:rsid w:val="008F5338"/>
    <w:rsid w:val="008F53FD"/>
    <w:rsid w:val="008F5588"/>
    <w:rsid w:val="008F56FC"/>
    <w:rsid w:val="008F573B"/>
    <w:rsid w:val="008F58CF"/>
    <w:rsid w:val="008F5913"/>
    <w:rsid w:val="008F5917"/>
    <w:rsid w:val="008F5B0F"/>
    <w:rsid w:val="008F5B39"/>
    <w:rsid w:val="008F5C8E"/>
    <w:rsid w:val="008F5D13"/>
    <w:rsid w:val="008F5EE7"/>
    <w:rsid w:val="008F5F07"/>
    <w:rsid w:val="008F6014"/>
    <w:rsid w:val="008F6033"/>
    <w:rsid w:val="008F60F0"/>
    <w:rsid w:val="008F6338"/>
    <w:rsid w:val="008F6431"/>
    <w:rsid w:val="008F6534"/>
    <w:rsid w:val="008F669B"/>
    <w:rsid w:val="008F674D"/>
    <w:rsid w:val="008F67B9"/>
    <w:rsid w:val="008F6A38"/>
    <w:rsid w:val="008F6B83"/>
    <w:rsid w:val="008F6D06"/>
    <w:rsid w:val="008F6D1A"/>
    <w:rsid w:val="008F6E5C"/>
    <w:rsid w:val="008F6E6E"/>
    <w:rsid w:val="008F6F69"/>
    <w:rsid w:val="008F7046"/>
    <w:rsid w:val="008F7337"/>
    <w:rsid w:val="008F739C"/>
    <w:rsid w:val="008F7430"/>
    <w:rsid w:val="008F7488"/>
    <w:rsid w:val="008F74E9"/>
    <w:rsid w:val="008F7564"/>
    <w:rsid w:val="008F7578"/>
    <w:rsid w:val="008F76A1"/>
    <w:rsid w:val="008F7749"/>
    <w:rsid w:val="008F7882"/>
    <w:rsid w:val="008F7915"/>
    <w:rsid w:val="008F7C02"/>
    <w:rsid w:val="008F7C0D"/>
    <w:rsid w:val="008F7CA8"/>
    <w:rsid w:val="008F7E78"/>
    <w:rsid w:val="008F7F43"/>
    <w:rsid w:val="00900019"/>
    <w:rsid w:val="009000AC"/>
    <w:rsid w:val="009000BC"/>
    <w:rsid w:val="00900110"/>
    <w:rsid w:val="00900317"/>
    <w:rsid w:val="009003EB"/>
    <w:rsid w:val="009004BB"/>
    <w:rsid w:val="009004D7"/>
    <w:rsid w:val="009004F6"/>
    <w:rsid w:val="009005B6"/>
    <w:rsid w:val="009006A7"/>
    <w:rsid w:val="009006BD"/>
    <w:rsid w:val="009006E5"/>
    <w:rsid w:val="0090070E"/>
    <w:rsid w:val="00900747"/>
    <w:rsid w:val="00900779"/>
    <w:rsid w:val="00900895"/>
    <w:rsid w:val="0090089C"/>
    <w:rsid w:val="00900A6C"/>
    <w:rsid w:val="00900BF5"/>
    <w:rsid w:val="00900DCF"/>
    <w:rsid w:val="00901205"/>
    <w:rsid w:val="009013D5"/>
    <w:rsid w:val="00901637"/>
    <w:rsid w:val="00901669"/>
    <w:rsid w:val="009016A0"/>
    <w:rsid w:val="009019D0"/>
    <w:rsid w:val="009019DF"/>
    <w:rsid w:val="009019E3"/>
    <w:rsid w:val="009019F7"/>
    <w:rsid w:val="00901A93"/>
    <w:rsid w:val="00901AB1"/>
    <w:rsid w:val="00901BD0"/>
    <w:rsid w:val="00901BD7"/>
    <w:rsid w:val="00901E49"/>
    <w:rsid w:val="00901EF2"/>
    <w:rsid w:val="00901FCF"/>
    <w:rsid w:val="00902135"/>
    <w:rsid w:val="0090219F"/>
    <w:rsid w:val="009021C8"/>
    <w:rsid w:val="009023A7"/>
    <w:rsid w:val="009027FF"/>
    <w:rsid w:val="00902805"/>
    <w:rsid w:val="009028CA"/>
    <w:rsid w:val="0090291F"/>
    <w:rsid w:val="00902BBB"/>
    <w:rsid w:val="00902CC0"/>
    <w:rsid w:val="00902D22"/>
    <w:rsid w:val="00902FC4"/>
    <w:rsid w:val="00902FD9"/>
    <w:rsid w:val="00903083"/>
    <w:rsid w:val="009030C2"/>
    <w:rsid w:val="009030D1"/>
    <w:rsid w:val="0090318F"/>
    <w:rsid w:val="00903329"/>
    <w:rsid w:val="009034E1"/>
    <w:rsid w:val="0090359B"/>
    <w:rsid w:val="00903650"/>
    <w:rsid w:val="009036CD"/>
    <w:rsid w:val="00903755"/>
    <w:rsid w:val="0090377E"/>
    <w:rsid w:val="0090389F"/>
    <w:rsid w:val="00903D58"/>
    <w:rsid w:val="00903DA3"/>
    <w:rsid w:val="00903E7E"/>
    <w:rsid w:val="00903EA0"/>
    <w:rsid w:val="00903EA8"/>
    <w:rsid w:val="00903ED0"/>
    <w:rsid w:val="00903EFA"/>
    <w:rsid w:val="00903F02"/>
    <w:rsid w:val="00903F98"/>
    <w:rsid w:val="00903FB6"/>
    <w:rsid w:val="00904134"/>
    <w:rsid w:val="00904301"/>
    <w:rsid w:val="009043F4"/>
    <w:rsid w:val="0090449F"/>
    <w:rsid w:val="0090456C"/>
    <w:rsid w:val="009045A6"/>
    <w:rsid w:val="00904683"/>
    <w:rsid w:val="00904914"/>
    <w:rsid w:val="0090491D"/>
    <w:rsid w:val="00904992"/>
    <w:rsid w:val="009049A2"/>
    <w:rsid w:val="00904DF5"/>
    <w:rsid w:val="00904E7F"/>
    <w:rsid w:val="00904FFB"/>
    <w:rsid w:val="00905099"/>
    <w:rsid w:val="0090516E"/>
    <w:rsid w:val="00905194"/>
    <w:rsid w:val="009051D4"/>
    <w:rsid w:val="0090535A"/>
    <w:rsid w:val="0090539D"/>
    <w:rsid w:val="00905568"/>
    <w:rsid w:val="009055D5"/>
    <w:rsid w:val="009055EA"/>
    <w:rsid w:val="00905676"/>
    <w:rsid w:val="0090579C"/>
    <w:rsid w:val="009058B5"/>
    <w:rsid w:val="0090591C"/>
    <w:rsid w:val="00905E2B"/>
    <w:rsid w:val="00905E6C"/>
    <w:rsid w:val="00905EB2"/>
    <w:rsid w:val="00905F87"/>
    <w:rsid w:val="00906060"/>
    <w:rsid w:val="00906108"/>
    <w:rsid w:val="009061AB"/>
    <w:rsid w:val="009063A3"/>
    <w:rsid w:val="0090641C"/>
    <w:rsid w:val="00906442"/>
    <w:rsid w:val="009065C5"/>
    <w:rsid w:val="00906660"/>
    <w:rsid w:val="009066A2"/>
    <w:rsid w:val="009066B0"/>
    <w:rsid w:val="00906833"/>
    <w:rsid w:val="00906BC8"/>
    <w:rsid w:val="00906BF6"/>
    <w:rsid w:val="00906CF9"/>
    <w:rsid w:val="00906E9A"/>
    <w:rsid w:val="00906EA1"/>
    <w:rsid w:val="00906F19"/>
    <w:rsid w:val="00906F38"/>
    <w:rsid w:val="00906F7E"/>
    <w:rsid w:val="00906FD0"/>
    <w:rsid w:val="0090701D"/>
    <w:rsid w:val="0090712D"/>
    <w:rsid w:val="0090719D"/>
    <w:rsid w:val="00907279"/>
    <w:rsid w:val="009073CE"/>
    <w:rsid w:val="00907595"/>
    <w:rsid w:val="0090783A"/>
    <w:rsid w:val="00907879"/>
    <w:rsid w:val="00907B3C"/>
    <w:rsid w:val="00907C94"/>
    <w:rsid w:val="00907D6D"/>
    <w:rsid w:val="00907E5E"/>
    <w:rsid w:val="00907F32"/>
    <w:rsid w:val="00907FAF"/>
    <w:rsid w:val="009100BF"/>
    <w:rsid w:val="0091011B"/>
    <w:rsid w:val="00910141"/>
    <w:rsid w:val="009102D0"/>
    <w:rsid w:val="00910601"/>
    <w:rsid w:val="009106BD"/>
    <w:rsid w:val="00910719"/>
    <w:rsid w:val="009107BE"/>
    <w:rsid w:val="009107E4"/>
    <w:rsid w:val="009107F7"/>
    <w:rsid w:val="0091083B"/>
    <w:rsid w:val="00910B89"/>
    <w:rsid w:val="00910BB2"/>
    <w:rsid w:val="00910BC7"/>
    <w:rsid w:val="00910C49"/>
    <w:rsid w:val="00910DEA"/>
    <w:rsid w:val="00911162"/>
    <w:rsid w:val="0091118D"/>
    <w:rsid w:val="0091134C"/>
    <w:rsid w:val="009115C5"/>
    <w:rsid w:val="009118C0"/>
    <w:rsid w:val="009119C5"/>
    <w:rsid w:val="00911A98"/>
    <w:rsid w:val="00911B5B"/>
    <w:rsid w:val="00911D62"/>
    <w:rsid w:val="00911DF5"/>
    <w:rsid w:val="00911EB9"/>
    <w:rsid w:val="00911EBB"/>
    <w:rsid w:val="00912098"/>
    <w:rsid w:val="0091246E"/>
    <w:rsid w:val="009124BD"/>
    <w:rsid w:val="009124C0"/>
    <w:rsid w:val="009125EB"/>
    <w:rsid w:val="00912767"/>
    <w:rsid w:val="0091280D"/>
    <w:rsid w:val="009128D9"/>
    <w:rsid w:val="009128F6"/>
    <w:rsid w:val="00912973"/>
    <w:rsid w:val="00912A3E"/>
    <w:rsid w:val="00912B98"/>
    <w:rsid w:val="00912C4F"/>
    <w:rsid w:val="00912CB3"/>
    <w:rsid w:val="00912D3F"/>
    <w:rsid w:val="00912D60"/>
    <w:rsid w:val="00912F4A"/>
    <w:rsid w:val="00912FA9"/>
    <w:rsid w:val="00912FE7"/>
    <w:rsid w:val="0091300D"/>
    <w:rsid w:val="00913229"/>
    <w:rsid w:val="009134D3"/>
    <w:rsid w:val="00913576"/>
    <w:rsid w:val="009135D2"/>
    <w:rsid w:val="009135E8"/>
    <w:rsid w:val="00913790"/>
    <w:rsid w:val="00913805"/>
    <w:rsid w:val="00913A82"/>
    <w:rsid w:val="00913B9C"/>
    <w:rsid w:val="00913C24"/>
    <w:rsid w:val="00913D51"/>
    <w:rsid w:val="00913D78"/>
    <w:rsid w:val="00913E44"/>
    <w:rsid w:val="00913F5D"/>
    <w:rsid w:val="009144BA"/>
    <w:rsid w:val="009144F3"/>
    <w:rsid w:val="00914806"/>
    <w:rsid w:val="00914893"/>
    <w:rsid w:val="00914933"/>
    <w:rsid w:val="00914C98"/>
    <w:rsid w:val="00914DF8"/>
    <w:rsid w:val="00914E87"/>
    <w:rsid w:val="009150E0"/>
    <w:rsid w:val="009150E3"/>
    <w:rsid w:val="0091519A"/>
    <w:rsid w:val="009151E0"/>
    <w:rsid w:val="00915222"/>
    <w:rsid w:val="009152EA"/>
    <w:rsid w:val="00915331"/>
    <w:rsid w:val="0091546E"/>
    <w:rsid w:val="009155AE"/>
    <w:rsid w:val="00915617"/>
    <w:rsid w:val="009156B9"/>
    <w:rsid w:val="009156BA"/>
    <w:rsid w:val="00915754"/>
    <w:rsid w:val="009157F9"/>
    <w:rsid w:val="009158A6"/>
    <w:rsid w:val="00915941"/>
    <w:rsid w:val="009159F4"/>
    <w:rsid w:val="00915A10"/>
    <w:rsid w:val="00915AB9"/>
    <w:rsid w:val="00915B04"/>
    <w:rsid w:val="00915CAC"/>
    <w:rsid w:val="00915D29"/>
    <w:rsid w:val="00915DEA"/>
    <w:rsid w:val="00916002"/>
    <w:rsid w:val="009161DD"/>
    <w:rsid w:val="00916227"/>
    <w:rsid w:val="00916308"/>
    <w:rsid w:val="00916349"/>
    <w:rsid w:val="009163D5"/>
    <w:rsid w:val="00916472"/>
    <w:rsid w:val="0091656A"/>
    <w:rsid w:val="009165D7"/>
    <w:rsid w:val="0091660F"/>
    <w:rsid w:val="0091663A"/>
    <w:rsid w:val="009166DE"/>
    <w:rsid w:val="00916768"/>
    <w:rsid w:val="0091683B"/>
    <w:rsid w:val="00916A26"/>
    <w:rsid w:val="00916B29"/>
    <w:rsid w:val="00916C13"/>
    <w:rsid w:val="00916CAB"/>
    <w:rsid w:val="00916CE5"/>
    <w:rsid w:val="00916E99"/>
    <w:rsid w:val="00916EF2"/>
    <w:rsid w:val="00916EF4"/>
    <w:rsid w:val="00916EFA"/>
    <w:rsid w:val="009170D2"/>
    <w:rsid w:val="00917104"/>
    <w:rsid w:val="0091720A"/>
    <w:rsid w:val="009172A5"/>
    <w:rsid w:val="0091738B"/>
    <w:rsid w:val="00917464"/>
    <w:rsid w:val="0091766E"/>
    <w:rsid w:val="0091771F"/>
    <w:rsid w:val="00917777"/>
    <w:rsid w:val="009177C6"/>
    <w:rsid w:val="00917802"/>
    <w:rsid w:val="00917859"/>
    <w:rsid w:val="009179BE"/>
    <w:rsid w:val="00917A1F"/>
    <w:rsid w:val="00917AFC"/>
    <w:rsid w:val="00917B6A"/>
    <w:rsid w:val="00917CD8"/>
    <w:rsid w:val="00917CF2"/>
    <w:rsid w:val="00917CFB"/>
    <w:rsid w:val="00917E4F"/>
    <w:rsid w:val="00917E6B"/>
    <w:rsid w:val="00917F63"/>
    <w:rsid w:val="00917FE8"/>
    <w:rsid w:val="0092048E"/>
    <w:rsid w:val="0092061F"/>
    <w:rsid w:val="009207CA"/>
    <w:rsid w:val="0092090D"/>
    <w:rsid w:val="00920A03"/>
    <w:rsid w:val="00920A5D"/>
    <w:rsid w:val="00920B40"/>
    <w:rsid w:val="00920B71"/>
    <w:rsid w:val="00920DE0"/>
    <w:rsid w:val="00920FD9"/>
    <w:rsid w:val="00921037"/>
    <w:rsid w:val="009211F3"/>
    <w:rsid w:val="0092133A"/>
    <w:rsid w:val="009213D7"/>
    <w:rsid w:val="00921403"/>
    <w:rsid w:val="0092140B"/>
    <w:rsid w:val="0092149B"/>
    <w:rsid w:val="00921675"/>
    <w:rsid w:val="009217A6"/>
    <w:rsid w:val="00921818"/>
    <w:rsid w:val="00921856"/>
    <w:rsid w:val="00921A74"/>
    <w:rsid w:val="00921BCC"/>
    <w:rsid w:val="00921DB3"/>
    <w:rsid w:val="0092202E"/>
    <w:rsid w:val="009220F2"/>
    <w:rsid w:val="009221D8"/>
    <w:rsid w:val="0092220F"/>
    <w:rsid w:val="00922545"/>
    <w:rsid w:val="00922712"/>
    <w:rsid w:val="009228C1"/>
    <w:rsid w:val="00922B00"/>
    <w:rsid w:val="00922B9B"/>
    <w:rsid w:val="00922CC7"/>
    <w:rsid w:val="00922D02"/>
    <w:rsid w:val="00922DEB"/>
    <w:rsid w:val="00922FA5"/>
    <w:rsid w:val="00922FFC"/>
    <w:rsid w:val="009230BC"/>
    <w:rsid w:val="00923121"/>
    <w:rsid w:val="00923279"/>
    <w:rsid w:val="0092333C"/>
    <w:rsid w:val="00923377"/>
    <w:rsid w:val="0092352F"/>
    <w:rsid w:val="0092376D"/>
    <w:rsid w:val="00923781"/>
    <w:rsid w:val="009238FA"/>
    <w:rsid w:val="00923C1C"/>
    <w:rsid w:val="00923DAE"/>
    <w:rsid w:val="00923E10"/>
    <w:rsid w:val="0092409C"/>
    <w:rsid w:val="009240A6"/>
    <w:rsid w:val="009240B5"/>
    <w:rsid w:val="00924261"/>
    <w:rsid w:val="009242A7"/>
    <w:rsid w:val="00924310"/>
    <w:rsid w:val="00924388"/>
    <w:rsid w:val="0092441F"/>
    <w:rsid w:val="009244F0"/>
    <w:rsid w:val="0092465D"/>
    <w:rsid w:val="009246F7"/>
    <w:rsid w:val="00924924"/>
    <w:rsid w:val="00924AC4"/>
    <w:rsid w:val="00924B34"/>
    <w:rsid w:val="00924CE6"/>
    <w:rsid w:val="00924E5B"/>
    <w:rsid w:val="00924FF9"/>
    <w:rsid w:val="00925052"/>
    <w:rsid w:val="0092515A"/>
    <w:rsid w:val="00925203"/>
    <w:rsid w:val="00925232"/>
    <w:rsid w:val="0092529E"/>
    <w:rsid w:val="00925434"/>
    <w:rsid w:val="009254E2"/>
    <w:rsid w:val="00925595"/>
    <w:rsid w:val="00925A42"/>
    <w:rsid w:val="00925ACD"/>
    <w:rsid w:val="00925AE7"/>
    <w:rsid w:val="00925B21"/>
    <w:rsid w:val="00925CAD"/>
    <w:rsid w:val="00925CCC"/>
    <w:rsid w:val="00925E43"/>
    <w:rsid w:val="00926214"/>
    <w:rsid w:val="009262BF"/>
    <w:rsid w:val="009262C9"/>
    <w:rsid w:val="00926419"/>
    <w:rsid w:val="0092641C"/>
    <w:rsid w:val="009265C3"/>
    <w:rsid w:val="00926629"/>
    <w:rsid w:val="00926633"/>
    <w:rsid w:val="0092664B"/>
    <w:rsid w:val="00926692"/>
    <w:rsid w:val="009269F5"/>
    <w:rsid w:val="00926A5B"/>
    <w:rsid w:val="00926B01"/>
    <w:rsid w:val="00926C38"/>
    <w:rsid w:val="00926C70"/>
    <w:rsid w:val="00926D09"/>
    <w:rsid w:val="00926D77"/>
    <w:rsid w:val="00926EBE"/>
    <w:rsid w:val="00926FEB"/>
    <w:rsid w:val="00927128"/>
    <w:rsid w:val="00927254"/>
    <w:rsid w:val="00927262"/>
    <w:rsid w:val="00927480"/>
    <w:rsid w:val="009274B2"/>
    <w:rsid w:val="0092763D"/>
    <w:rsid w:val="0092771E"/>
    <w:rsid w:val="009277B3"/>
    <w:rsid w:val="0092796E"/>
    <w:rsid w:val="00927A11"/>
    <w:rsid w:val="00927CAB"/>
    <w:rsid w:val="00927CC4"/>
    <w:rsid w:val="00927CE3"/>
    <w:rsid w:val="00927DC7"/>
    <w:rsid w:val="00927EB6"/>
    <w:rsid w:val="00927EBD"/>
    <w:rsid w:val="00927ECB"/>
    <w:rsid w:val="0092C714"/>
    <w:rsid w:val="0093003A"/>
    <w:rsid w:val="00930062"/>
    <w:rsid w:val="009300A0"/>
    <w:rsid w:val="009300DB"/>
    <w:rsid w:val="009301D4"/>
    <w:rsid w:val="009301FC"/>
    <w:rsid w:val="00930286"/>
    <w:rsid w:val="0093049B"/>
    <w:rsid w:val="00930594"/>
    <w:rsid w:val="00930702"/>
    <w:rsid w:val="00930852"/>
    <w:rsid w:val="00930E1E"/>
    <w:rsid w:val="00930ED9"/>
    <w:rsid w:val="00930EE3"/>
    <w:rsid w:val="00931267"/>
    <w:rsid w:val="0093128D"/>
    <w:rsid w:val="009312CD"/>
    <w:rsid w:val="009312E4"/>
    <w:rsid w:val="0093150F"/>
    <w:rsid w:val="0093161C"/>
    <w:rsid w:val="0093169F"/>
    <w:rsid w:val="009317FC"/>
    <w:rsid w:val="0093182B"/>
    <w:rsid w:val="00931896"/>
    <w:rsid w:val="009319E7"/>
    <w:rsid w:val="00931BD2"/>
    <w:rsid w:val="00931C92"/>
    <w:rsid w:val="00931CF0"/>
    <w:rsid w:val="00931EB5"/>
    <w:rsid w:val="00931FDB"/>
    <w:rsid w:val="0093200F"/>
    <w:rsid w:val="009320FE"/>
    <w:rsid w:val="00932128"/>
    <w:rsid w:val="00932159"/>
    <w:rsid w:val="009321C1"/>
    <w:rsid w:val="0093224B"/>
    <w:rsid w:val="009322AE"/>
    <w:rsid w:val="00932395"/>
    <w:rsid w:val="0093245B"/>
    <w:rsid w:val="0093246E"/>
    <w:rsid w:val="009324A6"/>
    <w:rsid w:val="0093254E"/>
    <w:rsid w:val="0093265B"/>
    <w:rsid w:val="0093267B"/>
    <w:rsid w:val="00932680"/>
    <w:rsid w:val="0093285C"/>
    <w:rsid w:val="00932865"/>
    <w:rsid w:val="00932923"/>
    <w:rsid w:val="00932A95"/>
    <w:rsid w:val="00932BCB"/>
    <w:rsid w:val="00932C1D"/>
    <w:rsid w:val="00932D97"/>
    <w:rsid w:val="00932E48"/>
    <w:rsid w:val="00932EE9"/>
    <w:rsid w:val="00932FA7"/>
    <w:rsid w:val="00932FBA"/>
    <w:rsid w:val="00932FBD"/>
    <w:rsid w:val="00933071"/>
    <w:rsid w:val="009330A0"/>
    <w:rsid w:val="00933169"/>
    <w:rsid w:val="009331AB"/>
    <w:rsid w:val="00933318"/>
    <w:rsid w:val="0093331A"/>
    <w:rsid w:val="00933445"/>
    <w:rsid w:val="009334F7"/>
    <w:rsid w:val="0093357F"/>
    <w:rsid w:val="009335A6"/>
    <w:rsid w:val="009337ED"/>
    <w:rsid w:val="00933874"/>
    <w:rsid w:val="00933889"/>
    <w:rsid w:val="00933B05"/>
    <w:rsid w:val="00933CA2"/>
    <w:rsid w:val="00933CDF"/>
    <w:rsid w:val="00933F4E"/>
    <w:rsid w:val="00933FC4"/>
    <w:rsid w:val="00934144"/>
    <w:rsid w:val="009341F3"/>
    <w:rsid w:val="009342B7"/>
    <w:rsid w:val="009342BD"/>
    <w:rsid w:val="00934330"/>
    <w:rsid w:val="00934358"/>
    <w:rsid w:val="00934374"/>
    <w:rsid w:val="009343BB"/>
    <w:rsid w:val="009345C1"/>
    <w:rsid w:val="0093461E"/>
    <w:rsid w:val="009346CE"/>
    <w:rsid w:val="00934743"/>
    <w:rsid w:val="009348DE"/>
    <w:rsid w:val="00934BC9"/>
    <w:rsid w:val="00934CBD"/>
    <w:rsid w:val="00934FAA"/>
    <w:rsid w:val="009351EB"/>
    <w:rsid w:val="009352CE"/>
    <w:rsid w:val="00935380"/>
    <w:rsid w:val="009353AE"/>
    <w:rsid w:val="00935605"/>
    <w:rsid w:val="009356E8"/>
    <w:rsid w:val="00935887"/>
    <w:rsid w:val="00935C0A"/>
    <w:rsid w:val="00935C60"/>
    <w:rsid w:val="00935C6F"/>
    <w:rsid w:val="00935D38"/>
    <w:rsid w:val="00935E52"/>
    <w:rsid w:val="00935E75"/>
    <w:rsid w:val="00935FF9"/>
    <w:rsid w:val="00936074"/>
    <w:rsid w:val="009364DB"/>
    <w:rsid w:val="00936537"/>
    <w:rsid w:val="00936727"/>
    <w:rsid w:val="0093686B"/>
    <w:rsid w:val="00936AF0"/>
    <w:rsid w:val="00936AF6"/>
    <w:rsid w:val="00936C6E"/>
    <w:rsid w:val="00936F24"/>
    <w:rsid w:val="00936F27"/>
    <w:rsid w:val="00936FC2"/>
    <w:rsid w:val="0093700E"/>
    <w:rsid w:val="009370D2"/>
    <w:rsid w:val="0093711E"/>
    <w:rsid w:val="00937122"/>
    <w:rsid w:val="009371BC"/>
    <w:rsid w:val="0093723F"/>
    <w:rsid w:val="0093731E"/>
    <w:rsid w:val="00937442"/>
    <w:rsid w:val="009374B9"/>
    <w:rsid w:val="009374DE"/>
    <w:rsid w:val="0093750D"/>
    <w:rsid w:val="0093754A"/>
    <w:rsid w:val="009375BE"/>
    <w:rsid w:val="009375DD"/>
    <w:rsid w:val="00937739"/>
    <w:rsid w:val="00937849"/>
    <w:rsid w:val="009378A2"/>
    <w:rsid w:val="009378EA"/>
    <w:rsid w:val="00937A30"/>
    <w:rsid w:val="00937BF2"/>
    <w:rsid w:val="00937C4D"/>
    <w:rsid w:val="00937C59"/>
    <w:rsid w:val="00937CA1"/>
    <w:rsid w:val="00937DC0"/>
    <w:rsid w:val="00937DE8"/>
    <w:rsid w:val="00940000"/>
    <w:rsid w:val="00940021"/>
    <w:rsid w:val="00940102"/>
    <w:rsid w:val="009401DB"/>
    <w:rsid w:val="00940205"/>
    <w:rsid w:val="0094030A"/>
    <w:rsid w:val="0094040B"/>
    <w:rsid w:val="0094051D"/>
    <w:rsid w:val="0094057A"/>
    <w:rsid w:val="0094057F"/>
    <w:rsid w:val="00940649"/>
    <w:rsid w:val="009408BE"/>
    <w:rsid w:val="009408F7"/>
    <w:rsid w:val="009409C6"/>
    <w:rsid w:val="00940A7C"/>
    <w:rsid w:val="00940ABA"/>
    <w:rsid w:val="00940C57"/>
    <w:rsid w:val="00940C88"/>
    <w:rsid w:val="00940CC3"/>
    <w:rsid w:val="00940D50"/>
    <w:rsid w:val="00940DFB"/>
    <w:rsid w:val="00940E34"/>
    <w:rsid w:val="00940F35"/>
    <w:rsid w:val="0094100C"/>
    <w:rsid w:val="00941014"/>
    <w:rsid w:val="0094115C"/>
    <w:rsid w:val="009411AA"/>
    <w:rsid w:val="0094121D"/>
    <w:rsid w:val="0094126F"/>
    <w:rsid w:val="009412DC"/>
    <w:rsid w:val="00941381"/>
    <w:rsid w:val="00941449"/>
    <w:rsid w:val="009415EB"/>
    <w:rsid w:val="00941652"/>
    <w:rsid w:val="00941657"/>
    <w:rsid w:val="00941767"/>
    <w:rsid w:val="00941796"/>
    <w:rsid w:val="00941814"/>
    <w:rsid w:val="009418DD"/>
    <w:rsid w:val="009418E7"/>
    <w:rsid w:val="009419EB"/>
    <w:rsid w:val="00941B2B"/>
    <w:rsid w:val="00941C0C"/>
    <w:rsid w:val="00941DA4"/>
    <w:rsid w:val="00941DD8"/>
    <w:rsid w:val="00941F04"/>
    <w:rsid w:val="00942118"/>
    <w:rsid w:val="0094214E"/>
    <w:rsid w:val="0094232C"/>
    <w:rsid w:val="00942372"/>
    <w:rsid w:val="009423CD"/>
    <w:rsid w:val="0094240F"/>
    <w:rsid w:val="00942414"/>
    <w:rsid w:val="00942445"/>
    <w:rsid w:val="0094245B"/>
    <w:rsid w:val="00942530"/>
    <w:rsid w:val="00942549"/>
    <w:rsid w:val="009425AA"/>
    <w:rsid w:val="00942622"/>
    <w:rsid w:val="00942780"/>
    <w:rsid w:val="0094279E"/>
    <w:rsid w:val="0094288A"/>
    <w:rsid w:val="009428DD"/>
    <w:rsid w:val="009428FE"/>
    <w:rsid w:val="00942978"/>
    <w:rsid w:val="00942BA0"/>
    <w:rsid w:val="00942E30"/>
    <w:rsid w:val="0094305F"/>
    <w:rsid w:val="0094318E"/>
    <w:rsid w:val="009432E5"/>
    <w:rsid w:val="009434D7"/>
    <w:rsid w:val="009435E6"/>
    <w:rsid w:val="00943626"/>
    <w:rsid w:val="00943685"/>
    <w:rsid w:val="0094373E"/>
    <w:rsid w:val="00943765"/>
    <w:rsid w:val="00943817"/>
    <w:rsid w:val="00943863"/>
    <w:rsid w:val="009438EE"/>
    <w:rsid w:val="00943914"/>
    <w:rsid w:val="009439EF"/>
    <w:rsid w:val="00943A66"/>
    <w:rsid w:val="00943A75"/>
    <w:rsid w:val="00943C03"/>
    <w:rsid w:val="00943C39"/>
    <w:rsid w:val="00943D82"/>
    <w:rsid w:val="00943EA5"/>
    <w:rsid w:val="00943F91"/>
    <w:rsid w:val="0094400E"/>
    <w:rsid w:val="009441F6"/>
    <w:rsid w:val="00944287"/>
    <w:rsid w:val="00944530"/>
    <w:rsid w:val="0094453B"/>
    <w:rsid w:val="009445A0"/>
    <w:rsid w:val="009445FF"/>
    <w:rsid w:val="00944867"/>
    <w:rsid w:val="00944A39"/>
    <w:rsid w:val="00944A40"/>
    <w:rsid w:val="00944C07"/>
    <w:rsid w:val="00944F45"/>
    <w:rsid w:val="00944F86"/>
    <w:rsid w:val="00945024"/>
    <w:rsid w:val="009450D3"/>
    <w:rsid w:val="009450FC"/>
    <w:rsid w:val="009452D8"/>
    <w:rsid w:val="00945362"/>
    <w:rsid w:val="009456A3"/>
    <w:rsid w:val="0094580B"/>
    <w:rsid w:val="00945936"/>
    <w:rsid w:val="00945A59"/>
    <w:rsid w:val="00945A61"/>
    <w:rsid w:val="00945A9D"/>
    <w:rsid w:val="00945CE3"/>
    <w:rsid w:val="00945D01"/>
    <w:rsid w:val="00945D11"/>
    <w:rsid w:val="00945D38"/>
    <w:rsid w:val="00945D88"/>
    <w:rsid w:val="00945D9E"/>
    <w:rsid w:val="00945DCD"/>
    <w:rsid w:val="00945DD5"/>
    <w:rsid w:val="00946288"/>
    <w:rsid w:val="00946310"/>
    <w:rsid w:val="0094631F"/>
    <w:rsid w:val="009464A8"/>
    <w:rsid w:val="009464E8"/>
    <w:rsid w:val="0094698C"/>
    <w:rsid w:val="00946ACB"/>
    <w:rsid w:val="00946C5A"/>
    <w:rsid w:val="00946D67"/>
    <w:rsid w:val="00946E10"/>
    <w:rsid w:val="00946E9F"/>
    <w:rsid w:val="00947201"/>
    <w:rsid w:val="0094723D"/>
    <w:rsid w:val="00947325"/>
    <w:rsid w:val="009474A3"/>
    <w:rsid w:val="009474F7"/>
    <w:rsid w:val="00947536"/>
    <w:rsid w:val="00947972"/>
    <w:rsid w:val="00947B9C"/>
    <w:rsid w:val="00947BFB"/>
    <w:rsid w:val="00947C09"/>
    <w:rsid w:val="0095006F"/>
    <w:rsid w:val="00950093"/>
    <w:rsid w:val="0095013F"/>
    <w:rsid w:val="00950248"/>
    <w:rsid w:val="009502FF"/>
    <w:rsid w:val="0095044B"/>
    <w:rsid w:val="00950566"/>
    <w:rsid w:val="009508E2"/>
    <w:rsid w:val="00950936"/>
    <w:rsid w:val="00950A43"/>
    <w:rsid w:val="00950AA4"/>
    <w:rsid w:val="00950AB3"/>
    <w:rsid w:val="00950AE2"/>
    <w:rsid w:val="00950CEB"/>
    <w:rsid w:val="00950D34"/>
    <w:rsid w:val="00950E12"/>
    <w:rsid w:val="00950FE6"/>
    <w:rsid w:val="009510C4"/>
    <w:rsid w:val="0095118D"/>
    <w:rsid w:val="0095122B"/>
    <w:rsid w:val="0095128D"/>
    <w:rsid w:val="009512D8"/>
    <w:rsid w:val="00951381"/>
    <w:rsid w:val="00951382"/>
    <w:rsid w:val="00951671"/>
    <w:rsid w:val="009516F4"/>
    <w:rsid w:val="0095194D"/>
    <w:rsid w:val="00951ACA"/>
    <w:rsid w:val="00951CEC"/>
    <w:rsid w:val="00951E35"/>
    <w:rsid w:val="00951ECD"/>
    <w:rsid w:val="00951F00"/>
    <w:rsid w:val="00951F26"/>
    <w:rsid w:val="00951FCB"/>
    <w:rsid w:val="00952075"/>
    <w:rsid w:val="009520E1"/>
    <w:rsid w:val="00952196"/>
    <w:rsid w:val="0095237D"/>
    <w:rsid w:val="00952455"/>
    <w:rsid w:val="0095245D"/>
    <w:rsid w:val="009524F0"/>
    <w:rsid w:val="00952547"/>
    <w:rsid w:val="009526DB"/>
    <w:rsid w:val="00952B4C"/>
    <w:rsid w:val="00952E12"/>
    <w:rsid w:val="00952F58"/>
    <w:rsid w:val="00953067"/>
    <w:rsid w:val="0095308A"/>
    <w:rsid w:val="009530E4"/>
    <w:rsid w:val="00953147"/>
    <w:rsid w:val="00953239"/>
    <w:rsid w:val="00953255"/>
    <w:rsid w:val="00953333"/>
    <w:rsid w:val="009536A2"/>
    <w:rsid w:val="00953923"/>
    <w:rsid w:val="0095393C"/>
    <w:rsid w:val="00953A8A"/>
    <w:rsid w:val="00953A9D"/>
    <w:rsid w:val="00953ABF"/>
    <w:rsid w:val="00953B6B"/>
    <w:rsid w:val="00953BF8"/>
    <w:rsid w:val="00953C8D"/>
    <w:rsid w:val="00953F3F"/>
    <w:rsid w:val="00953F7F"/>
    <w:rsid w:val="00953FAB"/>
    <w:rsid w:val="00953FAF"/>
    <w:rsid w:val="00953FF3"/>
    <w:rsid w:val="009542EB"/>
    <w:rsid w:val="009544A1"/>
    <w:rsid w:val="009544BB"/>
    <w:rsid w:val="0095461F"/>
    <w:rsid w:val="009546B1"/>
    <w:rsid w:val="009547F2"/>
    <w:rsid w:val="009548AF"/>
    <w:rsid w:val="009549B3"/>
    <w:rsid w:val="009549F8"/>
    <w:rsid w:val="00954C08"/>
    <w:rsid w:val="00954C4E"/>
    <w:rsid w:val="00954CF4"/>
    <w:rsid w:val="00954F84"/>
    <w:rsid w:val="00954FEB"/>
    <w:rsid w:val="009550EF"/>
    <w:rsid w:val="00955170"/>
    <w:rsid w:val="0095529D"/>
    <w:rsid w:val="00955316"/>
    <w:rsid w:val="00955361"/>
    <w:rsid w:val="00955528"/>
    <w:rsid w:val="009555C6"/>
    <w:rsid w:val="009555E3"/>
    <w:rsid w:val="00955AD9"/>
    <w:rsid w:val="00955AE4"/>
    <w:rsid w:val="00955B84"/>
    <w:rsid w:val="00955D21"/>
    <w:rsid w:val="00955DA2"/>
    <w:rsid w:val="00955DB0"/>
    <w:rsid w:val="00955FD8"/>
    <w:rsid w:val="00956122"/>
    <w:rsid w:val="009564E3"/>
    <w:rsid w:val="00956689"/>
    <w:rsid w:val="009567AE"/>
    <w:rsid w:val="009567EB"/>
    <w:rsid w:val="0095686B"/>
    <w:rsid w:val="00956A08"/>
    <w:rsid w:val="00956B15"/>
    <w:rsid w:val="00956B1B"/>
    <w:rsid w:val="00956B5B"/>
    <w:rsid w:val="00956C12"/>
    <w:rsid w:val="00956C30"/>
    <w:rsid w:val="00956D54"/>
    <w:rsid w:val="00957050"/>
    <w:rsid w:val="00957276"/>
    <w:rsid w:val="009573B6"/>
    <w:rsid w:val="009575DD"/>
    <w:rsid w:val="0095760E"/>
    <w:rsid w:val="00957618"/>
    <w:rsid w:val="0095764C"/>
    <w:rsid w:val="0095766B"/>
    <w:rsid w:val="009577C4"/>
    <w:rsid w:val="009578EC"/>
    <w:rsid w:val="00957955"/>
    <w:rsid w:val="00957AF4"/>
    <w:rsid w:val="00957C51"/>
    <w:rsid w:val="00957CB6"/>
    <w:rsid w:val="00957CBE"/>
    <w:rsid w:val="00957D2D"/>
    <w:rsid w:val="00957EC6"/>
    <w:rsid w:val="009602A6"/>
    <w:rsid w:val="009602FD"/>
    <w:rsid w:val="00960312"/>
    <w:rsid w:val="00960353"/>
    <w:rsid w:val="00960449"/>
    <w:rsid w:val="009606F4"/>
    <w:rsid w:val="00960767"/>
    <w:rsid w:val="009608E4"/>
    <w:rsid w:val="009609C3"/>
    <w:rsid w:val="00960A49"/>
    <w:rsid w:val="00960C7E"/>
    <w:rsid w:val="00960CC4"/>
    <w:rsid w:val="00960D21"/>
    <w:rsid w:val="00960D6E"/>
    <w:rsid w:val="00960DA3"/>
    <w:rsid w:val="00960DFA"/>
    <w:rsid w:val="00960FB4"/>
    <w:rsid w:val="0096116C"/>
    <w:rsid w:val="00961247"/>
    <w:rsid w:val="0096126A"/>
    <w:rsid w:val="00961500"/>
    <w:rsid w:val="00961505"/>
    <w:rsid w:val="00961516"/>
    <w:rsid w:val="0096151D"/>
    <w:rsid w:val="00961538"/>
    <w:rsid w:val="0096168A"/>
    <w:rsid w:val="009617EF"/>
    <w:rsid w:val="00961805"/>
    <w:rsid w:val="00961889"/>
    <w:rsid w:val="009618F2"/>
    <w:rsid w:val="00961B2E"/>
    <w:rsid w:val="0096207F"/>
    <w:rsid w:val="009620D3"/>
    <w:rsid w:val="009620F2"/>
    <w:rsid w:val="00962201"/>
    <w:rsid w:val="0096224A"/>
    <w:rsid w:val="0096233B"/>
    <w:rsid w:val="0096237F"/>
    <w:rsid w:val="009623C2"/>
    <w:rsid w:val="009623D0"/>
    <w:rsid w:val="00962401"/>
    <w:rsid w:val="00962436"/>
    <w:rsid w:val="00962512"/>
    <w:rsid w:val="0096252B"/>
    <w:rsid w:val="009625A4"/>
    <w:rsid w:val="009626F6"/>
    <w:rsid w:val="009627DC"/>
    <w:rsid w:val="0096287A"/>
    <w:rsid w:val="009628AE"/>
    <w:rsid w:val="009628C9"/>
    <w:rsid w:val="009629BC"/>
    <w:rsid w:val="009629EB"/>
    <w:rsid w:val="00962A2C"/>
    <w:rsid w:val="00962CC9"/>
    <w:rsid w:val="00962E9D"/>
    <w:rsid w:val="0096354F"/>
    <w:rsid w:val="0096355A"/>
    <w:rsid w:val="00963802"/>
    <w:rsid w:val="00963940"/>
    <w:rsid w:val="009639E3"/>
    <w:rsid w:val="00963A65"/>
    <w:rsid w:val="00963B26"/>
    <w:rsid w:val="00963B2E"/>
    <w:rsid w:val="00963DB9"/>
    <w:rsid w:val="00963F01"/>
    <w:rsid w:val="0096408E"/>
    <w:rsid w:val="009640A1"/>
    <w:rsid w:val="009641FB"/>
    <w:rsid w:val="009643AE"/>
    <w:rsid w:val="00964633"/>
    <w:rsid w:val="00964675"/>
    <w:rsid w:val="009646CB"/>
    <w:rsid w:val="00964775"/>
    <w:rsid w:val="00964997"/>
    <w:rsid w:val="00964A70"/>
    <w:rsid w:val="00964A87"/>
    <w:rsid w:val="00964B3F"/>
    <w:rsid w:val="00964C10"/>
    <w:rsid w:val="00964D8D"/>
    <w:rsid w:val="00964DE5"/>
    <w:rsid w:val="00964E86"/>
    <w:rsid w:val="00964EB3"/>
    <w:rsid w:val="00964FFC"/>
    <w:rsid w:val="0096514A"/>
    <w:rsid w:val="00965209"/>
    <w:rsid w:val="0096532A"/>
    <w:rsid w:val="00965402"/>
    <w:rsid w:val="00965428"/>
    <w:rsid w:val="0096547D"/>
    <w:rsid w:val="009657CE"/>
    <w:rsid w:val="00965A67"/>
    <w:rsid w:val="00965B3F"/>
    <w:rsid w:val="00965CD8"/>
    <w:rsid w:val="00965D69"/>
    <w:rsid w:val="00965F1C"/>
    <w:rsid w:val="00965F2C"/>
    <w:rsid w:val="009661A1"/>
    <w:rsid w:val="009662E2"/>
    <w:rsid w:val="0096654C"/>
    <w:rsid w:val="0096697E"/>
    <w:rsid w:val="00966A2A"/>
    <w:rsid w:val="00966AA4"/>
    <w:rsid w:val="00966C7D"/>
    <w:rsid w:val="00966DAA"/>
    <w:rsid w:val="00966F42"/>
    <w:rsid w:val="0096701C"/>
    <w:rsid w:val="0096711E"/>
    <w:rsid w:val="0096733A"/>
    <w:rsid w:val="009673A3"/>
    <w:rsid w:val="009674AF"/>
    <w:rsid w:val="009676FE"/>
    <w:rsid w:val="00967758"/>
    <w:rsid w:val="00967892"/>
    <w:rsid w:val="00967933"/>
    <w:rsid w:val="00967A5E"/>
    <w:rsid w:val="00967A81"/>
    <w:rsid w:val="00967B5F"/>
    <w:rsid w:val="00967D5D"/>
    <w:rsid w:val="00967DCC"/>
    <w:rsid w:val="00970021"/>
    <w:rsid w:val="009701A0"/>
    <w:rsid w:val="009701DA"/>
    <w:rsid w:val="00970298"/>
    <w:rsid w:val="009704A5"/>
    <w:rsid w:val="009704F6"/>
    <w:rsid w:val="009705E1"/>
    <w:rsid w:val="0097060E"/>
    <w:rsid w:val="00970780"/>
    <w:rsid w:val="0097093C"/>
    <w:rsid w:val="00970997"/>
    <w:rsid w:val="00970A6D"/>
    <w:rsid w:val="00970C02"/>
    <w:rsid w:val="00970E3E"/>
    <w:rsid w:val="00970E7E"/>
    <w:rsid w:val="00970ED8"/>
    <w:rsid w:val="00970EE3"/>
    <w:rsid w:val="00970F0E"/>
    <w:rsid w:val="00970FED"/>
    <w:rsid w:val="00970FF0"/>
    <w:rsid w:val="00971023"/>
    <w:rsid w:val="00971122"/>
    <w:rsid w:val="00971125"/>
    <w:rsid w:val="009711C3"/>
    <w:rsid w:val="009712B7"/>
    <w:rsid w:val="009712C3"/>
    <w:rsid w:val="00971672"/>
    <w:rsid w:val="0097188B"/>
    <w:rsid w:val="00971895"/>
    <w:rsid w:val="00971966"/>
    <w:rsid w:val="009719FC"/>
    <w:rsid w:val="00971A56"/>
    <w:rsid w:val="00971C87"/>
    <w:rsid w:val="00971CCA"/>
    <w:rsid w:val="00971D87"/>
    <w:rsid w:val="00971EF7"/>
    <w:rsid w:val="00971F5A"/>
    <w:rsid w:val="00971F85"/>
    <w:rsid w:val="009720FF"/>
    <w:rsid w:val="009721E9"/>
    <w:rsid w:val="00972281"/>
    <w:rsid w:val="0097228F"/>
    <w:rsid w:val="0097247C"/>
    <w:rsid w:val="00972592"/>
    <w:rsid w:val="00972598"/>
    <w:rsid w:val="00972682"/>
    <w:rsid w:val="0097272D"/>
    <w:rsid w:val="0097280E"/>
    <w:rsid w:val="009729AE"/>
    <w:rsid w:val="00972ADD"/>
    <w:rsid w:val="00972B35"/>
    <w:rsid w:val="00972BFB"/>
    <w:rsid w:val="00972C32"/>
    <w:rsid w:val="00972E58"/>
    <w:rsid w:val="00972EBE"/>
    <w:rsid w:val="00972ECF"/>
    <w:rsid w:val="00972FB9"/>
    <w:rsid w:val="00972FEF"/>
    <w:rsid w:val="00973040"/>
    <w:rsid w:val="00973075"/>
    <w:rsid w:val="009730FD"/>
    <w:rsid w:val="0097324E"/>
    <w:rsid w:val="0097336A"/>
    <w:rsid w:val="0097337C"/>
    <w:rsid w:val="00973458"/>
    <w:rsid w:val="0097355E"/>
    <w:rsid w:val="009736F6"/>
    <w:rsid w:val="009736FD"/>
    <w:rsid w:val="0097372B"/>
    <w:rsid w:val="009739A5"/>
    <w:rsid w:val="00973AA3"/>
    <w:rsid w:val="00973B5F"/>
    <w:rsid w:val="00973B7B"/>
    <w:rsid w:val="00973C30"/>
    <w:rsid w:val="00973E06"/>
    <w:rsid w:val="0097405C"/>
    <w:rsid w:val="00974082"/>
    <w:rsid w:val="009741C9"/>
    <w:rsid w:val="009741F7"/>
    <w:rsid w:val="009742B4"/>
    <w:rsid w:val="00974365"/>
    <w:rsid w:val="009743BC"/>
    <w:rsid w:val="00974464"/>
    <w:rsid w:val="00974470"/>
    <w:rsid w:val="009745F4"/>
    <w:rsid w:val="00974622"/>
    <w:rsid w:val="009747B9"/>
    <w:rsid w:val="009748AB"/>
    <w:rsid w:val="009748E6"/>
    <w:rsid w:val="009749B5"/>
    <w:rsid w:val="00974A5D"/>
    <w:rsid w:val="00974AC5"/>
    <w:rsid w:val="00974AD0"/>
    <w:rsid w:val="00974B62"/>
    <w:rsid w:val="00974B6C"/>
    <w:rsid w:val="00974BFA"/>
    <w:rsid w:val="00974D88"/>
    <w:rsid w:val="00974E1F"/>
    <w:rsid w:val="00974F51"/>
    <w:rsid w:val="00974F60"/>
    <w:rsid w:val="00975086"/>
    <w:rsid w:val="00975195"/>
    <w:rsid w:val="0097527C"/>
    <w:rsid w:val="00975342"/>
    <w:rsid w:val="009755E8"/>
    <w:rsid w:val="0097592E"/>
    <w:rsid w:val="00975947"/>
    <w:rsid w:val="009759E2"/>
    <w:rsid w:val="00975A38"/>
    <w:rsid w:val="00975BB5"/>
    <w:rsid w:val="00975C7C"/>
    <w:rsid w:val="00975C8E"/>
    <w:rsid w:val="00975EB1"/>
    <w:rsid w:val="00975EF3"/>
    <w:rsid w:val="00975F02"/>
    <w:rsid w:val="00975FDD"/>
    <w:rsid w:val="009760B9"/>
    <w:rsid w:val="0097611F"/>
    <w:rsid w:val="0097614F"/>
    <w:rsid w:val="009762D5"/>
    <w:rsid w:val="009763BA"/>
    <w:rsid w:val="009767F1"/>
    <w:rsid w:val="0097685A"/>
    <w:rsid w:val="009768AF"/>
    <w:rsid w:val="009768E2"/>
    <w:rsid w:val="00976A2F"/>
    <w:rsid w:val="00976C03"/>
    <w:rsid w:val="00976D89"/>
    <w:rsid w:val="0097700D"/>
    <w:rsid w:val="00977072"/>
    <w:rsid w:val="0097711F"/>
    <w:rsid w:val="00977440"/>
    <w:rsid w:val="00977458"/>
    <w:rsid w:val="009774C7"/>
    <w:rsid w:val="009775FF"/>
    <w:rsid w:val="00977654"/>
    <w:rsid w:val="00977661"/>
    <w:rsid w:val="009776A1"/>
    <w:rsid w:val="0097780D"/>
    <w:rsid w:val="009778EF"/>
    <w:rsid w:val="009779BF"/>
    <w:rsid w:val="009779F0"/>
    <w:rsid w:val="00977AEA"/>
    <w:rsid w:val="00977EF1"/>
    <w:rsid w:val="00977FB5"/>
    <w:rsid w:val="00977FE8"/>
    <w:rsid w:val="0097CD5F"/>
    <w:rsid w:val="00980035"/>
    <w:rsid w:val="009801A7"/>
    <w:rsid w:val="0098021A"/>
    <w:rsid w:val="00980284"/>
    <w:rsid w:val="009804D7"/>
    <w:rsid w:val="00980630"/>
    <w:rsid w:val="009806DA"/>
    <w:rsid w:val="0098077C"/>
    <w:rsid w:val="00980AC0"/>
    <w:rsid w:val="00980B9B"/>
    <w:rsid w:val="00980C69"/>
    <w:rsid w:val="00980CB3"/>
    <w:rsid w:val="00980CB9"/>
    <w:rsid w:val="00980D33"/>
    <w:rsid w:val="00980D5E"/>
    <w:rsid w:val="00980DDB"/>
    <w:rsid w:val="00980E52"/>
    <w:rsid w:val="00980F6B"/>
    <w:rsid w:val="00980F86"/>
    <w:rsid w:val="00981124"/>
    <w:rsid w:val="00981155"/>
    <w:rsid w:val="00981180"/>
    <w:rsid w:val="00981216"/>
    <w:rsid w:val="009812AC"/>
    <w:rsid w:val="0098133A"/>
    <w:rsid w:val="00981409"/>
    <w:rsid w:val="00981463"/>
    <w:rsid w:val="00981464"/>
    <w:rsid w:val="009818DA"/>
    <w:rsid w:val="00981BC3"/>
    <w:rsid w:val="00981E9A"/>
    <w:rsid w:val="009820F4"/>
    <w:rsid w:val="0098224B"/>
    <w:rsid w:val="009822EB"/>
    <w:rsid w:val="00982303"/>
    <w:rsid w:val="00982355"/>
    <w:rsid w:val="009823F2"/>
    <w:rsid w:val="00982560"/>
    <w:rsid w:val="009825B8"/>
    <w:rsid w:val="0098278D"/>
    <w:rsid w:val="009828B8"/>
    <w:rsid w:val="0098297C"/>
    <w:rsid w:val="00982A06"/>
    <w:rsid w:val="00982A0A"/>
    <w:rsid w:val="00982A38"/>
    <w:rsid w:val="00982B15"/>
    <w:rsid w:val="00982BF7"/>
    <w:rsid w:val="00982C39"/>
    <w:rsid w:val="00982CFA"/>
    <w:rsid w:val="00982D9A"/>
    <w:rsid w:val="00982DD6"/>
    <w:rsid w:val="00982FAA"/>
    <w:rsid w:val="00983050"/>
    <w:rsid w:val="00983071"/>
    <w:rsid w:val="0098308B"/>
    <w:rsid w:val="00983105"/>
    <w:rsid w:val="0098321A"/>
    <w:rsid w:val="00983471"/>
    <w:rsid w:val="00983495"/>
    <w:rsid w:val="009834D3"/>
    <w:rsid w:val="009836AE"/>
    <w:rsid w:val="0098382E"/>
    <w:rsid w:val="00983963"/>
    <w:rsid w:val="00983A64"/>
    <w:rsid w:val="00983AA6"/>
    <w:rsid w:val="00983E98"/>
    <w:rsid w:val="00983F4E"/>
    <w:rsid w:val="00983F96"/>
    <w:rsid w:val="00984212"/>
    <w:rsid w:val="0098423A"/>
    <w:rsid w:val="00984254"/>
    <w:rsid w:val="00984373"/>
    <w:rsid w:val="009843B7"/>
    <w:rsid w:val="00984492"/>
    <w:rsid w:val="009844CD"/>
    <w:rsid w:val="0098455C"/>
    <w:rsid w:val="009845F6"/>
    <w:rsid w:val="00984756"/>
    <w:rsid w:val="0098484A"/>
    <w:rsid w:val="00984851"/>
    <w:rsid w:val="00984866"/>
    <w:rsid w:val="0098498C"/>
    <w:rsid w:val="00984B75"/>
    <w:rsid w:val="00984C25"/>
    <w:rsid w:val="00984C32"/>
    <w:rsid w:val="00984DBA"/>
    <w:rsid w:val="00984E39"/>
    <w:rsid w:val="00984FDD"/>
    <w:rsid w:val="0098503D"/>
    <w:rsid w:val="00985181"/>
    <w:rsid w:val="009852D3"/>
    <w:rsid w:val="00985300"/>
    <w:rsid w:val="0098540D"/>
    <w:rsid w:val="00985423"/>
    <w:rsid w:val="009855E5"/>
    <w:rsid w:val="0098587A"/>
    <w:rsid w:val="00985BDA"/>
    <w:rsid w:val="00985C7C"/>
    <w:rsid w:val="00985CE0"/>
    <w:rsid w:val="00985DE3"/>
    <w:rsid w:val="0098615B"/>
    <w:rsid w:val="009861E7"/>
    <w:rsid w:val="0098633D"/>
    <w:rsid w:val="00986480"/>
    <w:rsid w:val="00986491"/>
    <w:rsid w:val="00986509"/>
    <w:rsid w:val="00986590"/>
    <w:rsid w:val="0098660A"/>
    <w:rsid w:val="009866EB"/>
    <w:rsid w:val="009866FB"/>
    <w:rsid w:val="009868E2"/>
    <w:rsid w:val="0098692F"/>
    <w:rsid w:val="00986B07"/>
    <w:rsid w:val="00986BB8"/>
    <w:rsid w:val="00986C3F"/>
    <w:rsid w:val="00986D98"/>
    <w:rsid w:val="00986E22"/>
    <w:rsid w:val="009871A8"/>
    <w:rsid w:val="009871D9"/>
    <w:rsid w:val="0098735E"/>
    <w:rsid w:val="00987443"/>
    <w:rsid w:val="00987537"/>
    <w:rsid w:val="009875B9"/>
    <w:rsid w:val="009875BA"/>
    <w:rsid w:val="009875FA"/>
    <w:rsid w:val="00987693"/>
    <w:rsid w:val="009876D4"/>
    <w:rsid w:val="009877BD"/>
    <w:rsid w:val="009877EC"/>
    <w:rsid w:val="00987812"/>
    <w:rsid w:val="0098781D"/>
    <w:rsid w:val="00987838"/>
    <w:rsid w:val="00987975"/>
    <w:rsid w:val="00987989"/>
    <w:rsid w:val="009879E5"/>
    <w:rsid w:val="00987B7C"/>
    <w:rsid w:val="00987CF2"/>
    <w:rsid w:val="00987D13"/>
    <w:rsid w:val="00987D37"/>
    <w:rsid w:val="00987D7E"/>
    <w:rsid w:val="00987F2D"/>
    <w:rsid w:val="00987FEC"/>
    <w:rsid w:val="009900B6"/>
    <w:rsid w:val="009900B7"/>
    <w:rsid w:val="009901CE"/>
    <w:rsid w:val="009901D3"/>
    <w:rsid w:val="0099029A"/>
    <w:rsid w:val="009902D9"/>
    <w:rsid w:val="0099044A"/>
    <w:rsid w:val="00990453"/>
    <w:rsid w:val="009904EB"/>
    <w:rsid w:val="009904F9"/>
    <w:rsid w:val="009905E4"/>
    <w:rsid w:val="0099065F"/>
    <w:rsid w:val="00990748"/>
    <w:rsid w:val="0099078A"/>
    <w:rsid w:val="00990792"/>
    <w:rsid w:val="009909C8"/>
    <w:rsid w:val="009909F2"/>
    <w:rsid w:val="00990ACA"/>
    <w:rsid w:val="00990AE7"/>
    <w:rsid w:val="00990CDD"/>
    <w:rsid w:val="00990CDE"/>
    <w:rsid w:val="00990DC0"/>
    <w:rsid w:val="00990ED8"/>
    <w:rsid w:val="00990EE9"/>
    <w:rsid w:val="009910FB"/>
    <w:rsid w:val="00991106"/>
    <w:rsid w:val="00991143"/>
    <w:rsid w:val="00991179"/>
    <w:rsid w:val="00991192"/>
    <w:rsid w:val="009911A2"/>
    <w:rsid w:val="00991215"/>
    <w:rsid w:val="00991281"/>
    <w:rsid w:val="0099135C"/>
    <w:rsid w:val="0099135E"/>
    <w:rsid w:val="0099146A"/>
    <w:rsid w:val="00991526"/>
    <w:rsid w:val="009915A6"/>
    <w:rsid w:val="009916C4"/>
    <w:rsid w:val="009916C6"/>
    <w:rsid w:val="0099176E"/>
    <w:rsid w:val="0099180A"/>
    <w:rsid w:val="00991873"/>
    <w:rsid w:val="00991947"/>
    <w:rsid w:val="009919C9"/>
    <w:rsid w:val="009919EC"/>
    <w:rsid w:val="00991A07"/>
    <w:rsid w:val="00991B25"/>
    <w:rsid w:val="00991B41"/>
    <w:rsid w:val="00991BF6"/>
    <w:rsid w:val="00991D13"/>
    <w:rsid w:val="00991DD9"/>
    <w:rsid w:val="00991E93"/>
    <w:rsid w:val="00991EAF"/>
    <w:rsid w:val="00992045"/>
    <w:rsid w:val="009921BF"/>
    <w:rsid w:val="009922BB"/>
    <w:rsid w:val="00992306"/>
    <w:rsid w:val="00992422"/>
    <w:rsid w:val="0099251A"/>
    <w:rsid w:val="0099259C"/>
    <w:rsid w:val="009925C8"/>
    <w:rsid w:val="009925CB"/>
    <w:rsid w:val="009926B2"/>
    <w:rsid w:val="0099270E"/>
    <w:rsid w:val="00992878"/>
    <w:rsid w:val="00992C59"/>
    <w:rsid w:val="00992D9E"/>
    <w:rsid w:val="00992E5C"/>
    <w:rsid w:val="00993074"/>
    <w:rsid w:val="009930C3"/>
    <w:rsid w:val="0099315D"/>
    <w:rsid w:val="0099328D"/>
    <w:rsid w:val="00993ACC"/>
    <w:rsid w:val="00993B6D"/>
    <w:rsid w:val="00993C5F"/>
    <w:rsid w:val="00994304"/>
    <w:rsid w:val="0099449A"/>
    <w:rsid w:val="009944FF"/>
    <w:rsid w:val="009945F5"/>
    <w:rsid w:val="00994A61"/>
    <w:rsid w:val="00994BF9"/>
    <w:rsid w:val="00994D52"/>
    <w:rsid w:val="00994E20"/>
    <w:rsid w:val="00994F7B"/>
    <w:rsid w:val="00995081"/>
    <w:rsid w:val="0099519F"/>
    <w:rsid w:val="00995225"/>
    <w:rsid w:val="009953D1"/>
    <w:rsid w:val="00995598"/>
    <w:rsid w:val="00995776"/>
    <w:rsid w:val="009957A7"/>
    <w:rsid w:val="00995919"/>
    <w:rsid w:val="00995BBA"/>
    <w:rsid w:val="00995C12"/>
    <w:rsid w:val="00995C97"/>
    <w:rsid w:val="00995F73"/>
    <w:rsid w:val="00995FC6"/>
    <w:rsid w:val="009960DC"/>
    <w:rsid w:val="0099618D"/>
    <w:rsid w:val="009961DD"/>
    <w:rsid w:val="00996326"/>
    <w:rsid w:val="009963A0"/>
    <w:rsid w:val="009963F6"/>
    <w:rsid w:val="009963FB"/>
    <w:rsid w:val="0099651C"/>
    <w:rsid w:val="00996651"/>
    <w:rsid w:val="0099667D"/>
    <w:rsid w:val="00996BE6"/>
    <w:rsid w:val="00996CCF"/>
    <w:rsid w:val="00996D24"/>
    <w:rsid w:val="00996D2C"/>
    <w:rsid w:val="00996DE8"/>
    <w:rsid w:val="00996EE8"/>
    <w:rsid w:val="00996FF9"/>
    <w:rsid w:val="00997055"/>
    <w:rsid w:val="0099711F"/>
    <w:rsid w:val="009971DD"/>
    <w:rsid w:val="00997471"/>
    <w:rsid w:val="009974A1"/>
    <w:rsid w:val="009974DB"/>
    <w:rsid w:val="009974F8"/>
    <w:rsid w:val="00997558"/>
    <w:rsid w:val="00997659"/>
    <w:rsid w:val="00997681"/>
    <w:rsid w:val="009977E7"/>
    <w:rsid w:val="009978B7"/>
    <w:rsid w:val="009978FB"/>
    <w:rsid w:val="00997946"/>
    <w:rsid w:val="00997981"/>
    <w:rsid w:val="00997A40"/>
    <w:rsid w:val="00997A9F"/>
    <w:rsid w:val="00997AC5"/>
    <w:rsid w:val="00997BB7"/>
    <w:rsid w:val="00997CCC"/>
    <w:rsid w:val="00997E6A"/>
    <w:rsid w:val="009A00EB"/>
    <w:rsid w:val="009A0101"/>
    <w:rsid w:val="009A0205"/>
    <w:rsid w:val="009A0308"/>
    <w:rsid w:val="009A031F"/>
    <w:rsid w:val="009A053B"/>
    <w:rsid w:val="009A05B0"/>
    <w:rsid w:val="009A05F5"/>
    <w:rsid w:val="009A060A"/>
    <w:rsid w:val="009A06FA"/>
    <w:rsid w:val="009A0926"/>
    <w:rsid w:val="009A0969"/>
    <w:rsid w:val="009A0E46"/>
    <w:rsid w:val="009A0F8E"/>
    <w:rsid w:val="009A0FAA"/>
    <w:rsid w:val="009A1054"/>
    <w:rsid w:val="009A1195"/>
    <w:rsid w:val="009A1214"/>
    <w:rsid w:val="009A1352"/>
    <w:rsid w:val="009A1540"/>
    <w:rsid w:val="009A1618"/>
    <w:rsid w:val="009A1663"/>
    <w:rsid w:val="009A1762"/>
    <w:rsid w:val="009A17BD"/>
    <w:rsid w:val="009A18E2"/>
    <w:rsid w:val="009A1938"/>
    <w:rsid w:val="009A1989"/>
    <w:rsid w:val="009A19D2"/>
    <w:rsid w:val="009A1A3B"/>
    <w:rsid w:val="009A1BA9"/>
    <w:rsid w:val="009A1BC8"/>
    <w:rsid w:val="009A1C96"/>
    <w:rsid w:val="009A1D54"/>
    <w:rsid w:val="009A1DE2"/>
    <w:rsid w:val="009A1E20"/>
    <w:rsid w:val="009A2165"/>
    <w:rsid w:val="009A21BF"/>
    <w:rsid w:val="009A220F"/>
    <w:rsid w:val="009A25FB"/>
    <w:rsid w:val="009A263C"/>
    <w:rsid w:val="009A2891"/>
    <w:rsid w:val="009A289F"/>
    <w:rsid w:val="009A28E8"/>
    <w:rsid w:val="009A2963"/>
    <w:rsid w:val="009A29A7"/>
    <w:rsid w:val="009A2BA1"/>
    <w:rsid w:val="009A2CA6"/>
    <w:rsid w:val="009A2D78"/>
    <w:rsid w:val="009A2E74"/>
    <w:rsid w:val="009A2FED"/>
    <w:rsid w:val="009A3195"/>
    <w:rsid w:val="009A319E"/>
    <w:rsid w:val="009A31F0"/>
    <w:rsid w:val="009A3232"/>
    <w:rsid w:val="009A324C"/>
    <w:rsid w:val="009A327E"/>
    <w:rsid w:val="009A3482"/>
    <w:rsid w:val="009A355D"/>
    <w:rsid w:val="009A3618"/>
    <w:rsid w:val="009A36FB"/>
    <w:rsid w:val="009A383E"/>
    <w:rsid w:val="009A38C0"/>
    <w:rsid w:val="009A3A13"/>
    <w:rsid w:val="009A3B8E"/>
    <w:rsid w:val="009A3C61"/>
    <w:rsid w:val="009A3D64"/>
    <w:rsid w:val="009A3E18"/>
    <w:rsid w:val="009A3F2F"/>
    <w:rsid w:val="009A40A1"/>
    <w:rsid w:val="009A40B6"/>
    <w:rsid w:val="009A4137"/>
    <w:rsid w:val="009A43A1"/>
    <w:rsid w:val="009A44FB"/>
    <w:rsid w:val="009A4524"/>
    <w:rsid w:val="009A4668"/>
    <w:rsid w:val="009A4702"/>
    <w:rsid w:val="009A489F"/>
    <w:rsid w:val="009A4913"/>
    <w:rsid w:val="009A4998"/>
    <w:rsid w:val="009A49B7"/>
    <w:rsid w:val="009A49CF"/>
    <w:rsid w:val="009A49D9"/>
    <w:rsid w:val="009A4A19"/>
    <w:rsid w:val="009A4A5A"/>
    <w:rsid w:val="009A4B93"/>
    <w:rsid w:val="009A4BEF"/>
    <w:rsid w:val="009A4C43"/>
    <w:rsid w:val="009A4CD4"/>
    <w:rsid w:val="009A4F13"/>
    <w:rsid w:val="009A5152"/>
    <w:rsid w:val="009A52BA"/>
    <w:rsid w:val="009A5413"/>
    <w:rsid w:val="009A5565"/>
    <w:rsid w:val="009A56CC"/>
    <w:rsid w:val="009A599A"/>
    <w:rsid w:val="009A5E47"/>
    <w:rsid w:val="009A5F4B"/>
    <w:rsid w:val="009A603F"/>
    <w:rsid w:val="009A61AB"/>
    <w:rsid w:val="009A6228"/>
    <w:rsid w:val="009A6246"/>
    <w:rsid w:val="009A6458"/>
    <w:rsid w:val="009A645F"/>
    <w:rsid w:val="009A64F9"/>
    <w:rsid w:val="009A652F"/>
    <w:rsid w:val="009A6538"/>
    <w:rsid w:val="009A66DA"/>
    <w:rsid w:val="009A6779"/>
    <w:rsid w:val="009A67BB"/>
    <w:rsid w:val="009A6B40"/>
    <w:rsid w:val="009A6B8D"/>
    <w:rsid w:val="009A6CA6"/>
    <w:rsid w:val="009A6D5C"/>
    <w:rsid w:val="009A6DED"/>
    <w:rsid w:val="009A6E89"/>
    <w:rsid w:val="009A6F6B"/>
    <w:rsid w:val="009A7007"/>
    <w:rsid w:val="009A7064"/>
    <w:rsid w:val="009A717A"/>
    <w:rsid w:val="009A717E"/>
    <w:rsid w:val="009A718D"/>
    <w:rsid w:val="009A72AB"/>
    <w:rsid w:val="009A7906"/>
    <w:rsid w:val="009A79EE"/>
    <w:rsid w:val="009A7A0D"/>
    <w:rsid w:val="009A7A1F"/>
    <w:rsid w:val="009A7A3E"/>
    <w:rsid w:val="009A7A90"/>
    <w:rsid w:val="009A7AD2"/>
    <w:rsid w:val="009A7BDB"/>
    <w:rsid w:val="009A7D63"/>
    <w:rsid w:val="009A7DAC"/>
    <w:rsid w:val="009A7E2A"/>
    <w:rsid w:val="009A7F2C"/>
    <w:rsid w:val="009A7F9A"/>
    <w:rsid w:val="009A7FB1"/>
    <w:rsid w:val="009B0287"/>
    <w:rsid w:val="009B0299"/>
    <w:rsid w:val="009B0416"/>
    <w:rsid w:val="009B0468"/>
    <w:rsid w:val="009B0481"/>
    <w:rsid w:val="009B0A42"/>
    <w:rsid w:val="009B0B6A"/>
    <w:rsid w:val="009B0B94"/>
    <w:rsid w:val="009B0EA3"/>
    <w:rsid w:val="009B0F26"/>
    <w:rsid w:val="009B0F87"/>
    <w:rsid w:val="009B114D"/>
    <w:rsid w:val="009B12B6"/>
    <w:rsid w:val="009B1342"/>
    <w:rsid w:val="009B137C"/>
    <w:rsid w:val="009B137D"/>
    <w:rsid w:val="009B161F"/>
    <w:rsid w:val="009B16D6"/>
    <w:rsid w:val="009B18DD"/>
    <w:rsid w:val="009B1B09"/>
    <w:rsid w:val="009B1B43"/>
    <w:rsid w:val="009B1C3C"/>
    <w:rsid w:val="009B1CCA"/>
    <w:rsid w:val="009B1EC8"/>
    <w:rsid w:val="009B1F5D"/>
    <w:rsid w:val="009B2193"/>
    <w:rsid w:val="009B21A0"/>
    <w:rsid w:val="009B21EE"/>
    <w:rsid w:val="009B245D"/>
    <w:rsid w:val="009B24BC"/>
    <w:rsid w:val="009B24D5"/>
    <w:rsid w:val="009B2614"/>
    <w:rsid w:val="009B296E"/>
    <w:rsid w:val="009B29C0"/>
    <w:rsid w:val="009B2A6C"/>
    <w:rsid w:val="009B2AB5"/>
    <w:rsid w:val="009B2B0B"/>
    <w:rsid w:val="009B2BB2"/>
    <w:rsid w:val="009B2DA6"/>
    <w:rsid w:val="009B2EC6"/>
    <w:rsid w:val="009B2ED3"/>
    <w:rsid w:val="009B303A"/>
    <w:rsid w:val="009B306D"/>
    <w:rsid w:val="009B3218"/>
    <w:rsid w:val="009B3230"/>
    <w:rsid w:val="009B331E"/>
    <w:rsid w:val="009B3386"/>
    <w:rsid w:val="009B33A7"/>
    <w:rsid w:val="009B361A"/>
    <w:rsid w:val="009B3741"/>
    <w:rsid w:val="009B3904"/>
    <w:rsid w:val="009B3A7B"/>
    <w:rsid w:val="009B3AF1"/>
    <w:rsid w:val="009B3DC3"/>
    <w:rsid w:val="009B3FB9"/>
    <w:rsid w:val="009B3FDE"/>
    <w:rsid w:val="009B4071"/>
    <w:rsid w:val="009B4134"/>
    <w:rsid w:val="009B419E"/>
    <w:rsid w:val="009B42E3"/>
    <w:rsid w:val="009B43B8"/>
    <w:rsid w:val="009B4500"/>
    <w:rsid w:val="009B4593"/>
    <w:rsid w:val="009B459E"/>
    <w:rsid w:val="009B4783"/>
    <w:rsid w:val="009B4807"/>
    <w:rsid w:val="009B49C4"/>
    <w:rsid w:val="009B4D2D"/>
    <w:rsid w:val="009B5078"/>
    <w:rsid w:val="009B50C5"/>
    <w:rsid w:val="009B5203"/>
    <w:rsid w:val="009B5266"/>
    <w:rsid w:val="009B5291"/>
    <w:rsid w:val="009B52CA"/>
    <w:rsid w:val="009B52D8"/>
    <w:rsid w:val="009B54B6"/>
    <w:rsid w:val="009B5611"/>
    <w:rsid w:val="009B573C"/>
    <w:rsid w:val="009B5871"/>
    <w:rsid w:val="009B587F"/>
    <w:rsid w:val="009B58E0"/>
    <w:rsid w:val="009B59B8"/>
    <w:rsid w:val="009B5AA1"/>
    <w:rsid w:val="009B5C73"/>
    <w:rsid w:val="009B5D06"/>
    <w:rsid w:val="009B5D31"/>
    <w:rsid w:val="009B5E82"/>
    <w:rsid w:val="009B5EA2"/>
    <w:rsid w:val="009B608D"/>
    <w:rsid w:val="009B61CA"/>
    <w:rsid w:val="009B620C"/>
    <w:rsid w:val="009B62A4"/>
    <w:rsid w:val="009B638C"/>
    <w:rsid w:val="009B6427"/>
    <w:rsid w:val="009B6438"/>
    <w:rsid w:val="009B6491"/>
    <w:rsid w:val="009B65FE"/>
    <w:rsid w:val="009B6690"/>
    <w:rsid w:val="009B66E7"/>
    <w:rsid w:val="009B66F4"/>
    <w:rsid w:val="009B6703"/>
    <w:rsid w:val="009B6749"/>
    <w:rsid w:val="009B6845"/>
    <w:rsid w:val="009B68DA"/>
    <w:rsid w:val="009B698F"/>
    <w:rsid w:val="009B6AA4"/>
    <w:rsid w:val="009B6AF3"/>
    <w:rsid w:val="009B6C82"/>
    <w:rsid w:val="009B6D57"/>
    <w:rsid w:val="009B6E3A"/>
    <w:rsid w:val="009B70AC"/>
    <w:rsid w:val="009B7260"/>
    <w:rsid w:val="009B72A7"/>
    <w:rsid w:val="009B75E0"/>
    <w:rsid w:val="009B75EB"/>
    <w:rsid w:val="009B76A3"/>
    <w:rsid w:val="009B76A8"/>
    <w:rsid w:val="009B7890"/>
    <w:rsid w:val="009B7944"/>
    <w:rsid w:val="009B79CF"/>
    <w:rsid w:val="009B79EE"/>
    <w:rsid w:val="009B7A47"/>
    <w:rsid w:val="009B7AB6"/>
    <w:rsid w:val="009B7CD9"/>
    <w:rsid w:val="009B7DE5"/>
    <w:rsid w:val="009B7DFD"/>
    <w:rsid w:val="009BE3C4"/>
    <w:rsid w:val="009C005E"/>
    <w:rsid w:val="009C00D9"/>
    <w:rsid w:val="009C0134"/>
    <w:rsid w:val="009C0170"/>
    <w:rsid w:val="009C01D8"/>
    <w:rsid w:val="009C02B9"/>
    <w:rsid w:val="009C02C0"/>
    <w:rsid w:val="009C02DC"/>
    <w:rsid w:val="009C03C7"/>
    <w:rsid w:val="009C0443"/>
    <w:rsid w:val="009C0589"/>
    <w:rsid w:val="009C0A56"/>
    <w:rsid w:val="009C0B5F"/>
    <w:rsid w:val="009C0C8F"/>
    <w:rsid w:val="009C0C9A"/>
    <w:rsid w:val="009C0D20"/>
    <w:rsid w:val="009C0F93"/>
    <w:rsid w:val="009C14D4"/>
    <w:rsid w:val="009C1760"/>
    <w:rsid w:val="009C1A31"/>
    <w:rsid w:val="009C1B0F"/>
    <w:rsid w:val="009C1B36"/>
    <w:rsid w:val="009C1B43"/>
    <w:rsid w:val="009C1B7B"/>
    <w:rsid w:val="009C1C11"/>
    <w:rsid w:val="009C1C3B"/>
    <w:rsid w:val="009C1C90"/>
    <w:rsid w:val="009C1DE4"/>
    <w:rsid w:val="009C1F9F"/>
    <w:rsid w:val="009C1FF4"/>
    <w:rsid w:val="009C2006"/>
    <w:rsid w:val="009C20F0"/>
    <w:rsid w:val="009C2199"/>
    <w:rsid w:val="009C2208"/>
    <w:rsid w:val="009C225E"/>
    <w:rsid w:val="009C2293"/>
    <w:rsid w:val="009C23CB"/>
    <w:rsid w:val="009C2554"/>
    <w:rsid w:val="009C27BE"/>
    <w:rsid w:val="009C2981"/>
    <w:rsid w:val="009C2B45"/>
    <w:rsid w:val="009C2E41"/>
    <w:rsid w:val="009C2E4E"/>
    <w:rsid w:val="009C2F75"/>
    <w:rsid w:val="009C300A"/>
    <w:rsid w:val="009C3068"/>
    <w:rsid w:val="009C30C6"/>
    <w:rsid w:val="009C31E1"/>
    <w:rsid w:val="009C34C4"/>
    <w:rsid w:val="009C3588"/>
    <w:rsid w:val="009C35E0"/>
    <w:rsid w:val="009C3920"/>
    <w:rsid w:val="009C3A2F"/>
    <w:rsid w:val="009C3B4A"/>
    <w:rsid w:val="009C3C27"/>
    <w:rsid w:val="009C3C7E"/>
    <w:rsid w:val="009C3D86"/>
    <w:rsid w:val="009C3ED0"/>
    <w:rsid w:val="009C41D8"/>
    <w:rsid w:val="009C41FC"/>
    <w:rsid w:val="009C4496"/>
    <w:rsid w:val="009C45CC"/>
    <w:rsid w:val="009C45E0"/>
    <w:rsid w:val="009C46C4"/>
    <w:rsid w:val="009C4738"/>
    <w:rsid w:val="009C4794"/>
    <w:rsid w:val="009C4A3A"/>
    <w:rsid w:val="009C4D22"/>
    <w:rsid w:val="009C4F57"/>
    <w:rsid w:val="009C503A"/>
    <w:rsid w:val="009C503B"/>
    <w:rsid w:val="009C5197"/>
    <w:rsid w:val="009C519E"/>
    <w:rsid w:val="009C5248"/>
    <w:rsid w:val="009C526A"/>
    <w:rsid w:val="009C54AC"/>
    <w:rsid w:val="009C5534"/>
    <w:rsid w:val="009C5771"/>
    <w:rsid w:val="009C57D9"/>
    <w:rsid w:val="009C5852"/>
    <w:rsid w:val="009C59D8"/>
    <w:rsid w:val="009C5A02"/>
    <w:rsid w:val="009C5A0A"/>
    <w:rsid w:val="009C5A1D"/>
    <w:rsid w:val="009C5A32"/>
    <w:rsid w:val="009C5C48"/>
    <w:rsid w:val="009C5CFD"/>
    <w:rsid w:val="009C5D59"/>
    <w:rsid w:val="009C5DDC"/>
    <w:rsid w:val="009C608E"/>
    <w:rsid w:val="009C6223"/>
    <w:rsid w:val="009C62BC"/>
    <w:rsid w:val="009C6492"/>
    <w:rsid w:val="009C6493"/>
    <w:rsid w:val="009C6512"/>
    <w:rsid w:val="009C6522"/>
    <w:rsid w:val="009C6619"/>
    <w:rsid w:val="009C6669"/>
    <w:rsid w:val="009C6EB0"/>
    <w:rsid w:val="009C6F97"/>
    <w:rsid w:val="009C705E"/>
    <w:rsid w:val="009C7297"/>
    <w:rsid w:val="009C730C"/>
    <w:rsid w:val="009C7550"/>
    <w:rsid w:val="009C7652"/>
    <w:rsid w:val="009C7745"/>
    <w:rsid w:val="009C77C2"/>
    <w:rsid w:val="009C7874"/>
    <w:rsid w:val="009C78A4"/>
    <w:rsid w:val="009C7924"/>
    <w:rsid w:val="009C796C"/>
    <w:rsid w:val="009C7AF1"/>
    <w:rsid w:val="009C7B24"/>
    <w:rsid w:val="009C7BC6"/>
    <w:rsid w:val="009C7D9F"/>
    <w:rsid w:val="009D010A"/>
    <w:rsid w:val="009D0204"/>
    <w:rsid w:val="009D0292"/>
    <w:rsid w:val="009D0310"/>
    <w:rsid w:val="009D0326"/>
    <w:rsid w:val="009D04DC"/>
    <w:rsid w:val="009D05E8"/>
    <w:rsid w:val="009D06F6"/>
    <w:rsid w:val="009D07B8"/>
    <w:rsid w:val="009D080F"/>
    <w:rsid w:val="009D0829"/>
    <w:rsid w:val="009D0A16"/>
    <w:rsid w:val="009D0A4E"/>
    <w:rsid w:val="009D0C4E"/>
    <w:rsid w:val="009D0E03"/>
    <w:rsid w:val="009D0E06"/>
    <w:rsid w:val="009D1013"/>
    <w:rsid w:val="009D1093"/>
    <w:rsid w:val="009D1156"/>
    <w:rsid w:val="009D1316"/>
    <w:rsid w:val="009D145A"/>
    <w:rsid w:val="009D14ED"/>
    <w:rsid w:val="009D1813"/>
    <w:rsid w:val="009D1932"/>
    <w:rsid w:val="009D19FF"/>
    <w:rsid w:val="009D1D39"/>
    <w:rsid w:val="009D1DE8"/>
    <w:rsid w:val="009D1E6F"/>
    <w:rsid w:val="009D1ED5"/>
    <w:rsid w:val="009D1F0A"/>
    <w:rsid w:val="009D1F50"/>
    <w:rsid w:val="009D20AD"/>
    <w:rsid w:val="009D2273"/>
    <w:rsid w:val="009D2394"/>
    <w:rsid w:val="009D23C2"/>
    <w:rsid w:val="009D23D7"/>
    <w:rsid w:val="009D2472"/>
    <w:rsid w:val="009D254F"/>
    <w:rsid w:val="009D27E3"/>
    <w:rsid w:val="009D2997"/>
    <w:rsid w:val="009D29A3"/>
    <w:rsid w:val="009D29A6"/>
    <w:rsid w:val="009D29DB"/>
    <w:rsid w:val="009D2B5C"/>
    <w:rsid w:val="009D2C48"/>
    <w:rsid w:val="009D2D68"/>
    <w:rsid w:val="009D2F01"/>
    <w:rsid w:val="009D30BD"/>
    <w:rsid w:val="009D3160"/>
    <w:rsid w:val="009D31C5"/>
    <w:rsid w:val="009D3253"/>
    <w:rsid w:val="009D3608"/>
    <w:rsid w:val="009D37FF"/>
    <w:rsid w:val="009D381B"/>
    <w:rsid w:val="009D3AB3"/>
    <w:rsid w:val="009D3AE0"/>
    <w:rsid w:val="009D3C4B"/>
    <w:rsid w:val="009D3C90"/>
    <w:rsid w:val="009D3CED"/>
    <w:rsid w:val="009D3F79"/>
    <w:rsid w:val="009D4066"/>
    <w:rsid w:val="009D4242"/>
    <w:rsid w:val="009D441C"/>
    <w:rsid w:val="009D449E"/>
    <w:rsid w:val="009D44C0"/>
    <w:rsid w:val="009D450C"/>
    <w:rsid w:val="009D4A98"/>
    <w:rsid w:val="009D4B76"/>
    <w:rsid w:val="009D4B83"/>
    <w:rsid w:val="009D4C5A"/>
    <w:rsid w:val="009D5087"/>
    <w:rsid w:val="009D513C"/>
    <w:rsid w:val="009D519D"/>
    <w:rsid w:val="009D52A9"/>
    <w:rsid w:val="009D52DD"/>
    <w:rsid w:val="009D5453"/>
    <w:rsid w:val="009D5618"/>
    <w:rsid w:val="009D569B"/>
    <w:rsid w:val="009D58ED"/>
    <w:rsid w:val="009D596B"/>
    <w:rsid w:val="009D59FE"/>
    <w:rsid w:val="009D5A60"/>
    <w:rsid w:val="009D5A61"/>
    <w:rsid w:val="009D5A94"/>
    <w:rsid w:val="009D5ABF"/>
    <w:rsid w:val="009D5AC3"/>
    <w:rsid w:val="009D5B94"/>
    <w:rsid w:val="009D5BFA"/>
    <w:rsid w:val="009D5C81"/>
    <w:rsid w:val="009D5CDA"/>
    <w:rsid w:val="009D5DD5"/>
    <w:rsid w:val="009D5E1E"/>
    <w:rsid w:val="009D5FBC"/>
    <w:rsid w:val="009D611E"/>
    <w:rsid w:val="009D62C7"/>
    <w:rsid w:val="009D639D"/>
    <w:rsid w:val="009D6891"/>
    <w:rsid w:val="009D6922"/>
    <w:rsid w:val="009D69EA"/>
    <w:rsid w:val="009D69F3"/>
    <w:rsid w:val="009D6BE0"/>
    <w:rsid w:val="009D6C31"/>
    <w:rsid w:val="009D6D71"/>
    <w:rsid w:val="009D6E90"/>
    <w:rsid w:val="009D6F14"/>
    <w:rsid w:val="009D716A"/>
    <w:rsid w:val="009D7191"/>
    <w:rsid w:val="009D71A1"/>
    <w:rsid w:val="009D7203"/>
    <w:rsid w:val="009D737C"/>
    <w:rsid w:val="009D7407"/>
    <w:rsid w:val="009D7429"/>
    <w:rsid w:val="009D7835"/>
    <w:rsid w:val="009D7944"/>
    <w:rsid w:val="009D7C3B"/>
    <w:rsid w:val="009D7C95"/>
    <w:rsid w:val="009D7D1D"/>
    <w:rsid w:val="009D7E0A"/>
    <w:rsid w:val="009D7EB5"/>
    <w:rsid w:val="009D7EFE"/>
    <w:rsid w:val="009E0050"/>
    <w:rsid w:val="009E0199"/>
    <w:rsid w:val="009E054D"/>
    <w:rsid w:val="009E06AF"/>
    <w:rsid w:val="009E07B9"/>
    <w:rsid w:val="009E0821"/>
    <w:rsid w:val="009E090A"/>
    <w:rsid w:val="009E099A"/>
    <w:rsid w:val="009E0A71"/>
    <w:rsid w:val="009E0B1B"/>
    <w:rsid w:val="009E0BFC"/>
    <w:rsid w:val="009E0C44"/>
    <w:rsid w:val="009E0D25"/>
    <w:rsid w:val="009E0F85"/>
    <w:rsid w:val="009E1029"/>
    <w:rsid w:val="009E1035"/>
    <w:rsid w:val="009E14BA"/>
    <w:rsid w:val="009E1A61"/>
    <w:rsid w:val="009E1AFD"/>
    <w:rsid w:val="009E1B2F"/>
    <w:rsid w:val="009E1CC1"/>
    <w:rsid w:val="009E1D42"/>
    <w:rsid w:val="009E1DE9"/>
    <w:rsid w:val="009E24DB"/>
    <w:rsid w:val="009E265B"/>
    <w:rsid w:val="009E26DF"/>
    <w:rsid w:val="009E28E6"/>
    <w:rsid w:val="009E28F7"/>
    <w:rsid w:val="009E2A25"/>
    <w:rsid w:val="009E2CB7"/>
    <w:rsid w:val="009E3063"/>
    <w:rsid w:val="009E30F8"/>
    <w:rsid w:val="009E3345"/>
    <w:rsid w:val="009E337D"/>
    <w:rsid w:val="009E3475"/>
    <w:rsid w:val="009E34D4"/>
    <w:rsid w:val="009E34F0"/>
    <w:rsid w:val="009E3546"/>
    <w:rsid w:val="009E362C"/>
    <w:rsid w:val="009E3725"/>
    <w:rsid w:val="009E383C"/>
    <w:rsid w:val="009E3887"/>
    <w:rsid w:val="009E3A4C"/>
    <w:rsid w:val="009E3AE0"/>
    <w:rsid w:val="009E3BA6"/>
    <w:rsid w:val="009E3D4B"/>
    <w:rsid w:val="009E3E31"/>
    <w:rsid w:val="009E3E4A"/>
    <w:rsid w:val="009E3EA5"/>
    <w:rsid w:val="009E3EFE"/>
    <w:rsid w:val="009E426D"/>
    <w:rsid w:val="009E42B5"/>
    <w:rsid w:val="009E47F1"/>
    <w:rsid w:val="009E48D7"/>
    <w:rsid w:val="009E49BC"/>
    <w:rsid w:val="009E4DD6"/>
    <w:rsid w:val="009E5036"/>
    <w:rsid w:val="009E527D"/>
    <w:rsid w:val="009E52A8"/>
    <w:rsid w:val="009E5420"/>
    <w:rsid w:val="009E5508"/>
    <w:rsid w:val="009E5720"/>
    <w:rsid w:val="009E5817"/>
    <w:rsid w:val="009E58F3"/>
    <w:rsid w:val="009E59D7"/>
    <w:rsid w:val="009E5CB4"/>
    <w:rsid w:val="009E5D39"/>
    <w:rsid w:val="009E5E50"/>
    <w:rsid w:val="009E5EE9"/>
    <w:rsid w:val="009E601E"/>
    <w:rsid w:val="009E6084"/>
    <w:rsid w:val="009E60E4"/>
    <w:rsid w:val="009E61A1"/>
    <w:rsid w:val="009E621C"/>
    <w:rsid w:val="009E624D"/>
    <w:rsid w:val="009E6251"/>
    <w:rsid w:val="009E62DB"/>
    <w:rsid w:val="009E62DC"/>
    <w:rsid w:val="009E6411"/>
    <w:rsid w:val="009E663D"/>
    <w:rsid w:val="009E6666"/>
    <w:rsid w:val="009E6739"/>
    <w:rsid w:val="009E675B"/>
    <w:rsid w:val="009E689D"/>
    <w:rsid w:val="009E69E5"/>
    <w:rsid w:val="009E6A43"/>
    <w:rsid w:val="009E6B19"/>
    <w:rsid w:val="009E6B38"/>
    <w:rsid w:val="009E6B68"/>
    <w:rsid w:val="009E6BEA"/>
    <w:rsid w:val="009E6C5B"/>
    <w:rsid w:val="009E6CD9"/>
    <w:rsid w:val="009E6D3D"/>
    <w:rsid w:val="009E6F2D"/>
    <w:rsid w:val="009E6F5F"/>
    <w:rsid w:val="009E702D"/>
    <w:rsid w:val="009E712D"/>
    <w:rsid w:val="009E71F9"/>
    <w:rsid w:val="009E71FC"/>
    <w:rsid w:val="009E7398"/>
    <w:rsid w:val="009E7405"/>
    <w:rsid w:val="009E7406"/>
    <w:rsid w:val="009E746C"/>
    <w:rsid w:val="009E7592"/>
    <w:rsid w:val="009E76DC"/>
    <w:rsid w:val="009E7701"/>
    <w:rsid w:val="009E7867"/>
    <w:rsid w:val="009E790C"/>
    <w:rsid w:val="009E7A6C"/>
    <w:rsid w:val="009E7AC2"/>
    <w:rsid w:val="009E7CEF"/>
    <w:rsid w:val="009E7EAD"/>
    <w:rsid w:val="009E7EF9"/>
    <w:rsid w:val="009E7F15"/>
    <w:rsid w:val="009E7FE5"/>
    <w:rsid w:val="009F00CA"/>
    <w:rsid w:val="009F00E3"/>
    <w:rsid w:val="009F044A"/>
    <w:rsid w:val="009F066F"/>
    <w:rsid w:val="009F0799"/>
    <w:rsid w:val="009F0A06"/>
    <w:rsid w:val="009F0BC9"/>
    <w:rsid w:val="009F0CA6"/>
    <w:rsid w:val="009F0D14"/>
    <w:rsid w:val="009F0D31"/>
    <w:rsid w:val="009F0E0C"/>
    <w:rsid w:val="009F0EEC"/>
    <w:rsid w:val="009F0F88"/>
    <w:rsid w:val="009F0FD5"/>
    <w:rsid w:val="009F1028"/>
    <w:rsid w:val="009F10BF"/>
    <w:rsid w:val="009F11D6"/>
    <w:rsid w:val="009F1288"/>
    <w:rsid w:val="009F129D"/>
    <w:rsid w:val="009F12B2"/>
    <w:rsid w:val="009F13C4"/>
    <w:rsid w:val="009F1408"/>
    <w:rsid w:val="009F1436"/>
    <w:rsid w:val="009F143E"/>
    <w:rsid w:val="009F1624"/>
    <w:rsid w:val="009F171D"/>
    <w:rsid w:val="009F1C86"/>
    <w:rsid w:val="009F1CFC"/>
    <w:rsid w:val="009F1FD5"/>
    <w:rsid w:val="009F200C"/>
    <w:rsid w:val="009F2592"/>
    <w:rsid w:val="009F25B2"/>
    <w:rsid w:val="009F2738"/>
    <w:rsid w:val="009F288A"/>
    <w:rsid w:val="009F28A4"/>
    <w:rsid w:val="009F2B04"/>
    <w:rsid w:val="009F2C57"/>
    <w:rsid w:val="009F2DD4"/>
    <w:rsid w:val="009F2EDD"/>
    <w:rsid w:val="009F3276"/>
    <w:rsid w:val="009F3476"/>
    <w:rsid w:val="009F3563"/>
    <w:rsid w:val="009F395B"/>
    <w:rsid w:val="009F39C6"/>
    <w:rsid w:val="009F3A34"/>
    <w:rsid w:val="009F3C11"/>
    <w:rsid w:val="009F3DEE"/>
    <w:rsid w:val="009F4014"/>
    <w:rsid w:val="009F4156"/>
    <w:rsid w:val="009F4186"/>
    <w:rsid w:val="009F42FB"/>
    <w:rsid w:val="009F4393"/>
    <w:rsid w:val="009F44C8"/>
    <w:rsid w:val="009F47FB"/>
    <w:rsid w:val="009F4AD5"/>
    <w:rsid w:val="009F4AE0"/>
    <w:rsid w:val="009F4C0D"/>
    <w:rsid w:val="009F4C52"/>
    <w:rsid w:val="009F4C9E"/>
    <w:rsid w:val="009F4E05"/>
    <w:rsid w:val="009F4E6D"/>
    <w:rsid w:val="009F4E96"/>
    <w:rsid w:val="009F4ECA"/>
    <w:rsid w:val="009F5018"/>
    <w:rsid w:val="009F53CE"/>
    <w:rsid w:val="009F57F9"/>
    <w:rsid w:val="009F5BB5"/>
    <w:rsid w:val="009F5BD0"/>
    <w:rsid w:val="009F5C6D"/>
    <w:rsid w:val="009F5DA6"/>
    <w:rsid w:val="009F5E2E"/>
    <w:rsid w:val="009F5E46"/>
    <w:rsid w:val="009F6151"/>
    <w:rsid w:val="009F6197"/>
    <w:rsid w:val="009F6308"/>
    <w:rsid w:val="009F63B2"/>
    <w:rsid w:val="009F641F"/>
    <w:rsid w:val="009F64BD"/>
    <w:rsid w:val="009F659D"/>
    <w:rsid w:val="009F6658"/>
    <w:rsid w:val="009F66FD"/>
    <w:rsid w:val="009F68CD"/>
    <w:rsid w:val="009F6900"/>
    <w:rsid w:val="009F6B2C"/>
    <w:rsid w:val="009F6C45"/>
    <w:rsid w:val="009F6DDC"/>
    <w:rsid w:val="009F6DFE"/>
    <w:rsid w:val="009F702E"/>
    <w:rsid w:val="009F70E7"/>
    <w:rsid w:val="009F70EF"/>
    <w:rsid w:val="009F7128"/>
    <w:rsid w:val="009F7179"/>
    <w:rsid w:val="009F71F4"/>
    <w:rsid w:val="009F723B"/>
    <w:rsid w:val="009F7459"/>
    <w:rsid w:val="009F78AB"/>
    <w:rsid w:val="009F78F7"/>
    <w:rsid w:val="009F7A4B"/>
    <w:rsid w:val="009F7A7E"/>
    <w:rsid w:val="009F7AF9"/>
    <w:rsid w:val="009F7BBA"/>
    <w:rsid w:val="009F7C6E"/>
    <w:rsid w:val="009F7E2F"/>
    <w:rsid w:val="00A00033"/>
    <w:rsid w:val="00A0006E"/>
    <w:rsid w:val="00A000A3"/>
    <w:rsid w:val="00A000E4"/>
    <w:rsid w:val="00A00119"/>
    <w:rsid w:val="00A00146"/>
    <w:rsid w:val="00A00213"/>
    <w:rsid w:val="00A002D4"/>
    <w:rsid w:val="00A00353"/>
    <w:rsid w:val="00A0039E"/>
    <w:rsid w:val="00A00723"/>
    <w:rsid w:val="00A007DA"/>
    <w:rsid w:val="00A00814"/>
    <w:rsid w:val="00A0082C"/>
    <w:rsid w:val="00A008E8"/>
    <w:rsid w:val="00A00A8B"/>
    <w:rsid w:val="00A00BC3"/>
    <w:rsid w:val="00A00BCC"/>
    <w:rsid w:val="00A00DDB"/>
    <w:rsid w:val="00A00DE1"/>
    <w:rsid w:val="00A00F91"/>
    <w:rsid w:val="00A01099"/>
    <w:rsid w:val="00A01130"/>
    <w:rsid w:val="00A0123B"/>
    <w:rsid w:val="00A0131A"/>
    <w:rsid w:val="00A013B7"/>
    <w:rsid w:val="00A014E6"/>
    <w:rsid w:val="00A015E2"/>
    <w:rsid w:val="00A015F6"/>
    <w:rsid w:val="00A01847"/>
    <w:rsid w:val="00A01919"/>
    <w:rsid w:val="00A01A03"/>
    <w:rsid w:val="00A01A2F"/>
    <w:rsid w:val="00A01A3D"/>
    <w:rsid w:val="00A01BCA"/>
    <w:rsid w:val="00A01D61"/>
    <w:rsid w:val="00A020E4"/>
    <w:rsid w:val="00A021BE"/>
    <w:rsid w:val="00A021CA"/>
    <w:rsid w:val="00A021F3"/>
    <w:rsid w:val="00A02223"/>
    <w:rsid w:val="00A0243D"/>
    <w:rsid w:val="00A025DA"/>
    <w:rsid w:val="00A025F6"/>
    <w:rsid w:val="00A02865"/>
    <w:rsid w:val="00A028FB"/>
    <w:rsid w:val="00A0291D"/>
    <w:rsid w:val="00A02ABB"/>
    <w:rsid w:val="00A02D59"/>
    <w:rsid w:val="00A02EA0"/>
    <w:rsid w:val="00A02F87"/>
    <w:rsid w:val="00A03055"/>
    <w:rsid w:val="00A03145"/>
    <w:rsid w:val="00A032A4"/>
    <w:rsid w:val="00A033DF"/>
    <w:rsid w:val="00A0349A"/>
    <w:rsid w:val="00A034DD"/>
    <w:rsid w:val="00A03538"/>
    <w:rsid w:val="00A035FD"/>
    <w:rsid w:val="00A03633"/>
    <w:rsid w:val="00A036DA"/>
    <w:rsid w:val="00A038D6"/>
    <w:rsid w:val="00A03942"/>
    <w:rsid w:val="00A03CC9"/>
    <w:rsid w:val="00A03D03"/>
    <w:rsid w:val="00A03D56"/>
    <w:rsid w:val="00A03E7B"/>
    <w:rsid w:val="00A03EC1"/>
    <w:rsid w:val="00A03F4D"/>
    <w:rsid w:val="00A04139"/>
    <w:rsid w:val="00A04192"/>
    <w:rsid w:val="00A04200"/>
    <w:rsid w:val="00A04411"/>
    <w:rsid w:val="00A04503"/>
    <w:rsid w:val="00A04554"/>
    <w:rsid w:val="00A046A2"/>
    <w:rsid w:val="00A046BA"/>
    <w:rsid w:val="00A04749"/>
    <w:rsid w:val="00A0487C"/>
    <w:rsid w:val="00A0492A"/>
    <w:rsid w:val="00A04959"/>
    <w:rsid w:val="00A04CC4"/>
    <w:rsid w:val="00A04D8F"/>
    <w:rsid w:val="00A04EB5"/>
    <w:rsid w:val="00A04F08"/>
    <w:rsid w:val="00A0501C"/>
    <w:rsid w:val="00A05073"/>
    <w:rsid w:val="00A05277"/>
    <w:rsid w:val="00A0528F"/>
    <w:rsid w:val="00A05323"/>
    <w:rsid w:val="00A05366"/>
    <w:rsid w:val="00A0549C"/>
    <w:rsid w:val="00A054BF"/>
    <w:rsid w:val="00A055DD"/>
    <w:rsid w:val="00A05928"/>
    <w:rsid w:val="00A05985"/>
    <w:rsid w:val="00A05D26"/>
    <w:rsid w:val="00A05FD3"/>
    <w:rsid w:val="00A0607F"/>
    <w:rsid w:val="00A060F2"/>
    <w:rsid w:val="00A06131"/>
    <w:rsid w:val="00A061D3"/>
    <w:rsid w:val="00A0623D"/>
    <w:rsid w:val="00A062B5"/>
    <w:rsid w:val="00A06387"/>
    <w:rsid w:val="00A0647D"/>
    <w:rsid w:val="00A066B1"/>
    <w:rsid w:val="00A066D8"/>
    <w:rsid w:val="00A066F6"/>
    <w:rsid w:val="00A06725"/>
    <w:rsid w:val="00A068D7"/>
    <w:rsid w:val="00A0697B"/>
    <w:rsid w:val="00A06B71"/>
    <w:rsid w:val="00A06C6B"/>
    <w:rsid w:val="00A06D16"/>
    <w:rsid w:val="00A06D87"/>
    <w:rsid w:val="00A06DDB"/>
    <w:rsid w:val="00A06E36"/>
    <w:rsid w:val="00A06EB1"/>
    <w:rsid w:val="00A06F16"/>
    <w:rsid w:val="00A06F52"/>
    <w:rsid w:val="00A06F65"/>
    <w:rsid w:val="00A07122"/>
    <w:rsid w:val="00A071D6"/>
    <w:rsid w:val="00A071D9"/>
    <w:rsid w:val="00A071ED"/>
    <w:rsid w:val="00A07311"/>
    <w:rsid w:val="00A07412"/>
    <w:rsid w:val="00A07420"/>
    <w:rsid w:val="00A075D0"/>
    <w:rsid w:val="00A0760A"/>
    <w:rsid w:val="00A07785"/>
    <w:rsid w:val="00A07B93"/>
    <w:rsid w:val="00A07BAF"/>
    <w:rsid w:val="00A07E45"/>
    <w:rsid w:val="00A0F86D"/>
    <w:rsid w:val="00A1002D"/>
    <w:rsid w:val="00A10372"/>
    <w:rsid w:val="00A10388"/>
    <w:rsid w:val="00A1068F"/>
    <w:rsid w:val="00A1072B"/>
    <w:rsid w:val="00A108DF"/>
    <w:rsid w:val="00A10A09"/>
    <w:rsid w:val="00A10A2F"/>
    <w:rsid w:val="00A10DD8"/>
    <w:rsid w:val="00A10E7E"/>
    <w:rsid w:val="00A10FBC"/>
    <w:rsid w:val="00A11048"/>
    <w:rsid w:val="00A11137"/>
    <w:rsid w:val="00A11153"/>
    <w:rsid w:val="00A11383"/>
    <w:rsid w:val="00A113DE"/>
    <w:rsid w:val="00A114FF"/>
    <w:rsid w:val="00A1153F"/>
    <w:rsid w:val="00A115F5"/>
    <w:rsid w:val="00A1164C"/>
    <w:rsid w:val="00A11811"/>
    <w:rsid w:val="00A11858"/>
    <w:rsid w:val="00A1185F"/>
    <w:rsid w:val="00A118E2"/>
    <w:rsid w:val="00A1191F"/>
    <w:rsid w:val="00A11A10"/>
    <w:rsid w:val="00A11A39"/>
    <w:rsid w:val="00A11A83"/>
    <w:rsid w:val="00A11C4C"/>
    <w:rsid w:val="00A11DCE"/>
    <w:rsid w:val="00A11DDD"/>
    <w:rsid w:val="00A11E4D"/>
    <w:rsid w:val="00A11F56"/>
    <w:rsid w:val="00A11F98"/>
    <w:rsid w:val="00A1207A"/>
    <w:rsid w:val="00A123EA"/>
    <w:rsid w:val="00A126BE"/>
    <w:rsid w:val="00A126C1"/>
    <w:rsid w:val="00A12741"/>
    <w:rsid w:val="00A12792"/>
    <w:rsid w:val="00A12984"/>
    <w:rsid w:val="00A129C2"/>
    <w:rsid w:val="00A12D11"/>
    <w:rsid w:val="00A12D47"/>
    <w:rsid w:val="00A12E6E"/>
    <w:rsid w:val="00A12FD6"/>
    <w:rsid w:val="00A12FE3"/>
    <w:rsid w:val="00A1300F"/>
    <w:rsid w:val="00A1309F"/>
    <w:rsid w:val="00A13199"/>
    <w:rsid w:val="00A1323A"/>
    <w:rsid w:val="00A13383"/>
    <w:rsid w:val="00A13402"/>
    <w:rsid w:val="00A134F7"/>
    <w:rsid w:val="00A1354C"/>
    <w:rsid w:val="00A1367D"/>
    <w:rsid w:val="00A13703"/>
    <w:rsid w:val="00A13809"/>
    <w:rsid w:val="00A13A66"/>
    <w:rsid w:val="00A13A8B"/>
    <w:rsid w:val="00A13C54"/>
    <w:rsid w:val="00A13CBF"/>
    <w:rsid w:val="00A13CF7"/>
    <w:rsid w:val="00A13D5F"/>
    <w:rsid w:val="00A13E28"/>
    <w:rsid w:val="00A13EBB"/>
    <w:rsid w:val="00A13FA6"/>
    <w:rsid w:val="00A14241"/>
    <w:rsid w:val="00A14261"/>
    <w:rsid w:val="00A142A7"/>
    <w:rsid w:val="00A142C9"/>
    <w:rsid w:val="00A14350"/>
    <w:rsid w:val="00A1437A"/>
    <w:rsid w:val="00A14398"/>
    <w:rsid w:val="00A14592"/>
    <w:rsid w:val="00A145FC"/>
    <w:rsid w:val="00A146C1"/>
    <w:rsid w:val="00A14749"/>
    <w:rsid w:val="00A14795"/>
    <w:rsid w:val="00A14812"/>
    <w:rsid w:val="00A1481C"/>
    <w:rsid w:val="00A14904"/>
    <w:rsid w:val="00A1496D"/>
    <w:rsid w:val="00A14B4E"/>
    <w:rsid w:val="00A14C17"/>
    <w:rsid w:val="00A14C41"/>
    <w:rsid w:val="00A14CD1"/>
    <w:rsid w:val="00A14DDC"/>
    <w:rsid w:val="00A14DF0"/>
    <w:rsid w:val="00A15112"/>
    <w:rsid w:val="00A1518F"/>
    <w:rsid w:val="00A1559A"/>
    <w:rsid w:val="00A15651"/>
    <w:rsid w:val="00A15654"/>
    <w:rsid w:val="00A15715"/>
    <w:rsid w:val="00A15818"/>
    <w:rsid w:val="00A158AF"/>
    <w:rsid w:val="00A1590D"/>
    <w:rsid w:val="00A15AD1"/>
    <w:rsid w:val="00A15D55"/>
    <w:rsid w:val="00A15E76"/>
    <w:rsid w:val="00A1603A"/>
    <w:rsid w:val="00A163BE"/>
    <w:rsid w:val="00A1643C"/>
    <w:rsid w:val="00A16649"/>
    <w:rsid w:val="00A16739"/>
    <w:rsid w:val="00A167D8"/>
    <w:rsid w:val="00A16811"/>
    <w:rsid w:val="00A1683C"/>
    <w:rsid w:val="00A16C03"/>
    <w:rsid w:val="00A16C69"/>
    <w:rsid w:val="00A16D2C"/>
    <w:rsid w:val="00A16D3D"/>
    <w:rsid w:val="00A16DB6"/>
    <w:rsid w:val="00A16E7D"/>
    <w:rsid w:val="00A1714C"/>
    <w:rsid w:val="00A1736F"/>
    <w:rsid w:val="00A174A6"/>
    <w:rsid w:val="00A176D5"/>
    <w:rsid w:val="00A178F6"/>
    <w:rsid w:val="00A17942"/>
    <w:rsid w:val="00A17B1C"/>
    <w:rsid w:val="00A17EFC"/>
    <w:rsid w:val="00A17F5D"/>
    <w:rsid w:val="00A1AC9F"/>
    <w:rsid w:val="00A2029A"/>
    <w:rsid w:val="00A20464"/>
    <w:rsid w:val="00A2058E"/>
    <w:rsid w:val="00A205B6"/>
    <w:rsid w:val="00A20630"/>
    <w:rsid w:val="00A206DF"/>
    <w:rsid w:val="00A20763"/>
    <w:rsid w:val="00A20793"/>
    <w:rsid w:val="00A20852"/>
    <w:rsid w:val="00A208B3"/>
    <w:rsid w:val="00A2092C"/>
    <w:rsid w:val="00A2098E"/>
    <w:rsid w:val="00A209DA"/>
    <w:rsid w:val="00A20A95"/>
    <w:rsid w:val="00A20AFD"/>
    <w:rsid w:val="00A20D57"/>
    <w:rsid w:val="00A20F01"/>
    <w:rsid w:val="00A20F1B"/>
    <w:rsid w:val="00A20FE2"/>
    <w:rsid w:val="00A2112C"/>
    <w:rsid w:val="00A211AA"/>
    <w:rsid w:val="00A2156F"/>
    <w:rsid w:val="00A215FF"/>
    <w:rsid w:val="00A2184E"/>
    <w:rsid w:val="00A2194D"/>
    <w:rsid w:val="00A21986"/>
    <w:rsid w:val="00A21996"/>
    <w:rsid w:val="00A219C5"/>
    <w:rsid w:val="00A21AAF"/>
    <w:rsid w:val="00A21BE8"/>
    <w:rsid w:val="00A21CF1"/>
    <w:rsid w:val="00A21D61"/>
    <w:rsid w:val="00A21E8E"/>
    <w:rsid w:val="00A21F53"/>
    <w:rsid w:val="00A21F69"/>
    <w:rsid w:val="00A22061"/>
    <w:rsid w:val="00A22177"/>
    <w:rsid w:val="00A221D0"/>
    <w:rsid w:val="00A2221A"/>
    <w:rsid w:val="00A222C5"/>
    <w:rsid w:val="00A222EA"/>
    <w:rsid w:val="00A2266D"/>
    <w:rsid w:val="00A22699"/>
    <w:rsid w:val="00A22774"/>
    <w:rsid w:val="00A2287A"/>
    <w:rsid w:val="00A228D5"/>
    <w:rsid w:val="00A22970"/>
    <w:rsid w:val="00A229DF"/>
    <w:rsid w:val="00A22A42"/>
    <w:rsid w:val="00A22AB3"/>
    <w:rsid w:val="00A22B81"/>
    <w:rsid w:val="00A22C08"/>
    <w:rsid w:val="00A22C33"/>
    <w:rsid w:val="00A22D1A"/>
    <w:rsid w:val="00A22D5A"/>
    <w:rsid w:val="00A23125"/>
    <w:rsid w:val="00A23169"/>
    <w:rsid w:val="00A23287"/>
    <w:rsid w:val="00A232EC"/>
    <w:rsid w:val="00A234DA"/>
    <w:rsid w:val="00A234ED"/>
    <w:rsid w:val="00A2350C"/>
    <w:rsid w:val="00A23571"/>
    <w:rsid w:val="00A23684"/>
    <w:rsid w:val="00A23819"/>
    <w:rsid w:val="00A238EF"/>
    <w:rsid w:val="00A238F3"/>
    <w:rsid w:val="00A23914"/>
    <w:rsid w:val="00A239D5"/>
    <w:rsid w:val="00A23B90"/>
    <w:rsid w:val="00A23D89"/>
    <w:rsid w:val="00A23E01"/>
    <w:rsid w:val="00A23FF9"/>
    <w:rsid w:val="00A240E3"/>
    <w:rsid w:val="00A2411E"/>
    <w:rsid w:val="00A2436F"/>
    <w:rsid w:val="00A24434"/>
    <w:rsid w:val="00A2447D"/>
    <w:rsid w:val="00A246D6"/>
    <w:rsid w:val="00A2477D"/>
    <w:rsid w:val="00A24975"/>
    <w:rsid w:val="00A249BD"/>
    <w:rsid w:val="00A249F4"/>
    <w:rsid w:val="00A24BB5"/>
    <w:rsid w:val="00A24CE5"/>
    <w:rsid w:val="00A24D9D"/>
    <w:rsid w:val="00A24DC4"/>
    <w:rsid w:val="00A24F97"/>
    <w:rsid w:val="00A2501C"/>
    <w:rsid w:val="00A250C9"/>
    <w:rsid w:val="00A255BE"/>
    <w:rsid w:val="00A257B1"/>
    <w:rsid w:val="00A25888"/>
    <w:rsid w:val="00A25953"/>
    <w:rsid w:val="00A25A47"/>
    <w:rsid w:val="00A25A7F"/>
    <w:rsid w:val="00A25AF2"/>
    <w:rsid w:val="00A25B94"/>
    <w:rsid w:val="00A25BF4"/>
    <w:rsid w:val="00A25E0A"/>
    <w:rsid w:val="00A25EC6"/>
    <w:rsid w:val="00A25FA4"/>
    <w:rsid w:val="00A2605E"/>
    <w:rsid w:val="00A261C8"/>
    <w:rsid w:val="00A26332"/>
    <w:rsid w:val="00A26333"/>
    <w:rsid w:val="00A26483"/>
    <w:rsid w:val="00A26503"/>
    <w:rsid w:val="00A265F1"/>
    <w:rsid w:val="00A26715"/>
    <w:rsid w:val="00A26814"/>
    <w:rsid w:val="00A2682F"/>
    <w:rsid w:val="00A26CFF"/>
    <w:rsid w:val="00A26DEE"/>
    <w:rsid w:val="00A26EDC"/>
    <w:rsid w:val="00A2706B"/>
    <w:rsid w:val="00A27116"/>
    <w:rsid w:val="00A27141"/>
    <w:rsid w:val="00A27233"/>
    <w:rsid w:val="00A27245"/>
    <w:rsid w:val="00A272C3"/>
    <w:rsid w:val="00A27394"/>
    <w:rsid w:val="00A273F4"/>
    <w:rsid w:val="00A27495"/>
    <w:rsid w:val="00A274C6"/>
    <w:rsid w:val="00A27590"/>
    <w:rsid w:val="00A2759A"/>
    <w:rsid w:val="00A275CB"/>
    <w:rsid w:val="00A276F7"/>
    <w:rsid w:val="00A27710"/>
    <w:rsid w:val="00A2778E"/>
    <w:rsid w:val="00A278F8"/>
    <w:rsid w:val="00A27B4E"/>
    <w:rsid w:val="00A27BA3"/>
    <w:rsid w:val="00A27CB7"/>
    <w:rsid w:val="00A27CD2"/>
    <w:rsid w:val="00A27D7B"/>
    <w:rsid w:val="00A27DC3"/>
    <w:rsid w:val="00A27DDA"/>
    <w:rsid w:val="00A27DDB"/>
    <w:rsid w:val="00A27E8F"/>
    <w:rsid w:val="00A27FB6"/>
    <w:rsid w:val="00A3008B"/>
    <w:rsid w:val="00A300D7"/>
    <w:rsid w:val="00A300E2"/>
    <w:rsid w:val="00A30288"/>
    <w:rsid w:val="00A30313"/>
    <w:rsid w:val="00A303BA"/>
    <w:rsid w:val="00A305A0"/>
    <w:rsid w:val="00A307B5"/>
    <w:rsid w:val="00A30993"/>
    <w:rsid w:val="00A30AAB"/>
    <w:rsid w:val="00A30BB4"/>
    <w:rsid w:val="00A30BB7"/>
    <w:rsid w:val="00A30CBA"/>
    <w:rsid w:val="00A30CC9"/>
    <w:rsid w:val="00A30DE3"/>
    <w:rsid w:val="00A30FE3"/>
    <w:rsid w:val="00A310B9"/>
    <w:rsid w:val="00A311B9"/>
    <w:rsid w:val="00A311F0"/>
    <w:rsid w:val="00A31299"/>
    <w:rsid w:val="00A3138E"/>
    <w:rsid w:val="00A31432"/>
    <w:rsid w:val="00A31701"/>
    <w:rsid w:val="00A31757"/>
    <w:rsid w:val="00A317CE"/>
    <w:rsid w:val="00A318F9"/>
    <w:rsid w:val="00A31976"/>
    <w:rsid w:val="00A31A3C"/>
    <w:rsid w:val="00A31AC9"/>
    <w:rsid w:val="00A31B0D"/>
    <w:rsid w:val="00A31B71"/>
    <w:rsid w:val="00A31BBC"/>
    <w:rsid w:val="00A31C3B"/>
    <w:rsid w:val="00A31C3F"/>
    <w:rsid w:val="00A31D15"/>
    <w:rsid w:val="00A31D6F"/>
    <w:rsid w:val="00A31EA5"/>
    <w:rsid w:val="00A31F39"/>
    <w:rsid w:val="00A31FB4"/>
    <w:rsid w:val="00A32121"/>
    <w:rsid w:val="00A3213D"/>
    <w:rsid w:val="00A321AC"/>
    <w:rsid w:val="00A321DA"/>
    <w:rsid w:val="00A321F4"/>
    <w:rsid w:val="00A32226"/>
    <w:rsid w:val="00A32436"/>
    <w:rsid w:val="00A32483"/>
    <w:rsid w:val="00A3259C"/>
    <w:rsid w:val="00A3264C"/>
    <w:rsid w:val="00A32750"/>
    <w:rsid w:val="00A32871"/>
    <w:rsid w:val="00A32996"/>
    <w:rsid w:val="00A32A03"/>
    <w:rsid w:val="00A32A2E"/>
    <w:rsid w:val="00A32B10"/>
    <w:rsid w:val="00A32D10"/>
    <w:rsid w:val="00A32D3A"/>
    <w:rsid w:val="00A32D60"/>
    <w:rsid w:val="00A32D6E"/>
    <w:rsid w:val="00A32DBC"/>
    <w:rsid w:val="00A32E5B"/>
    <w:rsid w:val="00A33005"/>
    <w:rsid w:val="00A3309D"/>
    <w:rsid w:val="00A330AF"/>
    <w:rsid w:val="00A331EF"/>
    <w:rsid w:val="00A333FC"/>
    <w:rsid w:val="00A3365F"/>
    <w:rsid w:val="00A3374F"/>
    <w:rsid w:val="00A3375E"/>
    <w:rsid w:val="00A33856"/>
    <w:rsid w:val="00A33A02"/>
    <w:rsid w:val="00A33AF4"/>
    <w:rsid w:val="00A33B7A"/>
    <w:rsid w:val="00A33CFA"/>
    <w:rsid w:val="00A33E2A"/>
    <w:rsid w:val="00A33EBC"/>
    <w:rsid w:val="00A33FAC"/>
    <w:rsid w:val="00A34018"/>
    <w:rsid w:val="00A3401C"/>
    <w:rsid w:val="00A34081"/>
    <w:rsid w:val="00A342D0"/>
    <w:rsid w:val="00A3460A"/>
    <w:rsid w:val="00A3466E"/>
    <w:rsid w:val="00A346B4"/>
    <w:rsid w:val="00A347D0"/>
    <w:rsid w:val="00A34929"/>
    <w:rsid w:val="00A34939"/>
    <w:rsid w:val="00A34C16"/>
    <w:rsid w:val="00A34F59"/>
    <w:rsid w:val="00A34FED"/>
    <w:rsid w:val="00A350EE"/>
    <w:rsid w:val="00A35113"/>
    <w:rsid w:val="00A3511E"/>
    <w:rsid w:val="00A3518E"/>
    <w:rsid w:val="00A35384"/>
    <w:rsid w:val="00A353F2"/>
    <w:rsid w:val="00A354FD"/>
    <w:rsid w:val="00A354FF"/>
    <w:rsid w:val="00A35667"/>
    <w:rsid w:val="00A358B3"/>
    <w:rsid w:val="00A35B23"/>
    <w:rsid w:val="00A35B64"/>
    <w:rsid w:val="00A35CE8"/>
    <w:rsid w:val="00A35D0C"/>
    <w:rsid w:val="00A35D28"/>
    <w:rsid w:val="00A35FF4"/>
    <w:rsid w:val="00A3602D"/>
    <w:rsid w:val="00A361A4"/>
    <w:rsid w:val="00A3626B"/>
    <w:rsid w:val="00A36373"/>
    <w:rsid w:val="00A363BE"/>
    <w:rsid w:val="00A36409"/>
    <w:rsid w:val="00A36447"/>
    <w:rsid w:val="00A36706"/>
    <w:rsid w:val="00A36A8A"/>
    <w:rsid w:val="00A36B11"/>
    <w:rsid w:val="00A36C6D"/>
    <w:rsid w:val="00A36DEF"/>
    <w:rsid w:val="00A36E09"/>
    <w:rsid w:val="00A36F4B"/>
    <w:rsid w:val="00A36F4C"/>
    <w:rsid w:val="00A37066"/>
    <w:rsid w:val="00A372FC"/>
    <w:rsid w:val="00A3730A"/>
    <w:rsid w:val="00A376BC"/>
    <w:rsid w:val="00A37757"/>
    <w:rsid w:val="00A3776F"/>
    <w:rsid w:val="00A37831"/>
    <w:rsid w:val="00A37879"/>
    <w:rsid w:val="00A3794C"/>
    <w:rsid w:val="00A37985"/>
    <w:rsid w:val="00A37A39"/>
    <w:rsid w:val="00A37B25"/>
    <w:rsid w:val="00A37B57"/>
    <w:rsid w:val="00A37BC8"/>
    <w:rsid w:val="00A37D04"/>
    <w:rsid w:val="00A37D17"/>
    <w:rsid w:val="00A37ED6"/>
    <w:rsid w:val="00A4003F"/>
    <w:rsid w:val="00A40210"/>
    <w:rsid w:val="00A402FC"/>
    <w:rsid w:val="00A4062D"/>
    <w:rsid w:val="00A40664"/>
    <w:rsid w:val="00A406DE"/>
    <w:rsid w:val="00A407D4"/>
    <w:rsid w:val="00A408DC"/>
    <w:rsid w:val="00A40A0B"/>
    <w:rsid w:val="00A40B1C"/>
    <w:rsid w:val="00A40BE9"/>
    <w:rsid w:val="00A40D19"/>
    <w:rsid w:val="00A40E37"/>
    <w:rsid w:val="00A4106B"/>
    <w:rsid w:val="00A4107E"/>
    <w:rsid w:val="00A410C0"/>
    <w:rsid w:val="00A41188"/>
    <w:rsid w:val="00A41237"/>
    <w:rsid w:val="00A412CA"/>
    <w:rsid w:val="00A4131A"/>
    <w:rsid w:val="00A41333"/>
    <w:rsid w:val="00A4133B"/>
    <w:rsid w:val="00A41486"/>
    <w:rsid w:val="00A41549"/>
    <w:rsid w:val="00A41591"/>
    <w:rsid w:val="00A415B4"/>
    <w:rsid w:val="00A41622"/>
    <w:rsid w:val="00A4180A"/>
    <w:rsid w:val="00A41895"/>
    <w:rsid w:val="00A418A4"/>
    <w:rsid w:val="00A41A12"/>
    <w:rsid w:val="00A41A27"/>
    <w:rsid w:val="00A41A9F"/>
    <w:rsid w:val="00A41AA9"/>
    <w:rsid w:val="00A41AC1"/>
    <w:rsid w:val="00A41B20"/>
    <w:rsid w:val="00A41B8E"/>
    <w:rsid w:val="00A41BFA"/>
    <w:rsid w:val="00A41C23"/>
    <w:rsid w:val="00A41D29"/>
    <w:rsid w:val="00A41E79"/>
    <w:rsid w:val="00A41FB3"/>
    <w:rsid w:val="00A4200E"/>
    <w:rsid w:val="00A4212E"/>
    <w:rsid w:val="00A4213E"/>
    <w:rsid w:val="00A42182"/>
    <w:rsid w:val="00A421F7"/>
    <w:rsid w:val="00A42203"/>
    <w:rsid w:val="00A42276"/>
    <w:rsid w:val="00A422B1"/>
    <w:rsid w:val="00A4232A"/>
    <w:rsid w:val="00A42434"/>
    <w:rsid w:val="00A42462"/>
    <w:rsid w:val="00A424BD"/>
    <w:rsid w:val="00A425C2"/>
    <w:rsid w:val="00A426E8"/>
    <w:rsid w:val="00A42799"/>
    <w:rsid w:val="00A427E3"/>
    <w:rsid w:val="00A42831"/>
    <w:rsid w:val="00A42881"/>
    <w:rsid w:val="00A428A5"/>
    <w:rsid w:val="00A42988"/>
    <w:rsid w:val="00A42B01"/>
    <w:rsid w:val="00A42C9F"/>
    <w:rsid w:val="00A42E64"/>
    <w:rsid w:val="00A43236"/>
    <w:rsid w:val="00A4338F"/>
    <w:rsid w:val="00A435AB"/>
    <w:rsid w:val="00A43680"/>
    <w:rsid w:val="00A436C7"/>
    <w:rsid w:val="00A43745"/>
    <w:rsid w:val="00A43791"/>
    <w:rsid w:val="00A438C8"/>
    <w:rsid w:val="00A43AD4"/>
    <w:rsid w:val="00A43C79"/>
    <w:rsid w:val="00A43CB3"/>
    <w:rsid w:val="00A43D7D"/>
    <w:rsid w:val="00A43D8D"/>
    <w:rsid w:val="00A43F0D"/>
    <w:rsid w:val="00A43F7C"/>
    <w:rsid w:val="00A44018"/>
    <w:rsid w:val="00A441C9"/>
    <w:rsid w:val="00A442A5"/>
    <w:rsid w:val="00A443A9"/>
    <w:rsid w:val="00A44565"/>
    <w:rsid w:val="00A445C1"/>
    <w:rsid w:val="00A44703"/>
    <w:rsid w:val="00A44780"/>
    <w:rsid w:val="00A447F0"/>
    <w:rsid w:val="00A44936"/>
    <w:rsid w:val="00A449BE"/>
    <w:rsid w:val="00A44A6D"/>
    <w:rsid w:val="00A44B35"/>
    <w:rsid w:val="00A44B3A"/>
    <w:rsid w:val="00A44D01"/>
    <w:rsid w:val="00A44D5F"/>
    <w:rsid w:val="00A44D85"/>
    <w:rsid w:val="00A44DAD"/>
    <w:rsid w:val="00A44E84"/>
    <w:rsid w:val="00A44F2A"/>
    <w:rsid w:val="00A450FC"/>
    <w:rsid w:val="00A45146"/>
    <w:rsid w:val="00A451F2"/>
    <w:rsid w:val="00A453E1"/>
    <w:rsid w:val="00A45499"/>
    <w:rsid w:val="00A456AC"/>
    <w:rsid w:val="00A45768"/>
    <w:rsid w:val="00A457C8"/>
    <w:rsid w:val="00A458A9"/>
    <w:rsid w:val="00A458BC"/>
    <w:rsid w:val="00A458DF"/>
    <w:rsid w:val="00A459B3"/>
    <w:rsid w:val="00A45B8D"/>
    <w:rsid w:val="00A45C0A"/>
    <w:rsid w:val="00A45E16"/>
    <w:rsid w:val="00A45F36"/>
    <w:rsid w:val="00A45F9D"/>
    <w:rsid w:val="00A45FC5"/>
    <w:rsid w:val="00A46233"/>
    <w:rsid w:val="00A462E3"/>
    <w:rsid w:val="00A463A6"/>
    <w:rsid w:val="00A46476"/>
    <w:rsid w:val="00A465F4"/>
    <w:rsid w:val="00A4665B"/>
    <w:rsid w:val="00A46788"/>
    <w:rsid w:val="00A467E1"/>
    <w:rsid w:val="00A4699E"/>
    <w:rsid w:val="00A46AD5"/>
    <w:rsid w:val="00A46AF7"/>
    <w:rsid w:val="00A46B8A"/>
    <w:rsid w:val="00A46D48"/>
    <w:rsid w:val="00A46E27"/>
    <w:rsid w:val="00A46E31"/>
    <w:rsid w:val="00A46F68"/>
    <w:rsid w:val="00A4711F"/>
    <w:rsid w:val="00A471E1"/>
    <w:rsid w:val="00A47238"/>
    <w:rsid w:val="00A4728A"/>
    <w:rsid w:val="00A472C2"/>
    <w:rsid w:val="00A47308"/>
    <w:rsid w:val="00A47375"/>
    <w:rsid w:val="00A473D3"/>
    <w:rsid w:val="00A47421"/>
    <w:rsid w:val="00A474CB"/>
    <w:rsid w:val="00A47624"/>
    <w:rsid w:val="00A47679"/>
    <w:rsid w:val="00A47733"/>
    <w:rsid w:val="00A477A1"/>
    <w:rsid w:val="00A477DF"/>
    <w:rsid w:val="00A47964"/>
    <w:rsid w:val="00A47A35"/>
    <w:rsid w:val="00A47C41"/>
    <w:rsid w:val="00A47C91"/>
    <w:rsid w:val="00A47EA9"/>
    <w:rsid w:val="00A502D8"/>
    <w:rsid w:val="00A50327"/>
    <w:rsid w:val="00A50480"/>
    <w:rsid w:val="00A504FE"/>
    <w:rsid w:val="00A505AE"/>
    <w:rsid w:val="00A505C9"/>
    <w:rsid w:val="00A5085A"/>
    <w:rsid w:val="00A50865"/>
    <w:rsid w:val="00A508BB"/>
    <w:rsid w:val="00A50A48"/>
    <w:rsid w:val="00A5100C"/>
    <w:rsid w:val="00A5100F"/>
    <w:rsid w:val="00A51024"/>
    <w:rsid w:val="00A51085"/>
    <w:rsid w:val="00A510E5"/>
    <w:rsid w:val="00A511D5"/>
    <w:rsid w:val="00A5136D"/>
    <w:rsid w:val="00A513E4"/>
    <w:rsid w:val="00A5140E"/>
    <w:rsid w:val="00A51505"/>
    <w:rsid w:val="00A516AF"/>
    <w:rsid w:val="00A516EC"/>
    <w:rsid w:val="00A516F3"/>
    <w:rsid w:val="00A51799"/>
    <w:rsid w:val="00A517B1"/>
    <w:rsid w:val="00A517BB"/>
    <w:rsid w:val="00A51AB9"/>
    <w:rsid w:val="00A51ABB"/>
    <w:rsid w:val="00A51AD8"/>
    <w:rsid w:val="00A51BA7"/>
    <w:rsid w:val="00A51DBB"/>
    <w:rsid w:val="00A51F39"/>
    <w:rsid w:val="00A51F90"/>
    <w:rsid w:val="00A51FBE"/>
    <w:rsid w:val="00A52219"/>
    <w:rsid w:val="00A52234"/>
    <w:rsid w:val="00A52357"/>
    <w:rsid w:val="00A52378"/>
    <w:rsid w:val="00A5247B"/>
    <w:rsid w:val="00A52700"/>
    <w:rsid w:val="00A5274A"/>
    <w:rsid w:val="00A527B8"/>
    <w:rsid w:val="00A52861"/>
    <w:rsid w:val="00A5296E"/>
    <w:rsid w:val="00A52A94"/>
    <w:rsid w:val="00A52AFA"/>
    <w:rsid w:val="00A52BE9"/>
    <w:rsid w:val="00A52C31"/>
    <w:rsid w:val="00A52C4D"/>
    <w:rsid w:val="00A52C52"/>
    <w:rsid w:val="00A52D9C"/>
    <w:rsid w:val="00A52DE3"/>
    <w:rsid w:val="00A52EEB"/>
    <w:rsid w:val="00A530B4"/>
    <w:rsid w:val="00A530B7"/>
    <w:rsid w:val="00A531CA"/>
    <w:rsid w:val="00A5322C"/>
    <w:rsid w:val="00A5323C"/>
    <w:rsid w:val="00A535B4"/>
    <w:rsid w:val="00A53627"/>
    <w:rsid w:val="00A5386E"/>
    <w:rsid w:val="00A53871"/>
    <w:rsid w:val="00A53945"/>
    <w:rsid w:val="00A53951"/>
    <w:rsid w:val="00A53954"/>
    <w:rsid w:val="00A53AA0"/>
    <w:rsid w:val="00A53AA9"/>
    <w:rsid w:val="00A53AC4"/>
    <w:rsid w:val="00A53D0E"/>
    <w:rsid w:val="00A53D68"/>
    <w:rsid w:val="00A53E0E"/>
    <w:rsid w:val="00A53F61"/>
    <w:rsid w:val="00A53FB1"/>
    <w:rsid w:val="00A5402F"/>
    <w:rsid w:val="00A54163"/>
    <w:rsid w:val="00A54188"/>
    <w:rsid w:val="00A54332"/>
    <w:rsid w:val="00A54469"/>
    <w:rsid w:val="00A5455B"/>
    <w:rsid w:val="00A545F2"/>
    <w:rsid w:val="00A54634"/>
    <w:rsid w:val="00A54780"/>
    <w:rsid w:val="00A547CF"/>
    <w:rsid w:val="00A547FF"/>
    <w:rsid w:val="00A54896"/>
    <w:rsid w:val="00A5492E"/>
    <w:rsid w:val="00A54972"/>
    <w:rsid w:val="00A54BCB"/>
    <w:rsid w:val="00A54CB6"/>
    <w:rsid w:val="00A54CC5"/>
    <w:rsid w:val="00A54CF8"/>
    <w:rsid w:val="00A54CFA"/>
    <w:rsid w:val="00A54D80"/>
    <w:rsid w:val="00A54DC4"/>
    <w:rsid w:val="00A54DFA"/>
    <w:rsid w:val="00A54EAC"/>
    <w:rsid w:val="00A54F2F"/>
    <w:rsid w:val="00A5502B"/>
    <w:rsid w:val="00A551F0"/>
    <w:rsid w:val="00A551F1"/>
    <w:rsid w:val="00A55291"/>
    <w:rsid w:val="00A553F2"/>
    <w:rsid w:val="00A55444"/>
    <w:rsid w:val="00A55481"/>
    <w:rsid w:val="00A554B2"/>
    <w:rsid w:val="00A55AE3"/>
    <w:rsid w:val="00A55CF6"/>
    <w:rsid w:val="00A55D39"/>
    <w:rsid w:val="00A56035"/>
    <w:rsid w:val="00A560BA"/>
    <w:rsid w:val="00A560EA"/>
    <w:rsid w:val="00A561FB"/>
    <w:rsid w:val="00A5639C"/>
    <w:rsid w:val="00A564D7"/>
    <w:rsid w:val="00A564F1"/>
    <w:rsid w:val="00A5658D"/>
    <w:rsid w:val="00A56593"/>
    <w:rsid w:val="00A5659C"/>
    <w:rsid w:val="00A569D1"/>
    <w:rsid w:val="00A56B85"/>
    <w:rsid w:val="00A56BA8"/>
    <w:rsid w:val="00A56BF0"/>
    <w:rsid w:val="00A56C30"/>
    <w:rsid w:val="00A56C70"/>
    <w:rsid w:val="00A56C7D"/>
    <w:rsid w:val="00A56CE0"/>
    <w:rsid w:val="00A56DD7"/>
    <w:rsid w:val="00A56E8D"/>
    <w:rsid w:val="00A56F74"/>
    <w:rsid w:val="00A56F8B"/>
    <w:rsid w:val="00A570EB"/>
    <w:rsid w:val="00A57125"/>
    <w:rsid w:val="00A57253"/>
    <w:rsid w:val="00A572D9"/>
    <w:rsid w:val="00A57443"/>
    <w:rsid w:val="00A5744B"/>
    <w:rsid w:val="00A57480"/>
    <w:rsid w:val="00A574A9"/>
    <w:rsid w:val="00A574D1"/>
    <w:rsid w:val="00A575D8"/>
    <w:rsid w:val="00A57646"/>
    <w:rsid w:val="00A57717"/>
    <w:rsid w:val="00A577FF"/>
    <w:rsid w:val="00A57825"/>
    <w:rsid w:val="00A5782F"/>
    <w:rsid w:val="00A57845"/>
    <w:rsid w:val="00A57B4D"/>
    <w:rsid w:val="00A57B59"/>
    <w:rsid w:val="00A57C27"/>
    <w:rsid w:val="00A57C69"/>
    <w:rsid w:val="00A57CFA"/>
    <w:rsid w:val="00A57FC9"/>
    <w:rsid w:val="00A57FFE"/>
    <w:rsid w:val="00A60055"/>
    <w:rsid w:val="00A600CC"/>
    <w:rsid w:val="00A601BF"/>
    <w:rsid w:val="00A602E3"/>
    <w:rsid w:val="00A604A4"/>
    <w:rsid w:val="00A604B3"/>
    <w:rsid w:val="00A605A6"/>
    <w:rsid w:val="00A60696"/>
    <w:rsid w:val="00A60817"/>
    <w:rsid w:val="00A6096C"/>
    <w:rsid w:val="00A609FA"/>
    <w:rsid w:val="00A60A29"/>
    <w:rsid w:val="00A60A8B"/>
    <w:rsid w:val="00A60B05"/>
    <w:rsid w:val="00A60BD8"/>
    <w:rsid w:val="00A60BDF"/>
    <w:rsid w:val="00A60C5B"/>
    <w:rsid w:val="00A60C74"/>
    <w:rsid w:val="00A61031"/>
    <w:rsid w:val="00A61094"/>
    <w:rsid w:val="00A61321"/>
    <w:rsid w:val="00A61403"/>
    <w:rsid w:val="00A61561"/>
    <w:rsid w:val="00A616B8"/>
    <w:rsid w:val="00A61816"/>
    <w:rsid w:val="00A61840"/>
    <w:rsid w:val="00A61B7D"/>
    <w:rsid w:val="00A61BEC"/>
    <w:rsid w:val="00A61CE1"/>
    <w:rsid w:val="00A61D2F"/>
    <w:rsid w:val="00A61D40"/>
    <w:rsid w:val="00A61DFD"/>
    <w:rsid w:val="00A61E20"/>
    <w:rsid w:val="00A62040"/>
    <w:rsid w:val="00A62171"/>
    <w:rsid w:val="00A622F9"/>
    <w:rsid w:val="00A623FB"/>
    <w:rsid w:val="00A62401"/>
    <w:rsid w:val="00A6241B"/>
    <w:rsid w:val="00A6242A"/>
    <w:rsid w:val="00A62553"/>
    <w:rsid w:val="00A627E8"/>
    <w:rsid w:val="00A6285A"/>
    <w:rsid w:val="00A62917"/>
    <w:rsid w:val="00A6294E"/>
    <w:rsid w:val="00A62A24"/>
    <w:rsid w:val="00A62A33"/>
    <w:rsid w:val="00A62B1D"/>
    <w:rsid w:val="00A62B70"/>
    <w:rsid w:val="00A62C08"/>
    <w:rsid w:val="00A62C82"/>
    <w:rsid w:val="00A62C98"/>
    <w:rsid w:val="00A62CEB"/>
    <w:rsid w:val="00A62D68"/>
    <w:rsid w:val="00A62E14"/>
    <w:rsid w:val="00A63085"/>
    <w:rsid w:val="00A6312A"/>
    <w:rsid w:val="00A63190"/>
    <w:rsid w:val="00A63233"/>
    <w:rsid w:val="00A6345F"/>
    <w:rsid w:val="00A6364D"/>
    <w:rsid w:val="00A636A3"/>
    <w:rsid w:val="00A6378E"/>
    <w:rsid w:val="00A63846"/>
    <w:rsid w:val="00A63855"/>
    <w:rsid w:val="00A6386A"/>
    <w:rsid w:val="00A63DC3"/>
    <w:rsid w:val="00A63EAE"/>
    <w:rsid w:val="00A63ECB"/>
    <w:rsid w:val="00A6400C"/>
    <w:rsid w:val="00A64099"/>
    <w:rsid w:val="00A640BD"/>
    <w:rsid w:val="00A6414A"/>
    <w:rsid w:val="00A6415C"/>
    <w:rsid w:val="00A6423E"/>
    <w:rsid w:val="00A644D5"/>
    <w:rsid w:val="00A644F5"/>
    <w:rsid w:val="00A64515"/>
    <w:rsid w:val="00A64591"/>
    <w:rsid w:val="00A645BF"/>
    <w:rsid w:val="00A647D8"/>
    <w:rsid w:val="00A64868"/>
    <w:rsid w:val="00A648AE"/>
    <w:rsid w:val="00A6492D"/>
    <w:rsid w:val="00A64A72"/>
    <w:rsid w:val="00A64C5E"/>
    <w:rsid w:val="00A64C7E"/>
    <w:rsid w:val="00A64C90"/>
    <w:rsid w:val="00A64D24"/>
    <w:rsid w:val="00A64D5F"/>
    <w:rsid w:val="00A64D8C"/>
    <w:rsid w:val="00A64E13"/>
    <w:rsid w:val="00A64E67"/>
    <w:rsid w:val="00A64EAB"/>
    <w:rsid w:val="00A64EB0"/>
    <w:rsid w:val="00A64F45"/>
    <w:rsid w:val="00A64F51"/>
    <w:rsid w:val="00A64FCE"/>
    <w:rsid w:val="00A651E1"/>
    <w:rsid w:val="00A65266"/>
    <w:rsid w:val="00A653D2"/>
    <w:rsid w:val="00A6543F"/>
    <w:rsid w:val="00A65490"/>
    <w:rsid w:val="00A65541"/>
    <w:rsid w:val="00A6562D"/>
    <w:rsid w:val="00A65707"/>
    <w:rsid w:val="00A657F2"/>
    <w:rsid w:val="00A6583A"/>
    <w:rsid w:val="00A658A5"/>
    <w:rsid w:val="00A658DD"/>
    <w:rsid w:val="00A65A11"/>
    <w:rsid w:val="00A65A4D"/>
    <w:rsid w:val="00A65BDA"/>
    <w:rsid w:val="00A65CA4"/>
    <w:rsid w:val="00A65D25"/>
    <w:rsid w:val="00A65E92"/>
    <w:rsid w:val="00A66244"/>
    <w:rsid w:val="00A663DA"/>
    <w:rsid w:val="00A666BB"/>
    <w:rsid w:val="00A66748"/>
    <w:rsid w:val="00A66837"/>
    <w:rsid w:val="00A66883"/>
    <w:rsid w:val="00A66889"/>
    <w:rsid w:val="00A6688A"/>
    <w:rsid w:val="00A66A1E"/>
    <w:rsid w:val="00A66B9E"/>
    <w:rsid w:val="00A66C5A"/>
    <w:rsid w:val="00A66C5C"/>
    <w:rsid w:val="00A66DB3"/>
    <w:rsid w:val="00A66DD1"/>
    <w:rsid w:val="00A66F3A"/>
    <w:rsid w:val="00A66FE3"/>
    <w:rsid w:val="00A6708B"/>
    <w:rsid w:val="00A67186"/>
    <w:rsid w:val="00A67305"/>
    <w:rsid w:val="00A6734F"/>
    <w:rsid w:val="00A673FE"/>
    <w:rsid w:val="00A674AC"/>
    <w:rsid w:val="00A67505"/>
    <w:rsid w:val="00A6754D"/>
    <w:rsid w:val="00A675C7"/>
    <w:rsid w:val="00A6768C"/>
    <w:rsid w:val="00A678E2"/>
    <w:rsid w:val="00A678F2"/>
    <w:rsid w:val="00A67924"/>
    <w:rsid w:val="00A67943"/>
    <w:rsid w:val="00A67B22"/>
    <w:rsid w:val="00A67B81"/>
    <w:rsid w:val="00A67B99"/>
    <w:rsid w:val="00A67C13"/>
    <w:rsid w:val="00A67C8A"/>
    <w:rsid w:val="00A67E7B"/>
    <w:rsid w:val="00A67F32"/>
    <w:rsid w:val="00A70039"/>
    <w:rsid w:val="00A7003C"/>
    <w:rsid w:val="00A7021E"/>
    <w:rsid w:val="00A702C0"/>
    <w:rsid w:val="00A7036A"/>
    <w:rsid w:val="00A70407"/>
    <w:rsid w:val="00A70700"/>
    <w:rsid w:val="00A7070F"/>
    <w:rsid w:val="00A7071E"/>
    <w:rsid w:val="00A708DC"/>
    <w:rsid w:val="00A708DE"/>
    <w:rsid w:val="00A70A89"/>
    <w:rsid w:val="00A70B88"/>
    <w:rsid w:val="00A70F78"/>
    <w:rsid w:val="00A7101D"/>
    <w:rsid w:val="00A710F7"/>
    <w:rsid w:val="00A71129"/>
    <w:rsid w:val="00A712A1"/>
    <w:rsid w:val="00A71377"/>
    <w:rsid w:val="00A7137B"/>
    <w:rsid w:val="00A713BF"/>
    <w:rsid w:val="00A7144E"/>
    <w:rsid w:val="00A714A3"/>
    <w:rsid w:val="00A71518"/>
    <w:rsid w:val="00A716DE"/>
    <w:rsid w:val="00A716F2"/>
    <w:rsid w:val="00A718AC"/>
    <w:rsid w:val="00A71B40"/>
    <w:rsid w:val="00A71BAC"/>
    <w:rsid w:val="00A71BE6"/>
    <w:rsid w:val="00A71E10"/>
    <w:rsid w:val="00A71F50"/>
    <w:rsid w:val="00A7206C"/>
    <w:rsid w:val="00A722BD"/>
    <w:rsid w:val="00A72690"/>
    <w:rsid w:val="00A7272D"/>
    <w:rsid w:val="00A727E6"/>
    <w:rsid w:val="00A728B7"/>
    <w:rsid w:val="00A729B9"/>
    <w:rsid w:val="00A72C27"/>
    <w:rsid w:val="00A72C39"/>
    <w:rsid w:val="00A72D8A"/>
    <w:rsid w:val="00A73017"/>
    <w:rsid w:val="00A7325E"/>
    <w:rsid w:val="00A73371"/>
    <w:rsid w:val="00A733A6"/>
    <w:rsid w:val="00A7345A"/>
    <w:rsid w:val="00A735FB"/>
    <w:rsid w:val="00A73616"/>
    <w:rsid w:val="00A7363F"/>
    <w:rsid w:val="00A736F2"/>
    <w:rsid w:val="00A73708"/>
    <w:rsid w:val="00A73712"/>
    <w:rsid w:val="00A73724"/>
    <w:rsid w:val="00A73763"/>
    <w:rsid w:val="00A73829"/>
    <w:rsid w:val="00A738A0"/>
    <w:rsid w:val="00A73919"/>
    <w:rsid w:val="00A73A56"/>
    <w:rsid w:val="00A73A8F"/>
    <w:rsid w:val="00A73A94"/>
    <w:rsid w:val="00A73B07"/>
    <w:rsid w:val="00A73B5A"/>
    <w:rsid w:val="00A73BD1"/>
    <w:rsid w:val="00A73C1E"/>
    <w:rsid w:val="00A73D81"/>
    <w:rsid w:val="00A73DCD"/>
    <w:rsid w:val="00A73E8F"/>
    <w:rsid w:val="00A73F45"/>
    <w:rsid w:val="00A74138"/>
    <w:rsid w:val="00A7415D"/>
    <w:rsid w:val="00A7417C"/>
    <w:rsid w:val="00A744BB"/>
    <w:rsid w:val="00A74582"/>
    <w:rsid w:val="00A745B3"/>
    <w:rsid w:val="00A746AB"/>
    <w:rsid w:val="00A7474E"/>
    <w:rsid w:val="00A74A0B"/>
    <w:rsid w:val="00A74AC5"/>
    <w:rsid w:val="00A74B28"/>
    <w:rsid w:val="00A74C32"/>
    <w:rsid w:val="00A74E6D"/>
    <w:rsid w:val="00A74ECF"/>
    <w:rsid w:val="00A74F60"/>
    <w:rsid w:val="00A74F6E"/>
    <w:rsid w:val="00A74FF1"/>
    <w:rsid w:val="00A752C3"/>
    <w:rsid w:val="00A753E0"/>
    <w:rsid w:val="00A75429"/>
    <w:rsid w:val="00A75584"/>
    <w:rsid w:val="00A755F2"/>
    <w:rsid w:val="00A75646"/>
    <w:rsid w:val="00A7565E"/>
    <w:rsid w:val="00A757A8"/>
    <w:rsid w:val="00A75829"/>
    <w:rsid w:val="00A7587C"/>
    <w:rsid w:val="00A758A7"/>
    <w:rsid w:val="00A759A0"/>
    <w:rsid w:val="00A75AD0"/>
    <w:rsid w:val="00A75AE4"/>
    <w:rsid w:val="00A75AF0"/>
    <w:rsid w:val="00A75BF2"/>
    <w:rsid w:val="00A75D30"/>
    <w:rsid w:val="00A75D6B"/>
    <w:rsid w:val="00A75D8E"/>
    <w:rsid w:val="00A75DF5"/>
    <w:rsid w:val="00A75E76"/>
    <w:rsid w:val="00A75EF0"/>
    <w:rsid w:val="00A75F2E"/>
    <w:rsid w:val="00A75F45"/>
    <w:rsid w:val="00A75F96"/>
    <w:rsid w:val="00A75FEC"/>
    <w:rsid w:val="00A760F0"/>
    <w:rsid w:val="00A761D7"/>
    <w:rsid w:val="00A76225"/>
    <w:rsid w:val="00A76728"/>
    <w:rsid w:val="00A767E5"/>
    <w:rsid w:val="00A768BF"/>
    <w:rsid w:val="00A76A40"/>
    <w:rsid w:val="00A76A59"/>
    <w:rsid w:val="00A76C04"/>
    <w:rsid w:val="00A76C1A"/>
    <w:rsid w:val="00A76D53"/>
    <w:rsid w:val="00A76ECC"/>
    <w:rsid w:val="00A77389"/>
    <w:rsid w:val="00A774AF"/>
    <w:rsid w:val="00A774B8"/>
    <w:rsid w:val="00A77564"/>
    <w:rsid w:val="00A775D6"/>
    <w:rsid w:val="00A776AC"/>
    <w:rsid w:val="00A776BA"/>
    <w:rsid w:val="00A77768"/>
    <w:rsid w:val="00A7778D"/>
    <w:rsid w:val="00A7785F"/>
    <w:rsid w:val="00A778F2"/>
    <w:rsid w:val="00A779AC"/>
    <w:rsid w:val="00A779B3"/>
    <w:rsid w:val="00A77C36"/>
    <w:rsid w:val="00A77C42"/>
    <w:rsid w:val="00A77E8E"/>
    <w:rsid w:val="00A77F0D"/>
    <w:rsid w:val="00A77F0F"/>
    <w:rsid w:val="00A77FEA"/>
    <w:rsid w:val="00A80085"/>
    <w:rsid w:val="00A80105"/>
    <w:rsid w:val="00A8012C"/>
    <w:rsid w:val="00A8017B"/>
    <w:rsid w:val="00A80218"/>
    <w:rsid w:val="00A802F8"/>
    <w:rsid w:val="00A8047D"/>
    <w:rsid w:val="00A804C5"/>
    <w:rsid w:val="00A8053D"/>
    <w:rsid w:val="00A805F6"/>
    <w:rsid w:val="00A806C3"/>
    <w:rsid w:val="00A806CA"/>
    <w:rsid w:val="00A806F0"/>
    <w:rsid w:val="00A8073B"/>
    <w:rsid w:val="00A8073C"/>
    <w:rsid w:val="00A808BD"/>
    <w:rsid w:val="00A80967"/>
    <w:rsid w:val="00A80992"/>
    <w:rsid w:val="00A80AB3"/>
    <w:rsid w:val="00A80AD1"/>
    <w:rsid w:val="00A80B42"/>
    <w:rsid w:val="00A80B8D"/>
    <w:rsid w:val="00A80C87"/>
    <w:rsid w:val="00A80CBE"/>
    <w:rsid w:val="00A80DDE"/>
    <w:rsid w:val="00A80E2D"/>
    <w:rsid w:val="00A80F12"/>
    <w:rsid w:val="00A80F63"/>
    <w:rsid w:val="00A810EA"/>
    <w:rsid w:val="00A81101"/>
    <w:rsid w:val="00A81115"/>
    <w:rsid w:val="00A81526"/>
    <w:rsid w:val="00A815FB"/>
    <w:rsid w:val="00A81630"/>
    <w:rsid w:val="00A819E4"/>
    <w:rsid w:val="00A81B79"/>
    <w:rsid w:val="00A81CB5"/>
    <w:rsid w:val="00A81E6B"/>
    <w:rsid w:val="00A81F05"/>
    <w:rsid w:val="00A82068"/>
    <w:rsid w:val="00A820B7"/>
    <w:rsid w:val="00A82202"/>
    <w:rsid w:val="00A8227E"/>
    <w:rsid w:val="00A82412"/>
    <w:rsid w:val="00A8254D"/>
    <w:rsid w:val="00A82652"/>
    <w:rsid w:val="00A82715"/>
    <w:rsid w:val="00A82739"/>
    <w:rsid w:val="00A828FE"/>
    <w:rsid w:val="00A8291D"/>
    <w:rsid w:val="00A82AA3"/>
    <w:rsid w:val="00A82AEC"/>
    <w:rsid w:val="00A82BBB"/>
    <w:rsid w:val="00A82BF2"/>
    <w:rsid w:val="00A82C8F"/>
    <w:rsid w:val="00A82D70"/>
    <w:rsid w:val="00A83139"/>
    <w:rsid w:val="00A8318E"/>
    <w:rsid w:val="00A8320E"/>
    <w:rsid w:val="00A8338C"/>
    <w:rsid w:val="00A833A5"/>
    <w:rsid w:val="00A83494"/>
    <w:rsid w:val="00A834A8"/>
    <w:rsid w:val="00A835E6"/>
    <w:rsid w:val="00A8372D"/>
    <w:rsid w:val="00A83801"/>
    <w:rsid w:val="00A8382A"/>
    <w:rsid w:val="00A839FD"/>
    <w:rsid w:val="00A83B1E"/>
    <w:rsid w:val="00A83DE4"/>
    <w:rsid w:val="00A83E6B"/>
    <w:rsid w:val="00A83EE2"/>
    <w:rsid w:val="00A84218"/>
    <w:rsid w:val="00A8426A"/>
    <w:rsid w:val="00A842EC"/>
    <w:rsid w:val="00A8449C"/>
    <w:rsid w:val="00A844C3"/>
    <w:rsid w:val="00A844F2"/>
    <w:rsid w:val="00A84593"/>
    <w:rsid w:val="00A8477A"/>
    <w:rsid w:val="00A84840"/>
    <w:rsid w:val="00A8485F"/>
    <w:rsid w:val="00A848F8"/>
    <w:rsid w:val="00A8491E"/>
    <w:rsid w:val="00A84B69"/>
    <w:rsid w:val="00A84BA5"/>
    <w:rsid w:val="00A84D19"/>
    <w:rsid w:val="00A84D54"/>
    <w:rsid w:val="00A84D6B"/>
    <w:rsid w:val="00A84D86"/>
    <w:rsid w:val="00A84E8B"/>
    <w:rsid w:val="00A84EAC"/>
    <w:rsid w:val="00A84EFE"/>
    <w:rsid w:val="00A84F97"/>
    <w:rsid w:val="00A850D7"/>
    <w:rsid w:val="00A85101"/>
    <w:rsid w:val="00A854A7"/>
    <w:rsid w:val="00A85904"/>
    <w:rsid w:val="00A85914"/>
    <w:rsid w:val="00A85B25"/>
    <w:rsid w:val="00A85BBC"/>
    <w:rsid w:val="00A85BE3"/>
    <w:rsid w:val="00A85C2D"/>
    <w:rsid w:val="00A85CF8"/>
    <w:rsid w:val="00A85F53"/>
    <w:rsid w:val="00A86025"/>
    <w:rsid w:val="00A860B0"/>
    <w:rsid w:val="00A860CB"/>
    <w:rsid w:val="00A86113"/>
    <w:rsid w:val="00A86129"/>
    <w:rsid w:val="00A8614D"/>
    <w:rsid w:val="00A861FE"/>
    <w:rsid w:val="00A86252"/>
    <w:rsid w:val="00A8642F"/>
    <w:rsid w:val="00A86470"/>
    <w:rsid w:val="00A86540"/>
    <w:rsid w:val="00A8654B"/>
    <w:rsid w:val="00A865BC"/>
    <w:rsid w:val="00A865F9"/>
    <w:rsid w:val="00A86708"/>
    <w:rsid w:val="00A86914"/>
    <w:rsid w:val="00A869C1"/>
    <w:rsid w:val="00A86A59"/>
    <w:rsid w:val="00A86A98"/>
    <w:rsid w:val="00A86B0F"/>
    <w:rsid w:val="00A86D1F"/>
    <w:rsid w:val="00A86D82"/>
    <w:rsid w:val="00A86DF5"/>
    <w:rsid w:val="00A86E4E"/>
    <w:rsid w:val="00A86F95"/>
    <w:rsid w:val="00A87031"/>
    <w:rsid w:val="00A871EC"/>
    <w:rsid w:val="00A872E9"/>
    <w:rsid w:val="00A87302"/>
    <w:rsid w:val="00A874A5"/>
    <w:rsid w:val="00A87510"/>
    <w:rsid w:val="00A8752F"/>
    <w:rsid w:val="00A875B8"/>
    <w:rsid w:val="00A875D4"/>
    <w:rsid w:val="00A876B4"/>
    <w:rsid w:val="00A878C7"/>
    <w:rsid w:val="00A878E7"/>
    <w:rsid w:val="00A8790A"/>
    <w:rsid w:val="00A87B01"/>
    <w:rsid w:val="00A87D1C"/>
    <w:rsid w:val="00A87F39"/>
    <w:rsid w:val="00A87F80"/>
    <w:rsid w:val="00A87FE5"/>
    <w:rsid w:val="00A87FEC"/>
    <w:rsid w:val="00A9000B"/>
    <w:rsid w:val="00A9020C"/>
    <w:rsid w:val="00A9021F"/>
    <w:rsid w:val="00A9039D"/>
    <w:rsid w:val="00A904E7"/>
    <w:rsid w:val="00A905B3"/>
    <w:rsid w:val="00A90672"/>
    <w:rsid w:val="00A90867"/>
    <w:rsid w:val="00A908DA"/>
    <w:rsid w:val="00A909F5"/>
    <w:rsid w:val="00A90A56"/>
    <w:rsid w:val="00A90BDB"/>
    <w:rsid w:val="00A90C6B"/>
    <w:rsid w:val="00A90CFE"/>
    <w:rsid w:val="00A90D46"/>
    <w:rsid w:val="00A90D70"/>
    <w:rsid w:val="00A90EB1"/>
    <w:rsid w:val="00A9129D"/>
    <w:rsid w:val="00A912BB"/>
    <w:rsid w:val="00A912C2"/>
    <w:rsid w:val="00A91424"/>
    <w:rsid w:val="00A91535"/>
    <w:rsid w:val="00A9157E"/>
    <w:rsid w:val="00A9162D"/>
    <w:rsid w:val="00A917C5"/>
    <w:rsid w:val="00A918C7"/>
    <w:rsid w:val="00A919BF"/>
    <w:rsid w:val="00A91ABF"/>
    <w:rsid w:val="00A91BCD"/>
    <w:rsid w:val="00A91CBE"/>
    <w:rsid w:val="00A91CD9"/>
    <w:rsid w:val="00A91CE2"/>
    <w:rsid w:val="00A91D23"/>
    <w:rsid w:val="00A91DFB"/>
    <w:rsid w:val="00A91ECA"/>
    <w:rsid w:val="00A91FCB"/>
    <w:rsid w:val="00A91FE6"/>
    <w:rsid w:val="00A920A7"/>
    <w:rsid w:val="00A921AD"/>
    <w:rsid w:val="00A92298"/>
    <w:rsid w:val="00A9234C"/>
    <w:rsid w:val="00A923C5"/>
    <w:rsid w:val="00A92499"/>
    <w:rsid w:val="00A927A2"/>
    <w:rsid w:val="00A9280D"/>
    <w:rsid w:val="00A92976"/>
    <w:rsid w:val="00A92B3C"/>
    <w:rsid w:val="00A92C94"/>
    <w:rsid w:val="00A92CF2"/>
    <w:rsid w:val="00A92DBB"/>
    <w:rsid w:val="00A92DBC"/>
    <w:rsid w:val="00A92E9E"/>
    <w:rsid w:val="00A92EB0"/>
    <w:rsid w:val="00A92ED3"/>
    <w:rsid w:val="00A92F0C"/>
    <w:rsid w:val="00A930D1"/>
    <w:rsid w:val="00A93160"/>
    <w:rsid w:val="00A9323D"/>
    <w:rsid w:val="00A93290"/>
    <w:rsid w:val="00A934C0"/>
    <w:rsid w:val="00A93606"/>
    <w:rsid w:val="00A9398F"/>
    <w:rsid w:val="00A939CF"/>
    <w:rsid w:val="00A93A51"/>
    <w:rsid w:val="00A93A7E"/>
    <w:rsid w:val="00A93B8D"/>
    <w:rsid w:val="00A93B9A"/>
    <w:rsid w:val="00A93CE0"/>
    <w:rsid w:val="00A93D1D"/>
    <w:rsid w:val="00A93D60"/>
    <w:rsid w:val="00A93DD9"/>
    <w:rsid w:val="00A93E02"/>
    <w:rsid w:val="00A941E6"/>
    <w:rsid w:val="00A9425C"/>
    <w:rsid w:val="00A9426C"/>
    <w:rsid w:val="00A94340"/>
    <w:rsid w:val="00A94565"/>
    <w:rsid w:val="00A945B9"/>
    <w:rsid w:val="00A94612"/>
    <w:rsid w:val="00A946D0"/>
    <w:rsid w:val="00A94738"/>
    <w:rsid w:val="00A94897"/>
    <w:rsid w:val="00A948F1"/>
    <w:rsid w:val="00A94A0D"/>
    <w:rsid w:val="00A94BA0"/>
    <w:rsid w:val="00A94BC1"/>
    <w:rsid w:val="00A94BCD"/>
    <w:rsid w:val="00A94D8D"/>
    <w:rsid w:val="00A94DB3"/>
    <w:rsid w:val="00A94EAD"/>
    <w:rsid w:val="00A94ED8"/>
    <w:rsid w:val="00A94F2C"/>
    <w:rsid w:val="00A94F54"/>
    <w:rsid w:val="00A94FC3"/>
    <w:rsid w:val="00A94FF2"/>
    <w:rsid w:val="00A95109"/>
    <w:rsid w:val="00A95160"/>
    <w:rsid w:val="00A95240"/>
    <w:rsid w:val="00A9525D"/>
    <w:rsid w:val="00A95264"/>
    <w:rsid w:val="00A955E4"/>
    <w:rsid w:val="00A9564C"/>
    <w:rsid w:val="00A95672"/>
    <w:rsid w:val="00A95830"/>
    <w:rsid w:val="00A95857"/>
    <w:rsid w:val="00A95871"/>
    <w:rsid w:val="00A958E1"/>
    <w:rsid w:val="00A95996"/>
    <w:rsid w:val="00A95A37"/>
    <w:rsid w:val="00A95AA6"/>
    <w:rsid w:val="00A95AE3"/>
    <w:rsid w:val="00A95AEB"/>
    <w:rsid w:val="00A95BC9"/>
    <w:rsid w:val="00A95BFE"/>
    <w:rsid w:val="00A95C7F"/>
    <w:rsid w:val="00A95D08"/>
    <w:rsid w:val="00A95E3F"/>
    <w:rsid w:val="00A95E47"/>
    <w:rsid w:val="00A95E9B"/>
    <w:rsid w:val="00A96156"/>
    <w:rsid w:val="00A96270"/>
    <w:rsid w:val="00A96600"/>
    <w:rsid w:val="00A9690A"/>
    <w:rsid w:val="00A96996"/>
    <w:rsid w:val="00A96B11"/>
    <w:rsid w:val="00A96E6B"/>
    <w:rsid w:val="00A96EBB"/>
    <w:rsid w:val="00A96F5E"/>
    <w:rsid w:val="00A96F73"/>
    <w:rsid w:val="00A97061"/>
    <w:rsid w:val="00A97160"/>
    <w:rsid w:val="00A9731E"/>
    <w:rsid w:val="00A974E1"/>
    <w:rsid w:val="00A97518"/>
    <w:rsid w:val="00A975B8"/>
    <w:rsid w:val="00A975CC"/>
    <w:rsid w:val="00A97821"/>
    <w:rsid w:val="00A978FF"/>
    <w:rsid w:val="00A97A14"/>
    <w:rsid w:val="00A97A43"/>
    <w:rsid w:val="00A97BB7"/>
    <w:rsid w:val="00A97C51"/>
    <w:rsid w:val="00A97D0C"/>
    <w:rsid w:val="00A97E77"/>
    <w:rsid w:val="00A97F4C"/>
    <w:rsid w:val="00A97F9B"/>
    <w:rsid w:val="00AA0016"/>
    <w:rsid w:val="00AA0141"/>
    <w:rsid w:val="00AA0224"/>
    <w:rsid w:val="00AA0349"/>
    <w:rsid w:val="00AA03A9"/>
    <w:rsid w:val="00AA0423"/>
    <w:rsid w:val="00AA0502"/>
    <w:rsid w:val="00AA057F"/>
    <w:rsid w:val="00AA05C5"/>
    <w:rsid w:val="00AA076B"/>
    <w:rsid w:val="00AA08AD"/>
    <w:rsid w:val="00AA0900"/>
    <w:rsid w:val="00AA0930"/>
    <w:rsid w:val="00AA0966"/>
    <w:rsid w:val="00AA096E"/>
    <w:rsid w:val="00AA09D1"/>
    <w:rsid w:val="00AA0A8B"/>
    <w:rsid w:val="00AA0AFC"/>
    <w:rsid w:val="00AA0B08"/>
    <w:rsid w:val="00AA0B4C"/>
    <w:rsid w:val="00AA0D82"/>
    <w:rsid w:val="00AA0DDA"/>
    <w:rsid w:val="00AA1111"/>
    <w:rsid w:val="00AA12AB"/>
    <w:rsid w:val="00AA12CD"/>
    <w:rsid w:val="00AA13FD"/>
    <w:rsid w:val="00AA16B3"/>
    <w:rsid w:val="00AA16B5"/>
    <w:rsid w:val="00AA1A28"/>
    <w:rsid w:val="00AA1A9E"/>
    <w:rsid w:val="00AA1BA1"/>
    <w:rsid w:val="00AA1C18"/>
    <w:rsid w:val="00AA1DC2"/>
    <w:rsid w:val="00AA20FB"/>
    <w:rsid w:val="00AA2182"/>
    <w:rsid w:val="00AA2251"/>
    <w:rsid w:val="00AA2305"/>
    <w:rsid w:val="00AA241E"/>
    <w:rsid w:val="00AA2547"/>
    <w:rsid w:val="00AA255C"/>
    <w:rsid w:val="00AA28EC"/>
    <w:rsid w:val="00AA295D"/>
    <w:rsid w:val="00AA2A9A"/>
    <w:rsid w:val="00AA2C18"/>
    <w:rsid w:val="00AA2C86"/>
    <w:rsid w:val="00AA2DD0"/>
    <w:rsid w:val="00AA2E07"/>
    <w:rsid w:val="00AA2EF3"/>
    <w:rsid w:val="00AA2F7F"/>
    <w:rsid w:val="00AA2FE2"/>
    <w:rsid w:val="00AA2FFE"/>
    <w:rsid w:val="00AA31CB"/>
    <w:rsid w:val="00AA327D"/>
    <w:rsid w:val="00AA3625"/>
    <w:rsid w:val="00AA3861"/>
    <w:rsid w:val="00AA38C1"/>
    <w:rsid w:val="00AA38F0"/>
    <w:rsid w:val="00AA3A66"/>
    <w:rsid w:val="00AA3ADE"/>
    <w:rsid w:val="00AA3AE3"/>
    <w:rsid w:val="00AA3B1B"/>
    <w:rsid w:val="00AA3F47"/>
    <w:rsid w:val="00AA407A"/>
    <w:rsid w:val="00AA415A"/>
    <w:rsid w:val="00AA41C5"/>
    <w:rsid w:val="00AA44BC"/>
    <w:rsid w:val="00AA44E1"/>
    <w:rsid w:val="00AA45A1"/>
    <w:rsid w:val="00AA4618"/>
    <w:rsid w:val="00AA495F"/>
    <w:rsid w:val="00AA4A07"/>
    <w:rsid w:val="00AA4A4B"/>
    <w:rsid w:val="00AA4B35"/>
    <w:rsid w:val="00AA4B38"/>
    <w:rsid w:val="00AA4BCA"/>
    <w:rsid w:val="00AA4D86"/>
    <w:rsid w:val="00AA4E18"/>
    <w:rsid w:val="00AA4E83"/>
    <w:rsid w:val="00AA4F1A"/>
    <w:rsid w:val="00AA4F3D"/>
    <w:rsid w:val="00AA4F4F"/>
    <w:rsid w:val="00AA4FC1"/>
    <w:rsid w:val="00AA5058"/>
    <w:rsid w:val="00AA51EB"/>
    <w:rsid w:val="00AA5231"/>
    <w:rsid w:val="00AA526A"/>
    <w:rsid w:val="00AA53B3"/>
    <w:rsid w:val="00AA58A3"/>
    <w:rsid w:val="00AA5993"/>
    <w:rsid w:val="00AA59B6"/>
    <w:rsid w:val="00AA5A32"/>
    <w:rsid w:val="00AA5AFB"/>
    <w:rsid w:val="00AA5C79"/>
    <w:rsid w:val="00AA5C8C"/>
    <w:rsid w:val="00AA5D08"/>
    <w:rsid w:val="00AA5D9C"/>
    <w:rsid w:val="00AA5DB3"/>
    <w:rsid w:val="00AA5FD3"/>
    <w:rsid w:val="00AA602A"/>
    <w:rsid w:val="00AA6037"/>
    <w:rsid w:val="00AA6068"/>
    <w:rsid w:val="00AA60E3"/>
    <w:rsid w:val="00AA6158"/>
    <w:rsid w:val="00AA620C"/>
    <w:rsid w:val="00AA625D"/>
    <w:rsid w:val="00AA62C2"/>
    <w:rsid w:val="00AA636D"/>
    <w:rsid w:val="00AA651D"/>
    <w:rsid w:val="00AA6804"/>
    <w:rsid w:val="00AA682A"/>
    <w:rsid w:val="00AA68E6"/>
    <w:rsid w:val="00AA6A78"/>
    <w:rsid w:val="00AA6C22"/>
    <w:rsid w:val="00AA6C7F"/>
    <w:rsid w:val="00AA6C93"/>
    <w:rsid w:val="00AA6DB4"/>
    <w:rsid w:val="00AA6E70"/>
    <w:rsid w:val="00AA7065"/>
    <w:rsid w:val="00AA744B"/>
    <w:rsid w:val="00AA7503"/>
    <w:rsid w:val="00AA7689"/>
    <w:rsid w:val="00AA7708"/>
    <w:rsid w:val="00AA7849"/>
    <w:rsid w:val="00AA78F9"/>
    <w:rsid w:val="00AA799E"/>
    <w:rsid w:val="00AA79B9"/>
    <w:rsid w:val="00AA7B72"/>
    <w:rsid w:val="00AA7BF0"/>
    <w:rsid w:val="00AA7BF4"/>
    <w:rsid w:val="00AA7C3B"/>
    <w:rsid w:val="00AA7D24"/>
    <w:rsid w:val="00AA7D2E"/>
    <w:rsid w:val="00AA7D5A"/>
    <w:rsid w:val="00AA7E71"/>
    <w:rsid w:val="00AA7E76"/>
    <w:rsid w:val="00AACE88"/>
    <w:rsid w:val="00AB000B"/>
    <w:rsid w:val="00AB021E"/>
    <w:rsid w:val="00AB0248"/>
    <w:rsid w:val="00AB039B"/>
    <w:rsid w:val="00AB04E1"/>
    <w:rsid w:val="00AB0568"/>
    <w:rsid w:val="00AB065E"/>
    <w:rsid w:val="00AB0688"/>
    <w:rsid w:val="00AB06F2"/>
    <w:rsid w:val="00AB082B"/>
    <w:rsid w:val="00AB084E"/>
    <w:rsid w:val="00AB0DB6"/>
    <w:rsid w:val="00AB0DFA"/>
    <w:rsid w:val="00AB1030"/>
    <w:rsid w:val="00AB1080"/>
    <w:rsid w:val="00AB118F"/>
    <w:rsid w:val="00AB11DE"/>
    <w:rsid w:val="00AB12CA"/>
    <w:rsid w:val="00AB1433"/>
    <w:rsid w:val="00AB14FD"/>
    <w:rsid w:val="00AB14FE"/>
    <w:rsid w:val="00AB1690"/>
    <w:rsid w:val="00AB1796"/>
    <w:rsid w:val="00AB185D"/>
    <w:rsid w:val="00AB18D2"/>
    <w:rsid w:val="00AB19AF"/>
    <w:rsid w:val="00AB19BF"/>
    <w:rsid w:val="00AB19DA"/>
    <w:rsid w:val="00AB19FB"/>
    <w:rsid w:val="00AB1A8F"/>
    <w:rsid w:val="00AB1ADE"/>
    <w:rsid w:val="00AB1AE5"/>
    <w:rsid w:val="00AB1CD6"/>
    <w:rsid w:val="00AB1DAD"/>
    <w:rsid w:val="00AB1E66"/>
    <w:rsid w:val="00AB1EFE"/>
    <w:rsid w:val="00AB1FA0"/>
    <w:rsid w:val="00AB200A"/>
    <w:rsid w:val="00AB2205"/>
    <w:rsid w:val="00AB230F"/>
    <w:rsid w:val="00AB245C"/>
    <w:rsid w:val="00AB247A"/>
    <w:rsid w:val="00AB25D7"/>
    <w:rsid w:val="00AB269A"/>
    <w:rsid w:val="00AB281E"/>
    <w:rsid w:val="00AB2ACF"/>
    <w:rsid w:val="00AB2ADE"/>
    <w:rsid w:val="00AB2B58"/>
    <w:rsid w:val="00AB2BAB"/>
    <w:rsid w:val="00AB2E17"/>
    <w:rsid w:val="00AB3088"/>
    <w:rsid w:val="00AB34AF"/>
    <w:rsid w:val="00AB3595"/>
    <w:rsid w:val="00AB39EC"/>
    <w:rsid w:val="00AB3B57"/>
    <w:rsid w:val="00AB3B60"/>
    <w:rsid w:val="00AB3C75"/>
    <w:rsid w:val="00AB3DCB"/>
    <w:rsid w:val="00AB3E1D"/>
    <w:rsid w:val="00AB3E9B"/>
    <w:rsid w:val="00AB3ED1"/>
    <w:rsid w:val="00AB3F81"/>
    <w:rsid w:val="00AB3F9F"/>
    <w:rsid w:val="00AB4097"/>
    <w:rsid w:val="00AB4151"/>
    <w:rsid w:val="00AB48DE"/>
    <w:rsid w:val="00AB49AD"/>
    <w:rsid w:val="00AB4A97"/>
    <w:rsid w:val="00AB4AB2"/>
    <w:rsid w:val="00AB4B24"/>
    <w:rsid w:val="00AB4B5F"/>
    <w:rsid w:val="00AB4BF8"/>
    <w:rsid w:val="00AB4BFB"/>
    <w:rsid w:val="00AB4DC3"/>
    <w:rsid w:val="00AB4E88"/>
    <w:rsid w:val="00AB4F04"/>
    <w:rsid w:val="00AB50D7"/>
    <w:rsid w:val="00AB522E"/>
    <w:rsid w:val="00AB5250"/>
    <w:rsid w:val="00AB532D"/>
    <w:rsid w:val="00AB5348"/>
    <w:rsid w:val="00AB53E8"/>
    <w:rsid w:val="00AB571B"/>
    <w:rsid w:val="00AB59F2"/>
    <w:rsid w:val="00AB5A3C"/>
    <w:rsid w:val="00AB5A4C"/>
    <w:rsid w:val="00AB5B3E"/>
    <w:rsid w:val="00AB5C59"/>
    <w:rsid w:val="00AB5CD6"/>
    <w:rsid w:val="00AB5F6B"/>
    <w:rsid w:val="00AB5FC2"/>
    <w:rsid w:val="00AB626F"/>
    <w:rsid w:val="00AB62F0"/>
    <w:rsid w:val="00AB631B"/>
    <w:rsid w:val="00AB6574"/>
    <w:rsid w:val="00AB667F"/>
    <w:rsid w:val="00AB6804"/>
    <w:rsid w:val="00AB68BE"/>
    <w:rsid w:val="00AB69D5"/>
    <w:rsid w:val="00AB6A31"/>
    <w:rsid w:val="00AB6A45"/>
    <w:rsid w:val="00AB6B32"/>
    <w:rsid w:val="00AB6B3B"/>
    <w:rsid w:val="00AB6B6D"/>
    <w:rsid w:val="00AB6C52"/>
    <w:rsid w:val="00AB6CC9"/>
    <w:rsid w:val="00AB6D09"/>
    <w:rsid w:val="00AB6EC6"/>
    <w:rsid w:val="00AB6FDB"/>
    <w:rsid w:val="00AB6FEE"/>
    <w:rsid w:val="00AB703A"/>
    <w:rsid w:val="00AB7178"/>
    <w:rsid w:val="00AB7572"/>
    <w:rsid w:val="00AB7610"/>
    <w:rsid w:val="00AB773D"/>
    <w:rsid w:val="00AB775B"/>
    <w:rsid w:val="00AB7790"/>
    <w:rsid w:val="00AB7833"/>
    <w:rsid w:val="00AB7B5F"/>
    <w:rsid w:val="00AB7B69"/>
    <w:rsid w:val="00AB7C14"/>
    <w:rsid w:val="00AB7C34"/>
    <w:rsid w:val="00AB7D31"/>
    <w:rsid w:val="00AB7D67"/>
    <w:rsid w:val="00AB7D6B"/>
    <w:rsid w:val="00AB7E80"/>
    <w:rsid w:val="00AB7ECA"/>
    <w:rsid w:val="00AB7F2C"/>
    <w:rsid w:val="00AB7F2F"/>
    <w:rsid w:val="00AB7FA5"/>
    <w:rsid w:val="00AB7FD4"/>
    <w:rsid w:val="00AC0094"/>
    <w:rsid w:val="00AC00BF"/>
    <w:rsid w:val="00AC0127"/>
    <w:rsid w:val="00AC043D"/>
    <w:rsid w:val="00AC055C"/>
    <w:rsid w:val="00AC06E3"/>
    <w:rsid w:val="00AC078E"/>
    <w:rsid w:val="00AC09A0"/>
    <w:rsid w:val="00AC0A7E"/>
    <w:rsid w:val="00AC0B43"/>
    <w:rsid w:val="00AC0C1D"/>
    <w:rsid w:val="00AC0C1F"/>
    <w:rsid w:val="00AC0C62"/>
    <w:rsid w:val="00AC0DFA"/>
    <w:rsid w:val="00AC10ED"/>
    <w:rsid w:val="00AC11C3"/>
    <w:rsid w:val="00AC1205"/>
    <w:rsid w:val="00AC124B"/>
    <w:rsid w:val="00AC13C3"/>
    <w:rsid w:val="00AC156F"/>
    <w:rsid w:val="00AC15C8"/>
    <w:rsid w:val="00AC1652"/>
    <w:rsid w:val="00AC1887"/>
    <w:rsid w:val="00AC1C05"/>
    <w:rsid w:val="00AC1D43"/>
    <w:rsid w:val="00AC1D8F"/>
    <w:rsid w:val="00AC1DEE"/>
    <w:rsid w:val="00AC1E67"/>
    <w:rsid w:val="00AC1ED5"/>
    <w:rsid w:val="00AC218E"/>
    <w:rsid w:val="00AC23B0"/>
    <w:rsid w:val="00AC241F"/>
    <w:rsid w:val="00AC251D"/>
    <w:rsid w:val="00AC2733"/>
    <w:rsid w:val="00AC2755"/>
    <w:rsid w:val="00AC2849"/>
    <w:rsid w:val="00AC2857"/>
    <w:rsid w:val="00AC289F"/>
    <w:rsid w:val="00AC2B16"/>
    <w:rsid w:val="00AC2C53"/>
    <w:rsid w:val="00AC2CFF"/>
    <w:rsid w:val="00AC2E3A"/>
    <w:rsid w:val="00AC2E92"/>
    <w:rsid w:val="00AC2F0E"/>
    <w:rsid w:val="00AC323F"/>
    <w:rsid w:val="00AC3252"/>
    <w:rsid w:val="00AC3369"/>
    <w:rsid w:val="00AC3628"/>
    <w:rsid w:val="00AC37CF"/>
    <w:rsid w:val="00AC37DC"/>
    <w:rsid w:val="00AC3D4A"/>
    <w:rsid w:val="00AC3D54"/>
    <w:rsid w:val="00AC3E5B"/>
    <w:rsid w:val="00AC3E6F"/>
    <w:rsid w:val="00AC4124"/>
    <w:rsid w:val="00AC4160"/>
    <w:rsid w:val="00AC4259"/>
    <w:rsid w:val="00AC427B"/>
    <w:rsid w:val="00AC433B"/>
    <w:rsid w:val="00AC43C4"/>
    <w:rsid w:val="00AC46E7"/>
    <w:rsid w:val="00AC47D2"/>
    <w:rsid w:val="00AC48DE"/>
    <w:rsid w:val="00AC49AF"/>
    <w:rsid w:val="00AC4D77"/>
    <w:rsid w:val="00AC4D7B"/>
    <w:rsid w:val="00AC4DFF"/>
    <w:rsid w:val="00AC4E4C"/>
    <w:rsid w:val="00AC4EED"/>
    <w:rsid w:val="00AC4FAE"/>
    <w:rsid w:val="00AC5174"/>
    <w:rsid w:val="00AC5212"/>
    <w:rsid w:val="00AC529E"/>
    <w:rsid w:val="00AC544C"/>
    <w:rsid w:val="00AC54F4"/>
    <w:rsid w:val="00AC56D3"/>
    <w:rsid w:val="00AC570D"/>
    <w:rsid w:val="00AC597E"/>
    <w:rsid w:val="00AC5BCA"/>
    <w:rsid w:val="00AC5C1C"/>
    <w:rsid w:val="00AC5C2D"/>
    <w:rsid w:val="00AC5D63"/>
    <w:rsid w:val="00AC5DA7"/>
    <w:rsid w:val="00AC5DDF"/>
    <w:rsid w:val="00AC5E62"/>
    <w:rsid w:val="00AC5EBC"/>
    <w:rsid w:val="00AC5EF4"/>
    <w:rsid w:val="00AC5FC3"/>
    <w:rsid w:val="00AC608C"/>
    <w:rsid w:val="00AC626E"/>
    <w:rsid w:val="00AC6330"/>
    <w:rsid w:val="00AC63C0"/>
    <w:rsid w:val="00AC63DC"/>
    <w:rsid w:val="00AC64D7"/>
    <w:rsid w:val="00AC64E5"/>
    <w:rsid w:val="00AC6532"/>
    <w:rsid w:val="00AC66B0"/>
    <w:rsid w:val="00AC66E9"/>
    <w:rsid w:val="00AC6905"/>
    <w:rsid w:val="00AC6AEF"/>
    <w:rsid w:val="00AC6B90"/>
    <w:rsid w:val="00AC6BC5"/>
    <w:rsid w:val="00AC6E80"/>
    <w:rsid w:val="00AC6F3C"/>
    <w:rsid w:val="00AC7269"/>
    <w:rsid w:val="00AC739F"/>
    <w:rsid w:val="00AC7769"/>
    <w:rsid w:val="00AC77AD"/>
    <w:rsid w:val="00AC78E9"/>
    <w:rsid w:val="00AC791E"/>
    <w:rsid w:val="00AC7985"/>
    <w:rsid w:val="00AC79AD"/>
    <w:rsid w:val="00AC79E1"/>
    <w:rsid w:val="00AC7E4C"/>
    <w:rsid w:val="00AD015A"/>
    <w:rsid w:val="00AD0373"/>
    <w:rsid w:val="00AD0483"/>
    <w:rsid w:val="00AD048C"/>
    <w:rsid w:val="00AD05A8"/>
    <w:rsid w:val="00AD0625"/>
    <w:rsid w:val="00AD067A"/>
    <w:rsid w:val="00AD0768"/>
    <w:rsid w:val="00AD0866"/>
    <w:rsid w:val="00AD0871"/>
    <w:rsid w:val="00AD0B4F"/>
    <w:rsid w:val="00AD0C0D"/>
    <w:rsid w:val="00AD0C47"/>
    <w:rsid w:val="00AD0D62"/>
    <w:rsid w:val="00AD0D94"/>
    <w:rsid w:val="00AD0E9E"/>
    <w:rsid w:val="00AD0F4F"/>
    <w:rsid w:val="00AD1068"/>
    <w:rsid w:val="00AD126A"/>
    <w:rsid w:val="00AD1423"/>
    <w:rsid w:val="00AD1667"/>
    <w:rsid w:val="00AD1868"/>
    <w:rsid w:val="00AD1A0B"/>
    <w:rsid w:val="00AD1C4E"/>
    <w:rsid w:val="00AD1C6F"/>
    <w:rsid w:val="00AD1C82"/>
    <w:rsid w:val="00AD1D23"/>
    <w:rsid w:val="00AD1EF9"/>
    <w:rsid w:val="00AD1FB3"/>
    <w:rsid w:val="00AD200F"/>
    <w:rsid w:val="00AD20B8"/>
    <w:rsid w:val="00AD2211"/>
    <w:rsid w:val="00AD224A"/>
    <w:rsid w:val="00AD224E"/>
    <w:rsid w:val="00AD2364"/>
    <w:rsid w:val="00AD23A8"/>
    <w:rsid w:val="00AD23FB"/>
    <w:rsid w:val="00AD24D1"/>
    <w:rsid w:val="00AD24E0"/>
    <w:rsid w:val="00AD253F"/>
    <w:rsid w:val="00AD2567"/>
    <w:rsid w:val="00AD26F2"/>
    <w:rsid w:val="00AD275C"/>
    <w:rsid w:val="00AD2856"/>
    <w:rsid w:val="00AD288B"/>
    <w:rsid w:val="00AD2A24"/>
    <w:rsid w:val="00AD2A29"/>
    <w:rsid w:val="00AD2A48"/>
    <w:rsid w:val="00AD2C07"/>
    <w:rsid w:val="00AD2C09"/>
    <w:rsid w:val="00AD2D20"/>
    <w:rsid w:val="00AD2DF7"/>
    <w:rsid w:val="00AD2F98"/>
    <w:rsid w:val="00AD30DF"/>
    <w:rsid w:val="00AD3187"/>
    <w:rsid w:val="00AD321A"/>
    <w:rsid w:val="00AD3534"/>
    <w:rsid w:val="00AD37D6"/>
    <w:rsid w:val="00AD382A"/>
    <w:rsid w:val="00AD3905"/>
    <w:rsid w:val="00AD3AD5"/>
    <w:rsid w:val="00AD3B95"/>
    <w:rsid w:val="00AD3B9E"/>
    <w:rsid w:val="00AD3C71"/>
    <w:rsid w:val="00AD3CBD"/>
    <w:rsid w:val="00AD3DE0"/>
    <w:rsid w:val="00AD3ED3"/>
    <w:rsid w:val="00AD3EFD"/>
    <w:rsid w:val="00AD3F5C"/>
    <w:rsid w:val="00AD3F64"/>
    <w:rsid w:val="00AD3FD7"/>
    <w:rsid w:val="00AD4035"/>
    <w:rsid w:val="00AD42F7"/>
    <w:rsid w:val="00AD45EA"/>
    <w:rsid w:val="00AD466F"/>
    <w:rsid w:val="00AD4860"/>
    <w:rsid w:val="00AD490C"/>
    <w:rsid w:val="00AD4A3D"/>
    <w:rsid w:val="00AD4A4F"/>
    <w:rsid w:val="00AD4C21"/>
    <w:rsid w:val="00AD4E15"/>
    <w:rsid w:val="00AD4E23"/>
    <w:rsid w:val="00AD4E26"/>
    <w:rsid w:val="00AD4E39"/>
    <w:rsid w:val="00AD4EB9"/>
    <w:rsid w:val="00AD5024"/>
    <w:rsid w:val="00AD50F1"/>
    <w:rsid w:val="00AD515D"/>
    <w:rsid w:val="00AD528D"/>
    <w:rsid w:val="00AD53BE"/>
    <w:rsid w:val="00AD553D"/>
    <w:rsid w:val="00AD557A"/>
    <w:rsid w:val="00AD55AF"/>
    <w:rsid w:val="00AD561A"/>
    <w:rsid w:val="00AD5AF0"/>
    <w:rsid w:val="00AD5B38"/>
    <w:rsid w:val="00AD5BC7"/>
    <w:rsid w:val="00AD5BDF"/>
    <w:rsid w:val="00AD5C79"/>
    <w:rsid w:val="00AD5CF1"/>
    <w:rsid w:val="00AD5DD9"/>
    <w:rsid w:val="00AD5E3C"/>
    <w:rsid w:val="00AD6009"/>
    <w:rsid w:val="00AD6029"/>
    <w:rsid w:val="00AD61A7"/>
    <w:rsid w:val="00AD61EA"/>
    <w:rsid w:val="00AD61EF"/>
    <w:rsid w:val="00AD62CE"/>
    <w:rsid w:val="00AD649C"/>
    <w:rsid w:val="00AD64A3"/>
    <w:rsid w:val="00AD64B3"/>
    <w:rsid w:val="00AD65AA"/>
    <w:rsid w:val="00AD65DA"/>
    <w:rsid w:val="00AD6786"/>
    <w:rsid w:val="00AD6820"/>
    <w:rsid w:val="00AD68A6"/>
    <w:rsid w:val="00AD694C"/>
    <w:rsid w:val="00AD6957"/>
    <w:rsid w:val="00AD6BB5"/>
    <w:rsid w:val="00AD6CEA"/>
    <w:rsid w:val="00AD6E4B"/>
    <w:rsid w:val="00AD7100"/>
    <w:rsid w:val="00AD71AA"/>
    <w:rsid w:val="00AD71B5"/>
    <w:rsid w:val="00AD71C9"/>
    <w:rsid w:val="00AD728D"/>
    <w:rsid w:val="00AD72B2"/>
    <w:rsid w:val="00AD7446"/>
    <w:rsid w:val="00AD7466"/>
    <w:rsid w:val="00AD7571"/>
    <w:rsid w:val="00AD764A"/>
    <w:rsid w:val="00AD76AA"/>
    <w:rsid w:val="00AD76F5"/>
    <w:rsid w:val="00AD77C9"/>
    <w:rsid w:val="00AD782C"/>
    <w:rsid w:val="00AD79DD"/>
    <w:rsid w:val="00AD79F2"/>
    <w:rsid w:val="00AD7A1A"/>
    <w:rsid w:val="00AD7A4F"/>
    <w:rsid w:val="00AD7AB0"/>
    <w:rsid w:val="00AD7B42"/>
    <w:rsid w:val="00AD7C0C"/>
    <w:rsid w:val="00AD7C2A"/>
    <w:rsid w:val="00AD7C76"/>
    <w:rsid w:val="00AD7CBC"/>
    <w:rsid w:val="00AD7D79"/>
    <w:rsid w:val="00AD7D8A"/>
    <w:rsid w:val="00AD7D91"/>
    <w:rsid w:val="00AD7E98"/>
    <w:rsid w:val="00AD7EC8"/>
    <w:rsid w:val="00AD7F6D"/>
    <w:rsid w:val="00AD7F91"/>
    <w:rsid w:val="00AE00B2"/>
    <w:rsid w:val="00AE00F2"/>
    <w:rsid w:val="00AE023F"/>
    <w:rsid w:val="00AE0290"/>
    <w:rsid w:val="00AE02A6"/>
    <w:rsid w:val="00AE038A"/>
    <w:rsid w:val="00AE03BA"/>
    <w:rsid w:val="00AE03D2"/>
    <w:rsid w:val="00AE081A"/>
    <w:rsid w:val="00AE0895"/>
    <w:rsid w:val="00AE08E8"/>
    <w:rsid w:val="00AE092C"/>
    <w:rsid w:val="00AE097D"/>
    <w:rsid w:val="00AE0A58"/>
    <w:rsid w:val="00AE0ADA"/>
    <w:rsid w:val="00AE0B47"/>
    <w:rsid w:val="00AE0BEE"/>
    <w:rsid w:val="00AE0C98"/>
    <w:rsid w:val="00AE0D57"/>
    <w:rsid w:val="00AE0D7D"/>
    <w:rsid w:val="00AE0E76"/>
    <w:rsid w:val="00AE13C4"/>
    <w:rsid w:val="00AE1465"/>
    <w:rsid w:val="00AE14C6"/>
    <w:rsid w:val="00AE1543"/>
    <w:rsid w:val="00AE1719"/>
    <w:rsid w:val="00AE178C"/>
    <w:rsid w:val="00AE1960"/>
    <w:rsid w:val="00AE1998"/>
    <w:rsid w:val="00AE1C02"/>
    <w:rsid w:val="00AE1CCD"/>
    <w:rsid w:val="00AE1D04"/>
    <w:rsid w:val="00AE1DD7"/>
    <w:rsid w:val="00AE1DFA"/>
    <w:rsid w:val="00AE1F3E"/>
    <w:rsid w:val="00AE1F58"/>
    <w:rsid w:val="00AE2027"/>
    <w:rsid w:val="00AE2059"/>
    <w:rsid w:val="00AE2181"/>
    <w:rsid w:val="00AE225A"/>
    <w:rsid w:val="00AE22E9"/>
    <w:rsid w:val="00AE239D"/>
    <w:rsid w:val="00AE2428"/>
    <w:rsid w:val="00AE246F"/>
    <w:rsid w:val="00AE2475"/>
    <w:rsid w:val="00AE2479"/>
    <w:rsid w:val="00AE24C4"/>
    <w:rsid w:val="00AE2663"/>
    <w:rsid w:val="00AE28D0"/>
    <w:rsid w:val="00AE28E7"/>
    <w:rsid w:val="00AE2A02"/>
    <w:rsid w:val="00AE2BD4"/>
    <w:rsid w:val="00AE2D04"/>
    <w:rsid w:val="00AE2EE2"/>
    <w:rsid w:val="00AE2EED"/>
    <w:rsid w:val="00AE2F0B"/>
    <w:rsid w:val="00AE2FA0"/>
    <w:rsid w:val="00AE304F"/>
    <w:rsid w:val="00AE308B"/>
    <w:rsid w:val="00AE30DB"/>
    <w:rsid w:val="00AE33BC"/>
    <w:rsid w:val="00AE341D"/>
    <w:rsid w:val="00AE357D"/>
    <w:rsid w:val="00AE35FB"/>
    <w:rsid w:val="00AE3697"/>
    <w:rsid w:val="00AE38E1"/>
    <w:rsid w:val="00AE38FC"/>
    <w:rsid w:val="00AE3995"/>
    <w:rsid w:val="00AE3A57"/>
    <w:rsid w:val="00AE3A99"/>
    <w:rsid w:val="00AE3AF5"/>
    <w:rsid w:val="00AE3CEB"/>
    <w:rsid w:val="00AE3D22"/>
    <w:rsid w:val="00AE3F52"/>
    <w:rsid w:val="00AE3FF7"/>
    <w:rsid w:val="00AE403F"/>
    <w:rsid w:val="00AE4275"/>
    <w:rsid w:val="00AE43C2"/>
    <w:rsid w:val="00AE4445"/>
    <w:rsid w:val="00AE45AF"/>
    <w:rsid w:val="00AE4677"/>
    <w:rsid w:val="00AE4874"/>
    <w:rsid w:val="00AE492A"/>
    <w:rsid w:val="00AE49E1"/>
    <w:rsid w:val="00AE4A44"/>
    <w:rsid w:val="00AE4A49"/>
    <w:rsid w:val="00AE4AA7"/>
    <w:rsid w:val="00AE4B11"/>
    <w:rsid w:val="00AE4DBC"/>
    <w:rsid w:val="00AE4E98"/>
    <w:rsid w:val="00AE4ED4"/>
    <w:rsid w:val="00AE5097"/>
    <w:rsid w:val="00AE50BA"/>
    <w:rsid w:val="00AE50CC"/>
    <w:rsid w:val="00AE50DF"/>
    <w:rsid w:val="00AE5147"/>
    <w:rsid w:val="00AE52AA"/>
    <w:rsid w:val="00AE5351"/>
    <w:rsid w:val="00AE53B4"/>
    <w:rsid w:val="00AE53C6"/>
    <w:rsid w:val="00AE53E1"/>
    <w:rsid w:val="00AE5485"/>
    <w:rsid w:val="00AE56E0"/>
    <w:rsid w:val="00AE582F"/>
    <w:rsid w:val="00AE584E"/>
    <w:rsid w:val="00AE5915"/>
    <w:rsid w:val="00AE59DF"/>
    <w:rsid w:val="00AE5C0F"/>
    <w:rsid w:val="00AE5CBD"/>
    <w:rsid w:val="00AE5F10"/>
    <w:rsid w:val="00AE5F14"/>
    <w:rsid w:val="00AE6024"/>
    <w:rsid w:val="00AE617F"/>
    <w:rsid w:val="00AE61E9"/>
    <w:rsid w:val="00AE63C0"/>
    <w:rsid w:val="00AE64D8"/>
    <w:rsid w:val="00AE679A"/>
    <w:rsid w:val="00AE67EA"/>
    <w:rsid w:val="00AE686B"/>
    <w:rsid w:val="00AE69F2"/>
    <w:rsid w:val="00AE6A63"/>
    <w:rsid w:val="00AE6CF6"/>
    <w:rsid w:val="00AE6D69"/>
    <w:rsid w:val="00AE6EE0"/>
    <w:rsid w:val="00AE6F77"/>
    <w:rsid w:val="00AE714E"/>
    <w:rsid w:val="00AE716D"/>
    <w:rsid w:val="00AE721A"/>
    <w:rsid w:val="00AE7248"/>
    <w:rsid w:val="00AE73CD"/>
    <w:rsid w:val="00AE73FB"/>
    <w:rsid w:val="00AE77B8"/>
    <w:rsid w:val="00AE791B"/>
    <w:rsid w:val="00AE7C38"/>
    <w:rsid w:val="00AE7E96"/>
    <w:rsid w:val="00AE7F85"/>
    <w:rsid w:val="00AF00B6"/>
    <w:rsid w:val="00AF0111"/>
    <w:rsid w:val="00AF0158"/>
    <w:rsid w:val="00AF037B"/>
    <w:rsid w:val="00AF0450"/>
    <w:rsid w:val="00AF0480"/>
    <w:rsid w:val="00AF08C0"/>
    <w:rsid w:val="00AF08EB"/>
    <w:rsid w:val="00AF0942"/>
    <w:rsid w:val="00AF0959"/>
    <w:rsid w:val="00AF0A15"/>
    <w:rsid w:val="00AF0B73"/>
    <w:rsid w:val="00AF0C75"/>
    <w:rsid w:val="00AF0DC0"/>
    <w:rsid w:val="00AF0E4B"/>
    <w:rsid w:val="00AF0EC6"/>
    <w:rsid w:val="00AF0F3E"/>
    <w:rsid w:val="00AF11D9"/>
    <w:rsid w:val="00AF123D"/>
    <w:rsid w:val="00AF1376"/>
    <w:rsid w:val="00AF14EC"/>
    <w:rsid w:val="00AF1620"/>
    <w:rsid w:val="00AF173D"/>
    <w:rsid w:val="00AF1748"/>
    <w:rsid w:val="00AF187E"/>
    <w:rsid w:val="00AF199B"/>
    <w:rsid w:val="00AF19A2"/>
    <w:rsid w:val="00AF1A74"/>
    <w:rsid w:val="00AF1A79"/>
    <w:rsid w:val="00AF1A87"/>
    <w:rsid w:val="00AF1AD9"/>
    <w:rsid w:val="00AF1AFB"/>
    <w:rsid w:val="00AF1B15"/>
    <w:rsid w:val="00AF1B38"/>
    <w:rsid w:val="00AF1B3C"/>
    <w:rsid w:val="00AF1C22"/>
    <w:rsid w:val="00AF1D0D"/>
    <w:rsid w:val="00AF1F28"/>
    <w:rsid w:val="00AF1FE7"/>
    <w:rsid w:val="00AF20FF"/>
    <w:rsid w:val="00AF21A7"/>
    <w:rsid w:val="00AF222C"/>
    <w:rsid w:val="00AF2238"/>
    <w:rsid w:val="00AF2259"/>
    <w:rsid w:val="00AF22B8"/>
    <w:rsid w:val="00AF26E1"/>
    <w:rsid w:val="00AF2745"/>
    <w:rsid w:val="00AF2806"/>
    <w:rsid w:val="00AF288E"/>
    <w:rsid w:val="00AF28B5"/>
    <w:rsid w:val="00AF28D3"/>
    <w:rsid w:val="00AF2ADD"/>
    <w:rsid w:val="00AF2BAC"/>
    <w:rsid w:val="00AF2CB2"/>
    <w:rsid w:val="00AF2D8D"/>
    <w:rsid w:val="00AF2DD2"/>
    <w:rsid w:val="00AF2E67"/>
    <w:rsid w:val="00AF2E8D"/>
    <w:rsid w:val="00AF2F08"/>
    <w:rsid w:val="00AF2F0F"/>
    <w:rsid w:val="00AF2F5E"/>
    <w:rsid w:val="00AF3036"/>
    <w:rsid w:val="00AF3076"/>
    <w:rsid w:val="00AF3097"/>
    <w:rsid w:val="00AF3098"/>
    <w:rsid w:val="00AF326F"/>
    <w:rsid w:val="00AF335C"/>
    <w:rsid w:val="00AF33C0"/>
    <w:rsid w:val="00AF33DE"/>
    <w:rsid w:val="00AF3498"/>
    <w:rsid w:val="00AF3621"/>
    <w:rsid w:val="00AF362C"/>
    <w:rsid w:val="00AF3676"/>
    <w:rsid w:val="00AF369E"/>
    <w:rsid w:val="00AF36C2"/>
    <w:rsid w:val="00AF37A1"/>
    <w:rsid w:val="00AF37E7"/>
    <w:rsid w:val="00AF39B9"/>
    <w:rsid w:val="00AF3A2C"/>
    <w:rsid w:val="00AF3CE5"/>
    <w:rsid w:val="00AF3CFE"/>
    <w:rsid w:val="00AF3D0D"/>
    <w:rsid w:val="00AF3F48"/>
    <w:rsid w:val="00AF41D8"/>
    <w:rsid w:val="00AF41F6"/>
    <w:rsid w:val="00AF4238"/>
    <w:rsid w:val="00AF424F"/>
    <w:rsid w:val="00AF4253"/>
    <w:rsid w:val="00AF42D2"/>
    <w:rsid w:val="00AF4379"/>
    <w:rsid w:val="00AF43C1"/>
    <w:rsid w:val="00AF4475"/>
    <w:rsid w:val="00AF45F9"/>
    <w:rsid w:val="00AF46C7"/>
    <w:rsid w:val="00AF4822"/>
    <w:rsid w:val="00AF484E"/>
    <w:rsid w:val="00AF49C6"/>
    <w:rsid w:val="00AF4A2B"/>
    <w:rsid w:val="00AF4B7A"/>
    <w:rsid w:val="00AF4D56"/>
    <w:rsid w:val="00AF4DDD"/>
    <w:rsid w:val="00AF4E29"/>
    <w:rsid w:val="00AF4F2D"/>
    <w:rsid w:val="00AF5028"/>
    <w:rsid w:val="00AF509F"/>
    <w:rsid w:val="00AF5177"/>
    <w:rsid w:val="00AF52E1"/>
    <w:rsid w:val="00AF5522"/>
    <w:rsid w:val="00AF5528"/>
    <w:rsid w:val="00AF56EA"/>
    <w:rsid w:val="00AF5854"/>
    <w:rsid w:val="00AF58CD"/>
    <w:rsid w:val="00AF5916"/>
    <w:rsid w:val="00AF5976"/>
    <w:rsid w:val="00AF5983"/>
    <w:rsid w:val="00AF5A27"/>
    <w:rsid w:val="00AF5A9A"/>
    <w:rsid w:val="00AF5E5D"/>
    <w:rsid w:val="00AF5E84"/>
    <w:rsid w:val="00AF5F89"/>
    <w:rsid w:val="00AF5F8F"/>
    <w:rsid w:val="00AF6007"/>
    <w:rsid w:val="00AF603C"/>
    <w:rsid w:val="00AF619C"/>
    <w:rsid w:val="00AF61CE"/>
    <w:rsid w:val="00AF6221"/>
    <w:rsid w:val="00AF62E8"/>
    <w:rsid w:val="00AF6326"/>
    <w:rsid w:val="00AF63D8"/>
    <w:rsid w:val="00AF6621"/>
    <w:rsid w:val="00AF6673"/>
    <w:rsid w:val="00AF676B"/>
    <w:rsid w:val="00AF67A8"/>
    <w:rsid w:val="00AF67C9"/>
    <w:rsid w:val="00AF67FB"/>
    <w:rsid w:val="00AF696C"/>
    <w:rsid w:val="00AF6AA5"/>
    <w:rsid w:val="00AF6AE0"/>
    <w:rsid w:val="00AF6B7A"/>
    <w:rsid w:val="00AF6C9E"/>
    <w:rsid w:val="00AF6D44"/>
    <w:rsid w:val="00AF6DE6"/>
    <w:rsid w:val="00AF6E4D"/>
    <w:rsid w:val="00AF6EB5"/>
    <w:rsid w:val="00AF6EC7"/>
    <w:rsid w:val="00AF6FEC"/>
    <w:rsid w:val="00AF7508"/>
    <w:rsid w:val="00AF757A"/>
    <w:rsid w:val="00AF757F"/>
    <w:rsid w:val="00AF7753"/>
    <w:rsid w:val="00AF77FE"/>
    <w:rsid w:val="00AF781A"/>
    <w:rsid w:val="00AF788E"/>
    <w:rsid w:val="00AF79B8"/>
    <w:rsid w:val="00AF7B0C"/>
    <w:rsid w:val="00AF7C5F"/>
    <w:rsid w:val="00AF7D35"/>
    <w:rsid w:val="00AF7D61"/>
    <w:rsid w:val="00AF7ED8"/>
    <w:rsid w:val="00AF7FF0"/>
    <w:rsid w:val="00B0006A"/>
    <w:rsid w:val="00B00167"/>
    <w:rsid w:val="00B00250"/>
    <w:rsid w:val="00B002A5"/>
    <w:rsid w:val="00B0043A"/>
    <w:rsid w:val="00B00449"/>
    <w:rsid w:val="00B004EE"/>
    <w:rsid w:val="00B006D8"/>
    <w:rsid w:val="00B00705"/>
    <w:rsid w:val="00B007CB"/>
    <w:rsid w:val="00B0086C"/>
    <w:rsid w:val="00B009F2"/>
    <w:rsid w:val="00B00BFC"/>
    <w:rsid w:val="00B00D9B"/>
    <w:rsid w:val="00B00DDA"/>
    <w:rsid w:val="00B00DFD"/>
    <w:rsid w:val="00B00EA0"/>
    <w:rsid w:val="00B0108E"/>
    <w:rsid w:val="00B010FD"/>
    <w:rsid w:val="00B01262"/>
    <w:rsid w:val="00B01275"/>
    <w:rsid w:val="00B01503"/>
    <w:rsid w:val="00B01574"/>
    <w:rsid w:val="00B0163F"/>
    <w:rsid w:val="00B016E7"/>
    <w:rsid w:val="00B0172A"/>
    <w:rsid w:val="00B018EC"/>
    <w:rsid w:val="00B01915"/>
    <w:rsid w:val="00B01964"/>
    <w:rsid w:val="00B01A4E"/>
    <w:rsid w:val="00B01A6F"/>
    <w:rsid w:val="00B01B10"/>
    <w:rsid w:val="00B01BBF"/>
    <w:rsid w:val="00B01CDD"/>
    <w:rsid w:val="00B01E37"/>
    <w:rsid w:val="00B01E84"/>
    <w:rsid w:val="00B023D8"/>
    <w:rsid w:val="00B0244F"/>
    <w:rsid w:val="00B024F5"/>
    <w:rsid w:val="00B02501"/>
    <w:rsid w:val="00B02562"/>
    <w:rsid w:val="00B02586"/>
    <w:rsid w:val="00B027C5"/>
    <w:rsid w:val="00B02CB0"/>
    <w:rsid w:val="00B02CED"/>
    <w:rsid w:val="00B02D51"/>
    <w:rsid w:val="00B02D78"/>
    <w:rsid w:val="00B02F51"/>
    <w:rsid w:val="00B02F54"/>
    <w:rsid w:val="00B03163"/>
    <w:rsid w:val="00B031F1"/>
    <w:rsid w:val="00B033C7"/>
    <w:rsid w:val="00B0353D"/>
    <w:rsid w:val="00B03639"/>
    <w:rsid w:val="00B036D4"/>
    <w:rsid w:val="00B03715"/>
    <w:rsid w:val="00B038D3"/>
    <w:rsid w:val="00B03CA3"/>
    <w:rsid w:val="00B03CE5"/>
    <w:rsid w:val="00B03D41"/>
    <w:rsid w:val="00B03E34"/>
    <w:rsid w:val="00B040C5"/>
    <w:rsid w:val="00B04132"/>
    <w:rsid w:val="00B041ED"/>
    <w:rsid w:val="00B0423F"/>
    <w:rsid w:val="00B04338"/>
    <w:rsid w:val="00B044CD"/>
    <w:rsid w:val="00B04630"/>
    <w:rsid w:val="00B04639"/>
    <w:rsid w:val="00B046AD"/>
    <w:rsid w:val="00B04711"/>
    <w:rsid w:val="00B047BD"/>
    <w:rsid w:val="00B04854"/>
    <w:rsid w:val="00B048D7"/>
    <w:rsid w:val="00B04AFF"/>
    <w:rsid w:val="00B04C98"/>
    <w:rsid w:val="00B04D05"/>
    <w:rsid w:val="00B04D9B"/>
    <w:rsid w:val="00B04DAC"/>
    <w:rsid w:val="00B04DBC"/>
    <w:rsid w:val="00B04EA6"/>
    <w:rsid w:val="00B0538E"/>
    <w:rsid w:val="00B0540C"/>
    <w:rsid w:val="00B05589"/>
    <w:rsid w:val="00B05679"/>
    <w:rsid w:val="00B05C64"/>
    <w:rsid w:val="00B06033"/>
    <w:rsid w:val="00B062E5"/>
    <w:rsid w:val="00B0640C"/>
    <w:rsid w:val="00B0641F"/>
    <w:rsid w:val="00B06445"/>
    <w:rsid w:val="00B0649C"/>
    <w:rsid w:val="00B064AB"/>
    <w:rsid w:val="00B065B3"/>
    <w:rsid w:val="00B06823"/>
    <w:rsid w:val="00B06851"/>
    <w:rsid w:val="00B06B5A"/>
    <w:rsid w:val="00B06EED"/>
    <w:rsid w:val="00B0700B"/>
    <w:rsid w:val="00B0707E"/>
    <w:rsid w:val="00B0709E"/>
    <w:rsid w:val="00B070F7"/>
    <w:rsid w:val="00B0718A"/>
    <w:rsid w:val="00B071FF"/>
    <w:rsid w:val="00B076BE"/>
    <w:rsid w:val="00B07758"/>
    <w:rsid w:val="00B07832"/>
    <w:rsid w:val="00B07890"/>
    <w:rsid w:val="00B078A1"/>
    <w:rsid w:val="00B07905"/>
    <w:rsid w:val="00B07A5B"/>
    <w:rsid w:val="00B07C6D"/>
    <w:rsid w:val="00B07E80"/>
    <w:rsid w:val="00B07E9F"/>
    <w:rsid w:val="00B07EE9"/>
    <w:rsid w:val="00B07F2B"/>
    <w:rsid w:val="00B07FF0"/>
    <w:rsid w:val="00B10137"/>
    <w:rsid w:val="00B1017C"/>
    <w:rsid w:val="00B101E8"/>
    <w:rsid w:val="00B1031F"/>
    <w:rsid w:val="00B103AF"/>
    <w:rsid w:val="00B10477"/>
    <w:rsid w:val="00B1047C"/>
    <w:rsid w:val="00B104CF"/>
    <w:rsid w:val="00B10661"/>
    <w:rsid w:val="00B106E7"/>
    <w:rsid w:val="00B106F2"/>
    <w:rsid w:val="00B1070C"/>
    <w:rsid w:val="00B10A0C"/>
    <w:rsid w:val="00B10A8B"/>
    <w:rsid w:val="00B10AFD"/>
    <w:rsid w:val="00B10B59"/>
    <w:rsid w:val="00B10BA1"/>
    <w:rsid w:val="00B10C98"/>
    <w:rsid w:val="00B10E76"/>
    <w:rsid w:val="00B10E82"/>
    <w:rsid w:val="00B10EA1"/>
    <w:rsid w:val="00B10EBA"/>
    <w:rsid w:val="00B1102D"/>
    <w:rsid w:val="00B1103C"/>
    <w:rsid w:val="00B11195"/>
    <w:rsid w:val="00B1120E"/>
    <w:rsid w:val="00B112B1"/>
    <w:rsid w:val="00B114BC"/>
    <w:rsid w:val="00B1163E"/>
    <w:rsid w:val="00B11660"/>
    <w:rsid w:val="00B116DA"/>
    <w:rsid w:val="00B11957"/>
    <w:rsid w:val="00B11A97"/>
    <w:rsid w:val="00B11B07"/>
    <w:rsid w:val="00B11B9A"/>
    <w:rsid w:val="00B11BD0"/>
    <w:rsid w:val="00B11D00"/>
    <w:rsid w:val="00B11E25"/>
    <w:rsid w:val="00B11ECD"/>
    <w:rsid w:val="00B1209D"/>
    <w:rsid w:val="00B12160"/>
    <w:rsid w:val="00B122C3"/>
    <w:rsid w:val="00B12353"/>
    <w:rsid w:val="00B1235B"/>
    <w:rsid w:val="00B12490"/>
    <w:rsid w:val="00B125A1"/>
    <w:rsid w:val="00B1277C"/>
    <w:rsid w:val="00B128BA"/>
    <w:rsid w:val="00B128D6"/>
    <w:rsid w:val="00B12974"/>
    <w:rsid w:val="00B12AB6"/>
    <w:rsid w:val="00B12ABF"/>
    <w:rsid w:val="00B12BC1"/>
    <w:rsid w:val="00B12C52"/>
    <w:rsid w:val="00B12CC9"/>
    <w:rsid w:val="00B12D31"/>
    <w:rsid w:val="00B12EA0"/>
    <w:rsid w:val="00B12EC6"/>
    <w:rsid w:val="00B12FF0"/>
    <w:rsid w:val="00B13034"/>
    <w:rsid w:val="00B130AE"/>
    <w:rsid w:val="00B13136"/>
    <w:rsid w:val="00B134AD"/>
    <w:rsid w:val="00B1355A"/>
    <w:rsid w:val="00B13608"/>
    <w:rsid w:val="00B13890"/>
    <w:rsid w:val="00B138A8"/>
    <w:rsid w:val="00B139BC"/>
    <w:rsid w:val="00B13A7F"/>
    <w:rsid w:val="00B13ABF"/>
    <w:rsid w:val="00B13C4B"/>
    <w:rsid w:val="00B13D54"/>
    <w:rsid w:val="00B13D8A"/>
    <w:rsid w:val="00B13E2C"/>
    <w:rsid w:val="00B13E45"/>
    <w:rsid w:val="00B13ED4"/>
    <w:rsid w:val="00B1402E"/>
    <w:rsid w:val="00B140F5"/>
    <w:rsid w:val="00B14279"/>
    <w:rsid w:val="00B14312"/>
    <w:rsid w:val="00B1431E"/>
    <w:rsid w:val="00B1433F"/>
    <w:rsid w:val="00B144C9"/>
    <w:rsid w:val="00B148A6"/>
    <w:rsid w:val="00B1495C"/>
    <w:rsid w:val="00B149D3"/>
    <w:rsid w:val="00B14B7B"/>
    <w:rsid w:val="00B14BC6"/>
    <w:rsid w:val="00B14C35"/>
    <w:rsid w:val="00B14C9B"/>
    <w:rsid w:val="00B14E9C"/>
    <w:rsid w:val="00B14F34"/>
    <w:rsid w:val="00B14F83"/>
    <w:rsid w:val="00B14F87"/>
    <w:rsid w:val="00B15104"/>
    <w:rsid w:val="00B151F4"/>
    <w:rsid w:val="00B152A1"/>
    <w:rsid w:val="00B1532B"/>
    <w:rsid w:val="00B1545C"/>
    <w:rsid w:val="00B1566A"/>
    <w:rsid w:val="00B156A8"/>
    <w:rsid w:val="00B156DD"/>
    <w:rsid w:val="00B156F0"/>
    <w:rsid w:val="00B15701"/>
    <w:rsid w:val="00B15A2D"/>
    <w:rsid w:val="00B15A61"/>
    <w:rsid w:val="00B15A84"/>
    <w:rsid w:val="00B15B18"/>
    <w:rsid w:val="00B15C3C"/>
    <w:rsid w:val="00B15D79"/>
    <w:rsid w:val="00B15F46"/>
    <w:rsid w:val="00B15F80"/>
    <w:rsid w:val="00B15FF7"/>
    <w:rsid w:val="00B16069"/>
    <w:rsid w:val="00B16154"/>
    <w:rsid w:val="00B1616E"/>
    <w:rsid w:val="00B1628A"/>
    <w:rsid w:val="00B162F5"/>
    <w:rsid w:val="00B1635A"/>
    <w:rsid w:val="00B16574"/>
    <w:rsid w:val="00B1668D"/>
    <w:rsid w:val="00B16879"/>
    <w:rsid w:val="00B16913"/>
    <w:rsid w:val="00B169C0"/>
    <w:rsid w:val="00B16B45"/>
    <w:rsid w:val="00B16C92"/>
    <w:rsid w:val="00B16C93"/>
    <w:rsid w:val="00B16E24"/>
    <w:rsid w:val="00B1709D"/>
    <w:rsid w:val="00B17189"/>
    <w:rsid w:val="00B1740A"/>
    <w:rsid w:val="00B1742C"/>
    <w:rsid w:val="00B175DC"/>
    <w:rsid w:val="00B176E7"/>
    <w:rsid w:val="00B17714"/>
    <w:rsid w:val="00B17750"/>
    <w:rsid w:val="00B17795"/>
    <w:rsid w:val="00B1781A"/>
    <w:rsid w:val="00B1783E"/>
    <w:rsid w:val="00B178E2"/>
    <w:rsid w:val="00B179FE"/>
    <w:rsid w:val="00B17B08"/>
    <w:rsid w:val="00B17B39"/>
    <w:rsid w:val="00B17CE0"/>
    <w:rsid w:val="00B17F27"/>
    <w:rsid w:val="00B1D20B"/>
    <w:rsid w:val="00B20204"/>
    <w:rsid w:val="00B20252"/>
    <w:rsid w:val="00B203C3"/>
    <w:rsid w:val="00B2049E"/>
    <w:rsid w:val="00B205E1"/>
    <w:rsid w:val="00B20823"/>
    <w:rsid w:val="00B208FE"/>
    <w:rsid w:val="00B20972"/>
    <w:rsid w:val="00B209A1"/>
    <w:rsid w:val="00B20AF0"/>
    <w:rsid w:val="00B20C00"/>
    <w:rsid w:val="00B20E2B"/>
    <w:rsid w:val="00B20E64"/>
    <w:rsid w:val="00B2100A"/>
    <w:rsid w:val="00B21089"/>
    <w:rsid w:val="00B2114D"/>
    <w:rsid w:val="00B212FC"/>
    <w:rsid w:val="00B21317"/>
    <w:rsid w:val="00B21352"/>
    <w:rsid w:val="00B213ED"/>
    <w:rsid w:val="00B21486"/>
    <w:rsid w:val="00B215DF"/>
    <w:rsid w:val="00B21702"/>
    <w:rsid w:val="00B2172B"/>
    <w:rsid w:val="00B2174F"/>
    <w:rsid w:val="00B218D1"/>
    <w:rsid w:val="00B218F4"/>
    <w:rsid w:val="00B21957"/>
    <w:rsid w:val="00B2195C"/>
    <w:rsid w:val="00B21983"/>
    <w:rsid w:val="00B219C0"/>
    <w:rsid w:val="00B219CE"/>
    <w:rsid w:val="00B21AE7"/>
    <w:rsid w:val="00B21AFE"/>
    <w:rsid w:val="00B21B53"/>
    <w:rsid w:val="00B21C28"/>
    <w:rsid w:val="00B21C76"/>
    <w:rsid w:val="00B21D78"/>
    <w:rsid w:val="00B21F60"/>
    <w:rsid w:val="00B21FCF"/>
    <w:rsid w:val="00B220A7"/>
    <w:rsid w:val="00B22139"/>
    <w:rsid w:val="00B221A2"/>
    <w:rsid w:val="00B22315"/>
    <w:rsid w:val="00B22610"/>
    <w:rsid w:val="00B22849"/>
    <w:rsid w:val="00B229B3"/>
    <w:rsid w:val="00B229B5"/>
    <w:rsid w:val="00B22AC4"/>
    <w:rsid w:val="00B22AD8"/>
    <w:rsid w:val="00B22B66"/>
    <w:rsid w:val="00B22CFE"/>
    <w:rsid w:val="00B22D98"/>
    <w:rsid w:val="00B22EB5"/>
    <w:rsid w:val="00B231DD"/>
    <w:rsid w:val="00B232BE"/>
    <w:rsid w:val="00B233C4"/>
    <w:rsid w:val="00B236FB"/>
    <w:rsid w:val="00B2386C"/>
    <w:rsid w:val="00B23940"/>
    <w:rsid w:val="00B2399F"/>
    <w:rsid w:val="00B23A24"/>
    <w:rsid w:val="00B23BC9"/>
    <w:rsid w:val="00B23C09"/>
    <w:rsid w:val="00B23C19"/>
    <w:rsid w:val="00B23C1D"/>
    <w:rsid w:val="00B23C7E"/>
    <w:rsid w:val="00B23CA5"/>
    <w:rsid w:val="00B23DC7"/>
    <w:rsid w:val="00B23DD9"/>
    <w:rsid w:val="00B23E8E"/>
    <w:rsid w:val="00B23EED"/>
    <w:rsid w:val="00B23F36"/>
    <w:rsid w:val="00B23FCD"/>
    <w:rsid w:val="00B240FB"/>
    <w:rsid w:val="00B242E7"/>
    <w:rsid w:val="00B24388"/>
    <w:rsid w:val="00B24395"/>
    <w:rsid w:val="00B24528"/>
    <w:rsid w:val="00B245C1"/>
    <w:rsid w:val="00B24715"/>
    <w:rsid w:val="00B2483C"/>
    <w:rsid w:val="00B2486B"/>
    <w:rsid w:val="00B248A1"/>
    <w:rsid w:val="00B24966"/>
    <w:rsid w:val="00B24A6A"/>
    <w:rsid w:val="00B24C04"/>
    <w:rsid w:val="00B24C9C"/>
    <w:rsid w:val="00B24CFD"/>
    <w:rsid w:val="00B2513A"/>
    <w:rsid w:val="00B25151"/>
    <w:rsid w:val="00B252C8"/>
    <w:rsid w:val="00B255D0"/>
    <w:rsid w:val="00B25790"/>
    <w:rsid w:val="00B25A70"/>
    <w:rsid w:val="00B25AE1"/>
    <w:rsid w:val="00B25B0C"/>
    <w:rsid w:val="00B25B1D"/>
    <w:rsid w:val="00B25C3D"/>
    <w:rsid w:val="00B25D28"/>
    <w:rsid w:val="00B25D59"/>
    <w:rsid w:val="00B25D63"/>
    <w:rsid w:val="00B25F33"/>
    <w:rsid w:val="00B25FBC"/>
    <w:rsid w:val="00B25FF8"/>
    <w:rsid w:val="00B2620D"/>
    <w:rsid w:val="00B26297"/>
    <w:rsid w:val="00B263C6"/>
    <w:rsid w:val="00B264C7"/>
    <w:rsid w:val="00B264F2"/>
    <w:rsid w:val="00B2653C"/>
    <w:rsid w:val="00B26825"/>
    <w:rsid w:val="00B2688B"/>
    <w:rsid w:val="00B26951"/>
    <w:rsid w:val="00B269E8"/>
    <w:rsid w:val="00B26A1A"/>
    <w:rsid w:val="00B26C09"/>
    <w:rsid w:val="00B26D2C"/>
    <w:rsid w:val="00B26E9C"/>
    <w:rsid w:val="00B2705F"/>
    <w:rsid w:val="00B27088"/>
    <w:rsid w:val="00B27138"/>
    <w:rsid w:val="00B271EE"/>
    <w:rsid w:val="00B27227"/>
    <w:rsid w:val="00B272E6"/>
    <w:rsid w:val="00B275BF"/>
    <w:rsid w:val="00B27608"/>
    <w:rsid w:val="00B27613"/>
    <w:rsid w:val="00B276F7"/>
    <w:rsid w:val="00B27702"/>
    <w:rsid w:val="00B2771F"/>
    <w:rsid w:val="00B2792B"/>
    <w:rsid w:val="00B27B87"/>
    <w:rsid w:val="00B27D6C"/>
    <w:rsid w:val="00B27EBB"/>
    <w:rsid w:val="00B27EE3"/>
    <w:rsid w:val="00B27F2D"/>
    <w:rsid w:val="00B27F50"/>
    <w:rsid w:val="00B30047"/>
    <w:rsid w:val="00B30098"/>
    <w:rsid w:val="00B302A9"/>
    <w:rsid w:val="00B304B0"/>
    <w:rsid w:val="00B30673"/>
    <w:rsid w:val="00B30995"/>
    <w:rsid w:val="00B30B8A"/>
    <w:rsid w:val="00B30DB2"/>
    <w:rsid w:val="00B30E0E"/>
    <w:rsid w:val="00B30E6E"/>
    <w:rsid w:val="00B30FAC"/>
    <w:rsid w:val="00B310D0"/>
    <w:rsid w:val="00B31262"/>
    <w:rsid w:val="00B31312"/>
    <w:rsid w:val="00B314DB"/>
    <w:rsid w:val="00B31613"/>
    <w:rsid w:val="00B31638"/>
    <w:rsid w:val="00B3163A"/>
    <w:rsid w:val="00B31646"/>
    <w:rsid w:val="00B31690"/>
    <w:rsid w:val="00B316F1"/>
    <w:rsid w:val="00B31777"/>
    <w:rsid w:val="00B31784"/>
    <w:rsid w:val="00B318D7"/>
    <w:rsid w:val="00B318F5"/>
    <w:rsid w:val="00B31910"/>
    <w:rsid w:val="00B31997"/>
    <w:rsid w:val="00B31AB2"/>
    <w:rsid w:val="00B31DF6"/>
    <w:rsid w:val="00B31DFF"/>
    <w:rsid w:val="00B31F50"/>
    <w:rsid w:val="00B31FAC"/>
    <w:rsid w:val="00B3204D"/>
    <w:rsid w:val="00B32440"/>
    <w:rsid w:val="00B32519"/>
    <w:rsid w:val="00B327DA"/>
    <w:rsid w:val="00B32841"/>
    <w:rsid w:val="00B329A0"/>
    <w:rsid w:val="00B329C3"/>
    <w:rsid w:val="00B32B55"/>
    <w:rsid w:val="00B32E88"/>
    <w:rsid w:val="00B33086"/>
    <w:rsid w:val="00B3316B"/>
    <w:rsid w:val="00B33271"/>
    <w:rsid w:val="00B3329F"/>
    <w:rsid w:val="00B332ED"/>
    <w:rsid w:val="00B3332D"/>
    <w:rsid w:val="00B33398"/>
    <w:rsid w:val="00B3353A"/>
    <w:rsid w:val="00B335AB"/>
    <w:rsid w:val="00B335FF"/>
    <w:rsid w:val="00B33793"/>
    <w:rsid w:val="00B33799"/>
    <w:rsid w:val="00B339EB"/>
    <w:rsid w:val="00B33AC2"/>
    <w:rsid w:val="00B33AF1"/>
    <w:rsid w:val="00B33B78"/>
    <w:rsid w:val="00B33E25"/>
    <w:rsid w:val="00B33E73"/>
    <w:rsid w:val="00B33E88"/>
    <w:rsid w:val="00B33EA0"/>
    <w:rsid w:val="00B33F37"/>
    <w:rsid w:val="00B33FBE"/>
    <w:rsid w:val="00B33FE3"/>
    <w:rsid w:val="00B34191"/>
    <w:rsid w:val="00B341D3"/>
    <w:rsid w:val="00B3459B"/>
    <w:rsid w:val="00B34A5A"/>
    <w:rsid w:val="00B34A83"/>
    <w:rsid w:val="00B34AC9"/>
    <w:rsid w:val="00B34ADB"/>
    <w:rsid w:val="00B34B92"/>
    <w:rsid w:val="00B34C0F"/>
    <w:rsid w:val="00B34C52"/>
    <w:rsid w:val="00B34D2B"/>
    <w:rsid w:val="00B35153"/>
    <w:rsid w:val="00B35195"/>
    <w:rsid w:val="00B35385"/>
    <w:rsid w:val="00B35403"/>
    <w:rsid w:val="00B35444"/>
    <w:rsid w:val="00B35454"/>
    <w:rsid w:val="00B356A3"/>
    <w:rsid w:val="00B35798"/>
    <w:rsid w:val="00B3582C"/>
    <w:rsid w:val="00B358F3"/>
    <w:rsid w:val="00B3597B"/>
    <w:rsid w:val="00B35C1D"/>
    <w:rsid w:val="00B35CEE"/>
    <w:rsid w:val="00B35CF0"/>
    <w:rsid w:val="00B35FBD"/>
    <w:rsid w:val="00B360DB"/>
    <w:rsid w:val="00B361E8"/>
    <w:rsid w:val="00B363EB"/>
    <w:rsid w:val="00B36540"/>
    <w:rsid w:val="00B3688E"/>
    <w:rsid w:val="00B36915"/>
    <w:rsid w:val="00B36979"/>
    <w:rsid w:val="00B369BC"/>
    <w:rsid w:val="00B369C6"/>
    <w:rsid w:val="00B369D8"/>
    <w:rsid w:val="00B36A84"/>
    <w:rsid w:val="00B36B33"/>
    <w:rsid w:val="00B36B8B"/>
    <w:rsid w:val="00B36CB1"/>
    <w:rsid w:val="00B36CC8"/>
    <w:rsid w:val="00B36D07"/>
    <w:rsid w:val="00B36ED1"/>
    <w:rsid w:val="00B37006"/>
    <w:rsid w:val="00B37041"/>
    <w:rsid w:val="00B3718D"/>
    <w:rsid w:val="00B371B7"/>
    <w:rsid w:val="00B371C9"/>
    <w:rsid w:val="00B37220"/>
    <w:rsid w:val="00B37253"/>
    <w:rsid w:val="00B373DB"/>
    <w:rsid w:val="00B3740E"/>
    <w:rsid w:val="00B37446"/>
    <w:rsid w:val="00B375D2"/>
    <w:rsid w:val="00B375DD"/>
    <w:rsid w:val="00B37645"/>
    <w:rsid w:val="00B376F4"/>
    <w:rsid w:val="00B37742"/>
    <w:rsid w:val="00B37758"/>
    <w:rsid w:val="00B3781C"/>
    <w:rsid w:val="00B37853"/>
    <w:rsid w:val="00B37D35"/>
    <w:rsid w:val="00B37DC0"/>
    <w:rsid w:val="00B37E3D"/>
    <w:rsid w:val="00B37E5D"/>
    <w:rsid w:val="00B37F9A"/>
    <w:rsid w:val="00B400A6"/>
    <w:rsid w:val="00B401DF"/>
    <w:rsid w:val="00B401E7"/>
    <w:rsid w:val="00B40303"/>
    <w:rsid w:val="00B4031A"/>
    <w:rsid w:val="00B403B6"/>
    <w:rsid w:val="00B4052B"/>
    <w:rsid w:val="00B40685"/>
    <w:rsid w:val="00B40791"/>
    <w:rsid w:val="00B40878"/>
    <w:rsid w:val="00B40884"/>
    <w:rsid w:val="00B4088D"/>
    <w:rsid w:val="00B4091E"/>
    <w:rsid w:val="00B40935"/>
    <w:rsid w:val="00B40AE9"/>
    <w:rsid w:val="00B40B54"/>
    <w:rsid w:val="00B40C28"/>
    <w:rsid w:val="00B40EA6"/>
    <w:rsid w:val="00B40F3A"/>
    <w:rsid w:val="00B40F83"/>
    <w:rsid w:val="00B41165"/>
    <w:rsid w:val="00B41190"/>
    <w:rsid w:val="00B412FB"/>
    <w:rsid w:val="00B41345"/>
    <w:rsid w:val="00B41369"/>
    <w:rsid w:val="00B41386"/>
    <w:rsid w:val="00B41784"/>
    <w:rsid w:val="00B417E8"/>
    <w:rsid w:val="00B41865"/>
    <w:rsid w:val="00B418B4"/>
    <w:rsid w:val="00B418F9"/>
    <w:rsid w:val="00B4194E"/>
    <w:rsid w:val="00B41ABA"/>
    <w:rsid w:val="00B41B57"/>
    <w:rsid w:val="00B41B88"/>
    <w:rsid w:val="00B41EE7"/>
    <w:rsid w:val="00B42087"/>
    <w:rsid w:val="00B421D3"/>
    <w:rsid w:val="00B4220B"/>
    <w:rsid w:val="00B42318"/>
    <w:rsid w:val="00B42483"/>
    <w:rsid w:val="00B424CF"/>
    <w:rsid w:val="00B4252C"/>
    <w:rsid w:val="00B42628"/>
    <w:rsid w:val="00B427F8"/>
    <w:rsid w:val="00B427FC"/>
    <w:rsid w:val="00B42819"/>
    <w:rsid w:val="00B42B80"/>
    <w:rsid w:val="00B42C2D"/>
    <w:rsid w:val="00B42D00"/>
    <w:rsid w:val="00B42D41"/>
    <w:rsid w:val="00B42E85"/>
    <w:rsid w:val="00B42F8C"/>
    <w:rsid w:val="00B42FE9"/>
    <w:rsid w:val="00B430A7"/>
    <w:rsid w:val="00B430FD"/>
    <w:rsid w:val="00B4325C"/>
    <w:rsid w:val="00B43531"/>
    <w:rsid w:val="00B4354A"/>
    <w:rsid w:val="00B435DE"/>
    <w:rsid w:val="00B4395A"/>
    <w:rsid w:val="00B439C2"/>
    <w:rsid w:val="00B43A31"/>
    <w:rsid w:val="00B43BF2"/>
    <w:rsid w:val="00B43C09"/>
    <w:rsid w:val="00B43CF4"/>
    <w:rsid w:val="00B43E93"/>
    <w:rsid w:val="00B43EDA"/>
    <w:rsid w:val="00B43F4A"/>
    <w:rsid w:val="00B440B7"/>
    <w:rsid w:val="00B44117"/>
    <w:rsid w:val="00B442D6"/>
    <w:rsid w:val="00B44314"/>
    <w:rsid w:val="00B4440F"/>
    <w:rsid w:val="00B44446"/>
    <w:rsid w:val="00B44531"/>
    <w:rsid w:val="00B448B1"/>
    <w:rsid w:val="00B44A19"/>
    <w:rsid w:val="00B44A90"/>
    <w:rsid w:val="00B44D4A"/>
    <w:rsid w:val="00B44D6C"/>
    <w:rsid w:val="00B44F3A"/>
    <w:rsid w:val="00B44FE6"/>
    <w:rsid w:val="00B44FEC"/>
    <w:rsid w:val="00B4520A"/>
    <w:rsid w:val="00B45329"/>
    <w:rsid w:val="00B453E2"/>
    <w:rsid w:val="00B455D5"/>
    <w:rsid w:val="00B455E9"/>
    <w:rsid w:val="00B4565D"/>
    <w:rsid w:val="00B457B9"/>
    <w:rsid w:val="00B457CA"/>
    <w:rsid w:val="00B457E2"/>
    <w:rsid w:val="00B45A49"/>
    <w:rsid w:val="00B45B4D"/>
    <w:rsid w:val="00B45BA1"/>
    <w:rsid w:val="00B45C46"/>
    <w:rsid w:val="00B45E54"/>
    <w:rsid w:val="00B45E6A"/>
    <w:rsid w:val="00B45F3B"/>
    <w:rsid w:val="00B461AC"/>
    <w:rsid w:val="00B462F3"/>
    <w:rsid w:val="00B46595"/>
    <w:rsid w:val="00B465DE"/>
    <w:rsid w:val="00B46653"/>
    <w:rsid w:val="00B466AF"/>
    <w:rsid w:val="00B466B8"/>
    <w:rsid w:val="00B466FA"/>
    <w:rsid w:val="00B468E5"/>
    <w:rsid w:val="00B468FE"/>
    <w:rsid w:val="00B4692B"/>
    <w:rsid w:val="00B46E44"/>
    <w:rsid w:val="00B46E95"/>
    <w:rsid w:val="00B46F12"/>
    <w:rsid w:val="00B46F3A"/>
    <w:rsid w:val="00B46FCA"/>
    <w:rsid w:val="00B4717F"/>
    <w:rsid w:val="00B473FC"/>
    <w:rsid w:val="00B4743C"/>
    <w:rsid w:val="00B47537"/>
    <w:rsid w:val="00B47551"/>
    <w:rsid w:val="00B476C5"/>
    <w:rsid w:val="00B4774A"/>
    <w:rsid w:val="00B4796A"/>
    <w:rsid w:val="00B47A81"/>
    <w:rsid w:val="00B47B6D"/>
    <w:rsid w:val="00B47BBD"/>
    <w:rsid w:val="00B47CD2"/>
    <w:rsid w:val="00B47DF0"/>
    <w:rsid w:val="00B47EA0"/>
    <w:rsid w:val="00B47EF9"/>
    <w:rsid w:val="00B5009C"/>
    <w:rsid w:val="00B5035D"/>
    <w:rsid w:val="00B50495"/>
    <w:rsid w:val="00B50563"/>
    <w:rsid w:val="00B506E9"/>
    <w:rsid w:val="00B50809"/>
    <w:rsid w:val="00B50853"/>
    <w:rsid w:val="00B5090F"/>
    <w:rsid w:val="00B50935"/>
    <w:rsid w:val="00B509B8"/>
    <w:rsid w:val="00B50ACF"/>
    <w:rsid w:val="00B50AED"/>
    <w:rsid w:val="00B50B2B"/>
    <w:rsid w:val="00B50C7C"/>
    <w:rsid w:val="00B50E12"/>
    <w:rsid w:val="00B50EC6"/>
    <w:rsid w:val="00B50ED2"/>
    <w:rsid w:val="00B50EF2"/>
    <w:rsid w:val="00B51042"/>
    <w:rsid w:val="00B51074"/>
    <w:rsid w:val="00B510A8"/>
    <w:rsid w:val="00B512A1"/>
    <w:rsid w:val="00B5145A"/>
    <w:rsid w:val="00B514E9"/>
    <w:rsid w:val="00B51A75"/>
    <w:rsid w:val="00B51EB6"/>
    <w:rsid w:val="00B520A8"/>
    <w:rsid w:val="00B52278"/>
    <w:rsid w:val="00B522A7"/>
    <w:rsid w:val="00B522FE"/>
    <w:rsid w:val="00B5238C"/>
    <w:rsid w:val="00B52464"/>
    <w:rsid w:val="00B525B2"/>
    <w:rsid w:val="00B527E1"/>
    <w:rsid w:val="00B528AE"/>
    <w:rsid w:val="00B52931"/>
    <w:rsid w:val="00B529B1"/>
    <w:rsid w:val="00B52B14"/>
    <w:rsid w:val="00B52E79"/>
    <w:rsid w:val="00B52F02"/>
    <w:rsid w:val="00B53138"/>
    <w:rsid w:val="00B531BC"/>
    <w:rsid w:val="00B531C0"/>
    <w:rsid w:val="00B53202"/>
    <w:rsid w:val="00B532FB"/>
    <w:rsid w:val="00B5369D"/>
    <w:rsid w:val="00B537EC"/>
    <w:rsid w:val="00B5387E"/>
    <w:rsid w:val="00B53881"/>
    <w:rsid w:val="00B538C7"/>
    <w:rsid w:val="00B538D1"/>
    <w:rsid w:val="00B538DD"/>
    <w:rsid w:val="00B53A84"/>
    <w:rsid w:val="00B53B6C"/>
    <w:rsid w:val="00B53B75"/>
    <w:rsid w:val="00B53BE0"/>
    <w:rsid w:val="00B53CF5"/>
    <w:rsid w:val="00B53EB8"/>
    <w:rsid w:val="00B53F89"/>
    <w:rsid w:val="00B54109"/>
    <w:rsid w:val="00B5421D"/>
    <w:rsid w:val="00B54386"/>
    <w:rsid w:val="00B5438A"/>
    <w:rsid w:val="00B543A6"/>
    <w:rsid w:val="00B544FE"/>
    <w:rsid w:val="00B54521"/>
    <w:rsid w:val="00B54874"/>
    <w:rsid w:val="00B54907"/>
    <w:rsid w:val="00B549BE"/>
    <w:rsid w:val="00B54A3E"/>
    <w:rsid w:val="00B54A64"/>
    <w:rsid w:val="00B54A93"/>
    <w:rsid w:val="00B54B35"/>
    <w:rsid w:val="00B54B85"/>
    <w:rsid w:val="00B54BB2"/>
    <w:rsid w:val="00B54D55"/>
    <w:rsid w:val="00B54F34"/>
    <w:rsid w:val="00B54FB6"/>
    <w:rsid w:val="00B5507F"/>
    <w:rsid w:val="00B55087"/>
    <w:rsid w:val="00B550F6"/>
    <w:rsid w:val="00B55203"/>
    <w:rsid w:val="00B5539E"/>
    <w:rsid w:val="00B55404"/>
    <w:rsid w:val="00B554EB"/>
    <w:rsid w:val="00B5550C"/>
    <w:rsid w:val="00B555FF"/>
    <w:rsid w:val="00B55624"/>
    <w:rsid w:val="00B55660"/>
    <w:rsid w:val="00B5575C"/>
    <w:rsid w:val="00B55837"/>
    <w:rsid w:val="00B5595A"/>
    <w:rsid w:val="00B55B48"/>
    <w:rsid w:val="00B55CC1"/>
    <w:rsid w:val="00B55E41"/>
    <w:rsid w:val="00B55F6C"/>
    <w:rsid w:val="00B56056"/>
    <w:rsid w:val="00B5605A"/>
    <w:rsid w:val="00B56110"/>
    <w:rsid w:val="00B56218"/>
    <w:rsid w:val="00B56290"/>
    <w:rsid w:val="00B56292"/>
    <w:rsid w:val="00B5630D"/>
    <w:rsid w:val="00B56399"/>
    <w:rsid w:val="00B56758"/>
    <w:rsid w:val="00B568C5"/>
    <w:rsid w:val="00B56972"/>
    <w:rsid w:val="00B56A2A"/>
    <w:rsid w:val="00B56A70"/>
    <w:rsid w:val="00B56AF5"/>
    <w:rsid w:val="00B56BF4"/>
    <w:rsid w:val="00B56D26"/>
    <w:rsid w:val="00B56D2E"/>
    <w:rsid w:val="00B56FC5"/>
    <w:rsid w:val="00B57033"/>
    <w:rsid w:val="00B57042"/>
    <w:rsid w:val="00B571FE"/>
    <w:rsid w:val="00B5723F"/>
    <w:rsid w:val="00B5734B"/>
    <w:rsid w:val="00B57489"/>
    <w:rsid w:val="00B5749F"/>
    <w:rsid w:val="00B575B4"/>
    <w:rsid w:val="00B575DF"/>
    <w:rsid w:val="00B575E0"/>
    <w:rsid w:val="00B577C4"/>
    <w:rsid w:val="00B57A6D"/>
    <w:rsid w:val="00B57E60"/>
    <w:rsid w:val="00B57EF8"/>
    <w:rsid w:val="00B6005A"/>
    <w:rsid w:val="00B60088"/>
    <w:rsid w:val="00B600C8"/>
    <w:rsid w:val="00B6018F"/>
    <w:rsid w:val="00B60304"/>
    <w:rsid w:val="00B6033D"/>
    <w:rsid w:val="00B606AB"/>
    <w:rsid w:val="00B607A5"/>
    <w:rsid w:val="00B608DF"/>
    <w:rsid w:val="00B60908"/>
    <w:rsid w:val="00B60B2A"/>
    <w:rsid w:val="00B60B7D"/>
    <w:rsid w:val="00B60B80"/>
    <w:rsid w:val="00B60B81"/>
    <w:rsid w:val="00B60DC9"/>
    <w:rsid w:val="00B60F99"/>
    <w:rsid w:val="00B61119"/>
    <w:rsid w:val="00B6116E"/>
    <w:rsid w:val="00B61373"/>
    <w:rsid w:val="00B613B5"/>
    <w:rsid w:val="00B614CF"/>
    <w:rsid w:val="00B61587"/>
    <w:rsid w:val="00B615D9"/>
    <w:rsid w:val="00B6184D"/>
    <w:rsid w:val="00B6185A"/>
    <w:rsid w:val="00B61A75"/>
    <w:rsid w:val="00B61A8B"/>
    <w:rsid w:val="00B61A96"/>
    <w:rsid w:val="00B61DD8"/>
    <w:rsid w:val="00B61E77"/>
    <w:rsid w:val="00B61EB0"/>
    <w:rsid w:val="00B61F58"/>
    <w:rsid w:val="00B61FA1"/>
    <w:rsid w:val="00B61FBC"/>
    <w:rsid w:val="00B621A2"/>
    <w:rsid w:val="00B62252"/>
    <w:rsid w:val="00B622CC"/>
    <w:rsid w:val="00B622EA"/>
    <w:rsid w:val="00B6239F"/>
    <w:rsid w:val="00B62400"/>
    <w:rsid w:val="00B62551"/>
    <w:rsid w:val="00B6268E"/>
    <w:rsid w:val="00B626A2"/>
    <w:rsid w:val="00B626E6"/>
    <w:rsid w:val="00B62856"/>
    <w:rsid w:val="00B62865"/>
    <w:rsid w:val="00B629AF"/>
    <w:rsid w:val="00B629B1"/>
    <w:rsid w:val="00B62B54"/>
    <w:rsid w:val="00B62BFE"/>
    <w:rsid w:val="00B62CA6"/>
    <w:rsid w:val="00B62CA7"/>
    <w:rsid w:val="00B62CC9"/>
    <w:rsid w:val="00B62E13"/>
    <w:rsid w:val="00B62F80"/>
    <w:rsid w:val="00B6302B"/>
    <w:rsid w:val="00B63041"/>
    <w:rsid w:val="00B63199"/>
    <w:rsid w:val="00B631E6"/>
    <w:rsid w:val="00B632D3"/>
    <w:rsid w:val="00B632E7"/>
    <w:rsid w:val="00B63499"/>
    <w:rsid w:val="00B6357D"/>
    <w:rsid w:val="00B63633"/>
    <w:rsid w:val="00B63AA2"/>
    <w:rsid w:val="00B63B81"/>
    <w:rsid w:val="00B63C2E"/>
    <w:rsid w:val="00B63CED"/>
    <w:rsid w:val="00B63D69"/>
    <w:rsid w:val="00B63E22"/>
    <w:rsid w:val="00B63F9B"/>
    <w:rsid w:val="00B63FAA"/>
    <w:rsid w:val="00B64149"/>
    <w:rsid w:val="00B6424E"/>
    <w:rsid w:val="00B6448D"/>
    <w:rsid w:val="00B6448E"/>
    <w:rsid w:val="00B6465B"/>
    <w:rsid w:val="00B64694"/>
    <w:rsid w:val="00B6492D"/>
    <w:rsid w:val="00B6496D"/>
    <w:rsid w:val="00B64B53"/>
    <w:rsid w:val="00B64B55"/>
    <w:rsid w:val="00B64B5A"/>
    <w:rsid w:val="00B64C28"/>
    <w:rsid w:val="00B64CA6"/>
    <w:rsid w:val="00B64D1F"/>
    <w:rsid w:val="00B64F01"/>
    <w:rsid w:val="00B650B5"/>
    <w:rsid w:val="00B650F9"/>
    <w:rsid w:val="00B65216"/>
    <w:rsid w:val="00B6536E"/>
    <w:rsid w:val="00B6541F"/>
    <w:rsid w:val="00B65509"/>
    <w:rsid w:val="00B655C7"/>
    <w:rsid w:val="00B65620"/>
    <w:rsid w:val="00B6575A"/>
    <w:rsid w:val="00B658C9"/>
    <w:rsid w:val="00B658D4"/>
    <w:rsid w:val="00B658D7"/>
    <w:rsid w:val="00B65A94"/>
    <w:rsid w:val="00B65AF9"/>
    <w:rsid w:val="00B65AFA"/>
    <w:rsid w:val="00B65BE3"/>
    <w:rsid w:val="00B65C05"/>
    <w:rsid w:val="00B65DB2"/>
    <w:rsid w:val="00B65E61"/>
    <w:rsid w:val="00B65F86"/>
    <w:rsid w:val="00B66035"/>
    <w:rsid w:val="00B66061"/>
    <w:rsid w:val="00B660A7"/>
    <w:rsid w:val="00B66135"/>
    <w:rsid w:val="00B6621B"/>
    <w:rsid w:val="00B6625E"/>
    <w:rsid w:val="00B664BB"/>
    <w:rsid w:val="00B664D5"/>
    <w:rsid w:val="00B665B8"/>
    <w:rsid w:val="00B665DE"/>
    <w:rsid w:val="00B667D8"/>
    <w:rsid w:val="00B66966"/>
    <w:rsid w:val="00B669DB"/>
    <w:rsid w:val="00B66B2A"/>
    <w:rsid w:val="00B66B5B"/>
    <w:rsid w:val="00B66BF6"/>
    <w:rsid w:val="00B66D25"/>
    <w:rsid w:val="00B66DC7"/>
    <w:rsid w:val="00B66EA0"/>
    <w:rsid w:val="00B66F02"/>
    <w:rsid w:val="00B66FE4"/>
    <w:rsid w:val="00B67330"/>
    <w:rsid w:val="00B67568"/>
    <w:rsid w:val="00B678CA"/>
    <w:rsid w:val="00B679A7"/>
    <w:rsid w:val="00B679DC"/>
    <w:rsid w:val="00B67A74"/>
    <w:rsid w:val="00B67B85"/>
    <w:rsid w:val="00B67BA9"/>
    <w:rsid w:val="00B67E8C"/>
    <w:rsid w:val="00B67ED8"/>
    <w:rsid w:val="00B6950D"/>
    <w:rsid w:val="00B70149"/>
    <w:rsid w:val="00B7024C"/>
    <w:rsid w:val="00B70262"/>
    <w:rsid w:val="00B70327"/>
    <w:rsid w:val="00B70363"/>
    <w:rsid w:val="00B70416"/>
    <w:rsid w:val="00B706D6"/>
    <w:rsid w:val="00B709C4"/>
    <w:rsid w:val="00B70C05"/>
    <w:rsid w:val="00B70F2C"/>
    <w:rsid w:val="00B70FAF"/>
    <w:rsid w:val="00B7102C"/>
    <w:rsid w:val="00B71030"/>
    <w:rsid w:val="00B71296"/>
    <w:rsid w:val="00B71561"/>
    <w:rsid w:val="00B71677"/>
    <w:rsid w:val="00B71733"/>
    <w:rsid w:val="00B71759"/>
    <w:rsid w:val="00B717E4"/>
    <w:rsid w:val="00B7189C"/>
    <w:rsid w:val="00B71968"/>
    <w:rsid w:val="00B71BEF"/>
    <w:rsid w:val="00B71C71"/>
    <w:rsid w:val="00B71CBD"/>
    <w:rsid w:val="00B71E4D"/>
    <w:rsid w:val="00B71F92"/>
    <w:rsid w:val="00B7211E"/>
    <w:rsid w:val="00B72132"/>
    <w:rsid w:val="00B7221D"/>
    <w:rsid w:val="00B722E7"/>
    <w:rsid w:val="00B7232A"/>
    <w:rsid w:val="00B724B8"/>
    <w:rsid w:val="00B725C8"/>
    <w:rsid w:val="00B72602"/>
    <w:rsid w:val="00B726FC"/>
    <w:rsid w:val="00B726FE"/>
    <w:rsid w:val="00B72760"/>
    <w:rsid w:val="00B72792"/>
    <w:rsid w:val="00B72918"/>
    <w:rsid w:val="00B72A88"/>
    <w:rsid w:val="00B72D74"/>
    <w:rsid w:val="00B72D7B"/>
    <w:rsid w:val="00B72E5E"/>
    <w:rsid w:val="00B72F99"/>
    <w:rsid w:val="00B7332C"/>
    <w:rsid w:val="00B73335"/>
    <w:rsid w:val="00B73446"/>
    <w:rsid w:val="00B734A2"/>
    <w:rsid w:val="00B734F2"/>
    <w:rsid w:val="00B73536"/>
    <w:rsid w:val="00B73564"/>
    <w:rsid w:val="00B735AB"/>
    <w:rsid w:val="00B73747"/>
    <w:rsid w:val="00B7388B"/>
    <w:rsid w:val="00B73955"/>
    <w:rsid w:val="00B73BB8"/>
    <w:rsid w:val="00B73BF4"/>
    <w:rsid w:val="00B73F62"/>
    <w:rsid w:val="00B740BF"/>
    <w:rsid w:val="00B74173"/>
    <w:rsid w:val="00B74221"/>
    <w:rsid w:val="00B7438E"/>
    <w:rsid w:val="00B744AF"/>
    <w:rsid w:val="00B7457F"/>
    <w:rsid w:val="00B745DA"/>
    <w:rsid w:val="00B745EE"/>
    <w:rsid w:val="00B74734"/>
    <w:rsid w:val="00B74740"/>
    <w:rsid w:val="00B747A9"/>
    <w:rsid w:val="00B74943"/>
    <w:rsid w:val="00B74982"/>
    <w:rsid w:val="00B74A3E"/>
    <w:rsid w:val="00B74C43"/>
    <w:rsid w:val="00B7501E"/>
    <w:rsid w:val="00B75058"/>
    <w:rsid w:val="00B751D9"/>
    <w:rsid w:val="00B7545E"/>
    <w:rsid w:val="00B75615"/>
    <w:rsid w:val="00B756FA"/>
    <w:rsid w:val="00B7577B"/>
    <w:rsid w:val="00B758D8"/>
    <w:rsid w:val="00B758FD"/>
    <w:rsid w:val="00B75B7F"/>
    <w:rsid w:val="00B75C13"/>
    <w:rsid w:val="00B75C30"/>
    <w:rsid w:val="00B75C80"/>
    <w:rsid w:val="00B75CF1"/>
    <w:rsid w:val="00B75D53"/>
    <w:rsid w:val="00B75F0C"/>
    <w:rsid w:val="00B760A8"/>
    <w:rsid w:val="00B760F6"/>
    <w:rsid w:val="00B761D1"/>
    <w:rsid w:val="00B7623F"/>
    <w:rsid w:val="00B762C3"/>
    <w:rsid w:val="00B76376"/>
    <w:rsid w:val="00B764FB"/>
    <w:rsid w:val="00B766C9"/>
    <w:rsid w:val="00B766FD"/>
    <w:rsid w:val="00B76813"/>
    <w:rsid w:val="00B76817"/>
    <w:rsid w:val="00B768FD"/>
    <w:rsid w:val="00B769F1"/>
    <w:rsid w:val="00B76BD1"/>
    <w:rsid w:val="00B76C1D"/>
    <w:rsid w:val="00B76CCE"/>
    <w:rsid w:val="00B76D9A"/>
    <w:rsid w:val="00B7700A"/>
    <w:rsid w:val="00B7703A"/>
    <w:rsid w:val="00B77088"/>
    <w:rsid w:val="00B77186"/>
    <w:rsid w:val="00B771FD"/>
    <w:rsid w:val="00B772D0"/>
    <w:rsid w:val="00B774F5"/>
    <w:rsid w:val="00B77563"/>
    <w:rsid w:val="00B77673"/>
    <w:rsid w:val="00B7779B"/>
    <w:rsid w:val="00B777C5"/>
    <w:rsid w:val="00B77932"/>
    <w:rsid w:val="00B77A2A"/>
    <w:rsid w:val="00B77C93"/>
    <w:rsid w:val="00B77D95"/>
    <w:rsid w:val="00B800CC"/>
    <w:rsid w:val="00B801E3"/>
    <w:rsid w:val="00B80265"/>
    <w:rsid w:val="00B80322"/>
    <w:rsid w:val="00B80329"/>
    <w:rsid w:val="00B80865"/>
    <w:rsid w:val="00B808DE"/>
    <w:rsid w:val="00B808EA"/>
    <w:rsid w:val="00B8090A"/>
    <w:rsid w:val="00B8093B"/>
    <w:rsid w:val="00B80A25"/>
    <w:rsid w:val="00B80ABA"/>
    <w:rsid w:val="00B80BE3"/>
    <w:rsid w:val="00B80C16"/>
    <w:rsid w:val="00B80C3B"/>
    <w:rsid w:val="00B80C53"/>
    <w:rsid w:val="00B80CF6"/>
    <w:rsid w:val="00B80D5E"/>
    <w:rsid w:val="00B80E07"/>
    <w:rsid w:val="00B810D9"/>
    <w:rsid w:val="00B812FD"/>
    <w:rsid w:val="00B8149E"/>
    <w:rsid w:val="00B814C4"/>
    <w:rsid w:val="00B815AA"/>
    <w:rsid w:val="00B816F6"/>
    <w:rsid w:val="00B81783"/>
    <w:rsid w:val="00B81982"/>
    <w:rsid w:val="00B819DD"/>
    <w:rsid w:val="00B819F1"/>
    <w:rsid w:val="00B81B89"/>
    <w:rsid w:val="00B81D23"/>
    <w:rsid w:val="00B81D6E"/>
    <w:rsid w:val="00B81EE9"/>
    <w:rsid w:val="00B820BD"/>
    <w:rsid w:val="00B82106"/>
    <w:rsid w:val="00B8210C"/>
    <w:rsid w:val="00B82183"/>
    <w:rsid w:val="00B8227E"/>
    <w:rsid w:val="00B82316"/>
    <w:rsid w:val="00B82391"/>
    <w:rsid w:val="00B8268B"/>
    <w:rsid w:val="00B82693"/>
    <w:rsid w:val="00B826D0"/>
    <w:rsid w:val="00B82731"/>
    <w:rsid w:val="00B828DD"/>
    <w:rsid w:val="00B82907"/>
    <w:rsid w:val="00B82AE8"/>
    <w:rsid w:val="00B82B40"/>
    <w:rsid w:val="00B82BFD"/>
    <w:rsid w:val="00B82D73"/>
    <w:rsid w:val="00B82E2D"/>
    <w:rsid w:val="00B82F27"/>
    <w:rsid w:val="00B83239"/>
    <w:rsid w:val="00B83293"/>
    <w:rsid w:val="00B83294"/>
    <w:rsid w:val="00B832E8"/>
    <w:rsid w:val="00B835E1"/>
    <w:rsid w:val="00B8370B"/>
    <w:rsid w:val="00B8373B"/>
    <w:rsid w:val="00B8385A"/>
    <w:rsid w:val="00B839F3"/>
    <w:rsid w:val="00B83AB7"/>
    <w:rsid w:val="00B83C34"/>
    <w:rsid w:val="00B8410F"/>
    <w:rsid w:val="00B84188"/>
    <w:rsid w:val="00B84317"/>
    <w:rsid w:val="00B84496"/>
    <w:rsid w:val="00B8453C"/>
    <w:rsid w:val="00B84575"/>
    <w:rsid w:val="00B845A7"/>
    <w:rsid w:val="00B845EA"/>
    <w:rsid w:val="00B84609"/>
    <w:rsid w:val="00B84662"/>
    <w:rsid w:val="00B846D0"/>
    <w:rsid w:val="00B84C33"/>
    <w:rsid w:val="00B84D35"/>
    <w:rsid w:val="00B84F50"/>
    <w:rsid w:val="00B85032"/>
    <w:rsid w:val="00B8529D"/>
    <w:rsid w:val="00B85313"/>
    <w:rsid w:val="00B85583"/>
    <w:rsid w:val="00B85961"/>
    <w:rsid w:val="00B85972"/>
    <w:rsid w:val="00B85B6E"/>
    <w:rsid w:val="00B85C51"/>
    <w:rsid w:val="00B85D6E"/>
    <w:rsid w:val="00B85E2A"/>
    <w:rsid w:val="00B86005"/>
    <w:rsid w:val="00B861AA"/>
    <w:rsid w:val="00B861AC"/>
    <w:rsid w:val="00B8636B"/>
    <w:rsid w:val="00B863E2"/>
    <w:rsid w:val="00B86412"/>
    <w:rsid w:val="00B86474"/>
    <w:rsid w:val="00B865EE"/>
    <w:rsid w:val="00B86660"/>
    <w:rsid w:val="00B866CB"/>
    <w:rsid w:val="00B86738"/>
    <w:rsid w:val="00B86936"/>
    <w:rsid w:val="00B86972"/>
    <w:rsid w:val="00B86980"/>
    <w:rsid w:val="00B86993"/>
    <w:rsid w:val="00B869FE"/>
    <w:rsid w:val="00B86A06"/>
    <w:rsid w:val="00B86B01"/>
    <w:rsid w:val="00B86C01"/>
    <w:rsid w:val="00B86C1B"/>
    <w:rsid w:val="00B86E4E"/>
    <w:rsid w:val="00B86EA1"/>
    <w:rsid w:val="00B87007"/>
    <w:rsid w:val="00B87240"/>
    <w:rsid w:val="00B872C3"/>
    <w:rsid w:val="00B87345"/>
    <w:rsid w:val="00B87350"/>
    <w:rsid w:val="00B87382"/>
    <w:rsid w:val="00B873C1"/>
    <w:rsid w:val="00B87404"/>
    <w:rsid w:val="00B8747E"/>
    <w:rsid w:val="00B874BD"/>
    <w:rsid w:val="00B8783D"/>
    <w:rsid w:val="00B8799A"/>
    <w:rsid w:val="00B879FC"/>
    <w:rsid w:val="00B87A84"/>
    <w:rsid w:val="00B87A8C"/>
    <w:rsid w:val="00B87B7C"/>
    <w:rsid w:val="00B87CBA"/>
    <w:rsid w:val="00B87E50"/>
    <w:rsid w:val="00B87F5E"/>
    <w:rsid w:val="00B88D1C"/>
    <w:rsid w:val="00B90042"/>
    <w:rsid w:val="00B9006F"/>
    <w:rsid w:val="00B903D6"/>
    <w:rsid w:val="00B903F6"/>
    <w:rsid w:val="00B90482"/>
    <w:rsid w:val="00B90629"/>
    <w:rsid w:val="00B90740"/>
    <w:rsid w:val="00B90778"/>
    <w:rsid w:val="00B907EB"/>
    <w:rsid w:val="00B907EF"/>
    <w:rsid w:val="00B90A2A"/>
    <w:rsid w:val="00B90A65"/>
    <w:rsid w:val="00B90AFA"/>
    <w:rsid w:val="00B90B6D"/>
    <w:rsid w:val="00B90C26"/>
    <w:rsid w:val="00B90C33"/>
    <w:rsid w:val="00B90CB4"/>
    <w:rsid w:val="00B90E87"/>
    <w:rsid w:val="00B90ED6"/>
    <w:rsid w:val="00B90F9B"/>
    <w:rsid w:val="00B90FAF"/>
    <w:rsid w:val="00B91066"/>
    <w:rsid w:val="00B91092"/>
    <w:rsid w:val="00B910EC"/>
    <w:rsid w:val="00B91212"/>
    <w:rsid w:val="00B9136B"/>
    <w:rsid w:val="00B91484"/>
    <w:rsid w:val="00B914F2"/>
    <w:rsid w:val="00B91545"/>
    <w:rsid w:val="00B918DE"/>
    <w:rsid w:val="00B919CF"/>
    <w:rsid w:val="00B91BE4"/>
    <w:rsid w:val="00B91C11"/>
    <w:rsid w:val="00B91CB7"/>
    <w:rsid w:val="00B91CC4"/>
    <w:rsid w:val="00B91CEF"/>
    <w:rsid w:val="00B91E52"/>
    <w:rsid w:val="00B91F66"/>
    <w:rsid w:val="00B920BB"/>
    <w:rsid w:val="00B92168"/>
    <w:rsid w:val="00B921F4"/>
    <w:rsid w:val="00B923F2"/>
    <w:rsid w:val="00B9245A"/>
    <w:rsid w:val="00B924D7"/>
    <w:rsid w:val="00B92608"/>
    <w:rsid w:val="00B926BD"/>
    <w:rsid w:val="00B926E8"/>
    <w:rsid w:val="00B92751"/>
    <w:rsid w:val="00B927C2"/>
    <w:rsid w:val="00B92829"/>
    <w:rsid w:val="00B928F7"/>
    <w:rsid w:val="00B92A52"/>
    <w:rsid w:val="00B92ACE"/>
    <w:rsid w:val="00B92B0A"/>
    <w:rsid w:val="00B92BE6"/>
    <w:rsid w:val="00B92C68"/>
    <w:rsid w:val="00B92CCD"/>
    <w:rsid w:val="00B92E8A"/>
    <w:rsid w:val="00B92EDA"/>
    <w:rsid w:val="00B9308A"/>
    <w:rsid w:val="00B93209"/>
    <w:rsid w:val="00B93370"/>
    <w:rsid w:val="00B93414"/>
    <w:rsid w:val="00B93480"/>
    <w:rsid w:val="00B93563"/>
    <w:rsid w:val="00B935F6"/>
    <w:rsid w:val="00B93685"/>
    <w:rsid w:val="00B93697"/>
    <w:rsid w:val="00B936E0"/>
    <w:rsid w:val="00B93924"/>
    <w:rsid w:val="00B939D6"/>
    <w:rsid w:val="00B93B51"/>
    <w:rsid w:val="00B93B79"/>
    <w:rsid w:val="00B93C6B"/>
    <w:rsid w:val="00B93DA8"/>
    <w:rsid w:val="00B93E50"/>
    <w:rsid w:val="00B93E73"/>
    <w:rsid w:val="00B93F67"/>
    <w:rsid w:val="00B93FF2"/>
    <w:rsid w:val="00B940FF"/>
    <w:rsid w:val="00B941EE"/>
    <w:rsid w:val="00B9422C"/>
    <w:rsid w:val="00B94246"/>
    <w:rsid w:val="00B94254"/>
    <w:rsid w:val="00B942C1"/>
    <w:rsid w:val="00B944B2"/>
    <w:rsid w:val="00B94612"/>
    <w:rsid w:val="00B94736"/>
    <w:rsid w:val="00B949FD"/>
    <w:rsid w:val="00B94A02"/>
    <w:rsid w:val="00B94D68"/>
    <w:rsid w:val="00B94D69"/>
    <w:rsid w:val="00B94DC1"/>
    <w:rsid w:val="00B94EBD"/>
    <w:rsid w:val="00B94F7C"/>
    <w:rsid w:val="00B94FBB"/>
    <w:rsid w:val="00B9522F"/>
    <w:rsid w:val="00B95277"/>
    <w:rsid w:val="00B95283"/>
    <w:rsid w:val="00B95284"/>
    <w:rsid w:val="00B952D9"/>
    <w:rsid w:val="00B954B8"/>
    <w:rsid w:val="00B954D6"/>
    <w:rsid w:val="00B955D8"/>
    <w:rsid w:val="00B956D6"/>
    <w:rsid w:val="00B9573A"/>
    <w:rsid w:val="00B957A7"/>
    <w:rsid w:val="00B957C9"/>
    <w:rsid w:val="00B95954"/>
    <w:rsid w:val="00B959CB"/>
    <w:rsid w:val="00B95B15"/>
    <w:rsid w:val="00B95D21"/>
    <w:rsid w:val="00B95D83"/>
    <w:rsid w:val="00B95DD3"/>
    <w:rsid w:val="00B95EA2"/>
    <w:rsid w:val="00B95EDE"/>
    <w:rsid w:val="00B95F1A"/>
    <w:rsid w:val="00B95F66"/>
    <w:rsid w:val="00B96088"/>
    <w:rsid w:val="00B9624B"/>
    <w:rsid w:val="00B962F0"/>
    <w:rsid w:val="00B9632D"/>
    <w:rsid w:val="00B96375"/>
    <w:rsid w:val="00B96435"/>
    <w:rsid w:val="00B964A8"/>
    <w:rsid w:val="00B964E7"/>
    <w:rsid w:val="00B9659B"/>
    <w:rsid w:val="00B965C8"/>
    <w:rsid w:val="00B9668F"/>
    <w:rsid w:val="00B9685B"/>
    <w:rsid w:val="00B968EC"/>
    <w:rsid w:val="00B96972"/>
    <w:rsid w:val="00B96979"/>
    <w:rsid w:val="00B969B7"/>
    <w:rsid w:val="00B96C68"/>
    <w:rsid w:val="00B96D42"/>
    <w:rsid w:val="00B96E55"/>
    <w:rsid w:val="00B96F23"/>
    <w:rsid w:val="00B97056"/>
    <w:rsid w:val="00B97182"/>
    <w:rsid w:val="00B9721A"/>
    <w:rsid w:val="00B97253"/>
    <w:rsid w:val="00B972E3"/>
    <w:rsid w:val="00B97344"/>
    <w:rsid w:val="00B97468"/>
    <w:rsid w:val="00B97659"/>
    <w:rsid w:val="00B97757"/>
    <w:rsid w:val="00B9787C"/>
    <w:rsid w:val="00B97939"/>
    <w:rsid w:val="00B97A95"/>
    <w:rsid w:val="00B97C45"/>
    <w:rsid w:val="00B97C6D"/>
    <w:rsid w:val="00B97CB3"/>
    <w:rsid w:val="00B97D4A"/>
    <w:rsid w:val="00B97DC5"/>
    <w:rsid w:val="00B97EE2"/>
    <w:rsid w:val="00B97F18"/>
    <w:rsid w:val="00BA0033"/>
    <w:rsid w:val="00BA008D"/>
    <w:rsid w:val="00BA020D"/>
    <w:rsid w:val="00BA0239"/>
    <w:rsid w:val="00BA037E"/>
    <w:rsid w:val="00BA0419"/>
    <w:rsid w:val="00BA044C"/>
    <w:rsid w:val="00BA05E4"/>
    <w:rsid w:val="00BA08E8"/>
    <w:rsid w:val="00BA0A09"/>
    <w:rsid w:val="00BA0C02"/>
    <w:rsid w:val="00BA0C6C"/>
    <w:rsid w:val="00BA0CCF"/>
    <w:rsid w:val="00BA0E74"/>
    <w:rsid w:val="00BA0F21"/>
    <w:rsid w:val="00BA0FD2"/>
    <w:rsid w:val="00BA1042"/>
    <w:rsid w:val="00BA10D4"/>
    <w:rsid w:val="00BA11C7"/>
    <w:rsid w:val="00BA129A"/>
    <w:rsid w:val="00BA129E"/>
    <w:rsid w:val="00BA1379"/>
    <w:rsid w:val="00BA1387"/>
    <w:rsid w:val="00BA1418"/>
    <w:rsid w:val="00BA14B1"/>
    <w:rsid w:val="00BA1567"/>
    <w:rsid w:val="00BA1588"/>
    <w:rsid w:val="00BA163D"/>
    <w:rsid w:val="00BA16AB"/>
    <w:rsid w:val="00BA1729"/>
    <w:rsid w:val="00BA1907"/>
    <w:rsid w:val="00BA1A40"/>
    <w:rsid w:val="00BA1A4A"/>
    <w:rsid w:val="00BA1B4C"/>
    <w:rsid w:val="00BA1C54"/>
    <w:rsid w:val="00BA1CD6"/>
    <w:rsid w:val="00BA1FA1"/>
    <w:rsid w:val="00BA21B9"/>
    <w:rsid w:val="00BA2418"/>
    <w:rsid w:val="00BA247F"/>
    <w:rsid w:val="00BA2497"/>
    <w:rsid w:val="00BA2516"/>
    <w:rsid w:val="00BA2713"/>
    <w:rsid w:val="00BA27EA"/>
    <w:rsid w:val="00BA2B8A"/>
    <w:rsid w:val="00BA2BEA"/>
    <w:rsid w:val="00BA2C8F"/>
    <w:rsid w:val="00BA2D56"/>
    <w:rsid w:val="00BA2D76"/>
    <w:rsid w:val="00BA2E3E"/>
    <w:rsid w:val="00BA2F13"/>
    <w:rsid w:val="00BA2F78"/>
    <w:rsid w:val="00BA2F90"/>
    <w:rsid w:val="00BA30B4"/>
    <w:rsid w:val="00BA3176"/>
    <w:rsid w:val="00BA3241"/>
    <w:rsid w:val="00BA325B"/>
    <w:rsid w:val="00BA337C"/>
    <w:rsid w:val="00BA343A"/>
    <w:rsid w:val="00BA34AC"/>
    <w:rsid w:val="00BA3612"/>
    <w:rsid w:val="00BA3760"/>
    <w:rsid w:val="00BA384B"/>
    <w:rsid w:val="00BA39A0"/>
    <w:rsid w:val="00BA3A5D"/>
    <w:rsid w:val="00BA3A7A"/>
    <w:rsid w:val="00BA3C34"/>
    <w:rsid w:val="00BA3DFC"/>
    <w:rsid w:val="00BA3FF5"/>
    <w:rsid w:val="00BA4135"/>
    <w:rsid w:val="00BA41BE"/>
    <w:rsid w:val="00BA4303"/>
    <w:rsid w:val="00BA43F0"/>
    <w:rsid w:val="00BA446E"/>
    <w:rsid w:val="00BA45EB"/>
    <w:rsid w:val="00BA4709"/>
    <w:rsid w:val="00BA47A2"/>
    <w:rsid w:val="00BA4863"/>
    <w:rsid w:val="00BA4B76"/>
    <w:rsid w:val="00BA4BE5"/>
    <w:rsid w:val="00BA4C5D"/>
    <w:rsid w:val="00BA4CAE"/>
    <w:rsid w:val="00BA4F07"/>
    <w:rsid w:val="00BA4F2A"/>
    <w:rsid w:val="00BA50E2"/>
    <w:rsid w:val="00BA5144"/>
    <w:rsid w:val="00BA5252"/>
    <w:rsid w:val="00BA52DF"/>
    <w:rsid w:val="00BA5332"/>
    <w:rsid w:val="00BA53E5"/>
    <w:rsid w:val="00BA5422"/>
    <w:rsid w:val="00BA55D8"/>
    <w:rsid w:val="00BA57AC"/>
    <w:rsid w:val="00BA5829"/>
    <w:rsid w:val="00BA583C"/>
    <w:rsid w:val="00BA5945"/>
    <w:rsid w:val="00BA5A31"/>
    <w:rsid w:val="00BA5B1C"/>
    <w:rsid w:val="00BA5C0C"/>
    <w:rsid w:val="00BA5CA1"/>
    <w:rsid w:val="00BA5D84"/>
    <w:rsid w:val="00BA60F7"/>
    <w:rsid w:val="00BA61E4"/>
    <w:rsid w:val="00BA62EC"/>
    <w:rsid w:val="00BA646D"/>
    <w:rsid w:val="00BA685C"/>
    <w:rsid w:val="00BA6892"/>
    <w:rsid w:val="00BA6B32"/>
    <w:rsid w:val="00BA6B35"/>
    <w:rsid w:val="00BA6B3A"/>
    <w:rsid w:val="00BA6B99"/>
    <w:rsid w:val="00BA6BBA"/>
    <w:rsid w:val="00BA6C1D"/>
    <w:rsid w:val="00BA6E01"/>
    <w:rsid w:val="00BA6E7B"/>
    <w:rsid w:val="00BA6FC9"/>
    <w:rsid w:val="00BA700F"/>
    <w:rsid w:val="00BA703E"/>
    <w:rsid w:val="00BA71E5"/>
    <w:rsid w:val="00BA7419"/>
    <w:rsid w:val="00BA7457"/>
    <w:rsid w:val="00BA7557"/>
    <w:rsid w:val="00BA77BC"/>
    <w:rsid w:val="00BA78D8"/>
    <w:rsid w:val="00BA7C49"/>
    <w:rsid w:val="00BA7D13"/>
    <w:rsid w:val="00BA7EA7"/>
    <w:rsid w:val="00BA7F1C"/>
    <w:rsid w:val="00BA7F7D"/>
    <w:rsid w:val="00BA7FD0"/>
    <w:rsid w:val="00BB0060"/>
    <w:rsid w:val="00BB0351"/>
    <w:rsid w:val="00BB03C1"/>
    <w:rsid w:val="00BB05A2"/>
    <w:rsid w:val="00BB0646"/>
    <w:rsid w:val="00BB0779"/>
    <w:rsid w:val="00BB0B56"/>
    <w:rsid w:val="00BB0D29"/>
    <w:rsid w:val="00BB0D85"/>
    <w:rsid w:val="00BB0DE6"/>
    <w:rsid w:val="00BB104D"/>
    <w:rsid w:val="00BB10C0"/>
    <w:rsid w:val="00BB133F"/>
    <w:rsid w:val="00BB13A5"/>
    <w:rsid w:val="00BB13EF"/>
    <w:rsid w:val="00BB1524"/>
    <w:rsid w:val="00BB152A"/>
    <w:rsid w:val="00BB15D6"/>
    <w:rsid w:val="00BB1687"/>
    <w:rsid w:val="00BB1794"/>
    <w:rsid w:val="00BB189C"/>
    <w:rsid w:val="00BB195D"/>
    <w:rsid w:val="00BB19AD"/>
    <w:rsid w:val="00BB1A4A"/>
    <w:rsid w:val="00BB1B6F"/>
    <w:rsid w:val="00BB1B99"/>
    <w:rsid w:val="00BB1BE8"/>
    <w:rsid w:val="00BB1D34"/>
    <w:rsid w:val="00BB1DFC"/>
    <w:rsid w:val="00BB1F8F"/>
    <w:rsid w:val="00BB1FC0"/>
    <w:rsid w:val="00BB2046"/>
    <w:rsid w:val="00BB24BD"/>
    <w:rsid w:val="00BB2523"/>
    <w:rsid w:val="00BB27E7"/>
    <w:rsid w:val="00BB2847"/>
    <w:rsid w:val="00BB2878"/>
    <w:rsid w:val="00BB28C4"/>
    <w:rsid w:val="00BB28CA"/>
    <w:rsid w:val="00BB2999"/>
    <w:rsid w:val="00BB2C4B"/>
    <w:rsid w:val="00BB2CD1"/>
    <w:rsid w:val="00BB2D07"/>
    <w:rsid w:val="00BB2D8C"/>
    <w:rsid w:val="00BB2E08"/>
    <w:rsid w:val="00BB2EC7"/>
    <w:rsid w:val="00BB3031"/>
    <w:rsid w:val="00BB3168"/>
    <w:rsid w:val="00BB3194"/>
    <w:rsid w:val="00BB31AD"/>
    <w:rsid w:val="00BB3375"/>
    <w:rsid w:val="00BB3599"/>
    <w:rsid w:val="00BB3682"/>
    <w:rsid w:val="00BB3737"/>
    <w:rsid w:val="00BB3765"/>
    <w:rsid w:val="00BB37FE"/>
    <w:rsid w:val="00BB38DB"/>
    <w:rsid w:val="00BB38E7"/>
    <w:rsid w:val="00BB3DD6"/>
    <w:rsid w:val="00BB3EF3"/>
    <w:rsid w:val="00BB3F6D"/>
    <w:rsid w:val="00BB3FB9"/>
    <w:rsid w:val="00BB40E2"/>
    <w:rsid w:val="00BB423C"/>
    <w:rsid w:val="00BB42F1"/>
    <w:rsid w:val="00BB42FD"/>
    <w:rsid w:val="00BB4377"/>
    <w:rsid w:val="00BB47CA"/>
    <w:rsid w:val="00BB4836"/>
    <w:rsid w:val="00BB488E"/>
    <w:rsid w:val="00BB48A1"/>
    <w:rsid w:val="00BB496D"/>
    <w:rsid w:val="00BB4998"/>
    <w:rsid w:val="00BB4B63"/>
    <w:rsid w:val="00BB4D16"/>
    <w:rsid w:val="00BB4D5E"/>
    <w:rsid w:val="00BB4D66"/>
    <w:rsid w:val="00BB4D89"/>
    <w:rsid w:val="00BB4DDF"/>
    <w:rsid w:val="00BB4F1F"/>
    <w:rsid w:val="00BB4FA5"/>
    <w:rsid w:val="00BB5154"/>
    <w:rsid w:val="00BB52A6"/>
    <w:rsid w:val="00BB532C"/>
    <w:rsid w:val="00BB549C"/>
    <w:rsid w:val="00BB54CB"/>
    <w:rsid w:val="00BB567B"/>
    <w:rsid w:val="00BB580C"/>
    <w:rsid w:val="00BB5839"/>
    <w:rsid w:val="00BB58F1"/>
    <w:rsid w:val="00BB5A33"/>
    <w:rsid w:val="00BB5A5D"/>
    <w:rsid w:val="00BB5ADE"/>
    <w:rsid w:val="00BB5B16"/>
    <w:rsid w:val="00BB5C01"/>
    <w:rsid w:val="00BB5DB5"/>
    <w:rsid w:val="00BB5F42"/>
    <w:rsid w:val="00BB5F49"/>
    <w:rsid w:val="00BB61E3"/>
    <w:rsid w:val="00BB637F"/>
    <w:rsid w:val="00BB6476"/>
    <w:rsid w:val="00BB6555"/>
    <w:rsid w:val="00BB66EA"/>
    <w:rsid w:val="00BB67D1"/>
    <w:rsid w:val="00BB6897"/>
    <w:rsid w:val="00BB6954"/>
    <w:rsid w:val="00BB6A37"/>
    <w:rsid w:val="00BB6A46"/>
    <w:rsid w:val="00BB6B9A"/>
    <w:rsid w:val="00BB6C27"/>
    <w:rsid w:val="00BB6F0B"/>
    <w:rsid w:val="00BB6F73"/>
    <w:rsid w:val="00BB7081"/>
    <w:rsid w:val="00BB71BF"/>
    <w:rsid w:val="00BB7246"/>
    <w:rsid w:val="00BB72E6"/>
    <w:rsid w:val="00BB732A"/>
    <w:rsid w:val="00BB73BA"/>
    <w:rsid w:val="00BB76B4"/>
    <w:rsid w:val="00BB76D9"/>
    <w:rsid w:val="00BB7775"/>
    <w:rsid w:val="00BB7839"/>
    <w:rsid w:val="00BB7B12"/>
    <w:rsid w:val="00BB7C3F"/>
    <w:rsid w:val="00BB7C78"/>
    <w:rsid w:val="00BB7CB1"/>
    <w:rsid w:val="00BB7E17"/>
    <w:rsid w:val="00BB7E3D"/>
    <w:rsid w:val="00BB7E74"/>
    <w:rsid w:val="00BB7E7C"/>
    <w:rsid w:val="00BB7EC4"/>
    <w:rsid w:val="00BC0280"/>
    <w:rsid w:val="00BC04C4"/>
    <w:rsid w:val="00BC05F3"/>
    <w:rsid w:val="00BC0643"/>
    <w:rsid w:val="00BC06B0"/>
    <w:rsid w:val="00BC0B30"/>
    <w:rsid w:val="00BC0C25"/>
    <w:rsid w:val="00BC0D7E"/>
    <w:rsid w:val="00BC0DE1"/>
    <w:rsid w:val="00BC11AE"/>
    <w:rsid w:val="00BC139B"/>
    <w:rsid w:val="00BC13CF"/>
    <w:rsid w:val="00BC141E"/>
    <w:rsid w:val="00BC1705"/>
    <w:rsid w:val="00BC190B"/>
    <w:rsid w:val="00BC19A9"/>
    <w:rsid w:val="00BC1B1F"/>
    <w:rsid w:val="00BC1BDA"/>
    <w:rsid w:val="00BC1CB5"/>
    <w:rsid w:val="00BC1D31"/>
    <w:rsid w:val="00BC1D62"/>
    <w:rsid w:val="00BC1DC7"/>
    <w:rsid w:val="00BC1ECB"/>
    <w:rsid w:val="00BC2021"/>
    <w:rsid w:val="00BC203D"/>
    <w:rsid w:val="00BC2089"/>
    <w:rsid w:val="00BC21F6"/>
    <w:rsid w:val="00BC239D"/>
    <w:rsid w:val="00BC23AB"/>
    <w:rsid w:val="00BC255A"/>
    <w:rsid w:val="00BC25B6"/>
    <w:rsid w:val="00BC2670"/>
    <w:rsid w:val="00BC27E2"/>
    <w:rsid w:val="00BC2838"/>
    <w:rsid w:val="00BC2AF8"/>
    <w:rsid w:val="00BC2B38"/>
    <w:rsid w:val="00BC2CC9"/>
    <w:rsid w:val="00BC2EC5"/>
    <w:rsid w:val="00BC2FA1"/>
    <w:rsid w:val="00BC3030"/>
    <w:rsid w:val="00BC3236"/>
    <w:rsid w:val="00BC3460"/>
    <w:rsid w:val="00BC34EA"/>
    <w:rsid w:val="00BC3507"/>
    <w:rsid w:val="00BC356E"/>
    <w:rsid w:val="00BC3599"/>
    <w:rsid w:val="00BC359C"/>
    <w:rsid w:val="00BC3763"/>
    <w:rsid w:val="00BC37B6"/>
    <w:rsid w:val="00BC38AB"/>
    <w:rsid w:val="00BC3911"/>
    <w:rsid w:val="00BC3F84"/>
    <w:rsid w:val="00BC4006"/>
    <w:rsid w:val="00BC4140"/>
    <w:rsid w:val="00BC4512"/>
    <w:rsid w:val="00BC465B"/>
    <w:rsid w:val="00BC4706"/>
    <w:rsid w:val="00BC47BF"/>
    <w:rsid w:val="00BC48ED"/>
    <w:rsid w:val="00BC496D"/>
    <w:rsid w:val="00BC49BE"/>
    <w:rsid w:val="00BC49D3"/>
    <w:rsid w:val="00BC4A83"/>
    <w:rsid w:val="00BC4A9B"/>
    <w:rsid w:val="00BC4AC0"/>
    <w:rsid w:val="00BC4D1F"/>
    <w:rsid w:val="00BC4D5B"/>
    <w:rsid w:val="00BC4EA6"/>
    <w:rsid w:val="00BC4F14"/>
    <w:rsid w:val="00BC50A8"/>
    <w:rsid w:val="00BC50C5"/>
    <w:rsid w:val="00BC50DA"/>
    <w:rsid w:val="00BC512F"/>
    <w:rsid w:val="00BC525B"/>
    <w:rsid w:val="00BC537B"/>
    <w:rsid w:val="00BC5559"/>
    <w:rsid w:val="00BC557E"/>
    <w:rsid w:val="00BC567A"/>
    <w:rsid w:val="00BC5685"/>
    <w:rsid w:val="00BC57BF"/>
    <w:rsid w:val="00BC5ABD"/>
    <w:rsid w:val="00BC5DDA"/>
    <w:rsid w:val="00BC5DE3"/>
    <w:rsid w:val="00BC5E50"/>
    <w:rsid w:val="00BC5E5E"/>
    <w:rsid w:val="00BC5E75"/>
    <w:rsid w:val="00BC60E5"/>
    <w:rsid w:val="00BC6194"/>
    <w:rsid w:val="00BC6337"/>
    <w:rsid w:val="00BC676F"/>
    <w:rsid w:val="00BC679E"/>
    <w:rsid w:val="00BC68C4"/>
    <w:rsid w:val="00BC691F"/>
    <w:rsid w:val="00BC6ACD"/>
    <w:rsid w:val="00BC6C66"/>
    <w:rsid w:val="00BC6CD5"/>
    <w:rsid w:val="00BC6F1B"/>
    <w:rsid w:val="00BC6F70"/>
    <w:rsid w:val="00BC71CE"/>
    <w:rsid w:val="00BC7362"/>
    <w:rsid w:val="00BC73BF"/>
    <w:rsid w:val="00BC7400"/>
    <w:rsid w:val="00BC742E"/>
    <w:rsid w:val="00BC7527"/>
    <w:rsid w:val="00BC7761"/>
    <w:rsid w:val="00BC77F9"/>
    <w:rsid w:val="00BC79A9"/>
    <w:rsid w:val="00BC7A26"/>
    <w:rsid w:val="00BC7ACF"/>
    <w:rsid w:val="00BC7B31"/>
    <w:rsid w:val="00BC7C31"/>
    <w:rsid w:val="00BC7DB3"/>
    <w:rsid w:val="00BC7F53"/>
    <w:rsid w:val="00BC7FAA"/>
    <w:rsid w:val="00BD001B"/>
    <w:rsid w:val="00BD004F"/>
    <w:rsid w:val="00BD016D"/>
    <w:rsid w:val="00BD01E3"/>
    <w:rsid w:val="00BD03EB"/>
    <w:rsid w:val="00BD0529"/>
    <w:rsid w:val="00BD0595"/>
    <w:rsid w:val="00BD05E2"/>
    <w:rsid w:val="00BD0627"/>
    <w:rsid w:val="00BD0680"/>
    <w:rsid w:val="00BD07EA"/>
    <w:rsid w:val="00BD0B13"/>
    <w:rsid w:val="00BD0B39"/>
    <w:rsid w:val="00BD0BED"/>
    <w:rsid w:val="00BD0CFC"/>
    <w:rsid w:val="00BD0E74"/>
    <w:rsid w:val="00BD107A"/>
    <w:rsid w:val="00BD1086"/>
    <w:rsid w:val="00BD1088"/>
    <w:rsid w:val="00BD10BC"/>
    <w:rsid w:val="00BD1102"/>
    <w:rsid w:val="00BD1279"/>
    <w:rsid w:val="00BD12DC"/>
    <w:rsid w:val="00BD1700"/>
    <w:rsid w:val="00BD1707"/>
    <w:rsid w:val="00BD18A5"/>
    <w:rsid w:val="00BD18E5"/>
    <w:rsid w:val="00BD1A29"/>
    <w:rsid w:val="00BD1CFA"/>
    <w:rsid w:val="00BD1D2F"/>
    <w:rsid w:val="00BD1E1D"/>
    <w:rsid w:val="00BD1F58"/>
    <w:rsid w:val="00BD1FC3"/>
    <w:rsid w:val="00BD1FEE"/>
    <w:rsid w:val="00BD2254"/>
    <w:rsid w:val="00BD231B"/>
    <w:rsid w:val="00BD2443"/>
    <w:rsid w:val="00BD2532"/>
    <w:rsid w:val="00BD25DF"/>
    <w:rsid w:val="00BD272D"/>
    <w:rsid w:val="00BD27BE"/>
    <w:rsid w:val="00BD27F6"/>
    <w:rsid w:val="00BD29F6"/>
    <w:rsid w:val="00BD2B5A"/>
    <w:rsid w:val="00BD2B85"/>
    <w:rsid w:val="00BD2BA6"/>
    <w:rsid w:val="00BD2C0B"/>
    <w:rsid w:val="00BD2D12"/>
    <w:rsid w:val="00BD2D39"/>
    <w:rsid w:val="00BD2DBE"/>
    <w:rsid w:val="00BD2E30"/>
    <w:rsid w:val="00BD2F35"/>
    <w:rsid w:val="00BD2F61"/>
    <w:rsid w:val="00BD2FB7"/>
    <w:rsid w:val="00BD3428"/>
    <w:rsid w:val="00BD3571"/>
    <w:rsid w:val="00BD358E"/>
    <w:rsid w:val="00BD36EF"/>
    <w:rsid w:val="00BD3715"/>
    <w:rsid w:val="00BD384B"/>
    <w:rsid w:val="00BD3886"/>
    <w:rsid w:val="00BD3908"/>
    <w:rsid w:val="00BD3923"/>
    <w:rsid w:val="00BD3AF6"/>
    <w:rsid w:val="00BD3BAA"/>
    <w:rsid w:val="00BD3BB6"/>
    <w:rsid w:val="00BD3BD6"/>
    <w:rsid w:val="00BD3CCD"/>
    <w:rsid w:val="00BD3D49"/>
    <w:rsid w:val="00BD3D8B"/>
    <w:rsid w:val="00BD3DBC"/>
    <w:rsid w:val="00BD3FCA"/>
    <w:rsid w:val="00BD41D3"/>
    <w:rsid w:val="00BD4216"/>
    <w:rsid w:val="00BD42F5"/>
    <w:rsid w:val="00BD43F2"/>
    <w:rsid w:val="00BD445C"/>
    <w:rsid w:val="00BD45D7"/>
    <w:rsid w:val="00BD492C"/>
    <w:rsid w:val="00BD4D1A"/>
    <w:rsid w:val="00BD4DA4"/>
    <w:rsid w:val="00BD4ED9"/>
    <w:rsid w:val="00BD505E"/>
    <w:rsid w:val="00BD5196"/>
    <w:rsid w:val="00BD52CC"/>
    <w:rsid w:val="00BD535C"/>
    <w:rsid w:val="00BD543D"/>
    <w:rsid w:val="00BD544F"/>
    <w:rsid w:val="00BD5480"/>
    <w:rsid w:val="00BD54BE"/>
    <w:rsid w:val="00BD558C"/>
    <w:rsid w:val="00BD559D"/>
    <w:rsid w:val="00BD55DC"/>
    <w:rsid w:val="00BD57C4"/>
    <w:rsid w:val="00BD57D2"/>
    <w:rsid w:val="00BD58BC"/>
    <w:rsid w:val="00BD59B8"/>
    <w:rsid w:val="00BD59C6"/>
    <w:rsid w:val="00BD5B43"/>
    <w:rsid w:val="00BD5D75"/>
    <w:rsid w:val="00BD604D"/>
    <w:rsid w:val="00BD62FC"/>
    <w:rsid w:val="00BD630B"/>
    <w:rsid w:val="00BD6421"/>
    <w:rsid w:val="00BD655C"/>
    <w:rsid w:val="00BD66B2"/>
    <w:rsid w:val="00BD6844"/>
    <w:rsid w:val="00BD6866"/>
    <w:rsid w:val="00BD695B"/>
    <w:rsid w:val="00BD6965"/>
    <w:rsid w:val="00BD699C"/>
    <w:rsid w:val="00BD6A07"/>
    <w:rsid w:val="00BD6B0F"/>
    <w:rsid w:val="00BD6B3C"/>
    <w:rsid w:val="00BD6B7F"/>
    <w:rsid w:val="00BD6C48"/>
    <w:rsid w:val="00BD6CF3"/>
    <w:rsid w:val="00BD6D73"/>
    <w:rsid w:val="00BD6EDE"/>
    <w:rsid w:val="00BD6F83"/>
    <w:rsid w:val="00BD6FB8"/>
    <w:rsid w:val="00BD703D"/>
    <w:rsid w:val="00BD71CA"/>
    <w:rsid w:val="00BD71D3"/>
    <w:rsid w:val="00BD71FB"/>
    <w:rsid w:val="00BD7294"/>
    <w:rsid w:val="00BD733F"/>
    <w:rsid w:val="00BD754F"/>
    <w:rsid w:val="00BD75E0"/>
    <w:rsid w:val="00BD7683"/>
    <w:rsid w:val="00BD76F2"/>
    <w:rsid w:val="00BD787E"/>
    <w:rsid w:val="00BD7BD4"/>
    <w:rsid w:val="00BD7F07"/>
    <w:rsid w:val="00BD7F91"/>
    <w:rsid w:val="00BE006F"/>
    <w:rsid w:val="00BE0074"/>
    <w:rsid w:val="00BE0128"/>
    <w:rsid w:val="00BE015C"/>
    <w:rsid w:val="00BE01B5"/>
    <w:rsid w:val="00BE025F"/>
    <w:rsid w:val="00BE02C3"/>
    <w:rsid w:val="00BE0327"/>
    <w:rsid w:val="00BE03FB"/>
    <w:rsid w:val="00BE0417"/>
    <w:rsid w:val="00BE04FA"/>
    <w:rsid w:val="00BE0553"/>
    <w:rsid w:val="00BE06B4"/>
    <w:rsid w:val="00BE0807"/>
    <w:rsid w:val="00BE0869"/>
    <w:rsid w:val="00BE09F3"/>
    <w:rsid w:val="00BE0A08"/>
    <w:rsid w:val="00BE0BAA"/>
    <w:rsid w:val="00BE0C00"/>
    <w:rsid w:val="00BE0C25"/>
    <w:rsid w:val="00BE0DFA"/>
    <w:rsid w:val="00BE0E94"/>
    <w:rsid w:val="00BE0EF2"/>
    <w:rsid w:val="00BE11A4"/>
    <w:rsid w:val="00BE11FB"/>
    <w:rsid w:val="00BE120D"/>
    <w:rsid w:val="00BE1318"/>
    <w:rsid w:val="00BE14DE"/>
    <w:rsid w:val="00BE1522"/>
    <w:rsid w:val="00BE15CF"/>
    <w:rsid w:val="00BE1690"/>
    <w:rsid w:val="00BE1702"/>
    <w:rsid w:val="00BE17B5"/>
    <w:rsid w:val="00BE1813"/>
    <w:rsid w:val="00BE18AA"/>
    <w:rsid w:val="00BE18D6"/>
    <w:rsid w:val="00BE18EA"/>
    <w:rsid w:val="00BE1920"/>
    <w:rsid w:val="00BE19FF"/>
    <w:rsid w:val="00BE1A47"/>
    <w:rsid w:val="00BE1B60"/>
    <w:rsid w:val="00BE1C01"/>
    <w:rsid w:val="00BE1DAA"/>
    <w:rsid w:val="00BE1EB8"/>
    <w:rsid w:val="00BE2010"/>
    <w:rsid w:val="00BE2056"/>
    <w:rsid w:val="00BE206E"/>
    <w:rsid w:val="00BE20EC"/>
    <w:rsid w:val="00BE20F6"/>
    <w:rsid w:val="00BE212C"/>
    <w:rsid w:val="00BE214E"/>
    <w:rsid w:val="00BE2168"/>
    <w:rsid w:val="00BE23DB"/>
    <w:rsid w:val="00BE24A7"/>
    <w:rsid w:val="00BE260F"/>
    <w:rsid w:val="00BE267D"/>
    <w:rsid w:val="00BE26F8"/>
    <w:rsid w:val="00BE274F"/>
    <w:rsid w:val="00BE279E"/>
    <w:rsid w:val="00BE2973"/>
    <w:rsid w:val="00BE29CF"/>
    <w:rsid w:val="00BE29E0"/>
    <w:rsid w:val="00BE2A8C"/>
    <w:rsid w:val="00BE2B25"/>
    <w:rsid w:val="00BE2CBD"/>
    <w:rsid w:val="00BE2D04"/>
    <w:rsid w:val="00BE2D55"/>
    <w:rsid w:val="00BE2D77"/>
    <w:rsid w:val="00BE2D87"/>
    <w:rsid w:val="00BE2DC4"/>
    <w:rsid w:val="00BE2E4D"/>
    <w:rsid w:val="00BE2FC5"/>
    <w:rsid w:val="00BE3211"/>
    <w:rsid w:val="00BE332E"/>
    <w:rsid w:val="00BE33E7"/>
    <w:rsid w:val="00BE3595"/>
    <w:rsid w:val="00BE38ED"/>
    <w:rsid w:val="00BE392A"/>
    <w:rsid w:val="00BE392C"/>
    <w:rsid w:val="00BE3A1A"/>
    <w:rsid w:val="00BE3A2A"/>
    <w:rsid w:val="00BE3BE3"/>
    <w:rsid w:val="00BE3C61"/>
    <w:rsid w:val="00BE3C74"/>
    <w:rsid w:val="00BE3D98"/>
    <w:rsid w:val="00BE4212"/>
    <w:rsid w:val="00BE4250"/>
    <w:rsid w:val="00BE4267"/>
    <w:rsid w:val="00BE42F1"/>
    <w:rsid w:val="00BE42F6"/>
    <w:rsid w:val="00BE4378"/>
    <w:rsid w:val="00BE4433"/>
    <w:rsid w:val="00BE467D"/>
    <w:rsid w:val="00BE4961"/>
    <w:rsid w:val="00BE4C07"/>
    <w:rsid w:val="00BE4D7D"/>
    <w:rsid w:val="00BE4DEC"/>
    <w:rsid w:val="00BE4E37"/>
    <w:rsid w:val="00BE4EBA"/>
    <w:rsid w:val="00BE4EFF"/>
    <w:rsid w:val="00BE4F6B"/>
    <w:rsid w:val="00BE5068"/>
    <w:rsid w:val="00BE50B2"/>
    <w:rsid w:val="00BE51F3"/>
    <w:rsid w:val="00BE52F0"/>
    <w:rsid w:val="00BE5421"/>
    <w:rsid w:val="00BE550A"/>
    <w:rsid w:val="00BE5545"/>
    <w:rsid w:val="00BE55D8"/>
    <w:rsid w:val="00BE5700"/>
    <w:rsid w:val="00BE576F"/>
    <w:rsid w:val="00BE5849"/>
    <w:rsid w:val="00BE5870"/>
    <w:rsid w:val="00BE5988"/>
    <w:rsid w:val="00BE599C"/>
    <w:rsid w:val="00BE5B52"/>
    <w:rsid w:val="00BE5BCC"/>
    <w:rsid w:val="00BE5D14"/>
    <w:rsid w:val="00BE5E94"/>
    <w:rsid w:val="00BE5EC9"/>
    <w:rsid w:val="00BE5F74"/>
    <w:rsid w:val="00BE6037"/>
    <w:rsid w:val="00BE64F2"/>
    <w:rsid w:val="00BE65AF"/>
    <w:rsid w:val="00BE6681"/>
    <w:rsid w:val="00BE6739"/>
    <w:rsid w:val="00BE6759"/>
    <w:rsid w:val="00BE6804"/>
    <w:rsid w:val="00BE6874"/>
    <w:rsid w:val="00BE6A56"/>
    <w:rsid w:val="00BE6A6A"/>
    <w:rsid w:val="00BE6D00"/>
    <w:rsid w:val="00BE6D90"/>
    <w:rsid w:val="00BE6DEA"/>
    <w:rsid w:val="00BE7000"/>
    <w:rsid w:val="00BE7058"/>
    <w:rsid w:val="00BE7150"/>
    <w:rsid w:val="00BE717B"/>
    <w:rsid w:val="00BE722B"/>
    <w:rsid w:val="00BE724E"/>
    <w:rsid w:val="00BE72D6"/>
    <w:rsid w:val="00BE736E"/>
    <w:rsid w:val="00BE73B6"/>
    <w:rsid w:val="00BE7412"/>
    <w:rsid w:val="00BE77C7"/>
    <w:rsid w:val="00BE78C1"/>
    <w:rsid w:val="00BE79B1"/>
    <w:rsid w:val="00BE7D79"/>
    <w:rsid w:val="00BE7DB9"/>
    <w:rsid w:val="00BF0171"/>
    <w:rsid w:val="00BF0343"/>
    <w:rsid w:val="00BF03AD"/>
    <w:rsid w:val="00BF03F6"/>
    <w:rsid w:val="00BF0413"/>
    <w:rsid w:val="00BF04BB"/>
    <w:rsid w:val="00BF0518"/>
    <w:rsid w:val="00BF0594"/>
    <w:rsid w:val="00BF0631"/>
    <w:rsid w:val="00BF068A"/>
    <w:rsid w:val="00BF0928"/>
    <w:rsid w:val="00BF0992"/>
    <w:rsid w:val="00BF0A80"/>
    <w:rsid w:val="00BF0B0E"/>
    <w:rsid w:val="00BF0C9D"/>
    <w:rsid w:val="00BF0D04"/>
    <w:rsid w:val="00BF0DA2"/>
    <w:rsid w:val="00BF0DB0"/>
    <w:rsid w:val="00BF0FC0"/>
    <w:rsid w:val="00BF114C"/>
    <w:rsid w:val="00BF124A"/>
    <w:rsid w:val="00BF12BD"/>
    <w:rsid w:val="00BF1499"/>
    <w:rsid w:val="00BF14FB"/>
    <w:rsid w:val="00BF1620"/>
    <w:rsid w:val="00BF1639"/>
    <w:rsid w:val="00BF1716"/>
    <w:rsid w:val="00BF1A16"/>
    <w:rsid w:val="00BF1A94"/>
    <w:rsid w:val="00BF1B53"/>
    <w:rsid w:val="00BF1B95"/>
    <w:rsid w:val="00BF1BB4"/>
    <w:rsid w:val="00BF1BDD"/>
    <w:rsid w:val="00BF1CB2"/>
    <w:rsid w:val="00BF21F0"/>
    <w:rsid w:val="00BF235C"/>
    <w:rsid w:val="00BF236F"/>
    <w:rsid w:val="00BF2675"/>
    <w:rsid w:val="00BF2719"/>
    <w:rsid w:val="00BF2750"/>
    <w:rsid w:val="00BF27CC"/>
    <w:rsid w:val="00BF2817"/>
    <w:rsid w:val="00BF2844"/>
    <w:rsid w:val="00BF2997"/>
    <w:rsid w:val="00BF29C8"/>
    <w:rsid w:val="00BF29D2"/>
    <w:rsid w:val="00BF2A5E"/>
    <w:rsid w:val="00BF2AC6"/>
    <w:rsid w:val="00BF2AF1"/>
    <w:rsid w:val="00BF2C36"/>
    <w:rsid w:val="00BF2CD7"/>
    <w:rsid w:val="00BF2D00"/>
    <w:rsid w:val="00BF2D59"/>
    <w:rsid w:val="00BF2E55"/>
    <w:rsid w:val="00BF32C6"/>
    <w:rsid w:val="00BF33B0"/>
    <w:rsid w:val="00BF3432"/>
    <w:rsid w:val="00BF3647"/>
    <w:rsid w:val="00BF366F"/>
    <w:rsid w:val="00BF371C"/>
    <w:rsid w:val="00BF386A"/>
    <w:rsid w:val="00BF38D7"/>
    <w:rsid w:val="00BF3A55"/>
    <w:rsid w:val="00BF3B3F"/>
    <w:rsid w:val="00BF3D16"/>
    <w:rsid w:val="00BF3DC7"/>
    <w:rsid w:val="00BF3E49"/>
    <w:rsid w:val="00BF3F46"/>
    <w:rsid w:val="00BF40D8"/>
    <w:rsid w:val="00BF4154"/>
    <w:rsid w:val="00BF441E"/>
    <w:rsid w:val="00BF4521"/>
    <w:rsid w:val="00BF4718"/>
    <w:rsid w:val="00BF481D"/>
    <w:rsid w:val="00BF484B"/>
    <w:rsid w:val="00BF484C"/>
    <w:rsid w:val="00BF4A8F"/>
    <w:rsid w:val="00BF4ADD"/>
    <w:rsid w:val="00BF4AF3"/>
    <w:rsid w:val="00BF4CD8"/>
    <w:rsid w:val="00BF4CFB"/>
    <w:rsid w:val="00BF4D47"/>
    <w:rsid w:val="00BF4E6B"/>
    <w:rsid w:val="00BF4ED6"/>
    <w:rsid w:val="00BF4F53"/>
    <w:rsid w:val="00BF4FC4"/>
    <w:rsid w:val="00BF5006"/>
    <w:rsid w:val="00BF5123"/>
    <w:rsid w:val="00BF514E"/>
    <w:rsid w:val="00BF5264"/>
    <w:rsid w:val="00BF526B"/>
    <w:rsid w:val="00BF5315"/>
    <w:rsid w:val="00BF53BD"/>
    <w:rsid w:val="00BF53F7"/>
    <w:rsid w:val="00BF55FA"/>
    <w:rsid w:val="00BF5955"/>
    <w:rsid w:val="00BF5A76"/>
    <w:rsid w:val="00BF5B85"/>
    <w:rsid w:val="00BF5CDE"/>
    <w:rsid w:val="00BF5CE7"/>
    <w:rsid w:val="00BF5DDE"/>
    <w:rsid w:val="00BF60E5"/>
    <w:rsid w:val="00BF60F4"/>
    <w:rsid w:val="00BF60FC"/>
    <w:rsid w:val="00BF6119"/>
    <w:rsid w:val="00BF63D1"/>
    <w:rsid w:val="00BF65C1"/>
    <w:rsid w:val="00BF65DB"/>
    <w:rsid w:val="00BF679D"/>
    <w:rsid w:val="00BF68B4"/>
    <w:rsid w:val="00BF6990"/>
    <w:rsid w:val="00BF6A04"/>
    <w:rsid w:val="00BF6A3C"/>
    <w:rsid w:val="00BF6C29"/>
    <w:rsid w:val="00BF6C91"/>
    <w:rsid w:val="00BF6D8A"/>
    <w:rsid w:val="00BF6D90"/>
    <w:rsid w:val="00BF6F9E"/>
    <w:rsid w:val="00BF7093"/>
    <w:rsid w:val="00BF71A8"/>
    <w:rsid w:val="00BF7308"/>
    <w:rsid w:val="00BF74E2"/>
    <w:rsid w:val="00BF7922"/>
    <w:rsid w:val="00BF7945"/>
    <w:rsid w:val="00BF7956"/>
    <w:rsid w:val="00BF799E"/>
    <w:rsid w:val="00BF7B26"/>
    <w:rsid w:val="00BF7BD9"/>
    <w:rsid w:val="00BF7DDB"/>
    <w:rsid w:val="00BF7E89"/>
    <w:rsid w:val="00BF7F70"/>
    <w:rsid w:val="00C000B9"/>
    <w:rsid w:val="00C001A8"/>
    <w:rsid w:val="00C002C7"/>
    <w:rsid w:val="00C00397"/>
    <w:rsid w:val="00C003E8"/>
    <w:rsid w:val="00C00564"/>
    <w:rsid w:val="00C006A1"/>
    <w:rsid w:val="00C007EC"/>
    <w:rsid w:val="00C00816"/>
    <w:rsid w:val="00C008D1"/>
    <w:rsid w:val="00C00BA2"/>
    <w:rsid w:val="00C00BC6"/>
    <w:rsid w:val="00C00DA5"/>
    <w:rsid w:val="00C00DCF"/>
    <w:rsid w:val="00C010A5"/>
    <w:rsid w:val="00C0112A"/>
    <w:rsid w:val="00C01226"/>
    <w:rsid w:val="00C014F2"/>
    <w:rsid w:val="00C0151B"/>
    <w:rsid w:val="00C016A4"/>
    <w:rsid w:val="00C017D5"/>
    <w:rsid w:val="00C01828"/>
    <w:rsid w:val="00C019CE"/>
    <w:rsid w:val="00C01A40"/>
    <w:rsid w:val="00C01B6A"/>
    <w:rsid w:val="00C01C70"/>
    <w:rsid w:val="00C01D1C"/>
    <w:rsid w:val="00C01DDA"/>
    <w:rsid w:val="00C01E02"/>
    <w:rsid w:val="00C01E52"/>
    <w:rsid w:val="00C01F17"/>
    <w:rsid w:val="00C01F47"/>
    <w:rsid w:val="00C01F60"/>
    <w:rsid w:val="00C01FB9"/>
    <w:rsid w:val="00C01FC2"/>
    <w:rsid w:val="00C01FD7"/>
    <w:rsid w:val="00C02153"/>
    <w:rsid w:val="00C02218"/>
    <w:rsid w:val="00C02345"/>
    <w:rsid w:val="00C023E3"/>
    <w:rsid w:val="00C023E4"/>
    <w:rsid w:val="00C027A0"/>
    <w:rsid w:val="00C027A8"/>
    <w:rsid w:val="00C028C0"/>
    <w:rsid w:val="00C02943"/>
    <w:rsid w:val="00C0294E"/>
    <w:rsid w:val="00C029B0"/>
    <w:rsid w:val="00C029DE"/>
    <w:rsid w:val="00C02A00"/>
    <w:rsid w:val="00C02BCC"/>
    <w:rsid w:val="00C02BE6"/>
    <w:rsid w:val="00C02CD0"/>
    <w:rsid w:val="00C02D00"/>
    <w:rsid w:val="00C02E1F"/>
    <w:rsid w:val="00C02E71"/>
    <w:rsid w:val="00C03296"/>
    <w:rsid w:val="00C0335A"/>
    <w:rsid w:val="00C0341B"/>
    <w:rsid w:val="00C0351B"/>
    <w:rsid w:val="00C035DC"/>
    <w:rsid w:val="00C03891"/>
    <w:rsid w:val="00C03981"/>
    <w:rsid w:val="00C03B09"/>
    <w:rsid w:val="00C03DF1"/>
    <w:rsid w:val="00C03E0E"/>
    <w:rsid w:val="00C03E23"/>
    <w:rsid w:val="00C040A1"/>
    <w:rsid w:val="00C042E5"/>
    <w:rsid w:val="00C04313"/>
    <w:rsid w:val="00C043B3"/>
    <w:rsid w:val="00C0453F"/>
    <w:rsid w:val="00C0458A"/>
    <w:rsid w:val="00C04596"/>
    <w:rsid w:val="00C045FD"/>
    <w:rsid w:val="00C04629"/>
    <w:rsid w:val="00C04682"/>
    <w:rsid w:val="00C046B7"/>
    <w:rsid w:val="00C046ED"/>
    <w:rsid w:val="00C0495C"/>
    <w:rsid w:val="00C04A0D"/>
    <w:rsid w:val="00C04A77"/>
    <w:rsid w:val="00C04B2E"/>
    <w:rsid w:val="00C04B50"/>
    <w:rsid w:val="00C04E9A"/>
    <w:rsid w:val="00C05266"/>
    <w:rsid w:val="00C0541D"/>
    <w:rsid w:val="00C055E5"/>
    <w:rsid w:val="00C0569E"/>
    <w:rsid w:val="00C05783"/>
    <w:rsid w:val="00C05785"/>
    <w:rsid w:val="00C057E9"/>
    <w:rsid w:val="00C05862"/>
    <w:rsid w:val="00C05871"/>
    <w:rsid w:val="00C05887"/>
    <w:rsid w:val="00C05A3C"/>
    <w:rsid w:val="00C05BDA"/>
    <w:rsid w:val="00C05C83"/>
    <w:rsid w:val="00C05C8F"/>
    <w:rsid w:val="00C05D5B"/>
    <w:rsid w:val="00C05D97"/>
    <w:rsid w:val="00C05E11"/>
    <w:rsid w:val="00C05FB7"/>
    <w:rsid w:val="00C0611F"/>
    <w:rsid w:val="00C06143"/>
    <w:rsid w:val="00C06186"/>
    <w:rsid w:val="00C062DC"/>
    <w:rsid w:val="00C06308"/>
    <w:rsid w:val="00C0630B"/>
    <w:rsid w:val="00C06354"/>
    <w:rsid w:val="00C0638C"/>
    <w:rsid w:val="00C063D9"/>
    <w:rsid w:val="00C06444"/>
    <w:rsid w:val="00C064CF"/>
    <w:rsid w:val="00C06777"/>
    <w:rsid w:val="00C0690E"/>
    <w:rsid w:val="00C06A7E"/>
    <w:rsid w:val="00C06BD4"/>
    <w:rsid w:val="00C06C2A"/>
    <w:rsid w:val="00C06D9F"/>
    <w:rsid w:val="00C06E78"/>
    <w:rsid w:val="00C06E84"/>
    <w:rsid w:val="00C06E9D"/>
    <w:rsid w:val="00C0708F"/>
    <w:rsid w:val="00C07157"/>
    <w:rsid w:val="00C07258"/>
    <w:rsid w:val="00C072EE"/>
    <w:rsid w:val="00C072EF"/>
    <w:rsid w:val="00C07426"/>
    <w:rsid w:val="00C07481"/>
    <w:rsid w:val="00C07650"/>
    <w:rsid w:val="00C0765D"/>
    <w:rsid w:val="00C0777B"/>
    <w:rsid w:val="00C078E3"/>
    <w:rsid w:val="00C0795D"/>
    <w:rsid w:val="00C07A41"/>
    <w:rsid w:val="00C07A54"/>
    <w:rsid w:val="00C07AD6"/>
    <w:rsid w:val="00C07B38"/>
    <w:rsid w:val="00C07BCC"/>
    <w:rsid w:val="00C07BDB"/>
    <w:rsid w:val="00C07C1D"/>
    <w:rsid w:val="00C07DDA"/>
    <w:rsid w:val="00C07E28"/>
    <w:rsid w:val="00C07E3C"/>
    <w:rsid w:val="00C07E40"/>
    <w:rsid w:val="00C07E6F"/>
    <w:rsid w:val="00C07ECF"/>
    <w:rsid w:val="00C1012E"/>
    <w:rsid w:val="00C10196"/>
    <w:rsid w:val="00C1022C"/>
    <w:rsid w:val="00C103A8"/>
    <w:rsid w:val="00C103B7"/>
    <w:rsid w:val="00C10440"/>
    <w:rsid w:val="00C105CC"/>
    <w:rsid w:val="00C105F2"/>
    <w:rsid w:val="00C10654"/>
    <w:rsid w:val="00C10743"/>
    <w:rsid w:val="00C107AF"/>
    <w:rsid w:val="00C107D0"/>
    <w:rsid w:val="00C1087F"/>
    <w:rsid w:val="00C108EB"/>
    <w:rsid w:val="00C10AED"/>
    <w:rsid w:val="00C10B42"/>
    <w:rsid w:val="00C10CB9"/>
    <w:rsid w:val="00C10F18"/>
    <w:rsid w:val="00C11085"/>
    <w:rsid w:val="00C11327"/>
    <w:rsid w:val="00C11452"/>
    <w:rsid w:val="00C114BA"/>
    <w:rsid w:val="00C11502"/>
    <w:rsid w:val="00C1155F"/>
    <w:rsid w:val="00C11715"/>
    <w:rsid w:val="00C1185D"/>
    <w:rsid w:val="00C11A22"/>
    <w:rsid w:val="00C11A42"/>
    <w:rsid w:val="00C11A51"/>
    <w:rsid w:val="00C11AEA"/>
    <w:rsid w:val="00C11D2D"/>
    <w:rsid w:val="00C11D59"/>
    <w:rsid w:val="00C11D86"/>
    <w:rsid w:val="00C11EA2"/>
    <w:rsid w:val="00C11F66"/>
    <w:rsid w:val="00C12019"/>
    <w:rsid w:val="00C1216D"/>
    <w:rsid w:val="00C12200"/>
    <w:rsid w:val="00C12714"/>
    <w:rsid w:val="00C127B0"/>
    <w:rsid w:val="00C127C7"/>
    <w:rsid w:val="00C12918"/>
    <w:rsid w:val="00C1297D"/>
    <w:rsid w:val="00C129C9"/>
    <w:rsid w:val="00C12A16"/>
    <w:rsid w:val="00C12A6E"/>
    <w:rsid w:val="00C12B4D"/>
    <w:rsid w:val="00C12B63"/>
    <w:rsid w:val="00C12BE1"/>
    <w:rsid w:val="00C12F05"/>
    <w:rsid w:val="00C12F49"/>
    <w:rsid w:val="00C12FFD"/>
    <w:rsid w:val="00C13387"/>
    <w:rsid w:val="00C13456"/>
    <w:rsid w:val="00C136CF"/>
    <w:rsid w:val="00C1390B"/>
    <w:rsid w:val="00C13935"/>
    <w:rsid w:val="00C13953"/>
    <w:rsid w:val="00C13BBB"/>
    <w:rsid w:val="00C13F82"/>
    <w:rsid w:val="00C140CE"/>
    <w:rsid w:val="00C14125"/>
    <w:rsid w:val="00C14363"/>
    <w:rsid w:val="00C143DA"/>
    <w:rsid w:val="00C144D7"/>
    <w:rsid w:val="00C14925"/>
    <w:rsid w:val="00C14AE0"/>
    <w:rsid w:val="00C14B5B"/>
    <w:rsid w:val="00C14D16"/>
    <w:rsid w:val="00C14D85"/>
    <w:rsid w:val="00C14E62"/>
    <w:rsid w:val="00C14F71"/>
    <w:rsid w:val="00C14F86"/>
    <w:rsid w:val="00C14F95"/>
    <w:rsid w:val="00C15126"/>
    <w:rsid w:val="00C15134"/>
    <w:rsid w:val="00C15198"/>
    <w:rsid w:val="00C15204"/>
    <w:rsid w:val="00C15426"/>
    <w:rsid w:val="00C15657"/>
    <w:rsid w:val="00C157A6"/>
    <w:rsid w:val="00C15829"/>
    <w:rsid w:val="00C158CE"/>
    <w:rsid w:val="00C158DF"/>
    <w:rsid w:val="00C158E7"/>
    <w:rsid w:val="00C15985"/>
    <w:rsid w:val="00C15B02"/>
    <w:rsid w:val="00C15B39"/>
    <w:rsid w:val="00C15BC8"/>
    <w:rsid w:val="00C15BE8"/>
    <w:rsid w:val="00C15BFE"/>
    <w:rsid w:val="00C15E53"/>
    <w:rsid w:val="00C161B8"/>
    <w:rsid w:val="00C161C7"/>
    <w:rsid w:val="00C161F8"/>
    <w:rsid w:val="00C162D5"/>
    <w:rsid w:val="00C16356"/>
    <w:rsid w:val="00C163BF"/>
    <w:rsid w:val="00C1659B"/>
    <w:rsid w:val="00C165D0"/>
    <w:rsid w:val="00C16626"/>
    <w:rsid w:val="00C16694"/>
    <w:rsid w:val="00C167EF"/>
    <w:rsid w:val="00C16858"/>
    <w:rsid w:val="00C16B4F"/>
    <w:rsid w:val="00C16B82"/>
    <w:rsid w:val="00C16C97"/>
    <w:rsid w:val="00C16DE9"/>
    <w:rsid w:val="00C16DFD"/>
    <w:rsid w:val="00C17069"/>
    <w:rsid w:val="00C17224"/>
    <w:rsid w:val="00C1730C"/>
    <w:rsid w:val="00C173ED"/>
    <w:rsid w:val="00C17458"/>
    <w:rsid w:val="00C1745C"/>
    <w:rsid w:val="00C1749C"/>
    <w:rsid w:val="00C1755E"/>
    <w:rsid w:val="00C1761A"/>
    <w:rsid w:val="00C176D8"/>
    <w:rsid w:val="00C17722"/>
    <w:rsid w:val="00C17723"/>
    <w:rsid w:val="00C17780"/>
    <w:rsid w:val="00C17829"/>
    <w:rsid w:val="00C17905"/>
    <w:rsid w:val="00C17942"/>
    <w:rsid w:val="00C17AAE"/>
    <w:rsid w:val="00C17C13"/>
    <w:rsid w:val="00C17C5E"/>
    <w:rsid w:val="00C17DFC"/>
    <w:rsid w:val="00C17ECB"/>
    <w:rsid w:val="00C17EF9"/>
    <w:rsid w:val="00C17EFF"/>
    <w:rsid w:val="00C1DFA3"/>
    <w:rsid w:val="00C20039"/>
    <w:rsid w:val="00C2009C"/>
    <w:rsid w:val="00C201A4"/>
    <w:rsid w:val="00C20229"/>
    <w:rsid w:val="00C203FB"/>
    <w:rsid w:val="00C20473"/>
    <w:rsid w:val="00C204D5"/>
    <w:rsid w:val="00C204F0"/>
    <w:rsid w:val="00C20535"/>
    <w:rsid w:val="00C20617"/>
    <w:rsid w:val="00C20646"/>
    <w:rsid w:val="00C2072C"/>
    <w:rsid w:val="00C20855"/>
    <w:rsid w:val="00C20BE7"/>
    <w:rsid w:val="00C20C3F"/>
    <w:rsid w:val="00C20C6B"/>
    <w:rsid w:val="00C20DEE"/>
    <w:rsid w:val="00C20F24"/>
    <w:rsid w:val="00C20FB8"/>
    <w:rsid w:val="00C21020"/>
    <w:rsid w:val="00C210EA"/>
    <w:rsid w:val="00C211AC"/>
    <w:rsid w:val="00C21200"/>
    <w:rsid w:val="00C2137A"/>
    <w:rsid w:val="00C213A3"/>
    <w:rsid w:val="00C21548"/>
    <w:rsid w:val="00C2169D"/>
    <w:rsid w:val="00C21747"/>
    <w:rsid w:val="00C218D1"/>
    <w:rsid w:val="00C21947"/>
    <w:rsid w:val="00C2195B"/>
    <w:rsid w:val="00C2199D"/>
    <w:rsid w:val="00C21A0D"/>
    <w:rsid w:val="00C21A29"/>
    <w:rsid w:val="00C21A44"/>
    <w:rsid w:val="00C21C2F"/>
    <w:rsid w:val="00C21DF8"/>
    <w:rsid w:val="00C21EE1"/>
    <w:rsid w:val="00C21EFA"/>
    <w:rsid w:val="00C22020"/>
    <w:rsid w:val="00C221A7"/>
    <w:rsid w:val="00C22232"/>
    <w:rsid w:val="00C22384"/>
    <w:rsid w:val="00C22477"/>
    <w:rsid w:val="00C224FC"/>
    <w:rsid w:val="00C225F5"/>
    <w:rsid w:val="00C2274F"/>
    <w:rsid w:val="00C227D1"/>
    <w:rsid w:val="00C227FD"/>
    <w:rsid w:val="00C2282D"/>
    <w:rsid w:val="00C2285D"/>
    <w:rsid w:val="00C22867"/>
    <w:rsid w:val="00C22893"/>
    <w:rsid w:val="00C228C6"/>
    <w:rsid w:val="00C22AC1"/>
    <w:rsid w:val="00C22AC9"/>
    <w:rsid w:val="00C22C43"/>
    <w:rsid w:val="00C22E8D"/>
    <w:rsid w:val="00C23187"/>
    <w:rsid w:val="00C231C8"/>
    <w:rsid w:val="00C23222"/>
    <w:rsid w:val="00C232D6"/>
    <w:rsid w:val="00C2345C"/>
    <w:rsid w:val="00C2347B"/>
    <w:rsid w:val="00C2359F"/>
    <w:rsid w:val="00C235AE"/>
    <w:rsid w:val="00C236FE"/>
    <w:rsid w:val="00C238D2"/>
    <w:rsid w:val="00C238FF"/>
    <w:rsid w:val="00C239CE"/>
    <w:rsid w:val="00C23B35"/>
    <w:rsid w:val="00C23BAE"/>
    <w:rsid w:val="00C23C07"/>
    <w:rsid w:val="00C23CF2"/>
    <w:rsid w:val="00C23DB5"/>
    <w:rsid w:val="00C23DE0"/>
    <w:rsid w:val="00C23DF0"/>
    <w:rsid w:val="00C23E84"/>
    <w:rsid w:val="00C23F14"/>
    <w:rsid w:val="00C23FCD"/>
    <w:rsid w:val="00C240DE"/>
    <w:rsid w:val="00C24172"/>
    <w:rsid w:val="00C241CD"/>
    <w:rsid w:val="00C24493"/>
    <w:rsid w:val="00C244D2"/>
    <w:rsid w:val="00C244F2"/>
    <w:rsid w:val="00C244FA"/>
    <w:rsid w:val="00C24545"/>
    <w:rsid w:val="00C24653"/>
    <w:rsid w:val="00C246F0"/>
    <w:rsid w:val="00C24791"/>
    <w:rsid w:val="00C247A3"/>
    <w:rsid w:val="00C247C6"/>
    <w:rsid w:val="00C247FB"/>
    <w:rsid w:val="00C248B6"/>
    <w:rsid w:val="00C24AA5"/>
    <w:rsid w:val="00C24C91"/>
    <w:rsid w:val="00C24E95"/>
    <w:rsid w:val="00C24F6F"/>
    <w:rsid w:val="00C250F3"/>
    <w:rsid w:val="00C25186"/>
    <w:rsid w:val="00C251DF"/>
    <w:rsid w:val="00C25245"/>
    <w:rsid w:val="00C25246"/>
    <w:rsid w:val="00C252E4"/>
    <w:rsid w:val="00C25359"/>
    <w:rsid w:val="00C2540C"/>
    <w:rsid w:val="00C25470"/>
    <w:rsid w:val="00C2597C"/>
    <w:rsid w:val="00C262CA"/>
    <w:rsid w:val="00C262E9"/>
    <w:rsid w:val="00C262EC"/>
    <w:rsid w:val="00C26304"/>
    <w:rsid w:val="00C26315"/>
    <w:rsid w:val="00C26388"/>
    <w:rsid w:val="00C263A8"/>
    <w:rsid w:val="00C267CE"/>
    <w:rsid w:val="00C2682C"/>
    <w:rsid w:val="00C26862"/>
    <w:rsid w:val="00C26904"/>
    <w:rsid w:val="00C26A6D"/>
    <w:rsid w:val="00C26AB6"/>
    <w:rsid w:val="00C26AC6"/>
    <w:rsid w:val="00C26AF4"/>
    <w:rsid w:val="00C26E2C"/>
    <w:rsid w:val="00C26F30"/>
    <w:rsid w:val="00C26FB8"/>
    <w:rsid w:val="00C26FC7"/>
    <w:rsid w:val="00C26FD3"/>
    <w:rsid w:val="00C271A1"/>
    <w:rsid w:val="00C271C5"/>
    <w:rsid w:val="00C272B4"/>
    <w:rsid w:val="00C27365"/>
    <w:rsid w:val="00C273FF"/>
    <w:rsid w:val="00C27406"/>
    <w:rsid w:val="00C274AB"/>
    <w:rsid w:val="00C274D2"/>
    <w:rsid w:val="00C276DB"/>
    <w:rsid w:val="00C276E7"/>
    <w:rsid w:val="00C27735"/>
    <w:rsid w:val="00C27828"/>
    <w:rsid w:val="00C27871"/>
    <w:rsid w:val="00C278A3"/>
    <w:rsid w:val="00C27924"/>
    <w:rsid w:val="00C27958"/>
    <w:rsid w:val="00C27B82"/>
    <w:rsid w:val="00C27C4D"/>
    <w:rsid w:val="00C2A5CF"/>
    <w:rsid w:val="00C300B5"/>
    <w:rsid w:val="00C301F9"/>
    <w:rsid w:val="00C30213"/>
    <w:rsid w:val="00C30594"/>
    <w:rsid w:val="00C30671"/>
    <w:rsid w:val="00C307D0"/>
    <w:rsid w:val="00C30888"/>
    <w:rsid w:val="00C30AFA"/>
    <w:rsid w:val="00C30B09"/>
    <w:rsid w:val="00C30B6E"/>
    <w:rsid w:val="00C30B8B"/>
    <w:rsid w:val="00C30C11"/>
    <w:rsid w:val="00C30D9F"/>
    <w:rsid w:val="00C30E8E"/>
    <w:rsid w:val="00C310BB"/>
    <w:rsid w:val="00C31275"/>
    <w:rsid w:val="00C31320"/>
    <w:rsid w:val="00C313FC"/>
    <w:rsid w:val="00C31690"/>
    <w:rsid w:val="00C317D3"/>
    <w:rsid w:val="00C31959"/>
    <w:rsid w:val="00C3199A"/>
    <w:rsid w:val="00C319D2"/>
    <w:rsid w:val="00C319EE"/>
    <w:rsid w:val="00C31BE6"/>
    <w:rsid w:val="00C31C1B"/>
    <w:rsid w:val="00C31C93"/>
    <w:rsid w:val="00C31CA9"/>
    <w:rsid w:val="00C32259"/>
    <w:rsid w:val="00C3226F"/>
    <w:rsid w:val="00C322B2"/>
    <w:rsid w:val="00C32498"/>
    <w:rsid w:val="00C3265D"/>
    <w:rsid w:val="00C32934"/>
    <w:rsid w:val="00C329CC"/>
    <w:rsid w:val="00C32A70"/>
    <w:rsid w:val="00C32A81"/>
    <w:rsid w:val="00C32AF1"/>
    <w:rsid w:val="00C32E03"/>
    <w:rsid w:val="00C32F20"/>
    <w:rsid w:val="00C32F5F"/>
    <w:rsid w:val="00C3311C"/>
    <w:rsid w:val="00C33487"/>
    <w:rsid w:val="00C337A3"/>
    <w:rsid w:val="00C33842"/>
    <w:rsid w:val="00C33897"/>
    <w:rsid w:val="00C33956"/>
    <w:rsid w:val="00C339FA"/>
    <w:rsid w:val="00C33A9B"/>
    <w:rsid w:val="00C33BE0"/>
    <w:rsid w:val="00C33E24"/>
    <w:rsid w:val="00C34116"/>
    <w:rsid w:val="00C3411B"/>
    <w:rsid w:val="00C3419D"/>
    <w:rsid w:val="00C34279"/>
    <w:rsid w:val="00C342CB"/>
    <w:rsid w:val="00C3434A"/>
    <w:rsid w:val="00C343E5"/>
    <w:rsid w:val="00C34432"/>
    <w:rsid w:val="00C34473"/>
    <w:rsid w:val="00C344BA"/>
    <w:rsid w:val="00C34516"/>
    <w:rsid w:val="00C347A8"/>
    <w:rsid w:val="00C348EE"/>
    <w:rsid w:val="00C349EE"/>
    <w:rsid w:val="00C34BA4"/>
    <w:rsid w:val="00C34C44"/>
    <w:rsid w:val="00C34D09"/>
    <w:rsid w:val="00C34D50"/>
    <w:rsid w:val="00C34DB7"/>
    <w:rsid w:val="00C34E1F"/>
    <w:rsid w:val="00C34EC1"/>
    <w:rsid w:val="00C35088"/>
    <w:rsid w:val="00C35203"/>
    <w:rsid w:val="00C352CD"/>
    <w:rsid w:val="00C352D2"/>
    <w:rsid w:val="00C352D7"/>
    <w:rsid w:val="00C35397"/>
    <w:rsid w:val="00C353D6"/>
    <w:rsid w:val="00C354AC"/>
    <w:rsid w:val="00C354B5"/>
    <w:rsid w:val="00C35524"/>
    <w:rsid w:val="00C35530"/>
    <w:rsid w:val="00C35702"/>
    <w:rsid w:val="00C3575F"/>
    <w:rsid w:val="00C3579C"/>
    <w:rsid w:val="00C358E0"/>
    <w:rsid w:val="00C3590B"/>
    <w:rsid w:val="00C35929"/>
    <w:rsid w:val="00C359D7"/>
    <w:rsid w:val="00C35A14"/>
    <w:rsid w:val="00C35B33"/>
    <w:rsid w:val="00C35B90"/>
    <w:rsid w:val="00C35C77"/>
    <w:rsid w:val="00C35F95"/>
    <w:rsid w:val="00C362DC"/>
    <w:rsid w:val="00C362F7"/>
    <w:rsid w:val="00C3640C"/>
    <w:rsid w:val="00C3642F"/>
    <w:rsid w:val="00C3653E"/>
    <w:rsid w:val="00C3658C"/>
    <w:rsid w:val="00C36712"/>
    <w:rsid w:val="00C368B0"/>
    <w:rsid w:val="00C36A9D"/>
    <w:rsid w:val="00C36AD0"/>
    <w:rsid w:val="00C36C32"/>
    <w:rsid w:val="00C36D23"/>
    <w:rsid w:val="00C36D77"/>
    <w:rsid w:val="00C36E09"/>
    <w:rsid w:val="00C36E40"/>
    <w:rsid w:val="00C36E67"/>
    <w:rsid w:val="00C36E8B"/>
    <w:rsid w:val="00C36FA5"/>
    <w:rsid w:val="00C37048"/>
    <w:rsid w:val="00C37246"/>
    <w:rsid w:val="00C372ED"/>
    <w:rsid w:val="00C37330"/>
    <w:rsid w:val="00C373D7"/>
    <w:rsid w:val="00C37718"/>
    <w:rsid w:val="00C37780"/>
    <w:rsid w:val="00C377D3"/>
    <w:rsid w:val="00C378FC"/>
    <w:rsid w:val="00C37980"/>
    <w:rsid w:val="00C37AE5"/>
    <w:rsid w:val="00C37C0E"/>
    <w:rsid w:val="00C37C53"/>
    <w:rsid w:val="00C37D05"/>
    <w:rsid w:val="00C37E27"/>
    <w:rsid w:val="00C37E86"/>
    <w:rsid w:val="00C40199"/>
    <w:rsid w:val="00C402F4"/>
    <w:rsid w:val="00C40334"/>
    <w:rsid w:val="00C4042E"/>
    <w:rsid w:val="00C404C6"/>
    <w:rsid w:val="00C408E6"/>
    <w:rsid w:val="00C40BDC"/>
    <w:rsid w:val="00C40C5B"/>
    <w:rsid w:val="00C40E96"/>
    <w:rsid w:val="00C40F2F"/>
    <w:rsid w:val="00C40F3C"/>
    <w:rsid w:val="00C40F9A"/>
    <w:rsid w:val="00C4104D"/>
    <w:rsid w:val="00C414CC"/>
    <w:rsid w:val="00C41611"/>
    <w:rsid w:val="00C416DE"/>
    <w:rsid w:val="00C4175A"/>
    <w:rsid w:val="00C4176D"/>
    <w:rsid w:val="00C41CC7"/>
    <w:rsid w:val="00C41DEA"/>
    <w:rsid w:val="00C41ED2"/>
    <w:rsid w:val="00C41F79"/>
    <w:rsid w:val="00C41F8B"/>
    <w:rsid w:val="00C41FE9"/>
    <w:rsid w:val="00C42106"/>
    <w:rsid w:val="00C4221A"/>
    <w:rsid w:val="00C422B7"/>
    <w:rsid w:val="00C4237C"/>
    <w:rsid w:val="00C42399"/>
    <w:rsid w:val="00C4247C"/>
    <w:rsid w:val="00C42482"/>
    <w:rsid w:val="00C424E5"/>
    <w:rsid w:val="00C42679"/>
    <w:rsid w:val="00C4282A"/>
    <w:rsid w:val="00C4282F"/>
    <w:rsid w:val="00C4286E"/>
    <w:rsid w:val="00C428EF"/>
    <w:rsid w:val="00C42ABC"/>
    <w:rsid w:val="00C42B7B"/>
    <w:rsid w:val="00C42BF5"/>
    <w:rsid w:val="00C42CBB"/>
    <w:rsid w:val="00C42E29"/>
    <w:rsid w:val="00C42EB3"/>
    <w:rsid w:val="00C42EEC"/>
    <w:rsid w:val="00C4305B"/>
    <w:rsid w:val="00C43114"/>
    <w:rsid w:val="00C4320C"/>
    <w:rsid w:val="00C432B6"/>
    <w:rsid w:val="00C432C1"/>
    <w:rsid w:val="00C4349A"/>
    <w:rsid w:val="00C434F5"/>
    <w:rsid w:val="00C4356B"/>
    <w:rsid w:val="00C43814"/>
    <w:rsid w:val="00C438DE"/>
    <w:rsid w:val="00C43B82"/>
    <w:rsid w:val="00C43BA2"/>
    <w:rsid w:val="00C43D73"/>
    <w:rsid w:val="00C4408C"/>
    <w:rsid w:val="00C44248"/>
    <w:rsid w:val="00C443C0"/>
    <w:rsid w:val="00C4445E"/>
    <w:rsid w:val="00C446F2"/>
    <w:rsid w:val="00C4484C"/>
    <w:rsid w:val="00C44952"/>
    <w:rsid w:val="00C449E8"/>
    <w:rsid w:val="00C44A14"/>
    <w:rsid w:val="00C44A9D"/>
    <w:rsid w:val="00C44AEC"/>
    <w:rsid w:val="00C44BFD"/>
    <w:rsid w:val="00C44C1A"/>
    <w:rsid w:val="00C44D25"/>
    <w:rsid w:val="00C44D4B"/>
    <w:rsid w:val="00C44FA0"/>
    <w:rsid w:val="00C4505B"/>
    <w:rsid w:val="00C451B0"/>
    <w:rsid w:val="00C45256"/>
    <w:rsid w:val="00C45480"/>
    <w:rsid w:val="00C45584"/>
    <w:rsid w:val="00C45626"/>
    <w:rsid w:val="00C45722"/>
    <w:rsid w:val="00C457C3"/>
    <w:rsid w:val="00C45C38"/>
    <w:rsid w:val="00C45CEA"/>
    <w:rsid w:val="00C45D4B"/>
    <w:rsid w:val="00C45DBA"/>
    <w:rsid w:val="00C45E09"/>
    <w:rsid w:val="00C45E62"/>
    <w:rsid w:val="00C45EFC"/>
    <w:rsid w:val="00C45F46"/>
    <w:rsid w:val="00C45F52"/>
    <w:rsid w:val="00C45FBD"/>
    <w:rsid w:val="00C461FB"/>
    <w:rsid w:val="00C46280"/>
    <w:rsid w:val="00C46315"/>
    <w:rsid w:val="00C46379"/>
    <w:rsid w:val="00C46440"/>
    <w:rsid w:val="00C46444"/>
    <w:rsid w:val="00C46487"/>
    <w:rsid w:val="00C4660A"/>
    <w:rsid w:val="00C46988"/>
    <w:rsid w:val="00C469BC"/>
    <w:rsid w:val="00C46A35"/>
    <w:rsid w:val="00C46A37"/>
    <w:rsid w:val="00C46A60"/>
    <w:rsid w:val="00C46BCA"/>
    <w:rsid w:val="00C46BFE"/>
    <w:rsid w:val="00C46ECE"/>
    <w:rsid w:val="00C46F19"/>
    <w:rsid w:val="00C46F95"/>
    <w:rsid w:val="00C47079"/>
    <w:rsid w:val="00C47114"/>
    <w:rsid w:val="00C47139"/>
    <w:rsid w:val="00C47166"/>
    <w:rsid w:val="00C472DF"/>
    <w:rsid w:val="00C473CC"/>
    <w:rsid w:val="00C4747D"/>
    <w:rsid w:val="00C4758F"/>
    <w:rsid w:val="00C475FF"/>
    <w:rsid w:val="00C47632"/>
    <w:rsid w:val="00C47714"/>
    <w:rsid w:val="00C47770"/>
    <w:rsid w:val="00C478CA"/>
    <w:rsid w:val="00C47976"/>
    <w:rsid w:val="00C47B39"/>
    <w:rsid w:val="00C47CB0"/>
    <w:rsid w:val="00C47D54"/>
    <w:rsid w:val="00C47E3D"/>
    <w:rsid w:val="00C5012B"/>
    <w:rsid w:val="00C50274"/>
    <w:rsid w:val="00C504EF"/>
    <w:rsid w:val="00C50666"/>
    <w:rsid w:val="00C506F9"/>
    <w:rsid w:val="00C50753"/>
    <w:rsid w:val="00C507D1"/>
    <w:rsid w:val="00C5096A"/>
    <w:rsid w:val="00C509A8"/>
    <w:rsid w:val="00C50E1C"/>
    <w:rsid w:val="00C51039"/>
    <w:rsid w:val="00C51196"/>
    <w:rsid w:val="00C51275"/>
    <w:rsid w:val="00C5135F"/>
    <w:rsid w:val="00C513EB"/>
    <w:rsid w:val="00C514A5"/>
    <w:rsid w:val="00C515E5"/>
    <w:rsid w:val="00C51614"/>
    <w:rsid w:val="00C516EF"/>
    <w:rsid w:val="00C51809"/>
    <w:rsid w:val="00C51876"/>
    <w:rsid w:val="00C518E5"/>
    <w:rsid w:val="00C5195D"/>
    <w:rsid w:val="00C51982"/>
    <w:rsid w:val="00C51B4D"/>
    <w:rsid w:val="00C51CDF"/>
    <w:rsid w:val="00C51E76"/>
    <w:rsid w:val="00C52065"/>
    <w:rsid w:val="00C52072"/>
    <w:rsid w:val="00C52190"/>
    <w:rsid w:val="00C52255"/>
    <w:rsid w:val="00C5226B"/>
    <w:rsid w:val="00C52356"/>
    <w:rsid w:val="00C52368"/>
    <w:rsid w:val="00C523C6"/>
    <w:rsid w:val="00C52657"/>
    <w:rsid w:val="00C526E4"/>
    <w:rsid w:val="00C52709"/>
    <w:rsid w:val="00C5289A"/>
    <w:rsid w:val="00C52C78"/>
    <w:rsid w:val="00C52D4D"/>
    <w:rsid w:val="00C52E3A"/>
    <w:rsid w:val="00C531F7"/>
    <w:rsid w:val="00C532C8"/>
    <w:rsid w:val="00C5341A"/>
    <w:rsid w:val="00C534CF"/>
    <w:rsid w:val="00C53589"/>
    <w:rsid w:val="00C535CA"/>
    <w:rsid w:val="00C53A18"/>
    <w:rsid w:val="00C53B67"/>
    <w:rsid w:val="00C53D8E"/>
    <w:rsid w:val="00C53E91"/>
    <w:rsid w:val="00C53F5E"/>
    <w:rsid w:val="00C53F7A"/>
    <w:rsid w:val="00C5404B"/>
    <w:rsid w:val="00C542F4"/>
    <w:rsid w:val="00C543F7"/>
    <w:rsid w:val="00C5444B"/>
    <w:rsid w:val="00C545BD"/>
    <w:rsid w:val="00C546C3"/>
    <w:rsid w:val="00C546DA"/>
    <w:rsid w:val="00C546FA"/>
    <w:rsid w:val="00C5487E"/>
    <w:rsid w:val="00C54A15"/>
    <w:rsid w:val="00C54B1B"/>
    <w:rsid w:val="00C54FB8"/>
    <w:rsid w:val="00C5502D"/>
    <w:rsid w:val="00C551E1"/>
    <w:rsid w:val="00C5560B"/>
    <w:rsid w:val="00C558AE"/>
    <w:rsid w:val="00C558D4"/>
    <w:rsid w:val="00C55990"/>
    <w:rsid w:val="00C55A5F"/>
    <w:rsid w:val="00C55AA1"/>
    <w:rsid w:val="00C55B2B"/>
    <w:rsid w:val="00C55BD5"/>
    <w:rsid w:val="00C55CED"/>
    <w:rsid w:val="00C55ED6"/>
    <w:rsid w:val="00C55F0F"/>
    <w:rsid w:val="00C55F63"/>
    <w:rsid w:val="00C56044"/>
    <w:rsid w:val="00C56054"/>
    <w:rsid w:val="00C560F7"/>
    <w:rsid w:val="00C561BF"/>
    <w:rsid w:val="00C56237"/>
    <w:rsid w:val="00C56613"/>
    <w:rsid w:val="00C5674D"/>
    <w:rsid w:val="00C5679C"/>
    <w:rsid w:val="00C567AA"/>
    <w:rsid w:val="00C567F9"/>
    <w:rsid w:val="00C5690C"/>
    <w:rsid w:val="00C569DD"/>
    <w:rsid w:val="00C56A8A"/>
    <w:rsid w:val="00C56BB6"/>
    <w:rsid w:val="00C56BCE"/>
    <w:rsid w:val="00C56C3E"/>
    <w:rsid w:val="00C56DC0"/>
    <w:rsid w:val="00C56EBF"/>
    <w:rsid w:val="00C56ED4"/>
    <w:rsid w:val="00C56ED8"/>
    <w:rsid w:val="00C570BD"/>
    <w:rsid w:val="00C57176"/>
    <w:rsid w:val="00C572E8"/>
    <w:rsid w:val="00C57322"/>
    <w:rsid w:val="00C5734A"/>
    <w:rsid w:val="00C57389"/>
    <w:rsid w:val="00C573E7"/>
    <w:rsid w:val="00C574A9"/>
    <w:rsid w:val="00C57794"/>
    <w:rsid w:val="00C57821"/>
    <w:rsid w:val="00C5796A"/>
    <w:rsid w:val="00C57A43"/>
    <w:rsid w:val="00C57BCD"/>
    <w:rsid w:val="00C57C0F"/>
    <w:rsid w:val="00C57C10"/>
    <w:rsid w:val="00C57CC0"/>
    <w:rsid w:val="00C57D49"/>
    <w:rsid w:val="00C57D68"/>
    <w:rsid w:val="00C57DCE"/>
    <w:rsid w:val="00C57F01"/>
    <w:rsid w:val="00C5849D"/>
    <w:rsid w:val="00C60145"/>
    <w:rsid w:val="00C6016D"/>
    <w:rsid w:val="00C60279"/>
    <w:rsid w:val="00C60565"/>
    <w:rsid w:val="00C605C5"/>
    <w:rsid w:val="00C60626"/>
    <w:rsid w:val="00C6073E"/>
    <w:rsid w:val="00C607AC"/>
    <w:rsid w:val="00C607DA"/>
    <w:rsid w:val="00C60A10"/>
    <w:rsid w:val="00C60A3A"/>
    <w:rsid w:val="00C60BD2"/>
    <w:rsid w:val="00C60C64"/>
    <w:rsid w:val="00C60DA9"/>
    <w:rsid w:val="00C60DD6"/>
    <w:rsid w:val="00C60DD7"/>
    <w:rsid w:val="00C60E7C"/>
    <w:rsid w:val="00C61041"/>
    <w:rsid w:val="00C610A1"/>
    <w:rsid w:val="00C610DB"/>
    <w:rsid w:val="00C61267"/>
    <w:rsid w:val="00C61307"/>
    <w:rsid w:val="00C615E3"/>
    <w:rsid w:val="00C615F0"/>
    <w:rsid w:val="00C61601"/>
    <w:rsid w:val="00C61640"/>
    <w:rsid w:val="00C61667"/>
    <w:rsid w:val="00C61698"/>
    <w:rsid w:val="00C61895"/>
    <w:rsid w:val="00C618A7"/>
    <w:rsid w:val="00C61947"/>
    <w:rsid w:val="00C61948"/>
    <w:rsid w:val="00C6194D"/>
    <w:rsid w:val="00C61BCC"/>
    <w:rsid w:val="00C61D22"/>
    <w:rsid w:val="00C61D81"/>
    <w:rsid w:val="00C6216D"/>
    <w:rsid w:val="00C624BC"/>
    <w:rsid w:val="00C625B1"/>
    <w:rsid w:val="00C626E5"/>
    <w:rsid w:val="00C62752"/>
    <w:rsid w:val="00C6287C"/>
    <w:rsid w:val="00C62A64"/>
    <w:rsid w:val="00C62C01"/>
    <w:rsid w:val="00C62C47"/>
    <w:rsid w:val="00C62E7E"/>
    <w:rsid w:val="00C62FBE"/>
    <w:rsid w:val="00C63190"/>
    <w:rsid w:val="00C631A8"/>
    <w:rsid w:val="00C63403"/>
    <w:rsid w:val="00C63576"/>
    <w:rsid w:val="00C635E3"/>
    <w:rsid w:val="00C63698"/>
    <w:rsid w:val="00C63716"/>
    <w:rsid w:val="00C63726"/>
    <w:rsid w:val="00C6383D"/>
    <w:rsid w:val="00C638CC"/>
    <w:rsid w:val="00C63983"/>
    <w:rsid w:val="00C63A60"/>
    <w:rsid w:val="00C63A98"/>
    <w:rsid w:val="00C63ACD"/>
    <w:rsid w:val="00C64126"/>
    <w:rsid w:val="00C6416D"/>
    <w:rsid w:val="00C641DE"/>
    <w:rsid w:val="00C64330"/>
    <w:rsid w:val="00C643A8"/>
    <w:rsid w:val="00C64411"/>
    <w:rsid w:val="00C644DC"/>
    <w:rsid w:val="00C6457A"/>
    <w:rsid w:val="00C64754"/>
    <w:rsid w:val="00C64843"/>
    <w:rsid w:val="00C64845"/>
    <w:rsid w:val="00C6493A"/>
    <w:rsid w:val="00C649B6"/>
    <w:rsid w:val="00C64B16"/>
    <w:rsid w:val="00C64B1C"/>
    <w:rsid w:val="00C64B72"/>
    <w:rsid w:val="00C64C9F"/>
    <w:rsid w:val="00C64DCF"/>
    <w:rsid w:val="00C64E19"/>
    <w:rsid w:val="00C64FD0"/>
    <w:rsid w:val="00C65007"/>
    <w:rsid w:val="00C65016"/>
    <w:rsid w:val="00C65105"/>
    <w:rsid w:val="00C6518F"/>
    <w:rsid w:val="00C65272"/>
    <w:rsid w:val="00C652B2"/>
    <w:rsid w:val="00C65300"/>
    <w:rsid w:val="00C655CE"/>
    <w:rsid w:val="00C6560B"/>
    <w:rsid w:val="00C6577E"/>
    <w:rsid w:val="00C6584A"/>
    <w:rsid w:val="00C6593B"/>
    <w:rsid w:val="00C65A93"/>
    <w:rsid w:val="00C65AA0"/>
    <w:rsid w:val="00C65AC2"/>
    <w:rsid w:val="00C65AE9"/>
    <w:rsid w:val="00C65D4A"/>
    <w:rsid w:val="00C6601C"/>
    <w:rsid w:val="00C660A2"/>
    <w:rsid w:val="00C6621E"/>
    <w:rsid w:val="00C6629B"/>
    <w:rsid w:val="00C662C2"/>
    <w:rsid w:val="00C666AA"/>
    <w:rsid w:val="00C666B9"/>
    <w:rsid w:val="00C667A9"/>
    <w:rsid w:val="00C667AD"/>
    <w:rsid w:val="00C669D2"/>
    <w:rsid w:val="00C66BD9"/>
    <w:rsid w:val="00C66BFA"/>
    <w:rsid w:val="00C66F80"/>
    <w:rsid w:val="00C67043"/>
    <w:rsid w:val="00C6717A"/>
    <w:rsid w:val="00C67245"/>
    <w:rsid w:val="00C673C0"/>
    <w:rsid w:val="00C6741A"/>
    <w:rsid w:val="00C6758C"/>
    <w:rsid w:val="00C676B6"/>
    <w:rsid w:val="00C6775C"/>
    <w:rsid w:val="00C6775F"/>
    <w:rsid w:val="00C678D3"/>
    <w:rsid w:val="00C67955"/>
    <w:rsid w:val="00C679BD"/>
    <w:rsid w:val="00C67C1F"/>
    <w:rsid w:val="00C67D12"/>
    <w:rsid w:val="00C70060"/>
    <w:rsid w:val="00C701DE"/>
    <w:rsid w:val="00C7026D"/>
    <w:rsid w:val="00C705A6"/>
    <w:rsid w:val="00C70866"/>
    <w:rsid w:val="00C708C5"/>
    <w:rsid w:val="00C7095B"/>
    <w:rsid w:val="00C7095D"/>
    <w:rsid w:val="00C70AE4"/>
    <w:rsid w:val="00C70D5E"/>
    <w:rsid w:val="00C70F59"/>
    <w:rsid w:val="00C70FCF"/>
    <w:rsid w:val="00C70FD2"/>
    <w:rsid w:val="00C710D8"/>
    <w:rsid w:val="00C710E6"/>
    <w:rsid w:val="00C710E8"/>
    <w:rsid w:val="00C7116D"/>
    <w:rsid w:val="00C7133A"/>
    <w:rsid w:val="00C7149E"/>
    <w:rsid w:val="00C71530"/>
    <w:rsid w:val="00C7178E"/>
    <w:rsid w:val="00C718FB"/>
    <w:rsid w:val="00C71B08"/>
    <w:rsid w:val="00C71B18"/>
    <w:rsid w:val="00C71B36"/>
    <w:rsid w:val="00C71B9B"/>
    <w:rsid w:val="00C71C41"/>
    <w:rsid w:val="00C71DDA"/>
    <w:rsid w:val="00C721C4"/>
    <w:rsid w:val="00C722AF"/>
    <w:rsid w:val="00C722DD"/>
    <w:rsid w:val="00C72419"/>
    <w:rsid w:val="00C7243E"/>
    <w:rsid w:val="00C7246F"/>
    <w:rsid w:val="00C724ED"/>
    <w:rsid w:val="00C724FA"/>
    <w:rsid w:val="00C72543"/>
    <w:rsid w:val="00C72565"/>
    <w:rsid w:val="00C7260E"/>
    <w:rsid w:val="00C7275C"/>
    <w:rsid w:val="00C72FC3"/>
    <w:rsid w:val="00C73117"/>
    <w:rsid w:val="00C731EF"/>
    <w:rsid w:val="00C735C1"/>
    <w:rsid w:val="00C737C9"/>
    <w:rsid w:val="00C73833"/>
    <w:rsid w:val="00C73883"/>
    <w:rsid w:val="00C7399D"/>
    <w:rsid w:val="00C73AE0"/>
    <w:rsid w:val="00C73B3F"/>
    <w:rsid w:val="00C73B62"/>
    <w:rsid w:val="00C73CD4"/>
    <w:rsid w:val="00C73F3C"/>
    <w:rsid w:val="00C741BD"/>
    <w:rsid w:val="00C741FD"/>
    <w:rsid w:val="00C7435F"/>
    <w:rsid w:val="00C744E2"/>
    <w:rsid w:val="00C74585"/>
    <w:rsid w:val="00C74611"/>
    <w:rsid w:val="00C7478A"/>
    <w:rsid w:val="00C7480E"/>
    <w:rsid w:val="00C74994"/>
    <w:rsid w:val="00C74BB9"/>
    <w:rsid w:val="00C74C05"/>
    <w:rsid w:val="00C74C28"/>
    <w:rsid w:val="00C74E71"/>
    <w:rsid w:val="00C74E73"/>
    <w:rsid w:val="00C74EDC"/>
    <w:rsid w:val="00C74F1D"/>
    <w:rsid w:val="00C74FAD"/>
    <w:rsid w:val="00C75029"/>
    <w:rsid w:val="00C7506B"/>
    <w:rsid w:val="00C7513B"/>
    <w:rsid w:val="00C753A8"/>
    <w:rsid w:val="00C753BE"/>
    <w:rsid w:val="00C7546B"/>
    <w:rsid w:val="00C754DA"/>
    <w:rsid w:val="00C754FF"/>
    <w:rsid w:val="00C75564"/>
    <w:rsid w:val="00C7570E"/>
    <w:rsid w:val="00C7593B"/>
    <w:rsid w:val="00C75953"/>
    <w:rsid w:val="00C759F7"/>
    <w:rsid w:val="00C75A37"/>
    <w:rsid w:val="00C75B5D"/>
    <w:rsid w:val="00C75BBE"/>
    <w:rsid w:val="00C75D04"/>
    <w:rsid w:val="00C75F9A"/>
    <w:rsid w:val="00C75FB3"/>
    <w:rsid w:val="00C760EB"/>
    <w:rsid w:val="00C7619B"/>
    <w:rsid w:val="00C761D8"/>
    <w:rsid w:val="00C762A1"/>
    <w:rsid w:val="00C762A7"/>
    <w:rsid w:val="00C762F2"/>
    <w:rsid w:val="00C76365"/>
    <w:rsid w:val="00C76524"/>
    <w:rsid w:val="00C7666C"/>
    <w:rsid w:val="00C766D8"/>
    <w:rsid w:val="00C7685F"/>
    <w:rsid w:val="00C768AC"/>
    <w:rsid w:val="00C76934"/>
    <w:rsid w:val="00C76CED"/>
    <w:rsid w:val="00C76D1C"/>
    <w:rsid w:val="00C76ED8"/>
    <w:rsid w:val="00C76EE7"/>
    <w:rsid w:val="00C76EFA"/>
    <w:rsid w:val="00C76F30"/>
    <w:rsid w:val="00C7714C"/>
    <w:rsid w:val="00C772BD"/>
    <w:rsid w:val="00C77426"/>
    <w:rsid w:val="00C774A2"/>
    <w:rsid w:val="00C77761"/>
    <w:rsid w:val="00C777CA"/>
    <w:rsid w:val="00C7794C"/>
    <w:rsid w:val="00C77985"/>
    <w:rsid w:val="00C77A53"/>
    <w:rsid w:val="00C77B97"/>
    <w:rsid w:val="00C77D99"/>
    <w:rsid w:val="00C77EDD"/>
    <w:rsid w:val="00C77FAE"/>
    <w:rsid w:val="00C77FBA"/>
    <w:rsid w:val="00C8004C"/>
    <w:rsid w:val="00C800A5"/>
    <w:rsid w:val="00C800DC"/>
    <w:rsid w:val="00C8010C"/>
    <w:rsid w:val="00C80154"/>
    <w:rsid w:val="00C80384"/>
    <w:rsid w:val="00C8038A"/>
    <w:rsid w:val="00C803B9"/>
    <w:rsid w:val="00C804DF"/>
    <w:rsid w:val="00C80561"/>
    <w:rsid w:val="00C80639"/>
    <w:rsid w:val="00C8076A"/>
    <w:rsid w:val="00C808EE"/>
    <w:rsid w:val="00C80CD0"/>
    <w:rsid w:val="00C80CE5"/>
    <w:rsid w:val="00C80DBE"/>
    <w:rsid w:val="00C80E87"/>
    <w:rsid w:val="00C80EB5"/>
    <w:rsid w:val="00C80F40"/>
    <w:rsid w:val="00C8108D"/>
    <w:rsid w:val="00C812E4"/>
    <w:rsid w:val="00C81370"/>
    <w:rsid w:val="00C814B3"/>
    <w:rsid w:val="00C81637"/>
    <w:rsid w:val="00C8168F"/>
    <w:rsid w:val="00C816C3"/>
    <w:rsid w:val="00C81761"/>
    <w:rsid w:val="00C8180B"/>
    <w:rsid w:val="00C81912"/>
    <w:rsid w:val="00C8196D"/>
    <w:rsid w:val="00C81ABA"/>
    <w:rsid w:val="00C81B89"/>
    <w:rsid w:val="00C81C37"/>
    <w:rsid w:val="00C81E98"/>
    <w:rsid w:val="00C81F3A"/>
    <w:rsid w:val="00C82113"/>
    <w:rsid w:val="00C821F3"/>
    <w:rsid w:val="00C8239B"/>
    <w:rsid w:val="00C82428"/>
    <w:rsid w:val="00C8247A"/>
    <w:rsid w:val="00C824EA"/>
    <w:rsid w:val="00C825E3"/>
    <w:rsid w:val="00C82789"/>
    <w:rsid w:val="00C82801"/>
    <w:rsid w:val="00C82AA0"/>
    <w:rsid w:val="00C82C4F"/>
    <w:rsid w:val="00C82D0E"/>
    <w:rsid w:val="00C82E63"/>
    <w:rsid w:val="00C82F33"/>
    <w:rsid w:val="00C82F3B"/>
    <w:rsid w:val="00C82FE7"/>
    <w:rsid w:val="00C83141"/>
    <w:rsid w:val="00C831D6"/>
    <w:rsid w:val="00C832A7"/>
    <w:rsid w:val="00C834A1"/>
    <w:rsid w:val="00C83536"/>
    <w:rsid w:val="00C83599"/>
    <w:rsid w:val="00C835AB"/>
    <w:rsid w:val="00C8361A"/>
    <w:rsid w:val="00C838EF"/>
    <w:rsid w:val="00C839DB"/>
    <w:rsid w:val="00C83B7D"/>
    <w:rsid w:val="00C841A1"/>
    <w:rsid w:val="00C84236"/>
    <w:rsid w:val="00C84339"/>
    <w:rsid w:val="00C843C8"/>
    <w:rsid w:val="00C8440E"/>
    <w:rsid w:val="00C844C8"/>
    <w:rsid w:val="00C8464B"/>
    <w:rsid w:val="00C84859"/>
    <w:rsid w:val="00C84884"/>
    <w:rsid w:val="00C84895"/>
    <w:rsid w:val="00C84BF5"/>
    <w:rsid w:val="00C84C1C"/>
    <w:rsid w:val="00C84C9F"/>
    <w:rsid w:val="00C84DFD"/>
    <w:rsid w:val="00C84E71"/>
    <w:rsid w:val="00C84EED"/>
    <w:rsid w:val="00C84EF1"/>
    <w:rsid w:val="00C84F37"/>
    <w:rsid w:val="00C84FE4"/>
    <w:rsid w:val="00C850A1"/>
    <w:rsid w:val="00C850B0"/>
    <w:rsid w:val="00C851E5"/>
    <w:rsid w:val="00C852B7"/>
    <w:rsid w:val="00C8554A"/>
    <w:rsid w:val="00C856E9"/>
    <w:rsid w:val="00C8572E"/>
    <w:rsid w:val="00C85834"/>
    <w:rsid w:val="00C858A4"/>
    <w:rsid w:val="00C85930"/>
    <w:rsid w:val="00C859F9"/>
    <w:rsid w:val="00C85A69"/>
    <w:rsid w:val="00C85A88"/>
    <w:rsid w:val="00C85AB1"/>
    <w:rsid w:val="00C85AC1"/>
    <w:rsid w:val="00C85BB0"/>
    <w:rsid w:val="00C85BD2"/>
    <w:rsid w:val="00C85CC0"/>
    <w:rsid w:val="00C85E69"/>
    <w:rsid w:val="00C85EE6"/>
    <w:rsid w:val="00C85F24"/>
    <w:rsid w:val="00C85FD9"/>
    <w:rsid w:val="00C85FFA"/>
    <w:rsid w:val="00C860B7"/>
    <w:rsid w:val="00C860CC"/>
    <w:rsid w:val="00C8612C"/>
    <w:rsid w:val="00C863C8"/>
    <w:rsid w:val="00C86415"/>
    <w:rsid w:val="00C866E1"/>
    <w:rsid w:val="00C868CB"/>
    <w:rsid w:val="00C86D5B"/>
    <w:rsid w:val="00C86E66"/>
    <w:rsid w:val="00C86E79"/>
    <w:rsid w:val="00C8705C"/>
    <w:rsid w:val="00C872D7"/>
    <w:rsid w:val="00C87347"/>
    <w:rsid w:val="00C873C1"/>
    <w:rsid w:val="00C873E2"/>
    <w:rsid w:val="00C874B3"/>
    <w:rsid w:val="00C87568"/>
    <w:rsid w:val="00C8760D"/>
    <w:rsid w:val="00C877B6"/>
    <w:rsid w:val="00C877F7"/>
    <w:rsid w:val="00C878A3"/>
    <w:rsid w:val="00C878AA"/>
    <w:rsid w:val="00C87911"/>
    <w:rsid w:val="00C879E4"/>
    <w:rsid w:val="00C87A9B"/>
    <w:rsid w:val="00C87BEE"/>
    <w:rsid w:val="00C87C6E"/>
    <w:rsid w:val="00C87E7C"/>
    <w:rsid w:val="00C87EA7"/>
    <w:rsid w:val="00C87F20"/>
    <w:rsid w:val="00C87F3B"/>
    <w:rsid w:val="00C87F48"/>
    <w:rsid w:val="00C87FB0"/>
    <w:rsid w:val="00C8A851"/>
    <w:rsid w:val="00C900F4"/>
    <w:rsid w:val="00C90117"/>
    <w:rsid w:val="00C90129"/>
    <w:rsid w:val="00C9018D"/>
    <w:rsid w:val="00C901B7"/>
    <w:rsid w:val="00C90228"/>
    <w:rsid w:val="00C9027F"/>
    <w:rsid w:val="00C902A1"/>
    <w:rsid w:val="00C90479"/>
    <w:rsid w:val="00C90482"/>
    <w:rsid w:val="00C90512"/>
    <w:rsid w:val="00C90556"/>
    <w:rsid w:val="00C90584"/>
    <w:rsid w:val="00C905A9"/>
    <w:rsid w:val="00C907FF"/>
    <w:rsid w:val="00C909CD"/>
    <w:rsid w:val="00C90A32"/>
    <w:rsid w:val="00C90AE7"/>
    <w:rsid w:val="00C90AF6"/>
    <w:rsid w:val="00C90B25"/>
    <w:rsid w:val="00C90B61"/>
    <w:rsid w:val="00C90B9C"/>
    <w:rsid w:val="00C90C89"/>
    <w:rsid w:val="00C90D72"/>
    <w:rsid w:val="00C90EB9"/>
    <w:rsid w:val="00C90EC9"/>
    <w:rsid w:val="00C91319"/>
    <w:rsid w:val="00C913B6"/>
    <w:rsid w:val="00C913E0"/>
    <w:rsid w:val="00C91968"/>
    <w:rsid w:val="00C919E0"/>
    <w:rsid w:val="00C91C44"/>
    <w:rsid w:val="00C91D68"/>
    <w:rsid w:val="00C91E6A"/>
    <w:rsid w:val="00C91EF1"/>
    <w:rsid w:val="00C91F9A"/>
    <w:rsid w:val="00C921F6"/>
    <w:rsid w:val="00C92245"/>
    <w:rsid w:val="00C9245D"/>
    <w:rsid w:val="00C924EE"/>
    <w:rsid w:val="00C9255A"/>
    <w:rsid w:val="00C926B2"/>
    <w:rsid w:val="00C926C9"/>
    <w:rsid w:val="00C9273C"/>
    <w:rsid w:val="00C928DD"/>
    <w:rsid w:val="00C92930"/>
    <w:rsid w:val="00C92AF7"/>
    <w:rsid w:val="00C92BF2"/>
    <w:rsid w:val="00C92C4D"/>
    <w:rsid w:val="00C92CAB"/>
    <w:rsid w:val="00C92CBF"/>
    <w:rsid w:val="00C92DF8"/>
    <w:rsid w:val="00C92E39"/>
    <w:rsid w:val="00C92FB6"/>
    <w:rsid w:val="00C93060"/>
    <w:rsid w:val="00C93169"/>
    <w:rsid w:val="00C9324B"/>
    <w:rsid w:val="00C93324"/>
    <w:rsid w:val="00C93768"/>
    <w:rsid w:val="00C9379B"/>
    <w:rsid w:val="00C9387E"/>
    <w:rsid w:val="00C9391D"/>
    <w:rsid w:val="00C9392E"/>
    <w:rsid w:val="00C93A95"/>
    <w:rsid w:val="00C93BA1"/>
    <w:rsid w:val="00C93C05"/>
    <w:rsid w:val="00C93CE0"/>
    <w:rsid w:val="00C93D3F"/>
    <w:rsid w:val="00C93DFC"/>
    <w:rsid w:val="00C93E2F"/>
    <w:rsid w:val="00C93E36"/>
    <w:rsid w:val="00C93E44"/>
    <w:rsid w:val="00C93FCD"/>
    <w:rsid w:val="00C9402B"/>
    <w:rsid w:val="00C94112"/>
    <w:rsid w:val="00C942D2"/>
    <w:rsid w:val="00C942E9"/>
    <w:rsid w:val="00C94355"/>
    <w:rsid w:val="00C943B9"/>
    <w:rsid w:val="00C944E9"/>
    <w:rsid w:val="00C94514"/>
    <w:rsid w:val="00C945C8"/>
    <w:rsid w:val="00C94607"/>
    <w:rsid w:val="00C947DD"/>
    <w:rsid w:val="00C94804"/>
    <w:rsid w:val="00C9485B"/>
    <w:rsid w:val="00C9489E"/>
    <w:rsid w:val="00C948DF"/>
    <w:rsid w:val="00C948F5"/>
    <w:rsid w:val="00C94AC5"/>
    <w:rsid w:val="00C94DBF"/>
    <w:rsid w:val="00C94F7F"/>
    <w:rsid w:val="00C95106"/>
    <w:rsid w:val="00C95325"/>
    <w:rsid w:val="00C95359"/>
    <w:rsid w:val="00C9536D"/>
    <w:rsid w:val="00C957EF"/>
    <w:rsid w:val="00C958E4"/>
    <w:rsid w:val="00C95BAF"/>
    <w:rsid w:val="00C96085"/>
    <w:rsid w:val="00C961AB"/>
    <w:rsid w:val="00C962B6"/>
    <w:rsid w:val="00C96381"/>
    <w:rsid w:val="00C963BF"/>
    <w:rsid w:val="00C96517"/>
    <w:rsid w:val="00C96751"/>
    <w:rsid w:val="00C968A3"/>
    <w:rsid w:val="00C96AFE"/>
    <w:rsid w:val="00C96B70"/>
    <w:rsid w:val="00C96B9F"/>
    <w:rsid w:val="00C96BA5"/>
    <w:rsid w:val="00C96D09"/>
    <w:rsid w:val="00C96D80"/>
    <w:rsid w:val="00C96D91"/>
    <w:rsid w:val="00C96EDB"/>
    <w:rsid w:val="00C9731F"/>
    <w:rsid w:val="00C97400"/>
    <w:rsid w:val="00C97466"/>
    <w:rsid w:val="00C97563"/>
    <w:rsid w:val="00C975FE"/>
    <w:rsid w:val="00C97655"/>
    <w:rsid w:val="00C97706"/>
    <w:rsid w:val="00C97744"/>
    <w:rsid w:val="00C9775B"/>
    <w:rsid w:val="00C977C1"/>
    <w:rsid w:val="00C979E9"/>
    <w:rsid w:val="00C97A40"/>
    <w:rsid w:val="00C97B46"/>
    <w:rsid w:val="00C97B7D"/>
    <w:rsid w:val="00C97B8A"/>
    <w:rsid w:val="00C97CD1"/>
    <w:rsid w:val="00C97CE5"/>
    <w:rsid w:val="00C97E48"/>
    <w:rsid w:val="00CA0040"/>
    <w:rsid w:val="00CA018D"/>
    <w:rsid w:val="00CA01CC"/>
    <w:rsid w:val="00CA04D9"/>
    <w:rsid w:val="00CA05D7"/>
    <w:rsid w:val="00CA0768"/>
    <w:rsid w:val="00CA095C"/>
    <w:rsid w:val="00CA0ACD"/>
    <w:rsid w:val="00CA0C04"/>
    <w:rsid w:val="00CA0D1A"/>
    <w:rsid w:val="00CA0EA7"/>
    <w:rsid w:val="00CA1152"/>
    <w:rsid w:val="00CA120C"/>
    <w:rsid w:val="00CA14F6"/>
    <w:rsid w:val="00CA15D5"/>
    <w:rsid w:val="00CA16FA"/>
    <w:rsid w:val="00CA1984"/>
    <w:rsid w:val="00CA19A9"/>
    <w:rsid w:val="00CA1A18"/>
    <w:rsid w:val="00CA1B3A"/>
    <w:rsid w:val="00CA1B78"/>
    <w:rsid w:val="00CA1B98"/>
    <w:rsid w:val="00CA1B9E"/>
    <w:rsid w:val="00CA1BD0"/>
    <w:rsid w:val="00CA1DE4"/>
    <w:rsid w:val="00CA1E4F"/>
    <w:rsid w:val="00CA1E6E"/>
    <w:rsid w:val="00CA1FAE"/>
    <w:rsid w:val="00CA200C"/>
    <w:rsid w:val="00CA202E"/>
    <w:rsid w:val="00CA21C9"/>
    <w:rsid w:val="00CA2498"/>
    <w:rsid w:val="00CA2714"/>
    <w:rsid w:val="00CA274A"/>
    <w:rsid w:val="00CA2841"/>
    <w:rsid w:val="00CA2959"/>
    <w:rsid w:val="00CA2995"/>
    <w:rsid w:val="00CA2C08"/>
    <w:rsid w:val="00CA2D80"/>
    <w:rsid w:val="00CA2F2A"/>
    <w:rsid w:val="00CA2FCA"/>
    <w:rsid w:val="00CA3279"/>
    <w:rsid w:val="00CA3313"/>
    <w:rsid w:val="00CA33E2"/>
    <w:rsid w:val="00CA368E"/>
    <w:rsid w:val="00CA387C"/>
    <w:rsid w:val="00CA38C8"/>
    <w:rsid w:val="00CA3AE9"/>
    <w:rsid w:val="00CA3BE8"/>
    <w:rsid w:val="00CA3C56"/>
    <w:rsid w:val="00CA3F41"/>
    <w:rsid w:val="00CA43FE"/>
    <w:rsid w:val="00CA4709"/>
    <w:rsid w:val="00CA491B"/>
    <w:rsid w:val="00CA494E"/>
    <w:rsid w:val="00CA4AB2"/>
    <w:rsid w:val="00CA4ACF"/>
    <w:rsid w:val="00CA4B44"/>
    <w:rsid w:val="00CA4B4F"/>
    <w:rsid w:val="00CA4C09"/>
    <w:rsid w:val="00CA4D8E"/>
    <w:rsid w:val="00CA4DA1"/>
    <w:rsid w:val="00CA4E13"/>
    <w:rsid w:val="00CA501A"/>
    <w:rsid w:val="00CA516B"/>
    <w:rsid w:val="00CA541A"/>
    <w:rsid w:val="00CA563E"/>
    <w:rsid w:val="00CA585A"/>
    <w:rsid w:val="00CA58A7"/>
    <w:rsid w:val="00CA598B"/>
    <w:rsid w:val="00CA59BA"/>
    <w:rsid w:val="00CA5AB9"/>
    <w:rsid w:val="00CA5B30"/>
    <w:rsid w:val="00CA5D52"/>
    <w:rsid w:val="00CA5E3D"/>
    <w:rsid w:val="00CA5EEB"/>
    <w:rsid w:val="00CA61C8"/>
    <w:rsid w:val="00CA6356"/>
    <w:rsid w:val="00CA65D2"/>
    <w:rsid w:val="00CA695B"/>
    <w:rsid w:val="00CA6A9D"/>
    <w:rsid w:val="00CA6AA0"/>
    <w:rsid w:val="00CA6B49"/>
    <w:rsid w:val="00CA6D1A"/>
    <w:rsid w:val="00CA6E02"/>
    <w:rsid w:val="00CA6FDD"/>
    <w:rsid w:val="00CA7059"/>
    <w:rsid w:val="00CA7408"/>
    <w:rsid w:val="00CA74B0"/>
    <w:rsid w:val="00CA76B2"/>
    <w:rsid w:val="00CA76C0"/>
    <w:rsid w:val="00CA7718"/>
    <w:rsid w:val="00CA77AB"/>
    <w:rsid w:val="00CA78ED"/>
    <w:rsid w:val="00CA7A50"/>
    <w:rsid w:val="00CA7B0E"/>
    <w:rsid w:val="00CA7C25"/>
    <w:rsid w:val="00CA7C46"/>
    <w:rsid w:val="00CA7DC9"/>
    <w:rsid w:val="00CA7E08"/>
    <w:rsid w:val="00CA7F2C"/>
    <w:rsid w:val="00CB006B"/>
    <w:rsid w:val="00CB00C9"/>
    <w:rsid w:val="00CB011F"/>
    <w:rsid w:val="00CB01A8"/>
    <w:rsid w:val="00CB02C4"/>
    <w:rsid w:val="00CB02E5"/>
    <w:rsid w:val="00CB03BD"/>
    <w:rsid w:val="00CB0455"/>
    <w:rsid w:val="00CB065B"/>
    <w:rsid w:val="00CB06B0"/>
    <w:rsid w:val="00CB0776"/>
    <w:rsid w:val="00CB07D8"/>
    <w:rsid w:val="00CB088A"/>
    <w:rsid w:val="00CB088C"/>
    <w:rsid w:val="00CB0947"/>
    <w:rsid w:val="00CB0BE2"/>
    <w:rsid w:val="00CB0D30"/>
    <w:rsid w:val="00CB0E83"/>
    <w:rsid w:val="00CB0F80"/>
    <w:rsid w:val="00CB10E4"/>
    <w:rsid w:val="00CB128D"/>
    <w:rsid w:val="00CB132E"/>
    <w:rsid w:val="00CB13B4"/>
    <w:rsid w:val="00CB14BB"/>
    <w:rsid w:val="00CB15BD"/>
    <w:rsid w:val="00CB15E0"/>
    <w:rsid w:val="00CB1762"/>
    <w:rsid w:val="00CB187F"/>
    <w:rsid w:val="00CB18A2"/>
    <w:rsid w:val="00CB1BBE"/>
    <w:rsid w:val="00CB1C12"/>
    <w:rsid w:val="00CB1C63"/>
    <w:rsid w:val="00CB1DF4"/>
    <w:rsid w:val="00CB1E78"/>
    <w:rsid w:val="00CB204F"/>
    <w:rsid w:val="00CB214B"/>
    <w:rsid w:val="00CB221D"/>
    <w:rsid w:val="00CB226F"/>
    <w:rsid w:val="00CB233E"/>
    <w:rsid w:val="00CB2349"/>
    <w:rsid w:val="00CB2402"/>
    <w:rsid w:val="00CB24F6"/>
    <w:rsid w:val="00CB2550"/>
    <w:rsid w:val="00CB27A4"/>
    <w:rsid w:val="00CB27F0"/>
    <w:rsid w:val="00CB29DA"/>
    <w:rsid w:val="00CB2AC4"/>
    <w:rsid w:val="00CB2BA1"/>
    <w:rsid w:val="00CB2BD5"/>
    <w:rsid w:val="00CB2C35"/>
    <w:rsid w:val="00CB2C68"/>
    <w:rsid w:val="00CB2C84"/>
    <w:rsid w:val="00CB2D79"/>
    <w:rsid w:val="00CB2EDA"/>
    <w:rsid w:val="00CB30CC"/>
    <w:rsid w:val="00CB324C"/>
    <w:rsid w:val="00CB334D"/>
    <w:rsid w:val="00CB3469"/>
    <w:rsid w:val="00CB34E1"/>
    <w:rsid w:val="00CB362D"/>
    <w:rsid w:val="00CB36BF"/>
    <w:rsid w:val="00CB3755"/>
    <w:rsid w:val="00CB382C"/>
    <w:rsid w:val="00CB383C"/>
    <w:rsid w:val="00CB38AC"/>
    <w:rsid w:val="00CB38D5"/>
    <w:rsid w:val="00CB3C98"/>
    <w:rsid w:val="00CB3CA7"/>
    <w:rsid w:val="00CB3DB8"/>
    <w:rsid w:val="00CB3E58"/>
    <w:rsid w:val="00CB3ED4"/>
    <w:rsid w:val="00CB3F1E"/>
    <w:rsid w:val="00CB40A1"/>
    <w:rsid w:val="00CB43C7"/>
    <w:rsid w:val="00CB466E"/>
    <w:rsid w:val="00CB46CA"/>
    <w:rsid w:val="00CB4706"/>
    <w:rsid w:val="00CB47EB"/>
    <w:rsid w:val="00CB4821"/>
    <w:rsid w:val="00CB483D"/>
    <w:rsid w:val="00CB495E"/>
    <w:rsid w:val="00CB4A09"/>
    <w:rsid w:val="00CB4B16"/>
    <w:rsid w:val="00CB4CB0"/>
    <w:rsid w:val="00CB4CB7"/>
    <w:rsid w:val="00CB4D77"/>
    <w:rsid w:val="00CB4E0B"/>
    <w:rsid w:val="00CB51C1"/>
    <w:rsid w:val="00CB51C3"/>
    <w:rsid w:val="00CB545D"/>
    <w:rsid w:val="00CB54BB"/>
    <w:rsid w:val="00CB562E"/>
    <w:rsid w:val="00CB5636"/>
    <w:rsid w:val="00CB58F6"/>
    <w:rsid w:val="00CB5C17"/>
    <w:rsid w:val="00CB5C50"/>
    <w:rsid w:val="00CB5CA0"/>
    <w:rsid w:val="00CB5DA7"/>
    <w:rsid w:val="00CB5F12"/>
    <w:rsid w:val="00CB5F84"/>
    <w:rsid w:val="00CB6007"/>
    <w:rsid w:val="00CB610C"/>
    <w:rsid w:val="00CB6153"/>
    <w:rsid w:val="00CB617A"/>
    <w:rsid w:val="00CB6201"/>
    <w:rsid w:val="00CB6416"/>
    <w:rsid w:val="00CB64D9"/>
    <w:rsid w:val="00CB6542"/>
    <w:rsid w:val="00CB6577"/>
    <w:rsid w:val="00CB65C4"/>
    <w:rsid w:val="00CB664D"/>
    <w:rsid w:val="00CB66D6"/>
    <w:rsid w:val="00CB67F4"/>
    <w:rsid w:val="00CB680F"/>
    <w:rsid w:val="00CB6BA6"/>
    <w:rsid w:val="00CB6C22"/>
    <w:rsid w:val="00CB6C9A"/>
    <w:rsid w:val="00CB6CD6"/>
    <w:rsid w:val="00CB6DFC"/>
    <w:rsid w:val="00CB6EB7"/>
    <w:rsid w:val="00CB6F8C"/>
    <w:rsid w:val="00CB7046"/>
    <w:rsid w:val="00CB708A"/>
    <w:rsid w:val="00CB7110"/>
    <w:rsid w:val="00CB7308"/>
    <w:rsid w:val="00CB7343"/>
    <w:rsid w:val="00CB74AE"/>
    <w:rsid w:val="00CB76AF"/>
    <w:rsid w:val="00CB77A7"/>
    <w:rsid w:val="00CB79C9"/>
    <w:rsid w:val="00CB79FB"/>
    <w:rsid w:val="00CB7B50"/>
    <w:rsid w:val="00CB7C1D"/>
    <w:rsid w:val="00CB7D6B"/>
    <w:rsid w:val="00CB7E3A"/>
    <w:rsid w:val="00CB7EF4"/>
    <w:rsid w:val="00CBF214"/>
    <w:rsid w:val="00CC0018"/>
    <w:rsid w:val="00CC0123"/>
    <w:rsid w:val="00CC0219"/>
    <w:rsid w:val="00CC02A3"/>
    <w:rsid w:val="00CC02E3"/>
    <w:rsid w:val="00CC0363"/>
    <w:rsid w:val="00CC0368"/>
    <w:rsid w:val="00CC04F9"/>
    <w:rsid w:val="00CC0582"/>
    <w:rsid w:val="00CC0729"/>
    <w:rsid w:val="00CC074D"/>
    <w:rsid w:val="00CC0764"/>
    <w:rsid w:val="00CC07B9"/>
    <w:rsid w:val="00CC08DD"/>
    <w:rsid w:val="00CC08E3"/>
    <w:rsid w:val="00CC0AE6"/>
    <w:rsid w:val="00CC0B19"/>
    <w:rsid w:val="00CC0B6F"/>
    <w:rsid w:val="00CC0D7C"/>
    <w:rsid w:val="00CC0EDC"/>
    <w:rsid w:val="00CC0F50"/>
    <w:rsid w:val="00CC104D"/>
    <w:rsid w:val="00CC119D"/>
    <w:rsid w:val="00CC1309"/>
    <w:rsid w:val="00CC139C"/>
    <w:rsid w:val="00CC13CA"/>
    <w:rsid w:val="00CC1632"/>
    <w:rsid w:val="00CC1ABE"/>
    <w:rsid w:val="00CC1CEE"/>
    <w:rsid w:val="00CC1D04"/>
    <w:rsid w:val="00CC1DD2"/>
    <w:rsid w:val="00CC1EC1"/>
    <w:rsid w:val="00CC1F94"/>
    <w:rsid w:val="00CC1F9B"/>
    <w:rsid w:val="00CC2040"/>
    <w:rsid w:val="00CC22B9"/>
    <w:rsid w:val="00CC2461"/>
    <w:rsid w:val="00CC27E5"/>
    <w:rsid w:val="00CC284E"/>
    <w:rsid w:val="00CC297F"/>
    <w:rsid w:val="00CC2B45"/>
    <w:rsid w:val="00CC2B4C"/>
    <w:rsid w:val="00CC2B77"/>
    <w:rsid w:val="00CC2B9A"/>
    <w:rsid w:val="00CC2BBA"/>
    <w:rsid w:val="00CC2C4B"/>
    <w:rsid w:val="00CC2D47"/>
    <w:rsid w:val="00CC2D6A"/>
    <w:rsid w:val="00CC2D72"/>
    <w:rsid w:val="00CC2EC1"/>
    <w:rsid w:val="00CC30D5"/>
    <w:rsid w:val="00CC310E"/>
    <w:rsid w:val="00CC3169"/>
    <w:rsid w:val="00CC317F"/>
    <w:rsid w:val="00CC31D8"/>
    <w:rsid w:val="00CC32BD"/>
    <w:rsid w:val="00CC32C9"/>
    <w:rsid w:val="00CC3318"/>
    <w:rsid w:val="00CC34DC"/>
    <w:rsid w:val="00CC3526"/>
    <w:rsid w:val="00CC35CA"/>
    <w:rsid w:val="00CC35FA"/>
    <w:rsid w:val="00CC38A5"/>
    <w:rsid w:val="00CC3A0C"/>
    <w:rsid w:val="00CC3D26"/>
    <w:rsid w:val="00CC3D98"/>
    <w:rsid w:val="00CC4002"/>
    <w:rsid w:val="00CC40F1"/>
    <w:rsid w:val="00CC42D3"/>
    <w:rsid w:val="00CC42E9"/>
    <w:rsid w:val="00CC4363"/>
    <w:rsid w:val="00CC43AC"/>
    <w:rsid w:val="00CC44E8"/>
    <w:rsid w:val="00CC4545"/>
    <w:rsid w:val="00CC45F3"/>
    <w:rsid w:val="00CC4614"/>
    <w:rsid w:val="00CC4735"/>
    <w:rsid w:val="00CC47AE"/>
    <w:rsid w:val="00CC47C1"/>
    <w:rsid w:val="00CC485C"/>
    <w:rsid w:val="00CC4928"/>
    <w:rsid w:val="00CC4AA0"/>
    <w:rsid w:val="00CC4AD7"/>
    <w:rsid w:val="00CC4BFE"/>
    <w:rsid w:val="00CC4C76"/>
    <w:rsid w:val="00CC4D7E"/>
    <w:rsid w:val="00CC4D9D"/>
    <w:rsid w:val="00CC4DA1"/>
    <w:rsid w:val="00CC4DC3"/>
    <w:rsid w:val="00CC4EA7"/>
    <w:rsid w:val="00CC4EBA"/>
    <w:rsid w:val="00CC51C3"/>
    <w:rsid w:val="00CC5225"/>
    <w:rsid w:val="00CC522D"/>
    <w:rsid w:val="00CC5280"/>
    <w:rsid w:val="00CC561A"/>
    <w:rsid w:val="00CC583C"/>
    <w:rsid w:val="00CC584D"/>
    <w:rsid w:val="00CC596A"/>
    <w:rsid w:val="00CC5A50"/>
    <w:rsid w:val="00CC5D70"/>
    <w:rsid w:val="00CC5EAA"/>
    <w:rsid w:val="00CC5EC1"/>
    <w:rsid w:val="00CC5F0D"/>
    <w:rsid w:val="00CC5FDF"/>
    <w:rsid w:val="00CC60A6"/>
    <w:rsid w:val="00CC61B8"/>
    <w:rsid w:val="00CC61C4"/>
    <w:rsid w:val="00CC62F7"/>
    <w:rsid w:val="00CC632A"/>
    <w:rsid w:val="00CC6359"/>
    <w:rsid w:val="00CC646A"/>
    <w:rsid w:val="00CC6542"/>
    <w:rsid w:val="00CC658F"/>
    <w:rsid w:val="00CC6666"/>
    <w:rsid w:val="00CC66F9"/>
    <w:rsid w:val="00CC67A7"/>
    <w:rsid w:val="00CC67CB"/>
    <w:rsid w:val="00CC67D2"/>
    <w:rsid w:val="00CC695B"/>
    <w:rsid w:val="00CC69FB"/>
    <w:rsid w:val="00CC6A52"/>
    <w:rsid w:val="00CC6AF1"/>
    <w:rsid w:val="00CC6BC1"/>
    <w:rsid w:val="00CC6C4C"/>
    <w:rsid w:val="00CC6C82"/>
    <w:rsid w:val="00CC6CA3"/>
    <w:rsid w:val="00CC6D1C"/>
    <w:rsid w:val="00CC6D8E"/>
    <w:rsid w:val="00CC6E80"/>
    <w:rsid w:val="00CC6FAB"/>
    <w:rsid w:val="00CC70FA"/>
    <w:rsid w:val="00CC71EB"/>
    <w:rsid w:val="00CC7223"/>
    <w:rsid w:val="00CC7407"/>
    <w:rsid w:val="00CC74F7"/>
    <w:rsid w:val="00CC7521"/>
    <w:rsid w:val="00CC75B3"/>
    <w:rsid w:val="00CC75EF"/>
    <w:rsid w:val="00CC763D"/>
    <w:rsid w:val="00CC7692"/>
    <w:rsid w:val="00CC77CA"/>
    <w:rsid w:val="00CC79F0"/>
    <w:rsid w:val="00CC7B78"/>
    <w:rsid w:val="00CC7B86"/>
    <w:rsid w:val="00CC7BE5"/>
    <w:rsid w:val="00CC7CD6"/>
    <w:rsid w:val="00CC7E0D"/>
    <w:rsid w:val="00CC7E0F"/>
    <w:rsid w:val="00CC7E25"/>
    <w:rsid w:val="00CC7E59"/>
    <w:rsid w:val="00CD034C"/>
    <w:rsid w:val="00CD03B6"/>
    <w:rsid w:val="00CD03BE"/>
    <w:rsid w:val="00CD0509"/>
    <w:rsid w:val="00CD0646"/>
    <w:rsid w:val="00CD0693"/>
    <w:rsid w:val="00CD06C0"/>
    <w:rsid w:val="00CD0776"/>
    <w:rsid w:val="00CD080D"/>
    <w:rsid w:val="00CD0846"/>
    <w:rsid w:val="00CD09EA"/>
    <w:rsid w:val="00CD0C09"/>
    <w:rsid w:val="00CD0D5F"/>
    <w:rsid w:val="00CD0D77"/>
    <w:rsid w:val="00CD0D7F"/>
    <w:rsid w:val="00CD0F2B"/>
    <w:rsid w:val="00CD112F"/>
    <w:rsid w:val="00CD1158"/>
    <w:rsid w:val="00CD115D"/>
    <w:rsid w:val="00CD1442"/>
    <w:rsid w:val="00CD1617"/>
    <w:rsid w:val="00CD16C6"/>
    <w:rsid w:val="00CD1737"/>
    <w:rsid w:val="00CD1749"/>
    <w:rsid w:val="00CD174E"/>
    <w:rsid w:val="00CD176B"/>
    <w:rsid w:val="00CD1818"/>
    <w:rsid w:val="00CD1895"/>
    <w:rsid w:val="00CD1A52"/>
    <w:rsid w:val="00CD1ACA"/>
    <w:rsid w:val="00CD1D17"/>
    <w:rsid w:val="00CD1D34"/>
    <w:rsid w:val="00CD1EBA"/>
    <w:rsid w:val="00CD1F95"/>
    <w:rsid w:val="00CD2073"/>
    <w:rsid w:val="00CD2317"/>
    <w:rsid w:val="00CD237B"/>
    <w:rsid w:val="00CD2488"/>
    <w:rsid w:val="00CD25D0"/>
    <w:rsid w:val="00CD25DC"/>
    <w:rsid w:val="00CD279E"/>
    <w:rsid w:val="00CD27B8"/>
    <w:rsid w:val="00CD2ABD"/>
    <w:rsid w:val="00CD2D9E"/>
    <w:rsid w:val="00CD2DD2"/>
    <w:rsid w:val="00CD2DEF"/>
    <w:rsid w:val="00CD2F62"/>
    <w:rsid w:val="00CD2FB6"/>
    <w:rsid w:val="00CD30DC"/>
    <w:rsid w:val="00CD341A"/>
    <w:rsid w:val="00CD34CA"/>
    <w:rsid w:val="00CD35A4"/>
    <w:rsid w:val="00CD35CA"/>
    <w:rsid w:val="00CD3666"/>
    <w:rsid w:val="00CD3672"/>
    <w:rsid w:val="00CD369D"/>
    <w:rsid w:val="00CD36A1"/>
    <w:rsid w:val="00CD377B"/>
    <w:rsid w:val="00CD3AD6"/>
    <w:rsid w:val="00CD3C2B"/>
    <w:rsid w:val="00CD3E1D"/>
    <w:rsid w:val="00CD3EA5"/>
    <w:rsid w:val="00CD3EFB"/>
    <w:rsid w:val="00CD3F76"/>
    <w:rsid w:val="00CD415E"/>
    <w:rsid w:val="00CD41BF"/>
    <w:rsid w:val="00CD42AE"/>
    <w:rsid w:val="00CD43D5"/>
    <w:rsid w:val="00CD4480"/>
    <w:rsid w:val="00CD460A"/>
    <w:rsid w:val="00CD4779"/>
    <w:rsid w:val="00CD48AF"/>
    <w:rsid w:val="00CD4906"/>
    <w:rsid w:val="00CD495D"/>
    <w:rsid w:val="00CD49AB"/>
    <w:rsid w:val="00CD49DF"/>
    <w:rsid w:val="00CD4A1C"/>
    <w:rsid w:val="00CD4B77"/>
    <w:rsid w:val="00CD4BD9"/>
    <w:rsid w:val="00CD4CA5"/>
    <w:rsid w:val="00CD4D81"/>
    <w:rsid w:val="00CD4E16"/>
    <w:rsid w:val="00CD4E90"/>
    <w:rsid w:val="00CD5114"/>
    <w:rsid w:val="00CD5197"/>
    <w:rsid w:val="00CD52E1"/>
    <w:rsid w:val="00CD5333"/>
    <w:rsid w:val="00CD53E4"/>
    <w:rsid w:val="00CD5402"/>
    <w:rsid w:val="00CD5443"/>
    <w:rsid w:val="00CD5526"/>
    <w:rsid w:val="00CD566A"/>
    <w:rsid w:val="00CD57EE"/>
    <w:rsid w:val="00CD58DA"/>
    <w:rsid w:val="00CD595F"/>
    <w:rsid w:val="00CD59A1"/>
    <w:rsid w:val="00CD59C1"/>
    <w:rsid w:val="00CD5A80"/>
    <w:rsid w:val="00CD5AC2"/>
    <w:rsid w:val="00CD5ACB"/>
    <w:rsid w:val="00CD5BAF"/>
    <w:rsid w:val="00CD5D58"/>
    <w:rsid w:val="00CD5D8B"/>
    <w:rsid w:val="00CD5E68"/>
    <w:rsid w:val="00CD5E9D"/>
    <w:rsid w:val="00CD5F6E"/>
    <w:rsid w:val="00CD6091"/>
    <w:rsid w:val="00CD60E0"/>
    <w:rsid w:val="00CD6114"/>
    <w:rsid w:val="00CD64A3"/>
    <w:rsid w:val="00CD65DA"/>
    <w:rsid w:val="00CD6700"/>
    <w:rsid w:val="00CD698D"/>
    <w:rsid w:val="00CD6A21"/>
    <w:rsid w:val="00CD6A42"/>
    <w:rsid w:val="00CD6C51"/>
    <w:rsid w:val="00CD6DBA"/>
    <w:rsid w:val="00CD6FED"/>
    <w:rsid w:val="00CD709F"/>
    <w:rsid w:val="00CD70D7"/>
    <w:rsid w:val="00CD7213"/>
    <w:rsid w:val="00CD7294"/>
    <w:rsid w:val="00CD7445"/>
    <w:rsid w:val="00CD7480"/>
    <w:rsid w:val="00CD748F"/>
    <w:rsid w:val="00CD7535"/>
    <w:rsid w:val="00CD76FE"/>
    <w:rsid w:val="00CD7744"/>
    <w:rsid w:val="00CD784E"/>
    <w:rsid w:val="00CD7BD5"/>
    <w:rsid w:val="00CD7C26"/>
    <w:rsid w:val="00CD7D32"/>
    <w:rsid w:val="00CD7E84"/>
    <w:rsid w:val="00CD9C12"/>
    <w:rsid w:val="00CE0169"/>
    <w:rsid w:val="00CE0230"/>
    <w:rsid w:val="00CE0242"/>
    <w:rsid w:val="00CE054F"/>
    <w:rsid w:val="00CE06C6"/>
    <w:rsid w:val="00CE07D9"/>
    <w:rsid w:val="00CE081D"/>
    <w:rsid w:val="00CE0A08"/>
    <w:rsid w:val="00CE0A0E"/>
    <w:rsid w:val="00CE0A64"/>
    <w:rsid w:val="00CE0A8D"/>
    <w:rsid w:val="00CE0BAC"/>
    <w:rsid w:val="00CE0DED"/>
    <w:rsid w:val="00CE109F"/>
    <w:rsid w:val="00CE10F8"/>
    <w:rsid w:val="00CE11D5"/>
    <w:rsid w:val="00CE123B"/>
    <w:rsid w:val="00CE1267"/>
    <w:rsid w:val="00CE1287"/>
    <w:rsid w:val="00CE128F"/>
    <w:rsid w:val="00CE1393"/>
    <w:rsid w:val="00CE1403"/>
    <w:rsid w:val="00CE14DB"/>
    <w:rsid w:val="00CE14DE"/>
    <w:rsid w:val="00CE151D"/>
    <w:rsid w:val="00CE155A"/>
    <w:rsid w:val="00CE1582"/>
    <w:rsid w:val="00CE15C5"/>
    <w:rsid w:val="00CE1747"/>
    <w:rsid w:val="00CE17EE"/>
    <w:rsid w:val="00CE19D8"/>
    <w:rsid w:val="00CE1B00"/>
    <w:rsid w:val="00CE1C2D"/>
    <w:rsid w:val="00CE1C2F"/>
    <w:rsid w:val="00CE1C76"/>
    <w:rsid w:val="00CE1E0E"/>
    <w:rsid w:val="00CE1FC3"/>
    <w:rsid w:val="00CE20A3"/>
    <w:rsid w:val="00CE20C1"/>
    <w:rsid w:val="00CE2166"/>
    <w:rsid w:val="00CE2249"/>
    <w:rsid w:val="00CE22CE"/>
    <w:rsid w:val="00CE22EE"/>
    <w:rsid w:val="00CE22FF"/>
    <w:rsid w:val="00CE2492"/>
    <w:rsid w:val="00CE2529"/>
    <w:rsid w:val="00CE2546"/>
    <w:rsid w:val="00CE26E4"/>
    <w:rsid w:val="00CE2761"/>
    <w:rsid w:val="00CE2802"/>
    <w:rsid w:val="00CE2844"/>
    <w:rsid w:val="00CE2A6F"/>
    <w:rsid w:val="00CE2B03"/>
    <w:rsid w:val="00CE2E69"/>
    <w:rsid w:val="00CE2F30"/>
    <w:rsid w:val="00CE2F4E"/>
    <w:rsid w:val="00CE30A6"/>
    <w:rsid w:val="00CE30E8"/>
    <w:rsid w:val="00CE3157"/>
    <w:rsid w:val="00CE32A3"/>
    <w:rsid w:val="00CE3317"/>
    <w:rsid w:val="00CE33B3"/>
    <w:rsid w:val="00CE3422"/>
    <w:rsid w:val="00CE349A"/>
    <w:rsid w:val="00CE34B4"/>
    <w:rsid w:val="00CE34E4"/>
    <w:rsid w:val="00CE35EE"/>
    <w:rsid w:val="00CE371C"/>
    <w:rsid w:val="00CE3893"/>
    <w:rsid w:val="00CE3A77"/>
    <w:rsid w:val="00CE3A86"/>
    <w:rsid w:val="00CE3D5C"/>
    <w:rsid w:val="00CE3DD1"/>
    <w:rsid w:val="00CE3E93"/>
    <w:rsid w:val="00CE3F69"/>
    <w:rsid w:val="00CE3FBF"/>
    <w:rsid w:val="00CE417E"/>
    <w:rsid w:val="00CE41FC"/>
    <w:rsid w:val="00CE422A"/>
    <w:rsid w:val="00CE4290"/>
    <w:rsid w:val="00CE429E"/>
    <w:rsid w:val="00CE440A"/>
    <w:rsid w:val="00CE4521"/>
    <w:rsid w:val="00CE455B"/>
    <w:rsid w:val="00CE4641"/>
    <w:rsid w:val="00CE471B"/>
    <w:rsid w:val="00CE4920"/>
    <w:rsid w:val="00CE494C"/>
    <w:rsid w:val="00CE496C"/>
    <w:rsid w:val="00CE4975"/>
    <w:rsid w:val="00CE4A24"/>
    <w:rsid w:val="00CE4A7D"/>
    <w:rsid w:val="00CE4BB0"/>
    <w:rsid w:val="00CE4BE3"/>
    <w:rsid w:val="00CE4C92"/>
    <w:rsid w:val="00CE4CFE"/>
    <w:rsid w:val="00CE4D66"/>
    <w:rsid w:val="00CE4DD4"/>
    <w:rsid w:val="00CE4E35"/>
    <w:rsid w:val="00CE4E66"/>
    <w:rsid w:val="00CE5048"/>
    <w:rsid w:val="00CE5077"/>
    <w:rsid w:val="00CE5446"/>
    <w:rsid w:val="00CE545D"/>
    <w:rsid w:val="00CE5491"/>
    <w:rsid w:val="00CE5704"/>
    <w:rsid w:val="00CE5819"/>
    <w:rsid w:val="00CE5851"/>
    <w:rsid w:val="00CE5938"/>
    <w:rsid w:val="00CE59C3"/>
    <w:rsid w:val="00CE59FA"/>
    <w:rsid w:val="00CE5A56"/>
    <w:rsid w:val="00CE5AAD"/>
    <w:rsid w:val="00CE5B6E"/>
    <w:rsid w:val="00CE5D0B"/>
    <w:rsid w:val="00CE6272"/>
    <w:rsid w:val="00CE62D9"/>
    <w:rsid w:val="00CE654E"/>
    <w:rsid w:val="00CE655C"/>
    <w:rsid w:val="00CE6599"/>
    <w:rsid w:val="00CE6A36"/>
    <w:rsid w:val="00CE6A5F"/>
    <w:rsid w:val="00CE6C89"/>
    <w:rsid w:val="00CE6C8A"/>
    <w:rsid w:val="00CE6D6D"/>
    <w:rsid w:val="00CE6D73"/>
    <w:rsid w:val="00CE6DB0"/>
    <w:rsid w:val="00CE6F01"/>
    <w:rsid w:val="00CE6F66"/>
    <w:rsid w:val="00CE7304"/>
    <w:rsid w:val="00CE7435"/>
    <w:rsid w:val="00CE7502"/>
    <w:rsid w:val="00CE788A"/>
    <w:rsid w:val="00CE7A45"/>
    <w:rsid w:val="00CE7BF1"/>
    <w:rsid w:val="00CE7BF2"/>
    <w:rsid w:val="00CE7CBD"/>
    <w:rsid w:val="00CE7CEB"/>
    <w:rsid w:val="00CE7DE7"/>
    <w:rsid w:val="00CE7DF6"/>
    <w:rsid w:val="00CE7E01"/>
    <w:rsid w:val="00CE7E47"/>
    <w:rsid w:val="00CE7F83"/>
    <w:rsid w:val="00CE7FAD"/>
    <w:rsid w:val="00CE7FF8"/>
    <w:rsid w:val="00CEBDA5"/>
    <w:rsid w:val="00CF002E"/>
    <w:rsid w:val="00CF00AD"/>
    <w:rsid w:val="00CF00FD"/>
    <w:rsid w:val="00CF02A0"/>
    <w:rsid w:val="00CF02D8"/>
    <w:rsid w:val="00CF051C"/>
    <w:rsid w:val="00CF05DC"/>
    <w:rsid w:val="00CF0610"/>
    <w:rsid w:val="00CF0632"/>
    <w:rsid w:val="00CF0658"/>
    <w:rsid w:val="00CF0807"/>
    <w:rsid w:val="00CF095F"/>
    <w:rsid w:val="00CF097A"/>
    <w:rsid w:val="00CF0B15"/>
    <w:rsid w:val="00CF0C5D"/>
    <w:rsid w:val="00CF0D68"/>
    <w:rsid w:val="00CF0D89"/>
    <w:rsid w:val="00CF0D96"/>
    <w:rsid w:val="00CF0E1D"/>
    <w:rsid w:val="00CF1065"/>
    <w:rsid w:val="00CF106F"/>
    <w:rsid w:val="00CF1127"/>
    <w:rsid w:val="00CF1182"/>
    <w:rsid w:val="00CF12DB"/>
    <w:rsid w:val="00CF1382"/>
    <w:rsid w:val="00CF139F"/>
    <w:rsid w:val="00CF13AD"/>
    <w:rsid w:val="00CF167E"/>
    <w:rsid w:val="00CF1727"/>
    <w:rsid w:val="00CF173C"/>
    <w:rsid w:val="00CF1775"/>
    <w:rsid w:val="00CF19FA"/>
    <w:rsid w:val="00CF1CAC"/>
    <w:rsid w:val="00CF1E7D"/>
    <w:rsid w:val="00CF1F06"/>
    <w:rsid w:val="00CF1F16"/>
    <w:rsid w:val="00CF1F6E"/>
    <w:rsid w:val="00CF20C8"/>
    <w:rsid w:val="00CF211A"/>
    <w:rsid w:val="00CF2122"/>
    <w:rsid w:val="00CF22A9"/>
    <w:rsid w:val="00CF23A5"/>
    <w:rsid w:val="00CF24A2"/>
    <w:rsid w:val="00CF24F0"/>
    <w:rsid w:val="00CF253C"/>
    <w:rsid w:val="00CF254D"/>
    <w:rsid w:val="00CF258F"/>
    <w:rsid w:val="00CF25C5"/>
    <w:rsid w:val="00CF2867"/>
    <w:rsid w:val="00CF28AB"/>
    <w:rsid w:val="00CF2A31"/>
    <w:rsid w:val="00CF2B8E"/>
    <w:rsid w:val="00CF2C19"/>
    <w:rsid w:val="00CF2CEC"/>
    <w:rsid w:val="00CF2D6E"/>
    <w:rsid w:val="00CF2E1B"/>
    <w:rsid w:val="00CF2EE0"/>
    <w:rsid w:val="00CF2F3C"/>
    <w:rsid w:val="00CF3042"/>
    <w:rsid w:val="00CF3199"/>
    <w:rsid w:val="00CF3345"/>
    <w:rsid w:val="00CF33EA"/>
    <w:rsid w:val="00CF3836"/>
    <w:rsid w:val="00CF3958"/>
    <w:rsid w:val="00CF39A7"/>
    <w:rsid w:val="00CF3A52"/>
    <w:rsid w:val="00CF3B86"/>
    <w:rsid w:val="00CF3F74"/>
    <w:rsid w:val="00CF4107"/>
    <w:rsid w:val="00CF4127"/>
    <w:rsid w:val="00CF419C"/>
    <w:rsid w:val="00CF428E"/>
    <w:rsid w:val="00CF43BE"/>
    <w:rsid w:val="00CF44B8"/>
    <w:rsid w:val="00CF44E2"/>
    <w:rsid w:val="00CF46F6"/>
    <w:rsid w:val="00CF4747"/>
    <w:rsid w:val="00CF49EA"/>
    <w:rsid w:val="00CF4B2E"/>
    <w:rsid w:val="00CF4B30"/>
    <w:rsid w:val="00CF4C14"/>
    <w:rsid w:val="00CF4C6C"/>
    <w:rsid w:val="00CF4D68"/>
    <w:rsid w:val="00CF4EEB"/>
    <w:rsid w:val="00CF5036"/>
    <w:rsid w:val="00CF51DB"/>
    <w:rsid w:val="00CF52A9"/>
    <w:rsid w:val="00CF53FE"/>
    <w:rsid w:val="00CF5532"/>
    <w:rsid w:val="00CF5534"/>
    <w:rsid w:val="00CF571F"/>
    <w:rsid w:val="00CF5A47"/>
    <w:rsid w:val="00CF5AB8"/>
    <w:rsid w:val="00CF5C96"/>
    <w:rsid w:val="00CF5DB7"/>
    <w:rsid w:val="00CF6063"/>
    <w:rsid w:val="00CF6069"/>
    <w:rsid w:val="00CF6081"/>
    <w:rsid w:val="00CF60C4"/>
    <w:rsid w:val="00CF6156"/>
    <w:rsid w:val="00CF62C9"/>
    <w:rsid w:val="00CF62DB"/>
    <w:rsid w:val="00CF639B"/>
    <w:rsid w:val="00CF6581"/>
    <w:rsid w:val="00CF66A4"/>
    <w:rsid w:val="00CF670A"/>
    <w:rsid w:val="00CF670B"/>
    <w:rsid w:val="00CF6855"/>
    <w:rsid w:val="00CF686A"/>
    <w:rsid w:val="00CF68B0"/>
    <w:rsid w:val="00CF6981"/>
    <w:rsid w:val="00CF69A9"/>
    <w:rsid w:val="00CF69EB"/>
    <w:rsid w:val="00CF69FE"/>
    <w:rsid w:val="00CF6A05"/>
    <w:rsid w:val="00CF6AE9"/>
    <w:rsid w:val="00CF6BB9"/>
    <w:rsid w:val="00CF6CDC"/>
    <w:rsid w:val="00CF6CF4"/>
    <w:rsid w:val="00CF6E21"/>
    <w:rsid w:val="00CF6E3C"/>
    <w:rsid w:val="00CF6E4A"/>
    <w:rsid w:val="00CF705B"/>
    <w:rsid w:val="00CF7105"/>
    <w:rsid w:val="00CF7119"/>
    <w:rsid w:val="00CF712D"/>
    <w:rsid w:val="00CF71EE"/>
    <w:rsid w:val="00CF725F"/>
    <w:rsid w:val="00CF7361"/>
    <w:rsid w:val="00CF75EA"/>
    <w:rsid w:val="00CF7759"/>
    <w:rsid w:val="00CF7916"/>
    <w:rsid w:val="00CF7987"/>
    <w:rsid w:val="00CF7B05"/>
    <w:rsid w:val="00CF7CDD"/>
    <w:rsid w:val="00CF7D62"/>
    <w:rsid w:val="00CF7E22"/>
    <w:rsid w:val="00CF7FAA"/>
    <w:rsid w:val="00CF7FB8"/>
    <w:rsid w:val="00D0003C"/>
    <w:rsid w:val="00D001A8"/>
    <w:rsid w:val="00D00240"/>
    <w:rsid w:val="00D003A3"/>
    <w:rsid w:val="00D00723"/>
    <w:rsid w:val="00D007FA"/>
    <w:rsid w:val="00D0088A"/>
    <w:rsid w:val="00D0089A"/>
    <w:rsid w:val="00D008C1"/>
    <w:rsid w:val="00D0099C"/>
    <w:rsid w:val="00D00DF4"/>
    <w:rsid w:val="00D01101"/>
    <w:rsid w:val="00D0116A"/>
    <w:rsid w:val="00D01190"/>
    <w:rsid w:val="00D0130F"/>
    <w:rsid w:val="00D01434"/>
    <w:rsid w:val="00D0157A"/>
    <w:rsid w:val="00D01819"/>
    <w:rsid w:val="00D01921"/>
    <w:rsid w:val="00D01967"/>
    <w:rsid w:val="00D0196A"/>
    <w:rsid w:val="00D019C9"/>
    <w:rsid w:val="00D01BC6"/>
    <w:rsid w:val="00D01F1A"/>
    <w:rsid w:val="00D01FF1"/>
    <w:rsid w:val="00D025BB"/>
    <w:rsid w:val="00D0272F"/>
    <w:rsid w:val="00D0276F"/>
    <w:rsid w:val="00D0279C"/>
    <w:rsid w:val="00D02A68"/>
    <w:rsid w:val="00D02B2F"/>
    <w:rsid w:val="00D02B6D"/>
    <w:rsid w:val="00D02C68"/>
    <w:rsid w:val="00D02D4A"/>
    <w:rsid w:val="00D02E5B"/>
    <w:rsid w:val="00D02E6E"/>
    <w:rsid w:val="00D02FBC"/>
    <w:rsid w:val="00D031A4"/>
    <w:rsid w:val="00D031A8"/>
    <w:rsid w:val="00D031FB"/>
    <w:rsid w:val="00D0324D"/>
    <w:rsid w:val="00D03286"/>
    <w:rsid w:val="00D0329F"/>
    <w:rsid w:val="00D03381"/>
    <w:rsid w:val="00D036E3"/>
    <w:rsid w:val="00D036E7"/>
    <w:rsid w:val="00D03903"/>
    <w:rsid w:val="00D039AD"/>
    <w:rsid w:val="00D03A16"/>
    <w:rsid w:val="00D03A4C"/>
    <w:rsid w:val="00D03A53"/>
    <w:rsid w:val="00D03AB6"/>
    <w:rsid w:val="00D03B23"/>
    <w:rsid w:val="00D03CC6"/>
    <w:rsid w:val="00D03D16"/>
    <w:rsid w:val="00D03DED"/>
    <w:rsid w:val="00D03E9F"/>
    <w:rsid w:val="00D03F8D"/>
    <w:rsid w:val="00D0403E"/>
    <w:rsid w:val="00D04128"/>
    <w:rsid w:val="00D041CE"/>
    <w:rsid w:val="00D04233"/>
    <w:rsid w:val="00D042EE"/>
    <w:rsid w:val="00D043A3"/>
    <w:rsid w:val="00D04488"/>
    <w:rsid w:val="00D0454B"/>
    <w:rsid w:val="00D04589"/>
    <w:rsid w:val="00D046F9"/>
    <w:rsid w:val="00D04818"/>
    <w:rsid w:val="00D049DB"/>
    <w:rsid w:val="00D04C98"/>
    <w:rsid w:val="00D052EB"/>
    <w:rsid w:val="00D0538C"/>
    <w:rsid w:val="00D05426"/>
    <w:rsid w:val="00D054C4"/>
    <w:rsid w:val="00D054DA"/>
    <w:rsid w:val="00D054FC"/>
    <w:rsid w:val="00D0563F"/>
    <w:rsid w:val="00D05749"/>
    <w:rsid w:val="00D05751"/>
    <w:rsid w:val="00D05781"/>
    <w:rsid w:val="00D0581F"/>
    <w:rsid w:val="00D058A3"/>
    <w:rsid w:val="00D059DA"/>
    <w:rsid w:val="00D05A13"/>
    <w:rsid w:val="00D05AFD"/>
    <w:rsid w:val="00D05BE9"/>
    <w:rsid w:val="00D05C66"/>
    <w:rsid w:val="00D05D3B"/>
    <w:rsid w:val="00D05DD2"/>
    <w:rsid w:val="00D05E54"/>
    <w:rsid w:val="00D05E5C"/>
    <w:rsid w:val="00D05F71"/>
    <w:rsid w:val="00D0600E"/>
    <w:rsid w:val="00D062DB"/>
    <w:rsid w:val="00D062FD"/>
    <w:rsid w:val="00D065E9"/>
    <w:rsid w:val="00D066A9"/>
    <w:rsid w:val="00D0688A"/>
    <w:rsid w:val="00D06923"/>
    <w:rsid w:val="00D0698F"/>
    <w:rsid w:val="00D06B2A"/>
    <w:rsid w:val="00D06B4D"/>
    <w:rsid w:val="00D06B5B"/>
    <w:rsid w:val="00D06D9B"/>
    <w:rsid w:val="00D07187"/>
    <w:rsid w:val="00D07215"/>
    <w:rsid w:val="00D073E3"/>
    <w:rsid w:val="00D073F3"/>
    <w:rsid w:val="00D07679"/>
    <w:rsid w:val="00D07688"/>
    <w:rsid w:val="00D076BE"/>
    <w:rsid w:val="00D0774D"/>
    <w:rsid w:val="00D077CD"/>
    <w:rsid w:val="00D07B4F"/>
    <w:rsid w:val="00D102E9"/>
    <w:rsid w:val="00D10456"/>
    <w:rsid w:val="00D104F8"/>
    <w:rsid w:val="00D107A4"/>
    <w:rsid w:val="00D108AD"/>
    <w:rsid w:val="00D10AB7"/>
    <w:rsid w:val="00D10B14"/>
    <w:rsid w:val="00D10BB5"/>
    <w:rsid w:val="00D10C45"/>
    <w:rsid w:val="00D10C54"/>
    <w:rsid w:val="00D10EA1"/>
    <w:rsid w:val="00D10F00"/>
    <w:rsid w:val="00D10F61"/>
    <w:rsid w:val="00D10FB9"/>
    <w:rsid w:val="00D110B6"/>
    <w:rsid w:val="00D11383"/>
    <w:rsid w:val="00D113F7"/>
    <w:rsid w:val="00D113FC"/>
    <w:rsid w:val="00D1141B"/>
    <w:rsid w:val="00D11689"/>
    <w:rsid w:val="00D1173C"/>
    <w:rsid w:val="00D11852"/>
    <w:rsid w:val="00D118E2"/>
    <w:rsid w:val="00D11A8A"/>
    <w:rsid w:val="00D11AC0"/>
    <w:rsid w:val="00D11B2D"/>
    <w:rsid w:val="00D11BFF"/>
    <w:rsid w:val="00D11CEF"/>
    <w:rsid w:val="00D11DE4"/>
    <w:rsid w:val="00D11E6B"/>
    <w:rsid w:val="00D12054"/>
    <w:rsid w:val="00D12069"/>
    <w:rsid w:val="00D12081"/>
    <w:rsid w:val="00D120BD"/>
    <w:rsid w:val="00D1222C"/>
    <w:rsid w:val="00D12234"/>
    <w:rsid w:val="00D12320"/>
    <w:rsid w:val="00D123D6"/>
    <w:rsid w:val="00D123FC"/>
    <w:rsid w:val="00D125C2"/>
    <w:rsid w:val="00D125C9"/>
    <w:rsid w:val="00D1261C"/>
    <w:rsid w:val="00D126B7"/>
    <w:rsid w:val="00D1277E"/>
    <w:rsid w:val="00D1294A"/>
    <w:rsid w:val="00D12953"/>
    <w:rsid w:val="00D12A2C"/>
    <w:rsid w:val="00D12A4D"/>
    <w:rsid w:val="00D12AA5"/>
    <w:rsid w:val="00D12CB9"/>
    <w:rsid w:val="00D12D84"/>
    <w:rsid w:val="00D12F4B"/>
    <w:rsid w:val="00D1315B"/>
    <w:rsid w:val="00D1316C"/>
    <w:rsid w:val="00D1316F"/>
    <w:rsid w:val="00D1330C"/>
    <w:rsid w:val="00D13402"/>
    <w:rsid w:val="00D13471"/>
    <w:rsid w:val="00D135C6"/>
    <w:rsid w:val="00D135DE"/>
    <w:rsid w:val="00D1364C"/>
    <w:rsid w:val="00D13817"/>
    <w:rsid w:val="00D13896"/>
    <w:rsid w:val="00D13964"/>
    <w:rsid w:val="00D139CC"/>
    <w:rsid w:val="00D13AA8"/>
    <w:rsid w:val="00D13AB2"/>
    <w:rsid w:val="00D13B98"/>
    <w:rsid w:val="00D13C4D"/>
    <w:rsid w:val="00D13D90"/>
    <w:rsid w:val="00D13D9D"/>
    <w:rsid w:val="00D140A7"/>
    <w:rsid w:val="00D141C8"/>
    <w:rsid w:val="00D14207"/>
    <w:rsid w:val="00D14435"/>
    <w:rsid w:val="00D1452B"/>
    <w:rsid w:val="00D14580"/>
    <w:rsid w:val="00D1470E"/>
    <w:rsid w:val="00D14818"/>
    <w:rsid w:val="00D14921"/>
    <w:rsid w:val="00D1493F"/>
    <w:rsid w:val="00D149A0"/>
    <w:rsid w:val="00D14A03"/>
    <w:rsid w:val="00D14A8F"/>
    <w:rsid w:val="00D14B31"/>
    <w:rsid w:val="00D14D01"/>
    <w:rsid w:val="00D14DFF"/>
    <w:rsid w:val="00D14EAE"/>
    <w:rsid w:val="00D14EB7"/>
    <w:rsid w:val="00D14FE4"/>
    <w:rsid w:val="00D152DE"/>
    <w:rsid w:val="00D1542D"/>
    <w:rsid w:val="00D1543A"/>
    <w:rsid w:val="00D15757"/>
    <w:rsid w:val="00D1589C"/>
    <w:rsid w:val="00D158F8"/>
    <w:rsid w:val="00D15938"/>
    <w:rsid w:val="00D159A3"/>
    <w:rsid w:val="00D15A6C"/>
    <w:rsid w:val="00D15AD9"/>
    <w:rsid w:val="00D15D8D"/>
    <w:rsid w:val="00D15E5A"/>
    <w:rsid w:val="00D15EF1"/>
    <w:rsid w:val="00D15F9F"/>
    <w:rsid w:val="00D16112"/>
    <w:rsid w:val="00D16169"/>
    <w:rsid w:val="00D16175"/>
    <w:rsid w:val="00D1620D"/>
    <w:rsid w:val="00D1627D"/>
    <w:rsid w:val="00D162B4"/>
    <w:rsid w:val="00D162D0"/>
    <w:rsid w:val="00D162FC"/>
    <w:rsid w:val="00D16600"/>
    <w:rsid w:val="00D16727"/>
    <w:rsid w:val="00D1672A"/>
    <w:rsid w:val="00D167F9"/>
    <w:rsid w:val="00D16802"/>
    <w:rsid w:val="00D16828"/>
    <w:rsid w:val="00D16912"/>
    <w:rsid w:val="00D16B30"/>
    <w:rsid w:val="00D16B8F"/>
    <w:rsid w:val="00D16C41"/>
    <w:rsid w:val="00D16CE3"/>
    <w:rsid w:val="00D16DAD"/>
    <w:rsid w:val="00D16E26"/>
    <w:rsid w:val="00D16ED3"/>
    <w:rsid w:val="00D16EFE"/>
    <w:rsid w:val="00D16F4A"/>
    <w:rsid w:val="00D171E4"/>
    <w:rsid w:val="00D174FE"/>
    <w:rsid w:val="00D17629"/>
    <w:rsid w:val="00D1768B"/>
    <w:rsid w:val="00D17991"/>
    <w:rsid w:val="00D17A72"/>
    <w:rsid w:val="00D17CD0"/>
    <w:rsid w:val="00D17D28"/>
    <w:rsid w:val="00D17D8C"/>
    <w:rsid w:val="00D17DD2"/>
    <w:rsid w:val="00D2000C"/>
    <w:rsid w:val="00D20084"/>
    <w:rsid w:val="00D201E5"/>
    <w:rsid w:val="00D20457"/>
    <w:rsid w:val="00D20466"/>
    <w:rsid w:val="00D2051D"/>
    <w:rsid w:val="00D20552"/>
    <w:rsid w:val="00D205E7"/>
    <w:rsid w:val="00D207A3"/>
    <w:rsid w:val="00D2085A"/>
    <w:rsid w:val="00D208C1"/>
    <w:rsid w:val="00D20950"/>
    <w:rsid w:val="00D209AB"/>
    <w:rsid w:val="00D20AE2"/>
    <w:rsid w:val="00D20B13"/>
    <w:rsid w:val="00D20CDD"/>
    <w:rsid w:val="00D20F84"/>
    <w:rsid w:val="00D2110E"/>
    <w:rsid w:val="00D21214"/>
    <w:rsid w:val="00D21279"/>
    <w:rsid w:val="00D2129F"/>
    <w:rsid w:val="00D2130F"/>
    <w:rsid w:val="00D214A4"/>
    <w:rsid w:val="00D2193F"/>
    <w:rsid w:val="00D21983"/>
    <w:rsid w:val="00D21A3D"/>
    <w:rsid w:val="00D21A45"/>
    <w:rsid w:val="00D21A51"/>
    <w:rsid w:val="00D21A70"/>
    <w:rsid w:val="00D21ACC"/>
    <w:rsid w:val="00D21B05"/>
    <w:rsid w:val="00D21B5F"/>
    <w:rsid w:val="00D21E0B"/>
    <w:rsid w:val="00D21E3F"/>
    <w:rsid w:val="00D21E8B"/>
    <w:rsid w:val="00D21F5D"/>
    <w:rsid w:val="00D21FF9"/>
    <w:rsid w:val="00D220D1"/>
    <w:rsid w:val="00D220E8"/>
    <w:rsid w:val="00D221CB"/>
    <w:rsid w:val="00D22272"/>
    <w:rsid w:val="00D223ED"/>
    <w:rsid w:val="00D22477"/>
    <w:rsid w:val="00D224AF"/>
    <w:rsid w:val="00D224E1"/>
    <w:rsid w:val="00D22632"/>
    <w:rsid w:val="00D22658"/>
    <w:rsid w:val="00D226C8"/>
    <w:rsid w:val="00D22D00"/>
    <w:rsid w:val="00D22D2A"/>
    <w:rsid w:val="00D22D88"/>
    <w:rsid w:val="00D22E19"/>
    <w:rsid w:val="00D230E6"/>
    <w:rsid w:val="00D23206"/>
    <w:rsid w:val="00D23266"/>
    <w:rsid w:val="00D23470"/>
    <w:rsid w:val="00D23639"/>
    <w:rsid w:val="00D236F9"/>
    <w:rsid w:val="00D237FB"/>
    <w:rsid w:val="00D2386E"/>
    <w:rsid w:val="00D23A78"/>
    <w:rsid w:val="00D23B0C"/>
    <w:rsid w:val="00D23B61"/>
    <w:rsid w:val="00D23BE3"/>
    <w:rsid w:val="00D23CEE"/>
    <w:rsid w:val="00D24232"/>
    <w:rsid w:val="00D24238"/>
    <w:rsid w:val="00D243F5"/>
    <w:rsid w:val="00D24577"/>
    <w:rsid w:val="00D2473A"/>
    <w:rsid w:val="00D2488B"/>
    <w:rsid w:val="00D249A2"/>
    <w:rsid w:val="00D24ADA"/>
    <w:rsid w:val="00D24B29"/>
    <w:rsid w:val="00D24B65"/>
    <w:rsid w:val="00D24D6C"/>
    <w:rsid w:val="00D24D98"/>
    <w:rsid w:val="00D24ED0"/>
    <w:rsid w:val="00D2512F"/>
    <w:rsid w:val="00D25173"/>
    <w:rsid w:val="00D25320"/>
    <w:rsid w:val="00D2543F"/>
    <w:rsid w:val="00D25440"/>
    <w:rsid w:val="00D254B5"/>
    <w:rsid w:val="00D254C3"/>
    <w:rsid w:val="00D254D6"/>
    <w:rsid w:val="00D257B8"/>
    <w:rsid w:val="00D25922"/>
    <w:rsid w:val="00D259D3"/>
    <w:rsid w:val="00D25B12"/>
    <w:rsid w:val="00D25B8D"/>
    <w:rsid w:val="00D25BC1"/>
    <w:rsid w:val="00D25C66"/>
    <w:rsid w:val="00D25CB7"/>
    <w:rsid w:val="00D25CFC"/>
    <w:rsid w:val="00D25E89"/>
    <w:rsid w:val="00D25E90"/>
    <w:rsid w:val="00D25F26"/>
    <w:rsid w:val="00D25F86"/>
    <w:rsid w:val="00D26056"/>
    <w:rsid w:val="00D26210"/>
    <w:rsid w:val="00D2629A"/>
    <w:rsid w:val="00D2658A"/>
    <w:rsid w:val="00D26840"/>
    <w:rsid w:val="00D2691B"/>
    <w:rsid w:val="00D26952"/>
    <w:rsid w:val="00D26B24"/>
    <w:rsid w:val="00D26B72"/>
    <w:rsid w:val="00D26BBD"/>
    <w:rsid w:val="00D26BF5"/>
    <w:rsid w:val="00D26C19"/>
    <w:rsid w:val="00D26CC2"/>
    <w:rsid w:val="00D26D71"/>
    <w:rsid w:val="00D26D86"/>
    <w:rsid w:val="00D26E77"/>
    <w:rsid w:val="00D26EB5"/>
    <w:rsid w:val="00D273F1"/>
    <w:rsid w:val="00D273F7"/>
    <w:rsid w:val="00D274C2"/>
    <w:rsid w:val="00D276FF"/>
    <w:rsid w:val="00D2790B"/>
    <w:rsid w:val="00D27953"/>
    <w:rsid w:val="00D27A29"/>
    <w:rsid w:val="00D27AE0"/>
    <w:rsid w:val="00D27B10"/>
    <w:rsid w:val="00D27B34"/>
    <w:rsid w:val="00D27B3F"/>
    <w:rsid w:val="00D27C70"/>
    <w:rsid w:val="00D27E9B"/>
    <w:rsid w:val="00D27F06"/>
    <w:rsid w:val="00D30134"/>
    <w:rsid w:val="00D301CC"/>
    <w:rsid w:val="00D302E3"/>
    <w:rsid w:val="00D30501"/>
    <w:rsid w:val="00D306E9"/>
    <w:rsid w:val="00D30771"/>
    <w:rsid w:val="00D307B4"/>
    <w:rsid w:val="00D30818"/>
    <w:rsid w:val="00D3097F"/>
    <w:rsid w:val="00D309C8"/>
    <w:rsid w:val="00D30A2D"/>
    <w:rsid w:val="00D30AC1"/>
    <w:rsid w:val="00D30B90"/>
    <w:rsid w:val="00D30BA0"/>
    <w:rsid w:val="00D30DF8"/>
    <w:rsid w:val="00D30E86"/>
    <w:rsid w:val="00D30F48"/>
    <w:rsid w:val="00D310CC"/>
    <w:rsid w:val="00D3111D"/>
    <w:rsid w:val="00D312E8"/>
    <w:rsid w:val="00D31339"/>
    <w:rsid w:val="00D313BD"/>
    <w:rsid w:val="00D31470"/>
    <w:rsid w:val="00D315EB"/>
    <w:rsid w:val="00D316B6"/>
    <w:rsid w:val="00D31798"/>
    <w:rsid w:val="00D318D3"/>
    <w:rsid w:val="00D31937"/>
    <w:rsid w:val="00D31983"/>
    <w:rsid w:val="00D3198B"/>
    <w:rsid w:val="00D31A1B"/>
    <w:rsid w:val="00D31A35"/>
    <w:rsid w:val="00D31AAD"/>
    <w:rsid w:val="00D31CED"/>
    <w:rsid w:val="00D3202D"/>
    <w:rsid w:val="00D320CF"/>
    <w:rsid w:val="00D3219D"/>
    <w:rsid w:val="00D32293"/>
    <w:rsid w:val="00D32363"/>
    <w:rsid w:val="00D324FB"/>
    <w:rsid w:val="00D325F3"/>
    <w:rsid w:val="00D327C7"/>
    <w:rsid w:val="00D327F1"/>
    <w:rsid w:val="00D32916"/>
    <w:rsid w:val="00D329BC"/>
    <w:rsid w:val="00D329D4"/>
    <w:rsid w:val="00D32AAE"/>
    <w:rsid w:val="00D32D5D"/>
    <w:rsid w:val="00D32FAE"/>
    <w:rsid w:val="00D33023"/>
    <w:rsid w:val="00D33077"/>
    <w:rsid w:val="00D33095"/>
    <w:rsid w:val="00D331C0"/>
    <w:rsid w:val="00D3324D"/>
    <w:rsid w:val="00D33396"/>
    <w:rsid w:val="00D333CA"/>
    <w:rsid w:val="00D334AF"/>
    <w:rsid w:val="00D33507"/>
    <w:rsid w:val="00D3355E"/>
    <w:rsid w:val="00D33B10"/>
    <w:rsid w:val="00D33B1C"/>
    <w:rsid w:val="00D33B36"/>
    <w:rsid w:val="00D33C69"/>
    <w:rsid w:val="00D33CD8"/>
    <w:rsid w:val="00D33DB6"/>
    <w:rsid w:val="00D33E94"/>
    <w:rsid w:val="00D33ED2"/>
    <w:rsid w:val="00D33F91"/>
    <w:rsid w:val="00D34279"/>
    <w:rsid w:val="00D34293"/>
    <w:rsid w:val="00D3466D"/>
    <w:rsid w:val="00D347BF"/>
    <w:rsid w:val="00D34876"/>
    <w:rsid w:val="00D34904"/>
    <w:rsid w:val="00D34A83"/>
    <w:rsid w:val="00D34BD8"/>
    <w:rsid w:val="00D34BEF"/>
    <w:rsid w:val="00D34CEE"/>
    <w:rsid w:val="00D34E9C"/>
    <w:rsid w:val="00D34F4B"/>
    <w:rsid w:val="00D34F59"/>
    <w:rsid w:val="00D34F98"/>
    <w:rsid w:val="00D3507C"/>
    <w:rsid w:val="00D351AF"/>
    <w:rsid w:val="00D352FF"/>
    <w:rsid w:val="00D35464"/>
    <w:rsid w:val="00D354CD"/>
    <w:rsid w:val="00D355DE"/>
    <w:rsid w:val="00D356BE"/>
    <w:rsid w:val="00D35725"/>
    <w:rsid w:val="00D35B13"/>
    <w:rsid w:val="00D35BBE"/>
    <w:rsid w:val="00D35BE5"/>
    <w:rsid w:val="00D35BEF"/>
    <w:rsid w:val="00D35D22"/>
    <w:rsid w:val="00D35D82"/>
    <w:rsid w:val="00D35E73"/>
    <w:rsid w:val="00D35ECD"/>
    <w:rsid w:val="00D35F0E"/>
    <w:rsid w:val="00D36113"/>
    <w:rsid w:val="00D3617F"/>
    <w:rsid w:val="00D364D7"/>
    <w:rsid w:val="00D3652D"/>
    <w:rsid w:val="00D36537"/>
    <w:rsid w:val="00D3656B"/>
    <w:rsid w:val="00D3673E"/>
    <w:rsid w:val="00D36878"/>
    <w:rsid w:val="00D368E6"/>
    <w:rsid w:val="00D369E5"/>
    <w:rsid w:val="00D36BA0"/>
    <w:rsid w:val="00D36C67"/>
    <w:rsid w:val="00D36C71"/>
    <w:rsid w:val="00D36FF1"/>
    <w:rsid w:val="00D37072"/>
    <w:rsid w:val="00D370D7"/>
    <w:rsid w:val="00D3712C"/>
    <w:rsid w:val="00D3725C"/>
    <w:rsid w:val="00D372C0"/>
    <w:rsid w:val="00D3733B"/>
    <w:rsid w:val="00D373FD"/>
    <w:rsid w:val="00D374A9"/>
    <w:rsid w:val="00D3753C"/>
    <w:rsid w:val="00D37541"/>
    <w:rsid w:val="00D37666"/>
    <w:rsid w:val="00D376C0"/>
    <w:rsid w:val="00D378C0"/>
    <w:rsid w:val="00D37A96"/>
    <w:rsid w:val="00D37B26"/>
    <w:rsid w:val="00D37B3D"/>
    <w:rsid w:val="00D37CA3"/>
    <w:rsid w:val="00D37DEF"/>
    <w:rsid w:val="00D37E85"/>
    <w:rsid w:val="00D37F79"/>
    <w:rsid w:val="00D37FED"/>
    <w:rsid w:val="00D40035"/>
    <w:rsid w:val="00D403A2"/>
    <w:rsid w:val="00D405A4"/>
    <w:rsid w:val="00D40646"/>
    <w:rsid w:val="00D40663"/>
    <w:rsid w:val="00D4073F"/>
    <w:rsid w:val="00D407E4"/>
    <w:rsid w:val="00D40952"/>
    <w:rsid w:val="00D40A36"/>
    <w:rsid w:val="00D40A9A"/>
    <w:rsid w:val="00D40AFB"/>
    <w:rsid w:val="00D40B40"/>
    <w:rsid w:val="00D40B52"/>
    <w:rsid w:val="00D40BA4"/>
    <w:rsid w:val="00D40DD9"/>
    <w:rsid w:val="00D40E03"/>
    <w:rsid w:val="00D40ED8"/>
    <w:rsid w:val="00D41004"/>
    <w:rsid w:val="00D410B9"/>
    <w:rsid w:val="00D410BB"/>
    <w:rsid w:val="00D413FC"/>
    <w:rsid w:val="00D414EC"/>
    <w:rsid w:val="00D41592"/>
    <w:rsid w:val="00D4162E"/>
    <w:rsid w:val="00D416BE"/>
    <w:rsid w:val="00D4170A"/>
    <w:rsid w:val="00D4186A"/>
    <w:rsid w:val="00D419C9"/>
    <w:rsid w:val="00D41A58"/>
    <w:rsid w:val="00D41A8F"/>
    <w:rsid w:val="00D41A9C"/>
    <w:rsid w:val="00D41AE0"/>
    <w:rsid w:val="00D41B53"/>
    <w:rsid w:val="00D41BBE"/>
    <w:rsid w:val="00D41BDC"/>
    <w:rsid w:val="00D41C0C"/>
    <w:rsid w:val="00D41E4F"/>
    <w:rsid w:val="00D41EF7"/>
    <w:rsid w:val="00D421E9"/>
    <w:rsid w:val="00D42216"/>
    <w:rsid w:val="00D42300"/>
    <w:rsid w:val="00D42312"/>
    <w:rsid w:val="00D423C3"/>
    <w:rsid w:val="00D4243A"/>
    <w:rsid w:val="00D424A7"/>
    <w:rsid w:val="00D424FF"/>
    <w:rsid w:val="00D425EE"/>
    <w:rsid w:val="00D42690"/>
    <w:rsid w:val="00D4278D"/>
    <w:rsid w:val="00D4283B"/>
    <w:rsid w:val="00D42858"/>
    <w:rsid w:val="00D428CF"/>
    <w:rsid w:val="00D42A0C"/>
    <w:rsid w:val="00D42A6D"/>
    <w:rsid w:val="00D42A94"/>
    <w:rsid w:val="00D42BA6"/>
    <w:rsid w:val="00D42C2B"/>
    <w:rsid w:val="00D42C9C"/>
    <w:rsid w:val="00D42D02"/>
    <w:rsid w:val="00D42FB3"/>
    <w:rsid w:val="00D42FD6"/>
    <w:rsid w:val="00D43067"/>
    <w:rsid w:val="00D4307C"/>
    <w:rsid w:val="00D430B3"/>
    <w:rsid w:val="00D430F1"/>
    <w:rsid w:val="00D4318B"/>
    <w:rsid w:val="00D43586"/>
    <w:rsid w:val="00D4365D"/>
    <w:rsid w:val="00D4378B"/>
    <w:rsid w:val="00D437B8"/>
    <w:rsid w:val="00D437C5"/>
    <w:rsid w:val="00D43910"/>
    <w:rsid w:val="00D43942"/>
    <w:rsid w:val="00D43AAE"/>
    <w:rsid w:val="00D43B16"/>
    <w:rsid w:val="00D43B23"/>
    <w:rsid w:val="00D43CA1"/>
    <w:rsid w:val="00D43E98"/>
    <w:rsid w:val="00D43F58"/>
    <w:rsid w:val="00D44169"/>
    <w:rsid w:val="00D44176"/>
    <w:rsid w:val="00D441D8"/>
    <w:rsid w:val="00D441FC"/>
    <w:rsid w:val="00D442A4"/>
    <w:rsid w:val="00D44550"/>
    <w:rsid w:val="00D4460E"/>
    <w:rsid w:val="00D446DF"/>
    <w:rsid w:val="00D447D5"/>
    <w:rsid w:val="00D4491A"/>
    <w:rsid w:val="00D4499E"/>
    <w:rsid w:val="00D449B5"/>
    <w:rsid w:val="00D44B03"/>
    <w:rsid w:val="00D44B13"/>
    <w:rsid w:val="00D44C5E"/>
    <w:rsid w:val="00D44CF8"/>
    <w:rsid w:val="00D44D4A"/>
    <w:rsid w:val="00D44FD2"/>
    <w:rsid w:val="00D452B2"/>
    <w:rsid w:val="00D45424"/>
    <w:rsid w:val="00D455E6"/>
    <w:rsid w:val="00D45614"/>
    <w:rsid w:val="00D4564E"/>
    <w:rsid w:val="00D45722"/>
    <w:rsid w:val="00D457BB"/>
    <w:rsid w:val="00D457C7"/>
    <w:rsid w:val="00D457FD"/>
    <w:rsid w:val="00D45889"/>
    <w:rsid w:val="00D45ACB"/>
    <w:rsid w:val="00D45AE6"/>
    <w:rsid w:val="00D45AF7"/>
    <w:rsid w:val="00D45C4D"/>
    <w:rsid w:val="00D45DE3"/>
    <w:rsid w:val="00D45E31"/>
    <w:rsid w:val="00D45F7B"/>
    <w:rsid w:val="00D4605E"/>
    <w:rsid w:val="00D461C7"/>
    <w:rsid w:val="00D4627D"/>
    <w:rsid w:val="00D46280"/>
    <w:rsid w:val="00D462F6"/>
    <w:rsid w:val="00D46394"/>
    <w:rsid w:val="00D463F9"/>
    <w:rsid w:val="00D46754"/>
    <w:rsid w:val="00D467A7"/>
    <w:rsid w:val="00D467D4"/>
    <w:rsid w:val="00D467DA"/>
    <w:rsid w:val="00D468F1"/>
    <w:rsid w:val="00D46B5F"/>
    <w:rsid w:val="00D46D4D"/>
    <w:rsid w:val="00D46E7F"/>
    <w:rsid w:val="00D46F58"/>
    <w:rsid w:val="00D47188"/>
    <w:rsid w:val="00D473AD"/>
    <w:rsid w:val="00D4741C"/>
    <w:rsid w:val="00D474BF"/>
    <w:rsid w:val="00D477AC"/>
    <w:rsid w:val="00D478D6"/>
    <w:rsid w:val="00D47914"/>
    <w:rsid w:val="00D47A3D"/>
    <w:rsid w:val="00D47A82"/>
    <w:rsid w:val="00D47B4D"/>
    <w:rsid w:val="00D47C15"/>
    <w:rsid w:val="00D47C3C"/>
    <w:rsid w:val="00D47E1D"/>
    <w:rsid w:val="00D47EA5"/>
    <w:rsid w:val="00D47F00"/>
    <w:rsid w:val="00D501B2"/>
    <w:rsid w:val="00D503B3"/>
    <w:rsid w:val="00D504B6"/>
    <w:rsid w:val="00D504DF"/>
    <w:rsid w:val="00D507A4"/>
    <w:rsid w:val="00D507D6"/>
    <w:rsid w:val="00D508F2"/>
    <w:rsid w:val="00D5098D"/>
    <w:rsid w:val="00D50A10"/>
    <w:rsid w:val="00D50A29"/>
    <w:rsid w:val="00D50A58"/>
    <w:rsid w:val="00D50B63"/>
    <w:rsid w:val="00D50D0E"/>
    <w:rsid w:val="00D50D3F"/>
    <w:rsid w:val="00D50E74"/>
    <w:rsid w:val="00D50F7A"/>
    <w:rsid w:val="00D50F83"/>
    <w:rsid w:val="00D51083"/>
    <w:rsid w:val="00D510DA"/>
    <w:rsid w:val="00D51226"/>
    <w:rsid w:val="00D51271"/>
    <w:rsid w:val="00D512EC"/>
    <w:rsid w:val="00D5132E"/>
    <w:rsid w:val="00D513AA"/>
    <w:rsid w:val="00D513D1"/>
    <w:rsid w:val="00D5140E"/>
    <w:rsid w:val="00D514C0"/>
    <w:rsid w:val="00D5186E"/>
    <w:rsid w:val="00D5191D"/>
    <w:rsid w:val="00D51A72"/>
    <w:rsid w:val="00D51DB8"/>
    <w:rsid w:val="00D51E04"/>
    <w:rsid w:val="00D51F1F"/>
    <w:rsid w:val="00D51F38"/>
    <w:rsid w:val="00D5200C"/>
    <w:rsid w:val="00D522FF"/>
    <w:rsid w:val="00D52399"/>
    <w:rsid w:val="00D523BB"/>
    <w:rsid w:val="00D524FB"/>
    <w:rsid w:val="00D5259F"/>
    <w:rsid w:val="00D52649"/>
    <w:rsid w:val="00D52670"/>
    <w:rsid w:val="00D52677"/>
    <w:rsid w:val="00D526FA"/>
    <w:rsid w:val="00D528A6"/>
    <w:rsid w:val="00D528FB"/>
    <w:rsid w:val="00D52990"/>
    <w:rsid w:val="00D52A28"/>
    <w:rsid w:val="00D52B49"/>
    <w:rsid w:val="00D52DF5"/>
    <w:rsid w:val="00D52F1F"/>
    <w:rsid w:val="00D52F73"/>
    <w:rsid w:val="00D531B6"/>
    <w:rsid w:val="00D53227"/>
    <w:rsid w:val="00D5330C"/>
    <w:rsid w:val="00D53CBA"/>
    <w:rsid w:val="00D53DA5"/>
    <w:rsid w:val="00D53DB8"/>
    <w:rsid w:val="00D53FA2"/>
    <w:rsid w:val="00D53FF8"/>
    <w:rsid w:val="00D54061"/>
    <w:rsid w:val="00D540E4"/>
    <w:rsid w:val="00D541CA"/>
    <w:rsid w:val="00D54252"/>
    <w:rsid w:val="00D5436F"/>
    <w:rsid w:val="00D544A4"/>
    <w:rsid w:val="00D546CE"/>
    <w:rsid w:val="00D548B3"/>
    <w:rsid w:val="00D54950"/>
    <w:rsid w:val="00D549D6"/>
    <w:rsid w:val="00D54A42"/>
    <w:rsid w:val="00D54A57"/>
    <w:rsid w:val="00D54A5B"/>
    <w:rsid w:val="00D54A75"/>
    <w:rsid w:val="00D54C30"/>
    <w:rsid w:val="00D54C78"/>
    <w:rsid w:val="00D54D63"/>
    <w:rsid w:val="00D54DB8"/>
    <w:rsid w:val="00D54EC5"/>
    <w:rsid w:val="00D54F20"/>
    <w:rsid w:val="00D55571"/>
    <w:rsid w:val="00D555A5"/>
    <w:rsid w:val="00D555B2"/>
    <w:rsid w:val="00D555B3"/>
    <w:rsid w:val="00D5565F"/>
    <w:rsid w:val="00D55713"/>
    <w:rsid w:val="00D55855"/>
    <w:rsid w:val="00D5595B"/>
    <w:rsid w:val="00D5595F"/>
    <w:rsid w:val="00D55C65"/>
    <w:rsid w:val="00D55D81"/>
    <w:rsid w:val="00D55DA2"/>
    <w:rsid w:val="00D55F6A"/>
    <w:rsid w:val="00D55F95"/>
    <w:rsid w:val="00D56176"/>
    <w:rsid w:val="00D561D6"/>
    <w:rsid w:val="00D56207"/>
    <w:rsid w:val="00D563B2"/>
    <w:rsid w:val="00D563CF"/>
    <w:rsid w:val="00D563D8"/>
    <w:rsid w:val="00D566C1"/>
    <w:rsid w:val="00D5672F"/>
    <w:rsid w:val="00D56742"/>
    <w:rsid w:val="00D56836"/>
    <w:rsid w:val="00D5693B"/>
    <w:rsid w:val="00D56BAC"/>
    <w:rsid w:val="00D56C62"/>
    <w:rsid w:val="00D56E27"/>
    <w:rsid w:val="00D56F43"/>
    <w:rsid w:val="00D56FE6"/>
    <w:rsid w:val="00D570A5"/>
    <w:rsid w:val="00D57193"/>
    <w:rsid w:val="00D57273"/>
    <w:rsid w:val="00D57391"/>
    <w:rsid w:val="00D574BF"/>
    <w:rsid w:val="00D5758E"/>
    <w:rsid w:val="00D57600"/>
    <w:rsid w:val="00D5773F"/>
    <w:rsid w:val="00D5783C"/>
    <w:rsid w:val="00D57883"/>
    <w:rsid w:val="00D5798D"/>
    <w:rsid w:val="00D579EA"/>
    <w:rsid w:val="00D57A21"/>
    <w:rsid w:val="00D57A50"/>
    <w:rsid w:val="00D57CA8"/>
    <w:rsid w:val="00D60023"/>
    <w:rsid w:val="00D60061"/>
    <w:rsid w:val="00D6009A"/>
    <w:rsid w:val="00D60120"/>
    <w:rsid w:val="00D6015C"/>
    <w:rsid w:val="00D60242"/>
    <w:rsid w:val="00D604E7"/>
    <w:rsid w:val="00D60586"/>
    <w:rsid w:val="00D609A2"/>
    <w:rsid w:val="00D60AA4"/>
    <w:rsid w:val="00D60B66"/>
    <w:rsid w:val="00D60CEE"/>
    <w:rsid w:val="00D60E0C"/>
    <w:rsid w:val="00D60E27"/>
    <w:rsid w:val="00D60E70"/>
    <w:rsid w:val="00D60EC6"/>
    <w:rsid w:val="00D60EF7"/>
    <w:rsid w:val="00D61148"/>
    <w:rsid w:val="00D612C3"/>
    <w:rsid w:val="00D61390"/>
    <w:rsid w:val="00D613D1"/>
    <w:rsid w:val="00D61504"/>
    <w:rsid w:val="00D6166C"/>
    <w:rsid w:val="00D61737"/>
    <w:rsid w:val="00D617C2"/>
    <w:rsid w:val="00D617ED"/>
    <w:rsid w:val="00D6187B"/>
    <w:rsid w:val="00D6187C"/>
    <w:rsid w:val="00D61935"/>
    <w:rsid w:val="00D61980"/>
    <w:rsid w:val="00D61987"/>
    <w:rsid w:val="00D61AE4"/>
    <w:rsid w:val="00D61B06"/>
    <w:rsid w:val="00D61C5F"/>
    <w:rsid w:val="00D61CCB"/>
    <w:rsid w:val="00D61CCF"/>
    <w:rsid w:val="00D61E1E"/>
    <w:rsid w:val="00D62059"/>
    <w:rsid w:val="00D620A4"/>
    <w:rsid w:val="00D620AD"/>
    <w:rsid w:val="00D62159"/>
    <w:rsid w:val="00D62184"/>
    <w:rsid w:val="00D62409"/>
    <w:rsid w:val="00D62551"/>
    <w:rsid w:val="00D6255F"/>
    <w:rsid w:val="00D6264D"/>
    <w:rsid w:val="00D626F8"/>
    <w:rsid w:val="00D6277B"/>
    <w:rsid w:val="00D6283F"/>
    <w:rsid w:val="00D6293B"/>
    <w:rsid w:val="00D62C02"/>
    <w:rsid w:val="00D62CB3"/>
    <w:rsid w:val="00D62D37"/>
    <w:rsid w:val="00D62F53"/>
    <w:rsid w:val="00D62FF2"/>
    <w:rsid w:val="00D630BA"/>
    <w:rsid w:val="00D631AA"/>
    <w:rsid w:val="00D631CB"/>
    <w:rsid w:val="00D6321D"/>
    <w:rsid w:val="00D6327B"/>
    <w:rsid w:val="00D63476"/>
    <w:rsid w:val="00D6347F"/>
    <w:rsid w:val="00D635BE"/>
    <w:rsid w:val="00D63647"/>
    <w:rsid w:val="00D636F1"/>
    <w:rsid w:val="00D637FE"/>
    <w:rsid w:val="00D638C1"/>
    <w:rsid w:val="00D638EB"/>
    <w:rsid w:val="00D6394D"/>
    <w:rsid w:val="00D639D2"/>
    <w:rsid w:val="00D63A5D"/>
    <w:rsid w:val="00D63AA6"/>
    <w:rsid w:val="00D63B54"/>
    <w:rsid w:val="00D63BB1"/>
    <w:rsid w:val="00D63CCE"/>
    <w:rsid w:val="00D63DAA"/>
    <w:rsid w:val="00D63DD3"/>
    <w:rsid w:val="00D63E11"/>
    <w:rsid w:val="00D63E38"/>
    <w:rsid w:val="00D63FA2"/>
    <w:rsid w:val="00D6404A"/>
    <w:rsid w:val="00D640AC"/>
    <w:rsid w:val="00D640DB"/>
    <w:rsid w:val="00D64126"/>
    <w:rsid w:val="00D6418D"/>
    <w:rsid w:val="00D645CA"/>
    <w:rsid w:val="00D64826"/>
    <w:rsid w:val="00D649A9"/>
    <w:rsid w:val="00D64B20"/>
    <w:rsid w:val="00D64C0C"/>
    <w:rsid w:val="00D64F43"/>
    <w:rsid w:val="00D64F9D"/>
    <w:rsid w:val="00D64FBE"/>
    <w:rsid w:val="00D656CD"/>
    <w:rsid w:val="00D656DE"/>
    <w:rsid w:val="00D65821"/>
    <w:rsid w:val="00D65920"/>
    <w:rsid w:val="00D65A71"/>
    <w:rsid w:val="00D65BE8"/>
    <w:rsid w:val="00D65BF4"/>
    <w:rsid w:val="00D65C2B"/>
    <w:rsid w:val="00D65C9E"/>
    <w:rsid w:val="00D65CA2"/>
    <w:rsid w:val="00D65CED"/>
    <w:rsid w:val="00D65D8A"/>
    <w:rsid w:val="00D65DB0"/>
    <w:rsid w:val="00D65DB7"/>
    <w:rsid w:val="00D65EE8"/>
    <w:rsid w:val="00D65FCB"/>
    <w:rsid w:val="00D660B4"/>
    <w:rsid w:val="00D66211"/>
    <w:rsid w:val="00D662C7"/>
    <w:rsid w:val="00D6631A"/>
    <w:rsid w:val="00D663DB"/>
    <w:rsid w:val="00D66635"/>
    <w:rsid w:val="00D666D9"/>
    <w:rsid w:val="00D66846"/>
    <w:rsid w:val="00D6698A"/>
    <w:rsid w:val="00D66A2E"/>
    <w:rsid w:val="00D66B29"/>
    <w:rsid w:val="00D66C25"/>
    <w:rsid w:val="00D66CC8"/>
    <w:rsid w:val="00D66D06"/>
    <w:rsid w:val="00D66DC9"/>
    <w:rsid w:val="00D66F25"/>
    <w:rsid w:val="00D66F56"/>
    <w:rsid w:val="00D66F7F"/>
    <w:rsid w:val="00D67210"/>
    <w:rsid w:val="00D6721F"/>
    <w:rsid w:val="00D67240"/>
    <w:rsid w:val="00D673CF"/>
    <w:rsid w:val="00D67414"/>
    <w:rsid w:val="00D674A3"/>
    <w:rsid w:val="00D676FF"/>
    <w:rsid w:val="00D67775"/>
    <w:rsid w:val="00D677EB"/>
    <w:rsid w:val="00D679F0"/>
    <w:rsid w:val="00D67B58"/>
    <w:rsid w:val="00D67B76"/>
    <w:rsid w:val="00D67C90"/>
    <w:rsid w:val="00D67CAC"/>
    <w:rsid w:val="00D67CB8"/>
    <w:rsid w:val="00D67D16"/>
    <w:rsid w:val="00D70092"/>
    <w:rsid w:val="00D70262"/>
    <w:rsid w:val="00D7039E"/>
    <w:rsid w:val="00D70436"/>
    <w:rsid w:val="00D70524"/>
    <w:rsid w:val="00D70786"/>
    <w:rsid w:val="00D70A70"/>
    <w:rsid w:val="00D70BF5"/>
    <w:rsid w:val="00D70BFE"/>
    <w:rsid w:val="00D70CCA"/>
    <w:rsid w:val="00D70EA3"/>
    <w:rsid w:val="00D70EEF"/>
    <w:rsid w:val="00D70EF0"/>
    <w:rsid w:val="00D70FA7"/>
    <w:rsid w:val="00D70FD8"/>
    <w:rsid w:val="00D70FDC"/>
    <w:rsid w:val="00D71066"/>
    <w:rsid w:val="00D7106D"/>
    <w:rsid w:val="00D710D8"/>
    <w:rsid w:val="00D7111B"/>
    <w:rsid w:val="00D711B1"/>
    <w:rsid w:val="00D711F1"/>
    <w:rsid w:val="00D711F9"/>
    <w:rsid w:val="00D71276"/>
    <w:rsid w:val="00D71298"/>
    <w:rsid w:val="00D7133A"/>
    <w:rsid w:val="00D715D2"/>
    <w:rsid w:val="00D71610"/>
    <w:rsid w:val="00D717F9"/>
    <w:rsid w:val="00D7184E"/>
    <w:rsid w:val="00D719DA"/>
    <w:rsid w:val="00D719E3"/>
    <w:rsid w:val="00D71A7A"/>
    <w:rsid w:val="00D71A82"/>
    <w:rsid w:val="00D71AA7"/>
    <w:rsid w:val="00D71B69"/>
    <w:rsid w:val="00D71C11"/>
    <w:rsid w:val="00D71C8F"/>
    <w:rsid w:val="00D71D66"/>
    <w:rsid w:val="00D71EA7"/>
    <w:rsid w:val="00D71F43"/>
    <w:rsid w:val="00D72275"/>
    <w:rsid w:val="00D72518"/>
    <w:rsid w:val="00D7267D"/>
    <w:rsid w:val="00D7270C"/>
    <w:rsid w:val="00D7276A"/>
    <w:rsid w:val="00D72780"/>
    <w:rsid w:val="00D7279E"/>
    <w:rsid w:val="00D729C8"/>
    <w:rsid w:val="00D72A86"/>
    <w:rsid w:val="00D72B30"/>
    <w:rsid w:val="00D72BFD"/>
    <w:rsid w:val="00D72D9D"/>
    <w:rsid w:val="00D72E2D"/>
    <w:rsid w:val="00D72F92"/>
    <w:rsid w:val="00D72FD5"/>
    <w:rsid w:val="00D73183"/>
    <w:rsid w:val="00D7324B"/>
    <w:rsid w:val="00D732E8"/>
    <w:rsid w:val="00D7343E"/>
    <w:rsid w:val="00D73453"/>
    <w:rsid w:val="00D734BB"/>
    <w:rsid w:val="00D73564"/>
    <w:rsid w:val="00D73586"/>
    <w:rsid w:val="00D7360F"/>
    <w:rsid w:val="00D73809"/>
    <w:rsid w:val="00D73871"/>
    <w:rsid w:val="00D738DE"/>
    <w:rsid w:val="00D73B46"/>
    <w:rsid w:val="00D73D15"/>
    <w:rsid w:val="00D73D51"/>
    <w:rsid w:val="00D73D5B"/>
    <w:rsid w:val="00D73E67"/>
    <w:rsid w:val="00D73FFD"/>
    <w:rsid w:val="00D74495"/>
    <w:rsid w:val="00D74566"/>
    <w:rsid w:val="00D74591"/>
    <w:rsid w:val="00D745C0"/>
    <w:rsid w:val="00D74721"/>
    <w:rsid w:val="00D747A5"/>
    <w:rsid w:val="00D74837"/>
    <w:rsid w:val="00D74922"/>
    <w:rsid w:val="00D7495C"/>
    <w:rsid w:val="00D749B5"/>
    <w:rsid w:val="00D74AEB"/>
    <w:rsid w:val="00D74D73"/>
    <w:rsid w:val="00D74E6C"/>
    <w:rsid w:val="00D74EC3"/>
    <w:rsid w:val="00D74FC7"/>
    <w:rsid w:val="00D7518F"/>
    <w:rsid w:val="00D75202"/>
    <w:rsid w:val="00D75249"/>
    <w:rsid w:val="00D75350"/>
    <w:rsid w:val="00D75449"/>
    <w:rsid w:val="00D75500"/>
    <w:rsid w:val="00D75663"/>
    <w:rsid w:val="00D75677"/>
    <w:rsid w:val="00D758E1"/>
    <w:rsid w:val="00D75921"/>
    <w:rsid w:val="00D75987"/>
    <w:rsid w:val="00D75B2F"/>
    <w:rsid w:val="00D75CB6"/>
    <w:rsid w:val="00D75D02"/>
    <w:rsid w:val="00D75E4D"/>
    <w:rsid w:val="00D75E79"/>
    <w:rsid w:val="00D75F00"/>
    <w:rsid w:val="00D75F62"/>
    <w:rsid w:val="00D75F80"/>
    <w:rsid w:val="00D75F9A"/>
    <w:rsid w:val="00D760B4"/>
    <w:rsid w:val="00D76194"/>
    <w:rsid w:val="00D764F8"/>
    <w:rsid w:val="00D765B9"/>
    <w:rsid w:val="00D76695"/>
    <w:rsid w:val="00D767E2"/>
    <w:rsid w:val="00D76823"/>
    <w:rsid w:val="00D76879"/>
    <w:rsid w:val="00D768FB"/>
    <w:rsid w:val="00D76CE5"/>
    <w:rsid w:val="00D76D91"/>
    <w:rsid w:val="00D76F94"/>
    <w:rsid w:val="00D7706E"/>
    <w:rsid w:val="00D770A3"/>
    <w:rsid w:val="00D770E2"/>
    <w:rsid w:val="00D773AD"/>
    <w:rsid w:val="00D776CF"/>
    <w:rsid w:val="00D7778C"/>
    <w:rsid w:val="00D77835"/>
    <w:rsid w:val="00D7794C"/>
    <w:rsid w:val="00D7798E"/>
    <w:rsid w:val="00D77A54"/>
    <w:rsid w:val="00D77ACC"/>
    <w:rsid w:val="00D77BB3"/>
    <w:rsid w:val="00D77D4D"/>
    <w:rsid w:val="00D77D6E"/>
    <w:rsid w:val="00D77DD1"/>
    <w:rsid w:val="00D8011F"/>
    <w:rsid w:val="00D8019D"/>
    <w:rsid w:val="00D801B8"/>
    <w:rsid w:val="00D802D6"/>
    <w:rsid w:val="00D80360"/>
    <w:rsid w:val="00D80386"/>
    <w:rsid w:val="00D803F8"/>
    <w:rsid w:val="00D80414"/>
    <w:rsid w:val="00D80442"/>
    <w:rsid w:val="00D8058A"/>
    <w:rsid w:val="00D805B7"/>
    <w:rsid w:val="00D806C1"/>
    <w:rsid w:val="00D806D2"/>
    <w:rsid w:val="00D80945"/>
    <w:rsid w:val="00D80A23"/>
    <w:rsid w:val="00D80D5C"/>
    <w:rsid w:val="00D80DF2"/>
    <w:rsid w:val="00D81039"/>
    <w:rsid w:val="00D810F2"/>
    <w:rsid w:val="00D811E4"/>
    <w:rsid w:val="00D814D3"/>
    <w:rsid w:val="00D81626"/>
    <w:rsid w:val="00D8191A"/>
    <w:rsid w:val="00D81977"/>
    <w:rsid w:val="00D81A7E"/>
    <w:rsid w:val="00D81AA8"/>
    <w:rsid w:val="00D81F56"/>
    <w:rsid w:val="00D81F5A"/>
    <w:rsid w:val="00D81F68"/>
    <w:rsid w:val="00D81F83"/>
    <w:rsid w:val="00D820A3"/>
    <w:rsid w:val="00D82124"/>
    <w:rsid w:val="00D8215F"/>
    <w:rsid w:val="00D82163"/>
    <w:rsid w:val="00D82239"/>
    <w:rsid w:val="00D822C2"/>
    <w:rsid w:val="00D8231D"/>
    <w:rsid w:val="00D8246F"/>
    <w:rsid w:val="00D826C2"/>
    <w:rsid w:val="00D827A3"/>
    <w:rsid w:val="00D827B4"/>
    <w:rsid w:val="00D82801"/>
    <w:rsid w:val="00D828AF"/>
    <w:rsid w:val="00D82AC5"/>
    <w:rsid w:val="00D82BB2"/>
    <w:rsid w:val="00D82DA2"/>
    <w:rsid w:val="00D82F59"/>
    <w:rsid w:val="00D8309A"/>
    <w:rsid w:val="00D83280"/>
    <w:rsid w:val="00D832F4"/>
    <w:rsid w:val="00D833A2"/>
    <w:rsid w:val="00D833E9"/>
    <w:rsid w:val="00D834AB"/>
    <w:rsid w:val="00D8362B"/>
    <w:rsid w:val="00D837AE"/>
    <w:rsid w:val="00D83903"/>
    <w:rsid w:val="00D8396E"/>
    <w:rsid w:val="00D8399F"/>
    <w:rsid w:val="00D83A19"/>
    <w:rsid w:val="00D83ACA"/>
    <w:rsid w:val="00D83B29"/>
    <w:rsid w:val="00D83B36"/>
    <w:rsid w:val="00D83B5C"/>
    <w:rsid w:val="00D83B79"/>
    <w:rsid w:val="00D83B8A"/>
    <w:rsid w:val="00D83CD1"/>
    <w:rsid w:val="00D83E27"/>
    <w:rsid w:val="00D83EFE"/>
    <w:rsid w:val="00D83F12"/>
    <w:rsid w:val="00D8409E"/>
    <w:rsid w:val="00D8411E"/>
    <w:rsid w:val="00D8420E"/>
    <w:rsid w:val="00D8422E"/>
    <w:rsid w:val="00D843B0"/>
    <w:rsid w:val="00D844B1"/>
    <w:rsid w:val="00D844F7"/>
    <w:rsid w:val="00D84568"/>
    <w:rsid w:val="00D84596"/>
    <w:rsid w:val="00D846AF"/>
    <w:rsid w:val="00D84931"/>
    <w:rsid w:val="00D84950"/>
    <w:rsid w:val="00D84D72"/>
    <w:rsid w:val="00D84E4A"/>
    <w:rsid w:val="00D84ED9"/>
    <w:rsid w:val="00D84F2D"/>
    <w:rsid w:val="00D84FAA"/>
    <w:rsid w:val="00D85399"/>
    <w:rsid w:val="00D854AE"/>
    <w:rsid w:val="00D8552A"/>
    <w:rsid w:val="00D85629"/>
    <w:rsid w:val="00D85640"/>
    <w:rsid w:val="00D85720"/>
    <w:rsid w:val="00D85749"/>
    <w:rsid w:val="00D8576C"/>
    <w:rsid w:val="00D85773"/>
    <w:rsid w:val="00D859E7"/>
    <w:rsid w:val="00D859F1"/>
    <w:rsid w:val="00D85A58"/>
    <w:rsid w:val="00D85A64"/>
    <w:rsid w:val="00D85B4A"/>
    <w:rsid w:val="00D85B7C"/>
    <w:rsid w:val="00D85C11"/>
    <w:rsid w:val="00D85C2D"/>
    <w:rsid w:val="00D85E42"/>
    <w:rsid w:val="00D85E5D"/>
    <w:rsid w:val="00D8608E"/>
    <w:rsid w:val="00D8630B"/>
    <w:rsid w:val="00D8639D"/>
    <w:rsid w:val="00D86445"/>
    <w:rsid w:val="00D8651D"/>
    <w:rsid w:val="00D86623"/>
    <w:rsid w:val="00D8673D"/>
    <w:rsid w:val="00D867D7"/>
    <w:rsid w:val="00D8680F"/>
    <w:rsid w:val="00D86812"/>
    <w:rsid w:val="00D86A51"/>
    <w:rsid w:val="00D86AE4"/>
    <w:rsid w:val="00D86BBA"/>
    <w:rsid w:val="00D86C8C"/>
    <w:rsid w:val="00D86CFB"/>
    <w:rsid w:val="00D86DD3"/>
    <w:rsid w:val="00D87044"/>
    <w:rsid w:val="00D87046"/>
    <w:rsid w:val="00D8710B"/>
    <w:rsid w:val="00D871B9"/>
    <w:rsid w:val="00D8750F"/>
    <w:rsid w:val="00D877AF"/>
    <w:rsid w:val="00D877DB"/>
    <w:rsid w:val="00D878F7"/>
    <w:rsid w:val="00D87970"/>
    <w:rsid w:val="00D87A0D"/>
    <w:rsid w:val="00D87A80"/>
    <w:rsid w:val="00D87A90"/>
    <w:rsid w:val="00D87ABA"/>
    <w:rsid w:val="00D87B99"/>
    <w:rsid w:val="00D87C0D"/>
    <w:rsid w:val="00D87CFC"/>
    <w:rsid w:val="00D87DE6"/>
    <w:rsid w:val="00D87DF3"/>
    <w:rsid w:val="00D87EAB"/>
    <w:rsid w:val="00D87F4C"/>
    <w:rsid w:val="00D900D7"/>
    <w:rsid w:val="00D90431"/>
    <w:rsid w:val="00D905FA"/>
    <w:rsid w:val="00D9062B"/>
    <w:rsid w:val="00D9065F"/>
    <w:rsid w:val="00D906A7"/>
    <w:rsid w:val="00D90879"/>
    <w:rsid w:val="00D90A08"/>
    <w:rsid w:val="00D90B2E"/>
    <w:rsid w:val="00D90C86"/>
    <w:rsid w:val="00D90E84"/>
    <w:rsid w:val="00D90EEB"/>
    <w:rsid w:val="00D90FAA"/>
    <w:rsid w:val="00D90FC6"/>
    <w:rsid w:val="00D91033"/>
    <w:rsid w:val="00D9112B"/>
    <w:rsid w:val="00D911B2"/>
    <w:rsid w:val="00D911D9"/>
    <w:rsid w:val="00D912B4"/>
    <w:rsid w:val="00D913C3"/>
    <w:rsid w:val="00D91425"/>
    <w:rsid w:val="00D914F5"/>
    <w:rsid w:val="00D91592"/>
    <w:rsid w:val="00D915B1"/>
    <w:rsid w:val="00D91800"/>
    <w:rsid w:val="00D9183D"/>
    <w:rsid w:val="00D91984"/>
    <w:rsid w:val="00D919D5"/>
    <w:rsid w:val="00D91A1E"/>
    <w:rsid w:val="00D91A64"/>
    <w:rsid w:val="00D91AA0"/>
    <w:rsid w:val="00D91AE2"/>
    <w:rsid w:val="00D91B54"/>
    <w:rsid w:val="00D91BBB"/>
    <w:rsid w:val="00D91C16"/>
    <w:rsid w:val="00D91D6B"/>
    <w:rsid w:val="00D91F59"/>
    <w:rsid w:val="00D91F6C"/>
    <w:rsid w:val="00D9207F"/>
    <w:rsid w:val="00D921B2"/>
    <w:rsid w:val="00D924CA"/>
    <w:rsid w:val="00D924D1"/>
    <w:rsid w:val="00D92527"/>
    <w:rsid w:val="00D9259D"/>
    <w:rsid w:val="00D925BE"/>
    <w:rsid w:val="00D9264F"/>
    <w:rsid w:val="00D928D9"/>
    <w:rsid w:val="00D92962"/>
    <w:rsid w:val="00D92B23"/>
    <w:rsid w:val="00D92C40"/>
    <w:rsid w:val="00D92C65"/>
    <w:rsid w:val="00D92FAA"/>
    <w:rsid w:val="00D93071"/>
    <w:rsid w:val="00D93114"/>
    <w:rsid w:val="00D93179"/>
    <w:rsid w:val="00D934A6"/>
    <w:rsid w:val="00D9354D"/>
    <w:rsid w:val="00D9365A"/>
    <w:rsid w:val="00D936FA"/>
    <w:rsid w:val="00D93764"/>
    <w:rsid w:val="00D93791"/>
    <w:rsid w:val="00D9381A"/>
    <w:rsid w:val="00D938B4"/>
    <w:rsid w:val="00D93BCB"/>
    <w:rsid w:val="00D93C83"/>
    <w:rsid w:val="00D93CBD"/>
    <w:rsid w:val="00D93E4B"/>
    <w:rsid w:val="00D93E79"/>
    <w:rsid w:val="00D94246"/>
    <w:rsid w:val="00D94266"/>
    <w:rsid w:val="00D94284"/>
    <w:rsid w:val="00D9433F"/>
    <w:rsid w:val="00D944E3"/>
    <w:rsid w:val="00D944EE"/>
    <w:rsid w:val="00D94620"/>
    <w:rsid w:val="00D9466F"/>
    <w:rsid w:val="00D948B7"/>
    <w:rsid w:val="00D94A2A"/>
    <w:rsid w:val="00D94BBF"/>
    <w:rsid w:val="00D94C2D"/>
    <w:rsid w:val="00D94C96"/>
    <w:rsid w:val="00D94CB2"/>
    <w:rsid w:val="00D94E7D"/>
    <w:rsid w:val="00D94F40"/>
    <w:rsid w:val="00D95044"/>
    <w:rsid w:val="00D95189"/>
    <w:rsid w:val="00D953E9"/>
    <w:rsid w:val="00D954C9"/>
    <w:rsid w:val="00D95630"/>
    <w:rsid w:val="00D956DF"/>
    <w:rsid w:val="00D957FD"/>
    <w:rsid w:val="00D95817"/>
    <w:rsid w:val="00D95CB8"/>
    <w:rsid w:val="00D95DEB"/>
    <w:rsid w:val="00D9631B"/>
    <w:rsid w:val="00D96378"/>
    <w:rsid w:val="00D9638D"/>
    <w:rsid w:val="00D963AF"/>
    <w:rsid w:val="00D963C2"/>
    <w:rsid w:val="00D9649E"/>
    <w:rsid w:val="00D964D0"/>
    <w:rsid w:val="00D96561"/>
    <w:rsid w:val="00D9664A"/>
    <w:rsid w:val="00D967D0"/>
    <w:rsid w:val="00D967E2"/>
    <w:rsid w:val="00D96801"/>
    <w:rsid w:val="00D96808"/>
    <w:rsid w:val="00D96A1D"/>
    <w:rsid w:val="00D96A47"/>
    <w:rsid w:val="00D96BF9"/>
    <w:rsid w:val="00D96E16"/>
    <w:rsid w:val="00D96EEF"/>
    <w:rsid w:val="00D96F27"/>
    <w:rsid w:val="00D9702E"/>
    <w:rsid w:val="00D97071"/>
    <w:rsid w:val="00D970C2"/>
    <w:rsid w:val="00D970C8"/>
    <w:rsid w:val="00D9725B"/>
    <w:rsid w:val="00D9733D"/>
    <w:rsid w:val="00D9749D"/>
    <w:rsid w:val="00D975BA"/>
    <w:rsid w:val="00D97601"/>
    <w:rsid w:val="00D9763F"/>
    <w:rsid w:val="00D976EA"/>
    <w:rsid w:val="00D9788F"/>
    <w:rsid w:val="00D97969"/>
    <w:rsid w:val="00D979EA"/>
    <w:rsid w:val="00D97A63"/>
    <w:rsid w:val="00D97AD9"/>
    <w:rsid w:val="00D97AE7"/>
    <w:rsid w:val="00D97B5D"/>
    <w:rsid w:val="00D97BFB"/>
    <w:rsid w:val="00D97C3E"/>
    <w:rsid w:val="00D97CAF"/>
    <w:rsid w:val="00D97D6C"/>
    <w:rsid w:val="00D97E45"/>
    <w:rsid w:val="00D97F7F"/>
    <w:rsid w:val="00DA016F"/>
    <w:rsid w:val="00DA0191"/>
    <w:rsid w:val="00DA020E"/>
    <w:rsid w:val="00DA0264"/>
    <w:rsid w:val="00DA0300"/>
    <w:rsid w:val="00DA0366"/>
    <w:rsid w:val="00DA03E4"/>
    <w:rsid w:val="00DA03FC"/>
    <w:rsid w:val="00DA04DA"/>
    <w:rsid w:val="00DA04F0"/>
    <w:rsid w:val="00DA04FC"/>
    <w:rsid w:val="00DA050F"/>
    <w:rsid w:val="00DA06A2"/>
    <w:rsid w:val="00DA06C5"/>
    <w:rsid w:val="00DA07B3"/>
    <w:rsid w:val="00DA07DA"/>
    <w:rsid w:val="00DA0809"/>
    <w:rsid w:val="00DA0815"/>
    <w:rsid w:val="00DA0851"/>
    <w:rsid w:val="00DA08EC"/>
    <w:rsid w:val="00DA099E"/>
    <w:rsid w:val="00DA0AB3"/>
    <w:rsid w:val="00DA0B82"/>
    <w:rsid w:val="00DA0B8B"/>
    <w:rsid w:val="00DA0B9C"/>
    <w:rsid w:val="00DA0C7D"/>
    <w:rsid w:val="00DA0D16"/>
    <w:rsid w:val="00DA0D66"/>
    <w:rsid w:val="00DA0F05"/>
    <w:rsid w:val="00DA0F22"/>
    <w:rsid w:val="00DA102E"/>
    <w:rsid w:val="00DA118F"/>
    <w:rsid w:val="00DA1244"/>
    <w:rsid w:val="00DA12B3"/>
    <w:rsid w:val="00DA1440"/>
    <w:rsid w:val="00DA15F4"/>
    <w:rsid w:val="00DA1621"/>
    <w:rsid w:val="00DA16F6"/>
    <w:rsid w:val="00DA17DF"/>
    <w:rsid w:val="00DA17F0"/>
    <w:rsid w:val="00DA183D"/>
    <w:rsid w:val="00DA184E"/>
    <w:rsid w:val="00DA18F1"/>
    <w:rsid w:val="00DA1A33"/>
    <w:rsid w:val="00DA1B89"/>
    <w:rsid w:val="00DA1D02"/>
    <w:rsid w:val="00DA1D54"/>
    <w:rsid w:val="00DA1D6E"/>
    <w:rsid w:val="00DA1E2E"/>
    <w:rsid w:val="00DA1E8F"/>
    <w:rsid w:val="00DA1F2E"/>
    <w:rsid w:val="00DA1F9A"/>
    <w:rsid w:val="00DA1FDE"/>
    <w:rsid w:val="00DA20B8"/>
    <w:rsid w:val="00DA2370"/>
    <w:rsid w:val="00DA24FA"/>
    <w:rsid w:val="00DA2549"/>
    <w:rsid w:val="00DA2723"/>
    <w:rsid w:val="00DA2938"/>
    <w:rsid w:val="00DA2939"/>
    <w:rsid w:val="00DA2940"/>
    <w:rsid w:val="00DA2A69"/>
    <w:rsid w:val="00DA2AB8"/>
    <w:rsid w:val="00DA2D1A"/>
    <w:rsid w:val="00DA2ED1"/>
    <w:rsid w:val="00DA2FC7"/>
    <w:rsid w:val="00DA315B"/>
    <w:rsid w:val="00DA3224"/>
    <w:rsid w:val="00DA3252"/>
    <w:rsid w:val="00DA3345"/>
    <w:rsid w:val="00DA345E"/>
    <w:rsid w:val="00DA357C"/>
    <w:rsid w:val="00DA380F"/>
    <w:rsid w:val="00DA38AE"/>
    <w:rsid w:val="00DA39E2"/>
    <w:rsid w:val="00DA3A6E"/>
    <w:rsid w:val="00DA3A90"/>
    <w:rsid w:val="00DA3C5A"/>
    <w:rsid w:val="00DA3C8E"/>
    <w:rsid w:val="00DA3DAC"/>
    <w:rsid w:val="00DA3DDA"/>
    <w:rsid w:val="00DA3FE2"/>
    <w:rsid w:val="00DA40D7"/>
    <w:rsid w:val="00DA41B3"/>
    <w:rsid w:val="00DA42EA"/>
    <w:rsid w:val="00DA434A"/>
    <w:rsid w:val="00DA4622"/>
    <w:rsid w:val="00DA47DD"/>
    <w:rsid w:val="00DA48B5"/>
    <w:rsid w:val="00DA48BB"/>
    <w:rsid w:val="00DA48CB"/>
    <w:rsid w:val="00DA49C8"/>
    <w:rsid w:val="00DA4A0C"/>
    <w:rsid w:val="00DA4C00"/>
    <w:rsid w:val="00DA4CBA"/>
    <w:rsid w:val="00DA4D08"/>
    <w:rsid w:val="00DA4D69"/>
    <w:rsid w:val="00DA4E79"/>
    <w:rsid w:val="00DA500A"/>
    <w:rsid w:val="00DA52E9"/>
    <w:rsid w:val="00DA5521"/>
    <w:rsid w:val="00DA5629"/>
    <w:rsid w:val="00DA5754"/>
    <w:rsid w:val="00DA576D"/>
    <w:rsid w:val="00DA580A"/>
    <w:rsid w:val="00DA58B7"/>
    <w:rsid w:val="00DA5AD1"/>
    <w:rsid w:val="00DA5B00"/>
    <w:rsid w:val="00DA5B89"/>
    <w:rsid w:val="00DA5E2B"/>
    <w:rsid w:val="00DA5F0B"/>
    <w:rsid w:val="00DA6002"/>
    <w:rsid w:val="00DA60B7"/>
    <w:rsid w:val="00DA60E1"/>
    <w:rsid w:val="00DA62F4"/>
    <w:rsid w:val="00DA6393"/>
    <w:rsid w:val="00DA642C"/>
    <w:rsid w:val="00DA6437"/>
    <w:rsid w:val="00DA643B"/>
    <w:rsid w:val="00DA64C6"/>
    <w:rsid w:val="00DA64C7"/>
    <w:rsid w:val="00DA652C"/>
    <w:rsid w:val="00DA660C"/>
    <w:rsid w:val="00DA66B1"/>
    <w:rsid w:val="00DA679B"/>
    <w:rsid w:val="00DA6812"/>
    <w:rsid w:val="00DA68A6"/>
    <w:rsid w:val="00DA692D"/>
    <w:rsid w:val="00DA6A04"/>
    <w:rsid w:val="00DA6A87"/>
    <w:rsid w:val="00DA6C25"/>
    <w:rsid w:val="00DA6D19"/>
    <w:rsid w:val="00DA6D71"/>
    <w:rsid w:val="00DA70A0"/>
    <w:rsid w:val="00DA7136"/>
    <w:rsid w:val="00DA728E"/>
    <w:rsid w:val="00DA73CD"/>
    <w:rsid w:val="00DA7493"/>
    <w:rsid w:val="00DA7541"/>
    <w:rsid w:val="00DA7590"/>
    <w:rsid w:val="00DA7602"/>
    <w:rsid w:val="00DA7638"/>
    <w:rsid w:val="00DA784E"/>
    <w:rsid w:val="00DA78C1"/>
    <w:rsid w:val="00DA78E2"/>
    <w:rsid w:val="00DA798A"/>
    <w:rsid w:val="00DA7ADD"/>
    <w:rsid w:val="00DA7BC6"/>
    <w:rsid w:val="00DA7C19"/>
    <w:rsid w:val="00DA7D9A"/>
    <w:rsid w:val="00DA7F91"/>
    <w:rsid w:val="00DB000D"/>
    <w:rsid w:val="00DB01BF"/>
    <w:rsid w:val="00DB04EA"/>
    <w:rsid w:val="00DB05C3"/>
    <w:rsid w:val="00DB05D4"/>
    <w:rsid w:val="00DB0706"/>
    <w:rsid w:val="00DB070E"/>
    <w:rsid w:val="00DB09C1"/>
    <w:rsid w:val="00DB0CD8"/>
    <w:rsid w:val="00DB0D05"/>
    <w:rsid w:val="00DB0D26"/>
    <w:rsid w:val="00DB0D48"/>
    <w:rsid w:val="00DB0E96"/>
    <w:rsid w:val="00DB1046"/>
    <w:rsid w:val="00DB13E6"/>
    <w:rsid w:val="00DB1461"/>
    <w:rsid w:val="00DB14FC"/>
    <w:rsid w:val="00DB15DD"/>
    <w:rsid w:val="00DB16AE"/>
    <w:rsid w:val="00DB1701"/>
    <w:rsid w:val="00DB1797"/>
    <w:rsid w:val="00DB17A6"/>
    <w:rsid w:val="00DB18B5"/>
    <w:rsid w:val="00DB19E0"/>
    <w:rsid w:val="00DB1AF3"/>
    <w:rsid w:val="00DB1B01"/>
    <w:rsid w:val="00DB1B16"/>
    <w:rsid w:val="00DB1C64"/>
    <w:rsid w:val="00DB1CFE"/>
    <w:rsid w:val="00DB1F03"/>
    <w:rsid w:val="00DB2064"/>
    <w:rsid w:val="00DB21DE"/>
    <w:rsid w:val="00DB23F7"/>
    <w:rsid w:val="00DB2709"/>
    <w:rsid w:val="00DB276C"/>
    <w:rsid w:val="00DB2A41"/>
    <w:rsid w:val="00DB2AF4"/>
    <w:rsid w:val="00DB2B94"/>
    <w:rsid w:val="00DB2BB7"/>
    <w:rsid w:val="00DB2C12"/>
    <w:rsid w:val="00DB2D39"/>
    <w:rsid w:val="00DB2E5F"/>
    <w:rsid w:val="00DB2FE2"/>
    <w:rsid w:val="00DB307A"/>
    <w:rsid w:val="00DB30BB"/>
    <w:rsid w:val="00DB3174"/>
    <w:rsid w:val="00DB3216"/>
    <w:rsid w:val="00DB3328"/>
    <w:rsid w:val="00DB34A3"/>
    <w:rsid w:val="00DB35A7"/>
    <w:rsid w:val="00DB373B"/>
    <w:rsid w:val="00DB38AC"/>
    <w:rsid w:val="00DB3A1D"/>
    <w:rsid w:val="00DB3B1A"/>
    <w:rsid w:val="00DB3B7C"/>
    <w:rsid w:val="00DB3C57"/>
    <w:rsid w:val="00DB3E23"/>
    <w:rsid w:val="00DB405D"/>
    <w:rsid w:val="00DB40D9"/>
    <w:rsid w:val="00DB4283"/>
    <w:rsid w:val="00DB43D6"/>
    <w:rsid w:val="00DB4444"/>
    <w:rsid w:val="00DB444B"/>
    <w:rsid w:val="00DB44BB"/>
    <w:rsid w:val="00DB4503"/>
    <w:rsid w:val="00DB4507"/>
    <w:rsid w:val="00DB45AF"/>
    <w:rsid w:val="00DB465B"/>
    <w:rsid w:val="00DB468D"/>
    <w:rsid w:val="00DB47E9"/>
    <w:rsid w:val="00DB47F8"/>
    <w:rsid w:val="00DB4829"/>
    <w:rsid w:val="00DB4935"/>
    <w:rsid w:val="00DB4A9A"/>
    <w:rsid w:val="00DB4ABD"/>
    <w:rsid w:val="00DB4ACB"/>
    <w:rsid w:val="00DB4BB0"/>
    <w:rsid w:val="00DB4BE0"/>
    <w:rsid w:val="00DB4C34"/>
    <w:rsid w:val="00DB4D15"/>
    <w:rsid w:val="00DB4E59"/>
    <w:rsid w:val="00DB4E8F"/>
    <w:rsid w:val="00DB4F08"/>
    <w:rsid w:val="00DB512B"/>
    <w:rsid w:val="00DB54BE"/>
    <w:rsid w:val="00DB5550"/>
    <w:rsid w:val="00DB557A"/>
    <w:rsid w:val="00DB56CF"/>
    <w:rsid w:val="00DB56D6"/>
    <w:rsid w:val="00DB5778"/>
    <w:rsid w:val="00DB5791"/>
    <w:rsid w:val="00DB57B4"/>
    <w:rsid w:val="00DB5829"/>
    <w:rsid w:val="00DB5A21"/>
    <w:rsid w:val="00DB5DFB"/>
    <w:rsid w:val="00DB5EFF"/>
    <w:rsid w:val="00DB612F"/>
    <w:rsid w:val="00DB6257"/>
    <w:rsid w:val="00DB6447"/>
    <w:rsid w:val="00DB6677"/>
    <w:rsid w:val="00DB66DB"/>
    <w:rsid w:val="00DB6748"/>
    <w:rsid w:val="00DB683B"/>
    <w:rsid w:val="00DB68F8"/>
    <w:rsid w:val="00DB6950"/>
    <w:rsid w:val="00DB6954"/>
    <w:rsid w:val="00DB6A93"/>
    <w:rsid w:val="00DB6C06"/>
    <w:rsid w:val="00DB6D30"/>
    <w:rsid w:val="00DB6D8E"/>
    <w:rsid w:val="00DB6E7A"/>
    <w:rsid w:val="00DB6E9E"/>
    <w:rsid w:val="00DB703F"/>
    <w:rsid w:val="00DB7197"/>
    <w:rsid w:val="00DB72EF"/>
    <w:rsid w:val="00DB7300"/>
    <w:rsid w:val="00DB737A"/>
    <w:rsid w:val="00DB7473"/>
    <w:rsid w:val="00DB75EB"/>
    <w:rsid w:val="00DB76D5"/>
    <w:rsid w:val="00DB7737"/>
    <w:rsid w:val="00DB7857"/>
    <w:rsid w:val="00DB78C9"/>
    <w:rsid w:val="00DB7F88"/>
    <w:rsid w:val="00DC00B2"/>
    <w:rsid w:val="00DC0230"/>
    <w:rsid w:val="00DC037B"/>
    <w:rsid w:val="00DC03D9"/>
    <w:rsid w:val="00DC0422"/>
    <w:rsid w:val="00DC04BE"/>
    <w:rsid w:val="00DC06B5"/>
    <w:rsid w:val="00DC09C4"/>
    <w:rsid w:val="00DC09F9"/>
    <w:rsid w:val="00DC0A11"/>
    <w:rsid w:val="00DC0B6A"/>
    <w:rsid w:val="00DC0CDD"/>
    <w:rsid w:val="00DC0D41"/>
    <w:rsid w:val="00DC0EA5"/>
    <w:rsid w:val="00DC0ED2"/>
    <w:rsid w:val="00DC1096"/>
    <w:rsid w:val="00DC1181"/>
    <w:rsid w:val="00DC1195"/>
    <w:rsid w:val="00DC1282"/>
    <w:rsid w:val="00DC12D0"/>
    <w:rsid w:val="00DC13DE"/>
    <w:rsid w:val="00DC1461"/>
    <w:rsid w:val="00DC1602"/>
    <w:rsid w:val="00DC1616"/>
    <w:rsid w:val="00DC16B6"/>
    <w:rsid w:val="00DC17CC"/>
    <w:rsid w:val="00DC18BD"/>
    <w:rsid w:val="00DC1AD2"/>
    <w:rsid w:val="00DC1AD5"/>
    <w:rsid w:val="00DC1D90"/>
    <w:rsid w:val="00DC1EEE"/>
    <w:rsid w:val="00DC20C0"/>
    <w:rsid w:val="00DC212F"/>
    <w:rsid w:val="00DC2150"/>
    <w:rsid w:val="00DC26E0"/>
    <w:rsid w:val="00DC27EB"/>
    <w:rsid w:val="00DC2A5C"/>
    <w:rsid w:val="00DC2B77"/>
    <w:rsid w:val="00DC2E84"/>
    <w:rsid w:val="00DC3122"/>
    <w:rsid w:val="00DC3163"/>
    <w:rsid w:val="00DC31C9"/>
    <w:rsid w:val="00DC3344"/>
    <w:rsid w:val="00DC336A"/>
    <w:rsid w:val="00DC345C"/>
    <w:rsid w:val="00DC34C1"/>
    <w:rsid w:val="00DC3544"/>
    <w:rsid w:val="00DC36A2"/>
    <w:rsid w:val="00DC39A5"/>
    <w:rsid w:val="00DC3BB7"/>
    <w:rsid w:val="00DC3C7B"/>
    <w:rsid w:val="00DC3C7E"/>
    <w:rsid w:val="00DC3F30"/>
    <w:rsid w:val="00DC3F3B"/>
    <w:rsid w:val="00DC3F3C"/>
    <w:rsid w:val="00DC3F5C"/>
    <w:rsid w:val="00DC4236"/>
    <w:rsid w:val="00DC4401"/>
    <w:rsid w:val="00DC4496"/>
    <w:rsid w:val="00DC44E4"/>
    <w:rsid w:val="00DC44E5"/>
    <w:rsid w:val="00DC46DC"/>
    <w:rsid w:val="00DC479B"/>
    <w:rsid w:val="00DC4891"/>
    <w:rsid w:val="00DC48FB"/>
    <w:rsid w:val="00DC49B7"/>
    <w:rsid w:val="00DC49D6"/>
    <w:rsid w:val="00DC4AC2"/>
    <w:rsid w:val="00DC4C4C"/>
    <w:rsid w:val="00DC4E23"/>
    <w:rsid w:val="00DC4EBD"/>
    <w:rsid w:val="00DC4F3F"/>
    <w:rsid w:val="00DC5006"/>
    <w:rsid w:val="00DC50C0"/>
    <w:rsid w:val="00DC5114"/>
    <w:rsid w:val="00DC5115"/>
    <w:rsid w:val="00DC5121"/>
    <w:rsid w:val="00DC51D0"/>
    <w:rsid w:val="00DC5217"/>
    <w:rsid w:val="00DC541B"/>
    <w:rsid w:val="00DC54BA"/>
    <w:rsid w:val="00DC5615"/>
    <w:rsid w:val="00DC57A8"/>
    <w:rsid w:val="00DC5903"/>
    <w:rsid w:val="00DC591D"/>
    <w:rsid w:val="00DC5987"/>
    <w:rsid w:val="00DC59D8"/>
    <w:rsid w:val="00DC5AC0"/>
    <w:rsid w:val="00DC5ACE"/>
    <w:rsid w:val="00DC5B7A"/>
    <w:rsid w:val="00DC5C41"/>
    <w:rsid w:val="00DC5E40"/>
    <w:rsid w:val="00DC5FB9"/>
    <w:rsid w:val="00DC605C"/>
    <w:rsid w:val="00DC6093"/>
    <w:rsid w:val="00DC61BF"/>
    <w:rsid w:val="00DC622C"/>
    <w:rsid w:val="00DC62CA"/>
    <w:rsid w:val="00DC6341"/>
    <w:rsid w:val="00DC6408"/>
    <w:rsid w:val="00DC643D"/>
    <w:rsid w:val="00DC647E"/>
    <w:rsid w:val="00DC6724"/>
    <w:rsid w:val="00DC6747"/>
    <w:rsid w:val="00DC67B9"/>
    <w:rsid w:val="00DC6874"/>
    <w:rsid w:val="00DC6955"/>
    <w:rsid w:val="00DC6962"/>
    <w:rsid w:val="00DC6A01"/>
    <w:rsid w:val="00DC6A47"/>
    <w:rsid w:val="00DC6A96"/>
    <w:rsid w:val="00DC6AC6"/>
    <w:rsid w:val="00DC6AF3"/>
    <w:rsid w:val="00DC6BFA"/>
    <w:rsid w:val="00DC6BFC"/>
    <w:rsid w:val="00DC6C11"/>
    <w:rsid w:val="00DC6C1B"/>
    <w:rsid w:val="00DC6E4F"/>
    <w:rsid w:val="00DC6ECA"/>
    <w:rsid w:val="00DC6F4E"/>
    <w:rsid w:val="00DC6FF5"/>
    <w:rsid w:val="00DC7020"/>
    <w:rsid w:val="00DC707C"/>
    <w:rsid w:val="00DC707F"/>
    <w:rsid w:val="00DC7234"/>
    <w:rsid w:val="00DC7495"/>
    <w:rsid w:val="00DC7561"/>
    <w:rsid w:val="00DC7885"/>
    <w:rsid w:val="00DC7919"/>
    <w:rsid w:val="00DC7BB7"/>
    <w:rsid w:val="00DC7BEA"/>
    <w:rsid w:val="00DC7C09"/>
    <w:rsid w:val="00DC7C7B"/>
    <w:rsid w:val="00DC7C8A"/>
    <w:rsid w:val="00DC7CF9"/>
    <w:rsid w:val="00DC7D7E"/>
    <w:rsid w:val="00DC7DB1"/>
    <w:rsid w:val="00DC7DF7"/>
    <w:rsid w:val="00DC7DF9"/>
    <w:rsid w:val="00DC7E4D"/>
    <w:rsid w:val="00DC7E4F"/>
    <w:rsid w:val="00DC7FE7"/>
    <w:rsid w:val="00DD00D2"/>
    <w:rsid w:val="00DD03BC"/>
    <w:rsid w:val="00DD03D8"/>
    <w:rsid w:val="00DD04F2"/>
    <w:rsid w:val="00DD0514"/>
    <w:rsid w:val="00DD0554"/>
    <w:rsid w:val="00DD06A2"/>
    <w:rsid w:val="00DD0998"/>
    <w:rsid w:val="00DD09B9"/>
    <w:rsid w:val="00DD0AEF"/>
    <w:rsid w:val="00DD0AF2"/>
    <w:rsid w:val="00DD0B6A"/>
    <w:rsid w:val="00DD0C4D"/>
    <w:rsid w:val="00DD0C76"/>
    <w:rsid w:val="00DD0D9E"/>
    <w:rsid w:val="00DD1040"/>
    <w:rsid w:val="00DD1059"/>
    <w:rsid w:val="00DD10CE"/>
    <w:rsid w:val="00DD1159"/>
    <w:rsid w:val="00DD1288"/>
    <w:rsid w:val="00DD12E9"/>
    <w:rsid w:val="00DD1429"/>
    <w:rsid w:val="00DD1452"/>
    <w:rsid w:val="00DD1563"/>
    <w:rsid w:val="00DD15BB"/>
    <w:rsid w:val="00DD1607"/>
    <w:rsid w:val="00DD1613"/>
    <w:rsid w:val="00DD16B6"/>
    <w:rsid w:val="00DD19D1"/>
    <w:rsid w:val="00DD1B40"/>
    <w:rsid w:val="00DD1C62"/>
    <w:rsid w:val="00DD1C9C"/>
    <w:rsid w:val="00DD1CA9"/>
    <w:rsid w:val="00DD1D73"/>
    <w:rsid w:val="00DD1D83"/>
    <w:rsid w:val="00DD1E72"/>
    <w:rsid w:val="00DD1EC5"/>
    <w:rsid w:val="00DD2030"/>
    <w:rsid w:val="00DD208D"/>
    <w:rsid w:val="00DD233B"/>
    <w:rsid w:val="00DD23AD"/>
    <w:rsid w:val="00DD23E5"/>
    <w:rsid w:val="00DD2472"/>
    <w:rsid w:val="00DD24B1"/>
    <w:rsid w:val="00DD257D"/>
    <w:rsid w:val="00DD2670"/>
    <w:rsid w:val="00DD2783"/>
    <w:rsid w:val="00DD2792"/>
    <w:rsid w:val="00DD27C5"/>
    <w:rsid w:val="00DD2812"/>
    <w:rsid w:val="00DD283B"/>
    <w:rsid w:val="00DD2A8B"/>
    <w:rsid w:val="00DD2BA1"/>
    <w:rsid w:val="00DD2C08"/>
    <w:rsid w:val="00DD2C73"/>
    <w:rsid w:val="00DD2EA5"/>
    <w:rsid w:val="00DD2F50"/>
    <w:rsid w:val="00DD2FA1"/>
    <w:rsid w:val="00DD331B"/>
    <w:rsid w:val="00DD3416"/>
    <w:rsid w:val="00DD3457"/>
    <w:rsid w:val="00DD3489"/>
    <w:rsid w:val="00DD3758"/>
    <w:rsid w:val="00DD383F"/>
    <w:rsid w:val="00DD39DC"/>
    <w:rsid w:val="00DD3A66"/>
    <w:rsid w:val="00DD3AEA"/>
    <w:rsid w:val="00DD3BE4"/>
    <w:rsid w:val="00DD3D5B"/>
    <w:rsid w:val="00DD3D74"/>
    <w:rsid w:val="00DD3E28"/>
    <w:rsid w:val="00DD3F6A"/>
    <w:rsid w:val="00DD4054"/>
    <w:rsid w:val="00DD42AB"/>
    <w:rsid w:val="00DD432A"/>
    <w:rsid w:val="00DD4430"/>
    <w:rsid w:val="00DD45B4"/>
    <w:rsid w:val="00DD461C"/>
    <w:rsid w:val="00DD47D1"/>
    <w:rsid w:val="00DD47F7"/>
    <w:rsid w:val="00DD48C5"/>
    <w:rsid w:val="00DD48E0"/>
    <w:rsid w:val="00DD4BF6"/>
    <w:rsid w:val="00DD4C84"/>
    <w:rsid w:val="00DD4CF4"/>
    <w:rsid w:val="00DD4DD4"/>
    <w:rsid w:val="00DD4E85"/>
    <w:rsid w:val="00DD4F17"/>
    <w:rsid w:val="00DD5177"/>
    <w:rsid w:val="00DD5305"/>
    <w:rsid w:val="00DD557F"/>
    <w:rsid w:val="00DD5656"/>
    <w:rsid w:val="00DD5682"/>
    <w:rsid w:val="00DD5718"/>
    <w:rsid w:val="00DD5867"/>
    <w:rsid w:val="00DD58AE"/>
    <w:rsid w:val="00DD5946"/>
    <w:rsid w:val="00DD5950"/>
    <w:rsid w:val="00DD5AE1"/>
    <w:rsid w:val="00DD5CB3"/>
    <w:rsid w:val="00DD5E35"/>
    <w:rsid w:val="00DD5ED7"/>
    <w:rsid w:val="00DD5F4E"/>
    <w:rsid w:val="00DD61AF"/>
    <w:rsid w:val="00DD6291"/>
    <w:rsid w:val="00DD62B9"/>
    <w:rsid w:val="00DD6302"/>
    <w:rsid w:val="00DD630C"/>
    <w:rsid w:val="00DD639F"/>
    <w:rsid w:val="00DD6484"/>
    <w:rsid w:val="00DD64D3"/>
    <w:rsid w:val="00DD6550"/>
    <w:rsid w:val="00DD670E"/>
    <w:rsid w:val="00DD6734"/>
    <w:rsid w:val="00DD6833"/>
    <w:rsid w:val="00DD6AD4"/>
    <w:rsid w:val="00DD6B81"/>
    <w:rsid w:val="00DD6D4F"/>
    <w:rsid w:val="00DD6E47"/>
    <w:rsid w:val="00DD6F6D"/>
    <w:rsid w:val="00DD7235"/>
    <w:rsid w:val="00DD727B"/>
    <w:rsid w:val="00DD7569"/>
    <w:rsid w:val="00DD75CF"/>
    <w:rsid w:val="00DD7936"/>
    <w:rsid w:val="00DD7955"/>
    <w:rsid w:val="00DD79C5"/>
    <w:rsid w:val="00DD7AA0"/>
    <w:rsid w:val="00DD7B07"/>
    <w:rsid w:val="00DD7B64"/>
    <w:rsid w:val="00DD7E5D"/>
    <w:rsid w:val="00DD7FBF"/>
    <w:rsid w:val="00DE00F1"/>
    <w:rsid w:val="00DE012E"/>
    <w:rsid w:val="00DE0175"/>
    <w:rsid w:val="00DE01D2"/>
    <w:rsid w:val="00DE0227"/>
    <w:rsid w:val="00DE0228"/>
    <w:rsid w:val="00DE02CB"/>
    <w:rsid w:val="00DE05A4"/>
    <w:rsid w:val="00DE077D"/>
    <w:rsid w:val="00DE0782"/>
    <w:rsid w:val="00DE078E"/>
    <w:rsid w:val="00DE0B34"/>
    <w:rsid w:val="00DE0B75"/>
    <w:rsid w:val="00DE0C32"/>
    <w:rsid w:val="00DE0C91"/>
    <w:rsid w:val="00DE0D6A"/>
    <w:rsid w:val="00DE0D82"/>
    <w:rsid w:val="00DE0EE9"/>
    <w:rsid w:val="00DE0EFE"/>
    <w:rsid w:val="00DE0F04"/>
    <w:rsid w:val="00DE11F8"/>
    <w:rsid w:val="00DE1365"/>
    <w:rsid w:val="00DE14EF"/>
    <w:rsid w:val="00DE16FC"/>
    <w:rsid w:val="00DE177A"/>
    <w:rsid w:val="00DE1812"/>
    <w:rsid w:val="00DE18CF"/>
    <w:rsid w:val="00DE19BC"/>
    <w:rsid w:val="00DE1A31"/>
    <w:rsid w:val="00DE1BC0"/>
    <w:rsid w:val="00DE1C29"/>
    <w:rsid w:val="00DE1C61"/>
    <w:rsid w:val="00DE1CC4"/>
    <w:rsid w:val="00DE1CF9"/>
    <w:rsid w:val="00DE1E0F"/>
    <w:rsid w:val="00DE1E1C"/>
    <w:rsid w:val="00DE1E2C"/>
    <w:rsid w:val="00DE1E5E"/>
    <w:rsid w:val="00DE1E9E"/>
    <w:rsid w:val="00DE1F57"/>
    <w:rsid w:val="00DE1FE9"/>
    <w:rsid w:val="00DE206D"/>
    <w:rsid w:val="00DE2218"/>
    <w:rsid w:val="00DE23E9"/>
    <w:rsid w:val="00DE261A"/>
    <w:rsid w:val="00DE26CA"/>
    <w:rsid w:val="00DE2782"/>
    <w:rsid w:val="00DE2929"/>
    <w:rsid w:val="00DE29D7"/>
    <w:rsid w:val="00DE2B54"/>
    <w:rsid w:val="00DE2D09"/>
    <w:rsid w:val="00DE2DDE"/>
    <w:rsid w:val="00DE2EC7"/>
    <w:rsid w:val="00DE2F3A"/>
    <w:rsid w:val="00DE2FE6"/>
    <w:rsid w:val="00DE30D1"/>
    <w:rsid w:val="00DE31E9"/>
    <w:rsid w:val="00DE31EC"/>
    <w:rsid w:val="00DE3208"/>
    <w:rsid w:val="00DE32E4"/>
    <w:rsid w:val="00DE34ED"/>
    <w:rsid w:val="00DE3580"/>
    <w:rsid w:val="00DE35D5"/>
    <w:rsid w:val="00DE3639"/>
    <w:rsid w:val="00DE36DB"/>
    <w:rsid w:val="00DE3726"/>
    <w:rsid w:val="00DE37D3"/>
    <w:rsid w:val="00DE3969"/>
    <w:rsid w:val="00DE3988"/>
    <w:rsid w:val="00DE3ABD"/>
    <w:rsid w:val="00DE3BD6"/>
    <w:rsid w:val="00DE3CF0"/>
    <w:rsid w:val="00DE3D2B"/>
    <w:rsid w:val="00DE3E8D"/>
    <w:rsid w:val="00DE3F56"/>
    <w:rsid w:val="00DE3F9B"/>
    <w:rsid w:val="00DE3FA1"/>
    <w:rsid w:val="00DE3FE0"/>
    <w:rsid w:val="00DE4046"/>
    <w:rsid w:val="00DE40C9"/>
    <w:rsid w:val="00DE4296"/>
    <w:rsid w:val="00DE434B"/>
    <w:rsid w:val="00DE441D"/>
    <w:rsid w:val="00DE4528"/>
    <w:rsid w:val="00DE4529"/>
    <w:rsid w:val="00DE470D"/>
    <w:rsid w:val="00DE4752"/>
    <w:rsid w:val="00DE476E"/>
    <w:rsid w:val="00DE4A08"/>
    <w:rsid w:val="00DE4A3D"/>
    <w:rsid w:val="00DE4A5A"/>
    <w:rsid w:val="00DE4C16"/>
    <w:rsid w:val="00DE4C28"/>
    <w:rsid w:val="00DE4D48"/>
    <w:rsid w:val="00DE4D5E"/>
    <w:rsid w:val="00DE4EB9"/>
    <w:rsid w:val="00DE4FEE"/>
    <w:rsid w:val="00DE50E0"/>
    <w:rsid w:val="00DE5113"/>
    <w:rsid w:val="00DE5138"/>
    <w:rsid w:val="00DE51A0"/>
    <w:rsid w:val="00DE51E0"/>
    <w:rsid w:val="00DE53B2"/>
    <w:rsid w:val="00DE557D"/>
    <w:rsid w:val="00DE599C"/>
    <w:rsid w:val="00DE5AC8"/>
    <w:rsid w:val="00DE5C56"/>
    <w:rsid w:val="00DE5F85"/>
    <w:rsid w:val="00DE5FE9"/>
    <w:rsid w:val="00DE605D"/>
    <w:rsid w:val="00DE610E"/>
    <w:rsid w:val="00DE614C"/>
    <w:rsid w:val="00DE6189"/>
    <w:rsid w:val="00DE650D"/>
    <w:rsid w:val="00DE6717"/>
    <w:rsid w:val="00DE6754"/>
    <w:rsid w:val="00DE693A"/>
    <w:rsid w:val="00DE6B01"/>
    <w:rsid w:val="00DE6C30"/>
    <w:rsid w:val="00DE6CD5"/>
    <w:rsid w:val="00DE6CF7"/>
    <w:rsid w:val="00DE6DE8"/>
    <w:rsid w:val="00DE6F43"/>
    <w:rsid w:val="00DE6FE6"/>
    <w:rsid w:val="00DE7034"/>
    <w:rsid w:val="00DE7187"/>
    <w:rsid w:val="00DE71F6"/>
    <w:rsid w:val="00DE72C7"/>
    <w:rsid w:val="00DE7758"/>
    <w:rsid w:val="00DE7AEF"/>
    <w:rsid w:val="00DE7B56"/>
    <w:rsid w:val="00DE7BCC"/>
    <w:rsid w:val="00DE7D43"/>
    <w:rsid w:val="00DE7EB1"/>
    <w:rsid w:val="00DE7FCF"/>
    <w:rsid w:val="00DE7FF4"/>
    <w:rsid w:val="00DF017D"/>
    <w:rsid w:val="00DF0185"/>
    <w:rsid w:val="00DF01A1"/>
    <w:rsid w:val="00DF01C5"/>
    <w:rsid w:val="00DF04BB"/>
    <w:rsid w:val="00DF0574"/>
    <w:rsid w:val="00DF066B"/>
    <w:rsid w:val="00DF07D7"/>
    <w:rsid w:val="00DF0BAA"/>
    <w:rsid w:val="00DF0BC1"/>
    <w:rsid w:val="00DF0EE6"/>
    <w:rsid w:val="00DF111E"/>
    <w:rsid w:val="00DF11FF"/>
    <w:rsid w:val="00DF127D"/>
    <w:rsid w:val="00DF13A3"/>
    <w:rsid w:val="00DF149E"/>
    <w:rsid w:val="00DF14D9"/>
    <w:rsid w:val="00DF14EA"/>
    <w:rsid w:val="00DF157E"/>
    <w:rsid w:val="00DF158E"/>
    <w:rsid w:val="00DF1688"/>
    <w:rsid w:val="00DF169A"/>
    <w:rsid w:val="00DF19BA"/>
    <w:rsid w:val="00DF1C26"/>
    <w:rsid w:val="00DF1C9D"/>
    <w:rsid w:val="00DF1D35"/>
    <w:rsid w:val="00DF1F19"/>
    <w:rsid w:val="00DF1F57"/>
    <w:rsid w:val="00DF1F9E"/>
    <w:rsid w:val="00DF1FC8"/>
    <w:rsid w:val="00DF20E2"/>
    <w:rsid w:val="00DF21A4"/>
    <w:rsid w:val="00DF229F"/>
    <w:rsid w:val="00DF22D5"/>
    <w:rsid w:val="00DF23CF"/>
    <w:rsid w:val="00DF24AB"/>
    <w:rsid w:val="00DF297B"/>
    <w:rsid w:val="00DF297C"/>
    <w:rsid w:val="00DF29AC"/>
    <w:rsid w:val="00DF29FA"/>
    <w:rsid w:val="00DF2ACB"/>
    <w:rsid w:val="00DF2BE3"/>
    <w:rsid w:val="00DF2BF6"/>
    <w:rsid w:val="00DF2C47"/>
    <w:rsid w:val="00DF2C70"/>
    <w:rsid w:val="00DF2D06"/>
    <w:rsid w:val="00DF2D28"/>
    <w:rsid w:val="00DF2E26"/>
    <w:rsid w:val="00DF2EF2"/>
    <w:rsid w:val="00DF2F17"/>
    <w:rsid w:val="00DF2F75"/>
    <w:rsid w:val="00DF2FD0"/>
    <w:rsid w:val="00DF3069"/>
    <w:rsid w:val="00DF315C"/>
    <w:rsid w:val="00DF3183"/>
    <w:rsid w:val="00DF3268"/>
    <w:rsid w:val="00DF32C1"/>
    <w:rsid w:val="00DF34AE"/>
    <w:rsid w:val="00DF34BA"/>
    <w:rsid w:val="00DF34BB"/>
    <w:rsid w:val="00DF3631"/>
    <w:rsid w:val="00DF3719"/>
    <w:rsid w:val="00DF381B"/>
    <w:rsid w:val="00DF3844"/>
    <w:rsid w:val="00DF38CF"/>
    <w:rsid w:val="00DF3965"/>
    <w:rsid w:val="00DF3A67"/>
    <w:rsid w:val="00DF3A68"/>
    <w:rsid w:val="00DF3BC2"/>
    <w:rsid w:val="00DF3BDC"/>
    <w:rsid w:val="00DF3BF3"/>
    <w:rsid w:val="00DF3D5A"/>
    <w:rsid w:val="00DF3E00"/>
    <w:rsid w:val="00DF4068"/>
    <w:rsid w:val="00DF418B"/>
    <w:rsid w:val="00DF425D"/>
    <w:rsid w:val="00DF4281"/>
    <w:rsid w:val="00DF42FE"/>
    <w:rsid w:val="00DF4406"/>
    <w:rsid w:val="00DF4442"/>
    <w:rsid w:val="00DF446F"/>
    <w:rsid w:val="00DF463A"/>
    <w:rsid w:val="00DF4682"/>
    <w:rsid w:val="00DF46AC"/>
    <w:rsid w:val="00DF4882"/>
    <w:rsid w:val="00DF489D"/>
    <w:rsid w:val="00DF49E6"/>
    <w:rsid w:val="00DF4A23"/>
    <w:rsid w:val="00DF4A67"/>
    <w:rsid w:val="00DF4E84"/>
    <w:rsid w:val="00DF4F23"/>
    <w:rsid w:val="00DF4FED"/>
    <w:rsid w:val="00DF51AE"/>
    <w:rsid w:val="00DF5261"/>
    <w:rsid w:val="00DF526F"/>
    <w:rsid w:val="00DF552E"/>
    <w:rsid w:val="00DF5606"/>
    <w:rsid w:val="00DF5859"/>
    <w:rsid w:val="00DF59E7"/>
    <w:rsid w:val="00DF5A63"/>
    <w:rsid w:val="00DF5AAC"/>
    <w:rsid w:val="00DF5B23"/>
    <w:rsid w:val="00DF5C6F"/>
    <w:rsid w:val="00DF5D42"/>
    <w:rsid w:val="00DF5F86"/>
    <w:rsid w:val="00DF61A7"/>
    <w:rsid w:val="00DF61F0"/>
    <w:rsid w:val="00DF62B0"/>
    <w:rsid w:val="00DF63F6"/>
    <w:rsid w:val="00DF643E"/>
    <w:rsid w:val="00DF6625"/>
    <w:rsid w:val="00DF6742"/>
    <w:rsid w:val="00DF6893"/>
    <w:rsid w:val="00DF68AE"/>
    <w:rsid w:val="00DF68EB"/>
    <w:rsid w:val="00DF6DA3"/>
    <w:rsid w:val="00DF6E8E"/>
    <w:rsid w:val="00DF6F03"/>
    <w:rsid w:val="00DF714C"/>
    <w:rsid w:val="00DF71B4"/>
    <w:rsid w:val="00DF7492"/>
    <w:rsid w:val="00DF7499"/>
    <w:rsid w:val="00DF7530"/>
    <w:rsid w:val="00DF7787"/>
    <w:rsid w:val="00DF7886"/>
    <w:rsid w:val="00DF7A4C"/>
    <w:rsid w:val="00DF7A86"/>
    <w:rsid w:val="00DF7A98"/>
    <w:rsid w:val="00DF7BDB"/>
    <w:rsid w:val="00DF7BFA"/>
    <w:rsid w:val="00DF7F75"/>
    <w:rsid w:val="00DF7FD6"/>
    <w:rsid w:val="00E001F9"/>
    <w:rsid w:val="00E0026E"/>
    <w:rsid w:val="00E002DE"/>
    <w:rsid w:val="00E0051E"/>
    <w:rsid w:val="00E00640"/>
    <w:rsid w:val="00E00840"/>
    <w:rsid w:val="00E008F7"/>
    <w:rsid w:val="00E009C8"/>
    <w:rsid w:val="00E00AD7"/>
    <w:rsid w:val="00E00BA6"/>
    <w:rsid w:val="00E00C95"/>
    <w:rsid w:val="00E00CA6"/>
    <w:rsid w:val="00E00CB4"/>
    <w:rsid w:val="00E00DB5"/>
    <w:rsid w:val="00E00E6E"/>
    <w:rsid w:val="00E00F35"/>
    <w:rsid w:val="00E00F8B"/>
    <w:rsid w:val="00E01068"/>
    <w:rsid w:val="00E01353"/>
    <w:rsid w:val="00E01469"/>
    <w:rsid w:val="00E015A4"/>
    <w:rsid w:val="00E015C9"/>
    <w:rsid w:val="00E017ED"/>
    <w:rsid w:val="00E01D8D"/>
    <w:rsid w:val="00E01E41"/>
    <w:rsid w:val="00E01E6C"/>
    <w:rsid w:val="00E02034"/>
    <w:rsid w:val="00E0209A"/>
    <w:rsid w:val="00E02392"/>
    <w:rsid w:val="00E02476"/>
    <w:rsid w:val="00E024FE"/>
    <w:rsid w:val="00E02944"/>
    <w:rsid w:val="00E02A8C"/>
    <w:rsid w:val="00E02A8D"/>
    <w:rsid w:val="00E02ABA"/>
    <w:rsid w:val="00E02D4C"/>
    <w:rsid w:val="00E02F7F"/>
    <w:rsid w:val="00E03141"/>
    <w:rsid w:val="00E031A8"/>
    <w:rsid w:val="00E031EE"/>
    <w:rsid w:val="00E0322D"/>
    <w:rsid w:val="00E03254"/>
    <w:rsid w:val="00E03370"/>
    <w:rsid w:val="00E03595"/>
    <w:rsid w:val="00E035A1"/>
    <w:rsid w:val="00E03792"/>
    <w:rsid w:val="00E037FE"/>
    <w:rsid w:val="00E0387E"/>
    <w:rsid w:val="00E0399D"/>
    <w:rsid w:val="00E03ACB"/>
    <w:rsid w:val="00E03B76"/>
    <w:rsid w:val="00E03C3C"/>
    <w:rsid w:val="00E03F82"/>
    <w:rsid w:val="00E04149"/>
    <w:rsid w:val="00E041BD"/>
    <w:rsid w:val="00E041C3"/>
    <w:rsid w:val="00E0426E"/>
    <w:rsid w:val="00E044B2"/>
    <w:rsid w:val="00E045A5"/>
    <w:rsid w:val="00E046E4"/>
    <w:rsid w:val="00E0481E"/>
    <w:rsid w:val="00E0487E"/>
    <w:rsid w:val="00E04975"/>
    <w:rsid w:val="00E04B0B"/>
    <w:rsid w:val="00E04B3B"/>
    <w:rsid w:val="00E04F6F"/>
    <w:rsid w:val="00E050F1"/>
    <w:rsid w:val="00E0518E"/>
    <w:rsid w:val="00E051E8"/>
    <w:rsid w:val="00E053D2"/>
    <w:rsid w:val="00E0556A"/>
    <w:rsid w:val="00E05672"/>
    <w:rsid w:val="00E058E4"/>
    <w:rsid w:val="00E058FE"/>
    <w:rsid w:val="00E05961"/>
    <w:rsid w:val="00E05999"/>
    <w:rsid w:val="00E05A4A"/>
    <w:rsid w:val="00E05A53"/>
    <w:rsid w:val="00E05B94"/>
    <w:rsid w:val="00E05F36"/>
    <w:rsid w:val="00E05F4A"/>
    <w:rsid w:val="00E05FC7"/>
    <w:rsid w:val="00E0601D"/>
    <w:rsid w:val="00E06033"/>
    <w:rsid w:val="00E06122"/>
    <w:rsid w:val="00E061BF"/>
    <w:rsid w:val="00E063A2"/>
    <w:rsid w:val="00E06435"/>
    <w:rsid w:val="00E0654E"/>
    <w:rsid w:val="00E065D4"/>
    <w:rsid w:val="00E06652"/>
    <w:rsid w:val="00E0668F"/>
    <w:rsid w:val="00E066F5"/>
    <w:rsid w:val="00E067A1"/>
    <w:rsid w:val="00E067E0"/>
    <w:rsid w:val="00E069A6"/>
    <w:rsid w:val="00E069CB"/>
    <w:rsid w:val="00E06ACC"/>
    <w:rsid w:val="00E06CC7"/>
    <w:rsid w:val="00E06E00"/>
    <w:rsid w:val="00E06E34"/>
    <w:rsid w:val="00E07089"/>
    <w:rsid w:val="00E071D6"/>
    <w:rsid w:val="00E0724C"/>
    <w:rsid w:val="00E072F1"/>
    <w:rsid w:val="00E073DA"/>
    <w:rsid w:val="00E073DE"/>
    <w:rsid w:val="00E07524"/>
    <w:rsid w:val="00E07567"/>
    <w:rsid w:val="00E07876"/>
    <w:rsid w:val="00E078B4"/>
    <w:rsid w:val="00E078FE"/>
    <w:rsid w:val="00E07BE4"/>
    <w:rsid w:val="00E07BFF"/>
    <w:rsid w:val="00E07C70"/>
    <w:rsid w:val="00E07F93"/>
    <w:rsid w:val="00E10089"/>
    <w:rsid w:val="00E100BB"/>
    <w:rsid w:val="00E101BF"/>
    <w:rsid w:val="00E10304"/>
    <w:rsid w:val="00E10378"/>
    <w:rsid w:val="00E103C1"/>
    <w:rsid w:val="00E10536"/>
    <w:rsid w:val="00E10622"/>
    <w:rsid w:val="00E109A1"/>
    <w:rsid w:val="00E109CC"/>
    <w:rsid w:val="00E10A1F"/>
    <w:rsid w:val="00E10A26"/>
    <w:rsid w:val="00E10D4E"/>
    <w:rsid w:val="00E10F15"/>
    <w:rsid w:val="00E10F52"/>
    <w:rsid w:val="00E11066"/>
    <w:rsid w:val="00E11101"/>
    <w:rsid w:val="00E111B3"/>
    <w:rsid w:val="00E11233"/>
    <w:rsid w:val="00E1132F"/>
    <w:rsid w:val="00E113BA"/>
    <w:rsid w:val="00E114E9"/>
    <w:rsid w:val="00E11691"/>
    <w:rsid w:val="00E11868"/>
    <w:rsid w:val="00E11913"/>
    <w:rsid w:val="00E11931"/>
    <w:rsid w:val="00E11A42"/>
    <w:rsid w:val="00E11A76"/>
    <w:rsid w:val="00E11AD7"/>
    <w:rsid w:val="00E11B5D"/>
    <w:rsid w:val="00E11BE6"/>
    <w:rsid w:val="00E11D08"/>
    <w:rsid w:val="00E11D0C"/>
    <w:rsid w:val="00E11D0D"/>
    <w:rsid w:val="00E11EBD"/>
    <w:rsid w:val="00E11F13"/>
    <w:rsid w:val="00E1200E"/>
    <w:rsid w:val="00E12286"/>
    <w:rsid w:val="00E122C6"/>
    <w:rsid w:val="00E122DC"/>
    <w:rsid w:val="00E1234A"/>
    <w:rsid w:val="00E1235D"/>
    <w:rsid w:val="00E12586"/>
    <w:rsid w:val="00E125B5"/>
    <w:rsid w:val="00E12617"/>
    <w:rsid w:val="00E126B4"/>
    <w:rsid w:val="00E126CE"/>
    <w:rsid w:val="00E12736"/>
    <w:rsid w:val="00E1283E"/>
    <w:rsid w:val="00E12848"/>
    <w:rsid w:val="00E12879"/>
    <w:rsid w:val="00E128C2"/>
    <w:rsid w:val="00E12CA9"/>
    <w:rsid w:val="00E12F1A"/>
    <w:rsid w:val="00E12FEC"/>
    <w:rsid w:val="00E1311B"/>
    <w:rsid w:val="00E131A5"/>
    <w:rsid w:val="00E1324A"/>
    <w:rsid w:val="00E1328F"/>
    <w:rsid w:val="00E132EF"/>
    <w:rsid w:val="00E13324"/>
    <w:rsid w:val="00E13356"/>
    <w:rsid w:val="00E13462"/>
    <w:rsid w:val="00E13519"/>
    <w:rsid w:val="00E135F0"/>
    <w:rsid w:val="00E13620"/>
    <w:rsid w:val="00E1382A"/>
    <w:rsid w:val="00E13857"/>
    <w:rsid w:val="00E13E5A"/>
    <w:rsid w:val="00E13F8D"/>
    <w:rsid w:val="00E1417E"/>
    <w:rsid w:val="00E14213"/>
    <w:rsid w:val="00E14343"/>
    <w:rsid w:val="00E144DC"/>
    <w:rsid w:val="00E145B8"/>
    <w:rsid w:val="00E145FD"/>
    <w:rsid w:val="00E1465C"/>
    <w:rsid w:val="00E1477E"/>
    <w:rsid w:val="00E14834"/>
    <w:rsid w:val="00E1493D"/>
    <w:rsid w:val="00E1494C"/>
    <w:rsid w:val="00E14ABD"/>
    <w:rsid w:val="00E14B61"/>
    <w:rsid w:val="00E14BBE"/>
    <w:rsid w:val="00E14BF2"/>
    <w:rsid w:val="00E14C07"/>
    <w:rsid w:val="00E14CBF"/>
    <w:rsid w:val="00E14CE9"/>
    <w:rsid w:val="00E14E77"/>
    <w:rsid w:val="00E14E97"/>
    <w:rsid w:val="00E14EFC"/>
    <w:rsid w:val="00E14F14"/>
    <w:rsid w:val="00E14F50"/>
    <w:rsid w:val="00E15272"/>
    <w:rsid w:val="00E15323"/>
    <w:rsid w:val="00E15398"/>
    <w:rsid w:val="00E15777"/>
    <w:rsid w:val="00E157C5"/>
    <w:rsid w:val="00E15837"/>
    <w:rsid w:val="00E15858"/>
    <w:rsid w:val="00E159C3"/>
    <w:rsid w:val="00E159CD"/>
    <w:rsid w:val="00E15AAB"/>
    <w:rsid w:val="00E15B1A"/>
    <w:rsid w:val="00E15CC0"/>
    <w:rsid w:val="00E15D07"/>
    <w:rsid w:val="00E15E6D"/>
    <w:rsid w:val="00E15F32"/>
    <w:rsid w:val="00E15FB7"/>
    <w:rsid w:val="00E16016"/>
    <w:rsid w:val="00E16167"/>
    <w:rsid w:val="00E161C3"/>
    <w:rsid w:val="00E16216"/>
    <w:rsid w:val="00E16329"/>
    <w:rsid w:val="00E16354"/>
    <w:rsid w:val="00E16385"/>
    <w:rsid w:val="00E1654B"/>
    <w:rsid w:val="00E165C0"/>
    <w:rsid w:val="00E16660"/>
    <w:rsid w:val="00E16704"/>
    <w:rsid w:val="00E1690F"/>
    <w:rsid w:val="00E169EE"/>
    <w:rsid w:val="00E16B62"/>
    <w:rsid w:val="00E16C0C"/>
    <w:rsid w:val="00E16C46"/>
    <w:rsid w:val="00E16D67"/>
    <w:rsid w:val="00E17366"/>
    <w:rsid w:val="00E173B5"/>
    <w:rsid w:val="00E1746D"/>
    <w:rsid w:val="00E176B7"/>
    <w:rsid w:val="00E177C9"/>
    <w:rsid w:val="00E179B9"/>
    <w:rsid w:val="00E17ABF"/>
    <w:rsid w:val="00E17D5D"/>
    <w:rsid w:val="00E17DBB"/>
    <w:rsid w:val="00E17EF8"/>
    <w:rsid w:val="00E17F5B"/>
    <w:rsid w:val="00E17FCD"/>
    <w:rsid w:val="00E20020"/>
    <w:rsid w:val="00E201ED"/>
    <w:rsid w:val="00E20253"/>
    <w:rsid w:val="00E202CE"/>
    <w:rsid w:val="00E2039D"/>
    <w:rsid w:val="00E203BC"/>
    <w:rsid w:val="00E2057C"/>
    <w:rsid w:val="00E20664"/>
    <w:rsid w:val="00E20701"/>
    <w:rsid w:val="00E20787"/>
    <w:rsid w:val="00E2090B"/>
    <w:rsid w:val="00E20B3F"/>
    <w:rsid w:val="00E20BA6"/>
    <w:rsid w:val="00E20D0F"/>
    <w:rsid w:val="00E20DBA"/>
    <w:rsid w:val="00E20DC0"/>
    <w:rsid w:val="00E20E95"/>
    <w:rsid w:val="00E20F55"/>
    <w:rsid w:val="00E211DD"/>
    <w:rsid w:val="00E2121E"/>
    <w:rsid w:val="00E2128E"/>
    <w:rsid w:val="00E212D2"/>
    <w:rsid w:val="00E2133A"/>
    <w:rsid w:val="00E2136F"/>
    <w:rsid w:val="00E2137A"/>
    <w:rsid w:val="00E213B4"/>
    <w:rsid w:val="00E21405"/>
    <w:rsid w:val="00E21515"/>
    <w:rsid w:val="00E21520"/>
    <w:rsid w:val="00E21669"/>
    <w:rsid w:val="00E2172B"/>
    <w:rsid w:val="00E2197A"/>
    <w:rsid w:val="00E219B7"/>
    <w:rsid w:val="00E21BEB"/>
    <w:rsid w:val="00E21BF4"/>
    <w:rsid w:val="00E21CA5"/>
    <w:rsid w:val="00E21F4A"/>
    <w:rsid w:val="00E220FB"/>
    <w:rsid w:val="00E22170"/>
    <w:rsid w:val="00E221EB"/>
    <w:rsid w:val="00E22477"/>
    <w:rsid w:val="00E22545"/>
    <w:rsid w:val="00E22573"/>
    <w:rsid w:val="00E22B10"/>
    <w:rsid w:val="00E22B66"/>
    <w:rsid w:val="00E22BFB"/>
    <w:rsid w:val="00E22C47"/>
    <w:rsid w:val="00E22D44"/>
    <w:rsid w:val="00E22F31"/>
    <w:rsid w:val="00E22FD9"/>
    <w:rsid w:val="00E22FE5"/>
    <w:rsid w:val="00E230AC"/>
    <w:rsid w:val="00E230EF"/>
    <w:rsid w:val="00E23102"/>
    <w:rsid w:val="00E23115"/>
    <w:rsid w:val="00E233D0"/>
    <w:rsid w:val="00E235CC"/>
    <w:rsid w:val="00E235DF"/>
    <w:rsid w:val="00E236FB"/>
    <w:rsid w:val="00E239D2"/>
    <w:rsid w:val="00E23A28"/>
    <w:rsid w:val="00E23D4F"/>
    <w:rsid w:val="00E23EDB"/>
    <w:rsid w:val="00E2404A"/>
    <w:rsid w:val="00E24638"/>
    <w:rsid w:val="00E247DC"/>
    <w:rsid w:val="00E24916"/>
    <w:rsid w:val="00E2493E"/>
    <w:rsid w:val="00E24AE3"/>
    <w:rsid w:val="00E24AE5"/>
    <w:rsid w:val="00E24B3B"/>
    <w:rsid w:val="00E24B92"/>
    <w:rsid w:val="00E24DF4"/>
    <w:rsid w:val="00E25184"/>
    <w:rsid w:val="00E251C2"/>
    <w:rsid w:val="00E2541B"/>
    <w:rsid w:val="00E25458"/>
    <w:rsid w:val="00E255EC"/>
    <w:rsid w:val="00E256F0"/>
    <w:rsid w:val="00E256F5"/>
    <w:rsid w:val="00E25718"/>
    <w:rsid w:val="00E25920"/>
    <w:rsid w:val="00E25972"/>
    <w:rsid w:val="00E259B5"/>
    <w:rsid w:val="00E25B61"/>
    <w:rsid w:val="00E25BBE"/>
    <w:rsid w:val="00E25BFB"/>
    <w:rsid w:val="00E25C66"/>
    <w:rsid w:val="00E25E78"/>
    <w:rsid w:val="00E2607A"/>
    <w:rsid w:val="00E26156"/>
    <w:rsid w:val="00E263FB"/>
    <w:rsid w:val="00E26731"/>
    <w:rsid w:val="00E26968"/>
    <w:rsid w:val="00E26ACD"/>
    <w:rsid w:val="00E26ADD"/>
    <w:rsid w:val="00E26B75"/>
    <w:rsid w:val="00E26C3B"/>
    <w:rsid w:val="00E26DF6"/>
    <w:rsid w:val="00E26E9C"/>
    <w:rsid w:val="00E27061"/>
    <w:rsid w:val="00E2712A"/>
    <w:rsid w:val="00E27178"/>
    <w:rsid w:val="00E27275"/>
    <w:rsid w:val="00E27382"/>
    <w:rsid w:val="00E27396"/>
    <w:rsid w:val="00E27688"/>
    <w:rsid w:val="00E27735"/>
    <w:rsid w:val="00E27852"/>
    <w:rsid w:val="00E27855"/>
    <w:rsid w:val="00E278A3"/>
    <w:rsid w:val="00E27A68"/>
    <w:rsid w:val="00E27ABF"/>
    <w:rsid w:val="00E27B5E"/>
    <w:rsid w:val="00E27BA1"/>
    <w:rsid w:val="00E27DE9"/>
    <w:rsid w:val="00E27E1B"/>
    <w:rsid w:val="00E27F5A"/>
    <w:rsid w:val="00E30018"/>
    <w:rsid w:val="00E300C2"/>
    <w:rsid w:val="00E30250"/>
    <w:rsid w:val="00E3028C"/>
    <w:rsid w:val="00E303F3"/>
    <w:rsid w:val="00E30598"/>
    <w:rsid w:val="00E30636"/>
    <w:rsid w:val="00E3067D"/>
    <w:rsid w:val="00E30760"/>
    <w:rsid w:val="00E307D9"/>
    <w:rsid w:val="00E30894"/>
    <w:rsid w:val="00E30930"/>
    <w:rsid w:val="00E309C6"/>
    <w:rsid w:val="00E30B57"/>
    <w:rsid w:val="00E30B5D"/>
    <w:rsid w:val="00E30C51"/>
    <w:rsid w:val="00E30F47"/>
    <w:rsid w:val="00E30FB0"/>
    <w:rsid w:val="00E30FB4"/>
    <w:rsid w:val="00E30FC1"/>
    <w:rsid w:val="00E3116E"/>
    <w:rsid w:val="00E31261"/>
    <w:rsid w:val="00E3127D"/>
    <w:rsid w:val="00E312D4"/>
    <w:rsid w:val="00E315DF"/>
    <w:rsid w:val="00E31855"/>
    <w:rsid w:val="00E319A6"/>
    <w:rsid w:val="00E31C47"/>
    <w:rsid w:val="00E31D10"/>
    <w:rsid w:val="00E31DFC"/>
    <w:rsid w:val="00E31EAA"/>
    <w:rsid w:val="00E31EBF"/>
    <w:rsid w:val="00E31F73"/>
    <w:rsid w:val="00E31FCF"/>
    <w:rsid w:val="00E320FB"/>
    <w:rsid w:val="00E32119"/>
    <w:rsid w:val="00E32269"/>
    <w:rsid w:val="00E322CE"/>
    <w:rsid w:val="00E32368"/>
    <w:rsid w:val="00E323D1"/>
    <w:rsid w:val="00E32442"/>
    <w:rsid w:val="00E324A1"/>
    <w:rsid w:val="00E325BC"/>
    <w:rsid w:val="00E32685"/>
    <w:rsid w:val="00E3282B"/>
    <w:rsid w:val="00E329D0"/>
    <w:rsid w:val="00E32A7D"/>
    <w:rsid w:val="00E32AE8"/>
    <w:rsid w:val="00E32B06"/>
    <w:rsid w:val="00E32B88"/>
    <w:rsid w:val="00E32BF3"/>
    <w:rsid w:val="00E32D58"/>
    <w:rsid w:val="00E32D82"/>
    <w:rsid w:val="00E32E96"/>
    <w:rsid w:val="00E32EB5"/>
    <w:rsid w:val="00E32FBE"/>
    <w:rsid w:val="00E330BC"/>
    <w:rsid w:val="00E330DD"/>
    <w:rsid w:val="00E3314A"/>
    <w:rsid w:val="00E331A5"/>
    <w:rsid w:val="00E3326B"/>
    <w:rsid w:val="00E332A4"/>
    <w:rsid w:val="00E332FE"/>
    <w:rsid w:val="00E33561"/>
    <w:rsid w:val="00E33605"/>
    <w:rsid w:val="00E336B4"/>
    <w:rsid w:val="00E33721"/>
    <w:rsid w:val="00E33752"/>
    <w:rsid w:val="00E33871"/>
    <w:rsid w:val="00E3388F"/>
    <w:rsid w:val="00E33AD0"/>
    <w:rsid w:val="00E33BFF"/>
    <w:rsid w:val="00E33C84"/>
    <w:rsid w:val="00E33C85"/>
    <w:rsid w:val="00E33E21"/>
    <w:rsid w:val="00E33F1C"/>
    <w:rsid w:val="00E34084"/>
    <w:rsid w:val="00E340DB"/>
    <w:rsid w:val="00E3410A"/>
    <w:rsid w:val="00E34175"/>
    <w:rsid w:val="00E341EF"/>
    <w:rsid w:val="00E34225"/>
    <w:rsid w:val="00E34330"/>
    <w:rsid w:val="00E344D2"/>
    <w:rsid w:val="00E345E7"/>
    <w:rsid w:val="00E34827"/>
    <w:rsid w:val="00E34A48"/>
    <w:rsid w:val="00E34B05"/>
    <w:rsid w:val="00E34C24"/>
    <w:rsid w:val="00E34D8E"/>
    <w:rsid w:val="00E34DD0"/>
    <w:rsid w:val="00E34EBB"/>
    <w:rsid w:val="00E34EC2"/>
    <w:rsid w:val="00E34ED3"/>
    <w:rsid w:val="00E34EF6"/>
    <w:rsid w:val="00E34F86"/>
    <w:rsid w:val="00E34FE8"/>
    <w:rsid w:val="00E34FFF"/>
    <w:rsid w:val="00E35015"/>
    <w:rsid w:val="00E35017"/>
    <w:rsid w:val="00E35036"/>
    <w:rsid w:val="00E35075"/>
    <w:rsid w:val="00E350BE"/>
    <w:rsid w:val="00E3516D"/>
    <w:rsid w:val="00E3518C"/>
    <w:rsid w:val="00E35367"/>
    <w:rsid w:val="00E3539D"/>
    <w:rsid w:val="00E35400"/>
    <w:rsid w:val="00E355AE"/>
    <w:rsid w:val="00E35707"/>
    <w:rsid w:val="00E357BA"/>
    <w:rsid w:val="00E358E6"/>
    <w:rsid w:val="00E3597C"/>
    <w:rsid w:val="00E35A83"/>
    <w:rsid w:val="00E35BC9"/>
    <w:rsid w:val="00E35C33"/>
    <w:rsid w:val="00E35C45"/>
    <w:rsid w:val="00E35CB1"/>
    <w:rsid w:val="00E35E7C"/>
    <w:rsid w:val="00E3600C"/>
    <w:rsid w:val="00E3607A"/>
    <w:rsid w:val="00E3612D"/>
    <w:rsid w:val="00E3615F"/>
    <w:rsid w:val="00E36270"/>
    <w:rsid w:val="00E3628F"/>
    <w:rsid w:val="00E362B7"/>
    <w:rsid w:val="00E362BD"/>
    <w:rsid w:val="00E364F3"/>
    <w:rsid w:val="00E36510"/>
    <w:rsid w:val="00E36789"/>
    <w:rsid w:val="00E36965"/>
    <w:rsid w:val="00E36991"/>
    <w:rsid w:val="00E36AB9"/>
    <w:rsid w:val="00E36F28"/>
    <w:rsid w:val="00E36F64"/>
    <w:rsid w:val="00E36FC1"/>
    <w:rsid w:val="00E3717B"/>
    <w:rsid w:val="00E3719F"/>
    <w:rsid w:val="00E371E7"/>
    <w:rsid w:val="00E37307"/>
    <w:rsid w:val="00E37399"/>
    <w:rsid w:val="00E3743A"/>
    <w:rsid w:val="00E37492"/>
    <w:rsid w:val="00E3749F"/>
    <w:rsid w:val="00E374C2"/>
    <w:rsid w:val="00E374CF"/>
    <w:rsid w:val="00E37512"/>
    <w:rsid w:val="00E37693"/>
    <w:rsid w:val="00E3792C"/>
    <w:rsid w:val="00E37978"/>
    <w:rsid w:val="00E37A67"/>
    <w:rsid w:val="00E37AEA"/>
    <w:rsid w:val="00E37B50"/>
    <w:rsid w:val="00E37CE5"/>
    <w:rsid w:val="00E37DF0"/>
    <w:rsid w:val="00E37EC3"/>
    <w:rsid w:val="00E37EFB"/>
    <w:rsid w:val="00E37F5F"/>
    <w:rsid w:val="00E40077"/>
    <w:rsid w:val="00E4016A"/>
    <w:rsid w:val="00E40338"/>
    <w:rsid w:val="00E4040E"/>
    <w:rsid w:val="00E40496"/>
    <w:rsid w:val="00E40682"/>
    <w:rsid w:val="00E40983"/>
    <w:rsid w:val="00E409F4"/>
    <w:rsid w:val="00E40A3C"/>
    <w:rsid w:val="00E40C22"/>
    <w:rsid w:val="00E40C90"/>
    <w:rsid w:val="00E40C99"/>
    <w:rsid w:val="00E40E10"/>
    <w:rsid w:val="00E40F5F"/>
    <w:rsid w:val="00E4102A"/>
    <w:rsid w:val="00E411D4"/>
    <w:rsid w:val="00E4149A"/>
    <w:rsid w:val="00E414F2"/>
    <w:rsid w:val="00E414FC"/>
    <w:rsid w:val="00E415F0"/>
    <w:rsid w:val="00E41621"/>
    <w:rsid w:val="00E41651"/>
    <w:rsid w:val="00E4168C"/>
    <w:rsid w:val="00E416E4"/>
    <w:rsid w:val="00E41863"/>
    <w:rsid w:val="00E419DF"/>
    <w:rsid w:val="00E419F3"/>
    <w:rsid w:val="00E41C5D"/>
    <w:rsid w:val="00E41D2C"/>
    <w:rsid w:val="00E41DF9"/>
    <w:rsid w:val="00E41E22"/>
    <w:rsid w:val="00E41E47"/>
    <w:rsid w:val="00E41F29"/>
    <w:rsid w:val="00E41FD5"/>
    <w:rsid w:val="00E4208F"/>
    <w:rsid w:val="00E421D1"/>
    <w:rsid w:val="00E421D3"/>
    <w:rsid w:val="00E42387"/>
    <w:rsid w:val="00E423E7"/>
    <w:rsid w:val="00E4241F"/>
    <w:rsid w:val="00E4245A"/>
    <w:rsid w:val="00E42530"/>
    <w:rsid w:val="00E4253C"/>
    <w:rsid w:val="00E42669"/>
    <w:rsid w:val="00E42721"/>
    <w:rsid w:val="00E4277C"/>
    <w:rsid w:val="00E42879"/>
    <w:rsid w:val="00E42A12"/>
    <w:rsid w:val="00E42A20"/>
    <w:rsid w:val="00E42BC7"/>
    <w:rsid w:val="00E42DF7"/>
    <w:rsid w:val="00E4319C"/>
    <w:rsid w:val="00E4321E"/>
    <w:rsid w:val="00E433FE"/>
    <w:rsid w:val="00E43433"/>
    <w:rsid w:val="00E4354E"/>
    <w:rsid w:val="00E435B4"/>
    <w:rsid w:val="00E43681"/>
    <w:rsid w:val="00E437DF"/>
    <w:rsid w:val="00E43AC3"/>
    <w:rsid w:val="00E43DBF"/>
    <w:rsid w:val="00E43E09"/>
    <w:rsid w:val="00E43E11"/>
    <w:rsid w:val="00E4409B"/>
    <w:rsid w:val="00E441AB"/>
    <w:rsid w:val="00E442EB"/>
    <w:rsid w:val="00E443CB"/>
    <w:rsid w:val="00E443E4"/>
    <w:rsid w:val="00E44775"/>
    <w:rsid w:val="00E44899"/>
    <w:rsid w:val="00E448DC"/>
    <w:rsid w:val="00E44B61"/>
    <w:rsid w:val="00E44CB3"/>
    <w:rsid w:val="00E44EF5"/>
    <w:rsid w:val="00E44F4B"/>
    <w:rsid w:val="00E44FC9"/>
    <w:rsid w:val="00E44FCE"/>
    <w:rsid w:val="00E45123"/>
    <w:rsid w:val="00E45140"/>
    <w:rsid w:val="00E45221"/>
    <w:rsid w:val="00E4536A"/>
    <w:rsid w:val="00E45629"/>
    <w:rsid w:val="00E456CF"/>
    <w:rsid w:val="00E45852"/>
    <w:rsid w:val="00E45997"/>
    <w:rsid w:val="00E45A5E"/>
    <w:rsid w:val="00E45C1F"/>
    <w:rsid w:val="00E45C78"/>
    <w:rsid w:val="00E46065"/>
    <w:rsid w:val="00E460B4"/>
    <w:rsid w:val="00E460BD"/>
    <w:rsid w:val="00E46141"/>
    <w:rsid w:val="00E4614A"/>
    <w:rsid w:val="00E46357"/>
    <w:rsid w:val="00E4643C"/>
    <w:rsid w:val="00E46538"/>
    <w:rsid w:val="00E4659D"/>
    <w:rsid w:val="00E465D2"/>
    <w:rsid w:val="00E465FE"/>
    <w:rsid w:val="00E46770"/>
    <w:rsid w:val="00E46898"/>
    <w:rsid w:val="00E468CD"/>
    <w:rsid w:val="00E468DE"/>
    <w:rsid w:val="00E468EB"/>
    <w:rsid w:val="00E46926"/>
    <w:rsid w:val="00E46BD3"/>
    <w:rsid w:val="00E46C22"/>
    <w:rsid w:val="00E46DA6"/>
    <w:rsid w:val="00E46E12"/>
    <w:rsid w:val="00E46E30"/>
    <w:rsid w:val="00E46F30"/>
    <w:rsid w:val="00E46F61"/>
    <w:rsid w:val="00E46FCC"/>
    <w:rsid w:val="00E470B5"/>
    <w:rsid w:val="00E470D2"/>
    <w:rsid w:val="00E47171"/>
    <w:rsid w:val="00E471F4"/>
    <w:rsid w:val="00E4730A"/>
    <w:rsid w:val="00E47343"/>
    <w:rsid w:val="00E4743A"/>
    <w:rsid w:val="00E476A9"/>
    <w:rsid w:val="00E47846"/>
    <w:rsid w:val="00E47851"/>
    <w:rsid w:val="00E47950"/>
    <w:rsid w:val="00E47BCC"/>
    <w:rsid w:val="00E47C33"/>
    <w:rsid w:val="00E47D2A"/>
    <w:rsid w:val="00E47D33"/>
    <w:rsid w:val="00E47E19"/>
    <w:rsid w:val="00E47FB7"/>
    <w:rsid w:val="00E50120"/>
    <w:rsid w:val="00E5023E"/>
    <w:rsid w:val="00E50273"/>
    <w:rsid w:val="00E502EB"/>
    <w:rsid w:val="00E503E2"/>
    <w:rsid w:val="00E503EF"/>
    <w:rsid w:val="00E50597"/>
    <w:rsid w:val="00E505ED"/>
    <w:rsid w:val="00E506EB"/>
    <w:rsid w:val="00E50725"/>
    <w:rsid w:val="00E508C1"/>
    <w:rsid w:val="00E50970"/>
    <w:rsid w:val="00E50973"/>
    <w:rsid w:val="00E50A58"/>
    <w:rsid w:val="00E50B14"/>
    <w:rsid w:val="00E50B27"/>
    <w:rsid w:val="00E50B41"/>
    <w:rsid w:val="00E50C49"/>
    <w:rsid w:val="00E50DD0"/>
    <w:rsid w:val="00E50E60"/>
    <w:rsid w:val="00E50EF2"/>
    <w:rsid w:val="00E50F31"/>
    <w:rsid w:val="00E51060"/>
    <w:rsid w:val="00E512C9"/>
    <w:rsid w:val="00E513E2"/>
    <w:rsid w:val="00E51458"/>
    <w:rsid w:val="00E514CD"/>
    <w:rsid w:val="00E5189C"/>
    <w:rsid w:val="00E51922"/>
    <w:rsid w:val="00E519F8"/>
    <w:rsid w:val="00E51A91"/>
    <w:rsid w:val="00E51B49"/>
    <w:rsid w:val="00E51B84"/>
    <w:rsid w:val="00E51D10"/>
    <w:rsid w:val="00E51DB6"/>
    <w:rsid w:val="00E51FBE"/>
    <w:rsid w:val="00E52062"/>
    <w:rsid w:val="00E5209F"/>
    <w:rsid w:val="00E520EB"/>
    <w:rsid w:val="00E52187"/>
    <w:rsid w:val="00E52396"/>
    <w:rsid w:val="00E52450"/>
    <w:rsid w:val="00E52465"/>
    <w:rsid w:val="00E5246E"/>
    <w:rsid w:val="00E5247F"/>
    <w:rsid w:val="00E524A6"/>
    <w:rsid w:val="00E524BA"/>
    <w:rsid w:val="00E524C4"/>
    <w:rsid w:val="00E524F9"/>
    <w:rsid w:val="00E525FB"/>
    <w:rsid w:val="00E52695"/>
    <w:rsid w:val="00E52734"/>
    <w:rsid w:val="00E5276B"/>
    <w:rsid w:val="00E52831"/>
    <w:rsid w:val="00E52916"/>
    <w:rsid w:val="00E52998"/>
    <w:rsid w:val="00E52AD5"/>
    <w:rsid w:val="00E52B53"/>
    <w:rsid w:val="00E52DD1"/>
    <w:rsid w:val="00E52F0A"/>
    <w:rsid w:val="00E5314C"/>
    <w:rsid w:val="00E531FF"/>
    <w:rsid w:val="00E5326C"/>
    <w:rsid w:val="00E53309"/>
    <w:rsid w:val="00E53334"/>
    <w:rsid w:val="00E533E1"/>
    <w:rsid w:val="00E536A2"/>
    <w:rsid w:val="00E536EE"/>
    <w:rsid w:val="00E53766"/>
    <w:rsid w:val="00E5379E"/>
    <w:rsid w:val="00E5386E"/>
    <w:rsid w:val="00E53916"/>
    <w:rsid w:val="00E539C9"/>
    <w:rsid w:val="00E53A17"/>
    <w:rsid w:val="00E53AEA"/>
    <w:rsid w:val="00E53C09"/>
    <w:rsid w:val="00E53C4F"/>
    <w:rsid w:val="00E53CEA"/>
    <w:rsid w:val="00E53D77"/>
    <w:rsid w:val="00E53F16"/>
    <w:rsid w:val="00E53F5C"/>
    <w:rsid w:val="00E53FB0"/>
    <w:rsid w:val="00E541C5"/>
    <w:rsid w:val="00E54218"/>
    <w:rsid w:val="00E5442D"/>
    <w:rsid w:val="00E54454"/>
    <w:rsid w:val="00E544D8"/>
    <w:rsid w:val="00E54671"/>
    <w:rsid w:val="00E546BE"/>
    <w:rsid w:val="00E54721"/>
    <w:rsid w:val="00E549EE"/>
    <w:rsid w:val="00E549FC"/>
    <w:rsid w:val="00E54B00"/>
    <w:rsid w:val="00E54B0F"/>
    <w:rsid w:val="00E54B1A"/>
    <w:rsid w:val="00E54B75"/>
    <w:rsid w:val="00E54BEC"/>
    <w:rsid w:val="00E54C7B"/>
    <w:rsid w:val="00E54D02"/>
    <w:rsid w:val="00E54DF2"/>
    <w:rsid w:val="00E54EDF"/>
    <w:rsid w:val="00E54F56"/>
    <w:rsid w:val="00E550C0"/>
    <w:rsid w:val="00E5511E"/>
    <w:rsid w:val="00E551DD"/>
    <w:rsid w:val="00E5521A"/>
    <w:rsid w:val="00E55364"/>
    <w:rsid w:val="00E5536F"/>
    <w:rsid w:val="00E553A0"/>
    <w:rsid w:val="00E55432"/>
    <w:rsid w:val="00E555E2"/>
    <w:rsid w:val="00E5578A"/>
    <w:rsid w:val="00E5580E"/>
    <w:rsid w:val="00E558AD"/>
    <w:rsid w:val="00E55951"/>
    <w:rsid w:val="00E55A57"/>
    <w:rsid w:val="00E55A91"/>
    <w:rsid w:val="00E55B29"/>
    <w:rsid w:val="00E55B7D"/>
    <w:rsid w:val="00E55BAD"/>
    <w:rsid w:val="00E55C21"/>
    <w:rsid w:val="00E55E8E"/>
    <w:rsid w:val="00E55FCB"/>
    <w:rsid w:val="00E561A8"/>
    <w:rsid w:val="00E5624C"/>
    <w:rsid w:val="00E56424"/>
    <w:rsid w:val="00E564B4"/>
    <w:rsid w:val="00E565A2"/>
    <w:rsid w:val="00E5671E"/>
    <w:rsid w:val="00E56868"/>
    <w:rsid w:val="00E569C0"/>
    <w:rsid w:val="00E56ADB"/>
    <w:rsid w:val="00E56AED"/>
    <w:rsid w:val="00E56B7F"/>
    <w:rsid w:val="00E56BF9"/>
    <w:rsid w:val="00E56C62"/>
    <w:rsid w:val="00E56E03"/>
    <w:rsid w:val="00E56E1B"/>
    <w:rsid w:val="00E56F9E"/>
    <w:rsid w:val="00E5739B"/>
    <w:rsid w:val="00E573A7"/>
    <w:rsid w:val="00E573F4"/>
    <w:rsid w:val="00E57445"/>
    <w:rsid w:val="00E5748A"/>
    <w:rsid w:val="00E5749F"/>
    <w:rsid w:val="00E574F1"/>
    <w:rsid w:val="00E57524"/>
    <w:rsid w:val="00E577EA"/>
    <w:rsid w:val="00E57A31"/>
    <w:rsid w:val="00E57B7B"/>
    <w:rsid w:val="00E57D27"/>
    <w:rsid w:val="00E57D74"/>
    <w:rsid w:val="00E57DC2"/>
    <w:rsid w:val="00E57F51"/>
    <w:rsid w:val="00E57FBF"/>
    <w:rsid w:val="00E60121"/>
    <w:rsid w:val="00E6029E"/>
    <w:rsid w:val="00E602C8"/>
    <w:rsid w:val="00E6034D"/>
    <w:rsid w:val="00E60398"/>
    <w:rsid w:val="00E60587"/>
    <w:rsid w:val="00E605BD"/>
    <w:rsid w:val="00E60653"/>
    <w:rsid w:val="00E60821"/>
    <w:rsid w:val="00E60921"/>
    <w:rsid w:val="00E60982"/>
    <w:rsid w:val="00E60AAB"/>
    <w:rsid w:val="00E60BA3"/>
    <w:rsid w:val="00E60BF4"/>
    <w:rsid w:val="00E60CC4"/>
    <w:rsid w:val="00E60EA8"/>
    <w:rsid w:val="00E60FBB"/>
    <w:rsid w:val="00E610A2"/>
    <w:rsid w:val="00E610DC"/>
    <w:rsid w:val="00E61129"/>
    <w:rsid w:val="00E61277"/>
    <w:rsid w:val="00E6128D"/>
    <w:rsid w:val="00E61325"/>
    <w:rsid w:val="00E61335"/>
    <w:rsid w:val="00E6148D"/>
    <w:rsid w:val="00E6169A"/>
    <w:rsid w:val="00E617D7"/>
    <w:rsid w:val="00E6186D"/>
    <w:rsid w:val="00E61892"/>
    <w:rsid w:val="00E618A5"/>
    <w:rsid w:val="00E61A1D"/>
    <w:rsid w:val="00E61AA7"/>
    <w:rsid w:val="00E61DB3"/>
    <w:rsid w:val="00E61DF0"/>
    <w:rsid w:val="00E62010"/>
    <w:rsid w:val="00E6209E"/>
    <w:rsid w:val="00E622C9"/>
    <w:rsid w:val="00E62363"/>
    <w:rsid w:val="00E6248C"/>
    <w:rsid w:val="00E624D9"/>
    <w:rsid w:val="00E624E2"/>
    <w:rsid w:val="00E6258C"/>
    <w:rsid w:val="00E625AD"/>
    <w:rsid w:val="00E62736"/>
    <w:rsid w:val="00E6287E"/>
    <w:rsid w:val="00E628DB"/>
    <w:rsid w:val="00E62903"/>
    <w:rsid w:val="00E62B0B"/>
    <w:rsid w:val="00E62B14"/>
    <w:rsid w:val="00E62C46"/>
    <w:rsid w:val="00E62C5D"/>
    <w:rsid w:val="00E62CEA"/>
    <w:rsid w:val="00E62D63"/>
    <w:rsid w:val="00E62E19"/>
    <w:rsid w:val="00E62EEF"/>
    <w:rsid w:val="00E62FB8"/>
    <w:rsid w:val="00E630AF"/>
    <w:rsid w:val="00E63129"/>
    <w:rsid w:val="00E6328F"/>
    <w:rsid w:val="00E632DA"/>
    <w:rsid w:val="00E63457"/>
    <w:rsid w:val="00E634E4"/>
    <w:rsid w:val="00E635AD"/>
    <w:rsid w:val="00E636AD"/>
    <w:rsid w:val="00E637A0"/>
    <w:rsid w:val="00E63BE3"/>
    <w:rsid w:val="00E63C06"/>
    <w:rsid w:val="00E63CB9"/>
    <w:rsid w:val="00E63CDB"/>
    <w:rsid w:val="00E63CE1"/>
    <w:rsid w:val="00E63D69"/>
    <w:rsid w:val="00E63DA1"/>
    <w:rsid w:val="00E63DAE"/>
    <w:rsid w:val="00E63EC5"/>
    <w:rsid w:val="00E64221"/>
    <w:rsid w:val="00E64276"/>
    <w:rsid w:val="00E6439D"/>
    <w:rsid w:val="00E644D6"/>
    <w:rsid w:val="00E6454D"/>
    <w:rsid w:val="00E6456D"/>
    <w:rsid w:val="00E64640"/>
    <w:rsid w:val="00E64746"/>
    <w:rsid w:val="00E64851"/>
    <w:rsid w:val="00E64B77"/>
    <w:rsid w:val="00E64C15"/>
    <w:rsid w:val="00E64CDB"/>
    <w:rsid w:val="00E64EE8"/>
    <w:rsid w:val="00E64F4F"/>
    <w:rsid w:val="00E650E5"/>
    <w:rsid w:val="00E65324"/>
    <w:rsid w:val="00E654B1"/>
    <w:rsid w:val="00E654CE"/>
    <w:rsid w:val="00E654F4"/>
    <w:rsid w:val="00E655E3"/>
    <w:rsid w:val="00E657EC"/>
    <w:rsid w:val="00E658B5"/>
    <w:rsid w:val="00E6592D"/>
    <w:rsid w:val="00E659A9"/>
    <w:rsid w:val="00E659C7"/>
    <w:rsid w:val="00E65A8D"/>
    <w:rsid w:val="00E65C2B"/>
    <w:rsid w:val="00E65E2F"/>
    <w:rsid w:val="00E65F41"/>
    <w:rsid w:val="00E65F44"/>
    <w:rsid w:val="00E6603D"/>
    <w:rsid w:val="00E6613B"/>
    <w:rsid w:val="00E6616C"/>
    <w:rsid w:val="00E662EE"/>
    <w:rsid w:val="00E6642D"/>
    <w:rsid w:val="00E66457"/>
    <w:rsid w:val="00E664E9"/>
    <w:rsid w:val="00E6655F"/>
    <w:rsid w:val="00E666C5"/>
    <w:rsid w:val="00E668BD"/>
    <w:rsid w:val="00E669B8"/>
    <w:rsid w:val="00E66B49"/>
    <w:rsid w:val="00E66D44"/>
    <w:rsid w:val="00E66E5C"/>
    <w:rsid w:val="00E66E8D"/>
    <w:rsid w:val="00E66F16"/>
    <w:rsid w:val="00E67009"/>
    <w:rsid w:val="00E6735B"/>
    <w:rsid w:val="00E67402"/>
    <w:rsid w:val="00E674E8"/>
    <w:rsid w:val="00E67569"/>
    <w:rsid w:val="00E67578"/>
    <w:rsid w:val="00E6758B"/>
    <w:rsid w:val="00E675B1"/>
    <w:rsid w:val="00E675F0"/>
    <w:rsid w:val="00E67909"/>
    <w:rsid w:val="00E679E0"/>
    <w:rsid w:val="00E67B27"/>
    <w:rsid w:val="00E67E0A"/>
    <w:rsid w:val="00E67EF0"/>
    <w:rsid w:val="00E67F54"/>
    <w:rsid w:val="00E703EA"/>
    <w:rsid w:val="00E70456"/>
    <w:rsid w:val="00E70569"/>
    <w:rsid w:val="00E707A6"/>
    <w:rsid w:val="00E708F7"/>
    <w:rsid w:val="00E709AB"/>
    <w:rsid w:val="00E70A4D"/>
    <w:rsid w:val="00E70AF7"/>
    <w:rsid w:val="00E70BA8"/>
    <w:rsid w:val="00E70E17"/>
    <w:rsid w:val="00E70E5B"/>
    <w:rsid w:val="00E70ED4"/>
    <w:rsid w:val="00E7105B"/>
    <w:rsid w:val="00E710BF"/>
    <w:rsid w:val="00E71293"/>
    <w:rsid w:val="00E7132F"/>
    <w:rsid w:val="00E71374"/>
    <w:rsid w:val="00E713E3"/>
    <w:rsid w:val="00E7143B"/>
    <w:rsid w:val="00E7146F"/>
    <w:rsid w:val="00E71470"/>
    <w:rsid w:val="00E71495"/>
    <w:rsid w:val="00E71529"/>
    <w:rsid w:val="00E71549"/>
    <w:rsid w:val="00E71554"/>
    <w:rsid w:val="00E7174F"/>
    <w:rsid w:val="00E71942"/>
    <w:rsid w:val="00E71A04"/>
    <w:rsid w:val="00E71AC6"/>
    <w:rsid w:val="00E71BA5"/>
    <w:rsid w:val="00E71BDC"/>
    <w:rsid w:val="00E71C45"/>
    <w:rsid w:val="00E71C52"/>
    <w:rsid w:val="00E71D50"/>
    <w:rsid w:val="00E71D99"/>
    <w:rsid w:val="00E71DB3"/>
    <w:rsid w:val="00E71FA4"/>
    <w:rsid w:val="00E72185"/>
    <w:rsid w:val="00E7219B"/>
    <w:rsid w:val="00E7225A"/>
    <w:rsid w:val="00E72298"/>
    <w:rsid w:val="00E7235A"/>
    <w:rsid w:val="00E7235C"/>
    <w:rsid w:val="00E72549"/>
    <w:rsid w:val="00E72561"/>
    <w:rsid w:val="00E72661"/>
    <w:rsid w:val="00E726F0"/>
    <w:rsid w:val="00E7272F"/>
    <w:rsid w:val="00E72766"/>
    <w:rsid w:val="00E7277D"/>
    <w:rsid w:val="00E729BF"/>
    <w:rsid w:val="00E72AFF"/>
    <w:rsid w:val="00E72C75"/>
    <w:rsid w:val="00E72D7F"/>
    <w:rsid w:val="00E72F3E"/>
    <w:rsid w:val="00E72FAA"/>
    <w:rsid w:val="00E72FCE"/>
    <w:rsid w:val="00E72FFD"/>
    <w:rsid w:val="00E7302C"/>
    <w:rsid w:val="00E73075"/>
    <w:rsid w:val="00E73191"/>
    <w:rsid w:val="00E7335B"/>
    <w:rsid w:val="00E7339A"/>
    <w:rsid w:val="00E73F5F"/>
    <w:rsid w:val="00E74077"/>
    <w:rsid w:val="00E74176"/>
    <w:rsid w:val="00E74193"/>
    <w:rsid w:val="00E7419C"/>
    <w:rsid w:val="00E7424F"/>
    <w:rsid w:val="00E74326"/>
    <w:rsid w:val="00E74377"/>
    <w:rsid w:val="00E743E0"/>
    <w:rsid w:val="00E7448E"/>
    <w:rsid w:val="00E74609"/>
    <w:rsid w:val="00E7474B"/>
    <w:rsid w:val="00E74754"/>
    <w:rsid w:val="00E747DB"/>
    <w:rsid w:val="00E7497A"/>
    <w:rsid w:val="00E74989"/>
    <w:rsid w:val="00E749F5"/>
    <w:rsid w:val="00E74A29"/>
    <w:rsid w:val="00E74A2A"/>
    <w:rsid w:val="00E74B75"/>
    <w:rsid w:val="00E74B77"/>
    <w:rsid w:val="00E74BC1"/>
    <w:rsid w:val="00E74BD3"/>
    <w:rsid w:val="00E74C05"/>
    <w:rsid w:val="00E74CC3"/>
    <w:rsid w:val="00E74E51"/>
    <w:rsid w:val="00E750F2"/>
    <w:rsid w:val="00E750FB"/>
    <w:rsid w:val="00E75163"/>
    <w:rsid w:val="00E752AB"/>
    <w:rsid w:val="00E75370"/>
    <w:rsid w:val="00E753A4"/>
    <w:rsid w:val="00E753B2"/>
    <w:rsid w:val="00E75427"/>
    <w:rsid w:val="00E754E0"/>
    <w:rsid w:val="00E754E7"/>
    <w:rsid w:val="00E75637"/>
    <w:rsid w:val="00E756AA"/>
    <w:rsid w:val="00E757FF"/>
    <w:rsid w:val="00E75813"/>
    <w:rsid w:val="00E7584C"/>
    <w:rsid w:val="00E758C8"/>
    <w:rsid w:val="00E75A3C"/>
    <w:rsid w:val="00E75AF4"/>
    <w:rsid w:val="00E75E0F"/>
    <w:rsid w:val="00E75EA6"/>
    <w:rsid w:val="00E75EBC"/>
    <w:rsid w:val="00E7605C"/>
    <w:rsid w:val="00E7607E"/>
    <w:rsid w:val="00E7612A"/>
    <w:rsid w:val="00E76168"/>
    <w:rsid w:val="00E761AF"/>
    <w:rsid w:val="00E7644C"/>
    <w:rsid w:val="00E764AC"/>
    <w:rsid w:val="00E76659"/>
    <w:rsid w:val="00E76869"/>
    <w:rsid w:val="00E768A5"/>
    <w:rsid w:val="00E76919"/>
    <w:rsid w:val="00E76996"/>
    <w:rsid w:val="00E76A2F"/>
    <w:rsid w:val="00E76B0B"/>
    <w:rsid w:val="00E76BBA"/>
    <w:rsid w:val="00E76C72"/>
    <w:rsid w:val="00E76CD1"/>
    <w:rsid w:val="00E76D77"/>
    <w:rsid w:val="00E76F5F"/>
    <w:rsid w:val="00E76FCB"/>
    <w:rsid w:val="00E77013"/>
    <w:rsid w:val="00E77023"/>
    <w:rsid w:val="00E7713E"/>
    <w:rsid w:val="00E77190"/>
    <w:rsid w:val="00E77269"/>
    <w:rsid w:val="00E773F7"/>
    <w:rsid w:val="00E7753B"/>
    <w:rsid w:val="00E77646"/>
    <w:rsid w:val="00E77666"/>
    <w:rsid w:val="00E7766E"/>
    <w:rsid w:val="00E776F2"/>
    <w:rsid w:val="00E77788"/>
    <w:rsid w:val="00E778AD"/>
    <w:rsid w:val="00E77960"/>
    <w:rsid w:val="00E779AD"/>
    <w:rsid w:val="00E779F1"/>
    <w:rsid w:val="00E779F6"/>
    <w:rsid w:val="00E77D24"/>
    <w:rsid w:val="00E77DC5"/>
    <w:rsid w:val="00E77E00"/>
    <w:rsid w:val="00E80015"/>
    <w:rsid w:val="00E8016D"/>
    <w:rsid w:val="00E80216"/>
    <w:rsid w:val="00E802E6"/>
    <w:rsid w:val="00E80342"/>
    <w:rsid w:val="00E80679"/>
    <w:rsid w:val="00E807D7"/>
    <w:rsid w:val="00E8087D"/>
    <w:rsid w:val="00E808A1"/>
    <w:rsid w:val="00E80A50"/>
    <w:rsid w:val="00E80A7D"/>
    <w:rsid w:val="00E80A9F"/>
    <w:rsid w:val="00E80B01"/>
    <w:rsid w:val="00E80B6D"/>
    <w:rsid w:val="00E80EEE"/>
    <w:rsid w:val="00E80FB6"/>
    <w:rsid w:val="00E80FF2"/>
    <w:rsid w:val="00E8116B"/>
    <w:rsid w:val="00E81232"/>
    <w:rsid w:val="00E8130D"/>
    <w:rsid w:val="00E81385"/>
    <w:rsid w:val="00E813E1"/>
    <w:rsid w:val="00E813E3"/>
    <w:rsid w:val="00E81A07"/>
    <w:rsid w:val="00E81B4D"/>
    <w:rsid w:val="00E81B73"/>
    <w:rsid w:val="00E81B86"/>
    <w:rsid w:val="00E81BC2"/>
    <w:rsid w:val="00E81BDA"/>
    <w:rsid w:val="00E81C6E"/>
    <w:rsid w:val="00E81CA2"/>
    <w:rsid w:val="00E8216D"/>
    <w:rsid w:val="00E821B2"/>
    <w:rsid w:val="00E821C5"/>
    <w:rsid w:val="00E823B0"/>
    <w:rsid w:val="00E823DB"/>
    <w:rsid w:val="00E8241B"/>
    <w:rsid w:val="00E82460"/>
    <w:rsid w:val="00E82649"/>
    <w:rsid w:val="00E828C0"/>
    <w:rsid w:val="00E82AC6"/>
    <w:rsid w:val="00E82B6E"/>
    <w:rsid w:val="00E82BF7"/>
    <w:rsid w:val="00E82E04"/>
    <w:rsid w:val="00E82EE1"/>
    <w:rsid w:val="00E82F40"/>
    <w:rsid w:val="00E831A7"/>
    <w:rsid w:val="00E8320C"/>
    <w:rsid w:val="00E83280"/>
    <w:rsid w:val="00E832F8"/>
    <w:rsid w:val="00E832FB"/>
    <w:rsid w:val="00E83328"/>
    <w:rsid w:val="00E8333F"/>
    <w:rsid w:val="00E83364"/>
    <w:rsid w:val="00E833A5"/>
    <w:rsid w:val="00E83585"/>
    <w:rsid w:val="00E836A9"/>
    <w:rsid w:val="00E8380C"/>
    <w:rsid w:val="00E83868"/>
    <w:rsid w:val="00E83BD9"/>
    <w:rsid w:val="00E83C18"/>
    <w:rsid w:val="00E83D31"/>
    <w:rsid w:val="00E83DC0"/>
    <w:rsid w:val="00E83DC6"/>
    <w:rsid w:val="00E83F5E"/>
    <w:rsid w:val="00E83F87"/>
    <w:rsid w:val="00E83FD1"/>
    <w:rsid w:val="00E8402F"/>
    <w:rsid w:val="00E840A3"/>
    <w:rsid w:val="00E840EA"/>
    <w:rsid w:val="00E84123"/>
    <w:rsid w:val="00E841CE"/>
    <w:rsid w:val="00E842BD"/>
    <w:rsid w:val="00E84339"/>
    <w:rsid w:val="00E8439F"/>
    <w:rsid w:val="00E843C0"/>
    <w:rsid w:val="00E84581"/>
    <w:rsid w:val="00E84761"/>
    <w:rsid w:val="00E84866"/>
    <w:rsid w:val="00E84A0C"/>
    <w:rsid w:val="00E84AA2"/>
    <w:rsid w:val="00E84AF1"/>
    <w:rsid w:val="00E84BF5"/>
    <w:rsid w:val="00E84C5D"/>
    <w:rsid w:val="00E84D96"/>
    <w:rsid w:val="00E84DB9"/>
    <w:rsid w:val="00E84E7E"/>
    <w:rsid w:val="00E84E9C"/>
    <w:rsid w:val="00E8500D"/>
    <w:rsid w:val="00E85015"/>
    <w:rsid w:val="00E850D5"/>
    <w:rsid w:val="00E851B4"/>
    <w:rsid w:val="00E8536F"/>
    <w:rsid w:val="00E853F5"/>
    <w:rsid w:val="00E85415"/>
    <w:rsid w:val="00E85577"/>
    <w:rsid w:val="00E8559E"/>
    <w:rsid w:val="00E85676"/>
    <w:rsid w:val="00E856E4"/>
    <w:rsid w:val="00E856E6"/>
    <w:rsid w:val="00E857EF"/>
    <w:rsid w:val="00E857FA"/>
    <w:rsid w:val="00E85930"/>
    <w:rsid w:val="00E85AC7"/>
    <w:rsid w:val="00E85BD0"/>
    <w:rsid w:val="00E85E99"/>
    <w:rsid w:val="00E85E9E"/>
    <w:rsid w:val="00E86068"/>
    <w:rsid w:val="00E861F9"/>
    <w:rsid w:val="00E86337"/>
    <w:rsid w:val="00E86458"/>
    <w:rsid w:val="00E8655C"/>
    <w:rsid w:val="00E8673E"/>
    <w:rsid w:val="00E867CB"/>
    <w:rsid w:val="00E867DC"/>
    <w:rsid w:val="00E8680A"/>
    <w:rsid w:val="00E86814"/>
    <w:rsid w:val="00E868D0"/>
    <w:rsid w:val="00E868E8"/>
    <w:rsid w:val="00E869BE"/>
    <w:rsid w:val="00E86CBC"/>
    <w:rsid w:val="00E86F36"/>
    <w:rsid w:val="00E86F3F"/>
    <w:rsid w:val="00E8700B"/>
    <w:rsid w:val="00E87068"/>
    <w:rsid w:val="00E870F3"/>
    <w:rsid w:val="00E87275"/>
    <w:rsid w:val="00E8744E"/>
    <w:rsid w:val="00E8780C"/>
    <w:rsid w:val="00E878BB"/>
    <w:rsid w:val="00E879F7"/>
    <w:rsid w:val="00E87A91"/>
    <w:rsid w:val="00E87AD1"/>
    <w:rsid w:val="00E87CD5"/>
    <w:rsid w:val="00E87E1E"/>
    <w:rsid w:val="00E9018E"/>
    <w:rsid w:val="00E90233"/>
    <w:rsid w:val="00E904F2"/>
    <w:rsid w:val="00E9073E"/>
    <w:rsid w:val="00E908B0"/>
    <w:rsid w:val="00E90A66"/>
    <w:rsid w:val="00E90B23"/>
    <w:rsid w:val="00E90B47"/>
    <w:rsid w:val="00E90BD0"/>
    <w:rsid w:val="00E90C21"/>
    <w:rsid w:val="00E90CCB"/>
    <w:rsid w:val="00E90D0F"/>
    <w:rsid w:val="00E90DD2"/>
    <w:rsid w:val="00E90EA0"/>
    <w:rsid w:val="00E90EB7"/>
    <w:rsid w:val="00E9126C"/>
    <w:rsid w:val="00E913EB"/>
    <w:rsid w:val="00E9147E"/>
    <w:rsid w:val="00E9164E"/>
    <w:rsid w:val="00E91671"/>
    <w:rsid w:val="00E9174B"/>
    <w:rsid w:val="00E91915"/>
    <w:rsid w:val="00E91B88"/>
    <w:rsid w:val="00E91D5B"/>
    <w:rsid w:val="00E91E74"/>
    <w:rsid w:val="00E91F7E"/>
    <w:rsid w:val="00E91FFE"/>
    <w:rsid w:val="00E920A0"/>
    <w:rsid w:val="00E920DC"/>
    <w:rsid w:val="00E921B6"/>
    <w:rsid w:val="00E922B2"/>
    <w:rsid w:val="00E92463"/>
    <w:rsid w:val="00E92613"/>
    <w:rsid w:val="00E9269D"/>
    <w:rsid w:val="00E927E8"/>
    <w:rsid w:val="00E92A62"/>
    <w:rsid w:val="00E92B15"/>
    <w:rsid w:val="00E92D4F"/>
    <w:rsid w:val="00E92D71"/>
    <w:rsid w:val="00E93041"/>
    <w:rsid w:val="00E9315D"/>
    <w:rsid w:val="00E932DD"/>
    <w:rsid w:val="00E93321"/>
    <w:rsid w:val="00E93358"/>
    <w:rsid w:val="00E93385"/>
    <w:rsid w:val="00E93517"/>
    <w:rsid w:val="00E93695"/>
    <w:rsid w:val="00E93789"/>
    <w:rsid w:val="00E937B8"/>
    <w:rsid w:val="00E939BC"/>
    <w:rsid w:val="00E93AD8"/>
    <w:rsid w:val="00E93B34"/>
    <w:rsid w:val="00E93E98"/>
    <w:rsid w:val="00E93EA7"/>
    <w:rsid w:val="00E93F1A"/>
    <w:rsid w:val="00E93F53"/>
    <w:rsid w:val="00E94050"/>
    <w:rsid w:val="00E94092"/>
    <w:rsid w:val="00E940D8"/>
    <w:rsid w:val="00E941DD"/>
    <w:rsid w:val="00E941FD"/>
    <w:rsid w:val="00E942A4"/>
    <w:rsid w:val="00E94360"/>
    <w:rsid w:val="00E94401"/>
    <w:rsid w:val="00E94428"/>
    <w:rsid w:val="00E9445A"/>
    <w:rsid w:val="00E94634"/>
    <w:rsid w:val="00E94650"/>
    <w:rsid w:val="00E94D23"/>
    <w:rsid w:val="00E94E13"/>
    <w:rsid w:val="00E94EF3"/>
    <w:rsid w:val="00E94F61"/>
    <w:rsid w:val="00E94F77"/>
    <w:rsid w:val="00E94FD0"/>
    <w:rsid w:val="00E950A8"/>
    <w:rsid w:val="00E95158"/>
    <w:rsid w:val="00E953D8"/>
    <w:rsid w:val="00E954C6"/>
    <w:rsid w:val="00E954C8"/>
    <w:rsid w:val="00E9552F"/>
    <w:rsid w:val="00E95C2A"/>
    <w:rsid w:val="00E95D95"/>
    <w:rsid w:val="00E95DC2"/>
    <w:rsid w:val="00E95DC5"/>
    <w:rsid w:val="00E95DE3"/>
    <w:rsid w:val="00E95DF8"/>
    <w:rsid w:val="00E95E4B"/>
    <w:rsid w:val="00E95E60"/>
    <w:rsid w:val="00E95FC7"/>
    <w:rsid w:val="00E960DC"/>
    <w:rsid w:val="00E9610E"/>
    <w:rsid w:val="00E961AB"/>
    <w:rsid w:val="00E963CE"/>
    <w:rsid w:val="00E9642E"/>
    <w:rsid w:val="00E9659F"/>
    <w:rsid w:val="00E966A5"/>
    <w:rsid w:val="00E966F7"/>
    <w:rsid w:val="00E96768"/>
    <w:rsid w:val="00E9678A"/>
    <w:rsid w:val="00E9679E"/>
    <w:rsid w:val="00E967F3"/>
    <w:rsid w:val="00E967F6"/>
    <w:rsid w:val="00E968F7"/>
    <w:rsid w:val="00E96A36"/>
    <w:rsid w:val="00E96B24"/>
    <w:rsid w:val="00E96CB4"/>
    <w:rsid w:val="00E96D77"/>
    <w:rsid w:val="00E96DB9"/>
    <w:rsid w:val="00E97061"/>
    <w:rsid w:val="00E9713E"/>
    <w:rsid w:val="00E97301"/>
    <w:rsid w:val="00E97364"/>
    <w:rsid w:val="00E97382"/>
    <w:rsid w:val="00E974DB"/>
    <w:rsid w:val="00E97503"/>
    <w:rsid w:val="00E975EB"/>
    <w:rsid w:val="00E975FC"/>
    <w:rsid w:val="00E977D5"/>
    <w:rsid w:val="00E977D6"/>
    <w:rsid w:val="00E979B7"/>
    <w:rsid w:val="00E97CC1"/>
    <w:rsid w:val="00E97CCD"/>
    <w:rsid w:val="00E97CEB"/>
    <w:rsid w:val="00E97E09"/>
    <w:rsid w:val="00E97E8C"/>
    <w:rsid w:val="00E97EC3"/>
    <w:rsid w:val="00E97EDE"/>
    <w:rsid w:val="00EA0377"/>
    <w:rsid w:val="00EA03B9"/>
    <w:rsid w:val="00EA03FE"/>
    <w:rsid w:val="00EA0436"/>
    <w:rsid w:val="00EA0520"/>
    <w:rsid w:val="00EA065D"/>
    <w:rsid w:val="00EA0661"/>
    <w:rsid w:val="00EA06C8"/>
    <w:rsid w:val="00EA08F9"/>
    <w:rsid w:val="00EA099A"/>
    <w:rsid w:val="00EA0AD9"/>
    <w:rsid w:val="00EA0C67"/>
    <w:rsid w:val="00EA0CCD"/>
    <w:rsid w:val="00EA0D31"/>
    <w:rsid w:val="00EA0E02"/>
    <w:rsid w:val="00EA0F68"/>
    <w:rsid w:val="00EA0FD0"/>
    <w:rsid w:val="00EA10CB"/>
    <w:rsid w:val="00EA119E"/>
    <w:rsid w:val="00EA1230"/>
    <w:rsid w:val="00EA1674"/>
    <w:rsid w:val="00EA16C6"/>
    <w:rsid w:val="00EA16ED"/>
    <w:rsid w:val="00EA175E"/>
    <w:rsid w:val="00EA177B"/>
    <w:rsid w:val="00EA17D7"/>
    <w:rsid w:val="00EA195A"/>
    <w:rsid w:val="00EA1966"/>
    <w:rsid w:val="00EA198F"/>
    <w:rsid w:val="00EA1A20"/>
    <w:rsid w:val="00EA1BF8"/>
    <w:rsid w:val="00EA1C75"/>
    <w:rsid w:val="00EA1CE6"/>
    <w:rsid w:val="00EA1CFE"/>
    <w:rsid w:val="00EA1E3C"/>
    <w:rsid w:val="00EA1EB2"/>
    <w:rsid w:val="00EA1FAF"/>
    <w:rsid w:val="00EA2009"/>
    <w:rsid w:val="00EA20AD"/>
    <w:rsid w:val="00EA2233"/>
    <w:rsid w:val="00EA2445"/>
    <w:rsid w:val="00EA245D"/>
    <w:rsid w:val="00EA24E4"/>
    <w:rsid w:val="00EA2552"/>
    <w:rsid w:val="00EA2567"/>
    <w:rsid w:val="00EA2703"/>
    <w:rsid w:val="00EA270B"/>
    <w:rsid w:val="00EA2770"/>
    <w:rsid w:val="00EA2884"/>
    <w:rsid w:val="00EA289A"/>
    <w:rsid w:val="00EA2ABD"/>
    <w:rsid w:val="00EA2DA7"/>
    <w:rsid w:val="00EA2DBD"/>
    <w:rsid w:val="00EA2DCD"/>
    <w:rsid w:val="00EA2DD2"/>
    <w:rsid w:val="00EA2DFD"/>
    <w:rsid w:val="00EA2F01"/>
    <w:rsid w:val="00EA2F07"/>
    <w:rsid w:val="00EA302E"/>
    <w:rsid w:val="00EA3276"/>
    <w:rsid w:val="00EA33A0"/>
    <w:rsid w:val="00EA33BB"/>
    <w:rsid w:val="00EA34AA"/>
    <w:rsid w:val="00EA362C"/>
    <w:rsid w:val="00EA3758"/>
    <w:rsid w:val="00EA375B"/>
    <w:rsid w:val="00EA377B"/>
    <w:rsid w:val="00EA37BC"/>
    <w:rsid w:val="00EA3995"/>
    <w:rsid w:val="00EA39A0"/>
    <w:rsid w:val="00EA39E2"/>
    <w:rsid w:val="00EA3A12"/>
    <w:rsid w:val="00EA3B5D"/>
    <w:rsid w:val="00EA3BCF"/>
    <w:rsid w:val="00EA3D68"/>
    <w:rsid w:val="00EA3DF3"/>
    <w:rsid w:val="00EA40CE"/>
    <w:rsid w:val="00EA42DA"/>
    <w:rsid w:val="00EA4406"/>
    <w:rsid w:val="00EA4452"/>
    <w:rsid w:val="00EA46B2"/>
    <w:rsid w:val="00EA46D8"/>
    <w:rsid w:val="00EA479F"/>
    <w:rsid w:val="00EA47EF"/>
    <w:rsid w:val="00EA48C4"/>
    <w:rsid w:val="00EA4989"/>
    <w:rsid w:val="00EA49AB"/>
    <w:rsid w:val="00EA49B1"/>
    <w:rsid w:val="00EA4A03"/>
    <w:rsid w:val="00EA4B6B"/>
    <w:rsid w:val="00EA4C35"/>
    <w:rsid w:val="00EA4C87"/>
    <w:rsid w:val="00EA4CED"/>
    <w:rsid w:val="00EA4FAA"/>
    <w:rsid w:val="00EA5119"/>
    <w:rsid w:val="00EA525B"/>
    <w:rsid w:val="00EA52FD"/>
    <w:rsid w:val="00EA54FF"/>
    <w:rsid w:val="00EA5578"/>
    <w:rsid w:val="00EA55B8"/>
    <w:rsid w:val="00EA55D1"/>
    <w:rsid w:val="00EA5693"/>
    <w:rsid w:val="00EA56C2"/>
    <w:rsid w:val="00EA58B9"/>
    <w:rsid w:val="00EA592A"/>
    <w:rsid w:val="00EA5941"/>
    <w:rsid w:val="00EA5BB9"/>
    <w:rsid w:val="00EA5DA1"/>
    <w:rsid w:val="00EA5E67"/>
    <w:rsid w:val="00EA5F5D"/>
    <w:rsid w:val="00EA5F77"/>
    <w:rsid w:val="00EA6072"/>
    <w:rsid w:val="00EA608F"/>
    <w:rsid w:val="00EA60C7"/>
    <w:rsid w:val="00EA6160"/>
    <w:rsid w:val="00EA63C5"/>
    <w:rsid w:val="00EA6451"/>
    <w:rsid w:val="00EA65A0"/>
    <w:rsid w:val="00EA6C30"/>
    <w:rsid w:val="00EA6D91"/>
    <w:rsid w:val="00EA6D9E"/>
    <w:rsid w:val="00EA6E8F"/>
    <w:rsid w:val="00EA7180"/>
    <w:rsid w:val="00EA73B6"/>
    <w:rsid w:val="00EA74BC"/>
    <w:rsid w:val="00EA78B7"/>
    <w:rsid w:val="00EA78DE"/>
    <w:rsid w:val="00EA7902"/>
    <w:rsid w:val="00EA79BD"/>
    <w:rsid w:val="00EA7AE3"/>
    <w:rsid w:val="00EA7C77"/>
    <w:rsid w:val="00EA7CC8"/>
    <w:rsid w:val="00EA7CD4"/>
    <w:rsid w:val="00EA7D51"/>
    <w:rsid w:val="00EA7E7B"/>
    <w:rsid w:val="00EB0134"/>
    <w:rsid w:val="00EB0170"/>
    <w:rsid w:val="00EB0211"/>
    <w:rsid w:val="00EB021D"/>
    <w:rsid w:val="00EB027B"/>
    <w:rsid w:val="00EB028B"/>
    <w:rsid w:val="00EB02FC"/>
    <w:rsid w:val="00EB0573"/>
    <w:rsid w:val="00EB059F"/>
    <w:rsid w:val="00EB085D"/>
    <w:rsid w:val="00EB0F3B"/>
    <w:rsid w:val="00EB0F69"/>
    <w:rsid w:val="00EB0FAD"/>
    <w:rsid w:val="00EB10F7"/>
    <w:rsid w:val="00EB122F"/>
    <w:rsid w:val="00EB12DC"/>
    <w:rsid w:val="00EB14B1"/>
    <w:rsid w:val="00EB16EB"/>
    <w:rsid w:val="00EB19B8"/>
    <w:rsid w:val="00EB19D7"/>
    <w:rsid w:val="00EB1A2D"/>
    <w:rsid w:val="00EB1A5D"/>
    <w:rsid w:val="00EB1ABD"/>
    <w:rsid w:val="00EB1BFE"/>
    <w:rsid w:val="00EB1DA1"/>
    <w:rsid w:val="00EB1E31"/>
    <w:rsid w:val="00EB1E5B"/>
    <w:rsid w:val="00EB1E6A"/>
    <w:rsid w:val="00EB1F37"/>
    <w:rsid w:val="00EB1FE0"/>
    <w:rsid w:val="00EB209D"/>
    <w:rsid w:val="00EB20B7"/>
    <w:rsid w:val="00EB2118"/>
    <w:rsid w:val="00EB212C"/>
    <w:rsid w:val="00EB2148"/>
    <w:rsid w:val="00EB21A7"/>
    <w:rsid w:val="00EB221E"/>
    <w:rsid w:val="00EB23AB"/>
    <w:rsid w:val="00EB26D9"/>
    <w:rsid w:val="00EB27CF"/>
    <w:rsid w:val="00EB2887"/>
    <w:rsid w:val="00EB2C8E"/>
    <w:rsid w:val="00EB2DAC"/>
    <w:rsid w:val="00EB2E20"/>
    <w:rsid w:val="00EB2E4F"/>
    <w:rsid w:val="00EB2EA5"/>
    <w:rsid w:val="00EB3032"/>
    <w:rsid w:val="00EB310A"/>
    <w:rsid w:val="00EB32BC"/>
    <w:rsid w:val="00EB337E"/>
    <w:rsid w:val="00EB3530"/>
    <w:rsid w:val="00EB35A3"/>
    <w:rsid w:val="00EB35B1"/>
    <w:rsid w:val="00EB35E7"/>
    <w:rsid w:val="00EB36C2"/>
    <w:rsid w:val="00EB3709"/>
    <w:rsid w:val="00EB38C9"/>
    <w:rsid w:val="00EB3AF4"/>
    <w:rsid w:val="00EB3B16"/>
    <w:rsid w:val="00EB3B1C"/>
    <w:rsid w:val="00EB3BF9"/>
    <w:rsid w:val="00EB3CD2"/>
    <w:rsid w:val="00EB3D3D"/>
    <w:rsid w:val="00EB3E0C"/>
    <w:rsid w:val="00EB3F8C"/>
    <w:rsid w:val="00EB423B"/>
    <w:rsid w:val="00EB42DB"/>
    <w:rsid w:val="00EB44C1"/>
    <w:rsid w:val="00EB44C4"/>
    <w:rsid w:val="00EB44D3"/>
    <w:rsid w:val="00EB456A"/>
    <w:rsid w:val="00EB45C2"/>
    <w:rsid w:val="00EB4784"/>
    <w:rsid w:val="00EB48A3"/>
    <w:rsid w:val="00EB48A4"/>
    <w:rsid w:val="00EB4948"/>
    <w:rsid w:val="00EB4BB1"/>
    <w:rsid w:val="00EB4DF0"/>
    <w:rsid w:val="00EB4E23"/>
    <w:rsid w:val="00EB4F2C"/>
    <w:rsid w:val="00EB4FD9"/>
    <w:rsid w:val="00EB513C"/>
    <w:rsid w:val="00EB5350"/>
    <w:rsid w:val="00EB5466"/>
    <w:rsid w:val="00EB546E"/>
    <w:rsid w:val="00EB5621"/>
    <w:rsid w:val="00EB580C"/>
    <w:rsid w:val="00EB585A"/>
    <w:rsid w:val="00EB5ABF"/>
    <w:rsid w:val="00EB5B27"/>
    <w:rsid w:val="00EB5BD3"/>
    <w:rsid w:val="00EB5CA7"/>
    <w:rsid w:val="00EB5E10"/>
    <w:rsid w:val="00EB5F94"/>
    <w:rsid w:val="00EB60A1"/>
    <w:rsid w:val="00EB6151"/>
    <w:rsid w:val="00EB6188"/>
    <w:rsid w:val="00EB6194"/>
    <w:rsid w:val="00EB622A"/>
    <w:rsid w:val="00EB62B6"/>
    <w:rsid w:val="00EB62EE"/>
    <w:rsid w:val="00EB6396"/>
    <w:rsid w:val="00EB6454"/>
    <w:rsid w:val="00EB650A"/>
    <w:rsid w:val="00EB653E"/>
    <w:rsid w:val="00EB6570"/>
    <w:rsid w:val="00EB6576"/>
    <w:rsid w:val="00EB6580"/>
    <w:rsid w:val="00EB65A9"/>
    <w:rsid w:val="00EB677B"/>
    <w:rsid w:val="00EB6782"/>
    <w:rsid w:val="00EB68CE"/>
    <w:rsid w:val="00EB68E4"/>
    <w:rsid w:val="00EB6A43"/>
    <w:rsid w:val="00EB6A64"/>
    <w:rsid w:val="00EB6B17"/>
    <w:rsid w:val="00EB6D1A"/>
    <w:rsid w:val="00EB6F05"/>
    <w:rsid w:val="00EB6F17"/>
    <w:rsid w:val="00EB6FBE"/>
    <w:rsid w:val="00EB7267"/>
    <w:rsid w:val="00EB7285"/>
    <w:rsid w:val="00EB7325"/>
    <w:rsid w:val="00EB74A9"/>
    <w:rsid w:val="00EB7530"/>
    <w:rsid w:val="00EB7906"/>
    <w:rsid w:val="00EB7E39"/>
    <w:rsid w:val="00EB7E9B"/>
    <w:rsid w:val="00EB7EDC"/>
    <w:rsid w:val="00EB7F11"/>
    <w:rsid w:val="00EB7F45"/>
    <w:rsid w:val="00EB7F74"/>
    <w:rsid w:val="00EB7FF9"/>
    <w:rsid w:val="00EC0041"/>
    <w:rsid w:val="00EC0295"/>
    <w:rsid w:val="00EC0307"/>
    <w:rsid w:val="00EC0432"/>
    <w:rsid w:val="00EC05D7"/>
    <w:rsid w:val="00EC075A"/>
    <w:rsid w:val="00EC0AB3"/>
    <w:rsid w:val="00EC0BC9"/>
    <w:rsid w:val="00EC0E24"/>
    <w:rsid w:val="00EC0E6B"/>
    <w:rsid w:val="00EC1056"/>
    <w:rsid w:val="00EC1124"/>
    <w:rsid w:val="00EC1183"/>
    <w:rsid w:val="00EC1216"/>
    <w:rsid w:val="00EC1322"/>
    <w:rsid w:val="00EC1597"/>
    <w:rsid w:val="00EC16AA"/>
    <w:rsid w:val="00EC17AC"/>
    <w:rsid w:val="00EC18FF"/>
    <w:rsid w:val="00EC1A0B"/>
    <w:rsid w:val="00EC1B01"/>
    <w:rsid w:val="00EC1C7E"/>
    <w:rsid w:val="00EC1D3E"/>
    <w:rsid w:val="00EC1D40"/>
    <w:rsid w:val="00EC20C3"/>
    <w:rsid w:val="00EC21E8"/>
    <w:rsid w:val="00EC2231"/>
    <w:rsid w:val="00EC22D6"/>
    <w:rsid w:val="00EC236C"/>
    <w:rsid w:val="00EC23A4"/>
    <w:rsid w:val="00EC23EB"/>
    <w:rsid w:val="00EC2478"/>
    <w:rsid w:val="00EC27A4"/>
    <w:rsid w:val="00EC287D"/>
    <w:rsid w:val="00EC2ACD"/>
    <w:rsid w:val="00EC2B3C"/>
    <w:rsid w:val="00EC2B52"/>
    <w:rsid w:val="00EC2BDF"/>
    <w:rsid w:val="00EC2D0D"/>
    <w:rsid w:val="00EC2E2D"/>
    <w:rsid w:val="00EC3280"/>
    <w:rsid w:val="00EC32BD"/>
    <w:rsid w:val="00EC33AF"/>
    <w:rsid w:val="00EC346A"/>
    <w:rsid w:val="00EC36DB"/>
    <w:rsid w:val="00EC37F5"/>
    <w:rsid w:val="00EC399A"/>
    <w:rsid w:val="00EC39EB"/>
    <w:rsid w:val="00EC3A1F"/>
    <w:rsid w:val="00EC3A48"/>
    <w:rsid w:val="00EC3AB4"/>
    <w:rsid w:val="00EC3AD7"/>
    <w:rsid w:val="00EC3B09"/>
    <w:rsid w:val="00EC3BD1"/>
    <w:rsid w:val="00EC3C0B"/>
    <w:rsid w:val="00EC3C74"/>
    <w:rsid w:val="00EC3CC0"/>
    <w:rsid w:val="00EC3D6D"/>
    <w:rsid w:val="00EC3E45"/>
    <w:rsid w:val="00EC3F52"/>
    <w:rsid w:val="00EC3F6F"/>
    <w:rsid w:val="00EC3F92"/>
    <w:rsid w:val="00EC4165"/>
    <w:rsid w:val="00EC4208"/>
    <w:rsid w:val="00EC420F"/>
    <w:rsid w:val="00EC4214"/>
    <w:rsid w:val="00EC434B"/>
    <w:rsid w:val="00EC436F"/>
    <w:rsid w:val="00EC43D7"/>
    <w:rsid w:val="00EC4678"/>
    <w:rsid w:val="00EC4846"/>
    <w:rsid w:val="00EC4A1A"/>
    <w:rsid w:val="00EC4A1F"/>
    <w:rsid w:val="00EC4A9B"/>
    <w:rsid w:val="00EC4ADD"/>
    <w:rsid w:val="00EC4B9B"/>
    <w:rsid w:val="00EC4BA5"/>
    <w:rsid w:val="00EC4BC8"/>
    <w:rsid w:val="00EC4DB0"/>
    <w:rsid w:val="00EC4DC4"/>
    <w:rsid w:val="00EC4E09"/>
    <w:rsid w:val="00EC4E7B"/>
    <w:rsid w:val="00EC4F77"/>
    <w:rsid w:val="00EC4F91"/>
    <w:rsid w:val="00EC501A"/>
    <w:rsid w:val="00EC509F"/>
    <w:rsid w:val="00EC50EC"/>
    <w:rsid w:val="00EC50F4"/>
    <w:rsid w:val="00EC50FC"/>
    <w:rsid w:val="00EC5224"/>
    <w:rsid w:val="00EC53CE"/>
    <w:rsid w:val="00EC54BA"/>
    <w:rsid w:val="00EC5519"/>
    <w:rsid w:val="00EC55C1"/>
    <w:rsid w:val="00EC56FF"/>
    <w:rsid w:val="00EC5752"/>
    <w:rsid w:val="00EC5865"/>
    <w:rsid w:val="00EC58B5"/>
    <w:rsid w:val="00EC5928"/>
    <w:rsid w:val="00EC59F6"/>
    <w:rsid w:val="00EC5B2C"/>
    <w:rsid w:val="00EC5CA3"/>
    <w:rsid w:val="00EC5CCE"/>
    <w:rsid w:val="00EC5DDE"/>
    <w:rsid w:val="00EC5EE5"/>
    <w:rsid w:val="00EC5F35"/>
    <w:rsid w:val="00EC6620"/>
    <w:rsid w:val="00EC66A7"/>
    <w:rsid w:val="00EC6708"/>
    <w:rsid w:val="00EC678E"/>
    <w:rsid w:val="00EC6835"/>
    <w:rsid w:val="00EC69DA"/>
    <w:rsid w:val="00EC69F0"/>
    <w:rsid w:val="00EC6AB8"/>
    <w:rsid w:val="00EC6AF9"/>
    <w:rsid w:val="00EC6B55"/>
    <w:rsid w:val="00EC6B70"/>
    <w:rsid w:val="00EC6C2D"/>
    <w:rsid w:val="00EC6C74"/>
    <w:rsid w:val="00EC6C90"/>
    <w:rsid w:val="00EC7063"/>
    <w:rsid w:val="00EC719C"/>
    <w:rsid w:val="00EC72E5"/>
    <w:rsid w:val="00EC72FF"/>
    <w:rsid w:val="00EC745E"/>
    <w:rsid w:val="00EC74ED"/>
    <w:rsid w:val="00EC7735"/>
    <w:rsid w:val="00EC7806"/>
    <w:rsid w:val="00EC7843"/>
    <w:rsid w:val="00EC7A1D"/>
    <w:rsid w:val="00EC7A4D"/>
    <w:rsid w:val="00EC7AC2"/>
    <w:rsid w:val="00EC7AC5"/>
    <w:rsid w:val="00EC7B63"/>
    <w:rsid w:val="00EC7BB2"/>
    <w:rsid w:val="00EC7C20"/>
    <w:rsid w:val="00EC7C45"/>
    <w:rsid w:val="00EC7C5F"/>
    <w:rsid w:val="00EC7D1C"/>
    <w:rsid w:val="00EC7DCF"/>
    <w:rsid w:val="00EC7DF8"/>
    <w:rsid w:val="00EC7E5C"/>
    <w:rsid w:val="00EC7F19"/>
    <w:rsid w:val="00EC8190"/>
    <w:rsid w:val="00ED028D"/>
    <w:rsid w:val="00ED02D8"/>
    <w:rsid w:val="00ED053D"/>
    <w:rsid w:val="00ED05CC"/>
    <w:rsid w:val="00ED0662"/>
    <w:rsid w:val="00ED07F8"/>
    <w:rsid w:val="00ED0AF5"/>
    <w:rsid w:val="00ED0CBE"/>
    <w:rsid w:val="00ED1075"/>
    <w:rsid w:val="00ED10AC"/>
    <w:rsid w:val="00ED11C8"/>
    <w:rsid w:val="00ED11ED"/>
    <w:rsid w:val="00ED1281"/>
    <w:rsid w:val="00ED1614"/>
    <w:rsid w:val="00ED18ED"/>
    <w:rsid w:val="00ED1966"/>
    <w:rsid w:val="00ED19F9"/>
    <w:rsid w:val="00ED1A65"/>
    <w:rsid w:val="00ED1BBA"/>
    <w:rsid w:val="00ED1E46"/>
    <w:rsid w:val="00ED1ED7"/>
    <w:rsid w:val="00ED1F35"/>
    <w:rsid w:val="00ED2147"/>
    <w:rsid w:val="00ED21BE"/>
    <w:rsid w:val="00ED2224"/>
    <w:rsid w:val="00ED2442"/>
    <w:rsid w:val="00ED24B1"/>
    <w:rsid w:val="00ED2859"/>
    <w:rsid w:val="00ED29B8"/>
    <w:rsid w:val="00ED2B2F"/>
    <w:rsid w:val="00ED2C9C"/>
    <w:rsid w:val="00ED2D18"/>
    <w:rsid w:val="00ED3059"/>
    <w:rsid w:val="00ED305F"/>
    <w:rsid w:val="00ED313A"/>
    <w:rsid w:val="00ED31F4"/>
    <w:rsid w:val="00ED329A"/>
    <w:rsid w:val="00ED35A5"/>
    <w:rsid w:val="00ED367D"/>
    <w:rsid w:val="00ED370B"/>
    <w:rsid w:val="00ED389A"/>
    <w:rsid w:val="00ED38FD"/>
    <w:rsid w:val="00ED3A19"/>
    <w:rsid w:val="00ED3A48"/>
    <w:rsid w:val="00ED3A9F"/>
    <w:rsid w:val="00ED3AE4"/>
    <w:rsid w:val="00ED3AED"/>
    <w:rsid w:val="00ED3AF7"/>
    <w:rsid w:val="00ED3C36"/>
    <w:rsid w:val="00ED3D7D"/>
    <w:rsid w:val="00ED3EEF"/>
    <w:rsid w:val="00ED401C"/>
    <w:rsid w:val="00ED407C"/>
    <w:rsid w:val="00ED4201"/>
    <w:rsid w:val="00ED42A0"/>
    <w:rsid w:val="00ED4412"/>
    <w:rsid w:val="00ED442E"/>
    <w:rsid w:val="00ED45CA"/>
    <w:rsid w:val="00ED45FD"/>
    <w:rsid w:val="00ED461D"/>
    <w:rsid w:val="00ED4651"/>
    <w:rsid w:val="00ED4658"/>
    <w:rsid w:val="00ED4795"/>
    <w:rsid w:val="00ED48AA"/>
    <w:rsid w:val="00ED49FF"/>
    <w:rsid w:val="00ED4A20"/>
    <w:rsid w:val="00ED4AE5"/>
    <w:rsid w:val="00ED4CDA"/>
    <w:rsid w:val="00ED502F"/>
    <w:rsid w:val="00ED5229"/>
    <w:rsid w:val="00ED522D"/>
    <w:rsid w:val="00ED52C0"/>
    <w:rsid w:val="00ED55A7"/>
    <w:rsid w:val="00ED5646"/>
    <w:rsid w:val="00ED5692"/>
    <w:rsid w:val="00ED5726"/>
    <w:rsid w:val="00ED5751"/>
    <w:rsid w:val="00ED58C5"/>
    <w:rsid w:val="00ED59A0"/>
    <w:rsid w:val="00ED5A71"/>
    <w:rsid w:val="00ED5BBE"/>
    <w:rsid w:val="00ED5BF3"/>
    <w:rsid w:val="00ED5C46"/>
    <w:rsid w:val="00ED5E1F"/>
    <w:rsid w:val="00ED5F1B"/>
    <w:rsid w:val="00ED5FDA"/>
    <w:rsid w:val="00ED5FFD"/>
    <w:rsid w:val="00ED604F"/>
    <w:rsid w:val="00ED6071"/>
    <w:rsid w:val="00ED6083"/>
    <w:rsid w:val="00ED608B"/>
    <w:rsid w:val="00ED628D"/>
    <w:rsid w:val="00ED6291"/>
    <w:rsid w:val="00ED62AA"/>
    <w:rsid w:val="00ED62B5"/>
    <w:rsid w:val="00ED6466"/>
    <w:rsid w:val="00ED661E"/>
    <w:rsid w:val="00ED6629"/>
    <w:rsid w:val="00ED6760"/>
    <w:rsid w:val="00ED6776"/>
    <w:rsid w:val="00ED67B6"/>
    <w:rsid w:val="00ED6841"/>
    <w:rsid w:val="00ED6847"/>
    <w:rsid w:val="00ED6B59"/>
    <w:rsid w:val="00ED6CC7"/>
    <w:rsid w:val="00ED6DCC"/>
    <w:rsid w:val="00ED6F73"/>
    <w:rsid w:val="00ED7047"/>
    <w:rsid w:val="00ED7109"/>
    <w:rsid w:val="00ED7163"/>
    <w:rsid w:val="00ED71E0"/>
    <w:rsid w:val="00ED72ED"/>
    <w:rsid w:val="00ED736E"/>
    <w:rsid w:val="00ED737A"/>
    <w:rsid w:val="00ED7514"/>
    <w:rsid w:val="00ED76B9"/>
    <w:rsid w:val="00ED77B0"/>
    <w:rsid w:val="00ED799F"/>
    <w:rsid w:val="00ED7B5F"/>
    <w:rsid w:val="00ED7BD1"/>
    <w:rsid w:val="00ED7CA6"/>
    <w:rsid w:val="00ED7CD9"/>
    <w:rsid w:val="00ED7DA3"/>
    <w:rsid w:val="00ED7E39"/>
    <w:rsid w:val="00ED7F20"/>
    <w:rsid w:val="00ED7F50"/>
    <w:rsid w:val="00ED7FA9"/>
    <w:rsid w:val="00EE0259"/>
    <w:rsid w:val="00EE03A0"/>
    <w:rsid w:val="00EE03FB"/>
    <w:rsid w:val="00EE049D"/>
    <w:rsid w:val="00EE0660"/>
    <w:rsid w:val="00EE0699"/>
    <w:rsid w:val="00EE0714"/>
    <w:rsid w:val="00EE0741"/>
    <w:rsid w:val="00EE0876"/>
    <w:rsid w:val="00EE0BB5"/>
    <w:rsid w:val="00EE0BDA"/>
    <w:rsid w:val="00EE0C2E"/>
    <w:rsid w:val="00EE0CD6"/>
    <w:rsid w:val="00EE0D2D"/>
    <w:rsid w:val="00EE0D83"/>
    <w:rsid w:val="00EE0FF8"/>
    <w:rsid w:val="00EE1038"/>
    <w:rsid w:val="00EE105A"/>
    <w:rsid w:val="00EE133B"/>
    <w:rsid w:val="00EE1355"/>
    <w:rsid w:val="00EE1599"/>
    <w:rsid w:val="00EE17B7"/>
    <w:rsid w:val="00EE17EE"/>
    <w:rsid w:val="00EE19F0"/>
    <w:rsid w:val="00EE1A31"/>
    <w:rsid w:val="00EE1D34"/>
    <w:rsid w:val="00EE1EB6"/>
    <w:rsid w:val="00EE1F9F"/>
    <w:rsid w:val="00EE2174"/>
    <w:rsid w:val="00EE21E0"/>
    <w:rsid w:val="00EE22EA"/>
    <w:rsid w:val="00EE23BD"/>
    <w:rsid w:val="00EE245A"/>
    <w:rsid w:val="00EE2581"/>
    <w:rsid w:val="00EE25CB"/>
    <w:rsid w:val="00EE25D6"/>
    <w:rsid w:val="00EE25D9"/>
    <w:rsid w:val="00EE26F6"/>
    <w:rsid w:val="00EE270D"/>
    <w:rsid w:val="00EE2785"/>
    <w:rsid w:val="00EE285A"/>
    <w:rsid w:val="00EE293B"/>
    <w:rsid w:val="00EE29AA"/>
    <w:rsid w:val="00EE2A1C"/>
    <w:rsid w:val="00EE2B5B"/>
    <w:rsid w:val="00EE2C15"/>
    <w:rsid w:val="00EE2C8D"/>
    <w:rsid w:val="00EE2DCB"/>
    <w:rsid w:val="00EE2E3D"/>
    <w:rsid w:val="00EE2EF0"/>
    <w:rsid w:val="00EE3188"/>
    <w:rsid w:val="00EE3258"/>
    <w:rsid w:val="00EE34F1"/>
    <w:rsid w:val="00EE3500"/>
    <w:rsid w:val="00EE35C7"/>
    <w:rsid w:val="00EE3974"/>
    <w:rsid w:val="00EE3A48"/>
    <w:rsid w:val="00EE3BB2"/>
    <w:rsid w:val="00EE3BE2"/>
    <w:rsid w:val="00EE3D24"/>
    <w:rsid w:val="00EE3D46"/>
    <w:rsid w:val="00EE3E3F"/>
    <w:rsid w:val="00EE3FAB"/>
    <w:rsid w:val="00EE3FEE"/>
    <w:rsid w:val="00EE404A"/>
    <w:rsid w:val="00EE412F"/>
    <w:rsid w:val="00EE4160"/>
    <w:rsid w:val="00EE44E3"/>
    <w:rsid w:val="00EE44F2"/>
    <w:rsid w:val="00EE460C"/>
    <w:rsid w:val="00EE4840"/>
    <w:rsid w:val="00EE4D32"/>
    <w:rsid w:val="00EE4D9C"/>
    <w:rsid w:val="00EE4E52"/>
    <w:rsid w:val="00EE4E6B"/>
    <w:rsid w:val="00EE4EA4"/>
    <w:rsid w:val="00EE4ED7"/>
    <w:rsid w:val="00EE50AC"/>
    <w:rsid w:val="00EE50AD"/>
    <w:rsid w:val="00EE5198"/>
    <w:rsid w:val="00EE51C9"/>
    <w:rsid w:val="00EE51F2"/>
    <w:rsid w:val="00EE530F"/>
    <w:rsid w:val="00EE546E"/>
    <w:rsid w:val="00EE54C1"/>
    <w:rsid w:val="00EE54F2"/>
    <w:rsid w:val="00EE5570"/>
    <w:rsid w:val="00EE5615"/>
    <w:rsid w:val="00EE561F"/>
    <w:rsid w:val="00EE5628"/>
    <w:rsid w:val="00EE5694"/>
    <w:rsid w:val="00EE579C"/>
    <w:rsid w:val="00EE57FA"/>
    <w:rsid w:val="00EE5877"/>
    <w:rsid w:val="00EE593A"/>
    <w:rsid w:val="00EE59D1"/>
    <w:rsid w:val="00EE5A11"/>
    <w:rsid w:val="00EE5CC2"/>
    <w:rsid w:val="00EE5E50"/>
    <w:rsid w:val="00EE5EC3"/>
    <w:rsid w:val="00EE6048"/>
    <w:rsid w:val="00EE624F"/>
    <w:rsid w:val="00EE65DE"/>
    <w:rsid w:val="00EE668E"/>
    <w:rsid w:val="00EE67A0"/>
    <w:rsid w:val="00EE684E"/>
    <w:rsid w:val="00EE6A35"/>
    <w:rsid w:val="00EE6D7D"/>
    <w:rsid w:val="00EE6FB7"/>
    <w:rsid w:val="00EE6FDB"/>
    <w:rsid w:val="00EE7115"/>
    <w:rsid w:val="00EE7151"/>
    <w:rsid w:val="00EE71DB"/>
    <w:rsid w:val="00EE7204"/>
    <w:rsid w:val="00EE738C"/>
    <w:rsid w:val="00EE73DA"/>
    <w:rsid w:val="00EE749B"/>
    <w:rsid w:val="00EE75D8"/>
    <w:rsid w:val="00EE763F"/>
    <w:rsid w:val="00EE7676"/>
    <w:rsid w:val="00EE786E"/>
    <w:rsid w:val="00EE79AB"/>
    <w:rsid w:val="00EE7B00"/>
    <w:rsid w:val="00EE7B78"/>
    <w:rsid w:val="00EE7BC5"/>
    <w:rsid w:val="00EE7E0B"/>
    <w:rsid w:val="00EF0199"/>
    <w:rsid w:val="00EF01C0"/>
    <w:rsid w:val="00EF0265"/>
    <w:rsid w:val="00EF0273"/>
    <w:rsid w:val="00EF02DF"/>
    <w:rsid w:val="00EF03A2"/>
    <w:rsid w:val="00EF0427"/>
    <w:rsid w:val="00EF0596"/>
    <w:rsid w:val="00EF05B5"/>
    <w:rsid w:val="00EF07EC"/>
    <w:rsid w:val="00EF0873"/>
    <w:rsid w:val="00EF08CC"/>
    <w:rsid w:val="00EF0B7D"/>
    <w:rsid w:val="00EF0BE4"/>
    <w:rsid w:val="00EF0D06"/>
    <w:rsid w:val="00EF0DAF"/>
    <w:rsid w:val="00EF0E54"/>
    <w:rsid w:val="00EF148F"/>
    <w:rsid w:val="00EF1543"/>
    <w:rsid w:val="00EF168C"/>
    <w:rsid w:val="00EF1801"/>
    <w:rsid w:val="00EF194A"/>
    <w:rsid w:val="00EF194B"/>
    <w:rsid w:val="00EF1C7F"/>
    <w:rsid w:val="00EF1C9D"/>
    <w:rsid w:val="00EF1CB4"/>
    <w:rsid w:val="00EF1D0C"/>
    <w:rsid w:val="00EF1D49"/>
    <w:rsid w:val="00EF1DAA"/>
    <w:rsid w:val="00EF1DBF"/>
    <w:rsid w:val="00EF1E5F"/>
    <w:rsid w:val="00EF1ED8"/>
    <w:rsid w:val="00EF1F57"/>
    <w:rsid w:val="00EF1FBC"/>
    <w:rsid w:val="00EF20F3"/>
    <w:rsid w:val="00EF2424"/>
    <w:rsid w:val="00EF24DD"/>
    <w:rsid w:val="00EF24ED"/>
    <w:rsid w:val="00EF25A1"/>
    <w:rsid w:val="00EF25F1"/>
    <w:rsid w:val="00EF261B"/>
    <w:rsid w:val="00EF267B"/>
    <w:rsid w:val="00EF26AD"/>
    <w:rsid w:val="00EF26C9"/>
    <w:rsid w:val="00EF273B"/>
    <w:rsid w:val="00EF296C"/>
    <w:rsid w:val="00EF2A83"/>
    <w:rsid w:val="00EF2B16"/>
    <w:rsid w:val="00EF2BF8"/>
    <w:rsid w:val="00EF2D25"/>
    <w:rsid w:val="00EF2F59"/>
    <w:rsid w:val="00EF3054"/>
    <w:rsid w:val="00EF316D"/>
    <w:rsid w:val="00EF31CD"/>
    <w:rsid w:val="00EF32F0"/>
    <w:rsid w:val="00EF3429"/>
    <w:rsid w:val="00EF3457"/>
    <w:rsid w:val="00EF35FD"/>
    <w:rsid w:val="00EF3757"/>
    <w:rsid w:val="00EF37CE"/>
    <w:rsid w:val="00EF3852"/>
    <w:rsid w:val="00EF3A57"/>
    <w:rsid w:val="00EF3B09"/>
    <w:rsid w:val="00EF3B49"/>
    <w:rsid w:val="00EF3B7E"/>
    <w:rsid w:val="00EF3B80"/>
    <w:rsid w:val="00EF3C07"/>
    <w:rsid w:val="00EF3E9A"/>
    <w:rsid w:val="00EF3EA2"/>
    <w:rsid w:val="00EF404C"/>
    <w:rsid w:val="00EF405E"/>
    <w:rsid w:val="00EF417C"/>
    <w:rsid w:val="00EF41E1"/>
    <w:rsid w:val="00EF4213"/>
    <w:rsid w:val="00EF4515"/>
    <w:rsid w:val="00EF462B"/>
    <w:rsid w:val="00EF46E6"/>
    <w:rsid w:val="00EF48D9"/>
    <w:rsid w:val="00EF48DD"/>
    <w:rsid w:val="00EF4A2B"/>
    <w:rsid w:val="00EF4A74"/>
    <w:rsid w:val="00EF4AA4"/>
    <w:rsid w:val="00EF4B7B"/>
    <w:rsid w:val="00EF4C1E"/>
    <w:rsid w:val="00EF4CF2"/>
    <w:rsid w:val="00EF4DDF"/>
    <w:rsid w:val="00EF4E14"/>
    <w:rsid w:val="00EF4F28"/>
    <w:rsid w:val="00EF5156"/>
    <w:rsid w:val="00EF51CB"/>
    <w:rsid w:val="00EF5229"/>
    <w:rsid w:val="00EF5262"/>
    <w:rsid w:val="00EF55C2"/>
    <w:rsid w:val="00EF587A"/>
    <w:rsid w:val="00EF5A20"/>
    <w:rsid w:val="00EF5A52"/>
    <w:rsid w:val="00EF5AE3"/>
    <w:rsid w:val="00EF5B29"/>
    <w:rsid w:val="00EF5BC7"/>
    <w:rsid w:val="00EF5D4B"/>
    <w:rsid w:val="00EF5DBD"/>
    <w:rsid w:val="00EF5DF6"/>
    <w:rsid w:val="00EF5E10"/>
    <w:rsid w:val="00EF6213"/>
    <w:rsid w:val="00EF62B7"/>
    <w:rsid w:val="00EF6309"/>
    <w:rsid w:val="00EF64C9"/>
    <w:rsid w:val="00EF65C3"/>
    <w:rsid w:val="00EF66C2"/>
    <w:rsid w:val="00EF6CC8"/>
    <w:rsid w:val="00EF6D32"/>
    <w:rsid w:val="00EF6D5E"/>
    <w:rsid w:val="00EF6D90"/>
    <w:rsid w:val="00EF709C"/>
    <w:rsid w:val="00EF7111"/>
    <w:rsid w:val="00EF7302"/>
    <w:rsid w:val="00EF73BA"/>
    <w:rsid w:val="00EF73D8"/>
    <w:rsid w:val="00EF75E1"/>
    <w:rsid w:val="00EF75F0"/>
    <w:rsid w:val="00EF7604"/>
    <w:rsid w:val="00EF76A7"/>
    <w:rsid w:val="00EF782A"/>
    <w:rsid w:val="00EF792F"/>
    <w:rsid w:val="00EF79A5"/>
    <w:rsid w:val="00EF7C2F"/>
    <w:rsid w:val="00EF7D0B"/>
    <w:rsid w:val="00EF7E47"/>
    <w:rsid w:val="00F00261"/>
    <w:rsid w:val="00F002E2"/>
    <w:rsid w:val="00F0033E"/>
    <w:rsid w:val="00F00393"/>
    <w:rsid w:val="00F008C0"/>
    <w:rsid w:val="00F00940"/>
    <w:rsid w:val="00F0097C"/>
    <w:rsid w:val="00F009E4"/>
    <w:rsid w:val="00F00A1D"/>
    <w:rsid w:val="00F00A46"/>
    <w:rsid w:val="00F00A58"/>
    <w:rsid w:val="00F00E47"/>
    <w:rsid w:val="00F00EAC"/>
    <w:rsid w:val="00F0128A"/>
    <w:rsid w:val="00F012BE"/>
    <w:rsid w:val="00F01363"/>
    <w:rsid w:val="00F013DD"/>
    <w:rsid w:val="00F01443"/>
    <w:rsid w:val="00F016AF"/>
    <w:rsid w:val="00F016C4"/>
    <w:rsid w:val="00F016EC"/>
    <w:rsid w:val="00F01702"/>
    <w:rsid w:val="00F01722"/>
    <w:rsid w:val="00F0173B"/>
    <w:rsid w:val="00F017D8"/>
    <w:rsid w:val="00F017E1"/>
    <w:rsid w:val="00F01948"/>
    <w:rsid w:val="00F01ACC"/>
    <w:rsid w:val="00F01C58"/>
    <w:rsid w:val="00F01E1E"/>
    <w:rsid w:val="00F01F04"/>
    <w:rsid w:val="00F01F43"/>
    <w:rsid w:val="00F02019"/>
    <w:rsid w:val="00F02119"/>
    <w:rsid w:val="00F021E0"/>
    <w:rsid w:val="00F02228"/>
    <w:rsid w:val="00F022DD"/>
    <w:rsid w:val="00F02330"/>
    <w:rsid w:val="00F02341"/>
    <w:rsid w:val="00F02407"/>
    <w:rsid w:val="00F0242C"/>
    <w:rsid w:val="00F025F6"/>
    <w:rsid w:val="00F02688"/>
    <w:rsid w:val="00F026BB"/>
    <w:rsid w:val="00F026F3"/>
    <w:rsid w:val="00F0274F"/>
    <w:rsid w:val="00F0281E"/>
    <w:rsid w:val="00F0287D"/>
    <w:rsid w:val="00F02884"/>
    <w:rsid w:val="00F028FC"/>
    <w:rsid w:val="00F02A0D"/>
    <w:rsid w:val="00F02AD2"/>
    <w:rsid w:val="00F02B9E"/>
    <w:rsid w:val="00F02D2A"/>
    <w:rsid w:val="00F02D65"/>
    <w:rsid w:val="00F02E7E"/>
    <w:rsid w:val="00F02E9C"/>
    <w:rsid w:val="00F02F9E"/>
    <w:rsid w:val="00F03018"/>
    <w:rsid w:val="00F032C9"/>
    <w:rsid w:val="00F03493"/>
    <w:rsid w:val="00F0365E"/>
    <w:rsid w:val="00F0366B"/>
    <w:rsid w:val="00F036B6"/>
    <w:rsid w:val="00F0375B"/>
    <w:rsid w:val="00F03867"/>
    <w:rsid w:val="00F0388F"/>
    <w:rsid w:val="00F0398F"/>
    <w:rsid w:val="00F03BBC"/>
    <w:rsid w:val="00F03BF2"/>
    <w:rsid w:val="00F03D07"/>
    <w:rsid w:val="00F03D4D"/>
    <w:rsid w:val="00F03F80"/>
    <w:rsid w:val="00F04080"/>
    <w:rsid w:val="00F041B6"/>
    <w:rsid w:val="00F042EE"/>
    <w:rsid w:val="00F043B8"/>
    <w:rsid w:val="00F045FA"/>
    <w:rsid w:val="00F04861"/>
    <w:rsid w:val="00F049A9"/>
    <w:rsid w:val="00F049DE"/>
    <w:rsid w:val="00F04A3A"/>
    <w:rsid w:val="00F04BA7"/>
    <w:rsid w:val="00F04C6B"/>
    <w:rsid w:val="00F04C92"/>
    <w:rsid w:val="00F04DFF"/>
    <w:rsid w:val="00F04F03"/>
    <w:rsid w:val="00F04F1A"/>
    <w:rsid w:val="00F04F59"/>
    <w:rsid w:val="00F050B9"/>
    <w:rsid w:val="00F053F3"/>
    <w:rsid w:val="00F055B6"/>
    <w:rsid w:val="00F055CB"/>
    <w:rsid w:val="00F0580B"/>
    <w:rsid w:val="00F05887"/>
    <w:rsid w:val="00F05AFE"/>
    <w:rsid w:val="00F05B41"/>
    <w:rsid w:val="00F05CBC"/>
    <w:rsid w:val="00F05DBA"/>
    <w:rsid w:val="00F05E60"/>
    <w:rsid w:val="00F05F2A"/>
    <w:rsid w:val="00F05F46"/>
    <w:rsid w:val="00F060E2"/>
    <w:rsid w:val="00F061CB"/>
    <w:rsid w:val="00F062CA"/>
    <w:rsid w:val="00F0634F"/>
    <w:rsid w:val="00F06403"/>
    <w:rsid w:val="00F06484"/>
    <w:rsid w:val="00F0658A"/>
    <w:rsid w:val="00F066C2"/>
    <w:rsid w:val="00F06751"/>
    <w:rsid w:val="00F067FC"/>
    <w:rsid w:val="00F06840"/>
    <w:rsid w:val="00F06A46"/>
    <w:rsid w:val="00F06A58"/>
    <w:rsid w:val="00F06B21"/>
    <w:rsid w:val="00F06BC5"/>
    <w:rsid w:val="00F06BD8"/>
    <w:rsid w:val="00F06C72"/>
    <w:rsid w:val="00F06C76"/>
    <w:rsid w:val="00F06CA6"/>
    <w:rsid w:val="00F06D35"/>
    <w:rsid w:val="00F06E49"/>
    <w:rsid w:val="00F06E76"/>
    <w:rsid w:val="00F0728C"/>
    <w:rsid w:val="00F0769F"/>
    <w:rsid w:val="00F076C1"/>
    <w:rsid w:val="00F07B72"/>
    <w:rsid w:val="00F07BF6"/>
    <w:rsid w:val="00F07CF7"/>
    <w:rsid w:val="00F07CFA"/>
    <w:rsid w:val="00F07D8D"/>
    <w:rsid w:val="00F1016E"/>
    <w:rsid w:val="00F101C6"/>
    <w:rsid w:val="00F1020D"/>
    <w:rsid w:val="00F1022D"/>
    <w:rsid w:val="00F10274"/>
    <w:rsid w:val="00F10322"/>
    <w:rsid w:val="00F1063A"/>
    <w:rsid w:val="00F10646"/>
    <w:rsid w:val="00F1067C"/>
    <w:rsid w:val="00F1097B"/>
    <w:rsid w:val="00F10A17"/>
    <w:rsid w:val="00F10A47"/>
    <w:rsid w:val="00F10BCF"/>
    <w:rsid w:val="00F10C09"/>
    <w:rsid w:val="00F10C57"/>
    <w:rsid w:val="00F10CAD"/>
    <w:rsid w:val="00F10FA8"/>
    <w:rsid w:val="00F10FB4"/>
    <w:rsid w:val="00F1109C"/>
    <w:rsid w:val="00F110F9"/>
    <w:rsid w:val="00F110FF"/>
    <w:rsid w:val="00F1111C"/>
    <w:rsid w:val="00F11188"/>
    <w:rsid w:val="00F111DA"/>
    <w:rsid w:val="00F11267"/>
    <w:rsid w:val="00F11402"/>
    <w:rsid w:val="00F115C8"/>
    <w:rsid w:val="00F116D3"/>
    <w:rsid w:val="00F117F3"/>
    <w:rsid w:val="00F11849"/>
    <w:rsid w:val="00F11A0E"/>
    <w:rsid w:val="00F11ADF"/>
    <w:rsid w:val="00F11B03"/>
    <w:rsid w:val="00F11C10"/>
    <w:rsid w:val="00F11D1B"/>
    <w:rsid w:val="00F11E68"/>
    <w:rsid w:val="00F1203F"/>
    <w:rsid w:val="00F12050"/>
    <w:rsid w:val="00F12202"/>
    <w:rsid w:val="00F122C0"/>
    <w:rsid w:val="00F122FD"/>
    <w:rsid w:val="00F12358"/>
    <w:rsid w:val="00F124AC"/>
    <w:rsid w:val="00F12618"/>
    <w:rsid w:val="00F12826"/>
    <w:rsid w:val="00F12854"/>
    <w:rsid w:val="00F12873"/>
    <w:rsid w:val="00F12892"/>
    <w:rsid w:val="00F12967"/>
    <w:rsid w:val="00F1296D"/>
    <w:rsid w:val="00F12BE4"/>
    <w:rsid w:val="00F12DAE"/>
    <w:rsid w:val="00F12DFC"/>
    <w:rsid w:val="00F12E91"/>
    <w:rsid w:val="00F1307A"/>
    <w:rsid w:val="00F13102"/>
    <w:rsid w:val="00F13305"/>
    <w:rsid w:val="00F13306"/>
    <w:rsid w:val="00F13395"/>
    <w:rsid w:val="00F133D0"/>
    <w:rsid w:val="00F1350D"/>
    <w:rsid w:val="00F13516"/>
    <w:rsid w:val="00F135C5"/>
    <w:rsid w:val="00F137B4"/>
    <w:rsid w:val="00F137DF"/>
    <w:rsid w:val="00F13933"/>
    <w:rsid w:val="00F139C2"/>
    <w:rsid w:val="00F13A12"/>
    <w:rsid w:val="00F13A8F"/>
    <w:rsid w:val="00F13DCA"/>
    <w:rsid w:val="00F13DD3"/>
    <w:rsid w:val="00F13DDE"/>
    <w:rsid w:val="00F141E6"/>
    <w:rsid w:val="00F1421F"/>
    <w:rsid w:val="00F14245"/>
    <w:rsid w:val="00F142D4"/>
    <w:rsid w:val="00F144FE"/>
    <w:rsid w:val="00F145A5"/>
    <w:rsid w:val="00F147D7"/>
    <w:rsid w:val="00F14942"/>
    <w:rsid w:val="00F149AB"/>
    <w:rsid w:val="00F149F2"/>
    <w:rsid w:val="00F14C2D"/>
    <w:rsid w:val="00F14CBC"/>
    <w:rsid w:val="00F14D14"/>
    <w:rsid w:val="00F14DFE"/>
    <w:rsid w:val="00F14E37"/>
    <w:rsid w:val="00F15160"/>
    <w:rsid w:val="00F15187"/>
    <w:rsid w:val="00F15297"/>
    <w:rsid w:val="00F1546A"/>
    <w:rsid w:val="00F154ED"/>
    <w:rsid w:val="00F1550E"/>
    <w:rsid w:val="00F15575"/>
    <w:rsid w:val="00F156B8"/>
    <w:rsid w:val="00F15AA1"/>
    <w:rsid w:val="00F15B4B"/>
    <w:rsid w:val="00F15C90"/>
    <w:rsid w:val="00F15D20"/>
    <w:rsid w:val="00F15F4B"/>
    <w:rsid w:val="00F15F60"/>
    <w:rsid w:val="00F16057"/>
    <w:rsid w:val="00F16075"/>
    <w:rsid w:val="00F16078"/>
    <w:rsid w:val="00F16087"/>
    <w:rsid w:val="00F1611B"/>
    <w:rsid w:val="00F16249"/>
    <w:rsid w:val="00F16277"/>
    <w:rsid w:val="00F1637E"/>
    <w:rsid w:val="00F163D0"/>
    <w:rsid w:val="00F165AB"/>
    <w:rsid w:val="00F16914"/>
    <w:rsid w:val="00F1694E"/>
    <w:rsid w:val="00F169F6"/>
    <w:rsid w:val="00F16A37"/>
    <w:rsid w:val="00F16B71"/>
    <w:rsid w:val="00F16CC7"/>
    <w:rsid w:val="00F16D66"/>
    <w:rsid w:val="00F16E9D"/>
    <w:rsid w:val="00F16EC5"/>
    <w:rsid w:val="00F16EC7"/>
    <w:rsid w:val="00F16EF8"/>
    <w:rsid w:val="00F16F2B"/>
    <w:rsid w:val="00F16F71"/>
    <w:rsid w:val="00F16F95"/>
    <w:rsid w:val="00F17145"/>
    <w:rsid w:val="00F17250"/>
    <w:rsid w:val="00F17415"/>
    <w:rsid w:val="00F175B5"/>
    <w:rsid w:val="00F176A0"/>
    <w:rsid w:val="00F177CD"/>
    <w:rsid w:val="00F17A5F"/>
    <w:rsid w:val="00F17C25"/>
    <w:rsid w:val="00F17D67"/>
    <w:rsid w:val="00F17DF5"/>
    <w:rsid w:val="00F20084"/>
    <w:rsid w:val="00F200EA"/>
    <w:rsid w:val="00F201F5"/>
    <w:rsid w:val="00F20225"/>
    <w:rsid w:val="00F202B7"/>
    <w:rsid w:val="00F2037D"/>
    <w:rsid w:val="00F20469"/>
    <w:rsid w:val="00F206D3"/>
    <w:rsid w:val="00F20746"/>
    <w:rsid w:val="00F20870"/>
    <w:rsid w:val="00F20A31"/>
    <w:rsid w:val="00F20B49"/>
    <w:rsid w:val="00F20BA9"/>
    <w:rsid w:val="00F20C1C"/>
    <w:rsid w:val="00F20D82"/>
    <w:rsid w:val="00F21185"/>
    <w:rsid w:val="00F213A9"/>
    <w:rsid w:val="00F214C7"/>
    <w:rsid w:val="00F21625"/>
    <w:rsid w:val="00F2167C"/>
    <w:rsid w:val="00F21689"/>
    <w:rsid w:val="00F2169A"/>
    <w:rsid w:val="00F217A0"/>
    <w:rsid w:val="00F217FE"/>
    <w:rsid w:val="00F21C9F"/>
    <w:rsid w:val="00F21D33"/>
    <w:rsid w:val="00F21EF2"/>
    <w:rsid w:val="00F220FB"/>
    <w:rsid w:val="00F222DB"/>
    <w:rsid w:val="00F224C3"/>
    <w:rsid w:val="00F22508"/>
    <w:rsid w:val="00F22671"/>
    <w:rsid w:val="00F22915"/>
    <w:rsid w:val="00F22A2C"/>
    <w:rsid w:val="00F22BB6"/>
    <w:rsid w:val="00F22BEA"/>
    <w:rsid w:val="00F22C37"/>
    <w:rsid w:val="00F22D21"/>
    <w:rsid w:val="00F22DC0"/>
    <w:rsid w:val="00F22E02"/>
    <w:rsid w:val="00F22E30"/>
    <w:rsid w:val="00F22EB4"/>
    <w:rsid w:val="00F230DE"/>
    <w:rsid w:val="00F23221"/>
    <w:rsid w:val="00F23225"/>
    <w:rsid w:val="00F23818"/>
    <w:rsid w:val="00F238CB"/>
    <w:rsid w:val="00F2391D"/>
    <w:rsid w:val="00F239B0"/>
    <w:rsid w:val="00F23A99"/>
    <w:rsid w:val="00F23AAE"/>
    <w:rsid w:val="00F23C0B"/>
    <w:rsid w:val="00F23C66"/>
    <w:rsid w:val="00F23CBC"/>
    <w:rsid w:val="00F23D78"/>
    <w:rsid w:val="00F23E78"/>
    <w:rsid w:val="00F23F69"/>
    <w:rsid w:val="00F2422C"/>
    <w:rsid w:val="00F24306"/>
    <w:rsid w:val="00F244B5"/>
    <w:rsid w:val="00F24531"/>
    <w:rsid w:val="00F2458F"/>
    <w:rsid w:val="00F24856"/>
    <w:rsid w:val="00F24953"/>
    <w:rsid w:val="00F24BAD"/>
    <w:rsid w:val="00F24CB7"/>
    <w:rsid w:val="00F24D04"/>
    <w:rsid w:val="00F24D65"/>
    <w:rsid w:val="00F24DE0"/>
    <w:rsid w:val="00F25010"/>
    <w:rsid w:val="00F25051"/>
    <w:rsid w:val="00F251A0"/>
    <w:rsid w:val="00F25245"/>
    <w:rsid w:val="00F2536A"/>
    <w:rsid w:val="00F253C5"/>
    <w:rsid w:val="00F25531"/>
    <w:rsid w:val="00F2560F"/>
    <w:rsid w:val="00F2565B"/>
    <w:rsid w:val="00F2576C"/>
    <w:rsid w:val="00F257E0"/>
    <w:rsid w:val="00F2580B"/>
    <w:rsid w:val="00F2584D"/>
    <w:rsid w:val="00F258C1"/>
    <w:rsid w:val="00F25985"/>
    <w:rsid w:val="00F2599D"/>
    <w:rsid w:val="00F25A7E"/>
    <w:rsid w:val="00F25B1F"/>
    <w:rsid w:val="00F25B38"/>
    <w:rsid w:val="00F25BF6"/>
    <w:rsid w:val="00F25C8D"/>
    <w:rsid w:val="00F25D3C"/>
    <w:rsid w:val="00F25D90"/>
    <w:rsid w:val="00F260F1"/>
    <w:rsid w:val="00F2613E"/>
    <w:rsid w:val="00F26220"/>
    <w:rsid w:val="00F2641F"/>
    <w:rsid w:val="00F26648"/>
    <w:rsid w:val="00F2667F"/>
    <w:rsid w:val="00F26A1B"/>
    <w:rsid w:val="00F26ADD"/>
    <w:rsid w:val="00F26B48"/>
    <w:rsid w:val="00F26DE9"/>
    <w:rsid w:val="00F26DEB"/>
    <w:rsid w:val="00F26FCE"/>
    <w:rsid w:val="00F27064"/>
    <w:rsid w:val="00F27112"/>
    <w:rsid w:val="00F27267"/>
    <w:rsid w:val="00F272FB"/>
    <w:rsid w:val="00F27311"/>
    <w:rsid w:val="00F27360"/>
    <w:rsid w:val="00F27446"/>
    <w:rsid w:val="00F27483"/>
    <w:rsid w:val="00F2785D"/>
    <w:rsid w:val="00F27991"/>
    <w:rsid w:val="00F27C09"/>
    <w:rsid w:val="00F27C1E"/>
    <w:rsid w:val="00F27CFC"/>
    <w:rsid w:val="00F27D44"/>
    <w:rsid w:val="00F27DFB"/>
    <w:rsid w:val="00F27EA0"/>
    <w:rsid w:val="00F27F03"/>
    <w:rsid w:val="00F30080"/>
    <w:rsid w:val="00F3024B"/>
    <w:rsid w:val="00F30311"/>
    <w:rsid w:val="00F30335"/>
    <w:rsid w:val="00F3033C"/>
    <w:rsid w:val="00F304C2"/>
    <w:rsid w:val="00F3052D"/>
    <w:rsid w:val="00F30652"/>
    <w:rsid w:val="00F3067B"/>
    <w:rsid w:val="00F30860"/>
    <w:rsid w:val="00F3097D"/>
    <w:rsid w:val="00F309DC"/>
    <w:rsid w:val="00F30AB0"/>
    <w:rsid w:val="00F30B54"/>
    <w:rsid w:val="00F30D0C"/>
    <w:rsid w:val="00F30D20"/>
    <w:rsid w:val="00F30D46"/>
    <w:rsid w:val="00F30D58"/>
    <w:rsid w:val="00F3108D"/>
    <w:rsid w:val="00F31214"/>
    <w:rsid w:val="00F31308"/>
    <w:rsid w:val="00F31309"/>
    <w:rsid w:val="00F31321"/>
    <w:rsid w:val="00F3138E"/>
    <w:rsid w:val="00F31435"/>
    <w:rsid w:val="00F3159E"/>
    <w:rsid w:val="00F315F8"/>
    <w:rsid w:val="00F31639"/>
    <w:rsid w:val="00F31685"/>
    <w:rsid w:val="00F3176A"/>
    <w:rsid w:val="00F317C0"/>
    <w:rsid w:val="00F3193F"/>
    <w:rsid w:val="00F319A0"/>
    <w:rsid w:val="00F31A49"/>
    <w:rsid w:val="00F31A78"/>
    <w:rsid w:val="00F31AC0"/>
    <w:rsid w:val="00F31CAD"/>
    <w:rsid w:val="00F31E7A"/>
    <w:rsid w:val="00F31FC6"/>
    <w:rsid w:val="00F31FC7"/>
    <w:rsid w:val="00F320F8"/>
    <w:rsid w:val="00F3223A"/>
    <w:rsid w:val="00F32331"/>
    <w:rsid w:val="00F323B4"/>
    <w:rsid w:val="00F323CA"/>
    <w:rsid w:val="00F32532"/>
    <w:rsid w:val="00F3253C"/>
    <w:rsid w:val="00F325C2"/>
    <w:rsid w:val="00F32637"/>
    <w:rsid w:val="00F32833"/>
    <w:rsid w:val="00F32921"/>
    <w:rsid w:val="00F32A32"/>
    <w:rsid w:val="00F32C7F"/>
    <w:rsid w:val="00F32CA8"/>
    <w:rsid w:val="00F32D11"/>
    <w:rsid w:val="00F32DC5"/>
    <w:rsid w:val="00F32ED2"/>
    <w:rsid w:val="00F32F9A"/>
    <w:rsid w:val="00F33155"/>
    <w:rsid w:val="00F331FF"/>
    <w:rsid w:val="00F33216"/>
    <w:rsid w:val="00F3330F"/>
    <w:rsid w:val="00F336B6"/>
    <w:rsid w:val="00F33A49"/>
    <w:rsid w:val="00F33B41"/>
    <w:rsid w:val="00F33B62"/>
    <w:rsid w:val="00F33CE0"/>
    <w:rsid w:val="00F33E8A"/>
    <w:rsid w:val="00F33F62"/>
    <w:rsid w:val="00F34036"/>
    <w:rsid w:val="00F34124"/>
    <w:rsid w:val="00F341A9"/>
    <w:rsid w:val="00F341AC"/>
    <w:rsid w:val="00F341C7"/>
    <w:rsid w:val="00F34249"/>
    <w:rsid w:val="00F34292"/>
    <w:rsid w:val="00F342A5"/>
    <w:rsid w:val="00F34404"/>
    <w:rsid w:val="00F34495"/>
    <w:rsid w:val="00F34606"/>
    <w:rsid w:val="00F3464A"/>
    <w:rsid w:val="00F34737"/>
    <w:rsid w:val="00F34837"/>
    <w:rsid w:val="00F348A3"/>
    <w:rsid w:val="00F349DD"/>
    <w:rsid w:val="00F34AD3"/>
    <w:rsid w:val="00F34B88"/>
    <w:rsid w:val="00F34CA0"/>
    <w:rsid w:val="00F34CA8"/>
    <w:rsid w:val="00F34CD2"/>
    <w:rsid w:val="00F34CD7"/>
    <w:rsid w:val="00F34E59"/>
    <w:rsid w:val="00F34EF6"/>
    <w:rsid w:val="00F350CB"/>
    <w:rsid w:val="00F35126"/>
    <w:rsid w:val="00F351E8"/>
    <w:rsid w:val="00F352C2"/>
    <w:rsid w:val="00F352C3"/>
    <w:rsid w:val="00F35326"/>
    <w:rsid w:val="00F3536B"/>
    <w:rsid w:val="00F353C1"/>
    <w:rsid w:val="00F35426"/>
    <w:rsid w:val="00F35497"/>
    <w:rsid w:val="00F355C8"/>
    <w:rsid w:val="00F35635"/>
    <w:rsid w:val="00F3565F"/>
    <w:rsid w:val="00F35A5E"/>
    <w:rsid w:val="00F35C3F"/>
    <w:rsid w:val="00F35CD6"/>
    <w:rsid w:val="00F35CD7"/>
    <w:rsid w:val="00F35D28"/>
    <w:rsid w:val="00F35D59"/>
    <w:rsid w:val="00F35E97"/>
    <w:rsid w:val="00F35EA8"/>
    <w:rsid w:val="00F35F76"/>
    <w:rsid w:val="00F36100"/>
    <w:rsid w:val="00F3625E"/>
    <w:rsid w:val="00F3652E"/>
    <w:rsid w:val="00F36564"/>
    <w:rsid w:val="00F3685C"/>
    <w:rsid w:val="00F368AC"/>
    <w:rsid w:val="00F36949"/>
    <w:rsid w:val="00F36B2F"/>
    <w:rsid w:val="00F36B59"/>
    <w:rsid w:val="00F36B89"/>
    <w:rsid w:val="00F36C00"/>
    <w:rsid w:val="00F36C04"/>
    <w:rsid w:val="00F36C62"/>
    <w:rsid w:val="00F36CA3"/>
    <w:rsid w:val="00F36D03"/>
    <w:rsid w:val="00F36D19"/>
    <w:rsid w:val="00F36DA6"/>
    <w:rsid w:val="00F36DC5"/>
    <w:rsid w:val="00F36DFE"/>
    <w:rsid w:val="00F36E6C"/>
    <w:rsid w:val="00F36F7E"/>
    <w:rsid w:val="00F37014"/>
    <w:rsid w:val="00F370B1"/>
    <w:rsid w:val="00F371C4"/>
    <w:rsid w:val="00F37390"/>
    <w:rsid w:val="00F37423"/>
    <w:rsid w:val="00F3746C"/>
    <w:rsid w:val="00F37534"/>
    <w:rsid w:val="00F3761C"/>
    <w:rsid w:val="00F3761D"/>
    <w:rsid w:val="00F3784C"/>
    <w:rsid w:val="00F37868"/>
    <w:rsid w:val="00F3793F"/>
    <w:rsid w:val="00F37BBC"/>
    <w:rsid w:val="00F37D14"/>
    <w:rsid w:val="00F37FF6"/>
    <w:rsid w:val="00F4005D"/>
    <w:rsid w:val="00F4008F"/>
    <w:rsid w:val="00F40322"/>
    <w:rsid w:val="00F4033B"/>
    <w:rsid w:val="00F403DA"/>
    <w:rsid w:val="00F40401"/>
    <w:rsid w:val="00F4041C"/>
    <w:rsid w:val="00F40534"/>
    <w:rsid w:val="00F40581"/>
    <w:rsid w:val="00F40620"/>
    <w:rsid w:val="00F40841"/>
    <w:rsid w:val="00F40875"/>
    <w:rsid w:val="00F40B83"/>
    <w:rsid w:val="00F40BBF"/>
    <w:rsid w:val="00F40C24"/>
    <w:rsid w:val="00F40CA5"/>
    <w:rsid w:val="00F40D82"/>
    <w:rsid w:val="00F40DF2"/>
    <w:rsid w:val="00F40E00"/>
    <w:rsid w:val="00F40E55"/>
    <w:rsid w:val="00F40E8A"/>
    <w:rsid w:val="00F4111F"/>
    <w:rsid w:val="00F41314"/>
    <w:rsid w:val="00F41430"/>
    <w:rsid w:val="00F41470"/>
    <w:rsid w:val="00F4162E"/>
    <w:rsid w:val="00F4163D"/>
    <w:rsid w:val="00F41730"/>
    <w:rsid w:val="00F41967"/>
    <w:rsid w:val="00F419C4"/>
    <w:rsid w:val="00F41B0A"/>
    <w:rsid w:val="00F41BD8"/>
    <w:rsid w:val="00F41C4C"/>
    <w:rsid w:val="00F41DAC"/>
    <w:rsid w:val="00F41E23"/>
    <w:rsid w:val="00F41F9E"/>
    <w:rsid w:val="00F41FC1"/>
    <w:rsid w:val="00F4203E"/>
    <w:rsid w:val="00F4207C"/>
    <w:rsid w:val="00F420BB"/>
    <w:rsid w:val="00F421F0"/>
    <w:rsid w:val="00F4228F"/>
    <w:rsid w:val="00F422A6"/>
    <w:rsid w:val="00F42356"/>
    <w:rsid w:val="00F423B3"/>
    <w:rsid w:val="00F42409"/>
    <w:rsid w:val="00F42449"/>
    <w:rsid w:val="00F4246F"/>
    <w:rsid w:val="00F425DA"/>
    <w:rsid w:val="00F4262B"/>
    <w:rsid w:val="00F42694"/>
    <w:rsid w:val="00F42741"/>
    <w:rsid w:val="00F428F8"/>
    <w:rsid w:val="00F4290D"/>
    <w:rsid w:val="00F429A5"/>
    <w:rsid w:val="00F42A0F"/>
    <w:rsid w:val="00F42A1D"/>
    <w:rsid w:val="00F42B82"/>
    <w:rsid w:val="00F42BD0"/>
    <w:rsid w:val="00F42BF0"/>
    <w:rsid w:val="00F42CA9"/>
    <w:rsid w:val="00F42D4D"/>
    <w:rsid w:val="00F42DA6"/>
    <w:rsid w:val="00F42DD5"/>
    <w:rsid w:val="00F42FE7"/>
    <w:rsid w:val="00F43090"/>
    <w:rsid w:val="00F4309E"/>
    <w:rsid w:val="00F43184"/>
    <w:rsid w:val="00F431A0"/>
    <w:rsid w:val="00F43399"/>
    <w:rsid w:val="00F43464"/>
    <w:rsid w:val="00F434E8"/>
    <w:rsid w:val="00F43640"/>
    <w:rsid w:val="00F43770"/>
    <w:rsid w:val="00F437C1"/>
    <w:rsid w:val="00F438B7"/>
    <w:rsid w:val="00F43A9E"/>
    <w:rsid w:val="00F43AA4"/>
    <w:rsid w:val="00F43AAB"/>
    <w:rsid w:val="00F43B07"/>
    <w:rsid w:val="00F43B85"/>
    <w:rsid w:val="00F43C54"/>
    <w:rsid w:val="00F43C99"/>
    <w:rsid w:val="00F43D3E"/>
    <w:rsid w:val="00F43D98"/>
    <w:rsid w:val="00F43E79"/>
    <w:rsid w:val="00F43EC4"/>
    <w:rsid w:val="00F43F74"/>
    <w:rsid w:val="00F43FD6"/>
    <w:rsid w:val="00F440F5"/>
    <w:rsid w:val="00F44223"/>
    <w:rsid w:val="00F442E2"/>
    <w:rsid w:val="00F445AB"/>
    <w:rsid w:val="00F44647"/>
    <w:rsid w:val="00F446EF"/>
    <w:rsid w:val="00F4470B"/>
    <w:rsid w:val="00F4474A"/>
    <w:rsid w:val="00F447C3"/>
    <w:rsid w:val="00F44857"/>
    <w:rsid w:val="00F44889"/>
    <w:rsid w:val="00F44917"/>
    <w:rsid w:val="00F449B4"/>
    <w:rsid w:val="00F44A29"/>
    <w:rsid w:val="00F44C10"/>
    <w:rsid w:val="00F44D82"/>
    <w:rsid w:val="00F44DFB"/>
    <w:rsid w:val="00F44E25"/>
    <w:rsid w:val="00F44E48"/>
    <w:rsid w:val="00F44ED0"/>
    <w:rsid w:val="00F44FB7"/>
    <w:rsid w:val="00F45059"/>
    <w:rsid w:val="00F4526A"/>
    <w:rsid w:val="00F45359"/>
    <w:rsid w:val="00F45555"/>
    <w:rsid w:val="00F4570A"/>
    <w:rsid w:val="00F459F5"/>
    <w:rsid w:val="00F45A05"/>
    <w:rsid w:val="00F45AD2"/>
    <w:rsid w:val="00F45B53"/>
    <w:rsid w:val="00F45B6C"/>
    <w:rsid w:val="00F45B93"/>
    <w:rsid w:val="00F45C2A"/>
    <w:rsid w:val="00F45C81"/>
    <w:rsid w:val="00F45C88"/>
    <w:rsid w:val="00F45D38"/>
    <w:rsid w:val="00F45DD9"/>
    <w:rsid w:val="00F45DE4"/>
    <w:rsid w:val="00F45E5F"/>
    <w:rsid w:val="00F45F47"/>
    <w:rsid w:val="00F45FF9"/>
    <w:rsid w:val="00F460B7"/>
    <w:rsid w:val="00F460E9"/>
    <w:rsid w:val="00F461EC"/>
    <w:rsid w:val="00F46518"/>
    <w:rsid w:val="00F46942"/>
    <w:rsid w:val="00F4698D"/>
    <w:rsid w:val="00F46ADD"/>
    <w:rsid w:val="00F46BBF"/>
    <w:rsid w:val="00F46EEF"/>
    <w:rsid w:val="00F46FC1"/>
    <w:rsid w:val="00F4712B"/>
    <w:rsid w:val="00F47203"/>
    <w:rsid w:val="00F4720B"/>
    <w:rsid w:val="00F47276"/>
    <w:rsid w:val="00F4732A"/>
    <w:rsid w:val="00F4734A"/>
    <w:rsid w:val="00F47371"/>
    <w:rsid w:val="00F4747B"/>
    <w:rsid w:val="00F4747D"/>
    <w:rsid w:val="00F47587"/>
    <w:rsid w:val="00F476C6"/>
    <w:rsid w:val="00F478B4"/>
    <w:rsid w:val="00F478DA"/>
    <w:rsid w:val="00F47A3D"/>
    <w:rsid w:val="00F500A9"/>
    <w:rsid w:val="00F50236"/>
    <w:rsid w:val="00F506A1"/>
    <w:rsid w:val="00F5074D"/>
    <w:rsid w:val="00F507D2"/>
    <w:rsid w:val="00F50851"/>
    <w:rsid w:val="00F508AA"/>
    <w:rsid w:val="00F50B32"/>
    <w:rsid w:val="00F50E21"/>
    <w:rsid w:val="00F50E99"/>
    <w:rsid w:val="00F50E9B"/>
    <w:rsid w:val="00F5121E"/>
    <w:rsid w:val="00F51256"/>
    <w:rsid w:val="00F51284"/>
    <w:rsid w:val="00F513DB"/>
    <w:rsid w:val="00F5140A"/>
    <w:rsid w:val="00F516D4"/>
    <w:rsid w:val="00F51702"/>
    <w:rsid w:val="00F51766"/>
    <w:rsid w:val="00F517B1"/>
    <w:rsid w:val="00F51967"/>
    <w:rsid w:val="00F51B0F"/>
    <w:rsid w:val="00F51B5A"/>
    <w:rsid w:val="00F51B73"/>
    <w:rsid w:val="00F51C11"/>
    <w:rsid w:val="00F51C32"/>
    <w:rsid w:val="00F51C35"/>
    <w:rsid w:val="00F51C7C"/>
    <w:rsid w:val="00F51CB6"/>
    <w:rsid w:val="00F51D92"/>
    <w:rsid w:val="00F51FCE"/>
    <w:rsid w:val="00F521DC"/>
    <w:rsid w:val="00F521EB"/>
    <w:rsid w:val="00F5228B"/>
    <w:rsid w:val="00F52303"/>
    <w:rsid w:val="00F52315"/>
    <w:rsid w:val="00F52372"/>
    <w:rsid w:val="00F52407"/>
    <w:rsid w:val="00F524E6"/>
    <w:rsid w:val="00F5262B"/>
    <w:rsid w:val="00F52794"/>
    <w:rsid w:val="00F528F5"/>
    <w:rsid w:val="00F5293F"/>
    <w:rsid w:val="00F529EA"/>
    <w:rsid w:val="00F52A38"/>
    <w:rsid w:val="00F52A89"/>
    <w:rsid w:val="00F52BCF"/>
    <w:rsid w:val="00F52C06"/>
    <w:rsid w:val="00F52CA5"/>
    <w:rsid w:val="00F53107"/>
    <w:rsid w:val="00F5319D"/>
    <w:rsid w:val="00F531FE"/>
    <w:rsid w:val="00F5338A"/>
    <w:rsid w:val="00F533AF"/>
    <w:rsid w:val="00F53422"/>
    <w:rsid w:val="00F53475"/>
    <w:rsid w:val="00F536FD"/>
    <w:rsid w:val="00F53715"/>
    <w:rsid w:val="00F537CC"/>
    <w:rsid w:val="00F5380F"/>
    <w:rsid w:val="00F53814"/>
    <w:rsid w:val="00F53876"/>
    <w:rsid w:val="00F53974"/>
    <w:rsid w:val="00F53C20"/>
    <w:rsid w:val="00F53E4D"/>
    <w:rsid w:val="00F53E6A"/>
    <w:rsid w:val="00F53FE2"/>
    <w:rsid w:val="00F5409E"/>
    <w:rsid w:val="00F543EB"/>
    <w:rsid w:val="00F5447C"/>
    <w:rsid w:val="00F5452E"/>
    <w:rsid w:val="00F545A5"/>
    <w:rsid w:val="00F545C8"/>
    <w:rsid w:val="00F5468B"/>
    <w:rsid w:val="00F54734"/>
    <w:rsid w:val="00F547B6"/>
    <w:rsid w:val="00F548E1"/>
    <w:rsid w:val="00F54A4E"/>
    <w:rsid w:val="00F54C17"/>
    <w:rsid w:val="00F54C6D"/>
    <w:rsid w:val="00F54F1E"/>
    <w:rsid w:val="00F54F1F"/>
    <w:rsid w:val="00F5510C"/>
    <w:rsid w:val="00F551F3"/>
    <w:rsid w:val="00F553B0"/>
    <w:rsid w:val="00F553D1"/>
    <w:rsid w:val="00F554A9"/>
    <w:rsid w:val="00F5560A"/>
    <w:rsid w:val="00F5560F"/>
    <w:rsid w:val="00F55696"/>
    <w:rsid w:val="00F556FC"/>
    <w:rsid w:val="00F55854"/>
    <w:rsid w:val="00F55903"/>
    <w:rsid w:val="00F55984"/>
    <w:rsid w:val="00F55DFE"/>
    <w:rsid w:val="00F5608C"/>
    <w:rsid w:val="00F560BA"/>
    <w:rsid w:val="00F561D1"/>
    <w:rsid w:val="00F5631D"/>
    <w:rsid w:val="00F5640E"/>
    <w:rsid w:val="00F564FF"/>
    <w:rsid w:val="00F5655A"/>
    <w:rsid w:val="00F56578"/>
    <w:rsid w:val="00F56609"/>
    <w:rsid w:val="00F5665D"/>
    <w:rsid w:val="00F56667"/>
    <w:rsid w:val="00F56854"/>
    <w:rsid w:val="00F56952"/>
    <w:rsid w:val="00F569AB"/>
    <w:rsid w:val="00F56C2F"/>
    <w:rsid w:val="00F56D9D"/>
    <w:rsid w:val="00F56E14"/>
    <w:rsid w:val="00F57264"/>
    <w:rsid w:val="00F57367"/>
    <w:rsid w:val="00F57379"/>
    <w:rsid w:val="00F57528"/>
    <w:rsid w:val="00F575FE"/>
    <w:rsid w:val="00F577C8"/>
    <w:rsid w:val="00F578C0"/>
    <w:rsid w:val="00F57995"/>
    <w:rsid w:val="00F579BA"/>
    <w:rsid w:val="00F57A7F"/>
    <w:rsid w:val="00F57D10"/>
    <w:rsid w:val="00F57D9C"/>
    <w:rsid w:val="00F57DFE"/>
    <w:rsid w:val="00F60195"/>
    <w:rsid w:val="00F6019C"/>
    <w:rsid w:val="00F601EF"/>
    <w:rsid w:val="00F602C2"/>
    <w:rsid w:val="00F603B1"/>
    <w:rsid w:val="00F60581"/>
    <w:rsid w:val="00F60707"/>
    <w:rsid w:val="00F60738"/>
    <w:rsid w:val="00F60931"/>
    <w:rsid w:val="00F60942"/>
    <w:rsid w:val="00F60B8F"/>
    <w:rsid w:val="00F60E13"/>
    <w:rsid w:val="00F60F67"/>
    <w:rsid w:val="00F61021"/>
    <w:rsid w:val="00F610A9"/>
    <w:rsid w:val="00F610F7"/>
    <w:rsid w:val="00F612C4"/>
    <w:rsid w:val="00F61476"/>
    <w:rsid w:val="00F61513"/>
    <w:rsid w:val="00F61730"/>
    <w:rsid w:val="00F6178F"/>
    <w:rsid w:val="00F617F4"/>
    <w:rsid w:val="00F6181B"/>
    <w:rsid w:val="00F61833"/>
    <w:rsid w:val="00F61839"/>
    <w:rsid w:val="00F61901"/>
    <w:rsid w:val="00F61B1C"/>
    <w:rsid w:val="00F61B7F"/>
    <w:rsid w:val="00F61BBA"/>
    <w:rsid w:val="00F61E3D"/>
    <w:rsid w:val="00F61F05"/>
    <w:rsid w:val="00F6215D"/>
    <w:rsid w:val="00F62542"/>
    <w:rsid w:val="00F62594"/>
    <w:rsid w:val="00F62697"/>
    <w:rsid w:val="00F62841"/>
    <w:rsid w:val="00F62A17"/>
    <w:rsid w:val="00F62A81"/>
    <w:rsid w:val="00F62AF2"/>
    <w:rsid w:val="00F62CC1"/>
    <w:rsid w:val="00F6335E"/>
    <w:rsid w:val="00F63400"/>
    <w:rsid w:val="00F63424"/>
    <w:rsid w:val="00F63518"/>
    <w:rsid w:val="00F63559"/>
    <w:rsid w:val="00F6378B"/>
    <w:rsid w:val="00F63823"/>
    <w:rsid w:val="00F63A4D"/>
    <w:rsid w:val="00F63AAC"/>
    <w:rsid w:val="00F63AD7"/>
    <w:rsid w:val="00F63C39"/>
    <w:rsid w:val="00F63CD1"/>
    <w:rsid w:val="00F63CEF"/>
    <w:rsid w:val="00F63D22"/>
    <w:rsid w:val="00F64225"/>
    <w:rsid w:val="00F6422B"/>
    <w:rsid w:val="00F6433E"/>
    <w:rsid w:val="00F645F6"/>
    <w:rsid w:val="00F645FD"/>
    <w:rsid w:val="00F64630"/>
    <w:rsid w:val="00F646FC"/>
    <w:rsid w:val="00F648A7"/>
    <w:rsid w:val="00F64A13"/>
    <w:rsid w:val="00F64AC9"/>
    <w:rsid w:val="00F64BF4"/>
    <w:rsid w:val="00F64CB0"/>
    <w:rsid w:val="00F64D10"/>
    <w:rsid w:val="00F64ED7"/>
    <w:rsid w:val="00F64EEA"/>
    <w:rsid w:val="00F64F84"/>
    <w:rsid w:val="00F64FA5"/>
    <w:rsid w:val="00F650BC"/>
    <w:rsid w:val="00F652A0"/>
    <w:rsid w:val="00F652A3"/>
    <w:rsid w:val="00F652E4"/>
    <w:rsid w:val="00F653BB"/>
    <w:rsid w:val="00F653D1"/>
    <w:rsid w:val="00F65532"/>
    <w:rsid w:val="00F656E3"/>
    <w:rsid w:val="00F65818"/>
    <w:rsid w:val="00F65820"/>
    <w:rsid w:val="00F65894"/>
    <w:rsid w:val="00F65F64"/>
    <w:rsid w:val="00F6603F"/>
    <w:rsid w:val="00F660D1"/>
    <w:rsid w:val="00F66129"/>
    <w:rsid w:val="00F6642E"/>
    <w:rsid w:val="00F664BB"/>
    <w:rsid w:val="00F665D9"/>
    <w:rsid w:val="00F665E0"/>
    <w:rsid w:val="00F665E9"/>
    <w:rsid w:val="00F66776"/>
    <w:rsid w:val="00F668F9"/>
    <w:rsid w:val="00F66932"/>
    <w:rsid w:val="00F66AF3"/>
    <w:rsid w:val="00F66D24"/>
    <w:rsid w:val="00F66D3E"/>
    <w:rsid w:val="00F66EBE"/>
    <w:rsid w:val="00F671F6"/>
    <w:rsid w:val="00F67410"/>
    <w:rsid w:val="00F67471"/>
    <w:rsid w:val="00F67627"/>
    <w:rsid w:val="00F6763D"/>
    <w:rsid w:val="00F676D5"/>
    <w:rsid w:val="00F6772D"/>
    <w:rsid w:val="00F677D8"/>
    <w:rsid w:val="00F67963"/>
    <w:rsid w:val="00F67AD1"/>
    <w:rsid w:val="00F67ADB"/>
    <w:rsid w:val="00F67D25"/>
    <w:rsid w:val="00F67D44"/>
    <w:rsid w:val="00F67D57"/>
    <w:rsid w:val="00F67E13"/>
    <w:rsid w:val="00F67F15"/>
    <w:rsid w:val="00F70179"/>
    <w:rsid w:val="00F70251"/>
    <w:rsid w:val="00F702FB"/>
    <w:rsid w:val="00F70539"/>
    <w:rsid w:val="00F705AA"/>
    <w:rsid w:val="00F70619"/>
    <w:rsid w:val="00F70699"/>
    <w:rsid w:val="00F707FE"/>
    <w:rsid w:val="00F7085E"/>
    <w:rsid w:val="00F708D7"/>
    <w:rsid w:val="00F70A90"/>
    <w:rsid w:val="00F70B64"/>
    <w:rsid w:val="00F70BA6"/>
    <w:rsid w:val="00F70BB3"/>
    <w:rsid w:val="00F70C69"/>
    <w:rsid w:val="00F70EF7"/>
    <w:rsid w:val="00F70F16"/>
    <w:rsid w:val="00F70F64"/>
    <w:rsid w:val="00F71059"/>
    <w:rsid w:val="00F7114F"/>
    <w:rsid w:val="00F711F0"/>
    <w:rsid w:val="00F71262"/>
    <w:rsid w:val="00F7134F"/>
    <w:rsid w:val="00F716A4"/>
    <w:rsid w:val="00F7183E"/>
    <w:rsid w:val="00F7189D"/>
    <w:rsid w:val="00F718CB"/>
    <w:rsid w:val="00F7197E"/>
    <w:rsid w:val="00F71995"/>
    <w:rsid w:val="00F71A12"/>
    <w:rsid w:val="00F71A4C"/>
    <w:rsid w:val="00F71AB7"/>
    <w:rsid w:val="00F71AE0"/>
    <w:rsid w:val="00F71CB8"/>
    <w:rsid w:val="00F71CFE"/>
    <w:rsid w:val="00F71F3F"/>
    <w:rsid w:val="00F7207D"/>
    <w:rsid w:val="00F720B1"/>
    <w:rsid w:val="00F722B5"/>
    <w:rsid w:val="00F72312"/>
    <w:rsid w:val="00F72315"/>
    <w:rsid w:val="00F723FD"/>
    <w:rsid w:val="00F724BA"/>
    <w:rsid w:val="00F724C7"/>
    <w:rsid w:val="00F7269A"/>
    <w:rsid w:val="00F726DB"/>
    <w:rsid w:val="00F726E2"/>
    <w:rsid w:val="00F727DE"/>
    <w:rsid w:val="00F727E5"/>
    <w:rsid w:val="00F72820"/>
    <w:rsid w:val="00F72832"/>
    <w:rsid w:val="00F72856"/>
    <w:rsid w:val="00F72AAF"/>
    <w:rsid w:val="00F72AF0"/>
    <w:rsid w:val="00F72B0D"/>
    <w:rsid w:val="00F72B25"/>
    <w:rsid w:val="00F72BA8"/>
    <w:rsid w:val="00F72C17"/>
    <w:rsid w:val="00F72C5D"/>
    <w:rsid w:val="00F72DCB"/>
    <w:rsid w:val="00F72EC0"/>
    <w:rsid w:val="00F72F6E"/>
    <w:rsid w:val="00F730ED"/>
    <w:rsid w:val="00F7332E"/>
    <w:rsid w:val="00F73392"/>
    <w:rsid w:val="00F734BB"/>
    <w:rsid w:val="00F7351B"/>
    <w:rsid w:val="00F735FB"/>
    <w:rsid w:val="00F737CC"/>
    <w:rsid w:val="00F737E2"/>
    <w:rsid w:val="00F7383D"/>
    <w:rsid w:val="00F73892"/>
    <w:rsid w:val="00F738E8"/>
    <w:rsid w:val="00F73977"/>
    <w:rsid w:val="00F739FF"/>
    <w:rsid w:val="00F73B4A"/>
    <w:rsid w:val="00F73B70"/>
    <w:rsid w:val="00F73CCF"/>
    <w:rsid w:val="00F73DC9"/>
    <w:rsid w:val="00F73F65"/>
    <w:rsid w:val="00F7414F"/>
    <w:rsid w:val="00F741B0"/>
    <w:rsid w:val="00F743D1"/>
    <w:rsid w:val="00F74421"/>
    <w:rsid w:val="00F744B6"/>
    <w:rsid w:val="00F745E6"/>
    <w:rsid w:val="00F745FF"/>
    <w:rsid w:val="00F747B7"/>
    <w:rsid w:val="00F74BFF"/>
    <w:rsid w:val="00F74DDE"/>
    <w:rsid w:val="00F74E68"/>
    <w:rsid w:val="00F74E6A"/>
    <w:rsid w:val="00F74F38"/>
    <w:rsid w:val="00F75245"/>
    <w:rsid w:val="00F7526B"/>
    <w:rsid w:val="00F75282"/>
    <w:rsid w:val="00F7533F"/>
    <w:rsid w:val="00F75389"/>
    <w:rsid w:val="00F7539A"/>
    <w:rsid w:val="00F75467"/>
    <w:rsid w:val="00F755EB"/>
    <w:rsid w:val="00F7568F"/>
    <w:rsid w:val="00F756E5"/>
    <w:rsid w:val="00F75783"/>
    <w:rsid w:val="00F75803"/>
    <w:rsid w:val="00F7592F"/>
    <w:rsid w:val="00F75965"/>
    <w:rsid w:val="00F75A22"/>
    <w:rsid w:val="00F75A40"/>
    <w:rsid w:val="00F75AE2"/>
    <w:rsid w:val="00F75B49"/>
    <w:rsid w:val="00F75CD6"/>
    <w:rsid w:val="00F75CD7"/>
    <w:rsid w:val="00F75CD8"/>
    <w:rsid w:val="00F75DE0"/>
    <w:rsid w:val="00F75E50"/>
    <w:rsid w:val="00F75EC5"/>
    <w:rsid w:val="00F75F44"/>
    <w:rsid w:val="00F75F4D"/>
    <w:rsid w:val="00F76043"/>
    <w:rsid w:val="00F7608B"/>
    <w:rsid w:val="00F762C7"/>
    <w:rsid w:val="00F764AC"/>
    <w:rsid w:val="00F764F8"/>
    <w:rsid w:val="00F76823"/>
    <w:rsid w:val="00F7692B"/>
    <w:rsid w:val="00F76953"/>
    <w:rsid w:val="00F7699F"/>
    <w:rsid w:val="00F769E6"/>
    <w:rsid w:val="00F76AF6"/>
    <w:rsid w:val="00F76C6F"/>
    <w:rsid w:val="00F76C7B"/>
    <w:rsid w:val="00F7703F"/>
    <w:rsid w:val="00F7715C"/>
    <w:rsid w:val="00F771AA"/>
    <w:rsid w:val="00F771D3"/>
    <w:rsid w:val="00F77279"/>
    <w:rsid w:val="00F774FA"/>
    <w:rsid w:val="00F775F9"/>
    <w:rsid w:val="00F77868"/>
    <w:rsid w:val="00F778DF"/>
    <w:rsid w:val="00F779A0"/>
    <w:rsid w:val="00F77A05"/>
    <w:rsid w:val="00F77B09"/>
    <w:rsid w:val="00F77CA3"/>
    <w:rsid w:val="00F77CC2"/>
    <w:rsid w:val="00F77D9C"/>
    <w:rsid w:val="00F77E7F"/>
    <w:rsid w:val="00F77EEE"/>
    <w:rsid w:val="00F77F67"/>
    <w:rsid w:val="00F77F8D"/>
    <w:rsid w:val="00F77FD4"/>
    <w:rsid w:val="00F79E91"/>
    <w:rsid w:val="00F80131"/>
    <w:rsid w:val="00F80437"/>
    <w:rsid w:val="00F80451"/>
    <w:rsid w:val="00F8052F"/>
    <w:rsid w:val="00F8078B"/>
    <w:rsid w:val="00F807A6"/>
    <w:rsid w:val="00F809D3"/>
    <w:rsid w:val="00F80A97"/>
    <w:rsid w:val="00F80B32"/>
    <w:rsid w:val="00F80B97"/>
    <w:rsid w:val="00F80C27"/>
    <w:rsid w:val="00F80D7A"/>
    <w:rsid w:val="00F80DF2"/>
    <w:rsid w:val="00F80E25"/>
    <w:rsid w:val="00F80F5B"/>
    <w:rsid w:val="00F81183"/>
    <w:rsid w:val="00F812BB"/>
    <w:rsid w:val="00F812DE"/>
    <w:rsid w:val="00F8131B"/>
    <w:rsid w:val="00F813F5"/>
    <w:rsid w:val="00F81416"/>
    <w:rsid w:val="00F814A0"/>
    <w:rsid w:val="00F817DC"/>
    <w:rsid w:val="00F817F0"/>
    <w:rsid w:val="00F8187B"/>
    <w:rsid w:val="00F818DD"/>
    <w:rsid w:val="00F81AFB"/>
    <w:rsid w:val="00F81BED"/>
    <w:rsid w:val="00F81BF2"/>
    <w:rsid w:val="00F81CAC"/>
    <w:rsid w:val="00F81D01"/>
    <w:rsid w:val="00F81E73"/>
    <w:rsid w:val="00F81F5E"/>
    <w:rsid w:val="00F81FEC"/>
    <w:rsid w:val="00F81FF5"/>
    <w:rsid w:val="00F82121"/>
    <w:rsid w:val="00F82211"/>
    <w:rsid w:val="00F82335"/>
    <w:rsid w:val="00F824BB"/>
    <w:rsid w:val="00F824EC"/>
    <w:rsid w:val="00F82655"/>
    <w:rsid w:val="00F8265A"/>
    <w:rsid w:val="00F828DA"/>
    <w:rsid w:val="00F82D9E"/>
    <w:rsid w:val="00F82EB8"/>
    <w:rsid w:val="00F82EDF"/>
    <w:rsid w:val="00F82F14"/>
    <w:rsid w:val="00F8322F"/>
    <w:rsid w:val="00F83267"/>
    <w:rsid w:val="00F83402"/>
    <w:rsid w:val="00F83451"/>
    <w:rsid w:val="00F83584"/>
    <w:rsid w:val="00F836A6"/>
    <w:rsid w:val="00F838DB"/>
    <w:rsid w:val="00F83925"/>
    <w:rsid w:val="00F8396E"/>
    <w:rsid w:val="00F83972"/>
    <w:rsid w:val="00F83A46"/>
    <w:rsid w:val="00F83AE9"/>
    <w:rsid w:val="00F83AF5"/>
    <w:rsid w:val="00F83C57"/>
    <w:rsid w:val="00F83F61"/>
    <w:rsid w:val="00F840DA"/>
    <w:rsid w:val="00F84105"/>
    <w:rsid w:val="00F84225"/>
    <w:rsid w:val="00F842F8"/>
    <w:rsid w:val="00F8456D"/>
    <w:rsid w:val="00F845AF"/>
    <w:rsid w:val="00F845FA"/>
    <w:rsid w:val="00F84801"/>
    <w:rsid w:val="00F84888"/>
    <w:rsid w:val="00F84A2D"/>
    <w:rsid w:val="00F84A2F"/>
    <w:rsid w:val="00F84A9B"/>
    <w:rsid w:val="00F84D53"/>
    <w:rsid w:val="00F84D7C"/>
    <w:rsid w:val="00F84D88"/>
    <w:rsid w:val="00F84F09"/>
    <w:rsid w:val="00F85073"/>
    <w:rsid w:val="00F85284"/>
    <w:rsid w:val="00F85330"/>
    <w:rsid w:val="00F8536A"/>
    <w:rsid w:val="00F8550E"/>
    <w:rsid w:val="00F8556B"/>
    <w:rsid w:val="00F855D7"/>
    <w:rsid w:val="00F85602"/>
    <w:rsid w:val="00F8560B"/>
    <w:rsid w:val="00F8590E"/>
    <w:rsid w:val="00F8595F"/>
    <w:rsid w:val="00F859AE"/>
    <w:rsid w:val="00F859EB"/>
    <w:rsid w:val="00F85A5B"/>
    <w:rsid w:val="00F85AF4"/>
    <w:rsid w:val="00F85B67"/>
    <w:rsid w:val="00F85B8B"/>
    <w:rsid w:val="00F85C04"/>
    <w:rsid w:val="00F85CB0"/>
    <w:rsid w:val="00F85F46"/>
    <w:rsid w:val="00F85FA2"/>
    <w:rsid w:val="00F860E2"/>
    <w:rsid w:val="00F86103"/>
    <w:rsid w:val="00F8634A"/>
    <w:rsid w:val="00F8639E"/>
    <w:rsid w:val="00F863E2"/>
    <w:rsid w:val="00F86482"/>
    <w:rsid w:val="00F864C3"/>
    <w:rsid w:val="00F866B7"/>
    <w:rsid w:val="00F8687C"/>
    <w:rsid w:val="00F86A03"/>
    <w:rsid w:val="00F86B86"/>
    <w:rsid w:val="00F86D0E"/>
    <w:rsid w:val="00F86DA3"/>
    <w:rsid w:val="00F86DD1"/>
    <w:rsid w:val="00F86F22"/>
    <w:rsid w:val="00F86FB6"/>
    <w:rsid w:val="00F8710F"/>
    <w:rsid w:val="00F872E9"/>
    <w:rsid w:val="00F87418"/>
    <w:rsid w:val="00F87489"/>
    <w:rsid w:val="00F87495"/>
    <w:rsid w:val="00F87552"/>
    <w:rsid w:val="00F87676"/>
    <w:rsid w:val="00F87716"/>
    <w:rsid w:val="00F8789F"/>
    <w:rsid w:val="00F878B1"/>
    <w:rsid w:val="00F87940"/>
    <w:rsid w:val="00F87A1C"/>
    <w:rsid w:val="00F87AAB"/>
    <w:rsid w:val="00F87C9D"/>
    <w:rsid w:val="00F87CE0"/>
    <w:rsid w:val="00F87D32"/>
    <w:rsid w:val="00F87D52"/>
    <w:rsid w:val="00F87DC6"/>
    <w:rsid w:val="00F87F0E"/>
    <w:rsid w:val="00F87F86"/>
    <w:rsid w:val="00F87F93"/>
    <w:rsid w:val="00F87FFA"/>
    <w:rsid w:val="00F900BD"/>
    <w:rsid w:val="00F9019D"/>
    <w:rsid w:val="00F901C4"/>
    <w:rsid w:val="00F904F1"/>
    <w:rsid w:val="00F90508"/>
    <w:rsid w:val="00F90522"/>
    <w:rsid w:val="00F905A6"/>
    <w:rsid w:val="00F905EF"/>
    <w:rsid w:val="00F9076A"/>
    <w:rsid w:val="00F908E1"/>
    <w:rsid w:val="00F90A6F"/>
    <w:rsid w:val="00F90AE7"/>
    <w:rsid w:val="00F90AF7"/>
    <w:rsid w:val="00F90DBF"/>
    <w:rsid w:val="00F90DF7"/>
    <w:rsid w:val="00F91031"/>
    <w:rsid w:val="00F912F3"/>
    <w:rsid w:val="00F91327"/>
    <w:rsid w:val="00F91523"/>
    <w:rsid w:val="00F915EB"/>
    <w:rsid w:val="00F91601"/>
    <w:rsid w:val="00F91786"/>
    <w:rsid w:val="00F918CB"/>
    <w:rsid w:val="00F918E0"/>
    <w:rsid w:val="00F9190E"/>
    <w:rsid w:val="00F919D0"/>
    <w:rsid w:val="00F91A2C"/>
    <w:rsid w:val="00F91B1A"/>
    <w:rsid w:val="00F91B8B"/>
    <w:rsid w:val="00F91B9A"/>
    <w:rsid w:val="00F91C41"/>
    <w:rsid w:val="00F91DEE"/>
    <w:rsid w:val="00F91E95"/>
    <w:rsid w:val="00F92046"/>
    <w:rsid w:val="00F92093"/>
    <w:rsid w:val="00F920F1"/>
    <w:rsid w:val="00F9211C"/>
    <w:rsid w:val="00F9242B"/>
    <w:rsid w:val="00F92441"/>
    <w:rsid w:val="00F9245C"/>
    <w:rsid w:val="00F92468"/>
    <w:rsid w:val="00F9246D"/>
    <w:rsid w:val="00F9247F"/>
    <w:rsid w:val="00F924CD"/>
    <w:rsid w:val="00F92712"/>
    <w:rsid w:val="00F92747"/>
    <w:rsid w:val="00F9275C"/>
    <w:rsid w:val="00F927C5"/>
    <w:rsid w:val="00F928C3"/>
    <w:rsid w:val="00F9292B"/>
    <w:rsid w:val="00F9296D"/>
    <w:rsid w:val="00F929FC"/>
    <w:rsid w:val="00F92ADB"/>
    <w:rsid w:val="00F92B4D"/>
    <w:rsid w:val="00F92C52"/>
    <w:rsid w:val="00F92C84"/>
    <w:rsid w:val="00F92C8C"/>
    <w:rsid w:val="00F92D36"/>
    <w:rsid w:val="00F92E4E"/>
    <w:rsid w:val="00F92F21"/>
    <w:rsid w:val="00F9308F"/>
    <w:rsid w:val="00F930D5"/>
    <w:rsid w:val="00F931AA"/>
    <w:rsid w:val="00F9332C"/>
    <w:rsid w:val="00F933E9"/>
    <w:rsid w:val="00F934AE"/>
    <w:rsid w:val="00F9352C"/>
    <w:rsid w:val="00F9360F"/>
    <w:rsid w:val="00F93632"/>
    <w:rsid w:val="00F9368C"/>
    <w:rsid w:val="00F936F4"/>
    <w:rsid w:val="00F937A6"/>
    <w:rsid w:val="00F93AA7"/>
    <w:rsid w:val="00F93C1B"/>
    <w:rsid w:val="00F93C88"/>
    <w:rsid w:val="00F93D99"/>
    <w:rsid w:val="00F93DB4"/>
    <w:rsid w:val="00F93F32"/>
    <w:rsid w:val="00F93FE9"/>
    <w:rsid w:val="00F942A2"/>
    <w:rsid w:val="00F942B9"/>
    <w:rsid w:val="00F945C1"/>
    <w:rsid w:val="00F94669"/>
    <w:rsid w:val="00F946C5"/>
    <w:rsid w:val="00F9471C"/>
    <w:rsid w:val="00F94730"/>
    <w:rsid w:val="00F9480F"/>
    <w:rsid w:val="00F9488E"/>
    <w:rsid w:val="00F94912"/>
    <w:rsid w:val="00F94978"/>
    <w:rsid w:val="00F9497A"/>
    <w:rsid w:val="00F9497F"/>
    <w:rsid w:val="00F949BA"/>
    <w:rsid w:val="00F949C8"/>
    <w:rsid w:val="00F94AB9"/>
    <w:rsid w:val="00F94B92"/>
    <w:rsid w:val="00F94C29"/>
    <w:rsid w:val="00F94D3D"/>
    <w:rsid w:val="00F94DF3"/>
    <w:rsid w:val="00F94E2B"/>
    <w:rsid w:val="00F94EF2"/>
    <w:rsid w:val="00F9508B"/>
    <w:rsid w:val="00F950AA"/>
    <w:rsid w:val="00F950B7"/>
    <w:rsid w:val="00F951B0"/>
    <w:rsid w:val="00F953B7"/>
    <w:rsid w:val="00F954CE"/>
    <w:rsid w:val="00F9587A"/>
    <w:rsid w:val="00F959A5"/>
    <w:rsid w:val="00F95AFF"/>
    <w:rsid w:val="00F95B32"/>
    <w:rsid w:val="00F95D67"/>
    <w:rsid w:val="00F95D7C"/>
    <w:rsid w:val="00F95EB2"/>
    <w:rsid w:val="00F95ED5"/>
    <w:rsid w:val="00F96083"/>
    <w:rsid w:val="00F9646A"/>
    <w:rsid w:val="00F9669D"/>
    <w:rsid w:val="00F96757"/>
    <w:rsid w:val="00F96911"/>
    <w:rsid w:val="00F9694B"/>
    <w:rsid w:val="00F96A88"/>
    <w:rsid w:val="00F96B60"/>
    <w:rsid w:val="00F96CC3"/>
    <w:rsid w:val="00F96DE6"/>
    <w:rsid w:val="00F96E28"/>
    <w:rsid w:val="00F96FFF"/>
    <w:rsid w:val="00F97007"/>
    <w:rsid w:val="00F97018"/>
    <w:rsid w:val="00F970B7"/>
    <w:rsid w:val="00F97244"/>
    <w:rsid w:val="00F97302"/>
    <w:rsid w:val="00F97571"/>
    <w:rsid w:val="00F9766A"/>
    <w:rsid w:val="00F976E3"/>
    <w:rsid w:val="00F97834"/>
    <w:rsid w:val="00F9786F"/>
    <w:rsid w:val="00F978A6"/>
    <w:rsid w:val="00F978B5"/>
    <w:rsid w:val="00F97BBC"/>
    <w:rsid w:val="00F97C30"/>
    <w:rsid w:val="00F97C31"/>
    <w:rsid w:val="00F97F20"/>
    <w:rsid w:val="00FA009C"/>
    <w:rsid w:val="00FA01CE"/>
    <w:rsid w:val="00FA0324"/>
    <w:rsid w:val="00FA079B"/>
    <w:rsid w:val="00FA0852"/>
    <w:rsid w:val="00FA08FB"/>
    <w:rsid w:val="00FA0945"/>
    <w:rsid w:val="00FA0B29"/>
    <w:rsid w:val="00FA0B70"/>
    <w:rsid w:val="00FA0BDC"/>
    <w:rsid w:val="00FA0BDE"/>
    <w:rsid w:val="00FA0CDE"/>
    <w:rsid w:val="00FA0E37"/>
    <w:rsid w:val="00FA0E9C"/>
    <w:rsid w:val="00FA1019"/>
    <w:rsid w:val="00FA10AC"/>
    <w:rsid w:val="00FA1154"/>
    <w:rsid w:val="00FA1180"/>
    <w:rsid w:val="00FA119B"/>
    <w:rsid w:val="00FA11E7"/>
    <w:rsid w:val="00FA1339"/>
    <w:rsid w:val="00FA13C5"/>
    <w:rsid w:val="00FA13C9"/>
    <w:rsid w:val="00FA13D2"/>
    <w:rsid w:val="00FA13F8"/>
    <w:rsid w:val="00FA14E4"/>
    <w:rsid w:val="00FA1637"/>
    <w:rsid w:val="00FA1665"/>
    <w:rsid w:val="00FA166D"/>
    <w:rsid w:val="00FA177D"/>
    <w:rsid w:val="00FA177F"/>
    <w:rsid w:val="00FA1869"/>
    <w:rsid w:val="00FA1903"/>
    <w:rsid w:val="00FA1969"/>
    <w:rsid w:val="00FA1A43"/>
    <w:rsid w:val="00FA1AD6"/>
    <w:rsid w:val="00FA1B18"/>
    <w:rsid w:val="00FA1ECB"/>
    <w:rsid w:val="00FA212C"/>
    <w:rsid w:val="00FA2133"/>
    <w:rsid w:val="00FA2150"/>
    <w:rsid w:val="00FA215C"/>
    <w:rsid w:val="00FA22A2"/>
    <w:rsid w:val="00FA24B4"/>
    <w:rsid w:val="00FA264E"/>
    <w:rsid w:val="00FA26DB"/>
    <w:rsid w:val="00FA2847"/>
    <w:rsid w:val="00FA28F7"/>
    <w:rsid w:val="00FA293F"/>
    <w:rsid w:val="00FA296E"/>
    <w:rsid w:val="00FA29E5"/>
    <w:rsid w:val="00FA2A91"/>
    <w:rsid w:val="00FA30EA"/>
    <w:rsid w:val="00FA31B4"/>
    <w:rsid w:val="00FA31D4"/>
    <w:rsid w:val="00FA3228"/>
    <w:rsid w:val="00FA326D"/>
    <w:rsid w:val="00FA3423"/>
    <w:rsid w:val="00FA3631"/>
    <w:rsid w:val="00FA3715"/>
    <w:rsid w:val="00FA3910"/>
    <w:rsid w:val="00FA3A38"/>
    <w:rsid w:val="00FA3A86"/>
    <w:rsid w:val="00FA3BE0"/>
    <w:rsid w:val="00FA3E2B"/>
    <w:rsid w:val="00FA3F13"/>
    <w:rsid w:val="00FA4156"/>
    <w:rsid w:val="00FA451B"/>
    <w:rsid w:val="00FA45C9"/>
    <w:rsid w:val="00FA4690"/>
    <w:rsid w:val="00FA495A"/>
    <w:rsid w:val="00FA498E"/>
    <w:rsid w:val="00FA4AD1"/>
    <w:rsid w:val="00FA4AD7"/>
    <w:rsid w:val="00FA4DE1"/>
    <w:rsid w:val="00FA4EEA"/>
    <w:rsid w:val="00FA4FDE"/>
    <w:rsid w:val="00FA500E"/>
    <w:rsid w:val="00FA5035"/>
    <w:rsid w:val="00FA54A3"/>
    <w:rsid w:val="00FA54EE"/>
    <w:rsid w:val="00FA566E"/>
    <w:rsid w:val="00FA5742"/>
    <w:rsid w:val="00FA580D"/>
    <w:rsid w:val="00FA582F"/>
    <w:rsid w:val="00FA588C"/>
    <w:rsid w:val="00FA5A80"/>
    <w:rsid w:val="00FA5BDC"/>
    <w:rsid w:val="00FA5BEB"/>
    <w:rsid w:val="00FA5C40"/>
    <w:rsid w:val="00FA5CD5"/>
    <w:rsid w:val="00FA5D00"/>
    <w:rsid w:val="00FA5E02"/>
    <w:rsid w:val="00FA5F20"/>
    <w:rsid w:val="00FA6003"/>
    <w:rsid w:val="00FA602A"/>
    <w:rsid w:val="00FA6052"/>
    <w:rsid w:val="00FA6143"/>
    <w:rsid w:val="00FA6248"/>
    <w:rsid w:val="00FA6540"/>
    <w:rsid w:val="00FA656D"/>
    <w:rsid w:val="00FA6650"/>
    <w:rsid w:val="00FA66C3"/>
    <w:rsid w:val="00FA673F"/>
    <w:rsid w:val="00FA6D74"/>
    <w:rsid w:val="00FA6ED1"/>
    <w:rsid w:val="00FA6EE4"/>
    <w:rsid w:val="00FA7069"/>
    <w:rsid w:val="00FA70E2"/>
    <w:rsid w:val="00FA721D"/>
    <w:rsid w:val="00FA73A2"/>
    <w:rsid w:val="00FA78DD"/>
    <w:rsid w:val="00FA7A12"/>
    <w:rsid w:val="00FA7A8B"/>
    <w:rsid w:val="00FA7B25"/>
    <w:rsid w:val="00FA7D43"/>
    <w:rsid w:val="00FB008E"/>
    <w:rsid w:val="00FB0092"/>
    <w:rsid w:val="00FB01AC"/>
    <w:rsid w:val="00FB01D7"/>
    <w:rsid w:val="00FB025A"/>
    <w:rsid w:val="00FB02A8"/>
    <w:rsid w:val="00FB0370"/>
    <w:rsid w:val="00FB0509"/>
    <w:rsid w:val="00FB0786"/>
    <w:rsid w:val="00FB07BB"/>
    <w:rsid w:val="00FB0872"/>
    <w:rsid w:val="00FB0933"/>
    <w:rsid w:val="00FB0A44"/>
    <w:rsid w:val="00FB0A96"/>
    <w:rsid w:val="00FB0A9E"/>
    <w:rsid w:val="00FB0B0D"/>
    <w:rsid w:val="00FB0D44"/>
    <w:rsid w:val="00FB0E69"/>
    <w:rsid w:val="00FB0E9F"/>
    <w:rsid w:val="00FB0EEA"/>
    <w:rsid w:val="00FB0EEE"/>
    <w:rsid w:val="00FB11EA"/>
    <w:rsid w:val="00FB1369"/>
    <w:rsid w:val="00FB15B9"/>
    <w:rsid w:val="00FB15D3"/>
    <w:rsid w:val="00FB168D"/>
    <w:rsid w:val="00FB171D"/>
    <w:rsid w:val="00FB1967"/>
    <w:rsid w:val="00FB19B6"/>
    <w:rsid w:val="00FB19DD"/>
    <w:rsid w:val="00FB19EE"/>
    <w:rsid w:val="00FB19F0"/>
    <w:rsid w:val="00FB1A03"/>
    <w:rsid w:val="00FB1C2E"/>
    <w:rsid w:val="00FB1C89"/>
    <w:rsid w:val="00FB1D94"/>
    <w:rsid w:val="00FB1DBB"/>
    <w:rsid w:val="00FB1DD4"/>
    <w:rsid w:val="00FB1E1B"/>
    <w:rsid w:val="00FB21CA"/>
    <w:rsid w:val="00FB2265"/>
    <w:rsid w:val="00FB2298"/>
    <w:rsid w:val="00FB22EC"/>
    <w:rsid w:val="00FB238D"/>
    <w:rsid w:val="00FB2613"/>
    <w:rsid w:val="00FB2659"/>
    <w:rsid w:val="00FB2797"/>
    <w:rsid w:val="00FB27A7"/>
    <w:rsid w:val="00FB2845"/>
    <w:rsid w:val="00FB28B3"/>
    <w:rsid w:val="00FB28F1"/>
    <w:rsid w:val="00FB2984"/>
    <w:rsid w:val="00FB2AC0"/>
    <w:rsid w:val="00FB2BDA"/>
    <w:rsid w:val="00FB2CE0"/>
    <w:rsid w:val="00FB2D61"/>
    <w:rsid w:val="00FB2D7A"/>
    <w:rsid w:val="00FB2F19"/>
    <w:rsid w:val="00FB2F20"/>
    <w:rsid w:val="00FB300A"/>
    <w:rsid w:val="00FB31E6"/>
    <w:rsid w:val="00FB31F7"/>
    <w:rsid w:val="00FB321C"/>
    <w:rsid w:val="00FB3225"/>
    <w:rsid w:val="00FB32CF"/>
    <w:rsid w:val="00FB337B"/>
    <w:rsid w:val="00FB3556"/>
    <w:rsid w:val="00FB3635"/>
    <w:rsid w:val="00FB366A"/>
    <w:rsid w:val="00FB367F"/>
    <w:rsid w:val="00FB36D9"/>
    <w:rsid w:val="00FB379E"/>
    <w:rsid w:val="00FB3844"/>
    <w:rsid w:val="00FB3943"/>
    <w:rsid w:val="00FB3993"/>
    <w:rsid w:val="00FB39F4"/>
    <w:rsid w:val="00FB3A51"/>
    <w:rsid w:val="00FB3C0C"/>
    <w:rsid w:val="00FB405B"/>
    <w:rsid w:val="00FB40A3"/>
    <w:rsid w:val="00FB40FA"/>
    <w:rsid w:val="00FB4368"/>
    <w:rsid w:val="00FB43A5"/>
    <w:rsid w:val="00FB4567"/>
    <w:rsid w:val="00FB4708"/>
    <w:rsid w:val="00FB4762"/>
    <w:rsid w:val="00FB47CF"/>
    <w:rsid w:val="00FB482E"/>
    <w:rsid w:val="00FB4A1C"/>
    <w:rsid w:val="00FB4A68"/>
    <w:rsid w:val="00FB4B45"/>
    <w:rsid w:val="00FB4C18"/>
    <w:rsid w:val="00FB4C71"/>
    <w:rsid w:val="00FB4D08"/>
    <w:rsid w:val="00FB4D81"/>
    <w:rsid w:val="00FB4E01"/>
    <w:rsid w:val="00FB4FEB"/>
    <w:rsid w:val="00FB504B"/>
    <w:rsid w:val="00FB50B7"/>
    <w:rsid w:val="00FB5133"/>
    <w:rsid w:val="00FB515B"/>
    <w:rsid w:val="00FB55AD"/>
    <w:rsid w:val="00FB56A1"/>
    <w:rsid w:val="00FB5721"/>
    <w:rsid w:val="00FB5750"/>
    <w:rsid w:val="00FB57F9"/>
    <w:rsid w:val="00FB5987"/>
    <w:rsid w:val="00FB59EA"/>
    <w:rsid w:val="00FB5A52"/>
    <w:rsid w:val="00FB5BDF"/>
    <w:rsid w:val="00FB5C84"/>
    <w:rsid w:val="00FB5CCB"/>
    <w:rsid w:val="00FB5D75"/>
    <w:rsid w:val="00FB5DB2"/>
    <w:rsid w:val="00FB5E74"/>
    <w:rsid w:val="00FB5F32"/>
    <w:rsid w:val="00FB5F43"/>
    <w:rsid w:val="00FB5F70"/>
    <w:rsid w:val="00FB6049"/>
    <w:rsid w:val="00FB60A1"/>
    <w:rsid w:val="00FB60E2"/>
    <w:rsid w:val="00FB61BA"/>
    <w:rsid w:val="00FB6459"/>
    <w:rsid w:val="00FB650B"/>
    <w:rsid w:val="00FB65F2"/>
    <w:rsid w:val="00FB681F"/>
    <w:rsid w:val="00FB6836"/>
    <w:rsid w:val="00FB6869"/>
    <w:rsid w:val="00FB690B"/>
    <w:rsid w:val="00FB6AE9"/>
    <w:rsid w:val="00FB6B2A"/>
    <w:rsid w:val="00FB6BA9"/>
    <w:rsid w:val="00FB6BCA"/>
    <w:rsid w:val="00FB6EFD"/>
    <w:rsid w:val="00FB6F12"/>
    <w:rsid w:val="00FB6F8B"/>
    <w:rsid w:val="00FB701B"/>
    <w:rsid w:val="00FB740C"/>
    <w:rsid w:val="00FB7435"/>
    <w:rsid w:val="00FB7568"/>
    <w:rsid w:val="00FB760C"/>
    <w:rsid w:val="00FB76E3"/>
    <w:rsid w:val="00FB772F"/>
    <w:rsid w:val="00FB788E"/>
    <w:rsid w:val="00FB78B7"/>
    <w:rsid w:val="00FB7922"/>
    <w:rsid w:val="00FB7A23"/>
    <w:rsid w:val="00FB7A5A"/>
    <w:rsid w:val="00FB7ABF"/>
    <w:rsid w:val="00FB7B01"/>
    <w:rsid w:val="00FB7B03"/>
    <w:rsid w:val="00FB7C68"/>
    <w:rsid w:val="00FB7E2B"/>
    <w:rsid w:val="00FBF165"/>
    <w:rsid w:val="00FC008A"/>
    <w:rsid w:val="00FC023D"/>
    <w:rsid w:val="00FC03C1"/>
    <w:rsid w:val="00FC0584"/>
    <w:rsid w:val="00FC0679"/>
    <w:rsid w:val="00FC06E0"/>
    <w:rsid w:val="00FC08CB"/>
    <w:rsid w:val="00FC09C5"/>
    <w:rsid w:val="00FC0A13"/>
    <w:rsid w:val="00FC0D95"/>
    <w:rsid w:val="00FC0D9C"/>
    <w:rsid w:val="00FC10B9"/>
    <w:rsid w:val="00FC10FC"/>
    <w:rsid w:val="00FC1496"/>
    <w:rsid w:val="00FC14B6"/>
    <w:rsid w:val="00FC1525"/>
    <w:rsid w:val="00FC15B7"/>
    <w:rsid w:val="00FC196E"/>
    <w:rsid w:val="00FC19FE"/>
    <w:rsid w:val="00FC1BDF"/>
    <w:rsid w:val="00FC1CCE"/>
    <w:rsid w:val="00FC1DC4"/>
    <w:rsid w:val="00FC1DE5"/>
    <w:rsid w:val="00FC1EEF"/>
    <w:rsid w:val="00FC20C5"/>
    <w:rsid w:val="00FC2115"/>
    <w:rsid w:val="00FC21ED"/>
    <w:rsid w:val="00FC23FF"/>
    <w:rsid w:val="00FC2414"/>
    <w:rsid w:val="00FC249E"/>
    <w:rsid w:val="00FC257E"/>
    <w:rsid w:val="00FC25F6"/>
    <w:rsid w:val="00FC2640"/>
    <w:rsid w:val="00FC2662"/>
    <w:rsid w:val="00FC268B"/>
    <w:rsid w:val="00FC2701"/>
    <w:rsid w:val="00FC28A6"/>
    <w:rsid w:val="00FC29BB"/>
    <w:rsid w:val="00FC2A6E"/>
    <w:rsid w:val="00FC2AA5"/>
    <w:rsid w:val="00FC2AEE"/>
    <w:rsid w:val="00FC2B29"/>
    <w:rsid w:val="00FC2B4E"/>
    <w:rsid w:val="00FC2C46"/>
    <w:rsid w:val="00FC2E53"/>
    <w:rsid w:val="00FC2E99"/>
    <w:rsid w:val="00FC2EAD"/>
    <w:rsid w:val="00FC2EB9"/>
    <w:rsid w:val="00FC2EC3"/>
    <w:rsid w:val="00FC302A"/>
    <w:rsid w:val="00FC30F9"/>
    <w:rsid w:val="00FC3263"/>
    <w:rsid w:val="00FC33C4"/>
    <w:rsid w:val="00FC3412"/>
    <w:rsid w:val="00FC3454"/>
    <w:rsid w:val="00FC354B"/>
    <w:rsid w:val="00FC37A9"/>
    <w:rsid w:val="00FC3857"/>
    <w:rsid w:val="00FC3901"/>
    <w:rsid w:val="00FC3938"/>
    <w:rsid w:val="00FC3B86"/>
    <w:rsid w:val="00FC3C59"/>
    <w:rsid w:val="00FC3DFB"/>
    <w:rsid w:val="00FC3E56"/>
    <w:rsid w:val="00FC3E93"/>
    <w:rsid w:val="00FC3F97"/>
    <w:rsid w:val="00FC4043"/>
    <w:rsid w:val="00FC41C5"/>
    <w:rsid w:val="00FC4230"/>
    <w:rsid w:val="00FC43DB"/>
    <w:rsid w:val="00FC461B"/>
    <w:rsid w:val="00FC4771"/>
    <w:rsid w:val="00FC47BB"/>
    <w:rsid w:val="00FC47D5"/>
    <w:rsid w:val="00FC47FB"/>
    <w:rsid w:val="00FC47FF"/>
    <w:rsid w:val="00FC49C3"/>
    <w:rsid w:val="00FC49E9"/>
    <w:rsid w:val="00FC4BBA"/>
    <w:rsid w:val="00FC4FFE"/>
    <w:rsid w:val="00FC50C0"/>
    <w:rsid w:val="00FC50D6"/>
    <w:rsid w:val="00FC52E2"/>
    <w:rsid w:val="00FC5306"/>
    <w:rsid w:val="00FC54C1"/>
    <w:rsid w:val="00FC54F3"/>
    <w:rsid w:val="00FC5627"/>
    <w:rsid w:val="00FC56BC"/>
    <w:rsid w:val="00FC5764"/>
    <w:rsid w:val="00FC58A3"/>
    <w:rsid w:val="00FC58E4"/>
    <w:rsid w:val="00FC592C"/>
    <w:rsid w:val="00FC5A11"/>
    <w:rsid w:val="00FC5C02"/>
    <w:rsid w:val="00FC5C6D"/>
    <w:rsid w:val="00FC5D56"/>
    <w:rsid w:val="00FC5E06"/>
    <w:rsid w:val="00FC5F61"/>
    <w:rsid w:val="00FC5F66"/>
    <w:rsid w:val="00FC6145"/>
    <w:rsid w:val="00FC627D"/>
    <w:rsid w:val="00FC6515"/>
    <w:rsid w:val="00FC6527"/>
    <w:rsid w:val="00FC6787"/>
    <w:rsid w:val="00FC678E"/>
    <w:rsid w:val="00FC6804"/>
    <w:rsid w:val="00FC6824"/>
    <w:rsid w:val="00FC699B"/>
    <w:rsid w:val="00FC69BF"/>
    <w:rsid w:val="00FC6A11"/>
    <w:rsid w:val="00FC6D4C"/>
    <w:rsid w:val="00FC6E3E"/>
    <w:rsid w:val="00FC6EFD"/>
    <w:rsid w:val="00FC705E"/>
    <w:rsid w:val="00FC7148"/>
    <w:rsid w:val="00FC731A"/>
    <w:rsid w:val="00FC751B"/>
    <w:rsid w:val="00FC75D3"/>
    <w:rsid w:val="00FC76C8"/>
    <w:rsid w:val="00FC771A"/>
    <w:rsid w:val="00FC7745"/>
    <w:rsid w:val="00FC783D"/>
    <w:rsid w:val="00FC7A4A"/>
    <w:rsid w:val="00FC7AE1"/>
    <w:rsid w:val="00FC7C31"/>
    <w:rsid w:val="00FC7C74"/>
    <w:rsid w:val="00FC7CB3"/>
    <w:rsid w:val="00FC7D7D"/>
    <w:rsid w:val="00FC7DF6"/>
    <w:rsid w:val="00FC7FE2"/>
    <w:rsid w:val="00FD0313"/>
    <w:rsid w:val="00FD0387"/>
    <w:rsid w:val="00FD03AF"/>
    <w:rsid w:val="00FD040F"/>
    <w:rsid w:val="00FD05E9"/>
    <w:rsid w:val="00FD0772"/>
    <w:rsid w:val="00FD083C"/>
    <w:rsid w:val="00FD0863"/>
    <w:rsid w:val="00FD0A9B"/>
    <w:rsid w:val="00FD0B1C"/>
    <w:rsid w:val="00FD0B3A"/>
    <w:rsid w:val="00FD0D17"/>
    <w:rsid w:val="00FD0E74"/>
    <w:rsid w:val="00FD0E87"/>
    <w:rsid w:val="00FD0E8C"/>
    <w:rsid w:val="00FD0ECB"/>
    <w:rsid w:val="00FD0ECE"/>
    <w:rsid w:val="00FD0F5D"/>
    <w:rsid w:val="00FD0F8A"/>
    <w:rsid w:val="00FD106F"/>
    <w:rsid w:val="00FD10D5"/>
    <w:rsid w:val="00FD1105"/>
    <w:rsid w:val="00FD1129"/>
    <w:rsid w:val="00FD11B8"/>
    <w:rsid w:val="00FD121A"/>
    <w:rsid w:val="00FD13DA"/>
    <w:rsid w:val="00FD14DB"/>
    <w:rsid w:val="00FD152B"/>
    <w:rsid w:val="00FD1590"/>
    <w:rsid w:val="00FD16C2"/>
    <w:rsid w:val="00FD16D6"/>
    <w:rsid w:val="00FD17BB"/>
    <w:rsid w:val="00FD1865"/>
    <w:rsid w:val="00FD18D9"/>
    <w:rsid w:val="00FD1945"/>
    <w:rsid w:val="00FD19A7"/>
    <w:rsid w:val="00FD1AD1"/>
    <w:rsid w:val="00FD1B2B"/>
    <w:rsid w:val="00FD1CC5"/>
    <w:rsid w:val="00FD1E33"/>
    <w:rsid w:val="00FD1E61"/>
    <w:rsid w:val="00FD1E89"/>
    <w:rsid w:val="00FD1F0B"/>
    <w:rsid w:val="00FD20F7"/>
    <w:rsid w:val="00FD2159"/>
    <w:rsid w:val="00FD21BE"/>
    <w:rsid w:val="00FD2342"/>
    <w:rsid w:val="00FD2466"/>
    <w:rsid w:val="00FD24A7"/>
    <w:rsid w:val="00FD2663"/>
    <w:rsid w:val="00FD2678"/>
    <w:rsid w:val="00FD2884"/>
    <w:rsid w:val="00FD2B3F"/>
    <w:rsid w:val="00FD2C13"/>
    <w:rsid w:val="00FD2C8A"/>
    <w:rsid w:val="00FD2CED"/>
    <w:rsid w:val="00FD2CF6"/>
    <w:rsid w:val="00FD2E4D"/>
    <w:rsid w:val="00FD2F68"/>
    <w:rsid w:val="00FD3013"/>
    <w:rsid w:val="00FD3125"/>
    <w:rsid w:val="00FD32FC"/>
    <w:rsid w:val="00FD34F0"/>
    <w:rsid w:val="00FD35F2"/>
    <w:rsid w:val="00FD365C"/>
    <w:rsid w:val="00FD37DB"/>
    <w:rsid w:val="00FD3A6A"/>
    <w:rsid w:val="00FD3A70"/>
    <w:rsid w:val="00FD3BE7"/>
    <w:rsid w:val="00FD3D73"/>
    <w:rsid w:val="00FD3E6A"/>
    <w:rsid w:val="00FD3F37"/>
    <w:rsid w:val="00FD3F7D"/>
    <w:rsid w:val="00FD4199"/>
    <w:rsid w:val="00FD41C5"/>
    <w:rsid w:val="00FD435B"/>
    <w:rsid w:val="00FD455A"/>
    <w:rsid w:val="00FD462B"/>
    <w:rsid w:val="00FD47DA"/>
    <w:rsid w:val="00FD4888"/>
    <w:rsid w:val="00FD48EF"/>
    <w:rsid w:val="00FD4968"/>
    <w:rsid w:val="00FD497E"/>
    <w:rsid w:val="00FD4AB7"/>
    <w:rsid w:val="00FD4C5C"/>
    <w:rsid w:val="00FD4D51"/>
    <w:rsid w:val="00FD4FF6"/>
    <w:rsid w:val="00FD5046"/>
    <w:rsid w:val="00FD50A4"/>
    <w:rsid w:val="00FD517C"/>
    <w:rsid w:val="00FD51E9"/>
    <w:rsid w:val="00FD537A"/>
    <w:rsid w:val="00FD5388"/>
    <w:rsid w:val="00FD543C"/>
    <w:rsid w:val="00FD5675"/>
    <w:rsid w:val="00FD5810"/>
    <w:rsid w:val="00FD58FC"/>
    <w:rsid w:val="00FD5B1D"/>
    <w:rsid w:val="00FD5BA3"/>
    <w:rsid w:val="00FD5BA5"/>
    <w:rsid w:val="00FD5E6F"/>
    <w:rsid w:val="00FD6200"/>
    <w:rsid w:val="00FD6245"/>
    <w:rsid w:val="00FD6252"/>
    <w:rsid w:val="00FD6267"/>
    <w:rsid w:val="00FD6274"/>
    <w:rsid w:val="00FD62B0"/>
    <w:rsid w:val="00FD62CA"/>
    <w:rsid w:val="00FD6343"/>
    <w:rsid w:val="00FD63FB"/>
    <w:rsid w:val="00FD6521"/>
    <w:rsid w:val="00FD65A9"/>
    <w:rsid w:val="00FD65FB"/>
    <w:rsid w:val="00FD6670"/>
    <w:rsid w:val="00FD66DE"/>
    <w:rsid w:val="00FD68CF"/>
    <w:rsid w:val="00FD69CF"/>
    <w:rsid w:val="00FD6A4E"/>
    <w:rsid w:val="00FD6AA0"/>
    <w:rsid w:val="00FD6AC6"/>
    <w:rsid w:val="00FD6AFB"/>
    <w:rsid w:val="00FD6C29"/>
    <w:rsid w:val="00FD6C47"/>
    <w:rsid w:val="00FD6C74"/>
    <w:rsid w:val="00FD6C9B"/>
    <w:rsid w:val="00FD6D5B"/>
    <w:rsid w:val="00FD6E5D"/>
    <w:rsid w:val="00FD6F02"/>
    <w:rsid w:val="00FD7036"/>
    <w:rsid w:val="00FD706F"/>
    <w:rsid w:val="00FD711C"/>
    <w:rsid w:val="00FD713F"/>
    <w:rsid w:val="00FD728E"/>
    <w:rsid w:val="00FD72A9"/>
    <w:rsid w:val="00FD7307"/>
    <w:rsid w:val="00FD750B"/>
    <w:rsid w:val="00FD7616"/>
    <w:rsid w:val="00FD780B"/>
    <w:rsid w:val="00FD7B23"/>
    <w:rsid w:val="00FD7BC1"/>
    <w:rsid w:val="00FD7C76"/>
    <w:rsid w:val="00FD7EC2"/>
    <w:rsid w:val="00FE0189"/>
    <w:rsid w:val="00FE023A"/>
    <w:rsid w:val="00FE0356"/>
    <w:rsid w:val="00FE052A"/>
    <w:rsid w:val="00FE0577"/>
    <w:rsid w:val="00FE0782"/>
    <w:rsid w:val="00FE081E"/>
    <w:rsid w:val="00FE0867"/>
    <w:rsid w:val="00FE08DF"/>
    <w:rsid w:val="00FE0965"/>
    <w:rsid w:val="00FE0A89"/>
    <w:rsid w:val="00FE0C80"/>
    <w:rsid w:val="00FE0DEF"/>
    <w:rsid w:val="00FE0E11"/>
    <w:rsid w:val="00FE0F9F"/>
    <w:rsid w:val="00FE118F"/>
    <w:rsid w:val="00FE122A"/>
    <w:rsid w:val="00FE12F3"/>
    <w:rsid w:val="00FE132B"/>
    <w:rsid w:val="00FE13EB"/>
    <w:rsid w:val="00FE140B"/>
    <w:rsid w:val="00FE145D"/>
    <w:rsid w:val="00FE16CE"/>
    <w:rsid w:val="00FE17FB"/>
    <w:rsid w:val="00FE180B"/>
    <w:rsid w:val="00FE18AD"/>
    <w:rsid w:val="00FE18D6"/>
    <w:rsid w:val="00FE1969"/>
    <w:rsid w:val="00FE1B87"/>
    <w:rsid w:val="00FE1B93"/>
    <w:rsid w:val="00FE1C45"/>
    <w:rsid w:val="00FE1E06"/>
    <w:rsid w:val="00FE1E6C"/>
    <w:rsid w:val="00FE2213"/>
    <w:rsid w:val="00FE25C2"/>
    <w:rsid w:val="00FE2778"/>
    <w:rsid w:val="00FE27B2"/>
    <w:rsid w:val="00FE2A0A"/>
    <w:rsid w:val="00FE2A1B"/>
    <w:rsid w:val="00FE2A5A"/>
    <w:rsid w:val="00FE2A8A"/>
    <w:rsid w:val="00FE2B76"/>
    <w:rsid w:val="00FE2BAE"/>
    <w:rsid w:val="00FE2C13"/>
    <w:rsid w:val="00FE2C4C"/>
    <w:rsid w:val="00FE2C53"/>
    <w:rsid w:val="00FE2C5F"/>
    <w:rsid w:val="00FE2E7D"/>
    <w:rsid w:val="00FE30AE"/>
    <w:rsid w:val="00FE3125"/>
    <w:rsid w:val="00FE31C4"/>
    <w:rsid w:val="00FE3263"/>
    <w:rsid w:val="00FE3321"/>
    <w:rsid w:val="00FE3598"/>
    <w:rsid w:val="00FE35C0"/>
    <w:rsid w:val="00FE36CF"/>
    <w:rsid w:val="00FE378A"/>
    <w:rsid w:val="00FE37C7"/>
    <w:rsid w:val="00FE38BE"/>
    <w:rsid w:val="00FE3A29"/>
    <w:rsid w:val="00FE3ADE"/>
    <w:rsid w:val="00FE3B40"/>
    <w:rsid w:val="00FE3BEF"/>
    <w:rsid w:val="00FE3CA5"/>
    <w:rsid w:val="00FE3DF9"/>
    <w:rsid w:val="00FE3E0B"/>
    <w:rsid w:val="00FE3E3B"/>
    <w:rsid w:val="00FE3F21"/>
    <w:rsid w:val="00FE4083"/>
    <w:rsid w:val="00FE41D8"/>
    <w:rsid w:val="00FE4240"/>
    <w:rsid w:val="00FE42F4"/>
    <w:rsid w:val="00FE44D2"/>
    <w:rsid w:val="00FE45E5"/>
    <w:rsid w:val="00FE4680"/>
    <w:rsid w:val="00FE4857"/>
    <w:rsid w:val="00FE48A1"/>
    <w:rsid w:val="00FE4A02"/>
    <w:rsid w:val="00FE4BC2"/>
    <w:rsid w:val="00FE4D50"/>
    <w:rsid w:val="00FE4E53"/>
    <w:rsid w:val="00FE4EB3"/>
    <w:rsid w:val="00FE5051"/>
    <w:rsid w:val="00FE509C"/>
    <w:rsid w:val="00FE50F7"/>
    <w:rsid w:val="00FE5296"/>
    <w:rsid w:val="00FE52DA"/>
    <w:rsid w:val="00FE532D"/>
    <w:rsid w:val="00FE5480"/>
    <w:rsid w:val="00FE565F"/>
    <w:rsid w:val="00FE5671"/>
    <w:rsid w:val="00FE576B"/>
    <w:rsid w:val="00FE57B5"/>
    <w:rsid w:val="00FE5972"/>
    <w:rsid w:val="00FE5BFD"/>
    <w:rsid w:val="00FE5E2C"/>
    <w:rsid w:val="00FE5F76"/>
    <w:rsid w:val="00FE5FC6"/>
    <w:rsid w:val="00FE6018"/>
    <w:rsid w:val="00FE6034"/>
    <w:rsid w:val="00FE60C5"/>
    <w:rsid w:val="00FE620E"/>
    <w:rsid w:val="00FE62FA"/>
    <w:rsid w:val="00FE6529"/>
    <w:rsid w:val="00FE65A0"/>
    <w:rsid w:val="00FE6688"/>
    <w:rsid w:val="00FE687E"/>
    <w:rsid w:val="00FE68B8"/>
    <w:rsid w:val="00FE6A1E"/>
    <w:rsid w:val="00FE6AA2"/>
    <w:rsid w:val="00FE6D40"/>
    <w:rsid w:val="00FE6D56"/>
    <w:rsid w:val="00FE6EB8"/>
    <w:rsid w:val="00FE707D"/>
    <w:rsid w:val="00FE715C"/>
    <w:rsid w:val="00FE7227"/>
    <w:rsid w:val="00FE7361"/>
    <w:rsid w:val="00FE7376"/>
    <w:rsid w:val="00FE758B"/>
    <w:rsid w:val="00FE76B7"/>
    <w:rsid w:val="00FE76D4"/>
    <w:rsid w:val="00FE7978"/>
    <w:rsid w:val="00FE79FA"/>
    <w:rsid w:val="00FE7A10"/>
    <w:rsid w:val="00FE7B46"/>
    <w:rsid w:val="00FE7B6F"/>
    <w:rsid w:val="00FE7CBE"/>
    <w:rsid w:val="00FE7FED"/>
    <w:rsid w:val="00FF00C7"/>
    <w:rsid w:val="00FF00DB"/>
    <w:rsid w:val="00FF0365"/>
    <w:rsid w:val="00FF03EF"/>
    <w:rsid w:val="00FF0466"/>
    <w:rsid w:val="00FF04C3"/>
    <w:rsid w:val="00FF04CF"/>
    <w:rsid w:val="00FF0554"/>
    <w:rsid w:val="00FF069C"/>
    <w:rsid w:val="00FF09E8"/>
    <w:rsid w:val="00FF0BDC"/>
    <w:rsid w:val="00FF0D34"/>
    <w:rsid w:val="00FF0D69"/>
    <w:rsid w:val="00FF0E19"/>
    <w:rsid w:val="00FF0F9A"/>
    <w:rsid w:val="00FF103B"/>
    <w:rsid w:val="00FF105F"/>
    <w:rsid w:val="00FF1094"/>
    <w:rsid w:val="00FF118A"/>
    <w:rsid w:val="00FF11D5"/>
    <w:rsid w:val="00FF1426"/>
    <w:rsid w:val="00FF154A"/>
    <w:rsid w:val="00FF1615"/>
    <w:rsid w:val="00FF178F"/>
    <w:rsid w:val="00FF1864"/>
    <w:rsid w:val="00FF1884"/>
    <w:rsid w:val="00FF1AB3"/>
    <w:rsid w:val="00FF1B55"/>
    <w:rsid w:val="00FF1BCE"/>
    <w:rsid w:val="00FF1D2D"/>
    <w:rsid w:val="00FF1D74"/>
    <w:rsid w:val="00FF1D85"/>
    <w:rsid w:val="00FF1E13"/>
    <w:rsid w:val="00FF1E8B"/>
    <w:rsid w:val="00FF1EA6"/>
    <w:rsid w:val="00FF1F6B"/>
    <w:rsid w:val="00FF1F8D"/>
    <w:rsid w:val="00FF233D"/>
    <w:rsid w:val="00FF23F4"/>
    <w:rsid w:val="00FF2435"/>
    <w:rsid w:val="00FF24AE"/>
    <w:rsid w:val="00FF25BD"/>
    <w:rsid w:val="00FF2693"/>
    <w:rsid w:val="00FF279A"/>
    <w:rsid w:val="00FF2A55"/>
    <w:rsid w:val="00FF2B51"/>
    <w:rsid w:val="00FF2BAC"/>
    <w:rsid w:val="00FF2BE1"/>
    <w:rsid w:val="00FF3020"/>
    <w:rsid w:val="00FF31AA"/>
    <w:rsid w:val="00FF3285"/>
    <w:rsid w:val="00FF32B8"/>
    <w:rsid w:val="00FF32D5"/>
    <w:rsid w:val="00FF33B0"/>
    <w:rsid w:val="00FF3497"/>
    <w:rsid w:val="00FF35A8"/>
    <w:rsid w:val="00FF3655"/>
    <w:rsid w:val="00FF367D"/>
    <w:rsid w:val="00FF3729"/>
    <w:rsid w:val="00FF382E"/>
    <w:rsid w:val="00FF383C"/>
    <w:rsid w:val="00FF38FF"/>
    <w:rsid w:val="00FF3A8A"/>
    <w:rsid w:val="00FF3B1E"/>
    <w:rsid w:val="00FF3B65"/>
    <w:rsid w:val="00FF3D25"/>
    <w:rsid w:val="00FF3DD0"/>
    <w:rsid w:val="00FF3E90"/>
    <w:rsid w:val="00FF3F96"/>
    <w:rsid w:val="00FF40B4"/>
    <w:rsid w:val="00FF41E5"/>
    <w:rsid w:val="00FF4215"/>
    <w:rsid w:val="00FF435D"/>
    <w:rsid w:val="00FF479B"/>
    <w:rsid w:val="00FF48F5"/>
    <w:rsid w:val="00FF4905"/>
    <w:rsid w:val="00FF49D5"/>
    <w:rsid w:val="00FF4ABC"/>
    <w:rsid w:val="00FF4ACC"/>
    <w:rsid w:val="00FF4C37"/>
    <w:rsid w:val="00FF4D91"/>
    <w:rsid w:val="00FF4DDD"/>
    <w:rsid w:val="00FF4DEC"/>
    <w:rsid w:val="00FF4FEB"/>
    <w:rsid w:val="00FF501B"/>
    <w:rsid w:val="00FF5130"/>
    <w:rsid w:val="00FF523E"/>
    <w:rsid w:val="00FF5276"/>
    <w:rsid w:val="00FF5288"/>
    <w:rsid w:val="00FF537F"/>
    <w:rsid w:val="00FF5400"/>
    <w:rsid w:val="00FF556C"/>
    <w:rsid w:val="00FF5779"/>
    <w:rsid w:val="00FF5786"/>
    <w:rsid w:val="00FF59ED"/>
    <w:rsid w:val="00FF5A9F"/>
    <w:rsid w:val="00FF5BA0"/>
    <w:rsid w:val="00FF5C7B"/>
    <w:rsid w:val="00FF5D4E"/>
    <w:rsid w:val="00FF5F55"/>
    <w:rsid w:val="00FF60A3"/>
    <w:rsid w:val="00FF62A2"/>
    <w:rsid w:val="00FF62FA"/>
    <w:rsid w:val="00FF63C6"/>
    <w:rsid w:val="00FF642E"/>
    <w:rsid w:val="00FF65AE"/>
    <w:rsid w:val="00FF6617"/>
    <w:rsid w:val="00FF68A6"/>
    <w:rsid w:val="00FF68C6"/>
    <w:rsid w:val="00FF68D0"/>
    <w:rsid w:val="00FF69F4"/>
    <w:rsid w:val="00FF6A68"/>
    <w:rsid w:val="00FF6B64"/>
    <w:rsid w:val="00FF6CE2"/>
    <w:rsid w:val="00FF6F24"/>
    <w:rsid w:val="00FF7028"/>
    <w:rsid w:val="00FF707A"/>
    <w:rsid w:val="00FF70FD"/>
    <w:rsid w:val="00FF71B0"/>
    <w:rsid w:val="00FF7248"/>
    <w:rsid w:val="00FF732F"/>
    <w:rsid w:val="00FF739F"/>
    <w:rsid w:val="00FF73B2"/>
    <w:rsid w:val="00FF7478"/>
    <w:rsid w:val="00FF7485"/>
    <w:rsid w:val="00FF7586"/>
    <w:rsid w:val="00FF779B"/>
    <w:rsid w:val="00FF787A"/>
    <w:rsid w:val="00FF797D"/>
    <w:rsid w:val="00FF79E2"/>
    <w:rsid w:val="00FF7A14"/>
    <w:rsid w:val="00FF7CC2"/>
    <w:rsid w:val="00FF7D92"/>
    <w:rsid w:val="00FF7F0F"/>
    <w:rsid w:val="00FF7F6B"/>
    <w:rsid w:val="00FF7FA6"/>
    <w:rsid w:val="00FF7FC3"/>
    <w:rsid w:val="00FF7FE2"/>
    <w:rsid w:val="00FF80F4"/>
    <w:rsid w:val="01031FA6"/>
    <w:rsid w:val="0103465D"/>
    <w:rsid w:val="0104DB94"/>
    <w:rsid w:val="0104FB27"/>
    <w:rsid w:val="0106F553"/>
    <w:rsid w:val="0107B680"/>
    <w:rsid w:val="010906B5"/>
    <w:rsid w:val="01130C2C"/>
    <w:rsid w:val="01137EDD"/>
    <w:rsid w:val="01146A6A"/>
    <w:rsid w:val="011496A7"/>
    <w:rsid w:val="011B3766"/>
    <w:rsid w:val="011ED4CF"/>
    <w:rsid w:val="012568D6"/>
    <w:rsid w:val="0128E958"/>
    <w:rsid w:val="012995EE"/>
    <w:rsid w:val="012C3B9E"/>
    <w:rsid w:val="012E9326"/>
    <w:rsid w:val="012F968E"/>
    <w:rsid w:val="01317BD1"/>
    <w:rsid w:val="0132D7E7"/>
    <w:rsid w:val="01377F30"/>
    <w:rsid w:val="0138517D"/>
    <w:rsid w:val="01394EBC"/>
    <w:rsid w:val="0139E238"/>
    <w:rsid w:val="013A298A"/>
    <w:rsid w:val="013AC26E"/>
    <w:rsid w:val="013EAB8E"/>
    <w:rsid w:val="013ECB3D"/>
    <w:rsid w:val="01410720"/>
    <w:rsid w:val="01414395"/>
    <w:rsid w:val="0143FF88"/>
    <w:rsid w:val="014607F9"/>
    <w:rsid w:val="014A9B03"/>
    <w:rsid w:val="014C1500"/>
    <w:rsid w:val="0152A349"/>
    <w:rsid w:val="0154A92F"/>
    <w:rsid w:val="0157B285"/>
    <w:rsid w:val="01593B93"/>
    <w:rsid w:val="015DBCE3"/>
    <w:rsid w:val="015DFA0C"/>
    <w:rsid w:val="015E270B"/>
    <w:rsid w:val="015F527C"/>
    <w:rsid w:val="015F8AFF"/>
    <w:rsid w:val="0163820F"/>
    <w:rsid w:val="0163B62D"/>
    <w:rsid w:val="0163EF72"/>
    <w:rsid w:val="01657BB8"/>
    <w:rsid w:val="01673BD5"/>
    <w:rsid w:val="01679143"/>
    <w:rsid w:val="01698A47"/>
    <w:rsid w:val="0175BCA2"/>
    <w:rsid w:val="0176A76D"/>
    <w:rsid w:val="01772D01"/>
    <w:rsid w:val="017D84E6"/>
    <w:rsid w:val="017DAD33"/>
    <w:rsid w:val="017FBD8E"/>
    <w:rsid w:val="0180A631"/>
    <w:rsid w:val="0187B011"/>
    <w:rsid w:val="018834DA"/>
    <w:rsid w:val="0193A558"/>
    <w:rsid w:val="019537AD"/>
    <w:rsid w:val="019672A8"/>
    <w:rsid w:val="019798A3"/>
    <w:rsid w:val="019E501F"/>
    <w:rsid w:val="019F2CD4"/>
    <w:rsid w:val="019F31F2"/>
    <w:rsid w:val="01A9171E"/>
    <w:rsid w:val="01A933D4"/>
    <w:rsid w:val="01A9366E"/>
    <w:rsid w:val="01AA5051"/>
    <w:rsid w:val="01AB607B"/>
    <w:rsid w:val="01B0F893"/>
    <w:rsid w:val="01B362F9"/>
    <w:rsid w:val="01B42080"/>
    <w:rsid w:val="01B5D6B4"/>
    <w:rsid w:val="01B71A59"/>
    <w:rsid w:val="01B8C302"/>
    <w:rsid w:val="01C01AB5"/>
    <w:rsid w:val="01C4DA6C"/>
    <w:rsid w:val="01C7E216"/>
    <w:rsid w:val="01CC203D"/>
    <w:rsid w:val="01D0391B"/>
    <w:rsid w:val="01D1887F"/>
    <w:rsid w:val="01DEC51D"/>
    <w:rsid w:val="01E126F6"/>
    <w:rsid w:val="01E4E386"/>
    <w:rsid w:val="01E5827D"/>
    <w:rsid w:val="01E6D25A"/>
    <w:rsid w:val="01E725C4"/>
    <w:rsid w:val="01E7371A"/>
    <w:rsid w:val="01E91E9D"/>
    <w:rsid w:val="01E9D035"/>
    <w:rsid w:val="01EA3E94"/>
    <w:rsid w:val="01EF4B8E"/>
    <w:rsid w:val="01EFB4FE"/>
    <w:rsid w:val="01F21F0B"/>
    <w:rsid w:val="01F33C17"/>
    <w:rsid w:val="01F3457C"/>
    <w:rsid w:val="01F39F20"/>
    <w:rsid w:val="01F44445"/>
    <w:rsid w:val="01F757D4"/>
    <w:rsid w:val="01F83A7D"/>
    <w:rsid w:val="01FE0400"/>
    <w:rsid w:val="0200B4CF"/>
    <w:rsid w:val="0201F2CB"/>
    <w:rsid w:val="0202AC06"/>
    <w:rsid w:val="020304F6"/>
    <w:rsid w:val="020526EF"/>
    <w:rsid w:val="0209B07B"/>
    <w:rsid w:val="020A6E68"/>
    <w:rsid w:val="020B8B60"/>
    <w:rsid w:val="020D5AE4"/>
    <w:rsid w:val="020F77A6"/>
    <w:rsid w:val="02151DD3"/>
    <w:rsid w:val="021BAACE"/>
    <w:rsid w:val="021D64B4"/>
    <w:rsid w:val="021FD6FB"/>
    <w:rsid w:val="021FEB47"/>
    <w:rsid w:val="0222C644"/>
    <w:rsid w:val="02261791"/>
    <w:rsid w:val="022C59F3"/>
    <w:rsid w:val="022DF580"/>
    <w:rsid w:val="0234B1F4"/>
    <w:rsid w:val="023A943A"/>
    <w:rsid w:val="023C1A3F"/>
    <w:rsid w:val="023F3C57"/>
    <w:rsid w:val="02423E06"/>
    <w:rsid w:val="0243BAF2"/>
    <w:rsid w:val="0244C545"/>
    <w:rsid w:val="02450D61"/>
    <w:rsid w:val="024A2693"/>
    <w:rsid w:val="024A611B"/>
    <w:rsid w:val="024B155A"/>
    <w:rsid w:val="024BA04C"/>
    <w:rsid w:val="024D5747"/>
    <w:rsid w:val="024FBE9A"/>
    <w:rsid w:val="02528796"/>
    <w:rsid w:val="02570AA9"/>
    <w:rsid w:val="02594D40"/>
    <w:rsid w:val="025A6681"/>
    <w:rsid w:val="026624AE"/>
    <w:rsid w:val="026666AE"/>
    <w:rsid w:val="0266F6D7"/>
    <w:rsid w:val="0269FF33"/>
    <w:rsid w:val="027130FE"/>
    <w:rsid w:val="0272E446"/>
    <w:rsid w:val="02736AD8"/>
    <w:rsid w:val="0274783F"/>
    <w:rsid w:val="027733B4"/>
    <w:rsid w:val="0277EFE2"/>
    <w:rsid w:val="027848F0"/>
    <w:rsid w:val="02791DBA"/>
    <w:rsid w:val="027A9F8E"/>
    <w:rsid w:val="02807B38"/>
    <w:rsid w:val="02830F12"/>
    <w:rsid w:val="0284C525"/>
    <w:rsid w:val="0285316A"/>
    <w:rsid w:val="02877516"/>
    <w:rsid w:val="028937D6"/>
    <w:rsid w:val="0290179C"/>
    <w:rsid w:val="02905618"/>
    <w:rsid w:val="0296341F"/>
    <w:rsid w:val="02986D83"/>
    <w:rsid w:val="02988882"/>
    <w:rsid w:val="029BAD4B"/>
    <w:rsid w:val="02A2A898"/>
    <w:rsid w:val="02A2B3C6"/>
    <w:rsid w:val="02A469BC"/>
    <w:rsid w:val="02AE868B"/>
    <w:rsid w:val="02AF646E"/>
    <w:rsid w:val="02B38388"/>
    <w:rsid w:val="02B41C92"/>
    <w:rsid w:val="02B43A47"/>
    <w:rsid w:val="02B4A82E"/>
    <w:rsid w:val="02B710EC"/>
    <w:rsid w:val="02BB06BD"/>
    <w:rsid w:val="02BB89E8"/>
    <w:rsid w:val="02BDEC55"/>
    <w:rsid w:val="02C3DE1A"/>
    <w:rsid w:val="02C83C1D"/>
    <w:rsid w:val="02C95C7B"/>
    <w:rsid w:val="02CC40EA"/>
    <w:rsid w:val="02CDBD34"/>
    <w:rsid w:val="02CE4145"/>
    <w:rsid w:val="02CFCEAB"/>
    <w:rsid w:val="02CFF2F1"/>
    <w:rsid w:val="02D5C52F"/>
    <w:rsid w:val="02D6F05F"/>
    <w:rsid w:val="02D7584F"/>
    <w:rsid w:val="02DA2DBF"/>
    <w:rsid w:val="02DCD43A"/>
    <w:rsid w:val="02E1C4D1"/>
    <w:rsid w:val="02EF3507"/>
    <w:rsid w:val="02F22D0B"/>
    <w:rsid w:val="02F35BA7"/>
    <w:rsid w:val="02F3A57D"/>
    <w:rsid w:val="02F3F373"/>
    <w:rsid w:val="02F5C69C"/>
    <w:rsid w:val="02F81CFB"/>
    <w:rsid w:val="02F8C7D0"/>
    <w:rsid w:val="02FC9C35"/>
    <w:rsid w:val="02FF6A53"/>
    <w:rsid w:val="0301646D"/>
    <w:rsid w:val="03043A9B"/>
    <w:rsid w:val="03058790"/>
    <w:rsid w:val="0309B65A"/>
    <w:rsid w:val="0309DEBE"/>
    <w:rsid w:val="0310542B"/>
    <w:rsid w:val="0311DD03"/>
    <w:rsid w:val="031B61DB"/>
    <w:rsid w:val="031DEC83"/>
    <w:rsid w:val="032310CD"/>
    <w:rsid w:val="03245A26"/>
    <w:rsid w:val="0324F52D"/>
    <w:rsid w:val="03291C0E"/>
    <w:rsid w:val="032C42B9"/>
    <w:rsid w:val="032EB8AE"/>
    <w:rsid w:val="0331A52A"/>
    <w:rsid w:val="03383095"/>
    <w:rsid w:val="033B9F95"/>
    <w:rsid w:val="033CAFDF"/>
    <w:rsid w:val="0340B833"/>
    <w:rsid w:val="0340CDA7"/>
    <w:rsid w:val="03477209"/>
    <w:rsid w:val="0348B7ED"/>
    <w:rsid w:val="0349515B"/>
    <w:rsid w:val="034B4FA9"/>
    <w:rsid w:val="034CA287"/>
    <w:rsid w:val="034DEF78"/>
    <w:rsid w:val="03587F0B"/>
    <w:rsid w:val="03591067"/>
    <w:rsid w:val="0360ED5A"/>
    <w:rsid w:val="03641CBB"/>
    <w:rsid w:val="03671E0A"/>
    <w:rsid w:val="036D358C"/>
    <w:rsid w:val="0371D280"/>
    <w:rsid w:val="03730C74"/>
    <w:rsid w:val="0375FDF2"/>
    <w:rsid w:val="03777153"/>
    <w:rsid w:val="037D143D"/>
    <w:rsid w:val="037E88A3"/>
    <w:rsid w:val="03809A8D"/>
    <w:rsid w:val="0380A7BC"/>
    <w:rsid w:val="03832A7E"/>
    <w:rsid w:val="0383790B"/>
    <w:rsid w:val="03883402"/>
    <w:rsid w:val="038839C1"/>
    <w:rsid w:val="0388CA1F"/>
    <w:rsid w:val="038A8339"/>
    <w:rsid w:val="038AEEF6"/>
    <w:rsid w:val="038C3E09"/>
    <w:rsid w:val="038DD134"/>
    <w:rsid w:val="03912FE3"/>
    <w:rsid w:val="03926BC9"/>
    <w:rsid w:val="0395EB45"/>
    <w:rsid w:val="0395F940"/>
    <w:rsid w:val="0396DA18"/>
    <w:rsid w:val="039D77EE"/>
    <w:rsid w:val="03A07C46"/>
    <w:rsid w:val="03A21009"/>
    <w:rsid w:val="03A3E559"/>
    <w:rsid w:val="03A73EC0"/>
    <w:rsid w:val="03A830D2"/>
    <w:rsid w:val="03ACB1CC"/>
    <w:rsid w:val="03B03493"/>
    <w:rsid w:val="03B11A9B"/>
    <w:rsid w:val="03B91D0C"/>
    <w:rsid w:val="03C0D5F7"/>
    <w:rsid w:val="03C1FBD7"/>
    <w:rsid w:val="03C23ECC"/>
    <w:rsid w:val="03C47866"/>
    <w:rsid w:val="03C4D2C6"/>
    <w:rsid w:val="03C81269"/>
    <w:rsid w:val="03C930F6"/>
    <w:rsid w:val="03CBB62B"/>
    <w:rsid w:val="03D14A88"/>
    <w:rsid w:val="03D4ED06"/>
    <w:rsid w:val="03D5ADC1"/>
    <w:rsid w:val="03DC4078"/>
    <w:rsid w:val="03DE46FF"/>
    <w:rsid w:val="03E1DDF3"/>
    <w:rsid w:val="03E83B9D"/>
    <w:rsid w:val="03E8A7DB"/>
    <w:rsid w:val="03E9733E"/>
    <w:rsid w:val="03EB2B66"/>
    <w:rsid w:val="03ECEC95"/>
    <w:rsid w:val="03EDAC86"/>
    <w:rsid w:val="03EE9C51"/>
    <w:rsid w:val="03F04266"/>
    <w:rsid w:val="03F220A8"/>
    <w:rsid w:val="03F38C3D"/>
    <w:rsid w:val="03F578FF"/>
    <w:rsid w:val="03F6D792"/>
    <w:rsid w:val="03FA1FCB"/>
    <w:rsid w:val="03FBC82E"/>
    <w:rsid w:val="03FF41AC"/>
    <w:rsid w:val="03FFFEC4"/>
    <w:rsid w:val="04027B1D"/>
    <w:rsid w:val="0409C39B"/>
    <w:rsid w:val="0414DB10"/>
    <w:rsid w:val="0415A396"/>
    <w:rsid w:val="041632F1"/>
    <w:rsid w:val="0416D9A7"/>
    <w:rsid w:val="0416DB1D"/>
    <w:rsid w:val="041B4F19"/>
    <w:rsid w:val="041D4F16"/>
    <w:rsid w:val="0428026A"/>
    <w:rsid w:val="042AC54B"/>
    <w:rsid w:val="042B552D"/>
    <w:rsid w:val="042B89AE"/>
    <w:rsid w:val="042D0708"/>
    <w:rsid w:val="042E0F54"/>
    <w:rsid w:val="04347D65"/>
    <w:rsid w:val="04356589"/>
    <w:rsid w:val="0438887E"/>
    <w:rsid w:val="043FA35D"/>
    <w:rsid w:val="0444A91D"/>
    <w:rsid w:val="044503DA"/>
    <w:rsid w:val="0449674D"/>
    <w:rsid w:val="0455F365"/>
    <w:rsid w:val="04571AEE"/>
    <w:rsid w:val="045757C1"/>
    <w:rsid w:val="0458151D"/>
    <w:rsid w:val="045990BF"/>
    <w:rsid w:val="04633633"/>
    <w:rsid w:val="046343BE"/>
    <w:rsid w:val="046365FE"/>
    <w:rsid w:val="046512F0"/>
    <w:rsid w:val="0467AA9D"/>
    <w:rsid w:val="04699CFF"/>
    <w:rsid w:val="046AFDC5"/>
    <w:rsid w:val="046C00BB"/>
    <w:rsid w:val="046FA7BE"/>
    <w:rsid w:val="0471F9CC"/>
    <w:rsid w:val="04722248"/>
    <w:rsid w:val="047A6CB5"/>
    <w:rsid w:val="0483C274"/>
    <w:rsid w:val="0484B656"/>
    <w:rsid w:val="048786DD"/>
    <w:rsid w:val="0488A2DF"/>
    <w:rsid w:val="04915391"/>
    <w:rsid w:val="0491E737"/>
    <w:rsid w:val="0496CA12"/>
    <w:rsid w:val="0499052A"/>
    <w:rsid w:val="04995CD6"/>
    <w:rsid w:val="049E7A13"/>
    <w:rsid w:val="049F8EDD"/>
    <w:rsid w:val="04A0F1D3"/>
    <w:rsid w:val="04A4ABF0"/>
    <w:rsid w:val="04A651B0"/>
    <w:rsid w:val="04A75C00"/>
    <w:rsid w:val="04A7F466"/>
    <w:rsid w:val="04AD80D8"/>
    <w:rsid w:val="04AD8C71"/>
    <w:rsid w:val="04B5B937"/>
    <w:rsid w:val="04B6BEC7"/>
    <w:rsid w:val="04BE6CFA"/>
    <w:rsid w:val="04C6CF84"/>
    <w:rsid w:val="04C7122B"/>
    <w:rsid w:val="04CFD383"/>
    <w:rsid w:val="04D47CD7"/>
    <w:rsid w:val="04D49053"/>
    <w:rsid w:val="04D534B6"/>
    <w:rsid w:val="04D5C219"/>
    <w:rsid w:val="04D822C7"/>
    <w:rsid w:val="04D90485"/>
    <w:rsid w:val="04DD159A"/>
    <w:rsid w:val="04E0EC2C"/>
    <w:rsid w:val="04E31E26"/>
    <w:rsid w:val="04E65A33"/>
    <w:rsid w:val="04E757A3"/>
    <w:rsid w:val="04EC2710"/>
    <w:rsid w:val="04ECF5A2"/>
    <w:rsid w:val="04EE6E3C"/>
    <w:rsid w:val="04EE9330"/>
    <w:rsid w:val="04F357D1"/>
    <w:rsid w:val="04F4ABF5"/>
    <w:rsid w:val="04F508D2"/>
    <w:rsid w:val="04F63D87"/>
    <w:rsid w:val="04F72C7E"/>
    <w:rsid w:val="04F748E3"/>
    <w:rsid w:val="04FB4345"/>
    <w:rsid w:val="05045493"/>
    <w:rsid w:val="050499E7"/>
    <w:rsid w:val="050544B9"/>
    <w:rsid w:val="05090480"/>
    <w:rsid w:val="0509CF63"/>
    <w:rsid w:val="050D33E8"/>
    <w:rsid w:val="050E5A09"/>
    <w:rsid w:val="050F2602"/>
    <w:rsid w:val="050FA7CA"/>
    <w:rsid w:val="05130121"/>
    <w:rsid w:val="05141718"/>
    <w:rsid w:val="051A3501"/>
    <w:rsid w:val="051B3FB4"/>
    <w:rsid w:val="051BAA33"/>
    <w:rsid w:val="051C9CD9"/>
    <w:rsid w:val="051F3400"/>
    <w:rsid w:val="0522F6EB"/>
    <w:rsid w:val="052718DD"/>
    <w:rsid w:val="05276BC3"/>
    <w:rsid w:val="0527CFCC"/>
    <w:rsid w:val="0527D1EF"/>
    <w:rsid w:val="052C297E"/>
    <w:rsid w:val="052F5ABE"/>
    <w:rsid w:val="0530764E"/>
    <w:rsid w:val="0533D6AE"/>
    <w:rsid w:val="053CF465"/>
    <w:rsid w:val="05458087"/>
    <w:rsid w:val="054A6735"/>
    <w:rsid w:val="054B658D"/>
    <w:rsid w:val="054C8D72"/>
    <w:rsid w:val="0551942D"/>
    <w:rsid w:val="05537481"/>
    <w:rsid w:val="05539C23"/>
    <w:rsid w:val="055481C6"/>
    <w:rsid w:val="05548DEE"/>
    <w:rsid w:val="055525E3"/>
    <w:rsid w:val="0556CD53"/>
    <w:rsid w:val="055B3916"/>
    <w:rsid w:val="055F46EE"/>
    <w:rsid w:val="055FA74E"/>
    <w:rsid w:val="0567C042"/>
    <w:rsid w:val="056EC504"/>
    <w:rsid w:val="056ED306"/>
    <w:rsid w:val="0570F986"/>
    <w:rsid w:val="05749758"/>
    <w:rsid w:val="0574DF25"/>
    <w:rsid w:val="057A6B8F"/>
    <w:rsid w:val="057FBCEC"/>
    <w:rsid w:val="058639FE"/>
    <w:rsid w:val="058860E7"/>
    <w:rsid w:val="058A0AA2"/>
    <w:rsid w:val="058A4E36"/>
    <w:rsid w:val="058B64F4"/>
    <w:rsid w:val="058D3D5F"/>
    <w:rsid w:val="05900F7C"/>
    <w:rsid w:val="05902AF1"/>
    <w:rsid w:val="0590E8C8"/>
    <w:rsid w:val="059138D2"/>
    <w:rsid w:val="05916146"/>
    <w:rsid w:val="059219D2"/>
    <w:rsid w:val="0593B494"/>
    <w:rsid w:val="0594158F"/>
    <w:rsid w:val="0595199F"/>
    <w:rsid w:val="0595D8DE"/>
    <w:rsid w:val="0596FEB8"/>
    <w:rsid w:val="0597A3D8"/>
    <w:rsid w:val="0598575E"/>
    <w:rsid w:val="059A23FE"/>
    <w:rsid w:val="059CB044"/>
    <w:rsid w:val="059CD29C"/>
    <w:rsid w:val="059CD5C3"/>
    <w:rsid w:val="059DD54B"/>
    <w:rsid w:val="05A0373C"/>
    <w:rsid w:val="05A20FF2"/>
    <w:rsid w:val="05AA5654"/>
    <w:rsid w:val="05AC978F"/>
    <w:rsid w:val="05AF2102"/>
    <w:rsid w:val="05B0C3A3"/>
    <w:rsid w:val="05B2F6F3"/>
    <w:rsid w:val="05B89647"/>
    <w:rsid w:val="05B9A158"/>
    <w:rsid w:val="05BBF9E2"/>
    <w:rsid w:val="05BCBEFF"/>
    <w:rsid w:val="05C1531C"/>
    <w:rsid w:val="05C29C0B"/>
    <w:rsid w:val="05C62F2D"/>
    <w:rsid w:val="05CB63D1"/>
    <w:rsid w:val="05CDD0D6"/>
    <w:rsid w:val="05CDF511"/>
    <w:rsid w:val="05D08A46"/>
    <w:rsid w:val="05D0F57A"/>
    <w:rsid w:val="05D32512"/>
    <w:rsid w:val="05D53675"/>
    <w:rsid w:val="05D6D28C"/>
    <w:rsid w:val="05D7CDEB"/>
    <w:rsid w:val="05DB7097"/>
    <w:rsid w:val="05DF0E3F"/>
    <w:rsid w:val="05E07DC8"/>
    <w:rsid w:val="05E17EE8"/>
    <w:rsid w:val="05E394E2"/>
    <w:rsid w:val="05E45C28"/>
    <w:rsid w:val="05E4B637"/>
    <w:rsid w:val="05E8E167"/>
    <w:rsid w:val="05EF5D67"/>
    <w:rsid w:val="05F7B7CA"/>
    <w:rsid w:val="05F814C0"/>
    <w:rsid w:val="05FB4819"/>
    <w:rsid w:val="05FEB546"/>
    <w:rsid w:val="0600ABC7"/>
    <w:rsid w:val="060453D7"/>
    <w:rsid w:val="06060BAF"/>
    <w:rsid w:val="0607CE53"/>
    <w:rsid w:val="0609B6DD"/>
    <w:rsid w:val="0609E6E2"/>
    <w:rsid w:val="060B5259"/>
    <w:rsid w:val="0614BBA7"/>
    <w:rsid w:val="06161F1D"/>
    <w:rsid w:val="0617500F"/>
    <w:rsid w:val="061E564F"/>
    <w:rsid w:val="06205A97"/>
    <w:rsid w:val="062185FA"/>
    <w:rsid w:val="06284807"/>
    <w:rsid w:val="0628FEAB"/>
    <w:rsid w:val="062CBB02"/>
    <w:rsid w:val="062E3467"/>
    <w:rsid w:val="062F89C9"/>
    <w:rsid w:val="06305142"/>
    <w:rsid w:val="063149B6"/>
    <w:rsid w:val="0632EA93"/>
    <w:rsid w:val="06352915"/>
    <w:rsid w:val="0635F4A9"/>
    <w:rsid w:val="0637ABC6"/>
    <w:rsid w:val="06383566"/>
    <w:rsid w:val="06395BC8"/>
    <w:rsid w:val="0639BF73"/>
    <w:rsid w:val="063A041F"/>
    <w:rsid w:val="063A1294"/>
    <w:rsid w:val="063CE991"/>
    <w:rsid w:val="064DBAAA"/>
    <w:rsid w:val="064F230A"/>
    <w:rsid w:val="0653D077"/>
    <w:rsid w:val="065A3041"/>
    <w:rsid w:val="065A39F1"/>
    <w:rsid w:val="065BD440"/>
    <w:rsid w:val="065C24A4"/>
    <w:rsid w:val="065E8BF1"/>
    <w:rsid w:val="0661A740"/>
    <w:rsid w:val="066F1F6A"/>
    <w:rsid w:val="0671A4F8"/>
    <w:rsid w:val="06727313"/>
    <w:rsid w:val="067367BF"/>
    <w:rsid w:val="0674CDD7"/>
    <w:rsid w:val="067A3BAB"/>
    <w:rsid w:val="067E37F0"/>
    <w:rsid w:val="068198C1"/>
    <w:rsid w:val="06833892"/>
    <w:rsid w:val="068362D5"/>
    <w:rsid w:val="0684BEF1"/>
    <w:rsid w:val="06867870"/>
    <w:rsid w:val="068EC4BC"/>
    <w:rsid w:val="06923139"/>
    <w:rsid w:val="0693392E"/>
    <w:rsid w:val="0695D69B"/>
    <w:rsid w:val="06968CC0"/>
    <w:rsid w:val="0697AAF4"/>
    <w:rsid w:val="06980917"/>
    <w:rsid w:val="0699DF4B"/>
    <w:rsid w:val="069B4088"/>
    <w:rsid w:val="069DE0DF"/>
    <w:rsid w:val="06A1AB39"/>
    <w:rsid w:val="06A7883C"/>
    <w:rsid w:val="06A7AB93"/>
    <w:rsid w:val="06A7D9CF"/>
    <w:rsid w:val="06AC825F"/>
    <w:rsid w:val="06AD67A2"/>
    <w:rsid w:val="06AED182"/>
    <w:rsid w:val="06AF3B68"/>
    <w:rsid w:val="06B04998"/>
    <w:rsid w:val="06B1C34E"/>
    <w:rsid w:val="06BD86FF"/>
    <w:rsid w:val="06BE4B5F"/>
    <w:rsid w:val="06C2E0F1"/>
    <w:rsid w:val="06C31134"/>
    <w:rsid w:val="06C5D01C"/>
    <w:rsid w:val="06D442ED"/>
    <w:rsid w:val="06D54A4F"/>
    <w:rsid w:val="06D9EA65"/>
    <w:rsid w:val="06DAA352"/>
    <w:rsid w:val="06DB829E"/>
    <w:rsid w:val="06DEDFAA"/>
    <w:rsid w:val="06E8205E"/>
    <w:rsid w:val="06EB52ED"/>
    <w:rsid w:val="06EC554D"/>
    <w:rsid w:val="06ED8012"/>
    <w:rsid w:val="06EF7428"/>
    <w:rsid w:val="06F334B2"/>
    <w:rsid w:val="06F3CF98"/>
    <w:rsid w:val="06F567F2"/>
    <w:rsid w:val="06F7C891"/>
    <w:rsid w:val="06FA7320"/>
    <w:rsid w:val="06FD5631"/>
    <w:rsid w:val="06FEA789"/>
    <w:rsid w:val="06FFB6D6"/>
    <w:rsid w:val="07008E29"/>
    <w:rsid w:val="07027A28"/>
    <w:rsid w:val="07047EA7"/>
    <w:rsid w:val="070592B3"/>
    <w:rsid w:val="0706B7F8"/>
    <w:rsid w:val="0709582D"/>
    <w:rsid w:val="0709DD2A"/>
    <w:rsid w:val="070AA1BF"/>
    <w:rsid w:val="070E9079"/>
    <w:rsid w:val="070EAB91"/>
    <w:rsid w:val="070FD1C0"/>
    <w:rsid w:val="07161FED"/>
    <w:rsid w:val="0718F090"/>
    <w:rsid w:val="07192750"/>
    <w:rsid w:val="071936EE"/>
    <w:rsid w:val="071AF5D3"/>
    <w:rsid w:val="071ED35D"/>
    <w:rsid w:val="072068D3"/>
    <w:rsid w:val="07211F5B"/>
    <w:rsid w:val="0722D402"/>
    <w:rsid w:val="072D86FF"/>
    <w:rsid w:val="072E58F1"/>
    <w:rsid w:val="072F1870"/>
    <w:rsid w:val="07316984"/>
    <w:rsid w:val="07321112"/>
    <w:rsid w:val="073341F1"/>
    <w:rsid w:val="0734166D"/>
    <w:rsid w:val="0734BCD4"/>
    <w:rsid w:val="0735D8C5"/>
    <w:rsid w:val="073964A6"/>
    <w:rsid w:val="073B3B62"/>
    <w:rsid w:val="073D16C0"/>
    <w:rsid w:val="073FCC48"/>
    <w:rsid w:val="07415D08"/>
    <w:rsid w:val="0749AC4F"/>
    <w:rsid w:val="074C717A"/>
    <w:rsid w:val="07509C5A"/>
    <w:rsid w:val="0757DFAE"/>
    <w:rsid w:val="0760557E"/>
    <w:rsid w:val="0760A384"/>
    <w:rsid w:val="0762596F"/>
    <w:rsid w:val="0764DED5"/>
    <w:rsid w:val="0766039A"/>
    <w:rsid w:val="07669268"/>
    <w:rsid w:val="07681C97"/>
    <w:rsid w:val="0769A1D0"/>
    <w:rsid w:val="076C3311"/>
    <w:rsid w:val="076C5990"/>
    <w:rsid w:val="076CA17D"/>
    <w:rsid w:val="076CE97F"/>
    <w:rsid w:val="076D86EA"/>
    <w:rsid w:val="076F6DE6"/>
    <w:rsid w:val="077066EA"/>
    <w:rsid w:val="07721D20"/>
    <w:rsid w:val="077280AE"/>
    <w:rsid w:val="077AA701"/>
    <w:rsid w:val="077DFA09"/>
    <w:rsid w:val="0784B324"/>
    <w:rsid w:val="07870296"/>
    <w:rsid w:val="0787D127"/>
    <w:rsid w:val="078A2BC9"/>
    <w:rsid w:val="078F0E52"/>
    <w:rsid w:val="078FE376"/>
    <w:rsid w:val="0792AA9D"/>
    <w:rsid w:val="07934F99"/>
    <w:rsid w:val="07944C52"/>
    <w:rsid w:val="07945C98"/>
    <w:rsid w:val="079EB272"/>
    <w:rsid w:val="07A07F47"/>
    <w:rsid w:val="07A4B538"/>
    <w:rsid w:val="07AA5FD0"/>
    <w:rsid w:val="07AAE5BA"/>
    <w:rsid w:val="07AAF4E7"/>
    <w:rsid w:val="07AAFF18"/>
    <w:rsid w:val="07AB9E44"/>
    <w:rsid w:val="07AE76F9"/>
    <w:rsid w:val="07AEC5EC"/>
    <w:rsid w:val="07B1059B"/>
    <w:rsid w:val="07B1283E"/>
    <w:rsid w:val="07B871F9"/>
    <w:rsid w:val="07BA7169"/>
    <w:rsid w:val="07C4776A"/>
    <w:rsid w:val="07C6525A"/>
    <w:rsid w:val="07C72585"/>
    <w:rsid w:val="07C8DD7E"/>
    <w:rsid w:val="07C9D5F4"/>
    <w:rsid w:val="07CA5D94"/>
    <w:rsid w:val="07D4D49D"/>
    <w:rsid w:val="07D93E85"/>
    <w:rsid w:val="07DACF38"/>
    <w:rsid w:val="07DF85A3"/>
    <w:rsid w:val="07E9B5CA"/>
    <w:rsid w:val="07EAA891"/>
    <w:rsid w:val="07EAE420"/>
    <w:rsid w:val="07EC5DF9"/>
    <w:rsid w:val="07EEDE48"/>
    <w:rsid w:val="07F039DC"/>
    <w:rsid w:val="07F35774"/>
    <w:rsid w:val="07F3C0AA"/>
    <w:rsid w:val="07F9BE9D"/>
    <w:rsid w:val="07FBE1AC"/>
    <w:rsid w:val="07FDAB65"/>
    <w:rsid w:val="0806E8A5"/>
    <w:rsid w:val="08074578"/>
    <w:rsid w:val="0808C0B6"/>
    <w:rsid w:val="08099CE7"/>
    <w:rsid w:val="080F43D5"/>
    <w:rsid w:val="0811CF6B"/>
    <w:rsid w:val="0814B487"/>
    <w:rsid w:val="081C3D8E"/>
    <w:rsid w:val="081EB01D"/>
    <w:rsid w:val="082186F4"/>
    <w:rsid w:val="0824059F"/>
    <w:rsid w:val="0824410F"/>
    <w:rsid w:val="0828701D"/>
    <w:rsid w:val="08289565"/>
    <w:rsid w:val="082EBAAC"/>
    <w:rsid w:val="082F0A03"/>
    <w:rsid w:val="0831EFCA"/>
    <w:rsid w:val="0832F3B7"/>
    <w:rsid w:val="0833FB50"/>
    <w:rsid w:val="08372796"/>
    <w:rsid w:val="083ACC41"/>
    <w:rsid w:val="083AD09C"/>
    <w:rsid w:val="084074E7"/>
    <w:rsid w:val="08428ADB"/>
    <w:rsid w:val="0845954E"/>
    <w:rsid w:val="084863F0"/>
    <w:rsid w:val="0848E5B1"/>
    <w:rsid w:val="084960C7"/>
    <w:rsid w:val="084B5C00"/>
    <w:rsid w:val="084D4B71"/>
    <w:rsid w:val="0850E23D"/>
    <w:rsid w:val="0852225B"/>
    <w:rsid w:val="08523439"/>
    <w:rsid w:val="08541AC2"/>
    <w:rsid w:val="08544D77"/>
    <w:rsid w:val="0855C459"/>
    <w:rsid w:val="08587E21"/>
    <w:rsid w:val="086141D1"/>
    <w:rsid w:val="0861E528"/>
    <w:rsid w:val="08630759"/>
    <w:rsid w:val="08663F52"/>
    <w:rsid w:val="0866A18A"/>
    <w:rsid w:val="0866FC04"/>
    <w:rsid w:val="0869C9C7"/>
    <w:rsid w:val="086BAB0E"/>
    <w:rsid w:val="087A012C"/>
    <w:rsid w:val="0882FBED"/>
    <w:rsid w:val="08838A76"/>
    <w:rsid w:val="0884A48D"/>
    <w:rsid w:val="0885E002"/>
    <w:rsid w:val="0886C03B"/>
    <w:rsid w:val="0887D873"/>
    <w:rsid w:val="08896611"/>
    <w:rsid w:val="088978A1"/>
    <w:rsid w:val="088BBD9C"/>
    <w:rsid w:val="0898C15C"/>
    <w:rsid w:val="089B6FFB"/>
    <w:rsid w:val="089ED01C"/>
    <w:rsid w:val="08A07553"/>
    <w:rsid w:val="08A1431A"/>
    <w:rsid w:val="08A255AA"/>
    <w:rsid w:val="08A3CCFC"/>
    <w:rsid w:val="08A67040"/>
    <w:rsid w:val="08A68522"/>
    <w:rsid w:val="08A7E0C2"/>
    <w:rsid w:val="08A87B2D"/>
    <w:rsid w:val="08A8A83F"/>
    <w:rsid w:val="08AAC071"/>
    <w:rsid w:val="08AB5AC3"/>
    <w:rsid w:val="08ABAF27"/>
    <w:rsid w:val="08B0EC9F"/>
    <w:rsid w:val="08B1021A"/>
    <w:rsid w:val="08B1B946"/>
    <w:rsid w:val="08B79D61"/>
    <w:rsid w:val="08BE3540"/>
    <w:rsid w:val="08C01BDD"/>
    <w:rsid w:val="08C0EAE7"/>
    <w:rsid w:val="08C364B0"/>
    <w:rsid w:val="08C3CB64"/>
    <w:rsid w:val="08C712C7"/>
    <w:rsid w:val="08C7429B"/>
    <w:rsid w:val="08C81E14"/>
    <w:rsid w:val="08C84397"/>
    <w:rsid w:val="08CB9658"/>
    <w:rsid w:val="08CBC831"/>
    <w:rsid w:val="08D3D514"/>
    <w:rsid w:val="08D49079"/>
    <w:rsid w:val="08D66B99"/>
    <w:rsid w:val="08D9A370"/>
    <w:rsid w:val="08DB925E"/>
    <w:rsid w:val="08DBA5CD"/>
    <w:rsid w:val="08E2B453"/>
    <w:rsid w:val="08E570CF"/>
    <w:rsid w:val="08E93222"/>
    <w:rsid w:val="08EFF6A7"/>
    <w:rsid w:val="08F0EEA3"/>
    <w:rsid w:val="08F1A846"/>
    <w:rsid w:val="08F2E814"/>
    <w:rsid w:val="08FB91A2"/>
    <w:rsid w:val="08FF1468"/>
    <w:rsid w:val="08FFBB0A"/>
    <w:rsid w:val="0900D0F3"/>
    <w:rsid w:val="09035CBE"/>
    <w:rsid w:val="090430CC"/>
    <w:rsid w:val="09059B90"/>
    <w:rsid w:val="090FFEEE"/>
    <w:rsid w:val="0913324F"/>
    <w:rsid w:val="091477EE"/>
    <w:rsid w:val="0919DD01"/>
    <w:rsid w:val="091A56D2"/>
    <w:rsid w:val="091C881C"/>
    <w:rsid w:val="09212C03"/>
    <w:rsid w:val="0921B956"/>
    <w:rsid w:val="092672B0"/>
    <w:rsid w:val="092774C4"/>
    <w:rsid w:val="09294BFF"/>
    <w:rsid w:val="092A25AF"/>
    <w:rsid w:val="092BE346"/>
    <w:rsid w:val="092E8AED"/>
    <w:rsid w:val="0937E2F4"/>
    <w:rsid w:val="09391F08"/>
    <w:rsid w:val="0939E2D4"/>
    <w:rsid w:val="093A07AD"/>
    <w:rsid w:val="093B523A"/>
    <w:rsid w:val="09403D5A"/>
    <w:rsid w:val="0940BF47"/>
    <w:rsid w:val="0943B5EE"/>
    <w:rsid w:val="0943F494"/>
    <w:rsid w:val="0946FF8C"/>
    <w:rsid w:val="094B6324"/>
    <w:rsid w:val="0951C65E"/>
    <w:rsid w:val="0953E17B"/>
    <w:rsid w:val="0958BE92"/>
    <w:rsid w:val="095B4CFC"/>
    <w:rsid w:val="095D8155"/>
    <w:rsid w:val="095FE771"/>
    <w:rsid w:val="09604A10"/>
    <w:rsid w:val="09655D60"/>
    <w:rsid w:val="096620DA"/>
    <w:rsid w:val="09668164"/>
    <w:rsid w:val="096741C3"/>
    <w:rsid w:val="09682C32"/>
    <w:rsid w:val="0968B8F5"/>
    <w:rsid w:val="0969A4B5"/>
    <w:rsid w:val="096B0C77"/>
    <w:rsid w:val="0970ECF8"/>
    <w:rsid w:val="0970F18E"/>
    <w:rsid w:val="09748DD1"/>
    <w:rsid w:val="09782649"/>
    <w:rsid w:val="09785A9B"/>
    <w:rsid w:val="09788BB2"/>
    <w:rsid w:val="097916BD"/>
    <w:rsid w:val="09792E00"/>
    <w:rsid w:val="0979CE50"/>
    <w:rsid w:val="097B449E"/>
    <w:rsid w:val="097DBCC2"/>
    <w:rsid w:val="097DEC37"/>
    <w:rsid w:val="0982BB69"/>
    <w:rsid w:val="09887527"/>
    <w:rsid w:val="0990EA43"/>
    <w:rsid w:val="0992DDE5"/>
    <w:rsid w:val="09953F7A"/>
    <w:rsid w:val="09978563"/>
    <w:rsid w:val="099A9EC6"/>
    <w:rsid w:val="099AEAA4"/>
    <w:rsid w:val="099B9ABA"/>
    <w:rsid w:val="099BE1E0"/>
    <w:rsid w:val="099F3B7F"/>
    <w:rsid w:val="099FFB48"/>
    <w:rsid w:val="09A18779"/>
    <w:rsid w:val="09A1AFA2"/>
    <w:rsid w:val="09A2B8A2"/>
    <w:rsid w:val="09A53967"/>
    <w:rsid w:val="09A8FB1D"/>
    <w:rsid w:val="09AB4A7E"/>
    <w:rsid w:val="09AC3BC9"/>
    <w:rsid w:val="09B30E52"/>
    <w:rsid w:val="09B62343"/>
    <w:rsid w:val="09BA8E14"/>
    <w:rsid w:val="09C1F260"/>
    <w:rsid w:val="09C3E39D"/>
    <w:rsid w:val="09C4ADB2"/>
    <w:rsid w:val="09C52392"/>
    <w:rsid w:val="09C91BB7"/>
    <w:rsid w:val="09CA55D0"/>
    <w:rsid w:val="09CF86C8"/>
    <w:rsid w:val="09D13BEC"/>
    <w:rsid w:val="09D14BA7"/>
    <w:rsid w:val="09D22CE1"/>
    <w:rsid w:val="09D8B245"/>
    <w:rsid w:val="09DC156D"/>
    <w:rsid w:val="09DD9ACC"/>
    <w:rsid w:val="09DE370E"/>
    <w:rsid w:val="09E10932"/>
    <w:rsid w:val="09E32702"/>
    <w:rsid w:val="09E3D6A4"/>
    <w:rsid w:val="09E8E13A"/>
    <w:rsid w:val="09EFC265"/>
    <w:rsid w:val="09F1EB3C"/>
    <w:rsid w:val="09F40C90"/>
    <w:rsid w:val="09F5057E"/>
    <w:rsid w:val="09F76DE6"/>
    <w:rsid w:val="09F78E78"/>
    <w:rsid w:val="09F914C1"/>
    <w:rsid w:val="0A06C729"/>
    <w:rsid w:val="0A08B537"/>
    <w:rsid w:val="0A111342"/>
    <w:rsid w:val="0A147939"/>
    <w:rsid w:val="0A14D79D"/>
    <w:rsid w:val="0A168F56"/>
    <w:rsid w:val="0A17119C"/>
    <w:rsid w:val="0A1B194F"/>
    <w:rsid w:val="0A1D6F85"/>
    <w:rsid w:val="0A1DDBC0"/>
    <w:rsid w:val="0A20A261"/>
    <w:rsid w:val="0A237040"/>
    <w:rsid w:val="0A2615E6"/>
    <w:rsid w:val="0A2642F3"/>
    <w:rsid w:val="0A2714EA"/>
    <w:rsid w:val="0A27624C"/>
    <w:rsid w:val="0A2F16EF"/>
    <w:rsid w:val="0A30A277"/>
    <w:rsid w:val="0A313C93"/>
    <w:rsid w:val="0A3293F7"/>
    <w:rsid w:val="0A3689D1"/>
    <w:rsid w:val="0A38F396"/>
    <w:rsid w:val="0A4067DA"/>
    <w:rsid w:val="0A41F0DB"/>
    <w:rsid w:val="0A492024"/>
    <w:rsid w:val="0A4A28A7"/>
    <w:rsid w:val="0A4C62C0"/>
    <w:rsid w:val="0A4D61FB"/>
    <w:rsid w:val="0A528148"/>
    <w:rsid w:val="0A563FDF"/>
    <w:rsid w:val="0A5863EA"/>
    <w:rsid w:val="0A58DA16"/>
    <w:rsid w:val="0A5AE15D"/>
    <w:rsid w:val="0A608C8F"/>
    <w:rsid w:val="0A611ABE"/>
    <w:rsid w:val="0A61DF74"/>
    <w:rsid w:val="0A6377F6"/>
    <w:rsid w:val="0A65697C"/>
    <w:rsid w:val="0A67D759"/>
    <w:rsid w:val="0A692352"/>
    <w:rsid w:val="0A6996CA"/>
    <w:rsid w:val="0A6CC750"/>
    <w:rsid w:val="0A6E7ABB"/>
    <w:rsid w:val="0A6F7ABB"/>
    <w:rsid w:val="0A77A47E"/>
    <w:rsid w:val="0A780888"/>
    <w:rsid w:val="0A7B7901"/>
    <w:rsid w:val="0A7C16E6"/>
    <w:rsid w:val="0A7CCF64"/>
    <w:rsid w:val="0A7D9446"/>
    <w:rsid w:val="0A801C7E"/>
    <w:rsid w:val="0A80C87D"/>
    <w:rsid w:val="0A80CBAF"/>
    <w:rsid w:val="0A814EC2"/>
    <w:rsid w:val="0A8545F0"/>
    <w:rsid w:val="0A896123"/>
    <w:rsid w:val="0A89C5E8"/>
    <w:rsid w:val="0A8BA882"/>
    <w:rsid w:val="0A8FA401"/>
    <w:rsid w:val="0A8FEC51"/>
    <w:rsid w:val="0A914616"/>
    <w:rsid w:val="0A915BB5"/>
    <w:rsid w:val="0A93F474"/>
    <w:rsid w:val="0A9504C0"/>
    <w:rsid w:val="0A950BCD"/>
    <w:rsid w:val="0AA019ED"/>
    <w:rsid w:val="0AA225FB"/>
    <w:rsid w:val="0AA4997D"/>
    <w:rsid w:val="0AA6EFD7"/>
    <w:rsid w:val="0AA7518A"/>
    <w:rsid w:val="0AAB9D63"/>
    <w:rsid w:val="0AAC4C7F"/>
    <w:rsid w:val="0AAD9CBB"/>
    <w:rsid w:val="0AAFE103"/>
    <w:rsid w:val="0AB31177"/>
    <w:rsid w:val="0AB58122"/>
    <w:rsid w:val="0ABC528B"/>
    <w:rsid w:val="0AC43528"/>
    <w:rsid w:val="0AC564B7"/>
    <w:rsid w:val="0AC6FB4E"/>
    <w:rsid w:val="0ACF46FE"/>
    <w:rsid w:val="0AD0707C"/>
    <w:rsid w:val="0AD7554F"/>
    <w:rsid w:val="0AE071FA"/>
    <w:rsid w:val="0AE2D455"/>
    <w:rsid w:val="0AE60824"/>
    <w:rsid w:val="0AE87C3E"/>
    <w:rsid w:val="0AEA038B"/>
    <w:rsid w:val="0AECA751"/>
    <w:rsid w:val="0AEDD185"/>
    <w:rsid w:val="0AEE7197"/>
    <w:rsid w:val="0AEF8AE1"/>
    <w:rsid w:val="0AF530EF"/>
    <w:rsid w:val="0AF803AA"/>
    <w:rsid w:val="0AF8DB6F"/>
    <w:rsid w:val="0AFB5F6B"/>
    <w:rsid w:val="0AFEC092"/>
    <w:rsid w:val="0B01CA99"/>
    <w:rsid w:val="0B040BE2"/>
    <w:rsid w:val="0B04DD9E"/>
    <w:rsid w:val="0B05D430"/>
    <w:rsid w:val="0B09A8DF"/>
    <w:rsid w:val="0B10EE18"/>
    <w:rsid w:val="0B132537"/>
    <w:rsid w:val="0B13FA37"/>
    <w:rsid w:val="0B146A3A"/>
    <w:rsid w:val="0B14805E"/>
    <w:rsid w:val="0B19737C"/>
    <w:rsid w:val="0B1E6970"/>
    <w:rsid w:val="0B239896"/>
    <w:rsid w:val="0B248016"/>
    <w:rsid w:val="0B253651"/>
    <w:rsid w:val="0B256AD5"/>
    <w:rsid w:val="0B2778F8"/>
    <w:rsid w:val="0B28323D"/>
    <w:rsid w:val="0B29816F"/>
    <w:rsid w:val="0B2A97D4"/>
    <w:rsid w:val="0B2BB707"/>
    <w:rsid w:val="0B2DE76D"/>
    <w:rsid w:val="0B301B33"/>
    <w:rsid w:val="0B348368"/>
    <w:rsid w:val="0B363407"/>
    <w:rsid w:val="0B363A5D"/>
    <w:rsid w:val="0B36B60A"/>
    <w:rsid w:val="0B39BE95"/>
    <w:rsid w:val="0B3B0855"/>
    <w:rsid w:val="0B3BB48B"/>
    <w:rsid w:val="0B3CBEE1"/>
    <w:rsid w:val="0B3EBE01"/>
    <w:rsid w:val="0B47E14C"/>
    <w:rsid w:val="0B4D5BE8"/>
    <w:rsid w:val="0B4E83C2"/>
    <w:rsid w:val="0B51AF80"/>
    <w:rsid w:val="0B53A927"/>
    <w:rsid w:val="0B5410D4"/>
    <w:rsid w:val="0B5723E5"/>
    <w:rsid w:val="0B578C0D"/>
    <w:rsid w:val="0B5AA6B4"/>
    <w:rsid w:val="0B5D450A"/>
    <w:rsid w:val="0B5E1D75"/>
    <w:rsid w:val="0B5ED2AD"/>
    <w:rsid w:val="0B6188FA"/>
    <w:rsid w:val="0B630262"/>
    <w:rsid w:val="0B63B4A1"/>
    <w:rsid w:val="0B63EBD4"/>
    <w:rsid w:val="0B670666"/>
    <w:rsid w:val="0B675355"/>
    <w:rsid w:val="0B6B3E39"/>
    <w:rsid w:val="0B6F24B0"/>
    <w:rsid w:val="0B7D5786"/>
    <w:rsid w:val="0B7F10EE"/>
    <w:rsid w:val="0B81D809"/>
    <w:rsid w:val="0B8425F9"/>
    <w:rsid w:val="0B86F46A"/>
    <w:rsid w:val="0B877E8D"/>
    <w:rsid w:val="0B89E9D8"/>
    <w:rsid w:val="0B8A2584"/>
    <w:rsid w:val="0B8DD845"/>
    <w:rsid w:val="0B8F84D0"/>
    <w:rsid w:val="0B9A518C"/>
    <w:rsid w:val="0B9BE4EF"/>
    <w:rsid w:val="0B9D5F50"/>
    <w:rsid w:val="0B9FA421"/>
    <w:rsid w:val="0BA1E2BA"/>
    <w:rsid w:val="0BA54A03"/>
    <w:rsid w:val="0BA5951A"/>
    <w:rsid w:val="0BA7934E"/>
    <w:rsid w:val="0BA92696"/>
    <w:rsid w:val="0BA9BEEC"/>
    <w:rsid w:val="0BAA964B"/>
    <w:rsid w:val="0BAB430B"/>
    <w:rsid w:val="0BAB85B4"/>
    <w:rsid w:val="0BAC0A70"/>
    <w:rsid w:val="0BAD0974"/>
    <w:rsid w:val="0BAF8887"/>
    <w:rsid w:val="0BB0A61B"/>
    <w:rsid w:val="0BB2EE86"/>
    <w:rsid w:val="0BB5884B"/>
    <w:rsid w:val="0BB6EC25"/>
    <w:rsid w:val="0BB9789A"/>
    <w:rsid w:val="0BB9FF6E"/>
    <w:rsid w:val="0BBA507B"/>
    <w:rsid w:val="0BBC5986"/>
    <w:rsid w:val="0BBCF789"/>
    <w:rsid w:val="0BBE031E"/>
    <w:rsid w:val="0BC1715E"/>
    <w:rsid w:val="0BC69A96"/>
    <w:rsid w:val="0BC6A6C7"/>
    <w:rsid w:val="0BC8854A"/>
    <w:rsid w:val="0BCEF1C6"/>
    <w:rsid w:val="0BD1D3E6"/>
    <w:rsid w:val="0BD2AC0C"/>
    <w:rsid w:val="0BD9E529"/>
    <w:rsid w:val="0BE77971"/>
    <w:rsid w:val="0BE8AF73"/>
    <w:rsid w:val="0BE971C0"/>
    <w:rsid w:val="0BE97F12"/>
    <w:rsid w:val="0BEA0A1A"/>
    <w:rsid w:val="0BEFDF76"/>
    <w:rsid w:val="0BEFE5BA"/>
    <w:rsid w:val="0BF0BA25"/>
    <w:rsid w:val="0BF464A5"/>
    <w:rsid w:val="0BF5BFCC"/>
    <w:rsid w:val="0BF73D84"/>
    <w:rsid w:val="0BF83EE7"/>
    <w:rsid w:val="0BFA331C"/>
    <w:rsid w:val="0BFAAEA1"/>
    <w:rsid w:val="0BFDCB36"/>
    <w:rsid w:val="0BFE092A"/>
    <w:rsid w:val="0C02AB65"/>
    <w:rsid w:val="0C053E36"/>
    <w:rsid w:val="0C07162E"/>
    <w:rsid w:val="0C0FABB0"/>
    <w:rsid w:val="0C11E942"/>
    <w:rsid w:val="0C13A27F"/>
    <w:rsid w:val="0C152BC0"/>
    <w:rsid w:val="0C159A19"/>
    <w:rsid w:val="0C16EE60"/>
    <w:rsid w:val="0C1790FC"/>
    <w:rsid w:val="0C19A881"/>
    <w:rsid w:val="0C1B05C7"/>
    <w:rsid w:val="0C1D3189"/>
    <w:rsid w:val="0C227EB7"/>
    <w:rsid w:val="0C24AC3F"/>
    <w:rsid w:val="0C2AD7D0"/>
    <w:rsid w:val="0C2B0B78"/>
    <w:rsid w:val="0C2EC8CD"/>
    <w:rsid w:val="0C2FEBB7"/>
    <w:rsid w:val="0C310844"/>
    <w:rsid w:val="0C322872"/>
    <w:rsid w:val="0C34CCB8"/>
    <w:rsid w:val="0C35D260"/>
    <w:rsid w:val="0C362D08"/>
    <w:rsid w:val="0C3BD558"/>
    <w:rsid w:val="0C3E9614"/>
    <w:rsid w:val="0C40C29F"/>
    <w:rsid w:val="0C45B568"/>
    <w:rsid w:val="0C46CF65"/>
    <w:rsid w:val="0C4BA8E2"/>
    <w:rsid w:val="0C4C3546"/>
    <w:rsid w:val="0C4C9FD5"/>
    <w:rsid w:val="0C4D2F86"/>
    <w:rsid w:val="0C4F75CD"/>
    <w:rsid w:val="0C54A78A"/>
    <w:rsid w:val="0C55E868"/>
    <w:rsid w:val="0C589DDA"/>
    <w:rsid w:val="0C5B4D1F"/>
    <w:rsid w:val="0C5CC0F4"/>
    <w:rsid w:val="0C5CFEC2"/>
    <w:rsid w:val="0C5F8E56"/>
    <w:rsid w:val="0C608650"/>
    <w:rsid w:val="0C6388B6"/>
    <w:rsid w:val="0C63B9DD"/>
    <w:rsid w:val="0C64DBAA"/>
    <w:rsid w:val="0C685934"/>
    <w:rsid w:val="0C69E4AA"/>
    <w:rsid w:val="0C6E9FAD"/>
    <w:rsid w:val="0C6ECAB7"/>
    <w:rsid w:val="0C725629"/>
    <w:rsid w:val="0C74E310"/>
    <w:rsid w:val="0C772D41"/>
    <w:rsid w:val="0C7808E3"/>
    <w:rsid w:val="0C8495BE"/>
    <w:rsid w:val="0C84F6EE"/>
    <w:rsid w:val="0C865BFC"/>
    <w:rsid w:val="0C8F8171"/>
    <w:rsid w:val="0C91B019"/>
    <w:rsid w:val="0C938C3A"/>
    <w:rsid w:val="0C96384E"/>
    <w:rsid w:val="0C966EFB"/>
    <w:rsid w:val="0C983563"/>
    <w:rsid w:val="0C9C637E"/>
    <w:rsid w:val="0C9D69A5"/>
    <w:rsid w:val="0CA0EDDF"/>
    <w:rsid w:val="0CA274CD"/>
    <w:rsid w:val="0CA2CDA1"/>
    <w:rsid w:val="0CA335B3"/>
    <w:rsid w:val="0CA4260E"/>
    <w:rsid w:val="0CA63099"/>
    <w:rsid w:val="0CA9D299"/>
    <w:rsid w:val="0CABBF08"/>
    <w:rsid w:val="0CAC9F21"/>
    <w:rsid w:val="0CAD1C7E"/>
    <w:rsid w:val="0CAD527A"/>
    <w:rsid w:val="0CAD89B1"/>
    <w:rsid w:val="0CAE007E"/>
    <w:rsid w:val="0CB07D3C"/>
    <w:rsid w:val="0CB0C4F6"/>
    <w:rsid w:val="0CB126FC"/>
    <w:rsid w:val="0CB304DD"/>
    <w:rsid w:val="0CB43930"/>
    <w:rsid w:val="0CBAD97C"/>
    <w:rsid w:val="0CBC0475"/>
    <w:rsid w:val="0CBD2336"/>
    <w:rsid w:val="0CBD3608"/>
    <w:rsid w:val="0CC5E552"/>
    <w:rsid w:val="0CC6FBFC"/>
    <w:rsid w:val="0CCD158B"/>
    <w:rsid w:val="0CCE9324"/>
    <w:rsid w:val="0CCEE85C"/>
    <w:rsid w:val="0CCF7A0D"/>
    <w:rsid w:val="0CD22BAB"/>
    <w:rsid w:val="0CD34162"/>
    <w:rsid w:val="0CD5109F"/>
    <w:rsid w:val="0CD6BDA0"/>
    <w:rsid w:val="0CD79C0A"/>
    <w:rsid w:val="0CD9C920"/>
    <w:rsid w:val="0CDD8AA5"/>
    <w:rsid w:val="0CDD9683"/>
    <w:rsid w:val="0CEC39D2"/>
    <w:rsid w:val="0CEC6EC7"/>
    <w:rsid w:val="0CECA5E7"/>
    <w:rsid w:val="0CED4C46"/>
    <w:rsid w:val="0CF139B1"/>
    <w:rsid w:val="0CF345EE"/>
    <w:rsid w:val="0CF5AF89"/>
    <w:rsid w:val="0CF5F57B"/>
    <w:rsid w:val="0D01379F"/>
    <w:rsid w:val="0D0D8B2D"/>
    <w:rsid w:val="0D0F1841"/>
    <w:rsid w:val="0D10B556"/>
    <w:rsid w:val="0D1336AA"/>
    <w:rsid w:val="0D14104D"/>
    <w:rsid w:val="0D149FE8"/>
    <w:rsid w:val="0D183FB8"/>
    <w:rsid w:val="0D19F2E3"/>
    <w:rsid w:val="0D25BC4F"/>
    <w:rsid w:val="0D26F9DD"/>
    <w:rsid w:val="0D29737E"/>
    <w:rsid w:val="0D297D7D"/>
    <w:rsid w:val="0D2C4423"/>
    <w:rsid w:val="0D30CA29"/>
    <w:rsid w:val="0D3382F5"/>
    <w:rsid w:val="0D33878B"/>
    <w:rsid w:val="0D3436B6"/>
    <w:rsid w:val="0D347E51"/>
    <w:rsid w:val="0D350388"/>
    <w:rsid w:val="0D3A5E4D"/>
    <w:rsid w:val="0D3DE005"/>
    <w:rsid w:val="0D3E7775"/>
    <w:rsid w:val="0D45D0C9"/>
    <w:rsid w:val="0D5A7A35"/>
    <w:rsid w:val="0D5B9735"/>
    <w:rsid w:val="0D5F2A1D"/>
    <w:rsid w:val="0D605F69"/>
    <w:rsid w:val="0D610ECA"/>
    <w:rsid w:val="0D635C10"/>
    <w:rsid w:val="0D687D0B"/>
    <w:rsid w:val="0D6D657D"/>
    <w:rsid w:val="0D73A62A"/>
    <w:rsid w:val="0D74EBA2"/>
    <w:rsid w:val="0D75D705"/>
    <w:rsid w:val="0D79533B"/>
    <w:rsid w:val="0D7A351B"/>
    <w:rsid w:val="0D7B1246"/>
    <w:rsid w:val="0D7F4ED3"/>
    <w:rsid w:val="0D82BA91"/>
    <w:rsid w:val="0D864408"/>
    <w:rsid w:val="0D882518"/>
    <w:rsid w:val="0D88740B"/>
    <w:rsid w:val="0D8A8956"/>
    <w:rsid w:val="0D8C48BD"/>
    <w:rsid w:val="0D8D56A2"/>
    <w:rsid w:val="0D9484A9"/>
    <w:rsid w:val="0D9612E9"/>
    <w:rsid w:val="0D962FE7"/>
    <w:rsid w:val="0D984554"/>
    <w:rsid w:val="0D9A5425"/>
    <w:rsid w:val="0D9B12A7"/>
    <w:rsid w:val="0D9B6EB9"/>
    <w:rsid w:val="0D9C3887"/>
    <w:rsid w:val="0D9CF105"/>
    <w:rsid w:val="0D9FA2A5"/>
    <w:rsid w:val="0DA1E72E"/>
    <w:rsid w:val="0DA298B3"/>
    <w:rsid w:val="0DA5A350"/>
    <w:rsid w:val="0DA5DB27"/>
    <w:rsid w:val="0DA5DD5C"/>
    <w:rsid w:val="0DA6B88E"/>
    <w:rsid w:val="0DA6FFD4"/>
    <w:rsid w:val="0DA8E030"/>
    <w:rsid w:val="0DADBF95"/>
    <w:rsid w:val="0DAFAFAF"/>
    <w:rsid w:val="0DB5BBD0"/>
    <w:rsid w:val="0DB732BE"/>
    <w:rsid w:val="0DB8886D"/>
    <w:rsid w:val="0DB89C79"/>
    <w:rsid w:val="0DB9A3BD"/>
    <w:rsid w:val="0DBA0175"/>
    <w:rsid w:val="0DBA4AFE"/>
    <w:rsid w:val="0DBB962E"/>
    <w:rsid w:val="0DBBDB05"/>
    <w:rsid w:val="0DBD83C4"/>
    <w:rsid w:val="0DBF5901"/>
    <w:rsid w:val="0DC0E347"/>
    <w:rsid w:val="0DC1ECF5"/>
    <w:rsid w:val="0DC27261"/>
    <w:rsid w:val="0DC51BEA"/>
    <w:rsid w:val="0DC6B5DE"/>
    <w:rsid w:val="0DCC4C67"/>
    <w:rsid w:val="0DCD6381"/>
    <w:rsid w:val="0DCE5155"/>
    <w:rsid w:val="0DD221A7"/>
    <w:rsid w:val="0DD45337"/>
    <w:rsid w:val="0DD5F0C2"/>
    <w:rsid w:val="0DD6925B"/>
    <w:rsid w:val="0DD948FA"/>
    <w:rsid w:val="0DDB548F"/>
    <w:rsid w:val="0DDE26F0"/>
    <w:rsid w:val="0DE1EAD8"/>
    <w:rsid w:val="0DEAE818"/>
    <w:rsid w:val="0DEE086C"/>
    <w:rsid w:val="0DEEB6BB"/>
    <w:rsid w:val="0DF538D4"/>
    <w:rsid w:val="0DF53F7E"/>
    <w:rsid w:val="0DF8954F"/>
    <w:rsid w:val="0DFF0081"/>
    <w:rsid w:val="0E01B882"/>
    <w:rsid w:val="0E0407C5"/>
    <w:rsid w:val="0E04FB0F"/>
    <w:rsid w:val="0E072076"/>
    <w:rsid w:val="0E0BBFD6"/>
    <w:rsid w:val="0E0C3266"/>
    <w:rsid w:val="0E0DE82F"/>
    <w:rsid w:val="0E0EB2C7"/>
    <w:rsid w:val="0E0EDD03"/>
    <w:rsid w:val="0E0FEFC3"/>
    <w:rsid w:val="0E1348D0"/>
    <w:rsid w:val="0E136172"/>
    <w:rsid w:val="0E145E12"/>
    <w:rsid w:val="0E155A04"/>
    <w:rsid w:val="0E16BC17"/>
    <w:rsid w:val="0E1B30EB"/>
    <w:rsid w:val="0E1B59E1"/>
    <w:rsid w:val="0E1C9ADD"/>
    <w:rsid w:val="0E2727F0"/>
    <w:rsid w:val="0E2F872F"/>
    <w:rsid w:val="0E2F8CAF"/>
    <w:rsid w:val="0E30515C"/>
    <w:rsid w:val="0E39AD54"/>
    <w:rsid w:val="0E3DB242"/>
    <w:rsid w:val="0E3E25AE"/>
    <w:rsid w:val="0E3F518D"/>
    <w:rsid w:val="0E4020EB"/>
    <w:rsid w:val="0E40800E"/>
    <w:rsid w:val="0E412882"/>
    <w:rsid w:val="0E43CB23"/>
    <w:rsid w:val="0E43E581"/>
    <w:rsid w:val="0E4DDBFC"/>
    <w:rsid w:val="0E4E9D4F"/>
    <w:rsid w:val="0E4FAF0B"/>
    <w:rsid w:val="0E501487"/>
    <w:rsid w:val="0E5833F1"/>
    <w:rsid w:val="0E5BA6CC"/>
    <w:rsid w:val="0E5BC9A9"/>
    <w:rsid w:val="0E5E9387"/>
    <w:rsid w:val="0E5F76AC"/>
    <w:rsid w:val="0E6022AC"/>
    <w:rsid w:val="0E62451E"/>
    <w:rsid w:val="0E62F62B"/>
    <w:rsid w:val="0E6B60D8"/>
    <w:rsid w:val="0E7495F8"/>
    <w:rsid w:val="0E76774A"/>
    <w:rsid w:val="0E77C9D1"/>
    <w:rsid w:val="0E794A21"/>
    <w:rsid w:val="0E7C1952"/>
    <w:rsid w:val="0E7EB17C"/>
    <w:rsid w:val="0E7F9402"/>
    <w:rsid w:val="0E84D420"/>
    <w:rsid w:val="0E868D71"/>
    <w:rsid w:val="0E889523"/>
    <w:rsid w:val="0E88A1D9"/>
    <w:rsid w:val="0E8E20BF"/>
    <w:rsid w:val="0E93583D"/>
    <w:rsid w:val="0E938CFE"/>
    <w:rsid w:val="0E94B2BF"/>
    <w:rsid w:val="0E9A82AC"/>
    <w:rsid w:val="0E9B3BAF"/>
    <w:rsid w:val="0E9C628D"/>
    <w:rsid w:val="0EA50B09"/>
    <w:rsid w:val="0EA69C85"/>
    <w:rsid w:val="0EA793C3"/>
    <w:rsid w:val="0EAFB6BC"/>
    <w:rsid w:val="0EB36B01"/>
    <w:rsid w:val="0EBCDB1E"/>
    <w:rsid w:val="0EBD470D"/>
    <w:rsid w:val="0EC2836E"/>
    <w:rsid w:val="0EC863F9"/>
    <w:rsid w:val="0EC9C149"/>
    <w:rsid w:val="0ECCFA17"/>
    <w:rsid w:val="0ECFD7CA"/>
    <w:rsid w:val="0ED064BE"/>
    <w:rsid w:val="0ED1E1FD"/>
    <w:rsid w:val="0ED3CD48"/>
    <w:rsid w:val="0ED46268"/>
    <w:rsid w:val="0ED65A34"/>
    <w:rsid w:val="0ED7985B"/>
    <w:rsid w:val="0ED7D212"/>
    <w:rsid w:val="0EDC8581"/>
    <w:rsid w:val="0EE298F4"/>
    <w:rsid w:val="0EE48C5A"/>
    <w:rsid w:val="0EE7993B"/>
    <w:rsid w:val="0EE82590"/>
    <w:rsid w:val="0EF3A352"/>
    <w:rsid w:val="0EF3BBD3"/>
    <w:rsid w:val="0EF4A93D"/>
    <w:rsid w:val="0EF5BC10"/>
    <w:rsid w:val="0EF8A9EF"/>
    <w:rsid w:val="0EFAEF06"/>
    <w:rsid w:val="0EFF0732"/>
    <w:rsid w:val="0EFF8C52"/>
    <w:rsid w:val="0F036F59"/>
    <w:rsid w:val="0F047FCE"/>
    <w:rsid w:val="0F0B8E8B"/>
    <w:rsid w:val="0F0EC18A"/>
    <w:rsid w:val="0F11323E"/>
    <w:rsid w:val="0F13AE11"/>
    <w:rsid w:val="0F14F114"/>
    <w:rsid w:val="0F176421"/>
    <w:rsid w:val="0F1AF96E"/>
    <w:rsid w:val="0F213DA7"/>
    <w:rsid w:val="0F21E748"/>
    <w:rsid w:val="0F222B1D"/>
    <w:rsid w:val="0F24CDA8"/>
    <w:rsid w:val="0F24E107"/>
    <w:rsid w:val="0F2889DC"/>
    <w:rsid w:val="0F2F1CCA"/>
    <w:rsid w:val="0F314846"/>
    <w:rsid w:val="0F37114B"/>
    <w:rsid w:val="0F398258"/>
    <w:rsid w:val="0F3CE3A2"/>
    <w:rsid w:val="0F3FE597"/>
    <w:rsid w:val="0F406A23"/>
    <w:rsid w:val="0F480A3C"/>
    <w:rsid w:val="0F4900D9"/>
    <w:rsid w:val="0F490656"/>
    <w:rsid w:val="0F49FA50"/>
    <w:rsid w:val="0F4A2C0F"/>
    <w:rsid w:val="0F518156"/>
    <w:rsid w:val="0F54A134"/>
    <w:rsid w:val="0F56559A"/>
    <w:rsid w:val="0F5842B7"/>
    <w:rsid w:val="0F58DF0A"/>
    <w:rsid w:val="0F5B3AD5"/>
    <w:rsid w:val="0F5B5B41"/>
    <w:rsid w:val="0F5CB9FF"/>
    <w:rsid w:val="0F5DE2A4"/>
    <w:rsid w:val="0F5ECBC5"/>
    <w:rsid w:val="0F6253EC"/>
    <w:rsid w:val="0F643C4B"/>
    <w:rsid w:val="0F67EFD8"/>
    <w:rsid w:val="0F689A09"/>
    <w:rsid w:val="0F6C808A"/>
    <w:rsid w:val="0F6FA962"/>
    <w:rsid w:val="0F6FDB84"/>
    <w:rsid w:val="0F72325D"/>
    <w:rsid w:val="0F73395D"/>
    <w:rsid w:val="0F792762"/>
    <w:rsid w:val="0F89D569"/>
    <w:rsid w:val="0F8A55C2"/>
    <w:rsid w:val="0F8A997A"/>
    <w:rsid w:val="0F8CFB14"/>
    <w:rsid w:val="0F925A12"/>
    <w:rsid w:val="0F97ACA6"/>
    <w:rsid w:val="0F97DE73"/>
    <w:rsid w:val="0F9895B8"/>
    <w:rsid w:val="0F98D3F2"/>
    <w:rsid w:val="0F9923D8"/>
    <w:rsid w:val="0FA06523"/>
    <w:rsid w:val="0FA3835C"/>
    <w:rsid w:val="0FA48154"/>
    <w:rsid w:val="0FA57AE4"/>
    <w:rsid w:val="0FA6E089"/>
    <w:rsid w:val="0FA7B9F8"/>
    <w:rsid w:val="0FAA3A65"/>
    <w:rsid w:val="0FB01E86"/>
    <w:rsid w:val="0FB55A7E"/>
    <w:rsid w:val="0FB7E264"/>
    <w:rsid w:val="0FB83527"/>
    <w:rsid w:val="0FBA5FBB"/>
    <w:rsid w:val="0FBA71FC"/>
    <w:rsid w:val="0FBA9716"/>
    <w:rsid w:val="0FBF3CE7"/>
    <w:rsid w:val="0FC140E9"/>
    <w:rsid w:val="0FC247CD"/>
    <w:rsid w:val="0FC539DF"/>
    <w:rsid w:val="0FC6EF7D"/>
    <w:rsid w:val="0FCC359E"/>
    <w:rsid w:val="0FCC7597"/>
    <w:rsid w:val="0FCC7C61"/>
    <w:rsid w:val="0FCDECAF"/>
    <w:rsid w:val="0FD1A70D"/>
    <w:rsid w:val="0FD5C71B"/>
    <w:rsid w:val="0FD5E0A1"/>
    <w:rsid w:val="0FD737FE"/>
    <w:rsid w:val="0FD9B349"/>
    <w:rsid w:val="0FE00916"/>
    <w:rsid w:val="0FE082E5"/>
    <w:rsid w:val="0FE25B70"/>
    <w:rsid w:val="0FE4B289"/>
    <w:rsid w:val="0FEBAD27"/>
    <w:rsid w:val="0FF130C6"/>
    <w:rsid w:val="0FF319D2"/>
    <w:rsid w:val="0FF4F2E7"/>
    <w:rsid w:val="0FF64E2D"/>
    <w:rsid w:val="0FF6AA41"/>
    <w:rsid w:val="0FF8D332"/>
    <w:rsid w:val="0FFAA2BD"/>
    <w:rsid w:val="0FFAC092"/>
    <w:rsid w:val="1003CF21"/>
    <w:rsid w:val="1007E1EE"/>
    <w:rsid w:val="100ADA9D"/>
    <w:rsid w:val="100C3619"/>
    <w:rsid w:val="100F6790"/>
    <w:rsid w:val="1010AE2E"/>
    <w:rsid w:val="1012914A"/>
    <w:rsid w:val="1016485B"/>
    <w:rsid w:val="1019EA65"/>
    <w:rsid w:val="102354A3"/>
    <w:rsid w:val="102563DF"/>
    <w:rsid w:val="1025AFC4"/>
    <w:rsid w:val="102643E9"/>
    <w:rsid w:val="102709B6"/>
    <w:rsid w:val="1029630A"/>
    <w:rsid w:val="102C070B"/>
    <w:rsid w:val="10349FF9"/>
    <w:rsid w:val="10382EBB"/>
    <w:rsid w:val="103AD353"/>
    <w:rsid w:val="103CB37A"/>
    <w:rsid w:val="103DE21B"/>
    <w:rsid w:val="10438E2B"/>
    <w:rsid w:val="10440058"/>
    <w:rsid w:val="104498E8"/>
    <w:rsid w:val="1046A9F2"/>
    <w:rsid w:val="1048F7F0"/>
    <w:rsid w:val="104CC445"/>
    <w:rsid w:val="104D2B4E"/>
    <w:rsid w:val="104DC601"/>
    <w:rsid w:val="104E12FA"/>
    <w:rsid w:val="10520E77"/>
    <w:rsid w:val="10542813"/>
    <w:rsid w:val="105517F0"/>
    <w:rsid w:val="10574626"/>
    <w:rsid w:val="105A04EB"/>
    <w:rsid w:val="105F45E7"/>
    <w:rsid w:val="105FC82A"/>
    <w:rsid w:val="1060EAE6"/>
    <w:rsid w:val="10620F94"/>
    <w:rsid w:val="1063FBBE"/>
    <w:rsid w:val="10654A24"/>
    <w:rsid w:val="1065641A"/>
    <w:rsid w:val="1066794B"/>
    <w:rsid w:val="106A28FA"/>
    <w:rsid w:val="106E3CC7"/>
    <w:rsid w:val="107448FE"/>
    <w:rsid w:val="10777273"/>
    <w:rsid w:val="10780E24"/>
    <w:rsid w:val="10784772"/>
    <w:rsid w:val="1078C0C4"/>
    <w:rsid w:val="1078E51B"/>
    <w:rsid w:val="1078EF02"/>
    <w:rsid w:val="1079C815"/>
    <w:rsid w:val="107AEBCE"/>
    <w:rsid w:val="107BEF0D"/>
    <w:rsid w:val="107CA7C1"/>
    <w:rsid w:val="107D241B"/>
    <w:rsid w:val="1080DC3C"/>
    <w:rsid w:val="1081BCDC"/>
    <w:rsid w:val="10839714"/>
    <w:rsid w:val="1084C9EF"/>
    <w:rsid w:val="1085E657"/>
    <w:rsid w:val="108C9F19"/>
    <w:rsid w:val="10902FC8"/>
    <w:rsid w:val="1094A774"/>
    <w:rsid w:val="1096D73A"/>
    <w:rsid w:val="109817E8"/>
    <w:rsid w:val="10981CF6"/>
    <w:rsid w:val="10A2DE77"/>
    <w:rsid w:val="10A31284"/>
    <w:rsid w:val="10A324EB"/>
    <w:rsid w:val="10A3EB1D"/>
    <w:rsid w:val="10A470B3"/>
    <w:rsid w:val="10A47726"/>
    <w:rsid w:val="10A5F792"/>
    <w:rsid w:val="10A8C825"/>
    <w:rsid w:val="10A98149"/>
    <w:rsid w:val="10AB9A7F"/>
    <w:rsid w:val="10AD1ACF"/>
    <w:rsid w:val="10B180C7"/>
    <w:rsid w:val="10B50111"/>
    <w:rsid w:val="10B6D63C"/>
    <w:rsid w:val="10B959F5"/>
    <w:rsid w:val="10BAB9B1"/>
    <w:rsid w:val="10BC48DE"/>
    <w:rsid w:val="10BCA74F"/>
    <w:rsid w:val="10BD5554"/>
    <w:rsid w:val="10BEC0CC"/>
    <w:rsid w:val="10BF0234"/>
    <w:rsid w:val="10C12A5F"/>
    <w:rsid w:val="10C1C3CE"/>
    <w:rsid w:val="10C3BF87"/>
    <w:rsid w:val="10C5C111"/>
    <w:rsid w:val="10C61977"/>
    <w:rsid w:val="10C67502"/>
    <w:rsid w:val="10C7478B"/>
    <w:rsid w:val="10C7F099"/>
    <w:rsid w:val="10CA9112"/>
    <w:rsid w:val="10CB871C"/>
    <w:rsid w:val="10D018F6"/>
    <w:rsid w:val="10D11CC9"/>
    <w:rsid w:val="10D2062E"/>
    <w:rsid w:val="10D310D9"/>
    <w:rsid w:val="10D68B2A"/>
    <w:rsid w:val="10D7EEE1"/>
    <w:rsid w:val="10D9E1C6"/>
    <w:rsid w:val="10DCB75B"/>
    <w:rsid w:val="10DE76F5"/>
    <w:rsid w:val="10E265BD"/>
    <w:rsid w:val="10E28A95"/>
    <w:rsid w:val="10EAC580"/>
    <w:rsid w:val="10EC67FA"/>
    <w:rsid w:val="10EE2762"/>
    <w:rsid w:val="10EF73C4"/>
    <w:rsid w:val="10F2D8D3"/>
    <w:rsid w:val="10F35A28"/>
    <w:rsid w:val="10F41E92"/>
    <w:rsid w:val="10F9D381"/>
    <w:rsid w:val="10FA5D9B"/>
    <w:rsid w:val="10FAB869"/>
    <w:rsid w:val="10FB2A06"/>
    <w:rsid w:val="10FC090E"/>
    <w:rsid w:val="11047300"/>
    <w:rsid w:val="1104F971"/>
    <w:rsid w:val="11065D90"/>
    <w:rsid w:val="11113716"/>
    <w:rsid w:val="1118CBA9"/>
    <w:rsid w:val="111F8D90"/>
    <w:rsid w:val="11259743"/>
    <w:rsid w:val="11276B0E"/>
    <w:rsid w:val="112F1CA3"/>
    <w:rsid w:val="11302B07"/>
    <w:rsid w:val="1130E7F4"/>
    <w:rsid w:val="1134BB07"/>
    <w:rsid w:val="1135ABA4"/>
    <w:rsid w:val="1139B7B0"/>
    <w:rsid w:val="113B3A38"/>
    <w:rsid w:val="113E3D24"/>
    <w:rsid w:val="1141EC0C"/>
    <w:rsid w:val="11427378"/>
    <w:rsid w:val="11452FF1"/>
    <w:rsid w:val="11491AC6"/>
    <w:rsid w:val="11496ED4"/>
    <w:rsid w:val="114CB37F"/>
    <w:rsid w:val="114E65FE"/>
    <w:rsid w:val="114F6876"/>
    <w:rsid w:val="1151761D"/>
    <w:rsid w:val="11525635"/>
    <w:rsid w:val="1154338F"/>
    <w:rsid w:val="115B760D"/>
    <w:rsid w:val="115C5496"/>
    <w:rsid w:val="115E75A3"/>
    <w:rsid w:val="115EAAB5"/>
    <w:rsid w:val="11615BAA"/>
    <w:rsid w:val="11626D3D"/>
    <w:rsid w:val="116332CA"/>
    <w:rsid w:val="1163E6E5"/>
    <w:rsid w:val="116A3AC6"/>
    <w:rsid w:val="116BDA60"/>
    <w:rsid w:val="117013E9"/>
    <w:rsid w:val="11711655"/>
    <w:rsid w:val="117513C8"/>
    <w:rsid w:val="117518CD"/>
    <w:rsid w:val="1175D399"/>
    <w:rsid w:val="117D27BE"/>
    <w:rsid w:val="117E6990"/>
    <w:rsid w:val="1182A15F"/>
    <w:rsid w:val="11860878"/>
    <w:rsid w:val="118E896C"/>
    <w:rsid w:val="118F8DF6"/>
    <w:rsid w:val="1193B1E5"/>
    <w:rsid w:val="1195561E"/>
    <w:rsid w:val="11964184"/>
    <w:rsid w:val="1196691C"/>
    <w:rsid w:val="119B5738"/>
    <w:rsid w:val="11A416F1"/>
    <w:rsid w:val="11A63DDB"/>
    <w:rsid w:val="11A643A3"/>
    <w:rsid w:val="11ACAA6A"/>
    <w:rsid w:val="11B00B88"/>
    <w:rsid w:val="11B1394A"/>
    <w:rsid w:val="11B585B0"/>
    <w:rsid w:val="11B5ED0B"/>
    <w:rsid w:val="11B89E62"/>
    <w:rsid w:val="11BB244E"/>
    <w:rsid w:val="11BEC75A"/>
    <w:rsid w:val="11BF4DA6"/>
    <w:rsid w:val="11C4C1B8"/>
    <w:rsid w:val="11C5A116"/>
    <w:rsid w:val="11C7705B"/>
    <w:rsid w:val="11C7F41C"/>
    <w:rsid w:val="11C847A8"/>
    <w:rsid w:val="11CAEA7F"/>
    <w:rsid w:val="11CBF5D5"/>
    <w:rsid w:val="11CD072F"/>
    <w:rsid w:val="11CD55EB"/>
    <w:rsid w:val="11CFFCF4"/>
    <w:rsid w:val="11D5108A"/>
    <w:rsid w:val="11D57B08"/>
    <w:rsid w:val="11D64E90"/>
    <w:rsid w:val="11D9CA83"/>
    <w:rsid w:val="11DDEA4C"/>
    <w:rsid w:val="11DEC512"/>
    <w:rsid w:val="11DEEC66"/>
    <w:rsid w:val="11DF46F3"/>
    <w:rsid w:val="11E19C40"/>
    <w:rsid w:val="11E39971"/>
    <w:rsid w:val="11E42EC6"/>
    <w:rsid w:val="11E43E58"/>
    <w:rsid w:val="11E4510E"/>
    <w:rsid w:val="11EA913A"/>
    <w:rsid w:val="11EE6386"/>
    <w:rsid w:val="11F1CF97"/>
    <w:rsid w:val="11F63DB5"/>
    <w:rsid w:val="11F6F0CA"/>
    <w:rsid w:val="11F7E1CC"/>
    <w:rsid w:val="11FF352D"/>
    <w:rsid w:val="1201C1CB"/>
    <w:rsid w:val="12023AE8"/>
    <w:rsid w:val="1205A762"/>
    <w:rsid w:val="1209955A"/>
    <w:rsid w:val="120AA799"/>
    <w:rsid w:val="120BC7C0"/>
    <w:rsid w:val="120E5504"/>
    <w:rsid w:val="120FA3C6"/>
    <w:rsid w:val="1212DCF8"/>
    <w:rsid w:val="1212DD38"/>
    <w:rsid w:val="1214D12F"/>
    <w:rsid w:val="12162919"/>
    <w:rsid w:val="121630BC"/>
    <w:rsid w:val="1219CD64"/>
    <w:rsid w:val="121B3207"/>
    <w:rsid w:val="12224E13"/>
    <w:rsid w:val="1226E8DB"/>
    <w:rsid w:val="12301181"/>
    <w:rsid w:val="1231622A"/>
    <w:rsid w:val="12317235"/>
    <w:rsid w:val="12367A4F"/>
    <w:rsid w:val="123A9E3B"/>
    <w:rsid w:val="123B2126"/>
    <w:rsid w:val="123D3C0B"/>
    <w:rsid w:val="123E7B8C"/>
    <w:rsid w:val="12426D06"/>
    <w:rsid w:val="12461297"/>
    <w:rsid w:val="1247928B"/>
    <w:rsid w:val="12482388"/>
    <w:rsid w:val="124963DF"/>
    <w:rsid w:val="124B6BAA"/>
    <w:rsid w:val="12501D7D"/>
    <w:rsid w:val="125303B4"/>
    <w:rsid w:val="12530446"/>
    <w:rsid w:val="125376C5"/>
    <w:rsid w:val="1253EF72"/>
    <w:rsid w:val="12567FA2"/>
    <w:rsid w:val="125C110C"/>
    <w:rsid w:val="1260FD74"/>
    <w:rsid w:val="1267F9FC"/>
    <w:rsid w:val="1268A340"/>
    <w:rsid w:val="1269DB34"/>
    <w:rsid w:val="126B0C45"/>
    <w:rsid w:val="126C8ECC"/>
    <w:rsid w:val="126CE342"/>
    <w:rsid w:val="126E982C"/>
    <w:rsid w:val="12718005"/>
    <w:rsid w:val="12721D1D"/>
    <w:rsid w:val="1274ACD7"/>
    <w:rsid w:val="12770F85"/>
    <w:rsid w:val="12772F49"/>
    <w:rsid w:val="127D954C"/>
    <w:rsid w:val="1280AB64"/>
    <w:rsid w:val="128167FF"/>
    <w:rsid w:val="128320D2"/>
    <w:rsid w:val="128AC568"/>
    <w:rsid w:val="12934E79"/>
    <w:rsid w:val="1297417E"/>
    <w:rsid w:val="1297A26A"/>
    <w:rsid w:val="12984730"/>
    <w:rsid w:val="1298D6E6"/>
    <w:rsid w:val="129D05AF"/>
    <w:rsid w:val="129E0D17"/>
    <w:rsid w:val="12A0ADC8"/>
    <w:rsid w:val="12A4FF35"/>
    <w:rsid w:val="12A76148"/>
    <w:rsid w:val="12AC964F"/>
    <w:rsid w:val="12B2362A"/>
    <w:rsid w:val="12B2FFB3"/>
    <w:rsid w:val="12B55BFB"/>
    <w:rsid w:val="12B6EBBA"/>
    <w:rsid w:val="12B837A2"/>
    <w:rsid w:val="12BCB17F"/>
    <w:rsid w:val="12C11AE8"/>
    <w:rsid w:val="12C3AD8C"/>
    <w:rsid w:val="12C61FB0"/>
    <w:rsid w:val="12CAA38E"/>
    <w:rsid w:val="12CB793D"/>
    <w:rsid w:val="12CC0DF2"/>
    <w:rsid w:val="12CD113D"/>
    <w:rsid w:val="12CE5101"/>
    <w:rsid w:val="12D2AD9B"/>
    <w:rsid w:val="12D5AA30"/>
    <w:rsid w:val="12D5B036"/>
    <w:rsid w:val="12D5DD89"/>
    <w:rsid w:val="12D77515"/>
    <w:rsid w:val="12D8A3A6"/>
    <w:rsid w:val="12D96B76"/>
    <w:rsid w:val="12D97D10"/>
    <w:rsid w:val="12D9D71C"/>
    <w:rsid w:val="12DB71DE"/>
    <w:rsid w:val="12E1B781"/>
    <w:rsid w:val="12E36BFC"/>
    <w:rsid w:val="12E428E8"/>
    <w:rsid w:val="12E9ACB2"/>
    <w:rsid w:val="12EAC4F7"/>
    <w:rsid w:val="12EE0666"/>
    <w:rsid w:val="12F1C9A5"/>
    <w:rsid w:val="12F77DBC"/>
    <w:rsid w:val="12FE5829"/>
    <w:rsid w:val="12FF41CD"/>
    <w:rsid w:val="12FFFBB0"/>
    <w:rsid w:val="130456FA"/>
    <w:rsid w:val="13067BBB"/>
    <w:rsid w:val="13069412"/>
    <w:rsid w:val="130864C0"/>
    <w:rsid w:val="1308C856"/>
    <w:rsid w:val="1309D5FD"/>
    <w:rsid w:val="131322B2"/>
    <w:rsid w:val="131B33A3"/>
    <w:rsid w:val="131C198A"/>
    <w:rsid w:val="131C6E49"/>
    <w:rsid w:val="131D6A68"/>
    <w:rsid w:val="1320384D"/>
    <w:rsid w:val="13207F96"/>
    <w:rsid w:val="1322125F"/>
    <w:rsid w:val="1324AAA2"/>
    <w:rsid w:val="1324E9F6"/>
    <w:rsid w:val="132B6D3E"/>
    <w:rsid w:val="132C4514"/>
    <w:rsid w:val="13316D4B"/>
    <w:rsid w:val="133386BF"/>
    <w:rsid w:val="133914D3"/>
    <w:rsid w:val="13393D06"/>
    <w:rsid w:val="13419B85"/>
    <w:rsid w:val="13427803"/>
    <w:rsid w:val="1342A139"/>
    <w:rsid w:val="1343D723"/>
    <w:rsid w:val="1347FA24"/>
    <w:rsid w:val="134DD806"/>
    <w:rsid w:val="13560E75"/>
    <w:rsid w:val="13567E54"/>
    <w:rsid w:val="13582EBE"/>
    <w:rsid w:val="135870FB"/>
    <w:rsid w:val="135873F4"/>
    <w:rsid w:val="13587CDD"/>
    <w:rsid w:val="1358D513"/>
    <w:rsid w:val="135AD973"/>
    <w:rsid w:val="1361AC89"/>
    <w:rsid w:val="1363C750"/>
    <w:rsid w:val="136553FD"/>
    <w:rsid w:val="13675E7B"/>
    <w:rsid w:val="1367D2FE"/>
    <w:rsid w:val="136A4107"/>
    <w:rsid w:val="136E020B"/>
    <w:rsid w:val="13712A24"/>
    <w:rsid w:val="1376CA0C"/>
    <w:rsid w:val="1378CC94"/>
    <w:rsid w:val="1381CEF0"/>
    <w:rsid w:val="1382C2E7"/>
    <w:rsid w:val="1382CB7D"/>
    <w:rsid w:val="13847A25"/>
    <w:rsid w:val="13858896"/>
    <w:rsid w:val="13870E7F"/>
    <w:rsid w:val="13896342"/>
    <w:rsid w:val="138C5EE9"/>
    <w:rsid w:val="138DC4C7"/>
    <w:rsid w:val="138E2050"/>
    <w:rsid w:val="1391F5E9"/>
    <w:rsid w:val="1393FC40"/>
    <w:rsid w:val="1394AC6D"/>
    <w:rsid w:val="139A46B9"/>
    <w:rsid w:val="139AD0EA"/>
    <w:rsid w:val="139C1AA3"/>
    <w:rsid w:val="139D0B21"/>
    <w:rsid w:val="13A49EA5"/>
    <w:rsid w:val="13A98BEE"/>
    <w:rsid w:val="13AD6D87"/>
    <w:rsid w:val="13B0D0B4"/>
    <w:rsid w:val="13B21C2E"/>
    <w:rsid w:val="13B62E51"/>
    <w:rsid w:val="13B66DD4"/>
    <w:rsid w:val="13B74D4B"/>
    <w:rsid w:val="13B98E33"/>
    <w:rsid w:val="13C48AF1"/>
    <w:rsid w:val="13C6A7EE"/>
    <w:rsid w:val="13C8F0AD"/>
    <w:rsid w:val="13CE4A20"/>
    <w:rsid w:val="13D05101"/>
    <w:rsid w:val="13D06E5F"/>
    <w:rsid w:val="13D1BA79"/>
    <w:rsid w:val="13D1E777"/>
    <w:rsid w:val="13D22D4A"/>
    <w:rsid w:val="13D3F33D"/>
    <w:rsid w:val="13DCE125"/>
    <w:rsid w:val="13DE069B"/>
    <w:rsid w:val="13DF8FBD"/>
    <w:rsid w:val="13E5CF15"/>
    <w:rsid w:val="13E5DFBF"/>
    <w:rsid w:val="13E65B29"/>
    <w:rsid w:val="13E73182"/>
    <w:rsid w:val="13E7D2E2"/>
    <w:rsid w:val="13E7EEEC"/>
    <w:rsid w:val="13E971B0"/>
    <w:rsid w:val="13EAC0D5"/>
    <w:rsid w:val="13ED8835"/>
    <w:rsid w:val="13EF10C1"/>
    <w:rsid w:val="13EF7EBC"/>
    <w:rsid w:val="13F4E3A8"/>
    <w:rsid w:val="13F63414"/>
    <w:rsid w:val="13F7EA00"/>
    <w:rsid w:val="13FBCE0A"/>
    <w:rsid w:val="13FC5DFC"/>
    <w:rsid w:val="13FF85DE"/>
    <w:rsid w:val="1401CB4E"/>
    <w:rsid w:val="14022943"/>
    <w:rsid w:val="14039F6F"/>
    <w:rsid w:val="14065D36"/>
    <w:rsid w:val="1406F2F1"/>
    <w:rsid w:val="140C2335"/>
    <w:rsid w:val="140DFA9A"/>
    <w:rsid w:val="141066F3"/>
    <w:rsid w:val="14157E77"/>
    <w:rsid w:val="14195F2C"/>
    <w:rsid w:val="1419CBE6"/>
    <w:rsid w:val="1419DF86"/>
    <w:rsid w:val="141DCF99"/>
    <w:rsid w:val="141FEB33"/>
    <w:rsid w:val="14207550"/>
    <w:rsid w:val="14212389"/>
    <w:rsid w:val="1423E624"/>
    <w:rsid w:val="1425F382"/>
    <w:rsid w:val="1426CCEA"/>
    <w:rsid w:val="142A6AA5"/>
    <w:rsid w:val="142F62E9"/>
    <w:rsid w:val="1430551A"/>
    <w:rsid w:val="1431E320"/>
    <w:rsid w:val="14378005"/>
    <w:rsid w:val="14397BA1"/>
    <w:rsid w:val="1439BA76"/>
    <w:rsid w:val="143A3DB2"/>
    <w:rsid w:val="143B4C76"/>
    <w:rsid w:val="143BC01A"/>
    <w:rsid w:val="14457711"/>
    <w:rsid w:val="14465F3C"/>
    <w:rsid w:val="1446EE0B"/>
    <w:rsid w:val="144965D6"/>
    <w:rsid w:val="1449B9B6"/>
    <w:rsid w:val="144A70E0"/>
    <w:rsid w:val="14517B98"/>
    <w:rsid w:val="1451D0F7"/>
    <w:rsid w:val="145652C2"/>
    <w:rsid w:val="145827A0"/>
    <w:rsid w:val="1458A895"/>
    <w:rsid w:val="145976B2"/>
    <w:rsid w:val="14597B8C"/>
    <w:rsid w:val="145F493D"/>
    <w:rsid w:val="145F8593"/>
    <w:rsid w:val="145FAD71"/>
    <w:rsid w:val="1464F540"/>
    <w:rsid w:val="14656481"/>
    <w:rsid w:val="14657D7B"/>
    <w:rsid w:val="1465EFB4"/>
    <w:rsid w:val="146F8430"/>
    <w:rsid w:val="146F9FED"/>
    <w:rsid w:val="1472EC28"/>
    <w:rsid w:val="14755FF1"/>
    <w:rsid w:val="147A2A94"/>
    <w:rsid w:val="1480096C"/>
    <w:rsid w:val="14804FBF"/>
    <w:rsid w:val="1484F0F5"/>
    <w:rsid w:val="1487D6D2"/>
    <w:rsid w:val="1488C7EE"/>
    <w:rsid w:val="148BD4C9"/>
    <w:rsid w:val="148F3B26"/>
    <w:rsid w:val="149279B6"/>
    <w:rsid w:val="149299D3"/>
    <w:rsid w:val="1492DB28"/>
    <w:rsid w:val="1492EB7B"/>
    <w:rsid w:val="1492FCF2"/>
    <w:rsid w:val="14951BC6"/>
    <w:rsid w:val="1497461F"/>
    <w:rsid w:val="149D8471"/>
    <w:rsid w:val="14A1AD5D"/>
    <w:rsid w:val="14A54440"/>
    <w:rsid w:val="14A6FDE1"/>
    <w:rsid w:val="14AC3AA4"/>
    <w:rsid w:val="14AE6774"/>
    <w:rsid w:val="14B3B4D9"/>
    <w:rsid w:val="14B4EE59"/>
    <w:rsid w:val="14B5EB35"/>
    <w:rsid w:val="14B7C58E"/>
    <w:rsid w:val="14B829CE"/>
    <w:rsid w:val="14BBC40F"/>
    <w:rsid w:val="14BC67C1"/>
    <w:rsid w:val="14BEC89E"/>
    <w:rsid w:val="14C012D6"/>
    <w:rsid w:val="14C47A95"/>
    <w:rsid w:val="14C79A98"/>
    <w:rsid w:val="14C936A4"/>
    <w:rsid w:val="14CB4F91"/>
    <w:rsid w:val="14CE3A47"/>
    <w:rsid w:val="14D0A72A"/>
    <w:rsid w:val="14D1BA9B"/>
    <w:rsid w:val="14D207EF"/>
    <w:rsid w:val="14D2C716"/>
    <w:rsid w:val="14D8A531"/>
    <w:rsid w:val="14DAA539"/>
    <w:rsid w:val="14DAD5E1"/>
    <w:rsid w:val="14DB9255"/>
    <w:rsid w:val="14E12CE1"/>
    <w:rsid w:val="14E24626"/>
    <w:rsid w:val="14E2D939"/>
    <w:rsid w:val="14E404E1"/>
    <w:rsid w:val="14E4A99C"/>
    <w:rsid w:val="14E8B7C2"/>
    <w:rsid w:val="14EB91E9"/>
    <w:rsid w:val="14EC0E2D"/>
    <w:rsid w:val="14F67201"/>
    <w:rsid w:val="14FC0822"/>
    <w:rsid w:val="14FC1571"/>
    <w:rsid w:val="14FFD76B"/>
    <w:rsid w:val="14FFDD6D"/>
    <w:rsid w:val="1503B58D"/>
    <w:rsid w:val="1505A153"/>
    <w:rsid w:val="150A40C9"/>
    <w:rsid w:val="150A44F6"/>
    <w:rsid w:val="150F20C5"/>
    <w:rsid w:val="150F7BBD"/>
    <w:rsid w:val="151136FB"/>
    <w:rsid w:val="15125EA4"/>
    <w:rsid w:val="15129B43"/>
    <w:rsid w:val="1514EB33"/>
    <w:rsid w:val="1517BC5E"/>
    <w:rsid w:val="1518BA07"/>
    <w:rsid w:val="151A8E3F"/>
    <w:rsid w:val="151B0B35"/>
    <w:rsid w:val="151E1473"/>
    <w:rsid w:val="15206355"/>
    <w:rsid w:val="1523723A"/>
    <w:rsid w:val="152D07F4"/>
    <w:rsid w:val="152DAC3F"/>
    <w:rsid w:val="152E46A1"/>
    <w:rsid w:val="152E9E90"/>
    <w:rsid w:val="1531244D"/>
    <w:rsid w:val="1531F852"/>
    <w:rsid w:val="153511B8"/>
    <w:rsid w:val="153515CA"/>
    <w:rsid w:val="153780C7"/>
    <w:rsid w:val="153AFECC"/>
    <w:rsid w:val="153E2257"/>
    <w:rsid w:val="15443438"/>
    <w:rsid w:val="15474E52"/>
    <w:rsid w:val="15485106"/>
    <w:rsid w:val="154C8659"/>
    <w:rsid w:val="154F80F5"/>
    <w:rsid w:val="154FAD32"/>
    <w:rsid w:val="15529803"/>
    <w:rsid w:val="155703C9"/>
    <w:rsid w:val="155D2D64"/>
    <w:rsid w:val="155F0243"/>
    <w:rsid w:val="15623AC1"/>
    <w:rsid w:val="15630B77"/>
    <w:rsid w:val="15661613"/>
    <w:rsid w:val="156712B2"/>
    <w:rsid w:val="156823CD"/>
    <w:rsid w:val="1568D559"/>
    <w:rsid w:val="156D15EC"/>
    <w:rsid w:val="156E63C4"/>
    <w:rsid w:val="15711A1E"/>
    <w:rsid w:val="15727416"/>
    <w:rsid w:val="1572FA98"/>
    <w:rsid w:val="1576D461"/>
    <w:rsid w:val="1577B833"/>
    <w:rsid w:val="157D6B29"/>
    <w:rsid w:val="157EEDAA"/>
    <w:rsid w:val="157FBEEE"/>
    <w:rsid w:val="1580EFED"/>
    <w:rsid w:val="15833610"/>
    <w:rsid w:val="158351D9"/>
    <w:rsid w:val="15851928"/>
    <w:rsid w:val="1587CCB2"/>
    <w:rsid w:val="1589D12D"/>
    <w:rsid w:val="158F3068"/>
    <w:rsid w:val="15927A5E"/>
    <w:rsid w:val="1594A876"/>
    <w:rsid w:val="159773DB"/>
    <w:rsid w:val="1598D57F"/>
    <w:rsid w:val="1599D1D2"/>
    <w:rsid w:val="15A0844C"/>
    <w:rsid w:val="15A8D5E2"/>
    <w:rsid w:val="15ACB16F"/>
    <w:rsid w:val="15ACB933"/>
    <w:rsid w:val="15AD4250"/>
    <w:rsid w:val="15AF7529"/>
    <w:rsid w:val="15B2B8F5"/>
    <w:rsid w:val="15B433FF"/>
    <w:rsid w:val="15B44097"/>
    <w:rsid w:val="15B4CF09"/>
    <w:rsid w:val="15B52CAC"/>
    <w:rsid w:val="15B95E42"/>
    <w:rsid w:val="15BA5D1A"/>
    <w:rsid w:val="15BAD78B"/>
    <w:rsid w:val="15BBDD45"/>
    <w:rsid w:val="15BCC00C"/>
    <w:rsid w:val="15BEC6EF"/>
    <w:rsid w:val="15BFFE09"/>
    <w:rsid w:val="15C15FD8"/>
    <w:rsid w:val="15C37A72"/>
    <w:rsid w:val="15C479E0"/>
    <w:rsid w:val="15CB158E"/>
    <w:rsid w:val="15CC2719"/>
    <w:rsid w:val="15CD2C7B"/>
    <w:rsid w:val="15CD48E8"/>
    <w:rsid w:val="15CF7473"/>
    <w:rsid w:val="15D0673C"/>
    <w:rsid w:val="15D197DA"/>
    <w:rsid w:val="15D619B7"/>
    <w:rsid w:val="15D67802"/>
    <w:rsid w:val="15D8BD95"/>
    <w:rsid w:val="15DA77A6"/>
    <w:rsid w:val="15DD6783"/>
    <w:rsid w:val="15E51962"/>
    <w:rsid w:val="15E93CF2"/>
    <w:rsid w:val="15E9BCAD"/>
    <w:rsid w:val="15EB559C"/>
    <w:rsid w:val="15EFAD32"/>
    <w:rsid w:val="15F25A33"/>
    <w:rsid w:val="15F4E87C"/>
    <w:rsid w:val="15F72BCE"/>
    <w:rsid w:val="15F8253D"/>
    <w:rsid w:val="15F9F1FC"/>
    <w:rsid w:val="15FA9CF1"/>
    <w:rsid w:val="15FAF645"/>
    <w:rsid w:val="15FBA79E"/>
    <w:rsid w:val="15FDF248"/>
    <w:rsid w:val="160A7F69"/>
    <w:rsid w:val="160D8006"/>
    <w:rsid w:val="160E638E"/>
    <w:rsid w:val="160E7CB1"/>
    <w:rsid w:val="160FE793"/>
    <w:rsid w:val="161112BE"/>
    <w:rsid w:val="1611C300"/>
    <w:rsid w:val="1611DABA"/>
    <w:rsid w:val="16178132"/>
    <w:rsid w:val="161C9895"/>
    <w:rsid w:val="162125BC"/>
    <w:rsid w:val="1623D658"/>
    <w:rsid w:val="1625E932"/>
    <w:rsid w:val="16282C68"/>
    <w:rsid w:val="162AA4A2"/>
    <w:rsid w:val="162AD6A4"/>
    <w:rsid w:val="162B0704"/>
    <w:rsid w:val="162CC585"/>
    <w:rsid w:val="1630DD1F"/>
    <w:rsid w:val="16323482"/>
    <w:rsid w:val="16355DDF"/>
    <w:rsid w:val="1635B277"/>
    <w:rsid w:val="1635B7B0"/>
    <w:rsid w:val="1636E457"/>
    <w:rsid w:val="163786E9"/>
    <w:rsid w:val="1637E2F1"/>
    <w:rsid w:val="1637E576"/>
    <w:rsid w:val="1639F0BC"/>
    <w:rsid w:val="163B2CCA"/>
    <w:rsid w:val="163B506B"/>
    <w:rsid w:val="163B79A7"/>
    <w:rsid w:val="163BADA3"/>
    <w:rsid w:val="163FCD7D"/>
    <w:rsid w:val="16449AED"/>
    <w:rsid w:val="1647BF0A"/>
    <w:rsid w:val="16487708"/>
    <w:rsid w:val="164A2746"/>
    <w:rsid w:val="16508995"/>
    <w:rsid w:val="1653462D"/>
    <w:rsid w:val="1654D859"/>
    <w:rsid w:val="1654D96E"/>
    <w:rsid w:val="1656B17F"/>
    <w:rsid w:val="165A371F"/>
    <w:rsid w:val="165EEDA8"/>
    <w:rsid w:val="1660114A"/>
    <w:rsid w:val="16639BBE"/>
    <w:rsid w:val="1663E133"/>
    <w:rsid w:val="1665416A"/>
    <w:rsid w:val="16682EEB"/>
    <w:rsid w:val="1668A581"/>
    <w:rsid w:val="16698625"/>
    <w:rsid w:val="166C1A0E"/>
    <w:rsid w:val="1671B2E9"/>
    <w:rsid w:val="1675D2DE"/>
    <w:rsid w:val="16787E00"/>
    <w:rsid w:val="167C0233"/>
    <w:rsid w:val="167E509A"/>
    <w:rsid w:val="168045EE"/>
    <w:rsid w:val="1680A2BA"/>
    <w:rsid w:val="1681E069"/>
    <w:rsid w:val="1682CC93"/>
    <w:rsid w:val="168354EF"/>
    <w:rsid w:val="16896641"/>
    <w:rsid w:val="1689D7A9"/>
    <w:rsid w:val="168CE583"/>
    <w:rsid w:val="168CEFF3"/>
    <w:rsid w:val="1690AA27"/>
    <w:rsid w:val="16934B1B"/>
    <w:rsid w:val="16935B68"/>
    <w:rsid w:val="1696BDBE"/>
    <w:rsid w:val="16976DD0"/>
    <w:rsid w:val="16982F57"/>
    <w:rsid w:val="169C13B3"/>
    <w:rsid w:val="169C77AA"/>
    <w:rsid w:val="16A2767F"/>
    <w:rsid w:val="16A7091E"/>
    <w:rsid w:val="16A7CD7B"/>
    <w:rsid w:val="16A8F368"/>
    <w:rsid w:val="16A9FCE2"/>
    <w:rsid w:val="16AD7758"/>
    <w:rsid w:val="16B0B7EC"/>
    <w:rsid w:val="16B3CF38"/>
    <w:rsid w:val="16B581E0"/>
    <w:rsid w:val="16B7AD5C"/>
    <w:rsid w:val="16B7D2A7"/>
    <w:rsid w:val="16B7E327"/>
    <w:rsid w:val="16BDF3B4"/>
    <w:rsid w:val="16BF33A9"/>
    <w:rsid w:val="16C06A87"/>
    <w:rsid w:val="16C281FC"/>
    <w:rsid w:val="16C3C5CF"/>
    <w:rsid w:val="16C430D4"/>
    <w:rsid w:val="16C7DB21"/>
    <w:rsid w:val="16C94D50"/>
    <w:rsid w:val="16CB1282"/>
    <w:rsid w:val="16CB5D80"/>
    <w:rsid w:val="16CC0605"/>
    <w:rsid w:val="16CE5992"/>
    <w:rsid w:val="16CE7C5B"/>
    <w:rsid w:val="16CEB468"/>
    <w:rsid w:val="16CEFBDB"/>
    <w:rsid w:val="16CFD996"/>
    <w:rsid w:val="16D34E9D"/>
    <w:rsid w:val="16D88A6A"/>
    <w:rsid w:val="16D989F8"/>
    <w:rsid w:val="16DBF2C3"/>
    <w:rsid w:val="16DE91EE"/>
    <w:rsid w:val="16DF3238"/>
    <w:rsid w:val="16E12417"/>
    <w:rsid w:val="16E1D32B"/>
    <w:rsid w:val="16E217E3"/>
    <w:rsid w:val="16E2520C"/>
    <w:rsid w:val="16E6CE45"/>
    <w:rsid w:val="16EC10E5"/>
    <w:rsid w:val="16EF3A5D"/>
    <w:rsid w:val="16F6E19C"/>
    <w:rsid w:val="16F70143"/>
    <w:rsid w:val="16F992B5"/>
    <w:rsid w:val="16FB2A3E"/>
    <w:rsid w:val="16FD24AE"/>
    <w:rsid w:val="16FF5A98"/>
    <w:rsid w:val="16FF8B7B"/>
    <w:rsid w:val="17019C8B"/>
    <w:rsid w:val="170984C6"/>
    <w:rsid w:val="170A4A59"/>
    <w:rsid w:val="170C9B7D"/>
    <w:rsid w:val="170D373A"/>
    <w:rsid w:val="170FE22E"/>
    <w:rsid w:val="17122C17"/>
    <w:rsid w:val="171330B8"/>
    <w:rsid w:val="1713E89C"/>
    <w:rsid w:val="17158FBD"/>
    <w:rsid w:val="17190939"/>
    <w:rsid w:val="1719AFF7"/>
    <w:rsid w:val="171CAEBF"/>
    <w:rsid w:val="171DE73B"/>
    <w:rsid w:val="171E1AA9"/>
    <w:rsid w:val="171EE13A"/>
    <w:rsid w:val="172468AB"/>
    <w:rsid w:val="1726ABEB"/>
    <w:rsid w:val="172F2646"/>
    <w:rsid w:val="172F7B2B"/>
    <w:rsid w:val="1732CFA8"/>
    <w:rsid w:val="1733704D"/>
    <w:rsid w:val="1733AD85"/>
    <w:rsid w:val="1733C506"/>
    <w:rsid w:val="17344827"/>
    <w:rsid w:val="1734B780"/>
    <w:rsid w:val="1735C1A4"/>
    <w:rsid w:val="1737C060"/>
    <w:rsid w:val="1739A2FB"/>
    <w:rsid w:val="173C53B7"/>
    <w:rsid w:val="173E5A3D"/>
    <w:rsid w:val="173E6C64"/>
    <w:rsid w:val="173E8341"/>
    <w:rsid w:val="17402855"/>
    <w:rsid w:val="174284F4"/>
    <w:rsid w:val="1744826A"/>
    <w:rsid w:val="17491786"/>
    <w:rsid w:val="17494DE9"/>
    <w:rsid w:val="174B9A4B"/>
    <w:rsid w:val="17513B5A"/>
    <w:rsid w:val="17538008"/>
    <w:rsid w:val="175406C9"/>
    <w:rsid w:val="17544152"/>
    <w:rsid w:val="175532E6"/>
    <w:rsid w:val="175835E2"/>
    <w:rsid w:val="175BEA27"/>
    <w:rsid w:val="175F5C8C"/>
    <w:rsid w:val="17628C7D"/>
    <w:rsid w:val="1762DA53"/>
    <w:rsid w:val="1768056E"/>
    <w:rsid w:val="17714831"/>
    <w:rsid w:val="1772AF57"/>
    <w:rsid w:val="1773C328"/>
    <w:rsid w:val="1775339B"/>
    <w:rsid w:val="177637A0"/>
    <w:rsid w:val="177B0C94"/>
    <w:rsid w:val="177C9462"/>
    <w:rsid w:val="177DB68B"/>
    <w:rsid w:val="177DF2C2"/>
    <w:rsid w:val="177E3B66"/>
    <w:rsid w:val="178507BA"/>
    <w:rsid w:val="17854A79"/>
    <w:rsid w:val="17855644"/>
    <w:rsid w:val="178A31A0"/>
    <w:rsid w:val="178D9E4D"/>
    <w:rsid w:val="178DB030"/>
    <w:rsid w:val="179009C4"/>
    <w:rsid w:val="17903E06"/>
    <w:rsid w:val="17931975"/>
    <w:rsid w:val="1796999D"/>
    <w:rsid w:val="17970AD4"/>
    <w:rsid w:val="17988B4B"/>
    <w:rsid w:val="17998587"/>
    <w:rsid w:val="179EAC6A"/>
    <w:rsid w:val="17A0F970"/>
    <w:rsid w:val="17A16F69"/>
    <w:rsid w:val="17A348D3"/>
    <w:rsid w:val="17A4278C"/>
    <w:rsid w:val="17A4B4AC"/>
    <w:rsid w:val="17A6566B"/>
    <w:rsid w:val="17A82745"/>
    <w:rsid w:val="17A97961"/>
    <w:rsid w:val="17AA1D53"/>
    <w:rsid w:val="17AAB1D4"/>
    <w:rsid w:val="17AFFB42"/>
    <w:rsid w:val="17B20366"/>
    <w:rsid w:val="17B70818"/>
    <w:rsid w:val="17B7A8E4"/>
    <w:rsid w:val="17B8B83F"/>
    <w:rsid w:val="17B8F25E"/>
    <w:rsid w:val="17BAF2FC"/>
    <w:rsid w:val="17C2F016"/>
    <w:rsid w:val="17C70035"/>
    <w:rsid w:val="17C94549"/>
    <w:rsid w:val="17CB05D0"/>
    <w:rsid w:val="17CB5A2D"/>
    <w:rsid w:val="17CF10A2"/>
    <w:rsid w:val="17D319C8"/>
    <w:rsid w:val="17D607D5"/>
    <w:rsid w:val="17D61995"/>
    <w:rsid w:val="17D81328"/>
    <w:rsid w:val="17D99642"/>
    <w:rsid w:val="17DCA61D"/>
    <w:rsid w:val="17DE6471"/>
    <w:rsid w:val="17E10093"/>
    <w:rsid w:val="17E249C5"/>
    <w:rsid w:val="17EB0491"/>
    <w:rsid w:val="17EBC073"/>
    <w:rsid w:val="17FC9F31"/>
    <w:rsid w:val="18014A10"/>
    <w:rsid w:val="180466EA"/>
    <w:rsid w:val="18066FD1"/>
    <w:rsid w:val="1807454D"/>
    <w:rsid w:val="180B3838"/>
    <w:rsid w:val="18140E91"/>
    <w:rsid w:val="18161B04"/>
    <w:rsid w:val="18170E20"/>
    <w:rsid w:val="1819E0DD"/>
    <w:rsid w:val="18205CB7"/>
    <w:rsid w:val="18256331"/>
    <w:rsid w:val="182613FA"/>
    <w:rsid w:val="1826CA30"/>
    <w:rsid w:val="182751E1"/>
    <w:rsid w:val="1827933B"/>
    <w:rsid w:val="182A47B1"/>
    <w:rsid w:val="182D7E5B"/>
    <w:rsid w:val="18325C9B"/>
    <w:rsid w:val="1833576E"/>
    <w:rsid w:val="1834A1CB"/>
    <w:rsid w:val="18389E64"/>
    <w:rsid w:val="1839DD51"/>
    <w:rsid w:val="183A01AE"/>
    <w:rsid w:val="183E14E0"/>
    <w:rsid w:val="183F9A4A"/>
    <w:rsid w:val="1840827F"/>
    <w:rsid w:val="18456147"/>
    <w:rsid w:val="18462E85"/>
    <w:rsid w:val="1846AEDA"/>
    <w:rsid w:val="1848A153"/>
    <w:rsid w:val="1848C3C6"/>
    <w:rsid w:val="18495BEC"/>
    <w:rsid w:val="184CFA68"/>
    <w:rsid w:val="184E6D9B"/>
    <w:rsid w:val="18520519"/>
    <w:rsid w:val="18539A61"/>
    <w:rsid w:val="1853DC9A"/>
    <w:rsid w:val="1855EF02"/>
    <w:rsid w:val="1859159D"/>
    <w:rsid w:val="18594635"/>
    <w:rsid w:val="185986F2"/>
    <w:rsid w:val="185D77B1"/>
    <w:rsid w:val="1861E4CB"/>
    <w:rsid w:val="18636B5D"/>
    <w:rsid w:val="1863D5C6"/>
    <w:rsid w:val="186691AD"/>
    <w:rsid w:val="18673A5F"/>
    <w:rsid w:val="1867EC4A"/>
    <w:rsid w:val="1868373C"/>
    <w:rsid w:val="1869EE94"/>
    <w:rsid w:val="186C8F00"/>
    <w:rsid w:val="186D0A01"/>
    <w:rsid w:val="186DA078"/>
    <w:rsid w:val="186F57D5"/>
    <w:rsid w:val="186F96D3"/>
    <w:rsid w:val="18771E70"/>
    <w:rsid w:val="1877E1A3"/>
    <w:rsid w:val="187A5EA3"/>
    <w:rsid w:val="187C9C1E"/>
    <w:rsid w:val="187CFE67"/>
    <w:rsid w:val="1885A9F0"/>
    <w:rsid w:val="188E36EF"/>
    <w:rsid w:val="188EA3D0"/>
    <w:rsid w:val="1891D596"/>
    <w:rsid w:val="18922537"/>
    <w:rsid w:val="1892DFA6"/>
    <w:rsid w:val="1896FE96"/>
    <w:rsid w:val="189745D7"/>
    <w:rsid w:val="1897B8B1"/>
    <w:rsid w:val="189BEB4E"/>
    <w:rsid w:val="18A038CF"/>
    <w:rsid w:val="18A112E3"/>
    <w:rsid w:val="18A36940"/>
    <w:rsid w:val="18A4F940"/>
    <w:rsid w:val="18A60938"/>
    <w:rsid w:val="18AAAF88"/>
    <w:rsid w:val="18AB03B8"/>
    <w:rsid w:val="18AE5CDD"/>
    <w:rsid w:val="18B09B23"/>
    <w:rsid w:val="18B0A556"/>
    <w:rsid w:val="18B26EB6"/>
    <w:rsid w:val="18B27D85"/>
    <w:rsid w:val="18B9CD6E"/>
    <w:rsid w:val="18BDC0E7"/>
    <w:rsid w:val="18BE3020"/>
    <w:rsid w:val="18C36BB4"/>
    <w:rsid w:val="18D00A4F"/>
    <w:rsid w:val="18D34D36"/>
    <w:rsid w:val="18D953D3"/>
    <w:rsid w:val="18D9858F"/>
    <w:rsid w:val="18DC8BD5"/>
    <w:rsid w:val="18E104CB"/>
    <w:rsid w:val="18E26A97"/>
    <w:rsid w:val="18E4FA66"/>
    <w:rsid w:val="18EADBE7"/>
    <w:rsid w:val="18F096AC"/>
    <w:rsid w:val="18F0D9B5"/>
    <w:rsid w:val="18F0F818"/>
    <w:rsid w:val="18F2B432"/>
    <w:rsid w:val="18F45681"/>
    <w:rsid w:val="18F62AB2"/>
    <w:rsid w:val="18F6D8B7"/>
    <w:rsid w:val="18F8BD65"/>
    <w:rsid w:val="18F9EE3E"/>
    <w:rsid w:val="18FA4064"/>
    <w:rsid w:val="18FBF6B2"/>
    <w:rsid w:val="18FECF09"/>
    <w:rsid w:val="1903993B"/>
    <w:rsid w:val="1904C037"/>
    <w:rsid w:val="19057581"/>
    <w:rsid w:val="190EAE9F"/>
    <w:rsid w:val="190EDEC2"/>
    <w:rsid w:val="191080C0"/>
    <w:rsid w:val="19154A40"/>
    <w:rsid w:val="1915584A"/>
    <w:rsid w:val="1918ED34"/>
    <w:rsid w:val="1919BB5C"/>
    <w:rsid w:val="1919CEDB"/>
    <w:rsid w:val="1920610B"/>
    <w:rsid w:val="19207738"/>
    <w:rsid w:val="19223276"/>
    <w:rsid w:val="19239E7C"/>
    <w:rsid w:val="1924B242"/>
    <w:rsid w:val="192B2904"/>
    <w:rsid w:val="192ED662"/>
    <w:rsid w:val="19301B88"/>
    <w:rsid w:val="19335103"/>
    <w:rsid w:val="1936C657"/>
    <w:rsid w:val="193A7F7B"/>
    <w:rsid w:val="19414029"/>
    <w:rsid w:val="1941BD28"/>
    <w:rsid w:val="194255C7"/>
    <w:rsid w:val="19485892"/>
    <w:rsid w:val="1948A7EA"/>
    <w:rsid w:val="19553EBC"/>
    <w:rsid w:val="195942DE"/>
    <w:rsid w:val="195EDC51"/>
    <w:rsid w:val="1960EE0B"/>
    <w:rsid w:val="1961662B"/>
    <w:rsid w:val="196191F4"/>
    <w:rsid w:val="196818E8"/>
    <w:rsid w:val="19685B71"/>
    <w:rsid w:val="196BE4E1"/>
    <w:rsid w:val="196CA97F"/>
    <w:rsid w:val="196D2A9B"/>
    <w:rsid w:val="196DCA95"/>
    <w:rsid w:val="196F35F0"/>
    <w:rsid w:val="196F436F"/>
    <w:rsid w:val="1971AC54"/>
    <w:rsid w:val="19751080"/>
    <w:rsid w:val="19765081"/>
    <w:rsid w:val="197A4499"/>
    <w:rsid w:val="1982743F"/>
    <w:rsid w:val="1983CC7B"/>
    <w:rsid w:val="1984A57D"/>
    <w:rsid w:val="19873149"/>
    <w:rsid w:val="19893513"/>
    <w:rsid w:val="198A1BC9"/>
    <w:rsid w:val="198D09A5"/>
    <w:rsid w:val="198D17D7"/>
    <w:rsid w:val="198FED49"/>
    <w:rsid w:val="1991A514"/>
    <w:rsid w:val="1992133C"/>
    <w:rsid w:val="19947162"/>
    <w:rsid w:val="1997785A"/>
    <w:rsid w:val="19A12692"/>
    <w:rsid w:val="19A2AFC8"/>
    <w:rsid w:val="19AA0988"/>
    <w:rsid w:val="19AD48E3"/>
    <w:rsid w:val="19AE0ED1"/>
    <w:rsid w:val="19AF01FC"/>
    <w:rsid w:val="19AF2407"/>
    <w:rsid w:val="19B3CBDD"/>
    <w:rsid w:val="19B63471"/>
    <w:rsid w:val="19B69233"/>
    <w:rsid w:val="19BB9C80"/>
    <w:rsid w:val="19BF11EA"/>
    <w:rsid w:val="19BF3C6D"/>
    <w:rsid w:val="19BFCA34"/>
    <w:rsid w:val="19CDEC3A"/>
    <w:rsid w:val="19D348D1"/>
    <w:rsid w:val="19D3E872"/>
    <w:rsid w:val="19D7B97D"/>
    <w:rsid w:val="19D9B5FC"/>
    <w:rsid w:val="19DD4983"/>
    <w:rsid w:val="19DDE328"/>
    <w:rsid w:val="19DEAD94"/>
    <w:rsid w:val="19E07631"/>
    <w:rsid w:val="19E45351"/>
    <w:rsid w:val="19E5AA89"/>
    <w:rsid w:val="19E728D5"/>
    <w:rsid w:val="19E9156B"/>
    <w:rsid w:val="19E95557"/>
    <w:rsid w:val="19E9DF3C"/>
    <w:rsid w:val="19EA6094"/>
    <w:rsid w:val="19EA6BF3"/>
    <w:rsid w:val="19EAE454"/>
    <w:rsid w:val="19EB0779"/>
    <w:rsid w:val="19EC67A7"/>
    <w:rsid w:val="19ED0248"/>
    <w:rsid w:val="19F21C07"/>
    <w:rsid w:val="19F28F5D"/>
    <w:rsid w:val="19F2AD7C"/>
    <w:rsid w:val="19F41FDA"/>
    <w:rsid w:val="19F63406"/>
    <w:rsid w:val="19F67AC9"/>
    <w:rsid w:val="19FA39ED"/>
    <w:rsid w:val="19FAD087"/>
    <w:rsid w:val="1A03DD1C"/>
    <w:rsid w:val="1A09419A"/>
    <w:rsid w:val="1A0960A9"/>
    <w:rsid w:val="1A0A1E83"/>
    <w:rsid w:val="1A0A4A33"/>
    <w:rsid w:val="1A0BF3BC"/>
    <w:rsid w:val="1A0C8015"/>
    <w:rsid w:val="1A0D0337"/>
    <w:rsid w:val="1A0D2F9E"/>
    <w:rsid w:val="1A128FE5"/>
    <w:rsid w:val="1A12AAEE"/>
    <w:rsid w:val="1A133FF6"/>
    <w:rsid w:val="1A134E93"/>
    <w:rsid w:val="1A17341A"/>
    <w:rsid w:val="1A17D423"/>
    <w:rsid w:val="1A18786B"/>
    <w:rsid w:val="1A19D800"/>
    <w:rsid w:val="1A1AD399"/>
    <w:rsid w:val="1A1DE5B6"/>
    <w:rsid w:val="1A1F273C"/>
    <w:rsid w:val="1A1FB5D3"/>
    <w:rsid w:val="1A23DE22"/>
    <w:rsid w:val="1A252531"/>
    <w:rsid w:val="1A28C29F"/>
    <w:rsid w:val="1A2904E0"/>
    <w:rsid w:val="1A2A9F24"/>
    <w:rsid w:val="1A2AE2C2"/>
    <w:rsid w:val="1A2C5006"/>
    <w:rsid w:val="1A3064F7"/>
    <w:rsid w:val="1A32DD7C"/>
    <w:rsid w:val="1A35E48C"/>
    <w:rsid w:val="1A3624A9"/>
    <w:rsid w:val="1A372714"/>
    <w:rsid w:val="1A394249"/>
    <w:rsid w:val="1A397E8A"/>
    <w:rsid w:val="1A3CFC6C"/>
    <w:rsid w:val="1A407A6B"/>
    <w:rsid w:val="1A414E04"/>
    <w:rsid w:val="1A4311B0"/>
    <w:rsid w:val="1A44288C"/>
    <w:rsid w:val="1A48D841"/>
    <w:rsid w:val="1A4B6851"/>
    <w:rsid w:val="1A4D7FC6"/>
    <w:rsid w:val="1A4D9BD4"/>
    <w:rsid w:val="1A5056E2"/>
    <w:rsid w:val="1A5081C3"/>
    <w:rsid w:val="1A535B7A"/>
    <w:rsid w:val="1A537FCF"/>
    <w:rsid w:val="1A53A51A"/>
    <w:rsid w:val="1A547586"/>
    <w:rsid w:val="1A551297"/>
    <w:rsid w:val="1A56E7A8"/>
    <w:rsid w:val="1A589E52"/>
    <w:rsid w:val="1A5AA925"/>
    <w:rsid w:val="1A5F2E80"/>
    <w:rsid w:val="1A627D3E"/>
    <w:rsid w:val="1A657FED"/>
    <w:rsid w:val="1A661A06"/>
    <w:rsid w:val="1A67E33C"/>
    <w:rsid w:val="1A6B7BC1"/>
    <w:rsid w:val="1A773D20"/>
    <w:rsid w:val="1A790FB5"/>
    <w:rsid w:val="1A7B1ACE"/>
    <w:rsid w:val="1A7E68A2"/>
    <w:rsid w:val="1A812A32"/>
    <w:rsid w:val="1A86DEC4"/>
    <w:rsid w:val="1A87AC57"/>
    <w:rsid w:val="1A8AB4C3"/>
    <w:rsid w:val="1A900FE7"/>
    <w:rsid w:val="1A92340A"/>
    <w:rsid w:val="1A9A29A9"/>
    <w:rsid w:val="1A9A7529"/>
    <w:rsid w:val="1A9F7DAE"/>
    <w:rsid w:val="1AA0FBCF"/>
    <w:rsid w:val="1AA707AD"/>
    <w:rsid w:val="1AA9397A"/>
    <w:rsid w:val="1AAE6354"/>
    <w:rsid w:val="1AAFE4C6"/>
    <w:rsid w:val="1AB22CAB"/>
    <w:rsid w:val="1AB2B82A"/>
    <w:rsid w:val="1AB2C54B"/>
    <w:rsid w:val="1AB61ABA"/>
    <w:rsid w:val="1AB6ADC2"/>
    <w:rsid w:val="1AB8F3BB"/>
    <w:rsid w:val="1AB92E83"/>
    <w:rsid w:val="1ABAAF89"/>
    <w:rsid w:val="1ABAFC5A"/>
    <w:rsid w:val="1ABB8B25"/>
    <w:rsid w:val="1ABFB62E"/>
    <w:rsid w:val="1AC3AFC2"/>
    <w:rsid w:val="1ACC5B7C"/>
    <w:rsid w:val="1ACE2469"/>
    <w:rsid w:val="1ACEA415"/>
    <w:rsid w:val="1AD254C5"/>
    <w:rsid w:val="1AD28244"/>
    <w:rsid w:val="1ADCDA7E"/>
    <w:rsid w:val="1ADE3904"/>
    <w:rsid w:val="1AE01B34"/>
    <w:rsid w:val="1AE1B0FC"/>
    <w:rsid w:val="1AE30185"/>
    <w:rsid w:val="1AEA66D2"/>
    <w:rsid w:val="1AEC4C92"/>
    <w:rsid w:val="1AF30BB1"/>
    <w:rsid w:val="1AF314F7"/>
    <w:rsid w:val="1AF356BD"/>
    <w:rsid w:val="1AF5E7DE"/>
    <w:rsid w:val="1AF66828"/>
    <w:rsid w:val="1AFB1297"/>
    <w:rsid w:val="1AFCEB24"/>
    <w:rsid w:val="1B023852"/>
    <w:rsid w:val="1B031702"/>
    <w:rsid w:val="1B0429DF"/>
    <w:rsid w:val="1B05C97F"/>
    <w:rsid w:val="1B072CCA"/>
    <w:rsid w:val="1B086E3C"/>
    <w:rsid w:val="1B0DA709"/>
    <w:rsid w:val="1B12F5C3"/>
    <w:rsid w:val="1B13107D"/>
    <w:rsid w:val="1B14EDA3"/>
    <w:rsid w:val="1B16BD9A"/>
    <w:rsid w:val="1B1A85F7"/>
    <w:rsid w:val="1B1B80FA"/>
    <w:rsid w:val="1B1C58F7"/>
    <w:rsid w:val="1B1C98AB"/>
    <w:rsid w:val="1B2ADB72"/>
    <w:rsid w:val="1B2DB5C8"/>
    <w:rsid w:val="1B326EC1"/>
    <w:rsid w:val="1B348C94"/>
    <w:rsid w:val="1B373BDE"/>
    <w:rsid w:val="1B39DFDF"/>
    <w:rsid w:val="1B3DDED1"/>
    <w:rsid w:val="1B3F1439"/>
    <w:rsid w:val="1B3FD226"/>
    <w:rsid w:val="1B415442"/>
    <w:rsid w:val="1B416B5B"/>
    <w:rsid w:val="1B45D9E9"/>
    <w:rsid w:val="1B4671CE"/>
    <w:rsid w:val="1B474266"/>
    <w:rsid w:val="1B4A531B"/>
    <w:rsid w:val="1B4AB32D"/>
    <w:rsid w:val="1B4CEB15"/>
    <w:rsid w:val="1B4E371B"/>
    <w:rsid w:val="1B55A87E"/>
    <w:rsid w:val="1B587197"/>
    <w:rsid w:val="1B5C0DB2"/>
    <w:rsid w:val="1B626164"/>
    <w:rsid w:val="1B6490F1"/>
    <w:rsid w:val="1B673BB8"/>
    <w:rsid w:val="1B68F4F0"/>
    <w:rsid w:val="1B6A00B2"/>
    <w:rsid w:val="1B73971A"/>
    <w:rsid w:val="1B741160"/>
    <w:rsid w:val="1B74C6A9"/>
    <w:rsid w:val="1B75C067"/>
    <w:rsid w:val="1B76852B"/>
    <w:rsid w:val="1B7A5C97"/>
    <w:rsid w:val="1B7A676F"/>
    <w:rsid w:val="1B871219"/>
    <w:rsid w:val="1B87A64F"/>
    <w:rsid w:val="1B87E582"/>
    <w:rsid w:val="1B880EE9"/>
    <w:rsid w:val="1B8C0035"/>
    <w:rsid w:val="1B8D5FE6"/>
    <w:rsid w:val="1B8D7EDD"/>
    <w:rsid w:val="1B8E837B"/>
    <w:rsid w:val="1B90295E"/>
    <w:rsid w:val="1B95009F"/>
    <w:rsid w:val="1B96E07D"/>
    <w:rsid w:val="1B975CF7"/>
    <w:rsid w:val="1B97A4C5"/>
    <w:rsid w:val="1B9A89E9"/>
    <w:rsid w:val="1B9D09B7"/>
    <w:rsid w:val="1BA00311"/>
    <w:rsid w:val="1BA17D13"/>
    <w:rsid w:val="1BAA26CC"/>
    <w:rsid w:val="1BAB141D"/>
    <w:rsid w:val="1BACDAC4"/>
    <w:rsid w:val="1BAD3CC0"/>
    <w:rsid w:val="1BAE3B4B"/>
    <w:rsid w:val="1BB1E80F"/>
    <w:rsid w:val="1BB31224"/>
    <w:rsid w:val="1BB376A7"/>
    <w:rsid w:val="1BB53871"/>
    <w:rsid w:val="1BB5EB7D"/>
    <w:rsid w:val="1BB63164"/>
    <w:rsid w:val="1BB7593A"/>
    <w:rsid w:val="1BB83B77"/>
    <w:rsid w:val="1BBA03E8"/>
    <w:rsid w:val="1BBA7111"/>
    <w:rsid w:val="1BBE4B68"/>
    <w:rsid w:val="1BBEA8AE"/>
    <w:rsid w:val="1BC11FE2"/>
    <w:rsid w:val="1BC2E106"/>
    <w:rsid w:val="1BC57ED5"/>
    <w:rsid w:val="1BCBA17A"/>
    <w:rsid w:val="1BCDD64D"/>
    <w:rsid w:val="1BD1B2CA"/>
    <w:rsid w:val="1BD1C3BF"/>
    <w:rsid w:val="1BD2365B"/>
    <w:rsid w:val="1BD37B85"/>
    <w:rsid w:val="1BD5BC14"/>
    <w:rsid w:val="1BDC0D40"/>
    <w:rsid w:val="1BDD767C"/>
    <w:rsid w:val="1BE0B638"/>
    <w:rsid w:val="1BE19E9D"/>
    <w:rsid w:val="1BE275E2"/>
    <w:rsid w:val="1BE29270"/>
    <w:rsid w:val="1BE388B2"/>
    <w:rsid w:val="1BE4F2AA"/>
    <w:rsid w:val="1BE6C966"/>
    <w:rsid w:val="1BEE48A0"/>
    <w:rsid w:val="1BEF5112"/>
    <w:rsid w:val="1BF0CB33"/>
    <w:rsid w:val="1BF3157E"/>
    <w:rsid w:val="1BF419A6"/>
    <w:rsid w:val="1BF66C53"/>
    <w:rsid w:val="1BF77DB4"/>
    <w:rsid w:val="1BF7D9CE"/>
    <w:rsid w:val="1BF9863F"/>
    <w:rsid w:val="1BFAF083"/>
    <w:rsid w:val="1BFB1438"/>
    <w:rsid w:val="1BFD8211"/>
    <w:rsid w:val="1C015CB8"/>
    <w:rsid w:val="1C01F26F"/>
    <w:rsid w:val="1C031C3B"/>
    <w:rsid w:val="1C04237B"/>
    <w:rsid w:val="1C0516EC"/>
    <w:rsid w:val="1C064582"/>
    <w:rsid w:val="1C06A67E"/>
    <w:rsid w:val="1C0889C0"/>
    <w:rsid w:val="1C0BAB4C"/>
    <w:rsid w:val="1C0E8B12"/>
    <w:rsid w:val="1C107508"/>
    <w:rsid w:val="1C10FB8A"/>
    <w:rsid w:val="1C120ECE"/>
    <w:rsid w:val="1C12D827"/>
    <w:rsid w:val="1C14DA1C"/>
    <w:rsid w:val="1C14F1EE"/>
    <w:rsid w:val="1C167A93"/>
    <w:rsid w:val="1C16E292"/>
    <w:rsid w:val="1C17D781"/>
    <w:rsid w:val="1C1E2975"/>
    <w:rsid w:val="1C210680"/>
    <w:rsid w:val="1C231DEF"/>
    <w:rsid w:val="1C275B39"/>
    <w:rsid w:val="1C28D65F"/>
    <w:rsid w:val="1C296D7A"/>
    <w:rsid w:val="1C2A6049"/>
    <w:rsid w:val="1C2A9095"/>
    <w:rsid w:val="1C2C79F7"/>
    <w:rsid w:val="1C2FEC12"/>
    <w:rsid w:val="1C31B153"/>
    <w:rsid w:val="1C324FED"/>
    <w:rsid w:val="1C388487"/>
    <w:rsid w:val="1C3A9C0C"/>
    <w:rsid w:val="1C3AB60E"/>
    <w:rsid w:val="1C3EE7DC"/>
    <w:rsid w:val="1C42B3CB"/>
    <w:rsid w:val="1C474B41"/>
    <w:rsid w:val="1C4D47C9"/>
    <w:rsid w:val="1C4EB7C0"/>
    <w:rsid w:val="1C4F211C"/>
    <w:rsid w:val="1C4FC94D"/>
    <w:rsid w:val="1C52DF85"/>
    <w:rsid w:val="1C5533F4"/>
    <w:rsid w:val="1C57B72D"/>
    <w:rsid w:val="1C5C2435"/>
    <w:rsid w:val="1C5C2E0E"/>
    <w:rsid w:val="1C610AA2"/>
    <w:rsid w:val="1C629F5B"/>
    <w:rsid w:val="1C6790E2"/>
    <w:rsid w:val="1C6B143A"/>
    <w:rsid w:val="1C6BD8B7"/>
    <w:rsid w:val="1C6DE0D0"/>
    <w:rsid w:val="1C741459"/>
    <w:rsid w:val="1C74277B"/>
    <w:rsid w:val="1C7909CD"/>
    <w:rsid w:val="1C79CBC7"/>
    <w:rsid w:val="1C7D3F86"/>
    <w:rsid w:val="1C7F3E71"/>
    <w:rsid w:val="1C817594"/>
    <w:rsid w:val="1C832EF9"/>
    <w:rsid w:val="1C8A07BD"/>
    <w:rsid w:val="1C8B7058"/>
    <w:rsid w:val="1C8BD34C"/>
    <w:rsid w:val="1C8C82D4"/>
    <w:rsid w:val="1C8D5081"/>
    <w:rsid w:val="1C8E389E"/>
    <w:rsid w:val="1C8E6587"/>
    <w:rsid w:val="1C94F14C"/>
    <w:rsid w:val="1C967F92"/>
    <w:rsid w:val="1C9805BD"/>
    <w:rsid w:val="1C992EF4"/>
    <w:rsid w:val="1C99E459"/>
    <w:rsid w:val="1C9E52D0"/>
    <w:rsid w:val="1CA461E4"/>
    <w:rsid w:val="1CA59B83"/>
    <w:rsid w:val="1CAC4265"/>
    <w:rsid w:val="1CAF9B05"/>
    <w:rsid w:val="1CAFFA99"/>
    <w:rsid w:val="1CB0FF4E"/>
    <w:rsid w:val="1CB2A36F"/>
    <w:rsid w:val="1CB71805"/>
    <w:rsid w:val="1CB737C9"/>
    <w:rsid w:val="1CBC8D30"/>
    <w:rsid w:val="1CBCBDC1"/>
    <w:rsid w:val="1CC00C8E"/>
    <w:rsid w:val="1CC3CA15"/>
    <w:rsid w:val="1CC50EF8"/>
    <w:rsid w:val="1CC9E4AB"/>
    <w:rsid w:val="1CCA5B34"/>
    <w:rsid w:val="1CCF96CC"/>
    <w:rsid w:val="1CD3BE7A"/>
    <w:rsid w:val="1CD98523"/>
    <w:rsid w:val="1CDA1218"/>
    <w:rsid w:val="1CDE3510"/>
    <w:rsid w:val="1CDFCE09"/>
    <w:rsid w:val="1CE253E1"/>
    <w:rsid w:val="1CEDFB8D"/>
    <w:rsid w:val="1CEEE647"/>
    <w:rsid w:val="1CEF64E3"/>
    <w:rsid w:val="1CEFB08A"/>
    <w:rsid w:val="1CF18AC3"/>
    <w:rsid w:val="1CF374B3"/>
    <w:rsid w:val="1CF4F079"/>
    <w:rsid w:val="1CF5E53B"/>
    <w:rsid w:val="1CF5EF31"/>
    <w:rsid w:val="1CF6A20E"/>
    <w:rsid w:val="1CF6AE21"/>
    <w:rsid w:val="1CF8373F"/>
    <w:rsid w:val="1CF97075"/>
    <w:rsid w:val="1CFAD034"/>
    <w:rsid w:val="1CFBB048"/>
    <w:rsid w:val="1CFCB86E"/>
    <w:rsid w:val="1D013944"/>
    <w:rsid w:val="1D056219"/>
    <w:rsid w:val="1D062DA0"/>
    <w:rsid w:val="1D071B98"/>
    <w:rsid w:val="1D08F3F9"/>
    <w:rsid w:val="1D0B3D2A"/>
    <w:rsid w:val="1D0FE5FC"/>
    <w:rsid w:val="1D10424B"/>
    <w:rsid w:val="1D11A142"/>
    <w:rsid w:val="1D12131F"/>
    <w:rsid w:val="1D1C9F3F"/>
    <w:rsid w:val="1D1FB7F3"/>
    <w:rsid w:val="1D2332FD"/>
    <w:rsid w:val="1D263855"/>
    <w:rsid w:val="1D29E5AF"/>
    <w:rsid w:val="1D2A677A"/>
    <w:rsid w:val="1D2C4901"/>
    <w:rsid w:val="1D2CD40C"/>
    <w:rsid w:val="1D2D3257"/>
    <w:rsid w:val="1D2F6BE6"/>
    <w:rsid w:val="1D34AFA0"/>
    <w:rsid w:val="1D38EB60"/>
    <w:rsid w:val="1D3EA2A0"/>
    <w:rsid w:val="1D3EB214"/>
    <w:rsid w:val="1D4106D8"/>
    <w:rsid w:val="1D43A855"/>
    <w:rsid w:val="1D482457"/>
    <w:rsid w:val="1D4ABB27"/>
    <w:rsid w:val="1D4FF534"/>
    <w:rsid w:val="1D5062DE"/>
    <w:rsid w:val="1D516493"/>
    <w:rsid w:val="1D558F7F"/>
    <w:rsid w:val="1D573F5A"/>
    <w:rsid w:val="1D62D174"/>
    <w:rsid w:val="1D637E2E"/>
    <w:rsid w:val="1D65327F"/>
    <w:rsid w:val="1D6764D5"/>
    <w:rsid w:val="1D6863E4"/>
    <w:rsid w:val="1D6AEE78"/>
    <w:rsid w:val="1D6C41BF"/>
    <w:rsid w:val="1D6D9E0F"/>
    <w:rsid w:val="1D713165"/>
    <w:rsid w:val="1D74A71D"/>
    <w:rsid w:val="1D7A198C"/>
    <w:rsid w:val="1D7A8FD2"/>
    <w:rsid w:val="1D7DCD49"/>
    <w:rsid w:val="1D817642"/>
    <w:rsid w:val="1D83893B"/>
    <w:rsid w:val="1D846A9D"/>
    <w:rsid w:val="1D866003"/>
    <w:rsid w:val="1D87E7B1"/>
    <w:rsid w:val="1D8A65CB"/>
    <w:rsid w:val="1D8BB15E"/>
    <w:rsid w:val="1D8CEDB7"/>
    <w:rsid w:val="1D918268"/>
    <w:rsid w:val="1D93B6B8"/>
    <w:rsid w:val="1D9B9A12"/>
    <w:rsid w:val="1D9DE421"/>
    <w:rsid w:val="1DA20B1E"/>
    <w:rsid w:val="1DA476BD"/>
    <w:rsid w:val="1DA5400B"/>
    <w:rsid w:val="1DAAF5B9"/>
    <w:rsid w:val="1DAB0512"/>
    <w:rsid w:val="1DAF68BC"/>
    <w:rsid w:val="1DB15B76"/>
    <w:rsid w:val="1DB1BE74"/>
    <w:rsid w:val="1DB20919"/>
    <w:rsid w:val="1DBAA236"/>
    <w:rsid w:val="1DBADA2A"/>
    <w:rsid w:val="1DBBD395"/>
    <w:rsid w:val="1DBCDCC5"/>
    <w:rsid w:val="1DC0CCD4"/>
    <w:rsid w:val="1DC248C4"/>
    <w:rsid w:val="1DC28524"/>
    <w:rsid w:val="1DC45583"/>
    <w:rsid w:val="1DC86448"/>
    <w:rsid w:val="1DC8DA9A"/>
    <w:rsid w:val="1DCA2CCE"/>
    <w:rsid w:val="1DCBAC72"/>
    <w:rsid w:val="1DCF0EEB"/>
    <w:rsid w:val="1DD108D9"/>
    <w:rsid w:val="1DD323F3"/>
    <w:rsid w:val="1DD708CE"/>
    <w:rsid w:val="1DDB43D8"/>
    <w:rsid w:val="1DDB59F4"/>
    <w:rsid w:val="1DDCEA57"/>
    <w:rsid w:val="1DDE848C"/>
    <w:rsid w:val="1DDF83A0"/>
    <w:rsid w:val="1DE3CC7B"/>
    <w:rsid w:val="1DE73575"/>
    <w:rsid w:val="1DEA3111"/>
    <w:rsid w:val="1DEBD549"/>
    <w:rsid w:val="1DEEE836"/>
    <w:rsid w:val="1DF0DB94"/>
    <w:rsid w:val="1DF8FCA3"/>
    <w:rsid w:val="1DFB17F8"/>
    <w:rsid w:val="1DFB6EAA"/>
    <w:rsid w:val="1DFC158C"/>
    <w:rsid w:val="1DFD57CF"/>
    <w:rsid w:val="1E0081DB"/>
    <w:rsid w:val="1E027E95"/>
    <w:rsid w:val="1E03054D"/>
    <w:rsid w:val="1E034E46"/>
    <w:rsid w:val="1E04BD73"/>
    <w:rsid w:val="1E04D67C"/>
    <w:rsid w:val="1E0564CE"/>
    <w:rsid w:val="1E087D7A"/>
    <w:rsid w:val="1E0996BF"/>
    <w:rsid w:val="1E0C5E2C"/>
    <w:rsid w:val="1E0DEB8C"/>
    <w:rsid w:val="1E0E8D98"/>
    <w:rsid w:val="1E119810"/>
    <w:rsid w:val="1E130377"/>
    <w:rsid w:val="1E165516"/>
    <w:rsid w:val="1E172568"/>
    <w:rsid w:val="1E28B787"/>
    <w:rsid w:val="1E28C57B"/>
    <w:rsid w:val="1E29384E"/>
    <w:rsid w:val="1E29E1BA"/>
    <w:rsid w:val="1E2D4B5B"/>
    <w:rsid w:val="1E2ED394"/>
    <w:rsid w:val="1E2F9E93"/>
    <w:rsid w:val="1E364F88"/>
    <w:rsid w:val="1E3AF4B4"/>
    <w:rsid w:val="1E4150FD"/>
    <w:rsid w:val="1E453028"/>
    <w:rsid w:val="1E4DD46D"/>
    <w:rsid w:val="1E4F10BD"/>
    <w:rsid w:val="1E5A0CFC"/>
    <w:rsid w:val="1E5A82A8"/>
    <w:rsid w:val="1E5AAEF2"/>
    <w:rsid w:val="1E5C7096"/>
    <w:rsid w:val="1E5EE490"/>
    <w:rsid w:val="1E633ADC"/>
    <w:rsid w:val="1E673697"/>
    <w:rsid w:val="1E6A8B70"/>
    <w:rsid w:val="1E6B5FFF"/>
    <w:rsid w:val="1E6BE031"/>
    <w:rsid w:val="1E6EC8E8"/>
    <w:rsid w:val="1E70CB1F"/>
    <w:rsid w:val="1E73034C"/>
    <w:rsid w:val="1E7351AF"/>
    <w:rsid w:val="1E769831"/>
    <w:rsid w:val="1E78EED8"/>
    <w:rsid w:val="1E7B6FEF"/>
    <w:rsid w:val="1E7D1460"/>
    <w:rsid w:val="1E7FCE84"/>
    <w:rsid w:val="1E80DFAF"/>
    <w:rsid w:val="1E843743"/>
    <w:rsid w:val="1E8C6791"/>
    <w:rsid w:val="1E8E5BCE"/>
    <w:rsid w:val="1E8FC492"/>
    <w:rsid w:val="1E93B3A6"/>
    <w:rsid w:val="1E948206"/>
    <w:rsid w:val="1E98AA2F"/>
    <w:rsid w:val="1E9BA2E7"/>
    <w:rsid w:val="1E9BD860"/>
    <w:rsid w:val="1E9F18BE"/>
    <w:rsid w:val="1E9F300E"/>
    <w:rsid w:val="1E9F8095"/>
    <w:rsid w:val="1E9F9432"/>
    <w:rsid w:val="1EB00D85"/>
    <w:rsid w:val="1EB4032D"/>
    <w:rsid w:val="1EB469B7"/>
    <w:rsid w:val="1EB55FC2"/>
    <w:rsid w:val="1EBBAF42"/>
    <w:rsid w:val="1EC00317"/>
    <w:rsid w:val="1ED3669F"/>
    <w:rsid w:val="1ED4E8E4"/>
    <w:rsid w:val="1ED5E2BC"/>
    <w:rsid w:val="1ED81CCF"/>
    <w:rsid w:val="1ED875D7"/>
    <w:rsid w:val="1ED9B9C8"/>
    <w:rsid w:val="1EDD480B"/>
    <w:rsid w:val="1EE0F6B6"/>
    <w:rsid w:val="1EE3E101"/>
    <w:rsid w:val="1EE84192"/>
    <w:rsid w:val="1EE9463B"/>
    <w:rsid w:val="1EED2BE3"/>
    <w:rsid w:val="1EEDE729"/>
    <w:rsid w:val="1EEDF645"/>
    <w:rsid w:val="1EF62597"/>
    <w:rsid w:val="1EFADF86"/>
    <w:rsid w:val="1F008200"/>
    <w:rsid w:val="1F03F085"/>
    <w:rsid w:val="1F05D5FF"/>
    <w:rsid w:val="1F097BE2"/>
    <w:rsid w:val="1F0C610C"/>
    <w:rsid w:val="1F0F1E45"/>
    <w:rsid w:val="1F1126E0"/>
    <w:rsid w:val="1F13E0BC"/>
    <w:rsid w:val="1F158AF1"/>
    <w:rsid w:val="1F16D7B6"/>
    <w:rsid w:val="1F18008B"/>
    <w:rsid w:val="1F19AB3C"/>
    <w:rsid w:val="1F1D9C7D"/>
    <w:rsid w:val="1F23A7C0"/>
    <w:rsid w:val="1F263BDB"/>
    <w:rsid w:val="1F2674B6"/>
    <w:rsid w:val="1F284C71"/>
    <w:rsid w:val="1F28C6F2"/>
    <w:rsid w:val="1F29C36F"/>
    <w:rsid w:val="1F2BBE75"/>
    <w:rsid w:val="1F2BC427"/>
    <w:rsid w:val="1F2BDA22"/>
    <w:rsid w:val="1F2DE713"/>
    <w:rsid w:val="1F2F7A97"/>
    <w:rsid w:val="1F30DF1F"/>
    <w:rsid w:val="1F32BF2C"/>
    <w:rsid w:val="1F37569C"/>
    <w:rsid w:val="1F390062"/>
    <w:rsid w:val="1F3A9CA7"/>
    <w:rsid w:val="1F3C98DC"/>
    <w:rsid w:val="1F413E02"/>
    <w:rsid w:val="1F42A5B6"/>
    <w:rsid w:val="1F42FC68"/>
    <w:rsid w:val="1F47503B"/>
    <w:rsid w:val="1F51A4B1"/>
    <w:rsid w:val="1F51DC7B"/>
    <w:rsid w:val="1F52A5D8"/>
    <w:rsid w:val="1F545B9C"/>
    <w:rsid w:val="1F54BC5D"/>
    <w:rsid w:val="1F594431"/>
    <w:rsid w:val="1F59A6C0"/>
    <w:rsid w:val="1F5BB342"/>
    <w:rsid w:val="1F5C7D7E"/>
    <w:rsid w:val="1F683AD8"/>
    <w:rsid w:val="1F6965B5"/>
    <w:rsid w:val="1F6D30A2"/>
    <w:rsid w:val="1F6D8236"/>
    <w:rsid w:val="1F73C56E"/>
    <w:rsid w:val="1F78C56C"/>
    <w:rsid w:val="1F795357"/>
    <w:rsid w:val="1F7962BB"/>
    <w:rsid w:val="1F7AD944"/>
    <w:rsid w:val="1F7FBF9D"/>
    <w:rsid w:val="1F801A99"/>
    <w:rsid w:val="1F80DB5E"/>
    <w:rsid w:val="1F826152"/>
    <w:rsid w:val="1F82F574"/>
    <w:rsid w:val="1F875C7B"/>
    <w:rsid w:val="1F8CBEC1"/>
    <w:rsid w:val="1F8CF719"/>
    <w:rsid w:val="1F8E2079"/>
    <w:rsid w:val="1F8FB82D"/>
    <w:rsid w:val="1F90FAE7"/>
    <w:rsid w:val="1F926D35"/>
    <w:rsid w:val="1F94FC6B"/>
    <w:rsid w:val="1F9C2E33"/>
    <w:rsid w:val="1F9EA5FF"/>
    <w:rsid w:val="1FA066B4"/>
    <w:rsid w:val="1FA1352F"/>
    <w:rsid w:val="1FA1D8FC"/>
    <w:rsid w:val="1FA2DB61"/>
    <w:rsid w:val="1FA4B9D4"/>
    <w:rsid w:val="1FA66D1A"/>
    <w:rsid w:val="1FAD126B"/>
    <w:rsid w:val="1FAEAD89"/>
    <w:rsid w:val="1FB44387"/>
    <w:rsid w:val="1FB612B6"/>
    <w:rsid w:val="1FB61644"/>
    <w:rsid w:val="1FB73B3D"/>
    <w:rsid w:val="1FB78DF9"/>
    <w:rsid w:val="1FB81ED4"/>
    <w:rsid w:val="1FB8C2C5"/>
    <w:rsid w:val="1FB938FA"/>
    <w:rsid w:val="1FB9E786"/>
    <w:rsid w:val="1FBAA96C"/>
    <w:rsid w:val="1FBCC638"/>
    <w:rsid w:val="1FBDAD3E"/>
    <w:rsid w:val="1FBDAEDF"/>
    <w:rsid w:val="1FC36BFB"/>
    <w:rsid w:val="1FC5329D"/>
    <w:rsid w:val="1FC770D8"/>
    <w:rsid w:val="1FCCC4E9"/>
    <w:rsid w:val="1FCDEC99"/>
    <w:rsid w:val="1FCDF859"/>
    <w:rsid w:val="1FD06B41"/>
    <w:rsid w:val="1FD35083"/>
    <w:rsid w:val="1FD437E7"/>
    <w:rsid w:val="1FD59D37"/>
    <w:rsid w:val="1FD5B2E4"/>
    <w:rsid w:val="1FD6092A"/>
    <w:rsid w:val="1FD727C8"/>
    <w:rsid w:val="1FD750E9"/>
    <w:rsid w:val="1FD948F7"/>
    <w:rsid w:val="1FDA1404"/>
    <w:rsid w:val="1FDA51F8"/>
    <w:rsid w:val="1FDA8D87"/>
    <w:rsid w:val="1FDD8AEC"/>
    <w:rsid w:val="1FDDDD74"/>
    <w:rsid w:val="1FDE0B9D"/>
    <w:rsid w:val="1FDEBE78"/>
    <w:rsid w:val="1FDF984C"/>
    <w:rsid w:val="1FE2D35F"/>
    <w:rsid w:val="1FE3F5F2"/>
    <w:rsid w:val="1FE49E92"/>
    <w:rsid w:val="1FE61683"/>
    <w:rsid w:val="1FE6E95B"/>
    <w:rsid w:val="1FE92DE3"/>
    <w:rsid w:val="1FF2B95A"/>
    <w:rsid w:val="1FF5ACF7"/>
    <w:rsid w:val="1FF782B1"/>
    <w:rsid w:val="1FF8CD9C"/>
    <w:rsid w:val="2000DC55"/>
    <w:rsid w:val="20050221"/>
    <w:rsid w:val="20063160"/>
    <w:rsid w:val="200D09CA"/>
    <w:rsid w:val="200D2B3D"/>
    <w:rsid w:val="200D99D0"/>
    <w:rsid w:val="200E6B30"/>
    <w:rsid w:val="200E7A18"/>
    <w:rsid w:val="2011D0D1"/>
    <w:rsid w:val="20154F30"/>
    <w:rsid w:val="201F37FF"/>
    <w:rsid w:val="201F6B72"/>
    <w:rsid w:val="20270B00"/>
    <w:rsid w:val="2029BD2F"/>
    <w:rsid w:val="2029E46D"/>
    <w:rsid w:val="202A554A"/>
    <w:rsid w:val="202D118A"/>
    <w:rsid w:val="202FCE5F"/>
    <w:rsid w:val="2032B831"/>
    <w:rsid w:val="2037B408"/>
    <w:rsid w:val="2038CB7D"/>
    <w:rsid w:val="2038F646"/>
    <w:rsid w:val="20399047"/>
    <w:rsid w:val="2039DC54"/>
    <w:rsid w:val="203C127F"/>
    <w:rsid w:val="204006FD"/>
    <w:rsid w:val="204149CF"/>
    <w:rsid w:val="2041F0DB"/>
    <w:rsid w:val="20425024"/>
    <w:rsid w:val="2043041F"/>
    <w:rsid w:val="204D29A5"/>
    <w:rsid w:val="204DBF89"/>
    <w:rsid w:val="204F0D0B"/>
    <w:rsid w:val="20532647"/>
    <w:rsid w:val="2058214B"/>
    <w:rsid w:val="205A7635"/>
    <w:rsid w:val="205C8062"/>
    <w:rsid w:val="2062F0BD"/>
    <w:rsid w:val="2065970E"/>
    <w:rsid w:val="20668B03"/>
    <w:rsid w:val="20671888"/>
    <w:rsid w:val="206C446B"/>
    <w:rsid w:val="206EB374"/>
    <w:rsid w:val="206FC19E"/>
    <w:rsid w:val="20700CF0"/>
    <w:rsid w:val="20715629"/>
    <w:rsid w:val="2071CE56"/>
    <w:rsid w:val="207776D9"/>
    <w:rsid w:val="207872F8"/>
    <w:rsid w:val="20809264"/>
    <w:rsid w:val="208160FD"/>
    <w:rsid w:val="20823874"/>
    <w:rsid w:val="2082B6CA"/>
    <w:rsid w:val="2084C564"/>
    <w:rsid w:val="2085F9CE"/>
    <w:rsid w:val="20978293"/>
    <w:rsid w:val="2098FC41"/>
    <w:rsid w:val="209A94C1"/>
    <w:rsid w:val="209BC045"/>
    <w:rsid w:val="209C0927"/>
    <w:rsid w:val="209C6256"/>
    <w:rsid w:val="209D860A"/>
    <w:rsid w:val="20A31CC9"/>
    <w:rsid w:val="20A5A7B8"/>
    <w:rsid w:val="20A872BF"/>
    <w:rsid w:val="20B4187F"/>
    <w:rsid w:val="20B46F4F"/>
    <w:rsid w:val="20B72FF7"/>
    <w:rsid w:val="20BB24D6"/>
    <w:rsid w:val="20BB8A78"/>
    <w:rsid w:val="20C040AC"/>
    <w:rsid w:val="20C0651E"/>
    <w:rsid w:val="20C3F041"/>
    <w:rsid w:val="20C74F11"/>
    <w:rsid w:val="20CA0973"/>
    <w:rsid w:val="20D38951"/>
    <w:rsid w:val="20D48718"/>
    <w:rsid w:val="20D68CBF"/>
    <w:rsid w:val="20DB0BF1"/>
    <w:rsid w:val="20E09968"/>
    <w:rsid w:val="20E17C61"/>
    <w:rsid w:val="20E34026"/>
    <w:rsid w:val="20E3CE5F"/>
    <w:rsid w:val="20F2DFDE"/>
    <w:rsid w:val="20F771DE"/>
    <w:rsid w:val="21019D3D"/>
    <w:rsid w:val="21026B8F"/>
    <w:rsid w:val="21034F5C"/>
    <w:rsid w:val="2104D929"/>
    <w:rsid w:val="210E1D4C"/>
    <w:rsid w:val="2110C857"/>
    <w:rsid w:val="2115C6D6"/>
    <w:rsid w:val="21165C35"/>
    <w:rsid w:val="21167F59"/>
    <w:rsid w:val="2116D747"/>
    <w:rsid w:val="211BAC29"/>
    <w:rsid w:val="211DB9F7"/>
    <w:rsid w:val="21214D7D"/>
    <w:rsid w:val="2124D400"/>
    <w:rsid w:val="21263CEB"/>
    <w:rsid w:val="2127C136"/>
    <w:rsid w:val="212DDBC0"/>
    <w:rsid w:val="21347E8C"/>
    <w:rsid w:val="213E0A42"/>
    <w:rsid w:val="2140DFB7"/>
    <w:rsid w:val="214A168B"/>
    <w:rsid w:val="21567AF7"/>
    <w:rsid w:val="21569C9B"/>
    <w:rsid w:val="215799B9"/>
    <w:rsid w:val="21591C4F"/>
    <w:rsid w:val="215949A3"/>
    <w:rsid w:val="215CBD03"/>
    <w:rsid w:val="21605C83"/>
    <w:rsid w:val="2162B8A7"/>
    <w:rsid w:val="21699D80"/>
    <w:rsid w:val="216A4FC8"/>
    <w:rsid w:val="216C301F"/>
    <w:rsid w:val="216E2CAD"/>
    <w:rsid w:val="2170E189"/>
    <w:rsid w:val="217BDC1A"/>
    <w:rsid w:val="217F4346"/>
    <w:rsid w:val="218AE24A"/>
    <w:rsid w:val="218B2088"/>
    <w:rsid w:val="2190BE29"/>
    <w:rsid w:val="2191ADA4"/>
    <w:rsid w:val="21943DA5"/>
    <w:rsid w:val="219BE57E"/>
    <w:rsid w:val="219D194D"/>
    <w:rsid w:val="219FA107"/>
    <w:rsid w:val="219FC939"/>
    <w:rsid w:val="21A20D02"/>
    <w:rsid w:val="21A23ECE"/>
    <w:rsid w:val="21A6DC6F"/>
    <w:rsid w:val="21A9D6A5"/>
    <w:rsid w:val="21ACC87C"/>
    <w:rsid w:val="21AFC02A"/>
    <w:rsid w:val="21B19D41"/>
    <w:rsid w:val="21B1AA7A"/>
    <w:rsid w:val="21B3E523"/>
    <w:rsid w:val="21B428CB"/>
    <w:rsid w:val="21B4B359"/>
    <w:rsid w:val="21BBC9F7"/>
    <w:rsid w:val="21BCE8F7"/>
    <w:rsid w:val="21C15BA1"/>
    <w:rsid w:val="21C6E073"/>
    <w:rsid w:val="21C6E5D6"/>
    <w:rsid w:val="21C8651D"/>
    <w:rsid w:val="21CB1C32"/>
    <w:rsid w:val="21D24297"/>
    <w:rsid w:val="21D63193"/>
    <w:rsid w:val="21D8A25C"/>
    <w:rsid w:val="21DA013B"/>
    <w:rsid w:val="21E89430"/>
    <w:rsid w:val="21EE5C96"/>
    <w:rsid w:val="21EF805E"/>
    <w:rsid w:val="21F4C7A6"/>
    <w:rsid w:val="21FAB9C5"/>
    <w:rsid w:val="21FC420C"/>
    <w:rsid w:val="21FF2125"/>
    <w:rsid w:val="21FF8FF2"/>
    <w:rsid w:val="22013528"/>
    <w:rsid w:val="2203D2F8"/>
    <w:rsid w:val="2203DB35"/>
    <w:rsid w:val="22045E6E"/>
    <w:rsid w:val="2205520A"/>
    <w:rsid w:val="220D610A"/>
    <w:rsid w:val="2212688A"/>
    <w:rsid w:val="2215E623"/>
    <w:rsid w:val="22163B2D"/>
    <w:rsid w:val="2217990C"/>
    <w:rsid w:val="2219B34F"/>
    <w:rsid w:val="221EF634"/>
    <w:rsid w:val="222190C7"/>
    <w:rsid w:val="2221B61A"/>
    <w:rsid w:val="22226DB6"/>
    <w:rsid w:val="2223174D"/>
    <w:rsid w:val="2224A15B"/>
    <w:rsid w:val="2227FBDD"/>
    <w:rsid w:val="22295989"/>
    <w:rsid w:val="222AE862"/>
    <w:rsid w:val="222CD069"/>
    <w:rsid w:val="222EDF99"/>
    <w:rsid w:val="222F576B"/>
    <w:rsid w:val="2231EA67"/>
    <w:rsid w:val="22329061"/>
    <w:rsid w:val="2232C536"/>
    <w:rsid w:val="2232E864"/>
    <w:rsid w:val="223343A4"/>
    <w:rsid w:val="22334EC1"/>
    <w:rsid w:val="223580A7"/>
    <w:rsid w:val="2235B101"/>
    <w:rsid w:val="22394730"/>
    <w:rsid w:val="223CDD2B"/>
    <w:rsid w:val="2241A842"/>
    <w:rsid w:val="22427D05"/>
    <w:rsid w:val="224C6946"/>
    <w:rsid w:val="224CC28A"/>
    <w:rsid w:val="2250E5F0"/>
    <w:rsid w:val="22528527"/>
    <w:rsid w:val="2252DD0F"/>
    <w:rsid w:val="2253B891"/>
    <w:rsid w:val="22556523"/>
    <w:rsid w:val="2256DFD8"/>
    <w:rsid w:val="226037B0"/>
    <w:rsid w:val="22606209"/>
    <w:rsid w:val="2264DDF3"/>
    <w:rsid w:val="22670443"/>
    <w:rsid w:val="2269CAC7"/>
    <w:rsid w:val="226A76B7"/>
    <w:rsid w:val="226B09DB"/>
    <w:rsid w:val="226B84EC"/>
    <w:rsid w:val="226E3669"/>
    <w:rsid w:val="227270C0"/>
    <w:rsid w:val="22747B9F"/>
    <w:rsid w:val="227B7B26"/>
    <w:rsid w:val="22800A0E"/>
    <w:rsid w:val="2281476C"/>
    <w:rsid w:val="228165B0"/>
    <w:rsid w:val="22822959"/>
    <w:rsid w:val="2286B123"/>
    <w:rsid w:val="22898F8F"/>
    <w:rsid w:val="228ADF33"/>
    <w:rsid w:val="228FF64E"/>
    <w:rsid w:val="2290C3BE"/>
    <w:rsid w:val="2293001D"/>
    <w:rsid w:val="2294D47E"/>
    <w:rsid w:val="22950FA9"/>
    <w:rsid w:val="2297CAED"/>
    <w:rsid w:val="2297ECAD"/>
    <w:rsid w:val="2298B1AE"/>
    <w:rsid w:val="2299AF5D"/>
    <w:rsid w:val="229B0124"/>
    <w:rsid w:val="229CCCAE"/>
    <w:rsid w:val="22A0028B"/>
    <w:rsid w:val="22A0FDD3"/>
    <w:rsid w:val="22A790C3"/>
    <w:rsid w:val="22A8E575"/>
    <w:rsid w:val="22A96EFA"/>
    <w:rsid w:val="22AE5592"/>
    <w:rsid w:val="22AE7CA2"/>
    <w:rsid w:val="22B24E0B"/>
    <w:rsid w:val="22B6C83B"/>
    <w:rsid w:val="22B9D83F"/>
    <w:rsid w:val="22BAF21C"/>
    <w:rsid w:val="22BE489B"/>
    <w:rsid w:val="22C1B4FF"/>
    <w:rsid w:val="22C7FFBD"/>
    <w:rsid w:val="22CAC035"/>
    <w:rsid w:val="22CC1FBF"/>
    <w:rsid w:val="22CCEAE3"/>
    <w:rsid w:val="22CE7B81"/>
    <w:rsid w:val="22CF1E1F"/>
    <w:rsid w:val="22D01211"/>
    <w:rsid w:val="22D1AD02"/>
    <w:rsid w:val="22D2DA15"/>
    <w:rsid w:val="22D2ED0D"/>
    <w:rsid w:val="22D3B8CF"/>
    <w:rsid w:val="22D485F6"/>
    <w:rsid w:val="22D7AE88"/>
    <w:rsid w:val="22D980FB"/>
    <w:rsid w:val="22D9BECC"/>
    <w:rsid w:val="22DA7ACA"/>
    <w:rsid w:val="22DD4429"/>
    <w:rsid w:val="22DE8B5C"/>
    <w:rsid w:val="22DEF995"/>
    <w:rsid w:val="22DF9643"/>
    <w:rsid w:val="22DFFE14"/>
    <w:rsid w:val="22E5DF55"/>
    <w:rsid w:val="22E73D2E"/>
    <w:rsid w:val="22E75BA9"/>
    <w:rsid w:val="22E882F9"/>
    <w:rsid w:val="22E944D9"/>
    <w:rsid w:val="22E9975C"/>
    <w:rsid w:val="22EA428C"/>
    <w:rsid w:val="22EEB759"/>
    <w:rsid w:val="22EFB2E9"/>
    <w:rsid w:val="22F13FCA"/>
    <w:rsid w:val="22F1BCB2"/>
    <w:rsid w:val="22F56ECF"/>
    <w:rsid w:val="22F78B37"/>
    <w:rsid w:val="22F7E74E"/>
    <w:rsid w:val="22F80D2F"/>
    <w:rsid w:val="22F99AAB"/>
    <w:rsid w:val="22FA811A"/>
    <w:rsid w:val="22FCD046"/>
    <w:rsid w:val="22FCE517"/>
    <w:rsid w:val="22FD2251"/>
    <w:rsid w:val="22FE79BA"/>
    <w:rsid w:val="22FF1119"/>
    <w:rsid w:val="2300AAE3"/>
    <w:rsid w:val="23022D56"/>
    <w:rsid w:val="230983FF"/>
    <w:rsid w:val="230B8293"/>
    <w:rsid w:val="23159085"/>
    <w:rsid w:val="23165289"/>
    <w:rsid w:val="2317694E"/>
    <w:rsid w:val="2318FA9D"/>
    <w:rsid w:val="231D3FCA"/>
    <w:rsid w:val="2320B69B"/>
    <w:rsid w:val="2321EDC7"/>
    <w:rsid w:val="23248B93"/>
    <w:rsid w:val="23256338"/>
    <w:rsid w:val="232A9920"/>
    <w:rsid w:val="232D2E55"/>
    <w:rsid w:val="233255B5"/>
    <w:rsid w:val="233291D0"/>
    <w:rsid w:val="233A7E9E"/>
    <w:rsid w:val="233DA6E0"/>
    <w:rsid w:val="233F3598"/>
    <w:rsid w:val="23419020"/>
    <w:rsid w:val="23438596"/>
    <w:rsid w:val="2343C065"/>
    <w:rsid w:val="2343C7E8"/>
    <w:rsid w:val="23441861"/>
    <w:rsid w:val="2344AAFB"/>
    <w:rsid w:val="23475DEC"/>
    <w:rsid w:val="234AF3ED"/>
    <w:rsid w:val="234B683A"/>
    <w:rsid w:val="23503085"/>
    <w:rsid w:val="2356AD65"/>
    <w:rsid w:val="235E1689"/>
    <w:rsid w:val="235FA686"/>
    <w:rsid w:val="2362270F"/>
    <w:rsid w:val="2362B42C"/>
    <w:rsid w:val="236C606A"/>
    <w:rsid w:val="236CDB10"/>
    <w:rsid w:val="236FE0B7"/>
    <w:rsid w:val="2370CC01"/>
    <w:rsid w:val="2372E6B3"/>
    <w:rsid w:val="23783C25"/>
    <w:rsid w:val="23794074"/>
    <w:rsid w:val="237BF424"/>
    <w:rsid w:val="23809F09"/>
    <w:rsid w:val="23811630"/>
    <w:rsid w:val="23819B70"/>
    <w:rsid w:val="23832417"/>
    <w:rsid w:val="2388D0E5"/>
    <w:rsid w:val="23892D1B"/>
    <w:rsid w:val="23896A62"/>
    <w:rsid w:val="238C7D32"/>
    <w:rsid w:val="238DB53F"/>
    <w:rsid w:val="2390E108"/>
    <w:rsid w:val="23911FEB"/>
    <w:rsid w:val="2395ED3F"/>
    <w:rsid w:val="239601E9"/>
    <w:rsid w:val="239D63FC"/>
    <w:rsid w:val="239DEACC"/>
    <w:rsid w:val="239F7B5C"/>
    <w:rsid w:val="23A5005D"/>
    <w:rsid w:val="23A61175"/>
    <w:rsid w:val="23A654B3"/>
    <w:rsid w:val="23B10342"/>
    <w:rsid w:val="23BF790A"/>
    <w:rsid w:val="23BF96B9"/>
    <w:rsid w:val="23C3B53C"/>
    <w:rsid w:val="23C41038"/>
    <w:rsid w:val="23C50FDB"/>
    <w:rsid w:val="23C7981B"/>
    <w:rsid w:val="23C818E7"/>
    <w:rsid w:val="23C93C44"/>
    <w:rsid w:val="23CC885C"/>
    <w:rsid w:val="23CDEE82"/>
    <w:rsid w:val="23CE0A37"/>
    <w:rsid w:val="23CF32BE"/>
    <w:rsid w:val="23D35936"/>
    <w:rsid w:val="23D4DE05"/>
    <w:rsid w:val="23DD1B22"/>
    <w:rsid w:val="23DDB7EE"/>
    <w:rsid w:val="23E1124A"/>
    <w:rsid w:val="23E29472"/>
    <w:rsid w:val="23E3A1EE"/>
    <w:rsid w:val="23E96AE8"/>
    <w:rsid w:val="23EB96D0"/>
    <w:rsid w:val="23EC3920"/>
    <w:rsid w:val="23ED13B3"/>
    <w:rsid w:val="23ED6530"/>
    <w:rsid w:val="23EFC80F"/>
    <w:rsid w:val="23F70842"/>
    <w:rsid w:val="23F84B72"/>
    <w:rsid w:val="23FA2938"/>
    <w:rsid w:val="23FB4D55"/>
    <w:rsid w:val="23FFF95F"/>
    <w:rsid w:val="2400F9F0"/>
    <w:rsid w:val="24022BA1"/>
    <w:rsid w:val="2406307D"/>
    <w:rsid w:val="240D4567"/>
    <w:rsid w:val="2412831C"/>
    <w:rsid w:val="24138398"/>
    <w:rsid w:val="2415DFCC"/>
    <w:rsid w:val="2419FD64"/>
    <w:rsid w:val="241D0F2C"/>
    <w:rsid w:val="241DF9BA"/>
    <w:rsid w:val="241E3FB1"/>
    <w:rsid w:val="241FDB61"/>
    <w:rsid w:val="2424693F"/>
    <w:rsid w:val="2425F3CA"/>
    <w:rsid w:val="2427D027"/>
    <w:rsid w:val="24282984"/>
    <w:rsid w:val="24294461"/>
    <w:rsid w:val="242A850E"/>
    <w:rsid w:val="24363A38"/>
    <w:rsid w:val="2438F60F"/>
    <w:rsid w:val="243A0EFC"/>
    <w:rsid w:val="243F4BDE"/>
    <w:rsid w:val="2445CE08"/>
    <w:rsid w:val="2446BEF5"/>
    <w:rsid w:val="24474304"/>
    <w:rsid w:val="244AC72E"/>
    <w:rsid w:val="244C1570"/>
    <w:rsid w:val="244DFD11"/>
    <w:rsid w:val="244E3763"/>
    <w:rsid w:val="24500D78"/>
    <w:rsid w:val="24501AF4"/>
    <w:rsid w:val="24517605"/>
    <w:rsid w:val="2451E780"/>
    <w:rsid w:val="2455672B"/>
    <w:rsid w:val="2456272B"/>
    <w:rsid w:val="24564348"/>
    <w:rsid w:val="245CD63E"/>
    <w:rsid w:val="2460EDAF"/>
    <w:rsid w:val="24620FDB"/>
    <w:rsid w:val="246B87A6"/>
    <w:rsid w:val="2475E8E7"/>
    <w:rsid w:val="24770191"/>
    <w:rsid w:val="2477164E"/>
    <w:rsid w:val="24779D69"/>
    <w:rsid w:val="2478A426"/>
    <w:rsid w:val="247AB585"/>
    <w:rsid w:val="247F0AA9"/>
    <w:rsid w:val="24800307"/>
    <w:rsid w:val="2480EA50"/>
    <w:rsid w:val="24843983"/>
    <w:rsid w:val="2484FD59"/>
    <w:rsid w:val="24896683"/>
    <w:rsid w:val="248AB94B"/>
    <w:rsid w:val="248B1E09"/>
    <w:rsid w:val="248C2E0C"/>
    <w:rsid w:val="248D02B7"/>
    <w:rsid w:val="248FC4A6"/>
    <w:rsid w:val="24902319"/>
    <w:rsid w:val="2494392B"/>
    <w:rsid w:val="249452B1"/>
    <w:rsid w:val="249EACB5"/>
    <w:rsid w:val="249ECAB2"/>
    <w:rsid w:val="24A08431"/>
    <w:rsid w:val="24A0FB92"/>
    <w:rsid w:val="24A4F45B"/>
    <w:rsid w:val="24A576F7"/>
    <w:rsid w:val="24A5CE81"/>
    <w:rsid w:val="24A6C424"/>
    <w:rsid w:val="24AA8AD8"/>
    <w:rsid w:val="24ACF3FE"/>
    <w:rsid w:val="24B03589"/>
    <w:rsid w:val="24B7CACC"/>
    <w:rsid w:val="24B829D2"/>
    <w:rsid w:val="24B94C69"/>
    <w:rsid w:val="24C02447"/>
    <w:rsid w:val="24C194AD"/>
    <w:rsid w:val="24C33B3D"/>
    <w:rsid w:val="24C3ABCE"/>
    <w:rsid w:val="24C3E79E"/>
    <w:rsid w:val="24C4F81C"/>
    <w:rsid w:val="24C8473D"/>
    <w:rsid w:val="24CD4CFD"/>
    <w:rsid w:val="24CFBE0E"/>
    <w:rsid w:val="24D56F7F"/>
    <w:rsid w:val="24D65B0C"/>
    <w:rsid w:val="24D83E34"/>
    <w:rsid w:val="24D8A3E1"/>
    <w:rsid w:val="24D9DB41"/>
    <w:rsid w:val="24E0D81D"/>
    <w:rsid w:val="24E4F4F4"/>
    <w:rsid w:val="24EDEEBD"/>
    <w:rsid w:val="24EFEC14"/>
    <w:rsid w:val="24F09C08"/>
    <w:rsid w:val="24F436C9"/>
    <w:rsid w:val="24F60321"/>
    <w:rsid w:val="24F61775"/>
    <w:rsid w:val="24F798BA"/>
    <w:rsid w:val="24F7C997"/>
    <w:rsid w:val="24FA0EC4"/>
    <w:rsid w:val="24FB5D11"/>
    <w:rsid w:val="24FE254E"/>
    <w:rsid w:val="2501CB64"/>
    <w:rsid w:val="2501E712"/>
    <w:rsid w:val="2504CC69"/>
    <w:rsid w:val="25079109"/>
    <w:rsid w:val="25098DFA"/>
    <w:rsid w:val="250CAE27"/>
    <w:rsid w:val="250CE365"/>
    <w:rsid w:val="250DE2EA"/>
    <w:rsid w:val="2512E8A9"/>
    <w:rsid w:val="25133349"/>
    <w:rsid w:val="251431D8"/>
    <w:rsid w:val="2514FB98"/>
    <w:rsid w:val="2517E746"/>
    <w:rsid w:val="25180146"/>
    <w:rsid w:val="25186A2A"/>
    <w:rsid w:val="252963DA"/>
    <w:rsid w:val="252C3121"/>
    <w:rsid w:val="252DFC72"/>
    <w:rsid w:val="252E5911"/>
    <w:rsid w:val="252EEDCA"/>
    <w:rsid w:val="252F8F53"/>
    <w:rsid w:val="252FCDB2"/>
    <w:rsid w:val="2531DBF1"/>
    <w:rsid w:val="2534EDEA"/>
    <w:rsid w:val="2535D1FB"/>
    <w:rsid w:val="2538CA33"/>
    <w:rsid w:val="253BCBC4"/>
    <w:rsid w:val="253BDDE9"/>
    <w:rsid w:val="253F16DF"/>
    <w:rsid w:val="254242EE"/>
    <w:rsid w:val="25443A62"/>
    <w:rsid w:val="254B4925"/>
    <w:rsid w:val="254F65F9"/>
    <w:rsid w:val="255343F9"/>
    <w:rsid w:val="25535C65"/>
    <w:rsid w:val="2553A598"/>
    <w:rsid w:val="25545A51"/>
    <w:rsid w:val="2556AD59"/>
    <w:rsid w:val="2556AF69"/>
    <w:rsid w:val="2557EBF9"/>
    <w:rsid w:val="2559B049"/>
    <w:rsid w:val="255C7D49"/>
    <w:rsid w:val="255FB0E2"/>
    <w:rsid w:val="25614D17"/>
    <w:rsid w:val="25653DEC"/>
    <w:rsid w:val="25673674"/>
    <w:rsid w:val="256FDE0B"/>
    <w:rsid w:val="2570AF79"/>
    <w:rsid w:val="25754B5D"/>
    <w:rsid w:val="2576BA3E"/>
    <w:rsid w:val="2579C6BF"/>
    <w:rsid w:val="257A0743"/>
    <w:rsid w:val="257B35C8"/>
    <w:rsid w:val="257BAEC7"/>
    <w:rsid w:val="257C06EE"/>
    <w:rsid w:val="257C1D07"/>
    <w:rsid w:val="257EE67C"/>
    <w:rsid w:val="25817D2C"/>
    <w:rsid w:val="2589A310"/>
    <w:rsid w:val="2589DDB3"/>
    <w:rsid w:val="2589E537"/>
    <w:rsid w:val="258A81C8"/>
    <w:rsid w:val="258BC139"/>
    <w:rsid w:val="2592178F"/>
    <w:rsid w:val="259233CD"/>
    <w:rsid w:val="2594A963"/>
    <w:rsid w:val="2594E61D"/>
    <w:rsid w:val="2595C218"/>
    <w:rsid w:val="2595CB28"/>
    <w:rsid w:val="25970443"/>
    <w:rsid w:val="259907E6"/>
    <w:rsid w:val="25997901"/>
    <w:rsid w:val="259AE961"/>
    <w:rsid w:val="259BC511"/>
    <w:rsid w:val="25A06114"/>
    <w:rsid w:val="25A1D941"/>
    <w:rsid w:val="25A22944"/>
    <w:rsid w:val="25A70553"/>
    <w:rsid w:val="25A78E66"/>
    <w:rsid w:val="25A92DFA"/>
    <w:rsid w:val="25AF82EF"/>
    <w:rsid w:val="25B0BAE4"/>
    <w:rsid w:val="25B12242"/>
    <w:rsid w:val="25B3F5E2"/>
    <w:rsid w:val="25B6565D"/>
    <w:rsid w:val="25B697CC"/>
    <w:rsid w:val="25BA6B3D"/>
    <w:rsid w:val="25BB3E6B"/>
    <w:rsid w:val="25BBFE49"/>
    <w:rsid w:val="25BD3181"/>
    <w:rsid w:val="25BE7044"/>
    <w:rsid w:val="25BF642F"/>
    <w:rsid w:val="25C08E65"/>
    <w:rsid w:val="25C13C46"/>
    <w:rsid w:val="25C15B1E"/>
    <w:rsid w:val="25C4032F"/>
    <w:rsid w:val="25C43CC6"/>
    <w:rsid w:val="25C46462"/>
    <w:rsid w:val="25C49484"/>
    <w:rsid w:val="25C720B8"/>
    <w:rsid w:val="25C8AE78"/>
    <w:rsid w:val="25CAF9CB"/>
    <w:rsid w:val="25CD9498"/>
    <w:rsid w:val="25CF85B8"/>
    <w:rsid w:val="25D09F10"/>
    <w:rsid w:val="25D216DE"/>
    <w:rsid w:val="25D894AD"/>
    <w:rsid w:val="25DA58B4"/>
    <w:rsid w:val="25DC8380"/>
    <w:rsid w:val="25DF4CC5"/>
    <w:rsid w:val="25DF6FD1"/>
    <w:rsid w:val="25E0CEBD"/>
    <w:rsid w:val="25E1E22C"/>
    <w:rsid w:val="25E874CC"/>
    <w:rsid w:val="25EB858E"/>
    <w:rsid w:val="25EDA888"/>
    <w:rsid w:val="25EEADE7"/>
    <w:rsid w:val="25F32789"/>
    <w:rsid w:val="25F7B5F8"/>
    <w:rsid w:val="25F9DA0E"/>
    <w:rsid w:val="25F9DC66"/>
    <w:rsid w:val="25FA4116"/>
    <w:rsid w:val="25FBE56A"/>
    <w:rsid w:val="25FC13FB"/>
    <w:rsid w:val="25FF5DF3"/>
    <w:rsid w:val="2601E164"/>
    <w:rsid w:val="2608E11A"/>
    <w:rsid w:val="260B4192"/>
    <w:rsid w:val="2612C850"/>
    <w:rsid w:val="2613AC4D"/>
    <w:rsid w:val="26156DFE"/>
    <w:rsid w:val="2616176F"/>
    <w:rsid w:val="261842D8"/>
    <w:rsid w:val="2619E048"/>
    <w:rsid w:val="261A81F4"/>
    <w:rsid w:val="261AD24A"/>
    <w:rsid w:val="261B64E5"/>
    <w:rsid w:val="261DFA6A"/>
    <w:rsid w:val="2624E726"/>
    <w:rsid w:val="26299387"/>
    <w:rsid w:val="262A2A51"/>
    <w:rsid w:val="262B2664"/>
    <w:rsid w:val="262B4B5D"/>
    <w:rsid w:val="262C0F52"/>
    <w:rsid w:val="262F6BC3"/>
    <w:rsid w:val="26335988"/>
    <w:rsid w:val="2635963C"/>
    <w:rsid w:val="26382FBB"/>
    <w:rsid w:val="2639D82A"/>
    <w:rsid w:val="263C8565"/>
    <w:rsid w:val="263EF488"/>
    <w:rsid w:val="263EFC6D"/>
    <w:rsid w:val="263FFE12"/>
    <w:rsid w:val="2641EFD2"/>
    <w:rsid w:val="26429377"/>
    <w:rsid w:val="264323F2"/>
    <w:rsid w:val="2643DA78"/>
    <w:rsid w:val="26451CB2"/>
    <w:rsid w:val="264618D1"/>
    <w:rsid w:val="26484F86"/>
    <w:rsid w:val="264FC7A7"/>
    <w:rsid w:val="26553220"/>
    <w:rsid w:val="2662E9FF"/>
    <w:rsid w:val="266630F8"/>
    <w:rsid w:val="266719F2"/>
    <w:rsid w:val="2667418B"/>
    <w:rsid w:val="26688A62"/>
    <w:rsid w:val="266ADD5F"/>
    <w:rsid w:val="266B1D56"/>
    <w:rsid w:val="266CBD74"/>
    <w:rsid w:val="26708666"/>
    <w:rsid w:val="26747D40"/>
    <w:rsid w:val="267C1E5A"/>
    <w:rsid w:val="26813C67"/>
    <w:rsid w:val="26851B9D"/>
    <w:rsid w:val="26872275"/>
    <w:rsid w:val="2688287B"/>
    <w:rsid w:val="2689D32F"/>
    <w:rsid w:val="268C9DD2"/>
    <w:rsid w:val="2690A6C8"/>
    <w:rsid w:val="2692C2EB"/>
    <w:rsid w:val="26933544"/>
    <w:rsid w:val="26967F06"/>
    <w:rsid w:val="26985799"/>
    <w:rsid w:val="269BE545"/>
    <w:rsid w:val="269CC5B1"/>
    <w:rsid w:val="26AB925C"/>
    <w:rsid w:val="26AD0B68"/>
    <w:rsid w:val="26ADAA40"/>
    <w:rsid w:val="26B02E97"/>
    <w:rsid w:val="26B04162"/>
    <w:rsid w:val="26B59EDD"/>
    <w:rsid w:val="26B64FB3"/>
    <w:rsid w:val="26BC0E50"/>
    <w:rsid w:val="26C25A00"/>
    <w:rsid w:val="26C2E7E7"/>
    <w:rsid w:val="26C9FB0F"/>
    <w:rsid w:val="26CB4B43"/>
    <w:rsid w:val="26CE3338"/>
    <w:rsid w:val="26CF09EE"/>
    <w:rsid w:val="26D2DA6C"/>
    <w:rsid w:val="26D2DD6F"/>
    <w:rsid w:val="26D49F62"/>
    <w:rsid w:val="26D5E0E8"/>
    <w:rsid w:val="26D6B4BA"/>
    <w:rsid w:val="26D89B71"/>
    <w:rsid w:val="26D9FE13"/>
    <w:rsid w:val="26DFAD3C"/>
    <w:rsid w:val="26E0AE0E"/>
    <w:rsid w:val="26E6DF40"/>
    <w:rsid w:val="26E8A2F8"/>
    <w:rsid w:val="26EAAA01"/>
    <w:rsid w:val="26EB1D11"/>
    <w:rsid w:val="26EDA7AC"/>
    <w:rsid w:val="26EEAFC0"/>
    <w:rsid w:val="26F3AC1A"/>
    <w:rsid w:val="26F79D1F"/>
    <w:rsid w:val="26F957C3"/>
    <w:rsid w:val="26FD8530"/>
    <w:rsid w:val="26FDEA17"/>
    <w:rsid w:val="26FFCE01"/>
    <w:rsid w:val="27002F7A"/>
    <w:rsid w:val="2700AFD6"/>
    <w:rsid w:val="27021D9C"/>
    <w:rsid w:val="2705CB13"/>
    <w:rsid w:val="27097FA8"/>
    <w:rsid w:val="270AD843"/>
    <w:rsid w:val="270DB182"/>
    <w:rsid w:val="2710ADF3"/>
    <w:rsid w:val="2712B475"/>
    <w:rsid w:val="2713A8B8"/>
    <w:rsid w:val="27146458"/>
    <w:rsid w:val="2715BEF7"/>
    <w:rsid w:val="2715C59A"/>
    <w:rsid w:val="27191E74"/>
    <w:rsid w:val="271A93C8"/>
    <w:rsid w:val="271B0360"/>
    <w:rsid w:val="271BC81E"/>
    <w:rsid w:val="271DE246"/>
    <w:rsid w:val="271ED028"/>
    <w:rsid w:val="2725E724"/>
    <w:rsid w:val="272CF9D6"/>
    <w:rsid w:val="272D3F23"/>
    <w:rsid w:val="272EAC1E"/>
    <w:rsid w:val="27309E37"/>
    <w:rsid w:val="27324AF0"/>
    <w:rsid w:val="2732F243"/>
    <w:rsid w:val="2735B884"/>
    <w:rsid w:val="2738F49A"/>
    <w:rsid w:val="2739E4CE"/>
    <w:rsid w:val="273D29A7"/>
    <w:rsid w:val="273D3D4C"/>
    <w:rsid w:val="273DBC0C"/>
    <w:rsid w:val="2740DD9A"/>
    <w:rsid w:val="27411AD2"/>
    <w:rsid w:val="274262C9"/>
    <w:rsid w:val="2744A6F3"/>
    <w:rsid w:val="27473754"/>
    <w:rsid w:val="274A9E0A"/>
    <w:rsid w:val="274D9F8B"/>
    <w:rsid w:val="274DFD0D"/>
    <w:rsid w:val="274F4C3B"/>
    <w:rsid w:val="27545074"/>
    <w:rsid w:val="27547683"/>
    <w:rsid w:val="2755F9AA"/>
    <w:rsid w:val="2759FBD1"/>
    <w:rsid w:val="275AEBDF"/>
    <w:rsid w:val="2762F238"/>
    <w:rsid w:val="2762F3D3"/>
    <w:rsid w:val="27665165"/>
    <w:rsid w:val="27699D00"/>
    <w:rsid w:val="276A04E7"/>
    <w:rsid w:val="276A05A0"/>
    <w:rsid w:val="276B11F8"/>
    <w:rsid w:val="276C36A1"/>
    <w:rsid w:val="2772A42E"/>
    <w:rsid w:val="2773EC6D"/>
    <w:rsid w:val="27796F31"/>
    <w:rsid w:val="277E0CD9"/>
    <w:rsid w:val="278029D7"/>
    <w:rsid w:val="2781871C"/>
    <w:rsid w:val="27820605"/>
    <w:rsid w:val="2782861F"/>
    <w:rsid w:val="27829FD6"/>
    <w:rsid w:val="278550E2"/>
    <w:rsid w:val="27858388"/>
    <w:rsid w:val="27877E4D"/>
    <w:rsid w:val="2788F671"/>
    <w:rsid w:val="278ADCBC"/>
    <w:rsid w:val="2790FE88"/>
    <w:rsid w:val="27929288"/>
    <w:rsid w:val="27932165"/>
    <w:rsid w:val="2795BCAD"/>
    <w:rsid w:val="279710E4"/>
    <w:rsid w:val="27973BE9"/>
    <w:rsid w:val="27975A4B"/>
    <w:rsid w:val="279D7FEF"/>
    <w:rsid w:val="27A46B72"/>
    <w:rsid w:val="27A7597C"/>
    <w:rsid w:val="27ABD561"/>
    <w:rsid w:val="27AE06A8"/>
    <w:rsid w:val="27AE137C"/>
    <w:rsid w:val="27AECA2D"/>
    <w:rsid w:val="27B0DE70"/>
    <w:rsid w:val="27B1506B"/>
    <w:rsid w:val="27B26302"/>
    <w:rsid w:val="27B32548"/>
    <w:rsid w:val="27B644EF"/>
    <w:rsid w:val="27B715B0"/>
    <w:rsid w:val="27B88D52"/>
    <w:rsid w:val="27BB5999"/>
    <w:rsid w:val="27C3BE68"/>
    <w:rsid w:val="27C4332F"/>
    <w:rsid w:val="27C5224A"/>
    <w:rsid w:val="27C5305D"/>
    <w:rsid w:val="27CA1F19"/>
    <w:rsid w:val="27CD2BE2"/>
    <w:rsid w:val="27D17110"/>
    <w:rsid w:val="27D1D000"/>
    <w:rsid w:val="27D49338"/>
    <w:rsid w:val="27D8C9CD"/>
    <w:rsid w:val="27D92821"/>
    <w:rsid w:val="27DC0BD9"/>
    <w:rsid w:val="27DC9AE7"/>
    <w:rsid w:val="27DDC326"/>
    <w:rsid w:val="27E006E2"/>
    <w:rsid w:val="27E40653"/>
    <w:rsid w:val="27E8DAC3"/>
    <w:rsid w:val="27E9D0C1"/>
    <w:rsid w:val="27EF851A"/>
    <w:rsid w:val="27EFCC05"/>
    <w:rsid w:val="27F27AFF"/>
    <w:rsid w:val="27F4B016"/>
    <w:rsid w:val="27F4D58E"/>
    <w:rsid w:val="27F9A2BF"/>
    <w:rsid w:val="27FE26C8"/>
    <w:rsid w:val="27FE29C1"/>
    <w:rsid w:val="27FEB3A2"/>
    <w:rsid w:val="2800D900"/>
    <w:rsid w:val="2802C6B2"/>
    <w:rsid w:val="2803091F"/>
    <w:rsid w:val="2803936D"/>
    <w:rsid w:val="2805627F"/>
    <w:rsid w:val="280D98B1"/>
    <w:rsid w:val="280E651C"/>
    <w:rsid w:val="2813DCCA"/>
    <w:rsid w:val="2813E8A9"/>
    <w:rsid w:val="28189C88"/>
    <w:rsid w:val="281F6F23"/>
    <w:rsid w:val="28201F49"/>
    <w:rsid w:val="2820C88E"/>
    <w:rsid w:val="2825B624"/>
    <w:rsid w:val="28260D58"/>
    <w:rsid w:val="2826DD4A"/>
    <w:rsid w:val="282B3BE3"/>
    <w:rsid w:val="282FFB26"/>
    <w:rsid w:val="2830A0D3"/>
    <w:rsid w:val="28352BC7"/>
    <w:rsid w:val="283570C9"/>
    <w:rsid w:val="283615AB"/>
    <w:rsid w:val="283987D4"/>
    <w:rsid w:val="283B62DA"/>
    <w:rsid w:val="283BC38C"/>
    <w:rsid w:val="283C9DE5"/>
    <w:rsid w:val="283D7AB6"/>
    <w:rsid w:val="283DEC1D"/>
    <w:rsid w:val="284299AA"/>
    <w:rsid w:val="2844BDEB"/>
    <w:rsid w:val="28453DDC"/>
    <w:rsid w:val="284843B5"/>
    <w:rsid w:val="28491F10"/>
    <w:rsid w:val="284BDC44"/>
    <w:rsid w:val="284D7F65"/>
    <w:rsid w:val="28622CEA"/>
    <w:rsid w:val="28622DC9"/>
    <w:rsid w:val="28637C59"/>
    <w:rsid w:val="2865D5A0"/>
    <w:rsid w:val="286F2D01"/>
    <w:rsid w:val="287086B4"/>
    <w:rsid w:val="28709A33"/>
    <w:rsid w:val="2871CFFF"/>
    <w:rsid w:val="287311B1"/>
    <w:rsid w:val="287472A4"/>
    <w:rsid w:val="287B4385"/>
    <w:rsid w:val="287C0FD3"/>
    <w:rsid w:val="287C56B2"/>
    <w:rsid w:val="287E5063"/>
    <w:rsid w:val="287F7239"/>
    <w:rsid w:val="2881DAAE"/>
    <w:rsid w:val="288312EC"/>
    <w:rsid w:val="2883C516"/>
    <w:rsid w:val="28852A9B"/>
    <w:rsid w:val="2885E9C9"/>
    <w:rsid w:val="2888BF30"/>
    <w:rsid w:val="28890A5E"/>
    <w:rsid w:val="288A4F33"/>
    <w:rsid w:val="288AA5BA"/>
    <w:rsid w:val="288BEDBF"/>
    <w:rsid w:val="28909C76"/>
    <w:rsid w:val="2892849C"/>
    <w:rsid w:val="28940E1E"/>
    <w:rsid w:val="2896E2CC"/>
    <w:rsid w:val="289B4209"/>
    <w:rsid w:val="289DEE36"/>
    <w:rsid w:val="28A3AAC7"/>
    <w:rsid w:val="28A5217C"/>
    <w:rsid w:val="28A57676"/>
    <w:rsid w:val="28A598C8"/>
    <w:rsid w:val="28AA0432"/>
    <w:rsid w:val="28AC557F"/>
    <w:rsid w:val="28AC6673"/>
    <w:rsid w:val="28AF0207"/>
    <w:rsid w:val="28B15421"/>
    <w:rsid w:val="28B43F06"/>
    <w:rsid w:val="28BA8929"/>
    <w:rsid w:val="28BC158F"/>
    <w:rsid w:val="28BC915A"/>
    <w:rsid w:val="28BE1884"/>
    <w:rsid w:val="28C0909A"/>
    <w:rsid w:val="28C5E94F"/>
    <w:rsid w:val="28C80B48"/>
    <w:rsid w:val="28C9D9C7"/>
    <w:rsid w:val="28CB79FD"/>
    <w:rsid w:val="28CFE88B"/>
    <w:rsid w:val="28D0A6E8"/>
    <w:rsid w:val="28D35387"/>
    <w:rsid w:val="28D887EE"/>
    <w:rsid w:val="28D93ACC"/>
    <w:rsid w:val="28D9F534"/>
    <w:rsid w:val="28E1E3DC"/>
    <w:rsid w:val="28E4B7BE"/>
    <w:rsid w:val="28E6DA50"/>
    <w:rsid w:val="28E78578"/>
    <w:rsid w:val="28E99EFC"/>
    <w:rsid w:val="28E9EC18"/>
    <w:rsid w:val="28EEBBB3"/>
    <w:rsid w:val="28F1A1A4"/>
    <w:rsid w:val="28F29DEA"/>
    <w:rsid w:val="28F482E4"/>
    <w:rsid w:val="28F77D1F"/>
    <w:rsid w:val="28FB0A06"/>
    <w:rsid w:val="290006D4"/>
    <w:rsid w:val="29013974"/>
    <w:rsid w:val="29032A6B"/>
    <w:rsid w:val="290399AB"/>
    <w:rsid w:val="2903DBDC"/>
    <w:rsid w:val="2904DD76"/>
    <w:rsid w:val="2905D158"/>
    <w:rsid w:val="290677DE"/>
    <w:rsid w:val="290DF624"/>
    <w:rsid w:val="290E606B"/>
    <w:rsid w:val="290FB743"/>
    <w:rsid w:val="2910AC68"/>
    <w:rsid w:val="291408F0"/>
    <w:rsid w:val="29145332"/>
    <w:rsid w:val="2916E31C"/>
    <w:rsid w:val="291A837A"/>
    <w:rsid w:val="291CA738"/>
    <w:rsid w:val="292A9B87"/>
    <w:rsid w:val="292AE0FB"/>
    <w:rsid w:val="292B25DA"/>
    <w:rsid w:val="292C704B"/>
    <w:rsid w:val="29320509"/>
    <w:rsid w:val="29329398"/>
    <w:rsid w:val="2932D87C"/>
    <w:rsid w:val="2933D601"/>
    <w:rsid w:val="2936615C"/>
    <w:rsid w:val="2939FB73"/>
    <w:rsid w:val="293BC967"/>
    <w:rsid w:val="293BCEC5"/>
    <w:rsid w:val="293D402B"/>
    <w:rsid w:val="293DBE0B"/>
    <w:rsid w:val="293FD3BF"/>
    <w:rsid w:val="29424B6F"/>
    <w:rsid w:val="294374B1"/>
    <w:rsid w:val="29443EDB"/>
    <w:rsid w:val="29447683"/>
    <w:rsid w:val="2949FCCB"/>
    <w:rsid w:val="294B13B5"/>
    <w:rsid w:val="294B40BF"/>
    <w:rsid w:val="294D60CC"/>
    <w:rsid w:val="294E8B20"/>
    <w:rsid w:val="2950911C"/>
    <w:rsid w:val="2952D40C"/>
    <w:rsid w:val="2953A892"/>
    <w:rsid w:val="2953C12D"/>
    <w:rsid w:val="29584223"/>
    <w:rsid w:val="295B159E"/>
    <w:rsid w:val="295E3797"/>
    <w:rsid w:val="29649635"/>
    <w:rsid w:val="296AC07B"/>
    <w:rsid w:val="296AE3E1"/>
    <w:rsid w:val="296E2651"/>
    <w:rsid w:val="296FB680"/>
    <w:rsid w:val="2976EDC1"/>
    <w:rsid w:val="2977D522"/>
    <w:rsid w:val="297829E6"/>
    <w:rsid w:val="297B58FA"/>
    <w:rsid w:val="297B65E1"/>
    <w:rsid w:val="297BCE48"/>
    <w:rsid w:val="297DC14B"/>
    <w:rsid w:val="2981FFF7"/>
    <w:rsid w:val="2984BA3C"/>
    <w:rsid w:val="29895A85"/>
    <w:rsid w:val="2989AC0E"/>
    <w:rsid w:val="2989D528"/>
    <w:rsid w:val="298C19FA"/>
    <w:rsid w:val="29903F70"/>
    <w:rsid w:val="2992ED5D"/>
    <w:rsid w:val="299375B0"/>
    <w:rsid w:val="29948476"/>
    <w:rsid w:val="299566FB"/>
    <w:rsid w:val="299F7AF9"/>
    <w:rsid w:val="29A2B811"/>
    <w:rsid w:val="29A52CA4"/>
    <w:rsid w:val="29A874C2"/>
    <w:rsid w:val="29AA4257"/>
    <w:rsid w:val="29AF2799"/>
    <w:rsid w:val="29B25362"/>
    <w:rsid w:val="29B6C86B"/>
    <w:rsid w:val="29B895B1"/>
    <w:rsid w:val="29B8A56E"/>
    <w:rsid w:val="29BE294D"/>
    <w:rsid w:val="29C7B33C"/>
    <w:rsid w:val="29CC6C65"/>
    <w:rsid w:val="29CDBBA2"/>
    <w:rsid w:val="29D0CEBE"/>
    <w:rsid w:val="29D247A6"/>
    <w:rsid w:val="29D9CCA2"/>
    <w:rsid w:val="29DD5A14"/>
    <w:rsid w:val="29DE0A23"/>
    <w:rsid w:val="29DE8459"/>
    <w:rsid w:val="29DF94B7"/>
    <w:rsid w:val="29E14578"/>
    <w:rsid w:val="29E1A3C4"/>
    <w:rsid w:val="29E2CC67"/>
    <w:rsid w:val="29E31BFD"/>
    <w:rsid w:val="29E48397"/>
    <w:rsid w:val="29E5B8EE"/>
    <w:rsid w:val="29E952E9"/>
    <w:rsid w:val="29EBB178"/>
    <w:rsid w:val="29ED65C6"/>
    <w:rsid w:val="29EE8193"/>
    <w:rsid w:val="29F76515"/>
    <w:rsid w:val="29FFCEE8"/>
    <w:rsid w:val="2A00B93A"/>
    <w:rsid w:val="2A07F753"/>
    <w:rsid w:val="2A087A66"/>
    <w:rsid w:val="2A0C8B1D"/>
    <w:rsid w:val="2A0EAEFB"/>
    <w:rsid w:val="2A112FF4"/>
    <w:rsid w:val="2A155BDF"/>
    <w:rsid w:val="2A180BEE"/>
    <w:rsid w:val="2A195E0D"/>
    <w:rsid w:val="2A1C0827"/>
    <w:rsid w:val="2A1CB0FB"/>
    <w:rsid w:val="2A1D9DBC"/>
    <w:rsid w:val="2A206B51"/>
    <w:rsid w:val="2A20CA7A"/>
    <w:rsid w:val="2A21EC0E"/>
    <w:rsid w:val="2A264B05"/>
    <w:rsid w:val="2A28DF28"/>
    <w:rsid w:val="2A2AA3FA"/>
    <w:rsid w:val="2A2D7CD9"/>
    <w:rsid w:val="2A2DFD54"/>
    <w:rsid w:val="2A2E729B"/>
    <w:rsid w:val="2A2FE856"/>
    <w:rsid w:val="2A352D44"/>
    <w:rsid w:val="2A357A2A"/>
    <w:rsid w:val="2A37F3B8"/>
    <w:rsid w:val="2A39AE3C"/>
    <w:rsid w:val="2A39F4B9"/>
    <w:rsid w:val="2A3C1D18"/>
    <w:rsid w:val="2A3EA3E9"/>
    <w:rsid w:val="2A466573"/>
    <w:rsid w:val="2A4E6BF4"/>
    <w:rsid w:val="2A5162D9"/>
    <w:rsid w:val="2A5421E9"/>
    <w:rsid w:val="2A574D38"/>
    <w:rsid w:val="2A5B3B63"/>
    <w:rsid w:val="2A5B6B30"/>
    <w:rsid w:val="2A5E75B1"/>
    <w:rsid w:val="2A60EC95"/>
    <w:rsid w:val="2A62A8D1"/>
    <w:rsid w:val="2A6AF164"/>
    <w:rsid w:val="2A6CECC7"/>
    <w:rsid w:val="2A74846A"/>
    <w:rsid w:val="2A77FAAD"/>
    <w:rsid w:val="2A78B8E5"/>
    <w:rsid w:val="2A79EB83"/>
    <w:rsid w:val="2A82CAC1"/>
    <w:rsid w:val="2A835D50"/>
    <w:rsid w:val="2A8434B4"/>
    <w:rsid w:val="2A85AFDD"/>
    <w:rsid w:val="2A865134"/>
    <w:rsid w:val="2A8A8DAE"/>
    <w:rsid w:val="2A8B4D0F"/>
    <w:rsid w:val="2A8DC1FA"/>
    <w:rsid w:val="2A8F81CB"/>
    <w:rsid w:val="2A8FF532"/>
    <w:rsid w:val="2A9072E5"/>
    <w:rsid w:val="2A923587"/>
    <w:rsid w:val="2A9285D8"/>
    <w:rsid w:val="2A947BEF"/>
    <w:rsid w:val="2A96DBE8"/>
    <w:rsid w:val="2A992513"/>
    <w:rsid w:val="2A9B2B78"/>
    <w:rsid w:val="2AA10207"/>
    <w:rsid w:val="2AA1CE0C"/>
    <w:rsid w:val="2AA7D7EB"/>
    <w:rsid w:val="2AA9BCB5"/>
    <w:rsid w:val="2AABC6BC"/>
    <w:rsid w:val="2AB44866"/>
    <w:rsid w:val="2AB4B28D"/>
    <w:rsid w:val="2AB5394B"/>
    <w:rsid w:val="2AB76877"/>
    <w:rsid w:val="2AB829CE"/>
    <w:rsid w:val="2AC41D7E"/>
    <w:rsid w:val="2ACCA350"/>
    <w:rsid w:val="2ACD2D7B"/>
    <w:rsid w:val="2ACE5413"/>
    <w:rsid w:val="2ACF35E3"/>
    <w:rsid w:val="2ACF79E8"/>
    <w:rsid w:val="2AD00939"/>
    <w:rsid w:val="2AD0AE87"/>
    <w:rsid w:val="2AD2FB7E"/>
    <w:rsid w:val="2AD5BF35"/>
    <w:rsid w:val="2AD5FCFD"/>
    <w:rsid w:val="2AD87C10"/>
    <w:rsid w:val="2AD9802D"/>
    <w:rsid w:val="2ADAF6AA"/>
    <w:rsid w:val="2ADD5179"/>
    <w:rsid w:val="2ADE972B"/>
    <w:rsid w:val="2AE0CB77"/>
    <w:rsid w:val="2AE1E28C"/>
    <w:rsid w:val="2AE64C9E"/>
    <w:rsid w:val="2AE6EEF1"/>
    <w:rsid w:val="2AE9E384"/>
    <w:rsid w:val="2AEB1314"/>
    <w:rsid w:val="2AED4EC3"/>
    <w:rsid w:val="2AEE2684"/>
    <w:rsid w:val="2AEF529C"/>
    <w:rsid w:val="2AFB4740"/>
    <w:rsid w:val="2AFB5B0D"/>
    <w:rsid w:val="2AFBA022"/>
    <w:rsid w:val="2AFE5096"/>
    <w:rsid w:val="2B00F6CB"/>
    <w:rsid w:val="2B047E10"/>
    <w:rsid w:val="2B085EA2"/>
    <w:rsid w:val="2B0F327A"/>
    <w:rsid w:val="2B17717B"/>
    <w:rsid w:val="2B192577"/>
    <w:rsid w:val="2B195D8A"/>
    <w:rsid w:val="2B1A8738"/>
    <w:rsid w:val="2B1B3A5B"/>
    <w:rsid w:val="2B29AEA3"/>
    <w:rsid w:val="2B2A2057"/>
    <w:rsid w:val="2B2CD1E3"/>
    <w:rsid w:val="2B2EF633"/>
    <w:rsid w:val="2B2FD49E"/>
    <w:rsid w:val="2B3324CD"/>
    <w:rsid w:val="2B349560"/>
    <w:rsid w:val="2B377831"/>
    <w:rsid w:val="2B389180"/>
    <w:rsid w:val="2B38B7E9"/>
    <w:rsid w:val="2B38D940"/>
    <w:rsid w:val="2B3BDD63"/>
    <w:rsid w:val="2B3E9D06"/>
    <w:rsid w:val="2B4984AB"/>
    <w:rsid w:val="2B4DD27C"/>
    <w:rsid w:val="2B509977"/>
    <w:rsid w:val="2B5CC797"/>
    <w:rsid w:val="2B611E12"/>
    <w:rsid w:val="2B61690B"/>
    <w:rsid w:val="2B638226"/>
    <w:rsid w:val="2B651689"/>
    <w:rsid w:val="2B694F52"/>
    <w:rsid w:val="2B699E84"/>
    <w:rsid w:val="2B6D5483"/>
    <w:rsid w:val="2B6D9AD6"/>
    <w:rsid w:val="2B6F864C"/>
    <w:rsid w:val="2B705BAF"/>
    <w:rsid w:val="2B710FED"/>
    <w:rsid w:val="2B776636"/>
    <w:rsid w:val="2B7875B3"/>
    <w:rsid w:val="2B7925F2"/>
    <w:rsid w:val="2B7B4F44"/>
    <w:rsid w:val="2B7B9057"/>
    <w:rsid w:val="2B7BB273"/>
    <w:rsid w:val="2B855813"/>
    <w:rsid w:val="2B86FDE6"/>
    <w:rsid w:val="2B8875DC"/>
    <w:rsid w:val="2B89BE24"/>
    <w:rsid w:val="2B8BFB0C"/>
    <w:rsid w:val="2B8E396F"/>
    <w:rsid w:val="2B8ED755"/>
    <w:rsid w:val="2B957A75"/>
    <w:rsid w:val="2B97C60D"/>
    <w:rsid w:val="2B9D4B02"/>
    <w:rsid w:val="2B9D92BD"/>
    <w:rsid w:val="2B9E263D"/>
    <w:rsid w:val="2B9E5AC1"/>
    <w:rsid w:val="2B9F335A"/>
    <w:rsid w:val="2BA10B59"/>
    <w:rsid w:val="2BA15C5A"/>
    <w:rsid w:val="2BA7A87A"/>
    <w:rsid w:val="2BAD05F9"/>
    <w:rsid w:val="2BBD73B6"/>
    <w:rsid w:val="2BC4A80E"/>
    <w:rsid w:val="2BC7D00B"/>
    <w:rsid w:val="2BC7E9EA"/>
    <w:rsid w:val="2BCA29DE"/>
    <w:rsid w:val="2BCB5ADC"/>
    <w:rsid w:val="2BCD2AD8"/>
    <w:rsid w:val="2BCE08BF"/>
    <w:rsid w:val="2BCE2256"/>
    <w:rsid w:val="2BD0620A"/>
    <w:rsid w:val="2BD3D1C5"/>
    <w:rsid w:val="2BD456D5"/>
    <w:rsid w:val="2BD983C0"/>
    <w:rsid w:val="2BDBD3FA"/>
    <w:rsid w:val="2BDE26DE"/>
    <w:rsid w:val="2BDEE1E6"/>
    <w:rsid w:val="2BDFAAA2"/>
    <w:rsid w:val="2BE1706F"/>
    <w:rsid w:val="2BE177F5"/>
    <w:rsid w:val="2BE23472"/>
    <w:rsid w:val="2BE33DD2"/>
    <w:rsid w:val="2BEF7D0E"/>
    <w:rsid w:val="2BF0F7F0"/>
    <w:rsid w:val="2BF16F00"/>
    <w:rsid w:val="2BF2519F"/>
    <w:rsid w:val="2BF36B29"/>
    <w:rsid w:val="2BF722A2"/>
    <w:rsid w:val="2BF8B05A"/>
    <w:rsid w:val="2BFAE519"/>
    <w:rsid w:val="2BFCCB70"/>
    <w:rsid w:val="2BFDE7A3"/>
    <w:rsid w:val="2C01C05B"/>
    <w:rsid w:val="2C04B729"/>
    <w:rsid w:val="2C051851"/>
    <w:rsid w:val="2C095D2A"/>
    <w:rsid w:val="2C0A3E7F"/>
    <w:rsid w:val="2C0B704A"/>
    <w:rsid w:val="2C0EE137"/>
    <w:rsid w:val="2C1677F6"/>
    <w:rsid w:val="2C17BFE9"/>
    <w:rsid w:val="2C196D7E"/>
    <w:rsid w:val="2C1B2036"/>
    <w:rsid w:val="2C1C0F15"/>
    <w:rsid w:val="2C1D13AE"/>
    <w:rsid w:val="2C206A9D"/>
    <w:rsid w:val="2C22A79D"/>
    <w:rsid w:val="2C230CE0"/>
    <w:rsid w:val="2C27BED3"/>
    <w:rsid w:val="2C280FD3"/>
    <w:rsid w:val="2C2BD88F"/>
    <w:rsid w:val="2C2C9270"/>
    <w:rsid w:val="2C2DBCA0"/>
    <w:rsid w:val="2C2E1FC9"/>
    <w:rsid w:val="2C302DA1"/>
    <w:rsid w:val="2C335294"/>
    <w:rsid w:val="2C34ADB4"/>
    <w:rsid w:val="2C363643"/>
    <w:rsid w:val="2C365BD3"/>
    <w:rsid w:val="2C36AE54"/>
    <w:rsid w:val="2C395112"/>
    <w:rsid w:val="2C3BC223"/>
    <w:rsid w:val="2C3F80B1"/>
    <w:rsid w:val="2C49D0F1"/>
    <w:rsid w:val="2C4EA38C"/>
    <w:rsid w:val="2C4EBD72"/>
    <w:rsid w:val="2C544ED8"/>
    <w:rsid w:val="2C557ECE"/>
    <w:rsid w:val="2C5B060E"/>
    <w:rsid w:val="2C5B3435"/>
    <w:rsid w:val="2C5B8EDB"/>
    <w:rsid w:val="2C5E5F41"/>
    <w:rsid w:val="2C5F0A11"/>
    <w:rsid w:val="2C614374"/>
    <w:rsid w:val="2C6286D8"/>
    <w:rsid w:val="2C63FD2F"/>
    <w:rsid w:val="2C644CF3"/>
    <w:rsid w:val="2C64B9D7"/>
    <w:rsid w:val="2C67DC1F"/>
    <w:rsid w:val="2C74A425"/>
    <w:rsid w:val="2C754149"/>
    <w:rsid w:val="2C767401"/>
    <w:rsid w:val="2C7D35D0"/>
    <w:rsid w:val="2C7E3CFE"/>
    <w:rsid w:val="2C7F55AB"/>
    <w:rsid w:val="2C839FF3"/>
    <w:rsid w:val="2C855738"/>
    <w:rsid w:val="2C87C6E6"/>
    <w:rsid w:val="2C8AA211"/>
    <w:rsid w:val="2C8D660C"/>
    <w:rsid w:val="2C8DB5DF"/>
    <w:rsid w:val="2C93B4A7"/>
    <w:rsid w:val="2C94CA03"/>
    <w:rsid w:val="2C953532"/>
    <w:rsid w:val="2C969CA8"/>
    <w:rsid w:val="2C96BA6B"/>
    <w:rsid w:val="2C973873"/>
    <w:rsid w:val="2C989051"/>
    <w:rsid w:val="2C9A85EF"/>
    <w:rsid w:val="2C9DDDD2"/>
    <w:rsid w:val="2C9EBD91"/>
    <w:rsid w:val="2CA42BF5"/>
    <w:rsid w:val="2CA6DD1C"/>
    <w:rsid w:val="2CA95905"/>
    <w:rsid w:val="2CB381E4"/>
    <w:rsid w:val="2CB52DAB"/>
    <w:rsid w:val="2CB7175E"/>
    <w:rsid w:val="2CB9A4C6"/>
    <w:rsid w:val="2CC021F2"/>
    <w:rsid w:val="2CC07DCB"/>
    <w:rsid w:val="2CC2EA96"/>
    <w:rsid w:val="2CC3569C"/>
    <w:rsid w:val="2CC8B5EA"/>
    <w:rsid w:val="2CC8E6DC"/>
    <w:rsid w:val="2CCAA349"/>
    <w:rsid w:val="2CCF5875"/>
    <w:rsid w:val="2CD12BAE"/>
    <w:rsid w:val="2CD7376B"/>
    <w:rsid w:val="2CD927AF"/>
    <w:rsid w:val="2CD98A94"/>
    <w:rsid w:val="2CDB35BF"/>
    <w:rsid w:val="2CDE2159"/>
    <w:rsid w:val="2CE36C15"/>
    <w:rsid w:val="2CE4BAE3"/>
    <w:rsid w:val="2CE50317"/>
    <w:rsid w:val="2CE93A3B"/>
    <w:rsid w:val="2CEA5510"/>
    <w:rsid w:val="2CEB8411"/>
    <w:rsid w:val="2CF09DDA"/>
    <w:rsid w:val="2CF2C653"/>
    <w:rsid w:val="2CF41FF5"/>
    <w:rsid w:val="2CF45D21"/>
    <w:rsid w:val="2CF6220D"/>
    <w:rsid w:val="2CF79CE9"/>
    <w:rsid w:val="2CF979A8"/>
    <w:rsid w:val="2CFD8082"/>
    <w:rsid w:val="2CFED223"/>
    <w:rsid w:val="2CFF499C"/>
    <w:rsid w:val="2D063EAE"/>
    <w:rsid w:val="2D068254"/>
    <w:rsid w:val="2D0786ED"/>
    <w:rsid w:val="2D07BC63"/>
    <w:rsid w:val="2D07CBCB"/>
    <w:rsid w:val="2D0887E4"/>
    <w:rsid w:val="2D08D0C7"/>
    <w:rsid w:val="2D0A6CE9"/>
    <w:rsid w:val="2D0BD75F"/>
    <w:rsid w:val="2D0C9A48"/>
    <w:rsid w:val="2D0DC0B3"/>
    <w:rsid w:val="2D0DE14A"/>
    <w:rsid w:val="2D0E1D04"/>
    <w:rsid w:val="2D0F9843"/>
    <w:rsid w:val="2D10EBD1"/>
    <w:rsid w:val="2D110DD7"/>
    <w:rsid w:val="2D1122D4"/>
    <w:rsid w:val="2D12C190"/>
    <w:rsid w:val="2D1A4E76"/>
    <w:rsid w:val="2D1AD354"/>
    <w:rsid w:val="2D26B3DF"/>
    <w:rsid w:val="2D27A759"/>
    <w:rsid w:val="2D298CF8"/>
    <w:rsid w:val="2D2E0FFF"/>
    <w:rsid w:val="2D2EA52B"/>
    <w:rsid w:val="2D32D460"/>
    <w:rsid w:val="2D37D3DF"/>
    <w:rsid w:val="2D3F3A1B"/>
    <w:rsid w:val="2D40548B"/>
    <w:rsid w:val="2D43B7B5"/>
    <w:rsid w:val="2D43F302"/>
    <w:rsid w:val="2D49A2DD"/>
    <w:rsid w:val="2D49CA8F"/>
    <w:rsid w:val="2D49F0E5"/>
    <w:rsid w:val="2D4A24AF"/>
    <w:rsid w:val="2D4BF6BD"/>
    <w:rsid w:val="2D54E0DD"/>
    <w:rsid w:val="2D5AD1FA"/>
    <w:rsid w:val="2D61AEE6"/>
    <w:rsid w:val="2D628ED2"/>
    <w:rsid w:val="2D765987"/>
    <w:rsid w:val="2D768FB7"/>
    <w:rsid w:val="2D78003E"/>
    <w:rsid w:val="2D794A77"/>
    <w:rsid w:val="2D7A2CB4"/>
    <w:rsid w:val="2D7B22A5"/>
    <w:rsid w:val="2D7BCAB6"/>
    <w:rsid w:val="2D7C7D29"/>
    <w:rsid w:val="2D7CE67B"/>
    <w:rsid w:val="2D809E9E"/>
    <w:rsid w:val="2D812ADF"/>
    <w:rsid w:val="2D83032D"/>
    <w:rsid w:val="2D8548AA"/>
    <w:rsid w:val="2D8CC34F"/>
    <w:rsid w:val="2D919769"/>
    <w:rsid w:val="2D9251D5"/>
    <w:rsid w:val="2D926BD1"/>
    <w:rsid w:val="2D93E06A"/>
    <w:rsid w:val="2D9609BE"/>
    <w:rsid w:val="2D9A1918"/>
    <w:rsid w:val="2D9EA510"/>
    <w:rsid w:val="2D9F1FDD"/>
    <w:rsid w:val="2DA3F367"/>
    <w:rsid w:val="2DA783DF"/>
    <w:rsid w:val="2DA933F8"/>
    <w:rsid w:val="2DAA100A"/>
    <w:rsid w:val="2DAB583A"/>
    <w:rsid w:val="2DAE4D73"/>
    <w:rsid w:val="2DB01D4B"/>
    <w:rsid w:val="2DB05231"/>
    <w:rsid w:val="2DB285D4"/>
    <w:rsid w:val="2DB44C81"/>
    <w:rsid w:val="2DB45270"/>
    <w:rsid w:val="2DBAE60D"/>
    <w:rsid w:val="2DBE80CF"/>
    <w:rsid w:val="2DC059A6"/>
    <w:rsid w:val="2DC76B61"/>
    <w:rsid w:val="2DCEE3AE"/>
    <w:rsid w:val="2DD9EE76"/>
    <w:rsid w:val="2DDEB8E0"/>
    <w:rsid w:val="2DDFF775"/>
    <w:rsid w:val="2DE55EE8"/>
    <w:rsid w:val="2DE5EA19"/>
    <w:rsid w:val="2DE702F1"/>
    <w:rsid w:val="2DE71EB3"/>
    <w:rsid w:val="2DE7FCDD"/>
    <w:rsid w:val="2DE843F8"/>
    <w:rsid w:val="2DEB3640"/>
    <w:rsid w:val="2DED69A5"/>
    <w:rsid w:val="2DEFF5D1"/>
    <w:rsid w:val="2DF54034"/>
    <w:rsid w:val="2DF55CEC"/>
    <w:rsid w:val="2E02A1B9"/>
    <w:rsid w:val="2E05B6FC"/>
    <w:rsid w:val="2E0C15EB"/>
    <w:rsid w:val="2E0C34EC"/>
    <w:rsid w:val="2E123619"/>
    <w:rsid w:val="2E13089C"/>
    <w:rsid w:val="2E145448"/>
    <w:rsid w:val="2E172308"/>
    <w:rsid w:val="2E177135"/>
    <w:rsid w:val="2E195231"/>
    <w:rsid w:val="2E1BDA3E"/>
    <w:rsid w:val="2E1EEA27"/>
    <w:rsid w:val="2E1F91BB"/>
    <w:rsid w:val="2E219A92"/>
    <w:rsid w:val="2E233C53"/>
    <w:rsid w:val="2E2625F5"/>
    <w:rsid w:val="2E280FFA"/>
    <w:rsid w:val="2E298452"/>
    <w:rsid w:val="2E298B2E"/>
    <w:rsid w:val="2E29AEBC"/>
    <w:rsid w:val="2E2E4B2C"/>
    <w:rsid w:val="2E2F365C"/>
    <w:rsid w:val="2E2F77C5"/>
    <w:rsid w:val="2E2FE954"/>
    <w:rsid w:val="2E318494"/>
    <w:rsid w:val="2E339FFA"/>
    <w:rsid w:val="2E377A9D"/>
    <w:rsid w:val="2E389FCE"/>
    <w:rsid w:val="2E3BB978"/>
    <w:rsid w:val="2E3CF019"/>
    <w:rsid w:val="2E4101C7"/>
    <w:rsid w:val="2E44E4C7"/>
    <w:rsid w:val="2E4731C1"/>
    <w:rsid w:val="2E48973C"/>
    <w:rsid w:val="2E4ACFA7"/>
    <w:rsid w:val="2E4C4BC4"/>
    <w:rsid w:val="2E4ED2EA"/>
    <w:rsid w:val="2E4F54C9"/>
    <w:rsid w:val="2E58A801"/>
    <w:rsid w:val="2E5B193A"/>
    <w:rsid w:val="2E5B4DE3"/>
    <w:rsid w:val="2E5CAA0E"/>
    <w:rsid w:val="2E5CEBCE"/>
    <w:rsid w:val="2E5E9C71"/>
    <w:rsid w:val="2E5F56A2"/>
    <w:rsid w:val="2E60B334"/>
    <w:rsid w:val="2E64BBB0"/>
    <w:rsid w:val="2E6A8173"/>
    <w:rsid w:val="2E6C4543"/>
    <w:rsid w:val="2E6D7BE2"/>
    <w:rsid w:val="2E6F62CC"/>
    <w:rsid w:val="2E6FBD5E"/>
    <w:rsid w:val="2E714CCE"/>
    <w:rsid w:val="2E715A1A"/>
    <w:rsid w:val="2E7538FA"/>
    <w:rsid w:val="2E759617"/>
    <w:rsid w:val="2E75C21E"/>
    <w:rsid w:val="2E775F63"/>
    <w:rsid w:val="2E7CAEA3"/>
    <w:rsid w:val="2E7D1DFB"/>
    <w:rsid w:val="2E7D6E3F"/>
    <w:rsid w:val="2E7D8692"/>
    <w:rsid w:val="2E84AF48"/>
    <w:rsid w:val="2E88866D"/>
    <w:rsid w:val="2E949AEE"/>
    <w:rsid w:val="2E96E9D0"/>
    <w:rsid w:val="2E96F621"/>
    <w:rsid w:val="2E99AB46"/>
    <w:rsid w:val="2E9BF131"/>
    <w:rsid w:val="2E9FB081"/>
    <w:rsid w:val="2EA062F4"/>
    <w:rsid w:val="2EA4B995"/>
    <w:rsid w:val="2EAED927"/>
    <w:rsid w:val="2EAEDB63"/>
    <w:rsid w:val="2EB3AD40"/>
    <w:rsid w:val="2EB92BD3"/>
    <w:rsid w:val="2EC0F944"/>
    <w:rsid w:val="2EC60BC4"/>
    <w:rsid w:val="2EC709FF"/>
    <w:rsid w:val="2ED01C45"/>
    <w:rsid w:val="2ED3E497"/>
    <w:rsid w:val="2ED5A00C"/>
    <w:rsid w:val="2ED679EC"/>
    <w:rsid w:val="2EDAA61F"/>
    <w:rsid w:val="2EE57D10"/>
    <w:rsid w:val="2EEAC2B5"/>
    <w:rsid w:val="2EEB5B41"/>
    <w:rsid w:val="2EEC0F79"/>
    <w:rsid w:val="2EEFFAA0"/>
    <w:rsid w:val="2EF07D4D"/>
    <w:rsid w:val="2EF25288"/>
    <w:rsid w:val="2EF38D33"/>
    <w:rsid w:val="2EF6F6A0"/>
    <w:rsid w:val="2EF996C5"/>
    <w:rsid w:val="2EFAF15D"/>
    <w:rsid w:val="2EFD1428"/>
    <w:rsid w:val="2F002AF1"/>
    <w:rsid w:val="2F0361E6"/>
    <w:rsid w:val="2F03CF65"/>
    <w:rsid w:val="2F09386A"/>
    <w:rsid w:val="2F0C1F18"/>
    <w:rsid w:val="2F0EAD06"/>
    <w:rsid w:val="2F13D841"/>
    <w:rsid w:val="2F163E53"/>
    <w:rsid w:val="2F172116"/>
    <w:rsid w:val="2F1E4F10"/>
    <w:rsid w:val="2F2093E1"/>
    <w:rsid w:val="2F2325CD"/>
    <w:rsid w:val="2F27311B"/>
    <w:rsid w:val="2F27E6FB"/>
    <w:rsid w:val="2F2C0D2F"/>
    <w:rsid w:val="2F307A5F"/>
    <w:rsid w:val="2F34FED5"/>
    <w:rsid w:val="2F39D780"/>
    <w:rsid w:val="2F3E47D4"/>
    <w:rsid w:val="2F3E6ED3"/>
    <w:rsid w:val="2F4458E0"/>
    <w:rsid w:val="2F45EABB"/>
    <w:rsid w:val="2F4B7E32"/>
    <w:rsid w:val="2F54C1E8"/>
    <w:rsid w:val="2F56D082"/>
    <w:rsid w:val="2F5924B4"/>
    <w:rsid w:val="2F5C9A1D"/>
    <w:rsid w:val="2F5DAFE8"/>
    <w:rsid w:val="2F62B829"/>
    <w:rsid w:val="2F6329A9"/>
    <w:rsid w:val="2F6566FC"/>
    <w:rsid w:val="2F67B3B6"/>
    <w:rsid w:val="2F68224D"/>
    <w:rsid w:val="2F69707C"/>
    <w:rsid w:val="2F6990E7"/>
    <w:rsid w:val="2F6BB79D"/>
    <w:rsid w:val="2F6C31E6"/>
    <w:rsid w:val="2F71D06D"/>
    <w:rsid w:val="2F71D977"/>
    <w:rsid w:val="2F726DC8"/>
    <w:rsid w:val="2F74092B"/>
    <w:rsid w:val="2F765B78"/>
    <w:rsid w:val="2F7DA1EF"/>
    <w:rsid w:val="2F7F834A"/>
    <w:rsid w:val="2F804736"/>
    <w:rsid w:val="2F824FA5"/>
    <w:rsid w:val="2F83CD3E"/>
    <w:rsid w:val="2F90A233"/>
    <w:rsid w:val="2F931CF3"/>
    <w:rsid w:val="2F95179B"/>
    <w:rsid w:val="2F99C2A1"/>
    <w:rsid w:val="2F9A485F"/>
    <w:rsid w:val="2F9B348B"/>
    <w:rsid w:val="2F9C746F"/>
    <w:rsid w:val="2F9DBC74"/>
    <w:rsid w:val="2FA00D6C"/>
    <w:rsid w:val="2FA2A333"/>
    <w:rsid w:val="2FA3B855"/>
    <w:rsid w:val="2FA8BF1A"/>
    <w:rsid w:val="2FA94500"/>
    <w:rsid w:val="2FA974E2"/>
    <w:rsid w:val="2FAE1E37"/>
    <w:rsid w:val="2FAE59C5"/>
    <w:rsid w:val="2FB25679"/>
    <w:rsid w:val="2FB5D08F"/>
    <w:rsid w:val="2FB69BFF"/>
    <w:rsid w:val="2FBED228"/>
    <w:rsid w:val="2FC119F1"/>
    <w:rsid w:val="2FC72992"/>
    <w:rsid w:val="2FC8BD7C"/>
    <w:rsid w:val="2FD236A4"/>
    <w:rsid w:val="2FD5B45C"/>
    <w:rsid w:val="2FD64469"/>
    <w:rsid w:val="2FD71E0E"/>
    <w:rsid w:val="2FD89413"/>
    <w:rsid w:val="2FDEFA30"/>
    <w:rsid w:val="2FE00DAC"/>
    <w:rsid w:val="2FE08382"/>
    <w:rsid w:val="2FE08AC9"/>
    <w:rsid w:val="2FE226E2"/>
    <w:rsid w:val="2FE4DF25"/>
    <w:rsid w:val="2FE68871"/>
    <w:rsid w:val="2FE84F87"/>
    <w:rsid w:val="2FE8A283"/>
    <w:rsid w:val="2FF3EA75"/>
    <w:rsid w:val="2FF4DC81"/>
    <w:rsid w:val="2FF920F9"/>
    <w:rsid w:val="2FF98A34"/>
    <w:rsid w:val="2FFCB94B"/>
    <w:rsid w:val="30020AD8"/>
    <w:rsid w:val="3004B91A"/>
    <w:rsid w:val="300817F2"/>
    <w:rsid w:val="3009423F"/>
    <w:rsid w:val="300A504D"/>
    <w:rsid w:val="300A9807"/>
    <w:rsid w:val="300AEF74"/>
    <w:rsid w:val="300B51AF"/>
    <w:rsid w:val="300D7140"/>
    <w:rsid w:val="3011956C"/>
    <w:rsid w:val="301283EC"/>
    <w:rsid w:val="3012F0B3"/>
    <w:rsid w:val="301B5F17"/>
    <w:rsid w:val="301DD716"/>
    <w:rsid w:val="3020B584"/>
    <w:rsid w:val="3021143D"/>
    <w:rsid w:val="30237BED"/>
    <w:rsid w:val="30263F69"/>
    <w:rsid w:val="30294AC9"/>
    <w:rsid w:val="302A4989"/>
    <w:rsid w:val="302DA3CE"/>
    <w:rsid w:val="302E85E5"/>
    <w:rsid w:val="302ED465"/>
    <w:rsid w:val="3032A3F2"/>
    <w:rsid w:val="3032FDBC"/>
    <w:rsid w:val="30346E6E"/>
    <w:rsid w:val="3037CB9B"/>
    <w:rsid w:val="303948E1"/>
    <w:rsid w:val="304005EE"/>
    <w:rsid w:val="30454F79"/>
    <w:rsid w:val="3049AA08"/>
    <w:rsid w:val="304B0F29"/>
    <w:rsid w:val="30502739"/>
    <w:rsid w:val="30510EE8"/>
    <w:rsid w:val="30522A86"/>
    <w:rsid w:val="30566E66"/>
    <w:rsid w:val="30583839"/>
    <w:rsid w:val="305BE8C8"/>
    <w:rsid w:val="3063967D"/>
    <w:rsid w:val="306469D6"/>
    <w:rsid w:val="306493AE"/>
    <w:rsid w:val="3066619D"/>
    <w:rsid w:val="30672B7A"/>
    <w:rsid w:val="3067F467"/>
    <w:rsid w:val="30698B50"/>
    <w:rsid w:val="306BA15F"/>
    <w:rsid w:val="306D2DA3"/>
    <w:rsid w:val="306D6D48"/>
    <w:rsid w:val="30710E7C"/>
    <w:rsid w:val="3071A328"/>
    <w:rsid w:val="3071B4DA"/>
    <w:rsid w:val="3073F9C4"/>
    <w:rsid w:val="3074ED6C"/>
    <w:rsid w:val="307C588B"/>
    <w:rsid w:val="307DAC2B"/>
    <w:rsid w:val="307FBF50"/>
    <w:rsid w:val="30805DF9"/>
    <w:rsid w:val="3084D738"/>
    <w:rsid w:val="308544ED"/>
    <w:rsid w:val="30883D07"/>
    <w:rsid w:val="308E865A"/>
    <w:rsid w:val="308F126E"/>
    <w:rsid w:val="30906F92"/>
    <w:rsid w:val="3090E631"/>
    <w:rsid w:val="30938485"/>
    <w:rsid w:val="3093C125"/>
    <w:rsid w:val="3093DB15"/>
    <w:rsid w:val="30988B02"/>
    <w:rsid w:val="309AE3D0"/>
    <w:rsid w:val="309CD638"/>
    <w:rsid w:val="309DFA9E"/>
    <w:rsid w:val="30A0DFE0"/>
    <w:rsid w:val="30A3A51E"/>
    <w:rsid w:val="30A9F5BD"/>
    <w:rsid w:val="30AA0C04"/>
    <w:rsid w:val="30B06E8D"/>
    <w:rsid w:val="30B42CCF"/>
    <w:rsid w:val="30BAF94F"/>
    <w:rsid w:val="30C2A745"/>
    <w:rsid w:val="30C38738"/>
    <w:rsid w:val="30C5A0CA"/>
    <w:rsid w:val="30CD7819"/>
    <w:rsid w:val="30CF0FF5"/>
    <w:rsid w:val="30CF2762"/>
    <w:rsid w:val="30D090E1"/>
    <w:rsid w:val="30D22F06"/>
    <w:rsid w:val="30D3739F"/>
    <w:rsid w:val="30D94039"/>
    <w:rsid w:val="30EB7521"/>
    <w:rsid w:val="30EE417F"/>
    <w:rsid w:val="30EE8130"/>
    <w:rsid w:val="30F1C87A"/>
    <w:rsid w:val="30F2FC1A"/>
    <w:rsid w:val="30F42B82"/>
    <w:rsid w:val="30F821FA"/>
    <w:rsid w:val="30FA3656"/>
    <w:rsid w:val="3104ACA7"/>
    <w:rsid w:val="310A1E72"/>
    <w:rsid w:val="310F5016"/>
    <w:rsid w:val="31100BB7"/>
    <w:rsid w:val="31142417"/>
    <w:rsid w:val="31155307"/>
    <w:rsid w:val="3115B01D"/>
    <w:rsid w:val="3118F62A"/>
    <w:rsid w:val="3119B127"/>
    <w:rsid w:val="311C6C19"/>
    <w:rsid w:val="311E7A0D"/>
    <w:rsid w:val="31221970"/>
    <w:rsid w:val="3123A01A"/>
    <w:rsid w:val="31253B01"/>
    <w:rsid w:val="312CD31E"/>
    <w:rsid w:val="312DE81F"/>
    <w:rsid w:val="31310390"/>
    <w:rsid w:val="31341C3D"/>
    <w:rsid w:val="31344708"/>
    <w:rsid w:val="3134FF56"/>
    <w:rsid w:val="31356BD0"/>
    <w:rsid w:val="3135F287"/>
    <w:rsid w:val="3138E728"/>
    <w:rsid w:val="313A479D"/>
    <w:rsid w:val="313F22DD"/>
    <w:rsid w:val="314020F0"/>
    <w:rsid w:val="314260A9"/>
    <w:rsid w:val="3143D970"/>
    <w:rsid w:val="314449C2"/>
    <w:rsid w:val="314612CC"/>
    <w:rsid w:val="3147C48B"/>
    <w:rsid w:val="31490210"/>
    <w:rsid w:val="314A35EC"/>
    <w:rsid w:val="314D7157"/>
    <w:rsid w:val="314DD290"/>
    <w:rsid w:val="314DF4A0"/>
    <w:rsid w:val="314FB59C"/>
    <w:rsid w:val="3152E8EF"/>
    <w:rsid w:val="31577FBE"/>
    <w:rsid w:val="315C5C58"/>
    <w:rsid w:val="315E5490"/>
    <w:rsid w:val="316003A9"/>
    <w:rsid w:val="31631BFA"/>
    <w:rsid w:val="31661444"/>
    <w:rsid w:val="31685D9F"/>
    <w:rsid w:val="316F3380"/>
    <w:rsid w:val="316FA7AF"/>
    <w:rsid w:val="316FC64B"/>
    <w:rsid w:val="317037FB"/>
    <w:rsid w:val="317220AF"/>
    <w:rsid w:val="3175EA63"/>
    <w:rsid w:val="3177A915"/>
    <w:rsid w:val="317EEDF6"/>
    <w:rsid w:val="318CEAA8"/>
    <w:rsid w:val="318EA61F"/>
    <w:rsid w:val="318FC574"/>
    <w:rsid w:val="31945C58"/>
    <w:rsid w:val="319A866A"/>
    <w:rsid w:val="319AA52A"/>
    <w:rsid w:val="319BE015"/>
    <w:rsid w:val="31A1CC2F"/>
    <w:rsid w:val="31A30F0C"/>
    <w:rsid w:val="31A61ADB"/>
    <w:rsid w:val="31A63A52"/>
    <w:rsid w:val="31AAC3A5"/>
    <w:rsid w:val="31ABB68C"/>
    <w:rsid w:val="31ABDB91"/>
    <w:rsid w:val="31AD548E"/>
    <w:rsid w:val="31B00B28"/>
    <w:rsid w:val="31B36253"/>
    <w:rsid w:val="31B37862"/>
    <w:rsid w:val="31B6757C"/>
    <w:rsid w:val="31B9B083"/>
    <w:rsid w:val="31BBC11C"/>
    <w:rsid w:val="31BD0ADC"/>
    <w:rsid w:val="31C16EFB"/>
    <w:rsid w:val="31C69A97"/>
    <w:rsid w:val="31C81039"/>
    <w:rsid w:val="31C9AE1E"/>
    <w:rsid w:val="31CB609C"/>
    <w:rsid w:val="31CB9BFE"/>
    <w:rsid w:val="31CC7DF1"/>
    <w:rsid w:val="31D0235D"/>
    <w:rsid w:val="31D22AC0"/>
    <w:rsid w:val="31D43A78"/>
    <w:rsid w:val="31D48A51"/>
    <w:rsid w:val="31D986C4"/>
    <w:rsid w:val="31DB9FD6"/>
    <w:rsid w:val="31DBC267"/>
    <w:rsid w:val="31DCB105"/>
    <w:rsid w:val="31E10FF2"/>
    <w:rsid w:val="31E3CAC7"/>
    <w:rsid w:val="31E6FBD7"/>
    <w:rsid w:val="31EB1C54"/>
    <w:rsid w:val="31F1B862"/>
    <w:rsid w:val="31F43141"/>
    <w:rsid w:val="31FBBE26"/>
    <w:rsid w:val="31FC5648"/>
    <w:rsid w:val="31FC6B22"/>
    <w:rsid w:val="3200C255"/>
    <w:rsid w:val="32026754"/>
    <w:rsid w:val="3203F3A7"/>
    <w:rsid w:val="3206DE35"/>
    <w:rsid w:val="320A42B3"/>
    <w:rsid w:val="320C1F8C"/>
    <w:rsid w:val="320F5D64"/>
    <w:rsid w:val="320FFBFB"/>
    <w:rsid w:val="3210C6B2"/>
    <w:rsid w:val="321A60C1"/>
    <w:rsid w:val="321CFB28"/>
    <w:rsid w:val="321E7546"/>
    <w:rsid w:val="32226C3F"/>
    <w:rsid w:val="3223ACAA"/>
    <w:rsid w:val="3223CC7A"/>
    <w:rsid w:val="3224EA82"/>
    <w:rsid w:val="3226141B"/>
    <w:rsid w:val="3228E8BD"/>
    <w:rsid w:val="322B8E1F"/>
    <w:rsid w:val="322E4123"/>
    <w:rsid w:val="32335C87"/>
    <w:rsid w:val="3234A4C2"/>
    <w:rsid w:val="3235A303"/>
    <w:rsid w:val="3236CDAF"/>
    <w:rsid w:val="323A8446"/>
    <w:rsid w:val="323BD16A"/>
    <w:rsid w:val="323CD4BD"/>
    <w:rsid w:val="324075E7"/>
    <w:rsid w:val="3241AC08"/>
    <w:rsid w:val="32479D30"/>
    <w:rsid w:val="3248F33A"/>
    <w:rsid w:val="324AB966"/>
    <w:rsid w:val="324B8D89"/>
    <w:rsid w:val="324E255C"/>
    <w:rsid w:val="3255B267"/>
    <w:rsid w:val="32589A15"/>
    <w:rsid w:val="3258BE00"/>
    <w:rsid w:val="3259EED6"/>
    <w:rsid w:val="325A6C6E"/>
    <w:rsid w:val="325AB94E"/>
    <w:rsid w:val="325C0EE9"/>
    <w:rsid w:val="32615CD1"/>
    <w:rsid w:val="3261E3A4"/>
    <w:rsid w:val="32627EDE"/>
    <w:rsid w:val="326289BC"/>
    <w:rsid w:val="326454A8"/>
    <w:rsid w:val="32645E10"/>
    <w:rsid w:val="326A1B9E"/>
    <w:rsid w:val="3273E848"/>
    <w:rsid w:val="3274D4DB"/>
    <w:rsid w:val="32786540"/>
    <w:rsid w:val="327BA1E3"/>
    <w:rsid w:val="327CD3FE"/>
    <w:rsid w:val="32828332"/>
    <w:rsid w:val="32838E6E"/>
    <w:rsid w:val="328514F9"/>
    <w:rsid w:val="3287822D"/>
    <w:rsid w:val="32881CCC"/>
    <w:rsid w:val="3288AF02"/>
    <w:rsid w:val="32919149"/>
    <w:rsid w:val="3293366C"/>
    <w:rsid w:val="32934154"/>
    <w:rsid w:val="32957322"/>
    <w:rsid w:val="329593BB"/>
    <w:rsid w:val="3296EE0E"/>
    <w:rsid w:val="32977077"/>
    <w:rsid w:val="329B83CD"/>
    <w:rsid w:val="329DEDAF"/>
    <w:rsid w:val="32A0B704"/>
    <w:rsid w:val="32A0FC98"/>
    <w:rsid w:val="32A2A3B8"/>
    <w:rsid w:val="32A32548"/>
    <w:rsid w:val="32A327FB"/>
    <w:rsid w:val="32A5577E"/>
    <w:rsid w:val="32A9D6A8"/>
    <w:rsid w:val="32B5EC08"/>
    <w:rsid w:val="32B70190"/>
    <w:rsid w:val="32BAF14B"/>
    <w:rsid w:val="32BF0017"/>
    <w:rsid w:val="32C034D4"/>
    <w:rsid w:val="32C4D1D2"/>
    <w:rsid w:val="32C6CBDF"/>
    <w:rsid w:val="32C937CD"/>
    <w:rsid w:val="32CEC8AD"/>
    <w:rsid w:val="32D285D9"/>
    <w:rsid w:val="32D2F338"/>
    <w:rsid w:val="32D44366"/>
    <w:rsid w:val="32DD0180"/>
    <w:rsid w:val="32E01C25"/>
    <w:rsid w:val="32E2C043"/>
    <w:rsid w:val="32E3BA43"/>
    <w:rsid w:val="32E424DD"/>
    <w:rsid w:val="32E4C59D"/>
    <w:rsid w:val="32E606B7"/>
    <w:rsid w:val="32E80232"/>
    <w:rsid w:val="32E851F2"/>
    <w:rsid w:val="32E89290"/>
    <w:rsid w:val="32F760C2"/>
    <w:rsid w:val="32F94A68"/>
    <w:rsid w:val="32FBB9ED"/>
    <w:rsid w:val="3301C57D"/>
    <w:rsid w:val="330242F2"/>
    <w:rsid w:val="330439F9"/>
    <w:rsid w:val="3305538F"/>
    <w:rsid w:val="330913C9"/>
    <w:rsid w:val="33093396"/>
    <w:rsid w:val="330CAC97"/>
    <w:rsid w:val="330CFC0D"/>
    <w:rsid w:val="3310D3D4"/>
    <w:rsid w:val="33111B8A"/>
    <w:rsid w:val="3311D323"/>
    <w:rsid w:val="3312C67F"/>
    <w:rsid w:val="3312C98A"/>
    <w:rsid w:val="3316FF0F"/>
    <w:rsid w:val="331761CA"/>
    <w:rsid w:val="33182B8B"/>
    <w:rsid w:val="331DAAA2"/>
    <w:rsid w:val="332968E6"/>
    <w:rsid w:val="3337919E"/>
    <w:rsid w:val="333873AE"/>
    <w:rsid w:val="333B9264"/>
    <w:rsid w:val="333D1EFC"/>
    <w:rsid w:val="334244A3"/>
    <w:rsid w:val="33465268"/>
    <w:rsid w:val="3346960B"/>
    <w:rsid w:val="334BA47C"/>
    <w:rsid w:val="334EF5F0"/>
    <w:rsid w:val="33543647"/>
    <w:rsid w:val="335A28E5"/>
    <w:rsid w:val="335B3462"/>
    <w:rsid w:val="335DE5A9"/>
    <w:rsid w:val="335E375A"/>
    <w:rsid w:val="33607291"/>
    <w:rsid w:val="3364E79A"/>
    <w:rsid w:val="33651C6A"/>
    <w:rsid w:val="33653AC0"/>
    <w:rsid w:val="3368922D"/>
    <w:rsid w:val="336C1E61"/>
    <w:rsid w:val="336C5653"/>
    <w:rsid w:val="336CBAE4"/>
    <w:rsid w:val="3372DAAE"/>
    <w:rsid w:val="33787DB1"/>
    <w:rsid w:val="337CB444"/>
    <w:rsid w:val="3387E06B"/>
    <w:rsid w:val="338AFEC2"/>
    <w:rsid w:val="338EDD45"/>
    <w:rsid w:val="338FFF00"/>
    <w:rsid w:val="3391B8AD"/>
    <w:rsid w:val="339344AC"/>
    <w:rsid w:val="3394BE7C"/>
    <w:rsid w:val="3399E92C"/>
    <w:rsid w:val="339CDD57"/>
    <w:rsid w:val="339E9610"/>
    <w:rsid w:val="339F668A"/>
    <w:rsid w:val="339F83F1"/>
    <w:rsid w:val="33A04409"/>
    <w:rsid w:val="33A34AC2"/>
    <w:rsid w:val="33A46CDC"/>
    <w:rsid w:val="33A4C1CB"/>
    <w:rsid w:val="33AA644F"/>
    <w:rsid w:val="33AB9A86"/>
    <w:rsid w:val="33AC2448"/>
    <w:rsid w:val="33B8386F"/>
    <w:rsid w:val="33BB334D"/>
    <w:rsid w:val="33BB41C6"/>
    <w:rsid w:val="33BB714B"/>
    <w:rsid w:val="33BC3225"/>
    <w:rsid w:val="33BD324D"/>
    <w:rsid w:val="33BD3B39"/>
    <w:rsid w:val="33BD4BF6"/>
    <w:rsid w:val="33BDBC12"/>
    <w:rsid w:val="33BFA1D9"/>
    <w:rsid w:val="33BFAF7B"/>
    <w:rsid w:val="33C3EE22"/>
    <w:rsid w:val="33C55017"/>
    <w:rsid w:val="33C7A6DA"/>
    <w:rsid w:val="33CD1EBC"/>
    <w:rsid w:val="33CD31F4"/>
    <w:rsid w:val="33CE424D"/>
    <w:rsid w:val="33D0CC09"/>
    <w:rsid w:val="33D88FEC"/>
    <w:rsid w:val="33DC2156"/>
    <w:rsid w:val="33DC4643"/>
    <w:rsid w:val="33DCBC89"/>
    <w:rsid w:val="33E4DE45"/>
    <w:rsid w:val="33E52C2D"/>
    <w:rsid w:val="33E6BE10"/>
    <w:rsid w:val="33E79A3B"/>
    <w:rsid w:val="33E89D89"/>
    <w:rsid w:val="33EA06FE"/>
    <w:rsid w:val="33EA3284"/>
    <w:rsid w:val="33EB1823"/>
    <w:rsid w:val="33F16D81"/>
    <w:rsid w:val="33F1A052"/>
    <w:rsid w:val="33F1A4DF"/>
    <w:rsid w:val="33F5B990"/>
    <w:rsid w:val="33F60D65"/>
    <w:rsid w:val="34007034"/>
    <w:rsid w:val="34019191"/>
    <w:rsid w:val="3401A629"/>
    <w:rsid w:val="34022EE4"/>
    <w:rsid w:val="34038546"/>
    <w:rsid w:val="3403A4EC"/>
    <w:rsid w:val="3404AD54"/>
    <w:rsid w:val="3405056C"/>
    <w:rsid w:val="34069509"/>
    <w:rsid w:val="3406B5F4"/>
    <w:rsid w:val="3408EFA9"/>
    <w:rsid w:val="340B1A0C"/>
    <w:rsid w:val="340CE207"/>
    <w:rsid w:val="3415D13A"/>
    <w:rsid w:val="34188170"/>
    <w:rsid w:val="34263FD2"/>
    <w:rsid w:val="342740F8"/>
    <w:rsid w:val="34293D8B"/>
    <w:rsid w:val="342CB838"/>
    <w:rsid w:val="342F1C40"/>
    <w:rsid w:val="34369226"/>
    <w:rsid w:val="3438C90B"/>
    <w:rsid w:val="3438D102"/>
    <w:rsid w:val="343A8D41"/>
    <w:rsid w:val="344235EC"/>
    <w:rsid w:val="3444F43A"/>
    <w:rsid w:val="344536E8"/>
    <w:rsid w:val="34457D65"/>
    <w:rsid w:val="3446B45F"/>
    <w:rsid w:val="3448CBFA"/>
    <w:rsid w:val="3448EE58"/>
    <w:rsid w:val="344C6FF4"/>
    <w:rsid w:val="344DBA34"/>
    <w:rsid w:val="34502E0D"/>
    <w:rsid w:val="34507814"/>
    <w:rsid w:val="3451B63F"/>
    <w:rsid w:val="3453D676"/>
    <w:rsid w:val="34554956"/>
    <w:rsid w:val="3458063B"/>
    <w:rsid w:val="345B8419"/>
    <w:rsid w:val="3460FE3E"/>
    <w:rsid w:val="3467C1F4"/>
    <w:rsid w:val="3469C295"/>
    <w:rsid w:val="346DB10D"/>
    <w:rsid w:val="3472030B"/>
    <w:rsid w:val="34754E93"/>
    <w:rsid w:val="3476418C"/>
    <w:rsid w:val="34798F45"/>
    <w:rsid w:val="3479D789"/>
    <w:rsid w:val="347B6C01"/>
    <w:rsid w:val="3486336A"/>
    <w:rsid w:val="34879B21"/>
    <w:rsid w:val="348865B6"/>
    <w:rsid w:val="34891A5F"/>
    <w:rsid w:val="348A60C5"/>
    <w:rsid w:val="348D02C3"/>
    <w:rsid w:val="34903F2E"/>
    <w:rsid w:val="3490C662"/>
    <w:rsid w:val="34935487"/>
    <w:rsid w:val="3493D324"/>
    <w:rsid w:val="3495F84C"/>
    <w:rsid w:val="34962EEE"/>
    <w:rsid w:val="34986595"/>
    <w:rsid w:val="3499DFEF"/>
    <w:rsid w:val="349B96D4"/>
    <w:rsid w:val="349C8F04"/>
    <w:rsid w:val="349DFE33"/>
    <w:rsid w:val="349E8CF8"/>
    <w:rsid w:val="34A09C20"/>
    <w:rsid w:val="34A24F7D"/>
    <w:rsid w:val="34A40DFA"/>
    <w:rsid w:val="34A69972"/>
    <w:rsid w:val="34AA66EE"/>
    <w:rsid w:val="34ABDD46"/>
    <w:rsid w:val="34AF8D8D"/>
    <w:rsid w:val="34B0E5CA"/>
    <w:rsid w:val="34B2138D"/>
    <w:rsid w:val="34B8886F"/>
    <w:rsid w:val="34BC7398"/>
    <w:rsid w:val="34C0B2D5"/>
    <w:rsid w:val="34C10219"/>
    <w:rsid w:val="34C191D9"/>
    <w:rsid w:val="34C26A13"/>
    <w:rsid w:val="34C309DE"/>
    <w:rsid w:val="34C34C1B"/>
    <w:rsid w:val="34C4C382"/>
    <w:rsid w:val="34C83686"/>
    <w:rsid w:val="34CB08CD"/>
    <w:rsid w:val="34CD1634"/>
    <w:rsid w:val="34CD5CD0"/>
    <w:rsid w:val="34CE948F"/>
    <w:rsid w:val="34D171B5"/>
    <w:rsid w:val="34D2C5BD"/>
    <w:rsid w:val="34D30F22"/>
    <w:rsid w:val="34D34F93"/>
    <w:rsid w:val="34D37BD9"/>
    <w:rsid w:val="34D780BA"/>
    <w:rsid w:val="34DAD34B"/>
    <w:rsid w:val="34DB2A40"/>
    <w:rsid w:val="34DCADFA"/>
    <w:rsid w:val="34E84D48"/>
    <w:rsid w:val="34E8E141"/>
    <w:rsid w:val="34EE9703"/>
    <w:rsid w:val="34EECB7D"/>
    <w:rsid w:val="34EF8BAF"/>
    <w:rsid w:val="34F24C0B"/>
    <w:rsid w:val="34F44D15"/>
    <w:rsid w:val="34F4560B"/>
    <w:rsid w:val="34F5AC5C"/>
    <w:rsid w:val="34F935A8"/>
    <w:rsid w:val="34F9E5CA"/>
    <w:rsid w:val="34FED546"/>
    <w:rsid w:val="34FF6447"/>
    <w:rsid w:val="34FF6F06"/>
    <w:rsid w:val="35015F37"/>
    <w:rsid w:val="35060489"/>
    <w:rsid w:val="3507A3D4"/>
    <w:rsid w:val="350B48D5"/>
    <w:rsid w:val="350BD83A"/>
    <w:rsid w:val="350D7897"/>
    <w:rsid w:val="350E1FA2"/>
    <w:rsid w:val="350E6902"/>
    <w:rsid w:val="350FA1D3"/>
    <w:rsid w:val="3510E458"/>
    <w:rsid w:val="35120AAE"/>
    <w:rsid w:val="35122C73"/>
    <w:rsid w:val="35124ABF"/>
    <w:rsid w:val="3512A86C"/>
    <w:rsid w:val="3517CD13"/>
    <w:rsid w:val="351C0A99"/>
    <w:rsid w:val="351DE73A"/>
    <w:rsid w:val="351EFFC4"/>
    <w:rsid w:val="35203AA1"/>
    <w:rsid w:val="35249414"/>
    <w:rsid w:val="3524FE2F"/>
    <w:rsid w:val="35266B5E"/>
    <w:rsid w:val="352D43DD"/>
    <w:rsid w:val="35316B23"/>
    <w:rsid w:val="35321510"/>
    <w:rsid w:val="35326442"/>
    <w:rsid w:val="35331440"/>
    <w:rsid w:val="35350EBF"/>
    <w:rsid w:val="353520C1"/>
    <w:rsid w:val="353661B9"/>
    <w:rsid w:val="354296CA"/>
    <w:rsid w:val="35440B1B"/>
    <w:rsid w:val="35473A62"/>
    <w:rsid w:val="354B7924"/>
    <w:rsid w:val="35503F73"/>
    <w:rsid w:val="3554DD57"/>
    <w:rsid w:val="3556DF56"/>
    <w:rsid w:val="355FEC69"/>
    <w:rsid w:val="3563F43C"/>
    <w:rsid w:val="3566C7E6"/>
    <w:rsid w:val="35673311"/>
    <w:rsid w:val="35686789"/>
    <w:rsid w:val="356962F6"/>
    <w:rsid w:val="356C22D2"/>
    <w:rsid w:val="356E40A0"/>
    <w:rsid w:val="35701940"/>
    <w:rsid w:val="3572F268"/>
    <w:rsid w:val="3573576E"/>
    <w:rsid w:val="35740DD0"/>
    <w:rsid w:val="357470AA"/>
    <w:rsid w:val="35798E77"/>
    <w:rsid w:val="35811777"/>
    <w:rsid w:val="3583473A"/>
    <w:rsid w:val="35864A92"/>
    <w:rsid w:val="35866F33"/>
    <w:rsid w:val="358DA82B"/>
    <w:rsid w:val="358E9D42"/>
    <w:rsid w:val="358F72D8"/>
    <w:rsid w:val="35902222"/>
    <w:rsid w:val="359296C7"/>
    <w:rsid w:val="3596BFCC"/>
    <w:rsid w:val="359AFFA5"/>
    <w:rsid w:val="359BCA85"/>
    <w:rsid w:val="359BF447"/>
    <w:rsid w:val="359DD738"/>
    <w:rsid w:val="359DF381"/>
    <w:rsid w:val="359EA337"/>
    <w:rsid w:val="35A12BA9"/>
    <w:rsid w:val="35A22821"/>
    <w:rsid w:val="35A3314F"/>
    <w:rsid w:val="35A3A507"/>
    <w:rsid w:val="35A4FD74"/>
    <w:rsid w:val="35A53B88"/>
    <w:rsid w:val="35A55260"/>
    <w:rsid w:val="35A72876"/>
    <w:rsid w:val="35AB045B"/>
    <w:rsid w:val="35AB1E61"/>
    <w:rsid w:val="35ACBCAD"/>
    <w:rsid w:val="35AE1B3B"/>
    <w:rsid w:val="35B13BBE"/>
    <w:rsid w:val="35B2C2F3"/>
    <w:rsid w:val="35B58BD6"/>
    <w:rsid w:val="35C0077D"/>
    <w:rsid w:val="35C0F448"/>
    <w:rsid w:val="35C82795"/>
    <w:rsid w:val="35C92AF3"/>
    <w:rsid w:val="35CD848A"/>
    <w:rsid w:val="35CFCC5D"/>
    <w:rsid w:val="35D076C0"/>
    <w:rsid w:val="35D39E46"/>
    <w:rsid w:val="35D3B657"/>
    <w:rsid w:val="35D58B23"/>
    <w:rsid w:val="35DDC37F"/>
    <w:rsid w:val="35DE9414"/>
    <w:rsid w:val="35E0B441"/>
    <w:rsid w:val="35E125E4"/>
    <w:rsid w:val="35E18316"/>
    <w:rsid w:val="35E443A4"/>
    <w:rsid w:val="35E4ED84"/>
    <w:rsid w:val="35E535B1"/>
    <w:rsid w:val="35E5731C"/>
    <w:rsid w:val="35EB779D"/>
    <w:rsid w:val="35F18B57"/>
    <w:rsid w:val="35F2E053"/>
    <w:rsid w:val="35F6E366"/>
    <w:rsid w:val="35F6F959"/>
    <w:rsid w:val="35F7304D"/>
    <w:rsid w:val="35F822A0"/>
    <w:rsid w:val="35FBF5C3"/>
    <w:rsid w:val="35FCEE7C"/>
    <w:rsid w:val="36038FE9"/>
    <w:rsid w:val="360405E1"/>
    <w:rsid w:val="36051F6C"/>
    <w:rsid w:val="3609D954"/>
    <w:rsid w:val="360B67AA"/>
    <w:rsid w:val="360C0B19"/>
    <w:rsid w:val="360D6BB0"/>
    <w:rsid w:val="360FF959"/>
    <w:rsid w:val="36100030"/>
    <w:rsid w:val="3611729F"/>
    <w:rsid w:val="36126CEE"/>
    <w:rsid w:val="36130F5B"/>
    <w:rsid w:val="3614A3C7"/>
    <w:rsid w:val="3616B44F"/>
    <w:rsid w:val="3616F20E"/>
    <w:rsid w:val="361886B0"/>
    <w:rsid w:val="361C6664"/>
    <w:rsid w:val="361CE98F"/>
    <w:rsid w:val="361D9A6D"/>
    <w:rsid w:val="361EC0AD"/>
    <w:rsid w:val="36207D44"/>
    <w:rsid w:val="36253E9D"/>
    <w:rsid w:val="3626B695"/>
    <w:rsid w:val="362B62BA"/>
    <w:rsid w:val="362CB271"/>
    <w:rsid w:val="362E31EE"/>
    <w:rsid w:val="3630B164"/>
    <w:rsid w:val="3630FCAE"/>
    <w:rsid w:val="363149C7"/>
    <w:rsid w:val="36320B33"/>
    <w:rsid w:val="36367846"/>
    <w:rsid w:val="3636A6A1"/>
    <w:rsid w:val="36378429"/>
    <w:rsid w:val="3637FDAF"/>
    <w:rsid w:val="36385221"/>
    <w:rsid w:val="3638ACF9"/>
    <w:rsid w:val="3640063B"/>
    <w:rsid w:val="3640E4C1"/>
    <w:rsid w:val="3647741C"/>
    <w:rsid w:val="364B329F"/>
    <w:rsid w:val="364E9FD1"/>
    <w:rsid w:val="364EE738"/>
    <w:rsid w:val="365262CB"/>
    <w:rsid w:val="3653F1B5"/>
    <w:rsid w:val="36541FFC"/>
    <w:rsid w:val="365483F7"/>
    <w:rsid w:val="36558D75"/>
    <w:rsid w:val="3659B9D8"/>
    <w:rsid w:val="365C8009"/>
    <w:rsid w:val="3661814B"/>
    <w:rsid w:val="36619EFA"/>
    <w:rsid w:val="3663DCC2"/>
    <w:rsid w:val="36640010"/>
    <w:rsid w:val="366448F2"/>
    <w:rsid w:val="36652FBF"/>
    <w:rsid w:val="3669D2AE"/>
    <w:rsid w:val="366E661D"/>
    <w:rsid w:val="366E7DD2"/>
    <w:rsid w:val="366F2633"/>
    <w:rsid w:val="366F8A7A"/>
    <w:rsid w:val="36718E60"/>
    <w:rsid w:val="3671CFEC"/>
    <w:rsid w:val="367671E7"/>
    <w:rsid w:val="367767CE"/>
    <w:rsid w:val="367871DB"/>
    <w:rsid w:val="367C5F2B"/>
    <w:rsid w:val="367DF938"/>
    <w:rsid w:val="367F4C98"/>
    <w:rsid w:val="36816B51"/>
    <w:rsid w:val="3683E68E"/>
    <w:rsid w:val="36851BFC"/>
    <w:rsid w:val="3685A129"/>
    <w:rsid w:val="3687E742"/>
    <w:rsid w:val="368B52A4"/>
    <w:rsid w:val="368D2E06"/>
    <w:rsid w:val="368F7F57"/>
    <w:rsid w:val="3691AA71"/>
    <w:rsid w:val="3693B7E0"/>
    <w:rsid w:val="369417E3"/>
    <w:rsid w:val="3695C4ED"/>
    <w:rsid w:val="369A3BB6"/>
    <w:rsid w:val="369FD830"/>
    <w:rsid w:val="36A14321"/>
    <w:rsid w:val="36A37EEC"/>
    <w:rsid w:val="36A49F38"/>
    <w:rsid w:val="36A4CEAD"/>
    <w:rsid w:val="36A534C5"/>
    <w:rsid w:val="36AD350E"/>
    <w:rsid w:val="36AE5AAB"/>
    <w:rsid w:val="36B11C70"/>
    <w:rsid w:val="36B1FE80"/>
    <w:rsid w:val="36B2C33A"/>
    <w:rsid w:val="36B9142B"/>
    <w:rsid w:val="36BD9F56"/>
    <w:rsid w:val="36BF56E1"/>
    <w:rsid w:val="36C16AEA"/>
    <w:rsid w:val="36C41A9C"/>
    <w:rsid w:val="36C66181"/>
    <w:rsid w:val="36C6FBB0"/>
    <w:rsid w:val="36C716B5"/>
    <w:rsid w:val="36C9550B"/>
    <w:rsid w:val="36C9F70B"/>
    <w:rsid w:val="36D110BF"/>
    <w:rsid w:val="36D44203"/>
    <w:rsid w:val="36D5BDCC"/>
    <w:rsid w:val="36DEF8DC"/>
    <w:rsid w:val="36DF5953"/>
    <w:rsid w:val="36E1E112"/>
    <w:rsid w:val="36E39B4C"/>
    <w:rsid w:val="36E591F5"/>
    <w:rsid w:val="36E6457C"/>
    <w:rsid w:val="36E7DA90"/>
    <w:rsid w:val="36EAEFD6"/>
    <w:rsid w:val="36EB8687"/>
    <w:rsid w:val="36EE5361"/>
    <w:rsid w:val="36F315AD"/>
    <w:rsid w:val="36F3D2E7"/>
    <w:rsid w:val="36F509D6"/>
    <w:rsid w:val="36F6BA8E"/>
    <w:rsid w:val="36F8C512"/>
    <w:rsid w:val="37005702"/>
    <w:rsid w:val="3702654F"/>
    <w:rsid w:val="37033BB2"/>
    <w:rsid w:val="3705A817"/>
    <w:rsid w:val="3707A3DC"/>
    <w:rsid w:val="3708ABE4"/>
    <w:rsid w:val="370F0E03"/>
    <w:rsid w:val="370FAD04"/>
    <w:rsid w:val="37154B2A"/>
    <w:rsid w:val="371614CE"/>
    <w:rsid w:val="37165582"/>
    <w:rsid w:val="371A911E"/>
    <w:rsid w:val="371E5DF7"/>
    <w:rsid w:val="3723C6C2"/>
    <w:rsid w:val="37285189"/>
    <w:rsid w:val="372A145D"/>
    <w:rsid w:val="372C8E44"/>
    <w:rsid w:val="37333388"/>
    <w:rsid w:val="3735CACB"/>
    <w:rsid w:val="373B1F4A"/>
    <w:rsid w:val="373BFE13"/>
    <w:rsid w:val="373E0F7C"/>
    <w:rsid w:val="373E9EE5"/>
    <w:rsid w:val="373ED33E"/>
    <w:rsid w:val="37427176"/>
    <w:rsid w:val="37476DA1"/>
    <w:rsid w:val="37491B07"/>
    <w:rsid w:val="374922FD"/>
    <w:rsid w:val="37504078"/>
    <w:rsid w:val="3755BFE7"/>
    <w:rsid w:val="37568CAA"/>
    <w:rsid w:val="3759D156"/>
    <w:rsid w:val="3759EE98"/>
    <w:rsid w:val="375A0652"/>
    <w:rsid w:val="375A5276"/>
    <w:rsid w:val="37600C9A"/>
    <w:rsid w:val="376053E8"/>
    <w:rsid w:val="37612734"/>
    <w:rsid w:val="37631DE4"/>
    <w:rsid w:val="376C6954"/>
    <w:rsid w:val="376DFA3B"/>
    <w:rsid w:val="3770F0DB"/>
    <w:rsid w:val="37718037"/>
    <w:rsid w:val="37751C28"/>
    <w:rsid w:val="377D0C74"/>
    <w:rsid w:val="378874D4"/>
    <w:rsid w:val="3788BC3B"/>
    <w:rsid w:val="3791733E"/>
    <w:rsid w:val="37957E02"/>
    <w:rsid w:val="379F2974"/>
    <w:rsid w:val="379F7796"/>
    <w:rsid w:val="37A08366"/>
    <w:rsid w:val="37A1F03C"/>
    <w:rsid w:val="37A30106"/>
    <w:rsid w:val="37A8BC4B"/>
    <w:rsid w:val="37B6D403"/>
    <w:rsid w:val="37BD10ED"/>
    <w:rsid w:val="37C80C0E"/>
    <w:rsid w:val="37C867BE"/>
    <w:rsid w:val="37CAC9AE"/>
    <w:rsid w:val="37CE2B87"/>
    <w:rsid w:val="37D39CA7"/>
    <w:rsid w:val="37D636B4"/>
    <w:rsid w:val="37D6C532"/>
    <w:rsid w:val="37DDAAE2"/>
    <w:rsid w:val="37DF27E5"/>
    <w:rsid w:val="37E30F62"/>
    <w:rsid w:val="37E47987"/>
    <w:rsid w:val="37E4B1E6"/>
    <w:rsid w:val="37E795DA"/>
    <w:rsid w:val="37E938C5"/>
    <w:rsid w:val="37EEA136"/>
    <w:rsid w:val="37F23A91"/>
    <w:rsid w:val="37F35763"/>
    <w:rsid w:val="37F40A79"/>
    <w:rsid w:val="37F7B15F"/>
    <w:rsid w:val="37F7B7EC"/>
    <w:rsid w:val="37FC72C8"/>
    <w:rsid w:val="37FCCF86"/>
    <w:rsid w:val="37FD959D"/>
    <w:rsid w:val="37FDC155"/>
    <w:rsid w:val="3806D6D3"/>
    <w:rsid w:val="3807BDAC"/>
    <w:rsid w:val="380EAB79"/>
    <w:rsid w:val="38103164"/>
    <w:rsid w:val="3812413C"/>
    <w:rsid w:val="3812CB0A"/>
    <w:rsid w:val="38146157"/>
    <w:rsid w:val="38147FA5"/>
    <w:rsid w:val="381590F7"/>
    <w:rsid w:val="3816B7F0"/>
    <w:rsid w:val="381863B1"/>
    <w:rsid w:val="38192819"/>
    <w:rsid w:val="381ABF92"/>
    <w:rsid w:val="381CC27C"/>
    <w:rsid w:val="381D31E7"/>
    <w:rsid w:val="381F009B"/>
    <w:rsid w:val="38203207"/>
    <w:rsid w:val="38217660"/>
    <w:rsid w:val="38260D0B"/>
    <w:rsid w:val="38262F14"/>
    <w:rsid w:val="3826FF52"/>
    <w:rsid w:val="38281761"/>
    <w:rsid w:val="382C0631"/>
    <w:rsid w:val="3830F318"/>
    <w:rsid w:val="3833912E"/>
    <w:rsid w:val="3833C982"/>
    <w:rsid w:val="38343F3B"/>
    <w:rsid w:val="38382BFA"/>
    <w:rsid w:val="383DA4A5"/>
    <w:rsid w:val="383E7AB2"/>
    <w:rsid w:val="383EE212"/>
    <w:rsid w:val="383F1EC1"/>
    <w:rsid w:val="3842C14A"/>
    <w:rsid w:val="38438EA1"/>
    <w:rsid w:val="3843D6CC"/>
    <w:rsid w:val="3846D695"/>
    <w:rsid w:val="384AAE71"/>
    <w:rsid w:val="384DE81E"/>
    <w:rsid w:val="384F2DD2"/>
    <w:rsid w:val="384FE312"/>
    <w:rsid w:val="38512BFA"/>
    <w:rsid w:val="3851D359"/>
    <w:rsid w:val="3856996C"/>
    <w:rsid w:val="38574BAF"/>
    <w:rsid w:val="3857D390"/>
    <w:rsid w:val="385B7603"/>
    <w:rsid w:val="3863B6C0"/>
    <w:rsid w:val="386887B9"/>
    <w:rsid w:val="38697420"/>
    <w:rsid w:val="386BAE97"/>
    <w:rsid w:val="387015EB"/>
    <w:rsid w:val="38718B6A"/>
    <w:rsid w:val="3872EB95"/>
    <w:rsid w:val="387686EB"/>
    <w:rsid w:val="3877C906"/>
    <w:rsid w:val="38783508"/>
    <w:rsid w:val="387DC63F"/>
    <w:rsid w:val="387F0F4D"/>
    <w:rsid w:val="3881F228"/>
    <w:rsid w:val="3883A03E"/>
    <w:rsid w:val="3883A350"/>
    <w:rsid w:val="388422E0"/>
    <w:rsid w:val="3889F0B7"/>
    <w:rsid w:val="388AAC96"/>
    <w:rsid w:val="388B9DB8"/>
    <w:rsid w:val="388B9F80"/>
    <w:rsid w:val="388C6D5E"/>
    <w:rsid w:val="388EB329"/>
    <w:rsid w:val="388EE60E"/>
    <w:rsid w:val="38937C33"/>
    <w:rsid w:val="3899C971"/>
    <w:rsid w:val="389B1A85"/>
    <w:rsid w:val="389E4232"/>
    <w:rsid w:val="38A29B6B"/>
    <w:rsid w:val="38A75CF3"/>
    <w:rsid w:val="38AAB6A3"/>
    <w:rsid w:val="38AB8107"/>
    <w:rsid w:val="38B18D93"/>
    <w:rsid w:val="38B246C4"/>
    <w:rsid w:val="38B36598"/>
    <w:rsid w:val="38B6093E"/>
    <w:rsid w:val="38B73AEE"/>
    <w:rsid w:val="38B83B15"/>
    <w:rsid w:val="38BA8DD4"/>
    <w:rsid w:val="38BC0EDA"/>
    <w:rsid w:val="38BC5036"/>
    <w:rsid w:val="38BC9252"/>
    <w:rsid w:val="38BEC651"/>
    <w:rsid w:val="38BF2FE5"/>
    <w:rsid w:val="38C08CAC"/>
    <w:rsid w:val="38C51D85"/>
    <w:rsid w:val="38C5F62D"/>
    <w:rsid w:val="38CD917F"/>
    <w:rsid w:val="38D05E9A"/>
    <w:rsid w:val="38D11078"/>
    <w:rsid w:val="38D29604"/>
    <w:rsid w:val="38D4BD01"/>
    <w:rsid w:val="38D9CC3A"/>
    <w:rsid w:val="38D9F04E"/>
    <w:rsid w:val="38E12DD0"/>
    <w:rsid w:val="38E1BACB"/>
    <w:rsid w:val="38E73147"/>
    <w:rsid w:val="38EAEFDC"/>
    <w:rsid w:val="38F2BEA8"/>
    <w:rsid w:val="38F320E5"/>
    <w:rsid w:val="38F411FA"/>
    <w:rsid w:val="38F89752"/>
    <w:rsid w:val="38FBFD60"/>
    <w:rsid w:val="38FFD89C"/>
    <w:rsid w:val="390183BF"/>
    <w:rsid w:val="39041038"/>
    <w:rsid w:val="390430D4"/>
    <w:rsid w:val="39059B39"/>
    <w:rsid w:val="3906DFFE"/>
    <w:rsid w:val="390700AC"/>
    <w:rsid w:val="39091A32"/>
    <w:rsid w:val="39091EE8"/>
    <w:rsid w:val="390A5E56"/>
    <w:rsid w:val="390CB3F4"/>
    <w:rsid w:val="390CD65F"/>
    <w:rsid w:val="391384AC"/>
    <w:rsid w:val="39165F9C"/>
    <w:rsid w:val="39189E4D"/>
    <w:rsid w:val="3918E19C"/>
    <w:rsid w:val="3919D13A"/>
    <w:rsid w:val="391B8462"/>
    <w:rsid w:val="391D7FA5"/>
    <w:rsid w:val="391FFAFD"/>
    <w:rsid w:val="3927FE2D"/>
    <w:rsid w:val="392A0921"/>
    <w:rsid w:val="39321582"/>
    <w:rsid w:val="3934C317"/>
    <w:rsid w:val="39351562"/>
    <w:rsid w:val="3939F9DE"/>
    <w:rsid w:val="393D6533"/>
    <w:rsid w:val="393DC06D"/>
    <w:rsid w:val="39450754"/>
    <w:rsid w:val="3946E32F"/>
    <w:rsid w:val="39473C4B"/>
    <w:rsid w:val="39479C76"/>
    <w:rsid w:val="39490B42"/>
    <w:rsid w:val="394C9145"/>
    <w:rsid w:val="394FD3AA"/>
    <w:rsid w:val="39506396"/>
    <w:rsid w:val="39508EE1"/>
    <w:rsid w:val="39565ADE"/>
    <w:rsid w:val="3959B92E"/>
    <w:rsid w:val="395C155C"/>
    <w:rsid w:val="395E0295"/>
    <w:rsid w:val="395E9F7D"/>
    <w:rsid w:val="3964FF01"/>
    <w:rsid w:val="396B2D60"/>
    <w:rsid w:val="3970BD06"/>
    <w:rsid w:val="3971BB02"/>
    <w:rsid w:val="3972990E"/>
    <w:rsid w:val="3972FDCE"/>
    <w:rsid w:val="3985711C"/>
    <w:rsid w:val="3986733A"/>
    <w:rsid w:val="3988E849"/>
    <w:rsid w:val="398BFFD1"/>
    <w:rsid w:val="398C9EF4"/>
    <w:rsid w:val="398DCED2"/>
    <w:rsid w:val="398EE99E"/>
    <w:rsid w:val="398FD43F"/>
    <w:rsid w:val="3990771D"/>
    <w:rsid w:val="399086CB"/>
    <w:rsid w:val="3991A1A6"/>
    <w:rsid w:val="399272D5"/>
    <w:rsid w:val="3994F964"/>
    <w:rsid w:val="399559BD"/>
    <w:rsid w:val="399620C6"/>
    <w:rsid w:val="39964374"/>
    <w:rsid w:val="399792E7"/>
    <w:rsid w:val="39991016"/>
    <w:rsid w:val="39998C47"/>
    <w:rsid w:val="399A598D"/>
    <w:rsid w:val="399E4260"/>
    <w:rsid w:val="39A0E696"/>
    <w:rsid w:val="39A2A3A8"/>
    <w:rsid w:val="39A4DBB4"/>
    <w:rsid w:val="39A693F7"/>
    <w:rsid w:val="39AAE354"/>
    <w:rsid w:val="39AB64DA"/>
    <w:rsid w:val="39AC01FA"/>
    <w:rsid w:val="39AF1E6D"/>
    <w:rsid w:val="39B0129D"/>
    <w:rsid w:val="39B360B2"/>
    <w:rsid w:val="39B792F3"/>
    <w:rsid w:val="39BAD378"/>
    <w:rsid w:val="39C16439"/>
    <w:rsid w:val="39C1912D"/>
    <w:rsid w:val="39C3B484"/>
    <w:rsid w:val="39C567E6"/>
    <w:rsid w:val="39CA6000"/>
    <w:rsid w:val="39CBBD8B"/>
    <w:rsid w:val="39CC88CA"/>
    <w:rsid w:val="39CCC689"/>
    <w:rsid w:val="39CE42EC"/>
    <w:rsid w:val="39CE99CC"/>
    <w:rsid w:val="39D07EDE"/>
    <w:rsid w:val="39D33805"/>
    <w:rsid w:val="39D37648"/>
    <w:rsid w:val="39D4C237"/>
    <w:rsid w:val="39D81C3B"/>
    <w:rsid w:val="39D8C732"/>
    <w:rsid w:val="39D99907"/>
    <w:rsid w:val="39DB0530"/>
    <w:rsid w:val="39E40AE0"/>
    <w:rsid w:val="39E6ED49"/>
    <w:rsid w:val="39E80F02"/>
    <w:rsid w:val="39EA18C5"/>
    <w:rsid w:val="39EBD314"/>
    <w:rsid w:val="39F1E208"/>
    <w:rsid w:val="39F21B08"/>
    <w:rsid w:val="39F3588D"/>
    <w:rsid w:val="39F71AC6"/>
    <w:rsid w:val="39F90AEC"/>
    <w:rsid w:val="39F96586"/>
    <w:rsid w:val="39FB626F"/>
    <w:rsid w:val="39FD2467"/>
    <w:rsid w:val="39FE1E9C"/>
    <w:rsid w:val="3A01AAD6"/>
    <w:rsid w:val="3A0263DC"/>
    <w:rsid w:val="3A03504A"/>
    <w:rsid w:val="3A068722"/>
    <w:rsid w:val="3A07BEEB"/>
    <w:rsid w:val="3A092361"/>
    <w:rsid w:val="3A0923F2"/>
    <w:rsid w:val="3A09F10A"/>
    <w:rsid w:val="3A0EA2E7"/>
    <w:rsid w:val="3A0FB815"/>
    <w:rsid w:val="3A103960"/>
    <w:rsid w:val="3A1060F3"/>
    <w:rsid w:val="3A170234"/>
    <w:rsid w:val="3A172A17"/>
    <w:rsid w:val="3A17F033"/>
    <w:rsid w:val="3A1983F6"/>
    <w:rsid w:val="3A1A2115"/>
    <w:rsid w:val="3A1C1628"/>
    <w:rsid w:val="3A1EBFD3"/>
    <w:rsid w:val="3A23E6E8"/>
    <w:rsid w:val="3A23F283"/>
    <w:rsid w:val="3A2A4086"/>
    <w:rsid w:val="3A2A5B7E"/>
    <w:rsid w:val="3A2DBFFE"/>
    <w:rsid w:val="3A31F6AA"/>
    <w:rsid w:val="3A3A96F5"/>
    <w:rsid w:val="3A3B4FD2"/>
    <w:rsid w:val="3A3DD530"/>
    <w:rsid w:val="3A45B6BD"/>
    <w:rsid w:val="3A49474D"/>
    <w:rsid w:val="3A4F2E9F"/>
    <w:rsid w:val="3A4F9514"/>
    <w:rsid w:val="3A514138"/>
    <w:rsid w:val="3A57C78C"/>
    <w:rsid w:val="3A5C85A6"/>
    <w:rsid w:val="3A5F88C1"/>
    <w:rsid w:val="3A615B5D"/>
    <w:rsid w:val="3A642F06"/>
    <w:rsid w:val="3A652FCE"/>
    <w:rsid w:val="3A65BC4B"/>
    <w:rsid w:val="3A6722E0"/>
    <w:rsid w:val="3A67C9EF"/>
    <w:rsid w:val="3A693648"/>
    <w:rsid w:val="3A695236"/>
    <w:rsid w:val="3A6AA72E"/>
    <w:rsid w:val="3A6DB8A9"/>
    <w:rsid w:val="3A7028E9"/>
    <w:rsid w:val="3A7554AB"/>
    <w:rsid w:val="3A78FF2A"/>
    <w:rsid w:val="3A78FFE0"/>
    <w:rsid w:val="3A794643"/>
    <w:rsid w:val="3A79F67A"/>
    <w:rsid w:val="3A7A48B8"/>
    <w:rsid w:val="3A7C2118"/>
    <w:rsid w:val="3A7DAEA5"/>
    <w:rsid w:val="3A7FA2C8"/>
    <w:rsid w:val="3A8138BE"/>
    <w:rsid w:val="3A83B7BD"/>
    <w:rsid w:val="3A848514"/>
    <w:rsid w:val="3A856227"/>
    <w:rsid w:val="3A85B31E"/>
    <w:rsid w:val="3A867889"/>
    <w:rsid w:val="3A87D149"/>
    <w:rsid w:val="3A891CDA"/>
    <w:rsid w:val="3A8C10D0"/>
    <w:rsid w:val="3A8CC98E"/>
    <w:rsid w:val="3A8E105B"/>
    <w:rsid w:val="3A8E4ABB"/>
    <w:rsid w:val="3A8F6B55"/>
    <w:rsid w:val="3A92993B"/>
    <w:rsid w:val="3A929C68"/>
    <w:rsid w:val="3A9944AA"/>
    <w:rsid w:val="3A9CE538"/>
    <w:rsid w:val="3A9E162D"/>
    <w:rsid w:val="3AA001CE"/>
    <w:rsid w:val="3AA14DAC"/>
    <w:rsid w:val="3AA2A3B4"/>
    <w:rsid w:val="3AA40A73"/>
    <w:rsid w:val="3AA90652"/>
    <w:rsid w:val="3AA93B61"/>
    <w:rsid w:val="3AB19FFA"/>
    <w:rsid w:val="3AB3B73C"/>
    <w:rsid w:val="3AB3F487"/>
    <w:rsid w:val="3AB60205"/>
    <w:rsid w:val="3AB9FFD3"/>
    <w:rsid w:val="3ABB0042"/>
    <w:rsid w:val="3ABE8B9F"/>
    <w:rsid w:val="3AC0D4E1"/>
    <w:rsid w:val="3AC4FB8E"/>
    <w:rsid w:val="3AC5A05E"/>
    <w:rsid w:val="3AC6A19C"/>
    <w:rsid w:val="3AC6A68B"/>
    <w:rsid w:val="3AC96251"/>
    <w:rsid w:val="3AC9CBE5"/>
    <w:rsid w:val="3ACAC592"/>
    <w:rsid w:val="3ACB9128"/>
    <w:rsid w:val="3ACC71E7"/>
    <w:rsid w:val="3ACE6277"/>
    <w:rsid w:val="3AD18E4D"/>
    <w:rsid w:val="3AD35B41"/>
    <w:rsid w:val="3AD38E66"/>
    <w:rsid w:val="3AD6F982"/>
    <w:rsid w:val="3AD79A82"/>
    <w:rsid w:val="3AD7ABFD"/>
    <w:rsid w:val="3AE5E32A"/>
    <w:rsid w:val="3AEBA004"/>
    <w:rsid w:val="3AEFC60A"/>
    <w:rsid w:val="3AF2C4FA"/>
    <w:rsid w:val="3AF6BF8B"/>
    <w:rsid w:val="3AF6C53C"/>
    <w:rsid w:val="3AF7520B"/>
    <w:rsid w:val="3AF7B2FF"/>
    <w:rsid w:val="3AF9A23A"/>
    <w:rsid w:val="3AFBED89"/>
    <w:rsid w:val="3B01B0D9"/>
    <w:rsid w:val="3B027328"/>
    <w:rsid w:val="3B029A9A"/>
    <w:rsid w:val="3B04E4D7"/>
    <w:rsid w:val="3B05EACF"/>
    <w:rsid w:val="3B070FE6"/>
    <w:rsid w:val="3B0B3694"/>
    <w:rsid w:val="3B0BDDEB"/>
    <w:rsid w:val="3B0BED9B"/>
    <w:rsid w:val="3B0DA1E3"/>
    <w:rsid w:val="3B10F4D3"/>
    <w:rsid w:val="3B110EC2"/>
    <w:rsid w:val="3B132112"/>
    <w:rsid w:val="3B1332E6"/>
    <w:rsid w:val="3B15EEA4"/>
    <w:rsid w:val="3B187335"/>
    <w:rsid w:val="3B18CB3F"/>
    <w:rsid w:val="3B1B6B40"/>
    <w:rsid w:val="3B229F43"/>
    <w:rsid w:val="3B285DA2"/>
    <w:rsid w:val="3B2A5CEB"/>
    <w:rsid w:val="3B2A8474"/>
    <w:rsid w:val="3B2B0290"/>
    <w:rsid w:val="3B2DCF1A"/>
    <w:rsid w:val="3B316F7B"/>
    <w:rsid w:val="3B338993"/>
    <w:rsid w:val="3B34E90E"/>
    <w:rsid w:val="3B37A66A"/>
    <w:rsid w:val="3B3A3A91"/>
    <w:rsid w:val="3B3D9718"/>
    <w:rsid w:val="3B43FFA3"/>
    <w:rsid w:val="3B4CE33D"/>
    <w:rsid w:val="3B4D4909"/>
    <w:rsid w:val="3B4EF0F1"/>
    <w:rsid w:val="3B4F905A"/>
    <w:rsid w:val="3B527572"/>
    <w:rsid w:val="3B5A7E04"/>
    <w:rsid w:val="3B5DC48E"/>
    <w:rsid w:val="3B5F7147"/>
    <w:rsid w:val="3B5FBFD3"/>
    <w:rsid w:val="3B69AF99"/>
    <w:rsid w:val="3B6A7D38"/>
    <w:rsid w:val="3B741193"/>
    <w:rsid w:val="3B757F43"/>
    <w:rsid w:val="3B75D5F9"/>
    <w:rsid w:val="3B767EDF"/>
    <w:rsid w:val="3B78FCE3"/>
    <w:rsid w:val="3B79412F"/>
    <w:rsid w:val="3B79870C"/>
    <w:rsid w:val="3B79B7AD"/>
    <w:rsid w:val="3B7AA20C"/>
    <w:rsid w:val="3B7F9128"/>
    <w:rsid w:val="3B851CB1"/>
    <w:rsid w:val="3B8630E7"/>
    <w:rsid w:val="3B8A8B74"/>
    <w:rsid w:val="3B8AC590"/>
    <w:rsid w:val="3B8C6AC5"/>
    <w:rsid w:val="3B917B61"/>
    <w:rsid w:val="3B95099F"/>
    <w:rsid w:val="3B97F6C7"/>
    <w:rsid w:val="3B9938B6"/>
    <w:rsid w:val="3B9A7F4C"/>
    <w:rsid w:val="3B9AF8B5"/>
    <w:rsid w:val="3B9B5209"/>
    <w:rsid w:val="3B9E53D2"/>
    <w:rsid w:val="3B9EF5EC"/>
    <w:rsid w:val="3BA09535"/>
    <w:rsid w:val="3BA564FB"/>
    <w:rsid w:val="3BA6317A"/>
    <w:rsid w:val="3BA6781E"/>
    <w:rsid w:val="3BA98937"/>
    <w:rsid w:val="3BAB8D03"/>
    <w:rsid w:val="3BB00D5C"/>
    <w:rsid w:val="3BB53686"/>
    <w:rsid w:val="3BB583F3"/>
    <w:rsid w:val="3BBA52CB"/>
    <w:rsid w:val="3BBB26BF"/>
    <w:rsid w:val="3BBB302E"/>
    <w:rsid w:val="3BBF7CB8"/>
    <w:rsid w:val="3BBFEEF7"/>
    <w:rsid w:val="3BC1D74C"/>
    <w:rsid w:val="3BC257DB"/>
    <w:rsid w:val="3BC2CF9D"/>
    <w:rsid w:val="3BC3EA0F"/>
    <w:rsid w:val="3BC6D1CB"/>
    <w:rsid w:val="3BCFA16B"/>
    <w:rsid w:val="3BD0B51E"/>
    <w:rsid w:val="3BD1E16D"/>
    <w:rsid w:val="3BD2582E"/>
    <w:rsid w:val="3BD2652B"/>
    <w:rsid w:val="3BD7F8EC"/>
    <w:rsid w:val="3BD868F1"/>
    <w:rsid w:val="3BE090C3"/>
    <w:rsid w:val="3BE4B26D"/>
    <w:rsid w:val="3BE704C1"/>
    <w:rsid w:val="3BEA0504"/>
    <w:rsid w:val="3BEA2E91"/>
    <w:rsid w:val="3BEBC261"/>
    <w:rsid w:val="3BEC699A"/>
    <w:rsid w:val="3BF0B272"/>
    <w:rsid w:val="3BF0F740"/>
    <w:rsid w:val="3BF0FA91"/>
    <w:rsid w:val="3BF307C4"/>
    <w:rsid w:val="3BF7A9E9"/>
    <w:rsid w:val="3BF9C275"/>
    <w:rsid w:val="3BFA91A2"/>
    <w:rsid w:val="3BFD3321"/>
    <w:rsid w:val="3C103ADF"/>
    <w:rsid w:val="3C12E00B"/>
    <w:rsid w:val="3C14993A"/>
    <w:rsid w:val="3C14BBEE"/>
    <w:rsid w:val="3C16ABE5"/>
    <w:rsid w:val="3C195FD3"/>
    <w:rsid w:val="3C1BCFA4"/>
    <w:rsid w:val="3C1CF724"/>
    <w:rsid w:val="3C1DB8A1"/>
    <w:rsid w:val="3C2105FA"/>
    <w:rsid w:val="3C2106F9"/>
    <w:rsid w:val="3C232004"/>
    <w:rsid w:val="3C2438E3"/>
    <w:rsid w:val="3C25AF8A"/>
    <w:rsid w:val="3C27E51D"/>
    <w:rsid w:val="3C2D5BD5"/>
    <w:rsid w:val="3C2D989C"/>
    <w:rsid w:val="3C35A873"/>
    <w:rsid w:val="3C366D18"/>
    <w:rsid w:val="3C4204E0"/>
    <w:rsid w:val="3C43A265"/>
    <w:rsid w:val="3C45CD23"/>
    <w:rsid w:val="3C46A655"/>
    <w:rsid w:val="3C47F6A0"/>
    <w:rsid w:val="3C484E24"/>
    <w:rsid w:val="3C4A7A69"/>
    <w:rsid w:val="3C4FF07A"/>
    <w:rsid w:val="3C50990D"/>
    <w:rsid w:val="3C5A171A"/>
    <w:rsid w:val="3C5B0B50"/>
    <w:rsid w:val="3C5B681D"/>
    <w:rsid w:val="3C5EB127"/>
    <w:rsid w:val="3C5F5171"/>
    <w:rsid w:val="3C61EB72"/>
    <w:rsid w:val="3C657FDC"/>
    <w:rsid w:val="3C66F513"/>
    <w:rsid w:val="3C68B6D6"/>
    <w:rsid w:val="3C6E81AF"/>
    <w:rsid w:val="3C6FB916"/>
    <w:rsid w:val="3C7049BD"/>
    <w:rsid w:val="3C721D62"/>
    <w:rsid w:val="3C72C14C"/>
    <w:rsid w:val="3C73133D"/>
    <w:rsid w:val="3C7A26A5"/>
    <w:rsid w:val="3C7C798F"/>
    <w:rsid w:val="3C810EEB"/>
    <w:rsid w:val="3C839C37"/>
    <w:rsid w:val="3C849EB6"/>
    <w:rsid w:val="3C88D7D4"/>
    <w:rsid w:val="3C8BA8EC"/>
    <w:rsid w:val="3C8DE61D"/>
    <w:rsid w:val="3C8DECDB"/>
    <w:rsid w:val="3C952542"/>
    <w:rsid w:val="3C971CBD"/>
    <w:rsid w:val="3C981B51"/>
    <w:rsid w:val="3C983EF4"/>
    <w:rsid w:val="3C9BC40B"/>
    <w:rsid w:val="3CA0964D"/>
    <w:rsid w:val="3CA0EAF7"/>
    <w:rsid w:val="3CA342D3"/>
    <w:rsid w:val="3CA7FD83"/>
    <w:rsid w:val="3CA832D3"/>
    <w:rsid w:val="3CABA7BE"/>
    <w:rsid w:val="3CADAB8F"/>
    <w:rsid w:val="3CAEE34A"/>
    <w:rsid w:val="3CAF8A21"/>
    <w:rsid w:val="3CB14D52"/>
    <w:rsid w:val="3CB5DCC3"/>
    <w:rsid w:val="3CB74692"/>
    <w:rsid w:val="3CB8C431"/>
    <w:rsid w:val="3CB8F5AF"/>
    <w:rsid w:val="3CBBA7F3"/>
    <w:rsid w:val="3CBC1514"/>
    <w:rsid w:val="3CBF1ADD"/>
    <w:rsid w:val="3CC0A9CE"/>
    <w:rsid w:val="3CC4A1F0"/>
    <w:rsid w:val="3CC61080"/>
    <w:rsid w:val="3CC6391D"/>
    <w:rsid w:val="3CC70430"/>
    <w:rsid w:val="3CC788D1"/>
    <w:rsid w:val="3CC8D58E"/>
    <w:rsid w:val="3CCCC0F8"/>
    <w:rsid w:val="3CCD28D7"/>
    <w:rsid w:val="3CCEA672"/>
    <w:rsid w:val="3CCEF335"/>
    <w:rsid w:val="3CD1FA81"/>
    <w:rsid w:val="3CD23CDF"/>
    <w:rsid w:val="3CD7B145"/>
    <w:rsid w:val="3CDB0B14"/>
    <w:rsid w:val="3CDBCDAA"/>
    <w:rsid w:val="3CE6880B"/>
    <w:rsid w:val="3CEA8049"/>
    <w:rsid w:val="3CEBB0EA"/>
    <w:rsid w:val="3CEE8885"/>
    <w:rsid w:val="3CF481C5"/>
    <w:rsid w:val="3CF83E91"/>
    <w:rsid w:val="3CF8FB72"/>
    <w:rsid w:val="3CFD3514"/>
    <w:rsid w:val="3D028913"/>
    <w:rsid w:val="3D0A94BE"/>
    <w:rsid w:val="3D0EA4B0"/>
    <w:rsid w:val="3D0F5DBE"/>
    <w:rsid w:val="3D156A4A"/>
    <w:rsid w:val="3D2170D1"/>
    <w:rsid w:val="3D28D891"/>
    <w:rsid w:val="3D29736B"/>
    <w:rsid w:val="3D2C2AF0"/>
    <w:rsid w:val="3D312B2E"/>
    <w:rsid w:val="3D33DCE9"/>
    <w:rsid w:val="3D3672E4"/>
    <w:rsid w:val="3D3701EE"/>
    <w:rsid w:val="3D3732C5"/>
    <w:rsid w:val="3D39CFDD"/>
    <w:rsid w:val="3D3AF29D"/>
    <w:rsid w:val="3D3C5FBD"/>
    <w:rsid w:val="3D3D1D93"/>
    <w:rsid w:val="3D433531"/>
    <w:rsid w:val="3D481493"/>
    <w:rsid w:val="3D484B98"/>
    <w:rsid w:val="3D4A0034"/>
    <w:rsid w:val="3D4AD6FB"/>
    <w:rsid w:val="3D4D9F50"/>
    <w:rsid w:val="3D4EFC05"/>
    <w:rsid w:val="3D5389A7"/>
    <w:rsid w:val="3D54CBE6"/>
    <w:rsid w:val="3D5538C7"/>
    <w:rsid w:val="3D6557D2"/>
    <w:rsid w:val="3D66031C"/>
    <w:rsid w:val="3D66763B"/>
    <w:rsid w:val="3D6D4D6D"/>
    <w:rsid w:val="3D6E40C6"/>
    <w:rsid w:val="3D7408A5"/>
    <w:rsid w:val="3D74A2B5"/>
    <w:rsid w:val="3D750891"/>
    <w:rsid w:val="3D7509C5"/>
    <w:rsid w:val="3D76AAE4"/>
    <w:rsid w:val="3D79FA82"/>
    <w:rsid w:val="3D7CC648"/>
    <w:rsid w:val="3D7E33F8"/>
    <w:rsid w:val="3D7EB73C"/>
    <w:rsid w:val="3D807D16"/>
    <w:rsid w:val="3D8425BF"/>
    <w:rsid w:val="3D865DF2"/>
    <w:rsid w:val="3D886950"/>
    <w:rsid w:val="3D895A44"/>
    <w:rsid w:val="3D8D885A"/>
    <w:rsid w:val="3D94B159"/>
    <w:rsid w:val="3D9AB479"/>
    <w:rsid w:val="3D9C8549"/>
    <w:rsid w:val="3D9FA8A7"/>
    <w:rsid w:val="3DA06F23"/>
    <w:rsid w:val="3DA1C8A3"/>
    <w:rsid w:val="3DA3186E"/>
    <w:rsid w:val="3DACE3BB"/>
    <w:rsid w:val="3DB6F62E"/>
    <w:rsid w:val="3DB8F7B9"/>
    <w:rsid w:val="3DBA1B8E"/>
    <w:rsid w:val="3DBCF287"/>
    <w:rsid w:val="3DBF0132"/>
    <w:rsid w:val="3DC3E2AA"/>
    <w:rsid w:val="3DC8225E"/>
    <w:rsid w:val="3DC95E8D"/>
    <w:rsid w:val="3DCDD1E9"/>
    <w:rsid w:val="3DD05B21"/>
    <w:rsid w:val="3DD26285"/>
    <w:rsid w:val="3DD3C9CC"/>
    <w:rsid w:val="3DD51148"/>
    <w:rsid w:val="3DD75072"/>
    <w:rsid w:val="3DDA086A"/>
    <w:rsid w:val="3DDB084C"/>
    <w:rsid w:val="3DDBFFDC"/>
    <w:rsid w:val="3DE4D1C4"/>
    <w:rsid w:val="3DE515FB"/>
    <w:rsid w:val="3DE927C6"/>
    <w:rsid w:val="3DF19E4A"/>
    <w:rsid w:val="3DF6724B"/>
    <w:rsid w:val="3DF811EB"/>
    <w:rsid w:val="3DFB8D1F"/>
    <w:rsid w:val="3DFF30A3"/>
    <w:rsid w:val="3E0079DE"/>
    <w:rsid w:val="3E02A58C"/>
    <w:rsid w:val="3E03DEBE"/>
    <w:rsid w:val="3E077F6C"/>
    <w:rsid w:val="3E092DD6"/>
    <w:rsid w:val="3E0F2215"/>
    <w:rsid w:val="3E12A007"/>
    <w:rsid w:val="3E15565C"/>
    <w:rsid w:val="3E180DA9"/>
    <w:rsid w:val="3E1A12E6"/>
    <w:rsid w:val="3E1D0679"/>
    <w:rsid w:val="3E1DDF34"/>
    <w:rsid w:val="3E1EF56C"/>
    <w:rsid w:val="3E20242F"/>
    <w:rsid w:val="3E20C12E"/>
    <w:rsid w:val="3E22B940"/>
    <w:rsid w:val="3E25A805"/>
    <w:rsid w:val="3E2DC9C4"/>
    <w:rsid w:val="3E31AB26"/>
    <w:rsid w:val="3E361032"/>
    <w:rsid w:val="3E3B125C"/>
    <w:rsid w:val="3E3E3173"/>
    <w:rsid w:val="3E3EBB1D"/>
    <w:rsid w:val="3E3F6706"/>
    <w:rsid w:val="3E41E214"/>
    <w:rsid w:val="3E41EAEC"/>
    <w:rsid w:val="3E41EDE8"/>
    <w:rsid w:val="3E44BDEB"/>
    <w:rsid w:val="3E47C00C"/>
    <w:rsid w:val="3E47C1B1"/>
    <w:rsid w:val="3E4A108E"/>
    <w:rsid w:val="3E4C8ACC"/>
    <w:rsid w:val="3E4ED290"/>
    <w:rsid w:val="3E4F7871"/>
    <w:rsid w:val="3E52EB91"/>
    <w:rsid w:val="3E53624E"/>
    <w:rsid w:val="3E55390D"/>
    <w:rsid w:val="3E557F12"/>
    <w:rsid w:val="3E56BD5B"/>
    <w:rsid w:val="3E574B0C"/>
    <w:rsid w:val="3E5799B6"/>
    <w:rsid w:val="3E57A84B"/>
    <w:rsid w:val="3E588B7A"/>
    <w:rsid w:val="3E58F838"/>
    <w:rsid w:val="3E597734"/>
    <w:rsid w:val="3E5AA908"/>
    <w:rsid w:val="3E5D1825"/>
    <w:rsid w:val="3E5E271B"/>
    <w:rsid w:val="3E5E3DB6"/>
    <w:rsid w:val="3E604049"/>
    <w:rsid w:val="3E62C871"/>
    <w:rsid w:val="3E66126D"/>
    <w:rsid w:val="3E6A63B9"/>
    <w:rsid w:val="3E6AD231"/>
    <w:rsid w:val="3E6B36DB"/>
    <w:rsid w:val="3E6BF079"/>
    <w:rsid w:val="3E6CF855"/>
    <w:rsid w:val="3E722A8F"/>
    <w:rsid w:val="3E7586E5"/>
    <w:rsid w:val="3E7772ED"/>
    <w:rsid w:val="3E77AC47"/>
    <w:rsid w:val="3E77FCD9"/>
    <w:rsid w:val="3E7B8DDB"/>
    <w:rsid w:val="3E7C36DD"/>
    <w:rsid w:val="3E7FEAEF"/>
    <w:rsid w:val="3E8000F4"/>
    <w:rsid w:val="3E813848"/>
    <w:rsid w:val="3E82B889"/>
    <w:rsid w:val="3E83FB28"/>
    <w:rsid w:val="3E873A13"/>
    <w:rsid w:val="3E87814B"/>
    <w:rsid w:val="3E88E581"/>
    <w:rsid w:val="3E8C0416"/>
    <w:rsid w:val="3E8D9116"/>
    <w:rsid w:val="3E8EC23E"/>
    <w:rsid w:val="3E97BE78"/>
    <w:rsid w:val="3E9943C8"/>
    <w:rsid w:val="3E9CA8E9"/>
    <w:rsid w:val="3E9FC011"/>
    <w:rsid w:val="3EA55E8F"/>
    <w:rsid w:val="3EA6ED3A"/>
    <w:rsid w:val="3EAD6BAD"/>
    <w:rsid w:val="3EAFBD97"/>
    <w:rsid w:val="3EB45300"/>
    <w:rsid w:val="3EB59A60"/>
    <w:rsid w:val="3EB5E0BB"/>
    <w:rsid w:val="3EB64D0F"/>
    <w:rsid w:val="3EB792A1"/>
    <w:rsid w:val="3EB86D60"/>
    <w:rsid w:val="3EB87619"/>
    <w:rsid w:val="3EC06120"/>
    <w:rsid w:val="3EC2E8B1"/>
    <w:rsid w:val="3EC30514"/>
    <w:rsid w:val="3EC4A829"/>
    <w:rsid w:val="3EC61990"/>
    <w:rsid w:val="3EC6C59D"/>
    <w:rsid w:val="3EC8CB40"/>
    <w:rsid w:val="3ECA5308"/>
    <w:rsid w:val="3ECF0674"/>
    <w:rsid w:val="3ED12418"/>
    <w:rsid w:val="3ED6D10F"/>
    <w:rsid w:val="3ED89CAA"/>
    <w:rsid w:val="3EDC1C96"/>
    <w:rsid w:val="3EDCB3B6"/>
    <w:rsid w:val="3EDD2919"/>
    <w:rsid w:val="3EDEE9FB"/>
    <w:rsid w:val="3EDFDD18"/>
    <w:rsid w:val="3EE48826"/>
    <w:rsid w:val="3EE7DE38"/>
    <w:rsid w:val="3EE7F3AB"/>
    <w:rsid w:val="3EF15DF8"/>
    <w:rsid w:val="3EF544DD"/>
    <w:rsid w:val="3EF5F1BC"/>
    <w:rsid w:val="3EF71407"/>
    <w:rsid w:val="3EF8EDF0"/>
    <w:rsid w:val="3EFAFBBD"/>
    <w:rsid w:val="3EFC7CBA"/>
    <w:rsid w:val="3F016FF5"/>
    <w:rsid w:val="3F074BB5"/>
    <w:rsid w:val="3F089414"/>
    <w:rsid w:val="3F12CE73"/>
    <w:rsid w:val="3F1301F9"/>
    <w:rsid w:val="3F13F2E2"/>
    <w:rsid w:val="3F154FD3"/>
    <w:rsid w:val="3F18F21F"/>
    <w:rsid w:val="3F18FB6F"/>
    <w:rsid w:val="3F19177F"/>
    <w:rsid w:val="3F1D8327"/>
    <w:rsid w:val="3F2567CE"/>
    <w:rsid w:val="3F25BD8B"/>
    <w:rsid w:val="3F263C75"/>
    <w:rsid w:val="3F26DE64"/>
    <w:rsid w:val="3F27A6B1"/>
    <w:rsid w:val="3F290B6C"/>
    <w:rsid w:val="3F2D2BC6"/>
    <w:rsid w:val="3F2DB7F2"/>
    <w:rsid w:val="3F36E557"/>
    <w:rsid w:val="3F3ADA43"/>
    <w:rsid w:val="3F3CC507"/>
    <w:rsid w:val="3F3ED4A4"/>
    <w:rsid w:val="3F440491"/>
    <w:rsid w:val="3F488D6B"/>
    <w:rsid w:val="3F4A6D66"/>
    <w:rsid w:val="3F4AD421"/>
    <w:rsid w:val="3F4EEEF0"/>
    <w:rsid w:val="3F53AD3D"/>
    <w:rsid w:val="3F57CE32"/>
    <w:rsid w:val="3F5A6EFD"/>
    <w:rsid w:val="3F5B4A8B"/>
    <w:rsid w:val="3F5B7B84"/>
    <w:rsid w:val="3F5DE3B5"/>
    <w:rsid w:val="3F5E1C1D"/>
    <w:rsid w:val="3F5E5EAD"/>
    <w:rsid w:val="3F5F5F0D"/>
    <w:rsid w:val="3F6C11DF"/>
    <w:rsid w:val="3F6EE040"/>
    <w:rsid w:val="3F6FE754"/>
    <w:rsid w:val="3F71F704"/>
    <w:rsid w:val="3F7589A1"/>
    <w:rsid w:val="3F7B67A5"/>
    <w:rsid w:val="3F818D51"/>
    <w:rsid w:val="3F81C631"/>
    <w:rsid w:val="3F851CA5"/>
    <w:rsid w:val="3F857E7C"/>
    <w:rsid w:val="3F8C064A"/>
    <w:rsid w:val="3F8CBCDC"/>
    <w:rsid w:val="3F8EC4D9"/>
    <w:rsid w:val="3F963AA1"/>
    <w:rsid w:val="3F965009"/>
    <w:rsid w:val="3F979BEA"/>
    <w:rsid w:val="3F9D33DE"/>
    <w:rsid w:val="3F9F7C41"/>
    <w:rsid w:val="3F9FEE17"/>
    <w:rsid w:val="3FA23E8C"/>
    <w:rsid w:val="3FA38204"/>
    <w:rsid w:val="3FAD5C9A"/>
    <w:rsid w:val="3FAE619B"/>
    <w:rsid w:val="3FB25001"/>
    <w:rsid w:val="3FB31439"/>
    <w:rsid w:val="3FB4A96D"/>
    <w:rsid w:val="3FB7570D"/>
    <w:rsid w:val="3FB9CAA9"/>
    <w:rsid w:val="3FBB240F"/>
    <w:rsid w:val="3FBC4A72"/>
    <w:rsid w:val="3FBDE74C"/>
    <w:rsid w:val="3FBE9BDC"/>
    <w:rsid w:val="3FC201C2"/>
    <w:rsid w:val="3FC61060"/>
    <w:rsid w:val="3FCABC67"/>
    <w:rsid w:val="3FCADAFF"/>
    <w:rsid w:val="3FCB66EB"/>
    <w:rsid w:val="3FCC21AF"/>
    <w:rsid w:val="3FCC5BEA"/>
    <w:rsid w:val="3FCCB344"/>
    <w:rsid w:val="3FCE32B9"/>
    <w:rsid w:val="3FD35BA4"/>
    <w:rsid w:val="3FD5CB63"/>
    <w:rsid w:val="3FD60D5B"/>
    <w:rsid w:val="3FD9D239"/>
    <w:rsid w:val="3FE17423"/>
    <w:rsid w:val="3FE24C61"/>
    <w:rsid w:val="3FE6DC37"/>
    <w:rsid w:val="3FE73F7F"/>
    <w:rsid w:val="3FE862DC"/>
    <w:rsid w:val="3FEBC8F2"/>
    <w:rsid w:val="3FED5E59"/>
    <w:rsid w:val="3FF40796"/>
    <w:rsid w:val="3FF542A9"/>
    <w:rsid w:val="40000E74"/>
    <w:rsid w:val="40049AA4"/>
    <w:rsid w:val="40050576"/>
    <w:rsid w:val="400E0614"/>
    <w:rsid w:val="400F6AB6"/>
    <w:rsid w:val="40160149"/>
    <w:rsid w:val="40185EF8"/>
    <w:rsid w:val="4018D37C"/>
    <w:rsid w:val="4019E290"/>
    <w:rsid w:val="401B1D34"/>
    <w:rsid w:val="401E2CF7"/>
    <w:rsid w:val="401E5D5A"/>
    <w:rsid w:val="4025F2A7"/>
    <w:rsid w:val="40267584"/>
    <w:rsid w:val="402FF8D1"/>
    <w:rsid w:val="40339BF3"/>
    <w:rsid w:val="40347056"/>
    <w:rsid w:val="403A1F7D"/>
    <w:rsid w:val="4043386E"/>
    <w:rsid w:val="404542D0"/>
    <w:rsid w:val="4045A783"/>
    <w:rsid w:val="404652EB"/>
    <w:rsid w:val="40489A38"/>
    <w:rsid w:val="404B5A70"/>
    <w:rsid w:val="40502FA9"/>
    <w:rsid w:val="4054CA70"/>
    <w:rsid w:val="40588991"/>
    <w:rsid w:val="405B4DCE"/>
    <w:rsid w:val="40603F49"/>
    <w:rsid w:val="40636BA2"/>
    <w:rsid w:val="407143B3"/>
    <w:rsid w:val="4072099F"/>
    <w:rsid w:val="4073612D"/>
    <w:rsid w:val="4075736F"/>
    <w:rsid w:val="40777176"/>
    <w:rsid w:val="407AE672"/>
    <w:rsid w:val="4084B0C6"/>
    <w:rsid w:val="4085AA6E"/>
    <w:rsid w:val="4087656E"/>
    <w:rsid w:val="4087C222"/>
    <w:rsid w:val="408B4938"/>
    <w:rsid w:val="408E5E0C"/>
    <w:rsid w:val="408EA8C7"/>
    <w:rsid w:val="4092EFA8"/>
    <w:rsid w:val="40944CCC"/>
    <w:rsid w:val="409573C9"/>
    <w:rsid w:val="40A39302"/>
    <w:rsid w:val="40A48A93"/>
    <w:rsid w:val="40A503C8"/>
    <w:rsid w:val="40A6D756"/>
    <w:rsid w:val="40A8063D"/>
    <w:rsid w:val="40A8DDD5"/>
    <w:rsid w:val="40B2119A"/>
    <w:rsid w:val="40B5F5C6"/>
    <w:rsid w:val="40B72E07"/>
    <w:rsid w:val="40B80FC8"/>
    <w:rsid w:val="40BA9B3E"/>
    <w:rsid w:val="40C05A0C"/>
    <w:rsid w:val="40C0CBB8"/>
    <w:rsid w:val="40C3AFF8"/>
    <w:rsid w:val="40C5608F"/>
    <w:rsid w:val="40C7576A"/>
    <w:rsid w:val="40C9A55C"/>
    <w:rsid w:val="40CA173E"/>
    <w:rsid w:val="40CB8580"/>
    <w:rsid w:val="40CBEB62"/>
    <w:rsid w:val="40CC389E"/>
    <w:rsid w:val="40CC52AF"/>
    <w:rsid w:val="40D020F9"/>
    <w:rsid w:val="40D344E0"/>
    <w:rsid w:val="40D78E3C"/>
    <w:rsid w:val="40D7CCB4"/>
    <w:rsid w:val="40DC815A"/>
    <w:rsid w:val="40DE3B36"/>
    <w:rsid w:val="40DF5091"/>
    <w:rsid w:val="40E08748"/>
    <w:rsid w:val="40E24BF2"/>
    <w:rsid w:val="40E28E83"/>
    <w:rsid w:val="40E2B14A"/>
    <w:rsid w:val="40E657D1"/>
    <w:rsid w:val="40E8C11C"/>
    <w:rsid w:val="40E90731"/>
    <w:rsid w:val="40E9885F"/>
    <w:rsid w:val="40EAB597"/>
    <w:rsid w:val="40EBFC0E"/>
    <w:rsid w:val="40EF710E"/>
    <w:rsid w:val="40F09147"/>
    <w:rsid w:val="40F1B4E5"/>
    <w:rsid w:val="40F1D2AF"/>
    <w:rsid w:val="40F2A43F"/>
    <w:rsid w:val="40F4CE29"/>
    <w:rsid w:val="40F6C255"/>
    <w:rsid w:val="40F841B9"/>
    <w:rsid w:val="40FC319A"/>
    <w:rsid w:val="40FC56A5"/>
    <w:rsid w:val="40FCFD1D"/>
    <w:rsid w:val="40FD0E1E"/>
    <w:rsid w:val="4100C81B"/>
    <w:rsid w:val="41037A6C"/>
    <w:rsid w:val="410D2470"/>
    <w:rsid w:val="410FCA51"/>
    <w:rsid w:val="411143E3"/>
    <w:rsid w:val="4111B031"/>
    <w:rsid w:val="411325AC"/>
    <w:rsid w:val="41140128"/>
    <w:rsid w:val="411407F1"/>
    <w:rsid w:val="4124F03D"/>
    <w:rsid w:val="4126EC39"/>
    <w:rsid w:val="412D04CC"/>
    <w:rsid w:val="412F1ABF"/>
    <w:rsid w:val="4130A1D0"/>
    <w:rsid w:val="41335B0A"/>
    <w:rsid w:val="413562F0"/>
    <w:rsid w:val="413619EA"/>
    <w:rsid w:val="41395ECC"/>
    <w:rsid w:val="4140434F"/>
    <w:rsid w:val="4147FB2C"/>
    <w:rsid w:val="4148A390"/>
    <w:rsid w:val="4148F04D"/>
    <w:rsid w:val="41493A23"/>
    <w:rsid w:val="4149E082"/>
    <w:rsid w:val="414CB82E"/>
    <w:rsid w:val="4156C270"/>
    <w:rsid w:val="4158427D"/>
    <w:rsid w:val="415DF0EA"/>
    <w:rsid w:val="415E88D0"/>
    <w:rsid w:val="415F07B8"/>
    <w:rsid w:val="415F8AE3"/>
    <w:rsid w:val="41646AB5"/>
    <w:rsid w:val="416B2DF5"/>
    <w:rsid w:val="416CCAB7"/>
    <w:rsid w:val="416D72E5"/>
    <w:rsid w:val="416F700B"/>
    <w:rsid w:val="4171A2E6"/>
    <w:rsid w:val="4173AF8F"/>
    <w:rsid w:val="417AE005"/>
    <w:rsid w:val="417F381A"/>
    <w:rsid w:val="418065F3"/>
    <w:rsid w:val="418124C1"/>
    <w:rsid w:val="41827497"/>
    <w:rsid w:val="41861CAD"/>
    <w:rsid w:val="41885D6F"/>
    <w:rsid w:val="4189DCCF"/>
    <w:rsid w:val="418C4CE5"/>
    <w:rsid w:val="418CB59B"/>
    <w:rsid w:val="418D5292"/>
    <w:rsid w:val="41912B76"/>
    <w:rsid w:val="4191CAB2"/>
    <w:rsid w:val="419248BE"/>
    <w:rsid w:val="4193B230"/>
    <w:rsid w:val="419698F5"/>
    <w:rsid w:val="419D1133"/>
    <w:rsid w:val="419D62EB"/>
    <w:rsid w:val="41A0F4FF"/>
    <w:rsid w:val="41A1C3B0"/>
    <w:rsid w:val="41A4C150"/>
    <w:rsid w:val="41A5A18A"/>
    <w:rsid w:val="41A67A05"/>
    <w:rsid w:val="41ABABD8"/>
    <w:rsid w:val="41B33F0F"/>
    <w:rsid w:val="41B541FE"/>
    <w:rsid w:val="41B62719"/>
    <w:rsid w:val="41B74502"/>
    <w:rsid w:val="41C76C1C"/>
    <w:rsid w:val="41CB09C1"/>
    <w:rsid w:val="41CB6306"/>
    <w:rsid w:val="41CB6399"/>
    <w:rsid w:val="41CBE9EC"/>
    <w:rsid w:val="41CBED1D"/>
    <w:rsid w:val="41CF9138"/>
    <w:rsid w:val="41D069AE"/>
    <w:rsid w:val="41D3708B"/>
    <w:rsid w:val="41D43BBC"/>
    <w:rsid w:val="41D653FF"/>
    <w:rsid w:val="41DA6ECF"/>
    <w:rsid w:val="41DAE82B"/>
    <w:rsid w:val="41DFA2ED"/>
    <w:rsid w:val="41E1434A"/>
    <w:rsid w:val="41E56EA7"/>
    <w:rsid w:val="41E7B50A"/>
    <w:rsid w:val="41F0B2D3"/>
    <w:rsid w:val="41F8D4D0"/>
    <w:rsid w:val="41FABCDC"/>
    <w:rsid w:val="41FD2741"/>
    <w:rsid w:val="41FE1D1C"/>
    <w:rsid w:val="41FFF0A9"/>
    <w:rsid w:val="4202277F"/>
    <w:rsid w:val="420322F3"/>
    <w:rsid w:val="4208D935"/>
    <w:rsid w:val="420A2B4C"/>
    <w:rsid w:val="4210338C"/>
    <w:rsid w:val="4211E09E"/>
    <w:rsid w:val="4216B4F7"/>
    <w:rsid w:val="42182DA5"/>
    <w:rsid w:val="421997C5"/>
    <w:rsid w:val="4219C589"/>
    <w:rsid w:val="4219E720"/>
    <w:rsid w:val="421B04C2"/>
    <w:rsid w:val="422584D1"/>
    <w:rsid w:val="422BF10A"/>
    <w:rsid w:val="422D5669"/>
    <w:rsid w:val="422E9E9F"/>
    <w:rsid w:val="4231B14A"/>
    <w:rsid w:val="423531AE"/>
    <w:rsid w:val="423A5738"/>
    <w:rsid w:val="423E8844"/>
    <w:rsid w:val="423FCD5F"/>
    <w:rsid w:val="423FF6A2"/>
    <w:rsid w:val="4241BFFB"/>
    <w:rsid w:val="42465DFD"/>
    <w:rsid w:val="4248312E"/>
    <w:rsid w:val="424B90BA"/>
    <w:rsid w:val="424BD38E"/>
    <w:rsid w:val="424E055F"/>
    <w:rsid w:val="4254AE3F"/>
    <w:rsid w:val="4257FD05"/>
    <w:rsid w:val="425B15A5"/>
    <w:rsid w:val="425CB09C"/>
    <w:rsid w:val="425CBE38"/>
    <w:rsid w:val="4260F8E2"/>
    <w:rsid w:val="426576C1"/>
    <w:rsid w:val="4265F663"/>
    <w:rsid w:val="42682D09"/>
    <w:rsid w:val="426FF3AC"/>
    <w:rsid w:val="427012A4"/>
    <w:rsid w:val="4273911E"/>
    <w:rsid w:val="4275C8A7"/>
    <w:rsid w:val="4275DCC2"/>
    <w:rsid w:val="427694C0"/>
    <w:rsid w:val="4276EC66"/>
    <w:rsid w:val="42774722"/>
    <w:rsid w:val="4279243E"/>
    <w:rsid w:val="42793A61"/>
    <w:rsid w:val="4279DC17"/>
    <w:rsid w:val="427DE17C"/>
    <w:rsid w:val="4281EDC8"/>
    <w:rsid w:val="428AEA30"/>
    <w:rsid w:val="428C5AC7"/>
    <w:rsid w:val="428EA5F0"/>
    <w:rsid w:val="428F483C"/>
    <w:rsid w:val="42911AED"/>
    <w:rsid w:val="4293A4B4"/>
    <w:rsid w:val="42944F2E"/>
    <w:rsid w:val="42956F69"/>
    <w:rsid w:val="4296AF1B"/>
    <w:rsid w:val="42976389"/>
    <w:rsid w:val="4299B39F"/>
    <w:rsid w:val="429B301F"/>
    <w:rsid w:val="429B3AD8"/>
    <w:rsid w:val="429B82BF"/>
    <w:rsid w:val="42A54F34"/>
    <w:rsid w:val="42AE807B"/>
    <w:rsid w:val="42B06A18"/>
    <w:rsid w:val="42B0A072"/>
    <w:rsid w:val="42B19A54"/>
    <w:rsid w:val="42B34EFD"/>
    <w:rsid w:val="42B38411"/>
    <w:rsid w:val="42B57529"/>
    <w:rsid w:val="42BCDB38"/>
    <w:rsid w:val="42BD202B"/>
    <w:rsid w:val="42C23F49"/>
    <w:rsid w:val="42C38BBB"/>
    <w:rsid w:val="42C5AF38"/>
    <w:rsid w:val="42C5ECCA"/>
    <w:rsid w:val="42C66188"/>
    <w:rsid w:val="42C8066A"/>
    <w:rsid w:val="42CB0975"/>
    <w:rsid w:val="42CB48C9"/>
    <w:rsid w:val="42CC629A"/>
    <w:rsid w:val="42CCE6C8"/>
    <w:rsid w:val="42CE36B0"/>
    <w:rsid w:val="42CE6304"/>
    <w:rsid w:val="42D3CF97"/>
    <w:rsid w:val="42D82A9B"/>
    <w:rsid w:val="42DCD974"/>
    <w:rsid w:val="42DDE7C8"/>
    <w:rsid w:val="42DDEBD5"/>
    <w:rsid w:val="42E2D14B"/>
    <w:rsid w:val="42EBF4F4"/>
    <w:rsid w:val="42ED3197"/>
    <w:rsid w:val="42EE2EDB"/>
    <w:rsid w:val="42EE3B61"/>
    <w:rsid w:val="42F1F7BF"/>
    <w:rsid w:val="42F65F6E"/>
    <w:rsid w:val="42F8D158"/>
    <w:rsid w:val="42F90F77"/>
    <w:rsid w:val="42FA34C6"/>
    <w:rsid w:val="42FB490C"/>
    <w:rsid w:val="42FDD280"/>
    <w:rsid w:val="4300481F"/>
    <w:rsid w:val="4301967D"/>
    <w:rsid w:val="430551E8"/>
    <w:rsid w:val="43067303"/>
    <w:rsid w:val="4306B374"/>
    <w:rsid w:val="4306E5E8"/>
    <w:rsid w:val="430B7C84"/>
    <w:rsid w:val="43124637"/>
    <w:rsid w:val="431320A2"/>
    <w:rsid w:val="431336B6"/>
    <w:rsid w:val="4315424E"/>
    <w:rsid w:val="431A5D86"/>
    <w:rsid w:val="431C2F50"/>
    <w:rsid w:val="431E243E"/>
    <w:rsid w:val="4320FD47"/>
    <w:rsid w:val="43235677"/>
    <w:rsid w:val="43247CA4"/>
    <w:rsid w:val="43250ADD"/>
    <w:rsid w:val="43268D50"/>
    <w:rsid w:val="432831C4"/>
    <w:rsid w:val="432D4A2A"/>
    <w:rsid w:val="43316927"/>
    <w:rsid w:val="43323BA0"/>
    <w:rsid w:val="4332A3B1"/>
    <w:rsid w:val="43344DE0"/>
    <w:rsid w:val="4337FF1F"/>
    <w:rsid w:val="433C4B76"/>
    <w:rsid w:val="433DC21B"/>
    <w:rsid w:val="433FEAA2"/>
    <w:rsid w:val="4342B4C1"/>
    <w:rsid w:val="4342FA29"/>
    <w:rsid w:val="4346F83A"/>
    <w:rsid w:val="434AAD03"/>
    <w:rsid w:val="434E051B"/>
    <w:rsid w:val="4354C386"/>
    <w:rsid w:val="43585AEE"/>
    <w:rsid w:val="435B7845"/>
    <w:rsid w:val="435BC1E3"/>
    <w:rsid w:val="435DF1E5"/>
    <w:rsid w:val="43620A17"/>
    <w:rsid w:val="4363CEFF"/>
    <w:rsid w:val="4364F162"/>
    <w:rsid w:val="436EEF10"/>
    <w:rsid w:val="436FA162"/>
    <w:rsid w:val="4375E9D3"/>
    <w:rsid w:val="43765B23"/>
    <w:rsid w:val="437FFB9B"/>
    <w:rsid w:val="43802D09"/>
    <w:rsid w:val="43808348"/>
    <w:rsid w:val="43825AB1"/>
    <w:rsid w:val="4383CBB7"/>
    <w:rsid w:val="4383E5F5"/>
    <w:rsid w:val="438461BD"/>
    <w:rsid w:val="4385ED47"/>
    <w:rsid w:val="4389D304"/>
    <w:rsid w:val="438B5A7D"/>
    <w:rsid w:val="438C8F37"/>
    <w:rsid w:val="438D37EF"/>
    <w:rsid w:val="438E356E"/>
    <w:rsid w:val="438E4A0C"/>
    <w:rsid w:val="438ED3D0"/>
    <w:rsid w:val="438F5BB7"/>
    <w:rsid w:val="4390007D"/>
    <w:rsid w:val="4392A7B1"/>
    <w:rsid w:val="439314A6"/>
    <w:rsid w:val="4394DC37"/>
    <w:rsid w:val="439C7FF4"/>
    <w:rsid w:val="439D1594"/>
    <w:rsid w:val="43A0CB6A"/>
    <w:rsid w:val="43A2EEFF"/>
    <w:rsid w:val="43A4B3AD"/>
    <w:rsid w:val="43A54BE7"/>
    <w:rsid w:val="43A6F31B"/>
    <w:rsid w:val="43AD390E"/>
    <w:rsid w:val="43B273F5"/>
    <w:rsid w:val="43B8E0F4"/>
    <w:rsid w:val="43BB5564"/>
    <w:rsid w:val="43BBE99E"/>
    <w:rsid w:val="43C33299"/>
    <w:rsid w:val="43C46E50"/>
    <w:rsid w:val="43C561BD"/>
    <w:rsid w:val="43C7391A"/>
    <w:rsid w:val="43C82E78"/>
    <w:rsid w:val="43C98026"/>
    <w:rsid w:val="43CC5C1A"/>
    <w:rsid w:val="43CDE0BA"/>
    <w:rsid w:val="43CEF575"/>
    <w:rsid w:val="43CF929A"/>
    <w:rsid w:val="43D00A07"/>
    <w:rsid w:val="43D21443"/>
    <w:rsid w:val="43D3E77E"/>
    <w:rsid w:val="43D4018C"/>
    <w:rsid w:val="43D50F2A"/>
    <w:rsid w:val="43D5113F"/>
    <w:rsid w:val="43D64F5A"/>
    <w:rsid w:val="43D6EF0F"/>
    <w:rsid w:val="43DB80BE"/>
    <w:rsid w:val="43DE871E"/>
    <w:rsid w:val="43E4BE53"/>
    <w:rsid w:val="43E58391"/>
    <w:rsid w:val="43E675BB"/>
    <w:rsid w:val="43E7531A"/>
    <w:rsid w:val="43EB7B3B"/>
    <w:rsid w:val="43EC09BE"/>
    <w:rsid w:val="43F0ECF0"/>
    <w:rsid w:val="43F22AD4"/>
    <w:rsid w:val="43F63461"/>
    <w:rsid w:val="43F927FC"/>
    <w:rsid w:val="43FCF558"/>
    <w:rsid w:val="4401394D"/>
    <w:rsid w:val="4401A884"/>
    <w:rsid w:val="4401E223"/>
    <w:rsid w:val="440A0560"/>
    <w:rsid w:val="440C390D"/>
    <w:rsid w:val="440C3DAC"/>
    <w:rsid w:val="440D9248"/>
    <w:rsid w:val="440E0A52"/>
    <w:rsid w:val="44102C77"/>
    <w:rsid w:val="4412DFA2"/>
    <w:rsid w:val="44144673"/>
    <w:rsid w:val="44164CB2"/>
    <w:rsid w:val="441ACD64"/>
    <w:rsid w:val="441BBB80"/>
    <w:rsid w:val="441F2D00"/>
    <w:rsid w:val="441F3007"/>
    <w:rsid w:val="4421FAA9"/>
    <w:rsid w:val="44293AC7"/>
    <w:rsid w:val="442A9752"/>
    <w:rsid w:val="442E1328"/>
    <w:rsid w:val="442E2039"/>
    <w:rsid w:val="44329051"/>
    <w:rsid w:val="4437F523"/>
    <w:rsid w:val="4441C34B"/>
    <w:rsid w:val="4445FBA9"/>
    <w:rsid w:val="4448BE42"/>
    <w:rsid w:val="4449E606"/>
    <w:rsid w:val="444B89BA"/>
    <w:rsid w:val="444CDBA9"/>
    <w:rsid w:val="444E12E5"/>
    <w:rsid w:val="444FBBB0"/>
    <w:rsid w:val="4451B8DB"/>
    <w:rsid w:val="44531387"/>
    <w:rsid w:val="445468F1"/>
    <w:rsid w:val="445A6F12"/>
    <w:rsid w:val="445EF0B3"/>
    <w:rsid w:val="4461E284"/>
    <w:rsid w:val="4466072C"/>
    <w:rsid w:val="446AEF37"/>
    <w:rsid w:val="446AF303"/>
    <w:rsid w:val="446F5F07"/>
    <w:rsid w:val="447462A9"/>
    <w:rsid w:val="4476F5A7"/>
    <w:rsid w:val="44772445"/>
    <w:rsid w:val="447B8EA9"/>
    <w:rsid w:val="44851DB0"/>
    <w:rsid w:val="448AFA97"/>
    <w:rsid w:val="448B31A9"/>
    <w:rsid w:val="448CBE8E"/>
    <w:rsid w:val="448EEC09"/>
    <w:rsid w:val="44917E87"/>
    <w:rsid w:val="44968A97"/>
    <w:rsid w:val="449A809C"/>
    <w:rsid w:val="449BFEF2"/>
    <w:rsid w:val="44A1DCCC"/>
    <w:rsid w:val="44A48D45"/>
    <w:rsid w:val="44A54DE2"/>
    <w:rsid w:val="44A76605"/>
    <w:rsid w:val="44AA9B11"/>
    <w:rsid w:val="44AB0556"/>
    <w:rsid w:val="44AD2325"/>
    <w:rsid w:val="44AE230B"/>
    <w:rsid w:val="44AED50C"/>
    <w:rsid w:val="44B05C01"/>
    <w:rsid w:val="44B24A22"/>
    <w:rsid w:val="44B48267"/>
    <w:rsid w:val="44B7063F"/>
    <w:rsid w:val="44BB6F57"/>
    <w:rsid w:val="44BC8F98"/>
    <w:rsid w:val="44BD18DC"/>
    <w:rsid w:val="44C10D51"/>
    <w:rsid w:val="44C20169"/>
    <w:rsid w:val="44C2E541"/>
    <w:rsid w:val="44C3F3EE"/>
    <w:rsid w:val="44C87D27"/>
    <w:rsid w:val="44CA7409"/>
    <w:rsid w:val="44CD272A"/>
    <w:rsid w:val="44CF89F6"/>
    <w:rsid w:val="44D80189"/>
    <w:rsid w:val="44D897EE"/>
    <w:rsid w:val="44DB1071"/>
    <w:rsid w:val="44DB8760"/>
    <w:rsid w:val="44DDE490"/>
    <w:rsid w:val="44E0DD80"/>
    <w:rsid w:val="44E4F392"/>
    <w:rsid w:val="44E50D53"/>
    <w:rsid w:val="44E67DDF"/>
    <w:rsid w:val="44EB8F79"/>
    <w:rsid w:val="44EC79B9"/>
    <w:rsid w:val="44EEA8F8"/>
    <w:rsid w:val="44F3D567"/>
    <w:rsid w:val="44F4DB3A"/>
    <w:rsid w:val="44F6230F"/>
    <w:rsid w:val="44F825B0"/>
    <w:rsid w:val="44F87F39"/>
    <w:rsid w:val="44F91FCD"/>
    <w:rsid w:val="44FBA7A3"/>
    <w:rsid w:val="44FCEADE"/>
    <w:rsid w:val="450047DA"/>
    <w:rsid w:val="45013971"/>
    <w:rsid w:val="450579B0"/>
    <w:rsid w:val="450ACD5D"/>
    <w:rsid w:val="450E244B"/>
    <w:rsid w:val="451040F3"/>
    <w:rsid w:val="45142A4E"/>
    <w:rsid w:val="4517F366"/>
    <w:rsid w:val="45191402"/>
    <w:rsid w:val="451B252D"/>
    <w:rsid w:val="451BF513"/>
    <w:rsid w:val="451D20BE"/>
    <w:rsid w:val="451DF2AC"/>
    <w:rsid w:val="45205B29"/>
    <w:rsid w:val="45224C04"/>
    <w:rsid w:val="45233C23"/>
    <w:rsid w:val="45255C68"/>
    <w:rsid w:val="452B4227"/>
    <w:rsid w:val="452CCC62"/>
    <w:rsid w:val="452DFED5"/>
    <w:rsid w:val="452F723E"/>
    <w:rsid w:val="45329ADC"/>
    <w:rsid w:val="4534CC49"/>
    <w:rsid w:val="453745DF"/>
    <w:rsid w:val="45386F16"/>
    <w:rsid w:val="453D7C74"/>
    <w:rsid w:val="453EBBA0"/>
    <w:rsid w:val="453F9534"/>
    <w:rsid w:val="45402E28"/>
    <w:rsid w:val="45408AAE"/>
    <w:rsid w:val="45414B46"/>
    <w:rsid w:val="4541ED8F"/>
    <w:rsid w:val="454222E8"/>
    <w:rsid w:val="45466696"/>
    <w:rsid w:val="454DF865"/>
    <w:rsid w:val="45502322"/>
    <w:rsid w:val="45519476"/>
    <w:rsid w:val="4551D791"/>
    <w:rsid w:val="45587B3B"/>
    <w:rsid w:val="4559D440"/>
    <w:rsid w:val="4559D840"/>
    <w:rsid w:val="45612C36"/>
    <w:rsid w:val="4563DA13"/>
    <w:rsid w:val="456528A0"/>
    <w:rsid w:val="456676A6"/>
    <w:rsid w:val="45716DF5"/>
    <w:rsid w:val="457751A5"/>
    <w:rsid w:val="4577A046"/>
    <w:rsid w:val="4578D9FC"/>
    <w:rsid w:val="457A777E"/>
    <w:rsid w:val="457AF064"/>
    <w:rsid w:val="457C0CAD"/>
    <w:rsid w:val="457CDFB6"/>
    <w:rsid w:val="457E53F5"/>
    <w:rsid w:val="4580AEDE"/>
    <w:rsid w:val="45898D22"/>
    <w:rsid w:val="458A3654"/>
    <w:rsid w:val="458CA068"/>
    <w:rsid w:val="458E3F8B"/>
    <w:rsid w:val="45913A90"/>
    <w:rsid w:val="459346C8"/>
    <w:rsid w:val="459A2C29"/>
    <w:rsid w:val="459BCE16"/>
    <w:rsid w:val="459C6D20"/>
    <w:rsid w:val="45A4DF31"/>
    <w:rsid w:val="45A90B3E"/>
    <w:rsid w:val="45AC51F3"/>
    <w:rsid w:val="45AC6567"/>
    <w:rsid w:val="45ADB61C"/>
    <w:rsid w:val="45B321B8"/>
    <w:rsid w:val="45B80118"/>
    <w:rsid w:val="45B8EF2C"/>
    <w:rsid w:val="45BC8972"/>
    <w:rsid w:val="45C1A116"/>
    <w:rsid w:val="45C25DEA"/>
    <w:rsid w:val="45C2C8DA"/>
    <w:rsid w:val="45C3566F"/>
    <w:rsid w:val="45CA6977"/>
    <w:rsid w:val="45CD86C1"/>
    <w:rsid w:val="45CDF773"/>
    <w:rsid w:val="45CE84B4"/>
    <w:rsid w:val="45D0488C"/>
    <w:rsid w:val="45D25E2A"/>
    <w:rsid w:val="45DA23A1"/>
    <w:rsid w:val="45DAC70B"/>
    <w:rsid w:val="45DC1C94"/>
    <w:rsid w:val="45E1B98C"/>
    <w:rsid w:val="45E43793"/>
    <w:rsid w:val="45E524E2"/>
    <w:rsid w:val="45E56492"/>
    <w:rsid w:val="45EF7C09"/>
    <w:rsid w:val="45F225CF"/>
    <w:rsid w:val="45F356AF"/>
    <w:rsid w:val="45F97F82"/>
    <w:rsid w:val="45F9DF7A"/>
    <w:rsid w:val="45FE9CCA"/>
    <w:rsid w:val="45FEBE99"/>
    <w:rsid w:val="46035D31"/>
    <w:rsid w:val="460554D5"/>
    <w:rsid w:val="4611B682"/>
    <w:rsid w:val="4614FEA4"/>
    <w:rsid w:val="461579CF"/>
    <w:rsid w:val="461691BD"/>
    <w:rsid w:val="46204003"/>
    <w:rsid w:val="46215178"/>
    <w:rsid w:val="46232E63"/>
    <w:rsid w:val="462361A0"/>
    <w:rsid w:val="462719E4"/>
    <w:rsid w:val="46281E5B"/>
    <w:rsid w:val="462B3676"/>
    <w:rsid w:val="462B9B0F"/>
    <w:rsid w:val="462C62CF"/>
    <w:rsid w:val="46338124"/>
    <w:rsid w:val="463471B4"/>
    <w:rsid w:val="463896C4"/>
    <w:rsid w:val="4639C2C3"/>
    <w:rsid w:val="463A212A"/>
    <w:rsid w:val="463CD8A7"/>
    <w:rsid w:val="463F4F47"/>
    <w:rsid w:val="463F90C4"/>
    <w:rsid w:val="46430C8D"/>
    <w:rsid w:val="46483002"/>
    <w:rsid w:val="46492C1F"/>
    <w:rsid w:val="464D9DB1"/>
    <w:rsid w:val="464ECB5E"/>
    <w:rsid w:val="464F8C43"/>
    <w:rsid w:val="4652273F"/>
    <w:rsid w:val="4653A153"/>
    <w:rsid w:val="4655822F"/>
    <w:rsid w:val="46572274"/>
    <w:rsid w:val="4657BE9E"/>
    <w:rsid w:val="4659CE6A"/>
    <w:rsid w:val="465F37FB"/>
    <w:rsid w:val="46607F5C"/>
    <w:rsid w:val="4661721E"/>
    <w:rsid w:val="4661E943"/>
    <w:rsid w:val="4665FE93"/>
    <w:rsid w:val="466750C4"/>
    <w:rsid w:val="46675CA0"/>
    <w:rsid w:val="4668AB9C"/>
    <w:rsid w:val="466E6B14"/>
    <w:rsid w:val="46711528"/>
    <w:rsid w:val="467144DC"/>
    <w:rsid w:val="4671F312"/>
    <w:rsid w:val="46741E1B"/>
    <w:rsid w:val="46780483"/>
    <w:rsid w:val="467A8D68"/>
    <w:rsid w:val="467F1E6A"/>
    <w:rsid w:val="467FC29A"/>
    <w:rsid w:val="467FEFA5"/>
    <w:rsid w:val="468097C3"/>
    <w:rsid w:val="4680AF9F"/>
    <w:rsid w:val="46822524"/>
    <w:rsid w:val="46823967"/>
    <w:rsid w:val="468A7258"/>
    <w:rsid w:val="4691F044"/>
    <w:rsid w:val="46924332"/>
    <w:rsid w:val="4692C8ED"/>
    <w:rsid w:val="46970940"/>
    <w:rsid w:val="46973488"/>
    <w:rsid w:val="4697B06D"/>
    <w:rsid w:val="469C8ED1"/>
    <w:rsid w:val="469D0A48"/>
    <w:rsid w:val="46A6EFB3"/>
    <w:rsid w:val="46B05FA6"/>
    <w:rsid w:val="46B16E6F"/>
    <w:rsid w:val="46B2B763"/>
    <w:rsid w:val="46B41065"/>
    <w:rsid w:val="46B65418"/>
    <w:rsid w:val="46B683F2"/>
    <w:rsid w:val="46BA8E75"/>
    <w:rsid w:val="46BE6442"/>
    <w:rsid w:val="46C2C185"/>
    <w:rsid w:val="46C55449"/>
    <w:rsid w:val="46CE8BD9"/>
    <w:rsid w:val="46D09BB0"/>
    <w:rsid w:val="46D1127D"/>
    <w:rsid w:val="46D41C13"/>
    <w:rsid w:val="46DA2DBE"/>
    <w:rsid w:val="46E28107"/>
    <w:rsid w:val="46E2E152"/>
    <w:rsid w:val="46E44B0A"/>
    <w:rsid w:val="46E7A589"/>
    <w:rsid w:val="46E89C3A"/>
    <w:rsid w:val="46E93650"/>
    <w:rsid w:val="46E9F1F5"/>
    <w:rsid w:val="46EC597A"/>
    <w:rsid w:val="46EFC972"/>
    <w:rsid w:val="46F00318"/>
    <w:rsid w:val="46F5F3FD"/>
    <w:rsid w:val="46F703A6"/>
    <w:rsid w:val="46F70A31"/>
    <w:rsid w:val="46FC4381"/>
    <w:rsid w:val="46FEC12B"/>
    <w:rsid w:val="470A54DD"/>
    <w:rsid w:val="470DBBBC"/>
    <w:rsid w:val="470EE888"/>
    <w:rsid w:val="47102C8B"/>
    <w:rsid w:val="4712A7F5"/>
    <w:rsid w:val="471ABB1B"/>
    <w:rsid w:val="471B2D8D"/>
    <w:rsid w:val="471B30E0"/>
    <w:rsid w:val="471CC894"/>
    <w:rsid w:val="471F9F4D"/>
    <w:rsid w:val="47217A7B"/>
    <w:rsid w:val="47262BA2"/>
    <w:rsid w:val="47288140"/>
    <w:rsid w:val="47318C63"/>
    <w:rsid w:val="4732AB80"/>
    <w:rsid w:val="4732F17C"/>
    <w:rsid w:val="4733FC43"/>
    <w:rsid w:val="47378B54"/>
    <w:rsid w:val="4738485C"/>
    <w:rsid w:val="473879FC"/>
    <w:rsid w:val="47395F81"/>
    <w:rsid w:val="473B4F7F"/>
    <w:rsid w:val="473E0C53"/>
    <w:rsid w:val="474460F8"/>
    <w:rsid w:val="47455D75"/>
    <w:rsid w:val="47493F16"/>
    <w:rsid w:val="474A4202"/>
    <w:rsid w:val="474C2CBB"/>
    <w:rsid w:val="474CD6B7"/>
    <w:rsid w:val="474D3B9F"/>
    <w:rsid w:val="47517189"/>
    <w:rsid w:val="4759BD75"/>
    <w:rsid w:val="475D577E"/>
    <w:rsid w:val="475E216E"/>
    <w:rsid w:val="475FAB01"/>
    <w:rsid w:val="476041DF"/>
    <w:rsid w:val="4760A52B"/>
    <w:rsid w:val="476135C2"/>
    <w:rsid w:val="4762B669"/>
    <w:rsid w:val="47642B1A"/>
    <w:rsid w:val="47650AF6"/>
    <w:rsid w:val="47656E47"/>
    <w:rsid w:val="476869EE"/>
    <w:rsid w:val="476CEF67"/>
    <w:rsid w:val="47703259"/>
    <w:rsid w:val="4771CA9E"/>
    <w:rsid w:val="4773FBB7"/>
    <w:rsid w:val="47740711"/>
    <w:rsid w:val="477483E8"/>
    <w:rsid w:val="477ABEF8"/>
    <w:rsid w:val="477AD28A"/>
    <w:rsid w:val="477D7B58"/>
    <w:rsid w:val="477EB981"/>
    <w:rsid w:val="477EC401"/>
    <w:rsid w:val="477F09DF"/>
    <w:rsid w:val="477F9644"/>
    <w:rsid w:val="4780698A"/>
    <w:rsid w:val="4781FB8C"/>
    <w:rsid w:val="47880042"/>
    <w:rsid w:val="4788DB9B"/>
    <w:rsid w:val="478B4126"/>
    <w:rsid w:val="4797993D"/>
    <w:rsid w:val="4798FAB0"/>
    <w:rsid w:val="4799E410"/>
    <w:rsid w:val="479AB869"/>
    <w:rsid w:val="479E6CA9"/>
    <w:rsid w:val="47A1A8C1"/>
    <w:rsid w:val="47A629BC"/>
    <w:rsid w:val="47A9F86F"/>
    <w:rsid w:val="47ABB1B5"/>
    <w:rsid w:val="47AEBF15"/>
    <w:rsid w:val="47AF67E3"/>
    <w:rsid w:val="47AFF29E"/>
    <w:rsid w:val="47B04B4B"/>
    <w:rsid w:val="47B102AA"/>
    <w:rsid w:val="47B26046"/>
    <w:rsid w:val="47B298A8"/>
    <w:rsid w:val="47B44D71"/>
    <w:rsid w:val="47BD537F"/>
    <w:rsid w:val="47C1B56B"/>
    <w:rsid w:val="47C336D2"/>
    <w:rsid w:val="47C348B3"/>
    <w:rsid w:val="47C8FE28"/>
    <w:rsid w:val="47CB3714"/>
    <w:rsid w:val="47CBF104"/>
    <w:rsid w:val="47CE5E55"/>
    <w:rsid w:val="47CE6769"/>
    <w:rsid w:val="47D21154"/>
    <w:rsid w:val="47D22920"/>
    <w:rsid w:val="47D5FFA8"/>
    <w:rsid w:val="47D98708"/>
    <w:rsid w:val="47E5F0DE"/>
    <w:rsid w:val="47EA87C5"/>
    <w:rsid w:val="47EC06EA"/>
    <w:rsid w:val="47EE887D"/>
    <w:rsid w:val="47F0ED12"/>
    <w:rsid w:val="47F1274F"/>
    <w:rsid w:val="47F6185F"/>
    <w:rsid w:val="47FA9571"/>
    <w:rsid w:val="47FE4627"/>
    <w:rsid w:val="47FFDE16"/>
    <w:rsid w:val="47FFFC5A"/>
    <w:rsid w:val="48025BA3"/>
    <w:rsid w:val="480609B3"/>
    <w:rsid w:val="48098D15"/>
    <w:rsid w:val="480A2D46"/>
    <w:rsid w:val="480A6CC1"/>
    <w:rsid w:val="480BD448"/>
    <w:rsid w:val="480D3788"/>
    <w:rsid w:val="480DEEA8"/>
    <w:rsid w:val="48105676"/>
    <w:rsid w:val="48177B1E"/>
    <w:rsid w:val="481AEDFD"/>
    <w:rsid w:val="481E73D8"/>
    <w:rsid w:val="481F321C"/>
    <w:rsid w:val="482078D9"/>
    <w:rsid w:val="48259B88"/>
    <w:rsid w:val="482B4024"/>
    <w:rsid w:val="482E6946"/>
    <w:rsid w:val="4833D41D"/>
    <w:rsid w:val="4838A6BD"/>
    <w:rsid w:val="483913F8"/>
    <w:rsid w:val="483A437B"/>
    <w:rsid w:val="483B74E3"/>
    <w:rsid w:val="483E8D4A"/>
    <w:rsid w:val="483F942A"/>
    <w:rsid w:val="4843C0D8"/>
    <w:rsid w:val="48442EE3"/>
    <w:rsid w:val="4844F148"/>
    <w:rsid w:val="48487AA5"/>
    <w:rsid w:val="484CA9F5"/>
    <w:rsid w:val="4856A7F6"/>
    <w:rsid w:val="485DAB26"/>
    <w:rsid w:val="48610C2F"/>
    <w:rsid w:val="48611A45"/>
    <w:rsid w:val="48626631"/>
    <w:rsid w:val="48628731"/>
    <w:rsid w:val="4863C38A"/>
    <w:rsid w:val="486550A9"/>
    <w:rsid w:val="48691D65"/>
    <w:rsid w:val="487188C1"/>
    <w:rsid w:val="4872C41B"/>
    <w:rsid w:val="4876A2F9"/>
    <w:rsid w:val="487A0CBD"/>
    <w:rsid w:val="487E6037"/>
    <w:rsid w:val="487FA5C3"/>
    <w:rsid w:val="487FCA5B"/>
    <w:rsid w:val="48806979"/>
    <w:rsid w:val="4889B952"/>
    <w:rsid w:val="4889F354"/>
    <w:rsid w:val="488B9056"/>
    <w:rsid w:val="48954CAC"/>
    <w:rsid w:val="48964512"/>
    <w:rsid w:val="489741A5"/>
    <w:rsid w:val="4899F0B6"/>
    <w:rsid w:val="48A1A83E"/>
    <w:rsid w:val="48A23E3E"/>
    <w:rsid w:val="48A5E1D8"/>
    <w:rsid w:val="48A788A2"/>
    <w:rsid w:val="48ACA838"/>
    <w:rsid w:val="48AD4C07"/>
    <w:rsid w:val="48B12091"/>
    <w:rsid w:val="48B4AD7E"/>
    <w:rsid w:val="48B6A391"/>
    <w:rsid w:val="48B84B1E"/>
    <w:rsid w:val="48BECF9F"/>
    <w:rsid w:val="48C1AD21"/>
    <w:rsid w:val="48C2AC27"/>
    <w:rsid w:val="48C3D440"/>
    <w:rsid w:val="48C7D8FB"/>
    <w:rsid w:val="48C846CC"/>
    <w:rsid w:val="48C92C45"/>
    <w:rsid w:val="48CD9B5E"/>
    <w:rsid w:val="48CEC1DD"/>
    <w:rsid w:val="48CF907A"/>
    <w:rsid w:val="48D01012"/>
    <w:rsid w:val="48D0A2A1"/>
    <w:rsid w:val="48D7463C"/>
    <w:rsid w:val="48DD0044"/>
    <w:rsid w:val="48E19DE0"/>
    <w:rsid w:val="48E3240F"/>
    <w:rsid w:val="48E519BD"/>
    <w:rsid w:val="48E9F865"/>
    <w:rsid w:val="48EF3CD0"/>
    <w:rsid w:val="48F0D559"/>
    <w:rsid w:val="48F12DE2"/>
    <w:rsid w:val="48F2F2DE"/>
    <w:rsid w:val="48F51EC4"/>
    <w:rsid w:val="48F92098"/>
    <w:rsid w:val="48F95791"/>
    <w:rsid w:val="48F99696"/>
    <w:rsid w:val="48F99764"/>
    <w:rsid w:val="48FABEAE"/>
    <w:rsid w:val="48FCA681"/>
    <w:rsid w:val="48FD86C2"/>
    <w:rsid w:val="48FE4F60"/>
    <w:rsid w:val="48FEB4E4"/>
    <w:rsid w:val="4901B0A9"/>
    <w:rsid w:val="49040F2C"/>
    <w:rsid w:val="49056684"/>
    <w:rsid w:val="49085236"/>
    <w:rsid w:val="490B16B9"/>
    <w:rsid w:val="490C67C8"/>
    <w:rsid w:val="491097DB"/>
    <w:rsid w:val="49115B17"/>
    <w:rsid w:val="4915C4F6"/>
    <w:rsid w:val="4918299F"/>
    <w:rsid w:val="491C5ACA"/>
    <w:rsid w:val="491D5353"/>
    <w:rsid w:val="49206F6A"/>
    <w:rsid w:val="49210354"/>
    <w:rsid w:val="49259022"/>
    <w:rsid w:val="492841F7"/>
    <w:rsid w:val="492AA3FD"/>
    <w:rsid w:val="492B22E5"/>
    <w:rsid w:val="492C7E1C"/>
    <w:rsid w:val="492E3FA8"/>
    <w:rsid w:val="49327C68"/>
    <w:rsid w:val="493C2C3F"/>
    <w:rsid w:val="493C3BC0"/>
    <w:rsid w:val="494189B0"/>
    <w:rsid w:val="4944116D"/>
    <w:rsid w:val="49497E8E"/>
    <w:rsid w:val="494B33A1"/>
    <w:rsid w:val="494BC21F"/>
    <w:rsid w:val="494BDEE0"/>
    <w:rsid w:val="494D61FE"/>
    <w:rsid w:val="495510E1"/>
    <w:rsid w:val="4955FF2A"/>
    <w:rsid w:val="49581C6A"/>
    <w:rsid w:val="4961F0FB"/>
    <w:rsid w:val="496470B1"/>
    <w:rsid w:val="49662B4D"/>
    <w:rsid w:val="4969C098"/>
    <w:rsid w:val="496A5BA9"/>
    <w:rsid w:val="496AAC16"/>
    <w:rsid w:val="496FFCA5"/>
    <w:rsid w:val="497309E3"/>
    <w:rsid w:val="497BDDED"/>
    <w:rsid w:val="497F88A3"/>
    <w:rsid w:val="498009C2"/>
    <w:rsid w:val="498096AF"/>
    <w:rsid w:val="498321A6"/>
    <w:rsid w:val="498338D4"/>
    <w:rsid w:val="4986B8B0"/>
    <w:rsid w:val="498900BF"/>
    <w:rsid w:val="498A7930"/>
    <w:rsid w:val="499197F2"/>
    <w:rsid w:val="4993EFDE"/>
    <w:rsid w:val="49944C61"/>
    <w:rsid w:val="499456FE"/>
    <w:rsid w:val="4997A2E3"/>
    <w:rsid w:val="499CD207"/>
    <w:rsid w:val="499D3832"/>
    <w:rsid w:val="499E8623"/>
    <w:rsid w:val="499F971E"/>
    <w:rsid w:val="49A01621"/>
    <w:rsid w:val="49A27A0F"/>
    <w:rsid w:val="49A33975"/>
    <w:rsid w:val="49A5A3F9"/>
    <w:rsid w:val="49A6D097"/>
    <w:rsid w:val="49A72A51"/>
    <w:rsid w:val="49AC81E4"/>
    <w:rsid w:val="49AE12C3"/>
    <w:rsid w:val="49AE12ED"/>
    <w:rsid w:val="49AEE10D"/>
    <w:rsid w:val="49B1EFA1"/>
    <w:rsid w:val="49B7CB24"/>
    <w:rsid w:val="49BC1A1F"/>
    <w:rsid w:val="49BDD3F6"/>
    <w:rsid w:val="49C0300C"/>
    <w:rsid w:val="49C18D54"/>
    <w:rsid w:val="49C37384"/>
    <w:rsid w:val="49C55F55"/>
    <w:rsid w:val="49C6D1FF"/>
    <w:rsid w:val="49C88FFB"/>
    <w:rsid w:val="49CB30C5"/>
    <w:rsid w:val="49CB942C"/>
    <w:rsid w:val="49CD97DC"/>
    <w:rsid w:val="49D139FE"/>
    <w:rsid w:val="49D1FD5F"/>
    <w:rsid w:val="49D41998"/>
    <w:rsid w:val="49D985C6"/>
    <w:rsid w:val="49DB4525"/>
    <w:rsid w:val="49DD0800"/>
    <w:rsid w:val="49DFE336"/>
    <w:rsid w:val="49E2829C"/>
    <w:rsid w:val="49E48CE8"/>
    <w:rsid w:val="49E6939A"/>
    <w:rsid w:val="49E6B158"/>
    <w:rsid w:val="49E9481B"/>
    <w:rsid w:val="49EAFE40"/>
    <w:rsid w:val="49F3CB61"/>
    <w:rsid w:val="49F5FE3B"/>
    <w:rsid w:val="49F96503"/>
    <w:rsid w:val="49FBE6B7"/>
    <w:rsid w:val="49FC38C3"/>
    <w:rsid w:val="49FFA36B"/>
    <w:rsid w:val="49FFD260"/>
    <w:rsid w:val="4A017C0C"/>
    <w:rsid w:val="4A0957E4"/>
    <w:rsid w:val="4A0AE5A0"/>
    <w:rsid w:val="4A0C548F"/>
    <w:rsid w:val="4A136E22"/>
    <w:rsid w:val="4A14A5AD"/>
    <w:rsid w:val="4A14C08F"/>
    <w:rsid w:val="4A19A7F6"/>
    <w:rsid w:val="4A1A87C3"/>
    <w:rsid w:val="4A21609E"/>
    <w:rsid w:val="4A21F62E"/>
    <w:rsid w:val="4A229548"/>
    <w:rsid w:val="4A22A055"/>
    <w:rsid w:val="4A25DD7E"/>
    <w:rsid w:val="4A25F498"/>
    <w:rsid w:val="4A2C138D"/>
    <w:rsid w:val="4A2ECF09"/>
    <w:rsid w:val="4A30C3A7"/>
    <w:rsid w:val="4A314BB6"/>
    <w:rsid w:val="4A378FDB"/>
    <w:rsid w:val="4A37E2DB"/>
    <w:rsid w:val="4A3CC878"/>
    <w:rsid w:val="4A3E6729"/>
    <w:rsid w:val="4A424D77"/>
    <w:rsid w:val="4A4334DD"/>
    <w:rsid w:val="4A480B38"/>
    <w:rsid w:val="4A4C56A5"/>
    <w:rsid w:val="4A4FD2A9"/>
    <w:rsid w:val="4A5058BF"/>
    <w:rsid w:val="4A525B95"/>
    <w:rsid w:val="4A56EBF2"/>
    <w:rsid w:val="4A580653"/>
    <w:rsid w:val="4A5C4921"/>
    <w:rsid w:val="4A5C69BF"/>
    <w:rsid w:val="4A5F1C3C"/>
    <w:rsid w:val="4A5F3589"/>
    <w:rsid w:val="4A632544"/>
    <w:rsid w:val="4A64E8C0"/>
    <w:rsid w:val="4A69318D"/>
    <w:rsid w:val="4A696319"/>
    <w:rsid w:val="4A6C183E"/>
    <w:rsid w:val="4A6EC3CE"/>
    <w:rsid w:val="4A77FDF6"/>
    <w:rsid w:val="4A7970B9"/>
    <w:rsid w:val="4A7A8DBB"/>
    <w:rsid w:val="4A7B7B3B"/>
    <w:rsid w:val="4A7DE659"/>
    <w:rsid w:val="4A84680A"/>
    <w:rsid w:val="4A866423"/>
    <w:rsid w:val="4A8A22D5"/>
    <w:rsid w:val="4A8B6313"/>
    <w:rsid w:val="4A90C248"/>
    <w:rsid w:val="4A921D4A"/>
    <w:rsid w:val="4A92D094"/>
    <w:rsid w:val="4A93DC37"/>
    <w:rsid w:val="4A956461"/>
    <w:rsid w:val="4A9916CE"/>
    <w:rsid w:val="4A9C051A"/>
    <w:rsid w:val="4AA0DB55"/>
    <w:rsid w:val="4AA30B2E"/>
    <w:rsid w:val="4AA37ED0"/>
    <w:rsid w:val="4AA41941"/>
    <w:rsid w:val="4AA92527"/>
    <w:rsid w:val="4AA9D8BA"/>
    <w:rsid w:val="4AAD1677"/>
    <w:rsid w:val="4AB030A6"/>
    <w:rsid w:val="4AB1860E"/>
    <w:rsid w:val="4AB56BAC"/>
    <w:rsid w:val="4AB5F0E9"/>
    <w:rsid w:val="4AB89C23"/>
    <w:rsid w:val="4ABC9149"/>
    <w:rsid w:val="4ABD165C"/>
    <w:rsid w:val="4ABD2B93"/>
    <w:rsid w:val="4AC1B125"/>
    <w:rsid w:val="4ACB4AF6"/>
    <w:rsid w:val="4ACECA31"/>
    <w:rsid w:val="4AD10B29"/>
    <w:rsid w:val="4AD11E59"/>
    <w:rsid w:val="4AD1DE6B"/>
    <w:rsid w:val="4AD24C61"/>
    <w:rsid w:val="4AD5F80A"/>
    <w:rsid w:val="4AD7600F"/>
    <w:rsid w:val="4ADAB5DC"/>
    <w:rsid w:val="4AE243C8"/>
    <w:rsid w:val="4AE2A455"/>
    <w:rsid w:val="4AE4D156"/>
    <w:rsid w:val="4AE7050B"/>
    <w:rsid w:val="4AEEF765"/>
    <w:rsid w:val="4AF1267F"/>
    <w:rsid w:val="4AF2DBD1"/>
    <w:rsid w:val="4AF706D5"/>
    <w:rsid w:val="4AF85DD3"/>
    <w:rsid w:val="4AF86147"/>
    <w:rsid w:val="4AFE13B2"/>
    <w:rsid w:val="4B025799"/>
    <w:rsid w:val="4B053CD3"/>
    <w:rsid w:val="4B07768F"/>
    <w:rsid w:val="4B09D853"/>
    <w:rsid w:val="4B0C0E04"/>
    <w:rsid w:val="4B0FAB6D"/>
    <w:rsid w:val="4B12282D"/>
    <w:rsid w:val="4B1404E2"/>
    <w:rsid w:val="4B1945B1"/>
    <w:rsid w:val="4B1BE5C9"/>
    <w:rsid w:val="4B1C3209"/>
    <w:rsid w:val="4B22C48C"/>
    <w:rsid w:val="4B24891F"/>
    <w:rsid w:val="4B24EFD9"/>
    <w:rsid w:val="4B277B0A"/>
    <w:rsid w:val="4B27F7DB"/>
    <w:rsid w:val="4B2D28CF"/>
    <w:rsid w:val="4B317A4E"/>
    <w:rsid w:val="4B33CA11"/>
    <w:rsid w:val="4B38674A"/>
    <w:rsid w:val="4B415BCC"/>
    <w:rsid w:val="4B41944C"/>
    <w:rsid w:val="4B41DC77"/>
    <w:rsid w:val="4B45194D"/>
    <w:rsid w:val="4B47948B"/>
    <w:rsid w:val="4B47FFA7"/>
    <w:rsid w:val="4B49DFFC"/>
    <w:rsid w:val="4B4D40B6"/>
    <w:rsid w:val="4B5352E5"/>
    <w:rsid w:val="4B56AE53"/>
    <w:rsid w:val="4B56D13D"/>
    <w:rsid w:val="4B5950AD"/>
    <w:rsid w:val="4B5AE62F"/>
    <w:rsid w:val="4B5E41D4"/>
    <w:rsid w:val="4B5F6415"/>
    <w:rsid w:val="4B5F85E3"/>
    <w:rsid w:val="4B6421CE"/>
    <w:rsid w:val="4B64D2C1"/>
    <w:rsid w:val="4B670987"/>
    <w:rsid w:val="4B69973A"/>
    <w:rsid w:val="4B6A8633"/>
    <w:rsid w:val="4B6FE784"/>
    <w:rsid w:val="4B708A4D"/>
    <w:rsid w:val="4B73E78B"/>
    <w:rsid w:val="4B74EEF8"/>
    <w:rsid w:val="4B77D980"/>
    <w:rsid w:val="4B7B4B83"/>
    <w:rsid w:val="4B7C4EE5"/>
    <w:rsid w:val="4B7C5030"/>
    <w:rsid w:val="4B7D8008"/>
    <w:rsid w:val="4B835BF1"/>
    <w:rsid w:val="4B846C07"/>
    <w:rsid w:val="4B85ED79"/>
    <w:rsid w:val="4B868883"/>
    <w:rsid w:val="4B87955F"/>
    <w:rsid w:val="4B897227"/>
    <w:rsid w:val="4B8BD2F6"/>
    <w:rsid w:val="4B8D2628"/>
    <w:rsid w:val="4B8D61B9"/>
    <w:rsid w:val="4B8D68EC"/>
    <w:rsid w:val="4B8E25AD"/>
    <w:rsid w:val="4B8FF6D5"/>
    <w:rsid w:val="4B9335F9"/>
    <w:rsid w:val="4B93CEBF"/>
    <w:rsid w:val="4B99382E"/>
    <w:rsid w:val="4B9B2D45"/>
    <w:rsid w:val="4B9F3B3B"/>
    <w:rsid w:val="4BA29D59"/>
    <w:rsid w:val="4BA35516"/>
    <w:rsid w:val="4BA50B36"/>
    <w:rsid w:val="4BB160B1"/>
    <w:rsid w:val="4BB596B5"/>
    <w:rsid w:val="4BB78068"/>
    <w:rsid w:val="4BBB5259"/>
    <w:rsid w:val="4BC406E4"/>
    <w:rsid w:val="4BC4D3B7"/>
    <w:rsid w:val="4BC4F56B"/>
    <w:rsid w:val="4BC8F946"/>
    <w:rsid w:val="4BC908C2"/>
    <w:rsid w:val="4BCC19E7"/>
    <w:rsid w:val="4BCD177A"/>
    <w:rsid w:val="4BD4F9FC"/>
    <w:rsid w:val="4BDB300F"/>
    <w:rsid w:val="4BDF15C0"/>
    <w:rsid w:val="4BDFE09D"/>
    <w:rsid w:val="4BE33BA1"/>
    <w:rsid w:val="4BE5848A"/>
    <w:rsid w:val="4BEC505A"/>
    <w:rsid w:val="4BF5A0C5"/>
    <w:rsid w:val="4BF8AD6C"/>
    <w:rsid w:val="4BFD518A"/>
    <w:rsid w:val="4C01AC36"/>
    <w:rsid w:val="4C02E66E"/>
    <w:rsid w:val="4C059A64"/>
    <w:rsid w:val="4C0810D2"/>
    <w:rsid w:val="4C08AEE4"/>
    <w:rsid w:val="4C0BA542"/>
    <w:rsid w:val="4C103CD8"/>
    <w:rsid w:val="4C10B62C"/>
    <w:rsid w:val="4C13077D"/>
    <w:rsid w:val="4C159062"/>
    <w:rsid w:val="4C19DC3C"/>
    <w:rsid w:val="4C1AFB18"/>
    <w:rsid w:val="4C1B24F3"/>
    <w:rsid w:val="4C1D158C"/>
    <w:rsid w:val="4C211C1C"/>
    <w:rsid w:val="4C252956"/>
    <w:rsid w:val="4C2645F0"/>
    <w:rsid w:val="4C2CBD05"/>
    <w:rsid w:val="4C2D07C0"/>
    <w:rsid w:val="4C2D74F8"/>
    <w:rsid w:val="4C2DEF66"/>
    <w:rsid w:val="4C2F5154"/>
    <w:rsid w:val="4C303817"/>
    <w:rsid w:val="4C31F926"/>
    <w:rsid w:val="4C364E8C"/>
    <w:rsid w:val="4C366593"/>
    <w:rsid w:val="4C36A540"/>
    <w:rsid w:val="4C37FA81"/>
    <w:rsid w:val="4C3A78E3"/>
    <w:rsid w:val="4C3CC6C4"/>
    <w:rsid w:val="4C3D8595"/>
    <w:rsid w:val="4C41BD02"/>
    <w:rsid w:val="4C42DCE6"/>
    <w:rsid w:val="4C43C304"/>
    <w:rsid w:val="4C457C09"/>
    <w:rsid w:val="4C467168"/>
    <w:rsid w:val="4C49DD51"/>
    <w:rsid w:val="4C4D42AF"/>
    <w:rsid w:val="4C4DE6A6"/>
    <w:rsid w:val="4C4E68E1"/>
    <w:rsid w:val="4C505ADB"/>
    <w:rsid w:val="4C53A9F7"/>
    <w:rsid w:val="4C610B6D"/>
    <w:rsid w:val="4C639E0E"/>
    <w:rsid w:val="4C657856"/>
    <w:rsid w:val="4C66BE21"/>
    <w:rsid w:val="4C6CFFE6"/>
    <w:rsid w:val="4C76D480"/>
    <w:rsid w:val="4C79862D"/>
    <w:rsid w:val="4C8106A0"/>
    <w:rsid w:val="4C88E7FB"/>
    <w:rsid w:val="4C8EBDDE"/>
    <w:rsid w:val="4C8F16C3"/>
    <w:rsid w:val="4C8FAB42"/>
    <w:rsid w:val="4C9178EB"/>
    <w:rsid w:val="4C91A264"/>
    <w:rsid w:val="4C938ED2"/>
    <w:rsid w:val="4C9918DE"/>
    <w:rsid w:val="4C9D8C61"/>
    <w:rsid w:val="4C9F2309"/>
    <w:rsid w:val="4CA29648"/>
    <w:rsid w:val="4CA2FE55"/>
    <w:rsid w:val="4CA356B5"/>
    <w:rsid w:val="4CA6F66B"/>
    <w:rsid w:val="4CB051D6"/>
    <w:rsid w:val="4CB33383"/>
    <w:rsid w:val="4CB53964"/>
    <w:rsid w:val="4CBDBCC2"/>
    <w:rsid w:val="4CBE7D1C"/>
    <w:rsid w:val="4CC052E6"/>
    <w:rsid w:val="4CC1A992"/>
    <w:rsid w:val="4CC2ADA2"/>
    <w:rsid w:val="4CC45A9E"/>
    <w:rsid w:val="4CC51C25"/>
    <w:rsid w:val="4CC8A9A6"/>
    <w:rsid w:val="4CC9EF42"/>
    <w:rsid w:val="4CCCB410"/>
    <w:rsid w:val="4CCDF729"/>
    <w:rsid w:val="4CCF51E1"/>
    <w:rsid w:val="4CD1F037"/>
    <w:rsid w:val="4CD46608"/>
    <w:rsid w:val="4CD4B47D"/>
    <w:rsid w:val="4CD96D2E"/>
    <w:rsid w:val="4CD9700F"/>
    <w:rsid w:val="4CDFE0FD"/>
    <w:rsid w:val="4CE11F41"/>
    <w:rsid w:val="4CE18853"/>
    <w:rsid w:val="4CE1B339"/>
    <w:rsid w:val="4CE2A337"/>
    <w:rsid w:val="4CE50908"/>
    <w:rsid w:val="4CEB3ACB"/>
    <w:rsid w:val="4CEBCC0B"/>
    <w:rsid w:val="4CEC2D9F"/>
    <w:rsid w:val="4CEC5C5D"/>
    <w:rsid w:val="4CEEE415"/>
    <w:rsid w:val="4CEF56E0"/>
    <w:rsid w:val="4CF04D8D"/>
    <w:rsid w:val="4CF4C833"/>
    <w:rsid w:val="4CF82776"/>
    <w:rsid w:val="4CF8C5B5"/>
    <w:rsid w:val="4CF96F20"/>
    <w:rsid w:val="4CF982CA"/>
    <w:rsid w:val="4CF9BE31"/>
    <w:rsid w:val="4CF9D353"/>
    <w:rsid w:val="4CFA8296"/>
    <w:rsid w:val="4CFB55A2"/>
    <w:rsid w:val="4D00C972"/>
    <w:rsid w:val="4D016260"/>
    <w:rsid w:val="4D02D443"/>
    <w:rsid w:val="4D0303D1"/>
    <w:rsid w:val="4D04E9ED"/>
    <w:rsid w:val="4D051FEA"/>
    <w:rsid w:val="4D0A0250"/>
    <w:rsid w:val="4D0AAE11"/>
    <w:rsid w:val="4D0CA7EB"/>
    <w:rsid w:val="4D14973B"/>
    <w:rsid w:val="4D1873A6"/>
    <w:rsid w:val="4D19563E"/>
    <w:rsid w:val="4D195A3A"/>
    <w:rsid w:val="4D1AE09E"/>
    <w:rsid w:val="4D1C7B70"/>
    <w:rsid w:val="4D1E755F"/>
    <w:rsid w:val="4D1E9C0C"/>
    <w:rsid w:val="4D20A167"/>
    <w:rsid w:val="4D23F6A2"/>
    <w:rsid w:val="4D28450C"/>
    <w:rsid w:val="4D2A0B71"/>
    <w:rsid w:val="4D2AC9CC"/>
    <w:rsid w:val="4D318A7F"/>
    <w:rsid w:val="4D37D3D2"/>
    <w:rsid w:val="4D3CEBAD"/>
    <w:rsid w:val="4D3EFA45"/>
    <w:rsid w:val="4D44A8D3"/>
    <w:rsid w:val="4D457A45"/>
    <w:rsid w:val="4D46588D"/>
    <w:rsid w:val="4D46F983"/>
    <w:rsid w:val="4D4BA8C3"/>
    <w:rsid w:val="4D50E946"/>
    <w:rsid w:val="4D58BCCC"/>
    <w:rsid w:val="4D5A1463"/>
    <w:rsid w:val="4D5B8A15"/>
    <w:rsid w:val="4D5C7726"/>
    <w:rsid w:val="4D5DFD08"/>
    <w:rsid w:val="4D5FF890"/>
    <w:rsid w:val="4D605944"/>
    <w:rsid w:val="4D610568"/>
    <w:rsid w:val="4D61683A"/>
    <w:rsid w:val="4D62BFD2"/>
    <w:rsid w:val="4D6326BD"/>
    <w:rsid w:val="4D665DAD"/>
    <w:rsid w:val="4D67DE9A"/>
    <w:rsid w:val="4D6A5B10"/>
    <w:rsid w:val="4D70C0BD"/>
    <w:rsid w:val="4D712D6F"/>
    <w:rsid w:val="4D75D180"/>
    <w:rsid w:val="4D762AAC"/>
    <w:rsid w:val="4D77C2E7"/>
    <w:rsid w:val="4D7AD002"/>
    <w:rsid w:val="4D7CDFEB"/>
    <w:rsid w:val="4D7F6360"/>
    <w:rsid w:val="4D80EE79"/>
    <w:rsid w:val="4D818FDF"/>
    <w:rsid w:val="4D8209E3"/>
    <w:rsid w:val="4D83C481"/>
    <w:rsid w:val="4D83D904"/>
    <w:rsid w:val="4D8B1EBB"/>
    <w:rsid w:val="4D8CE50F"/>
    <w:rsid w:val="4D8E58D9"/>
    <w:rsid w:val="4D925881"/>
    <w:rsid w:val="4D99CBFD"/>
    <w:rsid w:val="4D9ABEAC"/>
    <w:rsid w:val="4D9B4079"/>
    <w:rsid w:val="4D9D9BFA"/>
    <w:rsid w:val="4DA3330A"/>
    <w:rsid w:val="4DA8077F"/>
    <w:rsid w:val="4DA92287"/>
    <w:rsid w:val="4DAFD037"/>
    <w:rsid w:val="4DB311AD"/>
    <w:rsid w:val="4DB35116"/>
    <w:rsid w:val="4DB4D96D"/>
    <w:rsid w:val="4DB9E055"/>
    <w:rsid w:val="4DBE3989"/>
    <w:rsid w:val="4DBFBD74"/>
    <w:rsid w:val="4DC1055F"/>
    <w:rsid w:val="4DC28C03"/>
    <w:rsid w:val="4DC636A2"/>
    <w:rsid w:val="4DC779ED"/>
    <w:rsid w:val="4DC92DA6"/>
    <w:rsid w:val="4DCB76E9"/>
    <w:rsid w:val="4DCE6936"/>
    <w:rsid w:val="4DD1F363"/>
    <w:rsid w:val="4DD43067"/>
    <w:rsid w:val="4DD7B02C"/>
    <w:rsid w:val="4DD8E4F9"/>
    <w:rsid w:val="4DD9268E"/>
    <w:rsid w:val="4DDDCC4F"/>
    <w:rsid w:val="4DE5563C"/>
    <w:rsid w:val="4DE59CE1"/>
    <w:rsid w:val="4DE7D296"/>
    <w:rsid w:val="4DED4E53"/>
    <w:rsid w:val="4DEFB991"/>
    <w:rsid w:val="4DF1F2D0"/>
    <w:rsid w:val="4DF9CE68"/>
    <w:rsid w:val="4DF9E21B"/>
    <w:rsid w:val="4DFC352B"/>
    <w:rsid w:val="4E02E10A"/>
    <w:rsid w:val="4E02EBB8"/>
    <w:rsid w:val="4E061C45"/>
    <w:rsid w:val="4E064EB5"/>
    <w:rsid w:val="4E07B6FD"/>
    <w:rsid w:val="4E0C7AF4"/>
    <w:rsid w:val="4E10B86F"/>
    <w:rsid w:val="4E16B006"/>
    <w:rsid w:val="4E1B6D26"/>
    <w:rsid w:val="4E1CA80D"/>
    <w:rsid w:val="4E1ECD17"/>
    <w:rsid w:val="4E244D29"/>
    <w:rsid w:val="4E25DAF8"/>
    <w:rsid w:val="4E27A3A8"/>
    <w:rsid w:val="4E295879"/>
    <w:rsid w:val="4E2B7C57"/>
    <w:rsid w:val="4E2D5A3F"/>
    <w:rsid w:val="4E2D9D55"/>
    <w:rsid w:val="4E2DBBD3"/>
    <w:rsid w:val="4E2F948C"/>
    <w:rsid w:val="4E2F9E94"/>
    <w:rsid w:val="4E2FAECE"/>
    <w:rsid w:val="4E328ED1"/>
    <w:rsid w:val="4E360D18"/>
    <w:rsid w:val="4E38138F"/>
    <w:rsid w:val="4E3AD7E7"/>
    <w:rsid w:val="4E40A619"/>
    <w:rsid w:val="4E433C78"/>
    <w:rsid w:val="4E43A84B"/>
    <w:rsid w:val="4E4570D3"/>
    <w:rsid w:val="4E47B2D3"/>
    <w:rsid w:val="4E4FDB38"/>
    <w:rsid w:val="4E56AB7D"/>
    <w:rsid w:val="4E576FA1"/>
    <w:rsid w:val="4E582A63"/>
    <w:rsid w:val="4E5E65AC"/>
    <w:rsid w:val="4E5F4A08"/>
    <w:rsid w:val="4E6065F7"/>
    <w:rsid w:val="4E614623"/>
    <w:rsid w:val="4E639BC9"/>
    <w:rsid w:val="4E715644"/>
    <w:rsid w:val="4E7170EA"/>
    <w:rsid w:val="4E717466"/>
    <w:rsid w:val="4E72D292"/>
    <w:rsid w:val="4E762D06"/>
    <w:rsid w:val="4E76CBEF"/>
    <w:rsid w:val="4E7CA929"/>
    <w:rsid w:val="4E7E3553"/>
    <w:rsid w:val="4E8260E3"/>
    <w:rsid w:val="4E83E75B"/>
    <w:rsid w:val="4E84AED9"/>
    <w:rsid w:val="4E8AE55C"/>
    <w:rsid w:val="4E8C8DE6"/>
    <w:rsid w:val="4E8CBE49"/>
    <w:rsid w:val="4E8CF8C7"/>
    <w:rsid w:val="4E8EF116"/>
    <w:rsid w:val="4E92450C"/>
    <w:rsid w:val="4E92C8B7"/>
    <w:rsid w:val="4E96867C"/>
    <w:rsid w:val="4E97B265"/>
    <w:rsid w:val="4E991036"/>
    <w:rsid w:val="4E9995A3"/>
    <w:rsid w:val="4E9A382C"/>
    <w:rsid w:val="4E9AFDE8"/>
    <w:rsid w:val="4E9B0B43"/>
    <w:rsid w:val="4E9B9714"/>
    <w:rsid w:val="4E9D2074"/>
    <w:rsid w:val="4E9DB376"/>
    <w:rsid w:val="4EA07525"/>
    <w:rsid w:val="4EA09905"/>
    <w:rsid w:val="4EA42BDE"/>
    <w:rsid w:val="4EA63292"/>
    <w:rsid w:val="4EA660FF"/>
    <w:rsid w:val="4EB13BD9"/>
    <w:rsid w:val="4EB2A76B"/>
    <w:rsid w:val="4EB584FB"/>
    <w:rsid w:val="4EBA17D8"/>
    <w:rsid w:val="4EBB5094"/>
    <w:rsid w:val="4EC25DEA"/>
    <w:rsid w:val="4EC37530"/>
    <w:rsid w:val="4EC3983C"/>
    <w:rsid w:val="4ECC4E8B"/>
    <w:rsid w:val="4ECE439C"/>
    <w:rsid w:val="4ECE4497"/>
    <w:rsid w:val="4ED143CD"/>
    <w:rsid w:val="4ED7ABA8"/>
    <w:rsid w:val="4ED7F1CF"/>
    <w:rsid w:val="4EDADFCD"/>
    <w:rsid w:val="4EDEA41A"/>
    <w:rsid w:val="4EDF8DB3"/>
    <w:rsid w:val="4EE66E55"/>
    <w:rsid w:val="4EE959E6"/>
    <w:rsid w:val="4EEA02B0"/>
    <w:rsid w:val="4EF11670"/>
    <w:rsid w:val="4EF27514"/>
    <w:rsid w:val="4EF48894"/>
    <w:rsid w:val="4EF9F80E"/>
    <w:rsid w:val="4F014F65"/>
    <w:rsid w:val="4F01EF26"/>
    <w:rsid w:val="4F069F41"/>
    <w:rsid w:val="4F09B9FC"/>
    <w:rsid w:val="4F0E81CD"/>
    <w:rsid w:val="4F11647E"/>
    <w:rsid w:val="4F159B2C"/>
    <w:rsid w:val="4F15C0A4"/>
    <w:rsid w:val="4F1741EE"/>
    <w:rsid w:val="4F19C66C"/>
    <w:rsid w:val="4F2427B2"/>
    <w:rsid w:val="4F24DB04"/>
    <w:rsid w:val="4F2E71A5"/>
    <w:rsid w:val="4F2F7B1C"/>
    <w:rsid w:val="4F313487"/>
    <w:rsid w:val="4F35B904"/>
    <w:rsid w:val="4F38BC42"/>
    <w:rsid w:val="4F38C623"/>
    <w:rsid w:val="4F41C439"/>
    <w:rsid w:val="4F456321"/>
    <w:rsid w:val="4F45E46E"/>
    <w:rsid w:val="4F471DEB"/>
    <w:rsid w:val="4F4F3889"/>
    <w:rsid w:val="4F534594"/>
    <w:rsid w:val="4F5887ED"/>
    <w:rsid w:val="4F595F48"/>
    <w:rsid w:val="4F5BB83C"/>
    <w:rsid w:val="4F5E6957"/>
    <w:rsid w:val="4F5FF73F"/>
    <w:rsid w:val="4F6490F9"/>
    <w:rsid w:val="4F690139"/>
    <w:rsid w:val="4F70D058"/>
    <w:rsid w:val="4F73EABF"/>
    <w:rsid w:val="4F746786"/>
    <w:rsid w:val="4F74F10F"/>
    <w:rsid w:val="4F794FB8"/>
    <w:rsid w:val="4F7C6D39"/>
    <w:rsid w:val="4F7CB930"/>
    <w:rsid w:val="4F7D1EFC"/>
    <w:rsid w:val="4F7D3B4C"/>
    <w:rsid w:val="4F894563"/>
    <w:rsid w:val="4F8CAD43"/>
    <w:rsid w:val="4F8E9282"/>
    <w:rsid w:val="4F904252"/>
    <w:rsid w:val="4F916B48"/>
    <w:rsid w:val="4F92AB60"/>
    <w:rsid w:val="4F984E36"/>
    <w:rsid w:val="4FA28D3E"/>
    <w:rsid w:val="4FA2A46E"/>
    <w:rsid w:val="4FA560E4"/>
    <w:rsid w:val="4FA5B62E"/>
    <w:rsid w:val="4FAA4E54"/>
    <w:rsid w:val="4FAB1B79"/>
    <w:rsid w:val="4FAC9A77"/>
    <w:rsid w:val="4FACB01E"/>
    <w:rsid w:val="4FAF3E38"/>
    <w:rsid w:val="4FAF3F06"/>
    <w:rsid w:val="4FB20A57"/>
    <w:rsid w:val="4FB4CF97"/>
    <w:rsid w:val="4FB58A1F"/>
    <w:rsid w:val="4FB65428"/>
    <w:rsid w:val="4FB81AB2"/>
    <w:rsid w:val="4FB8C511"/>
    <w:rsid w:val="4FB9842B"/>
    <w:rsid w:val="4FB9AC5A"/>
    <w:rsid w:val="4FBA1597"/>
    <w:rsid w:val="4FBA1A0D"/>
    <w:rsid w:val="4FC0865B"/>
    <w:rsid w:val="4FC6E164"/>
    <w:rsid w:val="4FCA7E09"/>
    <w:rsid w:val="4FD08BF5"/>
    <w:rsid w:val="4FD1524C"/>
    <w:rsid w:val="4FD90962"/>
    <w:rsid w:val="4FDA7D8B"/>
    <w:rsid w:val="4FDB63D8"/>
    <w:rsid w:val="4FDEDEE6"/>
    <w:rsid w:val="4FDF8160"/>
    <w:rsid w:val="4FE06699"/>
    <w:rsid w:val="4FE08A1E"/>
    <w:rsid w:val="4FE42015"/>
    <w:rsid w:val="4FE5C3CE"/>
    <w:rsid w:val="4FE6EC0C"/>
    <w:rsid w:val="4FEDC3C0"/>
    <w:rsid w:val="4FEEE8FD"/>
    <w:rsid w:val="4FEFC0F2"/>
    <w:rsid w:val="4FF2EA28"/>
    <w:rsid w:val="4FF78C10"/>
    <w:rsid w:val="4FF7A848"/>
    <w:rsid w:val="4FFAECAE"/>
    <w:rsid w:val="4FFB66B7"/>
    <w:rsid w:val="4FFB752E"/>
    <w:rsid w:val="50020903"/>
    <w:rsid w:val="5004F4A5"/>
    <w:rsid w:val="50056DB8"/>
    <w:rsid w:val="5006995A"/>
    <w:rsid w:val="50091C36"/>
    <w:rsid w:val="500CD1E7"/>
    <w:rsid w:val="500CDB36"/>
    <w:rsid w:val="500F61E6"/>
    <w:rsid w:val="500F9084"/>
    <w:rsid w:val="500FD9D1"/>
    <w:rsid w:val="50125C5C"/>
    <w:rsid w:val="5016FE16"/>
    <w:rsid w:val="5018CBEB"/>
    <w:rsid w:val="501A10F8"/>
    <w:rsid w:val="501A13EC"/>
    <w:rsid w:val="501AB768"/>
    <w:rsid w:val="501ABD3A"/>
    <w:rsid w:val="501C0DD0"/>
    <w:rsid w:val="5021B113"/>
    <w:rsid w:val="50236EF1"/>
    <w:rsid w:val="50257A33"/>
    <w:rsid w:val="50261059"/>
    <w:rsid w:val="5027BE8C"/>
    <w:rsid w:val="5029F5C0"/>
    <w:rsid w:val="502AEC6D"/>
    <w:rsid w:val="502AFA4F"/>
    <w:rsid w:val="503097E3"/>
    <w:rsid w:val="503408E5"/>
    <w:rsid w:val="50365E31"/>
    <w:rsid w:val="50379D92"/>
    <w:rsid w:val="5041F024"/>
    <w:rsid w:val="5042277C"/>
    <w:rsid w:val="5042CBA6"/>
    <w:rsid w:val="50430FF3"/>
    <w:rsid w:val="50468599"/>
    <w:rsid w:val="50472A2E"/>
    <w:rsid w:val="504826DE"/>
    <w:rsid w:val="504AAA45"/>
    <w:rsid w:val="504BF688"/>
    <w:rsid w:val="504CED5B"/>
    <w:rsid w:val="505235FA"/>
    <w:rsid w:val="50559DD8"/>
    <w:rsid w:val="505903C4"/>
    <w:rsid w:val="505DA3D1"/>
    <w:rsid w:val="505E9601"/>
    <w:rsid w:val="505FFC65"/>
    <w:rsid w:val="506059C6"/>
    <w:rsid w:val="5060D147"/>
    <w:rsid w:val="50668E39"/>
    <w:rsid w:val="5069EA0B"/>
    <w:rsid w:val="506BC047"/>
    <w:rsid w:val="50732EE2"/>
    <w:rsid w:val="5074B99F"/>
    <w:rsid w:val="5075AB53"/>
    <w:rsid w:val="5076DADD"/>
    <w:rsid w:val="507CAD0F"/>
    <w:rsid w:val="50807004"/>
    <w:rsid w:val="5080CD62"/>
    <w:rsid w:val="5082D400"/>
    <w:rsid w:val="50872DC5"/>
    <w:rsid w:val="5087E3C2"/>
    <w:rsid w:val="5089A39B"/>
    <w:rsid w:val="50915AAA"/>
    <w:rsid w:val="509264D5"/>
    <w:rsid w:val="50970D5E"/>
    <w:rsid w:val="5097B8B0"/>
    <w:rsid w:val="509AE817"/>
    <w:rsid w:val="509AE9EF"/>
    <w:rsid w:val="509B2B5C"/>
    <w:rsid w:val="509C6A6C"/>
    <w:rsid w:val="50A2BDC4"/>
    <w:rsid w:val="50A5323F"/>
    <w:rsid w:val="50A5527C"/>
    <w:rsid w:val="50A5534F"/>
    <w:rsid w:val="50A7F950"/>
    <w:rsid w:val="50AB949A"/>
    <w:rsid w:val="50AF3EE5"/>
    <w:rsid w:val="50AFA282"/>
    <w:rsid w:val="50B34D2F"/>
    <w:rsid w:val="50B39979"/>
    <w:rsid w:val="50B8E6DF"/>
    <w:rsid w:val="50B8FE1A"/>
    <w:rsid w:val="50C0625E"/>
    <w:rsid w:val="50C3F964"/>
    <w:rsid w:val="50C41707"/>
    <w:rsid w:val="50C42387"/>
    <w:rsid w:val="50C441EB"/>
    <w:rsid w:val="50C83646"/>
    <w:rsid w:val="50C84129"/>
    <w:rsid w:val="50CE18C0"/>
    <w:rsid w:val="50D075B2"/>
    <w:rsid w:val="50D1DE28"/>
    <w:rsid w:val="50D48D87"/>
    <w:rsid w:val="50D739E8"/>
    <w:rsid w:val="50D97F88"/>
    <w:rsid w:val="50DBC195"/>
    <w:rsid w:val="50DC0374"/>
    <w:rsid w:val="50DC61CC"/>
    <w:rsid w:val="50E03268"/>
    <w:rsid w:val="50E4B72F"/>
    <w:rsid w:val="50EAD00E"/>
    <w:rsid w:val="50EECD0B"/>
    <w:rsid w:val="50F64624"/>
    <w:rsid w:val="50FAB9CD"/>
    <w:rsid w:val="50FD10C3"/>
    <w:rsid w:val="50FE84BC"/>
    <w:rsid w:val="50FEFB81"/>
    <w:rsid w:val="50FFEE1B"/>
    <w:rsid w:val="510204B4"/>
    <w:rsid w:val="510218F1"/>
    <w:rsid w:val="5102E1E8"/>
    <w:rsid w:val="51065916"/>
    <w:rsid w:val="51081EB2"/>
    <w:rsid w:val="510C3738"/>
    <w:rsid w:val="510EB8BC"/>
    <w:rsid w:val="510FF4EA"/>
    <w:rsid w:val="51120B45"/>
    <w:rsid w:val="51196EFC"/>
    <w:rsid w:val="511AB8E4"/>
    <w:rsid w:val="511BA92D"/>
    <w:rsid w:val="511BAB3A"/>
    <w:rsid w:val="511C2D59"/>
    <w:rsid w:val="511E5602"/>
    <w:rsid w:val="511FF1AE"/>
    <w:rsid w:val="5120C266"/>
    <w:rsid w:val="512651AF"/>
    <w:rsid w:val="5127E871"/>
    <w:rsid w:val="512A9D4D"/>
    <w:rsid w:val="512B972D"/>
    <w:rsid w:val="512BDA71"/>
    <w:rsid w:val="512DF184"/>
    <w:rsid w:val="5130A2F7"/>
    <w:rsid w:val="5130EB15"/>
    <w:rsid w:val="513B60C1"/>
    <w:rsid w:val="5145B9B8"/>
    <w:rsid w:val="5145EAF8"/>
    <w:rsid w:val="51480F9B"/>
    <w:rsid w:val="5148AF33"/>
    <w:rsid w:val="51498A99"/>
    <w:rsid w:val="514BFD53"/>
    <w:rsid w:val="514F5F89"/>
    <w:rsid w:val="515006BE"/>
    <w:rsid w:val="51516C19"/>
    <w:rsid w:val="51536969"/>
    <w:rsid w:val="51551E0C"/>
    <w:rsid w:val="51599CBB"/>
    <w:rsid w:val="5166C9B4"/>
    <w:rsid w:val="51675904"/>
    <w:rsid w:val="5169E1CE"/>
    <w:rsid w:val="516F5405"/>
    <w:rsid w:val="51704F4B"/>
    <w:rsid w:val="5171CEDD"/>
    <w:rsid w:val="517566D3"/>
    <w:rsid w:val="5176E23D"/>
    <w:rsid w:val="5177A983"/>
    <w:rsid w:val="51789882"/>
    <w:rsid w:val="5178B1A8"/>
    <w:rsid w:val="517C0F68"/>
    <w:rsid w:val="5183901E"/>
    <w:rsid w:val="5184A0D9"/>
    <w:rsid w:val="5187529B"/>
    <w:rsid w:val="518A42F7"/>
    <w:rsid w:val="518FE747"/>
    <w:rsid w:val="5192EF19"/>
    <w:rsid w:val="519BCC7A"/>
    <w:rsid w:val="519C0C42"/>
    <w:rsid w:val="519D0C63"/>
    <w:rsid w:val="51A0C4DC"/>
    <w:rsid w:val="51A0EBB9"/>
    <w:rsid w:val="51A4BE8A"/>
    <w:rsid w:val="51A7A462"/>
    <w:rsid w:val="51AE9758"/>
    <w:rsid w:val="51AF4294"/>
    <w:rsid w:val="51AF9812"/>
    <w:rsid w:val="51B1F483"/>
    <w:rsid w:val="51B4DE0C"/>
    <w:rsid w:val="51B6B0E4"/>
    <w:rsid w:val="51BA8824"/>
    <w:rsid w:val="51C52FD3"/>
    <w:rsid w:val="51C836E6"/>
    <w:rsid w:val="51CA2595"/>
    <w:rsid w:val="51D2BFF0"/>
    <w:rsid w:val="51DA0B37"/>
    <w:rsid w:val="51DA16CF"/>
    <w:rsid w:val="51DF3FE5"/>
    <w:rsid w:val="51E0F045"/>
    <w:rsid w:val="51E53851"/>
    <w:rsid w:val="51E6E7F9"/>
    <w:rsid w:val="51E95121"/>
    <w:rsid w:val="51EC41AC"/>
    <w:rsid w:val="51F2564F"/>
    <w:rsid w:val="51F38C3B"/>
    <w:rsid w:val="51F44144"/>
    <w:rsid w:val="51F870C4"/>
    <w:rsid w:val="51FB85A1"/>
    <w:rsid w:val="51FC4BAA"/>
    <w:rsid w:val="51FD9D20"/>
    <w:rsid w:val="51FED375"/>
    <w:rsid w:val="520153A4"/>
    <w:rsid w:val="5206E24D"/>
    <w:rsid w:val="5209C5CA"/>
    <w:rsid w:val="5209CB56"/>
    <w:rsid w:val="520EBDA6"/>
    <w:rsid w:val="520EED0E"/>
    <w:rsid w:val="521210D8"/>
    <w:rsid w:val="52167A29"/>
    <w:rsid w:val="52182320"/>
    <w:rsid w:val="52186707"/>
    <w:rsid w:val="521AFA2D"/>
    <w:rsid w:val="521D8AC5"/>
    <w:rsid w:val="521DFD97"/>
    <w:rsid w:val="521E1782"/>
    <w:rsid w:val="521F6D05"/>
    <w:rsid w:val="52213A51"/>
    <w:rsid w:val="52218FD0"/>
    <w:rsid w:val="5223E7D9"/>
    <w:rsid w:val="522484FD"/>
    <w:rsid w:val="52275B2E"/>
    <w:rsid w:val="522F405E"/>
    <w:rsid w:val="52324370"/>
    <w:rsid w:val="5235EFC7"/>
    <w:rsid w:val="523977EC"/>
    <w:rsid w:val="523B658F"/>
    <w:rsid w:val="523C12A9"/>
    <w:rsid w:val="523E61EB"/>
    <w:rsid w:val="52423F91"/>
    <w:rsid w:val="5244D096"/>
    <w:rsid w:val="5245C0B6"/>
    <w:rsid w:val="5247439B"/>
    <w:rsid w:val="5248898A"/>
    <w:rsid w:val="524D96CD"/>
    <w:rsid w:val="524FDBFC"/>
    <w:rsid w:val="52519330"/>
    <w:rsid w:val="5252E0D1"/>
    <w:rsid w:val="52578785"/>
    <w:rsid w:val="525C044D"/>
    <w:rsid w:val="525D8FA8"/>
    <w:rsid w:val="525EC4D0"/>
    <w:rsid w:val="526152C4"/>
    <w:rsid w:val="5263B5B0"/>
    <w:rsid w:val="5264B9FD"/>
    <w:rsid w:val="5268CA2F"/>
    <w:rsid w:val="526A2864"/>
    <w:rsid w:val="526F4442"/>
    <w:rsid w:val="5271293C"/>
    <w:rsid w:val="527510CD"/>
    <w:rsid w:val="527E7698"/>
    <w:rsid w:val="5283082A"/>
    <w:rsid w:val="528784B0"/>
    <w:rsid w:val="52891DBD"/>
    <w:rsid w:val="529146D8"/>
    <w:rsid w:val="5292ABB7"/>
    <w:rsid w:val="52935910"/>
    <w:rsid w:val="5293A3B9"/>
    <w:rsid w:val="52951618"/>
    <w:rsid w:val="5295CFAC"/>
    <w:rsid w:val="52960240"/>
    <w:rsid w:val="52964205"/>
    <w:rsid w:val="529FA375"/>
    <w:rsid w:val="52A16337"/>
    <w:rsid w:val="52A5598A"/>
    <w:rsid w:val="52A6230F"/>
    <w:rsid w:val="52AB00CF"/>
    <w:rsid w:val="52AC276C"/>
    <w:rsid w:val="52AC6C41"/>
    <w:rsid w:val="52AF0B9E"/>
    <w:rsid w:val="52B05BF2"/>
    <w:rsid w:val="52B5FD20"/>
    <w:rsid w:val="52B616E8"/>
    <w:rsid w:val="52BA892A"/>
    <w:rsid w:val="52BC546B"/>
    <w:rsid w:val="52BCD774"/>
    <w:rsid w:val="52BD4F7F"/>
    <w:rsid w:val="52C03D20"/>
    <w:rsid w:val="52C11B12"/>
    <w:rsid w:val="52C30822"/>
    <w:rsid w:val="52C34F12"/>
    <w:rsid w:val="52C6D0AC"/>
    <w:rsid w:val="52C8C68F"/>
    <w:rsid w:val="52C9F3D1"/>
    <w:rsid w:val="52CF7C8A"/>
    <w:rsid w:val="52D78EAF"/>
    <w:rsid w:val="52D8077A"/>
    <w:rsid w:val="52DAA7AE"/>
    <w:rsid w:val="52E15D98"/>
    <w:rsid w:val="52E39C42"/>
    <w:rsid w:val="52E4280F"/>
    <w:rsid w:val="52E92623"/>
    <w:rsid w:val="52E966F6"/>
    <w:rsid w:val="52F345E0"/>
    <w:rsid w:val="52F53D9B"/>
    <w:rsid w:val="52F75642"/>
    <w:rsid w:val="52F90812"/>
    <w:rsid w:val="52FC7AF0"/>
    <w:rsid w:val="53000FA1"/>
    <w:rsid w:val="5301FB62"/>
    <w:rsid w:val="5304A328"/>
    <w:rsid w:val="5308C01F"/>
    <w:rsid w:val="530E0955"/>
    <w:rsid w:val="5311E746"/>
    <w:rsid w:val="53123DBB"/>
    <w:rsid w:val="5314BF70"/>
    <w:rsid w:val="53157427"/>
    <w:rsid w:val="5315B1E6"/>
    <w:rsid w:val="53170BCA"/>
    <w:rsid w:val="5320FF07"/>
    <w:rsid w:val="53236B01"/>
    <w:rsid w:val="5324AB1C"/>
    <w:rsid w:val="53263C88"/>
    <w:rsid w:val="53293AEA"/>
    <w:rsid w:val="532C10E9"/>
    <w:rsid w:val="532D7AE6"/>
    <w:rsid w:val="533479AE"/>
    <w:rsid w:val="53373A62"/>
    <w:rsid w:val="53383048"/>
    <w:rsid w:val="5338B60F"/>
    <w:rsid w:val="533D92B2"/>
    <w:rsid w:val="53404C2A"/>
    <w:rsid w:val="53451E77"/>
    <w:rsid w:val="534A2AFE"/>
    <w:rsid w:val="534A702E"/>
    <w:rsid w:val="534B217E"/>
    <w:rsid w:val="534B4FEA"/>
    <w:rsid w:val="53531E40"/>
    <w:rsid w:val="53533831"/>
    <w:rsid w:val="5354F209"/>
    <w:rsid w:val="53558807"/>
    <w:rsid w:val="53559646"/>
    <w:rsid w:val="535607D0"/>
    <w:rsid w:val="535749F3"/>
    <w:rsid w:val="535A1F3B"/>
    <w:rsid w:val="535AB4F3"/>
    <w:rsid w:val="535B53A3"/>
    <w:rsid w:val="535BAA82"/>
    <w:rsid w:val="535BEA52"/>
    <w:rsid w:val="535C54F6"/>
    <w:rsid w:val="535F3AFA"/>
    <w:rsid w:val="5361F55B"/>
    <w:rsid w:val="53627A8A"/>
    <w:rsid w:val="5362D897"/>
    <w:rsid w:val="5362EFE9"/>
    <w:rsid w:val="53637AEC"/>
    <w:rsid w:val="5363D353"/>
    <w:rsid w:val="5365F129"/>
    <w:rsid w:val="5372CD36"/>
    <w:rsid w:val="5374B35B"/>
    <w:rsid w:val="5381E063"/>
    <w:rsid w:val="5382BEEF"/>
    <w:rsid w:val="53845046"/>
    <w:rsid w:val="5384550D"/>
    <w:rsid w:val="53860BAF"/>
    <w:rsid w:val="53865072"/>
    <w:rsid w:val="5387D896"/>
    <w:rsid w:val="538A2F2B"/>
    <w:rsid w:val="538B5DEC"/>
    <w:rsid w:val="538FA656"/>
    <w:rsid w:val="539018B1"/>
    <w:rsid w:val="53902550"/>
    <w:rsid w:val="539035B0"/>
    <w:rsid w:val="539142C5"/>
    <w:rsid w:val="53915292"/>
    <w:rsid w:val="5391543D"/>
    <w:rsid w:val="53956966"/>
    <w:rsid w:val="5396C2F1"/>
    <w:rsid w:val="539A73D8"/>
    <w:rsid w:val="539B028F"/>
    <w:rsid w:val="539BEE30"/>
    <w:rsid w:val="539D0FD1"/>
    <w:rsid w:val="539E8814"/>
    <w:rsid w:val="539EA93F"/>
    <w:rsid w:val="539F24F7"/>
    <w:rsid w:val="53A1E8B8"/>
    <w:rsid w:val="53AD7432"/>
    <w:rsid w:val="53ADBC34"/>
    <w:rsid w:val="53ADDA6E"/>
    <w:rsid w:val="53B0AD95"/>
    <w:rsid w:val="53B0D170"/>
    <w:rsid w:val="53B121AC"/>
    <w:rsid w:val="53B183DB"/>
    <w:rsid w:val="53B2BB6A"/>
    <w:rsid w:val="53B4CDC1"/>
    <w:rsid w:val="53BA5317"/>
    <w:rsid w:val="53BC78D5"/>
    <w:rsid w:val="53BCFDAC"/>
    <w:rsid w:val="53BFBE78"/>
    <w:rsid w:val="53C0928F"/>
    <w:rsid w:val="53C14BD1"/>
    <w:rsid w:val="53C22DAF"/>
    <w:rsid w:val="53C40CCC"/>
    <w:rsid w:val="53C57866"/>
    <w:rsid w:val="53C64C0C"/>
    <w:rsid w:val="53C85053"/>
    <w:rsid w:val="53CA59B5"/>
    <w:rsid w:val="53CEA86B"/>
    <w:rsid w:val="53D453DA"/>
    <w:rsid w:val="53D4BA4E"/>
    <w:rsid w:val="53DAB88E"/>
    <w:rsid w:val="53DB887A"/>
    <w:rsid w:val="53DBD25B"/>
    <w:rsid w:val="53DEDB6D"/>
    <w:rsid w:val="53DF64D2"/>
    <w:rsid w:val="53E0287D"/>
    <w:rsid w:val="53E307AF"/>
    <w:rsid w:val="53E37203"/>
    <w:rsid w:val="53EA0105"/>
    <w:rsid w:val="53EAC75C"/>
    <w:rsid w:val="53EB6CCF"/>
    <w:rsid w:val="53ED2854"/>
    <w:rsid w:val="53EE0CD6"/>
    <w:rsid w:val="53EE19F1"/>
    <w:rsid w:val="53F18491"/>
    <w:rsid w:val="53F21C80"/>
    <w:rsid w:val="53F6B7D6"/>
    <w:rsid w:val="53F6B8E9"/>
    <w:rsid w:val="53FD5191"/>
    <w:rsid w:val="53FEA643"/>
    <w:rsid w:val="5403B278"/>
    <w:rsid w:val="5407FC81"/>
    <w:rsid w:val="5408C38E"/>
    <w:rsid w:val="540A6BE8"/>
    <w:rsid w:val="540AA2D0"/>
    <w:rsid w:val="540D9F6D"/>
    <w:rsid w:val="540FEC97"/>
    <w:rsid w:val="5412FA82"/>
    <w:rsid w:val="5414999A"/>
    <w:rsid w:val="5417F44F"/>
    <w:rsid w:val="541932BA"/>
    <w:rsid w:val="541B0D9F"/>
    <w:rsid w:val="541BF759"/>
    <w:rsid w:val="541CF9ED"/>
    <w:rsid w:val="541F6241"/>
    <w:rsid w:val="5421584B"/>
    <w:rsid w:val="54220257"/>
    <w:rsid w:val="54231243"/>
    <w:rsid w:val="54247034"/>
    <w:rsid w:val="54258F51"/>
    <w:rsid w:val="5425E185"/>
    <w:rsid w:val="5426F81F"/>
    <w:rsid w:val="5429B6EB"/>
    <w:rsid w:val="542B1A81"/>
    <w:rsid w:val="542E145E"/>
    <w:rsid w:val="542F295F"/>
    <w:rsid w:val="543289D8"/>
    <w:rsid w:val="54352A53"/>
    <w:rsid w:val="5435431F"/>
    <w:rsid w:val="5435F2D3"/>
    <w:rsid w:val="543601E4"/>
    <w:rsid w:val="5438F37A"/>
    <w:rsid w:val="543C225D"/>
    <w:rsid w:val="5440367D"/>
    <w:rsid w:val="5440E3C7"/>
    <w:rsid w:val="54415D4E"/>
    <w:rsid w:val="5442239D"/>
    <w:rsid w:val="5445C43D"/>
    <w:rsid w:val="54492048"/>
    <w:rsid w:val="544B4A8C"/>
    <w:rsid w:val="544D45B8"/>
    <w:rsid w:val="544E8BF5"/>
    <w:rsid w:val="544EE47B"/>
    <w:rsid w:val="5456CA12"/>
    <w:rsid w:val="545BF53B"/>
    <w:rsid w:val="545BF5D7"/>
    <w:rsid w:val="545C230A"/>
    <w:rsid w:val="545E18BD"/>
    <w:rsid w:val="5466C3D7"/>
    <w:rsid w:val="546911C9"/>
    <w:rsid w:val="546A9AF6"/>
    <w:rsid w:val="546C5945"/>
    <w:rsid w:val="546D948F"/>
    <w:rsid w:val="546D9C0A"/>
    <w:rsid w:val="5470A58C"/>
    <w:rsid w:val="547117BA"/>
    <w:rsid w:val="5471830B"/>
    <w:rsid w:val="54762363"/>
    <w:rsid w:val="5476CCA9"/>
    <w:rsid w:val="547A3D2C"/>
    <w:rsid w:val="5480A31B"/>
    <w:rsid w:val="54819A6A"/>
    <w:rsid w:val="54852405"/>
    <w:rsid w:val="5485EC0F"/>
    <w:rsid w:val="5487A8CF"/>
    <w:rsid w:val="5489F9E3"/>
    <w:rsid w:val="548F9483"/>
    <w:rsid w:val="54909E3E"/>
    <w:rsid w:val="5492D349"/>
    <w:rsid w:val="549506B4"/>
    <w:rsid w:val="54952E35"/>
    <w:rsid w:val="54986543"/>
    <w:rsid w:val="549D8637"/>
    <w:rsid w:val="549F0591"/>
    <w:rsid w:val="549F34BF"/>
    <w:rsid w:val="54A0B413"/>
    <w:rsid w:val="54A39A52"/>
    <w:rsid w:val="54A3E434"/>
    <w:rsid w:val="54A48C87"/>
    <w:rsid w:val="54A781EE"/>
    <w:rsid w:val="54A7B418"/>
    <w:rsid w:val="54ACA140"/>
    <w:rsid w:val="54AD6F52"/>
    <w:rsid w:val="54B7834B"/>
    <w:rsid w:val="54BCBCD7"/>
    <w:rsid w:val="54BEA2F6"/>
    <w:rsid w:val="54C30DD4"/>
    <w:rsid w:val="54C83C48"/>
    <w:rsid w:val="54C86B6E"/>
    <w:rsid w:val="54C9A5F3"/>
    <w:rsid w:val="54CA43DF"/>
    <w:rsid w:val="54CEE37D"/>
    <w:rsid w:val="54CEEE31"/>
    <w:rsid w:val="54D3ECF6"/>
    <w:rsid w:val="54D578DB"/>
    <w:rsid w:val="54D89FB6"/>
    <w:rsid w:val="54DCAE59"/>
    <w:rsid w:val="54E22942"/>
    <w:rsid w:val="54E71EB1"/>
    <w:rsid w:val="54E988C6"/>
    <w:rsid w:val="54EBF4DE"/>
    <w:rsid w:val="54F14AC2"/>
    <w:rsid w:val="54F7C694"/>
    <w:rsid w:val="550205DE"/>
    <w:rsid w:val="5502B25D"/>
    <w:rsid w:val="55071DDD"/>
    <w:rsid w:val="5507E20B"/>
    <w:rsid w:val="550804C3"/>
    <w:rsid w:val="5509154E"/>
    <w:rsid w:val="5509D2AD"/>
    <w:rsid w:val="550A725D"/>
    <w:rsid w:val="550A7680"/>
    <w:rsid w:val="550B6C54"/>
    <w:rsid w:val="550C4B9A"/>
    <w:rsid w:val="550F0132"/>
    <w:rsid w:val="5511239F"/>
    <w:rsid w:val="5516D722"/>
    <w:rsid w:val="5519C399"/>
    <w:rsid w:val="551AE3D0"/>
    <w:rsid w:val="551D9DF7"/>
    <w:rsid w:val="5520AE1B"/>
    <w:rsid w:val="55212C11"/>
    <w:rsid w:val="55222A32"/>
    <w:rsid w:val="5523B6CB"/>
    <w:rsid w:val="5524A4EF"/>
    <w:rsid w:val="5525014F"/>
    <w:rsid w:val="55250CB2"/>
    <w:rsid w:val="55252A09"/>
    <w:rsid w:val="5525F239"/>
    <w:rsid w:val="5526D699"/>
    <w:rsid w:val="5529E19D"/>
    <w:rsid w:val="552BA961"/>
    <w:rsid w:val="552E7467"/>
    <w:rsid w:val="55310FD8"/>
    <w:rsid w:val="55334E18"/>
    <w:rsid w:val="5534C952"/>
    <w:rsid w:val="55393175"/>
    <w:rsid w:val="553D6746"/>
    <w:rsid w:val="55431BC5"/>
    <w:rsid w:val="554558BD"/>
    <w:rsid w:val="55455CF3"/>
    <w:rsid w:val="554746CD"/>
    <w:rsid w:val="55482283"/>
    <w:rsid w:val="554A6220"/>
    <w:rsid w:val="554BCE97"/>
    <w:rsid w:val="554C1DB5"/>
    <w:rsid w:val="554FECE3"/>
    <w:rsid w:val="5553887C"/>
    <w:rsid w:val="55565DF8"/>
    <w:rsid w:val="55572AF3"/>
    <w:rsid w:val="5559BAEE"/>
    <w:rsid w:val="555C72A2"/>
    <w:rsid w:val="555D1690"/>
    <w:rsid w:val="555DD229"/>
    <w:rsid w:val="555FB3AF"/>
    <w:rsid w:val="556110B7"/>
    <w:rsid w:val="5561265C"/>
    <w:rsid w:val="556130CE"/>
    <w:rsid w:val="5562E504"/>
    <w:rsid w:val="5562F605"/>
    <w:rsid w:val="55631386"/>
    <w:rsid w:val="55635019"/>
    <w:rsid w:val="55660DE1"/>
    <w:rsid w:val="5566DC11"/>
    <w:rsid w:val="556AA86C"/>
    <w:rsid w:val="556C073F"/>
    <w:rsid w:val="556CD31A"/>
    <w:rsid w:val="556F2C1B"/>
    <w:rsid w:val="557399A7"/>
    <w:rsid w:val="5576F751"/>
    <w:rsid w:val="5579E93A"/>
    <w:rsid w:val="55802FD3"/>
    <w:rsid w:val="5584B2CA"/>
    <w:rsid w:val="55881E35"/>
    <w:rsid w:val="558B6736"/>
    <w:rsid w:val="558DDA8F"/>
    <w:rsid w:val="55920E40"/>
    <w:rsid w:val="5593A484"/>
    <w:rsid w:val="5593E6EC"/>
    <w:rsid w:val="55989B0C"/>
    <w:rsid w:val="55989BAE"/>
    <w:rsid w:val="5598BAA5"/>
    <w:rsid w:val="559BD25A"/>
    <w:rsid w:val="559DE0C6"/>
    <w:rsid w:val="559FF2EA"/>
    <w:rsid w:val="55A2B2A6"/>
    <w:rsid w:val="55A54FD8"/>
    <w:rsid w:val="55A9C8D8"/>
    <w:rsid w:val="55AB4889"/>
    <w:rsid w:val="55AE70F1"/>
    <w:rsid w:val="55AFA797"/>
    <w:rsid w:val="55B1208B"/>
    <w:rsid w:val="55B77745"/>
    <w:rsid w:val="55B7A712"/>
    <w:rsid w:val="55BAC8E3"/>
    <w:rsid w:val="55BAD882"/>
    <w:rsid w:val="55BF328B"/>
    <w:rsid w:val="55BF4A32"/>
    <w:rsid w:val="55C575DD"/>
    <w:rsid w:val="55C75753"/>
    <w:rsid w:val="55C7DE95"/>
    <w:rsid w:val="55CBCB42"/>
    <w:rsid w:val="55CDABBD"/>
    <w:rsid w:val="55CDFD20"/>
    <w:rsid w:val="55D01FAF"/>
    <w:rsid w:val="55D20318"/>
    <w:rsid w:val="55D320AE"/>
    <w:rsid w:val="55D7D356"/>
    <w:rsid w:val="55DB80D8"/>
    <w:rsid w:val="55DD051B"/>
    <w:rsid w:val="55E2AA05"/>
    <w:rsid w:val="55E46A7D"/>
    <w:rsid w:val="55EB050D"/>
    <w:rsid w:val="55EB85B8"/>
    <w:rsid w:val="55EF6E95"/>
    <w:rsid w:val="55F039CF"/>
    <w:rsid w:val="55F202FB"/>
    <w:rsid w:val="55F27E00"/>
    <w:rsid w:val="55F3A486"/>
    <w:rsid w:val="55F51659"/>
    <w:rsid w:val="55F5994F"/>
    <w:rsid w:val="55F8B389"/>
    <w:rsid w:val="55F9D17A"/>
    <w:rsid w:val="55F9EF7C"/>
    <w:rsid w:val="55FB1912"/>
    <w:rsid w:val="55FCE5AB"/>
    <w:rsid w:val="560088E2"/>
    <w:rsid w:val="56022DE3"/>
    <w:rsid w:val="560CCFBC"/>
    <w:rsid w:val="560DD0F1"/>
    <w:rsid w:val="561008A7"/>
    <w:rsid w:val="56110AAF"/>
    <w:rsid w:val="561561B5"/>
    <w:rsid w:val="56161FF6"/>
    <w:rsid w:val="56168106"/>
    <w:rsid w:val="561A83CC"/>
    <w:rsid w:val="561BE763"/>
    <w:rsid w:val="561DABD6"/>
    <w:rsid w:val="561E0458"/>
    <w:rsid w:val="56242B76"/>
    <w:rsid w:val="5627392C"/>
    <w:rsid w:val="5628D710"/>
    <w:rsid w:val="5637DC05"/>
    <w:rsid w:val="56399C5B"/>
    <w:rsid w:val="563D8618"/>
    <w:rsid w:val="563E04CA"/>
    <w:rsid w:val="5640B827"/>
    <w:rsid w:val="5642668F"/>
    <w:rsid w:val="5643366B"/>
    <w:rsid w:val="5643CCDF"/>
    <w:rsid w:val="5644343B"/>
    <w:rsid w:val="564F4A4D"/>
    <w:rsid w:val="564F83FD"/>
    <w:rsid w:val="565931FF"/>
    <w:rsid w:val="565D8D08"/>
    <w:rsid w:val="565E56AD"/>
    <w:rsid w:val="56616441"/>
    <w:rsid w:val="5662B7EF"/>
    <w:rsid w:val="5662F6EA"/>
    <w:rsid w:val="5669CB3C"/>
    <w:rsid w:val="566A9963"/>
    <w:rsid w:val="566D8E7F"/>
    <w:rsid w:val="5671307B"/>
    <w:rsid w:val="56739400"/>
    <w:rsid w:val="56743462"/>
    <w:rsid w:val="567664F4"/>
    <w:rsid w:val="5678E651"/>
    <w:rsid w:val="567FB6A5"/>
    <w:rsid w:val="568005BB"/>
    <w:rsid w:val="568300F9"/>
    <w:rsid w:val="5683AE9C"/>
    <w:rsid w:val="5689CC3F"/>
    <w:rsid w:val="568A9797"/>
    <w:rsid w:val="568AC3E0"/>
    <w:rsid w:val="568B1C1B"/>
    <w:rsid w:val="568E47C8"/>
    <w:rsid w:val="5690722A"/>
    <w:rsid w:val="56916FA8"/>
    <w:rsid w:val="5697A00D"/>
    <w:rsid w:val="569CC328"/>
    <w:rsid w:val="56A0E200"/>
    <w:rsid w:val="56A34367"/>
    <w:rsid w:val="56A52722"/>
    <w:rsid w:val="56AC6FF1"/>
    <w:rsid w:val="56AF5883"/>
    <w:rsid w:val="56B2A783"/>
    <w:rsid w:val="56B3A00B"/>
    <w:rsid w:val="56B81BEE"/>
    <w:rsid w:val="56BC0959"/>
    <w:rsid w:val="56BFC383"/>
    <w:rsid w:val="56C56015"/>
    <w:rsid w:val="56C62BB7"/>
    <w:rsid w:val="56C90FA5"/>
    <w:rsid w:val="56C97D93"/>
    <w:rsid w:val="56CBF634"/>
    <w:rsid w:val="56CC703A"/>
    <w:rsid w:val="56CCB83D"/>
    <w:rsid w:val="56CE5800"/>
    <w:rsid w:val="56CE842F"/>
    <w:rsid w:val="56D26F7D"/>
    <w:rsid w:val="56D46402"/>
    <w:rsid w:val="56D4DED5"/>
    <w:rsid w:val="56D5C148"/>
    <w:rsid w:val="56D5F7F7"/>
    <w:rsid w:val="56D75259"/>
    <w:rsid w:val="56D8FF94"/>
    <w:rsid w:val="56DD9762"/>
    <w:rsid w:val="56DF2659"/>
    <w:rsid w:val="56E15E83"/>
    <w:rsid w:val="56E286FD"/>
    <w:rsid w:val="56E40E40"/>
    <w:rsid w:val="56F474A0"/>
    <w:rsid w:val="56F642B5"/>
    <w:rsid w:val="56FF0C27"/>
    <w:rsid w:val="57001D8F"/>
    <w:rsid w:val="57008140"/>
    <w:rsid w:val="5702D84C"/>
    <w:rsid w:val="5702F35D"/>
    <w:rsid w:val="57040349"/>
    <w:rsid w:val="57040562"/>
    <w:rsid w:val="5706A365"/>
    <w:rsid w:val="57071CF2"/>
    <w:rsid w:val="5707ED1A"/>
    <w:rsid w:val="5709EF3E"/>
    <w:rsid w:val="570D0C9F"/>
    <w:rsid w:val="570DF247"/>
    <w:rsid w:val="5715042E"/>
    <w:rsid w:val="571D5EB1"/>
    <w:rsid w:val="571FC4A3"/>
    <w:rsid w:val="57207A95"/>
    <w:rsid w:val="5720BEAA"/>
    <w:rsid w:val="57219438"/>
    <w:rsid w:val="57239409"/>
    <w:rsid w:val="5724C1DF"/>
    <w:rsid w:val="5729A952"/>
    <w:rsid w:val="572C7F15"/>
    <w:rsid w:val="572DA7F1"/>
    <w:rsid w:val="572F6E40"/>
    <w:rsid w:val="5730457C"/>
    <w:rsid w:val="5733CB63"/>
    <w:rsid w:val="57347790"/>
    <w:rsid w:val="57397A03"/>
    <w:rsid w:val="573B1F4F"/>
    <w:rsid w:val="573EFFAE"/>
    <w:rsid w:val="573F2233"/>
    <w:rsid w:val="5742E342"/>
    <w:rsid w:val="57430721"/>
    <w:rsid w:val="57438639"/>
    <w:rsid w:val="574523E0"/>
    <w:rsid w:val="57460B18"/>
    <w:rsid w:val="57468187"/>
    <w:rsid w:val="57474841"/>
    <w:rsid w:val="57488380"/>
    <w:rsid w:val="574AAB00"/>
    <w:rsid w:val="574F0E6E"/>
    <w:rsid w:val="574FD25B"/>
    <w:rsid w:val="57584D90"/>
    <w:rsid w:val="575A41E8"/>
    <w:rsid w:val="575EBCB3"/>
    <w:rsid w:val="57612AFE"/>
    <w:rsid w:val="5761E755"/>
    <w:rsid w:val="576489A0"/>
    <w:rsid w:val="576716A5"/>
    <w:rsid w:val="57688B08"/>
    <w:rsid w:val="576A4CB3"/>
    <w:rsid w:val="576B9D33"/>
    <w:rsid w:val="576C2E17"/>
    <w:rsid w:val="5773E379"/>
    <w:rsid w:val="57742E41"/>
    <w:rsid w:val="5775A3B6"/>
    <w:rsid w:val="5779B592"/>
    <w:rsid w:val="577A2ABF"/>
    <w:rsid w:val="577F0B89"/>
    <w:rsid w:val="5781C47D"/>
    <w:rsid w:val="578331CB"/>
    <w:rsid w:val="57854230"/>
    <w:rsid w:val="578C8300"/>
    <w:rsid w:val="578D4370"/>
    <w:rsid w:val="578EBEBC"/>
    <w:rsid w:val="578F0E3F"/>
    <w:rsid w:val="579084B7"/>
    <w:rsid w:val="5794B0F2"/>
    <w:rsid w:val="57952D57"/>
    <w:rsid w:val="579681F3"/>
    <w:rsid w:val="57989327"/>
    <w:rsid w:val="5799DAB4"/>
    <w:rsid w:val="579AF6C6"/>
    <w:rsid w:val="579D66A2"/>
    <w:rsid w:val="579DC799"/>
    <w:rsid w:val="579DEB00"/>
    <w:rsid w:val="579FE75C"/>
    <w:rsid w:val="57A08429"/>
    <w:rsid w:val="57A104D7"/>
    <w:rsid w:val="57A294A1"/>
    <w:rsid w:val="57A5F218"/>
    <w:rsid w:val="57A6816D"/>
    <w:rsid w:val="57A7F148"/>
    <w:rsid w:val="57A9E1EC"/>
    <w:rsid w:val="57AB7902"/>
    <w:rsid w:val="57ABECD9"/>
    <w:rsid w:val="57AE3FB3"/>
    <w:rsid w:val="57B17D99"/>
    <w:rsid w:val="57B21848"/>
    <w:rsid w:val="57B3D774"/>
    <w:rsid w:val="57B7C35B"/>
    <w:rsid w:val="57BCAFEC"/>
    <w:rsid w:val="57BF3392"/>
    <w:rsid w:val="57C28621"/>
    <w:rsid w:val="57C5C20A"/>
    <w:rsid w:val="57CEB1A9"/>
    <w:rsid w:val="57D5101F"/>
    <w:rsid w:val="57D513BA"/>
    <w:rsid w:val="57D69D9E"/>
    <w:rsid w:val="57D8EF20"/>
    <w:rsid w:val="57DC12A2"/>
    <w:rsid w:val="57DDF11A"/>
    <w:rsid w:val="57DE50B1"/>
    <w:rsid w:val="57E0A223"/>
    <w:rsid w:val="57E1392C"/>
    <w:rsid w:val="57E214CA"/>
    <w:rsid w:val="57E3F783"/>
    <w:rsid w:val="57E4C59C"/>
    <w:rsid w:val="57E5354E"/>
    <w:rsid w:val="57E7E85A"/>
    <w:rsid w:val="57E86C3C"/>
    <w:rsid w:val="57E86EDD"/>
    <w:rsid w:val="57E87A14"/>
    <w:rsid w:val="57EA73FC"/>
    <w:rsid w:val="57EC4623"/>
    <w:rsid w:val="57F1A317"/>
    <w:rsid w:val="57F70C96"/>
    <w:rsid w:val="57F726FA"/>
    <w:rsid w:val="57FBFBA8"/>
    <w:rsid w:val="57FD0292"/>
    <w:rsid w:val="5800B4D3"/>
    <w:rsid w:val="5801C2E9"/>
    <w:rsid w:val="5802A692"/>
    <w:rsid w:val="5803B377"/>
    <w:rsid w:val="580501F0"/>
    <w:rsid w:val="580517C2"/>
    <w:rsid w:val="58059870"/>
    <w:rsid w:val="580612C6"/>
    <w:rsid w:val="5807BA02"/>
    <w:rsid w:val="58091CFE"/>
    <w:rsid w:val="5809F590"/>
    <w:rsid w:val="58160126"/>
    <w:rsid w:val="5818602B"/>
    <w:rsid w:val="5818ABE7"/>
    <w:rsid w:val="581F2AD3"/>
    <w:rsid w:val="582082A0"/>
    <w:rsid w:val="5821A725"/>
    <w:rsid w:val="5826B693"/>
    <w:rsid w:val="58275338"/>
    <w:rsid w:val="58334640"/>
    <w:rsid w:val="58346DAB"/>
    <w:rsid w:val="58349DE0"/>
    <w:rsid w:val="58392CC4"/>
    <w:rsid w:val="583D1CA1"/>
    <w:rsid w:val="583D9F04"/>
    <w:rsid w:val="583DD245"/>
    <w:rsid w:val="583F80FD"/>
    <w:rsid w:val="583FC031"/>
    <w:rsid w:val="58427607"/>
    <w:rsid w:val="58427B4E"/>
    <w:rsid w:val="584579D1"/>
    <w:rsid w:val="5845D173"/>
    <w:rsid w:val="5846DB02"/>
    <w:rsid w:val="584DC71F"/>
    <w:rsid w:val="584F0C91"/>
    <w:rsid w:val="58529B31"/>
    <w:rsid w:val="58531BE4"/>
    <w:rsid w:val="5858EDC0"/>
    <w:rsid w:val="58592E7D"/>
    <w:rsid w:val="585935DC"/>
    <w:rsid w:val="58593F98"/>
    <w:rsid w:val="585C5773"/>
    <w:rsid w:val="585D171E"/>
    <w:rsid w:val="5860B4FE"/>
    <w:rsid w:val="5862B830"/>
    <w:rsid w:val="5862C4B9"/>
    <w:rsid w:val="58697E2D"/>
    <w:rsid w:val="586F37E2"/>
    <w:rsid w:val="58746D99"/>
    <w:rsid w:val="5875379C"/>
    <w:rsid w:val="587643D6"/>
    <w:rsid w:val="5877D3A9"/>
    <w:rsid w:val="58780637"/>
    <w:rsid w:val="58794D04"/>
    <w:rsid w:val="587A4779"/>
    <w:rsid w:val="587FF949"/>
    <w:rsid w:val="58851504"/>
    <w:rsid w:val="5885922E"/>
    <w:rsid w:val="5885E9D4"/>
    <w:rsid w:val="58861F65"/>
    <w:rsid w:val="58868EA7"/>
    <w:rsid w:val="5886C1FE"/>
    <w:rsid w:val="58979077"/>
    <w:rsid w:val="589A10E5"/>
    <w:rsid w:val="589C01CE"/>
    <w:rsid w:val="58A37019"/>
    <w:rsid w:val="58A37513"/>
    <w:rsid w:val="58A6AC6C"/>
    <w:rsid w:val="58AA6CD0"/>
    <w:rsid w:val="58AD7CDF"/>
    <w:rsid w:val="58B27263"/>
    <w:rsid w:val="58B43D36"/>
    <w:rsid w:val="58B6E61D"/>
    <w:rsid w:val="58B93E9D"/>
    <w:rsid w:val="58BB76C8"/>
    <w:rsid w:val="58BB81ED"/>
    <w:rsid w:val="58BBB4EC"/>
    <w:rsid w:val="58BCB50C"/>
    <w:rsid w:val="58BE7EAF"/>
    <w:rsid w:val="58BEC7A8"/>
    <w:rsid w:val="58BF9636"/>
    <w:rsid w:val="58C7D86F"/>
    <w:rsid w:val="58C88558"/>
    <w:rsid w:val="58C9DDE7"/>
    <w:rsid w:val="58CA40AA"/>
    <w:rsid w:val="58CBA874"/>
    <w:rsid w:val="58CC3C76"/>
    <w:rsid w:val="58CDF12C"/>
    <w:rsid w:val="58CE4221"/>
    <w:rsid w:val="58CEC8DE"/>
    <w:rsid w:val="58CF2FEB"/>
    <w:rsid w:val="58D131B8"/>
    <w:rsid w:val="58D3018D"/>
    <w:rsid w:val="58D3BC7C"/>
    <w:rsid w:val="58D40B43"/>
    <w:rsid w:val="58DC2157"/>
    <w:rsid w:val="58E017E6"/>
    <w:rsid w:val="58E4CBCF"/>
    <w:rsid w:val="58E4FE0A"/>
    <w:rsid w:val="58E792CC"/>
    <w:rsid w:val="58E8FB21"/>
    <w:rsid w:val="58EB089F"/>
    <w:rsid w:val="58ECD565"/>
    <w:rsid w:val="58ED45ED"/>
    <w:rsid w:val="58EEC7BE"/>
    <w:rsid w:val="58EEF2D6"/>
    <w:rsid w:val="58F0D760"/>
    <w:rsid w:val="58F1A4B7"/>
    <w:rsid w:val="58F7E105"/>
    <w:rsid w:val="58F9B0F6"/>
    <w:rsid w:val="58F9C794"/>
    <w:rsid w:val="58FE2602"/>
    <w:rsid w:val="59021779"/>
    <w:rsid w:val="59023904"/>
    <w:rsid w:val="5904D518"/>
    <w:rsid w:val="59084988"/>
    <w:rsid w:val="590926D5"/>
    <w:rsid w:val="5909CB57"/>
    <w:rsid w:val="590A5483"/>
    <w:rsid w:val="590B2620"/>
    <w:rsid w:val="59124082"/>
    <w:rsid w:val="59145044"/>
    <w:rsid w:val="5915FA28"/>
    <w:rsid w:val="59194A77"/>
    <w:rsid w:val="59198C39"/>
    <w:rsid w:val="591A4A02"/>
    <w:rsid w:val="591AD280"/>
    <w:rsid w:val="591E5D9A"/>
    <w:rsid w:val="5920D1ED"/>
    <w:rsid w:val="59220D78"/>
    <w:rsid w:val="5922E21B"/>
    <w:rsid w:val="59233BFB"/>
    <w:rsid w:val="592C3A8D"/>
    <w:rsid w:val="592C71E4"/>
    <w:rsid w:val="592CE35B"/>
    <w:rsid w:val="592ECAC9"/>
    <w:rsid w:val="592FC87D"/>
    <w:rsid w:val="59302764"/>
    <w:rsid w:val="593255C2"/>
    <w:rsid w:val="59338FB6"/>
    <w:rsid w:val="5939517D"/>
    <w:rsid w:val="5939965A"/>
    <w:rsid w:val="593EDD18"/>
    <w:rsid w:val="594130EC"/>
    <w:rsid w:val="59414411"/>
    <w:rsid w:val="5943054D"/>
    <w:rsid w:val="5943B40B"/>
    <w:rsid w:val="59450F71"/>
    <w:rsid w:val="594A2E0C"/>
    <w:rsid w:val="594D1A16"/>
    <w:rsid w:val="594E123A"/>
    <w:rsid w:val="59509078"/>
    <w:rsid w:val="595528A4"/>
    <w:rsid w:val="5957179D"/>
    <w:rsid w:val="595E2F3C"/>
    <w:rsid w:val="596201A1"/>
    <w:rsid w:val="59645D46"/>
    <w:rsid w:val="596551B5"/>
    <w:rsid w:val="59678407"/>
    <w:rsid w:val="596890BB"/>
    <w:rsid w:val="5969C081"/>
    <w:rsid w:val="596D9DC4"/>
    <w:rsid w:val="59777218"/>
    <w:rsid w:val="59780A4E"/>
    <w:rsid w:val="59793B06"/>
    <w:rsid w:val="597A78F1"/>
    <w:rsid w:val="597B10A2"/>
    <w:rsid w:val="59803E93"/>
    <w:rsid w:val="59829D20"/>
    <w:rsid w:val="598450FB"/>
    <w:rsid w:val="59862AB2"/>
    <w:rsid w:val="59870328"/>
    <w:rsid w:val="5989674F"/>
    <w:rsid w:val="598D51CA"/>
    <w:rsid w:val="598E6F27"/>
    <w:rsid w:val="5999CFD7"/>
    <w:rsid w:val="599B680A"/>
    <w:rsid w:val="599D858F"/>
    <w:rsid w:val="599F164B"/>
    <w:rsid w:val="59A322C8"/>
    <w:rsid w:val="59A44A8A"/>
    <w:rsid w:val="59A566E2"/>
    <w:rsid w:val="59A6346B"/>
    <w:rsid w:val="59A6E009"/>
    <w:rsid w:val="59A9BAFE"/>
    <w:rsid w:val="59B02BB1"/>
    <w:rsid w:val="59B1ED88"/>
    <w:rsid w:val="59B37620"/>
    <w:rsid w:val="59B498D6"/>
    <w:rsid w:val="59B580E8"/>
    <w:rsid w:val="59B771F9"/>
    <w:rsid w:val="59B95C45"/>
    <w:rsid w:val="59BA21F2"/>
    <w:rsid w:val="59BA3B3C"/>
    <w:rsid w:val="59BCBDB6"/>
    <w:rsid w:val="59C45C3E"/>
    <w:rsid w:val="59C52CB6"/>
    <w:rsid w:val="59C57957"/>
    <w:rsid w:val="59C5AA8F"/>
    <w:rsid w:val="59CBD0EE"/>
    <w:rsid w:val="59CDE6C4"/>
    <w:rsid w:val="59CDFF4A"/>
    <w:rsid w:val="59CF1F5A"/>
    <w:rsid w:val="59CFE6EE"/>
    <w:rsid w:val="59CFFD21"/>
    <w:rsid w:val="59D86837"/>
    <w:rsid w:val="59DED0F3"/>
    <w:rsid w:val="59DFD58D"/>
    <w:rsid w:val="59E3B1E8"/>
    <w:rsid w:val="59E3E4E6"/>
    <w:rsid w:val="59E70FD9"/>
    <w:rsid w:val="59E88ACF"/>
    <w:rsid w:val="59EA6CD4"/>
    <w:rsid w:val="59ED299E"/>
    <w:rsid w:val="59F267A1"/>
    <w:rsid w:val="59F71590"/>
    <w:rsid w:val="59F7AD28"/>
    <w:rsid w:val="59F816EC"/>
    <w:rsid w:val="59F81CDC"/>
    <w:rsid w:val="59FA5364"/>
    <w:rsid w:val="59FBB83F"/>
    <w:rsid w:val="59FF6845"/>
    <w:rsid w:val="5A0054E0"/>
    <w:rsid w:val="5A00C03D"/>
    <w:rsid w:val="5A00D78F"/>
    <w:rsid w:val="5A06C6D3"/>
    <w:rsid w:val="5A0B69D1"/>
    <w:rsid w:val="5A0C2DFD"/>
    <w:rsid w:val="5A0CF0C4"/>
    <w:rsid w:val="5A0DE033"/>
    <w:rsid w:val="5A0EEDBE"/>
    <w:rsid w:val="5A0EF0A2"/>
    <w:rsid w:val="5A12F501"/>
    <w:rsid w:val="5A131244"/>
    <w:rsid w:val="5A174FD7"/>
    <w:rsid w:val="5A1750B3"/>
    <w:rsid w:val="5A185698"/>
    <w:rsid w:val="5A1B63C8"/>
    <w:rsid w:val="5A1D0B92"/>
    <w:rsid w:val="5A239879"/>
    <w:rsid w:val="5A27E3D3"/>
    <w:rsid w:val="5A2A3505"/>
    <w:rsid w:val="5A2B0E4F"/>
    <w:rsid w:val="5A2BC1F8"/>
    <w:rsid w:val="5A2E5A77"/>
    <w:rsid w:val="5A34A17E"/>
    <w:rsid w:val="5A35BD3A"/>
    <w:rsid w:val="5A396152"/>
    <w:rsid w:val="5A3A7C46"/>
    <w:rsid w:val="5A3AFA4B"/>
    <w:rsid w:val="5A3B47B7"/>
    <w:rsid w:val="5A3CF4CB"/>
    <w:rsid w:val="5A3E6D0A"/>
    <w:rsid w:val="5A3F3A51"/>
    <w:rsid w:val="5A40DFFB"/>
    <w:rsid w:val="5A429E1E"/>
    <w:rsid w:val="5A443EA3"/>
    <w:rsid w:val="5A47FFC8"/>
    <w:rsid w:val="5A4C0B96"/>
    <w:rsid w:val="5A535991"/>
    <w:rsid w:val="5A5A042E"/>
    <w:rsid w:val="5A5B40F3"/>
    <w:rsid w:val="5A5B9F03"/>
    <w:rsid w:val="5A5F8BF0"/>
    <w:rsid w:val="5A5FAEA3"/>
    <w:rsid w:val="5A62E6D2"/>
    <w:rsid w:val="5A6843EA"/>
    <w:rsid w:val="5A6C75F0"/>
    <w:rsid w:val="5A703C0D"/>
    <w:rsid w:val="5A731D48"/>
    <w:rsid w:val="5A7492D3"/>
    <w:rsid w:val="5A766A8D"/>
    <w:rsid w:val="5A76BE74"/>
    <w:rsid w:val="5A7C649B"/>
    <w:rsid w:val="5A7E21E2"/>
    <w:rsid w:val="5A7E4AAC"/>
    <w:rsid w:val="5A7E7D7D"/>
    <w:rsid w:val="5A824733"/>
    <w:rsid w:val="5A826516"/>
    <w:rsid w:val="5A82CC1A"/>
    <w:rsid w:val="5A831D5C"/>
    <w:rsid w:val="5A89D30A"/>
    <w:rsid w:val="5A8A5465"/>
    <w:rsid w:val="5A8E5FA1"/>
    <w:rsid w:val="5A9052DD"/>
    <w:rsid w:val="5A93989D"/>
    <w:rsid w:val="5A975EE9"/>
    <w:rsid w:val="5A9D27B8"/>
    <w:rsid w:val="5A9E994B"/>
    <w:rsid w:val="5AA3BE48"/>
    <w:rsid w:val="5AA56F1F"/>
    <w:rsid w:val="5AA8EB30"/>
    <w:rsid w:val="5AA9C798"/>
    <w:rsid w:val="5AAE566F"/>
    <w:rsid w:val="5AB52A85"/>
    <w:rsid w:val="5AB6715A"/>
    <w:rsid w:val="5AB8333B"/>
    <w:rsid w:val="5ABE536A"/>
    <w:rsid w:val="5AC13269"/>
    <w:rsid w:val="5AC386FF"/>
    <w:rsid w:val="5AC73DAA"/>
    <w:rsid w:val="5AC8E273"/>
    <w:rsid w:val="5AC8F3B4"/>
    <w:rsid w:val="5AC9A008"/>
    <w:rsid w:val="5AC9C57A"/>
    <w:rsid w:val="5ACA0855"/>
    <w:rsid w:val="5ACD33B5"/>
    <w:rsid w:val="5ACF810B"/>
    <w:rsid w:val="5ACFC28F"/>
    <w:rsid w:val="5AD0EB89"/>
    <w:rsid w:val="5AD8E898"/>
    <w:rsid w:val="5ADF6B2F"/>
    <w:rsid w:val="5AE20CCF"/>
    <w:rsid w:val="5AE47851"/>
    <w:rsid w:val="5AE516CE"/>
    <w:rsid w:val="5AE6DFE8"/>
    <w:rsid w:val="5AE7BB87"/>
    <w:rsid w:val="5AE8A50B"/>
    <w:rsid w:val="5AEE64E7"/>
    <w:rsid w:val="5AF28F6B"/>
    <w:rsid w:val="5AF3421E"/>
    <w:rsid w:val="5AF5FDA9"/>
    <w:rsid w:val="5AF6740F"/>
    <w:rsid w:val="5AF72BEA"/>
    <w:rsid w:val="5AF9C27F"/>
    <w:rsid w:val="5AFC7821"/>
    <w:rsid w:val="5B0059A5"/>
    <w:rsid w:val="5B051ACA"/>
    <w:rsid w:val="5B081485"/>
    <w:rsid w:val="5B0A5C3F"/>
    <w:rsid w:val="5B0AF4C0"/>
    <w:rsid w:val="5B0BDD9B"/>
    <w:rsid w:val="5B0FBBE3"/>
    <w:rsid w:val="5B15E38D"/>
    <w:rsid w:val="5B1A526E"/>
    <w:rsid w:val="5B1B9E23"/>
    <w:rsid w:val="5B1D6112"/>
    <w:rsid w:val="5B1F85D3"/>
    <w:rsid w:val="5B240FCB"/>
    <w:rsid w:val="5B2485CB"/>
    <w:rsid w:val="5B25D825"/>
    <w:rsid w:val="5B2618F8"/>
    <w:rsid w:val="5B285D02"/>
    <w:rsid w:val="5B306429"/>
    <w:rsid w:val="5B31E4A6"/>
    <w:rsid w:val="5B32C4FE"/>
    <w:rsid w:val="5B33979D"/>
    <w:rsid w:val="5B346564"/>
    <w:rsid w:val="5B3558DD"/>
    <w:rsid w:val="5B376549"/>
    <w:rsid w:val="5B3ABC17"/>
    <w:rsid w:val="5B3CDA80"/>
    <w:rsid w:val="5B3D2B00"/>
    <w:rsid w:val="5B3E16A2"/>
    <w:rsid w:val="5B3EE429"/>
    <w:rsid w:val="5B412A16"/>
    <w:rsid w:val="5B45F076"/>
    <w:rsid w:val="5B4719F2"/>
    <w:rsid w:val="5B4EAABC"/>
    <w:rsid w:val="5B529799"/>
    <w:rsid w:val="5B55A154"/>
    <w:rsid w:val="5B566597"/>
    <w:rsid w:val="5B5890C2"/>
    <w:rsid w:val="5B5936D7"/>
    <w:rsid w:val="5B59E0C7"/>
    <w:rsid w:val="5B59F7D6"/>
    <w:rsid w:val="5B67C05E"/>
    <w:rsid w:val="5B6980F1"/>
    <w:rsid w:val="5B6D540B"/>
    <w:rsid w:val="5B732EFE"/>
    <w:rsid w:val="5B73E8DF"/>
    <w:rsid w:val="5B77A428"/>
    <w:rsid w:val="5B77ABFC"/>
    <w:rsid w:val="5B788270"/>
    <w:rsid w:val="5B7AD7D2"/>
    <w:rsid w:val="5B7AEC09"/>
    <w:rsid w:val="5B7D7FA0"/>
    <w:rsid w:val="5B803A9D"/>
    <w:rsid w:val="5B80A666"/>
    <w:rsid w:val="5B821F38"/>
    <w:rsid w:val="5B83CD0D"/>
    <w:rsid w:val="5B85CFD1"/>
    <w:rsid w:val="5B870CE6"/>
    <w:rsid w:val="5B88FE38"/>
    <w:rsid w:val="5B8D1D38"/>
    <w:rsid w:val="5B8D9AAE"/>
    <w:rsid w:val="5B8E40AB"/>
    <w:rsid w:val="5B908359"/>
    <w:rsid w:val="5B9710DA"/>
    <w:rsid w:val="5B976B13"/>
    <w:rsid w:val="5B983CAF"/>
    <w:rsid w:val="5B98947B"/>
    <w:rsid w:val="5B9E66B6"/>
    <w:rsid w:val="5BA34F80"/>
    <w:rsid w:val="5BA6FE69"/>
    <w:rsid w:val="5BA997F4"/>
    <w:rsid w:val="5BAC9B2E"/>
    <w:rsid w:val="5BB359FD"/>
    <w:rsid w:val="5BB6E4EB"/>
    <w:rsid w:val="5BB85910"/>
    <w:rsid w:val="5BB96C6D"/>
    <w:rsid w:val="5BB9FBFC"/>
    <w:rsid w:val="5BBCFF94"/>
    <w:rsid w:val="5BC58853"/>
    <w:rsid w:val="5BC73154"/>
    <w:rsid w:val="5BC8083A"/>
    <w:rsid w:val="5BCFE556"/>
    <w:rsid w:val="5BD0ACD7"/>
    <w:rsid w:val="5BD22FEB"/>
    <w:rsid w:val="5BD39F07"/>
    <w:rsid w:val="5BD5272F"/>
    <w:rsid w:val="5BD5B0BC"/>
    <w:rsid w:val="5BD6EB80"/>
    <w:rsid w:val="5BD9C29A"/>
    <w:rsid w:val="5BDB61D4"/>
    <w:rsid w:val="5BDC814B"/>
    <w:rsid w:val="5BDC979A"/>
    <w:rsid w:val="5BDCAE2B"/>
    <w:rsid w:val="5BDD8B51"/>
    <w:rsid w:val="5BDF881E"/>
    <w:rsid w:val="5BDFA8C3"/>
    <w:rsid w:val="5BE0B6B5"/>
    <w:rsid w:val="5BE30F55"/>
    <w:rsid w:val="5BE3ACE7"/>
    <w:rsid w:val="5BE7A4D9"/>
    <w:rsid w:val="5BE7EEB9"/>
    <w:rsid w:val="5BEB53CF"/>
    <w:rsid w:val="5BF1AE4C"/>
    <w:rsid w:val="5BF289F7"/>
    <w:rsid w:val="5BF545E1"/>
    <w:rsid w:val="5BF6E9AA"/>
    <w:rsid w:val="5BF7936D"/>
    <w:rsid w:val="5BF8C217"/>
    <w:rsid w:val="5BF91D1F"/>
    <w:rsid w:val="5BFD3D9B"/>
    <w:rsid w:val="5C008766"/>
    <w:rsid w:val="5C044FAC"/>
    <w:rsid w:val="5C093D6C"/>
    <w:rsid w:val="5C0A899B"/>
    <w:rsid w:val="5C1079B6"/>
    <w:rsid w:val="5C11A33C"/>
    <w:rsid w:val="5C14CB06"/>
    <w:rsid w:val="5C15FACC"/>
    <w:rsid w:val="5C19635B"/>
    <w:rsid w:val="5C198911"/>
    <w:rsid w:val="5C199DED"/>
    <w:rsid w:val="5C1B29A7"/>
    <w:rsid w:val="5C1C7FC0"/>
    <w:rsid w:val="5C1EB135"/>
    <w:rsid w:val="5C1F1B35"/>
    <w:rsid w:val="5C216842"/>
    <w:rsid w:val="5C2559DC"/>
    <w:rsid w:val="5C28009B"/>
    <w:rsid w:val="5C29A1F7"/>
    <w:rsid w:val="5C2E7455"/>
    <w:rsid w:val="5C30C54F"/>
    <w:rsid w:val="5C324EF7"/>
    <w:rsid w:val="5C32794B"/>
    <w:rsid w:val="5C342831"/>
    <w:rsid w:val="5C38414A"/>
    <w:rsid w:val="5C3910FB"/>
    <w:rsid w:val="5C3B1660"/>
    <w:rsid w:val="5C3C604F"/>
    <w:rsid w:val="5C40CFB8"/>
    <w:rsid w:val="5C4942FF"/>
    <w:rsid w:val="5C4AF5F9"/>
    <w:rsid w:val="5C4F4E86"/>
    <w:rsid w:val="5C4FF836"/>
    <w:rsid w:val="5C50210E"/>
    <w:rsid w:val="5C5109FB"/>
    <w:rsid w:val="5C575965"/>
    <w:rsid w:val="5C625266"/>
    <w:rsid w:val="5C66B993"/>
    <w:rsid w:val="5C70C5A3"/>
    <w:rsid w:val="5C775F27"/>
    <w:rsid w:val="5C7A3CD2"/>
    <w:rsid w:val="5C7F9FC7"/>
    <w:rsid w:val="5C819AC4"/>
    <w:rsid w:val="5C88F5E5"/>
    <w:rsid w:val="5C8BB286"/>
    <w:rsid w:val="5C8CCF72"/>
    <w:rsid w:val="5C90F35C"/>
    <w:rsid w:val="5C90F733"/>
    <w:rsid w:val="5C915E29"/>
    <w:rsid w:val="5C925279"/>
    <w:rsid w:val="5C9A4AED"/>
    <w:rsid w:val="5C9A51A6"/>
    <w:rsid w:val="5C9D9C81"/>
    <w:rsid w:val="5C9E597A"/>
    <w:rsid w:val="5C9E6CBF"/>
    <w:rsid w:val="5CA36F84"/>
    <w:rsid w:val="5CA3E693"/>
    <w:rsid w:val="5CA54852"/>
    <w:rsid w:val="5CA92BB3"/>
    <w:rsid w:val="5CA94872"/>
    <w:rsid w:val="5CAC7AEB"/>
    <w:rsid w:val="5CAEDCAE"/>
    <w:rsid w:val="5CAFDA67"/>
    <w:rsid w:val="5CB72BA7"/>
    <w:rsid w:val="5CB7BF87"/>
    <w:rsid w:val="5CB8C436"/>
    <w:rsid w:val="5CBC69BD"/>
    <w:rsid w:val="5CC0CFBA"/>
    <w:rsid w:val="5CC0E82B"/>
    <w:rsid w:val="5CC1E1F9"/>
    <w:rsid w:val="5CC7DE23"/>
    <w:rsid w:val="5CCE9460"/>
    <w:rsid w:val="5CCFDA8E"/>
    <w:rsid w:val="5CD17DAB"/>
    <w:rsid w:val="5CD496CE"/>
    <w:rsid w:val="5CD4D273"/>
    <w:rsid w:val="5CD5D433"/>
    <w:rsid w:val="5CD7E6E6"/>
    <w:rsid w:val="5CDADE9F"/>
    <w:rsid w:val="5CE273BC"/>
    <w:rsid w:val="5CE375E6"/>
    <w:rsid w:val="5CE52C29"/>
    <w:rsid w:val="5CE558AB"/>
    <w:rsid w:val="5CE904BC"/>
    <w:rsid w:val="5CEC5FC4"/>
    <w:rsid w:val="5CED4255"/>
    <w:rsid w:val="5CF06A39"/>
    <w:rsid w:val="5CF1B196"/>
    <w:rsid w:val="5CF45142"/>
    <w:rsid w:val="5CF8B9F3"/>
    <w:rsid w:val="5CF9221E"/>
    <w:rsid w:val="5D04EAEE"/>
    <w:rsid w:val="5D0C366B"/>
    <w:rsid w:val="5D0CE0D7"/>
    <w:rsid w:val="5D13930F"/>
    <w:rsid w:val="5D15ADD8"/>
    <w:rsid w:val="5D1BC02A"/>
    <w:rsid w:val="5D1D078F"/>
    <w:rsid w:val="5D1D6506"/>
    <w:rsid w:val="5D1F84C9"/>
    <w:rsid w:val="5D1FA7E0"/>
    <w:rsid w:val="5D2061ED"/>
    <w:rsid w:val="5D20AD7A"/>
    <w:rsid w:val="5D23602C"/>
    <w:rsid w:val="5D24DA1B"/>
    <w:rsid w:val="5D25B3DA"/>
    <w:rsid w:val="5D2E8A22"/>
    <w:rsid w:val="5D2EBD39"/>
    <w:rsid w:val="5D2F5035"/>
    <w:rsid w:val="5D324D0F"/>
    <w:rsid w:val="5D346F35"/>
    <w:rsid w:val="5D37F771"/>
    <w:rsid w:val="5D3B2E54"/>
    <w:rsid w:val="5D3C528F"/>
    <w:rsid w:val="5D3E2F73"/>
    <w:rsid w:val="5D43D363"/>
    <w:rsid w:val="5D48E920"/>
    <w:rsid w:val="5D4B2598"/>
    <w:rsid w:val="5D506F27"/>
    <w:rsid w:val="5D5214F6"/>
    <w:rsid w:val="5D525DDD"/>
    <w:rsid w:val="5D527FC6"/>
    <w:rsid w:val="5D53D521"/>
    <w:rsid w:val="5D5409D4"/>
    <w:rsid w:val="5D5612B8"/>
    <w:rsid w:val="5D581AD0"/>
    <w:rsid w:val="5D582713"/>
    <w:rsid w:val="5D5B09C0"/>
    <w:rsid w:val="5D5CE56F"/>
    <w:rsid w:val="5D5F2EA5"/>
    <w:rsid w:val="5D64BE19"/>
    <w:rsid w:val="5D68E2B8"/>
    <w:rsid w:val="5D691D1F"/>
    <w:rsid w:val="5D72E422"/>
    <w:rsid w:val="5D806C18"/>
    <w:rsid w:val="5D857019"/>
    <w:rsid w:val="5D874AA6"/>
    <w:rsid w:val="5D8C9612"/>
    <w:rsid w:val="5D8DC7AB"/>
    <w:rsid w:val="5D902457"/>
    <w:rsid w:val="5D95E8D3"/>
    <w:rsid w:val="5D96582B"/>
    <w:rsid w:val="5D989DB6"/>
    <w:rsid w:val="5D98C88D"/>
    <w:rsid w:val="5D990D13"/>
    <w:rsid w:val="5D9C9165"/>
    <w:rsid w:val="5D9D1995"/>
    <w:rsid w:val="5D9F67D1"/>
    <w:rsid w:val="5DA2F608"/>
    <w:rsid w:val="5DA49C47"/>
    <w:rsid w:val="5DA62477"/>
    <w:rsid w:val="5DA6CF49"/>
    <w:rsid w:val="5DA94408"/>
    <w:rsid w:val="5DACB5C6"/>
    <w:rsid w:val="5DB2A1CE"/>
    <w:rsid w:val="5DB55F70"/>
    <w:rsid w:val="5DB5CAEF"/>
    <w:rsid w:val="5DB737A1"/>
    <w:rsid w:val="5DC01979"/>
    <w:rsid w:val="5DC0F908"/>
    <w:rsid w:val="5DC2702D"/>
    <w:rsid w:val="5DC9410C"/>
    <w:rsid w:val="5DCF92E8"/>
    <w:rsid w:val="5DD15FB4"/>
    <w:rsid w:val="5DD3D677"/>
    <w:rsid w:val="5DD4B794"/>
    <w:rsid w:val="5DD5889C"/>
    <w:rsid w:val="5DD85079"/>
    <w:rsid w:val="5DD99825"/>
    <w:rsid w:val="5DDA808E"/>
    <w:rsid w:val="5DE0C67A"/>
    <w:rsid w:val="5DE37061"/>
    <w:rsid w:val="5DE5393E"/>
    <w:rsid w:val="5DE56C02"/>
    <w:rsid w:val="5DED66F5"/>
    <w:rsid w:val="5DF5AB74"/>
    <w:rsid w:val="5DF6D86E"/>
    <w:rsid w:val="5DF82A49"/>
    <w:rsid w:val="5E012DEE"/>
    <w:rsid w:val="5E0196DF"/>
    <w:rsid w:val="5E01A891"/>
    <w:rsid w:val="5E02583A"/>
    <w:rsid w:val="5E025B17"/>
    <w:rsid w:val="5E02ABB6"/>
    <w:rsid w:val="5E02C77B"/>
    <w:rsid w:val="5E032D2B"/>
    <w:rsid w:val="5E05E573"/>
    <w:rsid w:val="5E05F913"/>
    <w:rsid w:val="5E069965"/>
    <w:rsid w:val="5E095FCE"/>
    <w:rsid w:val="5E0C68A2"/>
    <w:rsid w:val="5E0D4491"/>
    <w:rsid w:val="5E0E46C8"/>
    <w:rsid w:val="5E1015EF"/>
    <w:rsid w:val="5E157266"/>
    <w:rsid w:val="5E172E22"/>
    <w:rsid w:val="5E1ADE81"/>
    <w:rsid w:val="5E1EF2C5"/>
    <w:rsid w:val="5E22FEA5"/>
    <w:rsid w:val="5E2338A7"/>
    <w:rsid w:val="5E26C9B0"/>
    <w:rsid w:val="5E27752D"/>
    <w:rsid w:val="5E289D11"/>
    <w:rsid w:val="5E2954BE"/>
    <w:rsid w:val="5E2B03D3"/>
    <w:rsid w:val="5E2F1263"/>
    <w:rsid w:val="5E34040A"/>
    <w:rsid w:val="5E34C140"/>
    <w:rsid w:val="5E35C5B6"/>
    <w:rsid w:val="5E3727D1"/>
    <w:rsid w:val="5E37594D"/>
    <w:rsid w:val="5E37AA8F"/>
    <w:rsid w:val="5E37B86B"/>
    <w:rsid w:val="5E37CB8C"/>
    <w:rsid w:val="5E3B3CAC"/>
    <w:rsid w:val="5E3CBED0"/>
    <w:rsid w:val="5E3D2628"/>
    <w:rsid w:val="5E3FB51F"/>
    <w:rsid w:val="5E41D7BA"/>
    <w:rsid w:val="5E4900DD"/>
    <w:rsid w:val="5E4DE461"/>
    <w:rsid w:val="5E534A10"/>
    <w:rsid w:val="5E535A43"/>
    <w:rsid w:val="5E574EAF"/>
    <w:rsid w:val="5E596448"/>
    <w:rsid w:val="5E5FDFE8"/>
    <w:rsid w:val="5E60EEC4"/>
    <w:rsid w:val="5E6116EE"/>
    <w:rsid w:val="5E6525AB"/>
    <w:rsid w:val="5E6551A3"/>
    <w:rsid w:val="5E6686BF"/>
    <w:rsid w:val="5E682AD7"/>
    <w:rsid w:val="5E6C2A2A"/>
    <w:rsid w:val="5E70F8F9"/>
    <w:rsid w:val="5E73C106"/>
    <w:rsid w:val="5E754E4B"/>
    <w:rsid w:val="5E7DCFFC"/>
    <w:rsid w:val="5E811878"/>
    <w:rsid w:val="5E86E329"/>
    <w:rsid w:val="5E8773C1"/>
    <w:rsid w:val="5E8971DE"/>
    <w:rsid w:val="5E899044"/>
    <w:rsid w:val="5E8A2FCF"/>
    <w:rsid w:val="5E8AF87C"/>
    <w:rsid w:val="5E8C6471"/>
    <w:rsid w:val="5E8F73F0"/>
    <w:rsid w:val="5E91B1AB"/>
    <w:rsid w:val="5E93AAB8"/>
    <w:rsid w:val="5E964A39"/>
    <w:rsid w:val="5E9771A1"/>
    <w:rsid w:val="5E9FA361"/>
    <w:rsid w:val="5EA140F9"/>
    <w:rsid w:val="5EA1EFEF"/>
    <w:rsid w:val="5EA2F6C3"/>
    <w:rsid w:val="5EA77CD1"/>
    <w:rsid w:val="5EB09057"/>
    <w:rsid w:val="5EB107D6"/>
    <w:rsid w:val="5EB22778"/>
    <w:rsid w:val="5EB34662"/>
    <w:rsid w:val="5EB38702"/>
    <w:rsid w:val="5EB3ECE7"/>
    <w:rsid w:val="5EB4D1B1"/>
    <w:rsid w:val="5EB7CD57"/>
    <w:rsid w:val="5EB90ED9"/>
    <w:rsid w:val="5EB9DC83"/>
    <w:rsid w:val="5EBA99FD"/>
    <w:rsid w:val="5EBE0643"/>
    <w:rsid w:val="5EC0B444"/>
    <w:rsid w:val="5EC35F26"/>
    <w:rsid w:val="5EC3A079"/>
    <w:rsid w:val="5EC76C31"/>
    <w:rsid w:val="5ECF4849"/>
    <w:rsid w:val="5ED2B55C"/>
    <w:rsid w:val="5ED34720"/>
    <w:rsid w:val="5ED94898"/>
    <w:rsid w:val="5ED971BB"/>
    <w:rsid w:val="5EDAA098"/>
    <w:rsid w:val="5EDAF381"/>
    <w:rsid w:val="5EDB43FC"/>
    <w:rsid w:val="5EDDC799"/>
    <w:rsid w:val="5EDF384F"/>
    <w:rsid w:val="5EE26009"/>
    <w:rsid w:val="5EE3842F"/>
    <w:rsid w:val="5EE5D816"/>
    <w:rsid w:val="5EE609B7"/>
    <w:rsid w:val="5EE85E35"/>
    <w:rsid w:val="5EEA5777"/>
    <w:rsid w:val="5EEB4D13"/>
    <w:rsid w:val="5EEB7155"/>
    <w:rsid w:val="5EEC058E"/>
    <w:rsid w:val="5EEC1382"/>
    <w:rsid w:val="5EEC8B22"/>
    <w:rsid w:val="5EED1E32"/>
    <w:rsid w:val="5EED7CA6"/>
    <w:rsid w:val="5EED8CFB"/>
    <w:rsid w:val="5EEE7685"/>
    <w:rsid w:val="5EF343AF"/>
    <w:rsid w:val="5EF7617E"/>
    <w:rsid w:val="5EF97148"/>
    <w:rsid w:val="5EFA5C3E"/>
    <w:rsid w:val="5EFB3678"/>
    <w:rsid w:val="5EFE9439"/>
    <w:rsid w:val="5F090ED3"/>
    <w:rsid w:val="5F09FF0A"/>
    <w:rsid w:val="5F0DF50D"/>
    <w:rsid w:val="5F131D1B"/>
    <w:rsid w:val="5F133ABD"/>
    <w:rsid w:val="5F13ACF0"/>
    <w:rsid w:val="5F1413AA"/>
    <w:rsid w:val="5F19482A"/>
    <w:rsid w:val="5F195CC1"/>
    <w:rsid w:val="5F1F7793"/>
    <w:rsid w:val="5F2265B5"/>
    <w:rsid w:val="5F22EEEF"/>
    <w:rsid w:val="5F2704E0"/>
    <w:rsid w:val="5F29DFA7"/>
    <w:rsid w:val="5F2E1407"/>
    <w:rsid w:val="5F31A53A"/>
    <w:rsid w:val="5F3410BC"/>
    <w:rsid w:val="5F373B45"/>
    <w:rsid w:val="5F378D3D"/>
    <w:rsid w:val="5F3BD8AB"/>
    <w:rsid w:val="5F3E0C21"/>
    <w:rsid w:val="5F403F2B"/>
    <w:rsid w:val="5F4160A1"/>
    <w:rsid w:val="5F420F1C"/>
    <w:rsid w:val="5F464F9C"/>
    <w:rsid w:val="5F47106A"/>
    <w:rsid w:val="5F4C9B13"/>
    <w:rsid w:val="5F5018EE"/>
    <w:rsid w:val="5F549184"/>
    <w:rsid w:val="5F5F0DFC"/>
    <w:rsid w:val="5F696B16"/>
    <w:rsid w:val="5F6C25CB"/>
    <w:rsid w:val="5F6E0985"/>
    <w:rsid w:val="5F6F65CF"/>
    <w:rsid w:val="5F74F382"/>
    <w:rsid w:val="5F7F30F9"/>
    <w:rsid w:val="5F8195BF"/>
    <w:rsid w:val="5F81D0D8"/>
    <w:rsid w:val="5F87E813"/>
    <w:rsid w:val="5F885A9F"/>
    <w:rsid w:val="5F889907"/>
    <w:rsid w:val="5F8A8C7A"/>
    <w:rsid w:val="5F8C7258"/>
    <w:rsid w:val="5F8EA332"/>
    <w:rsid w:val="5F8EDC8A"/>
    <w:rsid w:val="5F9457B9"/>
    <w:rsid w:val="5F9584B0"/>
    <w:rsid w:val="5F96D990"/>
    <w:rsid w:val="5F986AF5"/>
    <w:rsid w:val="5F9BC62A"/>
    <w:rsid w:val="5F9CF3E3"/>
    <w:rsid w:val="5F9E5E8C"/>
    <w:rsid w:val="5FA4C0B5"/>
    <w:rsid w:val="5FA5DCE7"/>
    <w:rsid w:val="5FAA97D0"/>
    <w:rsid w:val="5FAB11F8"/>
    <w:rsid w:val="5FAC4498"/>
    <w:rsid w:val="5FADED90"/>
    <w:rsid w:val="5FB0DD9E"/>
    <w:rsid w:val="5FB1A7CC"/>
    <w:rsid w:val="5FB33BB1"/>
    <w:rsid w:val="5FB40AB4"/>
    <w:rsid w:val="5FB5C1D6"/>
    <w:rsid w:val="5FB5D279"/>
    <w:rsid w:val="5FB8D466"/>
    <w:rsid w:val="5FB8E44B"/>
    <w:rsid w:val="5FC038B7"/>
    <w:rsid w:val="5FC1B5A8"/>
    <w:rsid w:val="5FC24649"/>
    <w:rsid w:val="5FC714D7"/>
    <w:rsid w:val="5FC769B1"/>
    <w:rsid w:val="5FCBD69F"/>
    <w:rsid w:val="5FCBE8F8"/>
    <w:rsid w:val="5FCE52CC"/>
    <w:rsid w:val="5FCE72F5"/>
    <w:rsid w:val="5FD271FC"/>
    <w:rsid w:val="5FDB972F"/>
    <w:rsid w:val="5FDC9BCE"/>
    <w:rsid w:val="5FDEDBB9"/>
    <w:rsid w:val="5FE2A9B0"/>
    <w:rsid w:val="5FE76608"/>
    <w:rsid w:val="5FEA0FAB"/>
    <w:rsid w:val="5FF163F1"/>
    <w:rsid w:val="5FF20245"/>
    <w:rsid w:val="5FF7ABC3"/>
    <w:rsid w:val="5FFC6042"/>
    <w:rsid w:val="5FFD60CF"/>
    <w:rsid w:val="5FFE26A4"/>
    <w:rsid w:val="5FFEB9E4"/>
    <w:rsid w:val="6003CC5B"/>
    <w:rsid w:val="6006EF6F"/>
    <w:rsid w:val="600763DF"/>
    <w:rsid w:val="600AB4D5"/>
    <w:rsid w:val="600BEA45"/>
    <w:rsid w:val="600C6B9D"/>
    <w:rsid w:val="600CB5FE"/>
    <w:rsid w:val="600CFDBA"/>
    <w:rsid w:val="600F4BFB"/>
    <w:rsid w:val="6017A90B"/>
    <w:rsid w:val="601A3A27"/>
    <w:rsid w:val="601B16A8"/>
    <w:rsid w:val="601B9C2B"/>
    <w:rsid w:val="601DB7ED"/>
    <w:rsid w:val="60204341"/>
    <w:rsid w:val="60230092"/>
    <w:rsid w:val="6026416E"/>
    <w:rsid w:val="60298191"/>
    <w:rsid w:val="602E43F2"/>
    <w:rsid w:val="602FB7D8"/>
    <w:rsid w:val="6033721B"/>
    <w:rsid w:val="603B0400"/>
    <w:rsid w:val="603C79DF"/>
    <w:rsid w:val="60412B66"/>
    <w:rsid w:val="6043931E"/>
    <w:rsid w:val="60470D5A"/>
    <w:rsid w:val="6047B00D"/>
    <w:rsid w:val="604B5ED2"/>
    <w:rsid w:val="604EBFED"/>
    <w:rsid w:val="60505B53"/>
    <w:rsid w:val="6050F807"/>
    <w:rsid w:val="6054AE41"/>
    <w:rsid w:val="6055905B"/>
    <w:rsid w:val="60562159"/>
    <w:rsid w:val="605BC298"/>
    <w:rsid w:val="6061C45D"/>
    <w:rsid w:val="60622156"/>
    <w:rsid w:val="6062768C"/>
    <w:rsid w:val="6062C6A6"/>
    <w:rsid w:val="6065B554"/>
    <w:rsid w:val="60660D5F"/>
    <w:rsid w:val="606922F1"/>
    <w:rsid w:val="606A144C"/>
    <w:rsid w:val="606B2DE3"/>
    <w:rsid w:val="607021B1"/>
    <w:rsid w:val="6075865C"/>
    <w:rsid w:val="607A601A"/>
    <w:rsid w:val="607AB675"/>
    <w:rsid w:val="607C0447"/>
    <w:rsid w:val="607E07ED"/>
    <w:rsid w:val="6080C586"/>
    <w:rsid w:val="6083C72B"/>
    <w:rsid w:val="608416D8"/>
    <w:rsid w:val="6086AF84"/>
    <w:rsid w:val="6086DBAB"/>
    <w:rsid w:val="608B7D8D"/>
    <w:rsid w:val="608CE72E"/>
    <w:rsid w:val="608D55EC"/>
    <w:rsid w:val="608F0E61"/>
    <w:rsid w:val="6090384B"/>
    <w:rsid w:val="6095503A"/>
    <w:rsid w:val="60978543"/>
    <w:rsid w:val="609B7412"/>
    <w:rsid w:val="609BD1E3"/>
    <w:rsid w:val="60A1CC19"/>
    <w:rsid w:val="60A28391"/>
    <w:rsid w:val="60A50E09"/>
    <w:rsid w:val="60A6A95B"/>
    <w:rsid w:val="60ADD736"/>
    <w:rsid w:val="60B34D13"/>
    <w:rsid w:val="60B421CD"/>
    <w:rsid w:val="60B5D1AE"/>
    <w:rsid w:val="60B6B4FE"/>
    <w:rsid w:val="60B87E06"/>
    <w:rsid w:val="60BB3037"/>
    <w:rsid w:val="60BD4E47"/>
    <w:rsid w:val="60BFAE64"/>
    <w:rsid w:val="60C311DE"/>
    <w:rsid w:val="60C4E4CC"/>
    <w:rsid w:val="60C50E50"/>
    <w:rsid w:val="60C5CB02"/>
    <w:rsid w:val="60C5D4EB"/>
    <w:rsid w:val="60CD0EC0"/>
    <w:rsid w:val="60D351BB"/>
    <w:rsid w:val="60D43003"/>
    <w:rsid w:val="60D69FD3"/>
    <w:rsid w:val="60D7326A"/>
    <w:rsid w:val="60DBC035"/>
    <w:rsid w:val="60DE4152"/>
    <w:rsid w:val="60E14C4E"/>
    <w:rsid w:val="60E1DC7D"/>
    <w:rsid w:val="60E2BF1E"/>
    <w:rsid w:val="60E50D2C"/>
    <w:rsid w:val="60E6B502"/>
    <w:rsid w:val="60E8F3BF"/>
    <w:rsid w:val="60EB3A15"/>
    <w:rsid w:val="60EB7350"/>
    <w:rsid w:val="60F25599"/>
    <w:rsid w:val="60F4100C"/>
    <w:rsid w:val="60F49562"/>
    <w:rsid w:val="60F5C9B1"/>
    <w:rsid w:val="60F699D7"/>
    <w:rsid w:val="60F773EB"/>
    <w:rsid w:val="60F96D00"/>
    <w:rsid w:val="60F9AF03"/>
    <w:rsid w:val="60FA601A"/>
    <w:rsid w:val="60FA9A26"/>
    <w:rsid w:val="60FC069E"/>
    <w:rsid w:val="60FE4088"/>
    <w:rsid w:val="61021D1B"/>
    <w:rsid w:val="610329F1"/>
    <w:rsid w:val="61044433"/>
    <w:rsid w:val="61068CEF"/>
    <w:rsid w:val="6107995F"/>
    <w:rsid w:val="6109E950"/>
    <w:rsid w:val="610A65B7"/>
    <w:rsid w:val="610A80AF"/>
    <w:rsid w:val="610EBAFF"/>
    <w:rsid w:val="610F0B7E"/>
    <w:rsid w:val="6111E298"/>
    <w:rsid w:val="6114CD55"/>
    <w:rsid w:val="6114CDF9"/>
    <w:rsid w:val="6116EE79"/>
    <w:rsid w:val="61184A66"/>
    <w:rsid w:val="611938D8"/>
    <w:rsid w:val="611A33A4"/>
    <w:rsid w:val="611AABE0"/>
    <w:rsid w:val="611CEE74"/>
    <w:rsid w:val="611D52FF"/>
    <w:rsid w:val="61202542"/>
    <w:rsid w:val="6125A177"/>
    <w:rsid w:val="612A07B5"/>
    <w:rsid w:val="612ABE14"/>
    <w:rsid w:val="612B1352"/>
    <w:rsid w:val="612CB504"/>
    <w:rsid w:val="612D8CB3"/>
    <w:rsid w:val="612FB3A5"/>
    <w:rsid w:val="6132ADEF"/>
    <w:rsid w:val="6134257A"/>
    <w:rsid w:val="6134832A"/>
    <w:rsid w:val="6137C900"/>
    <w:rsid w:val="613A0055"/>
    <w:rsid w:val="613AE135"/>
    <w:rsid w:val="613C0EBE"/>
    <w:rsid w:val="613CFB67"/>
    <w:rsid w:val="613FC7DC"/>
    <w:rsid w:val="614460D2"/>
    <w:rsid w:val="6144F024"/>
    <w:rsid w:val="6144FF05"/>
    <w:rsid w:val="614687C1"/>
    <w:rsid w:val="6146A2A5"/>
    <w:rsid w:val="6146C2FC"/>
    <w:rsid w:val="614E15E2"/>
    <w:rsid w:val="614EFB1E"/>
    <w:rsid w:val="615428EE"/>
    <w:rsid w:val="6155131B"/>
    <w:rsid w:val="61558FB2"/>
    <w:rsid w:val="61576C60"/>
    <w:rsid w:val="61591BAA"/>
    <w:rsid w:val="61625268"/>
    <w:rsid w:val="61629E2A"/>
    <w:rsid w:val="616359BC"/>
    <w:rsid w:val="616486A4"/>
    <w:rsid w:val="6166C5B5"/>
    <w:rsid w:val="616CE5BF"/>
    <w:rsid w:val="616E7639"/>
    <w:rsid w:val="61711E20"/>
    <w:rsid w:val="61712056"/>
    <w:rsid w:val="6172F3C0"/>
    <w:rsid w:val="61740EE6"/>
    <w:rsid w:val="6174E0D5"/>
    <w:rsid w:val="6175045D"/>
    <w:rsid w:val="61765FB4"/>
    <w:rsid w:val="6179DAFF"/>
    <w:rsid w:val="617BB712"/>
    <w:rsid w:val="617D4747"/>
    <w:rsid w:val="618004D1"/>
    <w:rsid w:val="6180715C"/>
    <w:rsid w:val="6186A3E6"/>
    <w:rsid w:val="6186D342"/>
    <w:rsid w:val="61871A6D"/>
    <w:rsid w:val="6188764B"/>
    <w:rsid w:val="61887745"/>
    <w:rsid w:val="6188D618"/>
    <w:rsid w:val="618BE021"/>
    <w:rsid w:val="618EF8D3"/>
    <w:rsid w:val="618FA678"/>
    <w:rsid w:val="618FFE31"/>
    <w:rsid w:val="61955725"/>
    <w:rsid w:val="61990579"/>
    <w:rsid w:val="619D50E5"/>
    <w:rsid w:val="61A15A4C"/>
    <w:rsid w:val="61A56FD4"/>
    <w:rsid w:val="61A8D23B"/>
    <w:rsid w:val="61AB84E5"/>
    <w:rsid w:val="61AC6D8C"/>
    <w:rsid w:val="61B1E00D"/>
    <w:rsid w:val="61B32595"/>
    <w:rsid w:val="61B49978"/>
    <w:rsid w:val="61B6E709"/>
    <w:rsid w:val="61BAABBA"/>
    <w:rsid w:val="61BF312A"/>
    <w:rsid w:val="61BF356D"/>
    <w:rsid w:val="61BFCB7A"/>
    <w:rsid w:val="61C065B2"/>
    <w:rsid w:val="61C77AB1"/>
    <w:rsid w:val="61C7C2EB"/>
    <w:rsid w:val="61CAEF0B"/>
    <w:rsid w:val="61CBC356"/>
    <w:rsid w:val="61CBD60A"/>
    <w:rsid w:val="61CD6CFB"/>
    <w:rsid w:val="61D0C6FF"/>
    <w:rsid w:val="61D41356"/>
    <w:rsid w:val="61D6867C"/>
    <w:rsid w:val="61D6C34A"/>
    <w:rsid w:val="61D89D06"/>
    <w:rsid w:val="61D89EB2"/>
    <w:rsid w:val="61DA34E8"/>
    <w:rsid w:val="61DB2ABF"/>
    <w:rsid w:val="61DC4FDB"/>
    <w:rsid w:val="61DE1566"/>
    <w:rsid w:val="61DE9E6C"/>
    <w:rsid w:val="61DEF46A"/>
    <w:rsid w:val="61E1D4A9"/>
    <w:rsid w:val="61E1E708"/>
    <w:rsid w:val="61E21869"/>
    <w:rsid w:val="61E29677"/>
    <w:rsid w:val="61EDE5D0"/>
    <w:rsid w:val="61EE3F78"/>
    <w:rsid w:val="61EEFF48"/>
    <w:rsid w:val="61EF0262"/>
    <w:rsid w:val="61F52230"/>
    <w:rsid w:val="61F6AC26"/>
    <w:rsid w:val="61FC5A86"/>
    <w:rsid w:val="61FE1BFE"/>
    <w:rsid w:val="61FF9F6C"/>
    <w:rsid w:val="62035025"/>
    <w:rsid w:val="6209C19F"/>
    <w:rsid w:val="620ABFA9"/>
    <w:rsid w:val="620BDDDC"/>
    <w:rsid w:val="620DD57A"/>
    <w:rsid w:val="621107D2"/>
    <w:rsid w:val="62110DDD"/>
    <w:rsid w:val="62112D2B"/>
    <w:rsid w:val="6214F447"/>
    <w:rsid w:val="621B0527"/>
    <w:rsid w:val="6223D114"/>
    <w:rsid w:val="6226D417"/>
    <w:rsid w:val="622F48AD"/>
    <w:rsid w:val="6231E3AE"/>
    <w:rsid w:val="6232C935"/>
    <w:rsid w:val="62341098"/>
    <w:rsid w:val="6235A985"/>
    <w:rsid w:val="623636FE"/>
    <w:rsid w:val="6236944E"/>
    <w:rsid w:val="623825B6"/>
    <w:rsid w:val="6239388F"/>
    <w:rsid w:val="623CDE77"/>
    <w:rsid w:val="623FAD4E"/>
    <w:rsid w:val="62425000"/>
    <w:rsid w:val="6243BCB0"/>
    <w:rsid w:val="6245C880"/>
    <w:rsid w:val="62472A93"/>
    <w:rsid w:val="6248410C"/>
    <w:rsid w:val="624D7EE8"/>
    <w:rsid w:val="624F716A"/>
    <w:rsid w:val="6253BC39"/>
    <w:rsid w:val="6254C801"/>
    <w:rsid w:val="6254E59C"/>
    <w:rsid w:val="6259BEB9"/>
    <w:rsid w:val="625C7A55"/>
    <w:rsid w:val="625DE278"/>
    <w:rsid w:val="625EB093"/>
    <w:rsid w:val="6264F49B"/>
    <w:rsid w:val="6265F5BA"/>
    <w:rsid w:val="6266546A"/>
    <w:rsid w:val="62679A38"/>
    <w:rsid w:val="6268C5AA"/>
    <w:rsid w:val="6268CDF8"/>
    <w:rsid w:val="6269014F"/>
    <w:rsid w:val="626947D4"/>
    <w:rsid w:val="6270DC25"/>
    <w:rsid w:val="6271F55D"/>
    <w:rsid w:val="627323AB"/>
    <w:rsid w:val="6273ACE8"/>
    <w:rsid w:val="62754593"/>
    <w:rsid w:val="627696BC"/>
    <w:rsid w:val="62784D6A"/>
    <w:rsid w:val="627C344F"/>
    <w:rsid w:val="627DE1D1"/>
    <w:rsid w:val="62820CD8"/>
    <w:rsid w:val="62842D1E"/>
    <w:rsid w:val="628465CB"/>
    <w:rsid w:val="628C3137"/>
    <w:rsid w:val="628EA740"/>
    <w:rsid w:val="62957075"/>
    <w:rsid w:val="62959F96"/>
    <w:rsid w:val="62964DFE"/>
    <w:rsid w:val="62967FBF"/>
    <w:rsid w:val="6297C4B9"/>
    <w:rsid w:val="6298AD95"/>
    <w:rsid w:val="6299EAC5"/>
    <w:rsid w:val="629A0944"/>
    <w:rsid w:val="629BF5BC"/>
    <w:rsid w:val="629C3EC4"/>
    <w:rsid w:val="629DA55B"/>
    <w:rsid w:val="62A39DB4"/>
    <w:rsid w:val="62A5168D"/>
    <w:rsid w:val="62A6DE83"/>
    <w:rsid w:val="62A77608"/>
    <w:rsid w:val="62A831EF"/>
    <w:rsid w:val="62AB130D"/>
    <w:rsid w:val="62AB62ED"/>
    <w:rsid w:val="62ACA720"/>
    <w:rsid w:val="62B3D2BC"/>
    <w:rsid w:val="62B63BF2"/>
    <w:rsid w:val="62B8EB8C"/>
    <w:rsid w:val="62BF7769"/>
    <w:rsid w:val="62C15D29"/>
    <w:rsid w:val="62C57D87"/>
    <w:rsid w:val="62C5AA1B"/>
    <w:rsid w:val="62CE16F0"/>
    <w:rsid w:val="62D10981"/>
    <w:rsid w:val="62D1FD93"/>
    <w:rsid w:val="62D4FF98"/>
    <w:rsid w:val="62D5E8B3"/>
    <w:rsid w:val="62D9141D"/>
    <w:rsid w:val="62D9E617"/>
    <w:rsid w:val="62DAD1B1"/>
    <w:rsid w:val="62DB0540"/>
    <w:rsid w:val="62DD8993"/>
    <w:rsid w:val="62DFB362"/>
    <w:rsid w:val="62E44231"/>
    <w:rsid w:val="62E7FC08"/>
    <w:rsid w:val="62E83198"/>
    <w:rsid w:val="62EC64F8"/>
    <w:rsid w:val="62EE7688"/>
    <w:rsid w:val="62EF3555"/>
    <w:rsid w:val="62EFF7E3"/>
    <w:rsid w:val="62F17ACF"/>
    <w:rsid w:val="62F3659A"/>
    <w:rsid w:val="62F5D958"/>
    <w:rsid w:val="62F67D45"/>
    <w:rsid w:val="62FBE50E"/>
    <w:rsid w:val="62FD2E05"/>
    <w:rsid w:val="62FD99F3"/>
    <w:rsid w:val="62FFAA5E"/>
    <w:rsid w:val="6300123A"/>
    <w:rsid w:val="63026FC3"/>
    <w:rsid w:val="63091CC7"/>
    <w:rsid w:val="630A40EF"/>
    <w:rsid w:val="630E7558"/>
    <w:rsid w:val="631240D1"/>
    <w:rsid w:val="6313DA8D"/>
    <w:rsid w:val="631AD418"/>
    <w:rsid w:val="631C96DC"/>
    <w:rsid w:val="6323319F"/>
    <w:rsid w:val="632677E5"/>
    <w:rsid w:val="632798BC"/>
    <w:rsid w:val="6327A71A"/>
    <w:rsid w:val="632A2E01"/>
    <w:rsid w:val="632D6C76"/>
    <w:rsid w:val="63312786"/>
    <w:rsid w:val="6338D739"/>
    <w:rsid w:val="63398BA8"/>
    <w:rsid w:val="633C1817"/>
    <w:rsid w:val="633D52A6"/>
    <w:rsid w:val="633DA11D"/>
    <w:rsid w:val="633E558E"/>
    <w:rsid w:val="633FB798"/>
    <w:rsid w:val="6342162B"/>
    <w:rsid w:val="63447AD5"/>
    <w:rsid w:val="63449F1B"/>
    <w:rsid w:val="63454A98"/>
    <w:rsid w:val="634A8B02"/>
    <w:rsid w:val="634D81F7"/>
    <w:rsid w:val="63525877"/>
    <w:rsid w:val="63559208"/>
    <w:rsid w:val="63567045"/>
    <w:rsid w:val="6359EAA8"/>
    <w:rsid w:val="635AB012"/>
    <w:rsid w:val="63613D22"/>
    <w:rsid w:val="63624882"/>
    <w:rsid w:val="6362B738"/>
    <w:rsid w:val="6363A301"/>
    <w:rsid w:val="636D6A4B"/>
    <w:rsid w:val="63711C46"/>
    <w:rsid w:val="637AF974"/>
    <w:rsid w:val="637EF91A"/>
    <w:rsid w:val="637F33EA"/>
    <w:rsid w:val="6384B087"/>
    <w:rsid w:val="6386B641"/>
    <w:rsid w:val="638A5B81"/>
    <w:rsid w:val="639219B4"/>
    <w:rsid w:val="6396E2B8"/>
    <w:rsid w:val="639778E7"/>
    <w:rsid w:val="6397E3A5"/>
    <w:rsid w:val="63980841"/>
    <w:rsid w:val="63999E1A"/>
    <w:rsid w:val="639ADB92"/>
    <w:rsid w:val="639B8FA8"/>
    <w:rsid w:val="63A1D2A1"/>
    <w:rsid w:val="63A2D82F"/>
    <w:rsid w:val="63A3BB4A"/>
    <w:rsid w:val="63A41003"/>
    <w:rsid w:val="63A68343"/>
    <w:rsid w:val="63A6E3E6"/>
    <w:rsid w:val="63A940F1"/>
    <w:rsid w:val="63AA1FED"/>
    <w:rsid w:val="63AC7B9D"/>
    <w:rsid w:val="63AD69B2"/>
    <w:rsid w:val="63B7C789"/>
    <w:rsid w:val="63B9EF90"/>
    <w:rsid w:val="63BAC984"/>
    <w:rsid w:val="63BBD747"/>
    <w:rsid w:val="63BE1B70"/>
    <w:rsid w:val="63BFBF16"/>
    <w:rsid w:val="63BFD337"/>
    <w:rsid w:val="63C2CAF7"/>
    <w:rsid w:val="63C33F55"/>
    <w:rsid w:val="63C35A69"/>
    <w:rsid w:val="63CB3479"/>
    <w:rsid w:val="63CD8ACB"/>
    <w:rsid w:val="63CEB64F"/>
    <w:rsid w:val="63D57C60"/>
    <w:rsid w:val="63D87F5A"/>
    <w:rsid w:val="63D915C3"/>
    <w:rsid w:val="63DABF99"/>
    <w:rsid w:val="63E6CCFB"/>
    <w:rsid w:val="63E77E2F"/>
    <w:rsid w:val="63EBFDA8"/>
    <w:rsid w:val="63EF9775"/>
    <w:rsid w:val="63F06B5D"/>
    <w:rsid w:val="64036A92"/>
    <w:rsid w:val="6404B293"/>
    <w:rsid w:val="6409E9FF"/>
    <w:rsid w:val="640A26A0"/>
    <w:rsid w:val="640BDEC3"/>
    <w:rsid w:val="640D68A7"/>
    <w:rsid w:val="640E8F14"/>
    <w:rsid w:val="640FA7D2"/>
    <w:rsid w:val="6410D64E"/>
    <w:rsid w:val="641A482B"/>
    <w:rsid w:val="641B0E5A"/>
    <w:rsid w:val="641C6C7F"/>
    <w:rsid w:val="64254BA8"/>
    <w:rsid w:val="642709F5"/>
    <w:rsid w:val="6427497E"/>
    <w:rsid w:val="6428A6EE"/>
    <w:rsid w:val="6429AC29"/>
    <w:rsid w:val="642C1463"/>
    <w:rsid w:val="642D800B"/>
    <w:rsid w:val="64399F48"/>
    <w:rsid w:val="643E8591"/>
    <w:rsid w:val="643EE711"/>
    <w:rsid w:val="6449696E"/>
    <w:rsid w:val="64499046"/>
    <w:rsid w:val="644C6006"/>
    <w:rsid w:val="644D6E47"/>
    <w:rsid w:val="644E5EFA"/>
    <w:rsid w:val="6458ECC0"/>
    <w:rsid w:val="64591DBF"/>
    <w:rsid w:val="6459EA74"/>
    <w:rsid w:val="645CFDFB"/>
    <w:rsid w:val="646214FE"/>
    <w:rsid w:val="646294A3"/>
    <w:rsid w:val="6462D113"/>
    <w:rsid w:val="6464EA36"/>
    <w:rsid w:val="6466F13A"/>
    <w:rsid w:val="64671B34"/>
    <w:rsid w:val="6467AFAF"/>
    <w:rsid w:val="646A453E"/>
    <w:rsid w:val="646AFE47"/>
    <w:rsid w:val="646FD5E0"/>
    <w:rsid w:val="6471B4D4"/>
    <w:rsid w:val="6472B21D"/>
    <w:rsid w:val="6478160D"/>
    <w:rsid w:val="647826A1"/>
    <w:rsid w:val="6478704C"/>
    <w:rsid w:val="647B4DB8"/>
    <w:rsid w:val="647D06D9"/>
    <w:rsid w:val="647D42B9"/>
    <w:rsid w:val="6481D35D"/>
    <w:rsid w:val="648454B7"/>
    <w:rsid w:val="64856A98"/>
    <w:rsid w:val="64877B58"/>
    <w:rsid w:val="648C4D11"/>
    <w:rsid w:val="648D2CDF"/>
    <w:rsid w:val="648D39EE"/>
    <w:rsid w:val="64929520"/>
    <w:rsid w:val="6494C425"/>
    <w:rsid w:val="64973231"/>
    <w:rsid w:val="64987F00"/>
    <w:rsid w:val="649DAA5C"/>
    <w:rsid w:val="64A1D386"/>
    <w:rsid w:val="64A39AF4"/>
    <w:rsid w:val="64A3B163"/>
    <w:rsid w:val="64A6428D"/>
    <w:rsid w:val="64A88B6A"/>
    <w:rsid w:val="64A995C2"/>
    <w:rsid w:val="64ACFF8F"/>
    <w:rsid w:val="64AF311C"/>
    <w:rsid w:val="64AFDE7D"/>
    <w:rsid w:val="64B09C3A"/>
    <w:rsid w:val="64B0D12C"/>
    <w:rsid w:val="64B29DA2"/>
    <w:rsid w:val="64B2BED2"/>
    <w:rsid w:val="64B67E3A"/>
    <w:rsid w:val="64B72D08"/>
    <w:rsid w:val="64B7462F"/>
    <w:rsid w:val="64B74FBD"/>
    <w:rsid w:val="64B8CFCF"/>
    <w:rsid w:val="64B987DB"/>
    <w:rsid w:val="64BABF7C"/>
    <w:rsid w:val="64C1914A"/>
    <w:rsid w:val="64C69BDD"/>
    <w:rsid w:val="64C72A36"/>
    <w:rsid w:val="64C7DBE4"/>
    <w:rsid w:val="64CA5D5B"/>
    <w:rsid w:val="64CC3ABE"/>
    <w:rsid w:val="64CDF3C0"/>
    <w:rsid w:val="64CE16C8"/>
    <w:rsid w:val="64D07FCC"/>
    <w:rsid w:val="64D44CB4"/>
    <w:rsid w:val="64D59109"/>
    <w:rsid w:val="64D703C4"/>
    <w:rsid w:val="64D7C272"/>
    <w:rsid w:val="64DA28AD"/>
    <w:rsid w:val="64E32D79"/>
    <w:rsid w:val="64E4D815"/>
    <w:rsid w:val="64E6CA75"/>
    <w:rsid w:val="64E742FF"/>
    <w:rsid w:val="64E8410A"/>
    <w:rsid w:val="64E913A6"/>
    <w:rsid w:val="64E95671"/>
    <w:rsid w:val="64E98291"/>
    <w:rsid w:val="64EAFBF5"/>
    <w:rsid w:val="64EF4666"/>
    <w:rsid w:val="64F3A8EB"/>
    <w:rsid w:val="64F5C6CF"/>
    <w:rsid w:val="64F9DAC6"/>
    <w:rsid w:val="64FB0298"/>
    <w:rsid w:val="64FB2022"/>
    <w:rsid w:val="64FC9099"/>
    <w:rsid w:val="65016867"/>
    <w:rsid w:val="65035E48"/>
    <w:rsid w:val="65038B96"/>
    <w:rsid w:val="65090C27"/>
    <w:rsid w:val="65096EC7"/>
    <w:rsid w:val="65099AC4"/>
    <w:rsid w:val="6509BB4E"/>
    <w:rsid w:val="6513112C"/>
    <w:rsid w:val="6515B6C5"/>
    <w:rsid w:val="651722A9"/>
    <w:rsid w:val="65174D0A"/>
    <w:rsid w:val="65198899"/>
    <w:rsid w:val="651D4872"/>
    <w:rsid w:val="651DBFC6"/>
    <w:rsid w:val="651F1C37"/>
    <w:rsid w:val="651FC0A9"/>
    <w:rsid w:val="65212A4F"/>
    <w:rsid w:val="65212ABE"/>
    <w:rsid w:val="652246CC"/>
    <w:rsid w:val="6523FF69"/>
    <w:rsid w:val="6524169E"/>
    <w:rsid w:val="6524ED9E"/>
    <w:rsid w:val="65259F28"/>
    <w:rsid w:val="6527937F"/>
    <w:rsid w:val="6529B52C"/>
    <w:rsid w:val="652B9BF4"/>
    <w:rsid w:val="65303C6E"/>
    <w:rsid w:val="653E919A"/>
    <w:rsid w:val="654316AA"/>
    <w:rsid w:val="6544335B"/>
    <w:rsid w:val="65450D25"/>
    <w:rsid w:val="654727B4"/>
    <w:rsid w:val="65474AC6"/>
    <w:rsid w:val="6549C615"/>
    <w:rsid w:val="654BABBF"/>
    <w:rsid w:val="654D5821"/>
    <w:rsid w:val="655047ED"/>
    <w:rsid w:val="65507565"/>
    <w:rsid w:val="6556D3EC"/>
    <w:rsid w:val="65573AD8"/>
    <w:rsid w:val="6558E220"/>
    <w:rsid w:val="655D4BEF"/>
    <w:rsid w:val="656115C9"/>
    <w:rsid w:val="6561C12C"/>
    <w:rsid w:val="65666DE8"/>
    <w:rsid w:val="6569F01B"/>
    <w:rsid w:val="656B1CCB"/>
    <w:rsid w:val="656CDF87"/>
    <w:rsid w:val="65709B0A"/>
    <w:rsid w:val="6570B853"/>
    <w:rsid w:val="6576DCA7"/>
    <w:rsid w:val="65776646"/>
    <w:rsid w:val="65779CAB"/>
    <w:rsid w:val="65812738"/>
    <w:rsid w:val="658375B5"/>
    <w:rsid w:val="65855264"/>
    <w:rsid w:val="6587AB36"/>
    <w:rsid w:val="658BFD86"/>
    <w:rsid w:val="65932699"/>
    <w:rsid w:val="659D308F"/>
    <w:rsid w:val="659E0492"/>
    <w:rsid w:val="659F0F0F"/>
    <w:rsid w:val="65A0E452"/>
    <w:rsid w:val="65A3CEA8"/>
    <w:rsid w:val="65AC80B8"/>
    <w:rsid w:val="65ADAF3C"/>
    <w:rsid w:val="65B5B9C9"/>
    <w:rsid w:val="65B63A94"/>
    <w:rsid w:val="65B87251"/>
    <w:rsid w:val="65B89D6A"/>
    <w:rsid w:val="65B983A5"/>
    <w:rsid w:val="65BC3010"/>
    <w:rsid w:val="65BF78D0"/>
    <w:rsid w:val="65BFC3D3"/>
    <w:rsid w:val="65C35550"/>
    <w:rsid w:val="65C9C528"/>
    <w:rsid w:val="65CBE353"/>
    <w:rsid w:val="65CC0307"/>
    <w:rsid w:val="65CC36A4"/>
    <w:rsid w:val="65CC4B94"/>
    <w:rsid w:val="65CDE92E"/>
    <w:rsid w:val="65D3C1A2"/>
    <w:rsid w:val="65D4A90B"/>
    <w:rsid w:val="65D85A91"/>
    <w:rsid w:val="65D8F6AA"/>
    <w:rsid w:val="65DB5886"/>
    <w:rsid w:val="65E62BD4"/>
    <w:rsid w:val="65E91E9C"/>
    <w:rsid w:val="65E943DF"/>
    <w:rsid w:val="65EDA382"/>
    <w:rsid w:val="65EE52FB"/>
    <w:rsid w:val="65F1746A"/>
    <w:rsid w:val="65F60024"/>
    <w:rsid w:val="65F9082F"/>
    <w:rsid w:val="65FBDEFA"/>
    <w:rsid w:val="65FC7CE3"/>
    <w:rsid w:val="65FCE00B"/>
    <w:rsid w:val="660491A7"/>
    <w:rsid w:val="660732C9"/>
    <w:rsid w:val="6608640B"/>
    <w:rsid w:val="660A115A"/>
    <w:rsid w:val="660B4127"/>
    <w:rsid w:val="660BDDC8"/>
    <w:rsid w:val="66141B3D"/>
    <w:rsid w:val="6617F9CF"/>
    <w:rsid w:val="661BD4DF"/>
    <w:rsid w:val="661BDC30"/>
    <w:rsid w:val="661EBA9E"/>
    <w:rsid w:val="6624F4D9"/>
    <w:rsid w:val="66288FBB"/>
    <w:rsid w:val="6628BF86"/>
    <w:rsid w:val="6629BE1F"/>
    <w:rsid w:val="662B2412"/>
    <w:rsid w:val="662E5965"/>
    <w:rsid w:val="663189FD"/>
    <w:rsid w:val="6632C526"/>
    <w:rsid w:val="663595A2"/>
    <w:rsid w:val="6637B846"/>
    <w:rsid w:val="663923EC"/>
    <w:rsid w:val="6639F231"/>
    <w:rsid w:val="663B2DF0"/>
    <w:rsid w:val="663B8F1F"/>
    <w:rsid w:val="663C92EE"/>
    <w:rsid w:val="663CF94C"/>
    <w:rsid w:val="6641C9C5"/>
    <w:rsid w:val="66423245"/>
    <w:rsid w:val="66452857"/>
    <w:rsid w:val="6646952B"/>
    <w:rsid w:val="6647C106"/>
    <w:rsid w:val="664C1DD0"/>
    <w:rsid w:val="664EAE2A"/>
    <w:rsid w:val="664ED54E"/>
    <w:rsid w:val="6650316B"/>
    <w:rsid w:val="6655F363"/>
    <w:rsid w:val="665693C3"/>
    <w:rsid w:val="66603ECE"/>
    <w:rsid w:val="66620689"/>
    <w:rsid w:val="666338B8"/>
    <w:rsid w:val="666351EE"/>
    <w:rsid w:val="6664684B"/>
    <w:rsid w:val="66655731"/>
    <w:rsid w:val="66672A97"/>
    <w:rsid w:val="666AB794"/>
    <w:rsid w:val="666E8295"/>
    <w:rsid w:val="666F4E3E"/>
    <w:rsid w:val="667911B2"/>
    <w:rsid w:val="66799E29"/>
    <w:rsid w:val="667D6271"/>
    <w:rsid w:val="66824486"/>
    <w:rsid w:val="66866714"/>
    <w:rsid w:val="6688FF3F"/>
    <w:rsid w:val="668A1690"/>
    <w:rsid w:val="668B162F"/>
    <w:rsid w:val="668B26C6"/>
    <w:rsid w:val="669A056D"/>
    <w:rsid w:val="669BDC05"/>
    <w:rsid w:val="669FAD9C"/>
    <w:rsid w:val="66A4DD1A"/>
    <w:rsid w:val="66A60176"/>
    <w:rsid w:val="66A617DE"/>
    <w:rsid w:val="66A7A7F3"/>
    <w:rsid w:val="66AC025C"/>
    <w:rsid w:val="66B02950"/>
    <w:rsid w:val="66B7B27D"/>
    <w:rsid w:val="66BB4B88"/>
    <w:rsid w:val="66BEFE2B"/>
    <w:rsid w:val="66C2EA8A"/>
    <w:rsid w:val="66CAD205"/>
    <w:rsid w:val="66CB5A65"/>
    <w:rsid w:val="66CBE1D8"/>
    <w:rsid w:val="66CD33A6"/>
    <w:rsid w:val="66CEAF29"/>
    <w:rsid w:val="66CF2773"/>
    <w:rsid w:val="66D06E42"/>
    <w:rsid w:val="66D07CE6"/>
    <w:rsid w:val="66D74BA8"/>
    <w:rsid w:val="66D8B339"/>
    <w:rsid w:val="66D9FB81"/>
    <w:rsid w:val="66DA4D13"/>
    <w:rsid w:val="66E6694C"/>
    <w:rsid w:val="66E6B517"/>
    <w:rsid w:val="66EA29F7"/>
    <w:rsid w:val="66ED6203"/>
    <w:rsid w:val="66F42C4A"/>
    <w:rsid w:val="66F5C3E9"/>
    <w:rsid w:val="66FFA363"/>
    <w:rsid w:val="67002C5F"/>
    <w:rsid w:val="67005E7E"/>
    <w:rsid w:val="67014BA6"/>
    <w:rsid w:val="67045B99"/>
    <w:rsid w:val="67059848"/>
    <w:rsid w:val="67060A13"/>
    <w:rsid w:val="67095475"/>
    <w:rsid w:val="670DF121"/>
    <w:rsid w:val="670E160A"/>
    <w:rsid w:val="671487E0"/>
    <w:rsid w:val="671509FF"/>
    <w:rsid w:val="671BE9CD"/>
    <w:rsid w:val="671C51A7"/>
    <w:rsid w:val="671ED9AB"/>
    <w:rsid w:val="6720270B"/>
    <w:rsid w:val="67219DE1"/>
    <w:rsid w:val="672357AA"/>
    <w:rsid w:val="6724B65D"/>
    <w:rsid w:val="67284BF3"/>
    <w:rsid w:val="6728F485"/>
    <w:rsid w:val="672A63CA"/>
    <w:rsid w:val="672C9BB1"/>
    <w:rsid w:val="672E4C32"/>
    <w:rsid w:val="673067F4"/>
    <w:rsid w:val="67324792"/>
    <w:rsid w:val="67330611"/>
    <w:rsid w:val="6736A073"/>
    <w:rsid w:val="6736C59D"/>
    <w:rsid w:val="67374B90"/>
    <w:rsid w:val="67385E67"/>
    <w:rsid w:val="673AF4E9"/>
    <w:rsid w:val="673CA2E8"/>
    <w:rsid w:val="673F7184"/>
    <w:rsid w:val="6745308E"/>
    <w:rsid w:val="67462EAE"/>
    <w:rsid w:val="674C071B"/>
    <w:rsid w:val="674DBBE4"/>
    <w:rsid w:val="67538262"/>
    <w:rsid w:val="67538B25"/>
    <w:rsid w:val="67545307"/>
    <w:rsid w:val="67569E31"/>
    <w:rsid w:val="675C2EE2"/>
    <w:rsid w:val="675D11A5"/>
    <w:rsid w:val="675D912A"/>
    <w:rsid w:val="675F9B9F"/>
    <w:rsid w:val="67601B57"/>
    <w:rsid w:val="6768B582"/>
    <w:rsid w:val="676A7D72"/>
    <w:rsid w:val="676B5696"/>
    <w:rsid w:val="676DA312"/>
    <w:rsid w:val="67707103"/>
    <w:rsid w:val="6770B689"/>
    <w:rsid w:val="677100F4"/>
    <w:rsid w:val="6771D5D5"/>
    <w:rsid w:val="6772BA4D"/>
    <w:rsid w:val="67739D63"/>
    <w:rsid w:val="677B5730"/>
    <w:rsid w:val="677C7A7C"/>
    <w:rsid w:val="678235C2"/>
    <w:rsid w:val="6782E93D"/>
    <w:rsid w:val="6785A8B5"/>
    <w:rsid w:val="6785EF9C"/>
    <w:rsid w:val="6789A6DC"/>
    <w:rsid w:val="678AF836"/>
    <w:rsid w:val="678BB3F6"/>
    <w:rsid w:val="678FE260"/>
    <w:rsid w:val="67901141"/>
    <w:rsid w:val="6794E8AD"/>
    <w:rsid w:val="67955CBE"/>
    <w:rsid w:val="67970CF8"/>
    <w:rsid w:val="679D8ABB"/>
    <w:rsid w:val="679DA7A3"/>
    <w:rsid w:val="67A149CF"/>
    <w:rsid w:val="67A4E73E"/>
    <w:rsid w:val="67AA2D6B"/>
    <w:rsid w:val="67ABA34D"/>
    <w:rsid w:val="67ABDFAE"/>
    <w:rsid w:val="67AECC09"/>
    <w:rsid w:val="67AFA50B"/>
    <w:rsid w:val="67B1CD0B"/>
    <w:rsid w:val="67B2AF6A"/>
    <w:rsid w:val="67B4FFA6"/>
    <w:rsid w:val="67B5AC40"/>
    <w:rsid w:val="67B6773F"/>
    <w:rsid w:val="67B67AAC"/>
    <w:rsid w:val="67B70DA8"/>
    <w:rsid w:val="67B786A2"/>
    <w:rsid w:val="67B837AE"/>
    <w:rsid w:val="67BA5572"/>
    <w:rsid w:val="67BACD04"/>
    <w:rsid w:val="67BB4772"/>
    <w:rsid w:val="67BF693A"/>
    <w:rsid w:val="67BFD85D"/>
    <w:rsid w:val="67C04CE6"/>
    <w:rsid w:val="67C0B898"/>
    <w:rsid w:val="67C3BACB"/>
    <w:rsid w:val="67C562F1"/>
    <w:rsid w:val="67C847FC"/>
    <w:rsid w:val="67C94516"/>
    <w:rsid w:val="67CAC59E"/>
    <w:rsid w:val="67CB381F"/>
    <w:rsid w:val="67CB573D"/>
    <w:rsid w:val="67CD1B32"/>
    <w:rsid w:val="67CF9D61"/>
    <w:rsid w:val="67D03FAA"/>
    <w:rsid w:val="67D08A01"/>
    <w:rsid w:val="67D13D2D"/>
    <w:rsid w:val="67D1DD50"/>
    <w:rsid w:val="67D33374"/>
    <w:rsid w:val="67D4D119"/>
    <w:rsid w:val="67DD42F7"/>
    <w:rsid w:val="67DDFE0A"/>
    <w:rsid w:val="67DE3CE8"/>
    <w:rsid w:val="67DE4860"/>
    <w:rsid w:val="67E33CE9"/>
    <w:rsid w:val="67E3AAFF"/>
    <w:rsid w:val="67E55E7A"/>
    <w:rsid w:val="67E5F7CB"/>
    <w:rsid w:val="67EB2CC1"/>
    <w:rsid w:val="67EEB183"/>
    <w:rsid w:val="67F1C82E"/>
    <w:rsid w:val="67F2C1C5"/>
    <w:rsid w:val="67F4E216"/>
    <w:rsid w:val="67F75F06"/>
    <w:rsid w:val="67F86674"/>
    <w:rsid w:val="67F8AB7A"/>
    <w:rsid w:val="67F9C73D"/>
    <w:rsid w:val="680046C8"/>
    <w:rsid w:val="680320BD"/>
    <w:rsid w:val="6803B8A8"/>
    <w:rsid w:val="68064BE3"/>
    <w:rsid w:val="680AB29F"/>
    <w:rsid w:val="68131A0E"/>
    <w:rsid w:val="68149D42"/>
    <w:rsid w:val="6814F123"/>
    <w:rsid w:val="681D769C"/>
    <w:rsid w:val="6821C20C"/>
    <w:rsid w:val="6822BE3F"/>
    <w:rsid w:val="6826E19B"/>
    <w:rsid w:val="68292FA8"/>
    <w:rsid w:val="682A83E9"/>
    <w:rsid w:val="682C681E"/>
    <w:rsid w:val="682DFE42"/>
    <w:rsid w:val="682E949F"/>
    <w:rsid w:val="682EC276"/>
    <w:rsid w:val="682FBE39"/>
    <w:rsid w:val="6836E05D"/>
    <w:rsid w:val="683A5794"/>
    <w:rsid w:val="683BD870"/>
    <w:rsid w:val="683FDFC5"/>
    <w:rsid w:val="68446B97"/>
    <w:rsid w:val="68450C20"/>
    <w:rsid w:val="6851C791"/>
    <w:rsid w:val="6851E468"/>
    <w:rsid w:val="6857628B"/>
    <w:rsid w:val="685C25E3"/>
    <w:rsid w:val="685D44C6"/>
    <w:rsid w:val="6862197D"/>
    <w:rsid w:val="6863567B"/>
    <w:rsid w:val="68660C6A"/>
    <w:rsid w:val="6866A86E"/>
    <w:rsid w:val="68672EA7"/>
    <w:rsid w:val="68681E8A"/>
    <w:rsid w:val="6869DF58"/>
    <w:rsid w:val="686B2929"/>
    <w:rsid w:val="6875DB8C"/>
    <w:rsid w:val="68778D80"/>
    <w:rsid w:val="687958EA"/>
    <w:rsid w:val="68818316"/>
    <w:rsid w:val="6883D7D8"/>
    <w:rsid w:val="6888159C"/>
    <w:rsid w:val="688F18A1"/>
    <w:rsid w:val="688FA8CD"/>
    <w:rsid w:val="689AAB3B"/>
    <w:rsid w:val="689F1C9B"/>
    <w:rsid w:val="689F2CB7"/>
    <w:rsid w:val="689FFDB8"/>
    <w:rsid w:val="68A2FA05"/>
    <w:rsid w:val="68A351AE"/>
    <w:rsid w:val="68A38702"/>
    <w:rsid w:val="68A4D928"/>
    <w:rsid w:val="68ACC856"/>
    <w:rsid w:val="68B0ED38"/>
    <w:rsid w:val="68B3D1E2"/>
    <w:rsid w:val="68B41313"/>
    <w:rsid w:val="68B5E4E0"/>
    <w:rsid w:val="68B8960B"/>
    <w:rsid w:val="68BF5089"/>
    <w:rsid w:val="68BFD18F"/>
    <w:rsid w:val="68C4B8C0"/>
    <w:rsid w:val="68C6F806"/>
    <w:rsid w:val="68C77936"/>
    <w:rsid w:val="68C7C98C"/>
    <w:rsid w:val="68C8EB7F"/>
    <w:rsid w:val="68CCC327"/>
    <w:rsid w:val="68CD13F0"/>
    <w:rsid w:val="68CDACC8"/>
    <w:rsid w:val="68CE5CF6"/>
    <w:rsid w:val="68CF8B79"/>
    <w:rsid w:val="68D0671D"/>
    <w:rsid w:val="68D0E11B"/>
    <w:rsid w:val="68D49BD4"/>
    <w:rsid w:val="68D5A78A"/>
    <w:rsid w:val="68D7504B"/>
    <w:rsid w:val="68DCC48C"/>
    <w:rsid w:val="68DEF053"/>
    <w:rsid w:val="68E33998"/>
    <w:rsid w:val="68E45831"/>
    <w:rsid w:val="68E48969"/>
    <w:rsid w:val="68E4E1E2"/>
    <w:rsid w:val="68EA7D0C"/>
    <w:rsid w:val="68EFFE86"/>
    <w:rsid w:val="68F0991A"/>
    <w:rsid w:val="68F3A84C"/>
    <w:rsid w:val="68F47EBE"/>
    <w:rsid w:val="68FBDE7F"/>
    <w:rsid w:val="68FDA5F0"/>
    <w:rsid w:val="68FF6F6A"/>
    <w:rsid w:val="69035C8A"/>
    <w:rsid w:val="6911D9AE"/>
    <w:rsid w:val="6912C16F"/>
    <w:rsid w:val="691585AF"/>
    <w:rsid w:val="691967BE"/>
    <w:rsid w:val="691D75C4"/>
    <w:rsid w:val="691E8436"/>
    <w:rsid w:val="691FE0E4"/>
    <w:rsid w:val="692032BF"/>
    <w:rsid w:val="69228DA0"/>
    <w:rsid w:val="6922C317"/>
    <w:rsid w:val="692394FB"/>
    <w:rsid w:val="69276771"/>
    <w:rsid w:val="69289508"/>
    <w:rsid w:val="6929AF59"/>
    <w:rsid w:val="692ABF0F"/>
    <w:rsid w:val="6930205C"/>
    <w:rsid w:val="6935B7B7"/>
    <w:rsid w:val="69369D91"/>
    <w:rsid w:val="6938124E"/>
    <w:rsid w:val="693930A0"/>
    <w:rsid w:val="6939E8C6"/>
    <w:rsid w:val="693BD592"/>
    <w:rsid w:val="693BE537"/>
    <w:rsid w:val="693F32C4"/>
    <w:rsid w:val="6940EF94"/>
    <w:rsid w:val="6946B18B"/>
    <w:rsid w:val="6947EA07"/>
    <w:rsid w:val="6948B865"/>
    <w:rsid w:val="694AFA22"/>
    <w:rsid w:val="694C9DA3"/>
    <w:rsid w:val="694CCE56"/>
    <w:rsid w:val="694D4C0F"/>
    <w:rsid w:val="694D8E02"/>
    <w:rsid w:val="694DC736"/>
    <w:rsid w:val="6950F459"/>
    <w:rsid w:val="69525EE7"/>
    <w:rsid w:val="6954338A"/>
    <w:rsid w:val="69590EE5"/>
    <w:rsid w:val="6959D026"/>
    <w:rsid w:val="6959DD35"/>
    <w:rsid w:val="6959DDFE"/>
    <w:rsid w:val="6959DE3E"/>
    <w:rsid w:val="695C9D47"/>
    <w:rsid w:val="696362C3"/>
    <w:rsid w:val="6963C865"/>
    <w:rsid w:val="6963CA5F"/>
    <w:rsid w:val="6966EEAE"/>
    <w:rsid w:val="69689CBF"/>
    <w:rsid w:val="696B4D50"/>
    <w:rsid w:val="696BA42A"/>
    <w:rsid w:val="696D3538"/>
    <w:rsid w:val="6970129B"/>
    <w:rsid w:val="6970F1CE"/>
    <w:rsid w:val="6970F304"/>
    <w:rsid w:val="69747D87"/>
    <w:rsid w:val="6977CC10"/>
    <w:rsid w:val="6977CE83"/>
    <w:rsid w:val="69782DDB"/>
    <w:rsid w:val="697A77F8"/>
    <w:rsid w:val="697B3D6B"/>
    <w:rsid w:val="697D8AA9"/>
    <w:rsid w:val="6981D4F1"/>
    <w:rsid w:val="6982231C"/>
    <w:rsid w:val="6982BCA2"/>
    <w:rsid w:val="69830DD8"/>
    <w:rsid w:val="69832249"/>
    <w:rsid w:val="69862FF5"/>
    <w:rsid w:val="6988BAAF"/>
    <w:rsid w:val="698B693C"/>
    <w:rsid w:val="698B6CC5"/>
    <w:rsid w:val="698E6792"/>
    <w:rsid w:val="6990FFF2"/>
    <w:rsid w:val="6991193A"/>
    <w:rsid w:val="699524C8"/>
    <w:rsid w:val="6996F61E"/>
    <w:rsid w:val="6998B057"/>
    <w:rsid w:val="699E3CDA"/>
    <w:rsid w:val="699E96DF"/>
    <w:rsid w:val="699F15BD"/>
    <w:rsid w:val="69A2E9BD"/>
    <w:rsid w:val="69A30636"/>
    <w:rsid w:val="69A49323"/>
    <w:rsid w:val="69A5BDE2"/>
    <w:rsid w:val="69A8CBC4"/>
    <w:rsid w:val="69B110F1"/>
    <w:rsid w:val="69B3BDAE"/>
    <w:rsid w:val="69B5323C"/>
    <w:rsid w:val="69B91741"/>
    <w:rsid w:val="69BBC3EE"/>
    <w:rsid w:val="69C0DA23"/>
    <w:rsid w:val="69C30B67"/>
    <w:rsid w:val="69C5C599"/>
    <w:rsid w:val="69C6020E"/>
    <w:rsid w:val="69C60EC5"/>
    <w:rsid w:val="69C6EB6A"/>
    <w:rsid w:val="69C82254"/>
    <w:rsid w:val="69C96E9A"/>
    <w:rsid w:val="69CC49B4"/>
    <w:rsid w:val="69CD042A"/>
    <w:rsid w:val="69CD5E2B"/>
    <w:rsid w:val="69CE5A65"/>
    <w:rsid w:val="69CF0236"/>
    <w:rsid w:val="69CFE3AB"/>
    <w:rsid w:val="69D6661A"/>
    <w:rsid w:val="69D8893B"/>
    <w:rsid w:val="69DBB1AF"/>
    <w:rsid w:val="69DC10F2"/>
    <w:rsid w:val="69E243FC"/>
    <w:rsid w:val="69E5835A"/>
    <w:rsid w:val="69E79194"/>
    <w:rsid w:val="69E99CBB"/>
    <w:rsid w:val="69EF0400"/>
    <w:rsid w:val="69F2C343"/>
    <w:rsid w:val="69F6518E"/>
    <w:rsid w:val="69F8A457"/>
    <w:rsid w:val="69F91293"/>
    <w:rsid w:val="69FB2768"/>
    <w:rsid w:val="69FC961B"/>
    <w:rsid w:val="69FD2C8A"/>
    <w:rsid w:val="6A047E03"/>
    <w:rsid w:val="6A05A561"/>
    <w:rsid w:val="6A07128D"/>
    <w:rsid w:val="6A137237"/>
    <w:rsid w:val="6A14C15E"/>
    <w:rsid w:val="6A165399"/>
    <w:rsid w:val="6A181D7B"/>
    <w:rsid w:val="6A19677D"/>
    <w:rsid w:val="6A1B6C30"/>
    <w:rsid w:val="6A1C290A"/>
    <w:rsid w:val="6A23ACC5"/>
    <w:rsid w:val="6A23AFFF"/>
    <w:rsid w:val="6A25BA42"/>
    <w:rsid w:val="6A2855E2"/>
    <w:rsid w:val="6A355185"/>
    <w:rsid w:val="6A369E34"/>
    <w:rsid w:val="6A36A220"/>
    <w:rsid w:val="6A3D538B"/>
    <w:rsid w:val="6A3D8E39"/>
    <w:rsid w:val="6A447B7E"/>
    <w:rsid w:val="6A44F22A"/>
    <w:rsid w:val="6A4BE8E7"/>
    <w:rsid w:val="6A4E0BD6"/>
    <w:rsid w:val="6A50890C"/>
    <w:rsid w:val="6A508BA8"/>
    <w:rsid w:val="6A52C19F"/>
    <w:rsid w:val="6A556D73"/>
    <w:rsid w:val="6A59B35C"/>
    <w:rsid w:val="6A5BFC0A"/>
    <w:rsid w:val="6A61704B"/>
    <w:rsid w:val="6A61BDC0"/>
    <w:rsid w:val="6A6370D0"/>
    <w:rsid w:val="6A652DB8"/>
    <w:rsid w:val="6A65F9AB"/>
    <w:rsid w:val="6A67C947"/>
    <w:rsid w:val="6A68ACD5"/>
    <w:rsid w:val="6A6C4888"/>
    <w:rsid w:val="6A6C9AE7"/>
    <w:rsid w:val="6A6FF808"/>
    <w:rsid w:val="6A716B47"/>
    <w:rsid w:val="6A7522D7"/>
    <w:rsid w:val="6A76C871"/>
    <w:rsid w:val="6A77935A"/>
    <w:rsid w:val="6A7B3738"/>
    <w:rsid w:val="6A7DEF0D"/>
    <w:rsid w:val="6A7F2E8D"/>
    <w:rsid w:val="6A82E69A"/>
    <w:rsid w:val="6A842DA6"/>
    <w:rsid w:val="6A86F5FD"/>
    <w:rsid w:val="6A89F727"/>
    <w:rsid w:val="6A91F377"/>
    <w:rsid w:val="6A920BB0"/>
    <w:rsid w:val="6A92EB58"/>
    <w:rsid w:val="6A9B30C3"/>
    <w:rsid w:val="6AA02E65"/>
    <w:rsid w:val="6AA52063"/>
    <w:rsid w:val="6AA8C398"/>
    <w:rsid w:val="6AACA0C5"/>
    <w:rsid w:val="6AB0B4E5"/>
    <w:rsid w:val="6AB1CD5C"/>
    <w:rsid w:val="6AB373F3"/>
    <w:rsid w:val="6ABA338B"/>
    <w:rsid w:val="6AC21B4C"/>
    <w:rsid w:val="6AC93A52"/>
    <w:rsid w:val="6ACA601F"/>
    <w:rsid w:val="6ACB2C67"/>
    <w:rsid w:val="6AD8ACD9"/>
    <w:rsid w:val="6AD8B51F"/>
    <w:rsid w:val="6ADB86FF"/>
    <w:rsid w:val="6ADF22A5"/>
    <w:rsid w:val="6AE1AD36"/>
    <w:rsid w:val="6AE4E99E"/>
    <w:rsid w:val="6AE6604C"/>
    <w:rsid w:val="6AE6F7FC"/>
    <w:rsid w:val="6AEA9003"/>
    <w:rsid w:val="6AEB2956"/>
    <w:rsid w:val="6AEB8A7F"/>
    <w:rsid w:val="6AEDA8C5"/>
    <w:rsid w:val="6AEF66CB"/>
    <w:rsid w:val="6AF85E3E"/>
    <w:rsid w:val="6AFA5F4D"/>
    <w:rsid w:val="6AFC5C39"/>
    <w:rsid w:val="6AFF548C"/>
    <w:rsid w:val="6B04C7F6"/>
    <w:rsid w:val="6B0AF368"/>
    <w:rsid w:val="6B0E186A"/>
    <w:rsid w:val="6B11FD72"/>
    <w:rsid w:val="6B142179"/>
    <w:rsid w:val="6B16A189"/>
    <w:rsid w:val="6B1765DA"/>
    <w:rsid w:val="6B24A945"/>
    <w:rsid w:val="6B2513F0"/>
    <w:rsid w:val="6B25707E"/>
    <w:rsid w:val="6B283615"/>
    <w:rsid w:val="6B28CA77"/>
    <w:rsid w:val="6B29E8E0"/>
    <w:rsid w:val="6B2E15CA"/>
    <w:rsid w:val="6B2F61EF"/>
    <w:rsid w:val="6B310021"/>
    <w:rsid w:val="6B388BD5"/>
    <w:rsid w:val="6B3D6F00"/>
    <w:rsid w:val="6B3EA00E"/>
    <w:rsid w:val="6B4920F6"/>
    <w:rsid w:val="6B5010BE"/>
    <w:rsid w:val="6B5160F3"/>
    <w:rsid w:val="6B51A076"/>
    <w:rsid w:val="6B5A52DC"/>
    <w:rsid w:val="6B5D84C9"/>
    <w:rsid w:val="6B5F6627"/>
    <w:rsid w:val="6B6489A1"/>
    <w:rsid w:val="6B6749BB"/>
    <w:rsid w:val="6B69D9F1"/>
    <w:rsid w:val="6B715693"/>
    <w:rsid w:val="6B761B20"/>
    <w:rsid w:val="6B79AB87"/>
    <w:rsid w:val="6B7B4749"/>
    <w:rsid w:val="6B7BEDBA"/>
    <w:rsid w:val="6B7FDE34"/>
    <w:rsid w:val="6B884305"/>
    <w:rsid w:val="6B8E0483"/>
    <w:rsid w:val="6B90AC58"/>
    <w:rsid w:val="6B918E8E"/>
    <w:rsid w:val="6B9522FF"/>
    <w:rsid w:val="6B95AB98"/>
    <w:rsid w:val="6B962019"/>
    <w:rsid w:val="6B97EDF5"/>
    <w:rsid w:val="6B9A06F6"/>
    <w:rsid w:val="6BA51CF9"/>
    <w:rsid w:val="6BAB1302"/>
    <w:rsid w:val="6BABA098"/>
    <w:rsid w:val="6BABCC62"/>
    <w:rsid w:val="6BAD7CD1"/>
    <w:rsid w:val="6BADE7E8"/>
    <w:rsid w:val="6BB31455"/>
    <w:rsid w:val="6BB584C1"/>
    <w:rsid w:val="6BB6DED5"/>
    <w:rsid w:val="6BB76A44"/>
    <w:rsid w:val="6BB912AB"/>
    <w:rsid w:val="6BB9ADDC"/>
    <w:rsid w:val="6BBB7C0F"/>
    <w:rsid w:val="6BBF9032"/>
    <w:rsid w:val="6BBFB57C"/>
    <w:rsid w:val="6BC14A9C"/>
    <w:rsid w:val="6BC6DE5F"/>
    <w:rsid w:val="6BD21CF4"/>
    <w:rsid w:val="6BD42A1A"/>
    <w:rsid w:val="6BDCB834"/>
    <w:rsid w:val="6BDE4036"/>
    <w:rsid w:val="6BDE5596"/>
    <w:rsid w:val="6BDF060B"/>
    <w:rsid w:val="6BDF9BD4"/>
    <w:rsid w:val="6BE0FED2"/>
    <w:rsid w:val="6BE31ECC"/>
    <w:rsid w:val="6BE5058F"/>
    <w:rsid w:val="6BEAE395"/>
    <w:rsid w:val="6BEB2550"/>
    <w:rsid w:val="6BEEC31A"/>
    <w:rsid w:val="6BF5313C"/>
    <w:rsid w:val="6BF769FB"/>
    <w:rsid w:val="6BF8844D"/>
    <w:rsid w:val="6BFDABA4"/>
    <w:rsid w:val="6BFEF793"/>
    <w:rsid w:val="6C00741D"/>
    <w:rsid w:val="6C009245"/>
    <w:rsid w:val="6C045144"/>
    <w:rsid w:val="6C083AAE"/>
    <w:rsid w:val="6C08F56E"/>
    <w:rsid w:val="6C0AE4BD"/>
    <w:rsid w:val="6C0D14D6"/>
    <w:rsid w:val="6C0EB8DB"/>
    <w:rsid w:val="6C102889"/>
    <w:rsid w:val="6C132B40"/>
    <w:rsid w:val="6C137A1C"/>
    <w:rsid w:val="6C16E7B5"/>
    <w:rsid w:val="6C177436"/>
    <w:rsid w:val="6C19029E"/>
    <w:rsid w:val="6C1CEB22"/>
    <w:rsid w:val="6C1FEBE2"/>
    <w:rsid w:val="6C2060A9"/>
    <w:rsid w:val="6C21256A"/>
    <w:rsid w:val="6C228243"/>
    <w:rsid w:val="6C234545"/>
    <w:rsid w:val="6C234D98"/>
    <w:rsid w:val="6C23E491"/>
    <w:rsid w:val="6C26ADE9"/>
    <w:rsid w:val="6C294985"/>
    <w:rsid w:val="6C2ADB71"/>
    <w:rsid w:val="6C2EC1BC"/>
    <w:rsid w:val="6C2FCB26"/>
    <w:rsid w:val="6C2FCE76"/>
    <w:rsid w:val="6C32C882"/>
    <w:rsid w:val="6C3689DF"/>
    <w:rsid w:val="6C36BD01"/>
    <w:rsid w:val="6C378874"/>
    <w:rsid w:val="6C3C4324"/>
    <w:rsid w:val="6C3F64AD"/>
    <w:rsid w:val="6C3F70D7"/>
    <w:rsid w:val="6C429938"/>
    <w:rsid w:val="6C487C99"/>
    <w:rsid w:val="6C4D15E7"/>
    <w:rsid w:val="6C53976F"/>
    <w:rsid w:val="6C5808F6"/>
    <w:rsid w:val="6C5C9263"/>
    <w:rsid w:val="6C5D652C"/>
    <w:rsid w:val="6C5E2332"/>
    <w:rsid w:val="6C5F4285"/>
    <w:rsid w:val="6C6121CD"/>
    <w:rsid w:val="6C64F423"/>
    <w:rsid w:val="6C653F7E"/>
    <w:rsid w:val="6C659CEB"/>
    <w:rsid w:val="6C666A8B"/>
    <w:rsid w:val="6C6885B4"/>
    <w:rsid w:val="6C68D227"/>
    <w:rsid w:val="6C6AC6E8"/>
    <w:rsid w:val="6C6B89EA"/>
    <w:rsid w:val="6C6C8546"/>
    <w:rsid w:val="6C6F7C44"/>
    <w:rsid w:val="6C709457"/>
    <w:rsid w:val="6C71743F"/>
    <w:rsid w:val="6C719EB0"/>
    <w:rsid w:val="6C73717C"/>
    <w:rsid w:val="6C75F275"/>
    <w:rsid w:val="6C77E3E4"/>
    <w:rsid w:val="6C7BF980"/>
    <w:rsid w:val="6C7C4C7D"/>
    <w:rsid w:val="6C800B23"/>
    <w:rsid w:val="6C83C130"/>
    <w:rsid w:val="6C854315"/>
    <w:rsid w:val="6C8D0C69"/>
    <w:rsid w:val="6C90520A"/>
    <w:rsid w:val="6C98C18A"/>
    <w:rsid w:val="6C99F354"/>
    <w:rsid w:val="6C9C6F88"/>
    <w:rsid w:val="6C9D318F"/>
    <w:rsid w:val="6C9D46D7"/>
    <w:rsid w:val="6C9E8E08"/>
    <w:rsid w:val="6CA8CEA4"/>
    <w:rsid w:val="6CAAA272"/>
    <w:rsid w:val="6CAAE2C2"/>
    <w:rsid w:val="6CAB029B"/>
    <w:rsid w:val="6CAE6F06"/>
    <w:rsid w:val="6CB04261"/>
    <w:rsid w:val="6CB102DC"/>
    <w:rsid w:val="6CB162D0"/>
    <w:rsid w:val="6CB366C5"/>
    <w:rsid w:val="6CB7FDEF"/>
    <w:rsid w:val="6CB82E96"/>
    <w:rsid w:val="6CBC702F"/>
    <w:rsid w:val="6CC0DF0E"/>
    <w:rsid w:val="6CC19137"/>
    <w:rsid w:val="6CC3138C"/>
    <w:rsid w:val="6CC40B1F"/>
    <w:rsid w:val="6CC4C6F7"/>
    <w:rsid w:val="6CC7711E"/>
    <w:rsid w:val="6CC773C4"/>
    <w:rsid w:val="6CC7B967"/>
    <w:rsid w:val="6CC831BD"/>
    <w:rsid w:val="6CC992EB"/>
    <w:rsid w:val="6CCB4D18"/>
    <w:rsid w:val="6CD73EC3"/>
    <w:rsid w:val="6CDBE357"/>
    <w:rsid w:val="6CDD83A8"/>
    <w:rsid w:val="6CDF8466"/>
    <w:rsid w:val="6CE04F0A"/>
    <w:rsid w:val="6CE3373A"/>
    <w:rsid w:val="6CE54A93"/>
    <w:rsid w:val="6CE9774D"/>
    <w:rsid w:val="6CEE79B5"/>
    <w:rsid w:val="6CF08A6C"/>
    <w:rsid w:val="6CF32551"/>
    <w:rsid w:val="6CF59A56"/>
    <w:rsid w:val="6CF7DBCB"/>
    <w:rsid w:val="6CF99E96"/>
    <w:rsid w:val="6CFA1CB6"/>
    <w:rsid w:val="6CFBA0F9"/>
    <w:rsid w:val="6CFC93DA"/>
    <w:rsid w:val="6CFE3AB3"/>
    <w:rsid w:val="6CFEAF62"/>
    <w:rsid w:val="6D00EC92"/>
    <w:rsid w:val="6D016B25"/>
    <w:rsid w:val="6D02CA1A"/>
    <w:rsid w:val="6D05C5F1"/>
    <w:rsid w:val="6D060CB6"/>
    <w:rsid w:val="6D0879D4"/>
    <w:rsid w:val="6D09EE9D"/>
    <w:rsid w:val="6D0AAF70"/>
    <w:rsid w:val="6D0B0633"/>
    <w:rsid w:val="6D0BCCFB"/>
    <w:rsid w:val="6D0BFB1B"/>
    <w:rsid w:val="6D0C11B2"/>
    <w:rsid w:val="6D0C759D"/>
    <w:rsid w:val="6D0DCA6A"/>
    <w:rsid w:val="6D0F2A3A"/>
    <w:rsid w:val="6D117944"/>
    <w:rsid w:val="6D122D20"/>
    <w:rsid w:val="6D13AF15"/>
    <w:rsid w:val="6D16A9FD"/>
    <w:rsid w:val="6D17383A"/>
    <w:rsid w:val="6D1996EC"/>
    <w:rsid w:val="6D1B5E05"/>
    <w:rsid w:val="6D1BAE2D"/>
    <w:rsid w:val="6D1CED8D"/>
    <w:rsid w:val="6D1D1E44"/>
    <w:rsid w:val="6D1ED0C0"/>
    <w:rsid w:val="6D1FA28E"/>
    <w:rsid w:val="6D21FA37"/>
    <w:rsid w:val="6D2836C4"/>
    <w:rsid w:val="6D2A3CC2"/>
    <w:rsid w:val="6D2ACFF7"/>
    <w:rsid w:val="6D2CBEF1"/>
    <w:rsid w:val="6D2CE528"/>
    <w:rsid w:val="6D33E726"/>
    <w:rsid w:val="6D35421F"/>
    <w:rsid w:val="6D3B10C7"/>
    <w:rsid w:val="6D406E52"/>
    <w:rsid w:val="6D417E76"/>
    <w:rsid w:val="6D4229C3"/>
    <w:rsid w:val="6D50F9B1"/>
    <w:rsid w:val="6D521822"/>
    <w:rsid w:val="6D53308A"/>
    <w:rsid w:val="6D55B823"/>
    <w:rsid w:val="6D57B1CE"/>
    <w:rsid w:val="6D58B1B4"/>
    <w:rsid w:val="6D59ACD7"/>
    <w:rsid w:val="6D5B5CE5"/>
    <w:rsid w:val="6D5CA17A"/>
    <w:rsid w:val="6D5DA1E7"/>
    <w:rsid w:val="6D5E6E99"/>
    <w:rsid w:val="6D602A35"/>
    <w:rsid w:val="6D61D88D"/>
    <w:rsid w:val="6D64C575"/>
    <w:rsid w:val="6D6ADBBD"/>
    <w:rsid w:val="6D6DABF7"/>
    <w:rsid w:val="6D724D6E"/>
    <w:rsid w:val="6D73B574"/>
    <w:rsid w:val="6D76AA58"/>
    <w:rsid w:val="6D7A4FB1"/>
    <w:rsid w:val="6D7B4932"/>
    <w:rsid w:val="6D7BF886"/>
    <w:rsid w:val="6D829BE6"/>
    <w:rsid w:val="6D84FB99"/>
    <w:rsid w:val="6D86DA9E"/>
    <w:rsid w:val="6D8E8741"/>
    <w:rsid w:val="6D96CF74"/>
    <w:rsid w:val="6D98B168"/>
    <w:rsid w:val="6D991DE0"/>
    <w:rsid w:val="6D9943B4"/>
    <w:rsid w:val="6D996368"/>
    <w:rsid w:val="6D9D5467"/>
    <w:rsid w:val="6D9F84BC"/>
    <w:rsid w:val="6DA16582"/>
    <w:rsid w:val="6DA38772"/>
    <w:rsid w:val="6DA48016"/>
    <w:rsid w:val="6DA5BC1A"/>
    <w:rsid w:val="6DA7A87F"/>
    <w:rsid w:val="6DA939B8"/>
    <w:rsid w:val="6DAAAE52"/>
    <w:rsid w:val="6DB6F65A"/>
    <w:rsid w:val="6DB77B87"/>
    <w:rsid w:val="6DB86194"/>
    <w:rsid w:val="6DBB553E"/>
    <w:rsid w:val="6DC3850E"/>
    <w:rsid w:val="6DC42B62"/>
    <w:rsid w:val="6DC43244"/>
    <w:rsid w:val="6DC59F10"/>
    <w:rsid w:val="6DC64DC6"/>
    <w:rsid w:val="6DCB9166"/>
    <w:rsid w:val="6DCF2D4A"/>
    <w:rsid w:val="6DD1BD5F"/>
    <w:rsid w:val="6DD39884"/>
    <w:rsid w:val="6DD43446"/>
    <w:rsid w:val="6DD61B9A"/>
    <w:rsid w:val="6DD84EC4"/>
    <w:rsid w:val="6DD8A20D"/>
    <w:rsid w:val="6DDB1BC2"/>
    <w:rsid w:val="6DDC345B"/>
    <w:rsid w:val="6DDF5676"/>
    <w:rsid w:val="6DE48298"/>
    <w:rsid w:val="6DE4D645"/>
    <w:rsid w:val="6DEB5012"/>
    <w:rsid w:val="6DED6F28"/>
    <w:rsid w:val="6DF1AB21"/>
    <w:rsid w:val="6DF2A1AB"/>
    <w:rsid w:val="6DF3D21C"/>
    <w:rsid w:val="6DF4E543"/>
    <w:rsid w:val="6DF5332A"/>
    <w:rsid w:val="6DF535BF"/>
    <w:rsid w:val="6DFA3A0E"/>
    <w:rsid w:val="6DFC6EF3"/>
    <w:rsid w:val="6E01A91F"/>
    <w:rsid w:val="6E0379EF"/>
    <w:rsid w:val="6E04EB16"/>
    <w:rsid w:val="6E0641B1"/>
    <w:rsid w:val="6E0840B2"/>
    <w:rsid w:val="6E0C297D"/>
    <w:rsid w:val="6E0D591D"/>
    <w:rsid w:val="6E0E8E63"/>
    <w:rsid w:val="6E16B611"/>
    <w:rsid w:val="6E1858C8"/>
    <w:rsid w:val="6E1C5F27"/>
    <w:rsid w:val="6E1D34C8"/>
    <w:rsid w:val="6E1DC2C1"/>
    <w:rsid w:val="6E263C2A"/>
    <w:rsid w:val="6E28C961"/>
    <w:rsid w:val="6E2A3E39"/>
    <w:rsid w:val="6E2BEE6F"/>
    <w:rsid w:val="6E2DA8DA"/>
    <w:rsid w:val="6E2F2E14"/>
    <w:rsid w:val="6E2FE8A6"/>
    <w:rsid w:val="6E30E167"/>
    <w:rsid w:val="6E322708"/>
    <w:rsid w:val="6E3446B3"/>
    <w:rsid w:val="6E348708"/>
    <w:rsid w:val="6E357B0D"/>
    <w:rsid w:val="6E374B93"/>
    <w:rsid w:val="6E39EB7D"/>
    <w:rsid w:val="6E3BB507"/>
    <w:rsid w:val="6E3C2206"/>
    <w:rsid w:val="6E3CB4A6"/>
    <w:rsid w:val="6E431C36"/>
    <w:rsid w:val="6E4B5A88"/>
    <w:rsid w:val="6E5030FA"/>
    <w:rsid w:val="6E504216"/>
    <w:rsid w:val="6E5387D6"/>
    <w:rsid w:val="6E55B2C8"/>
    <w:rsid w:val="6E55BC89"/>
    <w:rsid w:val="6E57230F"/>
    <w:rsid w:val="6E58DCEF"/>
    <w:rsid w:val="6E5966AC"/>
    <w:rsid w:val="6E59B011"/>
    <w:rsid w:val="6E5BFD20"/>
    <w:rsid w:val="6E60B5A3"/>
    <w:rsid w:val="6E61C741"/>
    <w:rsid w:val="6E64A0DD"/>
    <w:rsid w:val="6E67CE7F"/>
    <w:rsid w:val="6E6D63B1"/>
    <w:rsid w:val="6E6D871F"/>
    <w:rsid w:val="6E6E0FE9"/>
    <w:rsid w:val="6E707632"/>
    <w:rsid w:val="6E790E1F"/>
    <w:rsid w:val="6E79A4B2"/>
    <w:rsid w:val="6E7EBC31"/>
    <w:rsid w:val="6E7F734F"/>
    <w:rsid w:val="6E804D17"/>
    <w:rsid w:val="6E8511C4"/>
    <w:rsid w:val="6E853DA8"/>
    <w:rsid w:val="6E870490"/>
    <w:rsid w:val="6E890FAD"/>
    <w:rsid w:val="6E8DE759"/>
    <w:rsid w:val="6E906315"/>
    <w:rsid w:val="6E929675"/>
    <w:rsid w:val="6E96369A"/>
    <w:rsid w:val="6E99CA14"/>
    <w:rsid w:val="6E9E0A33"/>
    <w:rsid w:val="6EA49A72"/>
    <w:rsid w:val="6EA501B2"/>
    <w:rsid w:val="6EA5C8B3"/>
    <w:rsid w:val="6EA70CE3"/>
    <w:rsid w:val="6EA9498C"/>
    <w:rsid w:val="6EACA4E8"/>
    <w:rsid w:val="6EACC77C"/>
    <w:rsid w:val="6EB13ED7"/>
    <w:rsid w:val="6EB209A8"/>
    <w:rsid w:val="6EBB2364"/>
    <w:rsid w:val="6EBDA071"/>
    <w:rsid w:val="6EC8B635"/>
    <w:rsid w:val="6ECAC155"/>
    <w:rsid w:val="6ECE3CE9"/>
    <w:rsid w:val="6ECFC8CC"/>
    <w:rsid w:val="6ED39157"/>
    <w:rsid w:val="6ED6047E"/>
    <w:rsid w:val="6ED70209"/>
    <w:rsid w:val="6ED7CCE6"/>
    <w:rsid w:val="6ED84A44"/>
    <w:rsid w:val="6EDD7A96"/>
    <w:rsid w:val="6EE15A5E"/>
    <w:rsid w:val="6EE191BC"/>
    <w:rsid w:val="6EE1DC1B"/>
    <w:rsid w:val="6EE2119D"/>
    <w:rsid w:val="6EE4E6B1"/>
    <w:rsid w:val="6EE75EDB"/>
    <w:rsid w:val="6EE8C6A2"/>
    <w:rsid w:val="6EEA3C99"/>
    <w:rsid w:val="6EED4E48"/>
    <w:rsid w:val="6EEE8F39"/>
    <w:rsid w:val="6EF1E997"/>
    <w:rsid w:val="6EF31206"/>
    <w:rsid w:val="6EF5B963"/>
    <w:rsid w:val="6EF6B23B"/>
    <w:rsid w:val="6EF75BD6"/>
    <w:rsid w:val="6EFB5E5C"/>
    <w:rsid w:val="6EFFA4C1"/>
    <w:rsid w:val="6F01740C"/>
    <w:rsid w:val="6F025F4F"/>
    <w:rsid w:val="6F04F767"/>
    <w:rsid w:val="6F166CD6"/>
    <w:rsid w:val="6F16B9EC"/>
    <w:rsid w:val="6F176BDC"/>
    <w:rsid w:val="6F1AB7E2"/>
    <w:rsid w:val="6F20102A"/>
    <w:rsid w:val="6F268B26"/>
    <w:rsid w:val="6F2C039B"/>
    <w:rsid w:val="6F2C5853"/>
    <w:rsid w:val="6F2E8324"/>
    <w:rsid w:val="6F2FFA9B"/>
    <w:rsid w:val="6F312625"/>
    <w:rsid w:val="6F3179F5"/>
    <w:rsid w:val="6F385865"/>
    <w:rsid w:val="6F3B22ED"/>
    <w:rsid w:val="6F3D35E3"/>
    <w:rsid w:val="6F3E7225"/>
    <w:rsid w:val="6F4262AB"/>
    <w:rsid w:val="6F455D5F"/>
    <w:rsid w:val="6F488F01"/>
    <w:rsid w:val="6F4A5220"/>
    <w:rsid w:val="6F4A9557"/>
    <w:rsid w:val="6F4C4DC0"/>
    <w:rsid w:val="6F4D0F68"/>
    <w:rsid w:val="6F4EC422"/>
    <w:rsid w:val="6F4ED19D"/>
    <w:rsid w:val="6F5053AD"/>
    <w:rsid w:val="6F530D21"/>
    <w:rsid w:val="6F54B6ED"/>
    <w:rsid w:val="6F56171D"/>
    <w:rsid w:val="6F593AFA"/>
    <w:rsid w:val="6F597480"/>
    <w:rsid w:val="6F59A7AB"/>
    <w:rsid w:val="6F59B013"/>
    <w:rsid w:val="6F60EF9A"/>
    <w:rsid w:val="6F61C1DE"/>
    <w:rsid w:val="6F62B89B"/>
    <w:rsid w:val="6F66F441"/>
    <w:rsid w:val="6F6BD96A"/>
    <w:rsid w:val="6F75A3A1"/>
    <w:rsid w:val="6F762A63"/>
    <w:rsid w:val="6F7CE027"/>
    <w:rsid w:val="6F7E36EC"/>
    <w:rsid w:val="6F800EC5"/>
    <w:rsid w:val="6F830B3B"/>
    <w:rsid w:val="6F878C61"/>
    <w:rsid w:val="6F8A224F"/>
    <w:rsid w:val="6F8A44A4"/>
    <w:rsid w:val="6F8B3947"/>
    <w:rsid w:val="6F8C29A6"/>
    <w:rsid w:val="6F8EC1BD"/>
    <w:rsid w:val="6F8F9E78"/>
    <w:rsid w:val="6F900CDB"/>
    <w:rsid w:val="6F95633B"/>
    <w:rsid w:val="6F95C434"/>
    <w:rsid w:val="6F9AF83F"/>
    <w:rsid w:val="6F9B1913"/>
    <w:rsid w:val="6F9DE06B"/>
    <w:rsid w:val="6F9E11D2"/>
    <w:rsid w:val="6FA113AF"/>
    <w:rsid w:val="6FA25D83"/>
    <w:rsid w:val="6FA27AAC"/>
    <w:rsid w:val="6FA687F6"/>
    <w:rsid w:val="6FA6F80D"/>
    <w:rsid w:val="6FA836EC"/>
    <w:rsid w:val="6FAA16D6"/>
    <w:rsid w:val="6FAE3268"/>
    <w:rsid w:val="6FB1345D"/>
    <w:rsid w:val="6FB89303"/>
    <w:rsid w:val="6FB940CE"/>
    <w:rsid w:val="6FBBD287"/>
    <w:rsid w:val="6FBD3336"/>
    <w:rsid w:val="6FC47A58"/>
    <w:rsid w:val="6FC529A2"/>
    <w:rsid w:val="6FC99FC4"/>
    <w:rsid w:val="6FCB7AD0"/>
    <w:rsid w:val="6FCCD6BF"/>
    <w:rsid w:val="6FCDAC72"/>
    <w:rsid w:val="6FCE95E9"/>
    <w:rsid w:val="6FCF3766"/>
    <w:rsid w:val="6FD0BE44"/>
    <w:rsid w:val="6FD0E038"/>
    <w:rsid w:val="6FD29554"/>
    <w:rsid w:val="6FD3A3E9"/>
    <w:rsid w:val="6FD5A443"/>
    <w:rsid w:val="6FD6AAC4"/>
    <w:rsid w:val="6FD6DFF3"/>
    <w:rsid w:val="6FDDFCDF"/>
    <w:rsid w:val="6FE0E313"/>
    <w:rsid w:val="6FE1BD8A"/>
    <w:rsid w:val="6FE36F99"/>
    <w:rsid w:val="6FE3C291"/>
    <w:rsid w:val="6FEB7D0A"/>
    <w:rsid w:val="6FEE012F"/>
    <w:rsid w:val="6FEE13D0"/>
    <w:rsid w:val="6FF11D15"/>
    <w:rsid w:val="6FF13A7B"/>
    <w:rsid w:val="6FF24258"/>
    <w:rsid w:val="6FF2D6DC"/>
    <w:rsid w:val="6FF4F26D"/>
    <w:rsid w:val="6FFEB2C9"/>
    <w:rsid w:val="6FFF2769"/>
    <w:rsid w:val="6FFFAA8F"/>
    <w:rsid w:val="7000AE37"/>
    <w:rsid w:val="700168FA"/>
    <w:rsid w:val="70019B02"/>
    <w:rsid w:val="7001A41B"/>
    <w:rsid w:val="700266D4"/>
    <w:rsid w:val="70029C8D"/>
    <w:rsid w:val="7004E940"/>
    <w:rsid w:val="7007C0CE"/>
    <w:rsid w:val="7009BF8A"/>
    <w:rsid w:val="700C04AB"/>
    <w:rsid w:val="700E99D6"/>
    <w:rsid w:val="700EFFE8"/>
    <w:rsid w:val="7014ADAB"/>
    <w:rsid w:val="70199CAF"/>
    <w:rsid w:val="701B6D78"/>
    <w:rsid w:val="70208763"/>
    <w:rsid w:val="7023B6BA"/>
    <w:rsid w:val="7024AE45"/>
    <w:rsid w:val="7025ED4D"/>
    <w:rsid w:val="702637E2"/>
    <w:rsid w:val="702686DB"/>
    <w:rsid w:val="7026BFED"/>
    <w:rsid w:val="70288685"/>
    <w:rsid w:val="7028D690"/>
    <w:rsid w:val="702B6496"/>
    <w:rsid w:val="702B715B"/>
    <w:rsid w:val="702D6E93"/>
    <w:rsid w:val="702E4BCA"/>
    <w:rsid w:val="7030A826"/>
    <w:rsid w:val="70324EBD"/>
    <w:rsid w:val="7032F547"/>
    <w:rsid w:val="703C5BE8"/>
    <w:rsid w:val="703D2B17"/>
    <w:rsid w:val="703D830D"/>
    <w:rsid w:val="704167E5"/>
    <w:rsid w:val="70429B35"/>
    <w:rsid w:val="7046222E"/>
    <w:rsid w:val="704A37F5"/>
    <w:rsid w:val="704A4E7C"/>
    <w:rsid w:val="704AB618"/>
    <w:rsid w:val="704B7534"/>
    <w:rsid w:val="704D26D0"/>
    <w:rsid w:val="70542EE0"/>
    <w:rsid w:val="70558EB8"/>
    <w:rsid w:val="7055A19A"/>
    <w:rsid w:val="7055B9F1"/>
    <w:rsid w:val="705B8061"/>
    <w:rsid w:val="705C1F60"/>
    <w:rsid w:val="705EBAFD"/>
    <w:rsid w:val="70610B84"/>
    <w:rsid w:val="706247BE"/>
    <w:rsid w:val="7069EA38"/>
    <w:rsid w:val="706B2861"/>
    <w:rsid w:val="706BD90A"/>
    <w:rsid w:val="706C1AA4"/>
    <w:rsid w:val="706E8374"/>
    <w:rsid w:val="7073B9F6"/>
    <w:rsid w:val="7079B015"/>
    <w:rsid w:val="707AD32A"/>
    <w:rsid w:val="707C7298"/>
    <w:rsid w:val="707F3E0E"/>
    <w:rsid w:val="708215E7"/>
    <w:rsid w:val="708626F3"/>
    <w:rsid w:val="7088DB29"/>
    <w:rsid w:val="708C2082"/>
    <w:rsid w:val="708DF83C"/>
    <w:rsid w:val="709066A0"/>
    <w:rsid w:val="70910569"/>
    <w:rsid w:val="7092B4DD"/>
    <w:rsid w:val="70950889"/>
    <w:rsid w:val="70954DC3"/>
    <w:rsid w:val="70957356"/>
    <w:rsid w:val="7098E541"/>
    <w:rsid w:val="709CCB22"/>
    <w:rsid w:val="709F9602"/>
    <w:rsid w:val="70A54DAF"/>
    <w:rsid w:val="70AA01EE"/>
    <w:rsid w:val="70AE0E25"/>
    <w:rsid w:val="70B0309D"/>
    <w:rsid w:val="70B2AD8A"/>
    <w:rsid w:val="70B4E743"/>
    <w:rsid w:val="70B4F23B"/>
    <w:rsid w:val="70B59897"/>
    <w:rsid w:val="70B5D2D7"/>
    <w:rsid w:val="70B610EA"/>
    <w:rsid w:val="70B7CFBF"/>
    <w:rsid w:val="70BAF7B0"/>
    <w:rsid w:val="70BDED9F"/>
    <w:rsid w:val="70BFF997"/>
    <w:rsid w:val="70C1B33F"/>
    <w:rsid w:val="70C3178B"/>
    <w:rsid w:val="70C3C3A6"/>
    <w:rsid w:val="70C49FF5"/>
    <w:rsid w:val="70C56EA6"/>
    <w:rsid w:val="70C62D4A"/>
    <w:rsid w:val="70C68AC9"/>
    <w:rsid w:val="70C97D8D"/>
    <w:rsid w:val="70CA4594"/>
    <w:rsid w:val="70CBF27D"/>
    <w:rsid w:val="70CCCA91"/>
    <w:rsid w:val="70D68FF9"/>
    <w:rsid w:val="70DCFA19"/>
    <w:rsid w:val="70E240A5"/>
    <w:rsid w:val="70E7C569"/>
    <w:rsid w:val="70EA561C"/>
    <w:rsid w:val="70EDCEAD"/>
    <w:rsid w:val="70EE9144"/>
    <w:rsid w:val="70EFE148"/>
    <w:rsid w:val="70F1412A"/>
    <w:rsid w:val="70F35C85"/>
    <w:rsid w:val="70F6C7B1"/>
    <w:rsid w:val="70F852C8"/>
    <w:rsid w:val="70FA8C91"/>
    <w:rsid w:val="71042B32"/>
    <w:rsid w:val="710491EA"/>
    <w:rsid w:val="7107DA54"/>
    <w:rsid w:val="710A2B46"/>
    <w:rsid w:val="710B5BF9"/>
    <w:rsid w:val="710BB729"/>
    <w:rsid w:val="71104A4F"/>
    <w:rsid w:val="71139FCC"/>
    <w:rsid w:val="711513BC"/>
    <w:rsid w:val="7115235D"/>
    <w:rsid w:val="71183E82"/>
    <w:rsid w:val="711BBB8D"/>
    <w:rsid w:val="711F0986"/>
    <w:rsid w:val="7120FEB5"/>
    <w:rsid w:val="7122CA5E"/>
    <w:rsid w:val="7124B8DF"/>
    <w:rsid w:val="7125497C"/>
    <w:rsid w:val="7129105C"/>
    <w:rsid w:val="712AF97A"/>
    <w:rsid w:val="712E5D94"/>
    <w:rsid w:val="712EE1C7"/>
    <w:rsid w:val="712FBEF9"/>
    <w:rsid w:val="71363E04"/>
    <w:rsid w:val="713BBD9E"/>
    <w:rsid w:val="714040F1"/>
    <w:rsid w:val="714090AC"/>
    <w:rsid w:val="714366E4"/>
    <w:rsid w:val="71437818"/>
    <w:rsid w:val="71456B28"/>
    <w:rsid w:val="71462750"/>
    <w:rsid w:val="7146ABCA"/>
    <w:rsid w:val="71482885"/>
    <w:rsid w:val="714882E9"/>
    <w:rsid w:val="7149ADA0"/>
    <w:rsid w:val="714A7CE8"/>
    <w:rsid w:val="714A8B74"/>
    <w:rsid w:val="714BAF7C"/>
    <w:rsid w:val="714E8C2F"/>
    <w:rsid w:val="714FB795"/>
    <w:rsid w:val="71539BFD"/>
    <w:rsid w:val="7157610A"/>
    <w:rsid w:val="715A523B"/>
    <w:rsid w:val="715E8766"/>
    <w:rsid w:val="71653AA0"/>
    <w:rsid w:val="7167F87A"/>
    <w:rsid w:val="7168C291"/>
    <w:rsid w:val="7168E121"/>
    <w:rsid w:val="7169041F"/>
    <w:rsid w:val="716AA29B"/>
    <w:rsid w:val="716B52A7"/>
    <w:rsid w:val="716BFD13"/>
    <w:rsid w:val="716EF14A"/>
    <w:rsid w:val="716FD8DB"/>
    <w:rsid w:val="7172F592"/>
    <w:rsid w:val="71749D9B"/>
    <w:rsid w:val="71775A16"/>
    <w:rsid w:val="7179D1B6"/>
    <w:rsid w:val="717ABFA1"/>
    <w:rsid w:val="717DC99B"/>
    <w:rsid w:val="717FB4E3"/>
    <w:rsid w:val="7187C000"/>
    <w:rsid w:val="718AA2BE"/>
    <w:rsid w:val="718ACD36"/>
    <w:rsid w:val="718C2F3A"/>
    <w:rsid w:val="718C38FC"/>
    <w:rsid w:val="718E5BC5"/>
    <w:rsid w:val="7190DF35"/>
    <w:rsid w:val="7191CBA2"/>
    <w:rsid w:val="719261AC"/>
    <w:rsid w:val="71992522"/>
    <w:rsid w:val="719ED50E"/>
    <w:rsid w:val="719EE350"/>
    <w:rsid w:val="71A0127D"/>
    <w:rsid w:val="71A1DAA1"/>
    <w:rsid w:val="71A82376"/>
    <w:rsid w:val="71AAD088"/>
    <w:rsid w:val="71AB8EA3"/>
    <w:rsid w:val="71AEB5D1"/>
    <w:rsid w:val="71B09456"/>
    <w:rsid w:val="71B65BD4"/>
    <w:rsid w:val="71B76661"/>
    <w:rsid w:val="71BAF9E1"/>
    <w:rsid w:val="71BEF0D7"/>
    <w:rsid w:val="71BF1238"/>
    <w:rsid w:val="71C1A16E"/>
    <w:rsid w:val="71C22351"/>
    <w:rsid w:val="71C2BA85"/>
    <w:rsid w:val="71C2F849"/>
    <w:rsid w:val="71C84DD2"/>
    <w:rsid w:val="71C9756C"/>
    <w:rsid w:val="71CADEAE"/>
    <w:rsid w:val="71CFAD31"/>
    <w:rsid w:val="71D2D21A"/>
    <w:rsid w:val="71D731C1"/>
    <w:rsid w:val="71E41205"/>
    <w:rsid w:val="71E88964"/>
    <w:rsid w:val="71E96867"/>
    <w:rsid w:val="71EC99A3"/>
    <w:rsid w:val="71EE19F3"/>
    <w:rsid w:val="71F222CB"/>
    <w:rsid w:val="71F3A3C5"/>
    <w:rsid w:val="71F4F9D2"/>
    <w:rsid w:val="71F994F7"/>
    <w:rsid w:val="72020D6C"/>
    <w:rsid w:val="72029A93"/>
    <w:rsid w:val="7203C02E"/>
    <w:rsid w:val="7204D01B"/>
    <w:rsid w:val="7206FA28"/>
    <w:rsid w:val="720C5FE6"/>
    <w:rsid w:val="720F0D3F"/>
    <w:rsid w:val="72106148"/>
    <w:rsid w:val="7211032F"/>
    <w:rsid w:val="7215DA8D"/>
    <w:rsid w:val="72160C86"/>
    <w:rsid w:val="72169D40"/>
    <w:rsid w:val="72171FB5"/>
    <w:rsid w:val="7219225E"/>
    <w:rsid w:val="721CC2D9"/>
    <w:rsid w:val="72240ED9"/>
    <w:rsid w:val="722525CA"/>
    <w:rsid w:val="72260295"/>
    <w:rsid w:val="7226738B"/>
    <w:rsid w:val="7226BB35"/>
    <w:rsid w:val="722E7F06"/>
    <w:rsid w:val="723055A0"/>
    <w:rsid w:val="723074B8"/>
    <w:rsid w:val="72322173"/>
    <w:rsid w:val="72341B3D"/>
    <w:rsid w:val="72356005"/>
    <w:rsid w:val="723607B8"/>
    <w:rsid w:val="723D2B51"/>
    <w:rsid w:val="723E7EF1"/>
    <w:rsid w:val="7243E564"/>
    <w:rsid w:val="72468051"/>
    <w:rsid w:val="7249EC96"/>
    <w:rsid w:val="724BFDBF"/>
    <w:rsid w:val="724D033D"/>
    <w:rsid w:val="7250E88A"/>
    <w:rsid w:val="7253B719"/>
    <w:rsid w:val="7254987F"/>
    <w:rsid w:val="72557E0C"/>
    <w:rsid w:val="72580CB7"/>
    <w:rsid w:val="72594CC0"/>
    <w:rsid w:val="725A957D"/>
    <w:rsid w:val="725C7B4B"/>
    <w:rsid w:val="7264870A"/>
    <w:rsid w:val="726914C7"/>
    <w:rsid w:val="7269380E"/>
    <w:rsid w:val="7269CF16"/>
    <w:rsid w:val="726E9449"/>
    <w:rsid w:val="726F26C2"/>
    <w:rsid w:val="7274D6A5"/>
    <w:rsid w:val="727CD822"/>
    <w:rsid w:val="727E2A43"/>
    <w:rsid w:val="72800CE2"/>
    <w:rsid w:val="7284E01A"/>
    <w:rsid w:val="7287FC27"/>
    <w:rsid w:val="7289CD2A"/>
    <w:rsid w:val="728D2946"/>
    <w:rsid w:val="72928685"/>
    <w:rsid w:val="72939523"/>
    <w:rsid w:val="7294D68C"/>
    <w:rsid w:val="729A7D7A"/>
    <w:rsid w:val="729A8497"/>
    <w:rsid w:val="729D62E1"/>
    <w:rsid w:val="729DC130"/>
    <w:rsid w:val="72A00CE6"/>
    <w:rsid w:val="72A6C725"/>
    <w:rsid w:val="72A77C4B"/>
    <w:rsid w:val="72A9FB23"/>
    <w:rsid w:val="72AC7820"/>
    <w:rsid w:val="72B27475"/>
    <w:rsid w:val="72B4886B"/>
    <w:rsid w:val="72B54A8D"/>
    <w:rsid w:val="72BED6A8"/>
    <w:rsid w:val="72C0A826"/>
    <w:rsid w:val="72C21237"/>
    <w:rsid w:val="72C2B823"/>
    <w:rsid w:val="72C897E7"/>
    <w:rsid w:val="72CC2679"/>
    <w:rsid w:val="72CD47C1"/>
    <w:rsid w:val="72CFF009"/>
    <w:rsid w:val="72D1A2D1"/>
    <w:rsid w:val="72D1BB9B"/>
    <w:rsid w:val="72D3DA26"/>
    <w:rsid w:val="72D43138"/>
    <w:rsid w:val="72D44F4C"/>
    <w:rsid w:val="72D54FC3"/>
    <w:rsid w:val="72D6DF7E"/>
    <w:rsid w:val="72D904F9"/>
    <w:rsid w:val="72D90658"/>
    <w:rsid w:val="72DB0DC3"/>
    <w:rsid w:val="72DD5D19"/>
    <w:rsid w:val="72E46129"/>
    <w:rsid w:val="72E6C389"/>
    <w:rsid w:val="72EC2BF1"/>
    <w:rsid w:val="72EE38CB"/>
    <w:rsid w:val="72EE4B70"/>
    <w:rsid w:val="72F083CE"/>
    <w:rsid w:val="72F2983C"/>
    <w:rsid w:val="72F9A8AB"/>
    <w:rsid w:val="72F9FE28"/>
    <w:rsid w:val="72FA542D"/>
    <w:rsid w:val="72FB4779"/>
    <w:rsid w:val="72FCD389"/>
    <w:rsid w:val="73028D11"/>
    <w:rsid w:val="7302ABF7"/>
    <w:rsid w:val="73048FFD"/>
    <w:rsid w:val="73079771"/>
    <w:rsid w:val="73079DAC"/>
    <w:rsid w:val="730B4492"/>
    <w:rsid w:val="730FDB13"/>
    <w:rsid w:val="7316D924"/>
    <w:rsid w:val="7318C31B"/>
    <w:rsid w:val="73191C82"/>
    <w:rsid w:val="731C72AB"/>
    <w:rsid w:val="731F017C"/>
    <w:rsid w:val="7324DFC5"/>
    <w:rsid w:val="732517FB"/>
    <w:rsid w:val="73274941"/>
    <w:rsid w:val="73281E5D"/>
    <w:rsid w:val="732AC9EC"/>
    <w:rsid w:val="732B4FB6"/>
    <w:rsid w:val="732C48D4"/>
    <w:rsid w:val="732D5ABF"/>
    <w:rsid w:val="73301343"/>
    <w:rsid w:val="7333C6DD"/>
    <w:rsid w:val="7335C304"/>
    <w:rsid w:val="73377BD4"/>
    <w:rsid w:val="7337E302"/>
    <w:rsid w:val="7338285A"/>
    <w:rsid w:val="73419DF1"/>
    <w:rsid w:val="734295E2"/>
    <w:rsid w:val="7347C150"/>
    <w:rsid w:val="734923BB"/>
    <w:rsid w:val="734A680B"/>
    <w:rsid w:val="734E129B"/>
    <w:rsid w:val="734E2506"/>
    <w:rsid w:val="734FBBC9"/>
    <w:rsid w:val="73525730"/>
    <w:rsid w:val="7357CE6F"/>
    <w:rsid w:val="73584214"/>
    <w:rsid w:val="735F6E00"/>
    <w:rsid w:val="736210B2"/>
    <w:rsid w:val="73633BB1"/>
    <w:rsid w:val="73649292"/>
    <w:rsid w:val="7366C64F"/>
    <w:rsid w:val="7367CBAE"/>
    <w:rsid w:val="7372EB6E"/>
    <w:rsid w:val="737DE511"/>
    <w:rsid w:val="737EF5E3"/>
    <w:rsid w:val="737F193A"/>
    <w:rsid w:val="7385694B"/>
    <w:rsid w:val="73856A79"/>
    <w:rsid w:val="738728CB"/>
    <w:rsid w:val="738D5266"/>
    <w:rsid w:val="738F993B"/>
    <w:rsid w:val="738FB71E"/>
    <w:rsid w:val="73905F86"/>
    <w:rsid w:val="7396B561"/>
    <w:rsid w:val="7399D484"/>
    <w:rsid w:val="739B9F7A"/>
    <w:rsid w:val="739CB310"/>
    <w:rsid w:val="739E8A45"/>
    <w:rsid w:val="739EBD9C"/>
    <w:rsid w:val="73A594A5"/>
    <w:rsid w:val="73A5E04B"/>
    <w:rsid w:val="73A736AE"/>
    <w:rsid w:val="73A8A07F"/>
    <w:rsid w:val="73A97750"/>
    <w:rsid w:val="73AA8FA3"/>
    <w:rsid w:val="73AD0A72"/>
    <w:rsid w:val="73B2B819"/>
    <w:rsid w:val="73B6670C"/>
    <w:rsid w:val="73B71493"/>
    <w:rsid w:val="73B787FA"/>
    <w:rsid w:val="73B99672"/>
    <w:rsid w:val="73BBD06D"/>
    <w:rsid w:val="73BCC277"/>
    <w:rsid w:val="73BECD56"/>
    <w:rsid w:val="73C1585D"/>
    <w:rsid w:val="73C3230C"/>
    <w:rsid w:val="73C3FFA0"/>
    <w:rsid w:val="73C8AA19"/>
    <w:rsid w:val="73CA5F30"/>
    <w:rsid w:val="73CB0892"/>
    <w:rsid w:val="73CDE60E"/>
    <w:rsid w:val="73CF9B24"/>
    <w:rsid w:val="73DA4C9B"/>
    <w:rsid w:val="73DC613D"/>
    <w:rsid w:val="73DF268B"/>
    <w:rsid w:val="73DFB61E"/>
    <w:rsid w:val="73E254E8"/>
    <w:rsid w:val="73E31CD1"/>
    <w:rsid w:val="73E4317B"/>
    <w:rsid w:val="73E9885E"/>
    <w:rsid w:val="73E99B8E"/>
    <w:rsid w:val="73EA78EA"/>
    <w:rsid w:val="73F113CB"/>
    <w:rsid w:val="73F34F24"/>
    <w:rsid w:val="73F98263"/>
    <w:rsid w:val="74015EB6"/>
    <w:rsid w:val="740312EE"/>
    <w:rsid w:val="74085FC6"/>
    <w:rsid w:val="740C6FF4"/>
    <w:rsid w:val="740D2C35"/>
    <w:rsid w:val="740D6436"/>
    <w:rsid w:val="740FBFBE"/>
    <w:rsid w:val="741099BA"/>
    <w:rsid w:val="74180113"/>
    <w:rsid w:val="741897C4"/>
    <w:rsid w:val="7418B869"/>
    <w:rsid w:val="741B7681"/>
    <w:rsid w:val="741CB96B"/>
    <w:rsid w:val="741DC35B"/>
    <w:rsid w:val="74205E0C"/>
    <w:rsid w:val="7424840C"/>
    <w:rsid w:val="7424D167"/>
    <w:rsid w:val="742610D3"/>
    <w:rsid w:val="742BC687"/>
    <w:rsid w:val="742E6F41"/>
    <w:rsid w:val="742EE041"/>
    <w:rsid w:val="7437CA40"/>
    <w:rsid w:val="7439918C"/>
    <w:rsid w:val="743B6A0E"/>
    <w:rsid w:val="743D90E5"/>
    <w:rsid w:val="743E6094"/>
    <w:rsid w:val="74421180"/>
    <w:rsid w:val="744658EA"/>
    <w:rsid w:val="744C0CB2"/>
    <w:rsid w:val="744E4BAC"/>
    <w:rsid w:val="744EC0A0"/>
    <w:rsid w:val="7456DC0A"/>
    <w:rsid w:val="74573DB9"/>
    <w:rsid w:val="7457C38E"/>
    <w:rsid w:val="745AAAF9"/>
    <w:rsid w:val="745B7037"/>
    <w:rsid w:val="745CFA7E"/>
    <w:rsid w:val="745D0B92"/>
    <w:rsid w:val="745E51DF"/>
    <w:rsid w:val="74621531"/>
    <w:rsid w:val="7468CF14"/>
    <w:rsid w:val="74694F23"/>
    <w:rsid w:val="74695E5D"/>
    <w:rsid w:val="7478C814"/>
    <w:rsid w:val="747AB72B"/>
    <w:rsid w:val="747B3F70"/>
    <w:rsid w:val="748192F1"/>
    <w:rsid w:val="7481D81E"/>
    <w:rsid w:val="74820260"/>
    <w:rsid w:val="7484F4F6"/>
    <w:rsid w:val="74877A0F"/>
    <w:rsid w:val="748A966A"/>
    <w:rsid w:val="748C094D"/>
    <w:rsid w:val="748C1170"/>
    <w:rsid w:val="748DE301"/>
    <w:rsid w:val="748EE42C"/>
    <w:rsid w:val="74904563"/>
    <w:rsid w:val="7493516A"/>
    <w:rsid w:val="7493E2B0"/>
    <w:rsid w:val="749532E0"/>
    <w:rsid w:val="74A03C47"/>
    <w:rsid w:val="74A0E5CA"/>
    <w:rsid w:val="74A2CAD8"/>
    <w:rsid w:val="74A507D9"/>
    <w:rsid w:val="74AAEEFD"/>
    <w:rsid w:val="74AD2DAD"/>
    <w:rsid w:val="74B698BC"/>
    <w:rsid w:val="74BB7F21"/>
    <w:rsid w:val="74BCCE38"/>
    <w:rsid w:val="74BCD618"/>
    <w:rsid w:val="74C2C2F7"/>
    <w:rsid w:val="74C4CA75"/>
    <w:rsid w:val="74C595F6"/>
    <w:rsid w:val="74C59A3E"/>
    <w:rsid w:val="74C5EC37"/>
    <w:rsid w:val="74C9B7BA"/>
    <w:rsid w:val="74CBBBBE"/>
    <w:rsid w:val="74CDE6F1"/>
    <w:rsid w:val="74CE2494"/>
    <w:rsid w:val="74D5062B"/>
    <w:rsid w:val="74D6EB94"/>
    <w:rsid w:val="74D71B3F"/>
    <w:rsid w:val="74DB9A72"/>
    <w:rsid w:val="74E21D36"/>
    <w:rsid w:val="74E54932"/>
    <w:rsid w:val="74E5C9B3"/>
    <w:rsid w:val="74E611BC"/>
    <w:rsid w:val="74E6C3E6"/>
    <w:rsid w:val="74E749BC"/>
    <w:rsid w:val="74F0999E"/>
    <w:rsid w:val="74F1F6D6"/>
    <w:rsid w:val="74F32F22"/>
    <w:rsid w:val="74F4AB78"/>
    <w:rsid w:val="74F51FD6"/>
    <w:rsid w:val="74F589BF"/>
    <w:rsid w:val="74F6E2A4"/>
    <w:rsid w:val="74FA6A15"/>
    <w:rsid w:val="74FAC330"/>
    <w:rsid w:val="74FE3F1E"/>
    <w:rsid w:val="7501CC7B"/>
    <w:rsid w:val="75030D8C"/>
    <w:rsid w:val="7504789E"/>
    <w:rsid w:val="7509DBA4"/>
    <w:rsid w:val="75107D06"/>
    <w:rsid w:val="7512DF48"/>
    <w:rsid w:val="7514C9AD"/>
    <w:rsid w:val="751769FC"/>
    <w:rsid w:val="751AE4A5"/>
    <w:rsid w:val="751D982F"/>
    <w:rsid w:val="7522A2AD"/>
    <w:rsid w:val="7523B0CA"/>
    <w:rsid w:val="7523E0F9"/>
    <w:rsid w:val="7526BA3E"/>
    <w:rsid w:val="75288EF0"/>
    <w:rsid w:val="752B35CA"/>
    <w:rsid w:val="752B4EFB"/>
    <w:rsid w:val="752CF37C"/>
    <w:rsid w:val="7530EC1D"/>
    <w:rsid w:val="7533CCBD"/>
    <w:rsid w:val="75340B57"/>
    <w:rsid w:val="7536B95E"/>
    <w:rsid w:val="753DB02F"/>
    <w:rsid w:val="753E3914"/>
    <w:rsid w:val="753E5C2C"/>
    <w:rsid w:val="75423E3D"/>
    <w:rsid w:val="7542CFDB"/>
    <w:rsid w:val="754382F1"/>
    <w:rsid w:val="7546761B"/>
    <w:rsid w:val="7547653D"/>
    <w:rsid w:val="7548DFF4"/>
    <w:rsid w:val="75490F4A"/>
    <w:rsid w:val="754A078A"/>
    <w:rsid w:val="754A62CC"/>
    <w:rsid w:val="754C9BC7"/>
    <w:rsid w:val="754EDD47"/>
    <w:rsid w:val="754F8803"/>
    <w:rsid w:val="75524C4C"/>
    <w:rsid w:val="75556EDF"/>
    <w:rsid w:val="7556A859"/>
    <w:rsid w:val="75606AFC"/>
    <w:rsid w:val="75611024"/>
    <w:rsid w:val="75614971"/>
    <w:rsid w:val="7567604E"/>
    <w:rsid w:val="7568C45A"/>
    <w:rsid w:val="756993B0"/>
    <w:rsid w:val="7570150E"/>
    <w:rsid w:val="7572815F"/>
    <w:rsid w:val="757526A3"/>
    <w:rsid w:val="757579A8"/>
    <w:rsid w:val="7575A364"/>
    <w:rsid w:val="7578446D"/>
    <w:rsid w:val="75797C79"/>
    <w:rsid w:val="757C16D1"/>
    <w:rsid w:val="757C674D"/>
    <w:rsid w:val="7584423C"/>
    <w:rsid w:val="7584FC0F"/>
    <w:rsid w:val="758B5ACE"/>
    <w:rsid w:val="758BBDCB"/>
    <w:rsid w:val="758C152A"/>
    <w:rsid w:val="758C5C2C"/>
    <w:rsid w:val="758C8F27"/>
    <w:rsid w:val="758D2B0B"/>
    <w:rsid w:val="7591D638"/>
    <w:rsid w:val="7594BB4C"/>
    <w:rsid w:val="7597703E"/>
    <w:rsid w:val="759C0E1D"/>
    <w:rsid w:val="759FFE7A"/>
    <w:rsid w:val="75A05A6E"/>
    <w:rsid w:val="75A326A9"/>
    <w:rsid w:val="75A3F445"/>
    <w:rsid w:val="75A6B3A3"/>
    <w:rsid w:val="75AC494B"/>
    <w:rsid w:val="75B38A14"/>
    <w:rsid w:val="75B54694"/>
    <w:rsid w:val="75B62CB8"/>
    <w:rsid w:val="75B6800B"/>
    <w:rsid w:val="75B72A3C"/>
    <w:rsid w:val="75BB0463"/>
    <w:rsid w:val="75BB8CF4"/>
    <w:rsid w:val="75BD728D"/>
    <w:rsid w:val="75BEB106"/>
    <w:rsid w:val="75BFCA87"/>
    <w:rsid w:val="75C07DD5"/>
    <w:rsid w:val="75C1D8F8"/>
    <w:rsid w:val="75C214C0"/>
    <w:rsid w:val="75C231D3"/>
    <w:rsid w:val="75C2D4F2"/>
    <w:rsid w:val="75C6D47A"/>
    <w:rsid w:val="75C804CF"/>
    <w:rsid w:val="75CA36E5"/>
    <w:rsid w:val="75CBD7B2"/>
    <w:rsid w:val="75CC0FD0"/>
    <w:rsid w:val="75CC5B17"/>
    <w:rsid w:val="75CC5FB1"/>
    <w:rsid w:val="75CD09B0"/>
    <w:rsid w:val="75CEDE33"/>
    <w:rsid w:val="75D14345"/>
    <w:rsid w:val="75D172A2"/>
    <w:rsid w:val="75D5A421"/>
    <w:rsid w:val="75DA3262"/>
    <w:rsid w:val="75DBF562"/>
    <w:rsid w:val="75DF7872"/>
    <w:rsid w:val="75E12F12"/>
    <w:rsid w:val="75E37CD5"/>
    <w:rsid w:val="75EE3E11"/>
    <w:rsid w:val="75EEAF51"/>
    <w:rsid w:val="75F133E9"/>
    <w:rsid w:val="75F149BC"/>
    <w:rsid w:val="75F2433D"/>
    <w:rsid w:val="75F3DE26"/>
    <w:rsid w:val="75F59B3F"/>
    <w:rsid w:val="75F79207"/>
    <w:rsid w:val="75FA891B"/>
    <w:rsid w:val="75FAD6A7"/>
    <w:rsid w:val="75FD0A41"/>
    <w:rsid w:val="7600C2DB"/>
    <w:rsid w:val="76011919"/>
    <w:rsid w:val="7601457D"/>
    <w:rsid w:val="760246B4"/>
    <w:rsid w:val="760382BF"/>
    <w:rsid w:val="7609BDDC"/>
    <w:rsid w:val="76115D01"/>
    <w:rsid w:val="7615D7FB"/>
    <w:rsid w:val="761FAE13"/>
    <w:rsid w:val="762016FB"/>
    <w:rsid w:val="7620804A"/>
    <w:rsid w:val="7622555B"/>
    <w:rsid w:val="76243874"/>
    <w:rsid w:val="76247CF7"/>
    <w:rsid w:val="7624ADF5"/>
    <w:rsid w:val="7625B82C"/>
    <w:rsid w:val="76260FEF"/>
    <w:rsid w:val="76276632"/>
    <w:rsid w:val="7627664D"/>
    <w:rsid w:val="7627F126"/>
    <w:rsid w:val="76284FFB"/>
    <w:rsid w:val="762A58A5"/>
    <w:rsid w:val="762D233B"/>
    <w:rsid w:val="762D7822"/>
    <w:rsid w:val="7633EEE4"/>
    <w:rsid w:val="7634A197"/>
    <w:rsid w:val="7634F905"/>
    <w:rsid w:val="76359F32"/>
    <w:rsid w:val="763B0576"/>
    <w:rsid w:val="763C5C8C"/>
    <w:rsid w:val="76400557"/>
    <w:rsid w:val="76485E63"/>
    <w:rsid w:val="76494970"/>
    <w:rsid w:val="764A24F0"/>
    <w:rsid w:val="764DDC60"/>
    <w:rsid w:val="76509CCD"/>
    <w:rsid w:val="765783C2"/>
    <w:rsid w:val="765EF6CA"/>
    <w:rsid w:val="7660F328"/>
    <w:rsid w:val="7661AC43"/>
    <w:rsid w:val="7663558E"/>
    <w:rsid w:val="766F7296"/>
    <w:rsid w:val="7670C19F"/>
    <w:rsid w:val="76717BF2"/>
    <w:rsid w:val="7673C12C"/>
    <w:rsid w:val="7676D35B"/>
    <w:rsid w:val="767A47A2"/>
    <w:rsid w:val="767DF26F"/>
    <w:rsid w:val="7684BB5F"/>
    <w:rsid w:val="7690268A"/>
    <w:rsid w:val="76943B50"/>
    <w:rsid w:val="769CD234"/>
    <w:rsid w:val="76A154C0"/>
    <w:rsid w:val="76A2EC38"/>
    <w:rsid w:val="76A2FC90"/>
    <w:rsid w:val="76A51E88"/>
    <w:rsid w:val="76A85606"/>
    <w:rsid w:val="76AB8666"/>
    <w:rsid w:val="76B1C0B2"/>
    <w:rsid w:val="76B4850B"/>
    <w:rsid w:val="76B4B457"/>
    <w:rsid w:val="76B7D1C6"/>
    <w:rsid w:val="76B7FE0F"/>
    <w:rsid w:val="76B82AD5"/>
    <w:rsid w:val="76B9FBEE"/>
    <w:rsid w:val="76BDA845"/>
    <w:rsid w:val="76BF4A6A"/>
    <w:rsid w:val="76CABEF5"/>
    <w:rsid w:val="76CB781B"/>
    <w:rsid w:val="76CC30D7"/>
    <w:rsid w:val="76CDD0F0"/>
    <w:rsid w:val="76CED138"/>
    <w:rsid w:val="76D0C1D3"/>
    <w:rsid w:val="76D23F77"/>
    <w:rsid w:val="76D498DE"/>
    <w:rsid w:val="76D8392D"/>
    <w:rsid w:val="76DDD324"/>
    <w:rsid w:val="76DDE37A"/>
    <w:rsid w:val="76E289D6"/>
    <w:rsid w:val="76E8101A"/>
    <w:rsid w:val="76E8F5E4"/>
    <w:rsid w:val="76EE7A89"/>
    <w:rsid w:val="76F1B171"/>
    <w:rsid w:val="76F1DA9A"/>
    <w:rsid w:val="76F24C11"/>
    <w:rsid w:val="76F8C540"/>
    <w:rsid w:val="76F9F9FE"/>
    <w:rsid w:val="76FA4F63"/>
    <w:rsid w:val="76FDC8A9"/>
    <w:rsid w:val="76FF839A"/>
    <w:rsid w:val="77020B74"/>
    <w:rsid w:val="7703A4F0"/>
    <w:rsid w:val="77051DB5"/>
    <w:rsid w:val="7706AD06"/>
    <w:rsid w:val="770877AA"/>
    <w:rsid w:val="7709AA3C"/>
    <w:rsid w:val="770C4786"/>
    <w:rsid w:val="770C80D6"/>
    <w:rsid w:val="770CF1F2"/>
    <w:rsid w:val="771181C4"/>
    <w:rsid w:val="7714992D"/>
    <w:rsid w:val="7716A1D1"/>
    <w:rsid w:val="7716C21A"/>
    <w:rsid w:val="7716C847"/>
    <w:rsid w:val="771ACBB1"/>
    <w:rsid w:val="771B6F82"/>
    <w:rsid w:val="771CCD4D"/>
    <w:rsid w:val="77246379"/>
    <w:rsid w:val="7724CF78"/>
    <w:rsid w:val="7726A566"/>
    <w:rsid w:val="772AC589"/>
    <w:rsid w:val="772C76D0"/>
    <w:rsid w:val="772EE4AA"/>
    <w:rsid w:val="77301B8C"/>
    <w:rsid w:val="77302A76"/>
    <w:rsid w:val="773540A8"/>
    <w:rsid w:val="7735B7BC"/>
    <w:rsid w:val="773657B0"/>
    <w:rsid w:val="7739A5DB"/>
    <w:rsid w:val="773FD422"/>
    <w:rsid w:val="7749C5D3"/>
    <w:rsid w:val="774CC602"/>
    <w:rsid w:val="774CD2C3"/>
    <w:rsid w:val="774DB099"/>
    <w:rsid w:val="7750C0A7"/>
    <w:rsid w:val="7750F596"/>
    <w:rsid w:val="77591C09"/>
    <w:rsid w:val="775B86C4"/>
    <w:rsid w:val="775D3E4B"/>
    <w:rsid w:val="775D7AD0"/>
    <w:rsid w:val="775EB4E2"/>
    <w:rsid w:val="77609C70"/>
    <w:rsid w:val="7760DF1C"/>
    <w:rsid w:val="7761455D"/>
    <w:rsid w:val="7761C290"/>
    <w:rsid w:val="7764E0E6"/>
    <w:rsid w:val="7765E8F7"/>
    <w:rsid w:val="77668B02"/>
    <w:rsid w:val="776960D4"/>
    <w:rsid w:val="776A933D"/>
    <w:rsid w:val="776B106D"/>
    <w:rsid w:val="776C5375"/>
    <w:rsid w:val="776D4F8C"/>
    <w:rsid w:val="776DC060"/>
    <w:rsid w:val="7770242D"/>
    <w:rsid w:val="77739FD4"/>
    <w:rsid w:val="7774D516"/>
    <w:rsid w:val="777A5928"/>
    <w:rsid w:val="777D7C63"/>
    <w:rsid w:val="77822A19"/>
    <w:rsid w:val="778390AC"/>
    <w:rsid w:val="7787E302"/>
    <w:rsid w:val="7788A350"/>
    <w:rsid w:val="778942A8"/>
    <w:rsid w:val="778D50DC"/>
    <w:rsid w:val="778F34C6"/>
    <w:rsid w:val="77906E0B"/>
    <w:rsid w:val="7791574F"/>
    <w:rsid w:val="7794A390"/>
    <w:rsid w:val="7794D11C"/>
    <w:rsid w:val="7795088A"/>
    <w:rsid w:val="779734F4"/>
    <w:rsid w:val="7797E724"/>
    <w:rsid w:val="779B6E93"/>
    <w:rsid w:val="779D4286"/>
    <w:rsid w:val="77A0107C"/>
    <w:rsid w:val="77AD2832"/>
    <w:rsid w:val="77AD6488"/>
    <w:rsid w:val="77AEE9EC"/>
    <w:rsid w:val="77B01D41"/>
    <w:rsid w:val="77B1CD0C"/>
    <w:rsid w:val="77B4EEA5"/>
    <w:rsid w:val="77B99E83"/>
    <w:rsid w:val="77B9A7BB"/>
    <w:rsid w:val="77BC0037"/>
    <w:rsid w:val="77BC3B85"/>
    <w:rsid w:val="77BC6678"/>
    <w:rsid w:val="77BE7242"/>
    <w:rsid w:val="77C57306"/>
    <w:rsid w:val="77C751D4"/>
    <w:rsid w:val="77C8D3C4"/>
    <w:rsid w:val="77C9AE36"/>
    <w:rsid w:val="77C9F150"/>
    <w:rsid w:val="77D0F721"/>
    <w:rsid w:val="77D2CD4A"/>
    <w:rsid w:val="77D415D0"/>
    <w:rsid w:val="77D56B9F"/>
    <w:rsid w:val="77D79033"/>
    <w:rsid w:val="77D7DDFC"/>
    <w:rsid w:val="77D99044"/>
    <w:rsid w:val="77DAED2A"/>
    <w:rsid w:val="77DC865F"/>
    <w:rsid w:val="77DE3EEF"/>
    <w:rsid w:val="77DED264"/>
    <w:rsid w:val="77DF2AA9"/>
    <w:rsid w:val="77DF7694"/>
    <w:rsid w:val="77E08E3E"/>
    <w:rsid w:val="77E0DBA1"/>
    <w:rsid w:val="77E233E2"/>
    <w:rsid w:val="77E337AB"/>
    <w:rsid w:val="77E707E5"/>
    <w:rsid w:val="77E78AAA"/>
    <w:rsid w:val="77EC043C"/>
    <w:rsid w:val="77F25DA5"/>
    <w:rsid w:val="77F39E51"/>
    <w:rsid w:val="77F510F6"/>
    <w:rsid w:val="77F6473B"/>
    <w:rsid w:val="77F7AE52"/>
    <w:rsid w:val="77F842BC"/>
    <w:rsid w:val="77FB1116"/>
    <w:rsid w:val="77FBE07C"/>
    <w:rsid w:val="78031B80"/>
    <w:rsid w:val="78063465"/>
    <w:rsid w:val="780AD74C"/>
    <w:rsid w:val="780B3137"/>
    <w:rsid w:val="78108A31"/>
    <w:rsid w:val="7812E4B8"/>
    <w:rsid w:val="7813D024"/>
    <w:rsid w:val="78157AFB"/>
    <w:rsid w:val="7816C617"/>
    <w:rsid w:val="7818151C"/>
    <w:rsid w:val="781C47AA"/>
    <w:rsid w:val="781CF7FF"/>
    <w:rsid w:val="781F02D4"/>
    <w:rsid w:val="7821F6F6"/>
    <w:rsid w:val="78259564"/>
    <w:rsid w:val="7825C1E1"/>
    <w:rsid w:val="7829B9F1"/>
    <w:rsid w:val="782B1180"/>
    <w:rsid w:val="782D6FF7"/>
    <w:rsid w:val="782D94F9"/>
    <w:rsid w:val="782E40A9"/>
    <w:rsid w:val="78307163"/>
    <w:rsid w:val="7832F9D8"/>
    <w:rsid w:val="78370589"/>
    <w:rsid w:val="78377FDD"/>
    <w:rsid w:val="7837D0BC"/>
    <w:rsid w:val="7839A869"/>
    <w:rsid w:val="783D439D"/>
    <w:rsid w:val="783F4977"/>
    <w:rsid w:val="784279D8"/>
    <w:rsid w:val="7843F2C4"/>
    <w:rsid w:val="784676D2"/>
    <w:rsid w:val="78467D03"/>
    <w:rsid w:val="7846EB4C"/>
    <w:rsid w:val="78472D23"/>
    <w:rsid w:val="784AB827"/>
    <w:rsid w:val="784C32D5"/>
    <w:rsid w:val="784FC4FB"/>
    <w:rsid w:val="7854338C"/>
    <w:rsid w:val="78545F6B"/>
    <w:rsid w:val="7855BD2A"/>
    <w:rsid w:val="7856D306"/>
    <w:rsid w:val="7856D452"/>
    <w:rsid w:val="78590FB1"/>
    <w:rsid w:val="78599239"/>
    <w:rsid w:val="785BCDF3"/>
    <w:rsid w:val="785D32F5"/>
    <w:rsid w:val="785E633D"/>
    <w:rsid w:val="785EEC00"/>
    <w:rsid w:val="7860C878"/>
    <w:rsid w:val="78619C8C"/>
    <w:rsid w:val="78639C2A"/>
    <w:rsid w:val="78672A4E"/>
    <w:rsid w:val="7867D705"/>
    <w:rsid w:val="78680186"/>
    <w:rsid w:val="7868A6D4"/>
    <w:rsid w:val="786B3D7B"/>
    <w:rsid w:val="786BDB8D"/>
    <w:rsid w:val="786C20DD"/>
    <w:rsid w:val="786D26C7"/>
    <w:rsid w:val="7873FBDB"/>
    <w:rsid w:val="7874C2DB"/>
    <w:rsid w:val="787974D5"/>
    <w:rsid w:val="78798F4E"/>
    <w:rsid w:val="787D44FA"/>
    <w:rsid w:val="787E5795"/>
    <w:rsid w:val="78834F40"/>
    <w:rsid w:val="7883F799"/>
    <w:rsid w:val="78840B20"/>
    <w:rsid w:val="78848962"/>
    <w:rsid w:val="7884D074"/>
    <w:rsid w:val="78854A79"/>
    <w:rsid w:val="788AC84E"/>
    <w:rsid w:val="7890BDC0"/>
    <w:rsid w:val="78961E15"/>
    <w:rsid w:val="78961ED4"/>
    <w:rsid w:val="78981E3E"/>
    <w:rsid w:val="78983F6F"/>
    <w:rsid w:val="789E7419"/>
    <w:rsid w:val="789EDEB5"/>
    <w:rsid w:val="789FFA82"/>
    <w:rsid w:val="78A03859"/>
    <w:rsid w:val="78A07170"/>
    <w:rsid w:val="78A41F70"/>
    <w:rsid w:val="78A436AA"/>
    <w:rsid w:val="78A663D1"/>
    <w:rsid w:val="78A8AF3B"/>
    <w:rsid w:val="78A8FDF8"/>
    <w:rsid w:val="78ACAEC4"/>
    <w:rsid w:val="78AD5225"/>
    <w:rsid w:val="78ADDEDA"/>
    <w:rsid w:val="78B22108"/>
    <w:rsid w:val="78B661D5"/>
    <w:rsid w:val="78B714D7"/>
    <w:rsid w:val="78BAA8E7"/>
    <w:rsid w:val="78BC059C"/>
    <w:rsid w:val="78BC6D80"/>
    <w:rsid w:val="78BC9D05"/>
    <w:rsid w:val="78BE8077"/>
    <w:rsid w:val="78BEA850"/>
    <w:rsid w:val="78C0A9F0"/>
    <w:rsid w:val="78C329B8"/>
    <w:rsid w:val="78C5C2A1"/>
    <w:rsid w:val="78C6A3DE"/>
    <w:rsid w:val="78C8A381"/>
    <w:rsid w:val="78CC5D0D"/>
    <w:rsid w:val="78CE1576"/>
    <w:rsid w:val="78D0789D"/>
    <w:rsid w:val="78D31000"/>
    <w:rsid w:val="78D3C94D"/>
    <w:rsid w:val="78D62609"/>
    <w:rsid w:val="78D632B8"/>
    <w:rsid w:val="78DAFD35"/>
    <w:rsid w:val="78E3AFC3"/>
    <w:rsid w:val="78E68A4C"/>
    <w:rsid w:val="78E81074"/>
    <w:rsid w:val="78E8D471"/>
    <w:rsid w:val="78EA03F6"/>
    <w:rsid w:val="78EE865A"/>
    <w:rsid w:val="78F20114"/>
    <w:rsid w:val="78F30A87"/>
    <w:rsid w:val="78F3CF2F"/>
    <w:rsid w:val="78FA700C"/>
    <w:rsid w:val="78FDAAAB"/>
    <w:rsid w:val="78FE6749"/>
    <w:rsid w:val="79000EC0"/>
    <w:rsid w:val="7900BDB7"/>
    <w:rsid w:val="7901B435"/>
    <w:rsid w:val="79078C9E"/>
    <w:rsid w:val="7908C2E4"/>
    <w:rsid w:val="790B21FA"/>
    <w:rsid w:val="790C42D3"/>
    <w:rsid w:val="7913ECEC"/>
    <w:rsid w:val="79195B96"/>
    <w:rsid w:val="7919690E"/>
    <w:rsid w:val="791A6800"/>
    <w:rsid w:val="791EFBB4"/>
    <w:rsid w:val="792081D1"/>
    <w:rsid w:val="7920EA90"/>
    <w:rsid w:val="7923D4F4"/>
    <w:rsid w:val="79252055"/>
    <w:rsid w:val="792891F0"/>
    <w:rsid w:val="7928A854"/>
    <w:rsid w:val="7928BDF8"/>
    <w:rsid w:val="792935B2"/>
    <w:rsid w:val="792CA207"/>
    <w:rsid w:val="792DF53C"/>
    <w:rsid w:val="7930C3EA"/>
    <w:rsid w:val="7930CC93"/>
    <w:rsid w:val="79350342"/>
    <w:rsid w:val="7936247E"/>
    <w:rsid w:val="7938A0CC"/>
    <w:rsid w:val="79397BE2"/>
    <w:rsid w:val="793A2EAE"/>
    <w:rsid w:val="793A8102"/>
    <w:rsid w:val="793A8677"/>
    <w:rsid w:val="793CEF93"/>
    <w:rsid w:val="793D6DC1"/>
    <w:rsid w:val="7940DB8E"/>
    <w:rsid w:val="79420325"/>
    <w:rsid w:val="79429FC0"/>
    <w:rsid w:val="7947C193"/>
    <w:rsid w:val="79489A7B"/>
    <w:rsid w:val="794B879B"/>
    <w:rsid w:val="794D43A6"/>
    <w:rsid w:val="794E2039"/>
    <w:rsid w:val="794E2570"/>
    <w:rsid w:val="7950CD07"/>
    <w:rsid w:val="7951C07A"/>
    <w:rsid w:val="7958B627"/>
    <w:rsid w:val="795BBE05"/>
    <w:rsid w:val="795C72B3"/>
    <w:rsid w:val="7966075B"/>
    <w:rsid w:val="79680696"/>
    <w:rsid w:val="79688542"/>
    <w:rsid w:val="796C2901"/>
    <w:rsid w:val="7972E8A6"/>
    <w:rsid w:val="79776602"/>
    <w:rsid w:val="7978AD38"/>
    <w:rsid w:val="79794266"/>
    <w:rsid w:val="7979EDE2"/>
    <w:rsid w:val="797A3626"/>
    <w:rsid w:val="797E09C9"/>
    <w:rsid w:val="797E36F1"/>
    <w:rsid w:val="797E7A68"/>
    <w:rsid w:val="797EF77E"/>
    <w:rsid w:val="798365BD"/>
    <w:rsid w:val="7984CD9A"/>
    <w:rsid w:val="798CD55D"/>
    <w:rsid w:val="798D51B6"/>
    <w:rsid w:val="798E2936"/>
    <w:rsid w:val="7991E521"/>
    <w:rsid w:val="79936091"/>
    <w:rsid w:val="7996C4B1"/>
    <w:rsid w:val="799853F3"/>
    <w:rsid w:val="799E0538"/>
    <w:rsid w:val="799E3C98"/>
    <w:rsid w:val="799E3D4B"/>
    <w:rsid w:val="799EE672"/>
    <w:rsid w:val="79A0348A"/>
    <w:rsid w:val="79A12E7E"/>
    <w:rsid w:val="79A3B582"/>
    <w:rsid w:val="79A45076"/>
    <w:rsid w:val="79A646DD"/>
    <w:rsid w:val="79A8F953"/>
    <w:rsid w:val="79A9C1C1"/>
    <w:rsid w:val="79AA43DA"/>
    <w:rsid w:val="79AB7820"/>
    <w:rsid w:val="79AFF74B"/>
    <w:rsid w:val="79B07537"/>
    <w:rsid w:val="79B10217"/>
    <w:rsid w:val="79BA86EF"/>
    <w:rsid w:val="79C284D9"/>
    <w:rsid w:val="79C7393E"/>
    <w:rsid w:val="79C8054B"/>
    <w:rsid w:val="79D4F47E"/>
    <w:rsid w:val="79D672F9"/>
    <w:rsid w:val="79DB857E"/>
    <w:rsid w:val="79DD2484"/>
    <w:rsid w:val="79DDC37C"/>
    <w:rsid w:val="79DFEC39"/>
    <w:rsid w:val="79E01BBE"/>
    <w:rsid w:val="79E34332"/>
    <w:rsid w:val="79E42531"/>
    <w:rsid w:val="79E4A05A"/>
    <w:rsid w:val="79E8CB0E"/>
    <w:rsid w:val="79ED4D0A"/>
    <w:rsid w:val="79EE3AFA"/>
    <w:rsid w:val="79EE67A4"/>
    <w:rsid w:val="79EF3B83"/>
    <w:rsid w:val="79F01006"/>
    <w:rsid w:val="79F0EBBC"/>
    <w:rsid w:val="79F31836"/>
    <w:rsid w:val="79F6E070"/>
    <w:rsid w:val="79FBC401"/>
    <w:rsid w:val="79FDA0D8"/>
    <w:rsid w:val="79FF6B39"/>
    <w:rsid w:val="7A00A6CC"/>
    <w:rsid w:val="7A0188B3"/>
    <w:rsid w:val="7A029A22"/>
    <w:rsid w:val="7A02B8EC"/>
    <w:rsid w:val="7A0301E6"/>
    <w:rsid w:val="7A09713D"/>
    <w:rsid w:val="7A0C2078"/>
    <w:rsid w:val="7A0DC85C"/>
    <w:rsid w:val="7A0F36B7"/>
    <w:rsid w:val="7A10F0F9"/>
    <w:rsid w:val="7A12AF7D"/>
    <w:rsid w:val="7A15787C"/>
    <w:rsid w:val="7A19ADF9"/>
    <w:rsid w:val="7A1AA3D1"/>
    <w:rsid w:val="7A1C3A5B"/>
    <w:rsid w:val="7A1C798E"/>
    <w:rsid w:val="7A28A120"/>
    <w:rsid w:val="7A2C608F"/>
    <w:rsid w:val="7A33FE8E"/>
    <w:rsid w:val="7A34DF29"/>
    <w:rsid w:val="7A37CD27"/>
    <w:rsid w:val="7A3942C3"/>
    <w:rsid w:val="7A39FE41"/>
    <w:rsid w:val="7A3A799F"/>
    <w:rsid w:val="7A3CCDC8"/>
    <w:rsid w:val="7A3D29FC"/>
    <w:rsid w:val="7A3D7357"/>
    <w:rsid w:val="7A43CC99"/>
    <w:rsid w:val="7A444062"/>
    <w:rsid w:val="7A454FD7"/>
    <w:rsid w:val="7A49B26A"/>
    <w:rsid w:val="7A4A1DF7"/>
    <w:rsid w:val="7A551A9E"/>
    <w:rsid w:val="7A58377E"/>
    <w:rsid w:val="7A588B1B"/>
    <w:rsid w:val="7A592AD6"/>
    <w:rsid w:val="7A5CF684"/>
    <w:rsid w:val="7A5DE341"/>
    <w:rsid w:val="7A5E4E00"/>
    <w:rsid w:val="7A6192D2"/>
    <w:rsid w:val="7A6625E6"/>
    <w:rsid w:val="7A6639E7"/>
    <w:rsid w:val="7A6668AB"/>
    <w:rsid w:val="7A7852F2"/>
    <w:rsid w:val="7A799C39"/>
    <w:rsid w:val="7A79CC79"/>
    <w:rsid w:val="7A7D2442"/>
    <w:rsid w:val="7A7FF9C9"/>
    <w:rsid w:val="7A83D542"/>
    <w:rsid w:val="7A86EA94"/>
    <w:rsid w:val="7A8BCEDC"/>
    <w:rsid w:val="7A8D3E4E"/>
    <w:rsid w:val="7A8ED51D"/>
    <w:rsid w:val="7A95A658"/>
    <w:rsid w:val="7A96E390"/>
    <w:rsid w:val="7A97746F"/>
    <w:rsid w:val="7A9BA8EC"/>
    <w:rsid w:val="7A9E7B0E"/>
    <w:rsid w:val="7A9ED735"/>
    <w:rsid w:val="7AA10A38"/>
    <w:rsid w:val="7AA3374C"/>
    <w:rsid w:val="7AA59317"/>
    <w:rsid w:val="7AAAC919"/>
    <w:rsid w:val="7AABDB38"/>
    <w:rsid w:val="7AACA8BC"/>
    <w:rsid w:val="7AAFDBDB"/>
    <w:rsid w:val="7AB44CEC"/>
    <w:rsid w:val="7AB6A6E9"/>
    <w:rsid w:val="7AB93EC9"/>
    <w:rsid w:val="7ABB73D4"/>
    <w:rsid w:val="7AC5DF5B"/>
    <w:rsid w:val="7ACC3C91"/>
    <w:rsid w:val="7ACD82D9"/>
    <w:rsid w:val="7ACF7A8E"/>
    <w:rsid w:val="7AD35D12"/>
    <w:rsid w:val="7AD79B6F"/>
    <w:rsid w:val="7ADB6FEB"/>
    <w:rsid w:val="7ADBD761"/>
    <w:rsid w:val="7ADE4018"/>
    <w:rsid w:val="7AE047A2"/>
    <w:rsid w:val="7AE0F704"/>
    <w:rsid w:val="7AE5FA5F"/>
    <w:rsid w:val="7AEF1D2E"/>
    <w:rsid w:val="7AF50E27"/>
    <w:rsid w:val="7AF536B7"/>
    <w:rsid w:val="7AF74AFE"/>
    <w:rsid w:val="7AF7C9BE"/>
    <w:rsid w:val="7AF9DA12"/>
    <w:rsid w:val="7B016271"/>
    <w:rsid w:val="7B04C42D"/>
    <w:rsid w:val="7B08CDE9"/>
    <w:rsid w:val="7B0F4ED4"/>
    <w:rsid w:val="7B11A0B1"/>
    <w:rsid w:val="7B12F5EC"/>
    <w:rsid w:val="7B13680C"/>
    <w:rsid w:val="7B13FFB3"/>
    <w:rsid w:val="7B1665FC"/>
    <w:rsid w:val="7B17278C"/>
    <w:rsid w:val="7B1EB994"/>
    <w:rsid w:val="7B1FC6EE"/>
    <w:rsid w:val="7B27FEEA"/>
    <w:rsid w:val="7B287DEF"/>
    <w:rsid w:val="7B28B2D6"/>
    <w:rsid w:val="7B2A72AA"/>
    <w:rsid w:val="7B2AF968"/>
    <w:rsid w:val="7B2BED7A"/>
    <w:rsid w:val="7B2D79CE"/>
    <w:rsid w:val="7B2F7FAF"/>
    <w:rsid w:val="7B34141D"/>
    <w:rsid w:val="7B345BF0"/>
    <w:rsid w:val="7B35573A"/>
    <w:rsid w:val="7B368145"/>
    <w:rsid w:val="7B3CC0AA"/>
    <w:rsid w:val="7B3DEA99"/>
    <w:rsid w:val="7B42207F"/>
    <w:rsid w:val="7B47AE93"/>
    <w:rsid w:val="7B4ADE9A"/>
    <w:rsid w:val="7B4C14CE"/>
    <w:rsid w:val="7B50198E"/>
    <w:rsid w:val="7B55108F"/>
    <w:rsid w:val="7B5867AF"/>
    <w:rsid w:val="7B588D9C"/>
    <w:rsid w:val="7B5978D1"/>
    <w:rsid w:val="7B5F05CC"/>
    <w:rsid w:val="7B5F2DA4"/>
    <w:rsid w:val="7B5F4DDB"/>
    <w:rsid w:val="7B62447C"/>
    <w:rsid w:val="7B6252AB"/>
    <w:rsid w:val="7B6263BE"/>
    <w:rsid w:val="7B626E5E"/>
    <w:rsid w:val="7B63592C"/>
    <w:rsid w:val="7B651508"/>
    <w:rsid w:val="7B6BC33D"/>
    <w:rsid w:val="7B6FA477"/>
    <w:rsid w:val="7B6FB7C4"/>
    <w:rsid w:val="7B729638"/>
    <w:rsid w:val="7B78187A"/>
    <w:rsid w:val="7B79AB44"/>
    <w:rsid w:val="7B7F9272"/>
    <w:rsid w:val="7B81BEA9"/>
    <w:rsid w:val="7B82AB2D"/>
    <w:rsid w:val="7B83F53C"/>
    <w:rsid w:val="7B86EA51"/>
    <w:rsid w:val="7B89BE45"/>
    <w:rsid w:val="7B8C53C8"/>
    <w:rsid w:val="7B8D4E6F"/>
    <w:rsid w:val="7B91E4F3"/>
    <w:rsid w:val="7B92AD13"/>
    <w:rsid w:val="7B9363BC"/>
    <w:rsid w:val="7B94B746"/>
    <w:rsid w:val="7B98C7D7"/>
    <w:rsid w:val="7B994714"/>
    <w:rsid w:val="7B9BF26D"/>
    <w:rsid w:val="7B9C49DB"/>
    <w:rsid w:val="7BA1E076"/>
    <w:rsid w:val="7BA346CD"/>
    <w:rsid w:val="7BA3B4EF"/>
    <w:rsid w:val="7BA4DDDE"/>
    <w:rsid w:val="7BA59D69"/>
    <w:rsid w:val="7BA8D2FB"/>
    <w:rsid w:val="7BA9DD3D"/>
    <w:rsid w:val="7BAA08E4"/>
    <w:rsid w:val="7BAEDEFD"/>
    <w:rsid w:val="7BB21DDB"/>
    <w:rsid w:val="7BB24F89"/>
    <w:rsid w:val="7BB46283"/>
    <w:rsid w:val="7BB65382"/>
    <w:rsid w:val="7BB74365"/>
    <w:rsid w:val="7BBA700F"/>
    <w:rsid w:val="7BBAC7F3"/>
    <w:rsid w:val="7BBC9DEA"/>
    <w:rsid w:val="7BC0D579"/>
    <w:rsid w:val="7BC1D293"/>
    <w:rsid w:val="7BC5247A"/>
    <w:rsid w:val="7BCC0396"/>
    <w:rsid w:val="7BCCC02C"/>
    <w:rsid w:val="7BD125D6"/>
    <w:rsid w:val="7BD59272"/>
    <w:rsid w:val="7BD5A05E"/>
    <w:rsid w:val="7BD8542A"/>
    <w:rsid w:val="7BDB39D4"/>
    <w:rsid w:val="7BDE8E49"/>
    <w:rsid w:val="7BDFE390"/>
    <w:rsid w:val="7BE02A60"/>
    <w:rsid w:val="7BE2AAFE"/>
    <w:rsid w:val="7BE71BD9"/>
    <w:rsid w:val="7BEDCC9C"/>
    <w:rsid w:val="7BF0554E"/>
    <w:rsid w:val="7BF088FC"/>
    <w:rsid w:val="7BF0BC50"/>
    <w:rsid w:val="7BF13619"/>
    <w:rsid w:val="7BF2CCD1"/>
    <w:rsid w:val="7BF60E0A"/>
    <w:rsid w:val="7BF6B355"/>
    <w:rsid w:val="7BF7AB2D"/>
    <w:rsid w:val="7BF7AB63"/>
    <w:rsid w:val="7BFA8C4B"/>
    <w:rsid w:val="7C034ED9"/>
    <w:rsid w:val="7C0699E6"/>
    <w:rsid w:val="7C0C7F56"/>
    <w:rsid w:val="7C0CD560"/>
    <w:rsid w:val="7C10DB0E"/>
    <w:rsid w:val="7C11F50E"/>
    <w:rsid w:val="7C1AB912"/>
    <w:rsid w:val="7C1EEABB"/>
    <w:rsid w:val="7C202F2A"/>
    <w:rsid w:val="7C22E58E"/>
    <w:rsid w:val="7C24D704"/>
    <w:rsid w:val="7C25A7B2"/>
    <w:rsid w:val="7C27069F"/>
    <w:rsid w:val="7C295F58"/>
    <w:rsid w:val="7C2A060A"/>
    <w:rsid w:val="7C2EB85C"/>
    <w:rsid w:val="7C2F3FDA"/>
    <w:rsid w:val="7C3A3B90"/>
    <w:rsid w:val="7C3B033C"/>
    <w:rsid w:val="7C3C3808"/>
    <w:rsid w:val="7C3D4163"/>
    <w:rsid w:val="7C3E11AC"/>
    <w:rsid w:val="7C3EC747"/>
    <w:rsid w:val="7C40055D"/>
    <w:rsid w:val="7C40C8C6"/>
    <w:rsid w:val="7C411E5E"/>
    <w:rsid w:val="7C425CED"/>
    <w:rsid w:val="7C47AADC"/>
    <w:rsid w:val="7C4C0CB8"/>
    <w:rsid w:val="7C4CB0E7"/>
    <w:rsid w:val="7C536393"/>
    <w:rsid w:val="7C5A8386"/>
    <w:rsid w:val="7C5AFAB5"/>
    <w:rsid w:val="7C5B3780"/>
    <w:rsid w:val="7C5FE1E6"/>
    <w:rsid w:val="7C616BD8"/>
    <w:rsid w:val="7C62135A"/>
    <w:rsid w:val="7C65C0B8"/>
    <w:rsid w:val="7C685DB7"/>
    <w:rsid w:val="7C7035E7"/>
    <w:rsid w:val="7C72D52C"/>
    <w:rsid w:val="7C790165"/>
    <w:rsid w:val="7C7CC170"/>
    <w:rsid w:val="7C7E846E"/>
    <w:rsid w:val="7C868496"/>
    <w:rsid w:val="7C8901C1"/>
    <w:rsid w:val="7C8A744C"/>
    <w:rsid w:val="7C8C4BF7"/>
    <w:rsid w:val="7C8C9BE8"/>
    <w:rsid w:val="7C91159C"/>
    <w:rsid w:val="7C931A57"/>
    <w:rsid w:val="7C934F50"/>
    <w:rsid w:val="7C935ED9"/>
    <w:rsid w:val="7C94B45F"/>
    <w:rsid w:val="7C957292"/>
    <w:rsid w:val="7C97AE38"/>
    <w:rsid w:val="7C9D5F1D"/>
    <w:rsid w:val="7C9E6286"/>
    <w:rsid w:val="7CA5CB19"/>
    <w:rsid w:val="7CA5F456"/>
    <w:rsid w:val="7CA8EAEE"/>
    <w:rsid w:val="7CA97981"/>
    <w:rsid w:val="7CAB8002"/>
    <w:rsid w:val="7CAEDA01"/>
    <w:rsid w:val="7CB036F7"/>
    <w:rsid w:val="7CB838B6"/>
    <w:rsid w:val="7CB9EDBA"/>
    <w:rsid w:val="7CBDD661"/>
    <w:rsid w:val="7CBEF823"/>
    <w:rsid w:val="7CC8E381"/>
    <w:rsid w:val="7CC8EB60"/>
    <w:rsid w:val="7CC92A52"/>
    <w:rsid w:val="7CC9D7EB"/>
    <w:rsid w:val="7CCDF588"/>
    <w:rsid w:val="7CCF5EF6"/>
    <w:rsid w:val="7CCFC26A"/>
    <w:rsid w:val="7CD065D3"/>
    <w:rsid w:val="7CD54B30"/>
    <w:rsid w:val="7CD5667A"/>
    <w:rsid w:val="7CD63FE6"/>
    <w:rsid w:val="7CD79A07"/>
    <w:rsid w:val="7CDA5CB8"/>
    <w:rsid w:val="7CDAB8F3"/>
    <w:rsid w:val="7CDB74C9"/>
    <w:rsid w:val="7CDC47BD"/>
    <w:rsid w:val="7CDCDE26"/>
    <w:rsid w:val="7CDD67F3"/>
    <w:rsid w:val="7CDE886D"/>
    <w:rsid w:val="7CE392A8"/>
    <w:rsid w:val="7CE45E27"/>
    <w:rsid w:val="7CE94EC2"/>
    <w:rsid w:val="7CEA1DFD"/>
    <w:rsid w:val="7CEB972F"/>
    <w:rsid w:val="7CEF54C6"/>
    <w:rsid w:val="7CF4081E"/>
    <w:rsid w:val="7CF76AA3"/>
    <w:rsid w:val="7CFA1E4F"/>
    <w:rsid w:val="7CFC4464"/>
    <w:rsid w:val="7CFE2671"/>
    <w:rsid w:val="7CFFF829"/>
    <w:rsid w:val="7D035583"/>
    <w:rsid w:val="7D05E51E"/>
    <w:rsid w:val="7D084D5B"/>
    <w:rsid w:val="7D0916E4"/>
    <w:rsid w:val="7D0F0CCD"/>
    <w:rsid w:val="7D102578"/>
    <w:rsid w:val="7D143E2E"/>
    <w:rsid w:val="7D1509EF"/>
    <w:rsid w:val="7D1581B3"/>
    <w:rsid w:val="7D1AE0DB"/>
    <w:rsid w:val="7D1CF9A6"/>
    <w:rsid w:val="7D1EC4C5"/>
    <w:rsid w:val="7D1F996B"/>
    <w:rsid w:val="7D21CD35"/>
    <w:rsid w:val="7D254012"/>
    <w:rsid w:val="7D2B8568"/>
    <w:rsid w:val="7D2DA25E"/>
    <w:rsid w:val="7D2DEFB1"/>
    <w:rsid w:val="7D306D23"/>
    <w:rsid w:val="7D3253F8"/>
    <w:rsid w:val="7D32C300"/>
    <w:rsid w:val="7D339609"/>
    <w:rsid w:val="7D367D50"/>
    <w:rsid w:val="7D37003B"/>
    <w:rsid w:val="7D37EDFF"/>
    <w:rsid w:val="7D38081A"/>
    <w:rsid w:val="7D3960EF"/>
    <w:rsid w:val="7D3A6967"/>
    <w:rsid w:val="7D3C8E36"/>
    <w:rsid w:val="7D3F5801"/>
    <w:rsid w:val="7D429C0C"/>
    <w:rsid w:val="7D445422"/>
    <w:rsid w:val="7D48C138"/>
    <w:rsid w:val="7D4A3746"/>
    <w:rsid w:val="7D4DF141"/>
    <w:rsid w:val="7D4E2554"/>
    <w:rsid w:val="7D5514AF"/>
    <w:rsid w:val="7D565C7D"/>
    <w:rsid w:val="7D566014"/>
    <w:rsid w:val="7D57F98D"/>
    <w:rsid w:val="7D5DAB18"/>
    <w:rsid w:val="7D5DC116"/>
    <w:rsid w:val="7D5F2A05"/>
    <w:rsid w:val="7D662764"/>
    <w:rsid w:val="7D67FF65"/>
    <w:rsid w:val="7D6F9B56"/>
    <w:rsid w:val="7D6FF575"/>
    <w:rsid w:val="7D7222BC"/>
    <w:rsid w:val="7D73391F"/>
    <w:rsid w:val="7D76FEA3"/>
    <w:rsid w:val="7D79E623"/>
    <w:rsid w:val="7D7B12DF"/>
    <w:rsid w:val="7D7EA4EF"/>
    <w:rsid w:val="7D7F88E1"/>
    <w:rsid w:val="7D800DA4"/>
    <w:rsid w:val="7D8086B2"/>
    <w:rsid w:val="7D88DD1F"/>
    <w:rsid w:val="7D8B0C61"/>
    <w:rsid w:val="7D8BF29B"/>
    <w:rsid w:val="7D8E0578"/>
    <w:rsid w:val="7D998179"/>
    <w:rsid w:val="7D9E7F4C"/>
    <w:rsid w:val="7DA09629"/>
    <w:rsid w:val="7DA18565"/>
    <w:rsid w:val="7DA2DEAC"/>
    <w:rsid w:val="7DA3D6D8"/>
    <w:rsid w:val="7DAAEBCF"/>
    <w:rsid w:val="7DB28E6B"/>
    <w:rsid w:val="7DB72021"/>
    <w:rsid w:val="7DB732B6"/>
    <w:rsid w:val="7DB816E4"/>
    <w:rsid w:val="7DB8BE8A"/>
    <w:rsid w:val="7DBA7A75"/>
    <w:rsid w:val="7DBBA55B"/>
    <w:rsid w:val="7DBCD591"/>
    <w:rsid w:val="7DBF0698"/>
    <w:rsid w:val="7DBF08A4"/>
    <w:rsid w:val="7DC6E577"/>
    <w:rsid w:val="7DC92FBA"/>
    <w:rsid w:val="7DD5665D"/>
    <w:rsid w:val="7DD5B601"/>
    <w:rsid w:val="7DD9655E"/>
    <w:rsid w:val="7DDE83C1"/>
    <w:rsid w:val="7DDF99D7"/>
    <w:rsid w:val="7DE4FC12"/>
    <w:rsid w:val="7DED7E08"/>
    <w:rsid w:val="7DEE8EBA"/>
    <w:rsid w:val="7DF0BC56"/>
    <w:rsid w:val="7DF29415"/>
    <w:rsid w:val="7DF3A69F"/>
    <w:rsid w:val="7DF5AB49"/>
    <w:rsid w:val="7DF63C60"/>
    <w:rsid w:val="7DF79DC6"/>
    <w:rsid w:val="7DFB98AF"/>
    <w:rsid w:val="7DFCE363"/>
    <w:rsid w:val="7E001FE9"/>
    <w:rsid w:val="7E020E14"/>
    <w:rsid w:val="7E043363"/>
    <w:rsid w:val="7E05D473"/>
    <w:rsid w:val="7E0961E0"/>
    <w:rsid w:val="7E0B0B1F"/>
    <w:rsid w:val="7E0B8BCA"/>
    <w:rsid w:val="7E0C5804"/>
    <w:rsid w:val="7E0C7E76"/>
    <w:rsid w:val="7E0E7866"/>
    <w:rsid w:val="7E141ADA"/>
    <w:rsid w:val="7E1907B1"/>
    <w:rsid w:val="7E1954A2"/>
    <w:rsid w:val="7E1968D0"/>
    <w:rsid w:val="7E1AF318"/>
    <w:rsid w:val="7E1FFEF5"/>
    <w:rsid w:val="7E2791A9"/>
    <w:rsid w:val="7E29145B"/>
    <w:rsid w:val="7E2A10EB"/>
    <w:rsid w:val="7E2B4A11"/>
    <w:rsid w:val="7E2D316C"/>
    <w:rsid w:val="7E2D9F64"/>
    <w:rsid w:val="7E2FCFC3"/>
    <w:rsid w:val="7E34F718"/>
    <w:rsid w:val="7E3BB8E6"/>
    <w:rsid w:val="7E3C2559"/>
    <w:rsid w:val="7E3D507E"/>
    <w:rsid w:val="7E41CB28"/>
    <w:rsid w:val="7E435FD5"/>
    <w:rsid w:val="7E43785E"/>
    <w:rsid w:val="7E462B0B"/>
    <w:rsid w:val="7E465048"/>
    <w:rsid w:val="7E491160"/>
    <w:rsid w:val="7E4A0DC3"/>
    <w:rsid w:val="7E4DFDE3"/>
    <w:rsid w:val="7E564BCD"/>
    <w:rsid w:val="7E57740D"/>
    <w:rsid w:val="7E58F20B"/>
    <w:rsid w:val="7E5D1C8B"/>
    <w:rsid w:val="7E686FD6"/>
    <w:rsid w:val="7E69D719"/>
    <w:rsid w:val="7E6B3A78"/>
    <w:rsid w:val="7E6BEED8"/>
    <w:rsid w:val="7E6D7119"/>
    <w:rsid w:val="7E6F6088"/>
    <w:rsid w:val="7E6FC4E2"/>
    <w:rsid w:val="7E75ED0F"/>
    <w:rsid w:val="7E767399"/>
    <w:rsid w:val="7E77357B"/>
    <w:rsid w:val="7E775BB0"/>
    <w:rsid w:val="7E777D1B"/>
    <w:rsid w:val="7E79377C"/>
    <w:rsid w:val="7E7A1F43"/>
    <w:rsid w:val="7E7CC992"/>
    <w:rsid w:val="7E7DBA53"/>
    <w:rsid w:val="7E7DEC9E"/>
    <w:rsid w:val="7E8008AF"/>
    <w:rsid w:val="7E84DA98"/>
    <w:rsid w:val="7E86DBAB"/>
    <w:rsid w:val="7E8AB831"/>
    <w:rsid w:val="7E8ACD61"/>
    <w:rsid w:val="7E8B96BE"/>
    <w:rsid w:val="7E8C0F6E"/>
    <w:rsid w:val="7E8E2144"/>
    <w:rsid w:val="7E8FB395"/>
    <w:rsid w:val="7E90BF7F"/>
    <w:rsid w:val="7E90EE2E"/>
    <w:rsid w:val="7E91EB06"/>
    <w:rsid w:val="7E94A853"/>
    <w:rsid w:val="7E94BB1C"/>
    <w:rsid w:val="7E96E52F"/>
    <w:rsid w:val="7E97B642"/>
    <w:rsid w:val="7E9BC6DD"/>
    <w:rsid w:val="7E9EB0EF"/>
    <w:rsid w:val="7EA40221"/>
    <w:rsid w:val="7EA4D84B"/>
    <w:rsid w:val="7EA60F89"/>
    <w:rsid w:val="7EA80E73"/>
    <w:rsid w:val="7EABBE0B"/>
    <w:rsid w:val="7EABE82A"/>
    <w:rsid w:val="7EB19716"/>
    <w:rsid w:val="7EB70869"/>
    <w:rsid w:val="7EB862EC"/>
    <w:rsid w:val="7EBC0041"/>
    <w:rsid w:val="7EBD437E"/>
    <w:rsid w:val="7EBD81EA"/>
    <w:rsid w:val="7EBE0491"/>
    <w:rsid w:val="7EC5651C"/>
    <w:rsid w:val="7EC7D390"/>
    <w:rsid w:val="7ECED40B"/>
    <w:rsid w:val="7ECF6EBD"/>
    <w:rsid w:val="7ECFF17F"/>
    <w:rsid w:val="7ED0FBF2"/>
    <w:rsid w:val="7ED36362"/>
    <w:rsid w:val="7ED798AC"/>
    <w:rsid w:val="7EDAE564"/>
    <w:rsid w:val="7EDD0B04"/>
    <w:rsid w:val="7EDD5996"/>
    <w:rsid w:val="7EDF3736"/>
    <w:rsid w:val="7EE46242"/>
    <w:rsid w:val="7EE5CF7A"/>
    <w:rsid w:val="7EE89D92"/>
    <w:rsid w:val="7EED0AA0"/>
    <w:rsid w:val="7EED9C91"/>
    <w:rsid w:val="7EF2E2C2"/>
    <w:rsid w:val="7EF2F537"/>
    <w:rsid w:val="7EF6FD4A"/>
    <w:rsid w:val="7EF6FE81"/>
    <w:rsid w:val="7EF8779A"/>
    <w:rsid w:val="7EF8ACED"/>
    <w:rsid w:val="7EF99177"/>
    <w:rsid w:val="7EFA0DBF"/>
    <w:rsid w:val="7EFA4406"/>
    <w:rsid w:val="7EFB1A1A"/>
    <w:rsid w:val="7EFE8EFB"/>
    <w:rsid w:val="7F0096BC"/>
    <w:rsid w:val="7F0438F7"/>
    <w:rsid w:val="7F0DA95F"/>
    <w:rsid w:val="7F0E0CB8"/>
    <w:rsid w:val="7F106B31"/>
    <w:rsid w:val="7F1159A3"/>
    <w:rsid w:val="7F12C102"/>
    <w:rsid w:val="7F131C46"/>
    <w:rsid w:val="7F1440F2"/>
    <w:rsid w:val="7F173ECE"/>
    <w:rsid w:val="7F18150F"/>
    <w:rsid w:val="7F18D6DB"/>
    <w:rsid w:val="7F1BEA0F"/>
    <w:rsid w:val="7F1DD83E"/>
    <w:rsid w:val="7F234004"/>
    <w:rsid w:val="7F25C61C"/>
    <w:rsid w:val="7F2C1F96"/>
    <w:rsid w:val="7F2F4DC7"/>
    <w:rsid w:val="7F2FBF90"/>
    <w:rsid w:val="7F32DB6A"/>
    <w:rsid w:val="7F375EA8"/>
    <w:rsid w:val="7F384637"/>
    <w:rsid w:val="7F3BC489"/>
    <w:rsid w:val="7F3CB5FB"/>
    <w:rsid w:val="7F3DB369"/>
    <w:rsid w:val="7F3E2581"/>
    <w:rsid w:val="7F3FD81C"/>
    <w:rsid w:val="7F421F6D"/>
    <w:rsid w:val="7F44F12B"/>
    <w:rsid w:val="7F44F2F6"/>
    <w:rsid w:val="7F45BE3C"/>
    <w:rsid w:val="7F479F91"/>
    <w:rsid w:val="7F49CC52"/>
    <w:rsid w:val="7F4A97CE"/>
    <w:rsid w:val="7F4D4287"/>
    <w:rsid w:val="7F4F86A2"/>
    <w:rsid w:val="7F50DD13"/>
    <w:rsid w:val="7F5142C8"/>
    <w:rsid w:val="7F519873"/>
    <w:rsid w:val="7F5213EA"/>
    <w:rsid w:val="7F5931F0"/>
    <w:rsid w:val="7F5A23A0"/>
    <w:rsid w:val="7F5AFED6"/>
    <w:rsid w:val="7F5BBA26"/>
    <w:rsid w:val="7F5D8286"/>
    <w:rsid w:val="7F610436"/>
    <w:rsid w:val="7F638D97"/>
    <w:rsid w:val="7F63E7BF"/>
    <w:rsid w:val="7F66E786"/>
    <w:rsid w:val="7F697153"/>
    <w:rsid w:val="7F7111F4"/>
    <w:rsid w:val="7F716FC5"/>
    <w:rsid w:val="7F757513"/>
    <w:rsid w:val="7F77577F"/>
    <w:rsid w:val="7F77BAD8"/>
    <w:rsid w:val="7F7C8CAE"/>
    <w:rsid w:val="7F7D6C57"/>
    <w:rsid w:val="7F7EC86A"/>
    <w:rsid w:val="7F7FEF95"/>
    <w:rsid w:val="7F81CDE2"/>
    <w:rsid w:val="7F82D764"/>
    <w:rsid w:val="7F8315F8"/>
    <w:rsid w:val="7F838BAF"/>
    <w:rsid w:val="7F83A003"/>
    <w:rsid w:val="7F853773"/>
    <w:rsid w:val="7F8B4D65"/>
    <w:rsid w:val="7F8D2A7C"/>
    <w:rsid w:val="7F8ECC77"/>
    <w:rsid w:val="7F8FC9A8"/>
    <w:rsid w:val="7F9A334E"/>
    <w:rsid w:val="7F9AAFC0"/>
    <w:rsid w:val="7F9E2F10"/>
    <w:rsid w:val="7FA00867"/>
    <w:rsid w:val="7FA2A32D"/>
    <w:rsid w:val="7FA4FC80"/>
    <w:rsid w:val="7FA58327"/>
    <w:rsid w:val="7FAF1E9C"/>
    <w:rsid w:val="7FB01C50"/>
    <w:rsid w:val="7FB083E5"/>
    <w:rsid w:val="7FB11962"/>
    <w:rsid w:val="7FB3977F"/>
    <w:rsid w:val="7FB4BB1C"/>
    <w:rsid w:val="7FB74912"/>
    <w:rsid w:val="7FB79F35"/>
    <w:rsid w:val="7FBBBC3D"/>
    <w:rsid w:val="7FC05E16"/>
    <w:rsid w:val="7FC3E5F7"/>
    <w:rsid w:val="7FC41A00"/>
    <w:rsid w:val="7FC4EAA9"/>
    <w:rsid w:val="7FCB948E"/>
    <w:rsid w:val="7FCD2CA4"/>
    <w:rsid w:val="7FCED06E"/>
    <w:rsid w:val="7FD4738C"/>
    <w:rsid w:val="7FD95AEF"/>
    <w:rsid w:val="7FD9BF98"/>
    <w:rsid w:val="7FD9DCE1"/>
    <w:rsid w:val="7FE059B3"/>
    <w:rsid w:val="7FE0CB29"/>
    <w:rsid w:val="7FE262DB"/>
    <w:rsid w:val="7FE2AF67"/>
    <w:rsid w:val="7FE35C72"/>
    <w:rsid w:val="7FE74925"/>
    <w:rsid w:val="7FE922AE"/>
    <w:rsid w:val="7FEAF214"/>
    <w:rsid w:val="7FEB420E"/>
    <w:rsid w:val="7FF33811"/>
    <w:rsid w:val="7FF3D0FA"/>
    <w:rsid w:val="7FF64782"/>
    <w:rsid w:val="7FF66C3E"/>
    <w:rsid w:val="7FF747FC"/>
    <w:rsid w:val="7FF82EDD"/>
    <w:rsid w:val="7FFACD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E58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4CE"/>
    <w:pPr>
      <w:spacing w:after="240" w:line="240" w:lineRule="auto"/>
      <w:jc w:val="both"/>
    </w:pPr>
    <w:rPr>
      <w:rFonts w:ascii="Arial" w:hAnsi="Arial"/>
      <w:sz w:val="24"/>
    </w:rPr>
  </w:style>
  <w:style w:type="paragraph" w:styleId="Heading1">
    <w:name w:val="heading 1"/>
    <w:basedOn w:val="Normal"/>
    <w:next w:val="Normal"/>
    <w:link w:val="Heading1Char"/>
    <w:autoRedefine/>
    <w:uiPriority w:val="9"/>
    <w:qFormat/>
    <w:rsid w:val="00F9508B"/>
    <w:pPr>
      <w:keepNext/>
      <w:keepLines/>
      <w:spacing w:before="240" w:after="0"/>
      <w:outlineLvl w:val="0"/>
    </w:pPr>
    <w:rPr>
      <w:rFonts w:eastAsiaTheme="majorEastAsia" w:cstheme="majorBidi"/>
      <w:b/>
      <w:color w:val="002060"/>
      <w:sz w:val="32"/>
      <w:szCs w:val="32"/>
    </w:rPr>
  </w:style>
  <w:style w:type="paragraph" w:styleId="Heading2">
    <w:name w:val="heading 2"/>
    <w:basedOn w:val="Normal"/>
    <w:next w:val="Normal"/>
    <w:link w:val="Heading2Char"/>
    <w:autoRedefine/>
    <w:uiPriority w:val="9"/>
    <w:unhideWhenUsed/>
    <w:qFormat/>
    <w:rsid w:val="00CE151D"/>
    <w:pPr>
      <w:keepNext/>
      <w:keepLines/>
      <w:spacing w:before="40" w:after="0"/>
      <w:outlineLvl w:val="1"/>
    </w:pPr>
    <w:rPr>
      <w:rFonts w:eastAsiaTheme="majorEastAsia" w:cstheme="majorBidi"/>
      <w:b/>
      <w:color w:val="002060"/>
      <w:sz w:val="26"/>
      <w:szCs w:val="26"/>
    </w:rPr>
  </w:style>
  <w:style w:type="paragraph" w:styleId="Heading3">
    <w:name w:val="heading 3"/>
    <w:basedOn w:val="Normal"/>
    <w:next w:val="Normal"/>
    <w:link w:val="Heading3Char"/>
    <w:autoRedefine/>
    <w:uiPriority w:val="9"/>
    <w:unhideWhenUsed/>
    <w:qFormat/>
    <w:rsid w:val="008C0425"/>
    <w:pPr>
      <w:keepNext/>
      <w:keepLines/>
      <w:spacing w:before="40" w:after="0"/>
      <w:outlineLvl w:val="2"/>
    </w:pPr>
    <w:rPr>
      <w:rFonts w:eastAsiaTheme="majorEastAsia" w:cstheme="majorBidi"/>
      <w:b/>
      <w:color w:val="002060"/>
      <w:szCs w:val="24"/>
    </w:rPr>
  </w:style>
  <w:style w:type="paragraph" w:styleId="Heading4">
    <w:name w:val="heading 4"/>
    <w:basedOn w:val="Normal"/>
    <w:next w:val="Normal"/>
    <w:link w:val="Heading4Char"/>
    <w:autoRedefine/>
    <w:uiPriority w:val="9"/>
    <w:unhideWhenUsed/>
    <w:qFormat/>
    <w:rsid w:val="00877775"/>
    <w:pPr>
      <w:keepNext/>
      <w:keepLines/>
      <w:spacing w:before="40" w:after="0"/>
      <w:outlineLvl w:val="3"/>
    </w:pPr>
    <w:rPr>
      <w:rFonts w:eastAsiaTheme="majorEastAsia" w:cstheme="majorBidi"/>
      <w:b/>
      <w:iCs/>
      <w:color w:val="002060"/>
    </w:rPr>
  </w:style>
  <w:style w:type="paragraph" w:styleId="Heading5">
    <w:name w:val="heading 5"/>
    <w:basedOn w:val="Normal"/>
    <w:next w:val="Normal"/>
    <w:link w:val="Heading5Char"/>
    <w:autoRedefine/>
    <w:uiPriority w:val="9"/>
    <w:unhideWhenUsed/>
    <w:qFormat/>
    <w:rsid w:val="00983F96"/>
    <w:pPr>
      <w:keepNext/>
      <w:keepLines/>
      <w:spacing w:before="40" w:after="0"/>
      <w:outlineLvl w:val="4"/>
    </w:pPr>
    <w:rPr>
      <w:rFonts w:asciiTheme="majorHAnsi" w:eastAsiaTheme="majorEastAsia" w:hAnsiTheme="majorHAnsi" w:cstheme="majorBidi"/>
      <w:color w:val="0020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40C99"/>
    <w:pPr>
      <w:ind w:left="720"/>
      <w:contextualSpacing/>
    </w:pPr>
  </w:style>
  <w:style w:type="character" w:customStyle="1" w:styleId="Heading2Char">
    <w:name w:val="Heading 2 Char"/>
    <w:basedOn w:val="DefaultParagraphFont"/>
    <w:link w:val="Heading2"/>
    <w:uiPriority w:val="9"/>
    <w:rsid w:val="00CE151D"/>
    <w:rPr>
      <w:rFonts w:ascii="Arial" w:eastAsiaTheme="majorEastAsia" w:hAnsi="Arial" w:cstheme="majorBidi"/>
      <w:b/>
      <w:color w:val="002060"/>
      <w:sz w:val="26"/>
      <w:szCs w:val="26"/>
    </w:rPr>
  </w:style>
  <w:style w:type="character" w:styleId="Hyperlink">
    <w:name w:val="Hyperlink"/>
    <w:basedOn w:val="DefaultParagraphFont"/>
    <w:uiPriority w:val="99"/>
    <w:unhideWhenUsed/>
    <w:rsid w:val="00B67BA9"/>
    <w:rPr>
      <w:rFonts w:ascii="Times New Roman" w:hAnsi="Times New Roman" w:cs="Times New Roman" w:hint="default"/>
      <w:color w:val="0000FF"/>
      <w:u w:val="single"/>
    </w:rPr>
  </w:style>
  <w:style w:type="paragraph" w:styleId="TOC2">
    <w:name w:val="toc 2"/>
    <w:basedOn w:val="Normal"/>
    <w:next w:val="Normal"/>
    <w:autoRedefine/>
    <w:uiPriority w:val="39"/>
    <w:unhideWhenUsed/>
    <w:rsid w:val="000907B0"/>
    <w:pPr>
      <w:tabs>
        <w:tab w:val="left" w:pos="1350"/>
        <w:tab w:val="right" w:leader="dot" w:pos="9350"/>
      </w:tabs>
      <w:spacing w:after="0"/>
      <w:ind w:left="504" w:hanging="504"/>
    </w:pPr>
    <w:rPr>
      <w:rFonts w:cs="Arial"/>
      <w:i/>
      <w:iCs/>
      <w:noProof/>
      <w:szCs w:val="24"/>
    </w:rPr>
  </w:style>
  <w:style w:type="paragraph" w:styleId="TOC3">
    <w:name w:val="toc 3"/>
    <w:basedOn w:val="Normal"/>
    <w:next w:val="Normal"/>
    <w:autoRedefine/>
    <w:uiPriority w:val="39"/>
    <w:unhideWhenUsed/>
    <w:rsid w:val="003C37DE"/>
    <w:pPr>
      <w:tabs>
        <w:tab w:val="right" w:leader="dot" w:pos="9350"/>
      </w:tabs>
      <w:spacing w:after="0"/>
      <w:ind w:left="440"/>
    </w:pPr>
  </w:style>
  <w:style w:type="character" w:styleId="CommentReference">
    <w:name w:val="annotation reference"/>
    <w:basedOn w:val="DefaultParagraphFont"/>
    <w:uiPriority w:val="99"/>
    <w:unhideWhenUsed/>
    <w:rsid w:val="001E0FBE"/>
    <w:rPr>
      <w:sz w:val="16"/>
      <w:szCs w:val="16"/>
    </w:rPr>
  </w:style>
  <w:style w:type="paragraph" w:styleId="CommentText">
    <w:name w:val="annotation text"/>
    <w:basedOn w:val="Normal"/>
    <w:link w:val="CommentTextChar"/>
    <w:uiPriority w:val="99"/>
    <w:unhideWhenUsed/>
    <w:rsid w:val="001E0FBE"/>
    <w:rPr>
      <w:sz w:val="20"/>
      <w:szCs w:val="20"/>
    </w:rPr>
  </w:style>
  <w:style w:type="character" w:customStyle="1" w:styleId="CommentTextChar">
    <w:name w:val="Comment Text Char"/>
    <w:basedOn w:val="DefaultParagraphFont"/>
    <w:link w:val="CommentText"/>
    <w:uiPriority w:val="99"/>
    <w:rsid w:val="001E0FBE"/>
    <w:rPr>
      <w:sz w:val="20"/>
      <w:szCs w:val="20"/>
    </w:rPr>
  </w:style>
  <w:style w:type="paragraph" w:styleId="CommentSubject">
    <w:name w:val="annotation subject"/>
    <w:basedOn w:val="CommentText"/>
    <w:next w:val="CommentText"/>
    <w:link w:val="CommentSubjectChar"/>
    <w:uiPriority w:val="99"/>
    <w:semiHidden/>
    <w:unhideWhenUsed/>
    <w:rsid w:val="001E0FBE"/>
    <w:rPr>
      <w:b/>
      <w:bCs/>
    </w:rPr>
  </w:style>
  <w:style w:type="character" w:customStyle="1" w:styleId="CommentSubjectChar">
    <w:name w:val="Comment Subject Char"/>
    <w:basedOn w:val="CommentTextChar"/>
    <w:link w:val="CommentSubject"/>
    <w:uiPriority w:val="99"/>
    <w:semiHidden/>
    <w:rsid w:val="001E0FBE"/>
    <w:rPr>
      <w:b/>
      <w:bCs/>
      <w:sz w:val="20"/>
      <w:szCs w:val="20"/>
    </w:rPr>
  </w:style>
  <w:style w:type="paragraph" w:styleId="BalloonText">
    <w:name w:val="Balloon Text"/>
    <w:basedOn w:val="Normal"/>
    <w:link w:val="BalloonTextChar"/>
    <w:uiPriority w:val="99"/>
    <w:semiHidden/>
    <w:unhideWhenUsed/>
    <w:rsid w:val="001E0FB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FBE"/>
    <w:rPr>
      <w:rFonts w:ascii="Segoe UI" w:hAnsi="Segoe UI" w:cs="Segoe UI"/>
      <w:sz w:val="18"/>
      <w:szCs w:val="18"/>
    </w:rPr>
  </w:style>
  <w:style w:type="paragraph" w:customStyle="1" w:styleId="Default">
    <w:name w:val="Default"/>
    <w:rsid w:val="00CE2492"/>
    <w:pPr>
      <w:autoSpaceDE w:val="0"/>
      <w:autoSpaceDN w:val="0"/>
      <w:adjustRightInd w:val="0"/>
      <w:spacing w:after="0" w:line="240" w:lineRule="auto"/>
    </w:pPr>
    <w:rPr>
      <w:rFonts w:ascii="Cambria" w:hAnsi="Cambria" w:cs="Cambria"/>
      <w:color w:val="000000"/>
      <w:sz w:val="24"/>
      <w:szCs w:val="24"/>
    </w:rPr>
  </w:style>
  <w:style w:type="paragraph" w:styleId="NormalWeb">
    <w:name w:val="Normal (Web)"/>
    <w:basedOn w:val="Normal"/>
    <w:uiPriority w:val="99"/>
    <w:unhideWhenUsed/>
    <w:rsid w:val="005C289F"/>
    <w:pPr>
      <w:spacing w:before="100" w:beforeAutospacing="1" w:after="100" w:afterAutospacing="1"/>
    </w:pPr>
    <w:rPr>
      <w:rFonts w:ascii="Times New Roman" w:eastAsia="Times New Roman" w:hAnsi="Times New Roman" w:cs="Times New Roman"/>
      <w:szCs w:val="24"/>
    </w:rPr>
  </w:style>
  <w:style w:type="paragraph" w:styleId="Header">
    <w:name w:val="header"/>
    <w:basedOn w:val="Normal"/>
    <w:link w:val="HeaderChar"/>
    <w:uiPriority w:val="99"/>
    <w:unhideWhenUsed/>
    <w:rsid w:val="002D1D70"/>
    <w:pPr>
      <w:tabs>
        <w:tab w:val="center" w:pos="4680"/>
        <w:tab w:val="right" w:pos="9360"/>
      </w:tabs>
      <w:spacing w:after="0"/>
    </w:pPr>
  </w:style>
  <w:style w:type="character" w:customStyle="1" w:styleId="HeaderChar">
    <w:name w:val="Header Char"/>
    <w:basedOn w:val="DefaultParagraphFont"/>
    <w:link w:val="Header"/>
    <w:uiPriority w:val="99"/>
    <w:rsid w:val="002D1D70"/>
  </w:style>
  <w:style w:type="paragraph" w:styleId="Footer">
    <w:name w:val="footer"/>
    <w:basedOn w:val="Normal"/>
    <w:link w:val="FooterChar"/>
    <w:uiPriority w:val="99"/>
    <w:unhideWhenUsed/>
    <w:rsid w:val="002D1D70"/>
    <w:pPr>
      <w:tabs>
        <w:tab w:val="center" w:pos="4680"/>
        <w:tab w:val="right" w:pos="9360"/>
      </w:tabs>
      <w:spacing w:after="0"/>
    </w:pPr>
  </w:style>
  <w:style w:type="character" w:customStyle="1" w:styleId="FooterChar">
    <w:name w:val="Footer Char"/>
    <w:basedOn w:val="DefaultParagraphFont"/>
    <w:link w:val="Footer"/>
    <w:uiPriority w:val="99"/>
    <w:rsid w:val="002D1D70"/>
  </w:style>
  <w:style w:type="paragraph" w:customStyle="1" w:styleId="BodyText1">
    <w:name w:val="Body Text 1"/>
    <w:basedOn w:val="Normal"/>
    <w:rsid w:val="008F4B49"/>
    <w:pPr>
      <w:spacing w:after="120"/>
    </w:pPr>
    <w:rPr>
      <w:rFonts w:cs="Arial"/>
    </w:rPr>
  </w:style>
  <w:style w:type="paragraph" w:customStyle="1" w:styleId="BBBodyTextFlush">
    <w:name w:val="BB Body Text Flush"/>
    <w:basedOn w:val="Normal"/>
    <w:qFormat/>
    <w:rsid w:val="00867387"/>
    <w:rPr>
      <w:rFonts w:ascii="Times New Roman" w:eastAsia="Calibri" w:hAnsi="Times New Roman" w:cs="Times New Roman"/>
      <w:szCs w:val="24"/>
    </w:rPr>
  </w:style>
  <w:style w:type="paragraph" w:customStyle="1" w:styleId="xmsolistparagraph">
    <w:name w:val="x_msolistparagraph"/>
    <w:basedOn w:val="Normal"/>
    <w:rsid w:val="00DB76D5"/>
    <w:pPr>
      <w:spacing w:after="0"/>
      <w:ind w:left="720"/>
    </w:pPr>
    <w:rPr>
      <w:rFonts w:ascii="Calibri" w:hAnsi="Calibri" w:cs="Calibri"/>
    </w:rPr>
  </w:style>
  <w:style w:type="paragraph" w:customStyle="1" w:styleId="xmsonormal">
    <w:name w:val="x_msonormal"/>
    <w:basedOn w:val="Normal"/>
    <w:rsid w:val="00DB76D5"/>
    <w:pPr>
      <w:spacing w:after="0"/>
    </w:pPr>
    <w:rPr>
      <w:rFonts w:ascii="Calibri" w:hAnsi="Calibri" w:cs="Calibri"/>
    </w:rPr>
  </w:style>
  <w:style w:type="table" w:styleId="TableGrid">
    <w:name w:val="Table Grid"/>
    <w:basedOn w:val="TableNormal"/>
    <w:uiPriority w:val="59"/>
    <w:rsid w:val="001673E0"/>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70C5E"/>
    <w:pPr>
      <w:spacing w:after="0" w:line="240" w:lineRule="auto"/>
    </w:pPr>
  </w:style>
  <w:style w:type="paragraph" w:styleId="PlainText">
    <w:name w:val="Plain Text"/>
    <w:basedOn w:val="Normal"/>
    <w:link w:val="PlainTextChar"/>
    <w:uiPriority w:val="99"/>
    <w:unhideWhenUsed/>
    <w:rsid w:val="00855E0A"/>
    <w:pPr>
      <w:spacing w:after="0"/>
    </w:pPr>
    <w:rPr>
      <w:rFonts w:ascii="Calibri" w:hAnsi="Calibri"/>
      <w:szCs w:val="21"/>
    </w:rPr>
  </w:style>
  <w:style w:type="character" w:customStyle="1" w:styleId="PlainTextChar">
    <w:name w:val="Plain Text Char"/>
    <w:basedOn w:val="DefaultParagraphFont"/>
    <w:link w:val="PlainText"/>
    <w:uiPriority w:val="99"/>
    <w:rsid w:val="00855E0A"/>
    <w:rPr>
      <w:rFonts w:ascii="Calibri" w:hAnsi="Calibri"/>
      <w:szCs w:val="21"/>
    </w:rPr>
  </w:style>
  <w:style w:type="character" w:styleId="UnresolvedMention">
    <w:name w:val="Unresolved Mention"/>
    <w:basedOn w:val="DefaultParagraphFont"/>
    <w:uiPriority w:val="99"/>
    <w:unhideWhenUsed/>
    <w:rsid w:val="006B0360"/>
    <w:rPr>
      <w:color w:val="605E5C"/>
      <w:shd w:val="clear" w:color="auto" w:fill="E1DFDD"/>
    </w:rPr>
  </w:style>
  <w:style w:type="character" w:styleId="Mention">
    <w:name w:val="Mention"/>
    <w:basedOn w:val="DefaultParagraphFont"/>
    <w:uiPriority w:val="99"/>
    <w:unhideWhenUsed/>
    <w:rsid w:val="006B0360"/>
    <w:rPr>
      <w:color w:val="2B579A"/>
      <w:shd w:val="clear" w:color="auto" w:fill="E1DFDD"/>
    </w:rPr>
  </w:style>
  <w:style w:type="character" w:customStyle="1" w:styleId="normaltextrun1">
    <w:name w:val="normaltextrun1"/>
    <w:basedOn w:val="DefaultParagraphFont"/>
    <w:rsid w:val="00300807"/>
  </w:style>
  <w:style w:type="character" w:customStyle="1" w:styleId="eop">
    <w:name w:val="eop"/>
    <w:basedOn w:val="DefaultParagraphFont"/>
    <w:rsid w:val="00300807"/>
  </w:style>
  <w:style w:type="character" w:customStyle="1" w:styleId="scxw93638708">
    <w:name w:val="scxw93638708"/>
    <w:basedOn w:val="DefaultParagraphFont"/>
    <w:rsid w:val="00300807"/>
  </w:style>
  <w:style w:type="paragraph" w:styleId="TOC1">
    <w:name w:val="toc 1"/>
    <w:basedOn w:val="Normal"/>
    <w:next w:val="Normal"/>
    <w:autoRedefine/>
    <w:uiPriority w:val="39"/>
    <w:unhideWhenUsed/>
    <w:rsid w:val="00C546FA"/>
    <w:pPr>
      <w:tabs>
        <w:tab w:val="right" w:leader="dot" w:pos="9350"/>
      </w:tabs>
      <w:spacing w:after="0"/>
    </w:pPr>
  </w:style>
  <w:style w:type="paragraph" w:customStyle="1" w:styleId="paragraph">
    <w:name w:val="paragraph"/>
    <w:basedOn w:val="Normal"/>
    <w:rsid w:val="00BC50C5"/>
    <w:pPr>
      <w:spacing w:after="0"/>
    </w:pPr>
    <w:rPr>
      <w:rFonts w:ascii="Times New Roman" w:eastAsia="Times New Roman" w:hAnsi="Times New Roman" w:cs="Times New Roman"/>
      <w:szCs w:val="24"/>
    </w:rPr>
  </w:style>
  <w:style w:type="character" w:styleId="Emphasis">
    <w:name w:val="Emphasis"/>
    <w:basedOn w:val="DefaultParagraphFont"/>
    <w:uiPriority w:val="20"/>
    <w:qFormat/>
    <w:rsid w:val="00E94050"/>
    <w:rPr>
      <w:i/>
      <w:iCs/>
    </w:rPr>
  </w:style>
  <w:style w:type="paragraph" w:customStyle="1" w:styleId="xxmsonormal">
    <w:name w:val="x_x_msonormal"/>
    <w:basedOn w:val="Normal"/>
    <w:rsid w:val="00E94050"/>
    <w:pPr>
      <w:spacing w:after="0"/>
    </w:pPr>
    <w:rPr>
      <w:rFonts w:ascii="Calibri" w:hAnsi="Calibri" w:cs="Calibri"/>
    </w:rPr>
  </w:style>
  <w:style w:type="character" w:styleId="Strong">
    <w:name w:val="Strong"/>
    <w:basedOn w:val="DefaultParagraphFont"/>
    <w:uiPriority w:val="22"/>
    <w:qFormat/>
    <w:rsid w:val="00C352D2"/>
    <w:rPr>
      <w:b/>
      <w:bCs/>
    </w:rPr>
  </w:style>
  <w:style w:type="character" w:customStyle="1" w:styleId="normaltextrun">
    <w:name w:val="normaltextrun"/>
    <w:basedOn w:val="DefaultParagraphFont"/>
    <w:rsid w:val="00251060"/>
  </w:style>
  <w:style w:type="character" w:styleId="FollowedHyperlink">
    <w:name w:val="FollowedHyperlink"/>
    <w:basedOn w:val="DefaultParagraphFont"/>
    <w:uiPriority w:val="99"/>
    <w:semiHidden/>
    <w:unhideWhenUsed/>
    <w:rsid w:val="00831141"/>
    <w:rPr>
      <w:color w:val="954F72" w:themeColor="followedHyperlink"/>
      <w:u w:val="single"/>
    </w:rPr>
  </w:style>
  <w:style w:type="paragraph" w:styleId="FootnoteText">
    <w:name w:val="footnote text"/>
    <w:basedOn w:val="Normal"/>
    <w:link w:val="FootnoteTextChar"/>
    <w:uiPriority w:val="99"/>
    <w:semiHidden/>
    <w:unhideWhenUsed/>
    <w:rsid w:val="005F7C71"/>
    <w:pPr>
      <w:spacing w:after="0"/>
    </w:pPr>
    <w:rPr>
      <w:sz w:val="20"/>
      <w:szCs w:val="20"/>
    </w:rPr>
  </w:style>
  <w:style w:type="character" w:customStyle="1" w:styleId="FootnoteTextChar">
    <w:name w:val="Footnote Text Char"/>
    <w:basedOn w:val="DefaultParagraphFont"/>
    <w:link w:val="FootnoteText"/>
    <w:uiPriority w:val="99"/>
    <w:semiHidden/>
    <w:rsid w:val="005F7C71"/>
    <w:rPr>
      <w:sz w:val="20"/>
      <w:szCs w:val="20"/>
    </w:rPr>
  </w:style>
  <w:style w:type="character" w:styleId="FootnoteReference">
    <w:name w:val="footnote reference"/>
    <w:basedOn w:val="DefaultParagraphFont"/>
    <w:uiPriority w:val="99"/>
    <w:semiHidden/>
    <w:unhideWhenUsed/>
    <w:rsid w:val="005F7C71"/>
    <w:rPr>
      <w:vertAlign w:val="superscript"/>
    </w:rPr>
  </w:style>
  <w:style w:type="paragraph" w:styleId="Caption">
    <w:name w:val="caption"/>
    <w:basedOn w:val="Normal"/>
    <w:next w:val="Normal"/>
    <w:unhideWhenUsed/>
    <w:qFormat/>
    <w:rsid w:val="0013537E"/>
    <w:pPr>
      <w:spacing w:after="0"/>
    </w:pPr>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F9508B"/>
    <w:rPr>
      <w:rFonts w:ascii="Arial" w:eastAsiaTheme="majorEastAsia" w:hAnsi="Arial" w:cstheme="majorBidi"/>
      <w:b/>
      <w:color w:val="002060"/>
      <w:sz w:val="32"/>
      <w:szCs w:val="32"/>
    </w:rPr>
  </w:style>
  <w:style w:type="character" w:customStyle="1" w:styleId="Heading3Char">
    <w:name w:val="Heading 3 Char"/>
    <w:basedOn w:val="DefaultParagraphFont"/>
    <w:link w:val="Heading3"/>
    <w:uiPriority w:val="9"/>
    <w:rsid w:val="008C0425"/>
    <w:rPr>
      <w:rFonts w:ascii="Arial" w:eastAsiaTheme="majorEastAsia" w:hAnsi="Arial" w:cstheme="majorBidi"/>
      <w:b/>
      <w:color w:val="002060"/>
      <w:sz w:val="24"/>
      <w:szCs w:val="24"/>
    </w:rPr>
  </w:style>
  <w:style w:type="character" w:customStyle="1" w:styleId="Heading4Char">
    <w:name w:val="Heading 4 Char"/>
    <w:basedOn w:val="DefaultParagraphFont"/>
    <w:link w:val="Heading4"/>
    <w:uiPriority w:val="9"/>
    <w:rsid w:val="00877775"/>
    <w:rPr>
      <w:rFonts w:ascii="Arial" w:eastAsiaTheme="majorEastAsia" w:hAnsi="Arial" w:cstheme="majorBidi"/>
      <w:b/>
      <w:iCs/>
      <w:color w:val="002060"/>
      <w:sz w:val="24"/>
    </w:rPr>
  </w:style>
  <w:style w:type="character" w:customStyle="1" w:styleId="Heading5Char">
    <w:name w:val="Heading 5 Char"/>
    <w:basedOn w:val="DefaultParagraphFont"/>
    <w:link w:val="Heading5"/>
    <w:uiPriority w:val="9"/>
    <w:rsid w:val="00983F96"/>
    <w:rPr>
      <w:rFonts w:asciiTheme="majorHAnsi" w:eastAsiaTheme="majorEastAsia" w:hAnsiTheme="majorHAnsi" w:cstheme="majorBidi"/>
      <w:color w:val="002060"/>
      <w:sz w:val="24"/>
    </w:rPr>
  </w:style>
  <w:style w:type="paragraph" w:customStyle="1" w:styleId="psection-1">
    <w:name w:val="psection-1"/>
    <w:basedOn w:val="Normal"/>
    <w:rsid w:val="00C00DCF"/>
    <w:pPr>
      <w:spacing w:before="100" w:beforeAutospacing="1" w:after="100" w:afterAutospacing="1"/>
      <w:jc w:val="left"/>
    </w:pPr>
    <w:rPr>
      <w:rFonts w:ascii="Times New Roman" w:eastAsia="Times New Roman" w:hAnsi="Times New Roman" w:cs="Times New Roman"/>
      <w:szCs w:val="24"/>
    </w:rPr>
  </w:style>
  <w:style w:type="character" w:customStyle="1" w:styleId="enumxml">
    <w:name w:val="enumxml"/>
    <w:basedOn w:val="DefaultParagraphFont"/>
    <w:rsid w:val="00C00DCF"/>
  </w:style>
  <w:style w:type="character" w:customStyle="1" w:styleId="ListParagraphChar">
    <w:name w:val="List Paragraph Char"/>
    <w:basedOn w:val="DefaultParagraphFont"/>
    <w:link w:val="ListParagraph"/>
    <w:uiPriority w:val="34"/>
    <w:rsid w:val="008230DC"/>
    <w:rPr>
      <w:rFonts w:ascii="Arial" w:hAnsi="Arial"/>
      <w:sz w:val="24"/>
    </w:rPr>
  </w:style>
  <w:style w:type="table" w:styleId="GridTable1Light-Accent1">
    <w:name w:val="Grid Table 1 Light Accent 1"/>
    <w:basedOn w:val="TableNormal"/>
    <w:uiPriority w:val="46"/>
    <w:rsid w:val="0021690F"/>
    <w:pPr>
      <w:spacing w:after="0" w:line="240" w:lineRule="auto"/>
    </w:pPr>
    <w:tblPr>
      <w:tblStyleRowBandSize w:val="1"/>
      <w:tblStyleColBandSize w:val="1"/>
      <w:tblInd w:w="0" w:type="nil"/>
      <w:tblBorders>
        <w:top w:val="single" w:sz="4" w:space="0" w:color="7DD4FF" w:themeColor="accent1" w:themeTint="66"/>
        <w:left w:val="single" w:sz="4" w:space="0" w:color="7DD4FF" w:themeColor="accent1" w:themeTint="66"/>
        <w:bottom w:val="single" w:sz="4" w:space="0" w:color="7DD4FF" w:themeColor="accent1" w:themeTint="66"/>
        <w:right w:val="single" w:sz="4" w:space="0" w:color="7DD4FF" w:themeColor="accent1" w:themeTint="66"/>
        <w:insideH w:val="single" w:sz="4" w:space="0" w:color="7DD4FF" w:themeColor="accent1" w:themeTint="66"/>
        <w:insideV w:val="single" w:sz="4" w:space="0" w:color="7DD4FF" w:themeColor="accent1" w:themeTint="66"/>
      </w:tblBorders>
    </w:tblPr>
    <w:tblStylePr w:type="firstRow">
      <w:rPr>
        <w:b/>
        <w:bCs/>
      </w:rPr>
      <w:tblPr/>
      <w:tcPr>
        <w:tcBorders>
          <w:bottom w:val="single" w:sz="12" w:space="0" w:color="3CBFFF" w:themeColor="accent1" w:themeTint="99"/>
        </w:tcBorders>
      </w:tcPr>
    </w:tblStylePr>
    <w:tblStylePr w:type="lastRow">
      <w:rPr>
        <w:b/>
        <w:bCs/>
      </w:rPr>
      <w:tblPr/>
      <w:tcPr>
        <w:tcBorders>
          <w:top w:val="double" w:sz="2" w:space="0" w:color="3CBFFF" w:themeColor="accent1" w:themeTint="99"/>
        </w:tcBorders>
      </w:tcPr>
    </w:tblStylePr>
    <w:tblStylePr w:type="firstCol">
      <w:rPr>
        <w:b/>
        <w:bCs/>
      </w:rPr>
    </w:tblStylePr>
    <w:tblStylePr w:type="lastCol">
      <w:rPr>
        <w:b/>
        <w:bCs/>
      </w:rPr>
    </w:tblStylePr>
  </w:style>
  <w:style w:type="character" w:styleId="PageNumber">
    <w:name w:val="page number"/>
    <w:basedOn w:val="DefaultParagraphFont"/>
    <w:rsid w:val="003340F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8841">
      <w:bodyDiv w:val="1"/>
      <w:marLeft w:val="0"/>
      <w:marRight w:val="0"/>
      <w:marTop w:val="0"/>
      <w:marBottom w:val="0"/>
      <w:divBdr>
        <w:top w:val="none" w:sz="0" w:space="0" w:color="auto"/>
        <w:left w:val="none" w:sz="0" w:space="0" w:color="auto"/>
        <w:bottom w:val="none" w:sz="0" w:space="0" w:color="auto"/>
        <w:right w:val="none" w:sz="0" w:space="0" w:color="auto"/>
      </w:divBdr>
    </w:div>
    <w:div w:id="16346847">
      <w:bodyDiv w:val="1"/>
      <w:marLeft w:val="0"/>
      <w:marRight w:val="0"/>
      <w:marTop w:val="0"/>
      <w:marBottom w:val="0"/>
      <w:divBdr>
        <w:top w:val="none" w:sz="0" w:space="0" w:color="auto"/>
        <w:left w:val="none" w:sz="0" w:space="0" w:color="auto"/>
        <w:bottom w:val="none" w:sz="0" w:space="0" w:color="auto"/>
        <w:right w:val="none" w:sz="0" w:space="0" w:color="auto"/>
      </w:divBdr>
    </w:div>
    <w:div w:id="21129144">
      <w:bodyDiv w:val="1"/>
      <w:marLeft w:val="0"/>
      <w:marRight w:val="0"/>
      <w:marTop w:val="0"/>
      <w:marBottom w:val="0"/>
      <w:divBdr>
        <w:top w:val="none" w:sz="0" w:space="0" w:color="auto"/>
        <w:left w:val="none" w:sz="0" w:space="0" w:color="auto"/>
        <w:bottom w:val="none" w:sz="0" w:space="0" w:color="auto"/>
        <w:right w:val="none" w:sz="0" w:space="0" w:color="auto"/>
      </w:divBdr>
    </w:div>
    <w:div w:id="24530342">
      <w:bodyDiv w:val="1"/>
      <w:marLeft w:val="0"/>
      <w:marRight w:val="0"/>
      <w:marTop w:val="0"/>
      <w:marBottom w:val="0"/>
      <w:divBdr>
        <w:top w:val="none" w:sz="0" w:space="0" w:color="auto"/>
        <w:left w:val="none" w:sz="0" w:space="0" w:color="auto"/>
        <w:bottom w:val="none" w:sz="0" w:space="0" w:color="auto"/>
        <w:right w:val="none" w:sz="0" w:space="0" w:color="auto"/>
      </w:divBdr>
    </w:div>
    <w:div w:id="62879508">
      <w:bodyDiv w:val="1"/>
      <w:marLeft w:val="0"/>
      <w:marRight w:val="0"/>
      <w:marTop w:val="0"/>
      <w:marBottom w:val="0"/>
      <w:divBdr>
        <w:top w:val="none" w:sz="0" w:space="0" w:color="auto"/>
        <w:left w:val="none" w:sz="0" w:space="0" w:color="auto"/>
        <w:bottom w:val="none" w:sz="0" w:space="0" w:color="auto"/>
        <w:right w:val="none" w:sz="0" w:space="0" w:color="auto"/>
      </w:divBdr>
    </w:div>
    <w:div w:id="65147631">
      <w:bodyDiv w:val="1"/>
      <w:marLeft w:val="0"/>
      <w:marRight w:val="0"/>
      <w:marTop w:val="0"/>
      <w:marBottom w:val="0"/>
      <w:divBdr>
        <w:top w:val="none" w:sz="0" w:space="0" w:color="auto"/>
        <w:left w:val="none" w:sz="0" w:space="0" w:color="auto"/>
        <w:bottom w:val="none" w:sz="0" w:space="0" w:color="auto"/>
        <w:right w:val="none" w:sz="0" w:space="0" w:color="auto"/>
      </w:divBdr>
    </w:div>
    <w:div w:id="74211508">
      <w:bodyDiv w:val="1"/>
      <w:marLeft w:val="0"/>
      <w:marRight w:val="0"/>
      <w:marTop w:val="0"/>
      <w:marBottom w:val="0"/>
      <w:divBdr>
        <w:top w:val="none" w:sz="0" w:space="0" w:color="auto"/>
        <w:left w:val="none" w:sz="0" w:space="0" w:color="auto"/>
        <w:bottom w:val="none" w:sz="0" w:space="0" w:color="auto"/>
        <w:right w:val="none" w:sz="0" w:space="0" w:color="auto"/>
      </w:divBdr>
    </w:div>
    <w:div w:id="151408388">
      <w:bodyDiv w:val="1"/>
      <w:marLeft w:val="0"/>
      <w:marRight w:val="0"/>
      <w:marTop w:val="0"/>
      <w:marBottom w:val="0"/>
      <w:divBdr>
        <w:top w:val="none" w:sz="0" w:space="0" w:color="auto"/>
        <w:left w:val="none" w:sz="0" w:space="0" w:color="auto"/>
        <w:bottom w:val="none" w:sz="0" w:space="0" w:color="auto"/>
        <w:right w:val="none" w:sz="0" w:space="0" w:color="auto"/>
      </w:divBdr>
    </w:div>
    <w:div w:id="171381145">
      <w:bodyDiv w:val="1"/>
      <w:marLeft w:val="0"/>
      <w:marRight w:val="0"/>
      <w:marTop w:val="0"/>
      <w:marBottom w:val="0"/>
      <w:divBdr>
        <w:top w:val="none" w:sz="0" w:space="0" w:color="auto"/>
        <w:left w:val="none" w:sz="0" w:space="0" w:color="auto"/>
        <w:bottom w:val="none" w:sz="0" w:space="0" w:color="auto"/>
        <w:right w:val="none" w:sz="0" w:space="0" w:color="auto"/>
      </w:divBdr>
    </w:div>
    <w:div w:id="233930204">
      <w:bodyDiv w:val="1"/>
      <w:marLeft w:val="0"/>
      <w:marRight w:val="0"/>
      <w:marTop w:val="0"/>
      <w:marBottom w:val="0"/>
      <w:divBdr>
        <w:top w:val="none" w:sz="0" w:space="0" w:color="auto"/>
        <w:left w:val="none" w:sz="0" w:space="0" w:color="auto"/>
        <w:bottom w:val="none" w:sz="0" w:space="0" w:color="auto"/>
        <w:right w:val="none" w:sz="0" w:space="0" w:color="auto"/>
      </w:divBdr>
    </w:div>
    <w:div w:id="278487186">
      <w:bodyDiv w:val="1"/>
      <w:marLeft w:val="0"/>
      <w:marRight w:val="0"/>
      <w:marTop w:val="0"/>
      <w:marBottom w:val="0"/>
      <w:divBdr>
        <w:top w:val="none" w:sz="0" w:space="0" w:color="auto"/>
        <w:left w:val="none" w:sz="0" w:space="0" w:color="auto"/>
        <w:bottom w:val="none" w:sz="0" w:space="0" w:color="auto"/>
        <w:right w:val="none" w:sz="0" w:space="0" w:color="auto"/>
      </w:divBdr>
      <w:divsChild>
        <w:div w:id="2515015">
          <w:marLeft w:val="446"/>
          <w:marRight w:val="0"/>
          <w:marTop w:val="0"/>
          <w:marBottom w:val="0"/>
          <w:divBdr>
            <w:top w:val="none" w:sz="0" w:space="0" w:color="auto"/>
            <w:left w:val="none" w:sz="0" w:space="0" w:color="auto"/>
            <w:bottom w:val="none" w:sz="0" w:space="0" w:color="auto"/>
            <w:right w:val="none" w:sz="0" w:space="0" w:color="auto"/>
          </w:divBdr>
        </w:div>
        <w:div w:id="287711547">
          <w:marLeft w:val="446"/>
          <w:marRight w:val="0"/>
          <w:marTop w:val="0"/>
          <w:marBottom w:val="0"/>
          <w:divBdr>
            <w:top w:val="none" w:sz="0" w:space="0" w:color="auto"/>
            <w:left w:val="none" w:sz="0" w:space="0" w:color="auto"/>
            <w:bottom w:val="none" w:sz="0" w:space="0" w:color="auto"/>
            <w:right w:val="none" w:sz="0" w:space="0" w:color="auto"/>
          </w:divBdr>
        </w:div>
        <w:div w:id="502815425">
          <w:marLeft w:val="446"/>
          <w:marRight w:val="0"/>
          <w:marTop w:val="0"/>
          <w:marBottom w:val="0"/>
          <w:divBdr>
            <w:top w:val="none" w:sz="0" w:space="0" w:color="auto"/>
            <w:left w:val="none" w:sz="0" w:space="0" w:color="auto"/>
            <w:bottom w:val="none" w:sz="0" w:space="0" w:color="auto"/>
            <w:right w:val="none" w:sz="0" w:space="0" w:color="auto"/>
          </w:divBdr>
        </w:div>
        <w:div w:id="855271799">
          <w:marLeft w:val="446"/>
          <w:marRight w:val="0"/>
          <w:marTop w:val="0"/>
          <w:marBottom w:val="0"/>
          <w:divBdr>
            <w:top w:val="none" w:sz="0" w:space="0" w:color="auto"/>
            <w:left w:val="none" w:sz="0" w:space="0" w:color="auto"/>
            <w:bottom w:val="none" w:sz="0" w:space="0" w:color="auto"/>
            <w:right w:val="none" w:sz="0" w:space="0" w:color="auto"/>
          </w:divBdr>
        </w:div>
        <w:div w:id="876354763">
          <w:marLeft w:val="446"/>
          <w:marRight w:val="0"/>
          <w:marTop w:val="0"/>
          <w:marBottom w:val="0"/>
          <w:divBdr>
            <w:top w:val="none" w:sz="0" w:space="0" w:color="auto"/>
            <w:left w:val="none" w:sz="0" w:space="0" w:color="auto"/>
            <w:bottom w:val="none" w:sz="0" w:space="0" w:color="auto"/>
            <w:right w:val="none" w:sz="0" w:space="0" w:color="auto"/>
          </w:divBdr>
        </w:div>
        <w:div w:id="907231812">
          <w:marLeft w:val="446"/>
          <w:marRight w:val="0"/>
          <w:marTop w:val="0"/>
          <w:marBottom w:val="0"/>
          <w:divBdr>
            <w:top w:val="none" w:sz="0" w:space="0" w:color="auto"/>
            <w:left w:val="none" w:sz="0" w:space="0" w:color="auto"/>
            <w:bottom w:val="none" w:sz="0" w:space="0" w:color="auto"/>
            <w:right w:val="none" w:sz="0" w:space="0" w:color="auto"/>
          </w:divBdr>
        </w:div>
        <w:div w:id="955872674">
          <w:marLeft w:val="446"/>
          <w:marRight w:val="0"/>
          <w:marTop w:val="0"/>
          <w:marBottom w:val="0"/>
          <w:divBdr>
            <w:top w:val="none" w:sz="0" w:space="0" w:color="auto"/>
            <w:left w:val="none" w:sz="0" w:space="0" w:color="auto"/>
            <w:bottom w:val="none" w:sz="0" w:space="0" w:color="auto"/>
            <w:right w:val="none" w:sz="0" w:space="0" w:color="auto"/>
          </w:divBdr>
        </w:div>
        <w:div w:id="1020737373">
          <w:marLeft w:val="446"/>
          <w:marRight w:val="0"/>
          <w:marTop w:val="0"/>
          <w:marBottom w:val="0"/>
          <w:divBdr>
            <w:top w:val="none" w:sz="0" w:space="0" w:color="auto"/>
            <w:left w:val="none" w:sz="0" w:space="0" w:color="auto"/>
            <w:bottom w:val="none" w:sz="0" w:space="0" w:color="auto"/>
            <w:right w:val="none" w:sz="0" w:space="0" w:color="auto"/>
          </w:divBdr>
        </w:div>
        <w:div w:id="1168861086">
          <w:marLeft w:val="446"/>
          <w:marRight w:val="0"/>
          <w:marTop w:val="0"/>
          <w:marBottom w:val="0"/>
          <w:divBdr>
            <w:top w:val="none" w:sz="0" w:space="0" w:color="auto"/>
            <w:left w:val="none" w:sz="0" w:space="0" w:color="auto"/>
            <w:bottom w:val="none" w:sz="0" w:space="0" w:color="auto"/>
            <w:right w:val="none" w:sz="0" w:space="0" w:color="auto"/>
          </w:divBdr>
        </w:div>
        <w:div w:id="1269502520">
          <w:marLeft w:val="446"/>
          <w:marRight w:val="0"/>
          <w:marTop w:val="0"/>
          <w:marBottom w:val="0"/>
          <w:divBdr>
            <w:top w:val="none" w:sz="0" w:space="0" w:color="auto"/>
            <w:left w:val="none" w:sz="0" w:space="0" w:color="auto"/>
            <w:bottom w:val="none" w:sz="0" w:space="0" w:color="auto"/>
            <w:right w:val="none" w:sz="0" w:space="0" w:color="auto"/>
          </w:divBdr>
        </w:div>
        <w:div w:id="1437098186">
          <w:marLeft w:val="446"/>
          <w:marRight w:val="0"/>
          <w:marTop w:val="0"/>
          <w:marBottom w:val="0"/>
          <w:divBdr>
            <w:top w:val="none" w:sz="0" w:space="0" w:color="auto"/>
            <w:left w:val="none" w:sz="0" w:space="0" w:color="auto"/>
            <w:bottom w:val="none" w:sz="0" w:space="0" w:color="auto"/>
            <w:right w:val="none" w:sz="0" w:space="0" w:color="auto"/>
          </w:divBdr>
        </w:div>
        <w:div w:id="1498955465">
          <w:marLeft w:val="446"/>
          <w:marRight w:val="0"/>
          <w:marTop w:val="0"/>
          <w:marBottom w:val="0"/>
          <w:divBdr>
            <w:top w:val="none" w:sz="0" w:space="0" w:color="auto"/>
            <w:left w:val="none" w:sz="0" w:space="0" w:color="auto"/>
            <w:bottom w:val="none" w:sz="0" w:space="0" w:color="auto"/>
            <w:right w:val="none" w:sz="0" w:space="0" w:color="auto"/>
          </w:divBdr>
        </w:div>
        <w:div w:id="1576434184">
          <w:marLeft w:val="446"/>
          <w:marRight w:val="0"/>
          <w:marTop w:val="0"/>
          <w:marBottom w:val="0"/>
          <w:divBdr>
            <w:top w:val="none" w:sz="0" w:space="0" w:color="auto"/>
            <w:left w:val="none" w:sz="0" w:space="0" w:color="auto"/>
            <w:bottom w:val="none" w:sz="0" w:space="0" w:color="auto"/>
            <w:right w:val="none" w:sz="0" w:space="0" w:color="auto"/>
          </w:divBdr>
        </w:div>
        <w:div w:id="1587762344">
          <w:marLeft w:val="446"/>
          <w:marRight w:val="0"/>
          <w:marTop w:val="0"/>
          <w:marBottom w:val="0"/>
          <w:divBdr>
            <w:top w:val="none" w:sz="0" w:space="0" w:color="auto"/>
            <w:left w:val="none" w:sz="0" w:space="0" w:color="auto"/>
            <w:bottom w:val="none" w:sz="0" w:space="0" w:color="auto"/>
            <w:right w:val="none" w:sz="0" w:space="0" w:color="auto"/>
          </w:divBdr>
        </w:div>
        <w:div w:id="2134665560">
          <w:marLeft w:val="446"/>
          <w:marRight w:val="0"/>
          <w:marTop w:val="0"/>
          <w:marBottom w:val="0"/>
          <w:divBdr>
            <w:top w:val="none" w:sz="0" w:space="0" w:color="auto"/>
            <w:left w:val="none" w:sz="0" w:space="0" w:color="auto"/>
            <w:bottom w:val="none" w:sz="0" w:space="0" w:color="auto"/>
            <w:right w:val="none" w:sz="0" w:space="0" w:color="auto"/>
          </w:divBdr>
        </w:div>
        <w:div w:id="2146192076">
          <w:marLeft w:val="446"/>
          <w:marRight w:val="0"/>
          <w:marTop w:val="0"/>
          <w:marBottom w:val="0"/>
          <w:divBdr>
            <w:top w:val="none" w:sz="0" w:space="0" w:color="auto"/>
            <w:left w:val="none" w:sz="0" w:space="0" w:color="auto"/>
            <w:bottom w:val="none" w:sz="0" w:space="0" w:color="auto"/>
            <w:right w:val="none" w:sz="0" w:space="0" w:color="auto"/>
          </w:divBdr>
        </w:div>
      </w:divsChild>
    </w:div>
    <w:div w:id="364867000">
      <w:bodyDiv w:val="1"/>
      <w:marLeft w:val="0"/>
      <w:marRight w:val="0"/>
      <w:marTop w:val="0"/>
      <w:marBottom w:val="0"/>
      <w:divBdr>
        <w:top w:val="none" w:sz="0" w:space="0" w:color="auto"/>
        <w:left w:val="none" w:sz="0" w:space="0" w:color="auto"/>
        <w:bottom w:val="none" w:sz="0" w:space="0" w:color="auto"/>
        <w:right w:val="none" w:sz="0" w:space="0" w:color="auto"/>
      </w:divBdr>
    </w:div>
    <w:div w:id="395201232">
      <w:bodyDiv w:val="1"/>
      <w:marLeft w:val="0"/>
      <w:marRight w:val="0"/>
      <w:marTop w:val="0"/>
      <w:marBottom w:val="0"/>
      <w:divBdr>
        <w:top w:val="none" w:sz="0" w:space="0" w:color="auto"/>
        <w:left w:val="none" w:sz="0" w:space="0" w:color="auto"/>
        <w:bottom w:val="none" w:sz="0" w:space="0" w:color="auto"/>
        <w:right w:val="none" w:sz="0" w:space="0" w:color="auto"/>
      </w:divBdr>
    </w:div>
    <w:div w:id="396901497">
      <w:bodyDiv w:val="1"/>
      <w:marLeft w:val="0"/>
      <w:marRight w:val="0"/>
      <w:marTop w:val="0"/>
      <w:marBottom w:val="0"/>
      <w:divBdr>
        <w:top w:val="none" w:sz="0" w:space="0" w:color="auto"/>
        <w:left w:val="none" w:sz="0" w:space="0" w:color="auto"/>
        <w:bottom w:val="none" w:sz="0" w:space="0" w:color="auto"/>
        <w:right w:val="none" w:sz="0" w:space="0" w:color="auto"/>
      </w:divBdr>
    </w:div>
    <w:div w:id="427195619">
      <w:bodyDiv w:val="1"/>
      <w:marLeft w:val="0"/>
      <w:marRight w:val="0"/>
      <w:marTop w:val="0"/>
      <w:marBottom w:val="0"/>
      <w:divBdr>
        <w:top w:val="none" w:sz="0" w:space="0" w:color="auto"/>
        <w:left w:val="none" w:sz="0" w:space="0" w:color="auto"/>
        <w:bottom w:val="none" w:sz="0" w:space="0" w:color="auto"/>
        <w:right w:val="none" w:sz="0" w:space="0" w:color="auto"/>
      </w:divBdr>
    </w:div>
    <w:div w:id="430318948">
      <w:bodyDiv w:val="1"/>
      <w:marLeft w:val="0"/>
      <w:marRight w:val="0"/>
      <w:marTop w:val="0"/>
      <w:marBottom w:val="0"/>
      <w:divBdr>
        <w:top w:val="none" w:sz="0" w:space="0" w:color="auto"/>
        <w:left w:val="none" w:sz="0" w:space="0" w:color="auto"/>
        <w:bottom w:val="none" w:sz="0" w:space="0" w:color="auto"/>
        <w:right w:val="none" w:sz="0" w:space="0" w:color="auto"/>
      </w:divBdr>
    </w:div>
    <w:div w:id="435951145">
      <w:bodyDiv w:val="1"/>
      <w:marLeft w:val="0"/>
      <w:marRight w:val="0"/>
      <w:marTop w:val="0"/>
      <w:marBottom w:val="0"/>
      <w:divBdr>
        <w:top w:val="none" w:sz="0" w:space="0" w:color="auto"/>
        <w:left w:val="none" w:sz="0" w:space="0" w:color="auto"/>
        <w:bottom w:val="none" w:sz="0" w:space="0" w:color="auto"/>
        <w:right w:val="none" w:sz="0" w:space="0" w:color="auto"/>
      </w:divBdr>
    </w:div>
    <w:div w:id="468088151">
      <w:bodyDiv w:val="1"/>
      <w:marLeft w:val="0"/>
      <w:marRight w:val="0"/>
      <w:marTop w:val="0"/>
      <w:marBottom w:val="0"/>
      <w:divBdr>
        <w:top w:val="none" w:sz="0" w:space="0" w:color="auto"/>
        <w:left w:val="none" w:sz="0" w:space="0" w:color="auto"/>
        <w:bottom w:val="none" w:sz="0" w:space="0" w:color="auto"/>
        <w:right w:val="none" w:sz="0" w:space="0" w:color="auto"/>
      </w:divBdr>
    </w:div>
    <w:div w:id="481316979">
      <w:bodyDiv w:val="1"/>
      <w:marLeft w:val="0"/>
      <w:marRight w:val="0"/>
      <w:marTop w:val="0"/>
      <w:marBottom w:val="0"/>
      <w:divBdr>
        <w:top w:val="none" w:sz="0" w:space="0" w:color="auto"/>
        <w:left w:val="none" w:sz="0" w:space="0" w:color="auto"/>
        <w:bottom w:val="none" w:sz="0" w:space="0" w:color="auto"/>
        <w:right w:val="none" w:sz="0" w:space="0" w:color="auto"/>
      </w:divBdr>
    </w:div>
    <w:div w:id="493765437">
      <w:bodyDiv w:val="1"/>
      <w:marLeft w:val="0"/>
      <w:marRight w:val="0"/>
      <w:marTop w:val="0"/>
      <w:marBottom w:val="0"/>
      <w:divBdr>
        <w:top w:val="none" w:sz="0" w:space="0" w:color="auto"/>
        <w:left w:val="none" w:sz="0" w:space="0" w:color="auto"/>
        <w:bottom w:val="none" w:sz="0" w:space="0" w:color="auto"/>
        <w:right w:val="none" w:sz="0" w:space="0" w:color="auto"/>
      </w:divBdr>
    </w:div>
    <w:div w:id="499928805">
      <w:bodyDiv w:val="1"/>
      <w:marLeft w:val="0"/>
      <w:marRight w:val="0"/>
      <w:marTop w:val="0"/>
      <w:marBottom w:val="0"/>
      <w:divBdr>
        <w:top w:val="none" w:sz="0" w:space="0" w:color="auto"/>
        <w:left w:val="none" w:sz="0" w:space="0" w:color="auto"/>
        <w:bottom w:val="none" w:sz="0" w:space="0" w:color="auto"/>
        <w:right w:val="none" w:sz="0" w:space="0" w:color="auto"/>
      </w:divBdr>
    </w:div>
    <w:div w:id="503280858">
      <w:bodyDiv w:val="1"/>
      <w:marLeft w:val="0"/>
      <w:marRight w:val="0"/>
      <w:marTop w:val="0"/>
      <w:marBottom w:val="0"/>
      <w:divBdr>
        <w:top w:val="none" w:sz="0" w:space="0" w:color="auto"/>
        <w:left w:val="none" w:sz="0" w:space="0" w:color="auto"/>
        <w:bottom w:val="none" w:sz="0" w:space="0" w:color="auto"/>
        <w:right w:val="none" w:sz="0" w:space="0" w:color="auto"/>
      </w:divBdr>
      <w:divsChild>
        <w:div w:id="1490708808">
          <w:marLeft w:val="360"/>
          <w:marRight w:val="0"/>
          <w:marTop w:val="0"/>
          <w:marBottom w:val="0"/>
          <w:divBdr>
            <w:top w:val="none" w:sz="0" w:space="0" w:color="auto"/>
            <w:left w:val="none" w:sz="0" w:space="0" w:color="auto"/>
            <w:bottom w:val="none" w:sz="0" w:space="0" w:color="auto"/>
            <w:right w:val="none" w:sz="0" w:space="0" w:color="auto"/>
          </w:divBdr>
        </w:div>
      </w:divsChild>
    </w:div>
    <w:div w:id="531192006">
      <w:bodyDiv w:val="1"/>
      <w:marLeft w:val="0"/>
      <w:marRight w:val="0"/>
      <w:marTop w:val="0"/>
      <w:marBottom w:val="0"/>
      <w:divBdr>
        <w:top w:val="none" w:sz="0" w:space="0" w:color="auto"/>
        <w:left w:val="none" w:sz="0" w:space="0" w:color="auto"/>
        <w:bottom w:val="none" w:sz="0" w:space="0" w:color="auto"/>
        <w:right w:val="none" w:sz="0" w:space="0" w:color="auto"/>
      </w:divBdr>
      <w:divsChild>
        <w:div w:id="207883860">
          <w:marLeft w:val="0"/>
          <w:marRight w:val="0"/>
          <w:marTop w:val="0"/>
          <w:marBottom w:val="0"/>
          <w:divBdr>
            <w:top w:val="none" w:sz="0" w:space="0" w:color="auto"/>
            <w:left w:val="none" w:sz="0" w:space="0" w:color="auto"/>
            <w:bottom w:val="none" w:sz="0" w:space="0" w:color="auto"/>
            <w:right w:val="none" w:sz="0" w:space="0" w:color="auto"/>
          </w:divBdr>
        </w:div>
        <w:div w:id="686979882">
          <w:marLeft w:val="0"/>
          <w:marRight w:val="0"/>
          <w:marTop w:val="0"/>
          <w:marBottom w:val="0"/>
          <w:divBdr>
            <w:top w:val="none" w:sz="0" w:space="0" w:color="auto"/>
            <w:left w:val="none" w:sz="0" w:space="0" w:color="auto"/>
            <w:bottom w:val="none" w:sz="0" w:space="0" w:color="auto"/>
            <w:right w:val="none" w:sz="0" w:space="0" w:color="auto"/>
          </w:divBdr>
        </w:div>
        <w:div w:id="1245799757">
          <w:marLeft w:val="0"/>
          <w:marRight w:val="0"/>
          <w:marTop w:val="0"/>
          <w:marBottom w:val="0"/>
          <w:divBdr>
            <w:top w:val="none" w:sz="0" w:space="0" w:color="auto"/>
            <w:left w:val="none" w:sz="0" w:space="0" w:color="auto"/>
            <w:bottom w:val="none" w:sz="0" w:space="0" w:color="auto"/>
            <w:right w:val="none" w:sz="0" w:space="0" w:color="auto"/>
          </w:divBdr>
        </w:div>
      </w:divsChild>
    </w:div>
    <w:div w:id="554895689">
      <w:bodyDiv w:val="1"/>
      <w:marLeft w:val="0"/>
      <w:marRight w:val="0"/>
      <w:marTop w:val="0"/>
      <w:marBottom w:val="0"/>
      <w:divBdr>
        <w:top w:val="none" w:sz="0" w:space="0" w:color="auto"/>
        <w:left w:val="none" w:sz="0" w:space="0" w:color="auto"/>
        <w:bottom w:val="none" w:sz="0" w:space="0" w:color="auto"/>
        <w:right w:val="none" w:sz="0" w:space="0" w:color="auto"/>
      </w:divBdr>
    </w:div>
    <w:div w:id="556668777">
      <w:bodyDiv w:val="1"/>
      <w:marLeft w:val="0"/>
      <w:marRight w:val="0"/>
      <w:marTop w:val="0"/>
      <w:marBottom w:val="0"/>
      <w:divBdr>
        <w:top w:val="none" w:sz="0" w:space="0" w:color="auto"/>
        <w:left w:val="none" w:sz="0" w:space="0" w:color="auto"/>
        <w:bottom w:val="none" w:sz="0" w:space="0" w:color="auto"/>
        <w:right w:val="none" w:sz="0" w:space="0" w:color="auto"/>
      </w:divBdr>
    </w:div>
    <w:div w:id="647897754">
      <w:bodyDiv w:val="1"/>
      <w:marLeft w:val="0"/>
      <w:marRight w:val="0"/>
      <w:marTop w:val="0"/>
      <w:marBottom w:val="0"/>
      <w:divBdr>
        <w:top w:val="none" w:sz="0" w:space="0" w:color="auto"/>
        <w:left w:val="none" w:sz="0" w:space="0" w:color="auto"/>
        <w:bottom w:val="none" w:sz="0" w:space="0" w:color="auto"/>
        <w:right w:val="none" w:sz="0" w:space="0" w:color="auto"/>
      </w:divBdr>
    </w:div>
    <w:div w:id="651325427">
      <w:bodyDiv w:val="1"/>
      <w:marLeft w:val="0"/>
      <w:marRight w:val="0"/>
      <w:marTop w:val="0"/>
      <w:marBottom w:val="0"/>
      <w:divBdr>
        <w:top w:val="none" w:sz="0" w:space="0" w:color="auto"/>
        <w:left w:val="none" w:sz="0" w:space="0" w:color="auto"/>
        <w:bottom w:val="none" w:sz="0" w:space="0" w:color="auto"/>
        <w:right w:val="none" w:sz="0" w:space="0" w:color="auto"/>
      </w:divBdr>
    </w:div>
    <w:div w:id="669992329">
      <w:bodyDiv w:val="1"/>
      <w:marLeft w:val="0"/>
      <w:marRight w:val="0"/>
      <w:marTop w:val="0"/>
      <w:marBottom w:val="0"/>
      <w:divBdr>
        <w:top w:val="none" w:sz="0" w:space="0" w:color="auto"/>
        <w:left w:val="none" w:sz="0" w:space="0" w:color="auto"/>
        <w:bottom w:val="none" w:sz="0" w:space="0" w:color="auto"/>
        <w:right w:val="none" w:sz="0" w:space="0" w:color="auto"/>
      </w:divBdr>
    </w:div>
    <w:div w:id="677541548">
      <w:bodyDiv w:val="1"/>
      <w:marLeft w:val="0"/>
      <w:marRight w:val="0"/>
      <w:marTop w:val="0"/>
      <w:marBottom w:val="0"/>
      <w:divBdr>
        <w:top w:val="none" w:sz="0" w:space="0" w:color="auto"/>
        <w:left w:val="none" w:sz="0" w:space="0" w:color="auto"/>
        <w:bottom w:val="none" w:sz="0" w:space="0" w:color="auto"/>
        <w:right w:val="none" w:sz="0" w:space="0" w:color="auto"/>
      </w:divBdr>
    </w:div>
    <w:div w:id="710375399">
      <w:bodyDiv w:val="1"/>
      <w:marLeft w:val="0"/>
      <w:marRight w:val="0"/>
      <w:marTop w:val="0"/>
      <w:marBottom w:val="0"/>
      <w:divBdr>
        <w:top w:val="none" w:sz="0" w:space="0" w:color="auto"/>
        <w:left w:val="none" w:sz="0" w:space="0" w:color="auto"/>
        <w:bottom w:val="none" w:sz="0" w:space="0" w:color="auto"/>
        <w:right w:val="none" w:sz="0" w:space="0" w:color="auto"/>
      </w:divBdr>
    </w:div>
    <w:div w:id="732893314">
      <w:bodyDiv w:val="1"/>
      <w:marLeft w:val="0"/>
      <w:marRight w:val="0"/>
      <w:marTop w:val="0"/>
      <w:marBottom w:val="0"/>
      <w:divBdr>
        <w:top w:val="none" w:sz="0" w:space="0" w:color="auto"/>
        <w:left w:val="none" w:sz="0" w:space="0" w:color="auto"/>
        <w:bottom w:val="none" w:sz="0" w:space="0" w:color="auto"/>
        <w:right w:val="none" w:sz="0" w:space="0" w:color="auto"/>
      </w:divBdr>
    </w:div>
    <w:div w:id="740517570">
      <w:bodyDiv w:val="1"/>
      <w:marLeft w:val="0"/>
      <w:marRight w:val="0"/>
      <w:marTop w:val="0"/>
      <w:marBottom w:val="0"/>
      <w:divBdr>
        <w:top w:val="none" w:sz="0" w:space="0" w:color="auto"/>
        <w:left w:val="none" w:sz="0" w:space="0" w:color="auto"/>
        <w:bottom w:val="none" w:sz="0" w:space="0" w:color="auto"/>
        <w:right w:val="none" w:sz="0" w:space="0" w:color="auto"/>
      </w:divBdr>
    </w:div>
    <w:div w:id="741218465">
      <w:bodyDiv w:val="1"/>
      <w:marLeft w:val="0"/>
      <w:marRight w:val="0"/>
      <w:marTop w:val="0"/>
      <w:marBottom w:val="0"/>
      <w:divBdr>
        <w:top w:val="none" w:sz="0" w:space="0" w:color="auto"/>
        <w:left w:val="none" w:sz="0" w:space="0" w:color="auto"/>
        <w:bottom w:val="none" w:sz="0" w:space="0" w:color="auto"/>
        <w:right w:val="none" w:sz="0" w:space="0" w:color="auto"/>
      </w:divBdr>
      <w:divsChild>
        <w:div w:id="573273461">
          <w:marLeft w:val="0"/>
          <w:marRight w:val="0"/>
          <w:marTop w:val="0"/>
          <w:marBottom w:val="0"/>
          <w:divBdr>
            <w:top w:val="none" w:sz="0" w:space="0" w:color="auto"/>
            <w:left w:val="none" w:sz="0" w:space="0" w:color="auto"/>
            <w:bottom w:val="none" w:sz="0" w:space="0" w:color="auto"/>
            <w:right w:val="none" w:sz="0" w:space="0" w:color="auto"/>
          </w:divBdr>
        </w:div>
      </w:divsChild>
    </w:div>
    <w:div w:id="758256758">
      <w:bodyDiv w:val="1"/>
      <w:marLeft w:val="0"/>
      <w:marRight w:val="0"/>
      <w:marTop w:val="0"/>
      <w:marBottom w:val="0"/>
      <w:divBdr>
        <w:top w:val="none" w:sz="0" w:space="0" w:color="auto"/>
        <w:left w:val="none" w:sz="0" w:space="0" w:color="auto"/>
        <w:bottom w:val="none" w:sz="0" w:space="0" w:color="auto"/>
        <w:right w:val="none" w:sz="0" w:space="0" w:color="auto"/>
      </w:divBdr>
    </w:div>
    <w:div w:id="759328771">
      <w:bodyDiv w:val="1"/>
      <w:marLeft w:val="0"/>
      <w:marRight w:val="0"/>
      <w:marTop w:val="0"/>
      <w:marBottom w:val="0"/>
      <w:divBdr>
        <w:top w:val="none" w:sz="0" w:space="0" w:color="auto"/>
        <w:left w:val="none" w:sz="0" w:space="0" w:color="auto"/>
        <w:bottom w:val="none" w:sz="0" w:space="0" w:color="auto"/>
        <w:right w:val="none" w:sz="0" w:space="0" w:color="auto"/>
      </w:divBdr>
    </w:div>
    <w:div w:id="764425707">
      <w:bodyDiv w:val="1"/>
      <w:marLeft w:val="0"/>
      <w:marRight w:val="0"/>
      <w:marTop w:val="0"/>
      <w:marBottom w:val="0"/>
      <w:divBdr>
        <w:top w:val="none" w:sz="0" w:space="0" w:color="auto"/>
        <w:left w:val="none" w:sz="0" w:space="0" w:color="auto"/>
        <w:bottom w:val="none" w:sz="0" w:space="0" w:color="auto"/>
        <w:right w:val="none" w:sz="0" w:space="0" w:color="auto"/>
      </w:divBdr>
    </w:div>
    <w:div w:id="770442231">
      <w:bodyDiv w:val="1"/>
      <w:marLeft w:val="0"/>
      <w:marRight w:val="0"/>
      <w:marTop w:val="0"/>
      <w:marBottom w:val="0"/>
      <w:divBdr>
        <w:top w:val="none" w:sz="0" w:space="0" w:color="auto"/>
        <w:left w:val="none" w:sz="0" w:space="0" w:color="auto"/>
        <w:bottom w:val="none" w:sz="0" w:space="0" w:color="auto"/>
        <w:right w:val="none" w:sz="0" w:space="0" w:color="auto"/>
      </w:divBdr>
    </w:div>
    <w:div w:id="840509009">
      <w:bodyDiv w:val="1"/>
      <w:marLeft w:val="0"/>
      <w:marRight w:val="0"/>
      <w:marTop w:val="0"/>
      <w:marBottom w:val="0"/>
      <w:divBdr>
        <w:top w:val="none" w:sz="0" w:space="0" w:color="auto"/>
        <w:left w:val="none" w:sz="0" w:space="0" w:color="auto"/>
        <w:bottom w:val="none" w:sz="0" w:space="0" w:color="auto"/>
        <w:right w:val="none" w:sz="0" w:space="0" w:color="auto"/>
      </w:divBdr>
    </w:div>
    <w:div w:id="914513976">
      <w:bodyDiv w:val="1"/>
      <w:marLeft w:val="0"/>
      <w:marRight w:val="0"/>
      <w:marTop w:val="0"/>
      <w:marBottom w:val="0"/>
      <w:divBdr>
        <w:top w:val="none" w:sz="0" w:space="0" w:color="auto"/>
        <w:left w:val="none" w:sz="0" w:space="0" w:color="auto"/>
        <w:bottom w:val="none" w:sz="0" w:space="0" w:color="auto"/>
        <w:right w:val="none" w:sz="0" w:space="0" w:color="auto"/>
      </w:divBdr>
    </w:div>
    <w:div w:id="935596362">
      <w:bodyDiv w:val="1"/>
      <w:marLeft w:val="0"/>
      <w:marRight w:val="0"/>
      <w:marTop w:val="0"/>
      <w:marBottom w:val="0"/>
      <w:divBdr>
        <w:top w:val="none" w:sz="0" w:space="0" w:color="auto"/>
        <w:left w:val="none" w:sz="0" w:space="0" w:color="auto"/>
        <w:bottom w:val="none" w:sz="0" w:space="0" w:color="auto"/>
        <w:right w:val="none" w:sz="0" w:space="0" w:color="auto"/>
      </w:divBdr>
    </w:div>
    <w:div w:id="963774036">
      <w:bodyDiv w:val="1"/>
      <w:marLeft w:val="0"/>
      <w:marRight w:val="0"/>
      <w:marTop w:val="0"/>
      <w:marBottom w:val="0"/>
      <w:divBdr>
        <w:top w:val="none" w:sz="0" w:space="0" w:color="auto"/>
        <w:left w:val="none" w:sz="0" w:space="0" w:color="auto"/>
        <w:bottom w:val="none" w:sz="0" w:space="0" w:color="auto"/>
        <w:right w:val="none" w:sz="0" w:space="0" w:color="auto"/>
      </w:divBdr>
    </w:div>
    <w:div w:id="1040131225">
      <w:bodyDiv w:val="1"/>
      <w:marLeft w:val="0"/>
      <w:marRight w:val="0"/>
      <w:marTop w:val="0"/>
      <w:marBottom w:val="0"/>
      <w:divBdr>
        <w:top w:val="none" w:sz="0" w:space="0" w:color="auto"/>
        <w:left w:val="none" w:sz="0" w:space="0" w:color="auto"/>
        <w:bottom w:val="none" w:sz="0" w:space="0" w:color="auto"/>
        <w:right w:val="none" w:sz="0" w:space="0" w:color="auto"/>
      </w:divBdr>
    </w:div>
    <w:div w:id="1078939648">
      <w:bodyDiv w:val="1"/>
      <w:marLeft w:val="0"/>
      <w:marRight w:val="0"/>
      <w:marTop w:val="0"/>
      <w:marBottom w:val="0"/>
      <w:divBdr>
        <w:top w:val="none" w:sz="0" w:space="0" w:color="auto"/>
        <w:left w:val="none" w:sz="0" w:space="0" w:color="auto"/>
        <w:bottom w:val="none" w:sz="0" w:space="0" w:color="auto"/>
        <w:right w:val="none" w:sz="0" w:space="0" w:color="auto"/>
      </w:divBdr>
      <w:divsChild>
        <w:div w:id="450708783">
          <w:marLeft w:val="0"/>
          <w:marRight w:val="0"/>
          <w:marTop w:val="0"/>
          <w:marBottom w:val="0"/>
          <w:divBdr>
            <w:top w:val="none" w:sz="0" w:space="0" w:color="auto"/>
            <w:left w:val="none" w:sz="0" w:space="0" w:color="auto"/>
            <w:bottom w:val="none" w:sz="0" w:space="0" w:color="auto"/>
            <w:right w:val="none" w:sz="0" w:space="0" w:color="auto"/>
          </w:divBdr>
          <w:divsChild>
            <w:div w:id="14043065">
              <w:marLeft w:val="0"/>
              <w:marRight w:val="0"/>
              <w:marTop w:val="0"/>
              <w:marBottom w:val="0"/>
              <w:divBdr>
                <w:top w:val="none" w:sz="0" w:space="0" w:color="auto"/>
                <w:left w:val="none" w:sz="0" w:space="0" w:color="auto"/>
                <w:bottom w:val="none" w:sz="0" w:space="0" w:color="auto"/>
                <w:right w:val="none" w:sz="0" w:space="0" w:color="auto"/>
              </w:divBdr>
              <w:divsChild>
                <w:div w:id="361712605">
                  <w:marLeft w:val="0"/>
                  <w:marRight w:val="0"/>
                  <w:marTop w:val="0"/>
                  <w:marBottom w:val="0"/>
                  <w:divBdr>
                    <w:top w:val="none" w:sz="0" w:space="0" w:color="auto"/>
                    <w:left w:val="none" w:sz="0" w:space="0" w:color="auto"/>
                    <w:bottom w:val="none" w:sz="0" w:space="0" w:color="auto"/>
                    <w:right w:val="none" w:sz="0" w:space="0" w:color="auto"/>
                  </w:divBdr>
                  <w:divsChild>
                    <w:div w:id="1915703616">
                      <w:marLeft w:val="0"/>
                      <w:marRight w:val="0"/>
                      <w:marTop w:val="0"/>
                      <w:marBottom w:val="0"/>
                      <w:divBdr>
                        <w:top w:val="none" w:sz="0" w:space="0" w:color="auto"/>
                        <w:left w:val="none" w:sz="0" w:space="0" w:color="auto"/>
                        <w:bottom w:val="none" w:sz="0" w:space="0" w:color="auto"/>
                        <w:right w:val="none" w:sz="0" w:space="0" w:color="auto"/>
                      </w:divBdr>
                      <w:divsChild>
                        <w:div w:id="1819880374">
                          <w:marLeft w:val="0"/>
                          <w:marRight w:val="0"/>
                          <w:marTop w:val="0"/>
                          <w:marBottom w:val="0"/>
                          <w:divBdr>
                            <w:top w:val="none" w:sz="0" w:space="0" w:color="auto"/>
                            <w:left w:val="none" w:sz="0" w:space="0" w:color="auto"/>
                            <w:bottom w:val="none" w:sz="0" w:space="0" w:color="auto"/>
                            <w:right w:val="none" w:sz="0" w:space="0" w:color="auto"/>
                          </w:divBdr>
                          <w:divsChild>
                            <w:div w:id="975449017">
                              <w:marLeft w:val="0"/>
                              <w:marRight w:val="0"/>
                              <w:marTop w:val="0"/>
                              <w:marBottom w:val="0"/>
                              <w:divBdr>
                                <w:top w:val="none" w:sz="0" w:space="0" w:color="auto"/>
                                <w:left w:val="none" w:sz="0" w:space="0" w:color="auto"/>
                                <w:bottom w:val="none" w:sz="0" w:space="0" w:color="auto"/>
                                <w:right w:val="none" w:sz="0" w:space="0" w:color="auto"/>
                              </w:divBdr>
                              <w:divsChild>
                                <w:div w:id="1933850109">
                                  <w:marLeft w:val="0"/>
                                  <w:marRight w:val="0"/>
                                  <w:marTop w:val="0"/>
                                  <w:marBottom w:val="0"/>
                                  <w:divBdr>
                                    <w:top w:val="none" w:sz="0" w:space="0" w:color="auto"/>
                                    <w:left w:val="none" w:sz="0" w:space="0" w:color="auto"/>
                                    <w:bottom w:val="none" w:sz="0" w:space="0" w:color="auto"/>
                                    <w:right w:val="none" w:sz="0" w:space="0" w:color="auto"/>
                                  </w:divBdr>
                                  <w:divsChild>
                                    <w:div w:id="660040554">
                                      <w:marLeft w:val="0"/>
                                      <w:marRight w:val="0"/>
                                      <w:marTop w:val="0"/>
                                      <w:marBottom w:val="0"/>
                                      <w:divBdr>
                                        <w:top w:val="none" w:sz="0" w:space="0" w:color="auto"/>
                                        <w:left w:val="none" w:sz="0" w:space="0" w:color="auto"/>
                                        <w:bottom w:val="none" w:sz="0" w:space="0" w:color="auto"/>
                                        <w:right w:val="none" w:sz="0" w:space="0" w:color="auto"/>
                                      </w:divBdr>
                                      <w:divsChild>
                                        <w:div w:id="1176075447">
                                          <w:marLeft w:val="0"/>
                                          <w:marRight w:val="0"/>
                                          <w:marTop w:val="0"/>
                                          <w:marBottom w:val="0"/>
                                          <w:divBdr>
                                            <w:top w:val="none" w:sz="0" w:space="0" w:color="auto"/>
                                            <w:left w:val="none" w:sz="0" w:space="0" w:color="auto"/>
                                            <w:bottom w:val="none" w:sz="0" w:space="0" w:color="auto"/>
                                            <w:right w:val="none" w:sz="0" w:space="0" w:color="auto"/>
                                          </w:divBdr>
                                          <w:divsChild>
                                            <w:div w:id="2080253149">
                                              <w:marLeft w:val="0"/>
                                              <w:marRight w:val="0"/>
                                              <w:marTop w:val="0"/>
                                              <w:marBottom w:val="0"/>
                                              <w:divBdr>
                                                <w:top w:val="none" w:sz="0" w:space="0" w:color="auto"/>
                                                <w:left w:val="none" w:sz="0" w:space="0" w:color="auto"/>
                                                <w:bottom w:val="none" w:sz="0" w:space="0" w:color="auto"/>
                                                <w:right w:val="none" w:sz="0" w:space="0" w:color="auto"/>
                                              </w:divBdr>
                                              <w:divsChild>
                                                <w:div w:id="743837480">
                                                  <w:marLeft w:val="0"/>
                                                  <w:marRight w:val="0"/>
                                                  <w:marTop w:val="0"/>
                                                  <w:marBottom w:val="450"/>
                                                  <w:divBdr>
                                                    <w:top w:val="none" w:sz="0" w:space="0" w:color="auto"/>
                                                    <w:left w:val="none" w:sz="0" w:space="0" w:color="auto"/>
                                                    <w:bottom w:val="none" w:sz="0" w:space="0" w:color="auto"/>
                                                    <w:right w:val="none" w:sz="0" w:space="0" w:color="auto"/>
                                                  </w:divBdr>
                                                  <w:divsChild>
                                                    <w:div w:id="2141266157">
                                                      <w:marLeft w:val="0"/>
                                                      <w:marRight w:val="0"/>
                                                      <w:marTop w:val="0"/>
                                                      <w:marBottom w:val="0"/>
                                                      <w:divBdr>
                                                        <w:top w:val="none" w:sz="0" w:space="0" w:color="auto"/>
                                                        <w:left w:val="none" w:sz="0" w:space="0" w:color="auto"/>
                                                        <w:bottom w:val="none" w:sz="0" w:space="0" w:color="auto"/>
                                                        <w:right w:val="none" w:sz="0" w:space="0" w:color="auto"/>
                                                      </w:divBdr>
                                                      <w:divsChild>
                                                        <w:div w:id="861361375">
                                                          <w:marLeft w:val="0"/>
                                                          <w:marRight w:val="0"/>
                                                          <w:marTop w:val="0"/>
                                                          <w:marBottom w:val="0"/>
                                                          <w:divBdr>
                                                            <w:top w:val="single" w:sz="6" w:space="0" w:color="ABABAB"/>
                                                            <w:left w:val="single" w:sz="6" w:space="0" w:color="ABABAB"/>
                                                            <w:bottom w:val="single" w:sz="12" w:space="0" w:color="ABABAB"/>
                                                            <w:right w:val="single" w:sz="6" w:space="0" w:color="ABABAB"/>
                                                          </w:divBdr>
                                                          <w:divsChild>
                                                            <w:div w:id="229653493">
                                                              <w:marLeft w:val="0"/>
                                                              <w:marRight w:val="0"/>
                                                              <w:marTop w:val="0"/>
                                                              <w:marBottom w:val="0"/>
                                                              <w:divBdr>
                                                                <w:top w:val="none" w:sz="0" w:space="0" w:color="auto"/>
                                                                <w:left w:val="none" w:sz="0" w:space="0" w:color="auto"/>
                                                                <w:bottom w:val="none" w:sz="0" w:space="0" w:color="auto"/>
                                                                <w:right w:val="none" w:sz="0" w:space="0" w:color="auto"/>
                                                              </w:divBdr>
                                                              <w:divsChild>
                                                                <w:div w:id="598756725">
                                                                  <w:marLeft w:val="0"/>
                                                                  <w:marRight w:val="0"/>
                                                                  <w:marTop w:val="0"/>
                                                                  <w:marBottom w:val="0"/>
                                                                  <w:divBdr>
                                                                    <w:top w:val="none" w:sz="0" w:space="0" w:color="auto"/>
                                                                    <w:left w:val="none" w:sz="0" w:space="0" w:color="auto"/>
                                                                    <w:bottom w:val="none" w:sz="0" w:space="0" w:color="auto"/>
                                                                    <w:right w:val="none" w:sz="0" w:space="0" w:color="auto"/>
                                                                  </w:divBdr>
                                                                  <w:divsChild>
                                                                    <w:div w:id="602609470">
                                                                      <w:marLeft w:val="0"/>
                                                                      <w:marRight w:val="0"/>
                                                                      <w:marTop w:val="0"/>
                                                                      <w:marBottom w:val="0"/>
                                                                      <w:divBdr>
                                                                        <w:top w:val="none" w:sz="0" w:space="0" w:color="auto"/>
                                                                        <w:left w:val="none" w:sz="0" w:space="0" w:color="auto"/>
                                                                        <w:bottom w:val="none" w:sz="0" w:space="0" w:color="auto"/>
                                                                        <w:right w:val="none" w:sz="0" w:space="0" w:color="auto"/>
                                                                      </w:divBdr>
                                                                      <w:divsChild>
                                                                        <w:div w:id="943002579">
                                                                          <w:marLeft w:val="0"/>
                                                                          <w:marRight w:val="0"/>
                                                                          <w:marTop w:val="0"/>
                                                                          <w:marBottom w:val="0"/>
                                                                          <w:divBdr>
                                                                            <w:top w:val="none" w:sz="0" w:space="0" w:color="auto"/>
                                                                            <w:left w:val="none" w:sz="0" w:space="0" w:color="auto"/>
                                                                            <w:bottom w:val="none" w:sz="0" w:space="0" w:color="auto"/>
                                                                            <w:right w:val="none" w:sz="0" w:space="0" w:color="auto"/>
                                                                          </w:divBdr>
                                                                          <w:divsChild>
                                                                            <w:div w:id="2062902998">
                                                                              <w:marLeft w:val="0"/>
                                                                              <w:marRight w:val="0"/>
                                                                              <w:marTop w:val="0"/>
                                                                              <w:marBottom w:val="0"/>
                                                                              <w:divBdr>
                                                                                <w:top w:val="none" w:sz="0" w:space="0" w:color="auto"/>
                                                                                <w:left w:val="none" w:sz="0" w:space="0" w:color="auto"/>
                                                                                <w:bottom w:val="none" w:sz="0" w:space="0" w:color="auto"/>
                                                                                <w:right w:val="none" w:sz="0" w:space="0" w:color="auto"/>
                                                                              </w:divBdr>
                                                                              <w:divsChild>
                                                                                <w:div w:id="2051027421">
                                                                                  <w:marLeft w:val="0"/>
                                                                                  <w:marRight w:val="0"/>
                                                                                  <w:marTop w:val="0"/>
                                                                                  <w:marBottom w:val="0"/>
                                                                                  <w:divBdr>
                                                                                    <w:top w:val="none" w:sz="0" w:space="0" w:color="auto"/>
                                                                                    <w:left w:val="none" w:sz="0" w:space="0" w:color="auto"/>
                                                                                    <w:bottom w:val="none" w:sz="0" w:space="0" w:color="auto"/>
                                                                                    <w:right w:val="none" w:sz="0" w:space="0" w:color="auto"/>
                                                                                  </w:divBdr>
                                                                                  <w:divsChild>
                                                                                    <w:div w:id="86359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0011652">
      <w:bodyDiv w:val="1"/>
      <w:marLeft w:val="0"/>
      <w:marRight w:val="0"/>
      <w:marTop w:val="0"/>
      <w:marBottom w:val="0"/>
      <w:divBdr>
        <w:top w:val="none" w:sz="0" w:space="0" w:color="auto"/>
        <w:left w:val="none" w:sz="0" w:space="0" w:color="auto"/>
        <w:bottom w:val="none" w:sz="0" w:space="0" w:color="auto"/>
        <w:right w:val="none" w:sz="0" w:space="0" w:color="auto"/>
      </w:divBdr>
    </w:div>
    <w:div w:id="1146976430">
      <w:bodyDiv w:val="1"/>
      <w:marLeft w:val="0"/>
      <w:marRight w:val="0"/>
      <w:marTop w:val="0"/>
      <w:marBottom w:val="0"/>
      <w:divBdr>
        <w:top w:val="none" w:sz="0" w:space="0" w:color="auto"/>
        <w:left w:val="none" w:sz="0" w:space="0" w:color="auto"/>
        <w:bottom w:val="none" w:sz="0" w:space="0" w:color="auto"/>
        <w:right w:val="none" w:sz="0" w:space="0" w:color="auto"/>
      </w:divBdr>
    </w:div>
    <w:div w:id="1165170506">
      <w:bodyDiv w:val="1"/>
      <w:marLeft w:val="0"/>
      <w:marRight w:val="0"/>
      <w:marTop w:val="0"/>
      <w:marBottom w:val="0"/>
      <w:divBdr>
        <w:top w:val="none" w:sz="0" w:space="0" w:color="auto"/>
        <w:left w:val="none" w:sz="0" w:space="0" w:color="auto"/>
        <w:bottom w:val="none" w:sz="0" w:space="0" w:color="auto"/>
        <w:right w:val="none" w:sz="0" w:space="0" w:color="auto"/>
      </w:divBdr>
    </w:div>
    <w:div w:id="1176917583">
      <w:bodyDiv w:val="1"/>
      <w:marLeft w:val="0"/>
      <w:marRight w:val="0"/>
      <w:marTop w:val="0"/>
      <w:marBottom w:val="0"/>
      <w:divBdr>
        <w:top w:val="none" w:sz="0" w:space="0" w:color="auto"/>
        <w:left w:val="none" w:sz="0" w:space="0" w:color="auto"/>
        <w:bottom w:val="none" w:sz="0" w:space="0" w:color="auto"/>
        <w:right w:val="none" w:sz="0" w:space="0" w:color="auto"/>
      </w:divBdr>
    </w:div>
    <w:div w:id="1194151842">
      <w:bodyDiv w:val="1"/>
      <w:marLeft w:val="0"/>
      <w:marRight w:val="0"/>
      <w:marTop w:val="0"/>
      <w:marBottom w:val="0"/>
      <w:divBdr>
        <w:top w:val="none" w:sz="0" w:space="0" w:color="auto"/>
        <w:left w:val="none" w:sz="0" w:space="0" w:color="auto"/>
        <w:bottom w:val="none" w:sz="0" w:space="0" w:color="auto"/>
        <w:right w:val="none" w:sz="0" w:space="0" w:color="auto"/>
      </w:divBdr>
    </w:div>
    <w:div w:id="1204950559">
      <w:bodyDiv w:val="1"/>
      <w:marLeft w:val="0"/>
      <w:marRight w:val="0"/>
      <w:marTop w:val="0"/>
      <w:marBottom w:val="0"/>
      <w:divBdr>
        <w:top w:val="none" w:sz="0" w:space="0" w:color="auto"/>
        <w:left w:val="none" w:sz="0" w:space="0" w:color="auto"/>
        <w:bottom w:val="none" w:sz="0" w:space="0" w:color="auto"/>
        <w:right w:val="none" w:sz="0" w:space="0" w:color="auto"/>
      </w:divBdr>
      <w:divsChild>
        <w:div w:id="678580952">
          <w:marLeft w:val="0"/>
          <w:marRight w:val="0"/>
          <w:marTop w:val="0"/>
          <w:marBottom w:val="0"/>
          <w:divBdr>
            <w:top w:val="none" w:sz="0" w:space="0" w:color="auto"/>
            <w:left w:val="none" w:sz="0" w:space="0" w:color="auto"/>
            <w:bottom w:val="none" w:sz="0" w:space="0" w:color="auto"/>
            <w:right w:val="none" w:sz="0" w:space="0" w:color="auto"/>
          </w:divBdr>
        </w:div>
        <w:div w:id="1904869440">
          <w:marLeft w:val="0"/>
          <w:marRight w:val="0"/>
          <w:marTop w:val="0"/>
          <w:marBottom w:val="0"/>
          <w:divBdr>
            <w:top w:val="none" w:sz="0" w:space="0" w:color="auto"/>
            <w:left w:val="none" w:sz="0" w:space="0" w:color="auto"/>
            <w:bottom w:val="none" w:sz="0" w:space="0" w:color="auto"/>
            <w:right w:val="none" w:sz="0" w:space="0" w:color="auto"/>
          </w:divBdr>
        </w:div>
      </w:divsChild>
    </w:div>
    <w:div w:id="1208300721">
      <w:bodyDiv w:val="1"/>
      <w:marLeft w:val="0"/>
      <w:marRight w:val="0"/>
      <w:marTop w:val="0"/>
      <w:marBottom w:val="0"/>
      <w:divBdr>
        <w:top w:val="none" w:sz="0" w:space="0" w:color="auto"/>
        <w:left w:val="none" w:sz="0" w:space="0" w:color="auto"/>
        <w:bottom w:val="none" w:sz="0" w:space="0" w:color="auto"/>
        <w:right w:val="none" w:sz="0" w:space="0" w:color="auto"/>
      </w:divBdr>
    </w:div>
    <w:div w:id="1215846394">
      <w:bodyDiv w:val="1"/>
      <w:marLeft w:val="0"/>
      <w:marRight w:val="0"/>
      <w:marTop w:val="0"/>
      <w:marBottom w:val="0"/>
      <w:divBdr>
        <w:top w:val="none" w:sz="0" w:space="0" w:color="auto"/>
        <w:left w:val="none" w:sz="0" w:space="0" w:color="auto"/>
        <w:bottom w:val="none" w:sz="0" w:space="0" w:color="auto"/>
        <w:right w:val="none" w:sz="0" w:space="0" w:color="auto"/>
      </w:divBdr>
    </w:div>
    <w:div w:id="1242566943">
      <w:bodyDiv w:val="1"/>
      <w:marLeft w:val="0"/>
      <w:marRight w:val="0"/>
      <w:marTop w:val="0"/>
      <w:marBottom w:val="0"/>
      <w:divBdr>
        <w:top w:val="none" w:sz="0" w:space="0" w:color="auto"/>
        <w:left w:val="none" w:sz="0" w:space="0" w:color="auto"/>
        <w:bottom w:val="none" w:sz="0" w:space="0" w:color="auto"/>
        <w:right w:val="none" w:sz="0" w:space="0" w:color="auto"/>
      </w:divBdr>
    </w:div>
    <w:div w:id="1249536871">
      <w:bodyDiv w:val="1"/>
      <w:marLeft w:val="0"/>
      <w:marRight w:val="0"/>
      <w:marTop w:val="0"/>
      <w:marBottom w:val="0"/>
      <w:divBdr>
        <w:top w:val="none" w:sz="0" w:space="0" w:color="auto"/>
        <w:left w:val="none" w:sz="0" w:space="0" w:color="auto"/>
        <w:bottom w:val="none" w:sz="0" w:space="0" w:color="auto"/>
        <w:right w:val="none" w:sz="0" w:space="0" w:color="auto"/>
      </w:divBdr>
    </w:div>
    <w:div w:id="1252860993">
      <w:bodyDiv w:val="1"/>
      <w:marLeft w:val="0"/>
      <w:marRight w:val="0"/>
      <w:marTop w:val="0"/>
      <w:marBottom w:val="0"/>
      <w:divBdr>
        <w:top w:val="none" w:sz="0" w:space="0" w:color="auto"/>
        <w:left w:val="none" w:sz="0" w:space="0" w:color="auto"/>
        <w:bottom w:val="none" w:sz="0" w:space="0" w:color="auto"/>
        <w:right w:val="none" w:sz="0" w:space="0" w:color="auto"/>
      </w:divBdr>
    </w:div>
    <w:div w:id="1290086362">
      <w:bodyDiv w:val="1"/>
      <w:marLeft w:val="0"/>
      <w:marRight w:val="0"/>
      <w:marTop w:val="0"/>
      <w:marBottom w:val="0"/>
      <w:divBdr>
        <w:top w:val="none" w:sz="0" w:space="0" w:color="auto"/>
        <w:left w:val="none" w:sz="0" w:space="0" w:color="auto"/>
        <w:bottom w:val="none" w:sz="0" w:space="0" w:color="auto"/>
        <w:right w:val="none" w:sz="0" w:space="0" w:color="auto"/>
      </w:divBdr>
      <w:divsChild>
        <w:div w:id="3292024">
          <w:marLeft w:val="446"/>
          <w:marRight w:val="0"/>
          <w:marTop w:val="0"/>
          <w:marBottom w:val="0"/>
          <w:divBdr>
            <w:top w:val="none" w:sz="0" w:space="0" w:color="auto"/>
            <w:left w:val="none" w:sz="0" w:space="0" w:color="auto"/>
            <w:bottom w:val="none" w:sz="0" w:space="0" w:color="auto"/>
            <w:right w:val="none" w:sz="0" w:space="0" w:color="auto"/>
          </w:divBdr>
        </w:div>
        <w:div w:id="242877770">
          <w:marLeft w:val="446"/>
          <w:marRight w:val="0"/>
          <w:marTop w:val="0"/>
          <w:marBottom w:val="0"/>
          <w:divBdr>
            <w:top w:val="none" w:sz="0" w:space="0" w:color="auto"/>
            <w:left w:val="none" w:sz="0" w:space="0" w:color="auto"/>
            <w:bottom w:val="none" w:sz="0" w:space="0" w:color="auto"/>
            <w:right w:val="none" w:sz="0" w:space="0" w:color="auto"/>
          </w:divBdr>
        </w:div>
        <w:div w:id="469593361">
          <w:marLeft w:val="446"/>
          <w:marRight w:val="0"/>
          <w:marTop w:val="0"/>
          <w:marBottom w:val="0"/>
          <w:divBdr>
            <w:top w:val="none" w:sz="0" w:space="0" w:color="auto"/>
            <w:left w:val="none" w:sz="0" w:space="0" w:color="auto"/>
            <w:bottom w:val="none" w:sz="0" w:space="0" w:color="auto"/>
            <w:right w:val="none" w:sz="0" w:space="0" w:color="auto"/>
          </w:divBdr>
        </w:div>
        <w:div w:id="516431945">
          <w:marLeft w:val="446"/>
          <w:marRight w:val="0"/>
          <w:marTop w:val="0"/>
          <w:marBottom w:val="0"/>
          <w:divBdr>
            <w:top w:val="none" w:sz="0" w:space="0" w:color="auto"/>
            <w:left w:val="none" w:sz="0" w:space="0" w:color="auto"/>
            <w:bottom w:val="none" w:sz="0" w:space="0" w:color="auto"/>
            <w:right w:val="none" w:sz="0" w:space="0" w:color="auto"/>
          </w:divBdr>
        </w:div>
        <w:div w:id="546533105">
          <w:marLeft w:val="446"/>
          <w:marRight w:val="0"/>
          <w:marTop w:val="0"/>
          <w:marBottom w:val="0"/>
          <w:divBdr>
            <w:top w:val="none" w:sz="0" w:space="0" w:color="auto"/>
            <w:left w:val="none" w:sz="0" w:space="0" w:color="auto"/>
            <w:bottom w:val="none" w:sz="0" w:space="0" w:color="auto"/>
            <w:right w:val="none" w:sz="0" w:space="0" w:color="auto"/>
          </w:divBdr>
        </w:div>
        <w:div w:id="599609367">
          <w:marLeft w:val="446"/>
          <w:marRight w:val="0"/>
          <w:marTop w:val="0"/>
          <w:marBottom w:val="0"/>
          <w:divBdr>
            <w:top w:val="none" w:sz="0" w:space="0" w:color="auto"/>
            <w:left w:val="none" w:sz="0" w:space="0" w:color="auto"/>
            <w:bottom w:val="none" w:sz="0" w:space="0" w:color="auto"/>
            <w:right w:val="none" w:sz="0" w:space="0" w:color="auto"/>
          </w:divBdr>
        </w:div>
        <w:div w:id="625624682">
          <w:marLeft w:val="446"/>
          <w:marRight w:val="0"/>
          <w:marTop w:val="0"/>
          <w:marBottom w:val="0"/>
          <w:divBdr>
            <w:top w:val="none" w:sz="0" w:space="0" w:color="auto"/>
            <w:left w:val="none" w:sz="0" w:space="0" w:color="auto"/>
            <w:bottom w:val="none" w:sz="0" w:space="0" w:color="auto"/>
            <w:right w:val="none" w:sz="0" w:space="0" w:color="auto"/>
          </w:divBdr>
        </w:div>
        <w:div w:id="824660452">
          <w:marLeft w:val="446"/>
          <w:marRight w:val="0"/>
          <w:marTop w:val="0"/>
          <w:marBottom w:val="0"/>
          <w:divBdr>
            <w:top w:val="none" w:sz="0" w:space="0" w:color="auto"/>
            <w:left w:val="none" w:sz="0" w:space="0" w:color="auto"/>
            <w:bottom w:val="none" w:sz="0" w:space="0" w:color="auto"/>
            <w:right w:val="none" w:sz="0" w:space="0" w:color="auto"/>
          </w:divBdr>
        </w:div>
        <w:div w:id="833451726">
          <w:marLeft w:val="446"/>
          <w:marRight w:val="0"/>
          <w:marTop w:val="0"/>
          <w:marBottom w:val="0"/>
          <w:divBdr>
            <w:top w:val="none" w:sz="0" w:space="0" w:color="auto"/>
            <w:left w:val="none" w:sz="0" w:space="0" w:color="auto"/>
            <w:bottom w:val="none" w:sz="0" w:space="0" w:color="auto"/>
            <w:right w:val="none" w:sz="0" w:space="0" w:color="auto"/>
          </w:divBdr>
        </w:div>
        <w:div w:id="899755226">
          <w:marLeft w:val="446"/>
          <w:marRight w:val="0"/>
          <w:marTop w:val="0"/>
          <w:marBottom w:val="0"/>
          <w:divBdr>
            <w:top w:val="none" w:sz="0" w:space="0" w:color="auto"/>
            <w:left w:val="none" w:sz="0" w:space="0" w:color="auto"/>
            <w:bottom w:val="none" w:sz="0" w:space="0" w:color="auto"/>
            <w:right w:val="none" w:sz="0" w:space="0" w:color="auto"/>
          </w:divBdr>
        </w:div>
        <w:div w:id="956303160">
          <w:marLeft w:val="446"/>
          <w:marRight w:val="0"/>
          <w:marTop w:val="0"/>
          <w:marBottom w:val="0"/>
          <w:divBdr>
            <w:top w:val="none" w:sz="0" w:space="0" w:color="auto"/>
            <w:left w:val="none" w:sz="0" w:space="0" w:color="auto"/>
            <w:bottom w:val="none" w:sz="0" w:space="0" w:color="auto"/>
            <w:right w:val="none" w:sz="0" w:space="0" w:color="auto"/>
          </w:divBdr>
        </w:div>
        <w:div w:id="983390713">
          <w:marLeft w:val="446"/>
          <w:marRight w:val="0"/>
          <w:marTop w:val="0"/>
          <w:marBottom w:val="0"/>
          <w:divBdr>
            <w:top w:val="none" w:sz="0" w:space="0" w:color="auto"/>
            <w:left w:val="none" w:sz="0" w:space="0" w:color="auto"/>
            <w:bottom w:val="none" w:sz="0" w:space="0" w:color="auto"/>
            <w:right w:val="none" w:sz="0" w:space="0" w:color="auto"/>
          </w:divBdr>
        </w:div>
        <w:div w:id="1035692367">
          <w:marLeft w:val="446"/>
          <w:marRight w:val="0"/>
          <w:marTop w:val="0"/>
          <w:marBottom w:val="0"/>
          <w:divBdr>
            <w:top w:val="none" w:sz="0" w:space="0" w:color="auto"/>
            <w:left w:val="none" w:sz="0" w:space="0" w:color="auto"/>
            <w:bottom w:val="none" w:sz="0" w:space="0" w:color="auto"/>
            <w:right w:val="none" w:sz="0" w:space="0" w:color="auto"/>
          </w:divBdr>
        </w:div>
        <w:div w:id="1136265281">
          <w:marLeft w:val="446"/>
          <w:marRight w:val="0"/>
          <w:marTop w:val="0"/>
          <w:marBottom w:val="0"/>
          <w:divBdr>
            <w:top w:val="none" w:sz="0" w:space="0" w:color="auto"/>
            <w:left w:val="none" w:sz="0" w:space="0" w:color="auto"/>
            <w:bottom w:val="none" w:sz="0" w:space="0" w:color="auto"/>
            <w:right w:val="none" w:sz="0" w:space="0" w:color="auto"/>
          </w:divBdr>
        </w:div>
        <w:div w:id="1151285262">
          <w:marLeft w:val="446"/>
          <w:marRight w:val="0"/>
          <w:marTop w:val="0"/>
          <w:marBottom w:val="0"/>
          <w:divBdr>
            <w:top w:val="none" w:sz="0" w:space="0" w:color="auto"/>
            <w:left w:val="none" w:sz="0" w:space="0" w:color="auto"/>
            <w:bottom w:val="none" w:sz="0" w:space="0" w:color="auto"/>
            <w:right w:val="none" w:sz="0" w:space="0" w:color="auto"/>
          </w:divBdr>
        </w:div>
        <w:div w:id="1209419502">
          <w:marLeft w:val="446"/>
          <w:marRight w:val="0"/>
          <w:marTop w:val="0"/>
          <w:marBottom w:val="0"/>
          <w:divBdr>
            <w:top w:val="none" w:sz="0" w:space="0" w:color="auto"/>
            <w:left w:val="none" w:sz="0" w:space="0" w:color="auto"/>
            <w:bottom w:val="none" w:sz="0" w:space="0" w:color="auto"/>
            <w:right w:val="none" w:sz="0" w:space="0" w:color="auto"/>
          </w:divBdr>
        </w:div>
        <w:div w:id="1214728628">
          <w:marLeft w:val="446"/>
          <w:marRight w:val="0"/>
          <w:marTop w:val="0"/>
          <w:marBottom w:val="0"/>
          <w:divBdr>
            <w:top w:val="none" w:sz="0" w:space="0" w:color="auto"/>
            <w:left w:val="none" w:sz="0" w:space="0" w:color="auto"/>
            <w:bottom w:val="none" w:sz="0" w:space="0" w:color="auto"/>
            <w:right w:val="none" w:sz="0" w:space="0" w:color="auto"/>
          </w:divBdr>
        </w:div>
        <w:div w:id="1258445596">
          <w:marLeft w:val="446"/>
          <w:marRight w:val="0"/>
          <w:marTop w:val="0"/>
          <w:marBottom w:val="0"/>
          <w:divBdr>
            <w:top w:val="none" w:sz="0" w:space="0" w:color="auto"/>
            <w:left w:val="none" w:sz="0" w:space="0" w:color="auto"/>
            <w:bottom w:val="none" w:sz="0" w:space="0" w:color="auto"/>
            <w:right w:val="none" w:sz="0" w:space="0" w:color="auto"/>
          </w:divBdr>
        </w:div>
        <w:div w:id="1285698903">
          <w:marLeft w:val="446"/>
          <w:marRight w:val="0"/>
          <w:marTop w:val="0"/>
          <w:marBottom w:val="0"/>
          <w:divBdr>
            <w:top w:val="none" w:sz="0" w:space="0" w:color="auto"/>
            <w:left w:val="none" w:sz="0" w:space="0" w:color="auto"/>
            <w:bottom w:val="none" w:sz="0" w:space="0" w:color="auto"/>
            <w:right w:val="none" w:sz="0" w:space="0" w:color="auto"/>
          </w:divBdr>
        </w:div>
        <w:div w:id="1456365383">
          <w:marLeft w:val="446"/>
          <w:marRight w:val="0"/>
          <w:marTop w:val="0"/>
          <w:marBottom w:val="0"/>
          <w:divBdr>
            <w:top w:val="none" w:sz="0" w:space="0" w:color="auto"/>
            <w:left w:val="none" w:sz="0" w:space="0" w:color="auto"/>
            <w:bottom w:val="none" w:sz="0" w:space="0" w:color="auto"/>
            <w:right w:val="none" w:sz="0" w:space="0" w:color="auto"/>
          </w:divBdr>
        </w:div>
        <w:div w:id="1534227016">
          <w:marLeft w:val="446"/>
          <w:marRight w:val="0"/>
          <w:marTop w:val="0"/>
          <w:marBottom w:val="0"/>
          <w:divBdr>
            <w:top w:val="none" w:sz="0" w:space="0" w:color="auto"/>
            <w:left w:val="none" w:sz="0" w:space="0" w:color="auto"/>
            <w:bottom w:val="none" w:sz="0" w:space="0" w:color="auto"/>
            <w:right w:val="none" w:sz="0" w:space="0" w:color="auto"/>
          </w:divBdr>
        </w:div>
        <w:div w:id="1668744734">
          <w:marLeft w:val="446"/>
          <w:marRight w:val="0"/>
          <w:marTop w:val="0"/>
          <w:marBottom w:val="0"/>
          <w:divBdr>
            <w:top w:val="none" w:sz="0" w:space="0" w:color="auto"/>
            <w:left w:val="none" w:sz="0" w:space="0" w:color="auto"/>
            <w:bottom w:val="none" w:sz="0" w:space="0" w:color="auto"/>
            <w:right w:val="none" w:sz="0" w:space="0" w:color="auto"/>
          </w:divBdr>
        </w:div>
        <w:div w:id="1726677985">
          <w:marLeft w:val="446"/>
          <w:marRight w:val="0"/>
          <w:marTop w:val="0"/>
          <w:marBottom w:val="0"/>
          <w:divBdr>
            <w:top w:val="none" w:sz="0" w:space="0" w:color="auto"/>
            <w:left w:val="none" w:sz="0" w:space="0" w:color="auto"/>
            <w:bottom w:val="none" w:sz="0" w:space="0" w:color="auto"/>
            <w:right w:val="none" w:sz="0" w:space="0" w:color="auto"/>
          </w:divBdr>
        </w:div>
        <w:div w:id="1805417969">
          <w:marLeft w:val="446"/>
          <w:marRight w:val="0"/>
          <w:marTop w:val="0"/>
          <w:marBottom w:val="0"/>
          <w:divBdr>
            <w:top w:val="none" w:sz="0" w:space="0" w:color="auto"/>
            <w:left w:val="none" w:sz="0" w:space="0" w:color="auto"/>
            <w:bottom w:val="none" w:sz="0" w:space="0" w:color="auto"/>
            <w:right w:val="none" w:sz="0" w:space="0" w:color="auto"/>
          </w:divBdr>
        </w:div>
        <w:div w:id="1894342382">
          <w:marLeft w:val="446"/>
          <w:marRight w:val="0"/>
          <w:marTop w:val="0"/>
          <w:marBottom w:val="0"/>
          <w:divBdr>
            <w:top w:val="none" w:sz="0" w:space="0" w:color="auto"/>
            <w:left w:val="none" w:sz="0" w:space="0" w:color="auto"/>
            <w:bottom w:val="none" w:sz="0" w:space="0" w:color="auto"/>
            <w:right w:val="none" w:sz="0" w:space="0" w:color="auto"/>
          </w:divBdr>
        </w:div>
      </w:divsChild>
    </w:div>
    <w:div w:id="1363285792">
      <w:bodyDiv w:val="1"/>
      <w:marLeft w:val="0"/>
      <w:marRight w:val="0"/>
      <w:marTop w:val="0"/>
      <w:marBottom w:val="0"/>
      <w:divBdr>
        <w:top w:val="none" w:sz="0" w:space="0" w:color="auto"/>
        <w:left w:val="none" w:sz="0" w:space="0" w:color="auto"/>
        <w:bottom w:val="none" w:sz="0" w:space="0" w:color="auto"/>
        <w:right w:val="none" w:sz="0" w:space="0" w:color="auto"/>
      </w:divBdr>
    </w:div>
    <w:div w:id="1418285314">
      <w:bodyDiv w:val="1"/>
      <w:marLeft w:val="0"/>
      <w:marRight w:val="0"/>
      <w:marTop w:val="0"/>
      <w:marBottom w:val="0"/>
      <w:divBdr>
        <w:top w:val="none" w:sz="0" w:space="0" w:color="auto"/>
        <w:left w:val="none" w:sz="0" w:space="0" w:color="auto"/>
        <w:bottom w:val="none" w:sz="0" w:space="0" w:color="auto"/>
        <w:right w:val="none" w:sz="0" w:space="0" w:color="auto"/>
      </w:divBdr>
    </w:div>
    <w:div w:id="1418676046">
      <w:bodyDiv w:val="1"/>
      <w:marLeft w:val="0"/>
      <w:marRight w:val="0"/>
      <w:marTop w:val="0"/>
      <w:marBottom w:val="0"/>
      <w:divBdr>
        <w:top w:val="none" w:sz="0" w:space="0" w:color="auto"/>
        <w:left w:val="none" w:sz="0" w:space="0" w:color="auto"/>
        <w:bottom w:val="none" w:sz="0" w:space="0" w:color="auto"/>
        <w:right w:val="none" w:sz="0" w:space="0" w:color="auto"/>
      </w:divBdr>
      <w:divsChild>
        <w:div w:id="19624926">
          <w:marLeft w:val="446"/>
          <w:marRight w:val="0"/>
          <w:marTop w:val="0"/>
          <w:marBottom w:val="0"/>
          <w:divBdr>
            <w:top w:val="none" w:sz="0" w:space="0" w:color="auto"/>
            <w:left w:val="none" w:sz="0" w:space="0" w:color="auto"/>
            <w:bottom w:val="none" w:sz="0" w:space="0" w:color="auto"/>
            <w:right w:val="none" w:sz="0" w:space="0" w:color="auto"/>
          </w:divBdr>
        </w:div>
        <w:div w:id="52194488">
          <w:marLeft w:val="446"/>
          <w:marRight w:val="0"/>
          <w:marTop w:val="0"/>
          <w:marBottom w:val="0"/>
          <w:divBdr>
            <w:top w:val="none" w:sz="0" w:space="0" w:color="auto"/>
            <w:left w:val="none" w:sz="0" w:space="0" w:color="auto"/>
            <w:bottom w:val="none" w:sz="0" w:space="0" w:color="auto"/>
            <w:right w:val="none" w:sz="0" w:space="0" w:color="auto"/>
          </w:divBdr>
        </w:div>
        <w:div w:id="84502133">
          <w:marLeft w:val="446"/>
          <w:marRight w:val="0"/>
          <w:marTop w:val="0"/>
          <w:marBottom w:val="0"/>
          <w:divBdr>
            <w:top w:val="none" w:sz="0" w:space="0" w:color="auto"/>
            <w:left w:val="none" w:sz="0" w:space="0" w:color="auto"/>
            <w:bottom w:val="none" w:sz="0" w:space="0" w:color="auto"/>
            <w:right w:val="none" w:sz="0" w:space="0" w:color="auto"/>
          </w:divBdr>
        </w:div>
        <w:div w:id="158086724">
          <w:marLeft w:val="446"/>
          <w:marRight w:val="0"/>
          <w:marTop w:val="0"/>
          <w:marBottom w:val="0"/>
          <w:divBdr>
            <w:top w:val="none" w:sz="0" w:space="0" w:color="auto"/>
            <w:left w:val="none" w:sz="0" w:space="0" w:color="auto"/>
            <w:bottom w:val="none" w:sz="0" w:space="0" w:color="auto"/>
            <w:right w:val="none" w:sz="0" w:space="0" w:color="auto"/>
          </w:divBdr>
        </w:div>
        <w:div w:id="430468199">
          <w:marLeft w:val="446"/>
          <w:marRight w:val="0"/>
          <w:marTop w:val="0"/>
          <w:marBottom w:val="0"/>
          <w:divBdr>
            <w:top w:val="none" w:sz="0" w:space="0" w:color="auto"/>
            <w:left w:val="none" w:sz="0" w:space="0" w:color="auto"/>
            <w:bottom w:val="none" w:sz="0" w:space="0" w:color="auto"/>
            <w:right w:val="none" w:sz="0" w:space="0" w:color="auto"/>
          </w:divBdr>
        </w:div>
        <w:div w:id="501505791">
          <w:marLeft w:val="446"/>
          <w:marRight w:val="0"/>
          <w:marTop w:val="0"/>
          <w:marBottom w:val="0"/>
          <w:divBdr>
            <w:top w:val="none" w:sz="0" w:space="0" w:color="auto"/>
            <w:left w:val="none" w:sz="0" w:space="0" w:color="auto"/>
            <w:bottom w:val="none" w:sz="0" w:space="0" w:color="auto"/>
            <w:right w:val="none" w:sz="0" w:space="0" w:color="auto"/>
          </w:divBdr>
        </w:div>
        <w:div w:id="767892805">
          <w:marLeft w:val="446"/>
          <w:marRight w:val="0"/>
          <w:marTop w:val="0"/>
          <w:marBottom w:val="0"/>
          <w:divBdr>
            <w:top w:val="none" w:sz="0" w:space="0" w:color="auto"/>
            <w:left w:val="none" w:sz="0" w:space="0" w:color="auto"/>
            <w:bottom w:val="none" w:sz="0" w:space="0" w:color="auto"/>
            <w:right w:val="none" w:sz="0" w:space="0" w:color="auto"/>
          </w:divBdr>
        </w:div>
        <w:div w:id="800422651">
          <w:marLeft w:val="446"/>
          <w:marRight w:val="0"/>
          <w:marTop w:val="0"/>
          <w:marBottom w:val="0"/>
          <w:divBdr>
            <w:top w:val="none" w:sz="0" w:space="0" w:color="auto"/>
            <w:left w:val="none" w:sz="0" w:space="0" w:color="auto"/>
            <w:bottom w:val="none" w:sz="0" w:space="0" w:color="auto"/>
            <w:right w:val="none" w:sz="0" w:space="0" w:color="auto"/>
          </w:divBdr>
        </w:div>
        <w:div w:id="890767951">
          <w:marLeft w:val="446"/>
          <w:marRight w:val="0"/>
          <w:marTop w:val="0"/>
          <w:marBottom w:val="0"/>
          <w:divBdr>
            <w:top w:val="none" w:sz="0" w:space="0" w:color="auto"/>
            <w:left w:val="none" w:sz="0" w:space="0" w:color="auto"/>
            <w:bottom w:val="none" w:sz="0" w:space="0" w:color="auto"/>
            <w:right w:val="none" w:sz="0" w:space="0" w:color="auto"/>
          </w:divBdr>
        </w:div>
        <w:div w:id="947083798">
          <w:marLeft w:val="446"/>
          <w:marRight w:val="0"/>
          <w:marTop w:val="0"/>
          <w:marBottom w:val="0"/>
          <w:divBdr>
            <w:top w:val="none" w:sz="0" w:space="0" w:color="auto"/>
            <w:left w:val="none" w:sz="0" w:space="0" w:color="auto"/>
            <w:bottom w:val="none" w:sz="0" w:space="0" w:color="auto"/>
            <w:right w:val="none" w:sz="0" w:space="0" w:color="auto"/>
          </w:divBdr>
        </w:div>
        <w:div w:id="1010838900">
          <w:marLeft w:val="446"/>
          <w:marRight w:val="0"/>
          <w:marTop w:val="0"/>
          <w:marBottom w:val="0"/>
          <w:divBdr>
            <w:top w:val="none" w:sz="0" w:space="0" w:color="auto"/>
            <w:left w:val="none" w:sz="0" w:space="0" w:color="auto"/>
            <w:bottom w:val="none" w:sz="0" w:space="0" w:color="auto"/>
            <w:right w:val="none" w:sz="0" w:space="0" w:color="auto"/>
          </w:divBdr>
        </w:div>
        <w:div w:id="1040201320">
          <w:marLeft w:val="446"/>
          <w:marRight w:val="0"/>
          <w:marTop w:val="0"/>
          <w:marBottom w:val="0"/>
          <w:divBdr>
            <w:top w:val="none" w:sz="0" w:space="0" w:color="auto"/>
            <w:left w:val="none" w:sz="0" w:space="0" w:color="auto"/>
            <w:bottom w:val="none" w:sz="0" w:space="0" w:color="auto"/>
            <w:right w:val="none" w:sz="0" w:space="0" w:color="auto"/>
          </w:divBdr>
        </w:div>
        <w:div w:id="1055204324">
          <w:marLeft w:val="446"/>
          <w:marRight w:val="0"/>
          <w:marTop w:val="0"/>
          <w:marBottom w:val="0"/>
          <w:divBdr>
            <w:top w:val="none" w:sz="0" w:space="0" w:color="auto"/>
            <w:left w:val="none" w:sz="0" w:space="0" w:color="auto"/>
            <w:bottom w:val="none" w:sz="0" w:space="0" w:color="auto"/>
            <w:right w:val="none" w:sz="0" w:space="0" w:color="auto"/>
          </w:divBdr>
        </w:div>
        <w:div w:id="1378118468">
          <w:marLeft w:val="446"/>
          <w:marRight w:val="0"/>
          <w:marTop w:val="0"/>
          <w:marBottom w:val="0"/>
          <w:divBdr>
            <w:top w:val="none" w:sz="0" w:space="0" w:color="auto"/>
            <w:left w:val="none" w:sz="0" w:space="0" w:color="auto"/>
            <w:bottom w:val="none" w:sz="0" w:space="0" w:color="auto"/>
            <w:right w:val="none" w:sz="0" w:space="0" w:color="auto"/>
          </w:divBdr>
        </w:div>
        <w:div w:id="1392461539">
          <w:marLeft w:val="446"/>
          <w:marRight w:val="0"/>
          <w:marTop w:val="0"/>
          <w:marBottom w:val="0"/>
          <w:divBdr>
            <w:top w:val="none" w:sz="0" w:space="0" w:color="auto"/>
            <w:left w:val="none" w:sz="0" w:space="0" w:color="auto"/>
            <w:bottom w:val="none" w:sz="0" w:space="0" w:color="auto"/>
            <w:right w:val="none" w:sz="0" w:space="0" w:color="auto"/>
          </w:divBdr>
        </w:div>
        <w:div w:id="1479807105">
          <w:marLeft w:val="446"/>
          <w:marRight w:val="0"/>
          <w:marTop w:val="0"/>
          <w:marBottom w:val="0"/>
          <w:divBdr>
            <w:top w:val="none" w:sz="0" w:space="0" w:color="auto"/>
            <w:left w:val="none" w:sz="0" w:space="0" w:color="auto"/>
            <w:bottom w:val="none" w:sz="0" w:space="0" w:color="auto"/>
            <w:right w:val="none" w:sz="0" w:space="0" w:color="auto"/>
          </w:divBdr>
        </w:div>
        <w:div w:id="1646397375">
          <w:marLeft w:val="446"/>
          <w:marRight w:val="0"/>
          <w:marTop w:val="0"/>
          <w:marBottom w:val="0"/>
          <w:divBdr>
            <w:top w:val="none" w:sz="0" w:space="0" w:color="auto"/>
            <w:left w:val="none" w:sz="0" w:space="0" w:color="auto"/>
            <w:bottom w:val="none" w:sz="0" w:space="0" w:color="auto"/>
            <w:right w:val="none" w:sz="0" w:space="0" w:color="auto"/>
          </w:divBdr>
        </w:div>
        <w:div w:id="1672682510">
          <w:marLeft w:val="446"/>
          <w:marRight w:val="0"/>
          <w:marTop w:val="0"/>
          <w:marBottom w:val="0"/>
          <w:divBdr>
            <w:top w:val="none" w:sz="0" w:space="0" w:color="auto"/>
            <w:left w:val="none" w:sz="0" w:space="0" w:color="auto"/>
            <w:bottom w:val="none" w:sz="0" w:space="0" w:color="auto"/>
            <w:right w:val="none" w:sz="0" w:space="0" w:color="auto"/>
          </w:divBdr>
        </w:div>
        <w:div w:id="1702976079">
          <w:marLeft w:val="446"/>
          <w:marRight w:val="0"/>
          <w:marTop w:val="0"/>
          <w:marBottom w:val="0"/>
          <w:divBdr>
            <w:top w:val="none" w:sz="0" w:space="0" w:color="auto"/>
            <w:left w:val="none" w:sz="0" w:space="0" w:color="auto"/>
            <w:bottom w:val="none" w:sz="0" w:space="0" w:color="auto"/>
            <w:right w:val="none" w:sz="0" w:space="0" w:color="auto"/>
          </w:divBdr>
        </w:div>
        <w:div w:id="1823152884">
          <w:marLeft w:val="446"/>
          <w:marRight w:val="0"/>
          <w:marTop w:val="0"/>
          <w:marBottom w:val="0"/>
          <w:divBdr>
            <w:top w:val="none" w:sz="0" w:space="0" w:color="auto"/>
            <w:left w:val="none" w:sz="0" w:space="0" w:color="auto"/>
            <w:bottom w:val="none" w:sz="0" w:space="0" w:color="auto"/>
            <w:right w:val="none" w:sz="0" w:space="0" w:color="auto"/>
          </w:divBdr>
        </w:div>
        <w:div w:id="1982731811">
          <w:marLeft w:val="446"/>
          <w:marRight w:val="0"/>
          <w:marTop w:val="0"/>
          <w:marBottom w:val="0"/>
          <w:divBdr>
            <w:top w:val="none" w:sz="0" w:space="0" w:color="auto"/>
            <w:left w:val="none" w:sz="0" w:space="0" w:color="auto"/>
            <w:bottom w:val="none" w:sz="0" w:space="0" w:color="auto"/>
            <w:right w:val="none" w:sz="0" w:space="0" w:color="auto"/>
          </w:divBdr>
        </w:div>
        <w:div w:id="2006859905">
          <w:marLeft w:val="446"/>
          <w:marRight w:val="0"/>
          <w:marTop w:val="0"/>
          <w:marBottom w:val="0"/>
          <w:divBdr>
            <w:top w:val="none" w:sz="0" w:space="0" w:color="auto"/>
            <w:left w:val="none" w:sz="0" w:space="0" w:color="auto"/>
            <w:bottom w:val="none" w:sz="0" w:space="0" w:color="auto"/>
            <w:right w:val="none" w:sz="0" w:space="0" w:color="auto"/>
          </w:divBdr>
        </w:div>
        <w:div w:id="2016220561">
          <w:marLeft w:val="446"/>
          <w:marRight w:val="0"/>
          <w:marTop w:val="0"/>
          <w:marBottom w:val="0"/>
          <w:divBdr>
            <w:top w:val="none" w:sz="0" w:space="0" w:color="auto"/>
            <w:left w:val="none" w:sz="0" w:space="0" w:color="auto"/>
            <w:bottom w:val="none" w:sz="0" w:space="0" w:color="auto"/>
            <w:right w:val="none" w:sz="0" w:space="0" w:color="auto"/>
          </w:divBdr>
        </w:div>
        <w:div w:id="2050763280">
          <w:marLeft w:val="446"/>
          <w:marRight w:val="0"/>
          <w:marTop w:val="0"/>
          <w:marBottom w:val="0"/>
          <w:divBdr>
            <w:top w:val="none" w:sz="0" w:space="0" w:color="auto"/>
            <w:left w:val="none" w:sz="0" w:space="0" w:color="auto"/>
            <w:bottom w:val="none" w:sz="0" w:space="0" w:color="auto"/>
            <w:right w:val="none" w:sz="0" w:space="0" w:color="auto"/>
          </w:divBdr>
        </w:div>
        <w:div w:id="2070223790">
          <w:marLeft w:val="446"/>
          <w:marRight w:val="0"/>
          <w:marTop w:val="0"/>
          <w:marBottom w:val="0"/>
          <w:divBdr>
            <w:top w:val="none" w:sz="0" w:space="0" w:color="auto"/>
            <w:left w:val="none" w:sz="0" w:space="0" w:color="auto"/>
            <w:bottom w:val="none" w:sz="0" w:space="0" w:color="auto"/>
            <w:right w:val="none" w:sz="0" w:space="0" w:color="auto"/>
          </w:divBdr>
        </w:div>
      </w:divsChild>
    </w:div>
    <w:div w:id="1435442128">
      <w:bodyDiv w:val="1"/>
      <w:marLeft w:val="0"/>
      <w:marRight w:val="0"/>
      <w:marTop w:val="0"/>
      <w:marBottom w:val="0"/>
      <w:divBdr>
        <w:top w:val="none" w:sz="0" w:space="0" w:color="auto"/>
        <w:left w:val="none" w:sz="0" w:space="0" w:color="auto"/>
        <w:bottom w:val="none" w:sz="0" w:space="0" w:color="auto"/>
        <w:right w:val="none" w:sz="0" w:space="0" w:color="auto"/>
      </w:divBdr>
    </w:div>
    <w:div w:id="1438208384">
      <w:bodyDiv w:val="1"/>
      <w:marLeft w:val="0"/>
      <w:marRight w:val="0"/>
      <w:marTop w:val="0"/>
      <w:marBottom w:val="0"/>
      <w:divBdr>
        <w:top w:val="none" w:sz="0" w:space="0" w:color="auto"/>
        <w:left w:val="none" w:sz="0" w:space="0" w:color="auto"/>
        <w:bottom w:val="none" w:sz="0" w:space="0" w:color="auto"/>
        <w:right w:val="none" w:sz="0" w:space="0" w:color="auto"/>
      </w:divBdr>
    </w:div>
    <w:div w:id="1456214016">
      <w:bodyDiv w:val="1"/>
      <w:marLeft w:val="0"/>
      <w:marRight w:val="0"/>
      <w:marTop w:val="0"/>
      <w:marBottom w:val="0"/>
      <w:divBdr>
        <w:top w:val="none" w:sz="0" w:space="0" w:color="auto"/>
        <w:left w:val="none" w:sz="0" w:space="0" w:color="auto"/>
        <w:bottom w:val="none" w:sz="0" w:space="0" w:color="auto"/>
        <w:right w:val="none" w:sz="0" w:space="0" w:color="auto"/>
      </w:divBdr>
    </w:div>
    <w:div w:id="1460996418">
      <w:bodyDiv w:val="1"/>
      <w:marLeft w:val="0"/>
      <w:marRight w:val="0"/>
      <w:marTop w:val="0"/>
      <w:marBottom w:val="0"/>
      <w:divBdr>
        <w:top w:val="none" w:sz="0" w:space="0" w:color="auto"/>
        <w:left w:val="none" w:sz="0" w:space="0" w:color="auto"/>
        <w:bottom w:val="none" w:sz="0" w:space="0" w:color="auto"/>
        <w:right w:val="none" w:sz="0" w:space="0" w:color="auto"/>
      </w:divBdr>
    </w:div>
    <w:div w:id="1490292798">
      <w:bodyDiv w:val="1"/>
      <w:marLeft w:val="0"/>
      <w:marRight w:val="0"/>
      <w:marTop w:val="0"/>
      <w:marBottom w:val="0"/>
      <w:divBdr>
        <w:top w:val="none" w:sz="0" w:space="0" w:color="auto"/>
        <w:left w:val="none" w:sz="0" w:space="0" w:color="auto"/>
        <w:bottom w:val="none" w:sz="0" w:space="0" w:color="auto"/>
        <w:right w:val="none" w:sz="0" w:space="0" w:color="auto"/>
      </w:divBdr>
    </w:div>
    <w:div w:id="1507669016">
      <w:bodyDiv w:val="1"/>
      <w:marLeft w:val="0"/>
      <w:marRight w:val="0"/>
      <w:marTop w:val="0"/>
      <w:marBottom w:val="0"/>
      <w:divBdr>
        <w:top w:val="none" w:sz="0" w:space="0" w:color="auto"/>
        <w:left w:val="none" w:sz="0" w:space="0" w:color="auto"/>
        <w:bottom w:val="none" w:sz="0" w:space="0" w:color="auto"/>
        <w:right w:val="none" w:sz="0" w:space="0" w:color="auto"/>
      </w:divBdr>
    </w:div>
    <w:div w:id="1516384510">
      <w:bodyDiv w:val="1"/>
      <w:marLeft w:val="0"/>
      <w:marRight w:val="0"/>
      <w:marTop w:val="0"/>
      <w:marBottom w:val="0"/>
      <w:divBdr>
        <w:top w:val="none" w:sz="0" w:space="0" w:color="auto"/>
        <w:left w:val="none" w:sz="0" w:space="0" w:color="auto"/>
        <w:bottom w:val="none" w:sz="0" w:space="0" w:color="auto"/>
        <w:right w:val="none" w:sz="0" w:space="0" w:color="auto"/>
      </w:divBdr>
    </w:div>
    <w:div w:id="1519151309">
      <w:bodyDiv w:val="1"/>
      <w:marLeft w:val="0"/>
      <w:marRight w:val="0"/>
      <w:marTop w:val="0"/>
      <w:marBottom w:val="0"/>
      <w:divBdr>
        <w:top w:val="none" w:sz="0" w:space="0" w:color="auto"/>
        <w:left w:val="none" w:sz="0" w:space="0" w:color="auto"/>
        <w:bottom w:val="none" w:sz="0" w:space="0" w:color="auto"/>
        <w:right w:val="none" w:sz="0" w:space="0" w:color="auto"/>
      </w:divBdr>
    </w:div>
    <w:div w:id="1542324920">
      <w:bodyDiv w:val="1"/>
      <w:marLeft w:val="0"/>
      <w:marRight w:val="0"/>
      <w:marTop w:val="0"/>
      <w:marBottom w:val="0"/>
      <w:divBdr>
        <w:top w:val="none" w:sz="0" w:space="0" w:color="auto"/>
        <w:left w:val="none" w:sz="0" w:space="0" w:color="auto"/>
        <w:bottom w:val="none" w:sz="0" w:space="0" w:color="auto"/>
        <w:right w:val="none" w:sz="0" w:space="0" w:color="auto"/>
      </w:divBdr>
    </w:div>
    <w:div w:id="1546217003">
      <w:bodyDiv w:val="1"/>
      <w:marLeft w:val="0"/>
      <w:marRight w:val="0"/>
      <w:marTop w:val="0"/>
      <w:marBottom w:val="0"/>
      <w:divBdr>
        <w:top w:val="none" w:sz="0" w:space="0" w:color="auto"/>
        <w:left w:val="none" w:sz="0" w:space="0" w:color="auto"/>
        <w:bottom w:val="none" w:sz="0" w:space="0" w:color="auto"/>
        <w:right w:val="none" w:sz="0" w:space="0" w:color="auto"/>
      </w:divBdr>
    </w:div>
    <w:div w:id="1574776235">
      <w:bodyDiv w:val="1"/>
      <w:marLeft w:val="0"/>
      <w:marRight w:val="0"/>
      <w:marTop w:val="0"/>
      <w:marBottom w:val="0"/>
      <w:divBdr>
        <w:top w:val="none" w:sz="0" w:space="0" w:color="auto"/>
        <w:left w:val="none" w:sz="0" w:space="0" w:color="auto"/>
        <w:bottom w:val="none" w:sz="0" w:space="0" w:color="auto"/>
        <w:right w:val="none" w:sz="0" w:space="0" w:color="auto"/>
      </w:divBdr>
    </w:div>
    <w:div w:id="1587110474">
      <w:bodyDiv w:val="1"/>
      <w:marLeft w:val="0"/>
      <w:marRight w:val="0"/>
      <w:marTop w:val="0"/>
      <w:marBottom w:val="0"/>
      <w:divBdr>
        <w:top w:val="none" w:sz="0" w:space="0" w:color="auto"/>
        <w:left w:val="none" w:sz="0" w:space="0" w:color="auto"/>
        <w:bottom w:val="none" w:sz="0" w:space="0" w:color="auto"/>
        <w:right w:val="none" w:sz="0" w:space="0" w:color="auto"/>
      </w:divBdr>
    </w:div>
    <w:div w:id="1601260413">
      <w:bodyDiv w:val="1"/>
      <w:marLeft w:val="0"/>
      <w:marRight w:val="0"/>
      <w:marTop w:val="0"/>
      <w:marBottom w:val="0"/>
      <w:divBdr>
        <w:top w:val="none" w:sz="0" w:space="0" w:color="auto"/>
        <w:left w:val="none" w:sz="0" w:space="0" w:color="auto"/>
        <w:bottom w:val="none" w:sz="0" w:space="0" w:color="auto"/>
        <w:right w:val="none" w:sz="0" w:space="0" w:color="auto"/>
      </w:divBdr>
    </w:div>
    <w:div w:id="1619750170">
      <w:bodyDiv w:val="1"/>
      <w:marLeft w:val="0"/>
      <w:marRight w:val="0"/>
      <w:marTop w:val="0"/>
      <w:marBottom w:val="0"/>
      <w:divBdr>
        <w:top w:val="none" w:sz="0" w:space="0" w:color="auto"/>
        <w:left w:val="none" w:sz="0" w:space="0" w:color="auto"/>
        <w:bottom w:val="none" w:sz="0" w:space="0" w:color="auto"/>
        <w:right w:val="none" w:sz="0" w:space="0" w:color="auto"/>
      </w:divBdr>
    </w:div>
    <w:div w:id="1651013694">
      <w:bodyDiv w:val="1"/>
      <w:marLeft w:val="0"/>
      <w:marRight w:val="0"/>
      <w:marTop w:val="0"/>
      <w:marBottom w:val="0"/>
      <w:divBdr>
        <w:top w:val="none" w:sz="0" w:space="0" w:color="auto"/>
        <w:left w:val="none" w:sz="0" w:space="0" w:color="auto"/>
        <w:bottom w:val="none" w:sz="0" w:space="0" w:color="auto"/>
        <w:right w:val="none" w:sz="0" w:space="0" w:color="auto"/>
      </w:divBdr>
      <w:divsChild>
        <w:div w:id="106511379">
          <w:marLeft w:val="446"/>
          <w:marRight w:val="0"/>
          <w:marTop w:val="0"/>
          <w:marBottom w:val="0"/>
          <w:divBdr>
            <w:top w:val="none" w:sz="0" w:space="0" w:color="auto"/>
            <w:left w:val="none" w:sz="0" w:space="0" w:color="auto"/>
            <w:bottom w:val="none" w:sz="0" w:space="0" w:color="auto"/>
            <w:right w:val="none" w:sz="0" w:space="0" w:color="auto"/>
          </w:divBdr>
        </w:div>
        <w:div w:id="194779190">
          <w:marLeft w:val="446"/>
          <w:marRight w:val="0"/>
          <w:marTop w:val="0"/>
          <w:marBottom w:val="0"/>
          <w:divBdr>
            <w:top w:val="none" w:sz="0" w:space="0" w:color="auto"/>
            <w:left w:val="none" w:sz="0" w:space="0" w:color="auto"/>
            <w:bottom w:val="none" w:sz="0" w:space="0" w:color="auto"/>
            <w:right w:val="none" w:sz="0" w:space="0" w:color="auto"/>
          </w:divBdr>
        </w:div>
        <w:div w:id="228342021">
          <w:marLeft w:val="446"/>
          <w:marRight w:val="0"/>
          <w:marTop w:val="0"/>
          <w:marBottom w:val="0"/>
          <w:divBdr>
            <w:top w:val="none" w:sz="0" w:space="0" w:color="auto"/>
            <w:left w:val="none" w:sz="0" w:space="0" w:color="auto"/>
            <w:bottom w:val="none" w:sz="0" w:space="0" w:color="auto"/>
            <w:right w:val="none" w:sz="0" w:space="0" w:color="auto"/>
          </w:divBdr>
        </w:div>
        <w:div w:id="437914962">
          <w:marLeft w:val="446"/>
          <w:marRight w:val="0"/>
          <w:marTop w:val="0"/>
          <w:marBottom w:val="0"/>
          <w:divBdr>
            <w:top w:val="none" w:sz="0" w:space="0" w:color="auto"/>
            <w:left w:val="none" w:sz="0" w:space="0" w:color="auto"/>
            <w:bottom w:val="none" w:sz="0" w:space="0" w:color="auto"/>
            <w:right w:val="none" w:sz="0" w:space="0" w:color="auto"/>
          </w:divBdr>
        </w:div>
        <w:div w:id="460340673">
          <w:marLeft w:val="446"/>
          <w:marRight w:val="0"/>
          <w:marTop w:val="0"/>
          <w:marBottom w:val="0"/>
          <w:divBdr>
            <w:top w:val="none" w:sz="0" w:space="0" w:color="auto"/>
            <w:left w:val="none" w:sz="0" w:space="0" w:color="auto"/>
            <w:bottom w:val="none" w:sz="0" w:space="0" w:color="auto"/>
            <w:right w:val="none" w:sz="0" w:space="0" w:color="auto"/>
          </w:divBdr>
        </w:div>
        <w:div w:id="766653272">
          <w:marLeft w:val="446"/>
          <w:marRight w:val="0"/>
          <w:marTop w:val="0"/>
          <w:marBottom w:val="0"/>
          <w:divBdr>
            <w:top w:val="none" w:sz="0" w:space="0" w:color="auto"/>
            <w:left w:val="none" w:sz="0" w:space="0" w:color="auto"/>
            <w:bottom w:val="none" w:sz="0" w:space="0" w:color="auto"/>
            <w:right w:val="none" w:sz="0" w:space="0" w:color="auto"/>
          </w:divBdr>
        </w:div>
        <w:div w:id="1783723384">
          <w:marLeft w:val="446"/>
          <w:marRight w:val="0"/>
          <w:marTop w:val="0"/>
          <w:marBottom w:val="0"/>
          <w:divBdr>
            <w:top w:val="none" w:sz="0" w:space="0" w:color="auto"/>
            <w:left w:val="none" w:sz="0" w:space="0" w:color="auto"/>
            <w:bottom w:val="none" w:sz="0" w:space="0" w:color="auto"/>
            <w:right w:val="none" w:sz="0" w:space="0" w:color="auto"/>
          </w:divBdr>
        </w:div>
        <w:div w:id="2056274697">
          <w:marLeft w:val="446"/>
          <w:marRight w:val="0"/>
          <w:marTop w:val="0"/>
          <w:marBottom w:val="0"/>
          <w:divBdr>
            <w:top w:val="none" w:sz="0" w:space="0" w:color="auto"/>
            <w:left w:val="none" w:sz="0" w:space="0" w:color="auto"/>
            <w:bottom w:val="none" w:sz="0" w:space="0" w:color="auto"/>
            <w:right w:val="none" w:sz="0" w:space="0" w:color="auto"/>
          </w:divBdr>
        </w:div>
        <w:div w:id="2089188170">
          <w:marLeft w:val="446"/>
          <w:marRight w:val="0"/>
          <w:marTop w:val="0"/>
          <w:marBottom w:val="0"/>
          <w:divBdr>
            <w:top w:val="none" w:sz="0" w:space="0" w:color="auto"/>
            <w:left w:val="none" w:sz="0" w:space="0" w:color="auto"/>
            <w:bottom w:val="none" w:sz="0" w:space="0" w:color="auto"/>
            <w:right w:val="none" w:sz="0" w:space="0" w:color="auto"/>
          </w:divBdr>
        </w:div>
      </w:divsChild>
    </w:div>
    <w:div w:id="1713382823">
      <w:bodyDiv w:val="1"/>
      <w:marLeft w:val="0"/>
      <w:marRight w:val="0"/>
      <w:marTop w:val="0"/>
      <w:marBottom w:val="0"/>
      <w:divBdr>
        <w:top w:val="none" w:sz="0" w:space="0" w:color="auto"/>
        <w:left w:val="none" w:sz="0" w:space="0" w:color="auto"/>
        <w:bottom w:val="none" w:sz="0" w:space="0" w:color="auto"/>
        <w:right w:val="none" w:sz="0" w:space="0" w:color="auto"/>
      </w:divBdr>
    </w:div>
    <w:div w:id="1759910848">
      <w:bodyDiv w:val="1"/>
      <w:marLeft w:val="0"/>
      <w:marRight w:val="0"/>
      <w:marTop w:val="0"/>
      <w:marBottom w:val="0"/>
      <w:divBdr>
        <w:top w:val="none" w:sz="0" w:space="0" w:color="auto"/>
        <w:left w:val="none" w:sz="0" w:space="0" w:color="auto"/>
        <w:bottom w:val="none" w:sz="0" w:space="0" w:color="auto"/>
        <w:right w:val="none" w:sz="0" w:space="0" w:color="auto"/>
      </w:divBdr>
    </w:div>
    <w:div w:id="1800805064">
      <w:bodyDiv w:val="1"/>
      <w:marLeft w:val="0"/>
      <w:marRight w:val="0"/>
      <w:marTop w:val="0"/>
      <w:marBottom w:val="0"/>
      <w:divBdr>
        <w:top w:val="none" w:sz="0" w:space="0" w:color="auto"/>
        <w:left w:val="none" w:sz="0" w:space="0" w:color="auto"/>
        <w:bottom w:val="none" w:sz="0" w:space="0" w:color="auto"/>
        <w:right w:val="none" w:sz="0" w:space="0" w:color="auto"/>
      </w:divBdr>
      <w:divsChild>
        <w:div w:id="151023561">
          <w:marLeft w:val="446"/>
          <w:marRight w:val="0"/>
          <w:marTop w:val="0"/>
          <w:marBottom w:val="0"/>
          <w:divBdr>
            <w:top w:val="none" w:sz="0" w:space="0" w:color="auto"/>
            <w:left w:val="none" w:sz="0" w:space="0" w:color="auto"/>
            <w:bottom w:val="none" w:sz="0" w:space="0" w:color="auto"/>
            <w:right w:val="none" w:sz="0" w:space="0" w:color="auto"/>
          </w:divBdr>
        </w:div>
        <w:div w:id="201945012">
          <w:marLeft w:val="446"/>
          <w:marRight w:val="0"/>
          <w:marTop w:val="0"/>
          <w:marBottom w:val="0"/>
          <w:divBdr>
            <w:top w:val="none" w:sz="0" w:space="0" w:color="auto"/>
            <w:left w:val="none" w:sz="0" w:space="0" w:color="auto"/>
            <w:bottom w:val="none" w:sz="0" w:space="0" w:color="auto"/>
            <w:right w:val="none" w:sz="0" w:space="0" w:color="auto"/>
          </w:divBdr>
        </w:div>
        <w:div w:id="307440081">
          <w:marLeft w:val="446"/>
          <w:marRight w:val="0"/>
          <w:marTop w:val="0"/>
          <w:marBottom w:val="0"/>
          <w:divBdr>
            <w:top w:val="none" w:sz="0" w:space="0" w:color="auto"/>
            <w:left w:val="none" w:sz="0" w:space="0" w:color="auto"/>
            <w:bottom w:val="none" w:sz="0" w:space="0" w:color="auto"/>
            <w:right w:val="none" w:sz="0" w:space="0" w:color="auto"/>
          </w:divBdr>
        </w:div>
        <w:div w:id="368261991">
          <w:marLeft w:val="446"/>
          <w:marRight w:val="0"/>
          <w:marTop w:val="0"/>
          <w:marBottom w:val="0"/>
          <w:divBdr>
            <w:top w:val="none" w:sz="0" w:space="0" w:color="auto"/>
            <w:left w:val="none" w:sz="0" w:space="0" w:color="auto"/>
            <w:bottom w:val="none" w:sz="0" w:space="0" w:color="auto"/>
            <w:right w:val="none" w:sz="0" w:space="0" w:color="auto"/>
          </w:divBdr>
        </w:div>
        <w:div w:id="418016223">
          <w:marLeft w:val="446"/>
          <w:marRight w:val="0"/>
          <w:marTop w:val="0"/>
          <w:marBottom w:val="0"/>
          <w:divBdr>
            <w:top w:val="none" w:sz="0" w:space="0" w:color="auto"/>
            <w:left w:val="none" w:sz="0" w:space="0" w:color="auto"/>
            <w:bottom w:val="none" w:sz="0" w:space="0" w:color="auto"/>
            <w:right w:val="none" w:sz="0" w:space="0" w:color="auto"/>
          </w:divBdr>
        </w:div>
        <w:div w:id="429668356">
          <w:marLeft w:val="446"/>
          <w:marRight w:val="0"/>
          <w:marTop w:val="0"/>
          <w:marBottom w:val="0"/>
          <w:divBdr>
            <w:top w:val="none" w:sz="0" w:space="0" w:color="auto"/>
            <w:left w:val="none" w:sz="0" w:space="0" w:color="auto"/>
            <w:bottom w:val="none" w:sz="0" w:space="0" w:color="auto"/>
            <w:right w:val="none" w:sz="0" w:space="0" w:color="auto"/>
          </w:divBdr>
        </w:div>
        <w:div w:id="445858120">
          <w:marLeft w:val="446"/>
          <w:marRight w:val="0"/>
          <w:marTop w:val="0"/>
          <w:marBottom w:val="0"/>
          <w:divBdr>
            <w:top w:val="none" w:sz="0" w:space="0" w:color="auto"/>
            <w:left w:val="none" w:sz="0" w:space="0" w:color="auto"/>
            <w:bottom w:val="none" w:sz="0" w:space="0" w:color="auto"/>
            <w:right w:val="none" w:sz="0" w:space="0" w:color="auto"/>
          </w:divBdr>
        </w:div>
        <w:div w:id="535700441">
          <w:marLeft w:val="446"/>
          <w:marRight w:val="0"/>
          <w:marTop w:val="0"/>
          <w:marBottom w:val="0"/>
          <w:divBdr>
            <w:top w:val="none" w:sz="0" w:space="0" w:color="auto"/>
            <w:left w:val="none" w:sz="0" w:space="0" w:color="auto"/>
            <w:bottom w:val="none" w:sz="0" w:space="0" w:color="auto"/>
            <w:right w:val="none" w:sz="0" w:space="0" w:color="auto"/>
          </w:divBdr>
        </w:div>
        <w:div w:id="537477856">
          <w:marLeft w:val="446"/>
          <w:marRight w:val="0"/>
          <w:marTop w:val="0"/>
          <w:marBottom w:val="0"/>
          <w:divBdr>
            <w:top w:val="none" w:sz="0" w:space="0" w:color="auto"/>
            <w:left w:val="none" w:sz="0" w:space="0" w:color="auto"/>
            <w:bottom w:val="none" w:sz="0" w:space="0" w:color="auto"/>
            <w:right w:val="none" w:sz="0" w:space="0" w:color="auto"/>
          </w:divBdr>
        </w:div>
        <w:div w:id="606502698">
          <w:marLeft w:val="446"/>
          <w:marRight w:val="0"/>
          <w:marTop w:val="0"/>
          <w:marBottom w:val="0"/>
          <w:divBdr>
            <w:top w:val="none" w:sz="0" w:space="0" w:color="auto"/>
            <w:left w:val="none" w:sz="0" w:space="0" w:color="auto"/>
            <w:bottom w:val="none" w:sz="0" w:space="0" w:color="auto"/>
            <w:right w:val="none" w:sz="0" w:space="0" w:color="auto"/>
          </w:divBdr>
        </w:div>
        <w:div w:id="698239529">
          <w:marLeft w:val="446"/>
          <w:marRight w:val="0"/>
          <w:marTop w:val="0"/>
          <w:marBottom w:val="0"/>
          <w:divBdr>
            <w:top w:val="none" w:sz="0" w:space="0" w:color="auto"/>
            <w:left w:val="none" w:sz="0" w:space="0" w:color="auto"/>
            <w:bottom w:val="none" w:sz="0" w:space="0" w:color="auto"/>
            <w:right w:val="none" w:sz="0" w:space="0" w:color="auto"/>
          </w:divBdr>
        </w:div>
        <w:div w:id="834540109">
          <w:marLeft w:val="446"/>
          <w:marRight w:val="0"/>
          <w:marTop w:val="0"/>
          <w:marBottom w:val="0"/>
          <w:divBdr>
            <w:top w:val="none" w:sz="0" w:space="0" w:color="auto"/>
            <w:left w:val="none" w:sz="0" w:space="0" w:color="auto"/>
            <w:bottom w:val="none" w:sz="0" w:space="0" w:color="auto"/>
            <w:right w:val="none" w:sz="0" w:space="0" w:color="auto"/>
          </w:divBdr>
        </w:div>
        <w:div w:id="964581315">
          <w:marLeft w:val="446"/>
          <w:marRight w:val="0"/>
          <w:marTop w:val="0"/>
          <w:marBottom w:val="0"/>
          <w:divBdr>
            <w:top w:val="none" w:sz="0" w:space="0" w:color="auto"/>
            <w:left w:val="none" w:sz="0" w:space="0" w:color="auto"/>
            <w:bottom w:val="none" w:sz="0" w:space="0" w:color="auto"/>
            <w:right w:val="none" w:sz="0" w:space="0" w:color="auto"/>
          </w:divBdr>
        </w:div>
        <w:div w:id="1028142362">
          <w:marLeft w:val="446"/>
          <w:marRight w:val="0"/>
          <w:marTop w:val="0"/>
          <w:marBottom w:val="0"/>
          <w:divBdr>
            <w:top w:val="none" w:sz="0" w:space="0" w:color="auto"/>
            <w:left w:val="none" w:sz="0" w:space="0" w:color="auto"/>
            <w:bottom w:val="none" w:sz="0" w:space="0" w:color="auto"/>
            <w:right w:val="none" w:sz="0" w:space="0" w:color="auto"/>
          </w:divBdr>
        </w:div>
        <w:div w:id="1395198209">
          <w:marLeft w:val="446"/>
          <w:marRight w:val="0"/>
          <w:marTop w:val="0"/>
          <w:marBottom w:val="0"/>
          <w:divBdr>
            <w:top w:val="none" w:sz="0" w:space="0" w:color="auto"/>
            <w:left w:val="none" w:sz="0" w:space="0" w:color="auto"/>
            <w:bottom w:val="none" w:sz="0" w:space="0" w:color="auto"/>
            <w:right w:val="none" w:sz="0" w:space="0" w:color="auto"/>
          </w:divBdr>
        </w:div>
        <w:div w:id="1434280886">
          <w:marLeft w:val="446"/>
          <w:marRight w:val="0"/>
          <w:marTop w:val="0"/>
          <w:marBottom w:val="0"/>
          <w:divBdr>
            <w:top w:val="none" w:sz="0" w:space="0" w:color="auto"/>
            <w:left w:val="none" w:sz="0" w:space="0" w:color="auto"/>
            <w:bottom w:val="none" w:sz="0" w:space="0" w:color="auto"/>
            <w:right w:val="none" w:sz="0" w:space="0" w:color="auto"/>
          </w:divBdr>
        </w:div>
        <w:div w:id="1435396469">
          <w:marLeft w:val="446"/>
          <w:marRight w:val="0"/>
          <w:marTop w:val="0"/>
          <w:marBottom w:val="0"/>
          <w:divBdr>
            <w:top w:val="none" w:sz="0" w:space="0" w:color="auto"/>
            <w:left w:val="none" w:sz="0" w:space="0" w:color="auto"/>
            <w:bottom w:val="none" w:sz="0" w:space="0" w:color="auto"/>
            <w:right w:val="none" w:sz="0" w:space="0" w:color="auto"/>
          </w:divBdr>
        </w:div>
        <w:div w:id="1476600830">
          <w:marLeft w:val="446"/>
          <w:marRight w:val="0"/>
          <w:marTop w:val="0"/>
          <w:marBottom w:val="0"/>
          <w:divBdr>
            <w:top w:val="none" w:sz="0" w:space="0" w:color="auto"/>
            <w:left w:val="none" w:sz="0" w:space="0" w:color="auto"/>
            <w:bottom w:val="none" w:sz="0" w:space="0" w:color="auto"/>
            <w:right w:val="none" w:sz="0" w:space="0" w:color="auto"/>
          </w:divBdr>
        </w:div>
        <w:div w:id="1577352842">
          <w:marLeft w:val="446"/>
          <w:marRight w:val="0"/>
          <w:marTop w:val="0"/>
          <w:marBottom w:val="0"/>
          <w:divBdr>
            <w:top w:val="none" w:sz="0" w:space="0" w:color="auto"/>
            <w:left w:val="none" w:sz="0" w:space="0" w:color="auto"/>
            <w:bottom w:val="none" w:sz="0" w:space="0" w:color="auto"/>
            <w:right w:val="none" w:sz="0" w:space="0" w:color="auto"/>
          </w:divBdr>
        </w:div>
        <w:div w:id="1705596837">
          <w:marLeft w:val="446"/>
          <w:marRight w:val="0"/>
          <w:marTop w:val="0"/>
          <w:marBottom w:val="0"/>
          <w:divBdr>
            <w:top w:val="none" w:sz="0" w:space="0" w:color="auto"/>
            <w:left w:val="none" w:sz="0" w:space="0" w:color="auto"/>
            <w:bottom w:val="none" w:sz="0" w:space="0" w:color="auto"/>
            <w:right w:val="none" w:sz="0" w:space="0" w:color="auto"/>
          </w:divBdr>
        </w:div>
        <w:div w:id="1733457582">
          <w:marLeft w:val="446"/>
          <w:marRight w:val="0"/>
          <w:marTop w:val="0"/>
          <w:marBottom w:val="0"/>
          <w:divBdr>
            <w:top w:val="none" w:sz="0" w:space="0" w:color="auto"/>
            <w:left w:val="none" w:sz="0" w:space="0" w:color="auto"/>
            <w:bottom w:val="none" w:sz="0" w:space="0" w:color="auto"/>
            <w:right w:val="none" w:sz="0" w:space="0" w:color="auto"/>
          </w:divBdr>
        </w:div>
        <w:div w:id="1733967830">
          <w:marLeft w:val="446"/>
          <w:marRight w:val="0"/>
          <w:marTop w:val="0"/>
          <w:marBottom w:val="0"/>
          <w:divBdr>
            <w:top w:val="none" w:sz="0" w:space="0" w:color="auto"/>
            <w:left w:val="none" w:sz="0" w:space="0" w:color="auto"/>
            <w:bottom w:val="none" w:sz="0" w:space="0" w:color="auto"/>
            <w:right w:val="none" w:sz="0" w:space="0" w:color="auto"/>
          </w:divBdr>
        </w:div>
        <w:div w:id="1818180301">
          <w:marLeft w:val="446"/>
          <w:marRight w:val="0"/>
          <w:marTop w:val="0"/>
          <w:marBottom w:val="0"/>
          <w:divBdr>
            <w:top w:val="none" w:sz="0" w:space="0" w:color="auto"/>
            <w:left w:val="none" w:sz="0" w:space="0" w:color="auto"/>
            <w:bottom w:val="none" w:sz="0" w:space="0" w:color="auto"/>
            <w:right w:val="none" w:sz="0" w:space="0" w:color="auto"/>
          </w:divBdr>
        </w:div>
        <w:div w:id="1990745793">
          <w:marLeft w:val="446"/>
          <w:marRight w:val="0"/>
          <w:marTop w:val="0"/>
          <w:marBottom w:val="0"/>
          <w:divBdr>
            <w:top w:val="none" w:sz="0" w:space="0" w:color="auto"/>
            <w:left w:val="none" w:sz="0" w:space="0" w:color="auto"/>
            <w:bottom w:val="none" w:sz="0" w:space="0" w:color="auto"/>
            <w:right w:val="none" w:sz="0" w:space="0" w:color="auto"/>
          </w:divBdr>
        </w:div>
        <w:div w:id="2007778500">
          <w:marLeft w:val="446"/>
          <w:marRight w:val="0"/>
          <w:marTop w:val="0"/>
          <w:marBottom w:val="0"/>
          <w:divBdr>
            <w:top w:val="none" w:sz="0" w:space="0" w:color="auto"/>
            <w:left w:val="none" w:sz="0" w:space="0" w:color="auto"/>
            <w:bottom w:val="none" w:sz="0" w:space="0" w:color="auto"/>
            <w:right w:val="none" w:sz="0" w:space="0" w:color="auto"/>
          </w:divBdr>
        </w:div>
      </w:divsChild>
    </w:div>
    <w:div w:id="1824344757">
      <w:bodyDiv w:val="1"/>
      <w:marLeft w:val="0"/>
      <w:marRight w:val="0"/>
      <w:marTop w:val="0"/>
      <w:marBottom w:val="0"/>
      <w:divBdr>
        <w:top w:val="none" w:sz="0" w:space="0" w:color="auto"/>
        <w:left w:val="none" w:sz="0" w:space="0" w:color="auto"/>
        <w:bottom w:val="none" w:sz="0" w:space="0" w:color="auto"/>
        <w:right w:val="none" w:sz="0" w:space="0" w:color="auto"/>
      </w:divBdr>
    </w:div>
    <w:div w:id="1845777939">
      <w:bodyDiv w:val="1"/>
      <w:marLeft w:val="0"/>
      <w:marRight w:val="0"/>
      <w:marTop w:val="0"/>
      <w:marBottom w:val="0"/>
      <w:divBdr>
        <w:top w:val="none" w:sz="0" w:space="0" w:color="auto"/>
        <w:left w:val="none" w:sz="0" w:space="0" w:color="auto"/>
        <w:bottom w:val="none" w:sz="0" w:space="0" w:color="auto"/>
        <w:right w:val="none" w:sz="0" w:space="0" w:color="auto"/>
      </w:divBdr>
    </w:div>
    <w:div w:id="1848472673">
      <w:bodyDiv w:val="1"/>
      <w:marLeft w:val="0"/>
      <w:marRight w:val="0"/>
      <w:marTop w:val="0"/>
      <w:marBottom w:val="0"/>
      <w:divBdr>
        <w:top w:val="none" w:sz="0" w:space="0" w:color="auto"/>
        <w:left w:val="none" w:sz="0" w:space="0" w:color="auto"/>
        <w:bottom w:val="none" w:sz="0" w:space="0" w:color="auto"/>
        <w:right w:val="none" w:sz="0" w:space="0" w:color="auto"/>
      </w:divBdr>
    </w:div>
    <w:div w:id="1848595507">
      <w:bodyDiv w:val="1"/>
      <w:marLeft w:val="0"/>
      <w:marRight w:val="0"/>
      <w:marTop w:val="0"/>
      <w:marBottom w:val="0"/>
      <w:divBdr>
        <w:top w:val="none" w:sz="0" w:space="0" w:color="auto"/>
        <w:left w:val="none" w:sz="0" w:space="0" w:color="auto"/>
        <w:bottom w:val="none" w:sz="0" w:space="0" w:color="auto"/>
        <w:right w:val="none" w:sz="0" w:space="0" w:color="auto"/>
      </w:divBdr>
    </w:div>
    <w:div w:id="1849098558">
      <w:bodyDiv w:val="1"/>
      <w:marLeft w:val="0"/>
      <w:marRight w:val="0"/>
      <w:marTop w:val="0"/>
      <w:marBottom w:val="0"/>
      <w:divBdr>
        <w:top w:val="none" w:sz="0" w:space="0" w:color="auto"/>
        <w:left w:val="none" w:sz="0" w:space="0" w:color="auto"/>
        <w:bottom w:val="none" w:sz="0" w:space="0" w:color="auto"/>
        <w:right w:val="none" w:sz="0" w:space="0" w:color="auto"/>
      </w:divBdr>
    </w:div>
    <w:div w:id="1916429369">
      <w:bodyDiv w:val="1"/>
      <w:marLeft w:val="0"/>
      <w:marRight w:val="0"/>
      <w:marTop w:val="0"/>
      <w:marBottom w:val="0"/>
      <w:divBdr>
        <w:top w:val="none" w:sz="0" w:space="0" w:color="auto"/>
        <w:left w:val="none" w:sz="0" w:space="0" w:color="auto"/>
        <w:bottom w:val="none" w:sz="0" w:space="0" w:color="auto"/>
        <w:right w:val="none" w:sz="0" w:space="0" w:color="auto"/>
      </w:divBdr>
    </w:div>
    <w:div w:id="1934119576">
      <w:bodyDiv w:val="1"/>
      <w:marLeft w:val="0"/>
      <w:marRight w:val="0"/>
      <w:marTop w:val="0"/>
      <w:marBottom w:val="0"/>
      <w:divBdr>
        <w:top w:val="none" w:sz="0" w:space="0" w:color="auto"/>
        <w:left w:val="none" w:sz="0" w:space="0" w:color="auto"/>
        <w:bottom w:val="none" w:sz="0" w:space="0" w:color="auto"/>
        <w:right w:val="none" w:sz="0" w:space="0" w:color="auto"/>
      </w:divBdr>
    </w:div>
    <w:div w:id="1965503111">
      <w:bodyDiv w:val="1"/>
      <w:marLeft w:val="0"/>
      <w:marRight w:val="0"/>
      <w:marTop w:val="0"/>
      <w:marBottom w:val="0"/>
      <w:divBdr>
        <w:top w:val="none" w:sz="0" w:space="0" w:color="auto"/>
        <w:left w:val="none" w:sz="0" w:space="0" w:color="auto"/>
        <w:bottom w:val="none" w:sz="0" w:space="0" w:color="auto"/>
        <w:right w:val="none" w:sz="0" w:space="0" w:color="auto"/>
      </w:divBdr>
    </w:div>
    <w:div w:id="2000962212">
      <w:bodyDiv w:val="1"/>
      <w:marLeft w:val="0"/>
      <w:marRight w:val="0"/>
      <w:marTop w:val="0"/>
      <w:marBottom w:val="0"/>
      <w:divBdr>
        <w:top w:val="none" w:sz="0" w:space="0" w:color="auto"/>
        <w:left w:val="none" w:sz="0" w:space="0" w:color="auto"/>
        <w:bottom w:val="none" w:sz="0" w:space="0" w:color="auto"/>
        <w:right w:val="none" w:sz="0" w:space="0" w:color="auto"/>
      </w:divBdr>
    </w:div>
    <w:div w:id="2030057491">
      <w:bodyDiv w:val="1"/>
      <w:marLeft w:val="0"/>
      <w:marRight w:val="0"/>
      <w:marTop w:val="0"/>
      <w:marBottom w:val="0"/>
      <w:divBdr>
        <w:top w:val="none" w:sz="0" w:space="0" w:color="auto"/>
        <w:left w:val="none" w:sz="0" w:space="0" w:color="auto"/>
        <w:bottom w:val="none" w:sz="0" w:space="0" w:color="auto"/>
        <w:right w:val="none" w:sz="0" w:space="0" w:color="auto"/>
      </w:divBdr>
    </w:div>
    <w:div w:id="2047440731">
      <w:bodyDiv w:val="1"/>
      <w:marLeft w:val="0"/>
      <w:marRight w:val="0"/>
      <w:marTop w:val="0"/>
      <w:marBottom w:val="0"/>
      <w:divBdr>
        <w:top w:val="none" w:sz="0" w:space="0" w:color="auto"/>
        <w:left w:val="none" w:sz="0" w:space="0" w:color="auto"/>
        <w:bottom w:val="none" w:sz="0" w:space="0" w:color="auto"/>
        <w:right w:val="none" w:sz="0" w:space="0" w:color="auto"/>
      </w:divBdr>
    </w:div>
    <w:div w:id="2120484932">
      <w:bodyDiv w:val="1"/>
      <w:marLeft w:val="0"/>
      <w:marRight w:val="0"/>
      <w:marTop w:val="0"/>
      <w:marBottom w:val="0"/>
      <w:divBdr>
        <w:top w:val="none" w:sz="0" w:space="0" w:color="auto"/>
        <w:left w:val="none" w:sz="0" w:space="0" w:color="auto"/>
        <w:bottom w:val="none" w:sz="0" w:space="0" w:color="auto"/>
        <w:right w:val="none" w:sz="0" w:space="0" w:color="auto"/>
      </w:divBdr>
    </w:div>
    <w:div w:id="212129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3.png"/><Relationship Id="rId39" Type="http://schemas.openxmlformats.org/officeDocument/2006/relationships/hyperlink" Target="https://www.law.cornell.edu/definitions/index.php?width=840&amp;height=800&amp;iframe=true&amp;def_id=8f6ff59ba7d7d4f113abde417932a75d&amp;term_occur=999&amp;term_src=Title:40:Chapter:I:Subchapter:I:Part:257:Subpart:D:257.50" TargetMode="External"/><Relationship Id="rId21" Type="http://schemas.openxmlformats.org/officeDocument/2006/relationships/diagramData" Target="diagrams/data1.xml"/><Relationship Id="rId34" Type="http://schemas.openxmlformats.org/officeDocument/2006/relationships/hyperlink" Target="file:///S:/Workgroups/GPC%20External%20Affairs/Environmental%20Affairs/PSC/2020%20ECS/2019%20ECS/FINAL%20GPC%20ECS%202019_TS.docx" TargetMode="External"/><Relationship Id="rId42" Type="http://schemas.openxmlformats.org/officeDocument/2006/relationships/hyperlink" Target="https://www.law.cornell.edu/definitions/index.php?width=840&amp;height=800&amp;iframe=true&amp;def_id=8f6ff59ba7d7d4f113abde417932a75d&amp;term_occur=999&amp;term_src=Title:40:Chapter:I:Subchapter:I:Part:257:Subpart:D:257.50" TargetMode="External"/><Relationship Id="rId47" Type="http://schemas.openxmlformats.org/officeDocument/2006/relationships/hyperlink" Target="https://www.govinfo.gov/content/pkg/FR-2020-01-10/pdf/2019-28106.pdf" TargetMode="External"/><Relationship Id="rId50" Type="http://schemas.openxmlformats.org/officeDocument/2006/relationships/hyperlink" Target="file:///S:/Workgroups/GPC%20External%20Affairs/Environmental%20Affairs/PSC/2020%20ECS/2019%20ECS/FINAL%20GPC%20ECS%202019_TS.docx"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microsoft.com/office/2007/relationships/diagramDrawing" Target="diagrams/drawing1.xml"/><Relationship Id="rId33" Type="http://schemas.openxmlformats.org/officeDocument/2006/relationships/hyperlink" Target="file:///S:/Workgroups/GPC%20External%20Affairs/Environmental%20Affairs/PSC/2020%20ECS/2019%20ECS/FINAL%20GPC%20ECS%202019_TS.docx" TargetMode="External"/><Relationship Id="rId38" Type="http://schemas.openxmlformats.org/officeDocument/2006/relationships/hyperlink" Target="https://www.law.cornell.edu/definitions/index.php?width=840&amp;height=800&amp;iframe=true&amp;def_id=48484866a5e2b643f4b5d433f1d3732f&amp;term_occur=999&amp;term_src=Title:40:Chapter:I:Subchapter:I:Part:257:Subpart:D:257.50" TargetMode="External"/><Relationship Id="rId46" Type="http://schemas.openxmlformats.org/officeDocument/2006/relationships/hyperlink" Target="https://www.law.cornell.edu/definitions/index.php?width=840&amp;height=800&amp;iframe=true&amp;def_id=8f6ff59ba7d7d4f113abde417932a75d&amp;term_occur=999&amp;term_src=Title:40:Chapter:I:Subchapter:I:Part:257:Subpart:D:257.50"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png"/><Relationship Id="rId29" Type="http://schemas.openxmlformats.org/officeDocument/2006/relationships/hyperlink" Target="file:///S:/Workgroups/GPC%20External%20Affairs/Environmental%20Affairs/PSC/2020%20ECS/2019%20ECS/FINAL%20GPC%20ECS%202019_TS.docx" TargetMode="External"/><Relationship Id="rId41" Type="http://schemas.openxmlformats.org/officeDocument/2006/relationships/hyperlink" Target="https://www.law.cornell.edu/definitions/index.php?width=840&amp;height=800&amp;iframe=true&amp;def_id=dbfa59f3dd8835f8daaabbd342567814&amp;term_occur=999&amp;term_src=Title:40:Chapter:I:Subchapter:I:Part:257:Subpart:D:257.50"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diagramColors" Target="diagrams/colors1.xml"/><Relationship Id="rId32" Type="http://schemas.openxmlformats.org/officeDocument/2006/relationships/hyperlink" Target="file:///S:/Workgroups/GPC%20External%20Affairs/Environmental%20Affairs/PSC/2020%20ECS/2019%20ECS/FINAL%20GPC%20ECS%202019_TS.docx" TargetMode="External"/><Relationship Id="rId37" Type="http://schemas.openxmlformats.org/officeDocument/2006/relationships/hyperlink" Target="https://nam10.safelinks.protection.outlook.com/?url=https%3A%2F%2Fwww.federalregister.gov%2Fdocuments%2F2021%2F12%2F27%2F2021-27441%2Freissuance-and-modification-of-nationwide-permits%3Futm_source%3Dfederalregister.gov%26utm_medium%3Demail%26utm_campaign%3Dsubscription%2Bmailing%2Blist&amp;data=04%7C01%7Ccvander%40SOUTHERNCO.COM%7Cf6198cd4841d45d178f508d9daa70b61%7Cc0a02e2d1186410a88950a4a252ebf17%7C0%7C0%7C637781233244306221%7CUnknown%7CTWFpbGZsb3d8eyJWIjoiMC4wLjAwMDAiLCJQIjoiV2luMzIiLCJBTiI6Ik1haWwiLCJXVCI6Mn0%3D%7C3000&amp;sdata=N0uIlS7fvSCSHrpwCUWtHXuUoxqyg%2BuurV6xA3fwKaA%3D&amp;reserved=0" TargetMode="External"/><Relationship Id="rId40" Type="http://schemas.openxmlformats.org/officeDocument/2006/relationships/hyperlink" Target="https://www.law.cornell.edu/definitions/index.php?width=840&amp;height=800&amp;iframe=true&amp;def_id=1428c54d11433edc9d319145e39613a1&amp;term_occur=999&amp;term_src=Title:40:Chapter:I:Subchapter:I:Part:257:Subpart:D:257.50" TargetMode="External"/><Relationship Id="rId45" Type="http://schemas.openxmlformats.org/officeDocument/2006/relationships/hyperlink" Target="https://www.law.cornell.edu/definitions/index.php?width=840&amp;height=800&amp;iframe=true&amp;def_id=99d92e19d7095c04b0b07406de9fe169&amp;term_occur=999&amp;term_src=Title:40:Chapter:I:Subchapter:I:Part:257:Subpart:D:257.50" TargetMode="Externa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diagramQuickStyle" Target="diagrams/quickStyle1.xml"/><Relationship Id="rId28" Type="http://schemas.openxmlformats.org/officeDocument/2006/relationships/hyperlink" Target="file:///S:/Workgroups/GPC%20External%20Affairs/Environmental%20Affairs/PSC/2020%20ECS/2019%20ECS/FINAL%20GPC%20ECS%202019_TS.docx" TargetMode="External"/><Relationship Id="rId36" Type="http://schemas.openxmlformats.org/officeDocument/2006/relationships/image" Target="media/image4.png"/><Relationship Id="rId49" Type="http://schemas.openxmlformats.org/officeDocument/2006/relationships/hyperlink" Target="file:///S:/Workgroups/GPC%20External%20Affairs/Environmental%20Affairs/PSC/2020%20ECS/2019%20ECS/FINAL%20GPC%20ECS%202019_TS.docx" TargetMode="Externa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file:///S:/Workgroups/GPC%20External%20Affairs/Environmental%20Affairs/PSC/2020%20ECS/2019%20ECS/FINAL%20GPC%20ECS%202019_TS.docx" TargetMode="External"/><Relationship Id="rId44" Type="http://schemas.openxmlformats.org/officeDocument/2006/relationships/hyperlink" Target="https://www.law.cornell.edu/definitions/index.php?width=840&amp;height=800&amp;iframe=true&amp;def_id=940b6171dfa7e67ce4b261570a605301&amp;term_occur=999&amp;term_src=Title:40:Chapter:I:Subchapter:I:Part:257:Subpart:D:257.50" TargetMode="External"/><Relationship Id="rId52"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diagramLayout" Target="diagrams/layout1.xml"/><Relationship Id="rId27" Type="http://schemas.openxmlformats.org/officeDocument/2006/relationships/hyperlink" Target="file:///S:/Workgroups/GPC%20External%20Affairs/Environmental%20Affairs/PSC/2020%20ECS/2019%20ECS/FINAL%20GPC%20ECS%202019_TS.docx" TargetMode="External"/><Relationship Id="rId30" Type="http://schemas.openxmlformats.org/officeDocument/2006/relationships/hyperlink" Target="file:///S:/Workgroups/GPC%20External%20Affairs/Environmental%20Affairs/PSC/2020%20ECS/2019%20ECS/FINAL%20GPC%20ECS%202019_TS.docx" TargetMode="External"/><Relationship Id="rId35" Type="http://schemas.openxmlformats.org/officeDocument/2006/relationships/hyperlink" Target="file:///S:/Workgroups/GPC%20External%20Affairs/Environmental%20Affairs/PSC/2020%20ECS/2019%20ECS/FINAL%20GPC%20ECS%202019_TS.docx" TargetMode="External"/><Relationship Id="rId43" Type="http://schemas.openxmlformats.org/officeDocument/2006/relationships/hyperlink" Target="https://www.law.cornell.edu/definitions/index.php?width=840&amp;height=800&amp;iframe=true&amp;def_id=f295611510485bcbca5110967ea6d639&amp;term_occur=999&amp;term_src=Title:40:Chapter:I:Subchapter:I:Part:257:Subpart:D:257.50" TargetMode="External"/><Relationship Id="rId48" Type="http://schemas.openxmlformats.org/officeDocument/2006/relationships/hyperlink" Target="file:///S:/Workgroups/GPC%20External%20Affairs/Environmental%20Affairs/PSC/2020%20ECS/2019%20ECS/FINAL%20GPC%20ECS%202019_TS.docx" TargetMode="External"/><Relationship Id="Rb80fb92fbda74397" Type="http://schemas.microsoft.com/office/2019/09/relationships/intelligence" Target="intelligence.xml"/><Relationship Id="rId8" Type="http://schemas.openxmlformats.org/officeDocument/2006/relationships/webSettings" Target="webSettings.xml"/><Relationship Id="rId51" Type="http://schemas.openxmlformats.org/officeDocument/2006/relationships/hyperlink" Target="file:///S:/Workgroups/GPC%20External%20Affairs/Environmental%20Affairs/PSC/2020%20ECS/2019%20ECS/FINAL%20GPC%20ECS%202019_TS.docx" TargetMode="External"/><Relationship Id="rId3" Type="http://schemas.openxmlformats.org/officeDocument/2006/relationships/customXml" Target="../customXml/item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355922B-3F8D-4C73-AA4C-B634F8238E10}" type="doc">
      <dgm:prSet loTypeId="urn:microsoft.com/office/officeart/2005/8/layout/cycle3" loCatId="cycle" qsTypeId="urn:microsoft.com/office/officeart/2005/8/quickstyle/simple4" qsCatId="simple" csTypeId="urn:microsoft.com/office/officeart/2005/8/colors/accent0_3" csCatId="mainScheme" phldr="1"/>
      <dgm:spPr/>
      <dgm:t>
        <a:bodyPr/>
        <a:lstStyle/>
        <a:p>
          <a:endParaRPr lang="en-US"/>
        </a:p>
      </dgm:t>
    </dgm:pt>
    <dgm:pt modelId="{7B488EB2-B494-463C-B012-833F22F7FF37}">
      <dgm:prSet phldrT="[Text]"/>
      <dgm:spPr/>
      <dgm:t>
        <a:bodyPr/>
        <a:lstStyle/>
        <a:p>
          <a:r>
            <a:rPr lang="en-US" b="0">
              <a:latin typeface="Arial" panose="020B0604020202020204" pitchFamily="34" charset="0"/>
              <a:cs typeface="Arial" panose="020B0604020202020204" pitchFamily="34" charset="0"/>
            </a:rPr>
            <a:t>Anticipating and integrating the outcome of new environmental requirements.</a:t>
          </a:r>
          <a:endParaRPr lang="en-US"/>
        </a:p>
      </dgm:t>
    </dgm:pt>
    <dgm:pt modelId="{B7FAC696-4447-4A9D-ACED-CD7288B0F045}" type="parTrans" cxnId="{750B2227-960F-4317-8833-AD4D3233FE92}">
      <dgm:prSet/>
      <dgm:spPr/>
      <dgm:t>
        <a:bodyPr/>
        <a:lstStyle/>
        <a:p>
          <a:endParaRPr lang="en-US"/>
        </a:p>
      </dgm:t>
    </dgm:pt>
    <dgm:pt modelId="{54291942-3285-4A78-BC83-4D012FC8E4B0}" type="sibTrans" cxnId="{750B2227-960F-4317-8833-AD4D3233FE92}">
      <dgm:prSet/>
      <dgm:spPr/>
      <dgm:t>
        <a:bodyPr/>
        <a:lstStyle/>
        <a:p>
          <a:pPr algn="ctr"/>
          <a:endParaRPr lang="en-US"/>
        </a:p>
      </dgm:t>
    </dgm:pt>
    <dgm:pt modelId="{41C831EB-03DE-413B-B2B7-2E3C1CFD85D6}">
      <dgm:prSet phldrT="[Text]"/>
      <dgm:spPr/>
      <dgm:t>
        <a:bodyPr/>
        <a:lstStyle/>
        <a:p>
          <a:r>
            <a:rPr lang="en-US" b="0">
              <a:latin typeface="Arial" panose="020B0604020202020204" pitchFamily="34" charset="0"/>
              <a:cs typeface="Arial" panose="020B0604020202020204" pitchFamily="34" charset="0"/>
            </a:rPr>
            <a:t>Developing assumptions on national, Southern Company, and Georgia Power Company levels. </a:t>
          </a:r>
          <a:endParaRPr lang="en-US"/>
        </a:p>
      </dgm:t>
    </dgm:pt>
    <dgm:pt modelId="{418B379D-40BD-4576-9E18-F62E57E5AFE7}" type="parTrans" cxnId="{DBE345D8-6CF4-4E38-950C-6A63A551F55B}">
      <dgm:prSet/>
      <dgm:spPr/>
      <dgm:t>
        <a:bodyPr/>
        <a:lstStyle/>
        <a:p>
          <a:endParaRPr lang="en-US"/>
        </a:p>
      </dgm:t>
    </dgm:pt>
    <dgm:pt modelId="{8BF6A69C-F0AD-475C-BF23-857851E6E9BF}" type="sibTrans" cxnId="{DBE345D8-6CF4-4E38-950C-6A63A551F55B}">
      <dgm:prSet/>
      <dgm:spPr/>
      <dgm:t>
        <a:bodyPr/>
        <a:lstStyle/>
        <a:p>
          <a:endParaRPr lang="en-US"/>
        </a:p>
      </dgm:t>
    </dgm:pt>
    <dgm:pt modelId="{A61203B5-8D05-4D94-9BB4-4BD1D85C15B6}">
      <dgm:prSet phldrT="[Text]"/>
      <dgm:spPr/>
      <dgm:t>
        <a:bodyPr anchor="ctr" anchorCtr="0"/>
        <a:lstStyle/>
        <a:p>
          <a:r>
            <a:rPr lang="en-US" b="0">
              <a:latin typeface="Arial" panose="020B0604020202020204" pitchFamily="34" charset="0"/>
              <a:cs typeface="Arial" panose="020B0604020202020204" pitchFamily="34" charset="0"/>
            </a:rPr>
            <a:t>Application of generating unit-specific cost-effective control technology options. </a:t>
          </a:r>
          <a:endParaRPr lang="en-US"/>
        </a:p>
      </dgm:t>
    </dgm:pt>
    <dgm:pt modelId="{7EFF4EF8-C584-49A0-A488-A1CFE91F0B5C}" type="parTrans" cxnId="{54CBA0D5-90B0-4C51-96F3-62CC40DD00A6}">
      <dgm:prSet/>
      <dgm:spPr/>
      <dgm:t>
        <a:bodyPr/>
        <a:lstStyle/>
        <a:p>
          <a:endParaRPr lang="en-US"/>
        </a:p>
      </dgm:t>
    </dgm:pt>
    <dgm:pt modelId="{27FB2D75-B8CC-4BC3-ADD4-B02B50154F3A}" type="sibTrans" cxnId="{54CBA0D5-90B0-4C51-96F3-62CC40DD00A6}">
      <dgm:prSet/>
      <dgm:spPr/>
      <dgm:t>
        <a:bodyPr/>
        <a:lstStyle/>
        <a:p>
          <a:endParaRPr lang="en-US"/>
        </a:p>
      </dgm:t>
    </dgm:pt>
    <dgm:pt modelId="{9AB08AE5-80B9-469A-BD8F-8F4BE94CA585}">
      <dgm:prSet phldrT="[Text]"/>
      <dgm:spPr/>
      <dgm:t>
        <a:bodyPr/>
        <a:lstStyle/>
        <a:p>
          <a:r>
            <a:rPr lang="en-US" b="0">
              <a:latin typeface="Arial" panose="020B0604020202020204" pitchFamily="34" charset="0"/>
              <a:cs typeface="Arial" panose="020B0604020202020204" pitchFamily="34" charset="0"/>
            </a:rPr>
            <a:t>Determining and evaluating the financial requirements of the strategy. </a:t>
          </a:r>
          <a:endParaRPr lang="en-US"/>
        </a:p>
      </dgm:t>
    </dgm:pt>
    <dgm:pt modelId="{BF06624B-893F-4E44-A1C1-2CD238AC7B6D}" type="parTrans" cxnId="{7A8D5E1B-E7F1-483F-A034-5655C5C20024}">
      <dgm:prSet/>
      <dgm:spPr/>
      <dgm:t>
        <a:bodyPr/>
        <a:lstStyle/>
        <a:p>
          <a:endParaRPr lang="en-US"/>
        </a:p>
      </dgm:t>
    </dgm:pt>
    <dgm:pt modelId="{E1591E27-7DAC-4F1A-97DD-A85B228F2678}" type="sibTrans" cxnId="{7A8D5E1B-E7F1-483F-A034-5655C5C20024}">
      <dgm:prSet/>
      <dgm:spPr/>
      <dgm:t>
        <a:bodyPr/>
        <a:lstStyle/>
        <a:p>
          <a:endParaRPr lang="en-US"/>
        </a:p>
      </dgm:t>
    </dgm:pt>
    <dgm:pt modelId="{38FB9D8A-F2B3-4CBE-9631-22AADF907B96}">
      <dgm:prSet phldrT="[Text]"/>
      <dgm:spPr/>
      <dgm:t>
        <a:bodyPr anchor="ctr" anchorCtr="0"/>
        <a:lstStyle/>
        <a:p>
          <a:r>
            <a:rPr lang="en-US" b="0">
              <a:latin typeface="Arial" panose="020B0604020202020204" pitchFamily="34" charset="0"/>
              <a:cs typeface="Arial" panose="020B0604020202020204" pitchFamily="34" charset="0"/>
            </a:rPr>
            <a:t>Developing final environmental compliance strategy and costs.</a:t>
          </a:r>
        </a:p>
      </dgm:t>
    </dgm:pt>
    <dgm:pt modelId="{09C96678-9D0D-4FF1-A153-1335A27E1B67}" type="parTrans" cxnId="{DF815C76-8E3A-4C81-99A6-7D3ED68BD556}">
      <dgm:prSet/>
      <dgm:spPr/>
      <dgm:t>
        <a:bodyPr/>
        <a:lstStyle/>
        <a:p>
          <a:endParaRPr lang="en-US"/>
        </a:p>
      </dgm:t>
    </dgm:pt>
    <dgm:pt modelId="{C26EFA7E-C9BE-4187-B4E6-0A1FC83AFACB}" type="sibTrans" cxnId="{DF815C76-8E3A-4C81-99A6-7D3ED68BD556}">
      <dgm:prSet/>
      <dgm:spPr/>
      <dgm:t>
        <a:bodyPr/>
        <a:lstStyle/>
        <a:p>
          <a:endParaRPr lang="en-US"/>
        </a:p>
      </dgm:t>
    </dgm:pt>
    <dgm:pt modelId="{24E3E060-B445-49E3-BE21-519E27AC69B9}">
      <dgm:prSet phldrT="[Text]"/>
      <dgm:spPr/>
      <dgm:t>
        <a:bodyPr anchor="ctr" anchorCtr="0"/>
        <a:lstStyle/>
        <a:p>
          <a:r>
            <a:rPr lang="en-US" b="0">
              <a:latin typeface="Arial" panose="020B0604020202020204" pitchFamily="34" charset="0"/>
              <a:cs typeface="Arial" panose="020B0604020202020204" pitchFamily="34" charset="0"/>
            </a:rPr>
            <a:t>Georgia Public Service Commission Review and Approval</a:t>
          </a:r>
        </a:p>
      </dgm:t>
    </dgm:pt>
    <dgm:pt modelId="{09812CDC-4209-4A06-93A1-88CB3CE5892C}" type="parTrans" cxnId="{58949438-4956-4F4C-AC46-84B57C88D458}">
      <dgm:prSet/>
      <dgm:spPr/>
      <dgm:t>
        <a:bodyPr/>
        <a:lstStyle/>
        <a:p>
          <a:endParaRPr lang="en-US"/>
        </a:p>
      </dgm:t>
    </dgm:pt>
    <dgm:pt modelId="{0253984A-419E-41A4-A021-419BE5D6D08C}" type="sibTrans" cxnId="{58949438-4956-4F4C-AC46-84B57C88D458}">
      <dgm:prSet/>
      <dgm:spPr/>
      <dgm:t>
        <a:bodyPr/>
        <a:lstStyle/>
        <a:p>
          <a:endParaRPr lang="en-US"/>
        </a:p>
      </dgm:t>
    </dgm:pt>
    <dgm:pt modelId="{98BB9531-8C75-40FF-9D65-D662B042F54F}" type="pres">
      <dgm:prSet presAssocID="{B355922B-3F8D-4C73-AA4C-B634F8238E10}" presName="Name0" presStyleCnt="0">
        <dgm:presLayoutVars>
          <dgm:dir/>
          <dgm:resizeHandles val="exact"/>
        </dgm:presLayoutVars>
      </dgm:prSet>
      <dgm:spPr/>
    </dgm:pt>
    <dgm:pt modelId="{2D7A9572-A3F5-499F-A486-9ADF340DB74C}" type="pres">
      <dgm:prSet presAssocID="{B355922B-3F8D-4C73-AA4C-B634F8238E10}" presName="cycle" presStyleCnt="0"/>
      <dgm:spPr/>
    </dgm:pt>
    <dgm:pt modelId="{F2A596CE-AD2A-4EF7-910C-DAFECD91D8B9}" type="pres">
      <dgm:prSet presAssocID="{7B488EB2-B494-463C-B012-833F22F7FF37}" presName="nodeFirstNode" presStyleLbl="node1" presStyleIdx="0" presStyleCnt="6">
        <dgm:presLayoutVars>
          <dgm:bulletEnabled val="1"/>
        </dgm:presLayoutVars>
      </dgm:prSet>
      <dgm:spPr/>
    </dgm:pt>
    <dgm:pt modelId="{1261D5B7-AB74-4D2E-BF22-D503458BE0B4}" type="pres">
      <dgm:prSet presAssocID="{54291942-3285-4A78-BC83-4D012FC8E4B0}" presName="sibTransFirstNode" presStyleLbl="bgShp" presStyleIdx="0" presStyleCnt="1"/>
      <dgm:spPr/>
    </dgm:pt>
    <dgm:pt modelId="{99C38466-E296-4F4F-9D6E-2BF05716D609}" type="pres">
      <dgm:prSet presAssocID="{41C831EB-03DE-413B-B2B7-2E3C1CFD85D6}" presName="nodeFollowingNodes" presStyleLbl="node1" presStyleIdx="1" presStyleCnt="6">
        <dgm:presLayoutVars>
          <dgm:bulletEnabled val="1"/>
        </dgm:presLayoutVars>
      </dgm:prSet>
      <dgm:spPr/>
    </dgm:pt>
    <dgm:pt modelId="{D948D575-C6C6-423D-B4A2-6CF7FFAADFF2}" type="pres">
      <dgm:prSet presAssocID="{A61203B5-8D05-4D94-9BB4-4BD1D85C15B6}" presName="nodeFollowingNodes" presStyleLbl="node1" presStyleIdx="2" presStyleCnt="6">
        <dgm:presLayoutVars>
          <dgm:bulletEnabled val="1"/>
        </dgm:presLayoutVars>
      </dgm:prSet>
      <dgm:spPr/>
    </dgm:pt>
    <dgm:pt modelId="{4A5DB214-2EEC-40D3-B53A-3E4B548B448B}" type="pres">
      <dgm:prSet presAssocID="{9AB08AE5-80B9-469A-BD8F-8F4BE94CA585}" presName="nodeFollowingNodes" presStyleLbl="node1" presStyleIdx="3" presStyleCnt="6">
        <dgm:presLayoutVars>
          <dgm:bulletEnabled val="1"/>
        </dgm:presLayoutVars>
      </dgm:prSet>
      <dgm:spPr/>
    </dgm:pt>
    <dgm:pt modelId="{6EA9D0FB-7076-4E42-9961-F05DE954DA79}" type="pres">
      <dgm:prSet presAssocID="{38FB9D8A-F2B3-4CBE-9631-22AADF907B96}" presName="nodeFollowingNodes" presStyleLbl="node1" presStyleIdx="4" presStyleCnt="6">
        <dgm:presLayoutVars>
          <dgm:bulletEnabled val="1"/>
        </dgm:presLayoutVars>
      </dgm:prSet>
      <dgm:spPr/>
    </dgm:pt>
    <dgm:pt modelId="{F3D87F2C-0DC0-41C2-BAEB-307EE13D8216}" type="pres">
      <dgm:prSet presAssocID="{24E3E060-B445-49E3-BE21-519E27AC69B9}" presName="nodeFollowingNodes" presStyleLbl="node1" presStyleIdx="5" presStyleCnt="6">
        <dgm:presLayoutVars>
          <dgm:bulletEnabled val="1"/>
        </dgm:presLayoutVars>
      </dgm:prSet>
      <dgm:spPr/>
    </dgm:pt>
  </dgm:ptLst>
  <dgm:cxnLst>
    <dgm:cxn modelId="{308C1C10-26D5-4369-A20D-DA798A85A74E}" type="presOf" srcId="{24E3E060-B445-49E3-BE21-519E27AC69B9}" destId="{F3D87F2C-0DC0-41C2-BAEB-307EE13D8216}" srcOrd="0" destOrd="0" presId="urn:microsoft.com/office/officeart/2005/8/layout/cycle3"/>
    <dgm:cxn modelId="{7A8D5E1B-E7F1-483F-A034-5655C5C20024}" srcId="{B355922B-3F8D-4C73-AA4C-B634F8238E10}" destId="{9AB08AE5-80B9-469A-BD8F-8F4BE94CA585}" srcOrd="3" destOrd="0" parTransId="{BF06624B-893F-4E44-A1C1-2CD238AC7B6D}" sibTransId="{E1591E27-7DAC-4F1A-97DD-A85B228F2678}"/>
    <dgm:cxn modelId="{750B2227-960F-4317-8833-AD4D3233FE92}" srcId="{B355922B-3F8D-4C73-AA4C-B634F8238E10}" destId="{7B488EB2-B494-463C-B012-833F22F7FF37}" srcOrd="0" destOrd="0" parTransId="{B7FAC696-4447-4A9D-ACED-CD7288B0F045}" sibTransId="{54291942-3285-4A78-BC83-4D012FC8E4B0}"/>
    <dgm:cxn modelId="{58949438-4956-4F4C-AC46-84B57C88D458}" srcId="{B355922B-3F8D-4C73-AA4C-B634F8238E10}" destId="{24E3E060-B445-49E3-BE21-519E27AC69B9}" srcOrd="5" destOrd="0" parTransId="{09812CDC-4209-4A06-93A1-88CB3CE5892C}" sibTransId="{0253984A-419E-41A4-A021-419BE5D6D08C}"/>
    <dgm:cxn modelId="{58797164-D62D-48C9-8CEE-B6E68EA38715}" type="presOf" srcId="{54291942-3285-4A78-BC83-4D012FC8E4B0}" destId="{1261D5B7-AB74-4D2E-BF22-D503458BE0B4}" srcOrd="0" destOrd="0" presId="urn:microsoft.com/office/officeart/2005/8/layout/cycle3"/>
    <dgm:cxn modelId="{926CAE46-2E57-4C69-B99B-60BA33D166A0}" type="presOf" srcId="{A61203B5-8D05-4D94-9BB4-4BD1D85C15B6}" destId="{D948D575-C6C6-423D-B4A2-6CF7FFAADFF2}" srcOrd="0" destOrd="0" presId="urn:microsoft.com/office/officeart/2005/8/layout/cycle3"/>
    <dgm:cxn modelId="{6482DE6B-B1ED-4DDA-A4AF-B23431320111}" type="presOf" srcId="{B355922B-3F8D-4C73-AA4C-B634F8238E10}" destId="{98BB9531-8C75-40FF-9D65-D662B042F54F}" srcOrd="0" destOrd="0" presId="urn:microsoft.com/office/officeart/2005/8/layout/cycle3"/>
    <dgm:cxn modelId="{FE1E586F-3496-473D-A2EF-8C194079A9D0}" type="presOf" srcId="{38FB9D8A-F2B3-4CBE-9631-22AADF907B96}" destId="{6EA9D0FB-7076-4E42-9961-F05DE954DA79}" srcOrd="0" destOrd="0" presId="urn:microsoft.com/office/officeart/2005/8/layout/cycle3"/>
    <dgm:cxn modelId="{DF815C76-8E3A-4C81-99A6-7D3ED68BD556}" srcId="{B355922B-3F8D-4C73-AA4C-B634F8238E10}" destId="{38FB9D8A-F2B3-4CBE-9631-22AADF907B96}" srcOrd="4" destOrd="0" parTransId="{09C96678-9D0D-4FF1-A153-1335A27E1B67}" sibTransId="{C26EFA7E-C9BE-4187-B4E6-0A1FC83AFACB}"/>
    <dgm:cxn modelId="{DEF6878A-B9E0-4509-AAF6-DFB9F8E9D5AF}" type="presOf" srcId="{7B488EB2-B494-463C-B012-833F22F7FF37}" destId="{F2A596CE-AD2A-4EF7-910C-DAFECD91D8B9}" srcOrd="0" destOrd="0" presId="urn:microsoft.com/office/officeart/2005/8/layout/cycle3"/>
    <dgm:cxn modelId="{712CCAB8-5B90-45F9-9442-5C0701BA6374}" type="presOf" srcId="{41C831EB-03DE-413B-B2B7-2E3C1CFD85D6}" destId="{99C38466-E296-4F4F-9D6E-2BF05716D609}" srcOrd="0" destOrd="0" presId="urn:microsoft.com/office/officeart/2005/8/layout/cycle3"/>
    <dgm:cxn modelId="{00C388B9-440C-469E-9B20-D7433381F7A2}" type="presOf" srcId="{9AB08AE5-80B9-469A-BD8F-8F4BE94CA585}" destId="{4A5DB214-2EEC-40D3-B53A-3E4B548B448B}" srcOrd="0" destOrd="0" presId="urn:microsoft.com/office/officeart/2005/8/layout/cycle3"/>
    <dgm:cxn modelId="{54CBA0D5-90B0-4C51-96F3-62CC40DD00A6}" srcId="{B355922B-3F8D-4C73-AA4C-B634F8238E10}" destId="{A61203B5-8D05-4D94-9BB4-4BD1D85C15B6}" srcOrd="2" destOrd="0" parTransId="{7EFF4EF8-C584-49A0-A488-A1CFE91F0B5C}" sibTransId="{27FB2D75-B8CC-4BC3-ADD4-B02B50154F3A}"/>
    <dgm:cxn modelId="{DBE345D8-6CF4-4E38-950C-6A63A551F55B}" srcId="{B355922B-3F8D-4C73-AA4C-B634F8238E10}" destId="{41C831EB-03DE-413B-B2B7-2E3C1CFD85D6}" srcOrd="1" destOrd="0" parTransId="{418B379D-40BD-4576-9E18-F62E57E5AFE7}" sibTransId="{8BF6A69C-F0AD-475C-BF23-857851E6E9BF}"/>
    <dgm:cxn modelId="{4BF407E0-077A-4146-98A8-48DB005A2ADD}" type="presParOf" srcId="{98BB9531-8C75-40FF-9D65-D662B042F54F}" destId="{2D7A9572-A3F5-499F-A486-9ADF340DB74C}" srcOrd="0" destOrd="0" presId="urn:microsoft.com/office/officeart/2005/8/layout/cycle3"/>
    <dgm:cxn modelId="{598FE559-EA33-489D-B360-9C047D187345}" type="presParOf" srcId="{2D7A9572-A3F5-499F-A486-9ADF340DB74C}" destId="{F2A596CE-AD2A-4EF7-910C-DAFECD91D8B9}" srcOrd="0" destOrd="0" presId="urn:microsoft.com/office/officeart/2005/8/layout/cycle3"/>
    <dgm:cxn modelId="{DF913881-8476-476C-A256-2046AB975187}" type="presParOf" srcId="{2D7A9572-A3F5-499F-A486-9ADF340DB74C}" destId="{1261D5B7-AB74-4D2E-BF22-D503458BE0B4}" srcOrd="1" destOrd="0" presId="urn:microsoft.com/office/officeart/2005/8/layout/cycle3"/>
    <dgm:cxn modelId="{1A575A26-3A4A-4711-837B-66AA8D0825FB}" type="presParOf" srcId="{2D7A9572-A3F5-499F-A486-9ADF340DB74C}" destId="{99C38466-E296-4F4F-9D6E-2BF05716D609}" srcOrd="2" destOrd="0" presId="urn:microsoft.com/office/officeart/2005/8/layout/cycle3"/>
    <dgm:cxn modelId="{BB5963F8-3E7D-4D32-845A-6DAE76AA9630}" type="presParOf" srcId="{2D7A9572-A3F5-499F-A486-9ADF340DB74C}" destId="{D948D575-C6C6-423D-B4A2-6CF7FFAADFF2}" srcOrd="3" destOrd="0" presId="urn:microsoft.com/office/officeart/2005/8/layout/cycle3"/>
    <dgm:cxn modelId="{A114B00C-EFC4-445C-8FED-56E544235CC8}" type="presParOf" srcId="{2D7A9572-A3F5-499F-A486-9ADF340DB74C}" destId="{4A5DB214-2EEC-40D3-B53A-3E4B548B448B}" srcOrd="4" destOrd="0" presId="urn:microsoft.com/office/officeart/2005/8/layout/cycle3"/>
    <dgm:cxn modelId="{3888B5C4-8522-4620-A633-B545556B4ED8}" type="presParOf" srcId="{2D7A9572-A3F5-499F-A486-9ADF340DB74C}" destId="{6EA9D0FB-7076-4E42-9961-F05DE954DA79}" srcOrd="5" destOrd="0" presId="urn:microsoft.com/office/officeart/2005/8/layout/cycle3"/>
    <dgm:cxn modelId="{8973D1A2-C146-4F7C-B6EA-0120752C0FE2}" type="presParOf" srcId="{2D7A9572-A3F5-499F-A486-9ADF340DB74C}" destId="{F3D87F2C-0DC0-41C2-BAEB-307EE13D8216}" srcOrd="6" destOrd="0" presId="urn:microsoft.com/office/officeart/2005/8/layout/cycle3"/>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61D5B7-AB74-4D2E-BF22-D503458BE0B4}">
      <dsp:nvSpPr>
        <dsp:cNvPr id="0" name=""/>
        <dsp:cNvSpPr/>
      </dsp:nvSpPr>
      <dsp:spPr>
        <a:xfrm>
          <a:off x="1349360" y="-3217"/>
          <a:ext cx="3207541" cy="3207541"/>
        </a:xfrm>
        <a:prstGeom prst="circularArrow">
          <a:avLst>
            <a:gd name="adj1" fmla="val 5274"/>
            <a:gd name="adj2" fmla="val 312630"/>
            <a:gd name="adj3" fmla="val 14269178"/>
            <a:gd name="adj4" fmla="val 17103039"/>
            <a:gd name="adj5" fmla="val 5477"/>
          </a:avLst>
        </a:prstGeom>
        <a:solidFill>
          <a:schemeClr val="dk2">
            <a:tint val="40000"/>
            <a:hueOff val="0"/>
            <a:satOff val="0"/>
            <a:lumOff val="0"/>
            <a:alphaOff val="0"/>
          </a:schemeClr>
        </a:solidFill>
        <a:ln>
          <a:noFill/>
        </a:ln>
        <a:effectLst/>
      </dsp:spPr>
      <dsp:style>
        <a:lnRef idx="0">
          <a:scrgbClr r="0" g="0" b="0"/>
        </a:lnRef>
        <a:fillRef idx="1">
          <a:scrgbClr r="0" g="0" b="0"/>
        </a:fillRef>
        <a:effectRef idx="2">
          <a:scrgbClr r="0" g="0" b="0"/>
        </a:effectRef>
        <a:fontRef idx="minor"/>
      </dsp:style>
    </dsp:sp>
    <dsp:sp modelId="{F2A596CE-AD2A-4EF7-910C-DAFECD91D8B9}">
      <dsp:nvSpPr>
        <dsp:cNvPr id="0" name=""/>
        <dsp:cNvSpPr/>
      </dsp:nvSpPr>
      <dsp:spPr>
        <a:xfrm>
          <a:off x="2357602" y="1201"/>
          <a:ext cx="1191057" cy="595528"/>
        </a:xfrm>
        <a:prstGeom prst="roundRect">
          <a:avLst/>
        </a:prstGeom>
        <a:gradFill rotWithShape="0">
          <a:gsLst>
            <a:gs pos="0">
              <a:schemeClr val="dk2">
                <a:hueOff val="0"/>
                <a:satOff val="0"/>
                <a:lumOff val="0"/>
                <a:alphaOff val="0"/>
                <a:satMod val="103000"/>
                <a:lumMod val="102000"/>
                <a:tint val="94000"/>
              </a:schemeClr>
            </a:gs>
            <a:gs pos="50000">
              <a:schemeClr val="dk2">
                <a:hueOff val="0"/>
                <a:satOff val="0"/>
                <a:lumOff val="0"/>
                <a:alphaOff val="0"/>
                <a:satMod val="110000"/>
                <a:lumMod val="100000"/>
                <a:shade val="100000"/>
              </a:schemeClr>
            </a:gs>
            <a:gs pos="100000">
              <a:schemeClr val="dk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0" kern="1200">
              <a:latin typeface="Arial" panose="020B0604020202020204" pitchFamily="34" charset="0"/>
              <a:cs typeface="Arial" panose="020B0604020202020204" pitchFamily="34" charset="0"/>
            </a:rPr>
            <a:t>Anticipating and integrating the outcome of new environmental requirements.</a:t>
          </a:r>
          <a:endParaRPr lang="en-US" sz="700" kern="1200"/>
        </a:p>
      </dsp:txBody>
      <dsp:txXfrm>
        <a:off x="2386673" y="30272"/>
        <a:ext cx="1132915" cy="537386"/>
      </dsp:txXfrm>
    </dsp:sp>
    <dsp:sp modelId="{99C38466-E296-4F4F-9D6E-2BF05716D609}">
      <dsp:nvSpPr>
        <dsp:cNvPr id="0" name=""/>
        <dsp:cNvSpPr/>
      </dsp:nvSpPr>
      <dsp:spPr>
        <a:xfrm>
          <a:off x="3484503" y="651818"/>
          <a:ext cx="1191057" cy="595528"/>
        </a:xfrm>
        <a:prstGeom prst="roundRect">
          <a:avLst/>
        </a:prstGeom>
        <a:gradFill rotWithShape="0">
          <a:gsLst>
            <a:gs pos="0">
              <a:schemeClr val="dk2">
                <a:hueOff val="0"/>
                <a:satOff val="0"/>
                <a:lumOff val="0"/>
                <a:alphaOff val="0"/>
                <a:satMod val="103000"/>
                <a:lumMod val="102000"/>
                <a:tint val="94000"/>
              </a:schemeClr>
            </a:gs>
            <a:gs pos="50000">
              <a:schemeClr val="dk2">
                <a:hueOff val="0"/>
                <a:satOff val="0"/>
                <a:lumOff val="0"/>
                <a:alphaOff val="0"/>
                <a:satMod val="110000"/>
                <a:lumMod val="100000"/>
                <a:shade val="100000"/>
              </a:schemeClr>
            </a:gs>
            <a:gs pos="100000">
              <a:schemeClr val="dk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0" kern="1200">
              <a:latin typeface="Arial" panose="020B0604020202020204" pitchFamily="34" charset="0"/>
              <a:cs typeface="Arial" panose="020B0604020202020204" pitchFamily="34" charset="0"/>
            </a:rPr>
            <a:t>Developing assumptions on national, Southern Company, and Georgia Power Company levels. </a:t>
          </a:r>
          <a:endParaRPr lang="en-US" sz="700" kern="1200"/>
        </a:p>
      </dsp:txBody>
      <dsp:txXfrm>
        <a:off x="3513574" y="680889"/>
        <a:ext cx="1132915" cy="537386"/>
      </dsp:txXfrm>
    </dsp:sp>
    <dsp:sp modelId="{D948D575-C6C6-423D-B4A2-6CF7FFAADFF2}">
      <dsp:nvSpPr>
        <dsp:cNvPr id="0" name=""/>
        <dsp:cNvSpPr/>
      </dsp:nvSpPr>
      <dsp:spPr>
        <a:xfrm>
          <a:off x="3484503" y="1953052"/>
          <a:ext cx="1191057" cy="595528"/>
        </a:xfrm>
        <a:prstGeom prst="roundRect">
          <a:avLst/>
        </a:prstGeom>
        <a:gradFill rotWithShape="0">
          <a:gsLst>
            <a:gs pos="0">
              <a:schemeClr val="dk2">
                <a:hueOff val="0"/>
                <a:satOff val="0"/>
                <a:lumOff val="0"/>
                <a:alphaOff val="0"/>
                <a:satMod val="103000"/>
                <a:lumMod val="102000"/>
                <a:tint val="94000"/>
              </a:schemeClr>
            </a:gs>
            <a:gs pos="50000">
              <a:schemeClr val="dk2">
                <a:hueOff val="0"/>
                <a:satOff val="0"/>
                <a:lumOff val="0"/>
                <a:alphaOff val="0"/>
                <a:satMod val="110000"/>
                <a:lumMod val="100000"/>
                <a:shade val="100000"/>
              </a:schemeClr>
            </a:gs>
            <a:gs pos="100000">
              <a:schemeClr val="dk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0" kern="1200">
              <a:latin typeface="Arial" panose="020B0604020202020204" pitchFamily="34" charset="0"/>
              <a:cs typeface="Arial" panose="020B0604020202020204" pitchFamily="34" charset="0"/>
            </a:rPr>
            <a:t>Application of generating unit-specific cost-effective control technology options. </a:t>
          </a:r>
          <a:endParaRPr lang="en-US" sz="700" kern="1200"/>
        </a:p>
      </dsp:txBody>
      <dsp:txXfrm>
        <a:off x="3513574" y="1982123"/>
        <a:ext cx="1132915" cy="537386"/>
      </dsp:txXfrm>
    </dsp:sp>
    <dsp:sp modelId="{4A5DB214-2EEC-40D3-B53A-3E4B548B448B}">
      <dsp:nvSpPr>
        <dsp:cNvPr id="0" name=""/>
        <dsp:cNvSpPr/>
      </dsp:nvSpPr>
      <dsp:spPr>
        <a:xfrm>
          <a:off x="2357602" y="2603669"/>
          <a:ext cx="1191057" cy="595528"/>
        </a:xfrm>
        <a:prstGeom prst="roundRect">
          <a:avLst/>
        </a:prstGeom>
        <a:gradFill rotWithShape="0">
          <a:gsLst>
            <a:gs pos="0">
              <a:schemeClr val="dk2">
                <a:hueOff val="0"/>
                <a:satOff val="0"/>
                <a:lumOff val="0"/>
                <a:alphaOff val="0"/>
                <a:satMod val="103000"/>
                <a:lumMod val="102000"/>
                <a:tint val="94000"/>
              </a:schemeClr>
            </a:gs>
            <a:gs pos="50000">
              <a:schemeClr val="dk2">
                <a:hueOff val="0"/>
                <a:satOff val="0"/>
                <a:lumOff val="0"/>
                <a:alphaOff val="0"/>
                <a:satMod val="110000"/>
                <a:lumMod val="100000"/>
                <a:shade val="100000"/>
              </a:schemeClr>
            </a:gs>
            <a:gs pos="100000">
              <a:schemeClr val="dk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0" kern="1200">
              <a:latin typeface="Arial" panose="020B0604020202020204" pitchFamily="34" charset="0"/>
              <a:cs typeface="Arial" panose="020B0604020202020204" pitchFamily="34" charset="0"/>
            </a:rPr>
            <a:t>Determining and evaluating the financial requirements of the strategy. </a:t>
          </a:r>
          <a:endParaRPr lang="en-US" sz="700" kern="1200"/>
        </a:p>
      </dsp:txBody>
      <dsp:txXfrm>
        <a:off x="2386673" y="2632740"/>
        <a:ext cx="1132915" cy="537386"/>
      </dsp:txXfrm>
    </dsp:sp>
    <dsp:sp modelId="{6EA9D0FB-7076-4E42-9961-F05DE954DA79}">
      <dsp:nvSpPr>
        <dsp:cNvPr id="0" name=""/>
        <dsp:cNvSpPr/>
      </dsp:nvSpPr>
      <dsp:spPr>
        <a:xfrm>
          <a:off x="1230700" y="1953052"/>
          <a:ext cx="1191057" cy="595528"/>
        </a:xfrm>
        <a:prstGeom prst="roundRect">
          <a:avLst/>
        </a:prstGeom>
        <a:gradFill rotWithShape="0">
          <a:gsLst>
            <a:gs pos="0">
              <a:schemeClr val="dk2">
                <a:hueOff val="0"/>
                <a:satOff val="0"/>
                <a:lumOff val="0"/>
                <a:alphaOff val="0"/>
                <a:satMod val="103000"/>
                <a:lumMod val="102000"/>
                <a:tint val="94000"/>
              </a:schemeClr>
            </a:gs>
            <a:gs pos="50000">
              <a:schemeClr val="dk2">
                <a:hueOff val="0"/>
                <a:satOff val="0"/>
                <a:lumOff val="0"/>
                <a:alphaOff val="0"/>
                <a:satMod val="110000"/>
                <a:lumMod val="100000"/>
                <a:shade val="100000"/>
              </a:schemeClr>
            </a:gs>
            <a:gs pos="100000">
              <a:schemeClr val="dk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0" kern="1200">
              <a:latin typeface="Arial" panose="020B0604020202020204" pitchFamily="34" charset="0"/>
              <a:cs typeface="Arial" panose="020B0604020202020204" pitchFamily="34" charset="0"/>
            </a:rPr>
            <a:t>Developing final environmental compliance strategy and costs.</a:t>
          </a:r>
        </a:p>
      </dsp:txBody>
      <dsp:txXfrm>
        <a:off x="1259771" y="1982123"/>
        <a:ext cx="1132915" cy="537386"/>
      </dsp:txXfrm>
    </dsp:sp>
    <dsp:sp modelId="{F3D87F2C-0DC0-41C2-BAEB-307EE13D8216}">
      <dsp:nvSpPr>
        <dsp:cNvPr id="0" name=""/>
        <dsp:cNvSpPr/>
      </dsp:nvSpPr>
      <dsp:spPr>
        <a:xfrm>
          <a:off x="1230700" y="651818"/>
          <a:ext cx="1191057" cy="595528"/>
        </a:xfrm>
        <a:prstGeom prst="roundRect">
          <a:avLst/>
        </a:prstGeom>
        <a:gradFill rotWithShape="0">
          <a:gsLst>
            <a:gs pos="0">
              <a:schemeClr val="dk2">
                <a:hueOff val="0"/>
                <a:satOff val="0"/>
                <a:lumOff val="0"/>
                <a:alphaOff val="0"/>
                <a:satMod val="103000"/>
                <a:lumMod val="102000"/>
                <a:tint val="94000"/>
              </a:schemeClr>
            </a:gs>
            <a:gs pos="50000">
              <a:schemeClr val="dk2">
                <a:hueOff val="0"/>
                <a:satOff val="0"/>
                <a:lumOff val="0"/>
                <a:alphaOff val="0"/>
                <a:satMod val="110000"/>
                <a:lumMod val="100000"/>
                <a:shade val="100000"/>
              </a:schemeClr>
            </a:gs>
            <a:gs pos="100000">
              <a:schemeClr val="dk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0" kern="1200">
              <a:latin typeface="Arial" panose="020B0604020202020204" pitchFamily="34" charset="0"/>
              <a:cs typeface="Arial" panose="020B0604020202020204" pitchFamily="34" charset="0"/>
            </a:rPr>
            <a:t>Georgia Public Service Commission Review and Approval</a:t>
          </a:r>
        </a:p>
      </dsp:txBody>
      <dsp:txXfrm>
        <a:off x="1259771" y="680889"/>
        <a:ext cx="1132915" cy="537386"/>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Soco Colors">
      <a:dk1>
        <a:srgbClr val="000000"/>
      </a:dk1>
      <a:lt1>
        <a:sysClr val="window" lastClr="FFFFFF"/>
      </a:lt1>
      <a:dk2>
        <a:srgbClr val="003A5D"/>
      </a:dk2>
      <a:lt2>
        <a:srgbClr val="E8E8E8"/>
      </a:lt2>
      <a:accent1>
        <a:srgbClr val="007DB9"/>
      </a:accent1>
      <a:accent2>
        <a:srgbClr val="00BCF1"/>
      </a:accent2>
      <a:accent3>
        <a:srgbClr val="B2D235"/>
      </a:accent3>
      <a:accent4>
        <a:srgbClr val="EC1C24"/>
      </a:accent4>
      <a:accent5>
        <a:srgbClr val="626262"/>
      </a:accent5>
      <a:accent6>
        <a:srgbClr val="FFFFF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02ffb985-b589-46d0-b545-c34e5796383b">
      <UserInfo>
        <DisplayName>Markey, Richard Mike</DisplayName>
        <AccountId>17</AccountId>
        <AccountType/>
      </UserInfo>
      <UserInfo>
        <DisplayName>Andrews, Joshua L.</DisplayName>
        <AccountId>35</AccountId>
        <AccountType/>
      </UserInfo>
      <UserInfo>
        <DisplayName>Mitchell, Aaron D.</DisplayName>
        <AccountId>43</AccountId>
        <AccountType/>
      </UserInfo>
      <UserInfo>
        <DisplayName>Mitchell, Robert W. (Brett)</DisplayName>
        <AccountId>33</AccountId>
        <AccountType/>
      </UserInfo>
      <UserInfo>
        <DisplayName>Mero, Kayla Louise</DisplayName>
        <AccountId>31</AccountId>
        <AccountType/>
      </UserInfo>
      <UserInfo>
        <DisplayName>Goff, Carley</DisplayName>
        <AccountId>39</AccountId>
        <AccountType/>
      </UserInfo>
      <UserInfo>
        <DisplayName>Boyles, Tyler Jason</DisplayName>
        <AccountId>18</AccountId>
        <AccountType/>
      </UserInfo>
      <UserInfo>
        <DisplayName>Miller, Leslie</DisplayName>
        <AccountId>28</AccountId>
        <AccountType/>
      </UserInfo>
      <UserInfo>
        <DisplayName>Chi, T. Rosa</DisplayName>
        <AccountId>15</AccountId>
        <AccountType/>
      </UserInfo>
      <UserInfo>
        <DisplayName>Greiner, Rachel</DisplayName>
        <AccountId>88</AccountId>
        <AccountType/>
      </UserInfo>
      <UserInfo>
        <DisplayName>Hendricks, Scott</DisplayName>
        <AccountId>36</AccountId>
        <AccountType/>
      </UserInfo>
      <UserInfo>
        <DisplayName>Weatherill, Dominic J.</DisplayName>
        <AccountId>23</AccountId>
        <AccountType/>
      </UserInfo>
      <UserInfo>
        <DisplayName>Goddard, Queenella Joanna</DisplayName>
        <AccountId>25</AccountId>
        <AccountType/>
      </UserInfo>
      <UserInfo>
        <DisplayName>Wetherington, J. Burns</DisplayName>
        <AccountId>87</AccountId>
        <AccountType/>
      </UserInfo>
      <UserInfo>
        <DisplayName>VanderSchaaf, Courtney M.</DisplayName>
        <AccountId>97</AccountId>
        <AccountType/>
      </UserInfo>
      <UserInfo>
        <DisplayName>Flowers, Riley C.</DisplayName>
        <AccountId>64</AccountId>
        <AccountType/>
      </UserInfo>
      <UserInfo>
        <DisplayName>Wilson, Jeff</DisplayName>
        <AccountId>61</AccountId>
        <AccountType/>
      </UserInfo>
      <UserInfo>
        <DisplayName>Crossley, Patrick Warren</DisplayName>
        <AccountId>137</AccountId>
        <AccountType/>
      </UserInfo>
      <UserInfo>
        <DisplayName>Harris, Melissa M</DisplayName>
        <AccountId>53</AccountId>
        <AccountType/>
      </UserInfo>
      <UserInfo>
        <DisplayName>Balkcom, Kelley McCloskey</DisplayName>
        <AccountId>273</AccountId>
        <AccountType/>
      </UserInfo>
      <UserInfo>
        <DisplayName>Vinson, Marc</DisplayName>
        <AccountId>332</AccountId>
        <AccountType/>
      </UserInfo>
      <UserInfo>
        <DisplayName>McGill, Erica</DisplayName>
        <AccountId>197</AccountId>
        <AccountType/>
      </UserInfo>
      <UserInfo>
        <DisplayName>Marzo, Brandon F.</DisplayName>
        <AccountId>80</AccountId>
        <AccountType/>
      </UserInfo>
      <UserInfo>
        <DisplayName>Jablonski, Melanie</DisplayName>
        <AccountId>29</AccountId>
        <AccountType/>
      </UserInfo>
      <UserInfo>
        <DisplayName>Grubb, Jeffrey R.</DisplayName>
        <AccountId>304</AccountId>
        <AccountType/>
      </UserInfo>
      <UserInfo>
        <DisplayName>Puhnaty, Michael Thomas</DisplayName>
        <AccountId>132</AccountId>
        <AccountType/>
      </UserInfo>
      <UserInfo>
        <DisplayName>Hawkins, George Jacob</DisplayName>
        <AccountId>297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A4B5CB417AEA47908DA5DD0D74F12F" ma:contentTypeVersion="12" ma:contentTypeDescription="Create a new document." ma:contentTypeScope="" ma:versionID="e52aa2fb142ced1ddd6afeeea8ba4b40">
  <xsd:schema xmlns:xsd="http://www.w3.org/2001/XMLSchema" xmlns:xs="http://www.w3.org/2001/XMLSchema" xmlns:p="http://schemas.microsoft.com/office/2006/metadata/properties" xmlns:ns2="dbb1c14e-6f88-4f08-b9be-6d5ea660186d" xmlns:ns3="02ffb985-b589-46d0-b545-c34e5796383b" targetNamespace="http://schemas.microsoft.com/office/2006/metadata/properties" ma:root="true" ma:fieldsID="f6272c853775e08e06534f605e567c36" ns2:_="" ns3:_="">
    <xsd:import namespace="dbb1c14e-6f88-4f08-b9be-6d5ea660186d"/>
    <xsd:import namespace="02ffb985-b589-46d0-b545-c34e5796383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b1c14e-6f88-4f08-b9be-6d5ea66018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ffb985-b589-46d0-b545-c34e5796383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C8639-520A-4FB6-9346-BFA7371F2E7C}">
  <ds:schemaRefs>
    <ds:schemaRef ds:uri="http://schemas.microsoft.com/sharepoint/v3/contenttype/forms"/>
  </ds:schemaRefs>
</ds:datastoreItem>
</file>

<file path=customXml/itemProps2.xml><?xml version="1.0" encoding="utf-8"?>
<ds:datastoreItem xmlns:ds="http://schemas.openxmlformats.org/officeDocument/2006/customXml" ds:itemID="{F03998F0-FE6B-4F89-B209-6BF18726BE96}">
  <ds:schemaRefs>
    <ds:schemaRef ds:uri="http://schemas.openxmlformats.org/officeDocument/2006/bibliography"/>
  </ds:schemaRefs>
</ds:datastoreItem>
</file>

<file path=customXml/itemProps3.xml><?xml version="1.0" encoding="utf-8"?>
<ds:datastoreItem xmlns:ds="http://schemas.openxmlformats.org/officeDocument/2006/customXml" ds:itemID="{6D9E0965-4CF0-499D-B592-C48C63E4CA8B}">
  <ds:schemaRefs>
    <ds:schemaRef ds:uri="http://purl.org/dc/dcmitype/"/>
    <ds:schemaRef ds:uri="http://schemas.microsoft.com/office/2006/documentManagement/types"/>
    <ds:schemaRef ds:uri="http://www.w3.org/XML/1998/namespace"/>
    <ds:schemaRef ds:uri="http://purl.org/dc/terms/"/>
    <ds:schemaRef ds:uri="http://schemas.microsoft.com/office/2006/metadata/properties"/>
    <ds:schemaRef ds:uri="http://schemas.openxmlformats.org/package/2006/metadata/core-properties"/>
    <ds:schemaRef ds:uri="dbb1c14e-6f88-4f08-b9be-6d5ea660186d"/>
    <ds:schemaRef ds:uri="http://purl.org/dc/elements/1.1/"/>
    <ds:schemaRef ds:uri="http://schemas.microsoft.com/office/infopath/2007/PartnerControls"/>
    <ds:schemaRef ds:uri="02ffb985-b589-46d0-b545-c34e5796383b"/>
  </ds:schemaRefs>
</ds:datastoreItem>
</file>

<file path=customXml/itemProps4.xml><?xml version="1.0" encoding="utf-8"?>
<ds:datastoreItem xmlns:ds="http://schemas.openxmlformats.org/officeDocument/2006/customXml" ds:itemID="{2949CBD8-2782-46CD-8FBB-E3BF132E7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b1c14e-6f88-4f08-b9be-6d5ea660186d"/>
    <ds:schemaRef ds:uri="02ffb985-b589-46d0-b545-c34e579638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11</Pages>
  <Words>41005</Words>
  <Characters>233731</Characters>
  <Application>Microsoft Office Word</Application>
  <DocSecurity>0</DocSecurity>
  <Lines>1947</Lines>
  <Paragraphs>548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274188</CharactersWithSpaces>
  <SharedDoc>false</SharedDoc>
  <HLinks>
    <vt:vector size="552" baseType="variant">
      <vt:variant>
        <vt:i4>3604578</vt:i4>
      </vt:variant>
      <vt:variant>
        <vt:i4>483</vt:i4>
      </vt:variant>
      <vt:variant>
        <vt:i4>0</vt:i4>
      </vt:variant>
      <vt:variant>
        <vt:i4>5</vt:i4>
      </vt:variant>
      <vt:variant>
        <vt:lpwstr>\\southernco.com\shared data\Workgroups\GPC External Affairs\Environmental Affairs\PSC\2020 ECS\2019 ECS\FINAL GPC ECS 2019_TS.docx</vt:lpwstr>
      </vt:variant>
      <vt:variant>
        <vt:lpwstr>_Toc535908095</vt:lpwstr>
      </vt:variant>
      <vt:variant>
        <vt:i4>3604578</vt:i4>
      </vt:variant>
      <vt:variant>
        <vt:i4>480</vt:i4>
      </vt:variant>
      <vt:variant>
        <vt:i4>0</vt:i4>
      </vt:variant>
      <vt:variant>
        <vt:i4>5</vt:i4>
      </vt:variant>
      <vt:variant>
        <vt:lpwstr>\\southernco.com\shared data\Workgroups\GPC External Affairs\Environmental Affairs\PSC\2020 ECS\2019 ECS\FINAL GPC ECS 2019_TS.docx</vt:lpwstr>
      </vt:variant>
      <vt:variant>
        <vt:lpwstr>_Toc535908094</vt:lpwstr>
      </vt:variant>
      <vt:variant>
        <vt:i4>3604578</vt:i4>
      </vt:variant>
      <vt:variant>
        <vt:i4>477</vt:i4>
      </vt:variant>
      <vt:variant>
        <vt:i4>0</vt:i4>
      </vt:variant>
      <vt:variant>
        <vt:i4>5</vt:i4>
      </vt:variant>
      <vt:variant>
        <vt:lpwstr>\\southernco.com\shared data\Workgroups\GPC External Affairs\Environmental Affairs\PSC\2020 ECS\2019 ECS\FINAL GPC ECS 2019_TS.docx</vt:lpwstr>
      </vt:variant>
      <vt:variant>
        <vt:lpwstr>_Toc535908093</vt:lpwstr>
      </vt:variant>
      <vt:variant>
        <vt:i4>3604578</vt:i4>
      </vt:variant>
      <vt:variant>
        <vt:i4>474</vt:i4>
      </vt:variant>
      <vt:variant>
        <vt:i4>0</vt:i4>
      </vt:variant>
      <vt:variant>
        <vt:i4>5</vt:i4>
      </vt:variant>
      <vt:variant>
        <vt:lpwstr>\\southernco.com\shared data\Workgroups\GPC External Affairs\Environmental Affairs\PSC\2020 ECS\2019 ECS\FINAL GPC ECS 2019_TS.docx</vt:lpwstr>
      </vt:variant>
      <vt:variant>
        <vt:lpwstr>_Toc535908092</vt:lpwstr>
      </vt:variant>
      <vt:variant>
        <vt:i4>4784214</vt:i4>
      </vt:variant>
      <vt:variant>
        <vt:i4>471</vt:i4>
      </vt:variant>
      <vt:variant>
        <vt:i4>0</vt:i4>
      </vt:variant>
      <vt:variant>
        <vt:i4>5</vt:i4>
      </vt:variant>
      <vt:variant>
        <vt:lpwstr>https://www.govinfo.gov/content/pkg/FR-2020-01-10/pdf/2019-28106.pdf</vt:lpwstr>
      </vt:variant>
      <vt:variant>
        <vt:lpwstr/>
      </vt:variant>
      <vt:variant>
        <vt:i4>6881286</vt:i4>
      </vt:variant>
      <vt:variant>
        <vt:i4>468</vt:i4>
      </vt:variant>
      <vt:variant>
        <vt:i4>0</vt:i4>
      </vt:variant>
      <vt:variant>
        <vt:i4>5</vt:i4>
      </vt:variant>
      <vt:variant>
        <vt:lpwstr>https://www.law.cornell.edu/definitions/index.php?width=840&amp;height=800&amp;iframe=true&amp;def_id=8f6ff59ba7d7d4f113abde417932a75d&amp;term_occur=999&amp;term_src=Title:40:Chapter:I:Subchapter:I:Part:257:Subpart:D:257.50</vt:lpwstr>
      </vt:variant>
      <vt:variant>
        <vt:lpwstr/>
      </vt:variant>
      <vt:variant>
        <vt:i4>6946822</vt:i4>
      </vt:variant>
      <vt:variant>
        <vt:i4>465</vt:i4>
      </vt:variant>
      <vt:variant>
        <vt:i4>0</vt:i4>
      </vt:variant>
      <vt:variant>
        <vt:i4>5</vt:i4>
      </vt:variant>
      <vt:variant>
        <vt:lpwstr>https://www.law.cornell.edu/definitions/index.php?width=840&amp;height=800&amp;iframe=true&amp;def_id=99d92e19d7095c04b0b07406de9fe169&amp;term_occur=999&amp;term_src=Title:40:Chapter:I:Subchapter:I:Part:257:Subpart:D:257.50</vt:lpwstr>
      </vt:variant>
      <vt:variant>
        <vt:lpwstr/>
      </vt:variant>
      <vt:variant>
        <vt:i4>6750296</vt:i4>
      </vt:variant>
      <vt:variant>
        <vt:i4>462</vt:i4>
      </vt:variant>
      <vt:variant>
        <vt:i4>0</vt:i4>
      </vt:variant>
      <vt:variant>
        <vt:i4>5</vt:i4>
      </vt:variant>
      <vt:variant>
        <vt:lpwstr>https://www.law.cornell.edu/definitions/index.php?width=840&amp;height=800&amp;iframe=true&amp;def_id=940b6171dfa7e67ce4b261570a605301&amp;term_occur=999&amp;term_src=Title:40:Chapter:I:Subchapter:I:Part:257:Subpart:D:257.50</vt:lpwstr>
      </vt:variant>
      <vt:variant>
        <vt:lpwstr/>
      </vt:variant>
      <vt:variant>
        <vt:i4>6750292</vt:i4>
      </vt:variant>
      <vt:variant>
        <vt:i4>459</vt:i4>
      </vt:variant>
      <vt:variant>
        <vt:i4>0</vt:i4>
      </vt:variant>
      <vt:variant>
        <vt:i4>5</vt:i4>
      </vt:variant>
      <vt:variant>
        <vt:lpwstr>https://www.law.cornell.edu/definitions/index.php?width=840&amp;height=800&amp;iframe=true&amp;def_id=f295611510485bcbca5110967ea6d639&amp;term_occur=999&amp;term_src=Title:40:Chapter:I:Subchapter:I:Part:257:Subpart:D:257.50</vt:lpwstr>
      </vt:variant>
      <vt:variant>
        <vt:lpwstr/>
      </vt:variant>
      <vt:variant>
        <vt:i4>6881286</vt:i4>
      </vt:variant>
      <vt:variant>
        <vt:i4>456</vt:i4>
      </vt:variant>
      <vt:variant>
        <vt:i4>0</vt:i4>
      </vt:variant>
      <vt:variant>
        <vt:i4>5</vt:i4>
      </vt:variant>
      <vt:variant>
        <vt:lpwstr>https://www.law.cornell.edu/definitions/index.php?width=840&amp;height=800&amp;iframe=true&amp;def_id=8f6ff59ba7d7d4f113abde417932a75d&amp;term_occur=999&amp;term_src=Title:40:Chapter:I:Subchapter:I:Part:257:Subpart:D:257.50</vt:lpwstr>
      </vt:variant>
      <vt:variant>
        <vt:lpwstr/>
      </vt:variant>
      <vt:variant>
        <vt:i4>6750300</vt:i4>
      </vt:variant>
      <vt:variant>
        <vt:i4>453</vt:i4>
      </vt:variant>
      <vt:variant>
        <vt:i4>0</vt:i4>
      </vt:variant>
      <vt:variant>
        <vt:i4>5</vt:i4>
      </vt:variant>
      <vt:variant>
        <vt:lpwstr>https://www.law.cornell.edu/definitions/index.php?width=840&amp;height=800&amp;iframe=true&amp;def_id=dbfa59f3dd8835f8daaabbd342567814&amp;term_occur=999&amp;term_src=Title:40:Chapter:I:Subchapter:I:Part:257:Subpart:D:257.50</vt:lpwstr>
      </vt:variant>
      <vt:variant>
        <vt:lpwstr/>
      </vt:variant>
      <vt:variant>
        <vt:i4>6881293</vt:i4>
      </vt:variant>
      <vt:variant>
        <vt:i4>450</vt:i4>
      </vt:variant>
      <vt:variant>
        <vt:i4>0</vt:i4>
      </vt:variant>
      <vt:variant>
        <vt:i4>5</vt:i4>
      </vt:variant>
      <vt:variant>
        <vt:lpwstr>https://www.law.cornell.edu/definitions/index.php?width=840&amp;height=800&amp;iframe=true&amp;def_id=1428c54d11433edc9d319145e39613a1&amp;term_occur=999&amp;term_src=Title:40:Chapter:I:Subchapter:I:Part:257:Subpart:D:257.50</vt:lpwstr>
      </vt:variant>
      <vt:variant>
        <vt:lpwstr/>
      </vt:variant>
      <vt:variant>
        <vt:i4>6881286</vt:i4>
      </vt:variant>
      <vt:variant>
        <vt:i4>447</vt:i4>
      </vt:variant>
      <vt:variant>
        <vt:i4>0</vt:i4>
      </vt:variant>
      <vt:variant>
        <vt:i4>5</vt:i4>
      </vt:variant>
      <vt:variant>
        <vt:lpwstr>https://www.law.cornell.edu/definitions/index.php?width=840&amp;height=800&amp;iframe=true&amp;def_id=8f6ff59ba7d7d4f113abde417932a75d&amp;term_occur=999&amp;term_src=Title:40:Chapter:I:Subchapter:I:Part:257:Subpart:D:257.50</vt:lpwstr>
      </vt:variant>
      <vt:variant>
        <vt:lpwstr/>
      </vt:variant>
      <vt:variant>
        <vt:i4>3866628</vt:i4>
      </vt:variant>
      <vt:variant>
        <vt:i4>444</vt:i4>
      </vt:variant>
      <vt:variant>
        <vt:i4>0</vt:i4>
      </vt:variant>
      <vt:variant>
        <vt:i4>5</vt:i4>
      </vt:variant>
      <vt:variant>
        <vt:lpwstr>https://www.law.cornell.edu/definitions/index.php?width=840&amp;height=800&amp;iframe=true&amp;def_id=48484866a5e2b643f4b5d433f1d3732f&amp;term_occur=999&amp;term_src=Title:40:Chapter:I:Subchapter:I:Part:257:Subpart:D:257.50</vt:lpwstr>
      </vt:variant>
      <vt:variant>
        <vt:lpwstr/>
      </vt:variant>
      <vt:variant>
        <vt:i4>3276803</vt:i4>
      </vt:variant>
      <vt:variant>
        <vt:i4>441</vt:i4>
      </vt:variant>
      <vt:variant>
        <vt:i4>0</vt:i4>
      </vt:variant>
      <vt:variant>
        <vt:i4>5</vt:i4>
      </vt:variant>
      <vt:variant>
        <vt:lpwstr>https://nam10.safelinks.protection.outlook.com/?url=https%3A%2F%2Fwww.federalregister.gov%2Fdocuments%2F2021%2F12%2F27%2F2021-27441%2Freissuance-and-modification-of-nationwide-permits%3Futm_source%3Dfederalregister.gov%26utm_medium%3Demail%26utm_campaign%3Dsubscription%2Bmailing%2Blist&amp;data=04%7C01%7Ccvander%40SOUTHERNCO.COM%7Cf6198cd4841d45d178f508d9daa70b61%7Cc0a02e2d1186410a88950a4a252ebf17%7C0%7C0%7C637781233244306221%7CUnknown%7CTWFpbGZsb3d8eyJWIjoiMC4wLjAwMDAiLCJQIjoiV2luMzIiLCJBTiI6Ik1haWwiLCJXVCI6Mn0%3D%7C3000&amp;sdata=N0uIlS7fvSCSHrpwCUWtHXuUoxqyg%2BuurV6xA3fwKaA%3D&amp;reserved=0</vt:lpwstr>
      </vt:variant>
      <vt:variant>
        <vt:lpwstr/>
      </vt:variant>
      <vt:variant>
        <vt:i4>3735650</vt:i4>
      </vt:variant>
      <vt:variant>
        <vt:i4>438</vt:i4>
      </vt:variant>
      <vt:variant>
        <vt:i4>0</vt:i4>
      </vt:variant>
      <vt:variant>
        <vt:i4>5</vt:i4>
      </vt:variant>
      <vt:variant>
        <vt:lpwstr>\\southernco.com\shared data\Workgroups\GPC External Affairs\Environmental Affairs\PSC\2020 ECS\2019 ECS\FINAL GPC ECS 2019_TS.docx</vt:lpwstr>
      </vt:variant>
      <vt:variant>
        <vt:lpwstr>_Toc535908078</vt:lpwstr>
      </vt:variant>
      <vt:variant>
        <vt:i4>3735650</vt:i4>
      </vt:variant>
      <vt:variant>
        <vt:i4>435</vt:i4>
      </vt:variant>
      <vt:variant>
        <vt:i4>0</vt:i4>
      </vt:variant>
      <vt:variant>
        <vt:i4>5</vt:i4>
      </vt:variant>
      <vt:variant>
        <vt:lpwstr>\\southernco.com\shared data\Workgroups\GPC External Affairs\Environmental Affairs\PSC\2020 ECS\2019 ECS\FINAL GPC ECS 2019_TS.docx</vt:lpwstr>
      </vt:variant>
      <vt:variant>
        <vt:lpwstr>_Toc535908077</vt:lpwstr>
      </vt:variant>
      <vt:variant>
        <vt:i4>3735650</vt:i4>
      </vt:variant>
      <vt:variant>
        <vt:i4>432</vt:i4>
      </vt:variant>
      <vt:variant>
        <vt:i4>0</vt:i4>
      </vt:variant>
      <vt:variant>
        <vt:i4>5</vt:i4>
      </vt:variant>
      <vt:variant>
        <vt:lpwstr>\\southernco.com\shared data\Workgroups\GPC External Affairs\Environmental Affairs\PSC\2020 ECS\2019 ECS\FINAL GPC ECS 2019_TS.docx</vt:lpwstr>
      </vt:variant>
      <vt:variant>
        <vt:lpwstr>_Toc535908076</vt:lpwstr>
      </vt:variant>
      <vt:variant>
        <vt:i4>3735650</vt:i4>
      </vt:variant>
      <vt:variant>
        <vt:i4>429</vt:i4>
      </vt:variant>
      <vt:variant>
        <vt:i4>0</vt:i4>
      </vt:variant>
      <vt:variant>
        <vt:i4>5</vt:i4>
      </vt:variant>
      <vt:variant>
        <vt:lpwstr>\\southernco.com\shared data\Workgroups\GPC External Affairs\Environmental Affairs\PSC\2020 ECS\2019 ECS\FINAL GPC ECS 2019_TS.docx</vt:lpwstr>
      </vt:variant>
      <vt:variant>
        <vt:lpwstr>_Toc535908075</vt:lpwstr>
      </vt:variant>
      <vt:variant>
        <vt:i4>3735650</vt:i4>
      </vt:variant>
      <vt:variant>
        <vt:i4>426</vt:i4>
      </vt:variant>
      <vt:variant>
        <vt:i4>0</vt:i4>
      </vt:variant>
      <vt:variant>
        <vt:i4>5</vt:i4>
      </vt:variant>
      <vt:variant>
        <vt:lpwstr>\\southernco.com\shared data\Workgroups\GPC External Affairs\Environmental Affairs\PSC\2020 ECS\2019 ECS\FINAL GPC ECS 2019_TS.docx</vt:lpwstr>
      </vt:variant>
      <vt:variant>
        <vt:lpwstr>_Toc535908073</vt:lpwstr>
      </vt:variant>
      <vt:variant>
        <vt:i4>3735650</vt:i4>
      </vt:variant>
      <vt:variant>
        <vt:i4>423</vt:i4>
      </vt:variant>
      <vt:variant>
        <vt:i4>0</vt:i4>
      </vt:variant>
      <vt:variant>
        <vt:i4>5</vt:i4>
      </vt:variant>
      <vt:variant>
        <vt:lpwstr>\\southernco.com\shared data\Workgroups\GPC External Affairs\Environmental Affairs\PSC\2020 ECS\2019 ECS\FINAL GPC ECS 2019_TS.docx</vt:lpwstr>
      </vt:variant>
      <vt:variant>
        <vt:lpwstr>_Toc535908073</vt:lpwstr>
      </vt:variant>
      <vt:variant>
        <vt:i4>3670114</vt:i4>
      </vt:variant>
      <vt:variant>
        <vt:i4>420</vt:i4>
      </vt:variant>
      <vt:variant>
        <vt:i4>0</vt:i4>
      </vt:variant>
      <vt:variant>
        <vt:i4>5</vt:i4>
      </vt:variant>
      <vt:variant>
        <vt:lpwstr>\\southernco.com\shared data\Workgroups\GPC External Affairs\Environmental Affairs\PSC\2020 ECS\2019 ECS\FINAL GPC ECS 2019_TS.docx</vt:lpwstr>
      </vt:variant>
      <vt:variant>
        <vt:lpwstr>_Toc535908069</vt:lpwstr>
      </vt:variant>
      <vt:variant>
        <vt:i4>3670114</vt:i4>
      </vt:variant>
      <vt:variant>
        <vt:i4>417</vt:i4>
      </vt:variant>
      <vt:variant>
        <vt:i4>0</vt:i4>
      </vt:variant>
      <vt:variant>
        <vt:i4>5</vt:i4>
      </vt:variant>
      <vt:variant>
        <vt:lpwstr>\\southernco.com\shared data\Workgroups\GPC External Affairs\Environmental Affairs\PSC\2020 ECS\2019 ECS\FINAL GPC ECS 2019_TS.docx</vt:lpwstr>
      </vt:variant>
      <vt:variant>
        <vt:lpwstr>_Toc535908068</vt:lpwstr>
      </vt:variant>
      <vt:variant>
        <vt:i4>3735650</vt:i4>
      </vt:variant>
      <vt:variant>
        <vt:i4>414</vt:i4>
      </vt:variant>
      <vt:variant>
        <vt:i4>0</vt:i4>
      </vt:variant>
      <vt:variant>
        <vt:i4>5</vt:i4>
      </vt:variant>
      <vt:variant>
        <vt:lpwstr>\\southernco.com\shared data\Workgroups\GPC External Affairs\Environmental Affairs\PSC\2020 ECS\2019 ECS\FINAL GPC ECS 2019_TS.docx</vt:lpwstr>
      </vt:variant>
      <vt:variant>
        <vt:lpwstr>_Toc535908079</vt:lpwstr>
      </vt:variant>
      <vt:variant>
        <vt:i4>1507389</vt:i4>
      </vt:variant>
      <vt:variant>
        <vt:i4>404</vt:i4>
      </vt:variant>
      <vt:variant>
        <vt:i4>0</vt:i4>
      </vt:variant>
      <vt:variant>
        <vt:i4>5</vt:i4>
      </vt:variant>
      <vt:variant>
        <vt:lpwstr/>
      </vt:variant>
      <vt:variant>
        <vt:lpwstr>_Toc94197924</vt:lpwstr>
      </vt:variant>
      <vt:variant>
        <vt:i4>1048637</vt:i4>
      </vt:variant>
      <vt:variant>
        <vt:i4>398</vt:i4>
      </vt:variant>
      <vt:variant>
        <vt:i4>0</vt:i4>
      </vt:variant>
      <vt:variant>
        <vt:i4>5</vt:i4>
      </vt:variant>
      <vt:variant>
        <vt:lpwstr/>
      </vt:variant>
      <vt:variant>
        <vt:lpwstr>_Toc94197923</vt:lpwstr>
      </vt:variant>
      <vt:variant>
        <vt:i4>1114173</vt:i4>
      </vt:variant>
      <vt:variant>
        <vt:i4>392</vt:i4>
      </vt:variant>
      <vt:variant>
        <vt:i4>0</vt:i4>
      </vt:variant>
      <vt:variant>
        <vt:i4>5</vt:i4>
      </vt:variant>
      <vt:variant>
        <vt:lpwstr/>
      </vt:variant>
      <vt:variant>
        <vt:lpwstr>_Toc94197922</vt:lpwstr>
      </vt:variant>
      <vt:variant>
        <vt:i4>1179709</vt:i4>
      </vt:variant>
      <vt:variant>
        <vt:i4>386</vt:i4>
      </vt:variant>
      <vt:variant>
        <vt:i4>0</vt:i4>
      </vt:variant>
      <vt:variant>
        <vt:i4>5</vt:i4>
      </vt:variant>
      <vt:variant>
        <vt:lpwstr/>
      </vt:variant>
      <vt:variant>
        <vt:lpwstr>_Toc94197921</vt:lpwstr>
      </vt:variant>
      <vt:variant>
        <vt:i4>1245245</vt:i4>
      </vt:variant>
      <vt:variant>
        <vt:i4>380</vt:i4>
      </vt:variant>
      <vt:variant>
        <vt:i4>0</vt:i4>
      </vt:variant>
      <vt:variant>
        <vt:i4>5</vt:i4>
      </vt:variant>
      <vt:variant>
        <vt:lpwstr/>
      </vt:variant>
      <vt:variant>
        <vt:lpwstr>_Toc94197920</vt:lpwstr>
      </vt:variant>
      <vt:variant>
        <vt:i4>1703998</vt:i4>
      </vt:variant>
      <vt:variant>
        <vt:i4>374</vt:i4>
      </vt:variant>
      <vt:variant>
        <vt:i4>0</vt:i4>
      </vt:variant>
      <vt:variant>
        <vt:i4>5</vt:i4>
      </vt:variant>
      <vt:variant>
        <vt:lpwstr/>
      </vt:variant>
      <vt:variant>
        <vt:lpwstr>_Toc94197919</vt:lpwstr>
      </vt:variant>
      <vt:variant>
        <vt:i4>1769534</vt:i4>
      </vt:variant>
      <vt:variant>
        <vt:i4>368</vt:i4>
      </vt:variant>
      <vt:variant>
        <vt:i4>0</vt:i4>
      </vt:variant>
      <vt:variant>
        <vt:i4>5</vt:i4>
      </vt:variant>
      <vt:variant>
        <vt:lpwstr/>
      </vt:variant>
      <vt:variant>
        <vt:lpwstr>_Toc94197918</vt:lpwstr>
      </vt:variant>
      <vt:variant>
        <vt:i4>1310782</vt:i4>
      </vt:variant>
      <vt:variant>
        <vt:i4>362</vt:i4>
      </vt:variant>
      <vt:variant>
        <vt:i4>0</vt:i4>
      </vt:variant>
      <vt:variant>
        <vt:i4>5</vt:i4>
      </vt:variant>
      <vt:variant>
        <vt:lpwstr/>
      </vt:variant>
      <vt:variant>
        <vt:lpwstr>_Toc94197917</vt:lpwstr>
      </vt:variant>
      <vt:variant>
        <vt:i4>1376318</vt:i4>
      </vt:variant>
      <vt:variant>
        <vt:i4>356</vt:i4>
      </vt:variant>
      <vt:variant>
        <vt:i4>0</vt:i4>
      </vt:variant>
      <vt:variant>
        <vt:i4>5</vt:i4>
      </vt:variant>
      <vt:variant>
        <vt:lpwstr/>
      </vt:variant>
      <vt:variant>
        <vt:lpwstr>_Toc94197916</vt:lpwstr>
      </vt:variant>
      <vt:variant>
        <vt:i4>1441854</vt:i4>
      </vt:variant>
      <vt:variant>
        <vt:i4>350</vt:i4>
      </vt:variant>
      <vt:variant>
        <vt:i4>0</vt:i4>
      </vt:variant>
      <vt:variant>
        <vt:i4>5</vt:i4>
      </vt:variant>
      <vt:variant>
        <vt:lpwstr/>
      </vt:variant>
      <vt:variant>
        <vt:lpwstr>_Toc94197915</vt:lpwstr>
      </vt:variant>
      <vt:variant>
        <vt:i4>1507390</vt:i4>
      </vt:variant>
      <vt:variant>
        <vt:i4>344</vt:i4>
      </vt:variant>
      <vt:variant>
        <vt:i4>0</vt:i4>
      </vt:variant>
      <vt:variant>
        <vt:i4>5</vt:i4>
      </vt:variant>
      <vt:variant>
        <vt:lpwstr/>
      </vt:variant>
      <vt:variant>
        <vt:lpwstr>_Toc94197914</vt:lpwstr>
      </vt:variant>
      <vt:variant>
        <vt:i4>1048638</vt:i4>
      </vt:variant>
      <vt:variant>
        <vt:i4>338</vt:i4>
      </vt:variant>
      <vt:variant>
        <vt:i4>0</vt:i4>
      </vt:variant>
      <vt:variant>
        <vt:i4>5</vt:i4>
      </vt:variant>
      <vt:variant>
        <vt:lpwstr/>
      </vt:variant>
      <vt:variant>
        <vt:lpwstr>_Toc94197913</vt:lpwstr>
      </vt:variant>
      <vt:variant>
        <vt:i4>1114174</vt:i4>
      </vt:variant>
      <vt:variant>
        <vt:i4>332</vt:i4>
      </vt:variant>
      <vt:variant>
        <vt:i4>0</vt:i4>
      </vt:variant>
      <vt:variant>
        <vt:i4>5</vt:i4>
      </vt:variant>
      <vt:variant>
        <vt:lpwstr/>
      </vt:variant>
      <vt:variant>
        <vt:lpwstr>_Toc94197912</vt:lpwstr>
      </vt:variant>
      <vt:variant>
        <vt:i4>1179710</vt:i4>
      </vt:variant>
      <vt:variant>
        <vt:i4>326</vt:i4>
      </vt:variant>
      <vt:variant>
        <vt:i4>0</vt:i4>
      </vt:variant>
      <vt:variant>
        <vt:i4>5</vt:i4>
      </vt:variant>
      <vt:variant>
        <vt:lpwstr/>
      </vt:variant>
      <vt:variant>
        <vt:lpwstr>_Toc94197911</vt:lpwstr>
      </vt:variant>
      <vt:variant>
        <vt:i4>1245246</vt:i4>
      </vt:variant>
      <vt:variant>
        <vt:i4>320</vt:i4>
      </vt:variant>
      <vt:variant>
        <vt:i4>0</vt:i4>
      </vt:variant>
      <vt:variant>
        <vt:i4>5</vt:i4>
      </vt:variant>
      <vt:variant>
        <vt:lpwstr/>
      </vt:variant>
      <vt:variant>
        <vt:lpwstr>_Toc94197910</vt:lpwstr>
      </vt:variant>
      <vt:variant>
        <vt:i4>1703999</vt:i4>
      </vt:variant>
      <vt:variant>
        <vt:i4>314</vt:i4>
      </vt:variant>
      <vt:variant>
        <vt:i4>0</vt:i4>
      </vt:variant>
      <vt:variant>
        <vt:i4>5</vt:i4>
      </vt:variant>
      <vt:variant>
        <vt:lpwstr/>
      </vt:variant>
      <vt:variant>
        <vt:lpwstr>_Toc94197909</vt:lpwstr>
      </vt:variant>
      <vt:variant>
        <vt:i4>1769535</vt:i4>
      </vt:variant>
      <vt:variant>
        <vt:i4>308</vt:i4>
      </vt:variant>
      <vt:variant>
        <vt:i4>0</vt:i4>
      </vt:variant>
      <vt:variant>
        <vt:i4>5</vt:i4>
      </vt:variant>
      <vt:variant>
        <vt:lpwstr/>
      </vt:variant>
      <vt:variant>
        <vt:lpwstr>_Toc94197908</vt:lpwstr>
      </vt:variant>
      <vt:variant>
        <vt:i4>1310783</vt:i4>
      </vt:variant>
      <vt:variant>
        <vt:i4>302</vt:i4>
      </vt:variant>
      <vt:variant>
        <vt:i4>0</vt:i4>
      </vt:variant>
      <vt:variant>
        <vt:i4>5</vt:i4>
      </vt:variant>
      <vt:variant>
        <vt:lpwstr/>
      </vt:variant>
      <vt:variant>
        <vt:lpwstr>_Toc94197907</vt:lpwstr>
      </vt:variant>
      <vt:variant>
        <vt:i4>1376319</vt:i4>
      </vt:variant>
      <vt:variant>
        <vt:i4>296</vt:i4>
      </vt:variant>
      <vt:variant>
        <vt:i4>0</vt:i4>
      </vt:variant>
      <vt:variant>
        <vt:i4>5</vt:i4>
      </vt:variant>
      <vt:variant>
        <vt:lpwstr/>
      </vt:variant>
      <vt:variant>
        <vt:lpwstr>_Toc94197906</vt:lpwstr>
      </vt:variant>
      <vt:variant>
        <vt:i4>1441855</vt:i4>
      </vt:variant>
      <vt:variant>
        <vt:i4>290</vt:i4>
      </vt:variant>
      <vt:variant>
        <vt:i4>0</vt:i4>
      </vt:variant>
      <vt:variant>
        <vt:i4>5</vt:i4>
      </vt:variant>
      <vt:variant>
        <vt:lpwstr/>
      </vt:variant>
      <vt:variant>
        <vt:lpwstr>_Toc94197905</vt:lpwstr>
      </vt:variant>
      <vt:variant>
        <vt:i4>1507391</vt:i4>
      </vt:variant>
      <vt:variant>
        <vt:i4>284</vt:i4>
      </vt:variant>
      <vt:variant>
        <vt:i4>0</vt:i4>
      </vt:variant>
      <vt:variant>
        <vt:i4>5</vt:i4>
      </vt:variant>
      <vt:variant>
        <vt:lpwstr/>
      </vt:variant>
      <vt:variant>
        <vt:lpwstr>_Toc94197904</vt:lpwstr>
      </vt:variant>
      <vt:variant>
        <vt:i4>1048639</vt:i4>
      </vt:variant>
      <vt:variant>
        <vt:i4>278</vt:i4>
      </vt:variant>
      <vt:variant>
        <vt:i4>0</vt:i4>
      </vt:variant>
      <vt:variant>
        <vt:i4>5</vt:i4>
      </vt:variant>
      <vt:variant>
        <vt:lpwstr/>
      </vt:variant>
      <vt:variant>
        <vt:lpwstr>_Toc94197903</vt:lpwstr>
      </vt:variant>
      <vt:variant>
        <vt:i4>1114175</vt:i4>
      </vt:variant>
      <vt:variant>
        <vt:i4>272</vt:i4>
      </vt:variant>
      <vt:variant>
        <vt:i4>0</vt:i4>
      </vt:variant>
      <vt:variant>
        <vt:i4>5</vt:i4>
      </vt:variant>
      <vt:variant>
        <vt:lpwstr/>
      </vt:variant>
      <vt:variant>
        <vt:lpwstr>_Toc94197902</vt:lpwstr>
      </vt:variant>
      <vt:variant>
        <vt:i4>1179711</vt:i4>
      </vt:variant>
      <vt:variant>
        <vt:i4>266</vt:i4>
      </vt:variant>
      <vt:variant>
        <vt:i4>0</vt:i4>
      </vt:variant>
      <vt:variant>
        <vt:i4>5</vt:i4>
      </vt:variant>
      <vt:variant>
        <vt:lpwstr/>
      </vt:variant>
      <vt:variant>
        <vt:lpwstr>_Toc94197901</vt:lpwstr>
      </vt:variant>
      <vt:variant>
        <vt:i4>1245247</vt:i4>
      </vt:variant>
      <vt:variant>
        <vt:i4>260</vt:i4>
      </vt:variant>
      <vt:variant>
        <vt:i4>0</vt:i4>
      </vt:variant>
      <vt:variant>
        <vt:i4>5</vt:i4>
      </vt:variant>
      <vt:variant>
        <vt:lpwstr/>
      </vt:variant>
      <vt:variant>
        <vt:lpwstr>_Toc94197900</vt:lpwstr>
      </vt:variant>
      <vt:variant>
        <vt:i4>1769526</vt:i4>
      </vt:variant>
      <vt:variant>
        <vt:i4>254</vt:i4>
      </vt:variant>
      <vt:variant>
        <vt:i4>0</vt:i4>
      </vt:variant>
      <vt:variant>
        <vt:i4>5</vt:i4>
      </vt:variant>
      <vt:variant>
        <vt:lpwstr/>
      </vt:variant>
      <vt:variant>
        <vt:lpwstr>_Toc94197899</vt:lpwstr>
      </vt:variant>
      <vt:variant>
        <vt:i4>1703990</vt:i4>
      </vt:variant>
      <vt:variant>
        <vt:i4>248</vt:i4>
      </vt:variant>
      <vt:variant>
        <vt:i4>0</vt:i4>
      </vt:variant>
      <vt:variant>
        <vt:i4>5</vt:i4>
      </vt:variant>
      <vt:variant>
        <vt:lpwstr/>
      </vt:variant>
      <vt:variant>
        <vt:lpwstr>_Toc94197898</vt:lpwstr>
      </vt:variant>
      <vt:variant>
        <vt:i4>1376310</vt:i4>
      </vt:variant>
      <vt:variant>
        <vt:i4>242</vt:i4>
      </vt:variant>
      <vt:variant>
        <vt:i4>0</vt:i4>
      </vt:variant>
      <vt:variant>
        <vt:i4>5</vt:i4>
      </vt:variant>
      <vt:variant>
        <vt:lpwstr/>
      </vt:variant>
      <vt:variant>
        <vt:lpwstr>_Toc94197897</vt:lpwstr>
      </vt:variant>
      <vt:variant>
        <vt:i4>1310774</vt:i4>
      </vt:variant>
      <vt:variant>
        <vt:i4>236</vt:i4>
      </vt:variant>
      <vt:variant>
        <vt:i4>0</vt:i4>
      </vt:variant>
      <vt:variant>
        <vt:i4>5</vt:i4>
      </vt:variant>
      <vt:variant>
        <vt:lpwstr/>
      </vt:variant>
      <vt:variant>
        <vt:lpwstr>_Toc94197896</vt:lpwstr>
      </vt:variant>
      <vt:variant>
        <vt:i4>1507382</vt:i4>
      </vt:variant>
      <vt:variant>
        <vt:i4>230</vt:i4>
      </vt:variant>
      <vt:variant>
        <vt:i4>0</vt:i4>
      </vt:variant>
      <vt:variant>
        <vt:i4>5</vt:i4>
      </vt:variant>
      <vt:variant>
        <vt:lpwstr/>
      </vt:variant>
      <vt:variant>
        <vt:lpwstr>_Toc94197895</vt:lpwstr>
      </vt:variant>
      <vt:variant>
        <vt:i4>1441846</vt:i4>
      </vt:variant>
      <vt:variant>
        <vt:i4>224</vt:i4>
      </vt:variant>
      <vt:variant>
        <vt:i4>0</vt:i4>
      </vt:variant>
      <vt:variant>
        <vt:i4>5</vt:i4>
      </vt:variant>
      <vt:variant>
        <vt:lpwstr/>
      </vt:variant>
      <vt:variant>
        <vt:lpwstr>_Toc94197894</vt:lpwstr>
      </vt:variant>
      <vt:variant>
        <vt:i4>1114166</vt:i4>
      </vt:variant>
      <vt:variant>
        <vt:i4>218</vt:i4>
      </vt:variant>
      <vt:variant>
        <vt:i4>0</vt:i4>
      </vt:variant>
      <vt:variant>
        <vt:i4>5</vt:i4>
      </vt:variant>
      <vt:variant>
        <vt:lpwstr/>
      </vt:variant>
      <vt:variant>
        <vt:lpwstr>_Toc94197893</vt:lpwstr>
      </vt:variant>
      <vt:variant>
        <vt:i4>1048630</vt:i4>
      </vt:variant>
      <vt:variant>
        <vt:i4>212</vt:i4>
      </vt:variant>
      <vt:variant>
        <vt:i4>0</vt:i4>
      </vt:variant>
      <vt:variant>
        <vt:i4>5</vt:i4>
      </vt:variant>
      <vt:variant>
        <vt:lpwstr/>
      </vt:variant>
      <vt:variant>
        <vt:lpwstr>_Toc94197892</vt:lpwstr>
      </vt:variant>
      <vt:variant>
        <vt:i4>1245238</vt:i4>
      </vt:variant>
      <vt:variant>
        <vt:i4>206</vt:i4>
      </vt:variant>
      <vt:variant>
        <vt:i4>0</vt:i4>
      </vt:variant>
      <vt:variant>
        <vt:i4>5</vt:i4>
      </vt:variant>
      <vt:variant>
        <vt:lpwstr/>
      </vt:variant>
      <vt:variant>
        <vt:lpwstr>_Toc94197891</vt:lpwstr>
      </vt:variant>
      <vt:variant>
        <vt:i4>1179702</vt:i4>
      </vt:variant>
      <vt:variant>
        <vt:i4>200</vt:i4>
      </vt:variant>
      <vt:variant>
        <vt:i4>0</vt:i4>
      </vt:variant>
      <vt:variant>
        <vt:i4>5</vt:i4>
      </vt:variant>
      <vt:variant>
        <vt:lpwstr/>
      </vt:variant>
      <vt:variant>
        <vt:lpwstr>_Toc94197890</vt:lpwstr>
      </vt:variant>
      <vt:variant>
        <vt:i4>1769527</vt:i4>
      </vt:variant>
      <vt:variant>
        <vt:i4>194</vt:i4>
      </vt:variant>
      <vt:variant>
        <vt:i4>0</vt:i4>
      </vt:variant>
      <vt:variant>
        <vt:i4>5</vt:i4>
      </vt:variant>
      <vt:variant>
        <vt:lpwstr/>
      </vt:variant>
      <vt:variant>
        <vt:lpwstr>_Toc94197889</vt:lpwstr>
      </vt:variant>
      <vt:variant>
        <vt:i4>1703991</vt:i4>
      </vt:variant>
      <vt:variant>
        <vt:i4>188</vt:i4>
      </vt:variant>
      <vt:variant>
        <vt:i4>0</vt:i4>
      </vt:variant>
      <vt:variant>
        <vt:i4>5</vt:i4>
      </vt:variant>
      <vt:variant>
        <vt:lpwstr/>
      </vt:variant>
      <vt:variant>
        <vt:lpwstr>_Toc94197888</vt:lpwstr>
      </vt:variant>
      <vt:variant>
        <vt:i4>1376311</vt:i4>
      </vt:variant>
      <vt:variant>
        <vt:i4>182</vt:i4>
      </vt:variant>
      <vt:variant>
        <vt:i4>0</vt:i4>
      </vt:variant>
      <vt:variant>
        <vt:i4>5</vt:i4>
      </vt:variant>
      <vt:variant>
        <vt:lpwstr/>
      </vt:variant>
      <vt:variant>
        <vt:lpwstr>_Toc94197887</vt:lpwstr>
      </vt:variant>
      <vt:variant>
        <vt:i4>1310775</vt:i4>
      </vt:variant>
      <vt:variant>
        <vt:i4>176</vt:i4>
      </vt:variant>
      <vt:variant>
        <vt:i4>0</vt:i4>
      </vt:variant>
      <vt:variant>
        <vt:i4>5</vt:i4>
      </vt:variant>
      <vt:variant>
        <vt:lpwstr/>
      </vt:variant>
      <vt:variant>
        <vt:lpwstr>_Toc94197886</vt:lpwstr>
      </vt:variant>
      <vt:variant>
        <vt:i4>1507383</vt:i4>
      </vt:variant>
      <vt:variant>
        <vt:i4>170</vt:i4>
      </vt:variant>
      <vt:variant>
        <vt:i4>0</vt:i4>
      </vt:variant>
      <vt:variant>
        <vt:i4>5</vt:i4>
      </vt:variant>
      <vt:variant>
        <vt:lpwstr/>
      </vt:variant>
      <vt:variant>
        <vt:lpwstr>_Toc94197885</vt:lpwstr>
      </vt:variant>
      <vt:variant>
        <vt:i4>1441847</vt:i4>
      </vt:variant>
      <vt:variant>
        <vt:i4>164</vt:i4>
      </vt:variant>
      <vt:variant>
        <vt:i4>0</vt:i4>
      </vt:variant>
      <vt:variant>
        <vt:i4>5</vt:i4>
      </vt:variant>
      <vt:variant>
        <vt:lpwstr/>
      </vt:variant>
      <vt:variant>
        <vt:lpwstr>_Toc94197884</vt:lpwstr>
      </vt:variant>
      <vt:variant>
        <vt:i4>1114167</vt:i4>
      </vt:variant>
      <vt:variant>
        <vt:i4>158</vt:i4>
      </vt:variant>
      <vt:variant>
        <vt:i4>0</vt:i4>
      </vt:variant>
      <vt:variant>
        <vt:i4>5</vt:i4>
      </vt:variant>
      <vt:variant>
        <vt:lpwstr/>
      </vt:variant>
      <vt:variant>
        <vt:lpwstr>_Toc94197883</vt:lpwstr>
      </vt:variant>
      <vt:variant>
        <vt:i4>1048631</vt:i4>
      </vt:variant>
      <vt:variant>
        <vt:i4>152</vt:i4>
      </vt:variant>
      <vt:variant>
        <vt:i4>0</vt:i4>
      </vt:variant>
      <vt:variant>
        <vt:i4>5</vt:i4>
      </vt:variant>
      <vt:variant>
        <vt:lpwstr/>
      </vt:variant>
      <vt:variant>
        <vt:lpwstr>_Toc94197882</vt:lpwstr>
      </vt:variant>
      <vt:variant>
        <vt:i4>1245239</vt:i4>
      </vt:variant>
      <vt:variant>
        <vt:i4>146</vt:i4>
      </vt:variant>
      <vt:variant>
        <vt:i4>0</vt:i4>
      </vt:variant>
      <vt:variant>
        <vt:i4>5</vt:i4>
      </vt:variant>
      <vt:variant>
        <vt:lpwstr/>
      </vt:variant>
      <vt:variant>
        <vt:lpwstr>_Toc94197881</vt:lpwstr>
      </vt:variant>
      <vt:variant>
        <vt:i4>1179703</vt:i4>
      </vt:variant>
      <vt:variant>
        <vt:i4>140</vt:i4>
      </vt:variant>
      <vt:variant>
        <vt:i4>0</vt:i4>
      </vt:variant>
      <vt:variant>
        <vt:i4>5</vt:i4>
      </vt:variant>
      <vt:variant>
        <vt:lpwstr/>
      </vt:variant>
      <vt:variant>
        <vt:lpwstr>_Toc94197880</vt:lpwstr>
      </vt:variant>
      <vt:variant>
        <vt:i4>1769528</vt:i4>
      </vt:variant>
      <vt:variant>
        <vt:i4>134</vt:i4>
      </vt:variant>
      <vt:variant>
        <vt:i4>0</vt:i4>
      </vt:variant>
      <vt:variant>
        <vt:i4>5</vt:i4>
      </vt:variant>
      <vt:variant>
        <vt:lpwstr/>
      </vt:variant>
      <vt:variant>
        <vt:lpwstr>_Toc94197879</vt:lpwstr>
      </vt:variant>
      <vt:variant>
        <vt:i4>1703992</vt:i4>
      </vt:variant>
      <vt:variant>
        <vt:i4>128</vt:i4>
      </vt:variant>
      <vt:variant>
        <vt:i4>0</vt:i4>
      </vt:variant>
      <vt:variant>
        <vt:i4>5</vt:i4>
      </vt:variant>
      <vt:variant>
        <vt:lpwstr/>
      </vt:variant>
      <vt:variant>
        <vt:lpwstr>_Toc94197878</vt:lpwstr>
      </vt:variant>
      <vt:variant>
        <vt:i4>1376312</vt:i4>
      </vt:variant>
      <vt:variant>
        <vt:i4>122</vt:i4>
      </vt:variant>
      <vt:variant>
        <vt:i4>0</vt:i4>
      </vt:variant>
      <vt:variant>
        <vt:i4>5</vt:i4>
      </vt:variant>
      <vt:variant>
        <vt:lpwstr/>
      </vt:variant>
      <vt:variant>
        <vt:lpwstr>_Toc94197877</vt:lpwstr>
      </vt:variant>
      <vt:variant>
        <vt:i4>1310776</vt:i4>
      </vt:variant>
      <vt:variant>
        <vt:i4>116</vt:i4>
      </vt:variant>
      <vt:variant>
        <vt:i4>0</vt:i4>
      </vt:variant>
      <vt:variant>
        <vt:i4>5</vt:i4>
      </vt:variant>
      <vt:variant>
        <vt:lpwstr/>
      </vt:variant>
      <vt:variant>
        <vt:lpwstr>_Toc94197876</vt:lpwstr>
      </vt:variant>
      <vt:variant>
        <vt:i4>1507384</vt:i4>
      </vt:variant>
      <vt:variant>
        <vt:i4>110</vt:i4>
      </vt:variant>
      <vt:variant>
        <vt:i4>0</vt:i4>
      </vt:variant>
      <vt:variant>
        <vt:i4>5</vt:i4>
      </vt:variant>
      <vt:variant>
        <vt:lpwstr/>
      </vt:variant>
      <vt:variant>
        <vt:lpwstr>_Toc94197875</vt:lpwstr>
      </vt:variant>
      <vt:variant>
        <vt:i4>1441848</vt:i4>
      </vt:variant>
      <vt:variant>
        <vt:i4>104</vt:i4>
      </vt:variant>
      <vt:variant>
        <vt:i4>0</vt:i4>
      </vt:variant>
      <vt:variant>
        <vt:i4>5</vt:i4>
      </vt:variant>
      <vt:variant>
        <vt:lpwstr/>
      </vt:variant>
      <vt:variant>
        <vt:lpwstr>_Toc94197874</vt:lpwstr>
      </vt:variant>
      <vt:variant>
        <vt:i4>1114168</vt:i4>
      </vt:variant>
      <vt:variant>
        <vt:i4>98</vt:i4>
      </vt:variant>
      <vt:variant>
        <vt:i4>0</vt:i4>
      </vt:variant>
      <vt:variant>
        <vt:i4>5</vt:i4>
      </vt:variant>
      <vt:variant>
        <vt:lpwstr/>
      </vt:variant>
      <vt:variant>
        <vt:lpwstr>_Toc94197873</vt:lpwstr>
      </vt:variant>
      <vt:variant>
        <vt:i4>1048632</vt:i4>
      </vt:variant>
      <vt:variant>
        <vt:i4>92</vt:i4>
      </vt:variant>
      <vt:variant>
        <vt:i4>0</vt:i4>
      </vt:variant>
      <vt:variant>
        <vt:i4>5</vt:i4>
      </vt:variant>
      <vt:variant>
        <vt:lpwstr/>
      </vt:variant>
      <vt:variant>
        <vt:lpwstr>_Toc94197872</vt:lpwstr>
      </vt:variant>
      <vt:variant>
        <vt:i4>1245240</vt:i4>
      </vt:variant>
      <vt:variant>
        <vt:i4>86</vt:i4>
      </vt:variant>
      <vt:variant>
        <vt:i4>0</vt:i4>
      </vt:variant>
      <vt:variant>
        <vt:i4>5</vt:i4>
      </vt:variant>
      <vt:variant>
        <vt:lpwstr/>
      </vt:variant>
      <vt:variant>
        <vt:lpwstr>_Toc94197871</vt:lpwstr>
      </vt:variant>
      <vt:variant>
        <vt:i4>1179704</vt:i4>
      </vt:variant>
      <vt:variant>
        <vt:i4>80</vt:i4>
      </vt:variant>
      <vt:variant>
        <vt:i4>0</vt:i4>
      </vt:variant>
      <vt:variant>
        <vt:i4>5</vt:i4>
      </vt:variant>
      <vt:variant>
        <vt:lpwstr/>
      </vt:variant>
      <vt:variant>
        <vt:lpwstr>_Toc94197870</vt:lpwstr>
      </vt:variant>
      <vt:variant>
        <vt:i4>1769529</vt:i4>
      </vt:variant>
      <vt:variant>
        <vt:i4>74</vt:i4>
      </vt:variant>
      <vt:variant>
        <vt:i4>0</vt:i4>
      </vt:variant>
      <vt:variant>
        <vt:i4>5</vt:i4>
      </vt:variant>
      <vt:variant>
        <vt:lpwstr/>
      </vt:variant>
      <vt:variant>
        <vt:lpwstr>_Toc94197869</vt:lpwstr>
      </vt:variant>
      <vt:variant>
        <vt:i4>1703993</vt:i4>
      </vt:variant>
      <vt:variant>
        <vt:i4>68</vt:i4>
      </vt:variant>
      <vt:variant>
        <vt:i4>0</vt:i4>
      </vt:variant>
      <vt:variant>
        <vt:i4>5</vt:i4>
      </vt:variant>
      <vt:variant>
        <vt:lpwstr/>
      </vt:variant>
      <vt:variant>
        <vt:lpwstr>_Toc94197868</vt:lpwstr>
      </vt:variant>
      <vt:variant>
        <vt:i4>1376313</vt:i4>
      </vt:variant>
      <vt:variant>
        <vt:i4>62</vt:i4>
      </vt:variant>
      <vt:variant>
        <vt:i4>0</vt:i4>
      </vt:variant>
      <vt:variant>
        <vt:i4>5</vt:i4>
      </vt:variant>
      <vt:variant>
        <vt:lpwstr/>
      </vt:variant>
      <vt:variant>
        <vt:lpwstr>_Toc94197867</vt:lpwstr>
      </vt:variant>
      <vt:variant>
        <vt:i4>1310777</vt:i4>
      </vt:variant>
      <vt:variant>
        <vt:i4>56</vt:i4>
      </vt:variant>
      <vt:variant>
        <vt:i4>0</vt:i4>
      </vt:variant>
      <vt:variant>
        <vt:i4>5</vt:i4>
      </vt:variant>
      <vt:variant>
        <vt:lpwstr/>
      </vt:variant>
      <vt:variant>
        <vt:lpwstr>_Toc94197866</vt:lpwstr>
      </vt:variant>
      <vt:variant>
        <vt:i4>1507385</vt:i4>
      </vt:variant>
      <vt:variant>
        <vt:i4>50</vt:i4>
      </vt:variant>
      <vt:variant>
        <vt:i4>0</vt:i4>
      </vt:variant>
      <vt:variant>
        <vt:i4>5</vt:i4>
      </vt:variant>
      <vt:variant>
        <vt:lpwstr/>
      </vt:variant>
      <vt:variant>
        <vt:lpwstr>_Toc94197865</vt:lpwstr>
      </vt:variant>
      <vt:variant>
        <vt:i4>1441849</vt:i4>
      </vt:variant>
      <vt:variant>
        <vt:i4>44</vt:i4>
      </vt:variant>
      <vt:variant>
        <vt:i4>0</vt:i4>
      </vt:variant>
      <vt:variant>
        <vt:i4>5</vt:i4>
      </vt:variant>
      <vt:variant>
        <vt:lpwstr/>
      </vt:variant>
      <vt:variant>
        <vt:lpwstr>_Toc94197864</vt:lpwstr>
      </vt:variant>
      <vt:variant>
        <vt:i4>1114169</vt:i4>
      </vt:variant>
      <vt:variant>
        <vt:i4>38</vt:i4>
      </vt:variant>
      <vt:variant>
        <vt:i4>0</vt:i4>
      </vt:variant>
      <vt:variant>
        <vt:i4>5</vt:i4>
      </vt:variant>
      <vt:variant>
        <vt:lpwstr/>
      </vt:variant>
      <vt:variant>
        <vt:lpwstr>_Toc94197863</vt:lpwstr>
      </vt:variant>
      <vt:variant>
        <vt:i4>1048633</vt:i4>
      </vt:variant>
      <vt:variant>
        <vt:i4>32</vt:i4>
      </vt:variant>
      <vt:variant>
        <vt:i4>0</vt:i4>
      </vt:variant>
      <vt:variant>
        <vt:i4>5</vt:i4>
      </vt:variant>
      <vt:variant>
        <vt:lpwstr/>
      </vt:variant>
      <vt:variant>
        <vt:lpwstr>_Toc94197862</vt:lpwstr>
      </vt:variant>
      <vt:variant>
        <vt:i4>1245241</vt:i4>
      </vt:variant>
      <vt:variant>
        <vt:i4>26</vt:i4>
      </vt:variant>
      <vt:variant>
        <vt:i4>0</vt:i4>
      </vt:variant>
      <vt:variant>
        <vt:i4>5</vt:i4>
      </vt:variant>
      <vt:variant>
        <vt:lpwstr/>
      </vt:variant>
      <vt:variant>
        <vt:lpwstr>_Toc94197861</vt:lpwstr>
      </vt:variant>
      <vt:variant>
        <vt:i4>1179705</vt:i4>
      </vt:variant>
      <vt:variant>
        <vt:i4>20</vt:i4>
      </vt:variant>
      <vt:variant>
        <vt:i4>0</vt:i4>
      </vt:variant>
      <vt:variant>
        <vt:i4>5</vt:i4>
      </vt:variant>
      <vt:variant>
        <vt:lpwstr/>
      </vt:variant>
      <vt:variant>
        <vt:lpwstr>_Toc94197860</vt:lpwstr>
      </vt:variant>
      <vt:variant>
        <vt:i4>1769530</vt:i4>
      </vt:variant>
      <vt:variant>
        <vt:i4>14</vt:i4>
      </vt:variant>
      <vt:variant>
        <vt:i4>0</vt:i4>
      </vt:variant>
      <vt:variant>
        <vt:i4>5</vt:i4>
      </vt:variant>
      <vt:variant>
        <vt:lpwstr/>
      </vt:variant>
      <vt:variant>
        <vt:lpwstr>_Toc94197859</vt:lpwstr>
      </vt:variant>
      <vt:variant>
        <vt:i4>1703994</vt:i4>
      </vt:variant>
      <vt:variant>
        <vt:i4>8</vt:i4>
      </vt:variant>
      <vt:variant>
        <vt:i4>0</vt:i4>
      </vt:variant>
      <vt:variant>
        <vt:i4>5</vt:i4>
      </vt:variant>
      <vt:variant>
        <vt:lpwstr/>
      </vt:variant>
      <vt:variant>
        <vt:lpwstr>_Toc94197858</vt:lpwstr>
      </vt:variant>
      <vt:variant>
        <vt:i4>1376314</vt:i4>
      </vt:variant>
      <vt:variant>
        <vt:i4>2</vt:i4>
      </vt:variant>
      <vt:variant>
        <vt:i4>0</vt:i4>
      </vt:variant>
      <vt:variant>
        <vt:i4>5</vt:i4>
      </vt:variant>
      <vt:variant>
        <vt:lpwstr/>
      </vt:variant>
      <vt:variant>
        <vt:lpwstr>_Toc94197857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2022-04-20T21:33:00Z</dcterms:created>
  <dcterms:modified xsi:type="dcterms:W3CDTF">2022-04-21T00:13:00Z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0x01010065A4B5CB417AEA47908DA5DD0D74F12F</vt:lpwstr>
  </property>
  <property fmtid="{D5CDD505-2E9C-101B-9397-08002B2CF9AE}" pid="3" name="_MarkAsFinal">
    <vt:bool>true</vt:bool>
  </property>
</Properties>
</file>