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2B0E3" w14:textId="77777777" w:rsidR="00965BFC" w:rsidRPr="004C2689" w:rsidRDefault="00D47ECF" w:rsidP="00965BFC">
      <w:pPr>
        <w:jc w:val="center"/>
        <w:rPr>
          <w:rFonts w:ascii="Arial" w:hAnsi="Arial" w:cs="Arial"/>
          <w:b/>
          <w:sz w:val="22"/>
        </w:rPr>
      </w:pPr>
      <w:r w:rsidRPr="004C2689">
        <w:rPr>
          <w:rFonts w:ascii="Arial" w:hAnsi="Arial" w:cs="Arial"/>
          <w:b/>
          <w:sz w:val="22"/>
        </w:rPr>
        <w:t xml:space="preserve">BEFORE THE GEORGIA PUBLIC SERVICE COMMISSION </w:t>
      </w:r>
    </w:p>
    <w:p w14:paraId="6838D2F3" w14:textId="77777777" w:rsidR="00965BFC" w:rsidRPr="004C2689" w:rsidRDefault="00D47ECF" w:rsidP="00965BFC">
      <w:pPr>
        <w:jc w:val="center"/>
        <w:rPr>
          <w:rFonts w:ascii="Arial" w:hAnsi="Arial" w:cs="Arial"/>
          <w:b/>
          <w:sz w:val="22"/>
        </w:rPr>
      </w:pPr>
    </w:p>
    <w:p w14:paraId="67018FFD" w14:textId="77777777" w:rsidR="00965BFC" w:rsidRPr="004C2689" w:rsidRDefault="00D47ECF" w:rsidP="00965BFC">
      <w:pPr>
        <w:jc w:val="center"/>
        <w:rPr>
          <w:rFonts w:ascii="Arial" w:hAnsi="Arial" w:cs="Arial"/>
          <w:b/>
          <w:sz w:val="22"/>
        </w:rPr>
      </w:pPr>
      <w:r w:rsidRPr="004C2689">
        <w:rPr>
          <w:rFonts w:ascii="Arial" w:hAnsi="Arial" w:cs="Arial"/>
          <w:b/>
          <w:sz w:val="22"/>
        </w:rPr>
        <w:t>GEORGIA POWER COMPANY</w:t>
      </w:r>
    </w:p>
    <w:p w14:paraId="41FDC356" w14:textId="77777777" w:rsidR="00965BFC" w:rsidRPr="004C2689" w:rsidRDefault="00D47ECF" w:rsidP="00965BFC">
      <w:pPr>
        <w:jc w:val="center"/>
        <w:rPr>
          <w:rFonts w:ascii="Arial" w:hAnsi="Arial" w:cs="Arial"/>
          <w:b/>
          <w:sz w:val="22"/>
        </w:rPr>
      </w:pPr>
      <w:r w:rsidRPr="004C2689">
        <w:rPr>
          <w:rFonts w:ascii="Arial" w:hAnsi="Arial" w:cs="Arial"/>
          <w:b/>
          <w:sz w:val="22"/>
        </w:rPr>
        <w:t xml:space="preserve">DOCKET NO. </w:t>
      </w:r>
      <w:r w:rsidRPr="004C2689">
        <w:rPr>
          <w:rFonts w:ascii="Arial" w:hAnsi="Arial" w:cs="Arial"/>
          <w:b/>
          <w:sz w:val="22"/>
        </w:rPr>
        <w:t>4</w:t>
      </w:r>
      <w:r>
        <w:rPr>
          <w:rFonts w:ascii="Arial" w:hAnsi="Arial" w:cs="Arial"/>
          <w:b/>
          <w:sz w:val="22"/>
        </w:rPr>
        <w:t>4160</w:t>
      </w:r>
    </w:p>
    <w:p w14:paraId="3F3B9FB2" w14:textId="77777777" w:rsidR="00965BFC" w:rsidRPr="004C2689" w:rsidRDefault="00D47ECF" w:rsidP="00965BFC">
      <w:pPr>
        <w:jc w:val="center"/>
        <w:rPr>
          <w:rFonts w:ascii="Arial" w:hAnsi="Arial" w:cs="Arial"/>
          <w:b/>
          <w:sz w:val="22"/>
        </w:rPr>
      </w:pPr>
    </w:p>
    <w:p w14:paraId="6D6A4741" w14:textId="77777777" w:rsidR="00965BFC" w:rsidRPr="004C2689" w:rsidRDefault="00D47ECF" w:rsidP="00965BFC">
      <w:pPr>
        <w:jc w:val="center"/>
        <w:rPr>
          <w:rFonts w:ascii="Arial" w:hAnsi="Arial" w:cs="Arial"/>
          <w:b/>
          <w:sz w:val="22"/>
        </w:rPr>
      </w:pPr>
      <w:r w:rsidRPr="004C2689">
        <w:rPr>
          <w:rFonts w:ascii="Arial" w:hAnsi="Arial" w:cs="Arial"/>
          <w:b/>
          <w:sz w:val="22"/>
        </w:rPr>
        <w:t>AFFIDAVIT AND BASIS FOR THE ASSERTION THAT PORTIONS OF THE</w:t>
      </w:r>
    </w:p>
    <w:p w14:paraId="213C6F6B" w14:textId="77777777" w:rsidR="00965BFC" w:rsidRPr="004C2689" w:rsidRDefault="00D47ECF" w:rsidP="00965BFC">
      <w:pPr>
        <w:jc w:val="center"/>
        <w:rPr>
          <w:rFonts w:ascii="Arial" w:hAnsi="Arial" w:cs="Arial"/>
          <w:b/>
          <w:sz w:val="22"/>
        </w:rPr>
      </w:pPr>
      <w:r w:rsidRPr="004C2689">
        <w:rPr>
          <w:rFonts w:ascii="Arial" w:hAnsi="Arial" w:cs="Arial"/>
          <w:b/>
          <w:sz w:val="22"/>
        </w:rPr>
        <w:t xml:space="preserve">INFORMATION SUBMITTED </w:t>
      </w:r>
      <w:r w:rsidRPr="004C2689">
        <w:rPr>
          <w:rFonts w:ascii="Arial" w:hAnsi="Arial" w:cs="Arial"/>
          <w:b/>
          <w:sz w:val="22"/>
        </w:rPr>
        <w:t>ARE PROTECTED</w:t>
      </w:r>
      <w:r w:rsidRPr="004C2689">
        <w:rPr>
          <w:rFonts w:ascii="Arial" w:hAnsi="Arial" w:cs="Arial"/>
          <w:b/>
          <w:sz w:val="22"/>
        </w:rPr>
        <w:t xml:space="preserve"> TRADE SECRET</w:t>
      </w:r>
      <w:r w:rsidRPr="004C2689">
        <w:rPr>
          <w:rFonts w:ascii="Arial" w:hAnsi="Arial" w:cs="Arial"/>
          <w:b/>
          <w:sz w:val="22"/>
        </w:rPr>
        <w:t>S</w:t>
      </w:r>
    </w:p>
    <w:p w14:paraId="268B1771" w14:textId="77777777" w:rsidR="00965BFC" w:rsidRPr="004C2689" w:rsidRDefault="00D47ECF" w:rsidP="00965BFC">
      <w:pPr>
        <w:jc w:val="center"/>
        <w:rPr>
          <w:rFonts w:ascii="Arial" w:hAnsi="Arial" w:cs="Arial"/>
          <w:sz w:val="22"/>
        </w:rPr>
      </w:pPr>
    </w:p>
    <w:p w14:paraId="410F0D09" w14:textId="77777777" w:rsidR="00523230" w:rsidRPr="004C2689" w:rsidRDefault="00D47ECF" w:rsidP="00523230">
      <w:pPr>
        <w:jc w:val="both"/>
        <w:rPr>
          <w:rFonts w:ascii="Arial" w:hAnsi="Arial" w:cs="Arial"/>
          <w:sz w:val="22"/>
        </w:rPr>
      </w:pPr>
      <w:r w:rsidRPr="004C2689">
        <w:rPr>
          <w:rFonts w:ascii="Arial" w:hAnsi="Arial" w:cs="Arial"/>
          <w:sz w:val="22"/>
        </w:rPr>
        <w:tab/>
      </w:r>
      <w:r w:rsidRPr="004C2689">
        <w:rPr>
          <w:rFonts w:ascii="Arial" w:hAnsi="Arial" w:cs="Arial"/>
          <w:spacing w:val="-3"/>
          <w:sz w:val="22"/>
          <w:szCs w:val="24"/>
        </w:rPr>
        <w:t xml:space="preserve">As part of its </w:t>
      </w:r>
      <w:r w:rsidRPr="004C2689">
        <w:rPr>
          <w:rFonts w:ascii="Arial" w:hAnsi="Arial" w:cs="Arial"/>
          <w:spacing w:val="-3"/>
          <w:sz w:val="22"/>
          <w:szCs w:val="24"/>
        </w:rPr>
        <w:t>20</w:t>
      </w:r>
      <w:r>
        <w:rPr>
          <w:rFonts w:ascii="Arial" w:hAnsi="Arial" w:cs="Arial"/>
          <w:spacing w:val="-3"/>
          <w:sz w:val="22"/>
          <w:szCs w:val="24"/>
        </w:rPr>
        <w:t>22</w:t>
      </w:r>
      <w:r w:rsidRPr="004C2689">
        <w:rPr>
          <w:rFonts w:ascii="Arial" w:hAnsi="Arial" w:cs="Arial"/>
          <w:spacing w:val="-3"/>
          <w:sz w:val="22"/>
          <w:szCs w:val="24"/>
        </w:rPr>
        <w:t xml:space="preserve"> </w:t>
      </w:r>
      <w:r w:rsidRPr="004C2689">
        <w:rPr>
          <w:rFonts w:ascii="Arial" w:hAnsi="Arial" w:cs="Arial"/>
          <w:spacing w:val="-3"/>
          <w:sz w:val="22"/>
          <w:szCs w:val="24"/>
        </w:rPr>
        <w:t xml:space="preserve">Integrated Resource Plan </w:t>
      </w:r>
      <w:r w:rsidRPr="004C2689">
        <w:rPr>
          <w:rFonts w:ascii="Arial" w:hAnsi="Arial" w:cs="Arial"/>
          <w:spacing w:val="-3"/>
          <w:sz w:val="22"/>
          <w:szCs w:val="24"/>
        </w:rPr>
        <w:t>(“</w:t>
      </w:r>
      <w:r w:rsidRPr="004C2689">
        <w:rPr>
          <w:rFonts w:ascii="Arial" w:hAnsi="Arial" w:cs="Arial"/>
          <w:spacing w:val="-3"/>
          <w:sz w:val="22"/>
          <w:szCs w:val="24"/>
        </w:rPr>
        <w:t>20</w:t>
      </w:r>
      <w:r>
        <w:rPr>
          <w:rFonts w:ascii="Arial" w:hAnsi="Arial" w:cs="Arial"/>
          <w:spacing w:val="-3"/>
          <w:sz w:val="22"/>
          <w:szCs w:val="24"/>
        </w:rPr>
        <w:t>22</w:t>
      </w:r>
      <w:r w:rsidRPr="004C2689">
        <w:rPr>
          <w:rFonts w:ascii="Arial" w:hAnsi="Arial" w:cs="Arial"/>
          <w:spacing w:val="-3"/>
          <w:sz w:val="22"/>
          <w:szCs w:val="24"/>
        </w:rPr>
        <w:t xml:space="preserve"> </w:t>
      </w:r>
      <w:r w:rsidRPr="004C2689">
        <w:rPr>
          <w:rFonts w:ascii="Arial" w:hAnsi="Arial" w:cs="Arial"/>
          <w:spacing w:val="-3"/>
          <w:sz w:val="22"/>
          <w:szCs w:val="24"/>
        </w:rPr>
        <w:t>IRP”)</w:t>
      </w:r>
      <w:r w:rsidRPr="004C2689">
        <w:rPr>
          <w:rFonts w:ascii="Arial" w:hAnsi="Arial" w:cs="Arial"/>
          <w:spacing w:val="-3"/>
          <w:sz w:val="22"/>
          <w:szCs w:val="24"/>
        </w:rPr>
        <w:t>, filed in Docket No.</w:t>
      </w:r>
      <w:r w:rsidRPr="004C2689">
        <w:rPr>
          <w:rFonts w:ascii="Arial" w:hAnsi="Arial" w:cs="Arial"/>
          <w:b/>
          <w:spacing w:val="-3"/>
          <w:sz w:val="22"/>
          <w:szCs w:val="24"/>
        </w:rPr>
        <w:t xml:space="preserve"> </w:t>
      </w:r>
      <w:r w:rsidRPr="004C2689">
        <w:rPr>
          <w:rFonts w:ascii="Arial" w:hAnsi="Arial" w:cs="Arial"/>
          <w:spacing w:val="-3"/>
          <w:sz w:val="22"/>
          <w:szCs w:val="24"/>
        </w:rPr>
        <w:t>4</w:t>
      </w:r>
      <w:r>
        <w:rPr>
          <w:rFonts w:ascii="Arial" w:hAnsi="Arial" w:cs="Arial"/>
          <w:spacing w:val="-3"/>
          <w:sz w:val="22"/>
          <w:szCs w:val="24"/>
        </w:rPr>
        <w:t>4160</w:t>
      </w:r>
      <w:r w:rsidRPr="004C2689">
        <w:rPr>
          <w:rFonts w:ascii="Arial" w:hAnsi="Arial" w:cs="Arial"/>
          <w:spacing w:val="-3"/>
          <w:sz w:val="22"/>
          <w:szCs w:val="24"/>
        </w:rPr>
        <w:t xml:space="preserve">, Georgia Power Company (“Georgia Power” or the “Company”) submits to the Georgia Public Service Commission Technical Appendix Volume 1, </w:t>
      </w:r>
      <w:r w:rsidRPr="004C2689">
        <w:rPr>
          <w:rFonts w:ascii="Arial" w:hAnsi="Arial" w:cs="Arial"/>
          <w:spacing w:val="-3"/>
          <w:sz w:val="22"/>
          <w:szCs w:val="24"/>
        </w:rPr>
        <w:t>which contains</w:t>
      </w:r>
      <w:r w:rsidRPr="004C2689">
        <w:rPr>
          <w:rFonts w:ascii="Arial" w:hAnsi="Arial" w:cs="Arial"/>
          <w:spacing w:val="-3"/>
          <w:sz w:val="22"/>
          <w:szCs w:val="24"/>
        </w:rPr>
        <w:t xml:space="preserve"> certain information regarding the company’s reserve margin,</w:t>
      </w:r>
      <w:r w:rsidRPr="004C2689">
        <w:rPr>
          <w:rFonts w:ascii="Arial" w:hAnsi="Arial" w:cs="Arial"/>
          <w:spacing w:val="-3"/>
          <w:sz w:val="22"/>
          <w:szCs w:val="24"/>
        </w:rPr>
        <w:t xml:space="preserve"> </w:t>
      </w:r>
      <w:r w:rsidRPr="004C2689">
        <w:rPr>
          <w:rFonts w:ascii="Arial" w:hAnsi="Arial" w:cs="Arial"/>
          <w:spacing w:val="-3"/>
          <w:sz w:val="22"/>
          <w:szCs w:val="24"/>
        </w:rPr>
        <w:t xml:space="preserve">expected unserved energy costs, </w:t>
      </w:r>
      <w:r>
        <w:rPr>
          <w:rFonts w:ascii="Arial" w:hAnsi="Arial" w:cs="Arial"/>
          <w:spacing w:val="-3"/>
          <w:sz w:val="22"/>
          <w:szCs w:val="24"/>
        </w:rPr>
        <w:t xml:space="preserve">proprietary </w:t>
      </w:r>
      <w:r>
        <w:rPr>
          <w:rFonts w:ascii="Arial" w:hAnsi="Arial" w:cs="Arial"/>
          <w:spacing w:val="-3"/>
          <w:sz w:val="22"/>
          <w:szCs w:val="24"/>
        </w:rPr>
        <w:t xml:space="preserve">planning processes, </w:t>
      </w:r>
      <w:r w:rsidRPr="004C2689">
        <w:rPr>
          <w:rFonts w:ascii="Arial" w:hAnsi="Arial" w:cs="Arial"/>
          <w:spacing w:val="-3"/>
          <w:sz w:val="22"/>
          <w:szCs w:val="24"/>
        </w:rPr>
        <w:t>load and energy forecast</w:t>
      </w:r>
      <w:r>
        <w:rPr>
          <w:rFonts w:ascii="Arial" w:hAnsi="Arial" w:cs="Arial"/>
          <w:spacing w:val="-3"/>
          <w:sz w:val="22"/>
          <w:szCs w:val="24"/>
        </w:rPr>
        <w:t xml:space="preserve"> data</w:t>
      </w:r>
      <w:r w:rsidRPr="004C2689">
        <w:rPr>
          <w:rFonts w:ascii="Arial" w:hAnsi="Arial" w:cs="Arial"/>
          <w:spacing w:val="-3"/>
          <w:sz w:val="22"/>
          <w:szCs w:val="24"/>
        </w:rPr>
        <w:t xml:space="preserve">, </w:t>
      </w:r>
      <w:r>
        <w:rPr>
          <w:rFonts w:ascii="Arial" w:hAnsi="Arial" w:cs="Arial"/>
          <w:spacing w:val="-3"/>
          <w:sz w:val="22"/>
          <w:szCs w:val="24"/>
        </w:rPr>
        <w:t xml:space="preserve">financial data, </w:t>
      </w:r>
      <w:r w:rsidRPr="004C2689">
        <w:rPr>
          <w:rFonts w:ascii="Arial" w:hAnsi="Arial" w:cs="Arial"/>
          <w:spacing w:val="-3"/>
          <w:sz w:val="22"/>
          <w:szCs w:val="24"/>
        </w:rPr>
        <w:t>technology</w:t>
      </w:r>
      <w:r>
        <w:rPr>
          <w:rFonts w:ascii="Arial" w:hAnsi="Arial" w:cs="Arial"/>
          <w:spacing w:val="-3"/>
          <w:sz w:val="22"/>
          <w:szCs w:val="24"/>
        </w:rPr>
        <w:t xml:space="preserve"> screening assumptions</w:t>
      </w:r>
      <w:r w:rsidRPr="004C2689">
        <w:rPr>
          <w:rFonts w:ascii="Arial" w:hAnsi="Arial" w:cs="Arial"/>
          <w:spacing w:val="-3"/>
          <w:sz w:val="22"/>
          <w:szCs w:val="24"/>
        </w:rPr>
        <w:t>,</w:t>
      </w:r>
      <w:r w:rsidRPr="004C2689">
        <w:rPr>
          <w:rFonts w:ascii="Arial" w:hAnsi="Arial" w:cs="Arial"/>
          <w:spacing w:val="-3"/>
          <w:sz w:val="22"/>
          <w:szCs w:val="24"/>
        </w:rPr>
        <w:t xml:space="preserve"> </w:t>
      </w:r>
      <w:r>
        <w:rPr>
          <w:rFonts w:ascii="Arial" w:hAnsi="Arial" w:cs="Arial"/>
          <w:spacing w:val="-3"/>
          <w:sz w:val="22"/>
          <w:szCs w:val="24"/>
        </w:rPr>
        <w:t xml:space="preserve">technology and resource cost information, </w:t>
      </w:r>
      <w:r>
        <w:rPr>
          <w:rFonts w:ascii="Arial" w:hAnsi="Arial" w:cs="Arial"/>
          <w:spacing w:val="-3"/>
          <w:sz w:val="22"/>
          <w:szCs w:val="24"/>
        </w:rPr>
        <w:t xml:space="preserve">economic analyses, </w:t>
      </w:r>
      <w:r w:rsidRPr="004C2689">
        <w:rPr>
          <w:rFonts w:ascii="Arial" w:hAnsi="Arial" w:cs="Arial"/>
          <w:spacing w:val="-3"/>
          <w:sz w:val="22"/>
          <w:szCs w:val="24"/>
        </w:rPr>
        <w:t>and other data</w:t>
      </w:r>
      <w:r>
        <w:rPr>
          <w:rFonts w:ascii="Arial" w:hAnsi="Arial" w:cs="Arial"/>
          <w:spacing w:val="-3"/>
          <w:sz w:val="22"/>
          <w:szCs w:val="24"/>
        </w:rPr>
        <w:t>,</w:t>
      </w:r>
      <w:r w:rsidRPr="004C2689">
        <w:rPr>
          <w:rFonts w:ascii="Arial" w:hAnsi="Arial" w:cs="Arial"/>
          <w:spacing w:val="-3"/>
          <w:sz w:val="22"/>
          <w:szCs w:val="24"/>
        </w:rPr>
        <w:t xml:space="preserve"> </w:t>
      </w:r>
      <w:r>
        <w:rPr>
          <w:rFonts w:ascii="Arial" w:hAnsi="Arial" w:cs="Arial"/>
          <w:spacing w:val="-3"/>
          <w:sz w:val="22"/>
          <w:szCs w:val="24"/>
        </w:rPr>
        <w:t xml:space="preserve">including projected and current cost estimates for </w:t>
      </w:r>
      <w:r>
        <w:rPr>
          <w:rFonts w:ascii="Arial" w:hAnsi="Arial" w:cs="Arial"/>
          <w:spacing w:val="-3"/>
          <w:sz w:val="22"/>
          <w:szCs w:val="24"/>
        </w:rPr>
        <w:t xml:space="preserve">environmental compliance costs and </w:t>
      </w:r>
      <w:r>
        <w:rPr>
          <w:rFonts w:ascii="Arial" w:hAnsi="Arial" w:cs="Arial"/>
          <w:spacing w:val="-3"/>
          <w:sz w:val="22"/>
          <w:szCs w:val="24"/>
        </w:rPr>
        <w:t xml:space="preserve">CCR ARO ash pond closure and landfill projects, </w:t>
      </w:r>
      <w:r w:rsidRPr="004C2689">
        <w:rPr>
          <w:rFonts w:ascii="Arial" w:hAnsi="Arial" w:cs="Arial"/>
          <w:spacing w:val="-3"/>
          <w:sz w:val="22"/>
          <w:szCs w:val="24"/>
        </w:rPr>
        <w:t>(the “Information”) of the Company. Certain portions of the Information are trade secrets of Georgia Power and Southern Co</w:t>
      </w:r>
      <w:r w:rsidRPr="004C2689">
        <w:rPr>
          <w:rFonts w:ascii="Arial" w:hAnsi="Arial" w:cs="Arial"/>
          <w:spacing w:val="-3"/>
          <w:sz w:val="22"/>
          <w:szCs w:val="24"/>
        </w:rPr>
        <w:t>mpany and their affiliates</w:t>
      </w:r>
      <w:r>
        <w:rPr>
          <w:rFonts w:ascii="Arial" w:hAnsi="Arial" w:cs="Arial"/>
          <w:spacing w:val="-3"/>
          <w:sz w:val="22"/>
          <w:szCs w:val="24"/>
        </w:rPr>
        <w:t xml:space="preserve"> and is therefore protected from public disclosure under Commission Rule 515-3-1-.11</w:t>
      </w:r>
      <w:r w:rsidRPr="004C2689">
        <w:rPr>
          <w:rFonts w:ascii="Arial" w:hAnsi="Arial" w:cs="Arial"/>
          <w:spacing w:val="-3"/>
          <w:sz w:val="22"/>
          <w:szCs w:val="24"/>
        </w:rPr>
        <w:t xml:space="preserve">.  </w:t>
      </w:r>
    </w:p>
    <w:p w14:paraId="7973FAF1" w14:textId="77777777" w:rsidR="00965BFC" w:rsidRPr="004C2689" w:rsidRDefault="00D47ECF" w:rsidP="00017C4A">
      <w:pPr>
        <w:jc w:val="both"/>
        <w:rPr>
          <w:rFonts w:ascii="Arial" w:hAnsi="Arial" w:cs="Arial"/>
          <w:sz w:val="22"/>
        </w:rPr>
      </w:pPr>
    </w:p>
    <w:p w14:paraId="716EE63C" w14:textId="77777777" w:rsidR="00EF15E5" w:rsidRDefault="00D47ECF" w:rsidP="00C919EC">
      <w:pPr>
        <w:ind w:firstLine="720"/>
        <w:jc w:val="both"/>
        <w:rPr>
          <w:rFonts w:ascii="Arial" w:hAnsi="Arial" w:cs="Arial"/>
          <w:sz w:val="22"/>
        </w:rPr>
      </w:pPr>
      <w:r w:rsidRPr="004C2689">
        <w:rPr>
          <w:rFonts w:ascii="Arial" w:hAnsi="Arial" w:cs="Arial"/>
          <w:sz w:val="22"/>
        </w:rPr>
        <w:t>The</w:t>
      </w:r>
      <w:r w:rsidRPr="004C2689">
        <w:rPr>
          <w:rFonts w:ascii="Arial" w:hAnsi="Arial" w:cs="Arial"/>
          <w:sz w:val="22"/>
        </w:rPr>
        <w:t xml:space="preserve"> trade secret portions of the</w:t>
      </w:r>
      <w:r w:rsidRPr="004C2689">
        <w:rPr>
          <w:rFonts w:ascii="Arial" w:hAnsi="Arial" w:cs="Arial"/>
          <w:sz w:val="22"/>
        </w:rPr>
        <w:t xml:space="preserve"> Information derive economic value from not being generally known to, and not being readily ascertainable by </w:t>
      </w:r>
      <w:r w:rsidRPr="004C2689">
        <w:rPr>
          <w:rFonts w:ascii="Arial" w:hAnsi="Arial" w:cs="Arial"/>
          <w:sz w:val="22"/>
        </w:rPr>
        <w:t xml:space="preserve">proper means by other persons who can obtain economic value from </w:t>
      </w:r>
      <w:r w:rsidRPr="004C2689">
        <w:rPr>
          <w:rFonts w:ascii="Arial" w:hAnsi="Arial" w:cs="Arial"/>
          <w:sz w:val="22"/>
        </w:rPr>
        <w:t>their</w:t>
      </w:r>
      <w:r w:rsidRPr="004C2689">
        <w:rPr>
          <w:rFonts w:ascii="Arial" w:hAnsi="Arial" w:cs="Arial"/>
          <w:sz w:val="22"/>
        </w:rPr>
        <w:t xml:space="preserve"> disclosure or use.</w:t>
      </w:r>
      <w:r w:rsidRPr="004C2689">
        <w:rPr>
          <w:rFonts w:ascii="Arial" w:hAnsi="Arial" w:cs="Arial"/>
          <w:sz w:val="22"/>
        </w:rPr>
        <w:t xml:space="preserve"> </w:t>
      </w:r>
      <w:bookmarkStart w:id="0" w:name="_Hlk534272987"/>
      <w:r w:rsidRPr="004C2689">
        <w:rPr>
          <w:rFonts w:ascii="Arial" w:hAnsi="Arial" w:cs="Arial"/>
          <w:sz w:val="22"/>
        </w:rPr>
        <w:t xml:space="preserve">Specifically, the </w:t>
      </w:r>
      <w:r w:rsidRPr="004C2689">
        <w:rPr>
          <w:rFonts w:ascii="Arial" w:hAnsi="Arial" w:cs="Arial"/>
          <w:sz w:val="22"/>
        </w:rPr>
        <w:t xml:space="preserve">trade secret portions of the </w:t>
      </w:r>
      <w:r w:rsidRPr="004C2689">
        <w:rPr>
          <w:rFonts w:ascii="Arial" w:hAnsi="Arial" w:cs="Arial"/>
          <w:sz w:val="22"/>
        </w:rPr>
        <w:t xml:space="preserve">Information contain competitively sensitive cost information related to </w:t>
      </w:r>
      <w:bookmarkEnd w:id="0"/>
      <w:r w:rsidRPr="004C2689">
        <w:rPr>
          <w:rFonts w:ascii="Arial" w:hAnsi="Arial" w:cs="Arial"/>
          <w:sz w:val="22"/>
        </w:rPr>
        <w:t>available technology options, optimal reserve m</w:t>
      </w:r>
      <w:r w:rsidRPr="004C2689">
        <w:rPr>
          <w:rFonts w:ascii="Arial" w:hAnsi="Arial" w:cs="Arial"/>
          <w:sz w:val="22"/>
        </w:rPr>
        <w:t>argins and reserve margin scenarios</w:t>
      </w:r>
      <w:r w:rsidRPr="004C2689">
        <w:rPr>
          <w:rFonts w:ascii="Arial" w:hAnsi="Arial" w:cs="Arial"/>
          <w:sz w:val="22"/>
        </w:rPr>
        <w:t xml:space="preserve">, </w:t>
      </w:r>
      <w:r>
        <w:rPr>
          <w:rFonts w:ascii="Arial" w:hAnsi="Arial" w:cs="Arial"/>
          <w:sz w:val="22"/>
        </w:rPr>
        <w:t xml:space="preserve">process and data used by Georgia Power in analyzing resource addition schedules, financial data used in the Company’s forecasting, </w:t>
      </w:r>
      <w:r w:rsidRPr="004C2689">
        <w:rPr>
          <w:rFonts w:ascii="Arial" w:hAnsi="Arial" w:cs="Arial"/>
          <w:sz w:val="22"/>
        </w:rPr>
        <w:t>and other confidential details</w:t>
      </w:r>
      <w:r w:rsidRPr="004C2689">
        <w:rPr>
          <w:rFonts w:ascii="Arial" w:hAnsi="Arial" w:cs="Arial"/>
          <w:sz w:val="22"/>
        </w:rPr>
        <w:t xml:space="preserve">.  </w:t>
      </w:r>
      <w:bookmarkStart w:id="1" w:name="_Hlk534274061"/>
      <w:r w:rsidRPr="004C2689">
        <w:rPr>
          <w:rFonts w:ascii="Arial" w:hAnsi="Arial" w:cs="Arial"/>
          <w:sz w:val="22"/>
        </w:rPr>
        <w:t xml:space="preserve">Public dissemination of the </w:t>
      </w:r>
      <w:r w:rsidRPr="004C2689">
        <w:rPr>
          <w:rFonts w:ascii="Arial" w:hAnsi="Arial" w:cs="Arial"/>
          <w:sz w:val="22"/>
        </w:rPr>
        <w:t xml:space="preserve">trade secret portions of the </w:t>
      </w:r>
      <w:r w:rsidRPr="004C2689">
        <w:rPr>
          <w:rFonts w:ascii="Arial" w:hAnsi="Arial" w:cs="Arial"/>
          <w:sz w:val="22"/>
        </w:rPr>
        <w:t>Information would allow Georgia Power’s competitors and suppliers to have access to such processes and strategies and thereby gain an unfair competitive advantage in the marketplace. Competitors woul</w:t>
      </w:r>
      <w:r w:rsidRPr="004C2689">
        <w:rPr>
          <w:rFonts w:ascii="Arial" w:hAnsi="Arial" w:cs="Arial"/>
          <w:sz w:val="22"/>
        </w:rPr>
        <w:t>d obtain an unfair advantage because they are not required to reveal similar information and can utilize such</w:t>
      </w:r>
      <w:r w:rsidRPr="004C2689">
        <w:rPr>
          <w:rFonts w:ascii="Arial" w:hAnsi="Arial" w:cs="Arial"/>
          <w:sz w:val="22"/>
        </w:rPr>
        <w:t xml:space="preserve"> trade secret portions of the</w:t>
      </w:r>
      <w:r w:rsidRPr="004C2689">
        <w:rPr>
          <w:rFonts w:ascii="Arial" w:hAnsi="Arial" w:cs="Arial"/>
          <w:sz w:val="22"/>
        </w:rPr>
        <w:t xml:space="preserve"> Information to manipulate pricing and timing of supply to the disadvantage of Georgia Power. Competitors would also u</w:t>
      </w:r>
      <w:r w:rsidRPr="004C2689">
        <w:rPr>
          <w:rFonts w:ascii="Arial" w:hAnsi="Arial" w:cs="Arial"/>
          <w:sz w:val="22"/>
        </w:rPr>
        <w:t xml:space="preserve">nfairly benefit in having access and insight into the Company’s planning processes and methodologies. This competitive advantage for the Company’s suppliers and </w:t>
      </w:r>
      <w:r w:rsidRPr="004C2689">
        <w:rPr>
          <w:rFonts w:ascii="Arial" w:hAnsi="Arial" w:cs="Arial"/>
          <w:sz w:val="22"/>
        </w:rPr>
        <w:t xml:space="preserve">competitors would mean that Georgia Power </w:t>
      </w:r>
      <w:r w:rsidRPr="004C2689">
        <w:rPr>
          <w:rFonts w:ascii="Arial" w:hAnsi="Arial" w:cs="Arial"/>
          <w:sz w:val="22"/>
        </w:rPr>
        <w:t>will potentially pay higher prices to suppliers, ulti</w:t>
      </w:r>
      <w:r w:rsidRPr="004C2689">
        <w:rPr>
          <w:rFonts w:ascii="Arial" w:hAnsi="Arial" w:cs="Arial"/>
          <w:sz w:val="22"/>
        </w:rPr>
        <w:t>mately harming Georgia Power</w:t>
      </w:r>
      <w:r w:rsidRPr="004C2689">
        <w:rPr>
          <w:rFonts w:ascii="Arial" w:hAnsi="Arial" w:cs="Arial"/>
          <w:sz w:val="22"/>
        </w:rPr>
        <w:t xml:space="preserve"> and its customers</w:t>
      </w:r>
      <w:r w:rsidRPr="004C2689">
        <w:rPr>
          <w:rFonts w:ascii="Arial" w:hAnsi="Arial" w:cs="Arial"/>
          <w:sz w:val="22"/>
        </w:rPr>
        <w:t>.</w:t>
      </w:r>
      <w:bookmarkEnd w:id="1"/>
      <w:r w:rsidRPr="004C2689">
        <w:rPr>
          <w:rFonts w:ascii="Arial" w:hAnsi="Arial" w:cs="Arial"/>
          <w:sz w:val="22"/>
        </w:rPr>
        <w:t xml:space="preserve">    </w:t>
      </w:r>
    </w:p>
    <w:p w14:paraId="46838136" w14:textId="77777777" w:rsidR="00EF15E5" w:rsidRDefault="00D47ECF" w:rsidP="00C919EC">
      <w:pPr>
        <w:ind w:firstLine="720"/>
        <w:jc w:val="both"/>
        <w:rPr>
          <w:rFonts w:ascii="Arial" w:hAnsi="Arial" w:cs="Arial"/>
          <w:sz w:val="22"/>
        </w:rPr>
      </w:pPr>
    </w:p>
    <w:p w14:paraId="3E00C05F" w14:textId="77777777" w:rsidR="00B0673B" w:rsidRDefault="00D47ECF" w:rsidP="00C919EC">
      <w:pPr>
        <w:ind w:firstLine="720"/>
        <w:jc w:val="both"/>
        <w:rPr>
          <w:rFonts w:ascii="Arial" w:hAnsi="Arial" w:cs="Arial"/>
          <w:sz w:val="22"/>
        </w:rPr>
      </w:pPr>
      <w:r w:rsidRPr="004C2689">
        <w:rPr>
          <w:rFonts w:ascii="Arial" w:hAnsi="Arial" w:cs="Arial"/>
          <w:sz w:val="22"/>
        </w:rPr>
        <w:t>Certain trade secret portions of the Information provided includes detailed forecasted information regarding the Company’s future energy and demand growth</w:t>
      </w:r>
      <w:r>
        <w:rPr>
          <w:rFonts w:ascii="Arial" w:hAnsi="Arial" w:cs="Arial"/>
          <w:sz w:val="22"/>
        </w:rPr>
        <w:t xml:space="preserve">, which </w:t>
      </w:r>
      <w:r w:rsidRPr="004C2689">
        <w:rPr>
          <w:rFonts w:ascii="Arial" w:hAnsi="Arial" w:cs="Arial"/>
          <w:sz w:val="22"/>
        </w:rPr>
        <w:t xml:space="preserve">could be used to determine the Company’s </w:t>
      </w:r>
      <w:r w:rsidRPr="004C2689">
        <w:rPr>
          <w:rFonts w:ascii="Arial" w:hAnsi="Arial" w:cs="Arial"/>
          <w:sz w:val="22"/>
        </w:rPr>
        <w:t>short-term capacity needs. If revealed to the public, a generation wholesaler or power marketer could use the trade secret portions of the Information to tailor proposals with the intention of pricing products in a manner that would undermine the Company’s</w:t>
      </w:r>
      <w:r w:rsidRPr="004C2689">
        <w:rPr>
          <w:rFonts w:ascii="Arial" w:hAnsi="Arial" w:cs="Arial"/>
          <w:sz w:val="22"/>
        </w:rPr>
        <w:t xml:space="preserve"> market position. Such disclosure could unfairly allow competitors to manipulate the wholesale market and ultimately harm retail customers through higher rates and less reliability. Lastly, the Company’s competitors are not required to file their respectiv</w:t>
      </w:r>
      <w:r w:rsidRPr="004C2689">
        <w:rPr>
          <w:rFonts w:ascii="Arial" w:hAnsi="Arial" w:cs="Arial"/>
          <w:sz w:val="22"/>
        </w:rPr>
        <w:t>e forecast information.</w:t>
      </w:r>
    </w:p>
    <w:p w14:paraId="3DE0C87D" w14:textId="77777777" w:rsidR="007733C0" w:rsidRDefault="00D47ECF" w:rsidP="00C919EC">
      <w:pPr>
        <w:ind w:firstLine="720"/>
        <w:jc w:val="both"/>
        <w:rPr>
          <w:rFonts w:ascii="Arial" w:hAnsi="Arial" w:cs="Arial"/>
          <w:sz w:val="22"/>
        </w:rPr>
      </w:pPr>
    </w:p>
    <w:p w14:paraId="7378444A" w14:textId="77777777" w:rsidR="007733C0" w:rsidRPr="004C2689" w:rsidRDefault="00D47ECF" w:rsidP="00C919EC">
      <w:pPr>
        <w:ind w:firstLine="720"/>
        <w:jc w:val="both"/>
        <w:rPr>
          <w:rFonts w:ascii="Arial" w:hAnsi="Arial" w:cs="Arial"/>
          <w:sz w:val="22"/>
        </w:rPr>
      </w:pPr>
      <w:r w:rsidRPr="007733C0">
        <w:rPr>
          <w:rFonts w:ascii="Arial" w:hAnsi="Arial" w:cs="Arial"/>
          <w:sz w:val="22"/>
        </w:rPr>
        <w:t>The trade secret portions of the Information contained herein also include details concerning Georgia Power’s</w:t>
      </w:r>
      <w:r>
        <w:rPr>
          <w:rFonts w:ascii="Arial" w:hAnsi="Arial" w:cs="Arial"/>
          <w:sz w:val="22"/>
        </w:rPr>
        <w:t xml:space="preserve"> projected</w:t>
      </w:r>
      <w:r w:rsidRPr="007733C0">
        <w:rPr>
          <w:rFonts w:ascii="Arial" w:hAnsi="Arial" w:cs="Arial"/>
          <w:sz w:val="22"/>
        </w:rPr>
        <w:t xml:space="preserve"> environmental capital investments, cost data, and analyses, all of which have economic value that could be inap</w:t>
      </w:r>
      <w:r w:rsidRPr="007733C0">
        <w:rPr>
          <w:rFonts w:ascii="Arial" w:hAnsi="Arial" w:cs="Arial"/>
          <w:sz w:val="22"/>
        </w:rPr>
        <w:t>propriately leveraged by competitors, vendors, or other persons. Specifically, the trade secret portions of the Information contain competitively sensitive details on the site specific and CCR unit specific costs the Company is expected to incur to close i</w:t>
      </w:r>
      <w:r w:rsidRPr="007733C0">
        <w:rPr>
          <w:rFonts w:ascii="Arial" w:hAnsi="Arial" w:cs="Arial"/>
          <w:sz w:val="22"/>
        </w:rPr>
        <w:t xml:space="preserve">ts ash ponds and landfills as well as the timing </w:t>
      </w:r>
      <w:r>
        <w:rPr>
          <w:rFonts w:ascii="Arial" w:hAnsi="Arial" w:cs="Arial"/>
          <w:sz w:val="22"/>
        </w:rPr>
        <w:t xml:space="preserve">for the </w:t>
      </w:r>
      <w:r>
        <w:rPr>
          <w:rFonts w:ascii="Arial" w:hAnsi="Arial" w:cs="Arial"/>
          <w:sz w:val="22"/>
        </w:rPr>
        <w:lastRenderedPageBreak/>
        <w:t>expected</w:t>
      </w:r>
      <w:r w:rsidRPr="007733C0">
        <w:rPr>
          <w:rFonts w:ascii="Arial" w:hAnsi="Arial" w:cs="Arial"/>
          <w:sz w:val="22"/>
        </w:rPr>
        <w:t xml:space="preserve"> issuance of future contracts. Publicly disclosing these costs would allow bidders and vendors to tailor proposals according to the Company’s expected costs, setting an artificial floor on bi</w:t>
      </w:r>
      <w:r w:rsidRPr="007733C0">
        <w:rPr>
          <w:rFonts w:ascii="Arial" w:hAnsi="Arial" w:cs="Arial"/>
          <w:sz w:val="22"/>
        </w:rPr>
        <w:t xml:space="preserve">dding to the detriment and harm of the Company and its customers. Disclosure of the trade secret portions of the Information could prevent the Company from adequately soliciting and obtaining the best cost estimates for future consulting work and harm the </w:t>
      </w:r>
      <w:r w:rsidRPr="007733C0">
        <w:rPr>
          <w:rFonts w:ascii="Arial" w:hAnsi="Arial" w:cs="Arial"/>
          <w:sz w:val="22"/>
        </w:rPr>
        <w:t>Company’s efforts to obtain optimal pricing in current or future negotiations. In addition, the Company’s competitors are not generally required to disclose similar information, and to require the Company to do so would put it at an economic disadvantage.</w:t>
      </w:r>
    </w:p>
    <w:p w14:paraId="67E0C5C3" w14:textId="77777777" w:rsidR="00B0673B" w:rsidRPr="004C2689" w:rsidRDefault="00D47ECF" w:rsidP="0005192C">
      <w:pPr>
        <w:jc w:val="both"/>
        <w:rPr>
          <w:rFonts w:ascii="Arial" w:hAnsi="Arial" w:cs="Arial"/>
          <w:sz w:val="22"/>
          <w:szCs w:val="24"/>
        </w:rPr>
      </w:pPr>
    </w:p>
    <w:p w14:paraId="350FC5D9" w14:textId="77777777" w:rsidR="00BE2048" w:rsidRPr="004C2689" w:rsidRDefault="00D47ECF" w:rsidP="0005192C">
      <w:pPr>
        <w:jc w:val="both"/>
        <w:rPr>
          <w:rFonts w:ascii="Arial" w:hAnsi="Arial" w:cs="Arial"/>
          <w:sz w:val="22"/>
          <w:szCs w:val="24"/>
        </w:rPr>
      </w:pPr>
      <w:r w:rsidRPr="004C2689">
        <w:rPr>
          <w:rFonts w:ascii="Arial" w:hAnsi="Arial" w:cs="Arial"/>
          <w:sz w:val="22"/>
        </w:rPr>
        <w:tab/>
        <w:t xml:space="preserve">Additionally, </w:t>
      </w:r>
      <w:r w:rsidRPr="004C2689">
        <w:rPr>
          <w:rFonts w:ascii="Arial" w:hAnsi="Arial" w:cs="Arial"/>
          <w:sz w:val="22"/>
        </w:rPr>
        <w:t xml:space="preserve">certain trade secret </w:t>
      </w:r>
      <w:r w:rsidRPr="004C2689">
        <w:rPr>
          <w:rFonts w:ascii="Arial" w:hAnsi="Arial" w:cs="Arial"/>
          <w:sz w:val="22"/>
        </w:rPr>
        <w:t>portions</w:t>
      </w:r>
      <w:r w:rsidRPr="004C2689">
        <w:rPr>
          <w:rFonts w:ascii="Arial" w:hAnsi="Arial" w:cs="Arial"/>
          <w:sz w:val="22"/>
        </w:rPr>
        <w:t xml:space="preserve"> of the</w:t>
      </w:r>
      <w:r w:rsidRPr="004C2689">
        <w:rPr>
          <w:rFonts w:ascii="Arial" w:hAnsi="Arial" w:cs="Arial"/>
          <w:sz w:val="22"/>
        </w:rPr>
        <w:t xml:space="preserve"> Information </w:t>
      </w:r>
      <w:r w:rsidRPr="004C2689">
        <w:rPr>
          <w:rFonts w:ascii="Arial" w:hAnsi="Arial" w:cs="Arial"/>
          <w:sz w:val="22"/>
        </w:rPr>
        <w:t>contain</w:t>
      </w:r>
      <w:r w:rsidRPr="004C2689">
        <w:rPr>
          <w:rFonts w:ascii="Arial" w:hAnsi="Arial" w:cs="Arial"/>
          <w:sz w:val="22"/>
        </w:rPr>
        <w:t xml:space="preserve"> </w:t>
      </w:r>
      <w:r w:rsidRPr="004C2689">
        <w:rPr>
          <w:rFonts w:ascii="Arial" w:hAnsi="Arial" w:cs="Arial"/>
          <w:sz w:val="22"/>
        </w:rPr>
        <w:t xml:space="preserve">proprietary </w:t>
      </w:r>
      <w:r w:rsidRPr="004C2689">
        <w:rPr>
          <w:rFonts w:ascii="Arial" w:hAnsi="Arial" w:cs="Arial"/>
          <w:sz w:val="22"/>
        </w:rPr>
        <w:t>cost data and analysis</w:t>
      </w:r>
      <w:r w:rsidRPr="004C2689">
        <w:rPr>
          <w:rFonts w:ascii="Arial" w:hAnsi="Arial" w:cs="Arial"/>
          <w:sz w:val="22"/>
        </w:rPr>
        <w:t xml:space="preserve"> prepared on the Company’s behalf by outside consultants.</w:t>
      </w:r>
      <w:r w:rsidRPr="004C2689">
        <w:rPr>
          <w:rFonts w:ascii="Arial" w:hAnsi="Arial" w:cs="Arial"/>
          <w:sz w:val="22"/>
        </w:rPr>
        <w:t xml:space="preserve"> </w:t>
      </w:r>
      <w:r w:rsidRPr="004C2689">
        <w:rPr>
          <w:rFonts w:ascii="Arial" w:hAnsi="Arial" w:cs="Arial"/>
          <w:sz w:val="22"/>
        </w:rPr>
        <w:t xml:space="preserve">These studies were prepared by </w:t>
      </w:r>
      <w:r w:rsidRPr="004C2689">
        <w:rPr>
          <w:rFonts w:ascii="Arial" w:hAnsi="Arial" w:cs="Arial"/>
          <w:sz w:val="22"/>
        </w:rPr>
        <w:t>paid consultant</w:t>
      </w:r>
      <w:r w:rsidRPr="004C2689">
        <w:rPr>
          <w:rFonts w:ascii="Arial" w:hAnsi="Arial" w:cs="Arial"/>
          <w:sz w:val="22"/>
        </w:rPr>
        <w:t>s</w:t>
      </w:r>
      <w:r w:rsidRPr="004C2689">
        <w:rPr>
          <w:rFonts w:ascii="Arial" w:hAnsi="Arial" w:cs="Arial"/>
          <w:sz w:val="22"/>
        </w:rPr>
        <w:t xml:space="preserve"> of the Company at a significant cost</w:t>
      </w:r>
      <w:r w:rsidRPr="004C2689">
        <w:rPr>
          <w:rFonts w:ascii="Arial" w:hAnsi="Arial" w:cs="Arial"/>
          <w:sz w:val="22"/>
        </w:rPr>
        <w:t xml:space="preserve"> and thus derive economic value from not being generally known</w:t>
      </w:r>
      <w:r w:rsidRPr="004C2689">
        <w:rPr>
          <w:rFonts w:ascii="Arial" w:hAnsi="Arial" w:cs="Arial"/>
          <w:sz w:val="22"/>
        </w:rPr>
        <w:t>. To allow competitors to access information related to and contained in the</w:t>
      </w:r>
      <w:r w:rsidRPr="004C2689">
        <w:rPr>
          <w:rFonts w:ascii="Arial" w:hAnsi="Arial" w:cs="Arial"/>
          <w:sz w:val="22"/>
        </w:rPr>
        <w:t>se studies</w:t>
      </w:r>
      <w:r w:rsidRPr="004C2689">
        <w:rPr>
          <w:rFonts w:ascii="Arial" w:hAnsi="Arial" w:cs="Arial"/>
          <w:sz w:val="22"/>
        </w:rPr>
        <w:t xml:space="preserve"> would economically harm the Company in that competitors would be able </w:t>
      </w:r>
      <w:r w:rsidRPr="004C2689">
        <w:rPr>
          <w:rFonts w:ascii="Arial" w:hAnsi="Arial" w:cs="Arial"/>
          <w:sz w:val="22"/>
        </w:rPr>
        <w:t>to benefit from the</w:t>
      </w:r>
      <w:r w:rsidRPr="004C2689">
        <w:rPr>
          <w:rFonts w:ascii="Arial" w:hAnsi="Arial" w:cs="Arial"/>
          <w:sz w:val="22"/>
        </w:rPr>
        <w:t xml:space="preserve"> information and analysis contained in the studies</w:t>
      </w:r>
      <w:r w:rsidRPr="004C2689">
        <w:rPr>
          <w:rFonts w:ascii="Arial" w:hAnsi="Arial" w:cs="Arial"/>
          <w:sz w:val="22"/>
        </w:rPr>
        <w:t xml:space="preserve"> without similarly being required to </w:t>
      </w:r>
      <w:r>
        <w:rPr>
          <w:rFonts w:ascii="Arial" w:hAnsi="Arial" w:cs="Arial"/>
          <w:sz w:val="22"/>
        </w:rPr>
        <w:t>expend similar resources for</w:t>
      </w:r>
      <w:r w:rsidRPr="004C2689">
        <w:rPr>
          <w:rFonts w:ascii="Arial" w:hAnsi="Arial" w:cs="Arial"/>
          <w:sz w:val="22"/>
        </w:rPr>
        <w:t xml:space="preserve"> the analysis and intelligence. </w:t>
      </w:r>
    </w:p>
    <w:p w14:paraId="3925E0E9" w14:textId="77777777" w:rsidR="00BE2048" w:rsidRPr="004C2689" w:rsidRDefault="00D47ECF" w:rsidP="0005192C">
      <w:pPr>
        <w:jc w:val="both"/>
        <w:rPr>
          <w:rFonts w:ascii="Arial" w:hAnsi="Arial" w:cs="Arial"/>
          <w:sz w:val="22"/>
          <w:szCs w:val="24"/>
        </w:rPr>
      </w:pPr>
    </w:p>
    <w:p w14:paraId="7D3224A1" w14:textId="77777777" w:rsidR="00FE0E21" w:rsidRPr="004C2689" w:rsidRDefault="00D47ECF" w:rsidP="00FE0E21">
      <w:pPr>
        <w:spacing w:after="240"/>
        <w:jc w:val="both"/>
        <w:rPr>
          <w:rFonts w:ascii="Arial" w:hAnsi="Arial" w:cs="Arial"/>
          <w:sz w:val="22"/>
          <w:szCs w:val="24"/>
        </w:rPr>
      </w:pPr>
      <w:r w:rsidRPr="004C2689">
        <w:rPr>
          <w:rFonts w:ascii="Arial" w:hAnsi="Arial" w:cs="Arial"/>
          <w:sz w:val="22"/>
          <w:szCs w:val="24"/>
        </w:rPr>
        <w:tab/>
        <w:t>The</w:t>
      </w:r>
      <w:r w:rsidRPr="004C2689">
        <w:rPr>
          <w:rFonts w:ascii="Arial" w:hAnsi="Arial" w:cs="Arial"/>
          <w:sz w:val="22"/>
          <w:szCs w:val="24"/>
        </w:rPr>
        <w:t xml:space="preserve"> trade secret portions of the</w:t>
      </w:r>
      <w:r w:rsidRPr="004C2689">
        <w:rPr>
          <w:rFonts w:ascii="Arial" w:hAnsi="Arial" w:cs="Arial"/>
          <w:sz w:val="22"/>
          <w:szCs w:val="24"/>
        </w:rPr>
        <w:t xml:space="preserve"> Information </w:t>
      </w:r>
      <w:r w:rsidRPr="004C2689">
        <w:rPr>
          <w:rFonts w:ascii="Arial" w:hAnsi="Arial" w:cs="Arial"/>
          <w:sz w:val="22"/>
          <w:szCs w:val="24"/>
        </w:rPr>
        <w:t>are</w:t>
      </w:r>
      <w:r w:rsidRPr="004C2689">
        <w:rPr>
          <w:rFonts w:ascii="Arial" w:hAnsi="Arial" w:cs="Arial"/>
          <w:sz w:val="22"/>
          <w:szCs w:val="24"/>
        </w:rPr>
        <w:t xml:space="preserve"> subject to substantial procedures to m</w:t>
      </w:r>
      <w:r w:rsidRPr="004C2689">
        <w:rPr>
          <w:rFonts w:ascii="Arial" w:hAnsi="Arial" w:cs="Arial"/>
          <w:sz w:val="22"/>
          <w:szCs w:val="24"/>
        </w:rPr>
        <w:t xml:space="preserve">aintain </w:t>
      </w:r>
      <w:r w:rsidRPr="004C2689">
        <w:rPr>
          <w:rFonts w:ascii="Arial" w:hAnsi="Arial" w:cs="Arial"/>
          <w:sz w:val="22"/>
          <w:szCs w:val="24"/>
        </w:rPr>
        <w:t>their</w:t>
      </w:r>
      <w:r w:rsidRPr="004C2689">
        <w:rPr>
          <w:rFonts w:ascii="Arial" w:hAnsi="Arial" w:cs="Arial"/>
          <w:sz w:val="22"/>
          <w:szCs w:val="24"/>
        </w:rPr>
        <w:t xml:space="preserve"> secrecy. Only select Georgia Power and Southern Company personnel are granted access to the</w:t>
      </w:r>
      <w:r w:rsidRPr="004C2689">
        <w:rPr>
          <w:rFonts w:ascii="Arial" w:hAnsi="Arial" w:cs="Arial"/>
          <w:sz w:val="22"/>
          <w:szCs w:val="24"/>
        </w:rPr>
        <w:t xml:space="preserve"> trade secret portions of the</w:t>
      </w:r>
      <w:r w:rsidRPr="004C2689">
        <w:rPr>
          <w:rFonts w:ascii="Arial" w:hAnsi="Arial" w:cs="Arial"/>
          <w:sz w:val="22"/>
          <w:szCs w:val="24"/>
        </w:rPr>
        <w:t xml:space="preserve"> Information. Those personnel receive access only on a “need to know” basis. Parties outside Georgia Power and Southern Company</w:t>
      </w:r>
      <w:r>
        <w:rPr>
          <w:rFonts w:ascii="Arial" w:hAnsi="Arial" w:cs="Arial"/>
          <w:sz w:val="22"/>
          <w:szCs w:val="24"/>
        </w:rPr>
        <w:t xml:space="preserve"> affiliates and their legal counsel</w:t>
      </w:r>
      <w:r w:rsidRPr="004C2689">
        <w:rPr>
          <w:rFonts w:ascii="Arial" w:hAnsi="Arial" w:cs="Arial"/>
          <w:sz w:val="22"/>
          <w:szCs w:val="24"/>
        </w:rPr>
        <w:t xml:space="preserve"> who have been granted access to the </w:t>
      </w:r>
      <w:r w:rsidRPr="004C2689">
        <w:rPr>
          <w:rFonts w:ascii="Arial" w:hAnsi="Arial" w:cs="Arial"/>
          <w:sz w:val="22"/>
          <w:szCs w:val="24"/>
        </w:rPr>
        <w:t xml:space="preserve">trade secret portions of the </w:t>
      </w:r>
      <w:r w:rsidRPr="004C2689">
        <w:rPr>
          <w:rFonts w:ascii="Arial" w:hAnsi="Arial" w:cs="Arial"/>
          <w:sz w:val="22"/>
          <w:szCs w:val="24"/>
        </w:rPr>
        <w:t>Information, if any, have be</w:t>
      </w:r>
      <w:r w:rsidRPr="004C2689">
        <w:rPr>
          <w:rFonts w:ascii="Arial" w:hAnsi="Arial" w:cs="Arial"/>
          <w:sz w:val="22"/>
          <w:szCs w:val="24"/>
        </w:rPr>
        <w:t xml:space="preserve">en required to sign confidentiality agreements. </w:t>
      </w:r>
    </w:p>
    <w:p w14:paraId="07B43A77" w14:textId="77777777" w:rsidR="00FE0E21" w:rsidRPr="004C2689" w:rsidRDefault="00D47ECF" w:rsidP="00A67B89">
      <w:pPr>
        <w:keepNext/>
        <w:keepLines/>
        <w:spacing w:after="240"/>
        <w:ind w:firstLine="720"/>
        <w:jc w:val="both"/>
        <w:rPr>
          <w:rFonts w:ascii="Arial" w:hAnsi="Arial" w:cs="Arial"/>
          <w:sz w:val="22"/>
        </w:rPr>
      </w:pPr>
      <w:r w:rsidRPr="004C2689">
        <w:rPr>
          <w:rFonts w:ascii="Arial" w:hAnsi="Arial" w:cs="Arial"/>
          <w:sz w:val="22"/>
        </w:rPr>
        <w:t>Jeff</w:t>
      </w:r>
      <w:r w:rsidRPr="004C2689">
        <w:rPr>
          <w:rFonts w:ascii="Arial" w:hAnsi="Arial" w:cs="Arial"/>
          <w:sz w:val="22"/>
        </w:rPr>
        <w:t>rey</w:t>
      </w:r>
      <w:r w:rsidRPr="004C2689">
        <w:rPr>
          <w:rFonts w:ascii="Arial" w:hAnsi="Arial" w:cs="Arial"/>
          <w:sz w:val="22"/>
        </w:rPr>
        <w:t xml:space="preserve"> R.</w:t>
      </w:r>
      <w:r w:rsidRPr="004C2689">
        <w:rPr>
          <w:rFonts w:ascii="Arial" w:hAnsi="Arial" w:cs="Arial"/>
          <w:sz w:val="22"/>
        </w:rPr>
        <w:t xml:space="preserve"> Grubb, first being duly sworn, deposes and states that he has reviewed Technical Appendix Volume 1 of the Company’s </w:t>
      </w:r>
      <w:r w:rsidRPr="004C2689">
        <w:rPr>
          <w:rFonts w:ascii="Arial" w:hAnsi="Arial" w:cs="Arial"/>
          <w:spacing w:val="-3"/>
          <w:sz w:val="22"/>
        </w:rPr>
        <w:t>20</w:t>
      </w:r>
      <w:r>
        <w:rPr>
          <w:rFonts w:ascii="Arial" w:hAnsi="Arial" w:cs="Arial"/>
          <w:spacing w:val="-3"/>
          <w:sz w:val="22"/>
        </w:rPr>
        <w:t>22</w:t>
      </w:r>
      <w:r w:rsidRPr="004C2689">
        <w:rPr>
          <w:rFonts w:ascii="Arial" w:hAnsi="Arial" w:cs="Arial"/>
          <w:spacing w:val="-3"/>
          <w:sz w:val="22"/>
        </w:rPr>
        <w:t xml:space="preserve"> </w:t>
      </w:r>
      <w:r w:rsidRPr="004C2689">
        <w:rPr>
          <w:rFonts w:ascii="Arial" w:hAnsi="Arial" w:cs="Arial"/>
          <w:spacing w:val="-3"/>
          <w:sz w:val="22"/>
        </w:rPr>
        <w:t>IRP</w:t>
      </w:r>
      <w:r w:rsidRPr="004C2689">
        <w:rPr>
          <w:rFonts w:ascii="Arial" w:hAnsi="Arial" w:cs="Arial"/>
          <w:sz w:val="22"/>
        </w:rPr>
        <w:t xml:space="preserve"> and that to the best of his knowledge the specific information designat</w:t>
      </w:r>
      <w:r w:rsidRPr="004C2689">
        <w:rPr>
          <w:rFonts w:ascii="Arial" w:hAnsi="Arial" w:cs="Arial"/>
          <w:sz w:val="22"/>
        </w:rPr>
        <w:t xml:space="preserve">ed as trade secret constitute trade secrets in accordance with O.C.G.A. </w:t>
      </w:r>
      <w:r w:rsidRPr="004C2689">
        <w:rPr>
          <w:rFonts w:ascii="Arial" w:hAnsi="Arial" w:cs="Arial"/>
          <w:sz w:val="22"/>
        </w:rPr>
        <w:t>§ 10-1-761 (</w:t>
      </w:r>
      <w:r w:rsidRPr="004C2689">
        <w:rPr>
          <w:rFonts w:ascii="Arial" w:hAnsi="Arial" w:cs="Arial"/>
          <w:sz w:val="22"/>
        </w:rPr>
        <w:t>20</w:t>
      </w:r>
      <w:r>
        <w:rPr>
          <w:rFonts w:ascii="Arial" w:hAnsi="Arial" w:cs="Arial"/>
          <w:sz w:val="22"/>
        </w:rPr>
        <w:t>21</w:t>
      </w:r>
      <w:r w:rsidRPr="004C2689">
        <w:rPr>
          <w:rFonts w:ascii="Arial" w:hAnsi="Arial" w:cs="Arial"/>
          <w:sz w:val="22"/>
        </w:rPr>
        <w:t>)</w:t>
      </w:r>
      <w:r w:rsidRPr="004C2689">
        <w:rPr>
          <w:rFonts w:ascii="Arial" w:hAnsi="Arial" w:cs="Arial"/>
          <w:sz w:val="22"/>
        </w:rPr>
        <w:t>.</w:t>
      </w:r>
    </w:p>
    <w:p w14:paraId="28339204" w14:textId="77777777" w:rsidR="00FE0E21" w:rsidRPr="004C2689" w:rsidRDefault="00D47ECF" w:rsidP="00A67B89">
      <w:pPr>
        <w:pStyle w:val="BodyText"/>
        <w:keepNext/>
        <w:keepLines/>
        <w:spacing w:after="0"/>
        <w:jc w:val="both"/>
        <w:rPr>
          <w:rFonts w:ascii="Arial" w:hAnsi="Arial" w:cs="Arial"/>
          <w:sz w:val="22"/>
        </w:rPr>
      </w:pPr>
    </w:p>
    <w:p w14:paraId="5D75726D" w14:textId="77777777" w:rsidR="00FE0E21" w:rsidRPr="004C2689" w:rsidRDefault="00D47ECF" w:rsidP="00A67B89">
      <w:pPr>
        <w:pStyle w:val="BodyText"/>
        <w:keepNext/>
        <w:keepLines/>
        <w:spacing w:after="0"/>
        <w:ind w:firstLine="4590"/>
        <w:jc w:val="both"/>
        <w:rPr>
          <w:rFonts w:ascii="Arial" w:hAnsi="Arial" w:cs="Arial"/>
          <w:sz w:val="22"/>
        </w:rPr>
      </w:pPr>
      <w:r w:rsidRPr="004C2689">
        <w:rPr>
          <w:rFonts w:ascii="Arial" w:hAnsi="Arial" w:cs="Arial"/>
          <w:sz w:val="22"/>
        </w:rPr>
        <w:t>________________________________</w:t>
      </w:r>
    </w:p>
    <w:p w14:paraId="7DB3AAAB" w14:textId="77777777" w:rsidR="00FE0E21" w:rsidRPr="004C2689" w:rsidRDefault="00D47ECF" w:rsidP="00A67B89">
      <w:pPr>
        <w:pStyle w:val="BodyText"/>
        <w:keepNext/>
        <w:keepLines/>
        <w:spacing w:after="0"/>
        <w:ind w:firstLine="4590"/>
        <w:jc w:val="both"/>
        <w:rPr>
          <w:rFonts w:ascii="Arial" w:hAnsi="Arial" w:cs="Arial"/>
          <w:sz w:val="22"/>
        </w:rPr>
      </w:pPr>
      <w:r w:rsidRPr="004C2689">
        <w:rPr>
          <w:rFonts w:ascii="Arial" w:hAnsi="Arial" w:cs="Arial"/>
          <w:sz w:val="22"/>
        </w:rPr>
        <w:t xml:space="preserve">Jeffrey </w:t>
      </w:r>
      <w:r w:rsidRPr="004C2689">
        <w:rPr>
          <w:rFonts w:ascii="Arial" w:hAnsi="Arial" w:cs="Arial"/>
          <w:sz w:val="22"/>
        </w:rPr>
        <w:t xml:space="preserve">R. </w:t>
      </w:r>
      <w:r w:rsidRPr="004C2689">
        <w:rPr>
          <w:rFonts w:ascii="Arial" w:hAnsi="Arial" w:cs="Arial"/>
          <w:sz w:val="22"/>
        </w:rPr>
        <w:t>Grubb</w:t>
      </w:r>
    </w:p>
    <w:p w14:paraId="70A7519D" w14:textId="77777777" w:rsidR="00FE0E21" w:rsidRPr="004C2689" w:rsidRDefault="00D47ECF" w:rsidP="00A67B89">
      <w:pPr>
        <w:pStyle w:val="BodyText"/>
        <w:keepNext/>
        <w:keepLines/>
        <w:spacing w:after="0"/>
        <w:ind w:firstLine="4590"/>
        <w:jc w:val="both"/>
        <w:rPr>
          <w:rFonts w:ascii="Arial" w:hAnsi="Arial" w:cs="Arial"/>
          <w:sz w:val="22"/>
        </w:rPr>
      </w:pPr>
      <w:r w:rsidRPr="004C2689">
        <w:rPr>
          <w:rFonts w:ascii="Arial" w:hAnsi="Arial" w:cs="Arial"/>
          <w:sz w:val="22"/>
        </w:rPr>
        <w:t>Director, Resource Policy &amp; Planning</w:t>
      </w:r>
    </w:p>
    <w:p w14:paraId="5DF2D8AA" w14:textId="77777777" w:rsidR="00FE0E21" w:rsidRPr="004C2689" w:rsidRDefault="00D47ECF" w:rsidP="00A67B89">
      <w:pPr>
        <w:pStyle w:val="BodyText"/>
        <w:keepNext/>
        <w:keepLines/>
        <w:spacing w:after="0"/>
        <w:ind w:firstLine="4590"/>
        <w:jc w:val="both"/>
        <w:rPr>
          <w:rFonts w:ascii="Arial" w:hAnsi="Arial" w:cs="Arial"/>
          <w:sz w:val="22"/>
        </w:rPr>
      </w:pPr>
      <w:r w:rsidRPr="004C2689">
        <w:rPr>
          <w:rFonts w:ascii="Arial" w:hAnsi="Arial" w:cs="Arial"/>
          <w:sz w:val="22"/>
        </w:rPr>
        <w:t>Georgia Power Company</w:t>
      </w:r>
    </w:p>
    <w:p w14:paraId="486EC980" w14:textId="77777777" w:rsidR="00FE0E21" w:rsidRPr="004C2689" w:rsidRDefault="00D47ECF" w:rsidP="00A67B89">
      <w:pPr>
        <w:pStyle w:val="BodyText"/>
        <w:keepNext/>
        <w:keepLines/>
        <w:spacing w:after="0"/>
        <w:jc w:val="both"/>
        <w:rPr>
          <w:rFonts w:ascii="Arial" w:hAnsi="Arial" w:cs="Arial"/>
          <w:sz w:val="22"/>
        </w:rPr>
      </w:pPr>
    </w:p>
    <w:p w14:paraId="5D3501E0" w14:textId="77777777" w:rsidR="00FE0E21" w:rsidRPr="004C2689" w:rsidRDefault="00D47ECF" w:rsidP="00FE0E21">
      <w:pPr>
        <w:pStyle w:val="BodyText"/>
        <w:spacing w:after="0"/>
        <w:jc w:val="both"/>
        <w:rPr>
          <w:rFonts w:ascii="Arial" w:hAnsi="Arial" w:cs="Arial"/>
          <w:sz w:val="22"/>
        </w:rPr>
      </w:pPr>
    </w:p>
    <w:p w14:paraId="5595C810" w14:textId="77777777" w:rsidR="00FE0E21" w:rsidRPr="004C2689" w:rsidRDefault="00D47ECF" w:rsidP="00FE0E21">
      <w:pPr>
        <w:pStyle w:val="BodyText"/>
        <w:spacing w:after="0"/>
        <w:jc w:val="both"/>
        <w:rPr>
          <w:rFonts w:ascii="Arial" w:hAnsi="Arial" w:cs="Arial"/>
          <w:sz w:val="22"/>
        </w:rPr>
      </w:pPr>
      <w:r w:rsidRPr="004C2689">
        <w:rPr>
          <w:rFonts w:ascii="Arial" w:hAnsi="Arial" w:cs="Arial"/>
          <w:sz w:val="22"/>
        </w:rPr>
        <w:t xml:space="preserve">Subscribed and sworn to before me this _____ day of _______, </w:t>
      </w:r>
      <w:r w:rsidRPr="004C2689">
        <w:rPr>
          <w:rFonts w:ascii="Arial" w:hAnsi="Arial" w:cs="Arial"/>
          <w:sz w:val="22"/>
        </w:rPr>
        <w:t>20</w:t>
      </w:r>
      <w:r>
        <w:rPr>
          <w:rFonts w:ascii="Arial" w:hAnsi="Arial" w:cs="Arial"/>
          <w:sz w:val="22"/>
        </w:rPr>
        <w:t>22</w:t>
      </w:r>
      <w:r w:rsidRPr="004C2689">
        <w:rPr>
          <w:rFonts w:ascii="Arial" w:hAnsi="Arial" w:cs="Arial"/>
          <w:sz w:val="22"/>
        </w:rPr>
        <w:t>.</w:t>
      </w:r>
    </w:p>
    <w:p w14:paraId="6E28F7E9" w14:textId="77777777" w:rsidR="00FE0E21" w:rsidRPr="004C2689" w:rsidRDefault="00D47ECF" w:rsidP="00FE0E21">
      <w:pPr>
        <w:pStyle w:val="BodyText"/>
        <w:spacing w:after="0"/>
        <w:jc w:val="both"/>
        <w:rPr>
          <w:rFonts w:ascii="Arial" w:hAnsi="Arial" w:cs="Arial"/>
          <w:sz w:val="22"/>
        </w:rPr>
      </w:pPr>
    </w:p>
    <w:p w14:paraId="34BB8747" w14:textId="77777777" w:rsidR="00FE0E21" w:rsidRPr="004C2689" w:rsidRDefault="00D47ECF" w:rsidP="00FE0E21">
      <w:pPr>
        <w:pStyle w:val="BodyText"/>
        <w:spacing w:after="0"/>
        <w:jc w:val="both"/>
        <w:rPr>
          <w:rFonts w:ascii="Arial" w:hAnsi="Arial" w:cs="Arial"/>
          <w:sz w:val="22"/>
        </w:rPr>
      </w:pPr>
    </w:p>
    <w:p w14:paraId="19417C59" w14:textId="77777777" w:rsidR="00FE0E21" w:rsidRPr="004C2689" w:rsidRDefault="00D47ECF" w:rsidP="00FE0E21">
      <w:pPr>
        <w:pStyle w:val="BodyText"/>
        <w:spacing w:after="0"/>
        <w:jc w:val="both"/>
        <w:rPr>
          <w:rFonts w:ascii="Arial" w:hAnsi="Arial" w:cs="Arial"/>
          <w:sz w:val="22"/>
        </w:rPr>
      </w:pPr>
    </w:p>
    <w:p w14:paraId="004C15BD" w14:textId="77777777" w:rsidR="00FE0E21" w:rsidRPr="004C2689" w:rsidRDefault="00D47ECF" w:rsidP="00FE0E21">
      <w:pPr>
        <w:pStyle w:val="BodyText"/>
        <w:spacing w:after="0"/>
        <w:jc w:val="both"/>
        <w:rPr>
          <w:rFonts w:ascii="Arial" w:hAnsi="Arial" w:cs="Arial"/>
          <w:sz w:val="22"/>
        </w:rPr>
      </w:pPr>
      <w:r w:rsidRPr="004C2689">
        <w:rPr>
          <w:rFonts w:ascii="Arial" w:hAnsi="Arial" w:cs="Arial"/>
          <w:sz w:val="22"/>
        </w:rPr>
        <w:t>____________________</w:t>
      </w:r>
    </w:p>
    <w:p w14:paraId="01EA9801" w14:textId="77777777" w:rsidR="00FE0E21" w:rsidRPr="004C2689" w:rsidRDefault="00D47ECF" w:rsidP="00FE0E21">
      <w:pPr>
        <w:pStyle w:val="BodyText"/>
        <w:spacing w:after="0"/>
        <w:jc w:val="both"/>
        <w:rPr>
          <w:rFonts w:ascii="Arial" w:hAnsi="Arial" w:cs="Arial"/>
          <w:sz w:val="22"/>
        </w:rPr>
      </w:pPr>
      <w:r w:rsidRPr="004C2689">
        <w:rPr>
          <w:rFonts w:ascii="Arial" w:hAnsi="Arial" w:cs="Arial"/>
          <w:sz w:val="22"/>
        </w:rPr>
        <w:t>Notary Public</w:t>
      </w:r>
    </w:p>
    <w:p w14:paraId="1FD61584" w14:textId="77777777" w:rsidR="00FE0E21" w:rsidRPr="004C2689" w:rsidRDefault="00D47ECF" w:rsidP="00FE0E21">
      <w:pPr>
        <w:pStyle w:val="BodyText"/>
        <w:spacing w:after="0"/>
        <w:jc w:val="both"/>
        <w:rPr>
          <w:rFonts w:ascii="Arial" w:hAnsi="Arial" w:cs="Arial"/>
          <w:sz w:val="22"/>
        </w:rPr>
      </w:pPr>
    </w:p>
    <w:p w14:paraId="73041ED0" w14:textId="77777777" w:rsidR="00FE0E21" w:rsidRPr="004C2689" w:rsidRDefault="00D47ECF" w:rsidP="00FE0E21">
      <w:pPr>
        <w:pStyle w:val="BodyText"/>
        <w:spacing w:after="0"/>
        <w:jc w:val="both"/>
        <w:rPr>
          <w:rFonts w:ascii="Arial" w:hAnsi="Arial" w:cs="Arial"/>
          <w:sz w:val="22"/>
        </w:rPr>
      </w:pPr>
      <w:r w:rsidRPr="004C2689">
        <w:rPr>
          <w:rFonts w:ascii="Arial" w:hAnsi="Arial" w:cs="Arial"/>
          <w:sz w:val="22"/>
        </w:rPr>
        <w:t>My Commission expires:</w:t>
      </w:r>
    </w:p>
    <w:p w14:paraId="001F0285" w14:textId="77777777" w:rsidR="00A53EBA" w:rsidRPr="004C2689" w:rsidRDefault="00D47ECF" w:rsidP="0005192C">
      <w:pPr>
        <w:jc w:val="both"/>
        <w:rPr>
          <w:rFonts w:ascii="Arial" w:hAnsi="Arial" w:cs="Arial"/>
          <w:sz w:val="22"/>
        </w:rPr>
      </w:pPr>
    </w:p>
    <w:sectPr w:rsidR="00A53EBA" w:rsidRPr="004C2689" w:rsidSect="00FC2A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D4A7F" w14:textId="77777777" w:rsidR="00D47ECF" w:rsidRDefault="00D47ECF" w:rsidP="00D47ECF">
      <w:r>
        <w:separator/>
      </w:r>
    </w:p>
  </w:endnote>
  <w:endnote w:type="continuationSeparator" w:id="0">
    <w:p w14:paraId="481F7C9B" w14:textId="77777777" w:rsidR="00D47ECF" w:rsidRDefault="00D47ECF" w:rsidP="00D47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4E855" w14:textId="77777777" w:rsidR="00D47ECF" w:rsidRDefault="00D47ECF" w:rsidP="00D47ECF">
      <w:r>
        <w:separator/>
      </w:r>
    </w:p>
  </w:footnote>
  <w:footnote w:type="continuationSeparator" w:id="0">
    <w:p w14:paraId="235D504B" w14:textId="77777777" w:rsidR="00D47ECF" w:rsidRDefault="00D47ECF" w:rsidP="00D47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ECF"/>
    <w:rsid w:val="00D47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9B7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5BF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Text"/>
    <w:qFormat/>
    <w:rsid w:val="00203FC2"/>
    <w:pPr>
      <w:spacing w:before="240" w:after="120"/>
      <w:jc w:val="center"/>
      <w:outlineLvl w:val="0"/>
    </w:pPr>
    <w:rPr>
      <w:rFonts w:cs="Arial"/>
      <w:b/>
      <w:bCs/>
      <w:caps/>
      <w:kern w:val="28"/>
      <w:szCs w:val="32"/>
      <w:u w:val="single"/>
    </w:rPr>
  </w:style>
  <w:style w:type="paragraph" w:styleId="BlockText">
    <w:name w:val="Block Text"/>
    <w:aliases w:val="Block Indent"/>
    <w:basedOn w:val="Normal"/>
    <w:rsid w:val="00B60D32"/>
    <w:pPr>
      <w:spacing w:before="120" w:after="120"/>
      <w:ind w:left="1440" w:right="1440"/>
    </w:pPr>
  </w:style>
  <w:style w:type="paragraph" w:styleId="BodyText">
    <w:name w:val="Body Text"/>
    <w:basedOn w:val="Normal"/>
    <w:rsid w:val="00D17751"/>
    <w:pPr>
      <w:widowControl w:val="0"/>
      <w:spacing w:after="240"/>
      <w:ind w:firstLine="720"/>
    </w:pPr>
  </w:style>
  <w:style w:type="paragraph" w:styleId="Closing">
    <w:name w:val="Closing"/>
    <w:basedOn w:val="Normal"/>
    <w:rsid w:val="00B60D32"/>
    <w:pPr>
      <w:ind w:left="4320"/>
    </w:pPr>
  </w:style>
  <w:style w:type="paragraph" w:styleId="Signature">
    <w:name w:val="Signature"/>
    <w:basedOn w:val="Normal"/>
    <w:rsid w:val="00B60D32"/>
    <w:pPr>
      <w:ind w:left="4320"/>
    </w:pPr>
  </w:style>
  <w:style w:type="paragraph" w:styleId="Subtitle">
    <w:name w:val="Subtitle"/>
    <w:basedOn w:val="Normal"/>
    <w:qFormat/>
    <w:rsid w:val="00B60D32"/>
    <w:pPr>
      <w:spacing w:before="120" w:after="240"/>
      <w:outlineLvl w:val="1"/>
    </w:pPr>
    <w:rPr>
      <w:rFonts w:cs="Arial"/>
      <w:b/>
    </w:rPr>
  </w:style>
  <w:style w:type="paragraph" w:styleId="EnvelopeAddress">
    <w:name w:val="envelope address"/>
    <w:basedOn w:val="Normal"/>
    <w:rsid w:val="00B60D32"/>
    <w:pPr>
      <w:framePr w:w="7920" w:h="1980" w:hRule="exact" w:hSpace="180" w:wrap="auto" w:hAnchor="page" w:xAlign="center" w:yAlign="bottom"/>
      <w:ind w:left="2880"/>
    </w:pPr>
    <w:rPr>
      <w:rFonts w:cs="Arial"/>
    </w:rPr>
  </w:style>
  <w:style w:type="paragraph" w:styleId="EnvelopeReturn">
    <w:name w:val="envelope return"/>
    <w:basedOn w:val="Normal"/>
    <w:rsid w:val="00B60D32"/>
    <w:rPr>
      <w:rFonts w:cs="Arial"/>
      <w:sz w:val="20"/>
    </w:rPr>
  </w:style>
  <w:style w:type="paragraph" w:customStyle="1" w:styleId="BodyTextDSFirstLine10Justified">
    <w:name w:val="Body Text DS First Line (1.0) Justified"/>
    <w:basedOn w:val="Normal"/>
    <w:rsid w:val="00B60D32"/>
    <w:pPr>
      <w:spacing w:line="480" w:lineRule="auto"/>
      <w:ind w:firstLine="1440"/>
      <w:jc w:val="both"/>
    </w:pPr>
  </w:style>
  <w:style w:type="paragraph" w:customStyle="1" w:styleId="BodyTextSSFirstLine5Justified">
    <w:name w:val="Body Text SS First Line (.5) Justified"/>
    <w:basedOn w:val="Normal"/>
    <w:rsid w:val="00EF6914"/>
    <w:pPr>
      <w:spacing w:before="120" w:after="120"/>
      <w:ind w:firstLine="720"/>
      <w:jc w:val="both"/>
    </w:pPr>
  </w:style>
  <w:style w:type="paragraph" w:customStyle="1" w:styleId="BodyTextDSFirstLine5Justified">
    <w:name w:val="Body Text DS First Line (.5) Justified"/>
    <w:basedOn w:val="Normal"/>
    <w:rsid w:val="003B65D3"/>
    <w:pPr>
      <w:spacing w:line="480" w:lineRule="auto"/>
      <w:ind w:firstLine="720"/>
      <w:jc w:val="both"/>
    </w:pPr>
  </w:style>
  <w:style w:type="paragraph" w:customStyle="1" w:styleId="BodyTextDSFirstLine5">
    <w:name w:val="Body Text DS First Line (.5)"/>
    <w:basedOn w:val="Normal"/>
    <w:rsid w:val="00B60D32"/>
    <w:pPr>
      <w:spacing w:line="480" w:lineRule="auto"/>
      <w:ind w:firstLine="720"/>
    </w:pPr>
  </w:style>
  <w:style w:type="paragraph" w:customStyle="1" w:styleId="BodyTextDSFirstLine10">
    <w:name w:val="Body Text DS First Line (1.0)"/>
    <w:basedOn w:val="Normal"/>
    <w:rsid w:val="00B60D32"/>
    <w:pPr>
      <w:spacing w:line="480" w:lineRule="auto"/>
      <w:ind w:firstLine="1440"/>
    </w:pPr>
  </w:style>
  <w:style w:type="paragraph" w:customStyle="1" w:styleId="BodyTextSSFirstLine5">
    <w:name w:val="Body Text SS First Line (.5 )"/>
    <w:basedOn w:val="Normal"/>
    <w:rsid w:val="00B60D32"/>
    <w:pPr>
      <w:spacing w:before="120" w:after="120"/>
      <w:ind w:firstLine="720"/>
    </w:pPr>
  </w:style>
  <w:style w:type="paragraph" w:customStyle="1" w:styleId="BodyTextSSFirstLine10">
    <w:name w:val="Body Text SS First Line (1.0)"/>
    <w:basedOn w:val="Normal"/>
    <w:rsid w:val="00B60D32"/>
    <w:pPr>
      <w:spacing w:before="120" w:after="120"/>
      <w:ind w:firstLine="1440"/>
    </w:pPr>
  </w:style>
  <w:style w:type="paragraph" w:customStyle="1" w:styleId="BodyTextSSFirstLine10Justified">
    <w:name w:val="Body Text SS First Line (1.0) Justified"/>
    <w:basedOn w:val="Normal"/>
    <w:rsid w:val="00B60D32"/>
    <w:pPr>
      <w:spacing w:before="120" w:after="120"/>
      <w:ind w:firstLine="1440"/>
      <w:jc w:val="both"/>
    </w:pPr>
  </w:style>
  <w:style w:type="paragraph" w:customStyle="1" w:styleId="Heading">
    <w:name w:val="Heading"/>
    <w:basedOn w:val="Normal"/>
    <w:rsid w:val="00203FC2"/>
    <w:pPr>
      <w:spacing w:after="240"/>
      <w:jc w:val="center"/>
    </w:pPr>
    <w:rPr>
      <w:b/>
      <w:caps/>
      <w:u w:val="single"/>
    </w:rPr>
  </w:style>
  <w:style w:type="paragraph" w:customStyle="1" w:styleId="BodyTextLevel3">
    <w:name w:val="Body Text Level 3"/>
    <w:basedOn w:val="BodyText"/>
    <w:rsid w:val="00203FC2"/>
    <w:pPr>
      <w:ind w:firstLine="2160"/>
    </w:pPr>
  </w:style>
  <w:style w:type="paragraph" w:customStyle="1" w:styleId="BodyTextContinued">
    <w:name w:val="Body Text Continued"/>
    <w:basedOn w:val="BodyText"/>
    <w:next w:val="BodyText"/>
    <w:rsid w:val="00D17751"/>
    <w:pPr>
      <w:ind w:firstLine="0"/>
    </w:pPr>
  </w:style>
  <w:style w:type="paragraph" w:styleId="Quote">
    <w:name w:val="Quote"/>
    <w:basedOn w:val="Normal"/>
    <w:next w:val="BodyTextContinued"/>
    <w:qFormat/>
    <w:rsid w:val="00D17751"/>
    <w:pPr>
      <w:spacing w:after="240"/>
      <w:ind w:left="1440" w:right="1440"/>
    </w:pPr>
  </w:style>
  <w:style w:type="paragraph" w:styleId="Header">
    <w:name w:val="header"/>
    <w:basedOn w:val="Normal"/>
    <w:rsid w:val="00D17751"/>
    <w:pPr>
      <w:tabs>
        <w:tab w:val="center" w:pos="4680"/>
        <w:tab w:val="right" w:pos="9360"/>
      </w:tabs>
    </w:pPr>
  </w:style>
  <w:style w:type="paragraph" w:styleId="Footer">
    <w:name w:val="footer"/>
    <w:basedOn w:val="Normal"/>
    <w:rsid w:val="00D17751"/>
    <w:pPr>
      <w:tabs>
        <w:tab w:val="center" w:pos="4680"/>
        <w:tab w:val="right" w:pos="9360"/>
      </w:tabs>
    </w:pPr>
  </w:style>
  <w:style w:type="character" w:styleId="PageNumber">
    <w:name w:val="page number"/>
    <w:basedOn w:val="DefaultParagraphFont"/>
    <w:rsid w:val="00D17751"/>
  </w:style>
  <w:style w:type="character" w:customStyle="1" w:styleId="zzmpTrailerItem">
    <w:name w:val="zzmpTrailerItem"/>
    <w:rsid w:val="00597B2F"/>
    <w:rPr>
      <w:rFonts w:ascii="Times New Roman" w:hAnsi="Times New Roman" w:cs="Times New Roman"/>
      <w:dstrike w:val="0"/>
      <w:noProof/>
      <w:color w:val="auto"/>
      <w:spacing w:val="0"/>
      <w:position w:val="0"/>
      <w:sz w:val="16"/>
      <w:szCs w:val="16"/>
      <w:u w:val="none"/>
      <w:effect w:val="none"/>
      <w:vertAlign w:val="baseline"/>
    </w:rPr>
  </w:style>
  <w:style w:type="character" w:styleId="CommentReference">
    <w:name w:val="annotation reference"/>
    <w:uiPriority w:val="99"/>
    <w:semiHidden/>
    <w:unhideWhenUsed/>
    <w:rsid w:val="00FD0B05"/>
    <w:rPr>
      <w:sz w:val="16"/>
      <w:szCs w:val="16"/>
    </w:rPr>
  </w:style>
  <w:style w:type="paragraph" w:styleId="CommentText">
    <w:name w:val="annotation text"/>
    <w:basedOn w:val="Normal"/>
    <w:link w:val="CommentTextChar"/>
    <w:uiPriority w:val="99"/>
    <w:semiHidden/>
    <w:unhideWhenUsed/>
    <w:rsid w:val="00FD0B05"/>
    <w:rPr>
      <w:sz w:val="20"/>
    </w:rPr>
  </w:style>
  <w:style w:type="character" w:customStyle="1" w:styleId="CommentTextChar">
    <w:name w:val="Comment Text Char"/>
    <w:basedOn w:val="DefaultParagraphFont"/>
    <w:link w:val="CommentText"/>
    <w:uiPriority w:val="99"/>
    <w:semiHidden/>
    <w:rsid w:val="00FD0B05"/>
  </w:style>
  <w:style w:type="paragraph" w:styleId="CommentSubject">
    <w:name w:val="annotation subject"/>
    <w:basedOn w:val="CommentText"/>
    <w:next w:val="CommentText"/>
    <w:link w:val="CommentSubjectChar"/>
    <w:uiPriority w:val="99"/>
    <w:semiHidden/>
    <w:unhideWhenUsed/>
    <w:rsid w:val="00FD0B05"/>
    <w:rPr>
      <w:b/>
      <w:bCs/>
    </w:rPr>
  </w:style>
  <w:style w:type="character" w:customStyle="1" w:styleId="CommentSubjectChar">
    <w:name w:val="Comment Subject Char"/>
    <w:link w:val="CommentSubject"/>
    <w:uiPriority w:val="99"/>
    <w:semiHidden/>
    <w:rsid w:val="00FD0B05"/>
    <w:rPr>
      <w:b/>
      <w:bCs/>
    </w:rPr>
  </w:style>
  <w:style w:type="paragraph" w:styleId="BalloonText">
    <w:name w:val="Balloon Text"/>
    <w:basedOn w:val="Normal"/>
    <w:link w:val="BalloonTextChar"/>
    <w:uiPriority w:val="99"/>
    <w:semiHidden/>
    <w:unhideWhenUsed/>
    <w:rsid w:val="00FD0B05"/>
    <w:rPr>
      <w:rFonts w:ascii="Tahoma" w:hAnsi="Tahoma" w:cs="Tahoma"/>
      <w:sz w:val="16"/>
      <w:szCs w:val="16"/>
    </w:rPr>
  </w:style>
  <w:style w:type="character" w:customStyle="1" w:styleId="BalloonTextChar">
    <w:name w:val="Balloon Text Char"/>
    <w:link w:val="BalloonText"/>
    <w:uiPriority w:val="99"/>
    <w:semiHidden/>
    <w:rsid w:val="00FD0B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899</Words>
  <Characters>5305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2022-01-30T19:57:00Z</dcterms:created>
  <dcterms:modified xsi:type="dcterms:W3CDTF">2022-01-30T19:58:00Z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