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D13324" w:rsidRPr="00D13324" w14:paraId="3FB839E5" w14:textId="77777777" w:rsidTr="005E6627">
        <w:trPr>
          <w:trHeight w:val="1681"/>
          <w:jc w:val="center"/>
        </w:trPr>
        <w:tc>
          <w:tcPr>
            <w:tcW w:w="4358" w:type="dxa"/>
            <w:hideMark/>
          </w:tcPr>
          <w:p w14:paraId="482A0176" w14:textId="77777777" w:rsidR="00D13324" w:rsidRPr="00D13324" w:rsidRDefault="00D13324" w:rsidP="00D13324">
            <w:pPr>
              <w:spacing w:line="276" w:lineRule="auto"/>
              <w:rPr>
                <w:rFonts w:ascii="Arial Black" w:hAnsi="Arial Black"/>
                <w:b/>
                <w:sz w:val="16"/>
                <w:szCs w:val="16"/>
              </w:rPr>
            </w:pPr>
            <w:r w:rsidRPr="00D13324">
              <w:rPr>
                <w:rFonts w:ascii="Arial Black" w:hAnsi="Arial Black"/>
                <w:sz w:val="16"/>
                <w:szCs w:val="16"/>
              </w:rPr>
              <w:fldChar w:fldCharType="begin"/>
            </w:r>
            <w:r w:rsidRPr="00D13324">
              <w:rPr>
                <w:rFonts w:ascii="Arial Black" w:hAnsi="Arial Black"/>
                <w:sz w:val="16"/>
                <w:szCs w:val="16"/>
              </w:rPr>
              <w:instrText>PRIVATE</w:instrText>
            </w:r>
            <w:r w:rsidRPr="00D13324">
              <w:rPr>
                <w:rFonts w:ascii="Arial Black" w:hAnsi="Arial Black"/>
                <w:sz w:val="16"/>
                <w:szCs w:val="16"/>
              </w:rPr>
              <w:fldChar w:fldCharType="end"/>
            </w:r>
            <w:r w:rsidRPr="00D13324">
              <w:rPr>
                <w:rFonts w:ascii="Arial Black" w:hAnsi="Arial Black"/>
                <w:b/>
                <w:sz w:val="16"/>
                <w:szCs w:val="16"/>
              </w:rPr>
              <w:t>COMMISSIONERS:</w:t>
            </w:r>
          </w:p>
          <w:p w14:paraId="0E86F8BE" w14:textId="77777777" w:rsidR="00D13324" w:rsidRPr="00D13324" w:rsidRDefault="00D13324" w:rsidP="00D13324">
            <w:pPr>
              <w:spacing w:line="276" w:lineRule="auto"/>
              <w:rPr>
                <w:rFonts w:ascii="Arial Black" w:hAnsi="Arial Black"/>
                <w:b/>
                <w:sz w:val="16"/>
                <w:szCs w:val="16"/>
              </w:rPr>
            </w:pPr>
          </w:p>
          <w:p w14:paraId="6B014193" w14:textId="77777777" w:rsidR="00D13324" w:rsidRPr="00D13324" w:rsidRDefault="00D13324" w:rsidP="00D13324">
            <w:pPr>
              <w:spacing w:line="276" w:lineRule="auto"/>
              <w:rPr>
                <w:rFonts w:ascii="Arial Black" w:hAnsi="Arial Black"/>
                <w:b/>
                <w:sz w:val="16"/>
                <w:szCs w:val="16"/>
              </w:rPr>
            </w:pPr>
            <w:r w:rsidRPr="00D13324">
              <w:rPr>
                <w:rFonts w:ascii="Arial Black" w:hAnsi="Arial Black"/>
                <w:b/>
                <w:sz w:val="16"/>
                <w:szCs w:val="16"/>
              </w:rPr>
              <w:t xml:space="preserve">TRICIA PRIDEMORE, Chairman </w:t>
            </w:r>
          </w:p>
          <w:p w14:paraId="2A3D9938" w14:textId="77777777" w:rsidR="00D13324" w:rsidRPr="00D13324" w:rsidRDefault="00D13324" w:rsidP="00D13324">
            <w:pPr>
              <w:spacing w:line="276" w:lineRule="auto"/>
              <w:rPr>
                <w:rFonts w:ascii="Arial Black" w:hAnsi="Arial Black"/>
                <w:b/>
                <w:sz w:val="16"/>
                <w:szCs w:val="16"/>
              </w:rPr>
            </w:pPr>
            <w:r w:rsidRPr="00D13324">
              <w:rPr>
                <w:rFonts w:ascii="Arial Black" w:hAnsi="Arial Black"/>
                <w:b/>
                <w:sz w:val="16"/>
                <w:szCs w:val="16"/>
              </w:rPr>
              <w:t>TIM G. ECHOLS, Vice-Chairman</w:t>
            </w:r>
          </w:p>
          <w:p w14:paraId="182BB3B7" w14:textId="77777777" w:rsidR="00D13324" w:rsidRPr="00D13324" w:rsidRDefault="00D13324" w:rsidP="00D13324">
            <w:pPr>
              <w:spacing w:line="276" w:lineRule="auto"/>
              <w:rPr>
                <w:rFonts w:ascii="Arial Black" w:hAnsi="Arial Black"/>
                <w:b/>
                <w:sz w:val="16"/>
                <w:szCs w:val="16"/>
              </w:rPr>
            </w:pPr>
            <w:r w:rsidRPr="00D13324">
              <w:rPr>
                <w:rFonts w:ascii="Arial Black" w:hAnsi="Arial Black"/>
                <w:b/>
                <w:sz w:val="16"/>
                <w:szCs w:val="16"/>
              </w:rPr>
              <w:t xml:space="preserve">FITZ JOHNSON </w:t>
            </w:r>
          </w:p>
          <w:p w14:paraId="5F9A3A10" w14:textId="77777777" w:rsidR="00D13324" w:rsidRPr="00D13324" w:rsidRDefault="00D13324" w:rsidP="00D13324">
            <w:pPr>
              <w:spacing w:line="276" w:lineRule="auto"/>
              <w:rPr>
                <w:sz w:val="24"/>
                <w:szCs w:val="24"/>
              </w:rPr>
            </w:pPr>
            <w:r w:rsidRPr="00D13324">
              <w:rPr>
                <w:rFonts w:ascii="Arial Black" w:hAnsi="Arial Black"/>
                <w:b/>
                <w:sz w:val="16"/>
                <w:szCs w:val="16"/>
              </w:rPr>
              <w:t xml:space="preserve">LAUREN “BUBBA” </w:t>
            </w:r>
            <w:proofErr w:type="spellStart"/>
            <w:r w:rsidRPr="00D13324">
              <w:rPr>
                <w:rFonts w:ascii="Arial Black" w:hAnsi="Arial Black"/>
                <w:b/>
                <w:sz w:val="16"/>
                <w:szCs w:val="16"/>
              </w:rPr>
              <w:t>McDONALD</w:t>
            </w:r>
            <w:proofErr w:type="spellEnd"/>
            <w:r w:rsidRPr="00D13324">
              <w:rPr>
                <w:rFonts w:ascii="Arial Black" w:hAnsi="Arial Black"/>
                <w:b/>
                <w:sz w:val="16"/>
                <w:szCs w:val="16"/>
              </w:rPr>
              <w:t xml:space="preserve">                                  </w:t>
            </w:r>
            <w:r w:rsidRPr="00D13324">
              <w:rPr>
                <w:rFonts w:ascii="Arial Black" w:hAnsi="Arial Black"/>
                <w:b/>
                <w:sz w:val="16"/>
                <w:szCs w:val="16"/>
              </w:rPr>
              <w:br/>
              <w:t xml:space="preserve">JASON SHAW                          </w:t>
            </w:r>
            <w:r w:rsidRPr="00D13324"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3AB255B3" w14:textId="77777777" w:rsidR="00D13324" w:rsidRPr="00D13324" w:rsidRDefault="00D13324" w:rsidP="00D1332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324">
              <w:rPr>
                <w:noProof/>
                <w:sz w:val="24"/>
                <w:szCs w:val="24"/>
              </w:rPr>
              <w:drawing>
                <wp:inline distT="0" distB="0" distL="0" distR="0" wp14:anchorId="7E28F63F" wp14:editId="047BC74D">
                  <wp:extent cx="1200150" cy="1143000"/>
                  <wp:effectExtent l="0" t="0" r="0" b="0"/>
                  <wp:docPr id="1" name="Picture 1" descr="State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668E7E5B" w14:textId="77777777" w:rsidR="00D13324" w:rsidRPr="00D13324" w:rsidRDefault="00D13324" w:rsidP="00D13324">
            <w:pPr>
              <w:spacing w:line="276" w:lineRule="auto"/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</w:p>
          <w:p w14:paraId="03924A18" w14:textId="77777777" w:rsidR="00D13324" w:rsidRPr="00D13324" w:rsidRDefault="00D13324" w:rsidP="00D13324">
            <w:pPr>
              <w:spacing w:line="276" w:lineRule="auto"/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</w:p>
          <w:p w14:paraId="1E3136D0" w14:textId="77777777" w:rsidR="00D13324" w:rsidRPr="00D13324" w:rsidRDefault="00D13324" w:rsidP="00D13324">
            <w:pPr>
              <w:spacing w:line="276" w:lineRule="auto"/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  <w:r w:rsidRPr="00D13324">
              <w:rPr>
                <w:rFonts w:ascii="Arial Black" w:hAnsi="Arial Black"/>
                <w:b/>
                <w:sz w:val="16"/>
                <w:szCs w:val="16"/>
              </w:rPr>
              <w:t xml:space="preserve">REECE </w:t>
            </w:r>
            <w:proofErr w:type="spellStart"/>
            <w:r w:rsidRPr="00D13324">
              <w:rPr>
                <w:rFonts w:ascii="Arial Black" w:hAnsi="Arial Black"/>
                <w:b/>
                <w:sz w:val="16"/>
                <w:szCs w:val="16"/>
              </w:rPr>
              <w:t>McALISTER</w:t>
            </w:r>
            <w:proofErr w:type="spellEnd"/>
            <w:r w:rsidRPr="00D13324">
              <w:rPr>
                <w:rFonts w:ascii="Arial Black" w:hAnsi="Arial Black"/>
                <w:b/>
                <w:sz w:val="16"/>
                <w:szCs w:val="16"/>
              </w:rPr>
              <w:t> </w:t>
            </w:r>
          </w:p>
          <w:p w14:paraId="611096F6" w14:textId="77777777" w:rsidR="00D13324" w:rsidRPr="00D13324" w:rsidRDefault="00D13324" w:rsidP="00D13324">
            <w:pPr>
              <w:spacing w:line="276" w:lineRule="auto"/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  <w:r w:rsidRPr="00D13324">
              <w:rPr>
                <w:rFonts w:ascii="Arial Black" w:hAnsi="Arial Black"/>
                <w:b/>
                <w:sz w:val="16"/>
                <w:szCs w:val="16"/>
              </w:rPr>
              <w:t>EXECUTIVE DIRECTOR</w:t>
            </w:r>
          </w:p>
          <w:p w14:paraId="547C4D8F" w14:textId="77777777" w:rsidR="00D13324" w:rsidRPr="00D13324" w:rsidRDefault="00D13324" w:rsidP="00D13324">
            <w:pPr>
              <w:spacing w:line="276" w:lineRule="auto"/>
              <w:jc w:val="right"/>
              <w:rPr>
                <w:rFonts w:ascii="Arial Black" w:hAnsi="Arial Black"/>
                <w:sz w:val="16"/>
                <w:szCs w:val="16"/>
              </w:rPr>
            </w:pPr>
            <w:r w:rsidRPr="00D13324">
              <w:rPr>
                <w:rFonts w:ascii="Arial Black" w:hAnsi="Arial Black"/>
                <w:b/>
                <w:sz w:val="16"/>
                <w:szCs w:val="16"/>
              </w:rPr>
              <w:t xml:space="preserve"> </w:t>
            </w:r>
            <w:r w:rsidRPr="00D13324">
              <w:rPr>
                <w:rFonts w:ascii="Arial Black" w:hAnsi="Arial Black"/>
                <w:b/>
                <w:sz w:val="16"/>
                <w:szCs w:val="16"/>
              </w:rPr>
              <w:br/>
              <w:t>SALLIE TANNER</w:t>
            </w:r>
            <w:r w:rsidRPr="00D13324">
              <w:rPr>
                <w:rFonts w:ascii="Arial Black" w:hAnsi="Arial Black"/>
                <w:b/>
                <w:sz w:val="16"/>
                <w:szCs w:val="16"/>
              </w:rPr>
              <w:br/>
              <w:t>EXECUTIVE SECRETARY</w:t>
            </w:r>
          </w:p>
        </w:tc>
      </w:tr>
      <w:tr w:rsidR="00D13324" w:rsidRPr="00D13324" w14:paraId="0CBC7F8A" w14:textId="77777777" w:rsidTr="005E6627">
        <w:trPr>
          <w:trHeight w:val="772"/>
          <w:jc w:val="center"/>
        </w:trPr>
        <w:tc>
          <w:tcPr>
            <w:tcW w:w="11056" w:type="dxa"/>
            <w:gridSpan w:val="3"/>
            <w:hideMark/>
          </w:tcPr>
          <w:p w14:paraId="1991E2F5" w14:textId="77777777" w:rsidR="00D13324" w:rsidRPr="00D13324" w:rsidRDefault="00D13324" w:rsidP="00D13324">
            <w:pPr>
              <w:keepNext/>
              <w:widowControl w:val="0"/>
              <w:tabs>
                <w:tab w:val="center" w:pos="468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Old English Text MT" w:hAnsi="Old English Text MT"/>
                <w:sz w:val="42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13324">
                  <w:rPr>
                    <w:rFonts w:ascii="Old English Text MT" w:hAnsi="Old English Text MT"/>
                    <w:sz w:val="42"/>
                    <w:szCs w:val="24"/>
                  </w:rPr>
                  <w:t>Georgia</w:t>
                </w:r>
              </w:smartTag>
            </w:smartTag>
            <w:r w:rsidRPr="00D13324">
              <w:rPr>
                <w:rFonts w:ascii="Old English Text MT" w:hAnsi="Old English Text MT"/>
                <w:sz w:val="42"/>
                <w:szCs w:val="24"/>
              </w:rPr>
              <w:t xml:space="preserve"> Public Service Commission</w:t>
            </w:r>
          </w:p>
        </w:tc>
      </w:tr>
      <w:tr w:rsidR="00D13324" w:rsidRPr="00D13324" w14:paraId="32703E03" w14:textId="77777777" w:rsidTr="005E6627">
        <w:trPr>
          <w:jc w:val="center"/>
        </w:trPr>
        <w:tc>
          <w:tcPr>
            <w:tcW w:w="4358" w:type="dxa"/>
            <w:hideMark/>
          </w:tcPr>
          <w:p w14:paraId="36757CE4" w14:textId="77777777" w:rsidR="00D13324" w:rsidRPr="00D13324" w:rsidRDefault="00D13324" w:rsidP="00D13324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 w:rsidRPr="00D13324">
              <w:rPr>
                <w:rFonts w:cs="Arial"/>
                <w:b/>
                <w:bCs/>
                <w:sz w:val="17"/>
                <w:szCs w:val="17"/>
              </w:rPr>
              <w:t xml:space="preserve">(404) 656-4501  </w:t>
            </w:r>
          </w:p>
          <w:p w14:paraId="544513AA" w14:textId="77777777" w:rsidR="00D13324" w:rsidRPr="00D13324" w:rsidRDefault="00D13324" w:rsidP="00D13324">
            <w:pPr>
              <w:spacing w:line="276" w:lineRule="auto"/>
              <w:rPr>
                <w:rFonts w:cs="Arial"/>
                <w:b/>
                <w:bCs/>
                <w:sz w:val="24"/>
                <w:szCs w:val="24"/>
              </w:rPr>
            </w:pPr>
            <w:r w:rsidRPr="00D13324"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79103C9E" w14:textId="77777777" w:rsidR="00D13324" w:rsidRPr="00D13324" w:rsidRDefault="00D13324" w:rsidP="00D13324">
            <w:pPr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D13324">
              <w:rPr>
                <w:rFonts w:cs="Arial"/>
                <w:b/>
                <w:sz w:val="17"/>
                <w:szCs w:val="17"/>
              </w:rPr>
              <w:t>244 WASHINGTON STREET, SW</w:t>
            </w:r>
            <w:r w:rsidRPr="00D13324"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 w:rsidRPr="00D13324"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 w:rsidRPr="00D13324"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 w:rsidRPr="00D13324"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 w:rsidRPr="00D13324"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7EF26DC2" w14:textId="77777777" w:rsidR="00D13324" w:rsidRPr="00D13324" w:rsidRDefault="00D13324" w:rsidP="00D13324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 w:rsidRPr="00D13324">
              <w:rPr>
                <w:rFonts w:cs="Arial"/>
                <w:b/>
                <w:bCs/>
                <w:sz w:val="17"/>
                <w:szCs w:val="17"/>
              </w:rPr>
              <w:t xml:space="preserve">FAX: (404) 656-2341                   </w:t>
            </w:r>
          </w:p>
          <w:p w14:paraId="3569AF20" w14:textId="77777777" w:rsidR="00D13324" w:rsidRPr="00D13324" w:rsidRDefault="00D13324" w:rsidP="00D13324">
            <w:pPr>
              <w:spacing w:line="276" w:lineRule="auto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D13324">
              <w:rPr>
                <w:rFonts w:cs="Arial"/>
                <w:b/>
                <w:bCs/>
                <w:sz w:val="17"/>
                <w:szCs w:val="17"/>
              </w:rPr>
              <w:t>psc.ga.gov</w:t>
            </w:r>
          </w:p>
        </w:tc>
      </w:tr>
      <w:tr w:rsidR="00D13324" w:rsidRPr="00D13324" w14:paraId="51888A28" w14:textId="77777777" w:rsidTr="005E6627">
        <w:trPr>
          <w:jc w:val="center"/>
        </w:trPr>
        <w:tc>
          <w:tcPr>
            <w:tcW w:w="4358" w:type="dxa"/>
          </w:tcPr>
          <w:p w14:paraId="1707B556" w14:textId="77777777" w:rsidR="00D13324" w:rsidRPr="00D13324" w:rsidRDefault="00D13324" w:rsidP="00D13324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1DC45938" w14:textId="77777777" w:rsidR="00D13324" w:rsidRPr="00D13324" w:rsidRDefault="00D13324" w:rsidP="00D13324">
            <w:pPr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109F7CEF" w14:textId="77777777" w:rsidR="00D13324" w:rsidRPr="00D13324" w:rsidRDefault="00D13324" w:rsidP="00D13324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4403CEEF" w14:textId="77777777" w:rsidR="00010B3A" w:rsidRDefault="00010B3A" w:rsidP="00010B3A">
      <w:pPr>
        <w:jc w:val="center"/>
        <w:rPr>
          <w:rFonts w:cs="Arial"/>
          <w:sz w:val="24"/>
          <w:szCs w:val="24"/>
        </w:rPr>
      </w:pPr>
    </w:p>
    <w:p w14:paraId="5984324A" w14:textId="77777777" w:rsidR="00D13324" w:rsidRDefault="00D13324" w:rsidP="00010B3A">
      <w:pPr>
        <w:jc w:val="center"/>
        <w:rPr>
          <w:rFonts w:cs="Arial"/>
          <w:sz w:val="24"/>
          <w:szCs w:val="24"/>
        </w:rPr>
      </w:pPr>
    </w:p>
    <w:p w14:paraId="0D8F2E05" w14:textId="77777777" w:rsidR="00010B3A" w:rsidRPr="006D2AE1" w:rsidRDefault="00010B3A" w:rsidP="00010B3A">
      <w:pPr>
        <w:jc w:val="center"/>
        <w:rPr>
          <w:sz w:val="24"/>
          <w:szCs w:val="24"/>
        </w:rPr>
      </w:pPr>
      <w:bookmarkStart w:id="0" w:name="_GoBack"/>
      <w:bookmarkEnd w:id="0"/>
      <w:r w:rsidRPr="006D2AE1">
        <w:rPr>
          <w:sz w:val="24"/>
          <w:szCs w:val="24"/>
        </w:rPr>
        <w:t>BEFORE THE GEORGIA PUBLIC SERVICE COMMISSION</w:t>
      </w:r>
    </w:p>
    <w:p w14:paraId="48E52EB9" w14:textId="77777777" w:rsidR="00010B3A" w:rsidRPr="006D2AE1" w:rsidRDefault="00010B3A" w:rsidP="00010B3A">
      <w:pPr>
        <w:jc w:val="center"/>
        <w:rPr>
          <w:sz w:val="24"/>
          <w:szCs w:val="24"/>
        </w:rPr>
      </w:pPr>
      <w:r w:rsidRPr="006D2AE1">
        <w:rPr>
          <w:sz w:val="24"/>
          <w:szCs w:val="24"/>
        </w:rPr>
        <w:t>STATE OF GEORGIA</w:t>
      </w:r>
    </w:p>
    <w:p w14:paraId="1B3E5A8B" w14:textId="77777777" w:rsidR="00010B3A" w:rsidRPr="006D2AE1" w:rsidRDefault="00010B3A" w:rsidP="00AD6D59">
      <w:pPr>
        <w:rPr>
          <w:sz w:val="24"/>
          <w:szCs w:val="24"/>
        </w:rPr>
      </w:pPr>
    </w:p>
    <w:p w14:paraId="422454DF" w14:textId="72C64AAC" w:rsidR="00010B3A" w:rsidRPr="006D2AE1" w:rsidRDefault="00010B3A" w:rsidP="00010B3A">
      <w:pPr>
        <w:rPr>
          <w:sz w:val="24"/>
          <w:szCs w:val="24"/>
        </w:rPr>
      </w:pPr>
      <w:r w:rsidRPr="006D2AE1">
        <w:rPr>
          <w:sz w:val="24"/>
          <w:szCs w:val="24"/>
        </w:rPr>
        <w:t xml:space="preserve">LIBERTY </w:t>
      </w:r>
      <w:r w:rsidR="006971D9" w:rsidRPr="006D2AE1">
        <w:rPr>
          <w:sz w:val="24"/>
          <w:szCs w:val="24"/>
        </w:rPr>
        <w:t>UTILITIES</w:t>
      </w:r>
      <w:r w:rsidRPr="006D2AE1">
        <w:rPr>
          <w:sz w:val="24"/>
          <w:szCs w:val="24"/>
        </w:rPr>
        <w:t xml:space="preserve"> (</w:t>
      </w:r>
      <w:r w:rsidR="006971D9" w:rsidRPr="006D2AE1">
        <w:rPr>
          <w:sz w:val="24"/>
          <w:szCs w:val="24"/>
        </w:rPr>
        <w:t>PEACH STATE NATURAL</w:t>
      </w:r>
      <w:r w:rsidRPr="006D2AE1">
        <w:rPr>
          <w:sz w:val="24"/>
          <w:szCs w:val="24"/>
        </w:rPr>
        <w:tab/>
      </w:r>
      <w:r w:rsidR="00772B1E" w:rsidRPr="006D2AE1">
        <w:rPr>
          <w:sz w:val="24"/>
          <w:szCs w:val="24"/>
        </w:rPr>
        <w:t>)</w:t>
      </w:r>
      <w:r w:rsidRPr="006D2AE1">
        <w:rPr>
          <w:sz w:val="24"/>
          <w:szCs w:val="24"/>
        </w:rPr>
        <w:tab/>
        <w:t xml:space="preserve">DOCKET NO. </w:t>
      </w:r>
      <w:r w:rsidR="0032264E">
        <w:rPr>
          <w:sz w:val="24"/>
          <w:szCs w:val="24"/>
        </w:rPr>
        <w:t>42959</w:t>
      </w:r>
    </w:p>
    <w:p w14:paraId="06D8C8B4" w14:textId="13595A2A" w:rsidR="00C72ECE" w:rsidRPr="006D2AE1" w:rsidRDefault="006971D9" w:rsidP="00010B3A">
      <w:pPr>
        <w:rPr>
          <w:sz w:val="24"/>
          <w:szCs w:val="24"/>
        </w:rPr>
      </w:pPr>
      <w:r w:rsidRPr="006D2AE1">
        <w:rPr>
          <w:sz w:val="24"/>
          <w:szCs w:val="24"/>
        </w:rPr>
        <w:t xml:space="preserve">GAS) CORP.’s </w:t>
      </w:r>
      <w:r w:rsidR="00C72ECE" w:rsidRPr="006D2AE1">
        <w:rPr>
          <w:sz w:val="24"/>
          <w:szCs w:val="24"/>
        </w:rPr>
        <w:t>20</w:t>
      </w:r>
      <w:r w:rsidR="00C32C30">
        <w:rPr>
          <w:sz w:val="24"/>
          <w:szCs w:val="24"/>
        </w:rPr>
        <w:t>22</w:t>
      </w:r>
      <w:r w:rsidR="00C72ECE" w:rsidRPr="006D2AE1">
        <w:rPr>
          <w:sz w:val="24"/>
          <w:szCs w:val="24"/>
        </w:rPr>
        <w:t xml:space="preserve"> GEORIGA RATE ADJUSTMENT</w:t>
      </w:r>
      <w:r w:rsidR="00C72ECE" w:rsidRPr="006D2AE1">
        <w:rPr>
          <w:sz w:val="24"/>
          <w:szCs w:val="24"/>
        </w:rPr>
        <w:tab/>
        <w:t>)</w:t>
      </w:r>
    </w:p>
    <w:p w14:paraId="45986520" w14:textId="1B2CFC98" w:rsidR="00010B3A" w:rsidRPr="006D2AE1" w:rsidRDefault="00C72ECE" w:rsidP="00010B3A">
      <w:pPr>
        <w:rPr>
          <w:sz w:val="24"/>
          <w:szCs w:val="24"/>
        </w:rPr>
      </w:pPr>
      <w:r w:rsidRPr="006D2AE1">
        <w:rPr>
          <w:sz w:val="24"/>
          <w:szCs w:val="24"/>
        </w:rPr>
        <w:t xml:space="preserve">MECHANISM </w:t>
      </w:r>
      <w:r w:rsidR="00B50F86" w:rsidRPr="006D2AE1">
        <w:rPr>
          <w:sz w:val="24"/>
          <w:szCs w:val="24"/>
        </w:rPr>
        <w:t xml:space="preserve">FILING </w:t>
      </w:r>
      <w:r w:rsidRPr="006D2AE1">
        <w:rPr>
          <w:sz w:val="24"/>
          <w:szCs w:val="24"/>
        </w:rPr>
        <w:t>(“20</w:t>
      </w:r>
      <w:r w:rsidR="0032264E">
        <w:rPr>
          <w:sz w:val="24"/>
          <w:szCs w:val="24"/>
        </w:rPr>
        <w:t>22</w:t>
      </w:r>
      <w:r w:rsidRPr="006D2AE1">
        <w:rPr>
          <w:sz w:val="24"/>
          <w:szCs w:val="24"/>
        </w:rPr>
        <w:t xml:space="preserve"> </w:t>
      </w:r>
      <w:r w:rsidR="009660F8">
        <w:rPr>
          <w:sz w:val="24"/>
          <w:szCs w:val="24"/>
        </w:rPr>
        <w:t xml:space="preserve">Annual </w:t>
      </w:r>
      <w:r w:rsidRPr="006D2AE1">
        <w:rPr>
          <w:sz w:val="24"/>
          <w:szCs w:val="24"/>
        </w:rPr>
        <w:t>GRAM</w:t>
      </w:r>
      <w:r w:rsidR="009660F8">
        <w:rPr>
          <w:sz w:val="24"/>
          <w:szCs w:val="24"/>
        </w:rPr>
        <w:t xml:space="preserve"> Filing</w:t>
      </w:r>
      <w:r w:rsidRPr="006D2AE1">
        <w:rPr>
          <w:sz w:val="24"/>
          <w:szCs w:val="24"/>
        </w:rPr>
        <w:t>”)</w:t>
      </w:r>
      <w:r w:rsidRPr="006D2AE1">
        <w:rPr>
          <w:sz w:val="24"/>
          <w:szCs w:val="24"/>
        </w:rPr>
        <w:tab/>
      </w:r>
      <w:r w:rsidR="00772B1E" w:rsidRPr="006D2AE1">
        <w:rPr>
          <w:sz w:val="24"/>
          <w:szCs w:val="24"/>
        </w:rPr>
        <w:t>)</w:t>
      </w:r>
    </w:p>
    <w:p w14:paraId="026C5E43" w14:textId="77777777" w:rsidR="002511B3" w:rsidRPr="006D2AE1" w:rsidRDefault="002511B3" w:rsidP="00010B3A">
      <w:pPr>
        <w:rPr>
          <w:sz w:val="24"/>
          <w:szCs w:val="24"/>
        </w:rPr>
      </w:pP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  <w:t>)</w:t>
      </w:r>
    </w:p>
    <w:p w14:paraId="726FFE5E" w14:textId="77777777" w:rsidR="00FC2A97" w:rsidRDefault="00FC2A97" w:rsidP="00032CBD">
      <w:pPr>
        <w:pStyle w:val="Heading1"/>
        <w:rPr>
          <w:sz w:val="24"/>
          <w:szCs w:val="24"/>
          <w:u w:val="none"/>
          <w:lang w:val="en-US"/>
        </w:rPr>
      </w:pPr>
    </w:p>
    <w:p w14:paraId="5F2F5F03" w14:textId="14B803A1" w:rsidR="00032CBD" w:rsidRDefault="00032CBD" w:rsidP="00032CBD">
      <w:pPr>
        <w:pStyle w:val="Heading1"/>
        <w:rPr>
          <w:sz w:val="24"/>
          <w:szCs w:val="24"/>
          <w:u w:val="none"/>
          <w:lang w:val="en-US"/>
        </w:rPr>
      </w:pPr>
      <w:r>
        <w:rPr>
          <w:sz w:val="24"/>
          <w:szCs w:val="24"/>
          <w:u w:val="none"/>
          <w:lang w:val="en-US"/>
        </w:rPr>
        <w:t>DOCKET NO. 42959</w:t>
      </w:r>
    </w:p>
    <w:p w14:paraId="30C7298B" w14:textId="77777777" w:rsidR="00032CBD" w:rsidRPr="00BA201F" w:rsidRDefault="00032CBD" w:rsidP="00BA201F"/>
    <w:p w14:paraId="5B1E4FF0" w14:textId="56E01ACD" w:rsidR="002511B3" w:rsidRPr="00032CBD" w:rsidRDefault="00010B3A" w:rsidP="00032CBD">
      <w:pPr>
        <w:pStyle w:val="Heading1"/>
        <w:rPr>
          <w:sz w:val="24"/>
          <w:szCs w:val="24"/>
          <w:u w:val="none"/>
          <w:lang w:val="en-US"/>
        </w:rPr>
      </w:pPr>
      <w:r w:rsidRPr="00032CBD">
        <w:rPr>
          <w:sz w:val="24"/>
          <w:szCs w:val="24"/>
          <w:u w:val="none"/>
        </w:rPr>
        <w:t>ORDER ADOPTING</w:t>
      </w:r>
      <w:r w:rsidR="00C72ECE" w:rsidRPr="00032CBD">
        <w:rPr>
          <w:sz w:val="24"/>
          <w:szCs w:val="24"/>
          <w:u w:val="none"/>
          <w:lang w:val="en-US"/>
        </w:rPr>
        <w:t xml:space="preserve"> 20</w:t>
      </w:r>
      <w:r w:rsidR="0032264E" w:rsidRPr="00032CBD">
        <w:rPr>
          <w:sz w:val="24"/>
          <w:szCs w:val="24"/>
          <w:u w:val="none"/>
          <w:lang w:val="en-US"/>
        </w:rPr>
        <w:t>22</w:t>
      </w:r>
      <w:r w:rsidR="00C72ECE" w:rsidRPr="00032CBD">
        <w:rPr>
          <w:sz w:val="24"/>
          <w:szCs w:val="24"/>
          <w:u w:val="none"/>
          <w:lang w:val="en-US"/>
        </w:rPr>
        <w:t xml:space="preserve"> GRAM</w:t>
      </w:r>
      <w:r w:rsidRPr="00032CBD">
        <w:rPr>
          <w:sz w:val="24"/>
          <w:szCs w:val="24"/>
          <w:u w:val="none"/>
        </w:rPr>
        <w:t xml:space="preserve"> STIPULATION</w:t>
      </w:r>
    </w:p>
    <w:p w14:paraId="34ED9004" w14:textId="77777777" w:rsidR="00010B3A" w:rsidRPr="006D2AE1" w:rsidRDefault="00010B3A" w:rsidP="00010B3A">
      <w:pPr>
        <w:rPr>
          <w:sz w:val="24"/>
          <w:szCs w:val="24"/>
        </w:rPr>
      </w:pPr>
    </w:p>
    <w:p w14:paraId="18BABD87" w14:textId="6E711505" w:rsidR="00010B3A" w:rsidRDefault="00010B3A" w:rsidP="00010B3A">
      <w:pPr>
        <w:ind w:firstLine="720"/>
        <w:jc w:val="both"/>
        <w:rPr>
          <w:sz w:val="24"/>
          <w:szCs w:val="24"/>
        </w:rPr>
      </w:pPr>
      <w:r w:rsidRPr="006D2AE1">
        <w:rPr>
          <w:sz w:val="24"/>
          <w:szCs w:val="24"/>
        </w:rPr>
        <w:t xml:space="preserve">The Georgia Public Service Commission (“Commission”) issues this Order to accept the Stipulation agreed to </w:t>
      </w:r>
      <w:r w:rsidR="002511B3" w:rsidRPr="006D2AE1">
        <w:rPr>
          <w:sz w:val="24"/>
          <w:szCs w:val="24"/>
        </w:rPr>
        <w:t xml:space="preserve">in Docket </w:t>
      </w:r>
      <w:r w:rsidR="0032264E">
        <w:rPr>
          <w:sz w:val="24"/>
          <w:szCs w:val="24"/>
        </w:rPr>
        <w:t>42959</w:t>
      </w:r>
      <w:r w:rsidR="002511B3" w:rsidRPr="006D2AE1">
        <w:rPr>
          <w:sz w:val="24"/>
          <w:szCs w:val="24"/>
        </w:rPr>
        <w:t xml:space="preserve"> </w:t>
      </w:r>
      <w:r w:rsidRPr="006D2AE1">
        <w:rPr>
          <w:sz w:val="24"/>
          <w:szCs w:val="24"/>
        </w:rPr>
        <w:t xml:space="preserve">by </w:t>
      </w:r>
      <w:r w:rsidRPr="006D2AE1">
        <w:rPr>
          <w:bCs/>
          <w:sz w:val="24"/>
          <w:szCs w:val="24"/>
        </w:rPr>
        <w:t xml:space="preserve">Liberty </w:t>
      </w:r>
      <w:r w:rsidR="006971D9" w:rsidRPr="006D2AE1">
        <w:rPr>
          <w:bCs/>
          <w:sz w:val="24"/>
          <w:szCs w:val="24"/>
        </w:rPr>
        <w:t>Utilities</w:t>
      </w:r>
      <w:r w:rsidRPr="006D2AE1">
        <w:rPr>
          <w:bCs/>
          <w:sz w:val="24"/>
          <w:szCs w:val="24"/>
        </w:rPr>
        <w:t xml:space="preserve"> (</w:t>
      </w:r>
      <w:r w:rsidR="006971D9" w:rsidRPr="006D2AE1">
        <w:rPr>
          <w:bCs/>
          <w:sz w:val="24"/>
          <w:szCs w:val="24"/>
        </w:rPr>
        <w:t>Peach State Natural Gas</w:t>
      </w:r>
      <w:r w:rsidRPr="006D2AE1">
        <w:rPr>
          <w:bCs/>
          <w:sz w:val="24"/>
          <w:szCs w:val="24"/>
        </w:rPr>
        <w:t>) Corp. (“</w:t>
      </w:r>
      <w:r w:rsidR="00576EE9">
        <w:rPr>
          <w:bCs/>
          <w:sz w:val="24"/>
          <w:szCs w:val="24"/>
        </w:rPr>
        <w:t>PSNG</w:t>
      </w:r>
      <w:r w:rsidRPr="006D2AE1">
        <w:rPr>
          <w:bCs/>
          <w:sz w:val="24"/>
          <w:szCs w:val="24"/>
        </w:rPr>
        <w:t xml:space="preserve">”) </w:t>
      </w:r>
      <w:r w:rsidRPr="006D2AE1">
        <w:rPr>
          <w:sz w:val="24"/>
          <w:szCs w:val="24"/>
        </w:rPr>
        <w:t xml:space="preserve">and the Gas Staff of the Georgia Public Service Commission (“Staff”).  A copy of the Stipulation is attached hereto as </w:t>
      </w:r>
      <w:r w:rsidR="00352707">
        <w:rPr>
          <w:sz w:val="24"/>
          <w:szCs w:val="24"/>
        </w:rPr>
        <w:t>Exhibit 1</w:t>
      </w:r>
      <w:r w:rsidR="0055303B">
        <w:rPr>
          <w:sz w:val="24"/>
          <w:szCs w:val="24"/>
        </w:rPr>
        <w:t>,</w:t>
      </w:r>
      <w:r w:rsidR="00352707">
        <w:rPr>
          <w:sz w:val="24"/>
          <w:szCs w:val="24"/>
        </w:rPr>
        <w:t xml:space="preserve"> which includes an </w:t>
      </w:r>
      <w:r w:rsidRPr="006D2AE1">
        <w:rPr>
          <w:sz w:val="24"/>
          <w:szCs w:val="24"/>
        </w:rPr>
        <w:t xml:space="preserve">Attachment </w:t>
      </w:r>
      <w:proofErr w:type="gramStart"/>
      <w:r w:rsidRPr="006D2AE1">
        <w:rPr>
          <w:sz w:val="24"/>
          <w:szCs w:val="24"/>
        </w:rPr>
        <w:t>A</w:t>
      </w:r>
      <w:proofErr w:type="gramEnd"/>
      <w:r w:rsidR="00352707">
        <w:rPr>
          <w:sz w:val="24"/>
          <w:szCs w:val="24"/>
        </w:rPr>
        <w:t xml:space="preserve"> and an Attachment B</w:t>
      </w:r>
      <w:r w:rsidRPr="006D2AE1">
        <w:rPr>
          <w:sz w:val="24"/>
          <w:szCs w:val="24"/>
        </w:rPr>
        <w:t>.</w:t>
      </w:r>
      <w:r w:rsidR="002511B3" w:rsidRPr="006D2AE1">
        <w:rPr>
          <w:sz w:val="24"/>
          <w:szCs w:val="24"/>
        </w:rPr>
        <w:t xml:space="preserve"> </w:t>
      </w:r>
    </w:p>
    <w:p w14:paraId="4EC8C55C" w14:textId="074836AA" w:rsidR="00576EE9" w:rsidRDefault="00576EE9" w:rsidP="00010B3A">
      <w:pPr>
        <w:ind w:firstLine="720"/>
        <w:jc w:val="both"/>
        <w:rPr>
          <w:sz w:val="24"/>
          <w:szCs w:val="24"/>
        </w:rPr>
      </w:pPr>
    </w:p>
    <w:p w14:paraId="0FB65E95" w14:textId="28981BEC" w:rsidR="00576EE9" w:rsidRPr="00F237ED" w:rsidRDefault="00576EE9" w:rsidP="004E154B">
      <w:pPr>
        <w:pStyle w:val="ListParagraph"/>
        <w:numPr>
          <w:ilvl w:val="0"/>
          <w:numId w:val="2"/>
        </w:numPr>
        <w:jc w:val="center"/>
        <w:rPr>
          <w:b/>
          <w:szCs w:val="24"/>
        </w:rPr>
      </w:pPr>
      <w:r w:rsidRPr="00F237ED">
        <w:rPr>
          <w:b/>
          <w:szCs w:val="24"/>
        </w:rPr>
        <w:t>Background</w:t>
      </w:r>
    </w:p>
    <w:p w14:paraId="62572177" w14:textId="77777777" w:rsidR="00576EE9" w:rsidRPr="009F6B1F" w:rsidRDefault="00576EE9" w:rsidP="00576EE9">
      <w:pPr>
        <w:spacing w:before="100" w:after="100"/>
        <w:contextualSpacing/>
        <w:rPr>
          <w:rFonts w:eastAsia="Calibri"/>
          <w:snapToGrid w:val="0"/>
          <w:sz w:val="24"/>
          <w:szCs w:val="24"/>
        </w:rPr>
      </w:pPr>
    </w:p>
    <w:p w14:paraId="23053BE7" w14:textId="3B7BF5BC" w:rsidR="004E154B" w:rsidRPr="006D2AE1" w:rsidRDefault="00576EE9" w:rsidP="004E154B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  <w:r w:rsidRPr="0040211E">
        <w:rPr>
          <w:rFonts w:eastAsiaTheme="minorHAnsi" w:cs="Arial"/>
          <w:snapToGrid w:val="0"/>
          <w:sz w:val="24"/>
        </w:rPr>
        <w:t xml:space="preserve">On December 27, 2011, the Commission approved a </w:t>
      </w:r>
      <w:r>
        <w:rPr>
          <w:rFonts w:eastAsiaTheme="minorHAnsi" w:cs="Arial"/>
          <w:snapToGrid w:val="0"/>
          <w:sz w:val="24"/>
        </w:rPr>
        <w:t>S</w:t>
      </w:r>
      <w:r w:rsidRPr="0040211E">
        <w:rPr>
          <w:rFonts w:eastAsiaTheme="minorHAnsi" w:cs="Arial"/>
          <w:snapToGrid w:val="0"/>
          <w:sz w:val="24"/>
        </w:rPr>
        <w:t xml:space="preserve">tipulated </w:t>
      </w:r>
      <w:r>
        <w:rPr>
          <w:rFonts w:eastAsiaTheme="minorHAnsi" w:cs="Arial"/>
          <w:snapToGrid w:val="0"/>
          <w:sz w:val="24"/>
        </w:rPr>
        <w:t>A</w:t>
      </w:r>
      <w:r w:rsidRPr="0040211E">
        <w:rPr>
          <w:rFonts w:eastAsiaTheme="minorHAnsi" w:cs="Arial"/>
          <w:snapToGrid w:val="0"/>
          <w:sz w:val="24"/>
        </w:rPr>
        <w:t xml:space="preserve">greement between the Staff and </w:t>
      </w:r>
      <w:proofErr w:type="spellStart"/>
      <w:r w:rsidRPr="0040211E">
        <w:rPr>
          <w:rFonts w:eastAsiaTheme="minorHAnsi" w:cs="Arial"/>
          <w:snapToGrid w:val="0"/>
          <w:sz w:val="24"/>
        </w:rPr>
        <w:t>Atmos</w:t>
      </w:r>
      <w:proofErr w:type="spellEnd"/>
      <w:r w:rsidRPr="0040211E">
        <w:rPr>
          <w:rFonts w:eastAsiaTheme="minorHAnsi" w:cs="Arial"/>
          <w:snapToGrid w:val="0"/>
          <w:sz w:val="24"/>
        </w:rPr>
        <w:t xml:space="preserve"> Energy for an alternative form of ratemaking in</w:t>
      </w:r>
      <w:r>
        <w:rPr>
          <w:rFonts w:eastAsiaTheme="minorHAnsi" w:cs="Arial"/>
          <w:snapToGrid w:val="0"/>
          <w:sz w:val="24"/>
        </w:rPr>
        <w:t xml:space="preserve"> accordance with</w:t>
      </w:r>
      <w:r w:rsidRPr="0040211E">
        <w:rPr>
          <w:rFonts w:eastAsiaTheme="minorHAnsi" w:cs="Arial"/>
          <w:snapToGrid w:val="0"/>
          <w:sz w:val="24"/>
        </w:rPr>
        <w:t xml:space="preserve"> O.C.G.A. 46-2-23.1. Th</w:t>
      </w:r>
      <w:r>
        <w:rPr>
          <w:rFonts w:eastAsiaTheme="minorHAnsi" w:cs="Arial"/>
          <w:snapToGrid w:val="0"/>
          <w:sz w:val="24"/>
        </w:rPr>
        <w:t>e pro</w:t>
      </w:r>
      <w:r w:rsidRPr="0040211E">
        <w:rPr>
          <w:rFonts w:eastAsiaTheme="minorHAnsi" w:cs="Arial"/>
          <w:snapToGrid w:val="0"/>
          <w:sz w:val="24"/>
        </w:rPr>
        <w:t xml:space="preserve">cess </w:t>
      </w:r>
      <w:proofErr w:type="gramStart"/>
      <w:r w:rsidRPr="0040211E">
        <w:rPr>
          <w:rFonts w:eastAsiaTheme="minorHAnsi" w:cs="Arial"/>
          <w:snapToGrid w:val="0"/>
          <w:sz w:val="24"/>
        </w:rPr>
        <w:t>is called</w:t>
      </w:r>
      <w:proofErr w:type="gramEnd"/>
      <w:r w:rsidRPr="0040211E">
        <w:rPr>
          <w:rFonts w:eastAsiaTheme="minorHAnsi" w:cs="Arial"/>
          <w:snapToGrid w:val="0"/>
          <w:sz w:val="24"/>
        </w:rPr>
        <w:t xml:space="preserve"> the Georgia Rate Adjustment Mechanism or GRAM. On February 26, 2013, </w:t>
      </w:r>
      <w:r w:rsidR="004E154B">
        <w:rPr>
          <w:rFonts w:eastAsiaTheme="minorHAnsi" w:cs="Arial"/>
          <w:snapToGrid w:val="0"/>
          <w:sz w:val="24"/>
        </w:rPr>
        <w:t>PSNG</w:t>
      </w:r>
      <w:r>
        <w:rPr>
          <w:rFonts w:eastAsiaTheme="minorHAnsi" w:cs="Arial"/>
          <w:snapToGrid w:val="0"/>
          <w:sz w:val="24"/>
        </w:rPr>
        <w:t xml:space="preserve"> </w:t>
      </w:r>
      <w:r w:rsidRPr="0040211E">
        <w:rPr>
          <w:rFonts w:eastAsiaTheme="minorHAnsi" w:cs="Arial"/>
          <w:snapToGrid w:val="0"/>
          <w:sz w:val="24"/>
        </w:rPr>
        <w:t xml:space="preserve">purchased the </w:t>
      </w:r>
      <w:proofErr w:type="spellStart"/>
      <w:r w:rsidRPr="0040211E">
        <w:rPr>
          <w:rFonts w:eastAsiaTheme="minorHAnsi" w:cs="Arial"/>
          <w:snapToGrid w:val="0"/>
          <w:sz w:val="24"/>
        </w:rPr>
        <w:t>Atmos</w:t>
      </w:r>
      <w:proofErr w:type="spellEnd"/>
      <w:r w:rsidRPr="0040211E">
        <w:rPr>
          <w:rFonts w:eastAsiaTheme="minorHAnsi" w:cs="Arial"/>
          <w:snapToGrid w:val="0"/>
          <w:sz w:val="24"/>
        </w:rPr>
        <w:t xml:space="preserve"> Energy assets in Georgia and inherited the GRAM</w:t>
      </w:r>
      <w:r>
        <w:rPr>
          <w:rFonts w:eastAsiaTheme="minorHAnsi" w:cs="Arial"/>
          <w:snapToGrid w:val="0"/>
          <w:sz w:val="24"/>
        </w:rPr>
        <w:t xml:space="preserve"> process</w:t>
      </w:r>
      <w:r w:rsidRPr="0040211E">
        <w:rPr>
          <w:rFonts w:eastAsiaTheme="minorHAnsi" w:cs="Arial"/>
          <w:snapToGrid w:val="0"/>
          <w:sz w:val="24"/>
        </w:rPr>
        <w:t xml:space="preserve">. </w:t>
      </w:r>
      <w:r w:rsidRPr="0040211E">
        <w:rPr>
          <w:rFonts w:eastAsia="Calibri"/>
          <w:snapToGrid w:val="0"/>
          <w:sz w:val="24"/>
        </w:rPr>
        <w:t>The purchase was final on April 1, 2013.</w:t>
      </w:r>
      <w:r>
        <w:rPr>
          <w:rFonts w:eastAsia="Calibri"/>
          <w:snapToGrid w:val="0"/>
          <w:sz w:val="24"/>
        </w:rPr>
        <w:t xml:space="preserve"> On May 3, 2016, the Commission approved a new GRAM stipulated agreement between the Staff and PSNG that continued to incorporate the annual filing with a detailed revenue requirement and rate design model with eleven schedules and supporting </w:t>
      </w:r>
      <w:proofErr w:type="spellStart"/>
      <w:r>
        <w:rPr>
          <w:rFonts w:eastAsia="Calibri"/>
          <w:snapToGrid w:val="0"/>
          <w:sz w:val="24"/>
        </w:rPr>
        <w:t>workpapers</w:t>
      </w:r>
      <w:proofErr w:type="spellEnd"/>
      <w:r>
        <w:rPr>
          <w:rFonts w:eastAsia="Calibri"/>
          <w:snapToGrid w:val="0"/>
          <w:sz w:val="24"/>
        </w:rPr>
        <w:t>.</w:t>
      </w:r>
      <w:r w:rsidR="004E154B" w:rsidRPr="004E154B">
        <w:rPr>
          <w:rFonts w:eastAsia="Calibri"/>
          <w:snapToGrid w:val="0"/>
          <w:sz w:val="24"/>
          <w:szCs w:val="24"/>
        </w:rPr>
        <w:t xml:space="preserve"> </w:t>
      </w:r>
      <w:r w:rsidR="004E154B" w:rsidRPr="006D2AE1">
        <w:rPr>
          <w:rFonts w:eastAsia="Calibri"/>
          <w:snapToGrid w:val="0"/>
          <w:sz w:val="24"/>
          <w:szCs w:val="24"/>
        </w:rPr>
        <w:t xml:space="preserve">On </w:t>
      </w:r>
      <w:r w:rsidR="004E154B">
        <w:rPr>
          <w:rFonts w:eastAsia="Calibri"/>
          <w:snapToGrid w:val="0"/>
          <w:sz w:val="24"/>
          <w:szCs w:val="24"/>
        </w:rPr>
        <w:t>July 30</w:t>
      </w:r>
      <w:r w:rsidR="004E154B" w:rsidRPr="006D2AE1">
        <w:rPr>
          <w:rFonts w:eastAsia="Calibri"/>
          <w:snapToGrid w:val="0"/>
          <w:sz w:val="24"/>
          <w:szCs w:val="24"/>
        </w:rPr>
        <w:t>, 20</w:t>
      </w:r>
      <w:r w:rsidR="004E154B">
        <w:rPr>
          <w:rFonts w:eastAsia="Calibri"/>
          <w:snapToGrid w:val="0"/>
          <w:sz w:val="24"/>
          <w:szCs w:val="24"/>
        </w:rPr>
        <w:t>20</w:t>
      </w:r>
      <w:r w:rsidR="004E154B" w:rsidRPr="006D2AE1">
        <w:rPr>
          <w:rFonts w:eastAsia="Calibri"/>
          <w:snapToGrid w:val="0"/>
          <w:sz w:val="24"/>
          <w:szCs w:val="24"/>
        </w:rPr>
        <w:t xml:space="preserve">, the Commission approved a </w:t>
      </w:r>
      <w:r w:rsidR="004E154B">
        <w:rPr>
          <w:rFonts w:eastAsia="Calibri"/>
          <w:snapToGrid w:val="0"/>
          <w:sz w:val="24"/>
          <w:szCs w:val="24"/>
        </w:rPr>
        <w:t xml:space="preserve">new GRAM </w:t>
      </w:r>
      <w:r w:rsidR="004E154B" w:rsidRPr="006D2AE1">
        <w:rPr>
          <w:rFonts w:eastAsia="Calibri"/>
          <w:snapToGrid w:val="0"/>
          <w:sz w:val="24"/>
          <w:szCs w:val="24"/>
        </w:rPr>
        <w:t xml:space="preserve">Stipulated Agreement between Staff and </w:t>
      </w:r>
      <w:r w:rsidR="004E154B">
        <w:rPr>
          <w:rFonts w:eastAsia="Calibri"/>
          <w:snapToGrid w:val="0"/>
          <w:sz w:val="24"/>
          <w:szCs w:val="24"/>
        </w:rPr>
        <w:t>PSNG</w:t>
      </w:r>
      <w:r w:rsidR="004E154B" w:rsidRPr="006D2AE1">
        <w:rPr>
          <w:rFonts w:eastAsia="Calibri"/>
          <w:snapToGrid w:val="0"/>
          <w:sz w:val="24"/>
          <w:szCs w:val="24"/>
        </w:rPr>
        <w:t xml:space="preserve"> for </w:t>
      </w:r>
      <w:r w:rsidR="004E154B">
        <w:rPr>
          <w:rFonts w:eastAsia="Calibri"/>
          <w:snapToGrid w:val="0"/>
          <w:sz w:val="24"/>
          <w:szCs w:val="24"/>
        </w:rPr>
        <w:t>a continuation of the</w:t>
      </w:r>
      <w:r w:rsidR="004E154B" w:rsidRPr="006D2AE1">
        <w:rPr>
          <w:rFonts w:eastAsia="Calibri"/>
          <w:snapToGrid w:val="0"/>
          <w:sz w:val="24"/>
          <w:szCs w:val="24"/>
        </w:rPr>
        <w:t xml:space="preserve"> alternative form of ratemaking in accordance with O.C.G.A. 46-2-23.1. </w:t>
      </w:r>
    </w:p>
    <w:p w14:paraId="2E08C849" w14:textId="4D7E55E8" w:rsidR="00576EE9" w:rsidRDefault="00576EE9" w:rsidP="00576EE9">
      <w:pPr>
        <w:spacing w:before="100" w:after="100"/>
        <w:contextualSpacing/>
        <w:jc w:val="both"/>
        <w:rPr>
          <w:rFonts w:eastAsia="Calibri"/>
          <w:snapToGrid w:val="0"/>
          <w:sz w:val="24"/>
        </w:rPr>
      </w:pPr>
    </w:p>
    <w:p w14:paraId="21F876C8" w14:textId="199C99B2" w:rsidR="00576EE9" w:rsidRDefault="00576EE9" w:rsidP="004E154B">
      <w:pPr>
        <w:pStyle w:val="ListParagraph"/>
        <w:numPr>
          <w:ilvl w:val="0"/>
          <w:numId w:val="2"/>
        </w:numPr>
        <w:jc w:val="center"/>
        <w:rPr>
          <w:b/>
        </w:rPr>
      </w:pPr>
      <w:r w:rsidRPr="00F237ED">
        <w:rPr>
          <w:b/>
        </w:rPr>
        <w:lastRenderedPageBreak/>
        <w:t>20</w:t>
      </w:r>
      <w:r>
        <w:rPr>
          <w:b/>
        </w:rPr>
        <w:t>22</w:t>
      </w:r>
      <w:r w:rsidRPr="00F237ED">
        <w:rPr>
          <w:b/>
        </w:rPr>
        <w:t xml:space="preserve"> GRAM Filing</w:t>
      </w:r>
    </w:p>
    <w:p w14:paraId="31728C80" w14:textId="77777777" w:rsidR="005B68A4" w:rsidRDefault="005B68A4">
      <w:pPr>
        <w:spacing w:before="100" w:after="100"/>
        <w:ind w:firstLine="720"/>
        <w:contextualSpacing/>
        <w:jc w:val="both"/>
        <w:rPr>
          <w:rFonts w:eastAsiaTheme="minorHAnsi" w:cs="Arial"/>
          <w:snapToGrid w:val="0"/>
          <w:sz w:val="24"/>
        </w:rPr>
      </w:pPr>
    </w:p>
    <w:p w14:paraId="7732AAA7" w14:textId="7DE7674A" w:rsidR="00576EE9" w:rsidRDefault="00576EE9">
      <w:pPr>
        <w:spacing w:before="100" w:after="100"/>
        <w:ind w:firstLine="720"/>
        <w:contextualSpacing/>
        <w:jc w:val="both"/>
        <w:rPr>
          <w:rFonts w:eastAsiaTheme="minorHAnsi" w:cs="Arial"/>
          <w:snapToGrid w:val="0"/>
          <w:sz w:val="24"/>
        </w:rPr>
      </w:pPr>
      <w:r>
        <w:rPr>
          <w:rFonts w:eastAsiaTheme="minorHAnsi" w:cs="Arial"/>
          <w:snapToGrid w:val="0"/>
          <w:sz w:val="24"/>
        </w:rPr>
        <w:t xml:space="preserve">On October 1, 2021, PSNG filed its </w:t>
      </w:r>
      <w:proofErr w:type="gramStart"/>
      <w:r>
        <w:rPr>
          <w:rFonts w:eastAsiaTheme="minorHAnsi" w:cs="Arial"/>
          <w:snapToGrid w:val="0"/>
          <w:sz w:val="24"/>
        </w:rPr>
        <w:t>2022 GRAM</w:t>
      </w:r>
      <w:proofErr w:type="gramEnd"/>
      <w:r w:rsidRPr="0040211E">
        <w:rPr>
          <w:rFonts w:eastAsiaTheme="minorHAnsi" w:cs="Arial"/>
          <w:snapToGrid w:val="0"/>
          <w:sz w:val="24"/>
        </w:rPr>
        <w:t xml:space="preserve"> asking f</w:t>
      </w:r>
      <w:r>
        <w:rPr>
          <w:rFonts w:eastAsiaTheme="minorHAnsi" w:cs="Arial"/>
          <w:snapToGrid w:val="0"/>
          <w:sz w:val="24"/>
        </w:rPr>
        <w:t>or a rate increase of $5,240,835, as found in Schedule-11, on a Rate Base Attributed to Common Equity totaling $</w:t>
      </w:r>
      <w:r w:rsidR="00566ACE">
        <w:rPr>
          <w:rFonts w:eastAsiaTheme="minorHAnsi" w:cs="Arial"/>
          <w:snapToGrid w:val="0"/>
          <w:sz w:val="24"/>
        </w:rPr>
        <w:t>109</w:t>
      </w:r>
      <w:r w:rsidR="00B864B3">
        <w:rPr>
          <w:rFonts w:eastAsiaTheme="minorHAnsi" w:cs="Arial"/>
          <w:snapToGrid w:val="0"/>
          <w:sz w:val="24"/>
        </w:rPr>
        <w:t>,</w:t>
      </w:r>
      <w:r w:rsidR="00566ACE">
        <w:rPr>
          <w:rFonts w:eastAsiaTheme="minorHAnsi" w:cs="Arial"/>
          <w:snapToGrid w:val="0"/>
          <w:sz w:val="24"/>
        </w:rPr>
        <w:t>505</w:t>
      </w:r>
      <w:r w:rsidR="00B864B3">
        <w:rPr>
          <w:rFonts w:eastAsiaTheme="minorHAnsi" w:cs="Arial"/>
          <w:snapToGrid w:val="0"/>
          <w:sz w:val="24"/>
        </w:rPr>
        <w:t>,082</w:t>
      </w:r>
      <w:r>
        <w:rPr>
          <w:rFonts w:eastAsiaTheme="minorHAnsi" w:cs="Arial"/>
          <w:snapToGrid w:val="0"/>
          <w:sz w:val="24"/>
        </w:rPr>
        <w:t xml:space="preserve"> with</w:t>
      </w:r>
      <w:r w:rsidRPr="0040211E">
        <w:rPr>
          <w:rFonts w:eastAsiaTheme="minorHAnsi" w:cs="Arial"/>
          <w:snapToGrid w:val="0"/>
          <w:sz w:val="24"/>
        </w:rPr>
        <w:t xml:space="preserve"> an ROE </w:t>
      </w:r>
      <w:r>
        <w:rPr>
          <w:rFonts w:eastAsiaTheme="minorHAnsi" w:cs="Arial"/>
          <w:snapToGrid w:val="0"/>
          <w:sz w:val="24"/>
        </w:rPr>
        <w:t xml:space="preserve">of </w:t>
      </w:r>
      <w:r w:rsidR="00696744">
        <w:rPr>
          <w:rFonts w:eastAsiaTheme="minorHAnsi" w:cs="Arial"/>
          <w:snapToGrid w:val="0"/>
          <w:sz w:val="24"/>
        </w:rPr>
        <w:t>6.37</w:t>
      </w:r>
      <w:r>
        <w:rPr>
          <w:rFonts w:eastAsiaTheme="minorHAnsi" w:cs="Arial"/>
          <w:snapToGrid w:val="0"/>
          <w:sz w:val="24"/>
        </w:rPr>
        <w:t xml:space="preserve">% using current rates through the Forward Looking Test Year ending </w:t>
      </w:r>
      <w:r w:rsidR="00696744">
        <w:rPr>
          <w:rFonts w:eastAsiaTheme="minorHAnsi" w:cs="Arial"/>
          <w:snapToGrid w:val="0"/>
          <w:sz w:val="24"/>
        </w:rPr>
        <w:t>January 31, 2023</w:t>
      </w:r>
      <w:r>
        <w:rPr>
          <w:rFonts w:eastAsiaTheme="minorHAnsi" w:cs="Arial"/>
          <w:snapToGrid w:val="0"/>
          <w:sz w:val="24"/>
        </w:rPr>
        <w:t xml:space="preserve">. </w:t>
      </w:r>
    </w:p>
    <w:p w14:paraId="3503DE33" w14:textId="77777777" w:rsidR="00B63305" w:rsidRPr="0040211E" w:rsidRDefault="00B63305" w:rsidP="00F31760">
      <w:pPr>
        <w:spacing w:before="100" w:after="100"/>
        <w:ind w:firstLine="720"/>
        <w:contextualSpacing/>
        <w:jc w:val="both"/>
        <w:rPr>
          <w:rFonts w:eastAsia="Calibri"/>
          <w:b/>
          <w:snapToGrid w:val="0"/>
          <w:sz w:val="24"/>
          <w:szCs w:val="24"/>
        </w:rPr>
      </w:pPr>
    </w:p>
    <w:p w14:paraId="72BE52A6" w14:textId="77777777" w:rsidR="00576EE9" w:rsidRPr="00F237ED" w:rsidRDefault="00576EE9" w:rsidP="004E154B">
      <w:pPr>
        <w:pStyle w:val="ListParagraph"/>
        <w:numPr>
          <w:ilvl w:val="0"/>
          <w:numId w:val="2"/>
        </w:numPr>
        <w:jc w:val="center"/>
        <w:rPr>
          <w:b/>
          <w:szCs w:val="24"/>
        </w:rPr>
      </w:pPr>
      <w:r w:rsidRPr="00F237ED">
        <w:rPr>
          <w:b/>
          <w:szCs w:val="24"/>
        </w:rPr>
        <w:t>Staff’s Analysis</w:t>
      </w:r>
    </w:p>
    <w:p w14:paraId="0A75AF9B" w14:textId="77777777" w:rsidR="00576EE9" w:rsidRDefault="00576EE9" w:rsidP="00576EE9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</w:p>
    <w:p w14:paraId="5FDE862D" w14:textId="0D4C3C2E" w:rsidR="00576EE9" w:rsidRDefault="00576EE9" w:rsidP="00576EE9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>The Staff reviewed the 20</w:t>
      </w:r>
      <w:r w:rsidR="00696744">
        <w:rPr>
          <w:rFonts w:eastAsia="Calibri"/>
          <w:snapToGrid w:val="0"/>
          <w:sz w:val="24"/>
          <w:szCs w:val="24"/>
        </w:rPr>
        <w:t>2</w:t>
      </w:r>
      <w:r w:rsidR="00E06727">
        <w:rPr>
          <w:rFonts w:eastAsia="Calibri"/>
          <w:snapToGrid w:val="0"/>
          <w:sz w:val="24"/>
          <w:szCs w:val="24"/>
        </w:rPr>
        <w:t>2</w:t>
      </w:r>
      <w:r>
        <w:rPr>
          <w:rFonts w:eastAsia="Calibri"/>
          <w:snapToGrid w:val="0"/>
          <w:sz w:val="24"/>
          <w:szCs w:val="24"/>
        </w:rPr>
        <w:t xml:space="preserve"> GRAM by analyzing each of the eleven </w:t>
      </w:r>
      <w:r w:rsidR="00696744">
        <w:rPr>
          <w:rFonts w:eastAsia="Calibri"/>
          <w:snapToGrid w:val="0"/>
          <w:sz w:val="24"/>
          <w:szCs w:val="24"/>
        </w:rPr>
        <w:t xml:space="preserve">(11) </w:t>
      </w:r>
      <w:r>
        <w:rPr>
          <w:rFonts w:eastAsia="Calibri"/>
          <w:snapToGrid w:val="0"/>
          <w:sz w:val="24"/>
          <w:szCs w:val="24"/>
        </w:rPr>
        <w:t xml:space="preserve">schedules and the </w:t>
      </w:r>
      <w:r w:rsidR="00696744">
        <w:rPr>
          <w:rFonts w:eastAsia="Calibri"/>
          <w:snapToGrid w:val="0"/>
          <w:sz w:val="24"/>
          <w:szCs w:val="24"/>
        </w:rPr>
        <w:t>forty-five (45)</w:t>
      </w:r>
      <w:r>
        <w:rPr>
          <w:rFonts w:eastAsia="Calibri"/>
          <w:snapToGrid w:val="0"/>
          <w:sz w:val="24"/>
          <w:szCs w:val="24"/>
        </w:rPr>
        <w:t xml:space="preserve"> supporting </w:t>
      </w:r>
      <w:proofErr w:type="spellStart"/>
      <w:r>
        <w:rPr>
          <w:rFonts w:eastAsia="Calibri"/>
          <w:snapToGrid w:val="0"/>
          <w:sz w:val="24"/>
          <w:szCs w:val="24"/>
        </w:rPr>
        <w:t>workpapers</w:t>
      </w:r>
      <w:proofErr w:type="spellEnd"/>
      <w:r>
        <w:rPr>
          <w:rFonts w:eastAsia="Calibri"/>
          <w:snapToGrid w:val="0"/>
          <w:sz w:val="24"/>
          <w:szCs w:val="24"/>
        </w:rPr>
        <w:t>. Schedule-1 provided a Calculation of Revenue Sufficiency</w:t>
      </w:r>
      <w:proofErr w:type="gramStart"/>
      <w:r>
        <w:rPr>
          <w:rFonts w:eastAsia="Calibri"/>
          <w:snapToGrid w:val="0"/>
          <w:sz w:val="24"/>
          <w:szCs w:val="24"/>
        </w:rPr>
        <w:t>/(</w:t>
      </w:r>
      <w:proofErr w:type="gramEnd"/>
      <w:r>
        <w:rPr>
          <w:rFonts w:eastAsia="Calibri"/>
          <w:snapToGrid w:val="0"/>
          <w:sz w:val="24"/>
          <w:szCs w:val="24"/>
        </w:rPr>
        <w:t xml:space="preserve">Deficiency) for </w:t>
      </w:r>
      <w:r w:rsidR="004E154B">
        <w:rPr>
          <w:rFonts w:eastAsia="Calibri"/>
          <w:snapToGrid w:val="0"/>
          <w:sz w:val="24"/>
          <w:szCs w:val="24"/>
        </w:rPr>
        <w:t>PSNG</w:t>
      </w:r>
      <w:r>
        <w:rPr>
          <w:rFonts w:eastAsia="Calibri"/>
          <w:snapToGrid w:val="0"/>
          <w:sz w:val="24"/>
          <w:szCs w:val="24"/>
        </w:rPr>
        <w:t xml:space="preserve">’s overall rate base. The Staff traced the source numbers and found no issues. Schedule-2 calculated the Average Rate Base, but more </w:t>
      </w:r>
      <w:proofErr w:type="gramStart"/>
      <w:r>
        <w:rPr>
          <w:rFonts w:eastAsia="Calibri"/>
          <w:snapToGrid w:val="0"/>
          <w:sz w:val="24"/>
          <w:szCs w:val="24"/>
        </w:rPr>
        <w:t>specifically</w:t>
      </w:r>
      <w:proofErr w:type="gramEnd"/>
      <w:r>
        <w:rPr>
          <w:rFonts w:eastAsia="Calibri"/>
          <w:snapToGrid w:val="0"/>
          <w:sz w:val="24"/>
          <w:szCs w:val="24"/>
        </w:rPr>
        <w:t xml:space="preserve"> it calculated </w:t>
      </w:r>
      <w:r w:rsidR="00696744">
        <w:rPr>
          <w:rFonts w:eastAsia="Calibri"/>
          <w:snapToGrid w:val="0"/>
          <w:sz w:val="24"/>
          <w:szCs w:val="24"/>
        </w:rPr>
        <w:t>PSNG</w:t>
      </w:r>
      <w:r>
        <w:rPr>
          <w:rFonts w:eastAsia="Calibri"/>
          <w:snapToGrid w:val="0"/>
          <w:sz w:val="24"/>
          <w:szCs w:val="24"/>
        </w:rPr>
        <w:t xml:space="preserve">’s Return on Equity (“ROE”) using present rates through the end of the Forward Looking Test Year, twelve months ending </w:t>
      </w:r>
      <w:r w:rsidR="00696744">
        <w:rPr>
          <w:rFonts w:eastAsia="Calibri"/>
          <w:snapToGrid w:val="0"/>
          <w:sz w:val="24"/>
          <w:szCs w:val="24"/>
        </w:rPr>
        <w:t>January 31, 2023</w:t>
      </w:r>
      <w:r>
        <w:rPr>
          <w:rFonts w:eastAsia="Calibri"/>
          <w:snapToGrid w:val="0"/>
          <w:sz w:val="24"/>
          <w:szCs w:val="24"/>
        </w:rPr>
        <w:t xml:space="preserve">. Since Schedule-2 is the main schedule that determined if </w:t>
      </w:r>
      <w:r w:rsidR="004E154B">
        <w:rPr>
          <w:rFonts w:eastAsia="Calibri"/>
          <w:snapToGrid w:val="0"/>
          <w:sz w:val="24"/>
          <w:szCs w:val="24"/>
        </w:rPr>
        <w:t>PSNG</w:t>
      </w:r>
      <w:r>
        <w:rPr>
          <w:rFonts w:eastAsia="Calibri"/>
          <w:snapToGrid w:val="0"/>
          <w:sz w:val="24"/>
          <w:szCs w:val="24"/>
        </w:rPr>
        <w:t xml:space="preserve"> was overearning or under-earning, it pulls </w:t>
      </w:r>
      <w:proofErr w:type="gramStart"/>
      <w:r>
        <w:rPr>
          <w:rFonts w:eastAsia="Calibri"/>
          <w:snapToGrid w:val="0"/>
          <w:sz w:val="24"/>
          <w:szCs w:val="24"/>
        </w:rPr>
        <w:t>its</w:t>
      </w:r>
      <w:proofErr w:type="gramEnd"/>
      <w:r>
        <w:rPr>
          <w:rFonts w:eastAsia="Calibri"/>
          <w:snapToGrid w:val="0"/>
          <w:sz w:val="24"/>
          <w:szCs w:val="24"/>
        </w:rPr>
        <w:t xml:space="preserve"> supporting data from its own </w:t>
      </w:r>
      <w:proofErr w:type="spellStart"/>
      <w:r>
        <w:rPr>
          <w:rFonts w:eastAsia="Calibri"/>
          <w:snapToGrid w:val="0"/>
          <w:sz w:val="24"/>
          <w:szCs w:val="24"/>
        </w:rPr>
        <w:t>workpapers</w:t>
      </w:r>
      <w:proofErr w:type="spellEnd"/>
      <w:r>
        <w:rPr>
          <w:rFonts w:eastAsia="Calibri"/>
          <w:snapToGrid w:val="0"/>
          <w:sz w:val="24"/>
          <w:szCs w:val="24"/>
        </w:rPr>
        <w:t xml:space="preserve">, Schedules-3 through Schedule-10, and their schedules supporting </w:t>
      </w:r>
      <w:proofErr w:type="spellStart"/>
      <w:r>
        <w:rPr>
          <w:rFonts w:eastAsia="Calibri"/>
          <w:snapToGrid w:val="0"/>
          <w:sz w:val="24"/>
          <w:szCs w:val="24"/>
        </w:rPr>
        <w:t>workpapers</w:t>
      </w:r>
      <w:proofErr w:type="spellEnd"/>
      <w:r>
        <w:rPr>
          <w:rFonts w:eastAsia="Calibri"/>
          <w:snapToGrid w:val="0"/>
          <w:sz w:val="24"/>
          <w:szCs w:val="24"/>
        </w:rPr>
        <w:t xml:space="preserve">. The Staff conducted a detailed review of the supporting data from Schedules-3 through Schedule-10, supporting </w:t>
      </w:r>
      <w:proofErr w:type="spellStart"/>
      <w:r>
        <w:rPr>
          <w:rFonts w:eastAsia="Calibri"/>
          <w:snapToGrid w:val="0"/>
          <w:sz w:val="24"/>
          <w:szCs w:val="24"/>
        </w:rPr>
        <w:t>workpapers</w:t>
      </w:r>
      <w:proofErr w:type="spellEnd"/>
      <w:r>
        <w:rPr>
          <w:rFonts w:eastAsia="Calibri"/>
          <w:snapToGrid w:val="0"/>
          <w:sz w:val="24"/>
          <w:szCs w:val="24"/>
        </w:rPr>
        <w:t xml:space="preserve">, quarterly </w:t>
      </w:r>
      <w:r w:rsidR="00696744">
        <w:rPr>
          <w:rFonts w:eastAsia="Calibri"/>
          <w:snapToGrid w:val="0"/>
          <w:sz w:val="24"/>
          <w:szCs w:val="24"/>
        </w:rPr>
        <w:t xml:space="preserve">GRAM </w:t>
      </w:r>
      <w:r>
        <w:rPr>
          <w:rFonts w:eastAsia="Calibri"/>
          <w:snapToGrid w:val="0"/>
          <w:sz w:val="24"/>
          <w:szCs w:val="24"/>
        </w:rPr>
        <w:t>report</w:t>
      </w:r>
      <w:r w:rsidR="00696744">
        <w:rPr>
          <w:rFonts w:eastAsia="Calibri"/>
          <w:snapToGrid w:val="0"/>
          <w:sz w:val="24"/>
          <w:szCs w:val="24"/>
        </w:rPr>
        <w:t>s</w:t>
      </w:r>
      <w:r>
        <w:rPr>
          <w:rFonts w:eastAsia="Calibri"/>
          <w:snapToGrid w:val="0"/>
          <w:sz w:val="24"/>
          <w:szCs w:val="24"/>
        </w:rPr>
        <w:t>, appropriate methodologies and rates approved in the 2</w:t>
      </w:r>
      <w:r w:rsidR="00696744">
        <w:rPr>
          <w:rFonts w:eastAsia="Calibri"/>
          <w:snapToGrid w:val="0"/>
          <w:sz w:val="24"/>
          <w:szCs w:val="24"/>
        </w:rPr>
        <w:t>020</w:t>
      </w:r>
      <w:r>
        <w:rPr>
          <w:rFonts w:eastAsia="Calibri"/>
          <w:snapToGrid w:val="0"/>
          <w:sz w:val="24"/>
          <w:szCs w:val="24"/>
        </w:rPr>
        <w:t xml:space="preserve"> </w:t>
      </w:r>
      <w:r w:rsidR="00696744">
        <w:rPr>
          <w:rFonts w:eastAsia="Calibri"/>
          <w:snapToGrid w:val="0"/>
          <w:sz w:val="24"/>
          <w:szCs w:val="24"/>
        </w:rPr>
        <w:t xml:space="preserve">GRAM </w:t>
      </w:r>
      <w:r w:rsidR="00FD4085">
        <w:rPr>
          <w:rFonts w:eastAsia="Calibri"/>
          <w:snapToGrid w:val="0"/>
          <w:sz w:val="24"/>
          <w:szCs w:val="24"/>
        </w:rPr>
        <w:t>S</w:t>
      </w:r>
      <w:r w:rsidR="00696744">
        <w:rPr>
          <w:rFonts w:eastAsia="Calibri"/>
          <w:snapToGrid w:val="0"/>
          <w:sz w:val="24"/>
          <w:szCs w:val="24"/>
        </w:rPr>
        <w:t xml:space="preserve">tipulation </w:t>
      </w:r>
      <w:r>
        <w:rPr>
          <w:rFonts w:eastAsia="Calibri"/>
          <w:snapToGrid w:val="0"/>
          <w:sz w:val="24"/>
          <w:szCs w:val="24"/>
        </w:rPr>
        <w:t xml:space="preserve">in Docket No. </w:t>
      </w:r>
      <w:r w:rsidR="00696744">
        <w:rPr>
          <w:rFonts w:eastAsia="Calibri"/>
          <w:snapToGrid w:val="0"/>
          <w:sz w:val="24"/>
          <w:szCs w:val="24"/>
        </w:rPr>
        <w:t>42959</w:t>
      </w:r>
      <w:r>
        <w:rPr>
          <w:rFonts w:eastAsia="Calibri"/>
          <w:snapToGrid w:val="0"/>
          <w:sz w:val="24"/>
          <w:szCs w:val="24"/>
        </w:rPr>
        <w:t xml:space="preserve">. The Staff then compared the final ROE number, </w:t>
      </w:r>
      <w:r w:rsidR="00696744">
        <w:rPr>
          <w:rFonts w:eastAsia="Calibri"/>
          <w:snapToGrid w:val="0"/>
          <w:sz w:val="24"/>
          <w:szCs w:val="24"/>
        </w:rPr>
        <w:t>6.37</w:t>
      </w:r>
      <w:r>
        <w:rPr>
          <w:rFonts w:eastAsia="Calibri"/>
          <w:snapToGrid w:val="0"/>
          <w:sz w:val="24"/>
          <w:szCs w:val="24"/>
        </w:rPr>
        <w:t>% to the ROE provided on Schedule-11 Line-1 for a final Revenue Requirement Calculation (“RRC”)</w:t>
      </w:r>
      <w:r w:rsidR="00696744">
        <w:rPr>
          <w:rFonts w:eastAsia="Calibri"/>
          <w:snapToGrid w:val="0"/>
          <w:sz w:val="24"/>
          <w:szCs w:val="24"/>
        </w:rPr>
        <w:t xml:space="preserve">. </w:t>
      </w:r>
      <w:r w:rsidR="00D71DD5">
        <w:rPr>
          <w:rFonts w:eastAsia="Calibri"/>
          <w:snapToGrid w:val="0"/>
          <w:sz w:val="24"/>
          <w:szCs w:val="24"/>
        </w:rPr>
        <w:t xml:space="preserve">The target ROE is 10.20%. </w:t>
      </w:r>
      <w:r w:rsidR="00696744">
        <w:rPr>
          <w:rFonts w:eastAsia="Calibri"/>
          <w:snapToGrid w:val="0"/>
          <w:sz w:val="24"/>
          <w:szCs w:val="24"/>
        </w:rPr>
        <w:t xml:space="preserve">PSNG presented a revenue deficiency of $4,195,339, and when accounting for EDIT amortization </w:t>
      </w:r>
      <w:r w:rsidR="00696744" w:rsidRPr="00437B85">
        <w:rPr>
          <w:rFonts w:eastAsia="Calibri"/>
          <w:snapToGrid w:val="0"/>
          <w:sz w:val="24"/>
          <w:szCs w:val="24"/>
        </w:rPr>
        <w:t xml:space="preserve">of </w:t>
      </w:r>
      <w:r w:rsidR="00696744" w:rsidRPr="00F31760">
        <w:rPr>
          <w:rFonts w:eastAsia="Calibri"/>
          <w:snapToGrid w:val="0"/>
          <w:sz w:val="24"/>
          <w:szCs w:val="24"/>
        </w:rPr>
        <w:t>($</w:t>
      </w:r>
      <w:r w:rsidR="00B864B3">
        <w:rPr>
          <w:rFonts w:eastAsia="Calibri"/>
          <w:snapToGrid w:val="0"/>
          <w:sz w:val="24"/>
          <w:szCs w:val="24"/>
        </w:rPr>
        <w:t>2</w:t>
      </w:r>
      <w:r w:rsidR="00696744" w:rsidRPr="00F31760">
        <w:rPr>
          <w:rFonts w:eastAsia="Calibri"/>
          <w:snapToGrid w:val="0"/>
          <w:sz w:val="24"/>
          <w:szCs w:val="24"/>
        </w:rPr>
        <w:t>93,145),</w:t>
      </w:r>
      <w:r w:rsidR="00696744" w:rsidRPr="00437B85">
        <w:rPr>
          <w:rFonts w:eastAsia="Calibri"/>
          <w:snapToGrid w:val="0"/>
          <w:sz w:val="24"/>
          <w:szCs w:val="24"/>
        </w:rPr>
        <w:t xml:space="preserve"> the</w:t>
      </w:r>
      <w:r w:rsidR="00696744">
        <w:rPr>
          <w:rFonts w:eastAsia="Calibri"/>
          <w:snapToGrid w:val="0"/>
          <w:sz w:val="24"/>
          <w:szCs w:val="24"/>
        </w:rPr>
        <w:t xml:space="preserve"> deficiency became $3,902,195. </w:t>
      </w:r>
      <w:r w:rsidR="00EB4A43">
        <w:rPr>
          <w:rFonts w:eastAsia="Calibri"/>
          <w:snapToGrid w:val="0"/>
          <w:sz w:val="24"/>
          <w:szCs w:val="24"/>
        </w:rPr>
        <w:t>After income taxes, the revenue adjustment, or proposed rate increase, was $5,240,835.</w:t>
      </w:r>
    </w:p>
    <w:p w14:paraId="76CE6760" w14:textId="77777777" w:rsidR="00576EE9" w:rsidRDefault="00576EE9" w:rsidP="00576EE9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</w:p>
    <w:p w14:paraId="4D2BF79B" w14:textId="53F9169D" w:rsidR="00FC4364" w:rsidRDefault="006F7513" w:rsidP="00576EE9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 xml:space="preserve">The Staff focused on several issues related to the filing that included a Liberty Utilities (Canada) Corporation allocated asset of $18,556,745 that </w:t>
      </w:r>
      <w:proofErr w:type="gramStart"/>
      <w:r>
        <w:rPr>
          <w:rFonts w:eastAsia="Calibri"/>
          <w:snapToGrid w:val="0"/>
          <w:sz w:val="24"/>
          <w:szCs w:val="24"/>
        </w:rPr>
        <w:t>was called</w:t>
      </w:r>
      <w:proofErr w:type="gramEnd"/>
      <w:r>
        <w:rPr>
          <w:rFonts w:eastAsia="Calibri"/>
          <w:snapToGrid w:val="0"/>
          <w:sz w:val="24"/>
          <w:szCs w:val="24"/>
        </w:rPr>
        <w:t xml:space="preserve"> Customer First. As part of responses to Staff’s Fourteenth Set of Data Requests, PSNG stated this was the Georgia utility portion of the overall cost of assets and implantation of a new IT enterprise system. This new system would replace existing legacy IT assets. The $18,556,745 appeared in WP 2-1-1 in FERC account 30320. Another issue addressed was how WP 4-1-1 presented the customer growth methodology. This included missing worksheets from prior GRAM filings and the 2020 rate case, WP 4-1-3 and WP 4-1-3-1. </w:t>
      </w:r>
      <w:proofErr w:type="gramStart"/>
      <w:r>
        <w:rPr>
          <w:rFonts w:eastAsia="Calibri"/>
          <w:snapToGrid w:val="0"/>
          <w:sz w:val="24"/>
          <w:szCs w:val="24"/>
        </w:rPr>
        <w:t>Also</w:t>
      </w:r>
      <w:proofErr w:type="gramEnd"/>
      <w:r>
        <w:rPr>
          <w:rFonts w:eastAsia="Calibri"/>
          <w:snapToGrid w:val="0"/>
          <w:sz w:val="24"/>
          <w:szCs w:val="24"/>
        </w:rPr>
        <w:t xml:space="preserve">, Staff had concerns about the numbers used for the Commercial class of customers. Staff and PSNG had numerous ZOOM meetings, phone calls, and email exchanges to resolve these issues. </w:t>
      </w:r>
      <w:proofErr w:type="gramStart"/>
      <w:r>
        <w:rPr>
          <w:rFonts w:eastAsia="Calibri"/>
          <w:snapToGrid w:val="0"/>
          <w:sz w:val="24"/>
          <w:szCs w:val="24"/>
        </w:rPr>
        <w:t>As a result</w:t>
      </w:r>
      <w:proofErr w:type="gramEnd"/>
      <w:r>
        <w:rPr>
          <w:rFonts w:eastAsia="Calibri"/>
          <w:snapToGrid w:val="0"/>
          <w:sz w:val="24"/>
          <w:szCs w:val="24"/>
        </w:rPr>
        <w:t xml:space="preserve"> of these meetings, the Staff and PSNG resolved all issues as part of the stipulated agreement.</w:t>
      </w:r>
    </w:p>
    <w:p w14:paraId="789D2D56" w14:textId="77777777" w:rsidR="006F7513" w:rsidRDefault="006F7513" w:rsidP="00576EE9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</w:p>
    <w:p w14:paraId="288430CA" w14:textId="1ED1A96A" w:rsidR="00FC4364" w:rsidRDefault="00FC4364" w:rsidP="00FC4364">
      <w:pPr>
        <w:pStyle w:val="ListParagraph"/>
        <w:numPr>
          <w:ilvl w:val="0"/>
          <w:numId w:val="2"/>
        </w:numPr>
        <w:jc w:val="center"/>
        <w:rPr>
          <w:b/>
          <w:szCs w:val="24"/>
        </w:rPr>
      </w:pPr>
      <w:r w:rsidRPr="00FC4364">
        <w:rPr>
          <w:b/>
          <w:szCs w:val="24"/>
        </w:rPr>
        <w:t xml:space="preserve">Staff and PSNG </w:t>
      </w:r>
      <w:r w:rsidR="003D3999">
        <w:rPr>
          <w:b/>
          <w:szCs w:val="24"/>
        </w:rPr>
        <w:t xml:space="preserve">2022 GRAM </w:t>
      </w:r>
      <w:r w:rsidRPr="00FC4364">
        <w:rPr>
          <w:b/>
          <w:szCs w:val="24"/>
        </w:rPr>
        <w:t>Stipulation</w:t>
      </w:r>
    </w:p>
    <w:p w14:paraId="6C5D0433" w14:textId="77777777" w:rsidR="00A125DF" w:rsidRPr="00FC4364" w:rsidRDefault="00A125DF" w:rsidP="008708D4">
      <w:pPr>
        <w:pStyle w:val="ListParagraph"/>
        <w:ind w:left="1080"/>
        <w:rPr>
          <w:b/>
          <w:szCs w:val="24"/>
        </w:rPr>
      </w:pPr>
    </w:p>
    <w:p w14:paraId="6EE9552B" w14:textId="4023DEE0" w:rsidR="00FC4364" w:rsidRDefault="006F7513" w:rsidP="00FC4364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  <w:r w:rsidRPr="006F18AC">
        <w:rPr>
          <w:rFonts w:eastAsia="Calibri"/>
          <w:snapToGrid w:val="0"/>
          <w:sz w:val="24"/>
          <w:szCs w:val="24"/>
        </w:rPr>
        <w:t xml:space="preserve">The Stipulation adopts the Company’s </w:t>
      </w:r>
      <w:r w:rsidR="009538E5">
        <w:rPr>
          <w:rFonts w:eastAsia="Calibri"/>
          <w:snapToGrid w:val="0"/>
          <w:sz w:val="24"/>
          <w:szCs w:val="24"/>
        </w:rPr>
        <w:t xml:space="preserve">2022 </w:t>
      </w:r>
      <w:r w:rsidR="006F18AC">
        <w:rPr>
          <w:rFonts w:eastAsia="Calibri"/>
          <w:snapToGrid w:val="0"/>
          <w:sz w:val="24"/>
          <w:szCs w:val="24"/>
        </w:rPr>
        <w:t>R</w:t>
      </w:r>
      <w:r w:rsidR="00257CB9" w:rsidRPr="006F18AC">
        <w:rPr>
          <w:rFonts w:eastAsia="Calibri"/>
          <w:snapToGrid w:val="0"/>
          <w:sz w:val="24"/>
          <w:szCs w:val="24"/>
        </w:rPr>
        <w:t xml:space="preserve">evised </w:t>
      </w:r>
      <w:r w:rsidR="006F18AC">
        <w:rPr>
          <w:rFonts w:eastAsia="Calibri"/>
          <w:snapToGrid w:val="0"/>
          <w:sz w:val="24"/>
          <w:szCs w:val="24"/>
        </w:rPr>
        <w:t>A</w:t>
      </w:r>
      <w:r w:rsidR="00257CB9" w:rsidRPr="006F18AC">
        <w:rPr>
          <w:rFonts w:eastAsia="Calibri"/>
          <w:snapToGrid w:val="0"/>
          <w:sz w:val="24"/>
          <w:szCs w:val="24"/>
        </w:rPr>
        <w:t>nnual G</w:t>
      </w:r>
      <w:r w:rsidR="000666E1" w:rsidRPr="008708D4">
        <w:rPr>
          <w:rFonts w:eastAsia="Calibri"/>
          <w:snapToGrid w:val="0"/>
          <w:sz w:val="24"/>
          <w:szCs w:val="24"/>
        </w:rPr>
        <w:t>RAM</w:t>
      </w:r>
      <w:r w:rsidR="00257CB9" w:rsidRPr="006F18AC">
        <w:rPr>
          <w:rFonts w:eastAsia="Calibri"/>
          <w:snapToGrid w:val="0"/>
          <w:sz w:val="24"/>
          <w:szCs w:val="24"/>
        </w:rPr>
        <w:t xml:space="preserve"> </w:t>
      </w:r>
      <w:r w:rsidR="006F18AC">
        <w:rPr>
          <w:rFonts w:eastAsia="Calibri"/>
          <w:snapToGrid w:val="0"/>
          <w:sz w:val="24"/>
          <w:szCs w:val="24"/>
        </w:rPr>
        <w:t>F</w:t>
      </w:r>
      <w:r w:rsidR="00257CB9" w:rsidRPr="006F18AC">
        <w:rPr>
          <w:rFonts w:eastAsia="Calibri"/>
          <w:snapToGrid w:val="0"/>
          <w:sz w:val="24"/>
          <w:szCs w:val="24"/>
        </w:rPr>
        <w:t>iling</w:t>
      </w:r>
      <w:r w:rsidR="00EB185A" w:rsidRPr="008708D4">
        <w:rPr>
          <w:rFonts w:eastAsia="Calibri"/>
          <w:snapToGrid w:val="0"/>
          <w:sz w:val="24"/>
          <w:szCs w:val="24"/>
        </w:rPr>
        <w:t>,</w:t>
      </w:r>
      <w:r w:rsidRPr="006F18AC">
        <w:rPr>
          <w:rFonts w:eastAsia="Calibri"/>
          <w:snapToGrid w:val="0"/>
          <w:sz w:val="24"/>
          <w:szCs w:val="24"/>
        </w:rPr>
        <w:t xml:space="preserve"> </w:t>
      </w:r>
      <w:r w:rsidR="00530702" w:rsidRPr="006F18AC">
        <w:rPr>
          <w:rFonts w:eastAsia="Calibri"/>
          <w:snapToGrid w:val="0"/>
          <w:sz w:val="24"/>
          <w:szCs w:val="24"/>
        </w:rPr>
        <w:t xml:space="preserve">which includes </w:t>
      </w:r>
      <w:r w:rsidR="00EB185A" w:rsidRPr="008708D4">
        <w:rPr>
          <w:rFonts w:eastAsia="Calibri"/>
          <w:snapToGrid w:val="0"/>
          <w:sz w:val="24"/>
          <w:szCs w:val="24"/>
        </w:rPr>
        <w:t xml:space="preserve">the </w:t>
      </w:r>
      <w:r w:rsidRPr="006F18AC">
        <w:rPr>
          <w:rFonts w:eastAsia="Calibri"/>
          <w:snapToGrid w:val="0"/>
          <w:sz w:val="24"/>
          <w:szCs w:val="24"/>
        </w:rPr>
        <w:t xml:space="preserve">following </w:t>
      </w:r>
      <w:r w:rsidR="00B52691">
        <w:rPr>
          <w:rFonts w:eastAsia="Calibri"/>
          <w:snapToGrid w:val="0"/>
          <w:sz w:val="24"/>
          <w:szCs w:val="24"/>
        </w:rPr>
        <w:t>revisions</w:t>
      </w:r>
      <w:r>
        <w:rPr>
          <w:rFonts w:eastAsia="Calibri"/>
          <w:snapToGrid w:val="0"/>
          <w:sz w:val="24"/>
          <w:szCs w:val="24"/>
        </w:rPr>
        <w:t xml:space="preserve">. </w:t>
      </w:r>
      <w:r w:rsidR="00F2601A">
        <w:rPr>
          <w:rFonts w:eastAsia="Calibri"/>
          <w:snapToGrid w:val="0"/>
          <w:sz w:val="24"/>
          <w:szCs w:val="24"/>
        </w:rPr>
        <w:t>First, c</w:t>
      </w:r>
      <w:r w:rsidR="00FC4364">
        <w:rPr>
          <w:rFonts w:eastAsia="Calibri"/>
          <w:snapToGrid w:val="0"/>
          <w:sz w:val="24"/>
          <w:szCs w:val="24"/>
        </w:rPr>
        <w:t xml:space="preserve">oncerning the allocated Customer First assets, the Parties agreed that the </w:t>
      </w:r>
      <w:r w:rsidR="00F2601A">
        <w:rPr>
          <w:rFonts w:eastAsia="Calibri"/>
          <w:snapToGrid w:val="0"/>
          <w:sz w:val="24"/>
          <w:szCs w:val="24"/>
        </w:rPr>
        <w:t xml:space="preserve">allocated </w:t>
      </w:r>
      <w:r w:rsidR="00FC4364">
        <w:rPr>
          <w:rFonts w:eastAsia="Calibri"/>
          <w:snapToGrid w:val="0"/>
          <w:sz w:val="24"/>
          <w:szCs w:val="24"/>
        </w:rPr>
        <w:t>Customer First assets would remain in rate base for ratemaking purposes. Of the $18,556,745 in allocated Customer First assets</w:t>
      </w:r>
      <w:r w:rsidR="00F2601A">
        <w:rPr>
          <w:rFonts w:eastAsia="Calibri"/>
          <w:snapToGrid w:val="0"/>
          <w:sz w:val="24"/>
          <w:szCs w:val="24"/>
        </w:rPr>
        <w:t>, $17,203,400 would change from</w:t>
      </w:r>
      <w:r w:rsidR="00EB185A">
        <w:rPr>
          <w:rFonts w:eastAsia="Calibri"/>
          <w:snapToGrid w:val="0"/>
          <w:sz w:val="24"/>
          <w:szCs w:val="24"/>
        </w:rPr>
        <w:t xml:space="preserve"> a ten-year</w:t>
      </w:r>
      <w:r w:rsidR="009538E5">
        <w:rPr>
          <w:rFonts w:eastAsia="Calibri"/>
          <w:snapToGrid w:val="0"/>
          <w:sz w:val="24"/>
          <w:szCs w:val="24"/>
        </w:rPr>
        <w:t xml:space="preserve"> </w:t>
      </w:r>
      <w:r w:rsidR="009538E5">
        <w:rPr>
          <w:rFonts w:eastAsia="Calibri"/>
          <w:snapToGrid w:val="0"/>
          <w:sz w:val="24"/>
          <w:szCs w:val="24"/>
        </w:rPr>
        <w:lastRenderedPageBreak/>
        <w:t>(10)</w:t>
      </w:r>
      <w:r w:rsidR="00EB185A">
        <w:rPr>
          <w:rFonts w:eastAsia="Calibri"/>
          <w:snapToGrid w:val="0"/>
          <w:sz w:val="24"/>
          <w:szCs w:val="24"/>
        </w:rPr>
        <w:t xml:space="preserve"> depreciable life to a</w:t>
      </w:r>
      <w:r w:rsidR="00F2601A">
        <w:rPr>
          <w:rFonts w:eastAsia="Calibri"/>
          <w:snapToGrid w:val="0"/>
          <w:sz w:val="24"/>
          <w:szCs w:val="24"/>
        </w:rPr>
        <w:t xml:space="preserve"> fifteen</w:t>
      </w:r>
      <w:r w:rsidR="009538E5">
        <w:rPr>
          <w:rFonts w:eastAsia="Calibri"/>
          <w:snapToGrid w:val="0"/>
          <w:sz w:val="24"/>
          <w:szCs w:val="24"/>
        </w:rPr>
        <w:t xml:space="preserve"> </w:t>
      </w:r>
      <w:r w:rsidR="00F2601A">
        <w:rPr>
          <w:rFonts w:eastAsia="Calibri"/>
          <w:snapToGrid w:val="0"/>
          <w:sz w:val="24"/>
          <w:szCs w:val="24"/>
        </w:rPr>
        <w:t>(15) year depreciable life for ratemaking purposes, and $1,353,346 would have a seven</w:t>
      </w:r>
      <w:r w:rsidR="009538E5">
        <w:rPr>
          <w:rFonts w:eastAsia="Calibri"/>
          <w:snapToGrid w:val="0"/>
          <w:sz w:val="24"/>
          <w:szCs w:val="24"/>
        </w:rPr>
        <w:t xml:space="preserve"> </w:t>
      </w:r>
      <w:r w:rsidR="00F2601A">
        <w:rPr>
          <w:rFonts w:eastAsia="Calibri"/>
          <w:snapToGrid w:val="0"/>
          <w:sz w:val="24"/>
          <w:szCs w:val="24"/>
        </w:rPr>
        <w:t>year (7) depreciable life. This change</w:t>
      </w:r>
      <w:r w:rsidR="00B864B3">
        <w:rPr>
          <w:rFonts w:eastAsia="Calibri"/>
          <w:snapToGrid w:val="0"/>
          <w:sz w:val="24"/>
          <w:szCs w:val="24"/>
        </w:rPr>
        <w:t>, coupled with the other revision to the 2022 Annual GRAM Filing,</w:t>
      </w:r>
      <w:r w:rsidR="00F2601A">
        <w:rPr>
          <w:rFonts w:eastAsia="Calibri"/>
          <w:snapToGrid w:val="0"/>
          <w:sz w:val="24"/>
          <w:szCs w:val="24"/>
        </w:rPr>
        <w:t xml:space="preserve"> had </w:t>
      </w:r>
      <w:r w:rsidR="002C4539">
        <w:rPr>
          <w:rFonts w:eastAsia="Calibri"/>
          <w:snapToGrid w:val="0"/>
          <w:sz w:val="24"/>
          <w:szCs w:val="24"/>
        </w:rPr>
        <w:t xml:space="preserve">a </w:t>
      </w:r>
      <w:r w:rsidR="00B864B3">
        <w:rPr>
          <w:rFonts w:eastAsia="Calibri"/>
          <w:snapToGrid w:val="0"/>
          <w:sz w:val="24"/>
          <w:szCs w:val="24"/>
        </w:rPr>
        <w:t xml:space="preserve">cumulative </w:t>
      </w:r>
      <w:proofErr w:type="gramStart"/>
      <w:r w:rsidR="00F2601A">
        <w:rPr>
          <w:rFonts w:eastAsia="Calibri"/>
          <w:snapToGrid w:val="0"/>
          <w:sz w:val="24"/>
          <w:szCs w:val="24"/>
        </w:rPr>
        <w:t>2022 GRAM</w:t>
      </w:r>
      <w:proofErr w:type="gramEnd"/>
      <w:r w:rsidR="00F2601A">
        <w:rPr>
          <w:rFonts w:eastAsia="Calibri"/>
          <w:snapToGrid w:val="0"/>
          <w:sz w:val="24"/>
          <w:szCs w:val="24"/>
        </w:rPr>
        <w:t xml:space="preserve"> rate impact of reducing the revenue deficiency by </w:t>
      </w:r>
      <w:r w:rsidR="00F2601A" w:rsidRPr="008708D4">
        <w:rPr>
          <w:rFonts w:eastAsia="Calibri"/>
          <w:snapToGrid w:val="0"/>
          <w:sz w:val="24"/>
          <w:szCs w:val="24"/>
        </w:rPr>
        <w:t>$</w:t>
      </w:r>
      <w:r w:rsidR="000C7057" w:rsidRPr="008708D4">
        <w:rPr>
          <w:rFonts w:eastAsia="Calibri"/>
          <w:snapToGrid w:val="0"/>
          <w:sz w:val="24"/>
          <w:szCs w:val="24"/>
        </w:rPr>
        <w:t>642,521</w:t>
      </w:r>
      <w:r w:rsidR="00F2601A" w:rsidRPr="00437B85">
        <w:rPr>
          <w:rFonts w:eastAsia="Calibri"/>
          <w:snapToGrid w:val="0"/>
          <w:sz w:val="24"/>
          <w:szCs w:val="24"/>
        </w:rPr>
        <w:t>.</w:t>
      </w:r>
      <w:r w:rsidR="00F2601A">
        <w:rPr>
          <w:rFonts w:eastAsia="Calibri"/>
          <w:snapToGrid w:val="0"/>
          <w:sz w:val="24"/>
          <w:szCs w:val="24"/>
        </w:rPr>
        <w:t xml:space="preserve"> Second, the Parties agreed to a detailed customer growth methodology that </w:t>
      </w:r>
      <w:proofErr w:type="gramStart"/>
      <w:r w:rsidR="00F2601A">
        <w:rPr>
          <w:rFonts w:eastAsia="Calibri"/>
          <w:snapToGrid w:val="0"/>
          <w:sz w:val="24"/>
          <w:szCs w:val="24"/>
        </w:rPr>
        <w:t xml:space="preserve">was used in prior GRAM filings and approved in the 2020 rate case with a detailed </w:t>
      </w:r>
      <w:r w:rsidR="00B54DE2">
        <w:rPr>
          <w:rFonts w:eastAsia="Calibri"/>
          <w:snapToGrid w:val="0"/>
          <w:sz w:val="24"/>
          <w:szCs w:val="24"/>
        </w:rPr>
        <w:t>description</w:t>
      </w:r>
      <w:r w:rsidR="00F2601A">
        <w:rPr>
          <w:rFonts w:eastAsia="Calibri"/>
          <w:snapToGrid w:val="0"/>
          <w:sz w:val="24"/>
          <w:szCs w:val="24"/>
        </w:rPr>
        <w:t xml:space="preserve"> of the methodology</w:t>
      </w:r>
      <w:proofErr w:type="gramEnd"/>
      <w:r w:rsidR="00F2601A">
        <w:rPr>
          <w:rFonts w:eastAsia="Calibri"/>
          <w:snapToGrid w:val="0"/>
          <w:sz w:val="24"/>
          <w:szCs w:val="24"/>
        </w:rPr>
        <w:t xml:space="preserve">. Third, the Parties agreed </w:t>
      </w:r>
      <w:proofErr w:type="spellStart"/>
      <w:r w:rsidR="00F2601A">
        <w:rPr>
          <w:rFonts w:eastAsia="Calibri"/>
          <w:snapToGrid w:val="0"/>
          <w:sz w:val="24"/>
          <w:szCs w:val="24"/>
        </w:rPr>
        <w:t>workpapers</w:t>
      </w:r>
      <w:proofErr w:type="spellEnd"/>
      <w:r w:rsidR="00F2601A">
        <w:rPr>
          <w:rFonts w:eastAsia="Calibri"/>
          <w:snapToGrid w:val="0"/>
          <w:sz w:val="24"/>
          <w:szCs w:val="24"/>
        </w:rPr>
        <w:t xml:space="preserve"> WP 4-1-3 and WP 4-1-3-1 would be included in all GRAM filings and in the same format as the 2020 rate case filing. Fourth, the Parties agreed that the </w:t>
      </w:r>
      <w:r w:rsidR="00B54DE2">
        <w:rPr>
          <w:rFonts w:eastAsia="Calibri"/>
          <w:snapToGrid w:val="0"/>
          <w:sz w:val="24"/>
          <w:szCs w:val="24"/>
        </w:rPr>
        <w:t>C</w:t>
      </w:r>
      <w:r w:rsidR="00F2601A">
        <w:rPr>
          <w:rFonts w:eastAsia="Calibri"/>
          <w:snapToGrid w:val="0"/>
          <w:sz w:val="24"/>
          <w:szCs w:val="24"/>
        </w:rPr>
        <w:t xml:space="preserve">ustomer </w:t>
      </w:r>
      <w:r w:rsidR="00B54DE2">
        <w:rPr>
          <w:rFonts w:eastAsia="Calibri"/>
          <w:snapToGrid w:val="0"/>
          <w:sz w:val="24"/>
          <w:szCs w:val="24"/>
        </w:rPr>
        <w:t>N</w:t>
      </w:r>
      <w:r w:rsidR="00F2601A">
        <w:rPr>
          <w:rFonts w:eastAsia="Calibri"/>
          <w:snapToGrid w:val="0"/>
          <w:sz w:val="24"/>
          <w:szCs w:val="24"/>
        </w:rPr>
        <w:t xml:space="preserve">umbers used in WP 4-1-1 will be </w:t>
      </w:r>
      <w:r w:rsidR="00B54DE2">
        <w:rPr>
          <w:rFonts w:eastAsia="Calibri"/>
          <w:snapToGrid w:val="0"/>
          <w:sz w:val="24"/>
          <w:szCs w:val="24"/>
        </w:rPr>
        <w:t>equal to the Customer Numbers</w:t>
      </w:r>
      <w:r w:rsidR="00F2601A">
        <w:rPr>
          <w:rFonts w:eastAsia="Calibri"/>
          <w:snapToGrid w:val="0"/>
          <w:sz w:val="24"/>
          <w:szCs w:val="24"/>
        </w:rPr>
        <w:t xml:space="preserve"> WP 4-1-6, as in prior GRAM filings and the 2020 rate case, and the Commercial </w:t>
      </w:r>
      <w:r w:rsidR="00B54DE2">
        <w:rPr>
          <w:rFonts w:eastAsia="Calibri"/>
          <w:snapToGrid w:val="0"/>
          <w:sz w:val="24"/>
          <w:szCs w:val="24"/>
        </w:rPr>
        <w:t>C</w:t>
      </w:r>
      <w:r w:rsidR="00F2601A">
        <w:rPr>
          <w:rFonts w:eastAsia="Calibri"/>
          <w:snapToGrid w:val="0"/>
          <w:sz w:val="24"/>
          <w:szCs w:val="24"/>
        </w:rPr>
        <w:t xml:space="preserve">ustomer </w:t>
      </w:r>
      <w:r w:rsidR="00B54DE2">
        <w:rPr>
          <w:rFonts w:eastAsia="Calibri"/>
          <w:snapToGrid w:val="0"/>
          <w:sz w:val="24"/>
          <w:szCs w:val="24"/>
        </w:rPr>
        <w:t>N</w:t>
      </w:r>
      <w:r w:rsidR="00F2601A">
        <w:rPr>
          <w:rFonts w:eastAsia="Calibri"/>
          <w:snapToGrid w:val="0"/>
          <w:sz w:val="24"/>
          <w:szCs w:val="24"/>
        </w:rPr>
        <w:t xml:space="preserve">umbers will be a total of both 820 and 830 Commercial customers. The Residential and 820 and 830 Commercial customer numbers used in WP 4-1-6 would be the same as the quarterly GRAM filings made with the Commission. </w:t>
      </w:r>
    </w:p>
    <w:p w14:paraId="500B3D86" w14:textId="77777777" w:rsidR="006F7513" w:rsidRDefault="006F7513" w:rsidP="00FC4364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</w:p>
    <w:p w14:paraId="4F63D5A5" w14:textId="580415C9" w:rsidR="002C4539" w:rsidRDefault="002C4539" w:rsidP="00FC4364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 xml:space="preserve">After </w:t>
      </w:r>
      <w:r w:rsidR="00437B85">
        <w:rPr>
          <w:rFonts w:eastAsia="Calibri"/>
          <w:snapToGrid w:val="0"/>
          <w:sz w:val="24"/>
          <w:szCs w:val="24"/>
        </w:rPr>
        <w:t>S</w:t>
      </w:r>
      <w:r>
        <w:rPr>
          <w:rFonts w:eastAsia="Calibri"/>
          <w:snapToGrid w:val="0"/>
          <w:sz w:val="24"/>
          <w:szCs w:val="24"/>
        </w:rPr>
        <w:t>taff’s thorough review, the above items were resolved through stipulation</w:t>
      </w:r>
      <w:r w:rsidR="00437B85">
        <w:rPr>
          <w:rFonts w:eastAsia="Calibri"/>
          <w:snapToGrid w:val="0"/>
          <w:sz w:val="24"/>
          <w:szCs w:val="24"/>
        </w:rPr>
        <w:t xml:space="preserve"> resulting i</w:t>
      </w:r>
      <w:r w:rsidR="00634E90">
        <w:rPr>
          <w:rFonts w:eastAsia="Calibri"/>
          <w:snapToGrid w:val="0"/>
          <w:sz w:val="24"/>
          <w:szCs w:val="24"/>
        </w:rPr>
        <w:t>n</w:t>
      </w:r>
      <w:r w:rsidR="00437B85">
        <w:rPr>
          <w:rFonts w:eastAsia="Calibri"/>
          <w:snapToGrid w:val="0"/>
          <w:sz w:val="24"/>
          <w:szCs w:val="24"/>
        </w:rPr>
        <w:t xml:space="preserve"> </w:t>
      </w:r>
      <w:r>
        <w:rPr>
          <w:rFonts w:eastAsia="Calibri"/>
          <w:snapToGrid w:val="0"/>
          <w:sz w:val="24"/>
          <w:szCs w:val="24"/>
        </w:rPr>
        <w:t xml:space="preserve">a reduction </w:t>
      </w:r>
      <w:r w:rsidR="00437B85">
        <w:rPr>
          <w:rFonts w:eastAsia="Calibri"/>
          <w:snapToGrid w:val="0"/>
          <w:sz w:val="24"/>
          <w:szCs w:val="24"/>
        </w:rPr>
        <w:t>to</w:t>
      </w:r>
      <w:r>
        <w:rPr>
          <w:rFonts w:eastAsia="Calibri"/>
          <w:snapToGrid w:val="0"/>
          <w:sz w:val="24"/>
          <w:szCs w:val="24"/>
        </w:rPr>
        <w:t xml:space="preserve"> revenue requirement </w:t>
      </w:r>
      <w:r w:rsidR="00437B85">
        <w:rPr>
          <w:rFonts w:eastAsia="Calibri"/>
          <w:snapToGrid w:val="0"/>
          <w:sz w:val="24"/>
          <w:szCs w:val="24"/>
        </w:rPr>
        <w:t>from that requested in the initial filing on October 1, 2021</w:t>
      </w:r>
      <w:r>
        <w:rPr>
          <w:rFonts w:eastAsia="Calibri"/>
          <w:snapToGrid w:val="0"/>
          <w:sz w:val="24"/>
          <w:szCs w:val="24"/>
        </w:rPr>
        <w:t xml:space="preserve">. </w:t>
      </w:r>
    </w:p>
    <w:p w14:paraId="139ECC60" w14:textId="77777777" w:rsidR="00FC4364" w:rsidRDefault="00FC4364" w:rsidP="00576EE9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</w:p>
    <w:p w14:paraId="01215DE9" w14:textId="4F449B6E" w:rsidR="00C05534" w:rsidRPr="00C05534" w:rsidRDefault="00E06727" w:rsidP="00C05534">
      <w:pPr>
        <w:pStyle w:val="ListParagraph"/>
        <w:numPr>
          <w:ilvl w:val="0"/>
          <w:numId w:val="2"/>
        </w:numPr>
        <w:jc w:val="center"/>
        <w:rPr>
          <w:b/>
          <w:szCs w:val="24"/>
        </w:rPr>
      </w:pPr>
      <w:r>
        <w:rPr>
          <w:b/>
          <w:szCs w:val="24"/>
        </w:rPr>
        <w:t>Revised 2022 GRAM and Revenue Tracking</w:t>
      </w:r>
    </w:p>
    <w:p w14:paraId="781C5163" w14:textId="77777777" w:rsidR="00C05534" w:rsidRDefault="00C05534" w:rsidP="00C05534">
      <w:pPr>
        <w:spacing w:before="100" w:after="100"/>
        <w:contextualSpacing/>
        <w:rPr>
          <w:rFonts w:eastAsia="Calibri"/>
          <w:snapToGrid w:val="0"/>
          <w:sz w:val="24"/>
          <w:szCs w:val="24"/>
        </w:rPr>
      </w:pPr>
    </w:p>
    <w:p w14:paraId="716B4770" w14:textId="4AB3F1EA" w:rsidR="00C05534" w:rsidRPr="009A0AFC" w:rsidRDefault="00C05534" w:rsidP="008708D4">
      <w:pPr>
        <w:spacing w:before="100" w:after="100"/>
        <w:contextualSpacing/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ab/>
      </w:r>
      <w:r w:rsidRPr="006F18AC">
        <w:rPr>
          <w:rFonts w:eastAsia="Calibri"/>
          <w:snapToGrid w:val="0"/>
          <w:sz w:val="24"/>
          <w:szCs w:val="24"/>
        </w:rPr>
        <w:t xml:space="preserve">On </w:t>
      </w:r>
      <w:r w:rsidRPr="008708D4">
        <w:rPr>
          <w:rFonts w:eastAsia="Calibri"/>
          <w:snapToGrid w:val="0"/>
          <w:sz w:val="24"/>
          <w:szCs w:val="24"/>
        </w:rPr>
        <w:t xml:space="preserve">January </w:t>
      </w:r>
      <w:r w:rsidR="00AD3F1E" w:rsidRPr="008708D4">
        <w:rPr>
          <w:rFonts w:eastAsia="Calibri"/>
          <w:snapToGrid w:val="0"/>
          <w:sz w:val="24"/>
          <w:szCs w:val="24"/>
        </w:rPr>
        <w:t>25</w:t>
      </w:r>
      <w:r w:rsidRPr="008708D4">
        <w:rPr>
          <w:rFonts w:eastAsia="Calibri"/>
          <w:snapToGrid w:val="0"/>
          <w:sz w:val="24"/>
          <w:szCs w:val="24"/>
        </w:rPr>
        <w:t>, 2022</w:t>
      </w:r>
      <w:r w:rsidRPr="006F18AC">
        <w:rPr>
          <w:rFonts w:eastAsia="Calibri"/>
          <w:snapToGrid w:val="0"/>
          <w:sz w:val="24"/>
          <w:szCs w:val="24"/>
        </w:rPr>
        <w:t xml:space="preserve">, PSNG filed a revised 2022 GRAM with adjustments agreed on in the 2022 GRAM Stipulation. </w:t>
      </w:r>
      <w:r w:rsidR="00D71DD5" w:rsidRPr="006F18AC">
        <w:rPr>
          <w:rFonts w:eastAsia="Calibri"/>
          <w:snapToGrid w:val="0"/>
          <w:sz w:val="24"/>
          <w:szCs w:val="24"/>
        </w:rPr>
        <w:t xml:space="preserve">The Schedule-2 Rate Base Attributed to Equity was </w:t>
      </w:r>
      <w:r w:rsidR="00D71DD5" w:rsidRPr="008708D4">
        <w:rPr>
          <w:rFonts w:eastAsia="Calibri"/>
          <w:snapToGrid w:val="0"/>
          <w:sz w:val="24"/>
          <w:szCs w:val="24"/>
        </w:rPr>
        <w:t>$1</w:t>
      </w:r>
      <w:r w:rsidR="000C7057" w:rsidRPr="008708D4">
        <w:rPr>
          <w:rFonts w:eastAsia="Calibri"/>
          <w:snapToGrid w:val="0"/>
          <w:sz w:val="24"/>
          <w:szCs w:val="24"/>
        </w:rPr>
        <w:t>09,583,409</w:t>
      </w:r>
      <w:r w:rsidR="00D71DD5" w:rsidRPr="006F18AC">
        <w:rPr>
          <w:rFonts w:eastAsia="Calibri"/>
          <w:snapToGrid w:val="0"/>
          <w:sz w:val="24"/>
          <w:szCs w:val="24"/>
        </w:rPr>
        <w:t xml:space="preserve">, and the Operating Income was </w:t>
      </w:r>
      <w:r w:rsidR="000C7057" w:rsidRPr="008708D4">
        <w:rPr>
          <w:rFonts w:eastAsia="Calibri"/>
          <w:snapToGrid w:val="0"/>
          <w:sz w:val="24"/>
          <w:szCs w:val="24"/>
        </w:rPr>
        <w:t>$7,460,573</w:t>
      </w:r>
      <w:r w:rsidR="00D71DD5" w:rsidRPr="006F18AC">
        <w:rPr>
          <w:rFonts w:eastAsia="Calibri"/>
          <w:snapToGrid w:val="0"/>
          <w:sz w:val="24"/>
          <w:szCs w:val="24"/>
        </w:rPr>
        <w:t xml:space="preserve">. The revised ROE was </w:t>
      </w:r>
      <w:r w:rsidR="00D71DD5" w:rsidRPr="008708D4">
        <w:rPr>
          <w:rFonts w:eastAsia="Calibri"/>
          <w:snapToGrid w:val="0"/>
          <w:sz w:val="24"/>
          <w:szCs w:val="24"/>
        </w:rPr>
        <w:t>6.</w:t>
      </w:r>
      <w:r w:rsidR="000C7057" w:rsidRPr="008708D4">
        <w:rPr>
          <w:rFonts w:eastAsia="Calibri"/>
          <w:snapToGrid w:val="0"/>
          <w:sz w:val="24"/>
          <w:szCs w:val="24"/>
        </w:rPr>
        <w:t>81</w:t>
      </w:r>
      <w:r w:rsidR="00D71DD5" w:rsidRPr="008708D4">
        <w:rPr>
          <w:rFonts w:eastAsia="Calibri"/>
          <w:snapToGrid w:val="0"/>
          <w:sz w:val="24"/>
          <w:szCs w:val="24"/>
        </w:rPr>
        <w:t>%.</w:t>
      </w:r>
      <w:r w:rsidR="00D71DD5" w:rsidRPr="006F18AC">
        <w:rPr>
          <w:rFonts w:eastAsia="Calibri"/>
          <w:snapToGrid w:val="0"/>
          <w:sz w:val="24"/>
          <w:szCs w:val="24"/>
        </w:rPr>
        <w:t xml:space="preserve"> When reviewing Schedule-11, compared to the target ROE of 10.20%, there was a revenue deficiency totaling </w:t>
      </w:r>
      <w:r w:rsidR="00D71DD5" w:rsidRPr="008708D4">
        <w:rPr>
          <w:rFonts w:eastAsia="Calibri"/>
          <w:snapToGrid w:val="0"/>
          <w:sz w:val="24"/>
          <w:szCs w:val="24"/>
        </w:rPr>
        <w:t>$3,7</w:t>
      </w:r>
      <w:r w:rsidR="000C7057" w:rsidRPr="008708D4">
        <w:rPr>
          <w:rFonts w:eastAsia="Calibri"/>
          <w:snapToGrid w:val="0"/>
          <w:sz w:val="24"/>
          <w:szCs w:val="24"/>
        </w:rPr>
        <w:t>16,9</w:t>
      </w:r>
      <w:r w:rsidR="000666E1" w:rsidRPr="008708D4">
        <w:rPr>
          <w:rFonts w:eastAsia="Calibri"/>
          <w:snapToGrid w:val="0"/>
          <w:sz w:val="24"/>
          <w:szCs w:val="24"/>
        </w:rPr>
        <w:t>3</w:t>
      </w:r>
      <w:r w:rsidR="000C7057" w:rsidRPr="008708D4">
        <w:rPr>
          <w:rFonts w:eastAsia="Calibri"/>
          <w:snapToGrid w:val="0"/>
          <w:sz w:val="24"/>
          <w:szCs w:val="24"/>
        </w:rPr>
        <w:t>5</w:t>
      </w:r>
      <w:r w:rsidR="00D71DD5" w:rsidRPr="006F18AC">
        <w:rPr>
          <w:rFonts w:eastAsia="Calibri"/>
          <w:snapToGrid w:val="0"/>
          <w:sz w:val="24"/>
          <w:szCs w:val="24"/>
        </w:rPr>
        <w:t xml:space="preserve">. With the EDIT amortization of ($293,145), the revenue deficiency became </w:t>
      </w:r>
      <w:r w:rsidR="00D71DD5" w:rsidRPr="008708D4">
        <w:rPr>
          <w:rFonts w:eastAsia="Calibri"/>
          <w:snapToGrid w:val="0"/>
          <w:sz w:val="24"/>
          <w:szCs w:val="24"/>
        </w:rPr>
        <w:t>$3,4</w:t>
      </w:r>
      <w:r w:rsidR="000C7057" w:rsidRPr="008708D4">
        <w:rPr>
          <w:rFonts w:eastAsia="Calibri"/>
          <w:snapToGrid w:val="0"/>
          <w:sz w:val="24"/>
          <w:szCs w:val="24"/>
        </w:rPr>
        <w:t>23,790</w:t>
      </w:r>
      <w:r w:rsidR="00D71DD5" w:rsidRPr="006F18AC">
        <w:rPr>
          <w:rFonts w:eastAsia="Calibri"/>
          <w:snapToGrid w:val="0"/>
          <w:sz w:val="24"/>
          <w:szCs w:val="24"/>
        </w:rPr>
        <w:t xml:space="preserve">. With income taxes, the final revenue adjustment was on </w:t>
      </w:r>
      <w:r w:rsidRPr="006F18AC">
        <w:rPr>
          <w:rFonts w:eastAsia="Calibri"/>
          <w:snapToGrid w:val="0"/>
          <w:sz w:val="24"/>
          <w:szCs w:val="24"/>
        </w:rPr>
        <w:t>Schedule-11 Line-9</w:t>
      </w:r>
      <w:r w:rsidR="00D71DD5" w:rsidRPr="006F18AC">
        <w:rPr>
          <w:rFonts w:eastAsia="Calibri"/>
          <w:snapToGrid w:val="0"/>
          <w:sz w:val="24"/>
          <w:szCs w:val="24"/>
        </w:rPr>
        <w:t xml:space="preserve"> </w:t>
      </w:r>
      <w:r w:rsidRPr="006F18AC">
        <w:rPr>
          <w:rFonts w:eastAsia="Calibri"/>
          <w:snapToGrid w:val="0"/>
          <w:sz w:val="24"/>
          <w:szCs w:val="24"/>
        </w:rPr>
        <w:t xml:space="preserve">was </w:t>
      </w:r>
      <w:r w:rsidRPr="008708D4">
        <w:rPr>
          <w:rFonts w:eastAsia="Calibri"/>
          <w:snapToGrid w:val="0"/>
          <w:sz w:val="24"/>
          <w:szCs w:val="24"/>
        </w:rPr>
        <w:t>$4,</w:t>
      </w:r>
      <w:r w:rsidR="000C7057" w:rsidRPr="008708D4">
        <w:rPr>
          <w:rFonts w:eastAsia="Calibri"/>
          <w:snapToGrid w:val="0"/>
          <w:sz w:val="24"/>
          <w:szCs w:val="24"/>
        </w:rPr>
        <w:t>598,314</w:t>
      </w:r>
      <w:r w:rsidRPr="006F18AC">
        <w:rPr>
          <w:rFonts w:eastAsia="Calibri"/>
          <w:snapToGrid w:val="0"/>
          <w:sz w:val="24"/>
          <w:szCs w:val="24"/>
        </w:rPr>
        <w:t xml:space="preserve">. </w:t>
      </w:r>
      <w:r w:rsidR="000C7057" w:rsidRPr="008708D4">
        <w:rPr>
          <w:rFonts w:eastAsia="Calibri"/>
          <w:snapToGrid w:val="0"/>
          <w:sz w:val="24"/>
          <w:szCs w:val="24"/>
        </w:rPr>
        <w:t>With agree</w:t>
      </w:r>
      <w:r w:rsidR="00B54DE2" w:rsidRPr="008708D4">
        <w:rPr>
          <w:rFonts w:eastAsia="Calibri"/>
          <w:snapToGrid w:val="0"/>
          <w:sz w:val="24"/>
          <w:szCs w:val="24"/>
        </w:rPr>
        <w:t>d-to</w:t>
      </w:r>
      <w:r w:rsidR="000C7057" w:rsidRPr="008708D4">
        <w:rPr>
          <w:rFonts w:eastAsia="Calibri"/>
          <w:snapToGrid w:val="0"/>
          <w:sz w:val="24"/>
          <w:szCs w:val="24"/>
        </w:rPr>
        <w:t xml:space="preserve"> changes by the Parties in the </w:t>
      </w:r>
      <w:r w:rsidR="00B54DE2" w:rsidRPr="008708D4">
        <w:rPr>
          <w:rFonts w:eastAsia="Calibri"/>
          <w:snapToGrid w:val="0"/>
          <w:sz w:val="24"/>
          <w:szCs w:val="24"/>
        </w:rPr>
        <w:t xml:space="preserve">2022 </w:t>
      </w:r>
      <w:r w:rsidR="00AD3F1E" w:rsidRPr="008708D4">
        <w:rPr>
          <w:rFonts w:eastAsia="Calibri"/>
          <w:snapToGrid w:val="0"/>
          <w:sz w:val="24"/>
          <w:szCs w:val="24"/>
        </w:rPr>
        <w:t>GRAM Stipulation</w:t>
      </w:r>
      <w:r w:rsidR="000C7057" w:rsidRPr="008708D4">
        <w:rPr>
          <w:rFonts w:eastAsia="Calibri"/>
          <w:snapToGrid w:val="0"/>
          <w:sz w:val="24"/>
          <w:szCs w:val="24"/>
        </w:rPr>
        <w:t xml:space="preserve">, the revised final revenue adjustment was </w:t>
      </w:r>
      <w:r w:rsidR="00DB2A64" w:rsidRPr="008708D4">
        <w:rPr>
          <w:rFonts w:eastAsia="Calibri"/>
          <w:snapToGrid w:val="0"/>
          <w:sz w:val="24"/>
          <w:szCs w:val="24"/>
        </w:rPr>
        <w:t>decrease</w:t>
      </w:r>
      <w:r w:rsidR="00AD3F1E" w:rsidRPr="008708D4">
        <w:rPr>
          <w:rFonts w:eastAsia="Calibri"/>
          <w:snapToGrid w:val="0"/>
          <w:sz w:val="24"/>
          <w:szCs w:val="24"/>
        </w:rPr>
        <w:t>d</w:t>
      </w:r>
      <w:r w:rsidR="00DB2A64" w:rsidRPr="008708D4">
        <w:rPr>
          <w:rFonts w:eastAsia="Calibri"/>
          <w:snapToGrid w:val="0"/>
          <w:sz w:val="24"/>
          <w:szCs w:val="24"/>
        </w:rPr>
        <w:t xml:space="preserve"> </w:t>
      </w:r>
      <w:r w:rsidR="00AD3F1E" w:rsidRPr="008708D4">
        <w:rPr>
          <w:rFonts w:eastAsia="Calibri"/>
          <w:snapToGrid w:val="0"/>
          <w:sz w:val="24"/>
          <w:szCs w:val="24"/>
        </w:rPr>
        <w:t>by</w:t>
      </w:r>
      <w:r w:rsidR="00DB2A64" w:rsidRPr="008708D4">
        <w:rPr>
          <w:rFonts w:eastAsia="Calibri"/>
          <w:snapToGrid w:val="0"/>
          <w:sz w:val="24"/>
          <w:szCs w:val="24"/>
        </w:rPr>
        <w:t xml:space="preserve"> $6</w:t>
      </w:r>
      <w:r w:rsidR="00B864B3">
        <w:rPr>
          <w:rFonts w:eastAsia="Calibri"/>
          <w:snapToGrid w:val="0"/>
          <w:sz w:val="24"/>
          <w:szCs w:val="24"/>
        </w:rPr>
        <w:t>4</w:t>
      </w:r>
      <w:r w:rsidR="00DB2A64" w:rsidRPr="008708D4">
        <w:rPr>
          <w:rFonts w:eastAsia="Calibri"/>
          <w:snapToGrid w:val="0"/>
          <w:sz w:val="24"/>
          <w:szCs w:val="24"/>
        </w:rPr>
        <w:t xml:space="preserve">2,521 compared to the original </w:t>
      </w:r>
      <w:r w:rsidR="00AD3F1E" w:rsidRPr="008708D4">
        <w:rPr>
          <w:rFonts w:eastAsia="Calibri"/>
          <w:snapToGrid w:val="0"/>
          <w:sz w:val="24"/>
          <w:szCs w:val="24"/>
        </w:rPr>
        <w:t xml:space="preserve">2022 GRAM Annual Filing made on </w:t>
      </w:r>
      <w:r w:rsidR="00DB2A64" w:rsidRPr="008708D4">
        <w:rPr>
          <w:rFonts w:eastAsia="Calibri"/>
          <w:snapToGrid w:val="0"/>
          <w:sz w:val="24"/>
          <w:szCs w:val="24"/>
        </w:rPr>
        <w:t>October 1, 2021.</w:t>
      </w:r>
      <w:r w:rsidR="000C7057" w:rsidRPr="006F18AC">
        <w:rPr>
          <w:rFonts w:eastAsia="Calibri"/>
          <w:snapToGrid w:val="0"/>
          <w:sz w:val="24"/>
          <w:szCs w:val="24"/>
        </w:rPr>
        <w:t xml:space="preserve"> </w:t>
      </w:r>
      <w:r w:rsidR="00D95D48" w:rsidRPr="006F18AC">
        <w:rPr>
          <w:rFonts w:eastAsia="Calibri"/>
          <w:snapToGrid w:val="0"/>
          <w:sz w:val="24"/>
          <w:szCs w:val="24"/>
        </w:rPr>
        <w:t>This</w:t>
      </w:r>
      <w:r w:rsidR="00D95D48">
        <w:rPr>
          <w:rFonts w:eastAsia="Calibri"/>
          <w:snapToGrid w:val="0"/>
          <w:sz w:val="24"/>
          <w:szCs w:val="24"/>
        </w:rPr>
        <w:t xml:space="preserve"> </w:t>
      </w:r>
      <w:r w:rsidR="00AD3F1E">
        <w:rPr>
          <w:rFonts w:eastAsia="Calibri"/>
          <w:snapToGrid w:val="0"/>
          <w:sz w:val="24"/>
          <w:szCs w:val="24"/>
        </w:rPr>
        <w:t xml:space="preserve">revenue requirement </w:t>
      </w:r>
      <w:r w:rsidR="00D95D48">
        <w:rPr>
          <w:rFonts w:eastAsia="Calibri"/>
          <w:snapToGrid w:val="0"/>
          <w:sz w:val="24"/>
          <w:szCs w:val="24"/>
        </w:rPr>
        <w:t xml:space="preserve">also appears in WP 4-3 and </w:t>
      </w:r>
      <w:r w:rsidR="00D71DD5">
        <w:rPr>
          <w:rFonts w:eastAsia="Calibri"/>
          <w:snapToGrid w:val="0"/>
          <w:sz w:val="24"/>
          <w:szCs w:val="24"/>
        </w:rPr>
        <w:t xml:space="preserve">it </w:t>
      </w:r>
      <w:proofErr w:type="gramStart"/>
      <w:r w:rsidR="00D71DD5">
        <w:rPr>
          <w:rFonts w:eastAsia="Calibri"/>
          <w:snapToGrid w:val="0"/>
          <w:sz w:val="24"/>
          <w:szCs w:val="24"/>
        </w:rPr>
        <w:t xml:space="preserve">was </w:t>
      </w:r>
      <w:r w:rsidR="00D95D48">
        <w:rPr>
          <w:rFonts w:eastAsia="Calibri"/>
          <w:snapToGrid w:val="0"/>
          <w:sz w:val="24"/>
          <w:szCs w:val="24"/>
        </w:rPr>
        <w:t>allocated</w:t>
      </w:r>
      <w:proofErr w:type="gramEnd"/>
      <w:r w:rsidR="00D95D48">
        <w:rPr>
          <w:rFonts w:eastAsia="Calibri"/>
          <w:snapToGrid w:val="0"/>
          <w:sz w:val="24"/>
          <w:szCs w:val="24"/>
        </w:rPr>
        <w:t xml:space="preserve"> among the rate classes. For the Rate Effective Period, February 1, 2022 – January 31, 2023, the tracking revenues for the 202</w:t>
      </w:r>
      <w:r w:rsidR="00D71DD5">
        <w:rPr>
          <w:rFonts w:eastAsia="Calibri"/>
          <w:snapToGrid w:val="0"/>
          <w:sz w:val="24"/>
          <w:szCs w:val="24"/>
        </w:rPr>
        <w:t>2</w:t>
      </w:r>
      <w:r w:rsidR="00D95D48">
        <w:rPr>
          <w:rFonts w:eastAsia="Calibri"/>
          <w:snapToGrid w:val="0"/>
          <w:sz w:val="24"/>
          <w:szCs w:val="24"/>
        </w:rPr>
        <w:t xml:space="preserve"> </w:t>
      </w:r>
      <w:r w:rsidR="00BA201F">
        <w:rPr>
          <w:rFonts w:eastAsia="Calibri"/>
          <w:snapToGrid w:val="0"/>
          <w:sz w:val="24"/>
          <w:szCs w:val="24"/>
        </w:rPr>
        <w:t xml:space="preserve">GRAM </w:t>
      </w:r>
      <w:r w:rsidR="00D95D48">
        <w:rPr>
          <w:rFonts w:eastAsia="Calibri"/>
          <w:snapToGrid w:val="0"/>
          <w:sz w:val="24"/>
          <w:szCs w:val="24"/>
        </w:rPr>
        <w:t>Revenue True Up is $4</w:t>
      </w:r>
      <w:r w:rsidR="00B864B3">
        <w:rPr>
          <w:rFonts w:eastAsia="Calibri"/>
          <w:snapToGrid w:val="0"/>
          <w:sz w:val="24"/>
          <w:szCs w:val="24"/>
        </w:rPr>
        <w:t>3</w:t>
      </w:r>
      <w:r w:rsidR="00D95D48">
        <w:rPr>
          <w:rFonts w:eastAsia="Calibri"/>
          <w:snapToGrid w:val="0"/>
          <w:sz w:val="24"/>
          <w:szCs w:val="24"/>
        </w:rPr>
        <w:t>,</w:t>
      </w:r>
      <w:r w:rsidR="008708D4">
        <w:rPr>
          <w:rFonts w:eastAsia="Calibri"/>
          <w:snapToGrid w:val="0"/>
          <w:sz w:val="24"/>
          <w:szCs w:val="24"/>
        </w:rPr>
        <w:t>968,693</w:t>
      </w:r>
      <w:r w:rsidR="00D95D48">
        <w:rPr>
          <w:rFonts w:eastAsia="Calibri"/>
          <w:snapToGrid w:val="0"/>
          <w:sz w:val="24"/>
          <w:szCs w:val="24"/>
        </w:rPr>
        <w:t>.</w:t>
      </w:r>
      <w:r w:rsidR="00D71DD5">
        <w:rPr>
          <w:rFonts w:eastAsia="Calibri"/>
          <w:snapToGrid w:val="0"/>
          <w:sz w:val="24"/>
          <w:szCs w:val="24"/>
        </w:rPr>
        <w:t xml:space="preserve"> The 2022 Revenue True </w:t>
      </w:r>
      <w:r w:rsidR="002C4539">
        <w:rPr>
          <w:rFonts w:eastAsia="Calibri"/>
          <w:snapToGrid w:val="0"/>
          <w:sz w:val="24"/>
          <w:szCs w:val="24"/>
        </w:rPr>
        <w:t xml:space="preserve">Up </w:t>
      </w:r>
      <w:proofErr w:type="gramStart"/>
      <w:r w:rsidR="00D71DD5">
        <w:rPr>
          <w:rFonts w:eastAsia="Calibri"/>
          <w:snapToGrid w:val="0"/>
          <w:sz w:val="24"/>
          <w:szCs w:val="24"/>
        </w:rPr>
        <w:t>shall be filed</w:t>
      </w:r>
      <w:proofErr w:type="gramEnd"/>
      <w:r w:rsidR="00D71DD5">
        <w:rPr>
          <w:rFonts w:eastAsia="Calibri"/>
          <w:snapToGrid w:val="0"/>
          <w:sz w:val="24"/>
          <w:szCs w:val="24"/>
        </w:rPr>
        <w:t xml:space="preserve"> by April 30, 2023</w:t>
      </w:r>
      <w:r w:rsidR="00BA201F">
        <w:rPr>
          <w:rFonts w:eastAsia="Calibri"/>
          <w:snapToGrid w:val="0"/>
          <w:sz w:val="24"/>
          <w:szCs w:val="24"/>
        </w:rPr>
        <w:t xml:space="preserve"> to compare actual revenues to the approved revenues. </w:t>
      </w:r>
    </w:p>
    <w:p w14:paraId="2665133E" w14:textId="78976B0B" w:rsidR="00EB4A43" w:rsidRDefault="00EB4A43" w:rsidP="00BA201F">
      <w:pPr>
        <w:spacing w:before="100" w:after="100"/>
        <w:contextualSpacing/>
        <w:rPr>
          <w:rFonts w:eastAsia="Calibri"/>
          <w:snapToGrid w:val="0"/>
          <w:sz w:val="24"/>
          <w:szCs w:val="24"/>
        </w:rPr>
      </w:pPr>
    </w:p>
    <w:p w14:paraId="6AB03E7A" w14:textId="6D5513D3" w:rsidR="00CE09DB" w:rsidRPr="004E154B" w:rsidRDefault="00CE09DB" w:rsidP="004E154B">
      <w:pPr>
        <w:pStyle w:val="ListParagraph"/>
        <w:numPr>
          <w:ilvl w:val="0"/>
          <w:numId w:val="2"/>
        </w:numPr>
        <w:jc w:val="center"/>
        <w:rPr>
          <w:b/>
          <w:szCs w:val="24"/>
        </w:rPr>
      </w:pPr>
      <w:r w:rsidRPr="004E154B">
        <w:rPr>
          <w:b/>
          <w:szCs w:val="24"/>
        </w:rPr>
        <w:t>Rate Impact</w:t>
      </w:r>
    </w:p>
    <w:p w14:paraId="0659C95B" w14:textId="77777777" w:rsidR="00CE09DB" w:rsidRDefault="00CE09DB" w:rsidP="00CE09DB">
      <w:pPr>
        <w:spacing w:before="100" w:after="100"/>
        <w:contextualSpacing/>
        <w:rPr>
          <w:rFonts w:eastAsia="Calibri"/>
          <w:snapToGrid w:val="0"/>
          <w:sz w:val="24"/>
          <w:szCs w:val="24"/>
        </w:rPr>
      </w:pPr>
    </w:p>
    <w:p w14:paraId="3D8E6547" w14:textId="73DA65D1" w:rsidR="00CE09DB" w:rsidRDefault="00CE09DB" w:rsidP="008708D4">
      <w:pPr>
        <w:spacing w:before="100" w:after="100"/>
        <w:contextualSpacing/>
        <w:jc w:val="both"/>
        <w:rPr>
          <w:rFonts w:eastAsia="Calibri"/>
          <w:snapToGrid w:val="0"/>
          <w:sz w:val="24"/>
          <w:szCs w:val="24"/>
        </w:rPr>
      </w:pPr>
      <w:r>
        <w:rPr>
          <w:rFonts w:eastAsia="Calibri"/>
          <w:snapToGrid w:val="0"/>
          <w:sz w:val="24"/>
          <w:szCs w:val="24"/>
        </w:rPr>
        <w:tab/>
      </w:r>
      <w:r w:rsidRPr="006F18AC">
        <w:rPr>
          <w:rFonts w:eastAsia="Calibri"/>
          <w:snapToGrid w:val="0"/>
          <w:sz w:val="24"/>
          <w:szCs w:val="24"/>
        </w:rPr>
        <w:t>In WP 4-</w:t>
      </w:r>
      <w:r w:rsidR="00F90866" w:rsidRPr="006F18AC">
        <w:rPr>
          <w:rFonts w:eastAsia="Calibri"/>
          <w:snapToGrid w:val="0"/>
          <w:sz w:val="24"/>
          <w:szCs w:val="24"/>
        </w:rPr>
        <w:t>4</w:t>
      </w:r>
      <w:r w:rsidRPr="006F18AC">
        <w:rPr>
          <w:rFonts w:eastAsia="Calibri"/>
          <w:snapToGrid w:val="0"/>
          <w:sz w:val="24"/>
          <w:szCs w:val="24"/>
        </w:rPr>
        <w:t>, included below, is a breakdown and comparison of the</w:t>
      </w:r>
      <w:r w:rsidR="00F90866" w:rsidRPr="006F18AC">
        <w:rPr>
          <w:rFonts w:eastAsia="Calibri"/>
          <w:snapToGrid w:val="0"/>
          <w:sz w:val="24"/>
          <w:szCs w:val="24"/>
        </w:rPr>
        <w:t xml:space="preserve"> approved</w:t>
      </w:r>
      <w:r w:rsidRPr="006F18AC">
        <w:rPr>
          <w:rFonts w:eastAsia="Calibri"/>
          <w:snapToGrid w:val="0"/>
          <w:sz w:val="24"/>
          <w:szCs w:val="24"/>
        </w:rPr>
        <w:t xml:space="preserve"> 20</w:t>
      </w:r>
      <w:r w:rsidR="00F90866" w:rsidRPr="006F18AC">
        <w:rPr>
          <w:rFonts w:eastAsia="Calibri"/>
          <w:snapToGrid w:val="0"/>
          <w:sz w:val="24"/>
          <w:szCs w:val="24"/>
        </w:rPr>
        <w:t>22</w:t>
      </w:r>
      <w:r w:rsidRPr="006F18AC">
        <w:rPr>
          <w:rFonts w:eastAsia="Calibri"/>
          <w:snapToGrid w:val="0"/>
          <w:sz w:val="24"/>
          <w:szCs w:val="24"/>
        </w:rPr>
        <w:t xml:space="preserve"> GRAM rates </w:t>
      </w:r>
      <w:r w:rsidR="00F90866" w:rsidRPr="006F18AC">
        <w:rPr>
          <w:rFonts w:eastAsia="Calibri"/>
          <w:snapToGrid w:val="0"/>
          <w:sz w:val="24"/>
          <w:szCs w:val="24"/>
        </w:rPr>
        <w:t>related to the Schedule-11</w:t>
      </w:r>
      <w:r w:rsidRPr="006F18AC">
        <w:rPr>
          <w:rFonts w:eastAsia="Calibri"/>
          <w:snapToGrid w:val="0"/>
          <w:sz w:val="24"/>
          <w:szCs w:val="24"/>
        </w:rPr>
        <w:t xml:space="preserve"> </w:t>
      </w:r>
      <w:r w:rsidRPr="008708D4">
        <w:rPr>
          <w:rFonts w:eastAsia="Calibri"/>
          <w:snapToGrid w:val="0"/>
          <w:sz w:val="24"/>
          <w:szCs w:val="24"/>
        </w:rPr>
        <w:t>$</w:t>
      </w:r>
      <w:r w:rsidR="00F90866" w:rsidRPr="008708D4">
        <w:rPr>
          <w:rFonts w:eastAsia="Calibri"/>
          <w:snapToGrid w:val="0"/>
          <w:sz w:val="24"/>
          <w:szCs w:val="24"/>
        </w:rPr>
        <w:t>4,</w:t>
      </w:r>
      <w:r w:rsidR="00DB2A64" w:rsidRPr="008708D4">
        <w:rPr>
          <w:rFonts w:eastAsia="Calibri"/>
          <w:snapToGrid w:val="0"/>
          <w:sz w:val="24"/>
          <w:szCs w:val="24"/>
        </w:rPr>
        <w:t>598,314</w:t>
      </w:r>
      <w:r w:rsidRPr="006F18AC">
        <w:rPr>
          <w:rFonts w:eastAsia="Calibri"/>
          <w:snapToGrid w:val="0"/>
          <w:sz w:val="24"/>
          <w:szCs w:val="24"/>
        </w:rPr>
        <w:t xml:space="preserve"> revenue </w:t>
      </w:r>
      <w:r w:rsidR="00F90866" w:rsidRPr="006F18AC">
        <w:rPr>
          <w:rFonts w:eastAsia="Calibri"/>
          <w:snapToGrid w:val="0"/>
          <w:sz w:val="24"/>
          <w:szCs w:val="24"/>
        </w:rPr>
        <w:t>adjustment increase</w:t>
      </w:r>
      <w:r w:rsidRPr="006F18AC">
        <w:rPr>
          <w:rFonts w:eastAsia="Calibri"/>
          <w:snapToGrid w:val="0"/>
          <w:sz w:val="24"/>
          <w:szCs w:val="24"/>
        </w:rPr>
        <w:t>. WP 4-</w:t>
      </w:r>
      <w:r w:rsidR="00F90866" w:rsidRPr="006F18AC">
        <w:rPr>
          <w:rFonts w:eastAsia="Calibri"/>
          <w:snapToGrid w:val="0"/>
          <w:sz w:val="24"/>
          <w:szCs w:val="24"/>
        </w:rPr>
        <w:t>4</w:t>
      </w:r>
      <w:r w:rsidRPr="006F18AC">
        <w:rPr>
          <w:rFonts w:eastAsia="Calibri"/>
          <w:snapToGrid w:val="0"/>
          <w:sz w:val="24"/>
          <w:szCs w:val="24"/>
        </w:rPr>
        <w:t xml:space="preserve"> also provides a customer estimated </w:t>
      </w:r>
      <w:r w:rsidR="00F90866" w:rsidRPr="006F18AC">
        <w:rPr>
          <w:rFonts w:eastAsia="Calibri"/>
          <w:snapToGrid w:val="0"/>
          <w:sz w:val="24"/>
          <w:szCs w:val="24"/>
        </w:rPr>
        <w:t xml:space="preserve">average customer </w:t>
      </w:r>
      <w:r w:rsidRPr="006F18AC">
        <w:rPr>
          <w:rFonts w:eastAsia="Calibri"/>
          <w:snapToGrid w:val="0"/>
          <w:sz w:val="24"/>
          <w:szCs w:val="24"/>
        </w:rPr>
        <w:t xml:space="preserve">monthly </w:t>
      </w:r>
      <w:r w:rsidR="00F90866" w:rsidRPr="006F18AC">
        <w:rPr>
          <w:rFonts w:eastAsia="Calibri"/>
          <w:snapToGrid w:val="0"/>
          <w:sz w:val="24"/>
          <w:szCs w:val="24"/>
        </w:rPr>
        <w:t xml:space="preserve">and annual impacts. For the </w:t>
      </w:r>
      <w:r w:rsidR="004E154B" w:rsidRPr="006F18AC">
        <w:rPr>
          <w:rFonts w:eastAsia="Calibri"/>
          <w:snapToGrid w:val="0"/>
          <w:sz w:val="24"/>
          <w:szCs w:val="24"/>
        </w:rPr>
        <w:t xml:space="preserve">810 </w:t>
      </w:r>
      <w:r w:rsidR="00F90866" w:rsidRPr="006F18AC">
        <w:rPr>
          <w:rFonts w:eastAsia="Calibri"/>
          <w:snapToGrid w:val="0"/>
          <w:sz w:val="24"/>
          <w:szCs w:val="24"/>
        </w:rPr>
        <w:t xml:space="preserve">Residential </w:t>
      </w:r>
      <w:r w:rsidR="004E154B" w:rsidRPr="006F18AC">
        <w:rPr>
          <w:rFonts w:eastAsia="Calibri"/>
          <w:snapToGrid w:val="0"/>
          <w:sz w:val="24"/>
          <w:szCs w:val="24"/>
        </w:rPr>
        <w:t xml:space="preserve">customer, the monthly average increase in rates </w:t>
      </w:r>
      <w:proofErr w:type="gramStart"/>
      <w:r w:rsidR="004E154B" w:rsidRPr="006F18AC">
        <w:rPr>
          <w:rFonts w:eastAsia="Calibri"/>
          <w:snapToGrid w:val="0"/>
          <w:sz w:val="24"/>
          <w:szCs w:val="24"/>
        </w:rPr>
        <w:t>is estimated</w:t>
      </w:r>
      <w:proofErr w:type="gramEnd"/>
      <w:r w:rsidR="004E154B" w:rsidRPr="006F18AC">
        <w:rPr>
          <w:rFonts w:eastAsia="Calibri"/>
          <w:snapToGrid w:val="0"/>
          <w:sz w:val="24"/>
          <w:szCs w:val="24"/>
        </w:rPr>
        <w:t xml:space="preserve"> at a total of </w:t>
      </w:r>
      <w:r w:rsidR="004E154B" w:rsidRPr="008708D4">
        <w:rPr>
          <w:rFonts w:eastAsia="Calibri"/>
          <w:snapToGrid w:val="0"/>
          <w:sz w:val="24"/>
          <w:szCs w:val="24"/>
        </w:rPr>
        <w:t>$</w:t>
      </w:r>
      <w:r w:rsidR="00DB2A64" w:rsidRPr="008708D4">
        <w:rPr>
          <w:rFonts w:eastAsia="Calibri"/>
          <w:snapToGrid w:val="0"/>
          <w:sz w:val="24"/>
          <w:szCs w:val="24"/>
        </w:rPr>
        <w:t>4.96</w:t>
      </w:r>
      <w:r w:rsidR="004E154B" w:rsidRPr="006F18AC">
        <w:rPr>
          <w:rFonts w:eastAsia="Calibri"/>
          <w:snapToGrid w:val="0"/>
          <w:sz w:val="24"/>
          <w:szCs w:val="24"/>
        </w:rPr>
        <w:t xml:space="preserve"> per month per customer. Annual Rate Effective period, February 1, 2022 – January 31, 2023, the average Residential customer increase in rates is estimated at a total of </w:t>
      </w:r>
      <w:r w:rsidR="004E154B" w:rsidRPr="008708D4">
        <w:rPr>
          <w:rFonts w:eastAsia="Calibri"/>
          <w:snapToGrid w:val="0"/>
          <w:sz w:val="24"/>
          <w:szCs w:val="24"/>
        </w:rPr>
        <w:t>$</w:t>
      </w:r>
      <w:r w:rsidR="00DB2A64" w:rsidRPr="008708D4">
        <w:rPr>
          <w:rFonts w:eastAsia="Calibri"/>
          <w:snapToGrid w:val="0"/>
          <w:sz w:val="24"/>
          <w:szCs w:val="24"/>
        </w:rPr>
        <w:t>59.51</w:t>
      </w:r>
      <w:r w:rsidR="004E154B" w:rsidRPr="006F18AC">
        <w:rPr>
          <w:rFonts w:eastAsia="Calibri"/>
          <w:snapToGrid w:val="0"/>
          <w:sz w:val="24"/>
          <w:szCs w:val="24"/>
        </w:rPr>
        <w:t xml:space="preserve"> per customer.</w:t>
      </w:r>
      <w:r w:rsidR="004E154B">
        <w:rPr>
          <w:rFonts w:eastAsia="Calibri"/>
          <w:snapToGrid w:val="0"/>
          <w:sz w:val="24"/>
          <w:szCs w:val="24"/>
        </w:rPr>
        <w:t xml:space="preserve"> </w:t>
      </w:r>
    </w:p>
    <w:p w14:paraId="63F28A4B" w14:textId="77777777" w:rsidR="00CE09DB" w:rsidRDefault="00CE09DB" w:rsidP="00576EE9">
      <w:pPr>
        <w:spacing w:before="100" w:after="100"/>
        <w:ind w:firstLine="720"/>
        <w:contextualSpacing/>
        <w:jc w:val="both"/>
        <w:rPr>
          <w:rFonts w:eastAsia="Calibri"/>
          <w:snapToGrid w:val="0"/>
          <w:sz w:val="24"/>
          <w:szCs w:val="24"/>
        </w:rPr>
      </w:pPr>
    </w:p>
    <w:p w14:paraId="7DAAD2DF" w14:textId="1D68AD0D" w:rsidR="00F90866" w:rsidRDefault="00F90866" w:rsidP="00F90866">
      <w:pPr>
        <w:jc w:val="both"/>
        <w:rPr>
          <w:sz w:val="24"/>
          <w:szCs w:val="24"/>
        </w:rPr>
      </w:pPr>
    </w:p>
    <w:p w14:paraId="1F2D25D0" w14:textId="77777777" w:rsidR="00D13324" w:rsidRDefault="00D13324" w:rsidP="00F90866">
      <w:pPr>
        <w:jc w:val="both"/>
        <w:rPr>
          <w:b/>
          <w:sz w:val="24"/>
          <w:szCs w:val="24"/>
          <w:u w:val="single"/>
        </w:rPr>
      </w:pPr>
    </w:p>
    <w:p w14:paraId="2D72CCD1" w14:textId="77777777" w:rsidR="00D13324" w:rsidRDefault="00D13324" w:rsidP="00F90866">
      <w:pPr>
        <w:jc w:val="both"/>
        <w:rPr>
          <w:b/>
          <w:sz w:val="24"/>
          <w:szCs w:val="24"/>
          <w:u w:val="single"/>
        </w:rPr>
      </w:pPr>
    </w:p>
    <w:p w14:paraId="53C37EE6" w14:textId="479154E6" w:rsidR="00F90866" w:rsidRPr="00F90866" w:rsidRDefault="00F90866" w:rsidP="00F90866">
      <w:pPr>
        <w:jc w:val="both"/>
        <w:rPr>
          <w:b/>
          <w:sz w:val="24"/>
          <w:szCs w:val="24"/>
          <w:u w:val="single"/>
        </w:rPr>
      </w:pPr>
      <w:r w:rsidRPr="00F90866">
        <w:rPr>
          <w:b/>
          <w:sz w:val="24"/>
          <w:szCs w:val="24"/>
          <w:u w:val="single"/>
        </w:rPr>
        <w:lastRenderedPageBreak/>
        <w:t>2022 GRAM WP 4-4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2200"/>
        <w:gridCol w:w="1440"/>
        <w:gridCol w:w="1440"/>
        <w:gridCol w:w="1440"/>
        <w:gridCol w:w="1440"/>
        <w:gridCol w:w="1440"/>
      </w:tblGrid>
      <w:tr w:rsidR="00DB2A64" w:rsidRPr="00DB2A64" w14:paraId="1FFBE0B9" w14:textId="77777777" w:rsidTr="00DB2A64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73F6" w14:textId="77777777" w:rsidR="00DB2A64" w:rsidRPr="00DB2A64" w:rsidRDefault="00DB2A64" w:rsidP="00DB2A64">
            <w:pPr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828D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Column 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416C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Column II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326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Column III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664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Column IV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765E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Column V</w:t>
            </w:r>
          </w:p>
        </w:tc>
      </w:tr>
      <w:tr w:rsidR="00DB2A64" w:rsidRPr="00DB2A64" w14:paraId="7EF804EF" w14:textId="77777777" w:rsidTr="00DB2A64">
        <w:trPr>
          <w:trHeight w:val="112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D441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Liberty Tariff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A30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Proposed Base Tariff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3C3D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Current GRAM Base Tariff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977F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Variance</w:t>
            </w: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Proposed Rates to Current Rates</w:t>
            </w: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I -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CAD6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Monthly Inc (Dec) in </w:t>
            </w:r>
            <w:proofErr w:type="spellStart"/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Avg</w:t>
            </w:r>
            <w:proofErr w:type="spellEnd"/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Customer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5C91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Annual Inc (Dec) in </w:t>
            </w:r>
            <w:proofErr w:type="spellStart"/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Avg</w:t>
            </w:r>
            <w:proofErr w:type="spellEnd"/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Customer Cost</w:t>
            </w:r>
          </w:p>
        </w:tc>
      </w:tr>
      <w:tr w:rsidR="00DB2A64" w:rsidRPr="00DB2A64" w14:paraId="7FA4D023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BE23200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810 Residential</w:t>
            </w:r>
          </w:p>
        </w:tc>
      </w:tr>
      <w:tr w:rsidR="00DB2A64" w:rsidRPr="00DB2A64" w14:paraId="4F8C7957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BA02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E32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$27.96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AF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557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7B7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7DF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$35.58 </w:t>
            </w:r>
          </w:p>
        </w:tc>
      </w:tr>
      <w:tr w:rsidR="00DB2A64" w:rsidRPr="00DB2A64" w14:paraId="0B96E102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E2EF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Volumetric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CF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$0.5489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911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$0.4907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6237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$0.0582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A96E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$1.99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57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$23.93 </w:t>
            </w:r>
          </w:p>
        </w:tc>
      </w:tr>
      <w:tr w:rsidR="00DB2A64" w:rsidRPr="00DB2A64" w14:paraId="42E7CCDC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ADFE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BFD1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86E5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F474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EA5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$4.96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2003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$59.51 </w:t>
            </w:r>
          </w:p>
        </w:tc>
      </w:tr>
      <w:tr w:rsidR="00DB2A64" w:rsidRPr="00DB2A64" w14:paraId="25B24EED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1AAEF7C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820 General Service Commercial</w:t>
            </w:r>
          </w:p>
        </w:tc>
      </w:tr>
      <w:tr w:rsidR="00DB2A64" w:rsidRPr="00DB2A64" w14:paraId="450C2AA6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9CA2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Customer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D81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$55.93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605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$50.00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D03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1E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$5.93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24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$71.15 </w:t>
            </w:r>
          </w:p>
        </w:tc>
      </w:tr>
      <w:tr w:rsidR="00DB2A64" w:rsidRPr="00DB2A64" w14:paraId="5789FB5B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ED28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Commodity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02F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$0.3314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1CF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$0.2963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278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$0.0351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9E0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$8.52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A3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$102.23 </w:t>
            </w:r>
          </w:p>
        </w:tc>
      </w:tr>
      <w:tr w:rsidR="00DB2A64" w:rsidRPr="00DB2A64" w14:paraId="63BF58F0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BEED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8761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62B1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DA98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F33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$14.45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632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$173.39 </w:t>
            </w:r>
          </w:p>
        </w:tc>
      </w:tr>
      <w:tr w:rsidR="00DB2A64" w:rsidRPr="00DB2A64" w14:paraId="799EF0B8" w14:textId="77777777" w:rsidTr="00DB2A64">
        <w:trPr>
          <w:trHeight w:val="42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C3D3BE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820 General Service Industrial</w:t>
            </w:r>
          </w:p>
        </w:tc>
      </w:tr>
      <w:tr w:rsidR="00DB2A64" w:rsidRPr="00DB2A64" w14:paraId="711D76EA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B4BC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Customer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6DBB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 $               184.57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8C2E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 $               165.00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941C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 $                 19.57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B005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 $                 19.57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6BFB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 $               234.81 </w:t>
            </w:r>
          </w:p>
        </w:tc>
      </w:tr>
      <w:tr w:rsidR="00DB2A64" w:rsidRPr="00DB2A64" w14:paraId="1E55625C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D3B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Commodity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DB67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$0.3314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D663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$0.2963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50E1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$0.0351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B6D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 $                 78.79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2FD2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 $               945.53 </w:t>
            </w:r>
          </w:p>
        </w:tc>
      </w:tr>
      <w:tr w:rsidR="00DB2A64" w:rsidRPr="00DB2A64" w14:paraId="3162A9F6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1972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02D4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65BF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04FD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2504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        98.36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F2C2" w14:textId="77777777" w:rsidR="00DB2A64" w:rsidRPr="00DB2A64" w:rsidRDefault="00DB2A64" w:rsidP="008708D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           1,180.34 </w:t>
            </w:r>
          </w:p>
        </w:tc>
      </w:tr>
      <w:tr w:rsidR="00DB2A64" w:rsidRPr="00DB2A64" w14:paraId="0D42C034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1EFFA9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822 Res and </w:t>
            </w:r>
            <w:proofErr w:type="spellStart"/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Comm</w:t>
            </w:r>
            <w:proofErr w:type="spellEnd"/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HVAC</w:t>
            </w:r>
          </w:p>
        </w:tc>
      </w:tr>
      <w:tr w:rsidR="00DB2A64" w:rsidRPr="00DB2A64" w14:paraId="7E72433A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3B25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D36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$27.96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216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6AD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E63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$2.96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30B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$35.58 </w:t>
            </w:r>
          </w:p>
        </w:tc>
      </w:tr>
      <w:tr w:rsidR="00DB2A64" w:rsidRPr="00DB2A64" w14:paraId="15F75B16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001C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Volumetric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E55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$0.2573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637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$0.2300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CE1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$0.0273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F33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$8.51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810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$102.16 </w:t>
            </w:r>
          </w:p>
        </w:tc>
      </w:tr>
      <w:tr w:rsidR="00DB2A64" w:rsidRPr="00DB2A64" w14:paraId="5A52447D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0C4B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8705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8244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2E11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00F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$11.48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E5D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$137.73 </w:t>
            </w:r>
          </w:p>
        </w:tc>
      </w:tr>
      <w:tr w:rsidR="00DB2A64" w:rsidRPr="00DB2A64" w14:paraId="081CF210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1A46DB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830 Large Volume Service Commercial</w:t>
            </w:r>
          </w:p>
        </w:tc>
      </w:tr>
      <w:tr w:rsidR="00DB2A64" w:rsidRPr="00DB2A64" w14:paraId="1C506C6D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39F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A35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$83.89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02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853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0A6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BC03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$106.73 </w:t>
            </w:r>
          </w:p>
        </w:tc>
      </w:tr>
      <w:tr w:rsidR="00DB2A64" w:rsidRPr="00DB2A64" w14:paraId="7CF78F02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40F4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Volumetric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A2A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$0.2483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FCE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$0.2220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31F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$0.0263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2A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$445.17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4F8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$5,342.09 </w:t>
            </w:r>
          </w:p>
        </w:tc>
      </w:tr>
      <w:tr w:rsidR="00DB2A64" w:rsidRPr="00DB2A64" w14:paraId="65BDED83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CEF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461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C8FC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4D2E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AB4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$454.07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31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$5,448.83 </w:t>
            </w:r>
          </w:p>
        </w:tc>
      </w:tr>
      <w:tr w:rsidR="00DB2A64" w:rsidRPr="00DB2A64" w14:paraId="35D0EB4C" w14:textId="77777777" w:rsidTr="00DB2A64">
        <w:trPr>
          <w:trHeight w:val="42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4D981A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830 Large Volume Service Industrial</w:t>
            </w:r>
          </w:p>
        </w:tc>
      </w:tr>
      <w:tr w:rsidR="00DB2A64" w:rsidRPr="00DB2A64" w14:paraId="2C17E9B4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91E3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6BA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$83.89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F79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F54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AE8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$8.89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65A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$106.73 </w:t>
            </w:r>
          </w:p>
        </w:tc>
      </w:tr>
      <w:tr w:rsidR="00DB2A64" w:rsidRPr="00DB2A64" w14:paraId="72622F3A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58C3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Volumetric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F76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$0.2483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81E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$0.2220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7A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$0.0263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BCD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$465.34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1CA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$5,584.07 </w:t>
            </w:r>
          </w:p>
        </w:tc>
      </w:tr>
      <w:tr w:rsidR="00DB2A64" w:rsidRPr="00DB2A64" w14:paraId="7823B585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31D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40DF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5C9D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D650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AEC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$474.23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E6F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$5,690.80 </w:t>
            </w:r>
          </w:p>
        </w:tc>
      </w:tr>
      <w:tr w:rsidR="00DB2A64" w:rsidRPr="00DB2A64" w14:paraId="15770EAB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F7B212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830 Large Volume Service Transportation</w:t>
            </w:r>
          </w:p>
        </w:tc>
      </w:tr>
      <w:tr w:rsidR="00DB2A64" w:rsidRPr="00DB2A64" w14:paraId="27D4DAF5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7D75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A1F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$553.70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0807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$495.00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95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477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5C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$704.43 </w:t>
            </w:r>
          </w:p>
        </w:tc>
      </w:tr>
      <w:tr w:rsidR="00DB2A64" w:rsidRPr="00DB2A64" w14:paraId="2BDA1920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A88B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Volumetric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B78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$0.1991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D0D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$0.1780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D2A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$0.0211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FE86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$309.36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3AD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$3,712.28 </w:t>
            </w:r>
          </w:p>
        </w:tc>
      </w:tr>
      <w:tr w:rsidR="00DB2A64" w:rsidRPr="00DB2A64" w14:paraId="0D823EDF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91D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7B3B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D46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3447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465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$368.06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49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$4,416.71 </w:t>
            </w:r>
          </w:p>
        </w:tc>
      </w:tr>
      <w:tr w:rsidR="00DB2A64" w:rsidRPr="00DB2A64" w14:paraId="5931D783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B2AA08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850 Optional Gas Service</w:t>
            </w:r>
          </w:p>
        </w:tc>
      </w:tr>
      <w:tr w:rsidR="00DB2A64" w:rsidRPr="00DB2A64" w14:paraId="4E7D1C14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7ED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490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$553.70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250E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$495.00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5FCE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3E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AF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$704.43 </w:t>
            </w:r>
          </w:p>
        </w:tc>
      </w:tr>
      <w:tr w:rsidR="00DB2A64" w:rsidRPr="00DB2A64" w14:paraId="1BC38899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F8E5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1 - 20,000 </w:t>
            </w:r>
            <w:proofErr w:type="spellStart"/>
            <w:r w:rsidRPr="00DB2A64">
              <w:rPr>
                <w:rFonts w:ascii="Arial" w:hAnsi="Arial" w:cs="Arial"/>
                <w:sz w:val="16"/>
                <w:szCs w:val="16"/>
              </w:rPr>
              <w:t>Ccf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39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$0.1991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11E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$0.1780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5C1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$0.0211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5A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$421.82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91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$5,061.79 </w:t>
            </w:r>
          </w:p>
        </w:tc>
      </w:tr>
      <w:tr w:rsidR="00DB2A64" w:rsidRPr="00DB2A64" w14:paraId="33B111D1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35C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20,000 - 100,000 </w:t>
            </w:r>
            <w:proofErr w:type="spellStart"/>
            <w:r w:rsidRPr="00DB2A64">
              <w:rPr>
                <w:rFonts w:ascii="Arial" w:hAnsi="Arial" w:cs="Arial"/>
                <w:sz w:val="16"/>
                <w:szCs w:val="16"/>
              </w:rPr>
              <w:t>Ccf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48BA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$0.1678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EC4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$0.1500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181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$0.0178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078A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$561.99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F7E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$6,743.92 </w:t>
            </w:r>
          </w:p>
        </w:tc>
      </w:tr>
      <w:tr w:rsidR="00DB2A64" w:rsidRPr="00DB2A64" w14:paraId="0DBCBF06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3F4A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Over 100,000 </w:t>
            </w:r>
            <w:proofErr w:type="spellStart"/>
            <w:r w:rsidRPr="00DB2A64">
              <w:rPr>
                <w:rFonts w:ascii="Arial" w:hAnsi="Arial" w:cs="Arial"/>
                <w:sz w:val="16"/>
                <w:szCs w:val="16"/>
              </w:rPr>
              <w:t>Ccf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D4DA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$0.1398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4FF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$0.1250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27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$0.0148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994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$3.92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364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$47.01 </w:t>
            </w:r>
          </w:p>
        </w:tc>
      </w:tr>
      <w:tr w:rsidR="00DB2A64" w:rsidRPr="00DB2A64" w14:paraId="314B8ABE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075F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Demand Volumes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9836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$0.7936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1B2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$0.7095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7E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$0.0841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99F" w14:textId="77777777" w:rsidR="00DB2A64" w:rsidRPr="00DB2A64" w:rsidRDefault="00DB2A64" w:rsidP="00DB2A64">
            <w:pPr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9C28" w14:textId="77777777" w:rsidR="00DB2A64" w:rsidRPr="00DB2A64" w:rsidRDefault="00DB2A64" w:rsidP="00DB2A64">
            <w:pPr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B2A64" w:rsidRPr="00DB2A64" w14:paraId="05AFC4AB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731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72D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AAB0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1BA0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C0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$1,046.43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F2A7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$12,557.16 </w:t>
            </w:r>
          </w:p>
        </w:tc>
      </w:tr>
      <w:tr w:rsidR="00DB2A64" w:rsidRPr="00DB2A64" w14:paraId="1CE6437A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1878FC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860 Transportation</w:t>
            </w:r>
          </w:p>
        </w:tc>
      </w:tr>
      <w:tr w:rsidR="00DB2A64" w:rsidRPr="00DB2A64" w14:paraId="6F4F1911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053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520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$553.70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84A7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$495.00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2E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381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CBF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$704.43 </w:t>
            </w:r>
          </w:p>
        </w:tc>
      </w:tr>
      <w:tr w:rsidR="00DB2A64" w:rsidRPr="00DB2A64" w14:paraId="59FF4822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A1AD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1 - 20,000 </w:t>
            </w:r>
            <w:proofErr w:type="spellStart"/>
            <w:r w:rsidRPr="00DB2A64">
              <w:rPr>
                <w:rFonts w:ascii="Arial" w:hAnsi="Arial" w:cs="Arial"/>
                <w:sz w:val="16"/>
                <w:szCs w:val="16"/>
              </w:rPr>
              <w:t>Ccf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577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$0.1991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677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$0.1780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D533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$0.0211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C3A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$392.58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AA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$4,710.92 </w:t>
            </w:r>
          </w:p>
        </w:tc>
      </w:tr>
      <w:tr w:rsidR="00DB2A64" w:rsidRPr="00DB2A64" w14:paraId="1A75ADAD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1D6A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20,000 - 100,000 </w:t>
            </w:r>
            <w:proofErr w:type="spellStart"/>
            <w:r w:rsidRPr="00DB2A64">
              <w:rPr>
                <w:rFonts w:ascii="Arial" w:hAnsi="Arial" w:cs="Arial"/>
                <w:sz w:val="16"/>
                <w:szCs w:val="16"/>
              </w:rPr>
              <w:t>Ccf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35E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$0.1678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13A6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$0.1500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7F4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$0.0178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949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$790.86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6D5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$9,490.28 </w:t>
            </w:r>
          </w:p>
        </w:tc>
      </w:tr>
      <w:tr w:rsidR="00DB2A64" w:rsidRPr="00DB2A64" w14:paraId="6881AB83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7E1F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Over 100,000 </w:t>
            </w:r>
            <w:proofErr w:type="spellStart"/>
            <w:r w:rsidRPr="00DB2A64">
              <w:rPr>
                <w:rFonts w:ascii="Arial" w:hAnsi="Arial" w:cs="Arial"/>
                <w:sz w:val="16"/>
                <w:szCs w:val="16"/>
              </w:rPr>
              <w:t>Ccf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E8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$0.1398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8F0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$0.1250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7F45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$0.0148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7F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$149.50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EC0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$1,793.99 </w:t>
            </w:r>
          </w:p>
        </w:tc>
      </w:tr>
      <w:tr w:rsidR="00DB2A64" w:rsidRPr="00DB2A64" w14:paraId="69BFEA8D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B088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397C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08FD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9B90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D25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$1,391.64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CE3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$16,699.63 </w:t>
            </w:r>
          </w:p>
        </w:tc>
      </w:tr>
      <w:tr w:rsidR="00DB2A64" w:rsidRPr="00DB2A64" w14:paraId="51C081F6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960EC0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892 Cogeneration</w:t>
            </w:r>
          </w:p>
        </w:tc>
      </w:tr>
      <w:tr w:rsidR="00DB2A64" w:rsidRPr="00DB2A64" w14:paraId="5558E046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CA2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3C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$553.70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C2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$495.00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A75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13F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63C8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$704.43 </w:t>
            </w:r>
          </w:p>
        </w:tc>
      </w:tr>
      <w:tr w:rsidR="00DB2A64" w:rsidRPr="00DB2A64" w14:paraId="7498FE99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B791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Volumetric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233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$0.3300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0A9D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$0.2950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F8C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$0.0350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0E81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$23.77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578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$285.23 </w:t>
            </w:r>
          </w:p>
        </w:tc>
      </w:tr>
      <w:tr w:rsidR="00DB2A64" w:rsidRPr="00DB2A64" w14:paraId="0372EBB1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34D6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5F5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4508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1341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8C2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$82.47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024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$989.66 </w:t>
            </w:r>
          </w:p>
        </w:tc>
      </w:tr>
      <w:tr w:rsidR="00DB2A64" w:rsidRPr="00DB2A64" w14:paraId="2BD944A2" w14:textId="77777777" w:rsidTr="00DB2A64">
        <w:trPr>
          <w:trHeight w:val="480"/>
        </w:trPr>
        <w:tc>
          <w:tcPr>
            <w:tcW w:w="9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C893C1" w14:textId="77777777" w:rsidR="00DB2A64" w:rsidRPr="00DB2A64" w:rsidRDefault="00DB2A64" w:rsidP="00DB2A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893 Large Tonnage A/C Gas</w:t>
            </w:r>
          </w:p>
        </w:tc>
      </w:tr>
      <w:tr w:rsidR="00DB2A64" w:rsidRPr="00DB2A64" w14:paraId="28113D26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B585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Fixed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91C7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$553.70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65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$495.00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56B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30B3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$58.70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1FD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$704.43 </w:t>
            </w:r>
          </w:p>
        </w:tc>
      </w:tr>
      <w:tr w:rsidR="00DB2A64" w:rsidRPr="00DB2A64" w14:paraId="0F4303D4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A8CE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>Volumetric Charge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C40C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$0.2601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8B4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$0.2325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2AC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$0.0276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01B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$773.58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129E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2A64">
              <w:rPr>
                <w:rFonts w:ascii="Arial" w:hAnsi="Arial" w:cs="Arial"/>
                <w:sz w:val="16"/>
                <w:szCs w:val="16"/>
              </w:rPr>
              <w:t xml:space="preserve">$9,282.92 </w:t>
            </w:r>
          </w:p>
        </w:tc>
      </w:tr>
      <w:tr w:rsidR="00DB2A64" w:rsidRPr="00DB2A64" w14:paraId="344F610C" w14:textId="77777777" w:rsidTr="00DB2A64">
        <w:trPr>
          <w:trHeight w:val="42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99FC" w14:textId="77777777" w:rsidR="00DB2A64" w:rsidRPr="00DB2A64" w:rsidRDefault="00DB2A64" w:rsidP="00DB2A64">
            <w:pPr>
              <w:ind w:firstLineChars="100" w:firstLine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1457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257F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5572" w14:textId="77777777" w:rsidR="00DB2A64" w:rsidRPr="00DB2A64" w:rsidRDefault="00DB2A64" w:rsidP="00DB2A6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EE39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$832.28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BA2" w14:textId="77777777" w:rsidR="00DB2A64" w:rsidRPr="00DB2A64" w:rsidRDefault="00DB2A64" w:rsidP="00DB2A6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2A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$9,987.35 </w:t>
            </w:r>
          </w:p>
        </w:tc>
      </w:tr>
    </w:tbl>
    <w:p w14:paraId="64BCBF4D" w14:textId="53E98C55" w:rsidR="00F90866" w:rsidRDefault="00F90866" w:rsidP="00F90866">
      <w:pPr>
        <w:jc w:val="both"/>
        <w:rPr>
          <w:sz w:val="24"/>
          <w:szCs w:val="24"/>
        </w:rPr>
      </w:pPr>
    </w:p>
    <w:p w14:paraId="4F058FE0" w14:textId="77777777" w:rsidR="00010B3A" w:rsidRPr="006D2AE1" w:rsidRDefault="00010B3A" w:rsidP="00010B3A">
      <w:pPr>
        <w:rPr>
          <w:sz w:val="24"/>
          <w:szCs w:val="24"/>
        </w:rPr>
      </w:pPr>
    </w:p>
    <w:p w14:paraId="236D682E" w14:textId="335827AC" w:rsidR="00010B3A" w:rsidRPr="00BA201F" w:rsidRDefault="00BA201F" w:rsidP="00BA201F">
      <w:pPr>
        <w:pStyle w:val="Heading9"/>
        <w:numPr>
          <w:ilvl w:val="0"/>
          <w:numId w:val="2"/>
        </w:numPr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  <w:lang w:val="en-US"/>
        </w:rPr>
        <w:t>Findings of Facts and Conclusions of Law</w:t>
      </w:r>
    </w:p>
    <w:p w14:paraId="37428474" w14:textId="77777777" w:rsidR="00010B3A" w:rsidRPr="006D2AE1" w:rsidRDefault="00010B3A" w:rsidP="00010B3A">
      <w:pPr>
        <w:rPr>
          <w:sz w:val="24"/>
          <w:szCs w:val="24"/>
        </w:rPr>
      </w:pPr>
    </w:p>
    <w:p w14:paraId="6BA0B7B0" w14:textId="155085DF" w:rsidR="00010B3A" w:rsidRPr="006D2AE1" w:rsidRDefault="00010B3A" w:rsidP="008708D4">
      <w:pPr>
        <w:rPr>
          <w:sz w:val="24"/>
          <w:szCs w:val="24"/>
        </w:rPr>
      </w:pPr>
      <w:r w:rsidRPr="006D2AE1">
        <w:rPr>
          <w:sz w:val="24"/>
          <w:szCs w:val="24"/>
        </w:rPr>
        <w:lastRenderedPageBreak/>
        <w:t xml:space="preserve">    </w:t>
      </w:r>
      <w:r w:rsidRPr="006D2AE1">
        <w:rPr>
          <w:sz w:val="24"/>
          <w:szCs w:val="24"/>
        </w:rPr>
        <w:tab/>
      </w:r>
      <w:r w:rsidR="004E154B" w:rsidRPr="00B63305">
        <w:rPr>
          <w:sz w:val="24"/>
          <w:szCs w:val="24"/>
        </w:rPr>
        <w:t xml:space="preserve">On January </w:t>
      </w:r>
      <w:r w:rsidR="00AD3F1E" w:rsidRPr="00B63305">
        <w:rPr>
          <w:sz w:val="24"/>
          <w:szCs w:val="24"/>
        </w:rPr>
        <w:t>2</w:t>
      </w:r>
      <w:r w:rsidR="00B63305">
        <w:rPr>
          <w:sz w:val="24"/>
          <w:szCs w:val="24"/>
        </w:rPr>
        <w:t>6</w:t>
      </w:r>
      <w:r w:rsidR="004E154B" w:rsidRPr="00B63305">
        <w:rPr>
          <w:sz w:val="24"/>
          <w:szCs w:val="24"/>
        </w:rPr>
        <w:t>, 2022</w:t>
      </w:r>
      <w:r w:rsidR="004E154B" w:rsidRPr="006F18AC">
        <w:rPr>
          <w:sz w:val="24"/>
          <w:szCs w:val="24"/>
        </w:rPr>
        <w:t xml:space="preserve">, the Staff and PSNG entered into a stipulated agreement to resolve all matters related to the 2022 GRAM. </w:t>
      </w:r>
      <w:r w:rsidRPr="006F18AC">
        <w:rPr>
          <w:sz w:val="24"/>
          <w:szCs w:val="24"/>
        </w:rPr>
        <w:t xml:space="preserve">After a thorough review, the Commission finds that the terms of the </w:t>
      </w:r>
      <w:r w:rsidR="00C72ECE" w:rsidRPr="006F18AC">
        <w:rPr>
          <w:sz w:val="24"/>
          <w:szCs w:val="24"/>
        </w:rPr>
        <w:t>20</w:t>
      </w:r>
      <w:r w:rsidR="006469EF" w:rsidRPr="006F18AC">
        <w:rPr>
          <w:sz w:val="24"/>
          <w:szCs w:val="24"/>
        </w:rPr>
        <w:t>22</w:t>
      </w:r>
      <w:r w:rsidR="00C72ECE" w:rsidRPr="006F18AC">
        <w:rPr>
          <w:sz w:val="24"/>
          <w:szCs w:val="24"/>
        </w:rPr>
        <w:t xml:space="preserve"> GRAM </w:t>
      </w:r>
      <w:r w:rsidRPr="006F18AC">
        <w:rPr>
          <w:sz w:val="24"/>
          <w:szCs w:val="24"/>
        </w:rPr>
        <w:t>Stipulation</w:t>
      </w:r>
      <w:r w:rsidR="00347A29" w:rsidRPr="006F18AC">
        <w:rPr>
          <w:sz w:val="24"/>
          <w:szCs w:val="24"/>
        </w:rPr>
        <w:t xml:space="preserve"> attached hereto as Exhibit 1 which includes an Attachment A and an Attachment B</w:t>
      </w:r>
      <w:r w:rsidR="004E154B" w:rsidRPr="006F18AC">
        <w:rPr>
          <w:sz w:val="24"/>
          <w:szCs w:val="24"/>
        </w:rPr>
        <w:t>,</w:t>
      </w:r>
      <w:r w:rsidRPr="006F18AC">
        <w:rPr>
          <w:sz w:val="24"/>
          <w:szCs w:val="24"/>
        </w:rPr>
        <w:t xml:space="preserve"> are reasonable and that the resolution of this matter as provided in the Stipulation is appropriate</w:t>
      </w:r>
      <w:r w:rsidRPr="006D2AE1">
        <w:rPr>
          <w:sz w:val="24"/>
          <w:szCs w:val="24"/>
        </w:rPr>
        <w:t xml:space="preserve"> and in the public interest. </w:t>
      </w:r>
    </w:p>
    <w:p w14:paraId="0FB3D021" w14:textId="77777777" w:rsidR="00010B3A" w:rsidRPr="006D2AE1" w:rsidRDefault="00010B3A" w:rsidP="00010B3A">
      <w:pPr>
        <w:pStyle w:val="BodyText2"/>
        <w:tabs>
          <w:tab w:val="clear" w:pos="576"/>
          <w:tab w:val="left" w:pos="720"/>
        </w:tabs>
        <w:ind w:right="0"/>
        <w:jc w:val="both"/>
        <w:rPr>
          <w:rFonts w:ascii="Times New Roman" w:hAnsi="Times New Roman"/>
          <w:szCs w:val="24"/>
        </w:rPr>
      </w:pPr>
    </w:p>
    <w:p w14:paraId="004438C4" w14:textId="77777777" w:rsidR="00010B3A" w:rsidRPr="006D2AE1" w:rsidRDefault="00010B3A" w:rsidP="00010B3A">
      <w:pPr>
        <w:tabs>
          <w:tab w:val="left" w:pos="576"/>
          <w:tab w:val="left" w:pos="1296"/>
          <w:tab w:val="left" w:pos="2016"/>
          <w:tab w:val="left" w:pos="2736"/>
          <w:tab w:val="left" w:pos="4464"/>
          <w:tab w:val="left" w:pos="5184"/>
        </w:tabs>
        <w:ind w:right="432"/>
        <w:jc w:val="center"/>
        <w:rPr>
          <w:sz w:val="24"/>
          <w:szCs w:val="24"/>
        </w:rPr>
      </w:pPr>
      <w:r w:rsidRPr="006D2AE1">
        <w:rPr>
          <w:sz w:val="24"/>
          <w:szCs w:val="24"/>
        </w:rPr>
        <w:t>*******</w:t>
      </w:r>
    </w:p>
    <w:p w14:paraId="54426236" w14:textId="1B15C36D" w:rsidR="00010B3A" w:rsidRDefault="00010B3A" w:rsidP="00010B3A">
      <w:pPr>
        <w:tabs>
          <w:tab w:val="left" w:pos="576"/>
          <w:tab w:val="left" w:pos="1296"/>
          <w:tab w:val="left" w:pos="2016"/>
          <w:tab w:val="left" w:pos="2736"/>
          <w:tab w:val="left" w:pos="4464"/>
          <w:tab w:val="left" w:pos="5184"/>
        </w:tabs>
        <w:ind w:right="432"/>
        <w:jc w:val="center"/>
        <w:rPr>
          <w:sz w:val="24"/>
          <w:szCs w:val="24"/>
        </w:rPr>
      </w:pPr>
    </w:p>
    <w:p w14:paraId="2CF6F0DC" w14:textId="22C623F0" w:rsidR="00BA201F" w:rsidRPr="00BA201F" w:rsidRDefault="00BA201F" w:rsidP="00BA201F">
      <w:pPr>
        <w:pStyle w:val="ListParagraph"/>
        <w:numPr>
          <w:ilvl w:val="0"/>
          <w:numId w:val="2"/>
        </w:numPr>
        <w:tabs>
          <w:tab w:val="left" w:pos="576"/>
          <w:tab w:val="left" w:pos="1296"/>
          <w:tab w:val="left" w:pos="2016"/>
          <w:tab w:val="left" w:pos="2736"/>
          <w:tab w:val="left" w:pos="4464"/>
          <w:tab w:val="left" w:pos="5184"/>
        </w:tabs>
        <w:ind w:right="432"/>
        <w:jc w:val="center"/>
        <w:rPr>
          <w:b/>
          <w:szCs w:val="24"/>
        </w:rPr>
      </w:pPr>
      <w:r w:rsidRPr="00BA201F">
        <w:rPr>
          <w:b/>
          <w:szCs w:val="24"/>
        </w:rPr>
        <w:t>Ordering Paragraphs</w:t>
      </w:r>
    </w:p>
    <w:p w14:paraId="71E22A4C" w14:textId="77777777" w:rsidR="00BA201F" w:rsidRPr="006D2AE1" w:rsidRDefault="00BA201F" w:rsidP="00010B3A">
      <w:pPr>
        <w:tabs>
          <w:tab w:val="left" w:pos="576"/>
          <w:tab w:val="left" w:pos="1296"/>
          <w:tab w:val="left" w:pos="2016"/>
          <w:tab w:val="left" w:pos="2736"/>
          <w:tab w:val="left" w:pos="4464"/>
          <w:tab w:val="left" w:pos="5184"/>
        </w:tabs>
        <w:ind w:right="432"/>
        <w:jc w:val="center"/>
        <w:rPr>
          <w:sz w:val="24"/>
          <w:szCs w:val="24"/>
        </w:rPr>
      </w:pPr>
    </w:p>
    <w:p w14:paraId="11BE9580" w14:textId="4D2C6C91" w:rsidR="00010B3A" w:rsidRPr="006F18AC" w:rsidRDefault="00010B3A" w:rsidP="00010B3A">
      <w:pPr>
        <w:ind w:firstLine="720"/>
        <w:jc w:val="both"/>
        <w:rPr>
          <w:sz w:val="24"/>
          <w:szCs w:val="24"/>
        </w:rPr>
      </w:pPr>
      <w:r w:rsidRPr="006F18AC">
        <w:rPr>
          <w:b/>
          <w:sz w:val="24"/>
          <w:szCs w:val="24"/>
        </w:rPr>
        <w:t>WHEREFORE IT IS ORDERED</w:t>
      </w:r>
      <w:r w:rsidRPr="006F18AC">
        <w:rPr>
          <w:sz w:val="24"/>
          <w:szCs w:val="24"/>
        </w:rPr>
        <w:t xml:space="preserve">, that the Commission hereby accepts and adopts the </w:t>
      </w:r>
      <w:r w:rsidR="00C72ECE" w:rsidRPr="006F18AC">
        <w:rPr>
          <w:sz w:val="24"/>
          <w:szCs w:val="24"/>
        </w:rPr>
        <w:t>20</w:t>
      </w:r>
      <w:r w:rsidR="006469EF" w:rsidRPr="006F18AC">
        <w:rPr>
          <w:sz w:val="24"/>
          <w:szCs w:val="24"/>
        </w:rPr>
        <w:t>22</w:t>
      </w:r>
      <w:r w:rsidR="00C72ECE" w:rsidRPr="006F18AC">
        <w:rPr>
          <w:sz w:val="24"/>
          <w:szCs w:val="24"/>
        </w:rPr>
        <w:t xml:space="preserve"> GRAM </w:t>
      </w:r>
      <w:r w:rsidRPr="006F18AC">
        <w:rPr>
          <w:sz w:val="24"/>
          <w:szCs w:val="24"/>
        </w:rPr>
        <w:t xml:space="preserve">Stipulation as shown in </w:t>
      </w:r>
      <w:r w:rsidR="00347A29" w:rsidRPr="006F18AC">
        <w:rPr>
          <w:sz w:val="24"/>
          <w:szCs w:val="24"/>
        </w:rPr>
        <w:t>Exhibit I</w:t>
      </w:r>
      <w:r w:rsidR="006469EF" w:rsidRPr="006F18AC">
        <w:rPr>
          <w:sz w:val="24"/>
          <w:szCs w:val="24"/>
        </w:rPr>
        <w:t xml:space="preserve"> to this Order</w:t>
      </w:r>
      <w:r w:rsidRPr="006F18AC">
        <w:rPr>
          <w:sz w:val="24"/>
          <w:szCs w:val="24"/>
        </w:rPr>
        <w:t xml:space="preserve"> and that the terms and conditions of the Stipulation </w:t>
      </w:r>
      <w:r w:rsidR="006469EF" w:rsidRPr="006F18AC">
        <w:rPr>
          <w:sz w:val="24"/>
          <w:szCs w:val="24"/>
        </w:rPr>
        <w:t>(including the Attachment A</w:t>
      </w:r>
      <w:r w:rsidR="00347A29" w:rsidRPr="006F18AC">
        <w:rPr>
          <w:sz w:val="24"/>
          <w:szCs w:val="24"/>
        </w:rPr>
        <w:t xml:space="preserve"> and Attachment B</w:t>
      </w:r>
      <w:r w:rsidR="006469EF" w:rsidRPr="006F18AC">
        <w:rPr>
          <w:sz w:val="24"/>
          <w:szCs w:val="24"/>
        </w:rPr>
        <w:t xml:space="preserve"> to the 2022 GRAM Stipulation) </w:t>
      </w:r>
      <w:r w:rsidRPr="006F18AC">
        <w:rPr>
          <w:sz w:val="24"/>
          <w:szCs w:val="24"/>
        </w:rPr>
        <w:t>are incorporated herein</w:t>
      </w:r>
      <w:r w:rsidR="006469EF" w:rsidRPr="006F18AC">
        <w:rPr>
          <w:sz w:val="24"/>
          <w:szCs w:val="24"/>
        </w:rPr>
        <w:t>; and</w:t>
      </w:r>
      <w:r w:rsidRPr="006F18AC">
        <w:rPr>
          <w:sz w:val="24"/>
          <w:szCs w:val="24"/>
        </w:rPr>
        <w:t xml:space="preserve">  </w:t>
      </w:r>
    </w:p>
    <w:p w14:paraId="577A163B" w14:textId="77777777" w:rsidR="00010B3A" w:rsidRPr="006F18AC" w:rsidRDefault="00010B3A" w:rsidP="00C72ECE">
      <w:pPr>
        <w:jc w:val="both"/>
        <w:rPr>
          <w:sz w:val="24"/>
          <w:szCs w:val="24"/>
        </w:rPr>
      </w:pPr>
    </w:p>
    <w:p w14:paraId="01B3C142" w14:textId="3C4DDC21" w:rsidR="00010B3A" w:rsidRPr="006D2AE1" w:rsidRDefault="00B436E8" w:rsidP="00010B3A">
      <w:pPr>
        <w:ind w:firstLine="720"/>
        <w:jc w:val="both"/>
        <w:rPr>
          <w:sz w:val="24"/>
          <w:szCs w:val="24"/>
        </w:rPr>
      </w:pPr>
      <w:r w:rsidRPr="006F18AC">
        <w:rPr>
          <w:b/>
          <w:sz w:val="24"/>
          <w:szCs w:val="24"/>
        </w:rPr>
        <w:t>O</w:t>
      </w:r>
      <w:r w:rsidR="00010B3A" w:rsidRPr="006F18AC">
        <w:rPr>
          <w:b/>
          <w:sz w:val="24"/>
          <w:szCs w:val="24"/>
        </w:rPr>
        <w:t>RDERED FURTHER</w:t>
      </w:r>
      <w:r w:rsidR="00010B3A" w:rsidRPr="006F18AC">
        <w:rPr>
          <w:sz w:val="24"/>
          <w:szCs w:val="24"/>
        </w:rPr>
        <w:t xml:space="preserve">, that </w:t>
      </w:r>
      <w:r w:rsidR="00576EE9" w:rsidRPr="006F18AC">
        <w:rPr>
          <w:sz w:val="24"/>
          <w:szCs w:val="24"/>
        </w:rPr>
        <w:t>PSNG</w:t>
      </w:r>
      <w:r w:rsidR="00611A88" w:rsidRPr="006D2AE1">
        <w:rPr>
          <w:sz w:val="24"/>
          <w:szCs w:val="24"/>
        </w:rPr>
        <w:t xml:space="preserve"> </w:t>
      </w:r>
      <w:r w:rsidR="00010B3A" w:rsidRPr="006D2AE1">
        <w:rPr>
          <w:sz w:val="24"/>
          <w:szCs w:val="24"/>
        </w:rPr>
        <w:t>shall abide by the terms and conditions as set forth in the Stipulation</w:t>
      </w:r>
      <w:r w:rsidR="006469EF">
        <w:rPr>
          <w:sz w:val="24"/>
          <w:szCs w:val="24"/>
        </w:rPr>
        <w:t>; and</w:t>
      </w:r>
    </w:p>
    <w:p w14:paraId="6809C310" w14:textId="77777777" w:rsidR="00010B3A" w:rsidRPr="006D2AE1" w:rsidRDefault="00010B3A" w:rsidP="00010B3A">
      <w:pPr>
        <w:ind w:firstLine="720"/>
        <w:jc w:val="both"/>
        <w:rPr>
          <w:sz w:val="24"/>
          <w:szCs w:val="24"/>
        </w:rPr>
      </w:pPr>
    </w:p>
    <w:p w14:paraId="598D1E98" w14:textId="77777777" w:rsidR="00010B3A" w:rsidRPr="006D2AE1" w:rsidRDefault="00010B3A" w:rsidP="00010B3A">
      <w:pPr>
        <w:ind w:firstLine="720"/>
        <w:jc w:val="both"/>
        <w:rPr>
          <w:sz w:val="24"/>
          <w:szCs w:val="24"/>
        </w:rPr>
      </w:pPr>
      <w:r w:rsidRPr="006D2AE1">
        <w:rPr>
          <w:b/>
          <w:sz w:val="24"/>
          <w:szCs w:val="24"/>
        </w:rPr>
        <w:t>ORDERED FURTHER</w:t>
      </w:r>
      <w:r w:rsidRPr="006D2AE1">
        <w:rPr>
          <w:sz w:val="24"/>
          <w:szCs w:val="24"/>
        </w:rPr>
        <w:t xml:space="preserve">, that a motion for reconsideration, rehearing, or oral argument or any other motion shall not stay the effective date of this Order, unless otherwise ordered by the Commission; and </w:t>
      </w:r>
    </w:p>
    <w:p w14:paraId="15DB9FA3" w14:textId="77777777" w:rsidR="00010B3A" w:rsidRPr="006D2AE1" w:rsidRDefault="00010B3A" w:rsidP="00010B3A">
      <w:pPr>
        <w:ind w:firstLine="720"/>
        <w:jc w:val="both"/>
        <w:rPr>
          <w:sz w:val="24"/>
          <w:szCs w:val="24"/>
        </w:rPr>
      </w:pPr>
    </w:p>
    <w:p w14:paraId="2587F1B4" w14:textId="4D6C35BE" w:rsidR="00010B3A" w:rsidRPr="006D2AE1" w:rsidRDefault="00010B3A" w:rsidP="00010B3A">
      <w:pPr>
        <w:ind w:firstLine="720"/>
        <w:jc w:val="both"/>
        <w:rPr>
          <w:sz w:val="24"/>
          <w:szCs w:val="24"/>
        </w:rPr>
      </w:pPr>
      <w:r w:rsidRPr="006D2AE1">
        <w:rPr>
          <w:b/>
          <w:sz w:val="24"/>
          <w:szCs w:val="24"/>
        </w:rPr>
        <w:t>ORDERED FURTHER</w:t>
      </w:r>
      <w:r w:rsidRPr="006D2AE1">
        <w:rPr>
          <w:sz w:val="24"/>
          <w:szCs w:val="24"/>
        </w:rPr>
        <w:t xml:space="preserve">, that jurisdiction over this matter is expressly retained </w:t>
      </w:r>
      <w:proofErr w:type="gramStart"/>
      <w:r w:rsidRPr="006D2AE1">
        <w:rPr>
          <w:sz w:val="24"/>
          <w:szCs w:val="24"/>
        </w:rPr>
        <w:t>for the purpose o</w:t>
      </w:r>
      <w:r w:rsidR="006469EF">
        <w:rPr>
          <w:sz w:val="24"/>
          <w:szCs w:val="24"/>
        </w:rPr>
        <w:t>f</w:t>
      </w:r>
      <w:proofErr w:type="gramEnd"/>
      <w:r w:rsidRPr="006D2AE1">
        <w:rPr>
          <w:sz w:val="24"/>
          <w:szCs w:val="24"/>
        </w:rPr>
        <w:t xml:space="preserve"> entering such further Order or Orders as to this Commission may seem just and proper.</w:t>
      </w:r>
    </w:p>
    <w:p w14:paraId="6B5056C9" w14:textId="77777777" w:rsidR="00010B3A" w:rsidRPr="006D2AE1" w:rsidRDefault="00010B3A" w:rsidP="00010B3A">
      <w:pPr>
        <w:ind w:firstLine="720"/>
        <w:jc w:val="both"/>
        <w:rPr>
          <w:sz w:val="24"/>
          <w:szCs w:val="24"/>
        </w:rPr>
      </w:pPr>
    </w:p>
    <w:p w14:paraId="041E5968" w14:textId="3752BD00" w:rsidR="00010B3A" w:rsidRPr="006D2AE1" w:rsidRDefault="00010B3A" w:rsidP="00010B3A">
      <w:pPr>
        <w:ind w:firstLine="720"/>
        <w:jc w:val="both"/>
        <w:rPr>
          <w:sz w:val="24"/>
          <w:szCs w:val="24"/>
        </w:rPr>
      </w:pPr>
      <w:r w:rsidRPr="006D2AE1">
        <w:rPr>
          <w:sz w:val="24"/>
          <w:szCs w:val="24"/>
        </w:rPr>
        <w:t xml:space="preserve">The above by action of the Commission during its Special Administrative Session on the </w:t>
      </w:r>
      <w:r w:rsidR="006469EF">
        <w:rPr>
          <w:sz w:val="24"/>
          <w:szCs w:val="24"/>
        </w:rPr>
        <w:t>27</w:t>
      </w:r>
      <w:r w:rsidR="006469EF" w:rsidRPr="006469EF">
        <w:rPr>
          <w:sz w:val="24"/>
          <w:szCs w:val="24"/>
          <w:vertAlign w:val="superscript"/>
        </w:rPr>
        <w:t>th</w:t>
      </w:r>
      <w:r w:rsidR="006469EF">
        <w:rPr>
          <w:sz w:val="24"/>
          <w:szCs w:val="24"/>
        </w:rPr>
        <w:t xml:space="preserve"> </w:t>
      </w:r>
      <w:r w:rsidRPr="006D2AE1">
        <w:rPr>
          <w:sz w:val="24"/>
          <w:szCs w:val="24"/>
        </w:rPr>
        <w:t>day</w:t>
      </w:r>
      <w:r w:rsidR="00B318D3" w:rsidRPr="006D2AE1">
        <w:rPr>
          <w:sz w:val="24"/>
          <w:szCs w:val="24"/>
        </w:rPr>
        <w:t xml:space="preserve"> of January 20</w:t>
      </w:r>
      <w:r w:rsidR="006469EF">
        <w:rPr>
          <w:sz w:val="24"/>
          <w:szCs w:val="24"/>
        </w:rPr>
        <w:t>22</w:t>
      </w:r>
      <w:r w:rsidRPr="006D2AE1">
        <w:rPr>
          <w:sz w:val="24"/>
          <w:szCs w:val="24"/>
        </w:rPr>
        <w:t>.</w:t>
      </w:r>
    </w:p>
    <w:p w14:paraId="1B588BFA" w14:textId="77777777" w:rsidR="00010B3A" w:rsidRPr="006D2AE1" w:rsidRDefault="00010B3A" w:rsidP="00010B3A">
      <w:pPr>
        <w:ind w:firstLine="720"/>
        <w:jc w:val="both"/>
        <w:rPr>
          <w:sz w:val="24"/>
          <w:szCs w:val="24"/>
        </w:rPr>
      </w:pPr>
    </w:p>
    <w:p w14:paraId="7D609B5E" w14:textId="77777777" w:rsidR="00D3227E" w:rsidRPr="006D2AE1" w:rsidRDefault="00D3227E" w:rsidP="00032CBD">
      <w:pPr>
        <w:jc w:val="both"/>
        <w:rPr>
          <w:sz w:val="24"/>
          <w:szCs w:val="24"/>
        </w:rPr>
      </w:pPr>
    </w:p>
    <w:p w14:paraId="7E357169" w14:textId="77777777" w:rsidR="00010B3A" w:rsidRPr="006D2AE1" w:rsidRDefault="00010B3A" w:rsidP="00010B3A">
      <w:pPr>
        <w:jc w:val="both"/>
        <w:rPr>
          <w:sz w:val="24"/>
          <w:szCs w:val="24"/>
        </w:rPr>
      </w:pPr>
      <w:r w:rsidRPr="006D2AE1">
        <w:rPr>
          <w:sz w:val="24"/>
          <w:szCs w:val="24"/>
        </w:rPr>
        <w:t>_________________________</w:t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  <w:t>_________________________</w:t>
      </w:r>
    </w:p>
    <w:p w14:paraId="634CCA8B" w14:textId="0921FEFC" w:rsidR="00010B3A" w:rsidRPr="006D2AE1" w:rsidRDefault="002D143A" w:rsidP="00010B3A">
      <w:pPr>
        <w:jc w:val="both"/>
        <w:rPr>
          <w:sz w:val="24"/>
          <w:szCs w:val="24"/>
        </w:rPr>
      </w:pPr>
      <w:r>
        <w:rPr>
          <w:sz w:val="24"/>
          <w:szCs w:val="24"/>
        </w:rPr>
        <w:t>Sallie Tanner</w:t>
      </w:r>
      <w:r>
        <w:rPr>
          <w:sz w:val="24"/>
          <w:szCs w:val="24"/>
        </w:rPr>
        <w:tab/>
      </w:r>
      <w:r w:rsidR="00010B3A" w:rsidRPr="006D2AE1">
        <w:rPr>
          <w:sz w:val="24"/>
          <w:szCs w:val="24"/>
        </w:rPr>
        <w:tab/>
      </w:r>
      <w:r w:rsidR="00010B3A" w:rsidRPr="006D2AE1">
        <w:rPr>
          <w:sz w:val="24"/>
          <w:szCs w:val="24"/>
        </w:rPr>
        <w:tab/>
      </w:r>
      <w:r w:rsidR="00010B3A" w:rsidRPr="006D2AE1">
        <w:rPr>
          <w:sz w:val="24"/>
          <w:szCs w:val="24"/>
        </w:rPr>
        <w:tab/>
      </w:r>
      <w:r w:rsidR="00010B3A" w:rsidRPr="006D2AE1">
        <w:rPr>
          <w:sz w:val="24"/>
          <w:szCs w:val="24"/>
        </w:rPr>
        <w:tab/>
      </w:r>
      <w:r w:rsidR="00010B3A" w:rsidRPr="006D2AE1">
        <w:rPr>
          <w:sz w:val="24"/>
          <w:szCs w:val="24"/>
        </w:rPr>
        <w:tab/>
      </w:r>
      <w:r>
        <w:rPr>
          <w:sz w:val="24"/>
          <w:szCs w:val="24"/>
        </w:rPr>
        <w:t>Tricia Pridemore</w:t>
      </w:r>
    </w:p>
    <w:p w14:paraId="14032B03" w14:textId="77777777" w:rsidR="00010B3A" w:rsidRPr="006D2AE1" w:rsidRDefault="00010B3A" w:rsidP="00010B3A">
      <w:pPr>
        <w:jc w:val="both"/>
        <w:rPr>
          <w:sz w:val="24"/>
          <w:szCs w:val="24"/>
        </w:rPr>
      </w:pPr>
      <w:r w:rsidRPr="006D2AE1">
        <w:rPr>
          <w:sz w:val="24"/>
          <w:szCs w:val="24"/>
        </w:rPr>
        <w:t>Executive Secretary</w:t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  <w:t>Chairman</w:t>
      </w:r>
    </w:p>
    <w:p w14:paraId="5895D6DF" w14:textId="77777777" w:rsidR="00010B3A" w:rsidRPr="006D2AE1" w:rsidRDefault="00010B3A" w:rsidP="00010B3A">
      <w:pPr>
        <w:jc w:val="both"/>
        <w:rPr>
          <w:sz w:val="24"/>
          <w:szCs w:val="24"/>
        </w:rPr>
      </w:pPr>
    </w:p>
    <w:p w14:paraId="07611F7A" w14:textId="77777777" w:rsidR="00010B3A" w:rsidRPr="006D2AE1" w:rsidRDefault="00010B3A" w:rsidP="00010B3A">
      <w:pPr>
        <w:jc w:val="both"/>
        <w:rPr>
          <w:sz w:val="24"/>
          <w:szCs w:val="24"/>
        </w:rPr>
      </w:pPr>
      <w:r w:rsidRPr="006D2AE1">
        <w:rPr>
          <w:sz w:val="24"/>
          <w:szCs w:val="24"/>
        </w:rPr>
        <w:t>_________________________</w:t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softHyphen/>
      </w:r>
      <w:r w:rsidRPr="006D2AE1">
        <w:rPr>
          <w:sz w:val="24"/>
          <w:szCs w:val="24"/>
        </w:rPr>
        <w:softHyphen/>
      </w:r>
      <w:r w:rsidRPr="006D2AE1">
        <w:rPr>
          <w:sz w:val="24"/>
          <w:szCs w:val="24"/>
        </w:rPr>
        <w:softHyphen/>
      </w:r>
      <w:r w:rsidRPr="006D2AE1">
        <w:rPr>
          <w:sz w:val="24"/>
          <w:szCs w:val="24"/>
        </w:rPr>
        <w:softHyphen/>
      </w:r>
      <w:r w:rsidRPr="006D2AE1">
        <w:rPr>
          <w:sz w:val="24"/>
          <w:szCs w:val="24"/>
        </w:rPr>
        <w:softHyphen/>
      </w:r>
      <w:r w:rsidRPr="006D2AE1">
        <w:rPr>
          <w:sz w:val="24"/>
          <w:szCs w:val="24"/>
        </w:rPr>
        <w:softHyphen/>
      </w:r>
      <w:r w:rsidRPr="006D2AE1">
        <w:rPr>
          <w:sz w:val="24"/>
          <w:szCs w:val="24"/>
        </w:rPr>
        <w:softHyphen/>
      </w:r>
      <w:r w:rsidRPr="006D2AE1">
        <w:rPr>
          <w:sz w:val="24"/>
          <w:szCs w:val="24"/>
        </w:rPr>
        <w:softHyphen/>
        <w:t>__________________________</w:t>
      </w:r>
    </w:p>
    <w:p w14:paraId="34014577" w14:textId="77777777" w:rsidR="001F73BC" w:rsidRPr="006D2AE1" w:rsidRDefault="00010B3A" w:rsidP="00632FF1">
      <w:pPr>
        <w:jc w:val="both"/>
        <w:rPr>
          <w:sz w:val="24"/>
          <w:szCs w:val="24"/>
        </w:rPr>
      </w:pPr>
      <w:r w:rsidRPr="006D2AE1">
        <w:rPr>
          <w:sz w:val="24"/>
          <w:szCs w:val="24"/>
        </w:rPr>
        <w:t>Date</w:t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r w:rsidRPr="006D2AE1">
        <w:rPr>
          <w:sz w:val="24"/>
          <w:szCs w:val="24"/>
        </w:rPr>
        <w:tab/>
      </w:r>
      <w:proofErr w:type="spellStart"/>
      <w:r w:rsidRPr="006D2AE1">
        <w:rPr>
          <w:sz w:val="24"/>
          <w:szCs w:val="24"/>
        </w:rPr>
        <w:t>Date</w:t>
      </w:r>
      <w:proofErr w:type="spellEnd"/>
    </w:p>
    <w:sectPr w:rsidR="001F73BC" w:rsidRPr="006D2AE1" w:rsidSect="0003420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7B40" w14:textId="77777777" w:rsidR="00611431" w:rsidRDefault="00611431" w:rsidP="00FB49C5">
      <w:r>
        <w:separator/>
      </w:r>
    </w:p>
  </w:endnote>
  <w:endnote w:type="continuationSeparator" w:id="0">
    <w:p w14:paraId="5EA8E436" w14:textId="77777777" w:rsidR="00611431" w:rsidRDefault="00611431" w:rsidP="00F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D039" w14:textId="77777777" w:rsidR="00A761D8" w:rsidRDefault="000F3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849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49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F4EC14" w14:textId="77777777" w:rsidR="00A761D8" w:rsidRDefault="00A76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32D26" w14:textId="77777777" w:rsidR="00632FF1" w:rsidRDefault="00632FF1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</w:rPr>
    </w:pPr>
  </w:p>
  <w:p w14:paraId="58B7FB6C" w14:textId="63505600" w:rsidR="00A761D8" w:rsidRPr="00B86851" w:rsidRDefault="001849B0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  <w:lang w:val="en-US"/>
      </w:rPr>
    </w:pPr>
    <w:r w:rsidRPr="00D3056F">
      <w:rPr>
        <w:rFonts w:cs="Arial"/>
        <w:snapToGrid w:val="0"/>
        <w:sz w:val="18"/>
        <w:szCs w:val="18"/>
      </w:rPr>
      <w:t xml:space="preserve">Docket No. </w:t>
    </w:r>
    <w:r w:rsidR="00BC7FD0">
      <w:rPr>
        <w:rFonts w:cs="Arial"/>
        <w:snapToGrid w:val="0"/>
        <w:sz w:val="18"/>
        <w:szCs w:val="18"/>
        <w:lang w:val="en-US"/>
      </w:rPr>
      <w:t>42959</w:t>
    </w:r>
  </w:p>
  <w:p w14:paraId="25353860" w14:textId="7E2A2FAA" w:rsidR="00A761D8" w:rsidRPr="00B448A1" w:rsidRDefault="00C819E8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  <w:lang w:val="en-US"/>
      </w:rPr>
    </w:pPr>
    <w:r>
      <w:rPr>
        <w:rFonts w:cs="Arial"/>
        <w:snapToGrid w:val="0"/>
        <w:sz w:val="18"/>
        <w:szCs w:val="18"/>
      </w:rPr>
      <w:t>Liberty</w:t>
    </w:r>
    <w:r w:rsidR="001849B0">
      <w:rPr>
        <w:rFonts w:cs="Arial"/>
        <w:snapToGrid w:val="0"/>
        <w:sz w:val="18"/>
        <w:szCs w:val="18"/>
      </w:rPr>
      <w:t xml:space="preserve"> </w:t>
    </w:r>
    <w:r w:rsidR="006971D9">
      <w:rPr>
        <w:rFonts w:cs="Arial"/>
        <w:snapToGrid w:val="0"/>
        <w:sz w:val="18"/>
        <w:szCs w:val="18"/>
      </w:rPr>
      <w:t>Utilities</w:t>
    </w:r>
    <w:r>
      <w:rPr>
        <w:rFonts w:cs="Arial"/>
        <w:snapToGrid w:val="0"/>
        <w:sz w:val="18"/>
        <w:szCs w:val="18"/>
      </w:rPr>
      <w:t xml:space="preserve"> (</w:t>
    </w:r>
    <w:r w:rsidR="006971D9">
      <w:rPr>
        <w:rFonts w:cs="Arial"/>
        <w:snapToGrid w:val="0"/>
        <w:sz w:val="18"/>
        <w:szCs w:val="18"/>
      </w:rPr>
      <w:t>Peach State Natural Gas</w:t>
    </w:r>
    <w:r>
      <w:rPr>
        <w:rFonts w:cs="Arial"/>
        <w:snapToGrid w:val="0"/>
        <w:sz w:val="18"/>
        <w:szCs w:val="18"/>
      </w:rPr>
      <w:t>)</w:t>
    </w:r>
    <w:r w:rsidR="001849B0">
      <w:rPr>
        <w:rFonts w:cs="Arial"/>
        <w:snapToGrid w:val="0"/>
        <w:sz w:val="18"/>
        <w:szCs w:val="18"/>
      </w:rPr>
      <w:t xml:space="preserve"> Corp</w:t>
    </w:r>
    <w:r>
      <w:rPr>
        <w:rFonts w:cs="Arial"/>
        <w:snapToGrid w:val="0"/>
        <w:sz w:val="18"/>
        <w:szCs w:val="18"/>
      </w:rPr>
      <w:t>.</w:t>
    </w:r>
    <w:r w:rsidR="001849B0">
      <w:rPr>
        <w:rFonts w:cs="Arial"/>
        <w:snapToGrid w:val="0"/>
        <w:sz w:val="18"/>
        <w:szCs w:val="18"/>
      </w:rPr>
      <w:t xml:space="preserve"> </w:t>
    </w:r>
    <w:r w:rsidR="00B448A1">
      <w:rPr>
        <w:rFonts w:cs="Arial"/>
        <w:snapToGrid w:val="0"/>
        <w:sz w:val="18"/>
        <w:szCs w:val="18"/>
        <w:lang w:val="en-US"/>
      </w:rPr>
      <w:t>20</w:t>
    </w:r>
    <w:r w:rsidR="00BC7FD0">
      <w:rPr>
        <w:rFonts w:cs="Arial"/>
        <w:snapToGrid w:val="0"/>
        <w:sz w:val="18"/>
        <w:szCs w:val="18"/>
        <w:lang w:val="en-US"/>
      </w:rPr>
      <w:t>22</w:t>
    </w:r>
    <w:r w:rsidR="00B448A1">
      <w:rPr>
        <w:rFonts w:cs="Arial"/>
        <w:snapToGrid w:val="0"/>
        <w:sz w:val="18"/>
        <w:szCs w:val="18"/>
        <w:lang w:val="en-US"/>
      </w:rPr>
      <w:t xml:space="preserve"> GRAM</w:t>
    </w:r>
  </w:p>
  <w:p w14:paraId="05C08210" w14:textId="77777777" w:rsidR="00A761D8" w:rsidRPr="00D3056F" w:rsidRDefault="00B318D3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</w:rPr>
    </w:pPr>
    <w:r w:rsidRPr="00B318D3">
      <w:rPr>
        <w:rFonts w:cs="Arial"/>
        <w:snapToGrid w:val="0"/>
        <w:sz w:val="18"/>
        <w:szCs w:val="18"/>
      </w:rPr>
      <w:t xml:space="preserve">Final </w:t>
    </w:r>
    <w:r w:rsidR="001849B0" w:rsidRPr="00B318D3">
      <w:rPr>
        <w:rFonts w:cs="Arial"/>
        <w:snapToGrid w:val="0"/>
        <w:sz w:val="18"/>
        <w:szCs w:val="18"/>
      </w:rPr>
      <w:t>Order</w:t>
    </w:r>
    <w:r w:rsidR="001849B0" w:rsidRPr="00D3056F">
      <w:rPr>
        <w:rFonts w:cs="Arial"/>
        <w:snapToGrid w:val="0"/>
        <w:sz w:val="18"/>
        <w:szCs w:val="18"/>
      </w:rPr>
      <w:t xml:space="preserve"> Adopting Stipulation</w:t>
    </w:r>
  </w:p>
  <w:p w14:paraId="454A425B" w14:textId="0743BD9D" w:rsidR="00A761D8" w:rsidRPr="00B448A1" w:rsidRDefault="001849B0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z w:val="18"/>
        <w:szCs w:val="18"/>
        <w:lang w:val="en-US"/>
      </w:rPr>
    </w:pPr>
    <w:r w:rsidRPr="00D3056F">
      <w:rPr>
        <w:rFonts w:cs="Arial"/>
        <w:snapToGrid w:val="0"/>
        <w:sz w:val="18"/>
        <w:szCs w:val="18"/>
      </w:rPr>
      <w:t xml:space="preserve">Page </w:t>
    </w:r>
    <w:r w:rsidR="000F3841" w:rsidRPr="00D3056F">
      <w:rPr>
        <w:rFonts w:cs="Arial"/>
        <w:snapToGrid w:val="0"/>
        <w:sz w:val="18"/>
        <w:szCs w:val="18"/>
      </w:rPr>
      <w:fldChar w:fldCharType="begin"/>
    </w:r>
    <w:r w:rsidRPr="00D3056F">
      <w:rPr>
        <w:rFonts w:cs="Arial"/>
        <w:snapToGrid w:val="0"/>
        <w:sz w:val="18"/>
        <w:szCs w:val="18"/>
      </w:rPr>
      <w:instrText xml:space="preserve"> PAGE </w:instrText>
    </w:r>
    <w:r w:rsidR="000F3841" w:rsidRPr="00D3056F">
      <w:rPr>
        <w:rFonts w:cs="Arial"/>
        <w:snapToGrid w:val="0"/>
        <w:sz w:val="18"/>
        <w:szCs w:val="18"/>
      </w:rPr>
      <w:fldChar w:fldCharType="separate"/>
    </w:r>
    <w:r w:rsidR="00B71742">
      <w:rPr>
        <w:rFonts w:cs="Arial"/>
        <w:noProof/>
        <w:snapToGrid w:val="0"/>
        <w:sz w:val="18"/>
        <w:szCs w:val="18"/>
      </w:rPr>
      <w:t>6</w:t>
    </w:r>
    <w:r w:rsidR="000F3841" w:rsidRPr="00D3056F">
      <w:rPr>
        <w:rFonts w:cs="Arial"/>
        <w:snapToGrid w:val="0"/>
        <w:sz w:val="18"/>
        <w:szCs w:val="18"/>
      </w:rPr>
      <w:fldChar w:fldCharType="end"/>
    </w:r>
    <w:r w:rsidRPr="00D3056F">
      <w:rPr>
        <w:rFonts w:cs="Arial"/>
        <w:snapToGrid w:val="0"/>
        <w:sz w:val="18"/>
        <w:szCs w:val="18"/>
      </w:rPr>
      <w:t xml:space="preserve"> of </w:t>
    </w:r>
    <w:r w:rsidR="00BA201F">
      <w:rPr>
        <w:rFonts w:cs="Arial"/>
        <w:snapToGrid w:val="0"/>
        <w:sz w:val="18"/>
        <w:szCs w:val="18"/>
        <w:lang w:val="en-US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18AF" w14:textId="77777777" w:rsidR="00D31C18" w:rsidRDefault="00D31C18" w:rsidP="00A761D8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</w:rPr>
    </w:pPr>
  </w:p>
  <w:p w14:paraId="7651DE38" w14:textId="77777777" w:rsidR="00A761D8" w:rsidRDefault="001849B0" w:rsidP="00A761D8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</w:rPr>
    </w:pPr>
    <w:r w:rsidRPr="00D3056F">
      <w:rPr>
        <w:rFonts w:cs="Arial"/>
        <w:snapToGrid w:val="0"/>
        <w:sz w:val="18"/>
        <w:szCs w:val="18"/>
      </w:rPr>
      <w:t xml:space="preserve">Docket No. </w:t>
    </w:r>
    <w:r>
      <w:rPr>
        <w:rFonts w:cs="Arial"/>
        <w:snapToGrid w:val="0"/>
        <w:sz w:val="18"/>
        <w:szCs w:val="18"/>
      </w:rPr>
      <w:t>35876</w:t>
    </w:r>
  </w:p>
  <w:p w14:paraId="3DC6F2B8" w14:textId="77777777" w:rsidR="00A761D8" w:rsidRPr="00D3056F" w:rsidRDefault="001849B0" w:rsidP="00A761D8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</w:rPr>
    </w:pPr>
    <w:proofErr w:type="spellStart"/>
    <w:r>
      <w:rPr>
        <w:rFonts w:cs="Arial"/>
        <w:snapToGrid w:val="0"/>
        <w:sz w:val="18"/>
        <w:szCs w:val="18"/>
      </w:rPr>
      <w:t>Atmos</w:t>
    </w:r>
    <w:proofErr w:type="spellEnd"/>
    <w:r>
      <w:rPr>
        <w:rFonts w:cs="Arial"/>
        <w:snapToGrid w:val="0"/>
        <w:sz w:val="18"/>
        <w:szCs w:val="18"/>
      </w:rPr>
      <w:t xml:space="preserve"> Energy Corporation’s 2012-2013 Gas Supply Plan</w:t>
    </w:r>
  </w:p>
  <w:p w14:paraId="145A57BC" w14:textId="77777777" w:rsidR="00A761D8" w:rsidRPr="00D3056F" w:rsidRDefault="001849B0" w:rsidP="00A761D8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napToGrid w:val="0"/>
        <w:sz w:val="18"/>
        <w:szCs w:val="18"/>
      </w:rPr>
    </w:pPr>
    <w:r w:rsidRPr="00D3056F">
      <w:rPr>
        <w:rFonts w:cs="Arial"/>
        <w:snapToGrid w:val="0"/>
        <w:sz w:val="18"/>
        <w:szCs w:val="18"/>
      </w:rPr>
      <w:t>Order Adopting Stipulation</w:t>
    </w:r>
  </w:p>
  <w:p w14:paraId="68E4876F" w14:textId="77777777" w:rsidR="00A761D8" w:rsidRPr="00D3056F" w:rsidRDefault="001849B0" w:rsidP="00A761D8">
    <w:pPr>
      <w:pStyle w:val="Footer"/>
      <w:tabs>
        <w:tab w:val="clear" w:pos="8640"/>
        <w:tab w:val="right" w:pos="8190"/>
      </w:tabs>
      <w:ind w:right="450"/>
      <w:jc w:val="center"/>
      <w:rPr>
        <w:rFonts w:cs="Arial"/>
        <w:sz w:val="18"/>
        <w:szCs w:val="18"/>
      </w:rPr>
    </w:pPr>
    <w:r w:rsidRPr="00D3056F">
      <w:rPr>
        <w:rFonts w:cs="Arial"/>
        <w:snapToGrid w:val="0"/>
        <w:sz w:val="18"/>
        <w:szCs w:val="18"/>
      </w:rPr>
      <w:t xml:space="preserve">Page </w:t>
    </w:r>
    <w:r w:rsidR="000F3841" w:rsidRPr="00D3056F">
      <w:rPr>
        <w:rFonts w:cs="Arial"/>
        <w:snapToGrid w:val="0"/>
        <w:sz w:val="18"/>
        <w:szCs w:val="18"/>
      </w:rPr>
      <w:fldChar w:fldCharType="begin"/>
    </w:r>
    <w:r w:rsidRPr="00D3056F">
      <w:rPr>
        <w:rFonts w:cs="Arial"/>
        <w:snapToGrid w:val="0"/>
        <w:sz w:val="18"/>
        <w:szCs w:val="18"/>
      </w:rPr>
      <w:instrText xml:space="preserve"> PAGE </w:instrText>
    </w:r>
    <w:r w:rsidR="000F3841" w:rsidRPr="00D3056F">
      <w:rPr>
        <w:rFonts w:cs="Arial"/>
        <w:snapToGrid w:val="0"/>
        <w:sz w:val="18"/>
        <w:szCs w:val="18"/>
      </w:rPr>
      <w:fldChar w:fldCharType="separate"/>
    </w:r>
    <w:r w:rsidR="00FC50D0">
      <w:rPr>
        <w:rFonts w:cs="Arial"/>
        <w:noProof/>
        <w:snapToGrid w:val="0"/>
        <w:sz w:val="18"/>
        <w:szCs w:val="18"/>
      </w:rPr>
      <w:t>1</w:t>
    </w:r>
    <w:r w:rsidR="000F3841" w:rsidRPr="00D3056F">
      <w:rPr>
        <w:rFonts w:cs="Arial"/>
        <w:snapToGrid w:val="0"/>
        <w:sz w:val="18"/>
        <w:szCs w:val="18"/>
      </w:rPr>
      <w:fldChar w:fldCharType="end"/>
    </w:r>
    <w:r w:rsidRPr="00D3056F">
      <w:rPr>
        <w:rFonts w:cs="Arial"/>
        <w:snapToGrid w:val="0"/>
        <w:sz w:val="18"/>
        <w:szCs w:val="18"/>
      </w:rPr>
      <w:t xml:space="preserve"> of </w:t>
    </w:r>
    <w:r>
      <w:rPr>
        <w:rFonts w:cs="Arial"/>
        <w:snapToGrid w:val="0"/>
        <w:sz w:val="18"/>
        <w:szCs w:val="18"/>
      </w:rPr>
      <w:t>3</w:t>
    </w:r>
  </w:p>
  <w:p w14:paraId="222C99BF" w14:textId="77777777" w:rsidR="00A761D8" w:rsidRDefault="00A76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E111" w14:textId="77777777" w:rsidR="00611431" w:rsidRDefault="00611431" w:rsidP="00FB49C5">
      <w:r>
        <w:separator/>
      </w:r>
    </w:p>
  </w:footnote>
  <w:footnote w:type="continuationSeparator" w:id="0">
    <w:p w14:paraId="12B6962C" w14:textId="77777777" w:rsidR="00611431" w:rsidRDefault="00611431" w:rsidP="00FB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3498" w14:textId="77777777" w:rsidR="00C742B3" w:rsidRPr="00E85827" w:rsidRDefault="00C742B3" w:rsidP="00C742B3">
    <w:pPr>
      <w:pStyle w:val="Header"/>
      <w:jc w:val="center"/>
      <w:rPr>
        <w:b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E0A"/>
    <w:multiLevelType w:val="hybridMultilevel"/>
    <w:tmpl w:val="6E9242C0"/>
    <w:lvl w:ilvl="0" w:tplc="BEA68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C4E94"/>
    <w:multiLevelType w:val="hybridMultilevel"/>
    <w:tmpl w:val="8210FFE2"/>
    <w:lvl w:ilvl="0" w:tplc="537EA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3A"/>
    <w:rsid w:val="00010B3A"/>
    <w:rsid w:val="0002048D"/>
    <w:rsid w:val="00020712"/>
    <w:rsid w:val="00032CBD"/>
    <w:rsid w:val="00034202"/>
    <w:rsid w:val="000666E1"/>
    <w:rsid w:val="000716B2"/>
    <w:rsid w:val="000739A7"/>
    <w:rsid w:val="00074649"/>
    <w:rsid w:val="00094BC3"/>
    <w:rsid w:val="000A69C4"/>
    <w:rsid w:val="000B1794"/>
    <w:rsid w:val="000C283A"/>
    <w:rsid w:val="000C7057"/>
    <w:rsid w:val="000D3E7D"/>
    <w:rsid w:val="000E78DA"/>
    <w:rsid w:val="000F3841"/>
    <w:rsid w:val="001310D8"/>
    <w:rsid w:val="00136326"/>
    <w:rsid w:val="00151727"/>
    <w:rsid w:val="0017403C"/>
    <w:rsid w:val="001849B0"/>
    <w:rsid w:val="00192BD5"/>
    <w:rsid w:val="0019563B"/>
    <w:rsid w:val="00195890"/>
    <w:rsid w:val="001B206E"/>
    <w:rsid w:val="001D6EB5"/>
    <w:rsid w:val="001F73BC"/>
    <w:rsid w:val="00205BAA"/>
    <w:rsid w:val="002511B3"/>
    <w:rsid w:val="00257CB9"/>
    <w:rsid w:val="00276663"/>
    <w:rsid w:val="00287E49"/>
    <w:rsid w:val="002A2851"/>
    <w:rsid w:val="002B3B04"/>
    <w:rsid w:val="002C4539"/>
    <w:rsid w:val="002C7209"/>
    <w:rsid w:val="002D143A"/>
    <w:rsid w:val="002D7A8E"/>
    <w:rsid w:val="003003EC"/>
    <w:rsid w:val="00310623"/>
    <w:rsid w:val="003174B5"/>
    <w:rsid w:val="00321FE3"/>
    <w:rsid w:val="0032264E"/>
    <w:rsid w:val="003305DE"/>
    <w:rsid w:val="00333F32"/>
    <w:rsid w:val="0033652F"/>
    <w:rsid w:val="00347A29"/>
    <w:rsid w:val="00352707"/>
    <w:rsid w:val="00354185"/>
    <w:rsid w:val="003607C6"/>
    <w:rsid w:val="003C6125"/>
    <w:rsid w:val="003D3999"/>
    <w:rsid w:val="003F4275"/>
    <w:rsid w:val="004118DB"/>
    <w:rsid w:val="00411AD1"/>
    <w:rsid w:val="00437B85"/>
    <w:rsid w:val="00460147"/>
    <w:rsid w:val="004A05EC"/>
    <w:rsid w:val="004A08B2"/>
    <w:rsid w:val="004E0092"/>
    <w:rsid w:val="004E0703"/>
    <w:rsid w:val="004E154B"/>
    <w:rsid w:val="004F0EF0"/>
    <w:rsid w:val="0050580B"/>
    <w:rsid w:val="00530702"/>
    <w:rsid w:val="0055303B"/>
    <w:rsid w:val="00557E08"/>
    <w:rsid w:val="00566ACE"/>
    <w:rsid w:val="00576EE9"/>
    <w:rsid w:val="00585231"/>
    <w:rsid w:val="0059214C"/>
    <w:rsid w:val="005978DD"/>
    <w:rsid w:val="005B20AB"/>
    <w:rsid w:val="005B68A4"/>
    <w:rsid w:val="005C2412"/>
    <w:rsid w:val="005D238D"/>
    <w:rsid w:val="005E379D"/>
    <w:rsid w:val="00604B1E"/>
    <w:rsid w:val="00611431"/>
    <w:rsid w:val="00611A88"/>
    <w:rsid w:val="0061667F"/>
    <w:rsid w:val="00632FF1"/>
    <w:rsid w:val="00633DAC"/>
    <w:rsid w:val="00634E90"/>
    <w:rsid w:val="00637C79"/>
    <w:rsid w:val="006469EF"/>
    <w:rsid w:val="00655140"/>
    <w:rsid w:val="00675EFD"/>
    <w:rsid w:val="006940BF"/>
    <w:rsid w:val="00695591"/>
    <w:rsid w:val="00696744"/>
    <w:rsid w:val="006971D9"/>
    <w:rsid w:val="006A53BC"/>
    <w:rsid w:val="006B061D"/>
    <w:rsid w:val="006B0BDA"/>
    <w:rsid w:val="006B3FF6"/>
    <w:rsid w:val="006C76FE"/>
    <w:rsid w:val="006D2AE1"/>
    <w:rsid w:val="006D6678"/>
    <w:rsid w:val="006F18AC"/>
    <w:rsid w:val="006F46EF"/>
    <w:rsid w:val="006F5FE6"/>
    <w:rsid w:val="006F7513"/>
    <w:rsid w:val="00706247"/>
    <w:rsid w:val="007623CD"/>
    <w:rsid w:val="00764169"/>
    <w:rsid w:val="00772B1E"/>
    <w:rsid w:val="007857B1"/>
    <w:rsid w:val="007E3370"/>
    <w:rsid w:val="007E343F"/>
    <w:rsid w:val="008074B6"/>
    <w:rsid w:val="008239E2"/>
    <w:rsid w:val="00852EF6"/>
    <w:rsid w:val="0085371D"/>
    <w:rsid w:val="008708D4"/>
    <w:rsid w:val="00881069"/>
    <w:rsid w:val="00895F02"/>
    <w:rsid w:val="008B1841"/>
    <w:rsid w:val="008B300C"/>
    <w:rsid w:val="00906921"/>
    <w:rsid w:val="0091420C"/>
    <w:rsid w:val="0092023E"/>
    <w:rsid w:val="00946CD1"/>
    <w:rsid w:val="00952A7B"/>
    <w:rsid w:val="00952C30"/>
    <w:rsid w:val="009538E5"/>
    <w:rsid w:val="009660F8"/>
    <w:rsid w:val="009F5788"/>
    <w:rsid w:val="00A11B39"/>
    <w:rsid w:val="00A125DF"/>
    <w:rsid w:val="00A32403"/>
    <w:rsid w:val="00A42A60"/>
    <w:rsid w:val="00A761D8"/>
    <w:rsid w:val="00A831E5"/>
    <w:rsid w:val="00AC4D5B"/>
    <w:rsid w:val="00AD3F1E"/>
    <w:rsid w:val="00AD6D59"/>
    <w:rsid w:val="00AF1C83"/>
    <w:rsid w:val="00AF46E4"/>
    <w:rsid w:val="00AF5F61"/>
    <w:rsid w:val="00B06B58"/>
    <w:rsid w:val="00B078B3"/>
    <w:rsid w:val="00B318D3"/>
    <w:rsid w:val="00B35841"/>
    <w:rsid w:val="00B436E8"/>
    <w:rsid w:val="00B448A1"/>
    <w:rsid w:val="00B50F86"/>
    <w:rsid w:val="00B52691"/>
    <w:rsid w:val="00B54DE2"/>
    <w:rsid w:val="00B63305"/>
    <w:rsid w:val="00B71742"/>
    <w:rsid w:val="00B84993"/>
    <w:rsid w:val="00B864B3"/>
    <w:rsid w:val="00B86851"/>
    <w:rsid w:val="00B8784E"/>
    <w:rsid w:val="00BA201F"/>
    <w:rsid w:val="00BA7FD2"/>
    <w:rsid w:val="00BB3455"/>
    <w:rsid w:val="00BC7FD0"/>
    <w:rsid w:val="00BD1A0D"/>
    <w:rsid w:val="00BE2F2B"/>
    <w:rsid w:val="00C05534"/>
    <w:rsid w:val="00C13A03"/>
    <w:rsid w:val="00C1628A"/>
    <w:rsid w:val="00C22036"/>
    <w:rsid w:val="00C32C30"/>
    <w:rsid w:val="00C72ECE"/>
    <w:rsid w:val="00C742B3"/>
    <w:rsid w:val="00C802A4"/>
    <w:rsid w:val="00C819E8"/>
    <w:rsid w:val="00CA6576"/>
    <w:rsid w:val="00CD6E03"/>
    <w:rsid w:val="00CE09DB"/>
    <w:rsid w:val="00CE1EC8"/>
    <w:rsid w:val="00CF24B0"/>
    <w:rsid w:val="00D00C8D"/>
    <w:rsid w:val="00D02D20"/>
    <w:rsid w:val="00D0566C"/>
    <w:rsid w:val="00D13324"/>
    <w:rsid w:val="00D15540"/>
    <w:rsid w:val="00D31C18"/>
    <w:rsid w:val="00D3227E"/>
    <w:rsid w:val="00D50D75"/>
    <w:rsid w:val="00D71DD5"/>
    <w:rsid w:val="00D95D48"/>
    <w:rsid w:val="00DB2A64"/>
    <w:rsid w:val="00DB6C69"/>
    <w:rsid w:val="00DC29DE"/>
    <w:rsid w:val="00DC69AA"/>
    <w:rsid w:val="00DD002B"/>
    <w:rsid w:val="00DE5322"/>
    <w:rsid w:val="00E06727"/>
    <w:rsid w:val="00E64E0A"/>
    <w:rsid w:val="00E85827"/>
    <w:rsid w:val="00E875F8"/>
    <w:rsid w:val="00E94C8F"/>
    <w:rsid w:val="00E974F7"/>
    <w:rsid w:val="00EB185A"/>
    <w:rsid w:val="00EB4A43"/>
    <w:rsid w:val="00ED69C1"/>
    <w:rsid w:val="00F2601A"/>
    <w:rsid w:val="00F31760"/>
    <w:rsid w:val="00F40EE4"/>
    <w:rsid w:val="00F41403"/>
    <w:rsid w:val="00F44A8C"/>
    <w:rsid w:val="00F52FFC"/>
    <w:rsid w:val="00F90866"/>
    <w:rsid w:val="00FB49C5"/>
    <w:rsid w:val="00FB544A"/>
    <w:rsid w:val="00FB6CCF"/>
    <w:rsid w:val="00FC2A97"/>
    <w:rsid w:val="00FC4364"/>
    <w:rsid w:val="00FC50D0"/>
    <w:rsid w:val="00FD4085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21317F"/>
  <w15:chartTrackingRefBased/>
  <w15:docId w15:val="{12C741FC-19F8-4380-B317-1C857EC7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B3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010B3A"/>
    <w:pPr>
      <w:keepNext/>
      <w:jc w:val="center"/>
      <w:outlineLvl w:val="0"/>
    </w:pPr>
    <w:rPr>
      <w:b/>
      <w:u w:val="single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10B3A"/>
    <w:pPr>
      <w:keepNext/>
      <w:jc w:val="center"/>
      <w:outlineLvl w:val="8"/>
    </w:pPr>
    <w:rPr>
      <w:rFonts w:ascii="Arial" w:hAnsi="Arial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10B3A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link w:val="Heading9"/>
    <w:rsid w:val="00010B3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010B3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0B3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10B3A"/>
  </w:style>
  <w:style w:type="paragraph" w:styleId="BodyText2">
    <w:name w:val="Body Text 2"/>
    <w:basedOn w:val="Normal"/>
    <w:link w:val="BodyText2Char"/>
    <w:rsid w:val="00010B3A"/>
    <w:pPr>
      <w:tabs>
        <w:tab w:val="left" w:pos="576"/>
        <w:tab w:val="left" w:pos="1296"/>
        <w:tab w:val="left" w:pos="2016"/>
        <w:tab w:val="left" w:pos="2736"/>
        <w:tab w:val="left" w:pos="4464"/>
        <w:tab w:val="left" w:pos="5184"/>
      </w:tabs>
      <w:ind w:right="432"/>
    </w:pPr>
    <w:rPr>
      <w:rFonts w:ascii="Arial" w:hAnsi="Arial"/>
      <w:sz w:val="24"/>
      <w:lang w:val="x-none" w:eastAsia="x-none"/>
    </w:rPr>
  </w:style>
  <w:style w:type="character" w:customStyle="1" w:styleId="BodyText2Char">
    <w:name w:val="Body Text 2 Char"/>
    <w:link w:val="BodyText2"/>
    <w:rsid w:val="00010B3A"/>
    <w:rPr>
      <w:rFonts w:ascii="Arial" w:eastAsia="Times New Roman" w:hAnsi="Arial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rsid w:val="0001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lang w:val="x-none" w:eastAsia="x-none"/>
    </w:rPr>
  </w:style>
  <w:style w:type="character" w:customStyle="1" w:styleId="HTMLPreformattedChar">
    <w:name w:val="HTML Preformatted Char"/>
    <w:link w:val="HTMLPreformatted"/>
    <w:rsid w:val="00010B3A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9C5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FB49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B49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1C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31C1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0D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C50D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EE9"/>
    <w:pPr>
      <w:spacing w:before="100" w:after="100"/>
      <w:ind w:left="720"/>
      <w:contextualSpacing/>
    </w:pPr>
    <w:rPr>
      <w:rFonts w:eastAsia="Calibri"/>
      <w:snapToGrid w:val="0"/>
      <w:sz w:val="24"/>
    </w:rPr>
  </w:style>
  <w:style w:type="paragraph" w:styleId="Revision">
    <w:name w:val="Revision"/>
    <w:hidden/>
    <w:uiPriority w:val="99"/>
    <w:semiHidden/>
    <w:rsid w:val="00695591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6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326"/>
  </w:style>
  <w:style w:type="character" w:customStyle="1" w:styleId="CommentTextChar">
    <w:name w:val="Comment Text Char"/>
    <w:basedOn w:val="DefaultParagraphFont"/>
    <w:link w:val="CommentText"/>
    <w:uiPriority w:val="99"/>
    <w:rsid w:val="0013632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32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64EF-D6D6-476B-8BBB-A36D2A7E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Caudill</dc:creator>
  <cp:keywords/>
  <cp:lastModifiedBy>Samuel Johnson</cp:lastModifiedBy>
  <cp:revision>3</cp:revision>
  <cp:lastPrinted>2015-09-21T16:47:00Z</cp:lastPrinted>
  <dcterms:created xsi:type="dcterms:W3CDTF">2022-01-27T15:21:00Z</dcterms:created>
  <dcterms:modified xsi:type="dcterms:W3CDTF">2022-01-27T15:23:00Z</dcterms:modified>
</cp:coreProperties>
</file>