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5" w:type="dxa"/>
        <w:jc w:val="center"/>
        <w:tblLayout w:type="fixed"/>
        <w:tblCellMar>
          <w:left w:w="84" w:type="dxa"/>
          <w:right w:w="84" w:type="dxa"/>
        </w:tblCellMar>
        <w:tblLook w:val="04A0" w:firstRow="1" w:lastRow="0" w:firstColumn="1" w:lastColumn="0" w:noHBand="0" w:noVBand="1"/>
      </w:tblPr>
      <w:tblGrid>
        <w:gridCol w:w="4230"/>
        <w:gridCol w:w="3097"/>
        <w:gridCol w:w="3728"/>
      </w:tblGrid>
      <w:tr w:rsidR="007D760E" w14:paraId="4FE46294" w14:textId="77777777" w:rsidTr="004E2CCD">
        <w:trPr>
          <w:trHeight w:val="1681"/>
          <w:jc w:val="center"/>
        </w:trPr>
        <w:tc>
          <w:tcPr>
            <w:tcW w:w="4230" w:type="dxa"/>
            <w:hideMark/>
          </w:tcPr>
          <w:p w14:paraId="3CD46DD9" w14:textId="77777777" w:rsidR="007D760E" w:rsidRDefault="007D760E" w:rsidP="00B848F7">
            <w:pPr>
              <w:spacing w:line="276" w:lineRule="auto"/>
              <w:rPr>
                <w:rStyle w:val="Strong"/>
                <w:rFonts w:ascii="Arial Black" w:hAnsi="Arial Black"/>
                <w:sz w:val="16"/>
                <w:szCs w:val="16"/>
              </w:rPr>
            </w:pPr>
            <w:r>
              <w:rPr>
                <w:rFonts w:ascii="Arial Black" w:hAnsi="Arial Black"/>
                <w:sz w:val="16"/>
                <w:szCs w:val="16"/>
              </w:rPr>
              <w:fldChar w:fldCharType="begin"/>
            </w:r>
            <w:r>
              <w:rPr>
                <w:rFonts w:ascii="Arial Black" w:hAnsi="Arial Black"/>
                <w:sz w:val="16"/>
                <w:szCs w:val="16"/>
              </w:rPr>
              <w:instrText>PRIVATE</w:instrText>
            </w:r>
            <w:r>
              <w:rPr>
                <w:rFonts w:ascii="Arial Black" w:hAnsi="Arial Black"/>
                <w:sz w:val="16"/>
                <w:szCs w:val="16"/>
              </w:rPr>
              <w:fldChar w:fldCharType="end"/>
            </w:r>
            <w:r>
              <w:rPr>
                <w:rStyle w:val="Strong"/>
                <w:rFonts w:ascii="Arial Black" w:hAnsi="Arial Black"/>
                <w:sz w:val="16"/>
                <w:szCs w:val="16"/>
              </w:rPr>
              <w:t>COMMISSIONERS:</w:t>
            </w:r>
          </w:p>
          <w:p w14:paraId="3C86EE88" w14:textId="77777777" w:rsidR="007D760E" w:rsidRDefault="007D760E" w:rsidP="00B848F7">
            <w:pPr>
              <w:spacing w:line="276" w:lineRule="auto"/>
              <w:rPr>
                <w:rStyle w:val="Strong"/>
                <w:rFonts w:ascii="Arial Black" w:hAnsi="Arial Black"/>
                <w:sz w:val="16"/>
                <w:szCs w:val="16"/>
              </w:rPr>
            </w:pPr>
          </w:p>
          <w:p w14:paraId="1F79A2F0" w14:textId="77777777" w:rsidR="007D760E" w:rsidRDefault="007D760E" w:rsidP="00B848F7">
            <w:pPr>
              <w:spacing w:line="276" w:lineRule="auto"/>
              <w:rPr>
                <w:rStyle w:val="Strong"/>
                <w:rFonts w:ascii="Arial Black" w:hAnsi="Arial Black"/>
                <w:sz w:val="16"/>
                <w:szCs w:val="16"/>
              </w:rPr>
            </w:pPr>
            <w:r>
              <w:rPr>
                <w:rStyle w:val="Strong"/>
                <w:rFonts w:ascii="Arial Black" w:hAnsi="Arial Black"/>
                <w:sz w:val="16"/>
                <w:szCs w:val="16"/>
              </w:rPr>
              <w:t xml:space="preserve">TRICIA PRIDEMORE, Chairman </w:t>
            </w:r>
          </w:p>
          <w:p w14:paraId="186C8843" w14:textId="77777777" w:rsidR="007D760E" w:rsidRDefault="007D760E" w:rsidP="00B848F7">
            <w:pPr>
              <w:spacing w:line="276" w:lineRule="auto"/>
              <w:rPr>
                <w:rStyle w:val="Strong"/>
                <w:rFonts w:ascii="Arial Black" w:hAnsi="Arial Black"/>
                <w:sz w:val="16"/>
                <w:szCs w:val="16"/>
              </w:rPr>
            </w:pPr>
            <w:r>
              <w:rPr>
                <w:rStyle w:val="Strong"/>
                <w:rFonts w:ascii="Arial Black" w:hAnsi="Arial Black"/>
                <w:sz w:val="16"/>
                <w:szCs w:val="16"/>
              </w:rPr>
              <w:t>TIM G. ECHOLS, Vice-Chairman</w:t>
            </w:r>
          </w:p>
          <w:p w14:paraId="16B4393A" w14:textId="77777777" w:rsidR="007D760E" w:rsidRDefault="007D760E" w:rsidP="00B848F7">
            <w:pPr>
              <w:spacing w:line="276" w:lineRule="auto"/>
              <w:rPr>
                <w:rStyle w:val="Strong"/>
                <w:rFonts w:ascii="Arial Black" w:hAnsi="Arial Black"/>
                <w:sz w:val="16"/>
                <w:szCs w:val="16"/>
              </w:rPr>
            </w:pPr>
            <w:r>
              <w:rPr>
                <w:rStyle w:val="Strong"/>
                <w:rFonts w:ascii="Arial Black" w:hAnsi="Arial Black"/>
                <w:sz w:val="16"/>
                <w:szCs w:val="16"/>
              </w:rPr>
              <w:t xml:space="preserve">FITZ JOHNSON </w:t>
            </w:r>
          </w:p>
          <w:p w14:paraId="1B04131B" w14:textId="77777777" w:rsidR="007D760E" w:rsidRDefault="007D760E" w:rsidP="00B848F7">
            <w:pPr>
              <w:spacing w:line="276" w:lineRule="auto"/>
            </w:pPr>
            <w:r>
              <w:rPr>
                <w:rStyle w:val="Strong"/>
                <w:rFonts w:ascii="Arial Black" w:hAnsi="Arial Black"/>
                <w:sz w:val="16"/>
                <w:szCs w:val="16"/>
              </w:rPr>
              <w:t xml:space="preserve">LAUREN “BUBBA” McDONALD                                  </w:t>
            </w:r>
            <w:r>
              <w:rPr>
                <w:rFonts w:ascii="Arial Black" w:hAnsi="Arial Black"/>
                <w:b/>
                <w:sz w:val="16"/>
                <w:szCs w:val="16"/>
              </w:rPr>
              <w:br/>
            </w:r>
            <w:r>
              <w:rPr>
                <w:rStyle w:val="Strong"/>
                <w:rFonts w:ascii="Arial Black" w:hAnsi="Arial Black"/>
                <w:sz w:val="16"/>
                <w:szCs w:val="16"/>
              </w:rPr>
              <w:t xml:space="preserve">JASON SHAW                          </w:t>
            </w:r>
            <w:r>
              <w:rPr>
                <w:rFonts w:ascii="Arial Black" w:hAnsi="Arial Black"/>
                <w:b/>
                <w:sz w:val="16"/>
                <w:szCs w:val="16"/>
              </w:rPr>
              <w:br/>
            </w:r>
          </w:p>
        </w:tc>
        <w:tc>
          <w:tcPr>
            <w:tcW w:w="3097" w:type="dxa"/>
            <w:hideMark/>
          </w:tcPr>
          <w:p w14:paraId="065DACA8" w14:textId="77777777" w:rsidR="007D760E" w:rsidRDefault="007D760E" w:rsidP="004E2CCD">
            <w:pPr>
              <w:spacing w:line="276" w:lineRule="auto"/>
              <w:jc w:val="center"/>
            </w:pPr>
            <w:r>
              <w:rPr>
                <w:noProof/>
              </w:rPr>
              <w:drawing>
                <wp:inline distT="0" distB="0" distL="0" distR="0" wp14:anchorId="7031B62B" wp14:editId="3E267D3E">
                  <wp:extent cx="1200150" cy="1143000"/>
                  <wp:effectExtent l="0" t="0" r="0" b="0"/>
                  <wp:docPr id="1" name="Picture 1" descr="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Se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0150" cy="1143000"/>
                          </a:xfrm>
                          <a:prstGeom prst="rect">
                            <a:avLst/>
                          </a:prstGeom>
                          <a:noFill/>
                          <a:ln>
                            <a:noFill/>
                          </a:ln>
                        </pic:spPr>
                      </pic:pic>
                    </a:graphicData>
                  </a:graphic>
                </wp:inline>
              </w:drawing>
            </w:r>
          </w:p>
        </w:tc>
        <w:tc>
          <w:tcPr>
            <w:tcW w:w="3728" w:type="dxa"/>
            <w:hideMark/>
          </w:tcPr>
          <w:p w14:paraId="52B56533" w14:textId="77777777" w:rsidR="007D760E" w:rsidRDefault="007D760E" w:rsidP="00B848F7">
            <w:pPr>
              <w:spacing w:line="276" w:lineRule="auto"/>
              <w:jc w:val="right"/>
              <w:rPr>
                <w:rFonts w:ascii="Arial Black" w:hAnsi="Arial Black"/>
                <w:b/>
                <w:sz w:val="16"/>
                <w:szCs w:val="16"/>
              </w:rPr>
            </w:pPr>
          </w:p>
          <w:p w14:paraId="13F829E6" w14:textId="77777777" w:rsidR="007D760E" w:rsidRDefault="007D760E" w:rsidP="00B848F7">
            <w:pPr>
              <w:spacing w:line="276" w:lineRule="auto"/>
              <w:jc w:val="right"/>
              <w:rPr>
                <w:rFonts w:ascii="Arial Black" w:hAnsi="Arial Black"/>
                <w:b/>
                <w:sz w:val="16"/>
                <w:szCs w:val="16"/>
              </w:rPr>
            </w:pPr>
          </w:p>
          <w:p w14:paraId="326C2443" w14:textId="77777777" w:rsidR="007D760E" w:rsidRDefault="007D760E" w:rsidP="00B848F7">
            <w:pPr>
              <w:spacing w:line="276" w:lineRule="auto"/>
              <w:jc w:val="right"/>
              <w:rPr>
                <w:rFonts w:ascii="Arial Black" w:hAnsi="Arial Black"/>
                <w:b/>
                <w:sz w:val="16"/>
                <w:szCs w:val="16"/>
              </w:rPr>
            </w:pPr>
            <w:r>
              <w:rPr>
                <w:rFonts w:ascii="Arial Black" w:hAnsi="Arial Black"/>
                <w:b/>
                <w:sz w:val="16"/>
                <w:szCs w:val="16"/>
              </w:rPr>
              <w:t>REECE McALISTER </w:t>
            </w:r>
          </w:p>
          <w:p w14:paraId="79B7F1A8" w14:textId="77777777" w:rsidR="007D760E" w:rsidRDefault="007D760E" w:rsidP="00B848F7">
            <w:pPr>
              <w:spacing w:line="276" w:lineRule="auto"/>
              <w:jc w:val="right"/>
              <w:rPr>
                <w:rFonts w:ascii="Arial Black" w:hAnsi="Arial Black"/>
                <w:b/>
                <w:sz w:val="16"/>
                <w:szCs w:val="16"/>
              </w:rPr>
            </w:pPr>
            <w:r>
              <w:rPr>
                <w:rFonts w:ascii="Arial Black" w:hAnsi="Arial Black"/>
                <w:b/>
                <w:sz w:val="16"/>
                <w:szCs w:val="16"/>
              </w:rPr>
              <w:t>EXECUTIVE DIRECTOR</w:t>
            </w:r>
          </w:p>
          <w:p w14:paraId="20BEB9A3" w14:textId="77777777" w:rsidR="007D760E" w:rsidRDefault="007D760E" w:rsidP="00B848F7">
            <w:pPr>
              <w:spacing w:line="276" w:lineRule="auto"/>
              <w:jc w:val="right"/>
              <w:rPr>
                <w:rFonts w:ascii="Arial Black" w:hAnsi="Arial Black"/>
                <w:sz w:val="16"/>
                <w:szCs w:val="16"/>
              </w:rPr>
            </w:pPr>
            <w:r>
              <w:rPr>
                <w:rFonts w:ascii="Arial Black" w:hAnsi="Arial Black"/>
                <w:b/>
                <w:sz w:val="16"/>
                <w:szCs w:val="16"/>
              </w:rPr>
              <w:t xml:space="preserve"> </w:t>
            </w:r>
            <w:r>
              <w:rPr>
                <w:rFonts w:ascii="Arial Black" w:hAnsi="Arial Black"/>
                <w:b/>
                <w:sz w:val="16"/>
                <w:szCs w:val="16"/>
              </w:rPr>
              <w:br/>
              <w:t>SALLIE TANNER</w:t>
            </w:r>
            <w:r>
              <w:rPr>
                <w:rFonts w:ascii="Arial Black" w:hAnsi="Arial Black"/>
                <w:b/>
                <w:sz w:val="16"/>
                <w:szCs w:val="16"/>
              </w:rPr>
              <w:br/>
              <w:t>EXECUTIVE SECRETARY</w:t>
            </w:r>
          </w:p>
        </w:tc>
      </w:tr>
      <w:tr w:rsidR="007D760E" w14:paraId="1EBDA70B" w14:textId="77777777" w:rsidTr="004E2CCD">
        <w:trPr>
          <w:trHeight w:val="772"/>
          <w:jc w:val="center"/>
        </w:trPr>
        <w:tc>
          <w:tcPr>
            <w:tcW w:w="11055" w:type="dxa"/>
            <w:gridSpan w:val="3"/>
            <w:hideMark/>
          </w:tcPr>
          <w:p w14:paraId="07A6A2BB" w14:textId="77777777" w:rsidR="007D760E" w:rsidRDefault="007D760E" w:rsidP="00B848F7">
            <w:pPr>
              <w:pStyle w:val="Heading1"/>
              <w:spacing w:line="276" w:lineRule="auto"/>
              <w:rPr>
                <w:rFonts w:ascii="Old English Text MT" w:hAnsi="Old English Text MT"/>
                <w:sz w:val="42"/>
              </w:rPr>
            </w:pPr>
            <w:smartTag w:uri="urn:schemas-microsoft-com:office:smarttags" w:element="place">
              <w:smartTag w:uri="urn:schemas-microsoft-com:office:smarttags" w:element="country-region">
                <w:r>
                  <w:rPr>
                    <w:rFonts w:ascii="Old English Text MT" w:hAnsi="Old English Text MT"/>
                    <w:sz w:val="42"/>
                  </w:rPr>
                  <w:t>Georgia</w:t>
                </w:r>
              </w:smartTag>
            </w:smartTag>
            <w:r>
              <w:rPr>
                <w:rFonts w:ascii="Old English Text MT" w:hAnsi="Old English Text MT"/>
                <w:sz w:val="42"/>
              </w:rPr>
              <w:t xml:space="preserve"> Public Service Commission</w:t>
            </w:r>
          </w:p>
        </w:tc>
      </w:tr>
      <w:tr w:rsidR="007D760E" w14:paraId="6C6B6C96" w14:textId="77777777" w:rsidTr="004E2CCD">
        <w:trPr>
          <w:jc w:val="center"/>
        </w:trPr>
        <w:tc>
          <w:tcPr>
            <w:tcW w:w="4230" w:type="dxa"/>
            <w:hideMark/>
          </w:tcPr>
          <w:p w14:paraId="6CBE12EE" w14:textId="77777777" w:rsidR="007D760E" w:rsidRDefault="007D760E" w:rsidP="00B848F7">
            <w:pPr>
              <w:spacing w:line="276" w:lineRule="auto"/>
              <w:rPr>
                <w:rFonts w:cs="Arial"/>
                <w:b/>
                <w:bCs/>
                <w:sz w:val="17"/>
                <w:szCs w:val="17"/>
              </w:rPr>
            </w:pPr>
            <w:r>
              <w:rPr>
                <w:rFonts w:cs="Arial"/>
                <w:b/>
                <w:bCs/>
                <w:sz w:val="17"/>
                <w:szCs w:val="17"/>
              </w:rPr>
              <w:t xml:space="preserve">(404) 656-4501  </w:t>
            </w:r>
          </w:p>
          <w:p w14:paraId="52E92EAB" w14:textId="77777777" w:rsidR="007D760E" w:rsidRDefault="007D760E" w:rsidP="00B848F7">
            <w:pPr>
              <w:spacing w:line="276" w:lineRule="auto"/>
              <w:rPr>
                <w:rFonts w:cs="Arial"/>
                <w:b/>
                <w:bCs/>
              </w:rPr>
            </w:pPr>
            <w:r>
              <w:rPr>
                <w:rFonts w:cs="Arial"/>
                <w:b/>
                <w:bCs/>
                <w:sz w:val="17"/>
                <w:szCs w:val="17"/>
              </w:rPr>
              <w:t>(800) 282-5813</w:t>
            </w:r>
          </w:p>
        </w:tc>
        <w:tc>
          <w:tcPr>
            <w:tcW w:w="3097" w:type="dxa"/>
            <w:hideMark/>
          </w:tcPr>
          <w:p w14:paraId="56B039D9" w14:textId="77777777" w:rsidR="007D760E" w:rsidRDefault="007D760E" w:rsidP="004E2CCD">
            <w:pPr>
              <w:spacing w:line="276" w:lineRule="auto"/>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728" w:type="dxa"/>
            <w:hideMark/>
          </w:tcPr>
          <w:p w14:paraId="41A830F8" w14:textId="77777777" w:rsidR="007D760E" w:rsidRDefault="007D760E" w:rsidP="00B848F7">
            <w:pPr>
              <w:spacing w:line="276" w:lineRule="auto"/>
              <w:jc w:val="right"/>
              <w:rPr>
                <w:rFonts w:cs="Arial"/>
                <w:b/>
                <w:bCs/>
              </w:rPr>
            </w:pPr>
            <w:r>
              <w:rPr>
                <w:rFonts w:cs="Arial"/>
                <w:b/>
                <w:bCs/>
                <w:sz w:val="17"/>
                <w:szCs w:val="17"/>
              </w:rPr>
              <w:t>FAX:  (404) 656-2341                   www.psc.state.ga.us</w:t>
            </w:r>
          </w:p>
        </w:tc>
      </w:tr>
    </w:tbl>
    <w:p w14:paraId="745C06C5" w14:textId="7C3238D2" w:rsidR="003F2763" w:rsidRDefault="003F2763" w:rsidP="003F2763">
      <w:pPr>
        <w:rPr>
          <w:color w:val="FF0000"/>
        </w:rPr>
      </w:pPr>
    </w:p>
    <w:p w14:paraId="2DBAC57A" w14:textId="77777777" w:rsidR="004E2CCD" w:rsidRDefault="004E2CCD" w:rsidP="003F2763">
      <w:pPr>
        <w:rPr>
          <w:color w:val="FF0000"/>
        </w:rPr>
      </w:pPr>
    </w:p>
    <w:p w14:paraId="743E85C9" w14:textId="3D696EF9" w:rsidR="00DE56CB" w:rsidRDefault="00DE56CB" w:rsidP="004E2CCD">
      <w:pPr>
        <w:pStyle w:val="Title"/>
        <w:rPr>
          <w:b/>
        </w:rPr>
      </w:pPr>
      <w:r w:rsidRPr="000A4BAA">
        <w:rPr>
          <w:b/>
        </w:rPr>
        <w:t xml:space="preserve">DOCKET NO. </w:t>
      </w:r>
      <w:r w:rsidR="00461CB7">
        <w:rPr>
          <w:b/>
        </w:rPr>
        <w:t>438</w:t>
      </w:r>
      <w:r w:rsidR="00584834">
        <w:rPr>
          <w:b/>
        </w:rPr>
        <w:t>9</w:t>
      </w:r>
      <w:r w:rsidR="00461CB7">
        <w:rPr>
          <w:b/>
        </w:rPr>
        <w:t>5</w:t>
      </w:r>
    </w:p>
    <w:p w14:paraId="349B7AC1" w14:textId="77777777" w:rsidR="004E2CCD" w:rsidRPr="0047692F" w:rsidRDefault="004E2CCD" w:rsidP="004E2CCD">
      <w:pPr>
        <w:pStyle w:val="Title"/>
        <w:rPr>
          <w:szCs w:val="22"/>
        </w:rPr>
      </w:pPr>
    </w:p>
    <w:p w14:paraId="1D9F6E47" w14:textId="094B9B18" w:rsidR="00DE56CB" w:rsidRPr="00EC582D" w:rsidRDefault="00DE56CB" w:rsidP="00DE56CB">
      <w:pPr>
        <w:pStyle w:val="Subtitle"/>
        <w:jc w:val="both"/>
        <w:rPr>
          <w:rFonts w:ascii="Times New Roman" w:hAnsi="Times New Roman"/>
          <w:b/>
        </w:rPr>
      </w:pPr>
      <w:r w:rsidRPr="0047692F">
        <w:rPr>
          <w:rFonts w:ascii="Times New Roman" w:hAnsi="Times New Roman"/>
          <w:b/>
        </w:rPr>
        <w:t xml:space="preserve">IN RE:  </w:t>
      </w:r>
      <w:r w:rsidRPr="0047692F">
        <w:rPr>
          <w:rFonts w:ascii="Times New Roman" w:hAnsi="Times New Roman"/>
          <w:b/>
        </w:rPr>
        <w:tab/>
      </w:r>
      <w:r w:rsidR="000E20F8">
        <w:rPr>
          <w:rFonts w:ascii="Times New Roman" w:hAnsi="Times New Roman"/>
          <w:b/>
        </w:rPr>
        <w:t xml:space="preserve">GEORGIA POWER COMPANY’S </w:t>
      </w:r>
      <w:r w:rsidR="000E20F8" w:rsidRPr="000E20F8">
        <w:rPr>
          <w:rFonts w:ascii="Times New Roman" w:hAnsi="Times New Roman"/>
          <w:b/>
          <w:caps/>
        </w:rPr>
        <w:t>202</w:t>
      </w:r>
      <w:r w:rsidR="00584834">
        <w:rPr>
          <w:rFonts w:ascii="Times New Roman" w:hAnsi="Times New Roman"/>
          <w:b/>
          <w:caps/>
        </w:rPr>
        <w:t>3/2024</w:t>
      </w:r>
      <w:r w:rsidR="000E20F8" w:rsidRPr="000E20F8">
        <w:rPr>
          <w:rFonts w:ascii="Times New Roman" w:hAnsi="Times New Roman"/>
          <w:b/>
          <w:caps/>
        </w:rPr>
        <w:t xml:space="preserve"> </w:t>
      </w:r>
      <w:r w:rsidR="00584834">
        <w:rPr>
          <w:rFonts w:ascii="Times New Roman" w:hAnsi="Times New Roman"/>
          <w:b/>
          <w:caps/>
        </w:rPr>
        <w:t>Utility scale renewable</w:t>
      </w:r>
      <w:r w:rsidR="000E20F8" w:rsidRPr="000E20F8">
        <w:rPr>
          <w:rFonts w:ascii="Times New Roman" w:hAnsi="Times New Roman"/>
          <w:b/>
          <w:caps/>
        </w:rPr>
        <w:t xml:space="preserve"> Request for Proposals</w:t>
      </w:r>
    </w:p>
    <w:p w14:paraId="08564FD2" w14:textId="77777777" w:rsidR="00DE56CB" w:rsidRPr="0047692F" w:rsidRDefault="00DE56CB" w:rsidP="00DE56CB">
      <w:pPr>
        <w:pStyle w:val="Heading1"/>
      </w:pPr>
    </w:p>
    <w:p w14:paraId="7240DD57" w14:textId="77777777" w:rsidR="00DE56CB" w:rsidRPr="0047692F" w:rsidRDefault="00DE56CB" w:rsidP="00DE56CB">
      <w:pPr>
        <w:rPr>
          <w:b/>
        </w:rPr>
      </w:pPr>
    </w:p>
    <w:p w14:paraId="3D783955" w14:textId="1BD4FD4B" w:rsidR="00DE56CB" w:rsidRPr="00EC582D" w:rsidRDefault="00DE56CB" w:rsidP="00DE56CB">
      <w:pPr>
        <w:jc w:val="center"/>
        <w:rPr>
          <w:b/>
        </w:rPr>
      </w:pPr>
      <w:r w:rsidRPr="00EC582D">
        <w:rPr>
          <w:b/>
        </w:rPr>
        <w:t xml:space="preserve">ORDER APPROVING </w:t>
      </w:r>
      <w:r w:rsidR="00584834">
        <w:rPr>
          <w:b/>
        </w:rPr>
        <w:t>FINAL RFP AND PRO-FORMA PPA DOCUMENTS</w:t>
      </w:r>
    </w:p>
    <w:p w14:paraId="483C4CEB" w14:textId="77777777" w:rsidR="00DE56CB" w:rsidRPr="00EC582D" w:rsidRDefault="00DE56CB" w:rsidP="00DE56CB">
      <w:pPr>
        <w:pStyle w:val="BodyText"/>
        <w:jc w:val="center"/>
        <w:rPr>
          <w:b/>
          <w:caps/>
          <w:sz w:val="24"/>
          <w:szCs w:val="24"/>
        </w:rPr>
      </w:pPr>
    </w:p>
    <w:p w14:paraId="4C5FA172" w14:textId="77777777" w:rsidR="00DE56CB" w:rsidRPr="00AE4D89" w:rsidRDefault="00DE56CB" w:rsidP="00DE56CB">
      <w:pPr>
        <w:pStyle w:val="BodyText"/>
        <w:jc w:val="center"/>
        <w:rPr>
          <w:b/>
          <w:caps/>
          <w:sz w:val="24"/>
          <w:szCs w:val="24"/>
        </w:rPr>
      </w:pPr>
    </w:p>
    <w:p w14:paraId="020133C6" w14:textId="77777777" w:rsidR="00933A8B" w:rsidRDefault="00933A8B" w:rsidP="00933A8B">
      <w:pPr>
        <w:spacing w:line="360" w:lineRule="auto"/>
        <w:ind w:firstLine="720"/>
        <w:jc w:val="both"/>
      </w:pPr>
      <w:r>
        <w:t xml:space="preserve">On </w:t>
      </w:r>
      <w:r w:rsidRPr="004718CD">
        <w:t>December 20, 202</w:t>
      </w:r>
      <w:r>
        <w:t xml:space="preserve">1 Georgia Power Company (“Georgia Power” or “Company”) filed the </w:t>
      </w:r>
      <w:r w:rsidRPr="00E135F5">
        <w:t xml:space="preserve">final drafts of </w:t>
      </w:r>
      <w:r>
        <w:t>Georgia Power’s</w:t>
      </w:r>
      <w:r w:rsidRPr="00E135F5">
        <w:t xml:space="preserve"> 202</w:t>
      </w:r>
      <w:r>
        <w:t>3</w:t>
      </w:r>
      <w:r w:rsidRPr="00E135F5">
        <w:t>/202</w:t>
      </w:r>
      <w:r>
        <w:t>4</w:t>
      </w:r>
      <w:r w:rsidRPr="00E135F5">
        <w:t xml:space="preserve"> Utility Scale </w:t>
      </w:r>
      <w:r>
        <w:t xml:space="preserve">(“US”) </w:t>
      </w:r>
      <w:r w:rsidRPr="00E135F5">
        <w:t>Renewable Generation Request for Proposal</w:t>
      </w:r>
      <w:r>
        <w:t>s</w:t>
      </w:r>
      <w:r w:rsidRPr="00E135F5">
        <w:t xml:space="preserve"> </w:t>
      </w:r>
      <w:r>
        <w:t xml:space="preserve">(“RFP”) </w:t>
      </w:r>
      <w:r w:rsidRPr="00E135F5">
        <w:t>and Pro Forma Power Purchase Agreements</w:t>
      </w:r>
      <w:r>
        <w:t xml:space="preserve"> (“PPAs”) for Georgia Public Service Commission (“Commission”) approval.  As approved by the Commission in </w:t>
      </w:r>
      <w:r w:rsidRPr="00456AE1">
        <w:t xml:space="preserve">its Order Adopting Stipulation </w:t>
      </w:r>
      <w:proofErr w:type="gramStart"/>
      <w:r>
        <w:t>As</w:t>
      </w:r>
      <w:proofErr w:type="gramEnd"/>
      <w:r>
        <w:t xml:space="preserve"> Amended </w:t>
      </w:r>
      <w:r w:rsidRPr="00456AE1">
        <w:t xml:space="preserve">in Docket No. </w:t>
      </w:r>
      <w:r>
        <w:t>42310</w:t>
      </w:r>
      <w:r w:rsidRPr="00456AE1">
        <w:t xml:space="preserve"> (“201</w:t>
      </w:r>
      <w:r>
        <w:t>9</w:t>
      </w:r>
      <w:r w:rsidRPr="00456AE1">
        <w:t xml:space="preserve"> IRP Final Order”) </w:t>
      </w:r>
      <w:r>
        <w:t>regard</w:t>
      </w:r>
      <w:r w:rsidRPr="00456AE1">
        <w:t>ing Georgia Power’s 201</w:t>
      </w:r>
      <w:r>
        <w:t>9</w:t>
      </w:r>
      <w:r w:rsidRPr="00456AE1">
        <w:t xml:space="preserve"> Integrated Resource Plan (“IRP”)</w:t>
      </w:r>
      <w:r>
        <w:t>, Georgia Power will procure up to 2,000 megawatts (“MW”) of US renewable generation over the next few years.  Of the total amount sought, 1,000 MW will be assigned to all retail customers and the remaining 1,000 MW will be assigned to the Customer Renewable Supply Procurement (“CRSP”) program for subscription by eligible commercial and industrial (“C&amp;I”) customers.</w:t>
      </w:r>
    </w:p>
    <w:p w14:paraId="032BF22C" w14:textId="77777777" w:rsidR="00933A8B" w:rsidRDefault="00933A8B" w:rsidP="00933A8B">
      <w:pPr>
        <w:spacing w:line="360" w:lineRule="auto"/>
        <w:ind w:firstLine="720"/>
        <w:jc w:val="both"/>
      </w:pPr>
    </w:p>
    <w:p w14:paraId="47F64127" w14:textId="5A0C69B0" w:rsidR="00933A8B" w:rsidRDefault="00933A8B" w:rsidP="00933A8B">
      <w:pPr>
        <w:spacing w:line="360" w:lineRule="auto"/>
        <w:ind w:firstLine="720"/>
        <w:jc w:val="both"/>
      </w:pPr>
      <w:r>
        <w:t xml:space="preserve">This is the second of two US Renewable RFPs seeking renewable resources, with a total procurement of 1,030 MW, with in-service dates of 2023 or 2024 and has the following allocation: </w:t>
      </w:r>
      <w:r w:rsidRPr="00AB0218">
        <w:t xml:space="preserve">500 MW for all retail customers, 300 MW for subscription by existing CRSP-eligible C&amp;I customers, and the remaining 230 MW for subscription by CRSP-eligible customers with </w:t>
      </w:r>
      <w:r w:rsidRPr="00AB0218">
        <w:lastRenderedPageBreak/>
        <w:t>qualifying new load additions.</w:t>
      </w:r>
      <w:r>
        <w:t xml:space="preserve"> The 230 MW allocated for procurement for CRSP-eligible C&amp;I customers with new load additions will be procured even if no new load customers apply to participate in the CRSP Program</w:t>
      </w:r>
      <w:r w:rsidR="00061101">
        <w:t xml:space="preserve">.  </w:t>
      </w:r>
      <w:r w:rsidR="00123F9D">
        <w:t>In the event that there are a</w:t>
      </w:r>
      <w:r w:rsidR="00DA5120">
        <w:t>ny unsubscribed</w:t>
      </w:r>
      <w:r w:rsidR="00DA5120" w:rsidRPr="00DA5120">
        <w:t xml:space="preserve"> </w:t>
      </w:r>
      <w:r w:rsidR="00DA5120">
        <w:t xml:space="preserve">CRSP-eligible C&amp;I </w:t>
      </w:r>
      <w:r w:rsidRPr="00DA5120">
        <w:t>MWs</w:t>
      </w:r>
      <w:r w:rsidR="00123F9D">
        <w:t xml:space="preserve"> at the end of the program, such MWs</w:t>
      </w:r>
      <w:r w:rsidRPr="00DA5120">
        <w:t xml:space="preserve"> </w:t>
      </w:r>
      <w:r w:rsidR="00123F9D">
        <w:t xml:space="preserve">will </w:t>
      </w:r>
      <w:r w:rsidRPr="00DA5120">
        <w:t>be allocated to all retail customers.</w:t>
      </w:r>
      <w:r>
        <w:t xml:space="preserve"> </w:t>
      </w:r>
    </w:p>
    <w:p w14:paraId="4D2E445D" w14:textId="77777777" w:rsidR="00933A8B" w:rsidRDefault="00933A8B" w:rsidP="00933A8B">
      <w:pPr>
        <w:spacing w:line="360" w:lineRule="auto"/>
        <w:jc w:val="both"/>
      </w:pPr>
    </w:p>
    <w:p w14:paraId="030175C3" w14:textId="0A2583C9" w:rsidR="00933A8B" w:rsidRDefault="00933A8B" w:rsidP="00933A8B">
      <w:pPr>
        <w:spacing w:line="360" w:lineRule="auto"/>
        <w:ind w:firstLine="720"/>
        <w:jc w:val="both"/>
      </w:pPr>
      <w:r>
        <w:t>Accion Group, LLC was selected by the Commission as the Independent Evaluator (“IE”) for this solicitation. All communications and submission of bids will be through the IE’s website [</w:t>
      </w:r>
      <w:hyperlink r:id="rId7" w:history="1">
        <w:r w:rsidRPr="004718CD">
          <w:rPr>
            <w:rStyle w:val="Hyperlink"/>
          </w:rPr>
          <w:t>https://gpcrenew23.accionpower.com/_gpcrenew_2101</w:t>
        </w:r>
      </w:hyperlink>
      <w:r>
        <w:t xml:space="preserve">] (“IE Website”).  Projects must be sized at greater than 3 MW alternating current (“AC”) and may be located anywhere in the United States but must be able to deliver their energy to Georgia Power through one of the three designated interconnection options.  Proposals for both new and existing facilities will be accepted.  Developers can elect a project term of 15, 20, 25, or 30 years.  For the evaluation of proposals with unequal contract term lengths, the Company will utilize its projected avoided costs to be able to evaluate bids on an equivalent basis. This method is consistent with what was done in prior RFPs.  All environmental attributes of the project must be included as part of the bid.  </w:t>
      </w:r>
      <w:r w:rsidRPr="00A33A19">
        <w:t xml:space="preserve">Georgia Power </w:t>
      </w:r>
      <w:r>
        <w:t xml:space="preserve">has indicated that </w:t>
      </w:r>
      <w:r w:rsidRPr="00AB0218">
        <w:t>it will not submit a self-build proposal in this RFP</w:t>
      </w:r>
      <w:r>
        <w:t>, however Turnkey Projects will be accepted</w:t>
      </w:r>
      <w:r w:rsidRPr="00A33A19">
        <w:t xml:space="preserve">.  </w:t>
      </w:r>
    </w:p>
    <w:p w14:paraId="6A0F6260" w14:textId="77777777" w:rsidR="00933A8B" w:rsidRDefault="00933A8B" w:rsidP="00933A8B">
      <w:pPr>
        <w:spacing w:line="360" w:lineRule="auto"/>
        <w:ind w:firstLine="720"/>
        <w:jc w:val="both"/>
      </w:pPr>
    </w:p>
    <w:p w14:paraId="6B3DE0FB" w14:textId="77777777" w:rsidR="00933A8B" w:rsidRPr="00FA6466" w:rsidRDefault="00933A8B" w:rsidP="00933A8B">
      <w:pPr>
        <w:spacing w:line="360" w:lineRule="auto"/>
        <w:ind w:firstLine="720"/>
        <w:jc w:val="both"/>
      </w:pPr>
      <w:r>
        <w:t xml:space="preserve">Energy storage projects may also bid into this RFP.  </w:t>
      </w:r>
      <w:r w:rsidRPr="005967F4">
        <w:t xml:space="preserve">A bidder proposing a Facility that includes a Storage Device </w:t>
      </w:r>
      <w:r>
        <w:t xml:space="preserve">may choose one of three Storage Use cases: (1) Smoothing, (2) Firming and Smoothing, or (3) Scheduled.  </w:t>
      </w:r>
      <w:r w:rsidRPr="00FA6466">
        <w:t>For the first time in the Company’s US RFPs, any project that bids in a Facility without a storage device must operate on Automatic Generation Control (“AGC”).</w:t>
      </w:r>
    </w:p>
    <w:p w14:paraId="3FECE170" w14:textId="77777777" w:rsidR="00933A8B" w:rsidRDefault="00933A8B" w:rsidP="00933A8B">
      <w:pPr>
        <w:spacing w:line="360" w:lineRule="auto"/>
        <w:jc w:val="both"/>
      </w:pPr>
    </w:p>
    <w:p w14:paraId="7D916106" w14:textId="77777777" w:rsidR="00933A8B" w:rsidRDefault="00933A8B" w:rsidP="00933A8B">
      <w:pPr>
        <w:spacing w:line="360" w:lineRule="auto"/>
        <w:ind w:firstLine="720"/>
        <w:jc w:val="both"/>
      </w:pPr>
      <w:r>
        <w:t xml:space="preserve">Bidders are required </w:t>
      </w:r>
      <w:r w:rsidRPr="00A33A19">
        <w:t>to submit with each bid a non-refundable minimum “Bid Fee” of five thousand dollars ($5,000), or three hundred dollars per MW ($300/MW), whichever is greater.</w:t>
      </w:r>
      <w:r>
        <w:t xml:space="preserve">  The first thousand dollars ($1,000) of each Bid Fee will be used to defray a portion of the IE cost.  The remainder of the IE cost will be covered by a fee assessed upon each winning bid (“Winner’s Fee”).  The Winner’s Fee will be determined once the final amount of Renewable Energy to be purchased is set and the IE costs are known.  In no event shall the Winner’s Fee exceed five </w:t>
      </w:r>
      <w:r>
        <w:lastRenderedPageBreak/>
        <w:t xml:space="preserve">hundred thousand dollars ($500,000.00) to be allocated pro rata among all winning bids </w:t>
      </w:r>
      <w:r w:rsidRPr="00961144">
        <w:t xml:space="preserve">based upon </w:t>
      </w:r>
      <w:r>
        <w:t xml:space="preserve">each bid’s </w:t>
      </w:r>
      <w:r w:rsidRPr="00961144">
        <w:t xml:space="preserve">total projected revenue over the PPA </w:t>
      </w:r>
      <w:r>
        <w:t>t</w:t>
      </w:r>
      <w:r w:rsidRPr="00961144">
        <w:t xml:space="preserve">erm compared to the total projected revenues over the PPA </w:t>
      </w:r>
      <w:r>
        <w:t>t</w:t>
      </w:r>
      <w:r w:rsidRPr="00961144">
        <w:t>erm of all winning bids.</w:t>
      </w:r>
      <w:r>
        <w:t xml:space="preserve">  </w:t>
      </w:r>
    </w:p>
    <w:p w14:paraId="4D440D21" w14:textId="77777777" w:rsidR="00933A8B" w:rsidRDefault="00933A8B" w:rsidP="00933A8B">
      <w:pPr>
        <w:spacing w:line="360" w:lineRule="auto"/>
        <w:jc w:val="both"/>
      </w:pPr>
    </w:p>
    <w:p w14:paraId="46B87ED5" w14:textId="77777777" w:rsidR="00933A8B" w:rsidRDefault="00933A8B" w:rsidP="00933A8B">
      <w:pPr>
        <w:spacing w:line="360" w:lineRule="auto"/>
        <w:ind w:firstLine="720"/>
        <w:jc w:val="both"/>
      </w:pPr>
      <w:r>
        <w:t xml:space="preserve">For each unique bid submitted, a bidder will be permitted to provide up to two pricing alternatives: (1) a fixed price for the selected term and (2) a schedule of annual prices for each annual period.   Each bid must be unique with respect to the </w:t>
      </w:r>
      <w:r w:rsidRPr="009F4F3E">
        <w:t xml:space="preserve">PPA Term, Facility location, size, </w:t>
      </w:r>
      <w:r>
        <w:t>Point of Interconnection (“POI”)</w:t>
      </w:r>
      <w:r w:rsidRPr="009F4F3E">
        <w:t xml:space="preserve">, Southern Transmission Interface (if applicable), </w:t>
      </w:r>
      <w:r>
        <w:t>or</w:t>
      </w:r>
      <w:r w:rsidRPr="009F4F3E">
        <w:t xml:space="preserve"> any characteristics that would alter the amount or timing of the delivery of Renewable Energy from the Facility (e.g., tracking capability and panel orientation for solar resources, Storage Use).</w:t>
      </w:r>
      <w:r>
        <w:t xml:space="preserve">  Bids identical in all respects, but otherwise offering differing PPA Term lengths, are considered a single bid for the purpose of bid fees.</w:t>
      </w:r>
    </w:p>
    <w:p w14:paraId="2EE69509" w14:textId="77777777" w:rsidR="00933A8B" w:rsidRDefault="00933A8B" w:rsidP="00933A8B">
      <w:pPr>
        <w:spacing w:line="360" w:lineRule="auto"/>
        <w:jc w:val="both"/>
      </w:pPr>
      <w:r>
        <w:t xml:space="preserve"> </w:t>
      </w:r>
    </w:p>
    <w:p w14:paraId="5EF04413" w14:textId="77777777" w:rsidR="00933A8B" w:rsidRDefault="00933A8B" w:rsidP="00933A8B">
      <w:pPr>
        <w:spacing w:line="360" w:lineRule="auto"/>
        <w:ind w:firstLine="720"/>
        <w:jc w:val="both"/>
      </w:pPr>
      <w:r>
        <w:t xml:space="preserve">If the proposed project interconnects with the Southern Company Transmission System, </w:t>
      </w:r>
      <w:r w:rsidRPr="004126F1">
        <w:t>any costs for new or modified equipment on the Southern Company Transmission System beyond the POI will be imputed to the bid during the bid evaluation and should not be included in the bid price.</w:t>
      </w:r>
      <w:r>
        <w:t xml:space="preserve">  However, </w:t>
      </w:r>
      <w:r w:rsidRPr="004126F1">
        <w:t xml:space="preserve">any costs associated with </w:t>
      </w:r>
      <w:r w:rsidRPr="00AF33F7">
        <w:t xml:space="preserve">Transmission System upgrades on systems other than the Southern Company Transmission System </w:t>
      </w:r>
      <w:r w:rsidRPr="004126F1">
        <w:t>are solely the bidder’s responsibility and should be included in the bid price.</w:t>
      </w:r>
      <w:r>
        <w:t xml:space="preserve"> </w:t>
      </w:r>
    </w:p>
    <w:p w14:paraId="42706385" w14:textId="77777777" w:rsidR="00933A8B" w:rsidRDefault="00933A8B" w:rsidP="00933A8B">
      <w:pPr>
        <w:spacing w:line="360" w:lineRule="auto"/>
        <w:jc w:val="both"/>
      </w:pPr>
    </w:p>
    <w:p w14:paraId="6CA6BE41" w14:textId="77777777" w:rsidR="00933A8B" w:rsidRDefault="00933A8B" w:rsidP="00933A8B">
      <w:pPr>
        <w:spacing w:line="360" w:lineRule="auto"/>
        <w:ind w:firstLine="720"/>
        <w:jc w:val="both"/>
      </w:pPr>
      <w:r>
        <w:t xml:space="preserve">On November 9, 2021 Georgia Power conducted a bidder’s conference to assist bidders in understanding the requirements of </w:t>
      </w:r>
      <w:r w:rsidRPr="00AA635B">
        <w:t>(i) environmental compliance, (ii) the interconnection process within the Southern Company Transmission System, including the typical lead times for requesting and executing an Interconnection Agreement, and (iii) the typical schedules for construction of Interconnection Facilities.</w:t>
      </w:r>
      <w:r>
        <w:t xml:space="preserve">  For interconnections that might take place outside the Southern Company Transmission System, it is the bidder’s responsibility to investigate the process specifics and any lead times of the respective transmission provider. Potential bidders were allowed the opportunity to ask questions regarding the US Renewable RFP, </w:t>
      </w:r>
      <w:r w:rsidRPr="00FB0013">
        <w:t>and responses to those questions were posted by the Company on the Q&amp;A section of the IE Website.</w:t>
      </w:r>
    </w:p>
    <w:p w14:paraId="53DDB4C1" w14:textId="77777777" w:rsidR="00933A8B" w:rsidRDefault="00933A8B" w:rsidP="00933A8B">
      <w:pPr>
        <w:spacing w:line="360" w:lineRule="auto"/>
        <w:jc w:val="both"/>
      </w:pPr>
    </w:p>
    <w:p w14:paraId="7B6C34BD" w14:textId="77777777" w:rsidR="00933A8B" w:rsidRDefault="00933A8B" w:rsidP="00933A8B">
      <w:pPr>
        <w:spacing w:line="360" w:lineRule="auto"/>
        <w:ind w:firstLine="720"/>
        <w:jc w:val="both"/>
      </w:pPr>
      <w:r>
        <w:lastRenderedPageBreak/>
        <w:t xml:space="preserve">Draft RFP and PPA documents were posted to the IE Website on November 5, 2021 to allow potential bidders the opportunity to submit comments and offer revisions to the documents.  The comment period concluded on November 19, 2021 </w:t>
      </w:r>
      <w:r w:rsidRPr="00F30A9D">
        <w:t xml:space="preserve">and </w:t>
      </w:r>
      <w:r>
        <w:t>37</w:t>
      </w:r>
      <w:r w:rsidRPr="00F30A9D">
        <w:t xml:space="preserve"> comments were uploaded by parties and prospective bidders.  Each of the </w:t>
      </w:r>
      <w:r>
        <w:t>37</w:t>
      </w:r>
      <w:r w:rsidRPr="00F30A9D">
        <w:t xml:space="preserve"> comments were</w:t>
      </w:r>
      <w:r>
        <w:t xml:space="preserve"> reviewed by Commission Staff (“Staff”), Georgia Power, and the IE and a response to the comment was provided by the IE to every commenter.  A number of comments were made asserting that the valuation of AGC is too high for facilities that do not include a storage device. Specifically, the RFP provides for AGC resources to receive the same RCB credit as Facilities that are bid in and include a smoothing storage device. </w:t>
      </w:r>
    </w:p>
    <w:p w14:paraId="013034B2" w14:textId="77777777" w:rsidR="00933A8B" w:rsidRDefault="00933A8B" w:rsidP="00933A8B">
      <w:pPr>
        <w:spacing w:line="360" w:lineRule="auto"/>
        <w:jc w:val="both"/>
      </w:pPr>
    </w:p>
    <w:p w14:paraId="316231DC" w14:textId="0106B43E" w:rsidR="00933A8B" w:rsidRDefault="00933A8B" w:rsidP="00933A8B">
      <w:pPr>
        <w:spacing w:line="360" w:lineRule="auto"/>
        <w:ind w:firstLine="720"/>
        <w:jc w:val="both"/>
      </w:pPr>
      <w:r>
        <w:t>On December 20, 2021 revised drafts of the RFP and PPA documents were posted to the IE website and filed with the Commission for consideration and approval. The Final Draft RFP and PPA documents that were filed by Georgia Power included minimal</w:t>
      </w:r>
      <w:r w:rsidRPr="005863CB">
        <w:t xml:space="preserve"> changes from the initial draft documents</w:t>
      </w:r>
      <w:r>
        <w:t xml:space="preserve">.  </w:t>
      </w:r>
      <w:r w:rsidR="00623F0A">
        <w:t>These changes included m</w:t>
      </w:r>
      <w:r>
        <w:t xml:space="preserve">inor modifications to the RFP Schedule and </w:t>
      </w:r>
      <w:r w:rsidR="00623F0A">
        <w:t xml:space="preserve">to </w:t>
      </w:r>
      <w:r>
        <w:t xml:space="preserve">the definition of the term “Profile.” </w:t>
      </w:r>
    </w:p>
    <w:p w14:paraId="1F1F8A4F" w14:textId="77777777" w:rsidR="00933A8B" w:rsidRDefault="00933A8B" w:rsidP="00933A8B">
      <w:pPr>
        <w:spacing w:line="360" w:lineRule="auto"/>
        <w:ind w:firstLine="720"/>
        <w:jc w:val="both"/>
      </w:pPr>
    </w:p>
    <w:p w14:paraId="48FD7AFA" w14:textId="461C0032" w:rsidR="00933A8B" w:rsidRPr="009D4159" w:rsidRDefault="00933A8B" w:rsidP="001760DC">
      <w:pPr>
        <w:spacing w:line="360" w:lineRule="auto"/>
        <w:ind w:firstLine="720"/>
        <w:jc w:val="both"/>
      </w:pPr>
      <w:r w:rsidRPr="009D4159">
        <w:t xml:space="preserve">The timeline for </w:t>
      </w:r>
      <w:r>
        <w:t xml:space="preserve">the </w:t>
      </w:r>
      <w:r w:rsidRPr="00A24F85">
        <w:t>202</w:t>
      </w:r>
      <w:r>
        <w:t>3</w:t>
      </w:r>
      <w:r w:rsidRPr="00A24F85">
        <w:t>/202</w:t>
      </w:r>
      <w:r>
        <w:t>4</w:t>
      </w:r>
      <w:r w:rsidRPr="00A24F85">
        <w:t xml:space="preserve"> US Renewable Generation RFP </w:t>
      </w:r>
      <w:r w:rsidRPr="009D4159">
        <w:t>activities and subsequent procurement is as follows:</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 w:type="dxa"/>
          <w:right w:w="10" w:type="dxa"/>
        </w:tblCellMar>
        <w:tblLook w:val="0020" w:firstRow="1" w:lastRow="0" w:firstColumn="0" w:lastColumn="0" w:noHBand="0" w:noVBand="0"/>
      </w:tblPr>
      <w:tblGrid>
        <w:gridCol w:w="5564"/>
        <w:gridCol w:w="3766"/>
      </w:tblGrid>
      <w:tr w:rsidR="00933A8B" w14:paraId="16285D27" w14:textId="77777777" w:rsidTr="001760DC">
        <w:trPr>
          <w:cantSplit/>
          <w:tblHeader/>
        </w:trPr>
        <w:tc>
          <w:tcPr>
            <w:tcW w:w="2982"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3F63A445" w14:textId="77777777" w:rsidR="00933A8B" w:rsidRDefault="00933A8B" w:rsidP="000F4282">
            <w:pPr>
              <w:pStyle w:val="BodyText3"/>
              <w:spacing w:line="256" w:lineRule="auto"/>
              <w:jc w:val="center"/>
              <w:rPr>
                <w:b/>
                <w:sz w:val="20"/>
                <w:szCs w:val="24"/>
              </w:rPr>
            </w:pPr>
            <w:r>
              <w:rPr>
                <w:b/>
              </w:rPr>
              <w:t>ACTIVITY</w:t>
            </w:r>
          </w:p>
        </w:tc>
        <w:tc>
          <w:tcPr>
            <w:tcW w:w="2018"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6CA1CC52" w14:textId="77777777" w:rsidR="00933A8B" w:rsidRDefault="00933A8B" w:rsidP="000F4282">
            <w:pPr>
              <w:pStyle w:val="BodyText3"/>
              <w:spacing w:line="256" w:lineRule="auto"/>
              <w:jc w:val="center"/>
              <w:rPr>
                <w:b/>
              </w:rPr>
            </w:pPr>
            <w:r>
              <w:rPr>
                <w:b/>
              </w:rPr>
              <w:t>DATE DUE</w:t>
            </w:r>
          </w:p>
        </w:tc>
      </w:tr>
      <w:tr w:rsidR="00933A8B" w14:paraId="36191B87" w14:textId="77777777" w:rsidTr="001760DC">
        <w:trPr>
          <w:cantSplit/>
        </w:trPr>
        <w:tc>
          <w:tcPr>
            <w:tcW w:w="2982" w:type="pct"/>
            <w:tcBorders>
              <w:top w:val="single" w:sz="12" w:space="0" w:color="auto"/>
              <w:left w:val="single" w:sz="12" w:space="0" w:color="auto"/>
              <w:bottom w:val="single" w:sz="4" w:space="0" w:color="auto"/>
              <w:right w:val="single" w:sz="4" w:space="0" w:color="auto"/>
            </w:tcBorders>
            <w:vAlign w:val="center"/>
            <w:hideMark/>
          </w:tcPr>
          <w:p w14:paraId="258A6248" w14:textId="6ED5583A" w:rsidR="00933A8B" w:rsidRPr="005863CB" w:rsidRDefault="00933A8B" w:rsidP="000F4282">
            <w:pPr>
              <w:pStyle w:val="BodyText3"/>
              <w:spacing w:line="256" w:lineRule="auto"/>
              <w:rPr>
                <w:sz w:val="22"/>
              </w:rPr>
            </w:pPr>
            <w:r w:rsidRPr="005863CB">
              <w:rPr>
                <w:sz w:val="22"/>
              </w:rPr>
              <w:t>Draft RFP Document (including PPAs) Issued via IE Website</w:t>
            </w:r>
            <w:r>
              <w:rPr>
                <w:sz w:val="22"/>
              </w:rPr>
              <w:t xml:space="preserve">; </w:t>
            </w:r>
            <w:r w:rsidRPr="005863CB">
              <w:rPr>
                <w:sz w:val="22"/>
              </w:rPr>
              <w:t>Comment Period Opened Regarding Documents</w:t>
            </w:r>
          </w:p>
        </w:tc>
        <w:tc>
          <w:tcPr>
            <w:tcW w:w="2018" w:type="pct"/>
            <w:tcBorders>
              <w:top w:val="single" w:sz="12" w:space="0" w:color="auto"/>
              <w:left w:val="single" w:sz="4" w:space="0" w:color="auto"/>
              <w:bottom w:val="single" w:sz="4" w:space="0" w:color="auto"/>
              <w:right w:val="single" w:sz="12" w:space="0" w:color="auto"/>
            </w:tcBorders>
            <w:vAlign w:val="bottom"/>
            <w:hideMark/>
          </w:tcPr>
          <w:p w14:paraId="48E93813" w14:textId="77777777" w:rsidR="00933A8B" w:rsidRPr="005863CB" w:rsidRDefault="00933A8B" w:rsidP="000F4282">
            <w:pPr>
              <w:pStyle w:val="BodyText3"/>
              <w:spacing w:line="256" w:lineRule="auto"/>
              <w:rPr>
                <w:sz w:val="22"/>
              </w:rPr>
            </w:pPr>
            <w:r w:rsidRPr="005863CB">
              <w:rPr>
                <w:sz w:val="22"/>
              </w:rPr>
              <w:t>Friday, November 5, 2021</w:t>
            </w:r>
          </w:p>
        </w:tc>
      </w:tr>
      <w:tr w:rsidR="00933A8B" w14:paraId="1A6F0ECF" w14:textId="77777777" w:rsidTr="001760DC">
        <w:trPr>
          <w:cantSplit/>
        </w:trPr>
        <w:tc>
          <w:tcPr>
            <w:tcW w:w="2982" w:type="pct"/>
            <w:tcBorders>
              <w:top w:val="single" w:sz="4" w:space="0" w:color="auto"/>
              <w:left w:val="single" w:sz="12" w:space="0" w:color="auto"/>
              <w:bottom w:val="single" w:sz="4" w:space="0" w:color="auto"/>
              <w:right w:val="single" w:sz="4" w:space="0" w:color="auto"/>
            </w:tcBorders>
            <w:vAlign w:val="center"/>
            <w:hideMark/>
          </w:tcPr>
          <w:p w14:paraId="7C41CFB9" w14:textId="77777777" w:rsidR="00933A8B" w:rsidRPr="005863CB" w:rsidRDefault="00933A8B" w:rsidP="000F4282">
            <w:pPr>
              <w:pStyle w:val="BodyText3"/>
              <w:spacing w:line="256" w:lineRule="auto"/>
              <w:rPr>
                <w:sz w:val="22"/>
              </w:rPr>
            </w:pPr>
            <w:r w:rsidRPr="005863CB">
              <w:rPr>
                <w:sz w:val="22"/>
              </w:rPr>
              <w:t>RFP Bidders Conference (Webinar) </w:t>
            </w:r>
          </w:p>
        </w:tc>
        <w:tc>
          <w:tcPr>
            <w:tcW w:w="2018" w:type="pct"/>
            <w:tcBorders>
              <w:top w:val="single" w:sz="4" w:space="0" w:color="auto"/>
              <w:left w:val="single" w:sz="4" w:space="0" w:color="auto"/>
              <w:bottom w:val="single" w:sz="4" w:space="0" w:color="auto"/>
              <w:right w:val="single" w:sz="12" w:space="0" w:color="auto"/>
            </w:tcBorders>
            <w:vAlign w:val="bottom"/>
            <w:hideMark/>
          </w:tcPr>
          <w:p w14:paraId="03CAE991" w14:textId="77777777" w:rsidR="00933A8B" w:rsidRPr="005863CB" w:rsidRDefault="00933A8B" w:rsidP="000F4282">
            <w:pPr>
              <w:pStyle w:val="BodyText3"/>
              <w:spacing w:line="256" w:lineRule="auto"/>
              <w:rPr>
                <w:sz w:val="22"/>
              </w:rPr>
            </w:pPr>
            <w:r w:rsidRPr="005863CB">
              <w:rPr>
                <w:sz w:val="22"/>
              </w:rPr>
              <w:t>Tuesday, November 9, 2021</w:t>
            </w:r>
          </w:p>
        </w:tc>
      </w:tr>
      <w:tr w:rsidR="00933A8B" w14:paraId="7F29E799" w14:textId="77777777" w:rsidTr="001760DC">
        <w:trPr>
          <w:cantSplit/>
        </w:trPr>
        <w:tc>
          <w:tcPr>
            <w:tcW w:w="2982" w:type="pct"/>
            <w:tcBorders>
              <w:top w:val="single" w:sz="4" w:space="0" w:color="auto"/>
              <w:left w:val="single" w:sz="12" w:space="0" w:color="auto"/>
              <w:bottom w:val="single" w:sz="4" w:space="0" w:color="auto"/>
              <w:right w:val="single" w:sz="4" w:space="0" w:color="auto"/>
            </w:tcBorders>
            <w:vAlign w:val="center"/>
            <w:hideMark/>
          </w:tcPr>
          <w:p w14:paraId="3197D858" w14:textId="77777777" w:rsidR="00933A8B" w:rsidRPr="005863CB" w:rsidRDefault="00933A8B" w:rsidP="000F4282">
            <w:pPr>
              <w:pStyle w:val="BodyText3"/>
              <w:spacing w:line="256" w:lineRule="auto"/>
              <w:rPr>
                <w:sz w:val="22"/>
              </w:rPr>
            </w:pPr>
            <w:r w:rsidRPr="005863CB">
              <w:rPr>
                <w:sz w:val="22"/>
              </w:rPr>
              <w:t>Final Comments Regarding RFP Document Due to Company Comment Period Closed</w:t>
            </w:r>
          </w:p>
        </w:tc>
        <w:tc>
          <w:tcPr>
            <w:tcW w:w="2018" w:type="pct"/>
            <w:tcBorders>
              <w:top w:val="single" w:sz="4" w:space="0" w:color="auto"/>
              <w:left w:val="single" w:sz="4" w:space="0" w:color="auto"/>
              <w:bottom w:val="single" w:sz="4" w:space="0" w:color="auto"/>
              <w:right w:val="single" w:sz="12" w:space="0" w:color="auto"/>
            </w:tcBorders>
            <w:vAlign w:val="bottom"/>
            <w:hideMark/>
          </w:tcPr>
          <w:p w14:paraId="295363D7" w14:textId="77777777" w:rsidR="00933A8B" w:rsidRPr="005863CB" w:rsidRDefault="00933A8B" w:rsidP="000F4282">
            <w:pPr>
              <w:pStyle w:val="BodyText3"/>
              <w:spacing w:line="256" w:lineRule="auto"/>
              <w:rPr>
                <w:sz w:val="22"/>
              </w:rPr>
            </w:pPr>
            <w:r w:rsidRPr="005863CB">
              <w:rPr>
                <w:sz w:val="22"/>
              </w:rPr>
              <w:t>Friday, November 19, 2021</w:t>
            </w:r>
          </w:p>
        </w:tc>
      </w:tr>
      <w:tr w:rsidR="00933A8B" w14:paraId="24CDEDF8" w14:textId="77777777" w:rsidTr="001760DC">
        <w:trPr>
          <w:cantSplit/>
        </w:trPr>
        <w:tc>
          <w:tcPr>
            <w:tcW w:w="2982" w:type="pct"/>
            <w:tcBorders>
              <w:top w:val="single" w:sz="4" w:space="0" w:color="auto"/>
              <w:left w:val="single" w:sz="12" w:space="0" w:color="auto"/>
              <w:bottom w:val="single" w:sz="4" w:space="0" w:color="auto"/>
              <w:right w:val="single" w:sz="4" w:space="0" w:color="auto"/>
            </w:tcBorders>
            <w:vAlign w:val="center"/>
            <w:hideMark/>
          </w:tcPr>
          <w:p w14:paraId="05A6D724" w14:textId="77777777" w:rsidR="00933A8B" w:rsidRPr="005863CB" w:rsidRDefault="00933A8B" w:rsidP="000F4282">
            <w:pPr>
              <w:pStyle w:val="BodyText3"/>
              <w:tabs>
                <w:tab w:val="left" w:pos="1272"/>
              </w:tabs>
              <w:spacing w:line="256" w:lineRule="auto"/>
              <w:rPr>
                <w:sz w:val="22"/>
              </w:rPr>
            </w:pPr>
            <w:r w:rsidRPr="005863CB">
              <w:rPr>
                <w:sz w:val="22"/>
              </w:rPr>
              <w:t>Deadline to Submit “other renewable fuel or technology” or “intent to submit turnkey project” to IE</w:t>
            </w:r>
          </w:p>
        </w:tc>
        <w:tc>
          <w:tcPr>
            <w:tcW w:w="2018" w:type="pct"/>
            <w:tcBorders>
              <w:top w:val="single" w:sz="4" w:space="0" w:color="auto"/>
              <w:left w:val="single" w:sz="4" w:space="0" w:color="auto"/>
              <w:bottom w:val="single" w:sz="4" w:space="0" w:color="auto"/>
              <w:right w:val="single" w:sz="12" w:space="0" w:color="auto"/>
            </w:tcBorders>
            <w:vAlign w:val="bottom"/>
            <w:hideMark/>
          </w:tcPr>
          <w:p w14:paraId="6C982B9C" w14:textId="77777777" w:rsidR="00933A8B" w:rsidRPr="005863CB" w:rsidRDefault="00933A8B" w:rsidP="000F4282">
            <w:pPr>
              <w:pStyle w:val="BodyText3"/>
              <w:spacing w:line="256" w:lineRule="auto"/>
              <w:rPr>
                <w:sz w:val="22"/>
              </w:rPr>
            </w:pPr>
            <w:r w:rsidRPr="005863CB">
              <w:rPr>
                <w:sz w:val="22"/>
              </w:rPr>
              <w:t>Wednesday, December 13, 2021</w:t>
            </w:r>
          </w:p>
        </w:tc>
      </w:tr>
      <w:tr w:rsidR="00933A8B" w14:paraId="4F7B5A83" w14:textId="77777777" w:rsidTr="001760DC">
        <w:trPr>
          <w:cantSplit/>
        </w:trPr>
        <w:tc>
          <w:tcPr>
            <w:tcW w:w="2982" w:type="pct"/>
            <w:tcBorders>
              <w:top w:val="single" w:sz="4" w:space="0" w:color="auto"/>
              <w:left w:val="single" w:sz="12" w:space="0" w:color="auto"/>
              <w:bottom w:val="single" w:sz="4" w:space="0" w:color="auto"/>
              <w:right w:val="single" w:sz="4" w:space="0" w:color="auto"/>
            </w:tcBorders>
            <w:vAlign w:val="center"/>
            <w:hideMark/>
          </w:tcPr>
          <w:p w14:paraId="0B2F04F6" w14:textId="77777777" w:rsidR="00933A8B" w:rsidRPr="005863CB" w:rsidRDefault="00933A8B" w:rsidP="000F4282">
            <w:pPr>
              <w:pStyle w:val="BodyText3"/>
              <w:spacing w:line="256" w:lineRule="auto"/>
              <w:rPr>
                <w:sz w:val="22"/>
              </w:rPr>
            </w:pPr>
            <w:r w:rsidRPr="005863CB">
              <w:rPr>
                <w:sz w:val="22"/>
              </w:rPr>
              <w:t>Revised RFP Document Shared via IE Website</w:t>
            </w:r>
          </w:p>
        </w:tc>
        <w:tc>
          <w:tcPr>
            <w:tcW w:w="2018" w:type="pct"/>
            <w:tcBorders>
              <w:top w:val="single" w:sz="4" w:space="0" w:color="auto"/>
              <w:left w:val="single" w:sz="4" w:space="0" w:color="auto"/>
              <w:bottom w:val="single" w:sz="4" w:space="0" w:color="auto"/>
              <w:right w:val="single" w:sz="12" w:space="0" w:color="auto"/>
            </w:tcBorders>
            <w:vAlign w:val="bottom"/>
            <w:hideMark/>
          </w:tcPr>
          <w:p w14:paraId="25DDF7E2" w14:textId="77777777" w:rsidR="00933A8B" w:rsidRPr="005863CB" w:rsidRDefault="00933A8B" w:rsidP="000F4282">
            <w:pPr>
              <w:pStyle w:val="BodyText3"/>
              <w:spacing w:line="256" w:lineRule="auto"/>
              <w:rPr>
                <w:sz w:val="22"/>
              </w:rPr>
            </w:pPr>
            <w:r w:rsidRPr="005863CB">
              <w:rPr>
                <w:sz w:val="22"/>
              </w:rPr>
              <w:t>Monday, December 20, 2021</w:t>
            </w:r>
          </w:p>
        </w:tc>
      </w:tr>
      <w:tr w:rsidR="00933A8B" w14:paraId="2AD7A035" w14:textId="77777777" w:rsidTr="001760DC">
        <w:trPr>
          <w:cantSplit/>
        </w:trPr>
        <w:tc>
          <w:tcPr>
            <w:tcW w:w="2982" w:type="pct"/>
            <w:tcBorders>
              <w:top w:val="single" w:sz="4" w:space="0" w:color="auto"/>
              <w:left w:val="single" w:sz="12" w:space="0" w:color="auto"/>
              <w:bottom w:val="single" w:sz="4" w:space="0" w:color="auto"/>
              <w:right w:val="single" w:sz="4" w:space="0" w:color="auto"/>
            </w:tcBorders>
            <w:vAlign w:val="center"/>
            <w:hideMark/>
          </w:tcPr>
          <w:p w14:paraId="4A4C4362" w14:textId="77777777" w:rsidR="00933A8B" w:rsidRPr="005863CB" w:rsidRDefault="00933A8B" w:rsidP="000F4282">
            <w:pPr>
              <w:pStyle w:val="BodyText3"/>
              <w:spacing w:line="256" w:lineRule="auto"/>
              <w:rPr>
                <w:sz w:val="22"/>
              </w:rPr>
            </w:pPr>
            <w:r w:rsidRPr="005863CB">
              <w:rPr>
                <w:sz w:val="22"/>
              </w:rPr>
              <w:t>Final RFP Document Filed for Commission Approval</w:t>
            </w:r>
          </w:p>
        </w:tc>
        <w:tc>
          <w:tcPr>
            <w:tcW w:w="2018" w:type="pct"/>
            <w:tcBorders>
              <w:top w:val="single" w:sz="4" w:space="0" w:color="auto"/>
              <w:left w:val="single" w:sz="4" w:space="0" w:color="auto"/>
              <w:bottom w:val="single" w:sz="4" w:space="0" w:color="auto"/>
              <w:right w:val="single" w:sz="12" w:space="0" w:color="auto"/>
            </w:tcBorders>
            <w:vAlign w:val="bottom"/>
            <w:hideMark/>
          </w:tcPr>
          <w:p w14:paraId="6AC1E0BD" w14:textId="77777777" w:rsidR="00933A8B" w:rsidRPr="005863CB" w:rsidRDefault="00933A8B" w:rsidP="000F4282">
            <w:pPr>
              <w:pStyle w:val="BodyText3"/>
              <w:spacing w:line="256" w:lineRule="auto"/>
              <w:rPr>
                <w:sz w:val="22"/>
              </w:rPr>
            </w:pPr>
            <w:r w:rsidRPr="005863CB">
              <w:rPr>
                <w:sz w:val="22"/>
              </w:rPr>
              <w:t>Monday, December 20, 2021</w:t>
            </w:r>
          </w:p>
        </w:tc>
      </w:tr>
      <w:tr w:rsidR="00933A8B" w14:paraId="430D5F6E" w14:textId="77777777" w:rsidTr="001760DC">
        <w:trPr>
          <w:cantSplit/>
        </w:trPr>
        <w:tc>
          <w:tcPr>
            <w:tcW w:w="2982" w:type="pct"/>
            <w:tcBorders>
              <w:top w:val="single" w:sz="4" w:space="0" w:color="auto"/>
              <w:left w:val="single" w:sz="12" w:space="0" w:color="auto"/>
              <w:bottom w:val="single" w:sz="4" w:space="0" w:color="auto"/>
              <w:right w:val="single" w:sz="4" w:space="0" w:color="auto"/>
            </w:tcBorders>
            <w:vAlign w:val="center"/>
            <w:hideMark/>
          </w:tcPr>
          <w:p w14:paraId="2D29DA29" w14:textId="77777777" w:rsidR="00933A8B" w:rsidRPr="005863CB" w:rsidRDefault="00933A8B" w:rsidP="000F4282">
            <w:pPr>
              <w:pStyle w:val="BodyText3"/>
              <w:spacing w:line="256" w:lineRule="auto"/>
              <w:rPr>
                <w:sz w:val="22"/>
              </w:rPr>
            </w:pPr>
            <w:r w:rsidRPr="005863CB">
              <w:rPr>
                <w:sz w:val="22"/>
              </w:rPr>
              <w:t>Anticipated Commission Decision on RFP Documents</w:t>
            </w:r>
          </w:p>
        </w:tc>
        <w:tc>
          <w:tcPr>
            <w:tcW w:w="2018" w:type="pct"/>
            <w:tcBorders>
              <w:top w:val="single" w:sz="4" w:space="0" w:color="auto"/>
              <w:left w:val="single" w:sz="4" w:space="0" w:color="auto"/>
              <w:bottom w:val="single" w:sz="4" w:space="0" w:color="auto"/>
              <w:right w:val="single" w:sz="12" w:space="0" w:color="auto"/>
            </w:tcBorders>
            <w:vAlign w:val="bottom"/>
            <w:hideMark/>
          </w:tcPr>
          <w:p w14:paraId="39A3269E" w14:textId="77777777" w:rsidR="00933A8B" w:rsidRPr="005863CB" w:rsidRDefault="00933A8B" w:rsidP="000F4282">
            <w:pPr>
              <w:pStyle w:val="BodyText3"/>
              <w:spacing w:line="256" w:lineRule="auto"/>
              <w:rPr>
                <w:sz w:val="22"/>
              </w:rPr>
            </w:pPr>
            <w:r w:rsidRPr="005863CB">
              <w:rPr>
                <w:sz w:val="22"/>
              </w:rPr>
              <w:t>No later than Tuesday, January 18, 2022</w:t>
            </w:r>
          </w:p>
        </w:tc>
      </w:tr>
      <w:tr w:rsidR="00933A8B" w14:paraId="6DD92971" w14:textId="77777777" w:rsidTr="001760DC">
        <w:trPr>
          <w:cantSplit/>
        </w:trPr>
        <w:tc>
          <w:tcPr>
            <w:tcW w:w="2982" w:type="pct"/>
            <w:tcBorders>
              <w:top w:val="single" w:sz="4" w:space="0" w:color="auto"/>
              <w:left w:val="single" w:sz="12" w:space="0" w:color="auto"/>
              <w:bottom w:val="single" w:sz="4" w:space="0" w:color="auto"/>
              <w:right w:val="single" w:sz="4" w:space="0" w:color="auto"/>
            </w:tcBorders>
            <w:vAlign w:val="center"/>
            <w:hideMark/>
          </w:tcPr>
          <w:p w14:paraId="7312C53E" w14:textId="77777777" w:rsidR="00933A8B" w:rsidRPr="005863CB" w:rsidRDefault="00933A8B" w:rsidP="000F4282">
            <w:pPr>
              <w:pStyle w:val="BodyText3"/>
              <w:spacing w:line="256" w:lineRule="auto"/>
              <w:rPr>
                <w:sz w:val="22"/>
              </w:rPr>
            </w:pPr>
            <w:r w:rsidRPr="005863CB">
              <w:rPr>
                <w:sz w:val="22"/>
              </w:rPr>
              <w:t>RFP Released via Website</w:t>
            </w:r>
          </w:p>
        </w:tc>
        <w:tc>
          <w:tcPr>
            <w:tcW w:w="2018" w:type="pct"/>
            <w:tcBorders>
              <w:top w:val="single" w:sz="4" w:space="0" w:color="auto"/>
              <w:left w:val="single" w:sz="4" w:space="0" w:color="auto"/>
              <w:bottom w:val="single" w:sz="4" w:space="0" w:color="auto"/>
              <w:right w:val="single" w:sz="12" w:space="0" w:color="auto"/>
            </w:tcBorders>
            <w:vAlign w:val="bottom"/>
            <w:hideMark/>
          </w:tcPr>
          <w:p w14:paraId="3225C3E6" w14:textId="77777777" w:rsidR="00933A8B" w:rsidRPr="005863CB" w:rsidRDefault="00933A8B" w:rsidP="000F4282">
            <w:pPr>
              <w:pStyle w:val="BodyText3"/>
              <w:spacing w:line="256" w:lineRule="auto"/>
              <w:rPr>
                <w:sz w:val="22"/>
              </w:rPr>
            </w:pPr>
            <w:r w:rsidRPr="005863CB">
              <w:rPr>
                <w:sz w:val="22"/>
              </w:rPr>
              <w:t>Friday, January 21, 2022</w:t>
            </w:r>
          </w:p>
        </w:tc>
      </w:tr>
      <w:tr w:rsidR="00933A8B" w14:paraId="58655069" w14:textId="77777777" w:rsidTr="001760DC">
        <w:trPr>
          <w:cantSplit/>
        </w:trPr>
        <w:tc>
          <w:tcPr>
            <w:tcW w:w="2982" w:type="pct"/>
            <w:tcBorders>
              <w:top w:val="single" w:sz="4" w:space="0" w:color="auto"/>
              <w:left w:val="single" w:sz="12" w:space="0" w:color="auto"/>
              <w:bottom w:val="single" w:sz="4" w:space="0" w:color="auto"/>
              <w:right w:val="single" w:sz="4" w:space="0" w:color="auto"/>
            </w:tcBorders>
            <w:vAlign w:val="center"/>
            <w:hideMark/>
          </w:tcPr>
          <w:p w14:paraId="3F17BA8E" w14:textId="77777777" w:rsidR="00933A8B" w:rsidRPr="005863CB" w:rsidRDefault="00933A8B" w:rsidP="000F4282">
            <w:pPr>
              <w:pStyle w:val="BodyText3"/>
              <w:spacing w:line="256" w:lineRule="auto"/>
              <w:rPr>
                <w:sz w:val="22"/>
              </w:rPr>
            </w:pPr>
            <w:r w:rsidRPr="005863CB">
              <w:rPr>
                <w:sz w:val="22"/>
              </w:rPr>
              <w:t>Bids and Bidder’s Fee Due (Bids must be electronically submitted by 12:00 PM (Noon) EPT)</w:t>
            </w:r>
          </w:p>
        </w:tc>
        <w:tc>
          <w:tcPr>
            <w:tcW w:w="2018" w:type="pct"/>
            <w:tcBorders>
              <w:top w:val="single" w:sz="4" w:space="0" w:color="auto"/>
              <w:left w:val="single" w:sz="4" w:space="0" w:color="auto"/>
              <w:bottom w:val="single" w:sz="4" w:space="0" w:color="auto"/>
              <w:right w:val="single" w:sz="12" w:space="0" w:color="auto"/>
            </w:tcBorders>
            <w:vAlign w:val="bottom"/>
            <w:hideMark/>
          </w:tcPr>
          <w:p w14:paraId="0C5C9FA6" w14:textId="77777777" w:rsidR="00933A8B" w:rsidRPr="005863CB" w:rsidRDefault="00933A8B" w:rsidP="000F4282">
            <w:pPr>
              <w:pStyle w:val="BodyText3"/>
              <w:spacing w:line="256" w:lineRule="auto"/>
              <w:rPr>
                <w:sz w:val="22"/>
              </w:rPr>
            </w:pPr>
            <w:r w:rsidRPr="005863CB">
              <w:rPr>
                <w:sz w:val="22"/>
              </w:rPr>
              <w:t>Wednesday, February 23, 2022</w:t>
            </w:r>
          </w:p>
        </w:tc>
      </w:tr>
      <w:tr w:rsidR="00933A8B" w14:paraId="0A758C46" w14:textId="77777777" w:rsidTr="001760DC">
        <w:trPr>
          <w:cantSplit/>
        </w:trPr>
        <w:tc>
          <w:tcPr>
            <w:tcW w:w="2982" w:type="pct"/>
            <w:tcBorders>
              <w:top w:val="single" w:sz="4" w:space="0" w:color="auto"/>
              <w:left w:val="single" w:sz="12" w:space="0" w:color="auto"/>
              <w:bottom w:val="single" w:sz="4" w:space="0" w:color="auto"/>
              <w:right w:val="single" w:sz="4" w:space="0" w:color="auto"/>
            </w:tcBorders>
            <w:vAlign w:val="center"/>
            <w:hideMark/>
          </w:tcPr>
          <w:p w14:paraId="41CAB352" w14:textId="77777777" w:rsidR="00933A8B" w:rsidRPr="005863CB" w:rsidRDefault="00933A8B" w:rsidP="000F4282">
            <w:pPr>
              <w:pStyle w:val="BodyText3"/>
              <w:spacing w:line="256" w:lineRule="auto"/>
              <w:rPr>
                <w:sz w:val="22"/>
              </w:rPr>
            </w:pPr>
            <w:r w:rsidRPr="005863CB">
              <w:rPr>
                <w:sz w:val="22"/>
              </w:rPr>
              <w:t>Competitive Tier Selected; Non-Competitive Bids Released</w:t>
            </w:r>
          </w:p>
        </w:tc>
        <w:tc>
          <w:tcPr>
            <w:tcW w:w="2018" w:type="pct"/>
            <w:tcBorders>
              <w:top w:val="single" w:sz="4" w:space="0" w:color="auto"/>
              <w:left w:val="single" w:sz="4" w:space="0" w:color="auto"/>
              <w:bottom w:val="single" w:sz="4" w:space="0" w:color="auto"/>
              <w:right w:val="single" w:sz="12" w:space="0" w:color="auto"/>
            </w:tcBorders>
            <w:vAlign w:val="bottom"/>
            <w:hideMark/>
          </w:tcPr>
          <w:p w14:paraId="184E2F34" w14:textId="77777777" w:rsidR="00933A8B" w:rsidRPr="005863CB" w:rsidRDefault="00933A8B" w:rsidP="000F4282">
            <w:pPr>
              <w:pStyle w:val="BodyText3"/>
              <w:spacing w:line="256" w:lineRule="auto"/>
              <w:rPr>
                <w:sz w:val="22"/>
              </w:rPr>
            </w:pPr>
            <w:r w:rsidRPr="005863CB">
              <w:rPr>
                <w:sz w:val="22"/>
              </w:rPr>
              <w:t>Wednesday, April 13, 2022</w:t>
            </w:r>
          </w:p>
        </w:tc>
      </w:tr>
      <w:tr w:rsidR="00933A8B" w14:paraId="3C3F34A6" w14:textId="77777777" w:rsidTr="001760DC">
        <w:trPr>
          <w:cantSplit/>
        </w:trPr>
        <w:tc>
          <w:tcPr>
            <w:tcW w:w="2982" w:type="pct"/>
            <w:tcBorders>
              <w:top w:val="single" w:sz="4" w:space="0" w:color="auto"/>
              <w:left w:val="single" w:sz="12" w:space="0" w:color="auto"/>
              <w:bottom w:val="single" w:sz="4" w:space="0" w:color="auto"/>
              <w:right w:val="single" w:sz="4" w:space="0" w:color="auto"/>
            </w:tcBorders>
            <w:vAlign w:val="center"/>
            <w:hideMark/>
          </w:tcPr>
          <w:p w14:paraId="5A931D9D" w14:textId="77777777" w:rsidR="00933A8B" w:rsidRPr="005863CB" w:rsidRDefault="00933A8B" w:rsidP="000F4282">
            <w:pPr>
              <w:pStyle w:val="BodyText3"/>
              <w:spacing w:line="256" w:lineRule="auto"/>
              <w:rPr>
                <w:sz w:val="22"/>
              </w:rPr>
            </w:pPr>
            <w:r w:rsidRPr="005863CB">
              <w:rPr>
                <w:sz w:val="22"/>
              </w:rPr>
              <w:lastRenderedPageBreak/>
              <w:t>Bid Bonds Due</w:t>
            </w:r>
          </w:p>
        </w:tc>
        <w:tc>
          <w:tcPr>
            <w:tcW w:w="2018" w:type="pct"/>
            <w:tcBorders>
              <w:top w:val="single" w:sz="4" w:space="0" w:color="auto"/>
              <w:left w:val="single" w:sz="4" w:space="0" w:color="auto"/>
              <w:bottom w:val="single" w:sz="4" w:space="0" w:color="auto"/>
              <w:right w:val="single" w:sz="12" w:space="0" w:color="auto"/>
            </w:tcBorders>
            <w:vAlign w:val="bottom"/>
            <w:hideMark/>
          </w:tcPr>
          <w:p w14:paraId="58E3F51D" w14:textId="77777777" w:rsidR="00933A8B" w:rsidRPr="005863CB" w:rsidRDefault="00933A8B" w:rsidP="000F4282">
            <w:pPr>
              <w:pStyle w:val="BodyText3"/>
              <w:spacing w:line="256" w:lineRule="auto"/>
              <w:rPr>
                <w:sz w:val="22"/>
              </w:rPr>
            </w:pPr>
            <w:r w:rsidRPr="005863CB">
              <w:rPr>
                <w:sz w:val="22"/>
              </w:rPr>
              <w:t>Wednesday, May 4, 2022</w:t>
            </w:r>
          </w:p>
        </w:tc>
      </w:tr>
      <w:tr w:rsidR="00933A8B" w14:paraId="73BD8FEB" w14:textId="77777777" w:rsidTr="001760DC">
        <w:trPr>
          <w:cantSplit/>
        </w:trPr>
        <w:tc>
          <w:tcPr>
            <w:tcW w:w="2982" w:type="pct"/>
            <w:tcBorders>
              <w:top w:val="single" w:sz="4" w:space="0" w:color="auto"/>
              <w:left w:val="single" w:sz="12" w:space="0" w:color="auto"/>
              <w:bottom w:val="single" w:sz="4" w:space="0" w:color="auto"/>
              <w:right w:val="single" w:sz="4" w:space="0" w:color="auto"/>
            </w:tcBorders>
            <w:vAlign w:val="center"/>
            <w:hideMark/>
          </w:tcPr>
          <w:p w14:paraId="5FD39959" w14:textId="77777777" w:rsidR="00933A8B" w:rsidRPr="005863CB" w:rsidRDefault="00933A8B" w:rsidP="000F4282">
            <w:pPr>
              <w:pStyle w:val="BodyText3"/>
              <w:spacing w:line="256" w:lineRule="auto"/>
              <w:rPr>
                <w:sz w:val="22"/>
              </w:rPr>
            </w:pPr>
            <w:r w:rsidRPr="005863CB">
              <w:rPr>
                <w:sz w:val="22"/>
              </w:rPr>
              <w:t>Environmental Assurance Package Due</w:t>
            </w:r>
          </w:p>
        </w:tc>
        <w:tc>
          <w:tcPr>
            <w:tcW w:w="2018" w:type="pct"/>
            <w:tcBorders>
              <w:top w:val="single" w:sz="4" w:space="0" w:color="auto"/>
              <w:left w:val="single" w:sz="4" w:space="0" w:color="auto"/>
              <w:bottom w:val="single" w:sz="4" w:space="0" w:color="auto"/>
              <w:right w:val="single" w:sz="12" w:space="0" w:color="auto"/>
            </w:tcBorders>
            <w:vAlign w:val="bottom"/>
            <w:hideMark/>
          </w:tcPr>
          <w:p w14:paraId="53AECB64" w14:textId="77777777" w:rsidR="00933A8B" w:rsidRPr="005863CB" w:rsidRDefault="00933A8B" w:rsidP="000F4282">
            <w:pPr>
              <w:pStyle w:val="BodyText3"/>
              <w:spacing w:line="256" w:lineRule="auto"/>
              <w:rPr>
                <w:sz w:val="22"/>
              </w:rPr>
            </w:pPr>
            <w:r w:rsidRPr="005863CB">
              <w:rPr>
                <w:sz w:val="22"/>
              </w:rPr>
              <w:t>Tuesday, July 5, 2022</w:t>
            </w:r>
          </w:p>
        </w:tc>
      </w:tr>
      <w:tr w:rsidR="00933A8B" w14:paraId="44FDCF3F" w14:textId="77777777" w:rsidTr="001760DC">
        <w:trPr>
          <w:cantSplit/>
        </w:trPr>
        <w:tc>
          <w:tcPr>
            <w:tcW w:w="2982" w:type="pct"/>
            <w:tcBorders>
              <w:top w:val="single" w:sz="4" w:space="0" w:color="auto"/>
              <w:left w:val="single" w:sz="12" w:space="0" w:color="auto"/>
              <w:bottom w:val="single" w:sz="4" w:space="0" w:color="auto"/>
              <w:right w:val="single" w:sz="4" w:space="0" w:color="auto"/>
            </w:tcBorders>
            <w:vAlign w:val="center"/>
            <w:hideMark/>
          </w:tcPr>
          <w:p w14:paraId="4A472D58" w14:textId="77777777" w:rsidR="00933A8B" w:rsidRPr="005863CB" w:rsidRDefault="00933A8B" w:rsidP="000F4282">
            <w:pPr>
              <w:pStyle w:val="BodyText3"/>
              <w:spacing w:line="256" w:lineRule="auto"/>
              <w:rPr>
                <w:sz w:val="22"/>
              </w:rPr>
            </w:pPr>
            <w:r w:rsidRPr="005863CB">
              <w:rPr>
                <w:sz w:val="22"/>
              </w:rPr>
              <w:t>Short List, Reserve List Determination and Notification</w:t>
            </w:r>
          </w:p>
        </w:tc>
        <w:tc>
          <w:tcPr>
            <w:tcW w:w="2018" w:type="pct"/>
            <w:tcBorders>
              <w:top w:val="single" w:sz="4" w:space="0" w:color="auto"/>
              <w:left w:val="single" w:sz="4" w:space="0" w:color="auto"/>
              <w:bottom w:val="single" w:sz="4" w:space="0" w:color="auto"/>
              <w:right w:val="single" w:sz="12" w:space="0" w:color="auto"/>
            </w:tcBorders>
            <w:vAlign w:val="bottom"/>
            <w:hideMark/>
          </w:tcPr>
          <w:p w14:paraId="27A3764A" w14:textId="77777777" w:rsidR="00933A8B" w:rsidRPr="005863CB" w:rsidRDefault="00933A8B" w:rsidP="000F4282">
            <w:pPr>
              <w:pStyle w:val="BodyText3"/>
              <w:spacing w:line="256" w:lineRule="auto"/>
              <w:rPr>
                <w:sz w:val="22"/>
              </w:rPr>
            </w:pPr>
            <w:r w:rsidRPr="005863CB">
              <w:rPr>
                <w:sz w:val="22"/>
              </w:rPr>
              <w:t>Friday, November 4, 2022</w:t>
            </w:r>
          </w:p>
        </w:tc>
      </w:tr>
      <w:tr w:rsidR="00933A8B" w14:paraId="1E33FEA3" w14:textId="77777777" w:rsidTr="001760DC">
        <w:trPr>
          <w:cantSplit/>
        </w:trPr>
        <w:tc>
          <w:tcPr>
            <w:tcW w:w="2982" w:type="pct"/>
            <w:tcBorders>
              <w:top w:val="single" w:sz="4" w:space="0" w:color="auto"/>
              <w:left w:val="single" w:sz="12" w:space="0" w:color="auto"/>
              <w:bottom w:val="single" w:sz="4" w:space="0" w:color="auto"/>
              <w:right w:val="single" w:sz="4" w:space="0" w:color="auto"/>
            </w:tcBorders>
            <w:vAlign w:val="center"/>
            <w:hideMark/>
          </w:tcPr>
          <w:p w14:paraId="58047FF9" w14:textId="77777777" w:rsidR="00933A8B" w:rsidRPr="005863CB" w:rsidRDefault="00933A8B" w:rsidP="000F4282">
            <w:pPr>
              <w:pStyle w:val="BodyText3"/>
              <w:spacing w:line="256" w:lineRule="auto"/>
              <w:rPr>
                <w:sz w:val="22"/>
              </w:rPr>
            </w:pPr>
            <w:r w:rsidRPr="005863CB">
              <w:rPr>
                <w:sz w:val="22"/>
              </w:rPr>
              <w:t>Interconnection Request Submittal Deadline</w:t>
            </w:r>
          </w:p>
        </w:tc>
        <w:tc>
          <w:tcPr>
            <w:tcW w:w="2018" w:type="pct"/>
            <w:tcBorders>
              <w:top w:val="single" w:sz="4" w:space="0" w:color="auto"/>
              <w:left w:val="single" w:sz="4" w:space="0" w:color="auto"/>
              <w:bottom w:val="single" w:sz="4" w:space="0" w:color="auto"/>
              <w:right w:val="single" w:sz="12" w:space="0" w:color="auto"/>
            </w:tcBorders>
            <w:vAlign w:val="bottom"/>
            <w:hideMark/>
          </w:tcPr>
          <w:p w14:paraId="3FAE565D" w14:textId="77777777" w:rsidR="00933A8B" w:rsidRPr="005863CB" w:rsidRDefault="00933A8B" w:rsidP="000F4282">
            <w:pPr>
              <w:pStyle w:val="BodyText3"/>
              <w:spacing w:line="256" w:lineRule="auto"/>
              <w:rPr>
                <w:sz w:val="22"/>
              </w:rPr>
            </w:pPr>
            <w:r w:rsidRPr="005863CB">
              <w:rPr>
                <w:sz w:val="22"/>
              </w:rPr>
              <w:t>Friday, November 11, 2022</w:t>
            </w:r>
          </w:p>
        </w:tc>
      </w:tr>
      <w:tr w:rsidR="00933A8B" w14:paraId="5040C964" w14:textId="77777777" w:rsidTr="001760DC">
        <w:trPr>
          <w:cantSplit/>
        </w:trPr>
        <w:tc>
          <w:tcPr>
            <w:tcW w:w="2982" w:type="pct"/>
            <w:tcBorders>
              <w:top w:val="single" w:sz="4" w:space="0" w:color="auto"/>
              <w:left w:val="single" w:sz="12" w:space="0" w:color="auto"/>
              <w:bottom w:val="single" w:sz="4" w:space="0" w:color="auto"/>
              <w:right w:val="single" w:sz="4" w:space="0" w:color="auto"/>
            </w:tcBorders>
            <w:vAlign w:val="center"/>
            <w:hideMark/>
          </w:tcPr>
          <w:p w14:paraId="4BBC6651" w14:textId="77777777" w:rsidR="00933A8B" w:rsidRPr="005863CB" w:rsidRDefault="00933A8B" w:rsidP="000F4282">
            <w:pPr>
              <w:pStyle w:val="BodyText3"/>
              <w:spacing w:line="256" w:lineRule="auto"/>
              <w:rPr>
                <w:sz w:val="22"/>
              </w:rPr>
            </w:pPr>
            <w:r w:rsidRPr="005863CB">
              <w:rPr>
                <w:sz w:val="22"/>
              </w:rPr>
              <w:t>Finalize and Execute PPAs</w:t>
            </w:r>
          </w:p>
        </w:tc>
        <w:tc>
          <w:tcPr>
            <w:tcW w:w="2018" w:type="pct"/>
            <w:tcBorders>
              <w:top w:val="single" w:sz="4" w:space="0" w:color="auto"/>
              <w:left w:val="single" w:sz="4" w:space="0" w:color="auto"/>
              <w:bottom w:val="single" w:sz="4" w:space="0" w:color="auto"/>
              <w:right w:val="single" w:sz="12" w:space="0" w:color="auto"/>
            </w:tcBorders>
            <w:vAlign w:val="bottom"/>
            <w:hideMark/>
          </w:tcPr>
          <w:p w14:paraId="15AE069F" w14:textId="77777777" w:rsidR="00933A8B" w:rsidRPr="005863CB" w:rsidRDefault="00933A8B" w:rsidP="000F4282">
            <w:pPr>
              <w:pStyle w:val="BodyText3"/>
              <w:spacing w:line="256" w:lineRule="auto"/>
              <w:rPr>
                <w:sz w:val="22"/>
              </w:rPr>
            </w:pPr>
            <w:r w:rsidRPr="005863CB">
              <w:rPr>
                <w:sz w:val="22"/>
              </w:rPr>
              <w:t>Thursday, December 15, 2022</w:t>
            </w:r>
          </w:p>
        </w:tc>
      </w:tr>
      <w:tr w:rsidR="00933A8B" w14:paraId="297FB456" w14:textId="77777777" w:rsidTr="001760DC">
        <w:trPr>
          <w:cantSplit/>
        </w:trPr>
        <w:tc>
          <w:tcPr>
            <w:tcW w:w="2982" w:type="pct"/>
            <w:tcBorders>
              <w:top w:val="single" w:sz="4" w:space="0" w:color="auto"/>
              <w:left w:val="single" w:sz="12" w:space="0" w:color="auto"/>
              <w:bottom w:val="single" w:sz="4" w:space="0" w:color="auto"/>
              <w:right w:val="single" w:sz="4" w:space="0" w:color="auto"/>
            </w:tcBorders>
            <w:vAlign w:val="center"/>
            <w:hideMark/>
          </w:tcPr>
          <w:p w14:paraId="607AF40B" w14:textId="77777777" w:rsidR="00933A8B" w:rsidRPr="005863CB" w:rsidRDefault="00933A8B" w:rsidP="000F4282">
            <w:pPr>
              <w:pStyle w:val="BodyText3"/>
              <w:spacing w:line="256" w:lineRule="auto"/>
              <w:rPr>
                <w:sz w:val="22"/>
              </w:rPr>
            </w:pPr>
            <w:r w:rsidRPr="005863CB">
              <w:rPr>
                <w:sz w:val="22"/>
              </w:rPr>
              <w:t>File Executed PPAs for Certification with the Commission</w:t>
            </w:r>
          </w:p>
        </w:tc>
        <w:tc>
          <w:tcPr>
            <w:tcW w:w="2018" w:type="pct"/>
            <w:tcBorders>
              <w:top w:val="single" w:sz="4" w:space="0" w:color="auto"/>
              <w:left w:val="single" w:sz="4" w:space="0" w:color="auto"/>
              <w:bottom w:val="single" w:sz="4" w:space="0" w:color="auto"/>
              <w:right w:val="single" w:sz="12" w:space="0" w:color="auto"/>
            </w:tcBorders>
            <w:vAlign w:val="bottom"/>
            <w:hideMark/>
          </w:tcPr>
          <w:p w14:paraId="67F1275B" w14:textId="77777777" w:rsidR="00933A8B" w:rsidRPr="005863CB" w:rsidRDefault="00933A8B" w:rsidP="000F4282">
            <w:pPr>
              <w:pStyle w:val="BodyText3"/>
              <w:spacing w:line="256" w:lineRule="auto"/>
              <w:rPr>
                <w:sz w:val="22"/>
              </w:rPr>
            </w:pPr>
            <w:r w:rsidRPr="005863CB">
              <w:rPr>
                <w:sz w:val="22"/>
              </w:rPr>
              <w:t>Friday, December 16, 2022</w:t>
            </w:r>
          </w:p>
        </w:tc>
      </w:tr>
      <w:tr w:rsidR="00933A8B" w14:paraId="2EE534C1" w14:textId="77777777" w:rsidTr="001760DC">
        <w:trPr>
          <w:cantSplit/>
        </w:trPr>
        <w:tc>
          <w:tcPr>
            <w:tcW w:w="2982" w:type="pct"/>
            <w:tcBorders>
              <w:top w:val="single" w:sz="4" w:space="0" w:color="auto"/>
              <w:left w:val="single" w:sz="12" w:space="0" w:color="auto"/>
              <w:bottom w:val="single" w:sz="4" w:space="0" w:color="auto"/>
              <w:right w:val="single" w:sz="4" w:space="0" w:color="auto"/>
            </w:tcBorders>
            <w:vAlign w:val="center"/>
            <w:hideMark/>
          </w:tcPr>
          <w:p w14:paraId="23361EC3" w14:textId="77777777" w:rsidR="00933A8B" w:rsidRPr="005863CB" w:rsidRDefault="00933A8B" w:rsidP="000F4282">
            <w:pPr>
              <w:pStyle w:val="BodyText3"/>
              <w:spacing w:line="256" w:lineRule="auto"/>
              <w:rPr>
                <w:sz w:val="22"/>
              </w:rPr>
            </w:pPr>
            <w:r w:rsidRPr="005863CB">
              <w:rPr>
                <w:sz w:val="22"/>
              </w:rPr>
              <w:t>Tentative Certification Order by Commission*</w:t>
            </w:r>
          </w:p>
        </w:tc>
        <w:tc>
          <w:tcPr>
            <w:tcW w:w="2018" w:type="pct"/>
            <w:tcBorders>
              <w:top w:val="single" w:sz="4" w:space="0" w:color="auto"/>
              <w:left w:val="single" w:sz="4" w:space="0" w:color="auto"/>
              <w:bottom w:val="single" w:sz="4" w:space="0" w:color="auto"/>
              <w:right w:val="single" w:sz="12" w:space="0" w:color="auto"/>
            </w:tcBorders>
            <w:vAlign w:val="bottom"/>
            <w:hideMark/>
          </w:tcPr>
          <w:p w14:paraId="6E46D84F" w14:textId="6E505E62" w:rsidR="00933A8B" w:rsidRPr="005863CB" w:rsidRDefault="00933A8B" w:rsidP="000F4282">
            <w:pPr>
              <w:pStyle w:val="BodyText3"/>
              <w:spacing w:line="256" w:lineRule="auto"/>
              <w:rPr>
                <w:sz w:val="22"/>
              </w:rPr>
            </w:pPr>
            <w:r w:rsidRPr="005863CB">
              <w:rPr>
                <w:sz w:val="22"/>
              </w:rPr>
              <w:t>Wednesday, March 15, 2023</w:t>
            </w:r>
          </w:p>
        </w:tc>
      </w:tr>
      <w:tr w:rsidR="00933A8B" w14:paraId="2034BB21" w14:textId="77777777" w:rsidTr="001760DC">
        <w:trPr>
          <w:cantSplit/>
        </w:trPr>
        <w:tc>
          <w:tcPr>
            <w:tcW w:w="2982" w:type="pct"/>
            <w:tcBorders>
              <w:top w:val="single" w:sz="4" w:space="0" w:color="auto"/>
              <w:left w:val="single" w:sz="12" w:space="0" w:color="auto"/>
              <w:bottom w:val="single" w:sz="4" w:space="0" w:color="auto"/>
              <w:right w:val="single" w:sz="4" w:space="0" w:color="auto"/>
            </w:tcBorders>
            <w:vAlign w:val="center"/>
            <w:hideMark/>
          </w:tcPr>
          <w:p w14:paraId="2A2592E0" w14:textId="2FA11CC7" w:rsidR="00933A8B" w:rsidRPr="005863CB" w:rsidRDefault="00933A8B" w:rsidP="000F4282">
            <w:pPr>
              <w:pStyle w:val="BodyText3"/>
              <w:spacing w:line="256" w:lineRule="auto"/>
              <w:rPr>
                <w:sz w:val="22"/>
              </w:rPr>
            </w:pPr>
            <w:r w:rsidRPr="005863CB">
              <w:rPr>
                <w:sz w:val="22"/>
              </w:rPr>
              <w:t>Required Commercial Operation Date for Resources for 2023</w:t>
            </w:r>
          </w:p>
        </w:tc>
        <w:tc>
          <w:tcPr>
            <w:tcW w:w="2018" w:type="pct"/>
            <w:tcBorders>
              <w:top w:val="single" w:sz="4" w:space="0" w:color="auto"/>
              <w:left w:val="single" w:sz="4" w:space="0" w:color="auto"/>
              <w:bottom w:val="single" w:sz="4" w:space="0" w:color="auto"/>
              <w:right w:val="single" w:sz="12" w:space="0" w:color="auto"/>
            </w:tcBorders>
            <w:vAlign w:val="bottom"/>
            <w:hideMark/>
          </w:tcPr>
          <w:p w14:paraId="7E806F24" w14:textId="77777777" w:rsidR="00933A8B" w:rsidRPr="005863CB" w:rsidRDefault="00933A8B" w:rsidP="000F4282">
            <w:pPr>
              <w:pStyle w:val="BodyText3"/>
              <w:spacing w:line="256" w:lineRule="auto"/>
              <w:rPr>
                <w:sz w:val="22"/>
              </w:rPr>
            </w:pPr>
            <w:r w:rsidRPr="005863CB">
              <w:rPr>
                <w:sz w:val="22"/>
              </w:rPr>
              <w:t>Thursday, November 30, 2023</w:t>
            </w:r>
          </w:p>
        </w:tc>
      </w:tr>
      <w:tr w:rsidR="00933A8B" w14:paraId="561F669A" w14:textId="77777777" w:rsidTr="001760DC">
        <w:trPr>
          <w:cantSplit/>
        </w:trPr>
        <w:tc>
          <w:tcPr>
            <w:tcW w:w="2982" w:type="pct"/>
            <w:tcBorders>
              <w:top w:val="single" w:sz="4" w:space="0" w:color="auto"/>
              <w:left w:val="single" w:sz="12" w:space="0" w:color="auto"/>
              <w:bottom w:val="single" w:sz="12" w:space="0" w:color="auto"/>
              <w:right w:val="single" w:sz="4" w:space="0" w:color="auto"/>
            </w:tcBorders>
            <w:vAlign w:val="center"/>
            <w:hideMark/>
          </w:tcPr>
          <w:p w14:paraId="21FBAEFE" w14:textId="765DF8B1" w:rsidR="00933A8B" w:rsidRPr="005863CB" w:rsidRDefault="00933A8B" w:rsidP="000F4282">
            <w:pPr>
              <w:pStyle w:val="BodyText3"/>
              <w:spacing w:line="256" w:lineRule="auto"/>
              <w:rPr>
                <w:sz w:val="22"/>
              </w:rPr>
            </w:pPr>
            <w:r w:rsidRPr="005863CB">
              <w:rPr>
                <w:sz w:val="22"/>
              </w:rPr>
              <w:t>Required Commercial Operation Date for Resources for</w:t>
            </w:r>
            <w:r w:rsidR="001760DC">
              <w:rPr>
                <w:sz w:val="22"/>
              </w:rPr>
              <w:t xml:space="preserve"> </w:t>
            </w:r>
            <w:r w:rsidRPr="005863CB">
              <w:rPr>
                <w:sz w:val="22"/>
              </w:rPr>
              <w:t>2024</w:t>
            </w:r>
          </w:p>
        </w:tc>
        <w:tc>
          <w:tcPr>
            <w:tcW w:w="2018" w:type="pct"/>
            <w:tcBorders>
              <w:top w:val="single" w:sz="4" w:space="0" w:color="auto"/>
              <w:left w:val="single" w:sz="4" w:space="0" w:color="auto"/>
              <w:bottom w:val="single" w:sz="12" w:space="0" w:color="auto"/>
              <w:right w:val="single" w:sz="12" w:space="0" w:color="auto"/>
            </w:tcBorders>
            <w:vAlign w:val="bottom"/>
            <w:hideMark/>
          </w:tcPr>
          <w:p w14:paraId="4F74FD1F" w14:textId="77777777" w:rsidR="00933A8B" w:rsidRPr="005863CB" w:rsidRDefault="00933A8B" w:rsidP="000F4282">
            <w:pPr>
              <w:pStyle w:val="BodyText3"/>
              <w:spacing w:line="256" w:lineRule="auto"/>
              <w:rPr>
                <w:sz w:val="22"/>
              </w:rPr>
            </w:pPr>
            <w:r w:rsidRPr="005863CB">
              <w:rPr>
                <w:sz w:val="22"/>
              </w:rPr>
              <w:t>Saturday, November 30, 2024</w:t>
            </w:r>
          </w:p>
        </w:tc>
      </w:tr>
    </w:tbl>
    <w:p w14:paraId="343E357A" w14:textId="609DAFB9" w:rsidR="00933A8B" w:rsidRPr="00B103F5" w:rsidRDefault="00933A8B" w:rsidP="00B103F5">
      <w:pPr>
        <w:pStyle w:val="BodyText"/>
        <w:ind w:left="-540" w:firstLine="630"/>
        <w:jc w:val="left"/>
      </w:pPr>
      <w:r w:rsidRPr="00846D56">
        <w:t xml:space="preserve">*Determined by the Commission’s Procedural and Scheduling Order. </w:t>
      </w:r>
    </w:p>
    <w:p w14:paraId="175249FD" w14:textId="77777777" w:rsidR="001760DC" w:rsidRDefault="001760DC" w:rsidP="00B103F5">
      <w:pPr>
        <w:spacing w:line="360" w:lineRule="auto"/>
        <w:jc w:val="both"/>
      </w:pPr>
    </w:p>
    <w:p w14:paraId="5196500D" w14:textId="793D5FC0" w:rsidR="00933A8B" w:rsidRPr="00BE15E6" w:rsidRDefault="00BE15E6" w:rsidP="001760DC">
      <w:pPr>
        <w:spacing w:line="360" w:lineRule="auto"/>
        <w:ind w:firstLine="720"/>
        <w:jc w:val="both"/>
      </w:pPr>
      <w:r>
        <w:t xml:space="preserve">On January 18, 2022, </w:t>
      </w:r>
      <w:r w:rsidR="00A944B7">
        <w:tab/>
        <w:t xml:space="preserve">the </w:t>
      </w:r>
      <w:r>
        <w:t>Georgia Large Scale Solar Association (“GLSSA”) filed comment</w:t>
      </w:r>
      <w:r w:rsidR="00F84623">
        <w:t>s</w:t>
      </w:r>
      <w:r>
        <w:t xml:space="preserve"> </w:t>
      </w:r>
      <w:r w:rsidR="00F84623">
        <w:t>challenging</w:t>
      </w:r>
      <w:r>
        <w:t xml:space="preserve"> </w:t>
      </w:r>
      <w:r w:rsidR="00623F0A">
        <w:t xml:space="preserve">the </w:t>
      </w:r>
      <w:r>
        <w:t xml:space="preserve">valuation of AGC on projects without storage devices. GLSSA asserted that AGC should not provide the same evaluation credit as a Smoothing Storage Device, nor should AGC be required/available only to projects without storage. Georgia Power filed </w:t>
      </w:r>
      <w:r w:rsidR="00623F0A">
        <w:t xml:space="preserve">a </w:t>
      </w:r>
      <w:r>
        <w:t>response to GLSSA’s comments, also on January 18, 2022, asserting that GLSSA’s comments had been properly considered and rejected during the RFP process</w:t>
      </w:r>
      <w:r w:rsidR="001760DC">
        <w:t>, and a</w:t>
      </w:r>
      <w:r>
        <w:t>ffirm</w:t>
      </w:r>
      <w:bookmarkStart w:id="0" w:name="_GoBack"/>
      <w:r w:rsidR="00843382">
        <w:t>ed</w:t>
      </w:r>
      <w:bookmarkEnd w:id="0"/>
      <w:r>
        <w:t xml:space="preserve"> th</w:t>
      </w:r>
      <w:r w:rsidR="001760DC">
        <w:t>e value of AGC.</w:t>
      </w:r>
      <w:r>
        <w:t xml:space="preserve"> </w:t>
      </w:r>
    </w:p>
    <w:p w14:paraId="70B3FA89" w14:textId="77777777" w:rsidR="00BE15E6" w:rsidRDefault="00BE15E6" w:rsidP="00933A8B">
      <w:pPr>
        <w:spacing w:line="276" w:lineRule="auto"/>
        <w:ind w:left="90"/>
        <w:jc w:val="both"/>
        <w:rPr>
          <w:b/>
          <w:u w:val="single"/>
        </w:rPr>
      </w:pPr>
    </w:p>
    <w:p w14:paraId="0E89EE8C" w14:textId="77777777" w:rsidR="00933A8B" w:rsidRPr="005E117E" w:rsidRDefault="00933A8B" w:rsidP="00933A8B">
      <w:pPr>
        <w:spacing w:line="276" w:lineRule="auto"/>
        <w:ind w:left="90"/>
        <w:jc w:val="both"/>
        <w:rPr>
          <w:b/>
          <w:u w:val="single"/>
        </w:rPr>
      </w:pPr>
      <w:r>
        <w:rPr>
          <w:b/>
          <w:u w:val="single"/>
        </w:rPr>
        <w:t>S</w:t>
      </w:r>
      <w:r w:rsidRPr="005E117E">
        <w:rPr>
          <w:b/>
          <w:u w:val="single"/>
        </w:rPr>
        <w:t>taff Recommendation</w:t>
      </w:r>
    </w:p>
    <w:p w14:paraId="5C9132F2" w14:textId="77777777" w:rsidR="00933A8B" w:rsidRDefault="00933A8B" w:rsidP="00933A8B">
      <w:pPr>
        <w:spacing w:line="276" w:lineRule="auto"/>
        <w:ind w:left="90" w:firstLine="720"/>
        <w:jc w:val="both"/>
      </w:pPr>
    </w:p>
    <w:p w14:paraId="5C9FFFE8" w14:textId="4EA9ECFC" w:rsidR="00DE56CB" w:rsidRDefault="00933A8B" w:rsidP="00933A8B">
      <w:pPr>
        <w:spacing w:line="360" w:lineRule="auto"/>
        <w:ind w:firstLine="720"/>
        <w:jc w:val="both"/>
      </w:pPr>
      <w:r>
        <w:t xml:space="preserve">Staff worked with Georgia Power throughout the process in developing the final draft RFP and PPA documents that were filed on 12/20/2021.  Staff reviewed the comments that were received on the IE website </w:t>
      </w:r>
      <w:r w:rsidR="00843382">
        <w:t>regard</w:t>
      </w:r>
      <w:r>
        <w:t xml:space="preserve">ing the draft documents and Georgia Power’s subsequent modified changes to the draft documents.  Staff recommends approval of the draft </w:t>
      </w:r>
      <w:r w:rsidRPr="00E135F5">
        <w:t>202</w:t>
      </w:r>
      <w:r>
        <w:t>3</w:t>
      </w:r>
      <w:r w:rsidRPr="00E135F5">
        <w:t>/202</w:t>
      </w:r>
      <w:r>
        <w:t>4</w:t>
      </w:r>
      <w:r w:rsidRPr="00E135F5">
        <w:t xml:space="preserve"> </w:t>
      </w:r>
      <w:r>
        <w:t xml:space="preserve">US </w:t>
      </w:r>
      <w:r w:rsidRPr="00E135F5">
        <w:t xml:space="preserve">Renewable Generation </w:t>
      </w:r>
      <w:r>
        <w:t xml:space="preserve">RFP document </w:t>
      </w:r>
      <w:r w:rsidRPr="00E135F5">
        <w:t xml:space="preserve">and Pro Forma </w:t>
      </w:r>
      <w:r>
        <w:t>PPAs (Energy Only with Storage Device &amp; Energy Only without Storage Device) as filed.</w:t>
      </w:r>
    </w:p>
    <w:p w14:paraId="335838AA" w14:textId="77777777" w:rsidR="006D3135" w:rsidRDefault="006D3135" w:rsidP="00FA6466">
      <w:pPr>
        <w:spacing w:line="360" w:lineRule="auto"/>
        <w:jc w:val="both"/>
      </w:pPr>
    </w:p>
    <w:p w14:paraId="29B39168" w14:textId="31A2498E" w:rsidR="00DE56CB" w:rsidRPr="00D42742" w:rsidRDefault="006D3135" w:rsidP="00A944B7">
      <w:pPr>
        <w:spacing w:line="360" w:lineRule="auto"/>
        <w:ind w:firstLine="720"/>
        <w:jc w:val="both"/>
      </w:pPr>
      <w:r>
        <w:t>The Commission approved Staff’s recommendation at the January 18, 2022 Administrative Session.</w:t>
      </w:r>
    </w:p>
    <w:p w14:paraId="28006AD9" w14:textId="2C7A6730" w:rsidR="00DE56CB" w:rsidRPr="001760DC" w:rsidRDefault="00DE56CB" w:rsidP="001760DC">
      <w:pPr>
        <w:spacing w:line="360" w:lineRule="auto"/>
        <w:ind w:right="720"/>
        <w:jc w:val="center"/>
      </w:pPr>
      <w:r w:rsidRPr="00D42742">
        <w:t>* * * * * * * * * * * * *</w:t>
      </w:r>
    </w:p>
    <w:p w14:paraId="330FCDB7" w14:textId="77777777" w:rsidR="00DE56CB" w:rsidRPr="00301D2F" w:rsidRDefault="00DE56CB" w:rsidP="0042117D">
      <w:pPr>
        <w:spacing w:line="360" w:lineRule="auto"/>
        <w:jc w:val="center"/>
        <w:rPr>
          <w:rFonts w:cs="Arial"/>
        </w:rPr>
      </w:pPr>
    </w:p>
    <w:p w14:paraId="0053B8E1" w14:textId="10B8F15B" w:rsidR="00DE56CB" w:rsidRDefault="00DE56CB" w:rsidP="0042117D">
      <w:pPr>
        <w:pStyle w:val="BodyText"/>
        <w:spacing w:line="360" w:lineRule="auto"/>
        <w:ind w:firstLine="720"/>
        <w:rPr>
          <w:sz w:val="24"/>
          <w:szCs w:val="24"/>
        </w:rPr>
      </w:pPr>
      <w:r w:rsidRPr="00301D2F">
        <w:rPr>
          <w:rFonts w:cs="Arial"/>
          <w:b/>
          <w:sz w:val="24"/>
          <w:szCs w:val="24"/>
        </w:rPr>
        <w:lastRenderedPageBreak/>
        <w:t>WHEREFORE IT IS ORDERED</w:t>
      </w:r>
      <w:r w:rsidRPr="00301D2F">
        <w:rPr>
          <w:rFonts w:cs="Arial"/>
          <w:sz w:val="24"/>
          <w:szCs w:val="24"/>
        </w:rPr>
        <w:t xml:space="preserve"> </w:t>
      </w:r>
      <w:r w:rsidR="000E20F8" w:rsidRPr="000E20F8">
        <w:rPr>
          <w:rFonts w:cs="Arial"/>
          <w:sz w:val="24"/>
          <w:szCs w:val="24"/>
        </w:rPr>
        <w:t xml:space="preserve">that the </w:t>
      </w:r>
      <w:r w:rsidR="00D94184">
        <w:rPr>
          <w:rFonts w:cs="Arial"/>
          <w:sz w:val="24"/>
          <w:szCs w:val="24"/>
        </w:rPr>
        <w:t>Final Draft</w:t>
      </w:r>
      <w:r w:rsidR="00DA5120">
        <w:rPr>
          <w:rFonts w:cs="Arial"/>
          <w:sz w:val="24"/>
          <w:szCs w:val="24"/>
        </w:rPr>
        <w:t>s</w:t>
      </w:r>
      <w:r w:rsidR="00D94184">
        <w:rPr>
          <w:rFonts w:cs="Arial"/>
          <w:sz w:val="24"/>
          <w:szCs w:val="24"/>
        </w:rPr>
        <w:t xml:space="preserve"> of the 2023/2024 Utility Scale Renewable Generation Request for Proposals and the Pro Forma Energy Only with Storage Device and Energy Only without Storage Device Power Purchase Agreements are hereby approved</w:t>
      </w:r>
      <w:r w:rsidR="000E20F8" w:rsidRPr="000E20F8">
        <w:rPr>
          <w:rFonts w:cs="Arial"/>
          <w:sz w:val="24"/>
          <w:szCs w:val="24"/>
        </w:rPr>
        <w:t xml:space="preserve">. </w:t>
      </w:r>
    </w:p>
    <w:p w14:paraId="26E84996" w14:textId="77777777" w:rsidR="00DE56CB" w:rsidRDefault="00DE56CB" w:rsidP="0042117D">
      <w:pPr>
        <w:pStyle w:val="BodyText"/>
        <w:spacing w:line="360" w:lineRule="auto"/>
        <w:ind w:firstLine="720"/>
        <w:rPr>
          <w:sz w:val="24"/>
          <w:szCs w:val="24"/>
        </w:rPr>
      </w:pPr>
    </w:p>
    <w:p w14:paraId="385BBBA9" w14:textId="77777777" w:rsidR="00DE56CB" w:rsidRDefault="00DE56CB" w:rsidP="0042117D">
      <w:pPr>
        <w:spacing w:line="360" w:lineRule="auto"/>
        <w:ind w:firstLine="720"/>
        <w:jc w:val="both"/>
        <w:rPr>
          <w:rFonts w:cs="Arial"/>
        </w:rPr>
      </w:pPr>
      <w:r w:rsidRPr="00301D2F">
        <w:rPr>
          <w:rFonts w:cs="Arial"/>
          <w:b/>
        </w:rPr>
        <w:t>ORDERED FURTHER</w:t>
      </w:r>
      <w:r w:rsidRPr="00301D2F">
        <w:rPr>
          <w:rFonts w:cs="Arial"/>
        </w:rPr>
        <w:t xml:space="preserve">, </w:t>
      </w:r>
      <w:r w:rsidR="000A4BAA" w:rsidRPr="000A4BAA">
        <w:rPr>
          <w:rFonts w:cs="Arial"/>
        </w:rPr>
        <w:t>that all findings, conclusions, statements, and directives made by the Commission and contained in the foregoing sections of this Order are hereby adopted as findings of fact, conclusions of law, statements of regulatory policy, and orders of this Commission.</w:t>
      </w:r>
    </w:p>
    <w:p w14:paraId="323B2527" w14:textId="77777777" w:rsidR="000A4BAA" w:rsidRPr="006E37E6" w:rsidRDefault="000A4BAA" w:rsidP="0042117D">
      <w:pPr>
        <w:spacing w:line="360" w:lineRule="auto"/>
        <w:ind w:firstLine="720"/>
        <w:jc w:val="both"/>
        <w:rPr>
          <w:rFonts w:cs="Arial"/>
          <w:szCs w:val="22"/>
        </w:rPr>
      </w:pPr>
    </w:p>
    <w:p w14:paraId="220D0C15" w14:textId="77777777" w:rsidR="00DE56CB" w:rsidRPr="00FE77C8" w:rsidRDefault="00DE56CB" w:rsidP="0042117D">
      <w:pPr>
        <w:spacing w:line="360" w:lineRule="auto"/>
        <w:ind w:firstLine="720"/>
        <w:jc w:val="both"/>
        <w:rPr>
          <w:rFonts w:cs="Arial"/>
          <w:b/>
          <w:szCs w:val="22"/>
        </w:rPr>
      </w:pPr>
      <w:r w:rsidRPr="00FE77C8">
        <w:rPr>
          <w:rFonts w:cs="Arial"/>
          <w:b/>
          <w:szCs w:val="22"/>
        </w:rPr>
        <w:t>ORDERED FURTHER</w:t>
      </w:r>
      <w:r w:rsidRPr="00FE77C8">
        <w:rPr>
          <w:rFonts w:cs="Arial"/>
          <w:szCs w:val="22"/>
        </w:rPr>
        <w:t>, that a motion for reconsideration, rehearing, or oral argument or any other motion shall not stay the effective date of this Order, unless otherwise ordered by the Commission.</w:t>
      </w:r>
    </w:p>
    <w:p w14:paraId="69953CF8" w14:textId="77777777" w:rsidR="00DE56CB" w:rsidRPr="00FE77C8" w:rsidRDefault="00DE56CB" w:rsidP="0042117D">
      <w:pPr>
        <w:spacing w:line="360" w:lineRule="auto"/>
        <w:ind w:firstLine="720"/>
        <w:jc w:val="both"/>
        <w:rPr>
          <w:rFonts w:cs="Arial"/>
          <w:b/>
          <w:szCs w:val="22"/>
        </w:rPr>
      </w:pPr>
    </w:p>
    <w:p w14:paraId="1D50F0E7" w14:textId="77777777" w:rsidR="00DE56CB" w:rsidRDefault="00DE56CB" w:rsidP="0042117D">
      <w:pPr>
        <w:spacing w:line="360" w:lineRule="auto"/>
        <w:ind w:firstLine="720"/>
        <w:jc w:val="both"/>
        <w:rPr>
          <w:rFonts w:cs="Arial"/>
          <w:szCs w:val="22"/>
        </w:rPr>
      </w:pPr>
      <w:r w:rsidRPr="00FE77C8">
        <w:rPr>
          <w:rFonts w:cs="Arial"/>
          <w:b/>
          <w:szCs w:val="22"/>
        </w:rPr>
        <w:t>ORDERED FURTHER</w:t>
      </w:r>
      <w:r w:rsidRPr="00FE77C8">
        <w:rPr>
          <w:rFonts w:cs="Arial"/>
          <w:szCs w:val="22"/>
        </w:rPr>
        <w:t>, that jurisdiction over this matter is expressly retained for the purpose of entering such further Order or Orders as this Commission may deem just and proper.</w:t>
      </w:r>
    </w:p>
    <w:p w14:paraId="45369C98" w14:textId="77777777" w:rsidR="00DE56CB" w:rsidRDefault="00DE56CB" w:rsidP="0042117D">
      <w:pPr>
        <w:spacing w:line="360" w:lineRule="auto"/>
        <w:ind w:firstLine="720"/>
        <w:jc w:val="both"/>
        <w:rPr>
          <w:rFonts w:cs="Arial"/>
          <w:szCs w:val="22"/>
        </w:rPr>
      </w:pPr>
    </w:p>
    <w:p w14:paraId="54C9642D" w14:textId="3B404A97" w:rsidR="00DE56CB" w:rsidRDefault="00DE56CB" w:rsidP="001760DC">
      <w:pPr>
        <w:spacing w:line="360" w:lineRule="auto"/>
        <w:ind w:firstLine="720"/>
        <w:jc w:val="both"/>
        <w:rPr>
          <w:rFonts w:cs="Arial"/>
          <w:szCs w:val="22"/>
        </w:rPr>
      </w:pPr>
      <w:r w:rsidRPr="006E37E6">
        <w:rPr>
          <w:rFonts w:cs="Arial"/>
          <w:szCs w:val="22"/>
        </w:rPr>
        <w:t>The above by action of the Commission in Administrative Session on the</w:t>
      </w:r>
      <w:r>
        <w:rPr>
          <w:rFonts w:cs="Arial"/>
          <w:szCs w:val="22"/>
        </w:rPr>
        <w:t xml:space="preserve"> </w:t>
      </w:r>
      <w:r w:rsidR="00D94184">
        <w:rPr>
          <w:rFonts w:cs="Arial"/>
          <w:szCs w:val="22"/>
        </w:rPr>
        <w:t>18</w:t>
      </w:r>
      <w:r w:rsidR="00266AF2">
        <w:rPr>
          <w:rFonts w:cs="Arial"/>
          <w:szCs w:val="22"/>
        </w:rPr>
        <w:t>th</w:t>
      </w:r>
      <w:r>
        <w:rPr>
          <w:rFonts w:cs="Arial"/>
          <w:szCs w:val="22"/>
          <w:vertAlign w:val="superscript"/>
        </w:rPr>
        <w:t xml:space="preserve"> </w:t>
      </w:r>
      <w:r w:rsidRPr="006E37E6">
        <w:rPr>
          <w:rFonts w:cs="Arial"/>
          <w:szCs w:val="22"/>
        </w:rPr>
        <w:t xml:space="preserve">day of </w:t>
      </w:r>
      <w:r w:rsidR="00D94184">
        <w:rPr>
          <w:rFonts w:cs="Arial"/>
          <w:szCs w:val="22"/>
        </w:rPr>
        <w:t>January</w:t>
      </w:r>
      <w:r w:rsidRPr="006E37E6">
        <w:rPr>
          <w:rFonts w:cs="Arial"/>
          <w:szCs w:val="22"/>
        </w:rPr>
        <w:t>, 20</w:t>
      </w:r>
      <w:r>
        <w:rPr>
          <w:rFonts w:cs="Arial"/>
          <w:szCs w:val="22"/>
        </w:rPr>
        <w:t>2</w:t>
      </w:r>
      <w:r w:rsidR="00D94184">
        <w:rPr>
          <w:rFonts w:cs="Arial"/>
          <w:szCs w:val="22"/>
        </w:rPr>
        <w:t>2</w:t>
      </w:r>
      <w:r w:rsidRPr="006E37E6">
        <w:rPr>
          <w:rFonts w:cs="Arial"/>
          <w:szCs w:val="22"/>
        </w:rPr>
        <w:t>.</w:t>
      </w:r>
    </w:p>
    <w:p w14:paraId="4D14F81A" w14:textId="5AFE1D74" w:rsidR="00DE56CB" w:rsidRDefault="00DE56CB" w:rsidP="00DE56CB">
      <w:pPr>
        <w:jc w:val="both"/>
        <w:rPr>
          <w:rFonts w:cs="Arial"/>
          <w:szCs w:val="22"/>
        </w:rPr>
      </w:pPr>
    </w:p>
    <w:p w14:paraId="61BCC308" w14:textId="77777777" w:rsidR="001760DC" w:rsidRPr="006E37E6" w:rsidRDefault="001760DC" w:rsidP="00DE56CB">
      <w:pPr>
        <w:jc w:val="both"/>
        <w:rPr>
          <w:rFonts w:cs="Arial"/>
          <w:szCs w:val="22"/>
        </w:rPr>
      </w:pPr>
    </w:p>
    <w:p w14:paraId="387ECA8C" w14:textId="77777777" w:rsidR="00DE56CB" w:rsidRDefault="00DE56CB" w:rsidP="00DE56CB">
      <w:pPr>
        <w:jc w:val="both"/>
        <w:rPr>
          <w:rFonts w:cs="Arial"/>
          <w:szCs w:val="22"/>
        </w:rPr>
      </w:pPr>
    </w:p>
    <w:p w14:paraId="732D332D" w14:textId="77777777" w:rsidR="00DE56CB" w:rsidRPr="006E37E6" w:rsidRDefault="00DE56CB" w:rsidP="00DE56CB">
      <w:pPr>
        <w:jc w:val="both"/>
        <w:rPr>
          <w:rFonts w:cs="Arial"/>
          <w:szCs w:val="22"/>
        </w:rPr>
      </w:pPr>
    </w:p>
    <w:p w14:paraId="281128C7" w14:textId="77777777" w:rsidR="00DE56CB" w:rsidRPr="006E37E6" w:rsidRDefault="00DE56CB" w:rsidP="00DE56CB">
      <w:pPr>
        <w:jc w:val="both"/>
        <w:rPr>
          <w:rFonts w:cs="Arial"/>
          <w:szCs w:val="22"/>
        </w:rPr>
      </w:pPr>
      <w:r w:rsidRPr="006E37E6">
        <w:rPr>
          <w:rFonts w:cs="Arial"/>
          <w:szCs w:val="22"/>
        </w:rPr>
        <w:t>_________________________</w:t>
      </w:r>
      <w:r w:rsidRPr="006E37E6">
        <w:rPr>
          <w:rFonts w:cs="Arial"/>
          <w:szCs w:val="22"/>
        </w:rPr>
        <w:tab/>
      </w:r>
      <w:r w:rsidRPr="006E37E6">
        <w:rPr>
          <w:rFonts w:cs="Arial"/>
          <w:szCs w:val="22"/>
        </w:rPr>
        <w:tab/>
      </w:r>
      <w:r w:rsidRPr="006E37E6">
        <w:rPr>
          <w:rFonts w:cs="Arial"/>
          <w:szCs w:val="22"/>
        </w:rPr>
        <w:tab/>
        <w:t>_________________________</w:t>
      </w:r>
    </w:p>
    <w:p w14:paraId="355635A2" w14:textId="2FA9D5B4" w:rsidR="00DE56CB" w:rsidRPr="006E37E6" w:rsidRDefault="00A657BD" w:rsidP="00DE56CB">
      <w:pPr>
        <w:jc w:val="both"/>
        <w:rPr>
          <w:rFonts w:cs="Arial"/>
          <w:szCs w:val="22"/>
        </w:rPr>
      </w:pPr>
      <w:r>
        <w:rPr>
          <w:rFonts w:cs="Arial"/>
          <w:szCs w:val="22"/>
        </w:rPr>
        <w:t>Sallie</w:t>
      </w:r>
      <w:r w:rsidR="00DE56CB" w:rsidRPr="006E37E6">
        <w:rPr>
          <w:rFonts w:cs="Arial"/>
          <w:szCs w:val="22"/>
        </w:rPr>
        <w:t xml:space="preserve"> </w:t>
      </w:r>
      <w:r>
        <w:rPr>
          <w:rFonts w:cs="Arial"/>
          <w:szCs w:val="22"/>
        </w:rPr>
        <w:t>Tanner</w:t>
      </w:r>
      <w:r w:rsidR="00DE56CB" w:rsidRPr="006E37E6">
        <w:rPr>
          <w:rFonts w:cs="Arial"/>
          <w:szCs w:val="22"/>
        </w:rPr>
        <w:tab/>
      </w:r>
      <w:r w:rsidR="00DE56CB" w:rsidRPr="006E37E6">
        <w:rPr>
          <w:rFonts w:cs="Arial"/>
          <w:szCs w:val="22"/>
        </w:rPr>
        <w:tab/>
      </w:r>
      <w:r w:rsidR="00DE56CB" w:rsidRPr="006E37E6">
        <w:rPr>
          <w:rFonts w:cs="Arial"/>
          <w:szCs w:val="22"/>
        </w:rPr>
        <w:tab/>
      </w:r>
      <w:r w:rsidR="00DE56CB" w:rsidRPr="006E37E6">
        <w:rPr>
          <w:rFonts w:cs="Arial"/>
          <w:szCs w:val="22"/>
        </w:rPr>
        <w:tab/>
      </w:r>
      <w:r w:rsidR="00DE56CB" w:rsidRPr="006E37E6">
        <w:rPr>
          <w:rFonts w:cs="Arial"/>
          <w:szCs w:val="22"/>
        </w:rPr>
        <w:tab/>
      </w:r>
      <w:r w:rsidR="006C04E7">
        <w:rPr>
          <w:rFonts w:cs="Arial"/>
          <w:szCs w:val="22"/>
        </w:rPr>
        <w:tab/>
      </w:r>
      <w:r w:rsidR="00A612D6">
        <w:rPr>
          <w:rFonts w:cs="Arial"/>
          <w:szCs w:val="22"/>
        </w:rPr>
        <w:t>Tricia Pridemore</w:t>
      </w:r>
    </w:p>
    <w:p w14:paraId="47544B70" w14:textId="77777777" w:rsidR="00DE56CB" w:rsidRPr="006E37E6" w:rsidRDefault="00DE56CB" w:rsidP="00DE56CB">
      <w:pPr>
        <w:jc w:val="both"/>
        <w:rPr>
          <w:rFonts w:cs="Arial"/>
          <w:szCs w:val="22"/>
        </w:rPr>
      </w:pPr>
      <w:r w:rsidRPr="006E37E6">
        <w:rPr>
          <w:rFonts w:cs="Arial"/>
          <w:szCs w:val="22"/>
        </w:rPr>
        <w:t>Executive Secretary</w:t>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t>Chairman</w:t>
      </w:r>
    </w:p>
    <w:p w14:paraId="07DEDB63" w14:textId="77777777" w:rsidR="00DE56CB" w:rsidRPr="006E37E6" w:rsidRDefault="00DE56CB" w:rsidP="00DE56CB">
      <w:pPr>
        <w:jc w:val="both"/>
        <w:rPr>
          <w:rFonts w:cs="Arial"/>
          <w:szCs w:val="22"/>
        </w:rPr>
      </w:pPr>
    </w:p>
    <w:p w14:paraId="0B931453" w14:textId="77777777" w:rsidR="00DE56CB" w:rsidRPr="006E37E6" w:rsidRDefault="00DE56CB" w:rsidP="00DE56CB">
      <w:pPr>
        <w:jc w:val="both"/>
        <w:rPr>
          <w:rFonts w:cs="Arial"/>
          <w:szCs w:val="22"/>
        </w:rPr>
      </w:pPr>
    </w:p>
    <w:p w14:paraId="247F5FD6" w14:textId="77777777" w:rsidR="00DE56CB" w:rsidRPr="006E37E6" w:rsidRDefault="00DE56CB" w:rsidP="00DE56CB">
      <w:pPr>
        <w:jc w:val="both"/>
        <w:rPr>
          <w:rFonts w:cs="Arial"/>
          <w:szCs w:val="22"/>
        </w:rPr>
      </w:pPr>
    </w:p>
    <w:p w14:paraId="458C6A9C" w14:textId="77777777" w:rsidR="00DE56CB" w:rsidRPr="006E37E6" w:rsidRDefault="00DE56CB" w:rsidP="00DE56CB">
      <w:pPr>
        <w:jc w:val="both"/>
        <w:rPr>
          <w:rFonts w:cs="Arial"/>
          <w:szCs w:val="22"/>
        </w:rPr>
      </w:pPr>
      <w:r w:rsidRPr="006E37E6">
        <w:rPr>
          <w:rFonts w:cs="Arial"/>
          <w:szCs w:val="22"/>
        </w:rPr>
        <w:t>_________________________</w:t>
      </w:r>
      <w:r w:rsidRPr="006E37E6">
        <w:rPr>
          <w:rFonts w:cs="Arial"/>
          <w:szCs w:val="22"/>
        </w:rPr>
        <w:tab/>
      </w:r>
      <w:r w:rsidRPr="006E37E6">
        <w:rPr>
          <w:rFonts w:cs="Arial"/>
          <w:szCs w:val="22"/>
        </w:rPr>
        <w:tab/>
      </w:r>
      <w:r w:rsidRPr="006E37E6">
        <w:rPr>
          <w:rFonts w:cs="Arial"/>
          <w:szCs w:val="22"/>
        </w:rPr>
        <w:tab/>
        <w:t>__________________________</w:t>
      </w:r>
    </w:p>
    <w:p w14:paraId="36E2C2A8" w14:textId="77777777" w:rsidR="00DE56CB" w:rsidRPr="006E37E6" w:rsidRDefault="00DE56CB" w:rsidP="00A612D6">
      <w:pPr>
        <w:jc w:val="both"/>
        <w:rPr>
          <w:rFonts w:cs="Arial"/>
          <w:szCs w:val="22"/>
        </w:rPr>
      </w:pPr>
      <w:r w:rsidRPr="006E37E6">
        <w:rPr>
          <w:rFonts w:cs="Arial"/>
          <w:szCs w:val="22"/>
        </w:rPr>
        <w:t>Date</w:t>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t>Date</w:t>
      </w:r>
    </w:p>
    <w:p w14:paraId="345274A8" w14:textId="77777777" w:rsidR="003F2763" w:rsidRPr="003F2763" w:rsidRDefault="003F2763" w:rsidP="003F2763">
      <w:pPr>
        <w:pStyle w:val="Heading1"/>
      </w:pPr>
    </w:p>
    <w:sectPr w:rsidR="003F2763" w:rsidRPr="003F276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86117" w14:textId="77777777" w:rsidR="00135CC3" w:rsidRDefault="00135CC3" w:rsidP="00DE56CB">
      <w:r>
        <w:separator/>
      </w:r>
    </w:p>
  </w:endnote>
  <w:endnote w:type="continuationSeparator" w:id="0">
    <w:p w14:paraId="6B576FF0" w14:textId="77777777" w:rsidR="00135CC3" w:rsidRDefault="00135CC3" w:rsidP="00DE5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F2202" w14:textId="77777777" w:rsidR="00DE56CB" w:rsidRDefault="00DE56CB" w:rsidP="00DE56CB">
    <w:pPr>
      <w:pStyle w:val="Footer"/>
      <w:jc w:val="center"/>
      <w:rPr>
        <w:sz w:val="18"/>
      </w:rPr>
    </w:pPr>
  </w:p>
  <w:p w14:paraId="02B87242" w14:textId="4B6EF157" w:rsidR="00DE56CB" w:rsidRPr="00FE3E4C" w:rsidRDefault="00DE56CB" w:rsidP="00DE56CB">
    <w:pPr>
      <w:pStyle w:val="Footer"/>
      <w:jc w:val="center"/>
      <w:rPr>
        <w:sz w:val="20"/>
        <w:szCs w:val="20"/>
      </w:rPr>
    </w:pPr>
    <w:r w:rsidRPr="00FE3E4C">
      <w:rPr>
        <w:sz w:val="20"/>
        <w:szCs w:val="20"/>
      </w:rPr>
      <w:t xml:space="preserve">Docket No. </w:t>
    </w:r>
    <w:r w:rsidR="00461CB7">
      <w:rPr>
        <w:sz w:val="20"/>
        <w:szCs w:val="20"/>
      </w:rPr>
      <w:t>438</w:t>
    </w:r>
    <w:r w:rsidR="00D94184">
      <w:rPr>
        <w:sz w:val="20"/>
        <w:szCs w:val="20"/>
      </w:rPr>
      <w:t>9</w:t>
    </w:r>
    <w:r w:rsidR="00461CB7">
      <w:rPr>
        <w:sz w:val="20"/>
        <w:szCs w:val="20"/>
      </w:rPr>
      <w:t>5</w:t>
    </w:r>
  </w:p>
  <w:p w14:paraId="7904050C" w14:textId="37F100E7" w:rsidR="00DE56CB" w:rsidRPr="00FE3E4C" w:rsidRDefault="00DE56CB" w:rsidP="00DE56CB">
    <w:pPr>
      <w:pStyle w:val="BodyText"/>
      <w:jc w:val="center"/>
    </w:pPr>
    <w:r w:rsidRPr="00FE3E4C">
      <w:t xml:space="preserve">Order Approving </w:t>
    </w:r>
    <w:r w:rsidR="00F84623">
      <w:t xml:space="preserve">2023/24 Utility Scale Renewable </w:t>
    </w:r>
    <w:r w:rsidR="00D94184">
      <w:t>Final RFP Documents</w:t>
    </w:r>
  </w:p>
  <w:p w14:paraId="2A428A9C" w14:textId="77777777" w:rsidR="00DE56CB" w:rsidRPr="00FE3E4C" w:rsidRDefault="00DE56CB" w:rsidP="00DE56CB">
    <w:pPr>
      <w:pStyle w:val="Footer"/>
      <w:jc w:val="center"/>
      <w:rPr>
        <w:sz w:val="20"/>
        <w:szCs w:val="20"/>
      </w:rPr>
    </w:pPr>
    <w:r w:rsidRPr="00FE3E4C">
      <w:rPr>
        <w:sz w:val="20"/>
        <w:szCs w:val="20"/>
      </w:rPr>
      <w:t xml:space="preserve">Page </w:t>
    </w:r>
    <w:r w:rsidRPr="00FE3E4C">
      <w:rPr>
        <w:sz w:val="20"/>
        <w:szCs w:val="20"/>
      </w:rPr>
      <w:fldChar w:fldCharType="begin"/>
    </w:r>
    <w:r w:rsidRPr="00FE3E4C">
      <w:rPr>
        <w:sz w:val="20"/>
        <w:szCs w:val="20"/>
      </w:rPr>
      <w:instrText xml:space="preserve"> PAGE </w:instrText>
    </w:r>
    <w:r w:rsidRPr="00FE3E4C">
      <w:rPr>
        <w:sz w:val="20"/>
        <w:szCs w:val="20"/>
      </w:rPr>
      <w:fldChar w:fldCharType="separate"/>
    </w:r>
    <w:r w:rsidRPr="00FE3E4C">
      <w:rPr>
        <w:sz w:val="20"/>
        <w:szCs w:val="20"/>
      </w:rPr>
      <w:t>1</w:t>
    </w:r>
    <w:r w:rsidRPr="00FE3E4C">
      <w:rPr>
        <w:sz w:val="20"/>
        <w:szCs w:val="20"/>
      </w:rPr>
      <w:fldChar w:fldCharType="end"/>
    </w:r>
    <w:r w:rsidRPr="00FE3E4C">
      <w:rPr>
        <w:sz w:val="20"/>
        <w:szCs w:val="20"/>
      </w:rPr>
      <w:t xml:space="preserve"> of </w:t>
    </w:r>
    <w:r w:rsidR="00C00908" w:rsidRPr="00FE3E4C">
      <w:rPr>
        <w:sz w:val="20"/>
        <w:szCs w:val="20"/>
      </w:rPr>
      <w:fldChar w:fldCharType="begin"/>
    </w:r>
    <w:r w:rsidR="00C00908" w:rsidRPr="00FE3E4C">
      <w:rPr>
        <w:sz w:val="20"/>
        <w:szCs w:val="20"/>
      </w:rPr>
      <w:instrText xml:space="preserve"> NUMPAGES </w:instrText>
    </w:r>
    <w:r w:rsidR="00C00908" w:rsidRPr="00FE3E4C">
      <w:rPr>
        <w:sz w:val="20"/>
        <w:szCs w:val="20"/>
      </w:rPr>
      <w:fldChar w:fldCharType="separate"/>
    </w:r>
    <w:r w:rsidRPr="00FE3E4C">
      <w:rPr>
        <w:sz w:val="20"/>
        <w:szCs w:val="20"/>
      </w:rPr>
      <w:t>2</w:t>
    </w:r>
    <w:r w:rsidR="00C00908" w:rsidRPr="00FE3E4C">
      <w:rPr>
        <w:sz w:val="20"/>
        <w:szCs w:val="20"/>
      </w:rPr>
      <w:fldChar w:fldCharType="end"/>
    </w:r>
  </w:p>
  <w:p w14:paraId="55CC46C8" w14:textId="77777777" w:rsidR="00DE56CB" w:rsidRDefault="00DE5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5334D" w14:textId="77777777" w:rsidR="00135CC3" w:rsidRDefault="00135CC3" w:rsidP="00DE56CB">
      <w:r>
        <w:separator/>
      </w:r>
    </w:p>
  </w:footnote>
  <w:footnote w:type="continuationSeparator" w:id="0">
    <w:p w14:paraId="7CF33EA5" w14:textId="77777777" w:rsidR="00135CC3" w:rsidRDefault="00135CC3" w:rsidP="00DE56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763"/>
    <w:rsid w:val="00005395"/>
    <w:rsid w:val="0005442F"/>
    <w:rsid w:val="00061101"/>
    <w:rsid w:val="000A4BAA"/>
    <w:rsid w:val="000D0FE6"/>
    <w:rsid w:val="000E20F8"/>
    <w:rsid w:val="001078BC"/>
    <w:rsid w:val="00123F9D"/>
    <w:rsid w:val="00135CC3"/>
    <w:rsid w:val="00144FCC"/>
    <w:rsid w:val="00167E2B"/>
    <w:rsid w:val="001704C0"/>
    <w:rsid w:val="001760DC"/>
    <w:rsid w:val="001C4838"/>
    <w:rsid w:val="00237B30"/>
    <w:rsid w:val="00240D06"/>
    <w:rsid w:val="00266AF2"/>
    <w:rsid w:val="00284B57"/>
    <w:rsid w:val="002A3D95"/>
    <w:rsid w:val="002B5184"/>
    <w:rsid w:val="00320750"/>
    <w:rsid w:val="00371E84"/>
    <w:rsid w:val="003908D7"/>
    <w:rsid w:val="003B065C"/>
    <w:rsid w:val="003B1182"/>
    <w:rsid w:val="003B4A0C"/>
    <w:rsid w:val="003F2763"/>
    <w:rsid w:val="004137C6"/>
    <w:rsid w:val="00414090"/>
    <w:rsid w:val="004151B8"/>
    <w:rsid w:val="0042117D"/>
    <w:rsid w:val="00461CB7"/>
    <w:rsid w:val="00476AA2"/>
    <w:rsid w:val="00494A05"/>
    <w:rsid w:val="004D7BC6"/>
    <w:rsid w:val="004E2CCD"/>
    <w:rsid w:val="005048D8"/>
    <w:rsid w:val="00521687"/>
    <w:rsid w:val="005310A0"/>
    <w:rsid w:val="005529E4"/>
    <w:rsid w:val="00584834"/>
    <w:rsid w:val="005F7054"/>
    <w:rsid w:val="00623F0A"/>
    <w:rsid w:val="00640788"/>
    <w:rsid w:val="006465C2"/>
    <w:rsid w:val="00655E5D"/>
    <w:rsid w:val="00670AF6"/>
    <w:rsid w:val="006862E4"/>
    <w:rsid w:val="006952CD"/>
    <w:rsid w:val="006A4919"/>
    <w:rsid w:val="006A5FC2"/>
    <w:rsid w:val="006C04E7"/>
    <w:rsid w:val="006D3135"/>
    <w:rsid w:val="006D43A4"/>
    <w:rsid w:val="00761035"/>
    <w:rsid w:val="0078790D"/>
    <w:rsid w:val="007C40EE"/>
    <w:rsid w:val="007D1A4F"/>
    <w:rsid w:val="007D760E"/>
    <w:rsid w:val="00810B63"/>
    <w:rsid w:val="00843382"/>
    <w:rsid w:val="00883F9D"/>
    <w:rsid w:val="00886BED"/>
    <w:rsid w:val="008A70AB"/>
    <w:rsid w:val="008D3B5E"/>
    <w:rsid w:val="00930125"/>
    <w:rsid w:val="00933A8B"/>
    <w:rsid w:val="00945A5F"/>
    <w:rsid w:val="009572C5"/>
    <w:rsid w:val="00994AB6"/>
    <w:rsid w:val="009A4D99"/>
    <w:rsid w:val="00A274AC"/>
    <w:rsid w:val="00A44C6E"/>
    <w:rsid w:val="00A45B12"/>
    <w:rsid w:val="00A612D6"/>
    <w:rsid w:val="00A657BD"/>
    <w:rsid w:val="00A67E58"/>
    <w:rsid w:val="00A90E11"/>
    <w:rsid w:val="00A944B7"/>
    <w:rsid w:val="00AF31EE"/>
    <w:rsid w:val="00B103F5"/>
    <w:rsid w:val="00B11BEB"/>
    <w:rsid w:val="00B95C78"/>
    <w:rsid w:val="00BA488B"/>
    <w:rsid w:val="00BC27C0"/>
    <w:rsid w:val="00BD2F2B"/>
    <w:rsid w:val="00BE15E6"/>
    <w:rsid w:val="00C00908"/>
    <w:rsid w:val="00C36999"/>
    <w:rsid w:val="00C70235"/>
    <w:rsid w:val="00C86A83"/>
    <w:rsid w:val="00CC20A0"/>
    <w:rsid w:val="00D145E9"/>
    <w:rsid w:val="00D572C2"/>
    <w:rsid w:val="00D94184"/>
    <w:rsid w:val="00DA5120"/>
    <w:rsid w:val="00DC7E18"/>
    <w:rsid w:val="00DE56CB"/>
    <w:rsid w:val="00E112AD"/>
    <w:rsid w:val="00E37F9B"/>
    <w:rsid w:val="00E4266A"/>
    <w:rsid w:val="00E92FA4"/>
    <w:rsid w:val="00E93C3B"/>
    <w:rsid w:val="00EA6824"/>
    <w:rsid w:val="00EE7C8C"/>
    <w:rsid w:val="00F721DF"/>
    <w:rsid w:val="00F84623"/>
    <w:rsid w:val="00FA4CBB"/>
    <w:rsid w:val="00FA6466"/>
    <w:rsid w:val="00FD7198"/>
    <w:rsid w:val="00FE3E4C"/>
    <w:rsid w:val="00FF7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D1091A3"/>
  <w15:docId w15:val="{6AC64586-1549-401E-9C68-F294999F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27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2763"/>
    <w:pPr>
      <w:keepNext/>
      <w:widowControl w:val="0"/>
      <w:tabs>
        <w:tab w:val="center" w:pos="4680"/>
      </w:tabs>
      <w:autoSpaceDE w:val="0"/>
      <w:autoSpaceDN w:val="0"/>
      <w:adjustRightInd w:val="0"/>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763"/>
    <w:rPr>
      <w:rFonts w:ascii="Times New Roman" w:eastAsia="Times New Roman" w:hAnsi="Times New Roman" w:cs="Times New Roman"/>
      <w:sz w:val="24"/>
      <w:szCs w:val="24"/>
    </w:rPr>
  </w:style>
  <w:style w:type="character" w:styleId="Strong">
    <w:name w:val="Strong"/>
    <w:qFormat/>
    <w:rsid w:val="003F2763"/>
    <w:rPr>
      <w:b/>
      <w:bCs w:val="0"/>
    </w:rPr>
  </w:style>
  <w:style w:type="paragraph" w:styleId="Title">
    <w:name w:val="Title"/>
    <w:basedOn w:val="Normal"/>
    <w:link w:val="TitleChar"/>
    <w:qFormat/>
    <w:rsid w:val="003F2763"/>
    <w:pPr>
      <w:widowControl w:val="0"/>
      <w:tabs>
        <w:tab w:val="center" w:pos="4680"/>
      </w:tabs>
      <w:autoSpaceDE w:val="0"/>
      <w:autoSpaceDN w:val="0"/>
      <w:adjustRightInd w:val="0"/>
      <w:jc w:val="center"/>
    </w:pPr>
  </w:style>
  <w:style w:type="character" w:customStyle="1" w:styleId="TitleChar">
    <w:name w:val="Title Char"/>
    <w:basedOn w:val="DefaultParagraphFont"/>
    <w:link w:val="Title"/>
    <w:rsid w:val="003F276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2763"/>
    <w:rPr>
      <w:rFonts w:ascii="Tahoma" w:hAnsi="Tahoma" w:cs="Tahoma"/>
      <w:sz w:val="16"/>
      <w:szCs w:val="16"/>
    </w:rPr>
  </w:style>
  <w:style w:type="character" w:customStyle="1" w:styleId="BalloonTextChar">
    <w:name w:val="Balloon Text Char"/>
    <w:basedOn w:val="DefaultParagraphFont"/>
    <w:link w:val="BalloonText"/>
    <w:uiPriority w:val="99"/>
    <w:semiHidden/>
    <w:rsid w:val="003F2763"/>
    <w:rPr>
      <w:rFonts w:ascii="Tahoma" w:eastAsia="Times New Roman" w:hAnsi="Tahoma" w:cs="Tahoma"/>
      <w:sz w:val="16"/>
      <w:szCs w:val="16"/>
    </w:rPr>
  </w:style>
  <w:style w:type="paragraph" w:styleId="BodyText">
    <w:name w:val="Body Text"/>
    <w:basedOn w:val="Normal"/>
    <w:link w:val="BodyTextChar"/>
    <w:rsid w:val="00DE56CB"/>
    <w:pPr>
      <w:jc w:val="both"/>
    </w:pPr>
    <w:rPr>
      <w:sz w:val="20"/>
      <w:szCs w:val="20"/>
    </w:rPr>
  </w:style>
  <w:style w:type="character" w:customStyle="1" w:styleId="BodyTextChar">
    <w:name w:val="Body Text Char"/>
    <w:basedOn w:val="DefaultParagraphFont"/>
    <w:link w:val="BodyText"/>
    <w:rsid w:val="00DE56CB"/>
    <w:rPr>
      <w:rFonts w:ascii="Times New Roman" w:eastAsia="Times New Roman" w:hAnsi="Times New Roman" w:cs="Times New Roman"/>
      <w:sz w:val="20"/>
      <w:szCs w:val="20"/>
    </w:rPr>
  </w:style>
  <w:style w:type="paragraph" w:styleId="Subtitle">
    <w:name w:val="Subtitle"/>
    <w:basedOn w:val="Normal"/>
    <w:link w:val="SubtitleChar"/>
    <w:qFormat/>
    <w:rsid w:val="00DE56CB"/>
    <w:pPr>
      <w:ind w:left="1260" w:hanging="1260"/>
    </w:pPr>
    <w:rPr>
      <w:rFonts w:ascii="Cambria" w:hAnsi="Cambria"/>
    </w:rPr>
  </w:style>
  <w:style w:type="character" w:customStyle="1" w:styleId="SubtitleChar">
    <w:name w:val="Subtitle Char"/>
    <w:basedOn w:val="DefaultParagraphFont"/>
    <w:link w:val="Subtitle"/>
    <w:rsid w:val="00DE56CB"/>
    <w:rPr>
      <w:rFonts w:ascii="Cambria" w:eastAsia="Times New Roman" w:hAnsi="Cambria" w:cs="Times New Roman"/>
      <w:sz w:val="24"/>
      <w:szCs w:val="24"/>
    </w:rPr>
  </w:style>
  <w:style w:type="paragraph" w:styleId="Header">
    <w:name w:val="header"/>
    <w:basedOn w:val="Normal"/>
    <w:link w:val="HeaderChar"/>
    <w:uiPriority w:val="99"/>
    <w:unhideWhenUsed/>
    <w:rsid w:val="00DE56CB"/>
    <w:pPr>
      <w:tabs>
        <w:tab w:val="center" w:pos="4680"/>
        <w:tab w:val="right" w:pos="9360"/>
      </w:tabs>
    </w:pPr>
  </w:style>
  <w:style w:type="character" w:customStyle="1" w:styleId="HeaderChar">
    <w:name w:val="Header Char"/>
    <w:basedOn w:val="DefaultParagraphFont"/>
    <w:link w:val="Header"/>
    <w:uiPriority w:val="99"/>
    <w:rsid w:val="00DE56CB"/>
    <w:rPr>
      <w:rFonts w:ascii="Times New Roman" w:eastAsia="Times New Roman" w:hAnsi="Times New Roman" w:cs="Times New Roman"/>
      <w:sz w:val="24"/>
      <w:szCs w:val="24"/>
    </w:rPr>
  </w:style>
  <w:style w:type="paragraph" w:styleId="Footer">
    <w:name w:val="footer"/>
    <w:basedOn w:val="Normal"/>
    <w:link w:val="FooterChar"/>
    <w:unhideWhenUsed/>
    <w:rsid w:val="00DE56CB"/>
    <w:pPr>
      <w:tabs>
        <w:tab w:val="center" w:pos="4680"/>
        <w:tab w:val="right" w:pos="9360"/>
      </w:tabs>
    </w:pPr>
  </w:style>
  <w:style w:type="character" w:customStyle="1" w:styleId="FooterChar">
    <w:name w:val="Footer Char"/>
    <w:basedOn w:val="DefaultParagraphFont"/>
    <w:link w:val="Footer"/>
    <w:rsid w:val="00DE56C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145E9"/>
    <w:rPr>
      <w:sz w:val="16"/>
      <w:szCs w:val="16"/>
    </w:rPr>
  </w:style>
  <w:style w:type="paragraph" w:styleId="CommentText">
    <w:name w:val="annotation text"/>
    <w:basedOn w:val="Normal"/>
    <w:link w:val="CommentTextChar"/>
    <w:uiPriority w:val="99"/>
    <w:semiHidden/>
    <w:unhideWhenUsed/>
    <w:rsid w:val="00D145E9"/>
    <w:rPr>
      <w:sz w:val="20"/>
      <w:szCs w:val="20"/>
    </w:rPr>
  </w:style>
  <w:style w:type="character" w:customStyle="1" w:styleId="CommentTextChar">
    <w:name w:val="Comment Text Char"/>
    <w:basedOn w:val="DefaultParagraphFont"/>
    <w:link w:val="CommentText"/>
    <w:uiPriority w:val="99"/>
    <w:semiHidden/>
    <w:rsid w:val="00D145E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45E9"/>
    <w:rPr>
      <w:b/>
      <w:bCs/>
    </w:rPr>
  </w:style>
  <w:style w:type="character" w:customStyle="1" w:styleId="CommentSubjectChar">
    <w:name w:val="Comment Subject Char"/>
    <w:basedOn w:val="CommentTextChar"/>
    <w:link w:val="CommentSubject"/>
    <w:uiPriority w:val="99"/>
    <w:semiHidden/>
    <w:rsid w:val="00D145E9"/>
    <w:rPr>
      <w:rFonts w:ascii="Times New Roman" w:eastAsia="Times New Roman" w:hAnsi="Times New Roman" w:cs="Times New Roman"/>
      <w:b/>
      <w:bCs/>
      <w:sz w:val="20"/>
      <w:szCs w:val="20"/>
    </w:rPr>
  </w:style>
  <w:style w:type="paragraph" w:styleId="Revision">
    <w:name w:val="Revision"/>
    <w:hidden/>
    <w:uiPriority w:val="99"/>
    <w:semiHidden/>
    <w:rsid w:val="008A70AB"/>
    <w:pPr>
      <w:spacing w:after="0" w:line="240" w:lineRule="auto"/>
    </w:pPr>
    <w:rPr>
      <w:rFonts w:ascii="Times New Roman" w:eastAsia="Times New Roman" w:hAnsi="Times New Roman" w:cs="Times New Roman"/>
      <w:sz w:val="24"/>
      <w:szCs w:val="24"/>
    </w:rPr>
  </w:style>
  <w:style w:type="character" w:styleId="Hyperlink">
    <w:name w:val="Hyperlink"/>
    <w:rsid w:val="00933A8B"/>
    <w:rPr>
      <w:color w:val="0000FF"/>
      <w:u w:val="single"/>
    </w:rPr>
  </w:style>
  <w:style w:type="paragraph" w:styleId="BodyText3">
    <w:name w:val="Body Text 3"/>
    <w:basedOn w:val="Normal"/>
    <w:link w:val="BodyText3Char"/>
    <w:unhideWhenUsed/>
    <w:rsid w:val="00933A8B"/>
    <w:pPr>
      <w:spacing w:after="120"/>
    </w:pPr>
    <w:rPr>
      <w:sz w:val="16"/>
      <w:szCs w:val="16"/>
    </w:rPr>
  </w:style>
  <w:style w:type="character" w:customStyle="1" w:styleId="BodyText3Char">
    <w:name w:val="Body Text 3 Char"/>
    <w:basedOn w:val="DefaultParagraphFont"/>
    <w:link w:val="BodyText3"/>
    <w:rsid w:val="00933A8B"/>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gpcrenew23.accionpower.com/_gpcrenew_21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1762</Words>
  <Characters>10049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jkaduk@psc.ga.gov</dc:creator>
  <cp:lastModifiedBy>Timothy Cook</cp:lastModifiedBy>
  <cp:revision>2</cp:revision>
  <dcterms:created xsi:type="dcterms:W3CDTF">2022-01-25T14:06:00Z</dcterms:created>
  <dcterms:modified xsi:type="dcterms:W3CDTF">2022-01-25T14:06:00Z</dcterms:modified>
</cp:coreProperties>
</file>