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C56CC" w14:textId="77777777" w:rsidR="00CB6F83" w:rsidRDefault="00CB6F83" w:rsidP="00CB6F83">
      <w:pPr>
        <w:jc w:val="center"/>
        <w:rPr>
          <w:b/>
        </w:rPr>
      </w:pPr>
      <w:r>
        <w:rPr>
          <w:b/>
        </w:rPr>
        <w:t>BEFORE THE PUBLIC SERVICE COMMISSION</w:t>
      </w:r>
    </w:p>
    <w:p w14:paraId="723ACCB6" w14:textId="578D3A51" w:rsidR="00CB6F83" w:rsidRDefault="00CB6F83" w:rsidP="00CB6F83">
      <w:pPr>
        <w:jc w:val="center"/>
        <w:rPr>
          <w:b/>
        </w:rPr>
      </w:pPr>
      <w:r>
        <w:rPr>
          <w:b/>
        </w:rPr>
        <w:t>STATE OF GEORGIA</w:t>
      </w:r>
    </w:p>
    <w:p w14:paraId="600315EF" w14:textId="77777777" w:rsidR="00A202E3" w:rsidRDefault="00A202E3" w:rsidP="00CB6F83">
      <w:pPr>
        <w:jc w:val="center"/>
        <w:rPr>
          <w:b/>
        </w:rPr>
      </w:pPr>
    </w:p>
    <w:tbl>
      <w:tblPr>
        <w:tblW w:w="0" w:type="auto"/>
        <w:tblBorders>
          <w:insideH w:val="single" w:sz="4" w:space="0" w:color="auto"/>
          <w:insideV w:val="single" w:sz="4" w:space="0" w:color="auto"/>
        </w:tblBorders>
        <w:tblLook w:val="04A0" w:firstRow="1" w:lastRow="0" w:firstColumn="1" w:lastColumn="0" w:noHBand="0" w:noVBand="1"/>
      </w:tblPr>
      <w:tblGrid>
        <w:gridCol w:w="4659"/>
        <w:gridCol w:w="4669"/>
      </w:tblGrid>
      <w:tr w:rsidR="00197F10" w:rsidRPr="00B7184F" w14:paraId="4577C1AA" w14:textId="77777777" w:rsidTr="00500339">
        <w:trPr>
          <w:trHeight w:val="1872"/>
        </w:trPr>
        <w:tc>
          <w:tcPr>
            <w:tcW w:w="4659" w:type="dxa"/>
            <w:tcBorders>
              <w:top w:val="nil"/>
              <w:left w:val="nil"/>
              <w:bottom w:val="single" w:sz="4" w:space="0" w:color="auto"/>
              <w:right w:val="single" w:sz="4" w:space="0" w:color="auto"/>
            </w:tcBorders>
          </w:tcPr>
          <w:p w14:paraId="13DE12F3" w14:textId="77777777" w:rsidR="00197F10" w:rsidRPr="00B7184F" w:rsidRDefault="00197F10" w:rsidP="00500339">
            <w:pPr>
              <w:suppressAutoHyphens/>
              <w:spacing w:line="276" w:lineRule="auto"/>
              <w:rPr>
                <w:rFonts w:eastAsia="SimSun"/>
                <w:b/>
                <w:bCs/>
              </w:rPr>
            </w:pPr>
            <w:r w:rsidRPr="00B7184F">
              <w:rPr>
                <w:rFonts w:eastAsia="SimSun"/>
                <w:b/>
                <w:bCs/>
              </w:rPr>
              <w:t xml:space="preserve">SAWNEE ELECTRIC MEMBERSHIP CORPORATION, </w:t>
            </w:r>
          </w:p>
          <w:p w14:paraId="4989B7A3" w14:textId="77777777" w:rsidR="00197F10" w:rsidRPr="00B7184F" w:rsidRDefault="00197F10" w:rsidP="00500339">
            <w:pPr>
              <w:suppressAutoHyphens/>
              <w:spacing w:line="276" w:lineRule="auto"/>
              <w:rPr>
                <w:rFonts w:eastAsia="SimSun"/>
                <w:b/>
                <w:bCs/>
              </w:rPr>
            </w:pPr>
            <w:r w:rsidRPr="00B7184F">
              <w:rPr>
                <w:rFonts w:eastAsia="SimSun"/>
                <w:b/>
                <w:bCs/>
              </w:rPr>
              <w:t xml:space="preserve"> </w:t>
            </w:r>
          </w:p>
          <w:p w14:paraId="4356CD5E" w14:textId="77777777" w:rsidR="00197F10" w:rsidRPr="00B7184F" w:rsidRDefault="00197F10" w:rsidP="00500339">
            <w:pPr>
              <w:suppressAutoHyphens/>
              <w:spacing w:line="276" w:lineRule="auto"/>
              <w:rPr>
                <w:rFonts w:eastAsia="SimSun"/>
                <w:b/>
                <w:bCs/>
              </w:rPr>
            </w:pPr>
            <w:r w:rsidRPr="00B7184F">
              <w:rPr>
                <w:rFonts w:eastAsia="SimSun"/>
                <w:b/>
                <w:bCs/>
              </w:rPr>
              <w:t xml:space="preserve">                       Petitioner, </w:t>
            </w:r>
          </w:p>
          <w:p w14:paraId="7411713A" w14:textId="77777777" w:rsidR="00197F10" w:rsidRPr="00B7184F" w:rsidRDefault="00197F10" w:rsidP="00500339">
            <w:pPr>
              <w:suppressAutoHyphens/>
              <w:spacing w:line="276" w:lineRule="auto"/>
              <w:rPr>
                <w:rFonts w:eastAsia="SimSun"/>
                <w:b/>
                <w:bCs/>
              </w:rPr>
            </w:pPr>
            <w:r w:rsidRPr="00B7184F">
              <w:rPr>
                <w:rFonts w:eastAsia="SimSun"/>
                <w:b/>
                <w:bCs/>
              </w:rPr>
              <w:t xml:space="preserve">v. </w:t>
            </w:r>
          </w:p>
          <w:p w14:paraId="5C31B55B" w14:textId="77777777" w:rsidR="00197F10" w:rsidRPr="00B7184F" w:rsidRDefault="00197F10" w:rsidP="00500339">
            <w:pPr>
              <w:suppressAutoHyphens/>
              <w:spacing w:line="276" w:lineRule="auto"/>
              <w:rPr>
                <w:rFonts w:eastAsia="SimSun"/>
                <w:b/>
                <w:bCs/>
              </w:rPr>
            </w:pPr>
          </w:p>
          <w:p w14:paraId="7A07447D" w14:textId="77777777" w:rsidR="00197F10" w:rsidRPr="00B7184F" w:rsidRDefault="00197F10" w:rsidP="00500339">
            <w:pPr>
              <w:suppressAutoHyphens/>
              <w:spacing w:line="276" w:lineRule="auto"/>
              <w:rPr>
                <w:rFonts w:eastAsia="SimSun"/>
                <w:b/>
                <w:bCs/>
              </w:rPr>
            </w:pPr>
            <w:r w:rsidRPr="00B7184F">
              <w:rPr>
                <w:rFonts w:eastAsia="SimSun"/>
                <w:b/>
                <w:bCs/>
              </w:rPr>
              <w:t>GEORGIA POWER COMPANY,</w:t>
            </w:r>
          </w:p>
          <w:p w14:paraId="03DB66DA" w14:textId="77777777" w:rsidR="00197F10" w:rsidRPr="00B7184F" w:rsidRDefault="00197F10" w:rsidP="00500339">
            <w:pPr>
              <w:suppressAutoHyphens/>
              <w:spacing w:line="276" w:lineRule="auto"/>
              <w:rPr>
                <w:rFonts w:eastAsia="SimSun"/>
                <w:b/>
                <w:bCs/>
              </w:rPr>
            </w:pPr>
          </w:p>
          <w:p w14:paraId="13055AFE" w14:textId="77777777" w:rsidR="00197F10" w:rsidRPr="00B7184F" w:rsidRDefault="00197F10" w:rsidP="00500339">
            <w:pPr>
              <w:suppressAutoHyphens/>
              <w:spacing w:line="276" w:lineRule="auto"/>
              <w:rPr>
                <w:rFonts w:eastAsia="SimSun"/>
                <w:b/>
                <w:bCs/>
              </w:rPr>
            </w:pPr>
            <w:r w:rsidRPr="00B7184F">
              <w:rPr>
                <w:rFonts w:eastAsia="SimSun"/>
                <w:b/>
                <w:bCs/>
              </w:rPr>
              <w:t xml:space="preserve">                       Respondent.</w:t>
            </w:r>
          </w:p>
        </w:tc>
        <w:tc>
          <w:tcPr>
            <w:tcW w:w="4669" w:type="dxa"/>
            <w:tcBorders>
              <w:top w:val="nil"/>
              <w:left w:val="single" w:sz="4" w:space="0" w:color="auto"/>
              <w:bottom w:val="nil"/>
              <w:right w:val="nil"/>
            </w:tcBorders>
          </w:tcPr>
          <w:p w14:paraId="4F8072AD" w14:textId="77777777" w:rsidR="00197F10" w:rsidRPr="00B7184F" w:rsidRDefault="00197F10" w:rsidP="00500339">
            <w:pPr>
              <w:suppressAutoHyphens/>
              <w:spacing w:line="276" w:lineRule="auto"/>
              <w:ind w:left="899"/>
              <w:rPr>
                <w:rFonts w:eastAsia="SimSun"/>
              </w:rPr>
            </w:pPr>
          </w:p>
          <w:p w14:paraId="0DBC3DBA" w14:textId="77777777" w:rsidR="00197F10" w:rsidRPr="00B7184F" w:rsidRDefault="00197F10" w:rsidP="00500339">
            <w:pPr>
              <w:suppressAutoHyphens/>
              <w:spacing w:line="276" w:lineRule="auto"/>
              <w:ind w:left="899"/>
              <w:rPr>
                <w:rFonts w:eastAsia="SimSun"/>
                <w:b/>
                <w:bCs/>
              </w:rPr>
            </w:pPr>
          </w:p>
          <w:p w14:paraId="0998CB1C" w14:textId="77777777" w:rsidR="00197F10" w:rsidRPr="00B7184F" w:rsidRDefault="00197F10" w:rsidP="00500339">
            <w:pPr>
              <w:suppressAutoHyphens/>
              <w:spacing w:line="276" w:lineRule="auto"/>
              <w:ind w:left="899"/>
              <w:rPr>
                <w:rFonts w:eastAsia="SimSun"/>
                <w:b/>
                <w:bCs/>
              </w:rPr>
            </w:pPr>
          </w:p>
          <w:p w14:paraId="45B4B009" w14:textId="77777777" w:rsidR="00197F10" w:rsidRPr="00B7184F" w:rsidRDefault="00197F10" w:rsidP="00500339">
            <w:pPr>
              <w:suppressAutoHyphens/>
              <w:spacing w:line="276" w:lineRule="auto"/>
              <w:ind w:left="899"/>
              <w:rPr>
                <w:rFonts w:eastAsia="SimSun"/>
                <w:b/>
                <w:bCs/>
              </w:rPr>
            </w:pPr>
          </w:p>
          <w:p w14:paraId="3FD23252" w14:textId="77777777" w:rsidR="00197F10" w:rsidRPr="00B7184F" w:rsidRDefault="00197F10" w:rsidP="00500339">
            <w:pPr>
              <w:suppressAutoHyphens/>
              <w:spacing w:line="276" w:lineRule="auto"/>
              <w:ind w:left="899"/>
              <w:rPr>
                <w:rFonts w:eastAsia="SimSun"/>
                <w:b/>
                <w:bCs/>
              </w:rPr>
            </w:pPr>
            <w:r w:rsidRPr="00B7184F">
              <w:rPr>
                <w:rFonts w:eastAsia="SimSun"/>
                <w:b/>
                <w:bCs/>
              </w:rPr>
              <w:t>Docket No. 43899</w:t>
            </w:r>
          </w:p>
          <w:p w14:paraId="7DE14096" w14:textId="77777777" w:rsidR="00197F10" w:rsidRPr="00B7184F" w:rsidRDefault="00197F10" w:rsidP="00500339">
            <w:pPr>
              <w:suppressAutoHyphens/>
              <w:spacing w:line="276" w:lineRule="auto"/>
              <w:rPr>
                <w:rFonts w:eastAsia="SimSun"/>
              </w:rPr>
            </w:pPr>
          </w:p>
        </w:tc>
      </w:tr>
    </w:tbl>
    <w:p w14:paraId="34324D95" w14:textId="77777777" w:rsidR="00A202E3" w:rsidRDefault="00A202E3" w:rsidP="00197F10">
      <w:pPr>
        <w:rPr>
          <w:b/>
        </w:rPr>
      </w:pPr>
    </w:p>
    <w:p w14:paraId="35B972EB" w14:textId="77777777" w:rsidR="00EE2D6A" w:rsidRDefault="00857D62" w:rsidP="002E38BA">
      <w:pPr>
        <w:jc w:val="center"/>
        <w:rPr>
          <w:b/>
        </w:rPr>
      </w:pPr>
      <w:bookmarkStart w:id="0" w:name="OLE_LINK8"/>
      <w:r>
        <w:rPr>
          <w:b/>
        </w:rPr>
        <w:t xml:space="preserve">ELECTRIFY AMERICA, LLC’S </w:t>
      </w:r>
      <w:r w:rsidR="00EE2D6A">
        <w:rPr>
          <w:b/>
        </w:rPr>
        <w:t>OPPOSITION</w:t>
      </w:r>
    </w:p>
    <w:p w14:paraId="44541299" w14:textId="77777777" w:rsidR="00EE2D6A" w:rsidRDefault="00857D62" w:rsidP="002E38BA">
      <w:pPr>
        <w:jc w:val="center"/>
        <w:rPr>
          <w:b/>
          <w:u w:val="single"/>
        </w:rPr>
      </w:pPr>
      <w:r>
        <w:rPr>
          <w:b/>
        </w:rPr>
        <w:t xml:space="preserve"> TO SAWNEE EMC’S OBJECTIONS TO </w:t>
      </w:r>
      <w:r w:rsidRPr="00EE2D6A">
        <w:rPr>
          <w:b/>
        </w:rPr>
        <w:t xml:space="preserve">THE </w:t>
      </w:r>
    </w:p>
    <w:p w14:paraId="5E8D3F46" w14:textId="267A7E82" w:rsidR="00C85A88" w:rsidRPr="00704FDE" w:rsidRDefault="00857D62" w:rsidP="002E38BA">
      <w:pPr>
        <w:jc w:val="center"/>
        <w:rPr>
          <w:u w:val="single"/>
        </w:rPr>
      </w:pPr>
      <w:r>
        <w:rPr>
          <w:b/>
          <w:u w:val="single"/>
        </w:rPr>
        <w:t>PRE-FILED DIRECT TESTIMONY OF JIGAR J. SHAH</w:t>
      </w:r>
      <w:bookmarkEnd w:id="0"/>
    </w:p>
    <w:p w14:paraId="6BC15B16" w14:textId="77777777" w:rsidR="00727081" w:rsidRDefault="00727081" w:rsidP="00727081"/>
    <w:p w14:paraId="08E06BD8" w14:textId="03DD1994" w:rsidR="00857D62" w:rsidRDefault="009B1C69" w:rsidP="003E4CD4">
      <w:pPr>
        <w:pStyle w:val="BodyText2"/>
        <w:ind w:firstLine="720"/>
        <w:jc w:val="both"/>
      </w:pPr>
      <w:bookmarkStart w:id="1" w:name="OLE_LINK17"/>
      <w:bookmarkStart w:id="2" w:name="OLE_LINK18"/>
      <w:r>
        <w:t>Comes now</w:t>
      </w:r>
      <w:r w:rsidR="00141517">
        <w:t xml:space="preserve"> </w:t>
      </w:r>
      <w:r w:rsidR="003F1F79" w:rsidRPr="003F1F79">
        <w:t xml:space="preserve">Electrify America, LLC </w:t>
      </w:r>
      <w:bookmarkEnd w:id="1"/>
      <w:bookmarkEnd w:id="2"/>
      <w:r w:rsidR="00072FFE">
        <w:t>(“</w:t>
      </w:r>
      <w:r w:rsidR="003F1F79" w:rsidRPr="003F1F79">
        <w:t>Electrify America</w:t>
      </w:r>
      <w:r w:rsidR="00072FFE">
        <w:t>”)</w:t>
      </w:r>
      <w:r w:rsidR="00141517">
        <w:t>, Intervenor in the above-referenced matter, and opposes Petitioner</w:t>
      </w:r>
      <w:r w:rsidR="00857D62">
        <w:t xml:space="preserve"> Sawnee Electric Membership Corporation</w:t>
      </w:r>
      <w:r w:rsidR="009F7C16">
        <w:t>’s</w:t>
      </w:r>
      <w:r w:rsidR="00857D62">
        <w:t xml:space="preserve"> (“Sawnee EMC”) </w:t>
      </w:r>
      <w:r w:rsidR="00141517">
        <w:t>O</w:t>
      </w:r>
      <w:r w:rsidR="009F7C16">
        <w:t>bjection</w:t>
      </w:r>
      <w:r w:rsidR="00141517">
        <w:t>s</w:t>
      </w:r>
      <w:r w:rsidR="009F7C16">
        <w:t xml:space="preserve"> </w:t>
      </w:r>
      <w:r w:rsidR="00141517">
        <w:t>to</w:t>
      </w:r>
      <w:r w:rsidR="00857D62">
        <w:t xml:space="preserve"> the Pre-</w:t>
      </w:r>
      <w:r w:rsidR="00AB1A34">
        <w:t>F</w:t>
      </w:r>
      <w:r w:rsidR="00857D62">
        <w:t>iled Direct Testimony of Jigar J. Shah (“Objection”) filed with the Georgia Public Service Commission (“Commission”) on December 21, 2021.</w:t>
      </w:r>
      <w:r w:rsidR="00EF40F0">
        <w:rPr>
          <w:rStyle w:val="FootnoteReference"/>
        </w:rPr>
        <w:footnoteReference w:id="1"/>
      </w:r>
      <w:r w:rsidR="00857D62">
        <w:t xml:space="preserve"> </w:t>
      </w:r>
      <w:r w:rsidR="003E4CD4">
        <w:t xml:space="preserve">The portions of the Pre-Filed Direct Testimony </w:t>
      </w:r>
      <w:r w:rsidR="004608EF">
        <w:t>of Jigar J.</w:t>
      </w:r>
      <w:r w:rsidR="003E4CD4">
        <w:t xml:space="preserve"> Shah (“Shah Direct Testimony”) to which Sawnee EMC objects address relevant supporting information regarding Electrify America, its business, its presence in the Georgia market, and the importance of the Georgia Territorial Service Act </w:t>
      </w:r>
      <w:bookmarkStart w:id="3" w:name="OLE_LINK4"/>
      <w:r w:rsidR="003E4CD4">
        <w:t>O.C.G.A. §§ 46-3-3</w:t>
      </w:r>
      <w:bookmarkEnd w:id="3"/>
      <w:r w:rsidR="003E4CD4">
        <w:t xml:space="preserve"> through 46-3-15 (“Territorial Act”) to the deployment of electric vehicle (“EV”) charging stations in Georgia. </w:t>
      </w:r>
      <w:r w:rsidR="00EE2D6A">
        <w:t xml:space="preserve">This information will assist the Hearing Officer in rendering a decision </w:t>
      </w:r>
      <w:r w:rsidR="002D7A0D">
        <w:t>fully informed</w:t>
      </w:r>
      <w:r w:rsidR="00EE2D6A">
        <w:t xml:space="preserve"> of the facts and circumstances at issue in </w:t>
      </w:r>
      <w:r w:rsidR="002D7A0D">
        <w:t>this matter</w:t>
      </w:r>
      <w:r w:rsidR="00EE2D6A">
        <w:t xml:space="preserve">. </w:t>
      </w:r>
      <w:r w:rsidR="004608EF">
        <w:t xml:space="preserve">Therefore, Sawnee EMC’s Objection to the relevancy of certain portions of the Shah </w:t>
      </w:r>
      <w:r w:rsidR="00F34CF2">
        <w:t xml:space="preserve">Direct </w:t>
      </w:r>
      <w:r w:rsidR="004608EF">
        <w:t xml:space="preserve">Testimony should be overruled. </w:t>
      </w:r>
    </w:p>
    <w:p w14:paraId="3FC19736" w14:textId="00D2C5A4" w:rsidR="00637305" w:rsidRDefault="00637305" w:rsidP="003E4CD4">
      <w:pPr>
        <w:pStyle w:val="BodyText2"/>
        <w:ind w:firstLine="720"/>
        <w:jc w:val="both"/>
      </w:pPr>
    </w:p>
    <w:p w14:paraId="30F4E1F2" w14:textId="77777777" w:rsidR="00637305" w:rsidRDefault="00637305" w:rsidP="003E4CD4">
      <w:pPr>
        <w:pStyle w:val="BodyText2"/>
        <w:ind w:firstLine="720"/>
        <w:jc w:val="both"/>
      </w:pPr>
    </w:p>
    <w:p w14:paraId="02CDC759" w14:textId="32048C1F" w:rsidR="003E4CD4" w:rsidRPr="003E4CD4" w:rsidRDefault="003E4CD4" w:rsidP="00857D62">
      <w:pPr>
        <w:pStyle w:val="BodyText2"/>
        <w:spacing w:after="0"/>
        <w:ind w:firstLine="720"/>
        <w:jc w:val="both"/>
        <w:rPr>
          <w:b/>
          <w:caps/>
        </w:rPr>
      </w:pPr>
      <w:r w:rsidRPr="003E4CD4">
        <w:rPr>
          <w:b/>
          <w:caps/>
        </w:rPr>
        <w:t>I.</w:t>
      </w:r>
      <w:r w:rsidRPr="003E4CD4">
        <w:rPr>
          <w:b/>
          <w:caps/>
        </w:rPr>
        <w:tab/>
        <w:t>Argument and citation of Authority</w:t>
      </w:r>
    </w:p>
    <w:p w14:paraId="73579C05" w14:textId="7EB10FBE" w:rsidR="008A1289" w:rsidRDefault="00B37F7D" w:rsidP="00A66AE3">
      <w:pPr>
        <w:pStyle w:val="BodyText2"/>
        <w:spacing w:after="0"/>
        <w:ind w:firstLine="720"/>
        <w:jc w:val="both"/>
      </w:pPr>
      <w:r>
        <w:t>Under Georgia law, e</w:t>
      </w:r>
      <w:r w:rsidR="00857D62" w:rsidRPr="00857D62">
        <w:t xml:space="preserve">videntiary issues before the Commission are governed by </w:t>
      </w:r>
      <w:bookmarkStart w:id="4" w:name="OLE_LINK2"/>
      <w:r w:rsidR="00857D62" w:rsidRPr="00857D62">
        <w:t>O.C.G.A. § 46-2-51</w:t>
      </w:r>
      <w:bookmarkEnd w:id="4"/>
      <w:r w:rsidR="00857D62" w:rsidRPr="00857D62">
        <w:t xml:space="preserve"> which provides that “the Commission shall not be bound by the strict technical rules of pleading and evidence but may exercise such discretion as will facilitate its efforts to ascertain the facts bearing upon the right and just</w:t>
      </w:r>
      <w:r w:rsidR="00EE2D6A">
        <w:t xml:space="preserve">ice of the matters before it.” </w:t>
      </w:r>
      <w:r w:rsidR="00857D62" w:rsidRPr="00857D62">
        <w:t>Confronted with objections to testimony or evidence, the Commission has always erre</w:t>
      </w:r>
      <w:r w:rsidR="008F5E90">
        <w:t>d on the side of admissibility.</w:t>
      </w:r>
      <w:r w:rsidR="00857D62" w:rsidRPr="00857D62">
        <w:t xml:space="preserve"> </w:t>
      </w:r>
      <w:r w:rsidR="008A1289">
        <w:t xml:space="preserve">This </w:t>
      </w:r>
      <w:r w:rsidR="00A66AE3">
        <w:t>preference</w:t>
      </w:r>
      <w:r w:rsidR="008A1289">
        <w:t xml:space="preserve"> towards flexibility and admissibility has been </w:t>
      </w:r>
      <w:r w:rsidR="00A66AE3">
        <w:t xml:space="preserve">further </w:t>
      </w:r>
      <w:r w:rsidR="008A1289">
        <w:t>confirmed by the Georgia Supreme Court, which has explained:</w:t>
      </w:r>
    </w:p>
    <w:p w14:paraId="03095CF6" w14:textId="34B92680" w:rsidR="008A1289" w:rsidRDefault="008A1289" w:rsidP="008A1289">
      <w:pPr>
        <w:pStyle w:val="BodyText2"/>
        <w:spacing w:line="240" w:lineRule="auto"/>
        <w:ind w:left="720"/>
        <w:contextualSpacing/>
        <w:jc w:val="both"/>
      </w:pPr>
      <w:r>
        <w:t>[T]he Commission is not bound by the strict technical rules of pleading and evidence.  It has been recognized by this court and by the courts of other jurisdictions that an administrative body such as the Public Service Commission may, in matters which come before it for determination, perform quasi-judicial functions as well as quasi-legislative functions . . . . The Commission is authorized by statute to adopt rules of evidence and procedure in carrying out its duties in the administration of Chapter 68 of the Code, and is not bound by strict rules of evidence in conducting its hearings. [citations omitted].  Similar statutes of other jurisdictions with respect to administrative agencies have been considered by the courts, and it has been generally held that the strict rules of evidence applicable in jury-trial cases are not applicable before quasi-legislative agencies. [citations omitted].</w:t>
      </w:r>
      <w:r>
        <w:rPr>
          <w:rStyle w:val="FootnoteReference"/>
        </w:rPr>
        <w:footnoteReference w:id="2"/>
      </w:r>
      <w:r>
        <w:t xml:space="preserve">  </w:t>
      </w:r>
    </w:p>
    <w:p w14:paraId="1C4E67D2" w14:textId="77777777" w:rsidR="00A66AE3" w:rsidRDefault="00A66AE3" w:rsidP="008A1289">
      <w:pPr>
        <w:pStyle w:val="BodyText2"/>
        <w:spacing w:after="0"/>
        <w:contextualSpacing/>
        <w:jc w:val="both"/>
      </w:pPr>
    </w:p>
    <w:p w14:paraId="01FAECFE" w14:textId="77777777" w:rsidR="00B37F7D" w:rsidRDefault="004608EF" w:rsidP="00A66AE3">
      <w:pPr>
        <w:pStyle w:val="BodyText2"/>
        <w:spacing w:after="0"/>
        <w:contextualSpacing/>
        <w:jc w:val="both"/>
      </w:pPr>
      <w:r>
        <w:t>This</w:t>
      </w:r>
      <w:r w:rsidR="00A66AE3">
        <w:t xml:space="preserve"> bias towards l</w:t>
      </w:r>
      <w:r w:rsidR="008A1289">
        <w:t xml:space="preserve">iberal admissibility requirements for state public service commissions has similarly been adopted by the United States Supreme Court, which in </w:t>
      </w:r>
      <w:r w:rsidR="008A1289" w:rsidRPr="008A1289">
        <w:rPr>
          <w:i/>
        </w:rPr>
        <w:t>Consolidated Edison Co. v. National Labor Relations Board</w:t>
      </w:r>
      <w:r w:rsidR="00A66AE3">
        <w:t xml:space="preserve">, </w:t>
      </w:r>
      <w:r w:rsidR="008A1289">
        <w:t>explained the purpose of such statutory grants to public service commissions “is to free administrative boards from the compulsion of technical rules so that the mere admission of matter</w:t>
      </w:r>
      <w:r w:rsidR="00637305">
        <w:t>s</w:t>
      </w:r>
      <w:r w:rsidR="008A1289">
        <w:t xml:space="preserve"> which would be deemed incompetent in judicial proceedings would not invalidate the administrative order.”</w:t>
      </w:r>
      <w:r w:rsidR="008A1289">
        <w:rPr>
          <w:rStyle w:val="FootnoteReference"/>
        </w:rPr>
        <w:footnoteReference w:id="3"/>
      </w:r>
      <w:r>
        <w:t xml:space="preserve">  </w:t>
      </w:r>
    </w:p>
    <w:p w14:paraId="6824D66A" w14:textId="609070AD" w:rsidR="00B37F7D" w:rsidRDefault="00857D62" w:rsidP="007418E5">
      <w:pPr>
        <w:pStyle w:val="BodyText2"/>
        <w:spacing w:after="0"/>
        <w:ind w:firstLine="720"/>
        <w:contextualSpacing/>
        <w:jc w:val="both"/>
      </w:pPr>
      <w:r w:rsidRPr="00857D62">
        <w:lastRenderedPageBreak/>
        <w:t xml:space="preserve">Applying this </w:t>
      </w:r>
      <w:r w:rsidR="008A1289">
        <w:t>precedent</w:t>
      </w:r>
      <w:r w:rsidRPr="00857D62">
        <w:t xml:space="preserve">, </w:t>
      </w:r>
      <w:r>
        <w:t>Sawnee EMC</w:t>
      </w:r>
      <w:r w:rsidRPr="00857D62">
        <w:t xml:space="preserve"> bears the burden to </w:t>
      </w:r>
      <w:r w:rsidR="004608EF">
        <w:t xml:space="preserve">overcome this presumption and </w:t>
      </w:r>
      <w:r w:rsidRPr="00857D62">
        <w:t>establish that its objections should be sustained and the evidence which is the subj</w:t>
      </w:r>
      <w:r w:rsidR="008A1289">
        <w:t>ect of the objections excluded.</w:t>
      </w:r>
      <w:r w:rsidRPr="00857D62">
        <w:t xml:space="preserve"> </w:t>
      </w:r>
      <w:r>
        <w:t>Sawnee EMC</w:t>
      </w:r>
      <w:r w:rsidR="00A66AE3">
        <w:t>’s Objection</w:t>
      </w:r>
      <w:r w:rsidR="00EF40F0">
        <w:t xml:space="preserve"> </w:t>
      </w:r>
      <w:r w:rsidRPr="00857D62">
        <w:t>has not met that burden, and as a result, should be overruled.</w:t>
      </w:r>
      <w:r w:rsidR="00EF40F0">
        <w:t xml:space="preserve"> </w:t>
      </w:r>
      <w:r w:rsidR="00F34CF2">
        <w:t xml:space="preserve">Electrify America hereby directly responds to </w:t>
      </w:r>
      <w:r w:rsidR="00637305">
        <w:t xml:space="preserve">each of the </w:t>
      </w:r>
      <w:r w:rsidR="00F34CF2">
        <w:t>Sawnee EMC’s objections</w:t>
      </w:r>
      <w:r w:rsidR="00B37F7D">
        <w:t>.</w:t>
      </w:r>
      <w:r w:rsidR="00F34CF2">
        <w:t xml:space="preserve"> </w:t>
      </w:r>
    </w:p>
    <w:p w14:paraId="0EFF948B" w14:textId="586B6FD2" w:rsidR="00857D62" w:rsidRDefault="00857D62" w:rsidP="004608EF">
      <w:pPr>
        <w:pStyle w:val="BodyText2"/>
        <w:spacing w:after="0"/>
        <w:ind w:firstLine="720"/>
        <w:jc w:val="both"/>
        <w:rPr>
          <w:b/>
        </w:rPr>
      </w:pPr>
      <w:bookmarkStart w:id="7" w:name="OLE_LINK1"/>
      <w:r w:rsidRPr="00857D62">
        <w:rPr>
          <w:b/>
          <w:u w:val="single"/>
        </w:rPr>
        <w:t>Objection</w:t>
      </w:r>
      <w:r w:rsidRPr="00857D62">
        <w:rPr>
          <w:b/>
        </w:rPr>
        <w:t xml:space="preserve">: </w:t>
      </w:r>
      <w:r w:rsidR="004608EF">
        <w:rPr>
          <w:b/>
        </w:rPr>
        <w:t xml:space="preserve">Shah </w:t>
      </w:r>
      <w:r w:rsidRPr="00857D62">
        <w:rPr>
          <w:b/>
        </w:rPr>
        <w:t xml:space="preserve">Direct Testimony </w:t>
      </w:r>
      <w:r>
        <w:rPr>
          <w:b/>
        </w:rPr>
        <w:t>4</w:t>
      </w:r>
      <w:r w:rsidRPr="00857D62">
        <w:rPr>
          <w:b/>
        </w:rPr>
        <w:t>:1</w:t>
      </w:r>
      <w:r>
        <w:rPr>
          <w:b/>
        </w:rPr>
        <w:t>1</w:t>
      </w:r>
      <w:r w:rsidRPr="00857D62">
        <w:rPr>
          <w:b/>
        </w:rPr>
        <w:t>-</w:t>
      </w:r>
      <w:r>
        <w:rPr>
          <w:b/>
        </w:rPr>
        <w:t>5</w:t>
      </w:r>
      <w:r w:rsidRPr="00857D62">
        <w:rPr>
          <w:b/>
        </w:rPr>
        <w:t>:</w:t>
      </w:r>
      <w:r>
        <w:rPr>
          <w:b/>
        </w:rPr>
        <w:t>10</w:t>
      </w:r>
      <w:r w:rsidRPr="00857D62">
        <w:rPr>
          <w:b/>
        </w:rPr>
        <w:t xml:space="preserve"> (Relevance). </w:t>
      </w:r>
    </w:p>
    <w:p w14:paraId="05C3821C" w14:textId="4239BBC0" w:rsidR="00B37F7D" w:rsidRDefault="00857D62" w:rsidP="007418E5">
      <w:pPr>
        <w:pStyle w:val="BodyText2"/>
        <w:spacing w:after="0"/>
        <w:ind w:firstLine="720"/>
        <w:jc w:val="both"/>
      </w:pPr>
      <w:r w:rsidRPr="00857D62">
        <w:rPr>
          <w:b/>
          <w:u w:val="single"/>
        </w:rPr>
        <w:t>Response</w:t>
      </w:r>
      <w:r>
        <w:rPr>
          <w:b/>
        </w:rPr>
        <w:t>:</w:t>
      </w:r>
      <w:bookmarkEnd w:id="7"/>
      <w:r>
        <w:rPr>
          <w:b/>
        </w:rPr>
        <w:t xml:space="preserve"> </w:t>
      </w:r>
      <w:r w:rsidR="008F5E90" w:rsidRPr="008F5E90">
        <w:t>In the</w:t>
      </w:r>
      <w:r w:rsidR="008F5E90">
        <w:t xml:space="preserve"> </w:t>
      </w:r>
      <w:r w:rsidR="009F7C16">
        <w:t xml:space="preserve">cited </w:t>
      </w:r>
      <w:r w:rsidR="008F5E90">
        <w:t xml:space="preserve">testimony, </w:t>
      </w:r>
      <w:bookmarkStart w:id="8" w:name="OLE_LINK3"/>
      <w:r w:rsidR="008F5E90">
        <w:t>Electrify America’s witness Jigar J. Shah</w:t>
      </w:r>
      <w:bookmarkEnd w:id="8"/>
      <w:r w:rsidR="008F5E90">
        <w:t xml:space="preserve"> provided information regarding Electrify America’s background in developing a nationwide electric vehicle (“EV”) charging network and provided additional information regarding Electrify America’s business case for entering the Georgia market. This information is relevant to the Commission, in that it provides the Commission with </w:t>
      </w:r>
      <w:r w:rsidR="00F34CF2">
        <w:t>valuable</w:t>
      </w:r>
      <w:r w:rsidR="008F5E90">
        <w:t xml:space="preserve"> information regarding the status of </w:t>
      </w:r>
      <w:r w:rsidR="004608EF">
        <w:t xml:space="preserve">the </w:t>
      </w:r>
      <w:r w:rsidR="008F5E90">
        <w:t>EV charging infrastructure marketplace in Georgia</w:t>
      </w:r>
      <w:r w:rsidR="00637305">
        <w:t>, the marketplace in comparison with other neighboring states,</w:t>
      </w:r>
      <w:r w:rsidR="008F5E90">
        <w:t xml:space="preserve"> an</w:t>
      </w:r>
      <w:r w:rsidR="009B1C69">
        <w:t>d how Georgia’s electric retail electric market</w:t>
      </w:r>
      <w:r w:rsidR="008F5E90">
        <w:t xml:space="preserve"> impact</w:t>
      </w:r>
      <w:r w:rsidR="009B1C69">
        <w:t>s</w:t>
      </w:r>
      <w:r w:rsidR="004608EF">
        <w:t xml:space="preserve"> the buildout of EV infrastructure</w:t>
      </w:r>
      <w:r w:rsidR="00034C33">
        <w:t xml:space="preserve"> in Georgia</w:t>
      </w:r>
      <w:r w:rsidR="008F5E90">
        <w:t xml:space="preserve">. </w:t>
      </w:r>
      <w:bookmarkStart w:id="9" w:name="OLE_LINK6"/>
      <w:r w:rsidR="00637305">
        <w:t>Because this matter involves whether EV charging infrastructure can participate in the retail marketplace via the Territorial Act, t</w:t>
      </w:r>
      <w:r w:rsidR="00F34CF2">
        <w:t xml:space="preserve">his information is relevant to the Commission’s analysis, and therefore the Commission should overrule Sawnee EMC’s objection of relevance. </w:t>
      </w:r>
      <w:bookmarkEnd w:id="9"/>
    </w:p>
    <w:p w14:paraId="28286E85" w14:textId="513D3EAA" w:rsidR="000302EC" w:rsidRPr="000302EC" w:rsidRDefault="000302EC" w:rsidP="009F7C16">
      <w:pPr>
        <w:pStyle w:val="BodyText2"/>
        <w:ind w:firstLine="720"/>
        <w:rPr>
          <w:b/>
        </w:rPr>
      </w:pPr>
      <w:r w:rsidRPr="000302EC">
        <w:rPr>
          <w:b/>
          <w:u w:val="single"/>
        </w:rPr>
        <w:t>Objection</w:t>
      </w:r>
      <w:r w:rsidRPr="000302EC">
        <w:rPr>
          <w:b/>
        </w:rPr>
        <w:t xml:space="preserve">: </w:t>
      </w:r>
      <w:r w:rsidR="004608EF">
        <w:rPr>
          <w:b/>
        </w:rPr>
        <w:t xml:space="preserve">Shah </w:t>
      </w:r>
      <w:r w:rsidRPr="000302EC">
        <w:rPr>
          <w:b/>
        </w:rPr>
        <w:t xml:space="preserve">Direct Testimony </w:t>
      </w:r>
      <w:r w:rsidR="009F7C16">
        <w:rPr>
          <w:b/>
        </w:rPr>
        <w:t>9</w:t>
      </w:r>
      <w:r w:rsidRPr="000302EC">
        <w:rPr>
          <w:b/>
        </w:rPr>
        <w:t>:1</w:t>
      </w:r>
      <w:r w:rsidR="009F7C16">
        <w:rPr>
          <w:b/>
        </w:rPr>
        <w:t>4</w:t>
      </w:r>
      <w:r w:rsidRPr="000302EC">
        <w:rPr>
          <w:b/>
        </w:rPr>
        <w:t>-</w:t>
      </w:r>
      <w:r w:rsidR="009F7C16">
        <w:rPr>
          <w:b/>
        </w:rPr>
        <w:t>10</w:t>
      </w:r>
      <w:r w:rsidRPr="000302EC">
        <w:rPr>
          <w:b/>
        </w:rPr>
        <w:t>:</w:t>
      </w:r>
      <w:r w:rsidR="009F7C16">
        <w:rPr>
          <w:b/>
        </w:rPr>
        <w:t>7</w:t>
      </w:r>
      <w:r w:rsidRPr="000302EC">
        <w:rPr>
          <w:b/>
        </w:rPr>
        <w:t xml:space="preserve"> (Relevance). </w:t>
      </w:r>
    </w:p>
    <w:p w14:paraId="52BAD4FE" w14:textId="3D01FCC7" w:rsidR="000302EC" w:rsidRDefault="000302EC" w:rsidP="00BD230A">
      <w:pPr>
        <w:spacing w:after="200" w:line="480" w:lineRule="auto"/>
        <w:ind w:firstLine="720"/>
        <w:jc w:val="both"/>
      </w:pPr>
      <w:r w:rsidRPr="000302EC">
        <w:rPr>
          <w:b/>
          <w:u w:val="single"/>
        </w:rPr>
        <w:t>Response</w:t>
      </w:r>
      <w:r w:rsidRPr="000302EC">
        <w:rPr>
          <w:b/>
        </w:rPr>
        <w:t>:</w:t>
      </w:r>
      <w:r w:rsidR="009F7C16">
        <w:rPr>
          <w:b/>
        </w:rPr>
        <w:t xml:space="preserve"> </w:t>
      </w:r>
      <w:r w:rsidR="009F7C16">
        <w:t xml:space="preserve">In the cited testimony, </w:t>
      </w:r>
      <w:r w:rsidR="004608EF" w:rsidRPr="004608EF">
        <w:t>Electrify America’s witness Jigar J. Shah</w:t>
      </w:r>
      <w:r w:rsidR="004608EF">
        <w:t xml:space="preserve"> discusses</w:t>
      </w:r>
      <w:r w:rsidR="00BD230A">
        <w:t xml:space="preserve"> the business impacts that could result if </w:t>
      </w:r>
      <w:r w:rsidR="0004566F">
        <w:t xml:space="preserve">its EV charging systems are prohibited from </w:t>
      </w:r>
      <w:r w:rsidR="00034C33">
        <w:t>qualifying for</w:t>
      </w:r>
      <w:r w:rsidR="0004566F">
        <w:t xml:space="preserve"> customer choice under the Territorial Act. </w:t>
      </w:r>
      <w:r w:rsidR="00BD230A">
        <w:t>Th</w:t>
      </w:r>
      <w:r w:rsidR="00AB1A34">
        <w:t>e</w:t>
      </w:r>
      <w:r w:rsidR="0004566F">
        <w:t>se</w:t>
      </w:r>
      <w:r w:rsidR="00BD230A">
        <w:t xml:space="preserve"> impacts </w:t>
      </w:r>
      <w:r w:rsidR="00AB1A34">
        <w:t xml:space="preserve">to </w:t>
      </w:r>
      <w:r w:rsidR="00B37F7D">
        <w:t xml:space="preserve">Electrify America’s business </w:t>
      </w:r>
      <w:r w:rsidR="00BD230A">
        <w:t xml:space="preserve">are material and relevant to this proceeding, as the Commission has full discretion to consider the </w:t>
      </w:r>
      <w:r w:rsidR="00AB1A34">
        <w:t xml:space="preserve">market and </w:t>
      </w:r>
      <w:r w:rsidR="00BD230A">
        <w:t xml:space="preserve">economic impacts associated with its decision-making. Because the Commission has not yet addressed </w:t>
      </w:r>
      <w:r w:rsidR="00B37F7D">
        <w:t>how</w:t>
      </w:r>
      <w:r w:rsidR="00BD230A">
        <w:t xml:space="preserve"> EV charging stations </w:t>
      </w:r>
      <w:r w:rsidR="00B37F7D">
        <w:t xml:space="preserve">may qualify for customer choice </w:t>
      </w:r>
      <w:r w:rsidR="00BD230A">
        <w:t>under the Territorial Act, this matter is an issue of first impression before the Commission</w:t>
      </w:r>
      <w:r w:rsidR="00B37F7D">
        <w:t xml:space="preserve"> and</w:t>
      </w:r>
      <w:r w:rsidR="00AB1A34">
        <w:t xml:space="preserve"> will </w:t>
      </w:r>
      <w:r w:rsidR="00B37F7D">
        <w:t>set a precedent impacting nearly all</w:t>
      </w:r>
      <w:r w:rsidR="00BD230A">
        <w:t xml:space="preserve"> EV charging infrastructure</w:t>
      </w:r>
      <w:r w:rsidR="00AB1A34">
        <w:t xml:space="preserve"> </w:t>
      </w:r>
      <w:r w:rsidR="00B37F7D">
        <w:t>located within the state. For this reason, t</w:t>
      </w:r>
      <w:r w:rsidR="00AB1A34">
        <w:t xml:space="preserve">he </w:t>
      </w:r>
      <w:r w:rsidR="00AB1A34">
        <w:lastRenderedPageBreak/>
        <w:t xml:space="preserve">Commission should be </w:t>
      </w:r>
      <w:r w:rsidR="0004566F">
        <w:t>fully informed</w:t>
      </w:r>
      <w:r w:rsidR="00AB1A34">
        <w:t xml:space="preserve"> of the </w:t>
      </w:r>
      <w:r w:rsidR="00B37F7D">
        <w:t xml:space="preserve">market </w:t>
      </w:r>
      <w:r w:rsidR="00AB1A34">
        <w:t xml:space="preserve">impacts </w:t>
      </w:r>
      <w:r w:rsidR="0004566F">
        <w:t xml:space="preserve">potentially </w:t>
      </w:r>
      <w:r w:rsidR="00AB1A34">
        <w:t>associated with its decision</w:t>
      </w:r>
      <w:r w:rsidR="00BD230A">
        <w:t xml:space="preserve">. </w:t>
      </w:r>
      <w:r w:rsidR="00F34CF2" w:rsidRPr="00F34CF2">
        <w:t xml:space="preserve">This information is </w:t>
      </w:r>
      <w:r w:rsidR="0004566F">
        <w:t xml:space="preserve">therefore </w:t>
      </w:r>
      <w:r w:rsidR="00F34CF2" w:rsidRPr="00F34CF2">
        <w:t xml:space="preserve">relevant to </w:t>
      </w:r>
      <w:r w:rsidR="0004566F">
        <w:t xml:space="preserve">the Commission’s analysis, and </w:t>
      </w:r>
      <w:r w:rsidR="00F34CF2" w:rsidRPr="00F34CF2">
        <w:t>the Commission should overrule Sawnee EMC’s objection of relevance.</w:t>
      </w:r>
    </w:p>
    <w:p w14:paraId="2C07935E" w14:textId="7D20E79B" w:rsidR="00EE2D6A" w:rsidRPr="00EE2D6A" w:rsidRDefault="00EE2D6A" w:rsidP="00EE2D6A">
      <w:pPr>
        <w:spacing w:after="200" w:line="276" w:lineRule="auto"/>
        <w:rPr>
          <w:b/>
        </w:rPr>
      </w:pPr>
      <w:r w:rsidRPr="00EE2D6A">
        <w:rPr>
          <w:b/>
        </w:rPr>
        <w:t>II.</w:t>
      </w:r>
      <w:r w:rsidRPr="00EE2D6A">
        <w:rPr>
          <w:b/>
        </w:rPr>
        <w:tab/>
        <w:t>CONCLUSION</w:t>
      </w:r>
    </w:p>
    <w:p w14:paraId="1BEACFEA" w14:textId="3491B94F" w:rsidR="000302EC" w:rsidRPr="00AB1A34" w:rsidRDefault="00AB1A34" w:rsidP="00AB1A34">
      <w:pPr>
        <w:spacing w:after="200" w:line="480" w:lineRule="auto"/>
      </w:pPr>
      <w:r>
        <w:rPr>
          <w:b/>
        </w:rPr>
        <w:tab/>
      </w:r>
      <w:r w:rsidRPr="00AB1A34">
        <w:t xml:space="preserve">For the foregoing reasons, </w:t>
      </w:r>
      <w:r>
        <w:t xml:space="preserve">Electrify America respectfully requests that the Commission overrule Sawnee EMC’s Objections to certain Pre-Filed Direct Testimony of Jigar J. Shah. </w:t>
      </w:r>
    </w:p>
    <w:p w14:paraId="500F102C" w14:textId="386C71F1" w:rsidR="00441663" w:rsidRDefault="00323A24" w:rsidP="000302EC">
      <w:pPr>
        <w:spacing w:after="200" w:line="276" w:lineRule="auto"/>
      </w:pPr>
      <w:r>
        <w:t> </w:t>
      </w:r>
      <w:r w:rsidR="0062712A">
        <w:tab/>
      </w:r>
      <w:r w:rsidR="00441663" w:rsidRPr="00441663">
        <w:t>Respectfully submitted this</w:t>
      </w:r>
      <w:r w:rsidR="00045A88">
        <w:t xml:space="preserve"> </w:t>
      </w:r>
      <w:r w:rsidR="007418E5">
        <w:t>14</w:t>
      </w:r>
      <w:r w:rsidR="003F1F79">
        <w:t>th</w:t>
      </w:r>
      <w:r w:rsidR="0062712A">
        <w:t xml:space="preserve"> </w:t>
      </w:r>
      <w:r w:rsidR="00441663" w:rsidRPr="00441663">
        <w:t>day of</w:t>
      </w:r>
      <w:r w:rsidR="00EF40F0">
        <w:t xml:space="preserve"> January</w:t>
      </w:r>
      <w:r w:rsidR="00045A88">
        <w:t>,</w:t>
      </w:r>
      <w:r w:rsidR="00391071">
        <w:t xml:space="preserve"> 202</w:t>
      </w:r>
      <w:r w:rsidR="00EF40F0">
        <w:t>2</w:t>
      </w:r>
      <w:r w:rsidR="00391071">
        <w:t>.</w:t>
      </w:r>
    </w:p>
    <w:p w14:paraId="6CEC58E6" w14:textId="51D61C81" w:rsidR="00244306" w:rsidRPr="008B4FC0" w:rsidRDefault="00244306" w:rsidP="00244306">
      <w:pPr>
        <w:autoSpaceDE w:val="0"/>
        <w:autoSpaceDN w:val="0"/>
        <w:adjustRightInd w:val="0"/>
        <w:ind w:left="3600" w:firstLine="1350"/>
        <w:jc w:val="both"/>
        <w:rPr>
          <w:b/>
          <w:szCs w:val="24"/>
        </w:rPr>
      </w:pPr>
      <w:r w:rsidRPr="008B4FC0">
        <w:rPr>
          <w:b/>
          <w:szCs w:val="24"/>
        </w:rPr>
        <w:t>HOLLAND &amp; KNIGHT LLP</w:t>
      </w:r>
    </w:p>
    <w:p w14:paraId="3DCF707D" w14:textId="1F113E02" w:rsidR="00C506DA" w:rsidRDefault="00C506DA" w:rsidP="00244306">
      <w:pPr>
        <w:autoSpaceDE w:val="0"/>
        <w:autoSpaceDN w:val="0"/>
        <w:adjustRightInd w:val="0"/>
        <w:ind w:firstLine="1350"/>
        <w:jc w:val="both"/>
        <w:rPr>
          <w:szCs w:val="24"/>
        </w:rPr>
      </w:pPr>
    </w:p>
    <w:p w14:paraId="30116904" w14:textId="6F119F8A" w:rsidR="00244306" w:rsidRPr="008B4FC0" w:rsidRDefault="00244306" w:rsidP="00244306">
      <w:pPr>
        <w:autoSpaceDE w:val="0"/>
        <w:autoSpaceDN w:val="0"/>
        <w:adjustRightInd w:val="0"/>
        <w:ind w:firstLine="1350"/>
        <w:jc w:val="both"/>
        <w:rPr>
          <w:szCs w:val="24"/>
        </w:rPr>
      </w:pPr>
    </w:p>
    <w:p w14:paraId="26F69AEB" w14:textId="0C6EE709" w:rsidR="00244306" w:rsidRPr="008B4FC0" w:rsidRDefault="00244306" w:rsidP="00244306">
      <w:pPr>
        <w:autoSpaceDE w:val="0"/>
        <w:autoSpaceDN w:val="0"/>
        <w:adjustRightInd w:val="0"/>
        <w:ind w:firstLine="1350"/>
        <w:jc w:val="both"/>
        <w:rPr>
          <w:szCs w:val="24"/>
        </w:rPr>
      </w:pPr>
      <w:r w:rsidRPr="008B4FC0">
        <w:rPr>
          <w:szCs w:val="24"/>
        </w:rPr>
        <w:tab/>
      </w:r>
      <w:r w:rsidRPr="008B4FC0">
        <w:rPr>
          <w:szCs w:val="24"/>
        </w:rPr>
        <w:tab/>
      </w:r>
      <w:r w:rsidRPr="008B4FC0">
        <w:rPr>
          <w:szCs w:val="24"/>
        </w:rPr>
        <w:tab/>
      </w:r>
      <w:r w:rsidRPr="008B4FC0">
        <w:rPr>
          <w:szCs w:val="24"/>
        </w:rPr>
        <w:tab/>
      </w:r>
      <w:r w:rsidRPr="008B4FC0">
        <w:rPr>
          <w:szCs w:val="24"/>
        </w:rPr>
        <w:tab/>
      </w:r>
      <w:r w:rsidRPr="008B4FC0">
        <w:rPr>
          <w:szCs w:val="24"/>
        </w:rPr>
        <w:tab/>
        <w:t>________________________</w:t>
      </w:r>
    </w:p>
    <w:p w14:paraId="5DA1E264" w14:textId="77777777" w:rsidR="00244306" w:rsidRPr="008B4FC0" w:rsidRDefault="00244306" w:rsidP="00244306">
      <w:pPr>
        <w:autoSpaceDE w:val="0"/>
        <w:autoSpaceDN w:val="0"/>
        <w:adjustRightInd w:val="0"/>
        <w:ind w:firstLine="1350"/>
        <w:jc w:val="both"/>
        <w:rPr>
          <w:szCs w:val="24"/>
        </w:rPr>
      </w:pPr>
      <w:r w:rsidRPr="008B4FC0">
        <w:rPr>
          <w:szCs w:val="24"/>
        </w:rPr>
        <w:tab/>
      </w:r>
      <w:r w:rsidRPr="008B4FC0">
        <w:rPr>
          <w:szCs w:val="24"/>
        </w:rPr>
        <w:tab/>
      </w:r>
      <w:r w:rsidRPr="008B4FC0">
        <w:rPr>
          <w:szCs w:val="24"/>
        </w:rPr>
        <w:tab/>
      </w:r>
      <w:r w:rsidRPr="008B4FC0">
        <w:rPr>
          <w:szCs w:val="24"/>
        </w:rPr>
        <w:tab/>
      </w:r>
      <w:r w:rsidRPr="008B4FC0">
        <w:rPr>
          <w:szCs w:val="24"/>
        </w:rPr>
        <w:tab/>
      </w:r>
      <w:r w:rsidRPr="008B4FC0">
        <w:rPr>
          <w:szCs w:val="24"/>
        </w:rPr>
        <w:tab/>
        <w:t>Robert S. Highsmith Jr.</w:t>
      </w:r>
    </w:p>
    <w:p w14:paraId="2676F8F0" w14:textId="77777777" w:rsidR="00244306" w:rsidRPr="008B4FC0" w:rsidRDefault="00244306" w:rsidP="00244306">
      <w:pPr>
        <w:autoSpaceDE w:val="0"/>
        <w:autoSpaceDN w:val="0"/>
        <w:adjustRightInd w:val="0"/>
        <w:ind w:firstLine="1350"/>
        <w:jc w:val="both"/>
        <w:rPr>
          <w:szCs w:val="24"/>
        </w:rPr>
      </w:pPr>
      <w:r w:rsidRPr="008B4FC0">
        <w:rPr>
          <w:szCs w:val="24"/>
        </w:rPr>
        <w:tab/>
      </w:r>
      <w:r w:rsidRPr="008B4FC0">
        <w:rPr>
          <w:szCs w:val="24"/>
        </w:rPr>
        <w:tab/>
      </w:r>
      <w:r w:rsidRPr="008B4FC0">
        <w:rPr>
          <w:szCs w:val="24"/>
        </w:rPr>
        <w:tab/>
      </w:r>
      <w:r w:rsidRPr="008B4FC0">
        <w:rPr>
          <w:szCs w:val="24"/>
        </w:rPr>
        <w:tab/>
      </w:r>
      <w:r w:rsidRPr="008B4FC0">
        <w:rPr>
          <w:szCs w:val="24"/>
        </w:rPr>
        <w:tab/>
      </w:r>
      <w:r w:rsidRPr="008B4FC0">
        <w:rPr>
          <w:szCs w:val="24"/>
        </w:rPr>
        <w:tab/>
        <w:t>State Bar of Georgia No. 352777</w:t>
      </w:r>
    </w:p>
    <w:p w14:paraId="45CA42D8" w14:textId="15B847B8" w:rsidR="00244306" w:rsidRPr="008B4FC0" w:rsidRDefault="00244306" w:rsidP="003F1F79">
      <w:pPr>
        <w:autoSpaceDE w:val="0"/>
        <w:autoSpaceDN w:val="0"/>
        <w:adjustRightInd w:val="0"/>
        <w:ind w:firstLine="1350"/>
        <w:jc w:val="both"/>
        <w:rPr>
          <w:szCs w:val="24"/>
        </w:rPr>
      </w:pPr>
      <w:r w:rsidRPr="008B4FC0">
        <w:rPr>
          <w:szCs w:val="24"/>
        </w:rPr>
        <w:tab/>
      </w:r>
      <w:r w:rsidRPr="008B4FC0">
        <w:rPr>
          <w:szCs w:val="24"/>
        </w:rPr>
        <w:tab/>
      </w:r>
      <w:r w:rsidRPr="008B4FC0">
        <w:rPr>
          <w:szCs w:val="24"/>
        </w:rPr>
        <w:tab/>
      </w:r>
      <w:r w:rsidRPr="008B4FC0">
        <w:rPr>
          <w:szCs w:val="24"/>
        </w:rPr>
        <w:tab/>
      </w:r>
      <w:r w:rsidRPr="008B4FC0">
        <w:rPr>
          <w:szCs w:val="24"/>
        </w:rPr>
        <w:tab/>
      </w:r>
      <w:r w:rsidRPr="008B4FC0">
        <w:rPr>
          <w:szCs w:val="24"/>
        </w:rPr>
        <w:tab/>
      </w:r>
    </w:p>
    <w:p w14:paraId="17015983" w14:textId="709D58E3" w:rsidR="00AE49E3" w:rsidRPr="008B4FC0" w:rsidRDefault="00AE49E3" w:rsidP="00AE49E3">
      <w:pPr>
        <w:autoSpaceDE w:val="0"/>
        <w:autoSpaceDN w:val="0"/>
        <w:adjustRightInd w:val="0"/>
        <w:ind w:left="3600" w:firstLine="1350"/>
        <w:jc w:val="both"/>
        <w:rPr>
          <w:i/>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8B4FC0">
        <w:rPr>
          <w:i/>
          <w:szCs w:val="24"/>
        </w:rPr>
        <w:t xml:space="preserve">Attorneys for </w:t>
      </w:r>
      <w:r w:rsidR="003F1F79" w:rsidRPr="003F1F79">
        <w:rPr>
          <w:i/>
          <w:szCs w:val="24"/>
        </w:rPr>
        <w:t>Electrify America, LLC</w:t>
      </w:r>
    </w:p>
    <w:p w14:paraId="7B732C29" w14:textId="6753DAE4" w:rsidR="00244306" w:rsidRPr="008B4FC0" w:rsidRDefault="00244306" w:rsidP="00244306">
      <w:pPr>
        <w:autoSpaceDE w:val="0"/>
        <w:autoSpaceDN w:val="0"/>
        <w:adjustRightInd w:val="0"/>
        <w:jc w:val="both"/>
        <w:rPr>
          <w:szCs w:val="24"/>
        </w:rPr>
      </w:pPr>
    </w:p>
    <w:p w14:paraId="0C721CFB" w14:textId="77777777" w:rsidR="00244306" w:rsidRPr="008B4FC0" w:rsidRDefault="00244306" w:rsidP="00244306">
      <w:pPr>
        <w:autoSpaceDE w:val="0"/>
        <w:autoSpaceDN w:val="0"/>
        <w:adjustRightInd w:val="0"/>
        <w:jc w:val="both"/>
        <w:rPr>
          <w:szCs w:val="24"/>
        </w:rPr>
      </w:pPr>
      <w:r w:rsidRPr="008B4FC0">
        <w:rPr>
          <w:szCs w:val="24"/>
        </w:rPr>
        <w:t>Regions Plaza, Suite 1800</w:t>
      </w:r>
    </w:p>
    <w:p w14:paraId="10CE74DF" w14:textId="77777777" w:rsidR="00244306" w:rsidRPr="008B4FC0" w:rsidRDefault="00244306" w:rsidP="00244306">
      <w:pPr>
        <w:autoSpaceDE w:val="0"/>
        <w:autoSpaceDN w:val="0"/>
        <w:adjustRightInd w:val="0"/>
        <w:jc w:val="both"/>
        <w:rPr>
          <w:szCs w:val="24"/>
        </w:rPr>
      </w:pPr>
      <w:r w:rsidRPr="008B4FC0">
        <w:rPr>
          <w:szCs w:val="24"/>
        </w:rPr>
        <w:t>1180 W. Peachtree Street, N.W.</w:t>
      </w:r>
    </w:p>
    <w:p w14:paraId="5B663E84" w14:textId="77777777" w:rsidR="00244306" w:rsidRPr="008B4FC0" w:rsidRDefault="00244306" w:rsidP="00244306">
      <w:pPr>
        <w:autoSpaceDE w:val="0"/>
        <w:autoSpaceDN w:val="0"/>
        <w:adjustRightInd w:val="0"/>
        <w:jc w:val="both"/>
        <w:rPr>
          <w:szCs w:val="24"/>
        </w:rPr>
      </w:pPr>
      <w:r w:rsidRPr="008B4FC0">
        <w:rPr>
          <w:szCs w:val="24"/>
        </w:rPr>
        <w:t>Atlanta, Georgia  30309</w:t>
      </w:r>
    </w:p>
    <w:p w14:paraId="7C792DEF" w14:textId="77777777" w:rsidR="00244306" w:rsidRPr="008B4FC0" w:rsidRDefault="00244306" w:rsidP="00244306">
      <w:pPr>
        <w:autoSpaceDE w:val="0"/>
        <w:autoSpaceDN w:val="0"/>
        <w:adjustRightInd w:val="0"/>
        <w:jc w:val="both"/>
        <w:rPr>
          <w:szCs w:val="24"/>
        </w:rPr>
      </w:pPr>
      <w:r w:rsidRPr="008B4FC0">
        <w:rPr>
          <w:szCs w:val="24"/>
        </w:rPr>
        <w:t>Tel. 404.817.8500</w:t>
      </w:r>
    </w:p>
    <w:p w14:paraId="4FE41DD0" w14:textId="77777777" w:rsidR="00244306" w:rsidRPr="008B4FC0" w:rsidRDefault="00244306" w:rsidP="00244306">
      <w:pPr>
        <w:autoSpaceDE w:val="0"/>
        <w:autoSpaceDN w:val="0"/>
        <w:adjustRightInd w:val="0"/>
        <w:jc w:val="both"/>
        <w:rPr>
          <w:szCs w:val="24"/>
        </w:rPr>
      </w:pPr>
      <w:r w:rsidRPr="008B4FC0">
        <w:rPr>
          <w:szCs w:val="24"/>
        </w:rPr>
        <w:t>robert.highsmith@hklaw.com</w:t>
      </w:r>
    </w:p>
    <w:p w14:paraId="4A644B31" w14:textId="77777777" w:rsidR="00244306" w:rsidRPr="008B4FC0" w:rsidRDefault="00244306" w:rsidP="00244306">
      <w:pPr>
        <w:autoSpaceDE w:val="0"/>
        <w:autoSpaceDN w:val="0"/>
        <w:adjustRightInd w:val="0"/>
        <w:jc w:val="both"/>
        <w:rPr>
          <w:szCs w:val="24"/>
        </w:rPr>
      </w:pPr>
    </w:p>
    <w:p w14:paraId="04A574D7" w14:textId="77777777" w:rsidR="0016105A" w:rsidRDefault="0016105A">
      <w:pPr>
        <w:spacing w:after="200" w:line="276" w:lineRule="auto"/>
      </w:pPr>
    </w:p>
    <w:p w14:paraId="5A800E02" w14:textId="77777777" w:rsidR="0016105A" w:rsidRDefault="0016105A">
      <w:pPr>
        <w:spacing w:after="200" w:line="276" w:lineRule="auto"/>
      </w:pPr>
    </w:p>
    <w:p w14:paraId="7DA63B83" w14:textId="77777777" w:rsidR="0016105A" w:rsidRDefault="0016105A">
      <w:pPr>
        <w:spacing w:after="200" w:line="276" w:lineRule="auto"/>
      </w:pPr>
    </w:p>
    <w:p w14:paraId="6D461A28" w14:textId="77777777" w:rsidR="0016105A" w:rsidRDefault="0016105A">
      <w:pPr>
        <w:spacing w:after="200" w:line="276" w:lineRule="auto"/>
      </w:pPr>
    </w:p>
    <w:p w14:paraId="430FD772" w14:textId="64057D24" w:rsidR="00B7184F" w:rsidRPr="00B7184F" w:rsidRDefault="004F2EBE" w:rsidP="00B7184F">
      <w:pPr>
        <w:jc w:val="center"/>
        <w:rPr>
          <w:b/>
        </w:rPr>
      </w:pPr>
      <w:r>
        <w:br w:type="page"/>
      </w:r>
      <w:r w:rsidR="00197F10">
        <w:rPr>
          <w:b/>
        </w:rPr>
        <w:lastRenderedPageBreak/>
        <w:t>BEFOR</w:t>
      </w:r>
      <w:r w:rsidR="00B7184F" w:rsidRPr="00B7184F">
        <w:rPr>
          <w:b/>
        </w:rPr>
        <w:t>E THE PUBLIC SERVICE COMMISSION</w:t>
      </w:r>
    </w:p>
    <w:p w14:paraId="51C90575" w14:textId="77777777" w:rsidR="00B7184F" w:rsidRPr="00B7184F" w:rsidRDefault="00B7184F" w:rsidP="00B7184F">
      <w:pPr>
        <w:jc w:val="center"/>
        <w:rPr>
          <w:b/>
        </w:rPr>
      </w:pPr>
      <w:r w:rsidRPr="00B7184F">
        <w:rPr>
          <w:b/>
        </w:rPr>
        <w:t>STATE OF GEORGIA</w:t>
      </w:r>
    </w:p>
    <w:p w14:paraId="27E33990" w14:textId="77777777" w:rsidR="00B7184F" w:rsidRPr="00B7184F" w:rsidRDefault="00B7184F" w:rsidP="00B7184F">
      <w:pPr>
        <w:jc w:val="center"/>
        <w:rPr>
          <w:b/>
        </w:rPr>
      </w:pPr>
    </w:p>
    <w:tbl>
      <w:tblPr>
        <w:tblW w:w="0" w:type="auto"/>
        <w:tblBorders>
          <w:insideH w:val="single" w:sz="4" w:space="0" w:color="auto"/>
          <w:insideV w:val="single" w:sz="4" w:space="0" w:color="auto"/>
        </w:tblBorders>
        <w:tblLook w:val="04A0" w:firstRow="1" w:lastRow="0" w:firstColumn="1" w:lastColumn="0" w:noHBand="0" w:noVBand="1"/>
      </w:tblPr>
      <w:tblGrid>
        <w:gridCol w:w="4659"/>
        <w:gridCol w:w="4669"/>
      </w:tblGrid>
      <w:tr w:rsidR="00B7184F" w:rsidRPr="00B7184F" w14:paraId="40F30B1B" w14:textId="77777777" w:rsidTr="00B7184F">
        <w:trPr>
          <w:trHeight w:val="1872"/>
        </w:trPr>
        <w:tc>
          <w:tcPr>
            <w:tcW w:w="4659" w:type="dxa"/>
            <w:tcBorders>
              <w:top w:val="nil"/>
              <w:left w:val="nil"/>
              <w:bottom w:val="single" w:sz="4" w:space="0" w:color="auto"/>
              <w:right w:val="single" w:sz="4" w:space="0" w:color="auto"/>
            </w:tcBorders>
          </w:tcPr>
          <w:p w14:paraId="2B9C29E5" w14:textId="77777777" w:rsidR="00B7184F" w:rsidRPr="00B7184F" w:rsidRDefault="00B7184F" w:rsidP="00B7184F">
            <w:pPr>
              <w:suppressAutoHyphens/>
              <w:spacing w:line="276" w:lineRule="auto"/>
              <w:rPr>
                <w:rFonts w:eastAsia="SimSun"/>
                <w:b/>
                <w:bCs/>
              </w:rPr>
            </w:pPr>
            <w:r w:rsidRPr="00B7184F">
              <w:rPr>
                <w:rFonts w:eastAsia="SimSun"/>
                <w:b/>
                <w:bCs/>
              </w:rPr>
              <w:t xml:space="preserve">SAWNEE ELECTRIC MEMBERSHIP CORPORATION, </w:t>
            </w:r>
          </w:p>
          <w:p w14:paraId="20FFFD27" w14:textId="77777777" w:rsidR="00B7184F" w:rsidRPr="00B7184F" w:rsidRDefault="00B7184F" w:rsidP="00B7184F">
            <w:pPr>
              <w:suppressAutoHyphens/>
              <w:spacing w:line="276" w:lineRule="auto"/>
              <w:rPr>
                <w:rFonts w:eastAsia="SimSun"/>
                <w:b/>
                <w:bCs/>
              </w:rPr>
            </w:pPr>
            <w:r w:rsidRPr="00B7184F">
              <w:rPr>
                <w:rFonts w:eastAsia="SimSun"/>
                <w:b/>
                <w:bCs/>
              </w:rPr>
              <w:t xml:space="preserve"> </w:t>
            </w:r>
          </w:p>
          <w:p w14:paraId="179F752C" w14:textId="77777777" w:rsidR="00B7184F" w:rsidRPr="00B7184F" w:rsidRDefault="00B7184F" w:rsidP="00B7184F">
            <w:pPr>
              <w:suppressAutoHyphens/>
              <w:spacing w:line="276" w:lineRule="auto"/>
              <w:rPr>
                <w:rFonts w:eastAsia="SimSun"/>
                <w:b/>
                <w:bCs/>
              </w:rPr>
            </w:pPr>
            <w:r w:rsidRPr="00B7184F">
              <w:rPr>
                <w:rFonts w:eastAsia="SimSun"/>
                <w:b/>
                <w:bCs/>
              </w:rPr>
              <w:t xml:space="preserve">                       Petitioner, </w:t>
            </w:r>
          </w:p>
          <w:p w14:paraId="5F2CD8A8" w14:textId="77777777" w:rsidR="00B7184F" w:rsidRPr="00B7184F" w:rsidRDefault="00B7184F" w:rsidP="00B7184F">
            <w:pPr>
              <w:suppressAutoHyphens/>
              <w:spacing w:line="276" w:lineRule="auto"/>
              <w:rPr>
                <w:rFonts w:eastAsia="SimSun"/>
                <w:b/>
                <w:bCs/>
              </w:rPr>
            </w:pPr>
            <w:r w:rsidRPr="00B7184F">
              <w:rPr>
                <w:rFonts w:eastAsia="SimSun"/>
                <w:b/>
                <w:bCs/>
              </w:rPr>
              <w:t xml:space="preserve">v. </w:t>
            </w:r>
          </w:p>
          <w:p w14:paraId="56809C3E" w14:textId="77777777" w:rsidR="00B7184F" w:rsidRPr="00B7184F" w:rsidRDefault="00B7184F" w:rsidP="00B7184F">
            <w:pPr>
              <w:suppressAutoHyphens/>
              <w:spacing w:line="276" w:lineRule="auto"/>
              <w:rPr>
                <w:rFonts w:eastAsia="SimSun"/>
                <w:b/>
                <w:bCs/>
              </w:rPr>
            </w:pPr>
          </w:p>
          <w:p w14:paraId="1EF6CFFD" w14:textId="77777777" w:rsidR="00B7184F" w:rsidRPr="00B7184F" w:rsidRDefault="00B7184F" w:rsidP="00B7184F">
            <w:pPr>
              <w:suppressAutoHyphens/>
              <w:spacing w:line="276" w:lineRule="auto"/>
              <w:rPr>
                <w:rFonts w:eastAsia="SimSun"/>
                <w:b/>
                <w:bCs/>
              </w:rPr>
            </w:pPr>
            <w:r w:rsidRPr="00B7184F">
              <w:rPr>
                <w:rFonts w:eastAsia="SimSun"/>
                <w:b/>
                <w:bCs/>
              </w:rPr>
              <w:t>GEORGIA POWER COMPANY,</w:t>
            </w:r>
          </w:p>
          <w:p w14:paraId="7D95F21A" w14:textId="77777777" w:rsidR="00B7184F" w:rsidRPr="00B7184F" w:rsidRDefault="00B7184F" w:rsidP="00B7184F">
            <w:pPr>
              <w:suppressAutoHyphens/>
              <w:spacing w:line="276" w:lineRule="auto"/>
              <w:rPr>
                <w:rFonts w:eastAsia="SimSun"/>
                <w:b/>
                <w:bCs/>
              </w:rPr>
            </w:pPr>
          </w:p>
          <w:p w14:paraId="7C75BD70" w14:textId="77777777" w:rsidR="00B7184F" w:rsidRPr="00B7184F" w:rsidRDefault="00B7184F" w:rsidP="00B7184F">
            <w:pPr>
              <w:suppressAutoHyphens/>
              <w:spacing w:line="276" w:lineRule="auto"/>
              <w:rPr>
                <w:rFonts w:eastAsia="SimSun"/>
                <w:b/>
                <w:bCs/>
              </w:rPr>
            </w:pPr>
            <w:r w:rsidRPr="00B7184F">
              <w:rPr>
                <w:rFonts w:eastAsia="SimSun"/>
                <w:b/>
                <w:bCs/>
              </w:rPr>
              <w:t xml:space="preserve">                       Respondent.</w:t>
            </w:r>
          </w:p>
        </w:tc>
        <w:tc>
          <w:tcPr>
            <w:tcW w:w="4669" w:type="dxa"/>
            <w:tcBorders>
              <w:top w:val="nil"/>
              <w:left w:val="single" w:sz="4" w:space="0" w:color="auto"/>
              <w:bottom w:val="nil"/>
              <w:right w:val="nil"/>
            </w:tcBorders>
          </w:tcPr>
          <w:p w14:paraId="4BF16467" w14:textId="77777777" w:rsidR="00B7184F" w:rsidRPr="00B7184F" w:rsidRDefault="00B7184F" w:rsidP="00B7184F">
            <w:pPr>
              <w:suppressAutoHyphens/>
              <w:spacing w:line="276" w:lineRule="auto"/>
              <w:ind w:left="899"/>
              <w:rPr>
                <w:rFonts w:eastAsia="SimSun"/>
              </w:rPr>
            </w:pPr>
          </w:p>
          <w:p w14:paraId="06A5A0DB" w14:textId="77777777" w:rsidR="00B7184F" w:rsidRPr="00B7184F" w:rsidRDefault="00B7184F" w:rsidP="00B7184F">
            <w:pPr>
              <w:suppressAutoHyphens/>
              <w:spacing w:line="276" w:lineRule="auto"/>
              <w:ind w:left="899"/>
              <w:rPr>
                <w:rFonts w:eastAsia="SimSun"/>
                <w:b/>
                <w:bCs/>
              </w:rPr>
            </w:pPr>
          </w:p>
          <w:p w14:paraId="1B18B871" w14:textId="77777777" w:rsidR="00B7184F" w:rsidRPr="00B7184F" w:rsidRDefault="00B7184F" w:rsidP="00B7184F">
            <w:pPr>
              <w:suppressAutoHyphens/>
              <w:spacing w:line="276" w:lineRule="auto"/>
              <w:ind w:left="899"/>
              <w:rPr>
                <w:rFonts w:eastAsia="SimSun"/>
                <w:b/>
                <w:bCs/>
              </w:rPr>
            </w:pPr>
          </w:p>
          <w:p w14:paraId="2DF9E7A0" w14:textId="77777777" w:rsidR="00B7184F" w:rsidRPr="00B7184F" w:rsidRDefault="00B7184F" w:rsidP="00B7184F">
            <w:pPr>
              <w:suppressAutoHyphens/>
              <w:spacing w:line="276" w:lineRule="auto"/>
              <w:ind w:left="899"/>
              <w:rPr>
                <w:rFonts w:eastAsia="SimSun"/>
                <w:b/>
                <w:bCs/>
              </w:rPr>
            </w:pPr>
          </w:p>
          <w:p w14:paraId="6737A14A" w14:textId="77777777" w:rsidR="00B7184F" w:rsidRPr="00B7184F" w:rsidRDefault="00B7184F" w:rsidP="00B7184F">
            <w:pPr>
              <w:suppressAutoHyphens/>
              <w:spacing w:line="276" w:lineRule="auto"/>
              <w:ind w:left="899"/>
              <w:rPr>
                <w:rFonts w:eastAsia="SimSun"/>
                <w:b/>
                <w:bCs/>
              </w:rPr>
            </w:pPr>
            <w:r w:rsidRPr="00B7184F">
              <w:rPr>
                <w:rFonts w:eastAsia="SimSun"/>
                <w:b/>
                <w:bCs/>
              </w:rPr>
              <w:t>Docket No. 43899</w:t>
            </w:r>
          </w:p>
          <w:p w14:paraId="5C338E9D" w14:textId="77777777" w:rsidR="00B7184F" w:rsidRPr="00B7184F" w:rsidRDefault="00B7184F" w:rsidP="00B7184F">
            <w:pPr>
              <w:suppressAutoHyphens/>
              <w:spacing w:line="276" w:lineRule="auto"/>
              <w:rPr>
                <w:rFonts w:eastAsia="SimSun"/>
              </w:rPr>
            </w:pPr>
          </w:p>
        </w:tc>
      </w:tr>
    </w:tbl>
    <w:p w14:paraId="46FDDE21" w14:textId="77777777" w:rsidR="00B7184F" w:rsidRPr="00B7184F" w:rsidRDefault="00B7184F" w:rsidP="00B7184F">
      <w:pPr>
        <w:jc w:val="center"/>
        <w:rPr>
          <w:b/>
        </w:rPr>
      </w:pPr>
    </w:p>
    <w:p w14:paraId="143F713B" w14:textId="77777777" w:rsidR="00B7184F" w:rsidRPr="00B7184F" w:rsidRDefault="00B7184F" w:rsidP="00B7184F">
      <w:pPr>
        <w:jc w:val="center"/>
        <w:rPr>
          <w:u w:val="single"/>
        </w:rPr>
      </w:pPr>
      <w:r w:rsidRPr="00B7184F">
        <w:rPr>
          <w:b/>
          <w:u w:val="single"/>
        </w:rPr>
        <w:t>CERTIFICATE OF SERVICE</w:t>
      </w:r>
    </w:p>
    <w:p w14:paraId="60E7A4B8" w14:textId="77777777" w:rsidR="00B7184F" w:rsidRPr="00B7184F" w:rsidRDefault="00B7184F" w:rsidP="00B7184F"/>
    <w:p w14:paraId="31A72134" w14:textId="78E69F82" w:rsidR="00B7184F" w:rsidRPr="00B7184F" w:rsidRDefault="00B7184F" w:rsidP="00B7184F">
      <w:pPr>
        <w:spacing w:after="120" w:line="480" w:lineRule="auto"/>
        <w:ind w:firstLine="720"/>
        <w:jc w:val="both"/>
      </w:pPr>
      <w:r w:rsidRPr="00B7184F">
        <w:t xml:space="preserve">I hereby certify that I have this day served a copy of </w:t>
      </w:r>
      <w:r>
        <w:t>Electrify America, LLC’s Opposition to Sawnee EMC’s Objections to the Pre-Filed Direct Testimony of Jigar J. Shah</w:t>
      </w:r>
      <w:r w:rsidRPr="00B7184F">
        <w:t xml:space="preserve"> on the persons named below via email as follows: </w:t>
      </w: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7184F" w:rsidRPr="00B7184F" w14:paraId="28BDF7A5" w14:textId="77777777" w:rsidTr="00B7184F">
        <w:tc>
          <w:tcPr>
            <w:tcW w:w="4675" w:type="dxa"/>
          </w:tcPr>
          <w:p w14:paraId="73B1931E" w14:textId="77777777" w:rsidR="00B7184F" w:rsidRPr="00B7184F" w:rsidRDefault="00B7184F" w:rsidP="00B7184F">
            <w:pPr>
              <w:spacing w:after="120"/>
              <w:contextualSpacing/>
              <w:jc w:val="both"/>
            </w:pPr>
            <w:r w:rsidRPr="00B7184F">
              <w:t>Sallie Tanner</w:t>
            </w:r>
          </w:p>
          <w:p w14:paraId="7E65CDD2" w14:textId="77777777" w:rsidR="00B7184F" w:rsidRPr="00B7184F" w:rsidRDefault="00B7184F" w:rsidP="00B7184F">
            <w:pPr>
              <w:spacing w:after="120"/>
              <w:contextualSpacing/>
              <w:jc w:val="both"/>
            </w:pPr>
            <w:r w:rsidRPr="00B7184F">
              <w:t>Executive Director</w:t>
            </w:r>
          </w:p>
          <w:p w14:paraId="2295EF19" w14:textId="77777777" w:rsidR="00B7184F" w:rsidRPr="00B7184F" w:rsidRDefault="00B7184F" w:rsidP="00B7184F">
            <w:pPr>
              <w:spacing w:after="120"/>
              <w:contextualSpacing/>
              <w:jc w:val="both"/>
            </w:pPr>
            <w:r w:rsidRPr="00B7184F">
              <w:t>Georgia Public Service Commission</w:t>
            </w:r>
          </w:p>
          <w:p w14:paraId="6D0244A8" w14:textId="77777777" w:rsidR="00B7184F" w:rsidRPr="00B7184F" w:rsidRDefault="00B7184F" w:rsidP="00B7184F">
            <w:pPr>
              <w:spacing w:after="120"/>
              <w:contextualSpacing/>
              <w:jc w:val="both"/>
            </w:pPr>
            <w:r w:rsidRPr="00B7184F">
              <w:t>244 Washington Street</w:t>
            </w:r>
          </w:p>
          <w:p w14:paraId="0B10D22D" w14:textId="77777777" w:rsidR="00B7184F" w:rsidRPr="00B7184F" w:rsidRDefault="00B7184F" w:rsidP="00B7184F">
            <w:pPr>
              <w:spacing w:after="120"/>
              <w:contextualSpacing/>
              <w:jc w:val="both"/>
            </w:pPr>
            <w:r w:rsidRPr="00B7184F">
              <w:t>Atlanta, GA 30334</w:t>
            </w:r>
          </w:p>
          <w:p w14:paraId="1F5BC69E" w14:textId="74BBAFD6" w:rsidR="00B7184F" w:rsidRPr="00B7184F" w:rsidRDefault="00CD4ADE" w:rsidP="00B7184F">
            <w:pPr>
              <w:spacing w:after="120"/>
              <w:contextualSpacing/>
              <w:jc w:val="both"/>
            </w:pPr>
            <w:hyperlink r:id="rId8" w:history="1">
              <w:r w:rsidR="00B7184F" w:rsidRPr="00B7184F">
                <w:rPr>
                  <w:color w:val="0000FF"/>
                  <w:u w:val="single"/>
                </w:rPr>
                <w:t>stanner@psc.ga.gov</w:t>
              </w:r>
            </w:hyperlink>
          </w:p>
          <w:p w14:paraId="1EDF4CB4" w14:textId="77777777" w:rsidR="00B7184F" w:rsidRPr="00B7184F" w:rsidRDefault="00B7184F" w:rsidP="00B7184F">
            <w:pPr>
              <w:spacing w:after="120"/>
              <w:contextualSpacing/>
              <w:jc w:val="both"/>
            </w:pPr>
          </w:p>
        </w:tc>
        <w:tc>
          <w:tcPr>
            <w:tcW w:w="4675" w:type="dxa"/>
            <w:hideMark/>
          </w:tcPr>
          <w:p w14:paraId="778E5CCB" w14:textId="77777777" w:rsidR="00B7184F" w:rsidRPr="00B7184F" w:rsidRDefault="00B7184F" w:rsidP="00B7184F">
            <w:pPr>
              <w:spacing w:after="120"/>
              <w:contextualSpacing/>
              <w:jc w:val="both"/>
            </w:pPr>
            <w:r w:rsidRPr="00B7184F">
              <w:t>Ms. Nancy Gibson</w:t>
            </w:r>
          </w:p>
          <w:p w14:paraId="2B8ADBEC" w14:textId="77777777" w:rsidR="00B7184F" w:rsidRPr="00B7184F" w:rsidRDefault="00B7184F" w:rsidP="00B7184F">
            <w:pPr>
              <w:spacing w:after="120"/>
              <w:contextualSpacing/>
              <w:jc w:val="both"/>
            </w:pPr>
            <w:r w:rsidRPr="00B7184F">
              <w:t>Georgia Public Service Commission</w:t>
            </w:r>
          </w:p>
          <w:p w14:paraId="0923B019" w14:textId="77777777" w:rsidR="00B7184F" w:rsidRPr="00B7184F" w:rsidRDefault="00B7184F" w:rsidP="00B7184F">
            <w:pPr>
              <w:spacing w:after="120"/>
              <w:contextualSpacing/>
              <w:jc w:val="both"/>
            </w:pPr>
            <w:r w:rsidRPr="00B7184F">
              <w:t>244 Washington Street, SW</w:t>
            </w:r>
          </w:p>
          <w:p w14:paraId="39276DDF" w14:textId="77777777" w:rsidR="00B7184F" w:rsidRPr="00B7184F" w:rsidRDefault="00B7184F" w:rsidP="00B7184F">
            <w:pPr>
              <w:spacing w:after="120"/>
              <w:contextualSpacing/>
              <w:jc w:val="both"/>
            </w:pPr>
            <w:r w:rsidRPr="00B7184F">
              <w:t>Atlanta, Georgia 30334-5701</w:t>
            </w:r>
          </w:p>
          <w:p w14:paraId="38AEE618" w14:textId="36A012D2" w:rsidR="00B7184F" w:rsidRPr="00B7184F" w:rsidRDefault="00CD4ADE" w:rsidP="00B7184F">
            <w:pPr>
              <w:spacing w:after="120"/>
              <w:contextualSpacing/>
              <w:jc w:val="both"/>
            </w:pPr>
            <w:hyperlink r:id="rId9" w:history="1">
              <w:r w:rsidR="00B7184F" w:rsidRPr="00B7184F">
                <w:rPr>
                  <w:color w:val="0000FF"/>
                  <w:u w:val="single"/>
                </w:rPr>
                <w:t>ngibson@psc.ga.gov</w:t>
              </w:r>
            </w:hyperlink>
            <w:r w:rsidR="00B7184F" w:rsidRPr="00B7184F">
              <w:t xml:space="preserve"> </w:t>
            </w:r>
          </w:p>
        </w:tc>
      </w:tr>
      <w:tr w:rsidR="00B7184F" w:rsidRPr="00B7184F" w14:paraId="4E43815A" w14:textId="77777777" w:rsidTr="00B7184F">
        <w:tc>
          <w:tcPr>
            <w:tcW w:w="4675" w:type="dxa"/>
          </w:tcPr>
          <w:p w14:paraId="1AD22F03" w14:textId="77777777" w:rsidR="00B7184F" w:rsidRPr="00B7184F" w:rsidRDefault="00B7184F" w:rsidP="00B7184F">
            <w:pPr>
              <w:spacing w:after="120"/>
              <w:contextualSpacing/>
              <w:jc w:val="both"/>
            </w:pPr>
            <w:r w:rsidRPr="00B7184F">
              <w:t>Mr. Steven J. Hewitson</w:t>
            </w:r>
          </w:p>
          <w:p w14:paraId="0C62572A" w14:textId="77777777" w:rsidR="00B7184F" w:rsidRPr="00B7184F" w:rsidRDefault="00B7184F" w:rsidP="00B7184F">
            <w:pPr>
              <w:spacing w:after="120"/>
              <w:contextualSpacing/>
              <w:jc w:val="both"/>
            </w:pPr>
            <w:r w:rsidRPr="00B7184F">
              <w:t>Troutman Pepper Hamilton Sanders, LLP</w:t>
            </w:r>
          </w:p>
          <w:p w14:paraId="33B6AE44" w14:textId="77777777" w:rsidR="00B7184F" w:rsidRPr="00B7184F" w:rsidRDefault="00B7184F" w:rsidP="00B7184F">
            <w:pPr>
              <w:spacing w:after="120"/>
              <w:contextualSpacing/>
              <w:jc w:val="both"/>
            </w:pPr>
            <w:r w:rsidRPr="00B7184F">
              <w:t>Bank of America Plaza</w:t>
            </w:r>
          </w:p>
          <w:p w14:paraId="02482F8A" w14:textId="77777777" w:rsidR="00B7184F" w:rsidRPr="00B7184F" w:rsidRDefault="00B7184F" w:rsidP="00B7184F">
            <w:pPr>
              <w:spacing w:after="120"/>
              <w:contextualSpacing/>
              <w:jc w:val="both"/>
            </w:pPr>
            <w:r w:rsidRPr="00B7184F">
              <w:t>600 Peachtree Street, N.E., Suite 3000</w:t>
            </w:r>
          </w:p>
          <w:p w14:paraId="26546387" w14:textId="77777777" w:rsidR="00B7184F" w:rsidRPr="00B7184F" w:rsidRDefault="00B7184F" w:rsidP="00B7184F">
            <w:pPr>
              <w:spacing w:after="120"/>
              <w:contextualSpacing/>
              <w:jc w:val="both"/>
            </w:pPr>
            <w:r w:rsidRPr="00B7184F">
              <w:t>Atlanta, Georgia 30308-2216</w:t>
            </w:r>
          </w:p>
          <w:p w14:paraId="0E7AF3D6" w14:textId="0063ADCB" w:rsidR="00B7184F" w:rsidRPr="00B7184F" w:rsidRDefault="00CD4ADE" w:rsidP="00B7184F">
            <w:pPr>
              <w:spacing w:after="120"/>
              <w:contextualSpacing/>
              <w:jc w:val="both"/>
            </w:pPr>
            <w:hyperlink r:id="rId10" w:history="1">
              <w:r w:rsidR="00B7184F" w:rsidRPr="00B7184F">
                <w:rPr>
                  <w:color w:val="0000FF"/>
                  <w:u w:val="single"/>
                </w:rPr>
                <w:t>Steven.hewitson@troutman.com</w:t>
              </w:r>
            </w:hyperlink>
          </w:p>
          <w:p w14:paraId="1DE90F4B" w14:textId="77777777" w:rsidR="00B7184F" w:rsidRPr="00B7184F" w:rsidRDefault="00B7184F" w:rsidP="00B7184F">
            <w:pPr>
              <w:spacing w:after="120"/>
              <w:contextualSpacing/>
              <w:jc w:val="both"/>
              <w:rPr>
                <w:i/>
              </w:rPr>
            </w:pPr>
            <w:r w:rsidRPr="00B7184F">
              <w:rPr>
                <w:i/>
              </w:rPr>
              <w:t>Counsel for Georgia Power Company</w:t>
            </w:r>
          </w:p>
          <w:p w14:paraId="10FC6CB7" w14:textId="77777777" w:rsidR="00B7184F" w:rsidRPr="00B7184F" w:rsidRDefault="00B7184F" w:rsidP="00B7184F">
            <w:pPr>
              <w:spacing w:after="120"/>
              <w:contextualSpacing/>
              <w:jc w:val="both"/>
              <w:rPr>
                <w:i/>
              </w:rPr>
            </w:pPr>
          </w:p>
        </w:tc>
        <w:tc>
          <w:tcPr>
            <w:tcW w:w="4675" w:type="dxa"/>
            <w:hideMark/>
          </w:tcPr>
          <w:p w14:paraId="3EE3725C" w14:textId="77777777" w:rsidR="00B7184F" w:rsidRPr="00B7184F" w:rsidRDefault="00B7184F" w:rsidP="00B7184F">
            <w:pPr>
              <w:spacing w:after="120"/>
              <w:contextualSpacing/>
              <w:jc w:val="both"/>
            </w:pPr>
            <w:r w:rsidRPr="00B7184F">
              <w:t>Ms. Bernice I. Corman</w:t>
            </w:r>
          </w:p>
          <w:p w14:paraId="36A71102" w14:textId="77777777" w:rsidR="00B7184F" w:rsidRPr="00B7184F" w:rsidRDefault="00B7184F" w:rsidP="00B7184F">
            <w:pPr>
              <w:spacing w:after="120"/>
              <w:contextualSpacing/>
              <w:jc w:val="both"/>
            </w:pPr>
            <w:r w:rsidRPr="00B7184F">
              <w:t>Bicky Corman Law, PLLC</w:t>
            </w:r>
          </w:p>
          <w:p w14:paraId="42444E8C" w14:textId="77777777" w:rsidR="00B7184F" w:rsidRPr="00B7184F" w:rsidRDefault="00B7184F" w:rsidP="00B7184F">
            <w:pPr>
              <w:spacing w:after="120"/>
              <w:contextualSpacing/>
              <w:jc w:val="both"/>
            </w:pPr>
            <w:r w:rsidRPr="00B7184F">
              <w:t>1250 Connecticut Avenue, NW, Suite 700</w:t>
            </w:r>
          </w:p>
          <w:p w14:paraId="51861C03" w14:textId="77777777" w:rsidR="00B7184F" w:rsidRPr="00B7184F" w:rsidRDefault="00B7184F" w:rsidP="00B7184F">
            <w:pPr>
              <w:spacing w:after="120"/>
              <w:contextualSpacing/>
              <w:jc w:val="both"/>
            </w:pPr>
            <w:r w:rsidRPr="00B7184F">
              <w:t>Washington, DC 20036</w:t>
            </w:r>
          </w:p>
          <w:p w14:paraId="20ED800D" w14:textId="404586CD" w:rsidR="00B7184F" w:rsidRPr="00B7184F" w:rsidRDefault="00CD4ADE" w:rsidP="00B7184F">
            <w:pPr>
              <w:spacing w:after="120"/>
              <w:contextualSpacing/>
              <w:jc w:val="both"/>
            </w:pPr>
            <w:hyperlink r:id="rId11" w:history="1">
              <w:r w:rsidR="00B7184F" w:rsidRPr="00B7184F">
                <w:rPr>
                  <w:color w:val="0000FF"/>
                  <w:u w:val="single"/>
                </w:rPr>
                <w:t>bcorman@bickycolmanlaw.com</w:t>
              </w:r>
            </w:hyperlink>
          </w:p>
          <w:p w14:paraId="525627D9" w14:textId="77777777" w:rsidR="00B7184F" w:rsidRPr="00B7184F" w:rsidRDefault="00B7184F" w:rsidP="00B7184F">
            <w:pPr>
              <w:spacing w:after="120"/>
              <w:contextualSpacing/>
              <w:jc w:val="both"/>
              <w:rPr>
                <w:i/>
              </w:rPr>
            </w:pPr>
            <w:r w:rsidRPr="00B7184F">
              <w:rPr>
                <w:i/>
              </w:rPr>
              <w:t>Counsel for Tesla, Inc.</w:t>
            </w:r>
          </w:p>
        </w:tc>
      </w:tr>
      <w:tr w:rsidR="00B7184F" w:rsidRPr="00B7184F" w14:paraId="486409BE" w14:textId="77777777" w:rsidTr="00B7184F">
        <w:tc>
          <w:tcPr>
            <w:tcW w:w="4675" w:type="dxa"/>
          </w:tcPr>
          <w:p w14:paraId="0EC64B84" w14:textId="77777777" w:rsidR="00B7184F" w:rsidRPr="00B7184F" w:rsidRDefault="00B7184F" w:rsidP="00B7184F">
            <w:pPr>
              <w:spacing w:after="120"/>
              <w:contextualSpacing/>
              <w:jc w:val="both"/>
            </w:pPr>
            <w:r w:rsidRPr="00B7184F">
              <w:t>Mr. James A. Orr</w:t>
            </w:r>
          </w:p>
          <w:p w14:paraId="684BB70E" w14:textId="77777777" w:rsidR="00B7184F" w:rsidRPr="00B7184F" w:rsidRDefault="00B7184F" w:rsidP="00B7184F">
            <w:pPr>
              <w:spacing w:after="120"/>
              <w:contextualSpacing/>
              <w:jc w:val="both"/>
            </w:pPr>
            <w:r w:rsidRPr="00B7184F">
              <w:t>Eversheds Sutherland (US) LLP</w:t>
            </w:r>
          </w:p>
          <w:p w14:paraId="3BBA8574" w14:textId="77777777" w:rsidR="00B7184F" w:rsidRPr="00B7184F" w:rsidRDefault="00B7184F" w:rsidP="00B7184F">
            <w:pPr>
              <w:spacing w:after="120"/>
              <w:contextualSpacing/>
              <w:jc w:val="both"/>
            </w:pPr>
            <w:r w:rsidRPr="00B7184F">
              <w:t>999 Peachtree Street, N.E.</w:t>
            </w:r>
          </w:p>
          <w:p w14:paraId="7D9E8628" w14:textId="77777777" w:rsidR="00B7184F" w:rsidRPr="00B7184F" w:rsidRDefault="00B7184F" w:rsidP="00B7184F">
            <w:pPr>
              <w:spacing w:after="120"/>
              <w:contextualSpacing/>
              <w:jc w:val="both"/>
            </w:pPr>
            <w:r w:rsidRPr="00B7184F">
              <w:t>Suite 2300</w:t>
            </w:r>
          </w:p>
          <w:p w14:paraId="458DB6A0" w14:textId="77777777" w:rsidR="00B7184F" w:rsidRPr="00B7184F" w:rsidRDefault="00B7184F" w:rsidP="00B7184F">
            <w:pPr>
              <w:spacing w:after="120"/>
              <w:contextualSpacing/>
              <w:jc w:val="both"/>
            </w:pPr>
            <w:r w:rsidRPr="00B7184F">
              <w:t>Atlanta, Georgia 30309-3996</w:t>
            </w:r>
          </w:p>
          <w:p w14:paraId="68A3E8F8" w14:textId="5C4131D0" w:rsidR="00B7184F" w:rsidRPr="00B7184F" w:rsidRDefault="00CD4ADE" w:rsidP="00B7184F">
            <w:pPr>
              <w:spacing w:after="120"/>
              <w:contextualSpacing/>
              <w:jc w:val="both"/>
            </w:pPr>
            <w:hyperlink r:id="rId12" w:history="1">
              <w:r w:rsidR="00B7184F" w:rsidRPr="00B7184F">
                <w:rPr>
                  <w:color w:val="0000FF"/>
                  <w:u w:val="single"/>
                </w:rPr>
                <w:t>jamesorr@eversheds-sutherland.com</w:t>
              </w:r>
            </w:hyperlink>
            <w:r w:rsidR="00B7184F" w:rsidRPr="00B7184F">
              <w:t xml:space="preserve"> </w:t>
            </w:r>
          </w:p>
          <w:p w14:paraId="732D71EB" w14:textId="77777777" w:rsidR="00B7184F" w:rsidRPr="00B7184F" w:rsidRDefault="00B7184F" w:rsidP="00B7184F">
            <w:pPr>
              <w:spacing w:after="120"/>
              <w:contextualSpacing/>
              <w:jc w:val="both"/>
              <w:rPr>
                <w:i/>
              </w:rPr>
            </w:pPr>
            <w:r w:rsidRPr="00B7184F">
              <w:rPr>
                <w:i/>
              </w:rPr>
              <w:t>Counsel for Sawnee Electric Membership Corporation</w:t>
            </w:r>
          </w:p>
          <w:p w14:paraId="31783FEE" w14:textId="77777777" w:rsidR="00B7184F" w:rsidRPr="00B7184F" w:rsidRDefault="00B7184F" w:rsidP="00B7184F">
            <w:pPr>
              <w:spacing w:after="120"/>
              <w:contextualSpacing/>
              <w:jc w:val="both"/>
            </w:pPr>
          </w:p>
        </w:tc>
        <w:tc>
          <w:tcPr>
            <w:tcW w:w="4675" w:type="dxa"/>
            <w:hideMark/>
          </w:tcPr>
          <w:p w14:paraId="6D39552A" w14:textId="77777777" w:rsidR="00B7184F" w:rsidRPr="00B7184F" w:rsidRDefault="00B7184F" w:rsidP="00B7184F">
            <w:pPr>
              <w:spacing w:after="120"/>
              <w:contextualSpacing/>
              <w:jc w:val="both"/>
            </w:pPr>
            <w:r w:rsidRPr="00B7184F">
              <w:t>Mr. Newton M. Galloway</w:t>
            </w:r>
          </w:p>
          <w:p w14:paraId="4B8525F1" w14:textId="77777777" w:rsidR="00B7184F" w:rsidRPr="00B7184F" w:rsidRDefault="00B7184F" w:rsidP="00B7184F">
            <w:pPr>
              <w:spacing w:after="120"/>
              <w:contextualSpacing/>
              <w:jc w:val="both"/>
            </w:pPr>
            <w:r w:rsidRPr="00B7184F">
              <w:t>Terri M. Lyndall</w:t>
            </w:r>
          </w:p>
          <w:p w14:paraId="4E0D67CA" w14:textId="77777777" w:rsidR="00B7184F" w:rsidRPr="00B7184F" w:rsidRDefault="00B7184F" w:rsidP="00B7184F">
            <w:pPr>
              <w:spacing w:after="120"/>
              <w:contextualSpacing/>
              <w:jc w:val="both"/>
            </w:pPr>
            <w:r w:rsidRPr="00B7184F">
              <w:t>Galloway &amp; Lyndall, LLP</w:t>
            </w:r>
          </w:p>
          <w:p w14:paraId="73539708" w14:textId="77777777" w:rsidR="00B7184F" w:rsidRPr="00B7184F" w:rsidRDefault="00B7184F" w:rsidP="00B7184F">
            <w:pPr>
              <w:spacing w:after="120"/>
              <w:contextualSpacing/>
              <w:jc w:val="both"/>
            </w:pPr>
            <w:r w:rsidRPr="00B7184F">
              <w:t>The Lewis Mills House</w:t>
            </w:r>
          </w:p>
          <w:p w14:paraId="68D60843" w14:textId="77777777" w:rsidR="00B7184F" w:rsidRPr="00B7184F" w:rsidRDefault="00B7184F" w:rsidP="00B7184F">
            <w:pPr>
              <w:spacing w:after="120"/>
              <w:contextualSpacing/>
              <w:jc w:val="both"/>
            </w:pPr>
            <w:r w:rsidRPr="00B7184F">
              <w:t>406 North Hill Street</w:t>
            </w:r>
          </w:p>
          <w:p w14:paraId="7607E401" w14:textId="77777777" w:rsidR="00B7184F" w:rsidRPr="00B7184F" w:rsidRDefault="00B7184F" w:rsidP="00B7184F">
            <w:pPr>
              <w:spacing w:after="120"/>
              <w:contextualSpacing/>
              <w:jc w:val="both"/>
            </w:pPr>
            <w:r w:rsidRPr="00B7184F">
              <w:t>Griffin, GA 30223</w:t>
            </w:r>
          </w:p>
          <w:p w14:paraId="27C2E942" w14:textId="7C8AB23E" w:rsidR="00B7184F" w:rsidRPr="00B7184F" w:rsidRDefault="00CD4ADE" w:rsidP="00B7184F">
            <w:pPr>
              <w:spacing w:after="120"/>
              <w:contextualSpacing/>
              <w:jc w:val="both"/>
            </w:pPr>
            <w:hyperlink r:id="rId13" w:history="1">
              <w:r w:rsidR="00B7184F" w:rsidRPr="00B7184F">
                <w:rPr>
                  <w:color w:val="0000FF"/>
                  <w:u w:val="single"/>
                </w:rPr>
                <w:t>ngalloway@gallyn-law.com</w:t>
              </w:r>
            </w:hyperlink>
          </w:p>
          <w:p w14:paraId="7B7B5C38" w14:textId="67012166" w:rsidR="00B7184F" w:rsidRPr="00B7184F" w:rsidRDefault="00CD4ADE" w:rsidP="00B7184F">
            <w:pPr>
              <w:spacing w:after="120"/>
              <w:contextualSpacing/>
              <w:jc w:val="both"/>
            </w:pPr>
            <w:hyperlink r:id="rId14" w:history="1">
              <w:r w:rsidR="00B7184F" w:rsidRPr="00B7184F">
                <w:rPr>
                  <w:color w:val="0000FF"/>
                  <w:u w:val="single"/>
                </w:rPr>
                <w:t>tlyndall@gallyn-law.com</w:t>
              </w:r>
            </w:hyperlink>
            <w:r w:rsidR="00B7184F" w:rsidRPr="00B7184F">
              <w:t xml:space="preserve"> </w:t>
            </w:r>
          </w:p>
          <w:p w14:paraId="468DC8FA" w14:textId="77777777" w:rsidR="00B7184F" w:rsidRPr="00B7184F" w:rsidRDefault="00B7184F" w:rsidP="00B7184F">
            <w:pPr>
              <w:spacing w:after="120"/>
              <w:contextualSpacing/>
              <w:jc w:val="both"/>
              <w:rPr>
                <w:i/>
              </w:rPr>
            </w:pPr>
            <w:r w:rsidRPr="00B7184F">
              <w:rPr>
                <w:i/>
              </w:rPr>
              <w:t>Counsel for RaceTrac Petroleum, Inc.</w:t>
            </w:r>
          </w:p>
        </w:tc>
      </w:tr>
    </w:tbl>
    <w:p w14:paraId="40D69F95" w14:textId="77777777" w:rsidR="00B7184F" w:rsidRPr="00B7184F" w:rsidRDefault="00B7184F" w:rsidP="00B7184F">
      <w:pPr>
        <w:spacing w:after="120" w:line="480" w:lineRule="auto"/>
        <w:ind w:firstLine="720"/>
        <w:jc w:val="both"/>
      </w:pPr>
    </w:p>
    <w:p w14:paraId="04B4DDA4" w14:textId="50C8B51C" w:rsidR="00B7184F" w:rsidRPr="00B7184F" w:rsidRDefault="00B7184F" w:rsidP="00B7184F">
      <w:pPr>
        <w:spacing w:after="200" w:line="276" w:lineRule="auto"/>
      </w:pPr>
      <w:r w:rsidRPr="00B7184F">
        <w:lastRenderedPageBreak/>
        <w:t> </w:t>
      </w:r>
      <w:r w:rsidRPr="00B7184F">
        <w:tab/>
        <w:t xml:space="preserve">Respectfully submitted this </w:t>
      </w:r>
      <w:r w:rsidR="007418E5">
        <w:t>14</w:t>
      </w:r>
      <w:r w:rsidRPr="00B7184F">
        <w:t xml:space="preserve">th day of </w:t>
      </w:r>
      <w:r w:rsidR="00EF40F0">
        <w:t>January</w:t>
      </w:r>
      <w:r w:rsidRPr="00B7184F">
        <w:t>, 202</w:t>
      </w:r>
      <w:r w:rsidR="00EF40F0">
        <w:t>2</w:t>
      </w:r>
      <w:r w:rsidRPr="00B7184F">
        <w:t>.</w:t>
      </w:r>
    </w:p>
    <w:p w14:paraId="29A78D22" w14:textId="77777777" w:rsidR="00B7184F" w:rsidRPr="00B7184F" w:rsidRDefault="00B7184F" w:rsidP="00B7184F">
      <w:pPr>
        <w:autoSpaceDE w:val="0"/>
        <w:autoSpaceDN w:val="0"/>
        <w:adjustRightInd w:val="0"/>
        <w:ind w:left="3600" w:firstLine="1350"/>
        <w:jc w:val="both"/>
        <w:rPr>
          <w:b/>
          <w:szCs w:val="24"/>
        </w:rPr>
      </w:pPr>
      <w:r w:rsidRPr="00B7184F">
        <w:rPr>
          <w:b/>
          <w:szCs w:val="24"/>
        </w:rPr>
        <w:t>HOLLAND &amp; KNIGHT LLP</w:t>
      </w:r>
    </w:p>
    <w:p w14:paraId="1BDE1FCE" w14:textId="7384994E" w:rsidR="00B7184F" w:rsidRPr="00B7184F" w:rsidRDefault="00B7184F" w:rsidP="00B7184F">
      <w:pPr>
        <w:autoSpaceDE w:val="0"/>
        <w:autoSpaceDN w:val="0"/>
        <w:adjustRightInd w:val="0"/>
        <w:ind w:left="3600" w:firstLine="1350"/>
        <w:jc w:val="both"/>
        <w:rPr>
          <w:b/>
          <w:szCs w:val="24"/>
        </w:rPr>
      </w:pPr>
      <w:bookmarkStart w:id="10" w:name="_GoBack"/>
      <w:bookmarkEnd w:id="10"/>
    </w:p>
    <w:p w14:paraId="3376DC22" w14:textId="77777777" w:rsidR="00B7184F" w:rsidRPr="00B7184F" w:rsidRDefault="00B7184F" w:rsidP="00B7184F">
      <w:pPr>
        <w:autoSpaceDE w:val="0"/>
        <w:autoSpaceDN w:val="0"/>
        <w:adjustRightInd w:val="0"/>
        <w:ind w:firstLine="1350"/>
        <w:jc w:val="both"/>
        <w:rPr>
          <w:szCs w:val="24"/>
        </w:rPr>
      </w:pPr>
    </w:p>
    <w:p w14:paraId="71E7C3F7" w14:textId="77777777" w:rsidR="00B7184F" w:rsidRPr="00B7184F" w:rsidRDefault="00B7184F" w:rsidP="00B7184F">
      <w:pPr>
        <w:autoSpaceDE w:val="0"/>
        <w:autoSpaceDN w:val="0"/>
        <w:adjustRightInd w:val="0"/>
        <w:ind w:firstLine="1350"/>
        <w:jc w:val="both"/>
        <w:rPr>
          <w:szCs w:val="24"/>
        </w:rPr>
      </w:pP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t>________________________</w:t>
      </w:r>
    </w:p>
    <w:p w14:paraId="6355BCBC" w14:textId="77777777" w:rsidR="00B7184F" w:rsidRPr="00B7184F" w:rsidRDefault="00B7184F" w:rsidP="00B7184F">
      <w:pPr>
        <w:autoSpaceDE w:val="0"/>
        <w:autoSpaceDN w:val="0"/>
        <w:adjustRightInd w:val="0"/>
        <w:ind w:firstLine="1350"/>
        <w:jc w:val="both"/>
        <w:rPr>
          <w:szCs w:val="24"/>
        </w:rPr>
      </w:pP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t>Robert S. Highsmith Jr.</w:t>
      </w:r>
    </w:p>
    <w:p w14:paraId="6B36689D" w14:textId="77777777" w:rsidR="00B7184F" w:rsidRPr="00B7184F" w:rsidRDefault="00B7184F" w:rsidP="00B7184F">
      <w:pPr>
        <w:autoSpaceDE w:val="0"/>
        <w:autoSpaceDN w:val="0"/>
        <w:adjustRightInd w:val="0"/>
        <w:ind w:firstLine="1350"/>
        <w:jc w:val="both"/>
        <w:rPr>
          <w:szCs w:val="24"/>
        </w:rPr>
      </w:pP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t>State Bar of Georgia No. 352777</w:t>
      </w:r>
    </w:p>
    <w:p w14:paraId="21583397" w14:textId="77777777" w:rsidR="00B7184F" w:rsidRPr="00B7184F" w:rsidRDefault="00B7184F" w:rsidP="00B7184F">
      <w:pPr>
        <w:autoSpaceDE w:val="0"/>
        <w:autoSpaceDN w:val="0"/>
        <w:adjustRightInd w:val="0"/>
        <w:ind w:firstLine="1350"/>
        <w:jc w:val="both"/>
        <w:rPr>
          <w:szCs w:val="24"/>
        </w:rPr>
      </w:pP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r>
    </w:p>
    <w:p w14:paraId="4FBFF8B4" w14:textId="77777777" w:rsidR="00B7184F" w:rsidRPr="00B7184F" w:rsidRDefault="00B7184F" w:rsidP="00B7184F">
      <w:pPr>
        <w:autoSpaceDE w:val="0"/>
        <w:autoSpaceDN w:val="0"/>
        <w:adjustRightInd w:val="0"/>
        <w:ind w:left="3600" w:firstLine="1350"/>
        <w:jc w:val="both"/>
        <w:rPr>
          <w:i/>
          <w:szCs w:val="24"/>
        </w:rPr>
      </w:pP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szCs w:val="24"/>
        </w:rPr>
        <w:tab/>
      </w:r>
      <w:r w:rsidRPr="00B7184F">
        <w:rPr>
          <w:i/>
          <w:szCs w:val="24"/>
        </w:rPr>
        <w:t>Attorneys for Electrify America, LLC</w:t>
      </w:r>
    </w:p>
    <w:p w14:paraId="12B4EADC" w14:textId="77777777" w:rsidR="00B7184F" w:rsidRPr="00B7184F" w:rsidRDefault="00B7184F" w:rsidP="00B7184F">
      <w:pPr>
        <w:autoSpaceDE w:val="0"/>
        <w:autoSpaceDN w:val="0"/>
        <w:adjustRightInd w:val="0"/>
        <w:jc w:val="both"/>
        <w:rPr>
          <w:szCs w:val="24"/>
        </w:rPr>
      </w:pPr>
    </w:p>
    <w:p w14:paraId="41A2A8C1" w14:textId="77777777" w:rsidR="00B7184F" w:rsidRPr="00B7184F" w:rsidRDefault="00B7184F" w:rsidP="00B7184F">
      <w:pPr>
        <w:autoSpaceDE w:val="0"/>
        <w:autoSpaceDN w:val="0"/>
        <w:adjustRightInd w:val="0"/>
        <w:jc w:val="both"/>
        <w:rPr>
          <w:szCs w:val="24"/>
        </w:rPr>
      </w:pPr>
      <w:r w:rsidRPr="00B7184F">
        <w:rPr>
          <w:szCs w:val="24"/>
        </w:rPr>
        <w:t>Regions Plaza, Suite 1800</w:t>
      </w:r>
    </w:p>
    <w:p w14:paraId="1830BBBF" w14:textId="77777777" w:rsidR="00B7184F" w:rsidRPr="00B7184F" w:rsidRDefault="00B7184F" w:rsidP="00B7184F">
      <w:pPr>
        <w:autoSpaceDE w:val="0"/>
        <w:autoSpaceDN w:val="0"/>
        <w:adjustRightInd w:val="0"/>
        <w:jc w:val="both"/>
        <w:rPr>
          <w:szCs w:val="24"/>
        </w:rPr>
      </w:pPr>
      <w:r w:rsidRPr="00B7184F">
        <w:rPr>
          <w:szCs w:val="24"/>
        </w:rPr>
        <w:t>1180 W. Peachtree Street, N.W.</w:t>
      </w:r>
    </w:p>
    <w:p w14:paraId="209F5ABE" w14:textId="77777777" w:rsidR="00B7184F" w:rsidRPr="00B7184F" w:rsidRDefault="00B7184F" w:rsidP="00B7184F">
      <w:pPr>
        <w:autoSpaceDE w:val="0"/>
        <w:autoSpaceDN w:val="0"/>
        <w:adjustRightInd w:val="0"/>
        <w:jc w:val="both"/>
        <w:rPr>
          <w:szCs w:val="24"/>
        </w:rPr>
      </w:pPr>
      <w:r w:rsidRPr="00B7184F">
        <w:rPr>
          <w:szCs w:val="24"/>
        </w:rPr>
        <w:t>Atlanta, Georgia  30309</w:t>
      </w:r>
    </w:p>
    <w:p w14:paraId="1C68E206" w14:textId="77777777" w:rsidR="00B7184F" w:rsidRPr="00B7184F" w:rsidRDefault="00B7184F" w:rsidP="00B7184F">
      <w:pPr>
        <w:autoSpaceDE w:val="0"/>
        <w:autoSpaceDN w:val="0"/>
        <w:adjustRightInd w:val="0"/>
        <w:jc w:val="both"/>
        <w:rPr>
          <w:szCs w:val="24"/>
        </w:rPr>
      </w:pPr>
      <w:r w:rsidRPr="00B7184F">
        <w:rPr>
          <w:szCs w:val="24"/>
        </w:rPr>
        <w:t>Tel. 404.817.8500</w:t>
      </w:r>
    </w:p>
    <w:p w14:paraId="7EB3C017" w14:textId="77777777" w:rsidR="00B7184F" w:rsidRPr="00B7184F" w:rsidRDefault="00B7184F" w:rsidP="00B7184F">
      <w:pPr>
        <w:autoSpaceDE w:val="0"/>
        <w:autoSpaceDN w:val="0"/>
        <w:adjustRightInd w:val="0"/>
        <w:jc w:val="both"/>
        <w:rPr>
          <w:szCs w:val="24"/>
        </w:rPr>
      </w:pPr>
      <w:r w:rsidRPr="00B7184F">
        <w:rPr>
          <w:szCs w:val="24"/>
        </w:rPr>
        <w:t>robert.highsmith@hklaw.com</w:t>
      </w:r>
    </w:p>
    <w:p w14:paraId="50DD303C" w14:textId="77777777" w:rsidR="00B7184F" w:rsidRPr="00B7184F" w:rsidRDefault="00B7184F" w:rsidP="00B7184F">
      <w:pPr>
        <w:autoSpaceDE w:val="0"/>
        <w:autoSpaceDN w:val="0"/>
        <w:adjustRightInd w:val="0"/>
        <w:jc w:val="both"/>
        <w:rPr>
          <w:szCs w:val="24"/>
        </w:rPr>
      </w:pPr>
    </w:p>
    <w:p w14:paraId="50904DA1" w14:textId="77777777" w:rsidR="00B7184F" w:rsidRPr="00B7184F" w:rsidRDefault="00B7184F" w:rsidP="00B7184F">
      <w:pPr>
        <w:spacing w:after="200" w:line="276" w:lineRule="auto"/>
      </w:pPr>
    </w:p>
    <w:p w14:paraId="4AFEFF8A" w14:textId="77777777" w:rsidR="00B7184F" w:rsidRPr="00B7184F" w:rsidRDefault="00B7184F" w:rsidP="00B7184F">
      <w:pPr>
        <w:spacing w:after="200" w:line="276" w:lineRule="auto"/>
      </w:pPr>
    </w:p>
    <w:p w14:paraId="339E3A1C" w14:textId="77777777" w:rsidR="00B7184F" w:rsidRPr="00B7184F" w:rsidRDefault="00B7184F" w:rsidP="00B7184F">
      <w:pPr>
        <w:spacing w:after="200" w:line="276" w:lineRule="auto"/>
      </w:pPr>
    </w:p>
    <w:p w14:paraId="35665D41" w14:textId="3465DE59" w:rsidR="004F2EBE" w:rsidRDefault="004F2EBE">
      <w:pPr>
        <w:spacing w:after="200" w:line="276" w:lineRule="auto"/>
      </w:pPr>
    </w:p>
    <w:sectPr w:rsidR="004F2EBE" w:rsidSect="00C30BA9">
      <w:pgSz w:w="12240" w:h="15840" w:code="1"/>
      <w:pgMar w:top="1440" w:right="1440" w:bottom="1080" w:left="1440" w:header="720" w:footer="720" w:gutter="0"/>
      <w:paperSrc w:first="260" w:other="26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26A2F" w14:textId="77777777" w:rsidR="00A0614E" w:rsidRDefault="00A0614E" w:rsidP="00100747">
      <w:r>
        <w:separator/>
      </w:r>
    </w:p>
  </w:endnote>
  <w:endnote w:type="continuationSeparator" w:id="0">
    <w:p w14:paraId="0A18219C" w14:textId="77777777" w:rsidR="00A0614E" w:rsidRDefault="00A0614E" w:rsidP="0010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D289F" w14:textId="77777777" w:rsidR="00A0614E" w:rsidRDefault="00A0614E" w:rsidP="00100747">
      <w:r>
        <w:separator/>
      </w:r>
    </w:p>
  </w:footnote>
  <w:footnote w:type="continuationSeparator" w:id="0">
    <w:p w14:paraId="51CD4396" w14:textId="77777777" w:rsidR="00A0614E" w:rsidRDefault="00A0614E" w:rsidP="00100747">
      <w:r>
        <w:continuationSeparator/>
      </w:r>
    </w:p>
  </w:footnote>
  <w:footnote w:id="1">
    <w:p w14:paraId="542AE8C1" w14:textId="3972E486" w:rsidR="00EF40F0" w:rsidRDefault="00EF40F0">
      <w:pPr>
        <w:pStyle w:val="FootnoteText"/>
      </w:pPr>
      <w:r>
        <w:rPr>
          <w:rStyle w:val="FootnoteReference"/>
        </w:rPr>
        <w:footnoteRef/>
      </w:r>
      <w:r>
        <w:t xml:space="preserve"> Sawnee EMC subsequently filed a memorandum in support on January 5, 2022. </w:t>
      </w:r>
    </w:p>
  </w:footnote>
  <w:footnote w:id="2">
    <w:p w14:paraId="3E06D644" w14:textId="0FCB4116" w:rsidR="008A1289" w:rsidRDefault="008A1289">
      <w:pPr>
        <w:pStyle w:val="FootnoteText"/>
      </w:pPr>
      <w:r>
        <w:rPr>
          <w:rStyle w:val="FootnoteReference"/>
        </w:rPr>
        <w:footnoteRef/>
      </w:r>
      <w:r>
        <w:t xml:space="preserve"> </w:t>
      </w:r>
      <w:r w:rsidRPr="008A1289">
        <w:rPr>
          <w:i/>
        </w:rPr>
        <w:t>Tamiami Trail Tours v. Ga. Public Serv. Com</w:t>
      </w:r>
      <w:r w:rsidRPr="008A1289">
        <w:t xml:space="preserve">, </w:t>
      </w:r>
      <w:bookmarkStart w:id="5" w:name="OLE_LINK5"/>
      <w:r w:rsidRPr="008A1289">
        <w:t>213 Ga. 418</w:t>
      </w:r>
      <w:bookmarkEnd w:id="5"/>
      <w:r w:rsidRPr="008A1289">
        <w:t xml:space="preserve"> (1957) at 428–29 (citing </w:t>
      </w:r>
      <w:r w:rsidRPr="008A1289">
        <w:rPr>
          <w:i/>
        </w:rPr>
        <w:t>South View Cemetery Assn. v. Hailey</w:t>
      </w:r>
      <w:r w:rsidRPr="008A1289">
        <w:t>, 199 Ga. 478, 481 (34 S. E. 2d 863)).</w:t>
      </w:r>
    </w:p>
  </w:footnote>
  <w:footnote w:id="3">
    <w:p w14:paraId="4398020F" w14:textId="1321681C" w:rsidR="008A1289" w:rsidRDefault="008A1289">
      <w:pPr>
        <w:pStyle w:val="FootnoteText"/>
      </w:pPr>
      <w:r>
        <w:rPr>
          <w:rStyle w:val="FootnoteReference"/>
        </w:rPr>
        <w:footnoteRef/>
      </w:r>
      <w:r>
        <w:t xml:space="preserve"> </w:t>
      </w:r>
      <w:r w:rsidRPr="008A1289">
        <w:rPr>
          <w:i/>
        </w:rPr>
        <w:t>Consolidated Edison Co. v. National Labor Relations Board</w:t>
      </w:r>
      <w:r w:rsidRPr="008A1289">
        <w:t xml:space="preserve">, </w:t>
      </w:r>
      <w:bookmarkStart w:id="6" w:name="OLE_LINK9"/>
      <w:r w:rsidRPr="008A1289">
        <w:t>305 U.S. 197</w:t>
      </w:r>
      <w:bookmarkEnd w:id="6"/>
      <w:r w:rsidRPr="008A1289">
        <w:t>, 229 (59 Sup. Ct. 206).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B3B57"/>
    <w:multiLevelType w:val="hybridMultilevel"/>
    <w:tmpl w:val="5CC8FBA6"/>
    <w:lvl w:ilvl="0" w:tplc="27925D5C">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614ABE"/>
    <w:multiLevelType w:val="hybridMultilevel"/>
    <w:tmpl w:val="5386A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0206C4"/>
    <w:multiLevelType w:val="hybridMultilevel"/>
    <w:tmpl w:val="18303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97FC4"/>
    <w:multiLevelType w:val="hybridMultilevel"/>
    <w:tmpl w:val="BFEA1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C93F4D"/>
    <w:multiLevelType w:val="hybridMultilevel"/>
    <w:tmpl w:val="3E103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6B629B"/>
    <w:multiLevelType w:val="multilevel"/>
    <w:tmpl w:val="A58A3A5C"/>
    <w:name w:val="zzmpPleading2||Pleading2|2|1|1|4|2|45||1|0|37||1|0|32||1|0|32||3|2|32||1|0|32||1|0|32||1|0|32||1|0|32||"/>
    <w:lvl w:ilvl="0">
      <w:start w:val="1"/>
      <w:numFmt w:val="upperRoman"/>
      <w:pStyle w:val="Pleading2L1"/>
      <w:suff w:val="nothing"/>
      <w:lvlText w:val="%1."/>
      <w:lvlJc w:val="left"/>
      <w:pPr>
        <w:tabs>
          <w:tab w:val="num" w:pos="720"/>
        </w:tabs>
        <w:ind w:left="0" w:firstLine="0"/>
      </w:pPr>
      <w:rPr>
        <w:rFonts w:eastAsia="Times New Roman" w:hAnsi="Times New Roman"/>
        <w:b/>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Pleading2L2"/>
      <w:lvlText w:val="%2."/>
      <w:lvlJc w:val="left"/>
      <w:pPr>
        <w:tabs>
          <w:tab w:val="num" w:pos="720"/>
        </w:tabs>
        <w:ind w:left="720" w:hanging="720"/>
      </w:pPr>
      <w:rPr>
        <w:rFonts w:eastAsia="Times New Roman"/>
        <w:b/>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Pleading2L3"/>
      <w:lvlText w:val="(%3)"/>
      <w:lvlJc w:val="left"/>
      <w:pPr>
        <w:tabs>
          <w:tab w:val="num" w:pos="720"/>
        </w:tabs>
        <w:ind w:left="0" w:firstLine="0"/>
      </w:pPr>
      <w:rPr>
        <w:rFonts w:eastAsia="Times New Roman"/>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leading2L4"/>
      <w:lvlText w:val="%4."/>
      <w:lvlJc w:val="left"/>
      <w:pPr>
        <w:tabs>
          <w:tab w:val="num" w:pos="1440"/>
        </w:tabs>
        <w:ind w:left="720" w:firstLine="0"/>
      </w:pPr>
      <w:rPr>
        <w:rFonts w:eastAsia="Times New Roman"/>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Pleading2L5"/>
      <w:suff w:val="nothing"/>
      <w:lvlText w:val="%5."/>
      <w:lvlJc w:val="left"/>
      <w:pPr>
        <w:tabs>
          <w:tab w:val="num" w:pos="1920"/>
        </w:tabs>
        <w:ind w:left="1200" w:firstLine="0"/>
      </w:pPr>
      <w:rPr>
        <w:rFonts w:eastAsia="Times New Roman"/>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Pleading2L6"/>
      <w:lvlText w:val="(%6)"/>
      <w:lvlJc w:val="left"/>
      <w:pPr>
        <w:tabs>
          <w:tab w:val="num" w:pos="3600"/>
        </w:tabs>
        <w:ind w:left="3600" w:hanging="720"/>
      </w:pPr>
      <w:rPr>
        <w:rFonts w:eastAsia="Times New Roman"/>
        <w:b/>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Pleading2L7"/>
      <w:lvlText w:val="(%7)"/>
      <w:lvlJc w:val="left"/>
      <w:pPr>
        <w:tabs>
          <w:tab w:val="num" w:pos="4320"/>
        </w:tabs>
        <w:ind w:left="4320" w:hanging="720"/>
      </w:pPr>
      <w:rPr>
        <w:rFonts w:eastAsia="Times New Roman"/>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Pleading2L8"/>
      <w:lvlText w:val="%8)"/>
      <w:lvlJc w:val="left"/>
      <w:pPr>
        <w:tabs>
          <w:tab w:val="num" w:pos="5040"/>
        </w:tabs>
        <w:ind w:left="5040" w:hanging="720"/>
      </w:pPr>
      <w:rPr>
        <w:rFonts w:eastAsia="Times New Roman"/>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Pleading2L9"/>
      <w:lvlText w:val="%9)"/>
      <w:lvlJc w:val="left"/>
      <w:pPr>
        <w:tabs>
          <w:tab w:val="num" w:pos="5760"/>
        </w:tabs>
        <w:ind w:left="5760" w:hanging="720"/>
      </w:pPr>
      <w:rPr>
        <w:rFonts w:eastAsia="Times New Roman"/>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749F3D6E"/>
    <w:multiLevelType w:val="hybridMultilevel"/>
    <w:tmpl w:val="EC4CC46C"/>
    <w:lvl w:ilvl="0" w:tplc="27925D5C">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AllPagesExceptFirst" w:val="True"/>
    <w:docVar w:name="DocIDClientMatter" w:val="False"/>
    <w:docVar w:name="DocIDDate" w:val="False"/>
    <w:docVar w:name="DocIDType" w:val="AllPagesExceptFirst"/>
    <w:docVar w:name="LegacyDocIDRemoved" w:val="True"/>
  </w:docVars>
  <w:rsids>
    <w:rsidRoot w:val="002E38BA"/>
    <w:rsid w:val="000048B9"/>
    <w:rsid w:val="0000549B"/>
    <w:rsid w:val="000064BF"/>
    <w:rsid w:val="00011868"/>
    <w:rsid w:val="00013A1E"/>
    <w:rsid w:val="000302EC"/>
    <w:rsid w:val="00033EC7"/>
    <w:rsid w:val="00034C33"/>
    <w:rsid w:val="00042698"/>
    <w:rsid w:val="0004566F"/>
    <w:rsid w:val="00045A88"/>
    <w:rsid w:val="00072FFE"/>
    <w:rsid w:val="00073077"/>
    <w:rsid w:val="00083FB6"/>
    <w:rsid w:val="00086AEE"/>
    <w:rsid w:val="000A19E9"/>
    <w:rsid w:val="000C06F5"/>
    <w:rsid w:val="000D5A31"/>
    <w:rsid w:val="00100747"/>
    <w:rsid w:val="00113039"/>
    <w:rsid w:val="00126678"/>
    <w:rsid w:val="001314E2"/>
    <w:rsid w:val="00135FB4"/>
    <w:rsid w:val="00141517"/>
    <w:rsid w:val="00143ACE"/>
    <w:rsid w:val="001478CC"/>
    <w:rsid w:val="0016105A"/>
    <w:rsid w:val="001847B7"/>
    <w:rsid w:val="00197F10"/>
    <w:rsid w:val="001C2DB6"/>
    <w:rsid w:val="002001AA"/>
    <w:rsid w:val="00201FEB"/>
    <w:rsid w:val="00210EA7"/>
    <w:rsid w:val="00212D0F"/>
    <w:rsid w:val="00214D98"/>
    <w:rsid w:val="00234B76"/>
    <w:rsid w:val="00243E5D"/>
    <w:rsid w:val="00244306"/>
    <w:rsid w:val="00247547"/>
    <w:rsid w:val="002552B9"/>
    <w:rsid w:val="00257718"/>
    <w:rsid w:val="00266E01"/>
    <w:rsid w:val="002872FF"/>
    <w:rsid w:val="002A4217"/>
    <w:rsid w:val="002D7A0D"/>
    <w:rsid w:val="002E36A9"/>
    <w:rsid w:val="002E38BA"/>
    <w:rsid w:val="002F2ED3"/>
    <w:rsid w:val="00312CC8"/>
    <w:rsid w:val="00317162"/>
    <w:rsid w:val="00323A24"/>
    <w:rsid w:val="00347D27"/>
    <w:rsid w:val="00357FAD"/>
    <w:rsid w:val="00362445"/>
    <w:rsid w:val="003641E9"/>
    <w:rsid w:val="0037286B"/>
    <w:rsid w:val="00381AE8"/>
    <w:rsid w:val="00390196"/>
    <w:rsid w:val="00391071"/>
    <w:rsid w:val="003A4F72"/>
    <w:rsid w:val="003A6899"/>
    <w:rsid w:val="003C7220"/>
    <w:rsid w:val="003D371F"/>
    <w:rsid w:val="003E4CD4"/>
    <w:rsid w:val="003F1F79"/>
    <w:rsid w:val="004027F5"/>
    <w:rsid w:val="004055A0"/>
    <w:rsid w:val="00412082"/>
    <w:rsid w:val="00415B17"/>
    <w:rsid w:val="00420915"/>
    <w:rsid w:val="004213F8"/>
    <w:rsid w:val="00437147"/>
    <w:rsid w:val="00441663"/>
    <w:rsid w:val="00444078"/>
    <w:rsid w:val="004608EF"/>
    <w:rsid w:val="00497D5F"/>
    <w:rsid w:val="004A522C"/>
    <w:rsid w:val="004B4356"/>
    <w:rsid w:val="004E690A"/>
    <w:rsid w:val="004F1CD1"/>
    <w:rsid w:val="004F2EBE"/>
    <w:rsid w:val="004F5A17"/>
    <w:rsid w:val="00517B8D"/>
    <w:rsid w:val="00526526"/>
    <w:rsid w:val="00554892"/>
    <w:rsid w:val="00580631"/>
    <w:rsid w:val="0059648F"/>
    <w:rsid w:val="005A49D8"/>
    <w:rsid w:val="005E7F67"/>
    <w:rsid w:val="00604AB3"/>
    <w:rsid w:val="00616E5B"/>
    <w:rsid w:val="0062712A"/>
    <w:rsid w:val="00637305"/>
    <w:rsid w:val="00645CFF"/>
    <w:rsid w:val="0065087F"/>
    <w:rsid w:val="00677015"/>
    <w:rsid w:val="00682003"/>
    <w:rsid w:val="006A09C3"/>
    <w:rsid w:val="006F48C3"/>
    <w:rsid w:val="006F5A55"/>
    <w:rsid w:val="00704FDE"/>
    <w:rsid w:val="00724815"/>
    <w:rsid w:val="00725B13"/>
    <w:rsid w:val="00727081"/>
    <w:rsid w:val="007418E5"/>
    <w:rsid w:val="00741C38"/>
    <w:rsid w:val="00745577"/>
    <w:rsid w:val="0075222A"/>
    <w:rsid w:val="00754BB2"/>
    <w:rsid w:val="007609ED"/>
    <w:rsid w:val="00790F11"/>
    <w:rsid w:val="007A4DA4"/>
    <w:rsid w:val="007B21F2"/>
    <w:rsid w:val="007C413D"/>
    <w:rsid w:val="00804813"/>
    <w:rsid w:val="00822793"/>
    <w:rsid w:val="008403B2"/>
    <w:rsid w:val="00852B3B"/>
    <w:rsid w:val="00857D62"/>
    <w:rsid w:val="00873795"/>
    <w:rsid w:val="0088480C"/>
    <w:rsid w:val="00887248"/>
    <w:rsid w:val="008A1289"/>
    <w:rsid w:val="008B2495"/>
    <w:rsid w:val="008B4FC0"/>
    <w:rsid w:val="008D070A"/>
    <w:rsid w:val="008E3203"/>
    <w:rsid w:val="008E6EBA"/>
    <w:rsid w:val="008F5E90"/>
    <w:rsid w:val="00901659"/>
    <w:rsid w:val="00916ACF"/>
    <w:rsid w:val="00944217"/>
    <w:rsid w:val="0095089F"/>
    <w:rsid w:val="00950F09"/>
    <w:rsid w:val="00956163"/>
    <w:rsid w:val="00956EA6"/>
    <w:rsid w:val="00973036"/>
    <w:rsid w:val="009840F0"/>
    <w:rsid w:val="0098416B"/>
    <w:rsid w:val="00987014"/>
    <w:rsid w:val="009B1C69"/>
    <w:rsid w:val="009B469E"/>
    <w:rsid w:val="009B4A35"/>
    <w:rsid w:val="009D78BE"/>
    <w:rsid w:val="009E22BF"/>
    <w:rsid w:val="009F7C16"/>
    <w:rsid w:val="00A0614E"/>
    <w:rsid w:val="00A063DC"/>
    <w:rsid w:val="00A148F3"/>
    <w:rsid w:val="00A202E3"/>
    <w:rsid w:val="00A20A61"/>
    <w:rsid w:val="00A50363"/>
    <w:rsid w:val="00A57174"/>
    <w:rsid w:val="00A66AE3"/>
    <w:rsid w:val="00A90C9F"/>
    <w:rsid w:val="00A960E0"/>
    <w:rsid w:val="00AB1A34"/>
    <w:rsid w:val="00AB46E5"/>
    <w:rsid w:val="00AD3327"/>
    <w:rsid w:val="00AE018E"/>
    <w:rsid w:val="00AE49E3"/>
    <w:rsid w:val="00AF6879"/>
    <w:rsid w:val="00B138FB"/>
    <w:rsid w:val="00B22A2D"/>
    <w:rsid w:val="00B378F2"/>
    <w:rsid w:val="00B37F7D"/>
    <w:rsid w:val="00B52882"/>
    <w:rsid w:val="00B7184F"/>
    <w:rsid w:val="00B75A48"/>
    <w:rsid w:val="00B76CB5"/>
    <w:rsid w:val="00B94A52"/>
    <w:rsid w:val="00BA5ABC"/>
    <w:rsid w:val="00BA62B9"/>
    <w:rsid w:val="00BB1D21"/>
    <w:rsid w:val="00BD230A"/>
    <w:rsid w:val="00BE6C5E"/>
    <w:rsid w:val="00BF0A94"/>
    <w:rsid w:val="00BF49E1"/>
    <w:rsid w:val="00C008CD"/>
    <w:rsid w:val="00C30BA9"/>
    <w:rsid w:val="00C32FC2"/>
    <w:rsid w:val="00C506DA"/>
    <w:rsid w:val="00C85A88"/>
    <w:rsid w:val="00CB170A"/>
    <w:rsid w:val="00CB6F83"/>
    <w:rsid w:val="00CC011A"/>
    <w:rsid w:val="00CD4ADE"/>
    <w:rsid w:val="00CE355E"/>
    <w:rsid w:val="00D00701"/>
    <w:rsid w:val="00D00A7E"/>
    <w:rsid w:val="00D10878"/>
    <w:rsid w:val="00D168EC"/>
    <w:rsid w:val="00D16B4E"/>
    <w:rsid w:val="00D21880"/>
    <w:rsid w:val="00D61F95"/>
    <w:rsid w:val="00D64842"/>
    <w:rsid w:val="00D67BDD"/>
    <w:rsid w:val="00D82286"/>
    <w:rsid w:val="00D830BC"/>
    <w:rsid w:val="00D90FB6"/>
    <w:rsid w:val="00DB3327"/>
    <w:rsid w:val="00DE1DF7"/>
    <w:rsid w:val="00E113A3"/>
    <w:rsid w:val="00E1370F"/>
    <w:rsid w:val="00E1485B"/>
    <w:rsid w:val="00E17E00"/>
    <w:rsid w:val="00E17EBB"/>
    <w:rsid w:val="00E22487"/>
    <w:rsid w:val="00E2372D"/>
    <w:rsid w:val="00E53696"/>
    <w:rsid w:val="00E5439E"/>
    <w:rsid w:val="00E66DA2"/>
    <w:rsid w:val="00EB6BF3"/>
    <w:rsid w:val="00EE2D6A"/>
    <w:rsid w:val="00EF40F0"/>
    <w:rsid w:val="00F34CF2"/>
    <w:rsid w:val="00F53F65"/>
    <w:rsid w:val="00F710CA"/>
    <w:rsid w:val="00F82B87"/>
    <w:rsid w:val="00F915B9"/>
    <w:rsid w:val="00FC1949"/>
    <w:rsid w:val="00FF3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2CEB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8B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BA62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rsid w:val="00100747"/>
    <w:rPr>
      <w:rFonts w:ascii="Times New Roman" w:hAnsi="Times New Roman" w:cs="Times New Roman"/>
      <w:b w:val="0"/>
      <w:i w:val="0"/>
      <w:vanish w:val="0"/>
      <w:color w:val="000000"/>
      <w:sz w:val="18"/>
      <w:u w:val="none"/>
    </w:rPr>
  </w:style>
  <w:style w:type="paragraph" w:styleId="Header">
    <w:name w:val="header"/>
    <w:basedOn w:val="Normal"/>
    <w:link w:val="HeaderChar"/>
    <w:unhideWhenUsed/>
    <w:rsid w:val="00100747"/>
    <w:pPr>
      <w:tabs>
        <w:tab w:val="center" w:pos="4680"/>
        <w:tab w:val="right" w:pos="9360"/>
      </w:tabs>
    </w:pPr>
  </w:style>
  <w:style w:type="character" w:customStyle="1" w:styleId="HeaderChar">
    <w:name w:val="Header Char"/>
    <w:basedOn w:val="DefaultParagraphFont"/>
    <w:link w:val="Header"/>
    <w:uiPriority w:val="99"/>
    <w:semiHidden/>
    <w:rsid w:val="00100747"/>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00747"/>
    <w:pPr>
      <w:tabs>
        <w:tab w:val="center" w:pos="4680"/>
        <w:tab w:val="right" w:pos="9360"/>
      </w:tabs>
    </w:pPr>
  </w:style>
  <w:style w:type="character" w:customStyle="1" w:styleId="FooterChar">
    <w:name w:val="Footer Char"/>
    <w:basedOn w:val="DefaultParagraphFont"/>
    <w:link w:val="Footer"/>
    <w:uiPriority w:val="99"/>
    <w:rsid w:val="00100747"/>
    <w:rPr>
      <w:rFonts w:ascii="Times New Roman" w:eastAsia="Times New Roman" w:hAnsi="Times New Roman" w:cs="Times New Roman"/>
      <w:sz w:val="24"/>
      <w:szCs w:val="20"/>
    </w:rPr>
  </w:style>
  <w:style w:type="paragraph" w:styleId="BlockText">
    <w:name w:val="Block Text"/>
    <w:basedOn w:val="Normal"/>
    <w:qFormat/>
    <w:rsid w:val="0088480C"/>
    <w:pPr>
      <w:spacing w:after="240"/>
    </w:pPr>
    <w:rPr>
      <w:rFonts w:eastAsiaTheme="minorEastAsia" w:cstheme="minorBidi"/>
      <w:iCs/>
      <w:szCs w:val="24"/>
    </w:rPr>
  </w:style>
  <w:style w:type="paragraph" w:styleId="Title">
    <w:name w:val="Title"/>
    <w:basedOn w:val="Normal"/>
    <w:link w:val="TitleChar"/>
    <w:qFormat/>
    <w:rsid w:val="0088480C"/>
    <w:pPr>
      <w:jc w:val="center"/>
    </w:pPr>
    <w:rPr>
      <w:b/>
      <w:bCs/>
      <w:szCs w:val="24"/>
      <w:lang w:eastAsia="zh-CN"/>
    </w:rPr>
  </w:style>
  <w:style w:type="character" w:customStyle="1" w:styleId="TitleChar">
    <w:name w:val="Title Char"/>
    <w:basedOn w:val="DefaultParagraphFont"/>
    <w:link w:val="Title"/>
    <w:rsid w:val="0088480C"/>
    <w:rPr>
      <w:rFonts w:ascii="Times New Roman" w:eastAsia="Times New Roman" w:hAnsi="Times New Roman" w:cs="Times New Roman"/>
      <w:b/>
      <w:bCs/>
      <w:sz w:val="24"/>
      <w:szCs w:val="24"/>
      <w:lang w:eastAsia="zh-CN"/>
    </w:rPr>
  </w:style>
  <w:style w:type="paragraph" w:styleId="BodyTextIndent3">
    <w:name w:val="Body Text Indent 3"/>
    <w:basedOn w:val="Normal"/>
    <w:link w:val="BodyTextIndent3Char"/>
    <w:semiHidden/>
    <w:unhideWhenUsed/>
    <w:rsid w:val="0088480C"/>
    <w:pPr>
      <w:tabs>
        <w:tab w:val="left" w:pos="-2520"/>
      </w:tabs>
      <w:ind w:left="720"/>
    </w:pPr>
    <w:rPr>
      <w:sz w:val="20"/>
      <w:lang w:eastAsia="zh-CN"/>
    </w:rPr>
  </w:style>
  <w:style w:type="character" w:customStyle="1" w:styleId="BodyTextIndent3Char">
    <w:name w:val="Body Text Indent 3 Char"/>
    <w:basedOn w:val="DefaultParagraphFont"/>
    <w:link w:val="BodyTextIndent3"/>
    <w:semiHidden/>
    <w:rsid w:val="0088480C"/>
    <w:rPr>
      <w:rFonts w:ascii="Times New Roman" w:eastAsia="Times New Roman" w:hAnsi="Times New Roman" w:cs="Times New Roman"/>
      <w:sz w:val="20"/>
      <w:szCs w:val="20"/>
      <w:lang w:eastAsia="zh-CN"/>
    </w:rPr>
  </w:style>
  <w:style w:type="character" w:styleId="Hyperlink">
    <w:name w:val="Hyperlink"/>
    <w:basedOn w:val="DefaultParagraphFont"/>
    <w:unhideWhenUsed/>
    <w:rsid w:val="0088480C"/>
    <w:rPr>
      <w:color w:val="0000FF"/>
      <w:u w:val="single"/>
    </w:rPr>
  </w:style>
  <w:style w:type="paragraph" w:styleId="ListParagraph">
    <w:name w:val="List Paragraph"/>
    <w:basedOn w:val="Normal"/>
    <w:uiPriority w:val="34"/>
    <w:qFormat/>
    <w:rsid w:val="00210EA7"/>
    <w:pPr>
      <w:ind w:left="720"/>
      <w:contextualSpacing/>
    </w:pPr>
  </w:style>
  <w:style w:type="character" w:customStyle="1" w:styleId="Heading1Char">
    <w:name w:val="Heading 1 Char"/>
    <w:basedOn w:val="DefaultParagraphFont"/>
    <w:link w:val="Heading1"/>
    <w:uiPriority w:val="9"/>
    <w:rsid w:val="00BA62B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BA6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D168EC"/>
    <w:pPr>
      <w:spacing w:after="120" w:line="480" w:lineRule="auto"/>
    </w:pPr>
  </w:style>
  <w:style w:type="character" w:customStyle="1" w:styleId="BodyText2Char">
    <w:name w:val="Body Text 2 Char"/>
    <w:basedOn w:val="DefaultParagraphFont"/>
    <w:link w:val="BodyText2"/>
    <w:uiPriority w:val="99"/>
    <w:rsid w:val="00D168EC"/>
    <w:rPr>
      <w:rFonts w:ascii="Times New Roman" w:eastAsia="Times New Roman" w:hAnsi="Times New Roman" w:cs="Times New Roman"/>
      <w:sz w:val="24"/>
      <w:szCs w:val="20"/>
    </w:rPr>
  </w:style>
  <w:style w:type="paragraph" w:customStyle="1" w:styleId="Pleading2L1">
    <w:name w:val="Pleading2_L1"/>
    <w:basedOn w:val="Normal"/>
    <w:next w:val="BodyText"/>
    <w:rsid w:val="008B2495"/>
    <w:pPr>
      <w:keepNext/>
      <w:keepLines/>
      <w:widowControl w:val="0"/>
      <w:numPr>
        <w:numId w:val="5"/>
      </w:numPr>
      <w:spacing w:after="240"/>
      <w:jc w:val="center"/>
      <w:outlineLvl w:val="0"/>
    </w:pPr>
    <w:rPr>
      <w:b/>
      <w:caps/>
      <w:u w:val="single"/>
    </w:rPr>
  </w:style>
  <w:style w:type="paragraph" w:customStyle="1" w:styleId="Pleading2L2">
    <w:name w:val="Pleading2_L2"/>
    <w:basedOn w:val="Pleading2L1"/>
    <w:next w:val="BodyText"/>
    <w:rsid w:val="008B2495"/>
    <w:pPr>
      <w:numPr>
        <w:ilvl w:val="1"/>
      </w:numPr>
      <w:jc w:val="left"/>
      <w:outlineLvl w:val="1"/>
    </w:pPr>
    <w:rPr>
      <w:caps w:val="0"/>
    </w:rPr>
  </w:style>
  <w:style w:type="paragraph" w:customStyle="1" w:styleId="Pleading2L3">
    <w:name w:val="Pleading2_L3"/>
    <w:basedOn w:val="Pleading2L2"/>
    <w:next w:val="BodyText"/>
    <w:rsid w:val="008B2495"/>
    <w:pPr>
      <w:keepNext w:val="0"/>
      <w:numPr>
        <w:ilvl w:val="2"/>
      </w:numPr>
      <w:outlineLvl w:val="2"/>
    </w:pPr>
    <w:rPr>
      <w:b w:val="0"/>
      <w:u w:val="none"/>
    </w:rPr>
  </w:style>
  <w:style w:type="paragraph" w:customStyle="1" w:styleId="Pleading2L4">
    <w:name w:val="Pleading2_L4"/>
    <w:basedOn w:val="Pleading2L3"/>
    <w:next w:val="BodyText"/>
    <w:rsid w:val="008B2495"/>
    <w:pPr>
      <w:numPr>
        <w:ilvl w:val="3"/>
      </w:numPr>
      <w:spacing w:after="0" w:line="480" w:lineRule="auto"/>
      <w:outlineLvl w:val="3"/>
    </w:pPr>
  </w:style>
  <w:style w:type="paragraph" w:customStyle="1" w:styleId="Pleading2L5">
    <w:name w:val="Pleading2_L5"/>
    <w:basedOn w:val="Pleading2L4"/>
    <w:next w:val="BodyText"/>
    <w:rsid w:val="008B2495"/>
    <w:pPr>
      <w:numPr>
        <w:ilvl w:val="4"/>
      </w:numPr>
      <w:outlineLvl w:val="4"/>
    </w:pPr>
  </w:style>
  <w:style w:type="paragraph" w:customStyle="1" w:styleId="Pleading2L6">
    <w:name w:val="Pleading2_L6"/>
    <w:basedOn w:val="Pleading2L5"/>
    <w:next w:val="BodyText"/>
    <w:rsid w:val="008B2495"/>
    <w:pPr>
      <w:keepNext/>
      <w:numPr>
        <w:ilvl w:val="5"/>
      </w:numPr>
      <w:spacing w:after="240" w:line="240" w:lineRule="auto"/>
      <w:outlineLvl w:val="5"/>
    </w:pPr>
  </w:style>
  <w:style w:type="paragraph" w:customStyle="1" w:styleId="Pleading2L7">
    <w:name w:val="Pleading2_L7"/>
    <w:basedOn w:val="Pleading2L6"/>
    <w:next w:val="BodyText"/>
    <w:rsid w:val="008B2495"/>
    <w:pPr>
      <w:numPr>
        <w:ilvl w:val="6"/>
      </w:numPr>
      <w:outlineLvl w:val="6"/>
    </w:pPr>
  </w:style>
  <w:style w:type="paragraph" w:customStyle="1" w:styleId="Pleading2L8">
    <w:name w:val="Pleading2_L8"/>
    <w:basedOn w:val="Pleading2L7"/>
    <w:next w:val="BodyText"/>
    <w:rsid w:val="008B2495"/>
    <w:pPr>
      <w:numPr>
        <w:ilvl w:val="7"/>
      </w:numPr>
      <w:outlineLvl w:val="7"/>
    </w:pPr>
  </w:style>
  <w:style w:type="paragraph" w:customStyle="1" w:styleId="Pleading2L9">
    <w:name w:val="Pleading2_L9"/>
    <w:basedOn w:val="Pleading2L8"/>
    <w:next w:val="BodyText"/>
    <w:rsid w:val="008B2495"/>
    <w:pPr>
      <w:numPr>
        <w:ilvl w:val="8"/>
      </w:numPr>
      <w:outlineLvl w:val="8"/>
    </w:pPr>
  </w:style>
  <w:style w:type="paragraph" w:styleId="BodyText">
    <w:name w:val="Body Text"/>
    <w:basedOn w:val="Normal"/>
    <w:link w:val="BodyTextChar"/>
    <w:rsid w:val="008B2495"/>
    <w:pPr>
      <w:spacing w:after="120"/>
    </w:pPr>
    <w:rPr>
      <w:szCs w:val="24"/>
    </w:rPr>
  </w:style>
  <w:style w:type="character" w:customStyle="1" w:styleId="BodyTextChar">
    <w:name w:val="Body Text Char"/>
    <w:basedOn w:val="DefaultParagraphFont"/>
    <w:link w:val="BodyText"/>
    <w:rsid w:val="008B2495"/>
    <w:rPr>
      <w:rFonts w:ascii="Times New Roman" w:eastAsia="Times New Roman" w:hAnsi="Times New Roman" w:cs="Times New Roman"/>
      <w:sz w:val="24"/>
      <w:szCs w:val="24"/>
    </w:rPr>
  </w:style>
  <w:style w:type="paragraph" w:styleId="FootnoteText">
    <w:name w:val="footnote text"/>
    <w:basedOn w:val="Normal"/>
    <w:link w:val="FootnoteTextChar"/>
    <w:semiHidden/>
    <w:unhideWhenUsed/>
    <w:rsid w:val="00214D98"/>
    <w:rPr>
      <w:sz w:val="20"/>
    </w:rPr>
  </w:style>
  <w:style w:type="character" w:customStyle="1" w:styleId="FootnoteTextChar">
    <w:name w:val="Footnote Text Char"/>
    <w:basedOn w:val="DefaultParagraphFont"/>
    <w:link w:val="FootnoteText"/>
    <w:semiHidden/>
    <w:rsid w:val="00214D98"/>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214D98"/>
    <w:rPr>
      <w:vertAlign w:val="superscript"/>
    </w:rPr>
  </w:style>
  <w:style w:type="character" w:styleId="CommentReference">
    <w:name w:val="annotation reference"/>
    <w:basedOn w:val="DefaultParagraphFont"/>
    <w:uiPriority w:val="99"/>
    <w:semiHidden/>
    <w:unhideWhenUsed/>
    <w:rsid w:val="00B94A52"/>
    <w:rPr>
      <w:sz w:val="16"/>
      <w:szCs w:val="16"/>
    </w:rPr>
  </w:style>
  <w:style w:type="paragraph" w:styleId="CommentText">
    <w:name w:val="annotation text"/>
    <w:basedOn w:val="Normal"/>
    <w:link w:val="CommentTextChar"/>
    <w:uiPriority w:val="99"/>
    <w:semiHidden/>
    <w:unhideWhenUsed/>
    <w:rsid w:val="00B94A52"/>
    <w:rPr>
      <w:sz w:val="20"/>
    </w:rPr>
  </w:style>
  <w:style w:type="character" w:customStyle="1" w:styleId="CommentTextChar">
    <w:name w:val="Comment Text Char"/>
    <w:basedOn w:val="DefaultParagraphFont"/>
    <w:link w:val="CommentText"/>
    <w:uiPriority w:val="99"/>
    <w:semiHidden/>
    <w:rsid w:val="00B94A5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4A52"/>
    <w:rPr>
      <w:b/>
      <w:bCs/>
    </w:rPr>
  </w:style>
  <w:style w:type="character" w:customStyle="1" w:styleId="CommentSubjectChar">
    <w:name w:val="Comment Subject Char"/>
    <w:basedOn w:val="CommentTextChar"/>
    <w:link w:val="CommentSubject"/>
    <w:uiPriority w:val="99"/>
    <w:semiHidden/>
    <w:rsid w:val="00B94A5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94A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A52"/>
    <w:rPr>
      <w:rFonts w:ascii="Segoe UI" w:eastAsia="Times New Roman" w:hAnsi="Segoe UI" w:cs="Segoe UI"/>
      <w:sz w:val="18"/>
      <w:szCs w:val="18"/>
    </w:rPr>
  </w:style>
  <w:style w:type="table" w:customStyle="1" w:styleId="TableGrid1">
    <w:name w:val="Table Grid1"/>
    <w:basedOn w:val="TableNormal"/>
    <w:next w:val="TableGrid"/>
    <w:uiPriority w:val="59"/>
    <w:rsid w:val="00B7184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3243">
      <w:bodyDiv w:val="1"/>
      <w:marLeft w:val="0"/>
      <w:marRight w:val="0"/>
      <w:marTop w:val="0"/>
      <w:marBottom w:val="0"/>
      <w:divBdr>
        <w:top w:val="none" w:sz="0" w:space="0" w:color="auto"/>
        <w:left w:val="none" w:sz="0" w:space="0" w:color="auto"/>
        <w:bottom w:val="none" w:sz="0" w:space="0" w:color="auto"/>
        <w:right w:val="none" w:sz="0" w:space="0" w:color="auto"/>
      </w:divBdr>
    </w:div>
    <w:div w:id="96677987">
      <w:bodyDiv w:val="1"/>
      <w:marLeft w:val="0"/>
      <w:marRight w:val="0"/>
      <w:marTop w:val="0"/>
      <w:marBottom w:val="0"/>
      <w:divBdr>
        <w:top w:val="none" w:sz="0" w:space="0" w:color="auto"/>
        <w:left w:val="none" w:sz="0" w:space="0" w:color="auto"/>
        <w:bottom w:val="none" w:sz="0" w:space="0" w:color="auto"/>
        <w:right w:val="none" w:sz="0" w:space="0" w:color="auto"/>
      </w:divBdr>
    </w:div>
    <w:div w:id="151026314">
      <w:bodyDiv w:val="1"/>
      <w:marLeft w:val="0"/>
      <w:marRight w:val="0"/>
      <w:marTop w:val="0"/>
      <w:marBottom w:val="0"/>
      <w:divBdr>
        <w:top w:val="none" w:sz="0" w:space="0" w:color="auto"/>
        <w:left w:val="none" w:sz="0" w:space="0" w:color="auto"/>
        <w:bottom w:val="none" w:sz="0" w:space="0" w:color="auto"/>
        <w:right w:val="none" w:sz="0" w:space="0" w:color="auto"/>
      </w:divBdr>
    </w:div>
    <w:div w:id="195394729">
      <w:bodyDiv w:val="1"/>
      <w:marLeft w:val="0"/>
      <w:marRight w:val="0"/>
      <w:marTop w:val="0"/>
      <w:marBottom w:val="0"/>
      <w:divBdr>
        <w:top w:val="none" w:sz="0" w:space="0" w:color="auto"/>
        <w:left w:val="none" w:sz="0" w:space="0" w:color="auto"/>
        <w:bottom w:val="none" w:sz="0" w:space="0" w:color="auto"/>
        <w:right w:val="none" w:sz="0" w:space="0" w:color="auto"/>
      </w:divBdr>
    </w:div>
    <w:div w:id="412747369">
      <w:bodyDiv w:val="1"/>
      <w:marLeft w:val="0"/>
      <w:marRight w:val="0"/>
      <w:marTop w:val="0"/>
      <w:marBottom w:val="0"/>
      <w:divBdr>
        <w:top w:val="none" w:sz="0" w:space="0" w:color="auto"/>
        <w:left w:val="none" w:sz="0" w:space="0" w:color="auto"/>
        <w:bottom w:val="none" w:sz="0" w:space="0" w:color="auto"/>
        <w:right w:val="none" w:sz="0" w:space="0" w:color="auto"/>
      </w:divBdr>
    </w:div>
    <w:div w:id="889997286">
      <w:bodyDiv w:val="1"/>
      <w:marLeft w:val="0"/>
      <w:marRight w:val="0"/>
      <w:marTop w:val="0"/>
      <w:marBottom w:val="0"/>
      <w:divBdr>
        <w:top w:val="none" w:sz="0" w:space="0" w:color="auto"/>
        <w:left w:val="none" w:sz="0" w:space="0" w:color="auto"/>
        <w:bottom w:val="none" w:sz="0" w:space="0" w:color="auto"/>
        <w:right w:val="none" w:sz="0" w:space="0" w:color="auto"/>
      </w:divBdr>
    </w:div>
    <w:div w:id="1117410118">
      <w:bodyDiv w:val="1"/>
      <w:marLeft w:val="0"/>
      <w:marRight w:val="0"/>
      <w:marTop w:val="0"/>
      <w:marBottom w:val="0"/>
      <w:divBdr>
        <w:top w:val="none" w:sz="0" w:space="0" w:color="auto"/>
        <w:left w:val="none" w:sz="0" w:space="0" w:color="auto"/>
        <w:bottom w:val="none" w:sz="0" w:space="0" w:color="auto"/>
        <w:right w:val="none" w:sz="0" w:space="0" w:color="auto"/>
      </w:divBdr>
    </w:div>
    <w:div w:id="1163348997">
      <w:bodyDiv w:val="1"/>
      <w:marLeft w:val="0"/>
      <w:marRight w:val="0"/>
      <w:marTop w:val="0"/>
      <w:marBottom w:val="0"/>
      <w:divBdr>
        <w:top w:val="none" w:sz="0" w:space="0" w:color="auto"/>
        <w:left w:val="none" w:sz="0" w:space="0" w:color="auto"/>
        <w:bottom w:val="none" w:sz="0" w:space="0" w:color="auto"/>
        <w:right w:val="none" w:sz="0" w:space="0" w:color="auto"/>
      </w:divBdr>
    </w:div>
    <w:div w:id="1223444842">
      <w:bodyDiv w:val="1"/>
      <w:marLeft w:val="0"/>
      <w:marRight w:val="0"/>
      <w:marTop w:val="0"/>
      <w:marBottom w:val="0"/>
      <w:divBdr>
        <w:top w:val="none" w:sz="0" w:space="0" w:color="auto"/>
        <w:left w:val="none" w:sz="0" w:space="0" w:color="auto"/>
        <w:bottom w:val="none" w:sz="0" w:space="0" w:color="auto"/>
        <w:right w:val="none" w:sz="0" w:space="0" w:color="auto"/>
      </w:divBdr>
    </w:div>
    <w:div w:id="1485123579">
      <w:bodyDiv w:val="1"/>
      <w:marLeft w:val="0"/>
      <w:marRight w:val="0"/>
      <w:marTop w:val="0"/>
      <w:marBottom w:val="0"/>
      <w:divBdr>
        <w:top w:val="none" w:sz="0" w:space="0" w:color="auto"/>
        <w:left w:val="none" w:sz="0" w:space="0" w:color="auto"/>
        <w:bottom w:val="none" w:sz="0" w:space="0" w:color="auto"/>
        <w:right w:val="none" w:sz="0" w:space="0" w:color="auto"/>
      </w:divBdr>
    </w:div>
    <w:div w:id="1612323163">
      <w:bodyDiv w:val="1"/>
      <w:marLeft w:val="0"/>
      <w:marRight w:val="0"/>
      <w:marTop w:val="0"/>
      <w:marBottom w:val="0"/>
      <w:divBdr>
        <w:top w:val="none" w:sz="0" w:space="0" w:color="auto"/>
        <w:left w:val="none" w:sz="0" w:space="0" w:color="auto"/>
        <w:bottom w:val="none" w:sz="0" w:space="0" w:color="auto"/>
        <w:right w:val="none" w:sz="0" w:space="0" w:color="auto"/>
      </w:divBdr>
    </w:div>
    <w:div w:id="1670058908">
      <w:bodyDiv w:val="1"/>
      <w:marLeft w:val="0"/>
      <w:marRight w:val="0"/>
      <w:marTop w:val="0"/>
      <w:marBottom w:val="0"/>
      <w:divBdr>
        <w:top w:val="none" w:sz="0" w:space="0" w:color="auto"/>
        <w:left w:val="none" w:sz="0" w:space="0" w:color="auto"/>
        <w:bottom w:val="none" w:sz="0" w:space="0" w:color="auto"/>
        <w:right w:val="none" w:sz="0" w:space="0" w:color="auto"/>
      </w:divBdr>
    </w:div>
    <w:div w:id="1760828134">
      <w:bodyDiv w:val="1"/>
      <w:marLeft w:val="0"/>
      <w:marRight w:val="0"/>
      <w:marTop w:val="0"/>
      <w:marBottom w:val="0"/>
      <w:divBdr>
        <w:top w:val="none" w:sz="0" w:space="0" w:color="auto"/>
        <w:left w:val="none" w:sz="0" w:space="0" w:color="auto"/>
        <w:bottom w:val="none" w:sz="0" w:space="0" w:color="auto"/>
        <w:right w:val="none" w:sz="0" w:space="0" w:color="auto"/>
      </w:divBdr>
    </w:div>
    <w:div w:id="1837989275">
      <w:bodyDiv w:val="1"/>
      <w:marLeft w:val="0"/>
      <w:marRight w:val="0"/>
      <w:marTop w:val="0"/>
      <w:marBottom w:val="0"/>
      <w:divBdr>
        <w:top w:val="none" w:sz="0" w:space="0" w:color="auto"/>
        <w:left w:val="none" w:sz="0" w:space="0" w:color="auto"/>
        <w:bottom w:val="none" w:sz="0" w:space="0" w:color="auto"/>
        <w:right w:val="none" w:sz="0" w:space="0" w:color="auto"/>
      </w:divBdr>
    </w:div>
    <w:div w:id="1945727730">
      <w:bodyDiv w:val="1"/>
      <w:marLeft w:val="0"/>
      <w:marRight w:val="0"/>
      <w:marTop w:val="0"/>
      <w:marBottom w:val="0"/>
      <w:divBdr>
        <w:top w:val="none" w:sz="0" w:space="0" w:color="auto"/>
        <w:left w:val="none" w:sz="0" w:space="0" w:color="auto"/>
        <w:bottom w:val="none" w:sz="0" w:space="0" w:color="auto"/>
        <w:right w:val="none" w:sz="0" w:space="0" w:color="auto"/>
      </w:divBdr>
    </w:div>
    <w:div w:id="212376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calister@psc.ga.gov" TargetMode="External"/><Relationship Id="rId13" Type="http://schemas.openxmlformats.org/officeDocument/2006/relationships/hyperlink" Target="mailto:ngalloway@gallyn-law.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mesorr@eversheds-sutherlan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corman@bickycolmanlaw.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teven.hewitson@troutman.com" TargetMode="External"/><Relationship Id="rId4" Type="http://schemas.openxmlformats.org/officeDocument/2006/relationships/settings" Target="settings.xml"/><Relationship Id="rId9" Type="http://schemas.openxmlformats.org/officeDocument/2006/relationships/hyperlink" Target="mailto:ngibson@psc.ga.gov" TargetMode="External"/><Relationship Id="rId14" Type="http://schemas.openxmlformats.org/officeDocument/2006/relationships/hyperlink" Target="mailto:tlyndall@gallyn-la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CEDA8-9684-467A-A541-603B4157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1150</Words>
  <Characters>7485</Characters>
  <Application>Microsoft Office Word</Application>
  <DocSecurity>0</DocSecurity>
  <Lines>220</Lines>
  <Paragraphs>118</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8517</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2014-04-22T11:52:00Z</cp:lastPrinted>
  <dcterms:created xsi:type="dcterms:W3CDTF">2022-01-14T16:39:00Z</dcterms:created>
  <dcterms:modified xsi:type="dcterms:W3CDTF">2022-01-14T16:39:00Z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umber">
    <vt:lpwstr>153948459</vt:lpwstr>
  </property>
  <property fmtid="{D5CDD505-2E9C-101B-9397-08002B2CF9AE}" pid="3" name="DocumentVersion">
    <vt:lpwstr>2</vt:lpwstr>
  </property>
  <property fmtid="{D5CDD505-2E9C-101B-9397-08002B2CF9AE}" pid="4" name="ClientNumber">
    <vt:lpwstr>211406</vt:lpwstr>
  </property>
  <property fmtid="{D5CDD505-2E9C-101B-9397-08002B2CF9AE}" pid="5" name="MatterNumber">
    <vt:lpwstr>00001</vt:lpwstr>
  </property>
  <property fmtid="{D5CDD505-2E9C-101B-9397-08002B2CF9AE}" pid="6" name="ClientName">
    <vt:lpwstr>Electrify America LLC</vt:lpwstr>
  </property>
  <property fmtid="{D5CDD505-2E9C-101B-9397-08002B2CF9AE}" pid="7" name="MatterName">
    <vt:lpwstr>Docket No. 43899 before the Georgia Public Service Commission</vt:lpwstr>
  </property>
  <property fmtid="{D5CDD505-2E9C-101B-9397-08002B2CF9AE}" pid="8" name="DatabaseName">
    <vt:lpwstr>Active</vt:lpwstr>
  </property>
  <property fmtid="{D5CDD505-2E9C-101B-9397-08002B2CF9AE}" pid="9" name="TypistName">
    <vt:lpwstr>GRCOATES</vt:lpwstr>
  </property>
  <property fmtid="{D5CDD505-2E9C-101B-9397-08002B2CF9AE}" pid="10" name="AuthorName">
    <vt:lpwstr>GRCOATES</vt:lpwstr>
  </property>
  <property fmtid="{D5CDD505-2E9C-101B-9397-08002B2CF9AE}" pid="11" name="InUseBy">
    <vt:lpwstr/>
  </property>
  <property fmtid="{D5CDD505-2E9C-101B-9397-08002B2CF9AE}" pid="12" name="EditDate">
    <vt:lpwstr>1/14/2022 3:49:20 PM</vt:lpwstr>
  </property>
  <property fmtid="{D5CDD505-2E9C-101B-9397-08002B2CF9AE}" pid="13" name="EditTime">
    <vt:lpwstr/>
  </property>
  <property fmtid="{D5CDD505-2E9C-101B-9397-08002B2CF9AE}" pid="14" name="IsiManageWork">
    <vt:lpwstr>True</vt:lpwstr>
  </property>
</Properties>
</file>