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357" w:rsidRDefault="00EA3357" w:rsidP="002009DA">
      <w:pPr>
        <w:pStyle w:val="BlockText"/>
        <w:ind w:left="0" w:firstLine="0"/>
        <w:jc w:val="center"/>
        <w:rPr>
          <w:rFonts w:ascii="Garamond" w:hAnsi="Garamond"/>
          <w:b/>
          <w:sz w:val="28"/>
          <w:szCs w:val="28"/>
        </w:rPr>
      </w:pPr>
      <w:bookmarkStart w:id="0" w:name="_Toc517170611"/>
    </w:p>
    <w:p w:rsidR="0092389A" w:rsidRPr="006D009D" w:rsidRDefault="00B24B21" w:rsidP="00A21A86">
      <w:pPr>
        <w:pStyle w:val="BlockText"/>
        <w:ind w:left="0" w:right="1167" w:firstLine="0"/>
        <w:jc w:val="center"/>
        <w:rPr>
          <w:rFonts w:ascii="Garamond" w:hAnsi="Garamond"/>
          <w:b/>
          <w:sz w:val="28"/>
          <w:szCs w:val="28"/>
        </w:rPr>
      </w:pPr>
      <w:r w:rsidRPr="006D009D">
        <w:rPr>
          <w:rFonts w:ascii="Garamond" w:hAnsi="Garamond"/>
          <w:b/>
          <w:sz w:val="28"/>
          <w:szCs w:val="28"/>
        </w:rPr>
        <w:t>BEFORE THE</w:t>
      </w:r>
    </w:p>
    <w:p w:rsidR="00B24B21" w:rsidRPr="006D009D" w:rsidRDefault="00C719A7" w:rsidP="00A21A86">
      <w:pPr>
        <w:pStyle w:val="BlockText"/>
        <w:ind w:left="0" w:right="1167" w:firstLine="0"/>
        <w:jc w:val="center"/>
        <w:rPr>
          <w:rFonts w:ascii="Garamond" w:hAnsi="Garamond"/>
          <w:b/>
          <w:sz w:val="28"/>
          <w:szCs w:val="28"/>
        </w:rPr>
      </w:pPr>
      <w:r w:rsidRPr="006D009D">
        <w:rPr>
          <w:rFonts w:ascii="Garamond" w:hAnsi="Garamond"/>
          <w:b/>
          <w:sz w:val="28"/>
          <w:szCs w:val="28"/>
        </w:rPr>
        <w:t>GEORGIA PUBLIC SERVICE</w:t>
      </w:r>
      <w:r w:rsidR="00B24B21" w:rsidRPr="006D009D">
        <w:rPr>
          <w:rFonts w:ascii="Garamond" w:hAnsi="Garamond"/>
          <w:b/>
          <w:sz w:val="28"/>
          <w:szCs w:val="28"/>
        </w:rPr>
        <w:t xml:space="preserve"> COMMISSION</w:t>
      </w:r>
      <w:bookmarkEnd w:id="0"/>
    </w:p>
    <w:p w:rsidR="00B24B21" w:rsidRPr="006D009D" w:rsidRDefault="00B24B21" w:rsidP="00A21A86">
      <w:pPr>
        <w:jc w:val="center"/>
        <w:rPr>
          <w:rFonts w:ascii="Garamond" w:hAnsi="Garamond"/>
        </w:rPr>
      </w:pPr>
    </w:p>
    <w:p w:rsidR="0092389A" w:rsidRPr="006D009D" w:rsidRDefault="0092389A" w:rsidP="00A21A86">
      <w:pPr>
        <w:jc w:val="center"/>
        <w:rPr>
          <w:rFonts w:ascii="Garamond" w:hAnsi="Garamond"/>
        </w:rPr>
      </w:pPr>
    </w:p>
    <w:p w:rsidR="000135F3" w:rsidRPr="006D009D" w:rsidRDefault="000135F3" w:rsidP="00A21A86">
      <w:pPr>
        <w:jc w:val="center"/>
        <w:rPr>
          <w:rFonts w:ascii="Garamond" w:hAnsi="Garamond"/>
        </w:rPr>
      </w:pPr>
    </w:p>
    <w:tbl>
      <w:tblPr>
        <w:tblW w:w="0" w:type="auto"/>
        <w:tblLayout w:type="fixed"/>
        <w:tblLook w:val="0000" w:firstRow="0" w:lastRow="0" w:firstColumn="0" w:lastColumn="0" w:noHBand="0" w:noVBand="0"/>
      </w:tblPr>
      <w:tblGrid>
        <w:gridCol w:w="5148"/>
        <w:gridCol w:w="4428"/>
      </w:tblGrid>
      <w:tr w:rsidR="00A40941" w:rsidRPr="00437279" w:rsidTr="00497540">
        <w:tc>
          <w:tcPr>
            <w:tcW w:w="5148" w:type="dxa"/>
          </w:tcPr>
          <w:p w:rsidR="00A40941" w:rsidRPr="00E50326" w:rsidRDefault="00A40941" w:rsidP="00497540">
            <w:pPr>
              <w:tabs>
                <w:tab w:val="left" w:pos="6930"/>
              </w:tabs>
              <w:rPr>
                <w:rFonts w:ascii="Garamond" w:hAnsi="Garamond"/>
                <w:b/>
                <w:bCs/>
              </w:rPr>
            </w:pPr>
            <w:r w:rsidRPr="00E50326">
              <w:rPr>
                <w:rFonts w:ascii="Garamond" w:hAnsi="Garamond"/>
                <w:b/>
                <w:bCs/>
              </w:rPr>
              <w:t>IN THE MATTER OF: GEORGIA POWER COMPANY’S TWENTY-</w:t>
            </w:r>
            <w:r w:rsidR="00721816">
              <w:rPr>
                <w:rFonts w:ascii="Garamond" w:hAnsi="Garamond"/>
                <w:b/>
                <w:bCs/>
              </w:rPr>
              <w:t>F</w:t>
            </w:r>
            <w:r w:rsidR="008030E1">
              <w:rPr>
                <w:rFonts w:ascii="Garamond" w:hAnsi="Garamond"/>
                <w:b/>
                <w:bCs/>
              </w:rPr>
              <w:t>IFTH</w:t>
            </w:r>
            <w:r w:rsidRPr="00E50326">
              <w:rPr>
                <w:rFonts w:ascii="Garamond" w:hAnsi="Garamond"/>
                <w:b/>
                <w:bCs/>
              </w:rPr>
              <w:t xml:space="preserve"> SEMI-ANNUAL VOGTLE CONSTRUCTION MONITORING (“VCM”) REPORT</w:t>
            </w:r>
          </w:p>
        </w:tc>
        <w:tc>
          <w:tcPr>
            <w:tcW w:w="4428" w:type="dxa"/>
          </w:tcPr>
          <w:p w:rsidR="00A40941" w:rsidRPr="00E50326" w:rsidRDefault="00A40941" w:rsidP="00497540">
            <w:pPr>
              <w:tabs>
                <w:tab w:val="left" w:pos="6930"/>
              </w:tabs>
              <w:jc w:val="center"/>
              <w:rPr>
                <w:rFonts w:ascii="Garamond" w:hAnsi="Garamond"/>
                <w:b/>
                <w:bCs/>
              </w:rPr>
            </w:pPr>
          </w:p>
          <w:p w:rsidR="00A40941" w:rsidRPr="00E50326" w:rsidRDefault="00A40941" w:rsidP="00497540">
            <w:pPr>
              <w:tabs>
                <w:tab w:val="left" w:pos="6930"/>
              </w:tabs>
              <w:jc w:val="center"/>
              <w:rPr>
                <w:rFonts w:ascii="Garamond" w:hAnsi="Garamond"/>
                <w:b/>
                <w:bCs/>
              </w:rPr>
            </w:pPr>
            <w:r w:rsidRPr="00E50326">
              <w:rPr>
                <w:rFonts w:ascii="Garamond" w:hAnsi="Garamond"/>
                <w:b/>
                <w:bCs/>
              </w:rPr>
              <w:t>DOCKET NO. 29849</w:t>
            </w:r>
          </w:p>
        </w:tc>
      </w:tr>
      <w:tr w:rsidR="00A40941" w:rsidRPr="00437279" w:rsidTr="00497540">
        <w:trPr>
          <w:trHeight w:val="333"/>
        </w:trPr>
        <w:tc>
          <w:tcPr>
            <w:tcW w:w="5148" w:type="dxa"/>
          </w:tcPr>
          <w:p w:rsidR="00A40941" w:rsidRPr="00437279" w:rsidRDefault="00A40941" w:rsidP="00497540">
            <w:pPr>
              <w:tabs>
                <w:tab w:val="left" w:pos="6930"/>
              </w:tabs>
              <w:jc w:val="center"/>
              <w:rPr>
                <w:b/>
                <w:bCs/>
              </w:rPr>
            </w:pPr>
          </w:p>
        </w:tc>
        <w:tc>
          <w:tcPr>
            <w:tcW w:w="4428" w:type="dxa"/>
          </w:tcPr>
          <w:p w:rsidR="00A40941" w:rsidRPr="00437279" w:rsidRDefault="00A40941" w:rsidP="00497540">
            <w:pPr>
              <w:tabs>
                <w:tab w:val="left" w:pos="6930"/>
              </w:tabs>
              <w:jc w:val="center"/>
              <w:rPr>
                <w:b/>
                <w:bCs/>
              </w:rPr>
            </w:pPr>
          </w:p>
        </w:tc>
      </w:tr>
    </w:tbl>
    <w:p w:rsidR="000135F3" w:rsidRPr="006D009D" w:rsidRDefault="000135F3" w:rsidP="00A21A86">
      <w:pPr>
        <w:jc w:val="center"/>
        <w:rPr>
          <w:rFonts w:ascii="Garamond" w:hAnsi="Garamond"/>
        </w:rPr>
      </w:pPr>
    </w:p>
    <w:p w:rsidR="000135F3" w:rsidRPr="006D009D" w:rsidRDefault="000135F3" w:rsidP="00A21A86">
      <w:pPr>
        <w:jc w:val="center"/>
        <w:rPr>
          <w:rFonts w:ascii="Garamond" w:hAnsi="Garamond"/>
        </w:rPr>
      </w:pPr>
    </w:p>
    <w:p w:rsidR="00B24B21" w:rsidRPr="006D009D" w:rsidRDefault="00B24B21" w:rsidP="00A21A86">
      <w:pPr>
        <w:spacing w:line="480" w:lineRule="auto"/>
        <w:ind w:right="1167"/>
        <w:jc w:val="center"/>
        <w:rPr>
          <w:rFonts w:ascii="Garamond" w:hAnsi="Garamond"/>
          <w:caps/>
        </w:rPr>
      </w:pPr>
    </w:p>
    <w:p w:rsidR="00793FEF" w:rsidRPr="006D009D" w:rsidRDefault="004234D5" w:rsidP="00A21A86">
      <w:pPr>
        <w:spacing w:line="480" w:lineRule="auto"/>
        <w:ind w:right="1167"/>
        <w:jc w:val="center"/>
        <w:rPr>
          <w:rFonts w:ascii="Garamond" w:hAnsi="Garamond"/>
          <w:b/>
          <w:caps/>
          <w:sz w:val="28"/>
          <w:szCs w:val="28"/>
        </w:rPr>
      </w:pPr>
      <w:r w:rsidRPr="006D009D">
        <w:rPr>
          <w:rFonts w:ascii="Garamond" w:hAnsi="Garamond"/>
          <w:b/>
          <w:caps/>
          <w:sz w:val="28"/>
          <w:szCs w:val="28"/>
        </w:rPr>
        <w:t>Direct</w:t>
      </w:r>
      <w:r w:rsidR="004A558C" w:rsidRPr="006D009D">
        <w:rPr>
          <w:rFonts w:ascii="Garamond" w:hAnsi="Garamond"/>
          <w:b/>
          <w:caps/>
          <w:sz w:val="28"/>
          <w:szCs w:val="28"/>
        </w:rPr>
        <w:t xml:space="preserve"> </w:t>
      </w:r>
      <w:r w:rsidR="00793FEF" w:rsidRPr="006D009D">
        <w:rPr>
          <w:rFonts w:ascii="Garamond" w:hAnsi="Garamond"/>
          <w:b/>
          <w:caps/>
          <w:sz w:val="28"/>
          <w:szCs w:val="28"/>
        </w:rPr>
        <w:t>TESTIMONY</w:t>
      </w:r>
    </w:p>
    <w:p w:rsidR="00B24B21" w:rsidRPr="006D009D" w:rsidRDefault="00B24B21" w:rsidP="00A21A86">
      <w:pPr>
        <w:spacing w:line="480" w:lineRule="auto"/>
        <w:ind w:right="1167"/>
        <w:jc w:val="center"/>
        <w:rPr>
          <w:rFonts w:ascii="Garamond" w:hAnsi="Garamond"/>
          <w:b/>
          <w:caps/>
          <w:sz w:val="28"/>
          <w:szCs w:val="28"/>
        </w:rPr>
      </w:pPr>
      <w:r w:rsidRPr="006D009D">
        <w:rPr>
          <w:rFonts w:ascii="Garamond" w:hAnsi="Garamond"/>
          <w:b/>
          <w:caps/>
          <w:sz w:val="28"/>
          <w:szCs w:val="28"/>
        </w:rPr>
        <w:t>OF</w:t>
      </w:r>
    </w:p>
    <w:p w:rsidR="0092389A" w:rsidRPr="006D009D" w:rsidRDefault="0092389A" w:rsidP="00A21A86">
      <w:pPr>
        <w:spacing w:line="480" w:lineRule="auto"/>
        <w:ind w:right="1167"/>
        <w:jc w:val="center"/>
        <w:rPr>
          <w:rFonts w:ascii="Garamond" w:hAnsi="Garamond"/>
          <w:b/>
          <w:caps/>
          <w:sz w:val="28"/>
          <w:szCs w:val="28"/>
        </w:rPr>
      </w:pPr>
    </w:p>
    <w:p w:rsidR="00B24B21" w:rsidRPr="006D009D" w:rsidRDefault="0098352C" w:rsidP="00A21A86">
      <w:pPr>
        <w:spacing w:line="480" w:lineRule="auto"/>
        <w:ind w:right="1167"/>
        <w:jc w:val="center"/>
        <w:rPr>
          <w:rFonts w:ascii="Garamond" w:hAnsi="Garamond"/>
          <w:b/>
          <w:caps/>
          <w:sz w:val="32"/>
          <w:szCs w:val="32"/>
        </w:rPr>
      </w:pPr>
      <w:r w:rsidRPr="006D009D">
        <w:rPr>
          <w:rFonts w:ascii="Garamond" w:hAnsi="Garamond"/>
          <w:b/>
          <w:caps/>
          <w:sz w:val="32"/>
          <w:szCs w:val="32"/>
        </w:rPr>
        <w:t>Don</w:t>
      </w:r>
      <w:r w:rsidR="002A0ABA">
        <w:rPr>
          <w:rFonts w:ascii="Garamond" w:hAnsi="Garamond"/>
          <w:b/>
          <w:caps/>
          <w:sz w:val="32"/>
          <w:szCs w:val="32"/>
        </w:rPr>
        <w:t>ALD</w:t>
      </w:r>
      <w:r w:rsidRPr="006D009D">
        <w:rPr>
          <w:rFonts w:ascii="Garamond" w:hAnsi="Garamond"/>
          <w:b/>
          <w:caps/>
          <w:sz w:val="32"/>
          <w:szCs w:val="32"/>
        </w:rPr>
        <w:t xml:space="preserve"> </w:t>
      </w:r>
      <w:r w:rsidR="00BE0DBB">
        <w:rPr>
          <w:rFonts w:ascii="Garamond" w:hAnsi="Garamond"/>
          <w:b/>
          <w:caps/>
          <w:sz w:val="32"/>
          <w:szCs w:val="32"/>
        </w:rPr>
        <w:t xml:space="preserve">N. </w:t>
      </w:r>
      <w:r w:rsidRPr="006D009D">
        <w:rPr>
          <w:rFonts w:ascii="Garamond" w:hAnsi="Garamond"/>
          <w:b/>
          <w:caps/>
          <w:sz w:val="32"/>
          <w:szCs w:val="32"/>
        </w:rPr>
        <w:t>Grace</w:t>
      </w:r>
      <w:r w:rsidR="00BE0DBB">
        <w:rPr>
          <w:rFonts w:ascii="Garamond" w:hAnsi="Garamond"/>
          <w:b/>
          <w:caps/>
          <w:sz w:val="32"/>
          <w:szCs w:val="32"/>
        </w:rPr>
        <w:t xml:space="preserve"> P.E.</w:t>
      </w:r>
    </w:p>
    <w:p w:rsidR="0092389A" w:rsidRPr="006D009D" w:rsidRDefault="0092389A" w:rsidP="00A21A86">
      <w:pPr>
        <w:spacing w:line="480" w:lineRule="auto"/>
        <w:ind w:right="1167"/>
        <w:jc w:val="center"/>
        <w:rPr>
          <w:rFonts w:ascii="Garamond" w:hAnsi="Garamond"/>
          <w:b/>
          <w:caps/>
          <w:sz w:val="28"/>
          <w:szCs w:val="28"/>
        </w:rPr>
      </w:pPr>
    </w:p>
    <w:p w:rsidR="00B24B21" w:rsidRPr="006D009D" w:rsidRDefault="003D604A" w:rsidP="00A21A86">
      <w:pPr>
        <w:spacing w:line="480" w:lineRule="auto"/>
        <w:ind w:right="1167"/>
        <w:jc w:val="center"/>
        <w:rPr>
          <w:rFonts w:ascii="Garamond" w:hAnsi="Garamond"/>
          <w:b/>
          <w:caps/>
          <w:sz w:val="28"/>
          <w:szCs w:val="28"/>
        </w:rPr>
      </w:pPr>
      <w:r w:rsidRPr="006D009D">
        <w:rPr>
          <w:rFonts w:ascii="Garamond" w:hAnsi="Garamond"/>
          <w:b/>
          <w:caps/>
          <w:sz w:val="28"/>
          <w:szCs w:val="28"/>
        </w:rPr>
        <w:t>ON BEHALF OF THE</w:t>
      </w:r>
    </w:p>
    <w:p w:rsidR="00B24B21" w:rsidRPr="006D009D" w:rsidRDefault="00C719A7" w:rsidP="00A21A86">
      <w:pPr>
        <w:spacing w:line="480" w:lineRule="auto"/>
        <w:ind w:right="1167"/>
        <w:jc w:val="center"/>
        <w:rPr>
          <w:rFonts w:ascii="Garamond" w:hAnsi="Garamond"/>
          <w:b/>
          <w:caps/>
          <w:sz w:val="28"/>
          <w:szCs w:val="28"/>
        </w:rPr>
      </w:pPr>
      <w:r w:rsidRPr="006D009D">
        <w:rPr>
          <w:rFonts w:ascii="Garamond" w:hAnsi="Garamond"/>
          <w:b/>
          <w:caps/>
          <w:sz w:val="28"/>
          <w:szCs w:val="28"/>
        </w:rPr>
        <w:t>GEORGIA PUBLIC SERVICE COMMISSION</w:t>
      </w:r>
    </w:p>
    <w:p w:rsidR="008030E1" w:rsidRDefault="0092389A" w:rsidP="00A21A86">
      <w:pPr>
        <w:spacing w:line="480" w:lineRule="auto"/>
        <w:ind w:right="1167"/>
        <w:jc w:val="center"/>
        <w:rPr>
          <w:rFonts w:ascii="Garamond" w:hAnsi="Garamond"/>
          <w:b/>
          <w:caps/>
          <w:sz w:val="28"/>
          <w:szCs w:val="28"/>
        </w:rPr>
      </w:pPr>
      <w:r w:rsidRPr="006D009D">
        <w:rPr>
          <w:rFonts w:ascii="Garamond" w:hAnsi="Garamond"/>
          <w:b/>
          <w:caps/>
          <w:sz w:val="28"/>
          <w:szCs w:val="28"/>
        </w:rPr>
        <w:t>PUBLIC INTEREST ADVOCACY STAFF</w:t>
      </w:r>
    </w:p>
    <w:p w:rsidR="008D1EC9" w:rsidRDefault="008D1EC9" w:rsidP="00A21A86">
      <w:pPr>
        <w:spacing w:line="480" w:lineRule="auto"/>
        <w:ind w:right="1167"/>
        <w:jc w:val="center"/>
        <w:rPr>
          <w:rFonts w:ascii="Garamond" w:hAnsi="Garamond"/>
          <w:b/>
          <w:caps/>
          <w:sz w:val="32"/>
          <w:szCs w:val="32"/>
        </w:rPr>
      </w:pPr>
    </w:p>
    <w:p w:rsidR="00A21A86" w:rsidRPr="008030E1" w:rsidRDefault="00F87134" w:rsidP="00A21A86">
      <w:pPr>
        <w:spacing w:line="480" w:lineRule="auto"/>
        <w:ind w:right="1167"/>
        <w:jc w:val="center"/>
        <w:rPr>
          <w:rFonts w:ascii="Garamond" w:hAnsi="Garamond"/>
          <w:b/>
          <w:caps/>
          <w:sz w:val="28"/>
          <w:szCs w:val="28"/>
        </w:rPr>
      </w:pPr>
      <w:r w:rsidRPr="006D009D">
        <w:rPr>
          <w:rFonts w:ascii="Garamond" w:hAnsi="Garamond"/>
          <w:b/>
          <w:caps/>
          <w:sz w:val="32"/>
          <w:szCs w:val="32"/>
        </w:rPr>
        <w:t xml:space="preserve"> </w:t>
      </w:r>
      <w:r w:rsidR="008030E1">
        <w:rPr>
          <w:rFonts w:ascii="Garamond" w:hAnsi="Garamond"/>
          <w:b/>
          <w:caps/>
          <w:sz w:val="32"/>
          <w:szCs w:val="32"/>
        </w:rPr>
        <w:t xml:space="preserve">DECEMBER 1, </w:t>
      </w:r>
      <w:r w:rsidRPr="006D009D">
        <w:rPr>
          <w:rFonts w:ascii="Garamond" w:hAnsi="Garamond"/>
          <w:b/>
          <w:caps/>
          <w:sz w:val="32"/>
          <w:szCs w:val="32"/>
        </w:rPr>
        <w:t>202</w:t>
      </w:r>
      <w:r w:rsidR="00721816">
        <w:rPr>
          <w:rFonts w:ascii="Garamond" w:hAnsi="Garamond"/>
          <w:b/>
          <w:caps/>
          <w:sz w:val="32"/>
          <w:szCs w:val="32"/>
        </w:rPr>
        <w:t>1</w:t>
      </w:r>
    </w:p>
    <w:p w:rsidR="006E0741" w:rsidRDefault="006E0741" w:rsidP="006E0741">
      <w:pPr>
        <w:spacing w:line="480" w:lineRule="auto"/>
        <w:ind w:right="1167"/>
        <w:rPr>
          <w:rFonts w:ascii="Garamond" w:hAnsi="Garamond"/>
          <w:b/>
          <w:caps/>
          <w:sz w:val="32"/>
          <w:szCs w:val="32"/>
        </w:rPr>
      </w:pPr>
    </w:p>
    <w:p w:rsidR="006E0741" w:rsidRDefault="006E0741" w:rsidP="006E0741">
      <w:pPr>
        <w:spacing w:line="480" w:lineRule="auto"/>
        <w:ind w:right="1167"/>
        <w:rPr>
          <w:rFonts w:ascii="Garamond" w:hAnsi="Garamond"/>
          <w:b/>
          <w:caps/>
          <w:sz w:val="32"/>
          <w:szCs w:val="32"/>
        </w:rPr>
        <w:sectPr w:rsidR="006E0741" w:rsidSect="00A61D0B">
          <w:headerReference w:type="default" r:id="rId8"/>
          <w:footerReference w:type="even" r:id="rId9"/>
          <w:footerReference w:type="default" r:id="rId10"/>
          <w:footerReference w:type="first" r:id="rId11"/>
          <w:pgSz w:w="12240" w:h="15840" w:code="1"/>
          <w:pgMar w:top="720" w:right="806" w:bottom="432" w:left="1987" w:header="720" w:footer="720" w:gutter="0"/>
          <w:paperSrc w:first="7" w:other="7"/>
          <w:pgNumType w:start="1"/>
          <w:cols w:space="720"/>
          <w:noEndnote/>
          <w:titlePg/>
          <w:docGrid w:linePitch="326"/>
        </w:sectPr>
      </w:pPr>
    </w:p>
    <w:p w:rsidR="006E0741" w:rsidRDefault="006E0741" w:rsidP="00C50BEC">
      <w:pPr>
        <w:spacing w:line="480" w:lineRule="auto"/>
        <w:jc w:val="center"/>
        <w:rPr>
          <w:rFonts w:ascii="Garamond" w:hAnsi="Garamond"/>
          <w:b/>
          <w:sz w:val="32"/>
          <w:szCs w:val="32"/>
        </w:rPr>
      </w:pPr>
      <w:bookmarkStart w:id="1" w:name="_GoBack"/>
      <w:bookmarkEnd w:id="1"/>
    </w:p>
    <w:p w:rsidR="00C50BEC" w:rsidRDefault="009037D3" w:rsidP="00C50BEC">
      <w:pPr>
        <w:spacing w:line="480" w:lineRule="auto"/>
        <w:jc w:val="center"/>
        <w:rPr>
          <w:rFonts w:ascii="Garamond" w:hAnsi="Garamond"/>
          <w:b/>
          <w:sz w:val="32"/>
          <w:szCs w:val="32"/>
        </w:rPr>
      </w:pPr>
      <w:r w:rsidRPr="00AB525D">
        <w:rPr>
          <w:rFonts w:ascii="Garamond" w:hAnsi="Garamond"/>
          <w:b/>
          <w:sz w:val="32"/>
          <w:szCs w:val="32"/>
        </w:rPr>
        <w:t>TABLE OF CONTENTS</w:t>
      </w:r>
    </w:p>
    <w:p w:rsidR="002F1FF4" w:rsidRPr="00AE6017" w:rsidRDefault="002F1FF4" w:rsidP="00C50BEC">
      <w:pPr>
        <w:spacing w:line="480" w:lineRule="auto"/>
        <w:jc w:val="center"/>
        <w:rPr>
          <w:rFonts w:ascii="Garamond" w:hAnsi="Garamond"/>
          <w:b/>
          <w:caps/>
          <w:u w:val="single"/>
        </w:rPr>
      </w:pPr>
      <w:r w:rsidRPr="00AE6017">
        <w:rPr>
          <w:rFonts w:ascii="Garamond" w:hAnsi="Garamond"/>
          <w:b/>
        </w:rPr>
        <w:tab/>
      </w:r>
      <w:r w:rsidRPr="00AE6017">
        <w:rPr>
          <w:rFonts w:ascii="Garamond" w:hAnsi="Garamond"/>
          <w:b/>
        </w:rPr>
        <w:tab/>
      </w:r>
      <w:r w:rsidRPr="00AE6017">
        <w:rPr>
          <w:rFonts w:ascii="Garamond" w:hAnsi="Garamond"/>
          <w:b/>
        </w:rPr>
        <w:tab/>
      </w:r>
      <w:r w:rsidRPr="00AE6017">
        <w:rPr>
          <w:rFonts w:ascii="Garamond" w:hAnsi="Garamond"/>
          <w:b/>
        </w:rPr>
        <w:tab/>
      </w:r>
      <w:r w:rsidRPr="00AE6017">
        <w:rPr>
          <w:rFonts w:ascii="Garamond" w:hAnsi="Garamond"/>
          <w:b/>
        </w:rPr>
        <w:tab/>
      </w:r>
      <w:r w:rsidRPr="00AE6017">
        <w:rPr>
          <w:rFonts w:ascii="Garamond" w:hAnsi="Garamond"/>
          <w:b/>
        </w:rPr>
        <w:tab/>
      </w:r>
      <w:r w:rsidRPr="00AE6017">
        <w:rPr>
          <w:rFonts w:ascii="Garamond" w:hAnsi="Garamond"/>
          <w:b/>
        </w:rPr>
        <w:tab/>
      </w:r>
      <w:r w:rsidRPr="00AE6017">
        <w:rPr>
          <w:rFonts w:ascii="Garamond" w:hAnsi="Garamond"/>
          <w:b/>
        </w:rPr>
        <w:tab/>
        <w:t xml:space="preserve">       </w:t>
      </w:r>
      <w:r w:rsidR="0067571A">
        <w:rPr>
          <w:rFonts w:ascii="Garamond" w:hAnsi="Garamond"/>
          <w:b/>
        </w:rPr>
        <w:tab/>
      </w:r>
      <w:r w:rsidR="0067571A">
        <w:rPr>
          <w:rFonts w:ascii="Garamond" w:hAnsi="Garamond"/>
          <w:b/>
        </w:rPr>
        <w:tab/>
      </w:r>
      <w:r w:rsidR="0067571A">
        <w:rPr>
          <w:rFonts w:ascii="Garamond" w:hAnsi="Garamond"/>
          <w:b/>
        </w:rPr>
        <w:tab/>
      </w:r>
      <w:r w:rsidR="00CE70DA">
        <w:rPr>
          <w:rFonts w:ascii="Garamond" w:hAnsi="Garamond"/>
          <w:b/>
        </w:rPr>
        <w:t xml:space="preserve"> </w:t>
      </w:r>
      <w:r w:rsidRPr="00AE6017">
        <w:rPr>
          <w:rFonts w:ascii="Garamond" w:hAnsi="Garamond"/>
          <w:b/>
          <w:u w:val="single"/>
        </w:rPr>
        <w:t>Page</w:t>
      </w:r>
    </w:p>
    <w:p w:rsidR="009037D3" w:rsidRPr="00CE70DA" w:rsidRDefault="009037D3" w:rsidP="009037D3">
      <w:pPr>
        <w:ind w:firstLine="720"/>
        <w:rPr>
          <w:rFonts w:ascii="Garamond" w:hAnsi="Garamond"/>
          <w:b/>
        </w:rPr>
      </w:pPr>
      <w:r w:rsidRPr="00CE70DA">
        <w:rPr>
          <w:rFonts w:ascii="Garamond" w:hAnsi="Garamond"/>
          <w:b/>
        </w:rPr>
        <w:t>Introduction</w:t>
      </w:r>
      <w:r w:rsidR="00CE70DA" w:rsidRPr="00CE70DA">
        <w:rPr>
          <w:rFonts w:ascii="Garamond" w:hAnsi="Garamond"/>
          <w:b/>
        </w:rPr>
        <w:tab/>
      </w:r>
      <w:r w:rsidR="00CE70DA" w:rsidRPr="00CE70DA">
        <w:rPr>
          <w:rFonts w:ascii="Garamond" w:hAnsi="Garamond"/>
          <w:b/>
        </w:rPr>
        <w:tab/>
      </w:r>
      <w:r w:rsidR="00CE70DA" w:rsidRPr="00CE70DA">
        <w:rPr>
          <w:rFonts w:ascii="Garamond" w:hAnsi="Garamond"/>
          <w:b/>
        </w:rPr>
        <w:tab/>
      </w:r>
      <w:r w:rsidR="00CE70DA" w:rsidRPr="00CE70DA">
        <w:rPr>
          <w:rFonts w:ascii="Garamond" w:hAnsi="Garamond"/>
          <w:b/>
        </w:rPr>
        <w:tab/>
      </w:r>
      <w:r w:rsidR="00CE70DA" w:rsidRPr="00CE70DA">
        <w:rPr>
          <w:rFonts w:ascii="Garamond" w:hAnsi="Garamond"/>
          <w:b/>
        </w:rPr>
        <w:tab/>
      </w:r>
      <w:r w:rsidR="00CE70DA" w:rsidRPr="00CE70DA">
        <w:rPr>
          <w:rFonts w:ascii="Garamond" w:hAnsi="Garamond"/>
          <w:b/>
        </w:rPr>
        <w:tab/>
      </w:r>
      <w:r w:rsidR="00CE70DA" w:rsidRPr="00CE70DA">
        <w:rPr>
          <w:rFonts w:ascii="Garamond" w:hAnsi="Garamond"/>
          <w:b/>
        </w:rPr>
        <w:tab/>
      </w:r>
      <w:r w:rsidR="00CE70DA" w:rsidRPr="00CE70DA">
        <w:rPr>
          <w:rFonts w:ascii="Garamond" w:hAnsi="Garamond"/>
          <w:b/>
        </w:rPr>
        <w:tab/>
      </w:r>
      <w:r w:rsidR="00CE70DA" w:rsidRPr="00CE70DA">
        <w:rPr>
          <w:rFonts w:ascii="Garamond" w:hAnsi="Garamond"/>
          <w:b/>
        </w:rPr>
        <w:tab/>
      </w:r>
      <w:r w:rsidR="00CE70DA" w:rsidRPr="00CE70DA">
        <w:rPr>
          <w:rFonts w:ascii="Garamond" w:hAnsi="Garamond"/>
          <w:b/>
        </w:rPr>
        <w:tab/>
      </w:r>
      <w:r w:rsidR="007F5B85">
        <w:rPr>
          <w:rFonts w:ascii="Garamond" w:hAnsi="Garamond"/>
          <w:b/>
        </w:rPr>
        <w:t>1</w:t>
      </w:r>
      <w:r w:rsidR="002F1FF4" w:rsidRPr="00CE70DA">
        <w:rPr>
          <w:rFonts w:ascii="Garamond" w:hAnsi="Garamond"/>
          <w:b/>
        </w:rPr>
        <w:t xml:space="preserve"> </w:t>
      </w:r>
    </w:p>
    <w:p w:rsidR="009037D3" w:rsidRPr="00CE70DA" w:rsidRDefault="009037D3" w:rsidP="00BE0DBB">
      <w:pPr>
        <w:rPr>
          <w:rFonts w:ascii="Garamond" w:hAnsi="Garamond"/>
          <w:b/>
        </w:rPr>
      </w:pPr>
    </w:p>
    <w:p w:rsidR="009037D3" w:rsidRPr="00CE70DA" w:rsidRDefault="0073170E" w:rsidP="009037D3">
      <w:pPr>
        <w:ind w:firstLine="720"/>
        <w:rPr>
          <w:rFonts w:ascii="Garamond" w:hAnsi="Garamond"/>
          <w:b/>
        </w:rPr>
      </w:pPr>
      <w:r w:rsidRPr="00CE70DA">
        <w:rPr>
          <w:rFonts w:ascii="Garamond" w:hAnsi="Garamond"/>
          <w:b/>
        </w:rPr>
        <w:t>Purpose of Testimony</w:t>
      </w:r>
      <w:r w:rsidR="00CE70DA" w:rsidRPr="00CE70DA">
        <w:rPr>
          <w:rFonts w:ascii="Garamond" w:hAnsi="Garamond"/>
          <w:b/>
        </w:rPr>
        <w:tab/>
      </w:r>
      <w:r w:rsidR="00CE70DA" w:rsidRPr="00CE70DA">
        <w:rPr>
          <w:rFonts w:ascii="Garamond" w:hAnsi="Garamond"/>
          <w:b/>
        </w:rPr>
        <w:tab/>
      </w:r>
      <w:r w:rsidR="00CE70DA" w:rsidRPr="00CE70DA">
        <w:rPr>
          <w:rFonts w:ascii="Garamond" w:hAnsi="Garamond"/>
          <w:b/>
        </w:rPr>
        <w:tab/>
      </w:r>
      <w:r w:rsidR="00CE70DA" w:rsidRPr="00CE70DA">
        <w:rPr>
          <w:rFonts w:ascii="Garamond" w:hAnsi="Garamond"/>
          <w:b/>
        </w:rPr>
        <w:tab/>
      </w:r>
      <w:r w:rsidR="00CE70DA" w:rsidRPr="00CE70DA">
        <w:rPr>
          <w:rFonts w:ascii="Garamond" w:hAnsi="Garamond"/>
          <w:b/>
        </w:rPr>
        <w:tab/>
      </w:r>
      <w:r w:rsidR="00CE70DA" w:rsidRPr="00CE70DA">
        <w:rPr>
          <w:rFonts w:ascii="Garamond" w:hAnsi="Garamond"/>
          <w:b/>
        </w:rPr>
        <w:tab/>
      </w:r>
      <w:r w:rsidR="00CE70DA" w:rsidRPr="00CE70DA">
        <w:rPr>
          <w:rFonts w:ascii="Garamond" w:hAnsi="Garamond"/>
          <w:b/>
        </w:rPr>
        <w:tab/>
      </w:r>
      <w:r w:rsidR="00CE70DA" w:rsidRPr="00CE70DA">
        <w:rPr>
          <w:rFonts w:ascii="Garamond" w:hAnsi="Garamond"/>
          <w:b/>
        </w:rPr>
        <w:tab/>
      </w:r>
      <w:r w:rsidR="00CC6065">
        <w:rPr>
          <w:rFonts w:ascii="Garamond" w:hAnsi="Garamond"/>
          <w:b/>
        </w:rPr>
        <w:t>3</w:t>
      </w:r>
    </w:p>
    <w:p w:rsidR="0073170E" w:rsidRPr="00CE70DA" w:rsidRDefault="0073170E" w:rsidP="009037D3">
      <w:pPr>
        <w:ind w:firstLine="720"/>
        <w:rPr>
          <w:rFonts w:ascii="Garamond" w:hAnsi="Garamond"/>
          <w:b/>
        </w:rPr>
      </w:pPr>
    </w:p>
    <w:p w:rsidR="00C50BEC" w:rsidRPr="00CE70DA" w:rsidRDefault="005C1B6C" w:rsidP="00C566BC">
      <w:pPr>
        <w:ind w:left="720"/>
        <w:rPr>
          <w:rFonts w:ascii="Garamond" w:hAnsi="Garamond"/>
          <w:b/>
        </w:rPr>
      </w:pPr>
      <w:r>
        <w:rPr>
          <w:rFonts w:ascii="Garamond" w:hAnsi="Garamond"/>
          <w:b/>
        </w:rPr>
        <w:t>Analysis of Project Schedule</w:t>
      </w:r>
      <w:r>
        <w:rPr>
          <w:rFonts w:ascii="Garamond" w:hAnsi="Garamond"/>
          <w:b/>
        </w:rPr>
        <w:tab/>
      </w:r>
      <w:r>
        <w:rPr>
          <w:rFonts w:ascii="Garamond" w:hAnsi="Garamond"/>
          <w:b/>
        </w:rPr>
        <w:tab/>
      </w:r>
      <w:r>
        <w:rPr>
          <w:rFonts w:ascii="Garamond" w:hAnsi="Garamond"/>
          <w:b/>
        </w:rPr>
        <w:tab/>
      </w:r>
      <w:r w:rsidR="00CE70DA" w:rsidRPr="00CE70DA">
        <w:rPr>
          <w:rFonts w:ascii="Garamond" w:hAnsi="Garamond"/>
          <w:b/>
        </w:rPr>
        <w:tab/>
      </w:r>
      <w:r w:rsidR="00CE70DA" w:rsidRPr="00CE70DA">
        <w:rPr>
          <w:rFonts w:ascii="Garamond" w:hAnsi="Garamond"/>
          <w:b/>
        </w:rPr>
        <w:tab/>
      </w:r>
      <w:r w:rsidR="00CE70DA" w:rsidRPr="00CE70DA">
        <w:rPr>
          <w:rFonts w:ascii="Garamond" w:hAnsi="Garamond"/>
          <w:b/>
        </w:rPr>
        <w:tab/>
      </w:r>
      <w:r w:rsidR="00CE70DA" w:rsidRPr="00CE70DA">
        <w:rPr>
          <w:rFonts w:ascii="Garamond" w:hAnsi="Garamond"/>
          <w:b/>
        </w:rPr>
        <w:tab/>
      </w:r>
      <w:r w:rsidR="007041FF">
        <w:rPr>
          <w:rFonts w:ascii="Garamond" w:hAnsi="Garamond"/>
          <w:b/>
        </w:rPr>
        <w:tab/>
      </w:r>
      <w:r w:rsidR="00D2051F">
        <w:rPr>
          <w:rFonts w:ascii="Garamond" w:hAnsi="Garamond"/>
          <w:b/>
        </w:rPr>
        <w:t>5</w:t>
      </w:r>
    </w:p>
    <w:p w:rsidR="00C7422C" w:rsidRDefault="00C50BEC" w:rsidP="00D30DA7">
      <w:pPr>
        <w:ind w:left="720"/>
        <w:rPr>
          <w:rFonts w:ascii="Garamond" w:hAnsi="Garamond"/>
          <w:b/>
        </w:rPr>
      </w:pPr>
      <w:r w:rsidRPr="00CE70DA">
        <w:rPr>
          <w:rFonts w:ascii="Garamond" w:hAnsi="Garamond"/>
          <w:b/>
        </w:rPr>
        <w:tab/>
      </w:r>
    </w:p>
    <w:p w:rsidR="00B072B2" w:rsidRPr="00CE70DA" w:rsidRDefault="005C1B6C" w:rsidP="00C566BC">
      <w:pPr>
        <w:ind w:left="720"/>
        <w:rPr>
          <w:rFonts w:ascii="Garamond" w:hAnsi="Garamond"/>
          <w:b/>
        </w:rPr>
      </w:pPr>
      <w:r>
        <w:rPr>
          <w:rFonts w:ascii="Garamond" w:hAnsi="Garamond"/>
          <w:b/>
        </w:rPr>
        <w:t>Analysis of Total Project Cost (TPC)</w:t>
      </w:r>
      <w:r w:rsidR="00483382">
        <w:rPr>
          <w:rFonts w:ascii="Garamond" w:hAnsi="Garamond"/>
          <w:b/>
        </w:rPr>
        <w:t xml:space="preserve"> Estimate at Completion (EAC)</w:t>
      </w:r>
      <w:r w:rsidR="00483382">
        <w:rPr>
          <w:rFonts w:ascii="Garamond" w:hAnsi="Garamond"/>
          <w:b/>
        </w:rPr>
        <w:tab/>
      </w:r>
      <w:r w:rsidR="00891318">
        <w:rPr>
          <w:rFonts w:ascii="Garamond" w:hAnsi="Garamond"/>
          <w:b/>
        </w:rPr>
        <w:t xml:space="preserve">          </w:t>
      </w:r>
      <w:r w:rsidR="00994C79">
        <w:rPr>
          <w:rFonts w:ascii="Garamond" w:hAnsi="Garamond"/>
          <w:b/>
        </w:rPr>
        <w:t xml:space="preserve"> </w:t>
      </w:r>
      <w:r w:rsidR="00891318">
        <w:rPr>
          <w:rFonts w:ascii="Garamond" w:hAnsi="Garamond"/>
          <w:b/>
        </w:rPr>
        <w:t>2</w:t>
      </w:r>
      <w:r w:rsidR="0063456D">
        <w:rPr>
          <w:rFonts w:ascii="Garamond" w:hAnsi="Garamond"/>
          <w:b/>
        </w:rPr>
        <w:t>2</w:t>
      </w:r>
      <w:r w:rsidR="00CE70DA" w:rsidRPr="00CE70DA">
        <w:rPr>
          <w:rFonts w:ascii="Garamond" w:hAnsi="Garamond"/>
          <w:b/>
        </w:rPr>
        <w:tab/>
      </w:r>
      <w:r w:rsidR="00CE70DA" w:rsidRPr="00CE70DA">
        <w:rPr>
          <w:rFonts w:ascii="Garamond" w:hAnsi="Garamond"/>
          <w:b/>
        </w:rPr>
        <w:tab/>
      </w:r>
      <w:r w:rsidR="00CE70DA" w:rsidRPr="00CE70DA">
        <w:rPr>
          <w:rFonts w:ascii="Garamond" w:hAnsi="Garamond"/>
          <w:b/>
        </w:rPr>
        <w:tab/>
      </w:r>
      <w:r w:rsidR="00CE70DA" w:rsidRPr="00CE70DA">
        <w:rPr>
          <w:rFonts w:ascii="Garamond" w:hAnsi="Garamond"/>
          <w:b/>
        </w:rPr>
        <w:tab/>
      </w:r>
      <w:r>
        <w:rPr>
          <w:rFonts w:ascii="Garamond" w:hAnsi="Garamond"/>
          <w:b/>
        </w:rPr>
        <w:t xml:space="preserve">           </w:t>
      </w:r>
      <w:r w:rsidR="007041FF">
        <w:rPr>
          <w:rFonts w:ascii="Garamond" w:hAnsi="Garamond"/>
          <w:b/>
        </w:rPr>
        <w:tab/>
        <w:t xml:space="preserve">           </w:t>
      </w:r>
    </w:p>
    <w:p w:rsidR="002F1FF4" w:rsidRDefault="00E83ACA" w:rsidP="00AB525D">
      <w:pPr>
        <w:ind w:firstLine="720"/>
        <w:rPr>
          <w:rFonts w:ascii="Garamond" w:hAnsi="Garamond"/>
          <w:b/>
          <w:bCs/>
        </w:rPr>
      </w:pPr>
      <w:r w:rsidRPr="00AE6017">
        <w:rPr>
          <w:rFonts w:ascii="Garamond" w:hAnsi="Garamond"/>
          <w:b/>
        </w:rPr>
        <w:t>Exhibits:</w:t>
      </w:r>
      <w:r w:rsidR="00C50BEC" w:rsidRPr="00AE6017">
        <w:rPr>
          <w:rFonts w:ascii="Garamond" w:hAnsi="Garamond"/>
          <w:b/>
        </w:rPr>
        <w:t xml:space="preserve">   </w:t>
      </w:r>
      <w:r w:rsidR="00970106" w:rsidRPr="00A21A86">
        <w:rPr>
          <w:rFonts w:ascii="Garamond" w:hAnsi="Garamond"/>
          <w:b/>
          <w:bCs/>
        </w:rPr>
        <w:t xml:space="preserve">Exhibit A:  </w:t>
      </w:r>
      <w:r w:rsidR="00A21A86">
        <w:rPr>
          <w:rFonts w:ascii="Garamond" w:hAnsi="Garamond"/>
          <w:b/>
          <w:bCs/>
        </w:rPr>
        <w:t xml:space="preserve">Resume of </w:t>
      </w:r>
      <w:r w:rsidR="00862016" w:rsidRPr="00A21A86">
        <w:rPr>
          <w:rFonts w:ascii="Garamond" w:hAnsi="Garamond"/>
          <w:b/>
          <w:bCs/>
        </w:rPr>
        <w:t>Don</w:t>
      </w:r>
      <w:r w:rsidR="00A21A86">
        <w:rPr>
          <w:rFonts w:ascii="Garamond" w:hAnsi="Garamond"/>
          <w:b/>
          <w:bCs/>
        </w:rPr>
        <w:t>ald N.</w:t>
      </w:r>
      <w:r w:rsidR="00862016" w:rsidRPr="00A21A86">
        <w:rPr>
          <w:rFonts w:ascii="Garamond" w:hAnsi="Garamond"/>
          <w:b/>
          <w:bCs/>
        </w:rPr>
        <w:t xml:space="preserve"> Grace</w:t>
      </w:r>
      <w:r w:rsidR="00A21A86">
        <w:rPr>
          <w:rFonts w:ascii="Garamond" w:hAnsi="Garamond"/>
          <w:b/>
          <w:bCs/>
        </w:rPr>
        <w:t xml:space="preserve"> P.E.</w:t>
      </w:r>
      <w:r w:rsidR="00862016" w:rsidRPr="00A21A86">
        <w:rPr>
          <w:rFonts w:ascii="Garamond" w:hAnsi="Garamond"/>
          <w:b/>
          <w:bCs/>
        </w:rPr>
        <w:t xml:space="preserve"> </w:t>
      </w:r>
      <w:bookmarkStart w:id="2" w:name="_Hlt517228851"/>
      <w:bookmarkStart w:id="3" w:name="_Toc520290667"/>
      <w:bookmarkEnd w:id="2"/>
    </w:p>
    <w:p w:rsidR="00963A24" w:rsidRDefault="00963A24" w:rsidP="00AB525D">
      <w:pPr>
        <w:ind w:firstLine="720"/>
        <w:rPr>
          <w:rFonts w:ascii="Garamond" w:hAnsi="Garamond"/>
          <w:b/>
          <w:bCs/>
        </w:rPr>
      </w:pPr>
    </w:p>
    <w:p w:rsidR="00963A24" w:rsidRDefault="00963A24" w:rsidP="00AB525D">
      <w:pPr>
        <w:ind w:firstLine="720"/>
        <w:rPr>
          <w:rFonts w:ascii="Garamond" w:hAnsi="Garamond"/>
          <w:b/>
          <w:bCs/>
        </w:rPr>
      </w:pPr>
    </w:p>
    <w:p w:rsidR="00963A24" w:rsidRDefault="00963A24" w:rsidP="00AB525D">
      <w:pPr>
        <w:ind w:firstLine="720"/>
        <w:rPr>
          <w:rFonts w:ascii="Garamond" w:hAnsi="Garamond"/>
          <w:b/>
          <w:bCs/>
        </w:rPr>
      </w:pPr>
    </w:p>
    <w:p w:rsidR="00963A24" w:rsidRDefault="00963A24" w:rsidP="00AB525D">
      <w:pPr>
        <w:ind w:firstLine="720"/>
        <w:rPr>
          <w:rFonts w:ascii="Garamond" w:hAnsi="Garamond"/>
          <w:b/>
          <w:bCs/>
        </w:rPr>
      </w:pPr>
    </w:p>
    <w:p w:rsidR="001F09F0" w:rsidRPr="00AB525D" w:rsidRDefault="001F09F0" w:rsidP="00AB525D">
      <w:pPr>
        <w:ind w:firstLine="720"/>
        <w:rPr>
          <w:rFonts w:ascii="Garamond" w:hAnsi="Garamond"/>
          <w:b/>
        </w:rPr>
      </w:pPr>
    </w:p>
    <w:p w:rsidR="001F09F0" w:rsidRDefault="001F09F0" w:rsidP="00BE0DBB">
      <w:pPr>
        <w:pStyle w:val="Heading1"/>
        <w:spacing w:line="276" w:lineRule="auto"/>
      </w:pPr>
    </w:p>
    <w:p w:rsidR="00963A24" w:rsidRDefault="00963A24" w:rsidP="00963A24"/>
    <w:p w:rsidR="00963A24" w:rsidRPr="00963A24" w:rsidRDefault="00963A24" w:rsidP="00963A24"/>
    <w:p w:rsidR="006252EA" w:rsidRDefault="006252EA" w:rsidP="006252EA"/>
    <w:p w:rsidR="002836AC" w:rsidRDefault="002836AC" w:rsidP="00BE0DBB">
      <w:pPr>
        <w:pStyle w:val="Heading1"/>
        <w:spacing w:line="276" w:lineRule="auto"/>
      </w:pPr>
    </w:p>
    <w:p w:rsidR="002836AC" w:rsidRDefault="002836AC" w:rsidP="00BE0DBB">
      <w:pPr>
        <w:pStyle w:val="Heading1"/>
        <w:spacing w:line="276" w:lineRule="auto"/>
      </w:pPr>
    </w:p>
    <w:p w:rsidR="002836AC" w:rsidRDefault="002836AC" w:rsidP="00BE0DBB">
      <w:pPr>
        <w:pStyle w:val="Heading1"/>
        <w:spacing w:line="276" w:lineRule="auto"/>
      </w:pPr>
    </w:p>
    <w:p w:rsidR="002836AC" w:rsidRDefault="002836AC" w:rsidP="00BE0DBB">
      <w:pPr>
        <w:pStyle w:val="Heading1"/>
        <w:spacing w:line="276" w:lineRule="auto"/>
        <w:sectPr w:rsidR="002836AC" w:rsidSect="006E0741">
          <w:footerReference w:type="default" r:id="rId12"/>
          <w:pgSz w:w="12240" w:h="15840" w:code="1"/>
          <w:pgMar w:top="720" w:right="806" w:bottom="432" w:left="1987" w:header="720" w:footer="720" w:gutter="0"/>
          <w:paperSrc w:first="7" w:other="7"/>
          <w:lnNumType w:countBy="1"/>
          <w:pgNumType w:start="1"/>
          <w:cols w:space="720"/>
          <w:noEndnote/>
          <w:docGrid w:linePitch="326"/>
        </w:sectPr>
      </w:pPr>
    </w:p>
    <w:p w:rsidR="002F1FF4" w:rsidRDefault="002F1FF4" w:rsidP="00BE0DBB">
      <w:pPr>
        <w:pStyle w:val="Heading1"/>
        <w:spacing w:line="276" w:lineRule="auto"/>
      </w:pPr>
      <w:r w:rsidRPr="00BE0DBB">
        <w:lastRenderedPageBreak/>
        <w:t>List of tables</w:t>
      </w:r>
    </w:p>
    <w:p w:rsidR="00B67B61" w:rsidRDefault="00B67B61" w:rsidP="00BE0DBB">
      <w:pPr>
        <w:spacing w:line="276" w:lineRule="auto"/>
        <w:rPr>
          <w:rFonts w:ascii="Garamond" w:hAnsi="Garamond"/>
        </w:rPr>
      </w:pPr>
    </w:p>
    <w:p w:rsidR="00B67B61" w:rsidRDefault="002F1FF4" w:rsidP="008216B8">
      <w:pPr>
        <w:spacing w:line="276" w:lineRule="auto"/>
        <w:jc w:val="center"/>
        <w:rPr>
          <w:rFonts w:ascii="Garamond" w:hAnsi="Garamond"/>
          <w:b/>
          <w:bCs/>
          <w:u w:val="single"/>
        </w:rPr>
      </w:pPr>
      <w:r w:rsidRPr="00CE70DA">
        <w:rPr>
          <w:rFonts w:ascii="Garamond" w:hAnsi="Garamond"/>
          <w:b/>
          <w:bCs/>
          <w:u w:val="single"/>
        </w:rPr>
        <w:t>Schedule Tables</w:t>
      </w:r>
    </w:p>
    <w:p w:rsidR="008216B8" w:rsidRDefault="002F1FF4" w:rsidP="00C86F87">
      <w:pPr>
        <w:spacing w:line="276" w:lineRule="auto"/>
        <w:rPr>
          <w:rFonts w:ascii="Garamond" w:hAnsi="Garamond"/>
        </w:rPr>
      </w:pPr>
      <w:r w:rsidRPr="00AE6017">
        <w:rPr>
          <w:rFonts w:ascii="Garamond" w:hAnsi="Garamond"/>
        </w:rPr>
        <w:tab/>
      </w:r>
    </w:p>
    <w:p w:rsidR="00C00480" w:rsidRDefault="008216B8" w:rsidP="00BE0DBB">
      <w:pPr>
        <w:spacing w:line="276" w:lineRule="auto"/>
        <w:rPr>
          <w:rFonts w:ascii="Garamond" w:hAnsi="Garamond"/>
        </w:rPr>
      </w:pPr>
      <w:r>
        <w:rPr>
          <w:rFonts w:ascii="Garamond" w:hAnsi="Garamond"/>
        </w:rPr>
        <w:tab/>
      </w:r>
      <w:r w:rsidR="00C00480">
        <w:rPr>
          <w:rFonts w:ascii="Garamond" w:hAnsi="Garamond"/>
        </w:rPr>
        <w:t xml:space="preserve">Table </w:t>
      </w:r>
      <w:r w:rsidR="00031A56">
        <w:rPr>
          <w:rFonts w:ascii="Garamond" w:hAnsi="Garamond"/>
        </w:rPr>
        <w:t>T</w:t>
      </w:r>
      <w:r w:rsidR="00891318">
        <w:rPr>
          <w:rFonts w:ascii="Garamond" w:hAnsi="Garamond"/>
        </w:rPr>
        <w:t>S</w:t>
      </w:r>
      <w:r w:rsidR="00C00480">
        <w:rPr>
          <w:rFonts w:ascii="Garamond" w:hAnsi="Garamond"/>
        </w:rPr>
        <w:t>-1:</w:t>
      </w:r>
      <w:r w:rsidR="00C00480">
        <w:rPr>
          <w:rFonts w:ascii="Garamond" w:hAnsi="Garamond"/>
        </w:rPr>
        <w:tab/>
      </w:r>
      <w:r w:rsidR="00031A56">
        <w:rPr>
          <w:rFonts w:ascii="Garamond" w:hAnsi="Garamond"/>
        </w:rPr>
        <w:t xml:space="preserve">U-3 </w:t>
      </w:r>
      <w:r w:rsidR="00C7422C">
        <w:rPr>
          <w:rFonts w:ascii="Garamond" w:hAnsi="Garamond"/>
        </w:rPr>
        <w:t xml:space="preserve">Company Forecast of Future </w:t>
      </w:r>
      <w:r w:rsidR="00031A56">
        <w:rPr>
          <w:rFonts w:ascii="Garamond" w:hAnsi="Garamond"/>
        </w:rPr>
        <w:t>Schedule Milestones</w:t>
      </w:r>
      <w:r w:rsidR="00C7422C">
        <w:rPr>
          <w:rFonts w:ascii="Garamond" w:hAnsi="Garamond"/>
        </w:rPr>
        <w:tab/>
      </w:r>
      <w:r w:rsidR="00BB41A1">
        <w:rPr>
          <w:rFonts w:ascii="Garamond" w:hAnsi="Garamond"/>
        </w:rPr>
        <w:tab/>
        <w:t xml:space="preserve"> 7</w:t>
      </w:r>
    </w:p>
    <w:p w:rsidR="00C00480" w:rsidRDefault="00C00480" w:rsidP="00BE0DBB">
      <w:pPr>
        <w:spacing w:line="276" w:lineRule="auto"/>
        <w:rPr>
          <w:rFonts w:ascii="Garamond" w:hAnsi="Garamond"/>
        </w:rPr>
      </w:pPr>
    </w:p>
    <w:p w:rsidR="00C86F87" w:rsidRDefault="00C00480" w:rsidP="00BE0DBB">
      <w:pPr>
        <w:spacing w:line="276" w:lineRule="auto"/>
        <w:rPr>
          <w:rFonts w:ascii="Garamond" w:hAnsi="Garamond"/>
        </w:rPr>
      </w:pPr>
      <w:r>
        <w:rPr>
          <w:rFonts w:ascii="Garamond" w:hAnsi="Garamond"/>
        </w:rPr>
        <w:tab/>
      </w:r>
      <w:r w:rsidR="002F1FF4" w:rsidRPr="00AE6017">
        <w:rPr>
          <w:rFonts w:ascii="Garamond" w:hAnsi="Garamond"/>
        </w:rPr>
        <w:t>T</w:t>
      </w:r>
      <w:r w:rsidR="00AE6017">
        <w:rPr>
          <w:rFonts w:ascii="Garamond" w:hAnsi="Garamond"/>
        </w:rPr>
        <w:t>able</w:t>
      </w:r>
      <w:r w:rsidR="005330FE">
        <w:rPr>
          <w:rFonts w:ascii="Garamond" w:hAnsi="Garamond"/>
        </w:rPr>
        <w:t xml:space="preserve"> </w:t>
      </w:r>
      <w:r w:rsidR="00891318">
        <w:rPr>
          <w:rFonts w:ascii="Garamond" w:hAnsi="Garamond"/>
        </w:rPr>
        <w:t>TS</w:t>
      </w:r>
      <w:r>
        <w:rPr>
          <w:rFonts w:ascii="Garamond" w:hAnsi="Garamond"/>
        </w:rPr>
        <w:t>-2</w:t>
      </w:r>
      <w:r w:rsidR="005330FE">
        <w:rPr>
          <w:rFonts w:ascii="Garamond" w:hAnsi="Garamond"/>
        </w:rPr>
        <w:t>-</w:t>
      </w:r>
      <w:r w:rsidR="002F1FF4" w:rsidRPr="00AE6017">
        <w:rPr>
          <w:rFonts w:ascii="Garamond" w:hAnsi="Garamond"/>
        </w:rPr>
        <w:t>:</w:t>
      </w:r>
      <w:r w:rsidR="002F1FF4" w:rsidRPr="00AE6017">
        <w:rPr>
          <w:rFonts w:ascii="Garamond" w:hAnsi="Garamond"/>
        </w:rPr>
        <w:tab/>
      </w:r>
      <w:r w:rsidR="00C7422C">
        <w:rPr>
          <w:rFonts w:ascii="Garamond" w:hAnsi="Garamond"/>
        </w:rPr>
        <w:t xml:space="preserve">U-3; </w:t>
      </w:r>
      <w:r w:rsidR="00891318">
        <w:rPr>
          <w:rFonts w:ascii="Garamond" w:hAnsi="Garamond"/>
        </w:rPr>
        <w:t>Submittal of ITAAC Completion Notices (ICN’s</w:t>
      </w:r>
      <w:r w:rsidR="00C7422C">
        <w:rPr>
          <w:rFonts w:ascii="Garamond" w:hAnsi="Garamond"/>
        </w:rPr>
        <w:tab/>
      </w:r>
      <w:r w:rsidR="005A4847">
        <w:rPr>
          <w:rFonts w:ascii="Garamond" w:hAnsi="Garamond"/>
        </w:rPr>
        <w:t>)</w:t>
      </w:r>
      <w:r w:rsidR="00C7422C">
        <w:rPr>
          <w:rFonts w:ascii="Garamond" w:hAnsi="Garamond"/>
        </w:rPr>
        <w:tab/>
      </w:r>
      <w:r w:rsidR="00182A69">
        <w:rPr>
          <w:rFonts w:ascii="Garamond" w:hAnsi="Garamond"/>
        </w:rPr>
        <w:tab/>
      </w:r>
      <w:r w:rsidR="00CB2B0C">
        <w:rPr>
          <w:rFonts w:ascii="Garamond" w:hAnsi="Garamond"/>
        </w:rPr>
        <w:t xml:space="preserve"> </w:t>
      </w:r>
      <w:r w:rsidR="007A098A">
        <w:rPr>
          <w:rFonts w:ascii="Garamond" w:hAnsi="Garamond"/>
        </w:rPr>
        <w:t>1</w:t>
      </w:r>
      <w:r w:rsidR="0063456D">
        <w:rPr>
          <w:rFonts w:ascii="Garamond" w:hAnsi="Garamond"/>
        </w:rPr>
        <w:t>3</w:t>
      </w:r>
      <w:r w:rsidR="0067571A">
        <w:rPr>
          <w:rFonts w:ascii="Garamond" w:hAnsi="Garamond"/>
        </w:rPr>
        <w:tab/>
      </w:r>
    </w:p>
    <w:p w:rsidR="00C86F87" w:rsidRDefault="00C86F87" w:rsidP="00BE0DBB">
      <w:pPr>
        <w:spacing w:line="276" w:lineRule="auto"/>
        <w:rPr>
          <w:rFonts w:ascii="Garamond" w:hAnsi="Garamond"/>
        </w:rPr>
      </w:pPr>
    </w:p>
    <w:p w:rsidR="001420DC" w:rsidRDefault="00C86F87" w:rsidP="00BE0DBB">
      <w:pPr>
        <w:spacing w:line="276" w:lineRule="auto"/>
        <w:rPr>
          <w:rFonts w:ascii="Garamond" w:hAnsi="Garamond"/>
        </w:rPr>
      </w:pPr>
      <w:r>
        <w:rPr>
          <w:rFonts w:ascii="Garamond" w:hAnsi="Garamond"/>
        </w:rPr>
        <w:tab/>
      </w:r>
      <w:r w:rsidR="002F1FF4" w:rsidRPr="00AE6017">
        <w:rPr>
          <w:rFonts w:ascii="Garamond" w:hAnsi="Garamond"/>
        </w:rPr>
        <w:t>T</w:t>
      </w:r>
      <w:r w:rsidR="00AE6017">
        <w:rPr>
          <w:rFonts w:ascii="Garamond" w:hAnsi="Garamond"/>
        </w:rPr>
        <w:t>able</w:t>
      </w:r>
      <w:r w:rsidR="005330FE">
        <w:rPr>
          <w:rFonts w:ascii="Garamond" w:hAnsi="Garamond"/>
        </w:rPr>
        <w:t xml:space="preserve"> </w:t>
      </w:r>
      <w:r w:rsidR="00891318">
        <w:rPr>
          <w:rFonts w:ascii="Garamond" w:hAnsi="Garamond"/>
        </w:rPr>
        <w:t>TS</w:t>
      </w:r>
      <w:r w:rsidR="005330FE">
        <w:rPr>
          <w:rFonts w:ascii="Garamond" w:hAnsi="Garamond"/>
        </w:rPr>
        <w:t>-</w:t>
      </w:r>
      <w:r w:rsidR="00FC0D51">
        <w:rPr>
          <w:rFonts w:ascii="Garamond" w:hAnsi="Garamond"/>
        </w:rPr>
        <w:t>3</w:t>
      </w:r>
      <w:r w:rsidR="002F1FF4" w:rsidRPr="00AE6017">
        <w:rPr>
          <w:rFonts w:ascii="Garamond" w:hAnsi="Garamond"/>
        </w:rPr>
        <w:t>:</w:t>
      </w:r>
      <w:r w:rsidR="002F1FF4" w:rsidRPr="00AE6017">
        <w:rPr>
          <w:rFonts w:ascii="Garamond" w:hAnsi="Garamond"/>
        </w:rPr>
        <w:tab/>
      </w:r>
      <w:r w:rsidR="00891318">
        <w:rPr>
          <w:rFonts w:ascii="Garamond" w:hAnsi="Garamond"/>
        </w:rPr>
        <w:t xml:space="preserve">Summary Schedule Analysis </w:t>
      </w:r>
      <w:r w:rsidR="00891318">
        <w:rPr>
          <w:rFonts w:ascii="Garamond" w:hAnsi="Garamond"/>
        </w:rPr>
        <w:tab/>
      </w:r>
      <w:r w:rsidR="00891318">
        <w:rPr>
          <w:rFonts w:ascii="Garamond" w:hAnsi="Garamond"/>
        </w:rPr>
        <w:tab/>
      </w:r>
      <w:r w:rsidR="00891318">
        <w:rPr>
          <w:rFonts w:ascii="Garamond" w:hAnsi="Garamond"/>
        </w:rPr>
        <w:tab/>
      </w:r>
      <w:r w:rsidR="00C7422C">
        <w:rPr>
          <w:rFonts w:ascii="Garamond" w:hAnsi="Garamond"/>
        </w:rPr>
        <w:tab/>
      </w:r>
      <w:r w:rsidR="00182A69">
        <w:rPr>
          <w:rFonts w:ascii="Garamond" w:hAnsi="Garamond"/>
        </w:rPr>
        <w:tab/>
      </w:r>
      <w:r w:rsidR="0067571A">
        <w:rPr>
          <w:rFonts w:ascii="Garamond" w:hAnsi="Garamond"/>
        </w:rPr>
        <w:tab/>
      </w:r>
      <w:r w:rsidR="007A098A">
        <w:rPr>
          <w:rFonts w:ascii="Garamond" w:hAnsi="Garamond"/>
        </w:rPr>
        <w:t xml:space="preserve"> </w:t>
      </w:r>
      <w:r w:rsidR="00891318">
        <w:rPr>
          <w:rFonts w:ascii="Garamond" w:hAnsi="Garamond"/>
        </w:rPr>
        <w:t>2</w:t>
      </w:r>
      <w:r w:rsidR="00994C79">
        <w:rPr>
          <w:rFonts w:ascii="Garamond" w:hAnsi="Garamond"/>
        </w:rPr>
        <w:t>0</w:t>
      </w:r>
    </w:p>
    <w:p w:rsidR="001420DC" w:rsidRDefault="001420DC" w:rsidP="00BE0DBB">
      <w:pPr>
        <w:spacing w:line="276" w:lineRule="auto"/>
        <w:rPr>
          <w:rFonts w:ascii="Garamond" w:hAnsi="Garamond"/>
        </w:rPr>
      </w:pPr>
    </w:p>
    <w:p w:rsidR="00BA6AC8" w:rsidRDefault="00BA6AC8" w:rsidP="00BE0DBB">
      <w:pPr>
        <w:spacing w:line="276" w:lineRule="auto"/>
        <w:rPr>
          <w:rFonts w:ascii="Garamond" w:hAnsi="Garamond"/>
        </w:rPr>
      </w:pPr>
      <w:r>
        <w:rPr>
          <w:rFonts w:ascii="Garamond" w:hAnsi="Garamond"/>
        </w:rPr>
        <w:tab/>
      </w:r>
      <w:r w:rsidR="007A098A">
        <w:rPr>
          <w:rFonts w:ascii="Garamond" w:hAnsi="Garamond"/>
        </w:rPr>
        <w:t xml:space="preserve"> </w:t>
      </w:r>
    </w:p>
    <w:p w:rsidR="00891318" w:rsidRDefault="00891318" w:rsidP="00B67B61">
      <w:pPr>
        <w:spacing w:line="276" w:lineRule="auto"/>
        <w:ind w:left="720"/>
        <w:rPr>
          <w:rFonts w:ascii="Garamond" w:hAnsi="Garamond"/>
          <w:b/>
          <w:bCs/>
          <w:u w:val="single"/>
        </w:rPr>
      </w:pPr>
    </w:p>
    <w:p w:rsidR="00891318" w:rsidRPr="00A11819" w:rsidRDefault="00891318" w:rsidP="00B67B61">
      <w:pPr>
        <w:spacing w:line="276" w:lineRule="auto"/>
        <w:ind w:left="720"/>
        <w:rPr>
          <w:rFonts w:ascii="Garamond" w:hAnsi="Garamond"/>
          <w:b/>
          <w:bCs/>
        </w:rPr>
      </w:pPr>
    </w:p>
    <w:p w:rsidR="002F1FF4" w:rsidRPr="00CE70DA" w:rsidRDefault="002F1FF4" w:rsidP="00BE0DBB">
      <w:pPr>
        <w:spacing w:line="276" w:lineRule="auto"/>
        <w:rPr>
          <w:rFonts w:ascii="Garamond" w:hAnsi="Garamond"/>
          <w:b/>
          <w:bCs/>
          <w:u w:val="single"/>
        </w:rPr>
      </w:pPr>
      <w:r w:rsidRPr="00AE6017">
        <w:rPr>
          <w:rFonts w:ascii="Garamond" w:hAnsi="Garamond"/>
        </w:rPr>
        <w:tab/>
      </w:r>
      <w:r w:rsidR="00A65F29" w:rsidRPr="00AE6017">
        <w:rPr>
          <w:rFonts w:ascii="Garamond" w:hAnsi="Garamond"/>
        </w:rPr>
        <w:tab/>
      </w:r>
      <w:r w:rsidRPr="00AE6017">
        <w:rPr>
          <w:rFonts w:ascii="Garamond" w:hAnsi="Garamond"/>
        </w:rPr>
        <w:tab/>
      </w:r>
      <w:r w:rsidR="005007ED">
        <w:rPr>
          <w:rFonts w:ascii="Garamond" w:hAnsi="Garamond"/>
        </w:rPr>
        <w:tab/>
      </w:r>
      <w:r w:rsidR="005007ED">
        <w:rPr>
          <w:rFonts w:ascii="Garamond" w:hAnsi="Garamond"/>
        </w:rPr>
        <w:tab/>
        <w:t xml:space="preserve">       </w:t>
      </w:r>
      <w:r w:rsidRPr="00CE70DA">
        <w:rPr>
          <w:rFonts w:ascii="Garamond" w:hAnsi="Garamond"/>
          <w:b/>
          <w:bCs/>
          <w:u w:val="single"/>
        </w:rPr>
        <w:t>Cost Tables</w:t>
      </w:r>
    </w:p>
    <w:p w:rsidR="002F1FF4" w:rsidRDefault="002F1FF4" w:rsidP="00BE0DBB">
      <w:pPr>
        <w:spacing w:line="276" w:lineRule="auto"/>
        <w:rPr>
          <w:rFonts w:ascii="Garamond" w:hAnsi="Garamond"/>
          <w:u w:val="single"/>
        </w:rPr>
      </w:pPr>
    </w:p>
    <w:p w:rsidR="00BA6AC8" w:rsidRDefault="002F1FF4" w:rsidP="00BE0DBB">
      <w:pPr>
        <w:spacing w:line="276" w:lineRule="auto"/>
        <w:rPr>
          <w:rFonts w:ascii="Garamond" w:hAnsi="Garamond"/>
        </w:rPr>
      </w:pPr>
      <w:r w:rsidRPr="00AE6017">
        <w:rPr>
          <w:rFonts w:ascii="Garamond" w:hAnsi="Garamond"/>
        </w:rPr>
        <w:tab/>
        <w:t>T</w:t>
      </w:r>
      <w:r w:rsidR="00AE6017">
        <w:rPr>
          <w:rFonts w:ascii="Garamond" w:hAnsi="Garamond"/>
        </w:rPr>
        <w:t>able</w:t>
      </w:r>
      <w:r w:rsidR="005330FE">
        <w:rPr>
          <w:rFonts w:ascii="Garamond" w:hAnsi="Garamond"/>
        </w:rPr>
        <w:t xml:space="preserve"> </w:t>
      </w:r>
      <w:r w:rsidR="00891318">
        <w:rPr>
          <w:rFonts w:ascii="Garamond" w:hAnsi="Garamond"/>
        </w:rPr>
        <w:t>TC</w:t>
      </w:r>
      <w:r w:rsidR="005330FE">
        <w:rPr>
          <w:rFonts w:ascii="Garamond" w:hAnsi="Garamond"/>
        </w:rPr>
        <w:t>-</w:t>
      </w:r>
      <w:r w:rsidRPr="00AE6017">
        <w:rPr>
          <w:rFonts w:ascii="Garamond" w:hAnsi="Garamond"/>
        </w:rPr>
        <w:t>1:</w:t>
      </w:r>
      <w:r w:rsidRPr="00AE6017">
        <w:rPr>
          <w:rFonts w:ascii="Garamond" w:hAnsi="Garamond"/>
        </w:rPr>
        <w:tab/>
      </w:r>
      <w:r w:rsidR="00891318">
        <w:rPr>
          <w:rFonts w:ascii="Garamond" w:hAnsi="Garamond"/>
        </w:rPr>
        <w:t>Company Forecasts of TPC EAC (VCM 19 – VCM 25)</w:t>
      </w:r>
      <w:r w:rsidR="00963A24">
        <w:rPr>
          <w:rFonts w:ascii="Garamond" w:hAnsi="Garamond"/>
        </w:rPr>
        <w:tab/>
        <w:t xml:space="preserve">            </w:t>
      </w:r>
      <w:r w:rsidR="00891318">
        <w:rPr>
          <w:rFonts w:ascii="Garamond" w:hAnsi="Garamond"/>
        </w:rPr>
        <w:t>2</w:t>
      </w:r>
      <w:r w:rsidR="00994C79">
        <w:rPr>
          <w:rFonts w:ascii="Garamond" w:hAnsi="Garamond"/>
        </w:rPr>
        <w:t>2</w:t>
      </w:r>
      <w:r w:rsidR="005007ED">
        <w:rPr>
          <w:rFonts w:ascii="Garamond" w:hAnsi="Garamond"/>
        </w:rPr>
        <w:tab/>
      </w:r>
      <w:r w:rsidR="005007ED">
        <w:rPr>
          <w:rFonts w:ascii="Garamond" w:hAnsi="Garamond"/>
        </w:rPr>
        <w:tab/>
      </w:r>
      <w:r w:rsidR="0067571A">
        <w:rPr>
          <w:rFonts w:ascii="Garamond" w:hAnsi="Garamond"/>
        </w:rPr>
        <w:tab/>
      </w:r>
      <w:r w:rsidR="0067571A">
        <w:rPr>
          <w:rFonts w:ascii="Garamond" w:hAnsi="Garamond"/>
        </w:rPr>
        <w:tab/>
      </w:r>
      <w:r w:rsidR="00E50326">
        <w:rPr>
          <w:rFonts w:ascii="Garamond" w:hAnsi="Garamond"/>
        </w:rPr>
        <w:tab/>
      </w:r>
    </w:p>
    <w:p w:rsidR="00891318" w:rsidRDefault="00BA6AC8" w:rsidP="00BE0DBB">
      <w:pPr>
        <w:spacing w:line="276" w:lineRule="auto"/>
        <w:rPr>
          <w:rFonts w:ascii="Garamond" w:hAnsi="Garamond"/>
        </w:rPr>
      </w:pPr>
      <w:r>
        <w:rPr>
          <w:rFonts w:ascii="Garamond" w:hAnsi="Garamond"/>
        </w:rPr>
        <w:tab/>
        <w:t xml:space="preserve">Table </w:t>
      </w:r>
      <w:r w:rsidR="00891318">
        <w:rPr>
          <w:rFonts w:ascii="Garamond" w:hAnsi="Garamond"/>
        </w:rPr>
        <w:t>TC</w:t>
      </w:r>
      <w:r>
        <w:rPr>
          <w:rFonts w:ascii="Garamond" w:hAnsi="Garamond"/>
        </w:rPr>
        <w:t>-2:</w:t>
      </w:r>
      <w:r>
        <w:rPr>
          <w:rFonts w:ascii="Garamond" w:hAnsi="Garamond"/>
        </w:rPr>
        <w:tab/>
      </w:r>
      <w:r w:rsidR="00891318">
        <w:rPr>
          <w:rFonts w:ascii="Garamond" w:hAnsi="Garamond"/>
        </w:rPr>
        <w:t xml:space="preserve">Company Forecasts of TPC EAC (Broken Down) </w:t>
      </w:r>
      <w:r w:rsidR="00891318">
        <w:rPr>
          <w:rFonts w:ascii="Garamond" w:hAnsi="Garamond"/>
        </w:rPr>
        <w:tab/>
      </w:r>
      <w:r w:rsidR="00891318">
        <w:rPr>
          <w:rFonts w:ascii="Garamond" w:hAnsi="Garamond"/>
        </w:rPr>
        <w:tab/>
      </w:r>
      <w:r w:rsidR="00891318">
        <w:rPr>
          <w:rFonts w:ascii="Garamond" w:hAnsi="Garamond"/>
        </w:rPr>
        <w:tab/>
        <w:t>2</w:t>
      </w:r>
      <w:r w:rsidR="00994C79">
        <w:rPr>
          <w:rFonts w:ascii="Garamond" w:hAnsi="Garamond"/>
        </w:rPr>
        <w:t>3</w:t>
      </w:r>
    </w:p>
    <w:p w:rsidR="00891318" w:rsidRDefault="00891318" w:rsidP="00BE0DBB">
      <w:pPr>
        <w:spacing w:line="276" w:lineRule="auto"/>
        <w:rPr>
          <w:rFonts w:ascii="Garamond" w:hAnsi="Garamond"/>
        </w:rPr>
      </w:pPr>
    </w:p>
    <w:p w:rsidR="002F1FF4" w:rsidRDefault="00891318" w:rsidP="00BE0DBB">
      <w:pPr>
        <w:spacing w:line="276" w:lineRule="auto"/>
        <w:rPr>
          <w:rFonts w:ascii="Garamond" w:hAnsi="Garamond"/>
        </w:rPr>
      </w:pPr>
      <w:r>
        <w:rPr>
          <w:rFonts w:ascii="Garamond" w:hAnsi="Garamond"/>
        </w:rPr>
        <w:tab/>
        <w:t>Table TC-3:</w:t>
      </w:r>
      <w:r>
        <w:rPr>
          <w:rFonts w:ascii="Garamond" w:hAnsi="Garamond"/>
        </w:rPr>
        <w:tab/>
        <w:t>Company Re-Forecasting of Estimate to Complete (ETC)</w:t>
      </w:r>
      <w:r>
        <w:rPr>
          <w:rFonts w:ascii="Garamond" w:hAnsi="Garamond"/>
        </w:rPr>
        <w:tab/>
      </w:r>
      <w:r>
        <w:rPr>
          <w:rFonts w:ascii="Garamond" w:hAnsi="Garamond"/>
        </w:rPr>
        <w:tab/>
        <w:t>2</w:t>
      </w:r>
      <w:r w:rsidR="00994C79">
        <w:rPr>
          <w:rFonts w:ascii="Garamond" w:hAnsi="Garamond"/>
        </w:rPr>
        <w:t>4</w:t>
      </w:r>
    </w:p>
    <w:p w:rsidR="00891318" w:rsidRDefault="00891318" w:rsidP="00BE0DBB">
      <w:pPr>
        <w:spacing w:line="276" w:lineRule="auto"/>
        <w:rPr>
          <w:rFonts w:ascii="Garamond" w:hAnsi="Garamond"/>
        </w:rPr>
      </w:pPr>
    </w:p>
    <w:p w:rsidR="00891318" w:rsidRDefault="00891318" w:rsidP="00BE0DBB">
      <w:pPr>
        <w:spacing w:line="276" w:lineRule="auto"/>
        <w:rPr>
          <w:rFonts w:ascii="Garamond" w:hAnsi="Garamond"/>
        </w:rPr>
      </w:pPr>
      <w:r>
        <w:rPr>
          <w:rFonts w:ascii="Garamond" w:hAnsi="Garamond"/>
        </w:rPr>
        <w:tab/>
        <w:t>Table TC-4:</w:t>
      </w:r>
      <w:r>
        <w:rPr>
          <w:rFonts w:ascii="Garamond" w:hAnsi="Garamond"/>
        </w:rPr>
        <w:tab/>
        <w:t xml:space="preserve">VMG Analysis of TPC EAC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2</w:t>
      </w:r>
      <w:r w:rsidR="0063456D">
        <w:rPr>
          <w:rFonts w:ascii="Garamond" w:hAnsi="Garamond"/>
        </w:rPr>
        <w:t>7</w:t>
      </w:r>
    </w:p>
    <w:p w:rsidR="00891318" w:rsidRDefault="00891318" w:rsidP="00BE0DBB">
      <w:pPr>
        <w:spacing w:line="276" w:lineRule="auto"/>
        <w:rPr>
          <w:rFonts w:ascii="Garamond" w:hAnsi="Garamond"/>
        </w:rPr>
      </w:pPr>
    </w:p>
    <w:p w:rsidR="00891318" w:rsidRDefault="00891318" w:rsidP="00BE0DBB">
      <w:pPr>
        <w:spacing w:line="276" w:lineRule="auto"/>
        <w:rPr>
          <w:rFonts w:ascii="Garamond" w:hAnsi="Garamond"/>
        </w:rPr>
      </w:pPr>
      <w:r>
        <w:rPr>
          <w:rFonts w:ascii="Garamond" w:hAnsi="Garamond"/>
        </w:rPr>
        <w:tab/>
        <w:t>Table TC-5</w:t>
      </w:r>
      <w:r>
        <w:rPr>
          <w:rFonts w:ascii="Garamond" w:hAnsi="Garamond"/>
        </w:rPr>
        <w:tab/>
        <w:t>Actual vs Basis of Estimate (BOE) CPIs</w:t>
      </w:r>
      <w:r>
        <w:rPr>
          <w:rFonts w:ascii="Garamond" w:hAnsi="Garamond"/>
        </w:rPr>
        <w:tab/>
      </w:r>
      <w:r>
        <w:rPr>
          <w:rFonts w:ascii="Garamond" w:hAnsi="Garamond"/>
        </w:rPr>
        <w:tab/>
      </w:r>
      <w:r>
        <w:rPr>
          <w:rFonts w:ascii="Garamond" w:hAnsi="Garamond"/>
        </w:rPr>
        <w:tab/>
      </w:r>
      <w:r>
        <w:rPr>
          <w:rFonts w:ascii="Garamond" w:hAnsi="Garamond"/>
        </w:rPr>
        <w:tab/>
      </w:r>
      <w:r w:rsidR="00994C79">
        <w:rPr>
          <w:rFonts w:ascii="Garamond" w:hAnsi="Garamond"/>
        </w:rPr>
        <w:t>28</w:t>
      </w:r>
    </w:p>
    <w:p w:rsidR="001F09F0" w:rsidRDefault="001F09F0" w:rsidP="001F09F0">
      <w:pPr>
        <w:pStyle w:val="Heading1"/>
        <w:ind w:left="0"/>
        <w:jc w:val="left"/>
        <w:sectPr w:rsidR="001F09F0" w:rsidSect="006E0741">
          <w:pgSz w:w="12240" w:h="15840" w:code="1"/>
          <w:pgMar w:top="720" w:right="806" w:bottom="432" w:left="1987" w:header="720" w:footer="720" w:gutter="0"/>
          <w:paperSrc w:first="7" w:other="7"/>
          <w:lnNumType w:countBy="1"/>
          <w:pgNumType w:start="1"/>
          <w:cols w:space="720"/>
          <w:noEndnote/>
          <w:docGrid w:linePitch="326"/>
        </w:sectPr>
      </w:pPr>
    </w:p>
    <w:p w:rsidR="00B24B21" w:rsidRPr="00205F99" w:rsidRDefault="009C5C2A" w:rsidP="00BE0DBB">
      <w:pPr>
        <w:pStyle w:val="Heading1"/>
      </w:pPr>
      <w:r w:rsidRPr="00205F99">
        <w:lastRenderedPageBreak/>
        <w:t>INTRODUCTION</w:t>
      </w:r>
      <w:bookmarkEnd w:id="3"/>
    </w:p>
    <w:p w:rsidR="009314C0" w:rsidRPr="00205F99" w:rsidRDefault="009314C0" w:rsidP="009314C0">
      <w:pPr>
        <w:rPr>
          <w:rFonts w:ascii="Garamond" w:hAnsi="Garamond"/>
        </w:rPr>
      </w:pPr>
    </w:p>
    <w:p w:rsidR="00AB4FC3" w:rsidRPr="00205F99" w:rsidRDefault="00AB4FC3" w:rsidP="00C1529D">
      <w:pPr>
        <w:pStyle w:val="AZQuestion"/>
        <w:spacing w:line="480" w:lineRule="auto"/>
        <w:rPr>
          <w:caps/>
        </w:rPr>
      </w:pPr>
      <w:r w:rsidRPr="00205F99">
        <w:t>Q</w:t>
      </w:r>
      <w:r w:rsidR="00F157CA" w:rsidRPr="00205F99">
        <w:t>.</w:t>
      </w:r>
      <w:r w:rsidRPr="00205F99">
        <w:tab/>
      </w:r>
      <w:r w:rsidRPr="00205F99">
        <w:rPr>
          <w:caps/>
        </w:rPr>
        <w:t>Please state your name, position</w:t>
      </w:r>
      <w:r w:rsidR="003245CB" w:rsidRPr="00205F99">
        <w:rPr>
          <w:caps/>
        </w:rPr>
        <w:t>,</w:t>
      </w:r>
      <w:r w:rsidRPr="00205F99">
        <w:rPr>
          <w:caps/>
        </w:rPr>
        <w:t xml:space="preserve"> and business address.</w:t>
      </w:r>
    </w:p>
    <w:p w:rsidR="00AF77A4" w:rsidRPr="00205F99" w:rsidRDefault="00AF77A4" w:rsidP="00C1529D">
      <w:pPr>
        <w:pStyle w:val="AZAnswer"/>
        <w:spacing w:line="480" w:lineRule="auto"/>
      </w:pPr>
    </w:p>
    <w:p w:rsidR="004846E9" w:rsidRPr="00205F99" w:rsidRDefault="00AB4FC3" w:rsidP="00C1529D">
      <w:pPr>
        <w:spacing w:line="480" w:lineRule="auto"/>
        <w:ind w:left="720" w:hanging="720"/>
        <w:jc w:val="both"/>
        <w:rPr>
          <w:rFonts w:ascii="Garamond" w:hAnsi="Garamond"/>
        </w:rPr>
      </w:pPr>
      <w:r w:rsidRPr="00205F99">
        <w:rPr>
          <w:rFonts w:ascii="Garamond" w:hAnsi="Garamond"/>
        </w:rPr>
        <w:t>A</w:t>
      </w:r>
      <w:r w:rsidR="00F157CA" w:rsidRPr="00205F99">
        <w:rPr>
          <w:rFonts w:ascii="Garamond" w:hAnsi="Garamond"/>
        </w:rPr>
        <w:t>.</w:t>
      </w:r>
      <w:r w:rsidRPr="00205F99">
        <w:rPr>
          <w:rFonts w:ascii="Garamond" w:hAnsi="Garamond"/>
        </w:rPr>
        <w:tab/>
      </w:r>
      <w:r w:rsidR="004846E9" w:rsidRPr="00205F99">
        <w:rPr>
          <w:rFonts w:ascii="Garamond" w:hAnsi="Garamond"/>
        </w:rPr>
        <w:t>My name is Don Grace, and I am the Vice President of Engineering for the Vogtle Monitoring Group (“VMG”).  I am one of the key personnel engaged by the Georgia Public Service Commission</w:t>
      </w:r>
      <w:r w:rsidR="00B33442" w:rsidRPr="00205F99">
        <w:rPr>
          <w:rFonts w:ascii="Garamond" w:hAnsi="Garamond"/>
        </w:rPr>
        <w:t xml:space="preserve"> (“GPS</w:t>
      </w:r>
      <w:r w:rsidR="00FF6602" w:rsidRPr="00205F99">
        <w:rPr>
          <w:rFonts w:ascii="Garamond" w:hAnsi="Garamond"/>
        </w:rPr>
        <w:t>C</w:t>
      </w:r>
      <w:r w:rsidR="00B33442" w:rsidRPr="00205F99">
        <w:rPr>
          <w:rFonts w:ascii="Garamond" w:hAnsi="Garamond"/>
        </w:rPr>
        <w:t>”)</w:t>
      </w:r>
      <w:r w:rsidR="004846E9" w:rsidRPr="00205F99">
        <w:rPr>
          <w:rFonts w:ascii="Garamond" w:hAnsi="Garamond"/>
        </w:rPr>
        <w:t xml:space="preserve"> Public Interest Advocacy (“PIA”) Staff since April 2018 to independently evaluate</w:t>
      </w:r>
      <w:r w:rsidR="00E564C9" w:rsidRPr="00205F99">
        <w:rPr>
          <w:rFonts w:ascii="Garamond" w:hAnsi="Garamond"/>
        </w:rPr>
        <w:t xml:space="preserve"> </w:t>
      </w:r>
      <w:r w:rsidR="004846E9" w:rsidRPr="00205F99">
        <w:rPr>
          <w:rFonts w:ascii="Garamond" w:hAnsi="Garamond"/>
        </w:rPr>
        <w:t>Southern Nuclear Company’s (“SNC”) ability to successfully manage completion of the Vogtle 3 &amp; 4 Nuclear Project (“Project”).  I have over 50 years of hands</w:t>
      </w:r>
      <w:r w:rsidR="00721816">
        <w:rPr>
          <w:rFonts w:ascii="Garamond" w:hAnsi="Garamond"/>
        </w:rPr>
        <w:t>-</w:t>
      </w:r>
      <w:r w:rsidR="004846E9" w:rsidRPr="00205F99">
        <w:rPr>
          <w:rFonts w:ascii="Garamond" w:hAnsi="Garamond"/>
        </w:rPr>
        <w:t xml:space="preserve"> on experience in all phases of the electrical generating plant life cycle (i.e., Licensing/Permitting, Engineering, Construction, Start-up Testing and Commissioning, Operations &amp; Maintenance, and Decommissioning) for nuclear and fossil fuel plants.  I have a B.S in Marine Engineering from the U</w:t>
      </w:r>
      <w:r w:rsidR="00F21DCE" w:rsidRPr="00205F99">
        <w:rPr>
          <w:rFonts w:ascii="Garamond" w:hAnsi="Garamond"/>
        </w:rPr>
        <w:t>.</w:t>
      </w:r>
      <w:r w:rsidR="004846E9" w:rsidRPr="00205F99">
        <w:rPr>
          <w:rFonts w:ascii="Garamond" w:hAnsi="Garamond"/>
        </w:rPr>
        <w:t>S</w:t>
      </w:r>
      <w:r w:rsidR="00F21DCE" w:rsidRPr="00205F99">
        <w:rPr>
          <w:rFonts w:ascii="Garamond" w:hAnsi="Garamond"/>
        </w:rPr>
        <w:t>.</w:t>
      </w:r>
      <w:r w:rsidR="004846E9" w:rsidRPr="00205F99">
        <w:rPr>
          <w:rFonts w:ascii="Garamond" w:hAnsi="Garamond"/>
        </w:rPr>
        <w:t xml:space="preserve"> Naval Academy (having graduated with distinction), an MBA from Harvard Graduate School of Business (having been awarded a fellowship) and have been a registered Professional Engineer in the field of Power Generation for over 45 years.  A copy of my curriculum vitae is attached</w:t>
      </w:r>
      <w:r w:rsidR="00B33442" w:rsidRPr="00205F99">
        <w:rPr>
          <w:rFonts w:ascii="Garamond" w:hAnsi="Garamond"/>
        </w:rPr>
        <w:t xml:space="preserve"> as Exhibit </w:t>
      </w:r>
      <w:r w:rsidR="00CC4DCC" w:rsidRPr="00205F99">
        <w:rPr>
          <w:rFonts w:ascii="Garamond" w:hAnsi="Garamond"/>
        </w:rPr>
        <w:t>A</w:t>
      </w:r>
      <w:r w:rsidR="004846E9" w:rsidRPr="00205F99">
        <w:rPr>
          <w:rFonts w:ascii="Garamond" w:hAnsi="Garamond"/>
        </w:rPr>
        <w:t>.</w:t>
      </w:r>
    </w:p>
    <w:p w:rsidR="0025197A" w:rsidRPr="00205F99" w:rsidRDefault="0025197A" w:rsidP="00C1529D">
      <w:pPr>
        <w:pStyle w:val="AZAnswer"/>
        <w:spacing w:line="480" w:lineRule="auto"/>
        <w:jc w:val="left"/>
        <w:rPr>
          <w:b/>
        </w:rPr>
      </w:pPr>
    </w:p>
    <w:p w:rsidR="00C634EC" w:rsidRPr="00205F99" w:rsidRDefault="0025197A" w:rsidP="00C1529D">
      <w:pPr>
        <w:spacing w:line="480" w:lineRule="auto"/>
        <w:ind w:left="720" w:hanging="720"/>
        <w:jc w:val="both"/>
        <w:rPr>
          <w:rFonts w:ascii="Garamond" w:hAnsi="Garamond"/>
        </w:rPr>
      </w:pPr>
      <w:r w:rsidRPr="00205F99">
        <w:rPr>
          <w:rFonts w:ascii="Garamond" w:hAnsi="Garamond"/>
          <w:b/>
        </w:rPr>
        <w:t>Q</w:t>
      </w:r>
      <w:r w:rsidR="00F157CA" w:rsidRPr="00205F99">
        <w:rPr>
          <w:rFonts w:ascii="Garamond" w:hAnsi="Garamond"/>
          <w:b/>
        </w:rPr>
        <w:t>.</w:t>
      </w:r>
      <w:r w:rsidRPr="00205F99">
        <w:rPr>
          <w:rFonts w:ascii="Garamond" w:hAnsi="Garamond"/>
          <w:b/>
        </w:rPr>
        <w:tab/>
      </w:r>
      <w:r w:rsidR="00C634EC" w:rsidRPr="00205F99">
        <w:rPr>
          <w:rFonts w:ascii="Garamond" w:hAnsi="Garamond"/>
          <w:b/>
          <w:bCs/>
        </w:rPr>
        <w:t>PLEASE PROVIDE ADDITIONAL INFORMATION REGARDING THE OTHER KEY VMG TEAM MEMBERS, AND THE ROLES THEY PLAY IN SUPPORTING YOUR TESTIMONY</w:t>
      </w:r>
      <w:r w:rsidR="005633F4" w:rsidRPr="00205F99">
        <w:rPr>
          <w:rFonts w:ascii="Garamond" w:hAnsi="Garamond"/>
          <w:b/>
          <w:bCs/>
        </w:rPr>
        <w:t>.</w:t>
      </w:r>
    </w:p>
    <w:p w:rsidR="005F6015" w:rsidRPr="00205F99" w:rsidRDefault="005F6015" w:rsidP="00C1529D">
      <w:pPr>
        <w:widowControl w:val="0"/>
        <w:tabs>
          <w:tab w:val="left" w:pos="1420"/>
        </w:tabs>
        <w:spacing w:line="480" w:lineRule="auto"/>
        <w:ind w:left="720" w:right="101" w:hanging="696"/>
        <w:jc w:val="both"/>
        <w:rPr>
          <w:rFonts w:ascii="Garamond" w:hAnsi="Garamond"/>
        </w:rPr>
      </w:pPr>
    </w:p>
    <w:p w:rsidR="00C634EC" w:rsidRPr="00205F99" w:rsidRDefault="005F6015" w:rsidP="00C1529D">
      <w:pPr>
        <w:spacing w:line="480" w:lineRule="auto"/>
        <w:ind w:left="720" w:hanging="720"/>
        <w:jc w:val="both"/>
        <w:rPr>
          <w:rFonts w:ascii="Garamond" w:hAnsi="Garamond"/>
        </w:rPr>
      </w:pPr>
      <w:r w:rsidRPr="006478D3">
        <w:rPr>
          <w:rFonts w:ascii="Garamond" w:hAnsi="Garamond"/>
          <w:bCs/>
        </w:rPr>
        <w:t>A</w:t>
      </w:r>
      <w:r w:rsidR="00F157CA" w:rsidRPr="006478D3">
        <w:rPr>
          <w:rFonts w:ascii="Garamond" w:hAnsi="Garamond"/>
          <w:bCs/>
        </w:rPr>
        <w:t>.</w:t>
      </w:r>
      <w:r w:rsidRPr="00205F99">
        <w:rPr>
          <w:rFonts w:ascii="Garamond" w:hAnsi="Garamond"/>
          <w:b/>
        </w:rPr>
        <w:tab/>
      </w:r>
      <w:r w:rsidR="00C634EC" w:rsidRPr="00205F99">
        <w:rPr>
          <w:rFonts w:ascii="Garamond" w:hAnsi="Garamond"/>
        </w:rPr>
        <w:t xml:space="preserve">There are two additional key members of VMG that support my testimony.  Mr. Dinos Nicolaou has an MBA degree and is a highly experienced Project Controls professional with over 45 years in developing and maintaining Earned Value Management System (“EVMS”) </w:t>
      </w:r>
      <w:r w:rsidR="00C634EC" w:rsidRPr="00205F99">
        <w:rPr>
          <w:rFonts w:ascii="Garamond" w:hAnsi="Garamond"/>
        </w:rPr>
        <w:lastRenderedPageBreak/>
        <w:t xml:space="preserve">based Integrated Project Schedules (“IPS”).  He has performed dozens of independent cost and schedule reviews of other major projects.  Mr. Ray Bryant is a highly experienced construction management professional with over 40 years </w:t>
      </w:r>
      <w:r w:rsidR="008571E5" w:rsidRPr="00205F99">
        <w:rPr>
          <w:rFonts w:ascii="Garamond" w:hAnsi="Garamond"/>
        </w:rPr>
        <w:t xml:space="preserve">in construction management with a focus on nuclear electrical and security oversight. Mr. Bryant </w:t>
      </w:r>
      <w:r w:rsidR="00C634EC" w:rsidRPr="00205F99">
        <w:rPr>
          <w:rFonts w:ascii="Garamond" w:hAnsi="Garamond"/>
        </w:rPr>
        <w:t xml:space="preserve">functions as a full-time on-site construction monitor at the Project site.  Other subject matter experts are engaged on an as needed basis. </w:t>
      </w:r>
    </w:p>
    <w:p w:rsidR="008D5024" w:rsidRPr="00205F99" w:rsidRDefault="00F171E4" w:rsidP="00C1529D">
      <w:pPr>
        <w:pStyle w:val="AZQuestion"/>
        <w:spacing w:line="480" w:lineRule="auto"/>
        <w:jc w:val="left"/>
        <w:rPr>
          <w:b w:val="0"/>
        </w:rPr>
      </w:pPr>
      <w:r w:rsidRPr="00205F99">
        <w:rPr>
          <w:b w:val="0"/>
        </w:rPr>
        <w:tab/>
      </w:r>
    </w:p>
    <w:p w:rsidR="00C634EC" w:rsidRPr="00205F99" w:rsidRDefault="005F6015" w:rsidP="00C1529D">
      <w:pPr>
        <w:spacing w:line="480" w:lineRule="auto"/>
        <w:ind w:left="720" w:hanging="720"/>
        <w:jc w:val="both"/>
        <w:rPr>
          <w:rFonts w:ascii="Garamond" w:hAnsi="Garamond"/>
          <w:b/>
          <w:bCs/>
        </w:rPr>
      </w:pPr>
      <w:r w:rsidRPr="00205F99">
        <w:rPr>
          <w:rFonts w:ascii="Garamond" w:hAnsi="Garamond"/>
          <w:b/>
          <w:bCs/>
        </w:rPr>
        <w:t>Q</w:t>
      </w:r>
      <w:r w:rsidR="00F157CA" w:rsidRPr="00205F99">
        <w:rPr>
          <w:rFonts w:ascii="Garamond" w:hAnsi="Garamond"/>
          <w:b/>
          <w:bCs/>
        </w:rPr>
        <w:t>.</w:t>
      </w:r>
      <w:r w:rsidRPr="00205F99">
        <w:rPr>
          <w:rFonts w:ascii="Garamond" w:hAnsi="Garamond"/>
          <w:b/>
          <w:bCs/>
        </w:rPr>
        <w:tab/>
      </w:r>
      <w:r w:rsidR="00C634EC" w:rsidRPr="00205F99">
        <w:rPr>
          <w:rFonts w:ascii="Garamond" w:hAnsi="Garamond"/>
          <w:b/>
          <w:bCs/>
        </w:rPr>
        <w:t xml:space="preserve">WHAT ARE YOUR CRITERIA FOR SUCCESSFUL MANAGEMENT OF </w:t>
      </w:r>
      <w:r w:rsidR="002F6BDF">
        <w:rPr>
          <w:rFonts w:ascii="Garamond" w:hAnsi="Garamond"/>
          <w:b/>
          <w:bCs/>
        </w:rPr>
        <w:t xml:space="preserve">THE COMPLETION OF </w:t>
      </w:r>
      <w:r w:rsidR="00C634EC" w:rsidRPr="00205F99">
        <w:rPr>
          <w:rFonts w:ascii="Garamond" w:hAnsi="Garamond"/>
          <w:b/>
          <w:bCs/>
        </w:rPr>
        <w:t>VOGTLE 3 AND 4?</w:t>
      </w:r>
    </w:p>
    <w:p w:rsidR="00F171E4" w:rsidRPr="00205F99" w:rsidRDefault="00F171E4" w:rsidP="00C1529D">
      <w:pPr>
        <w:pStyle w:val="AZQuestion"/>
        <w:spacing w:line="480" w:lineRule="auto"/>
      </w:pPr>
    </w:p>
    <w:p w:rsidR="00C634EC" w:rsidRPr="008E29DE" w:rsidRDefault="00F171E4" w:rsidP="00C1529D">
      <w:pPr>
        <w:spacing w:line="480" w:lineRule="auto"/>
        <w:ind w:left="720" w:hanging="720"/>
        <w:jc w:val="both"/>
        <w:rPr>
          <w:rFonts w:ascii="Garamond" w:hAnsi="Garamond"/>
        </w:rPr>
      </w:pPr>
      <w:r w:rsidRPr="00205F99">
        <w:rPr>
          <w:rFonts w:ascii="Garamond" w:hAnsi="Garamond"/>
          <w:bCs/>
        </w:rPr>
        <w:t>A</w:t>
      </w:r>
      <w:r w:rsidR="00F157CA" w:rsidRPr="00205F99">
        <w:rPr>
          <w:rFonts w:ascii="Garamond" w:hAnsi="Garamond"/>
          <w:bCs/>
        </w:rPr>
        <w:t>.</w:t>
      </w:r>
      <w:r w:rsidRPr="00205F99">
        <w:rPr>
          <w:rFonts w:ascii="Garamond" w:hAnsi="Garamond"/>
          <w:b/>
          <w:bCs/>
        </w:rPr>
        <w:tab/>
      </w:r>
      <w:r w:rsidR="002F6BDF" w:rsidRPr="00E0778E">
        <w:rPr>
          <w:rFonts w:ascii="Garamond" w:hAnsi="Garamond"/>
          <w:bCs/>
        </w:rPr>
        <w:t>While costs both before and since the 17</w:t>
      </w:r>
      <w:r w:rsidR="002F6BDF" w:rsidRPr="00E0778E">
        <w:rPr>
          <w:rFonts w:ascii="Garamond" w:hAnsi="Garamond"/>
          <w:bCs/>
          <w:vertAlign w:val="superscript"/>
        </w:rPr>
        <w:t>th</w:t>
      </w:r>
      <w:r w:rsidR="002F6BDF" w:rsidRPr="00E0778E">
        <w:rPr>
          <w:rFonts w:ascii="Garamond" w:hAnsi="Garamond"/>
          <w:bCs/>
        </w:rPr>
        <w:t xml:space="preserve"> VCM Order still need to be reviewed </w:t>
      </w:r>
      <w:r w:rsidR="00FA2092" w:rsidRPr="00E0778E">
        <w:rPr>
          <w:rFonts w:ascii="Garamond" w:hAnsi="Garamond"/>
          <w:bCs/>
        </w:rPr>
        <w:t>for prudency</w:t>
      </w:r>
      <w:r w:rsidR="00FA2092">
        <w:rPr>
          <w:rFonts w:ascii="Garamond" w:hAnsi="Garamond"/>
          <w:bCs/>
        </w:rPr>
        <w:t xml:space="preserve">, </w:t>
      </w:r>
      <w:r w:rsidR="002F6BDF" w:rsidRPr="00E0778E">
        <w:rPr>
          <w:rFonts w:ascii="Garamond" w:hAnsi="Garamond"/>
          <w:bCs/>
        </w:rPr>
        <w:t>successful management</w:t>
      </w:r>
      <w:r w:rsidR="002F6BDF">
        <w:rPr>
          <w:rFonts w:ascii="Garamond" w:hAnsi="Garamond"/>
        </w:rPr>
        <w:t xml:space="preserve"> </w:t>
      </w:r>
      <w:r w:rsidR="001B1DD8">
        <w:rPr>
          <w:rFonts w:ascii="Garamond" w:hAnsi="Garamond"/>
        </w:rPr>
        <w:t>also</w:t>
      </w:r>
      <w:r w:rsidR="00021693" w:rsidRPr="00205F99">
        <w:rPr>
          <w:rFonts w:ascii="Garamond" w:hAnsi="Garamond"/>
        </w:rPr>
        <w:t xml:space="preserve"> includes</w:t>
      </w:r>
      <w:r w:rsidR="00C634EC" w:rsidRPr="00205F99">
        <w:rPr>
          <w:rFonts w:ascii="Garamond" w:hAnsi="Garamond"/>
        </w:rPr>
        <w:t xml:space="preserve"> SNC’s ability to safely complete the Project in a quality manner </w:t>
      </w:r>
      <w:r w:rsidR="00FA2092">
        <w:rPr>
          <w:rFonts w:ascii="Garamond" w:hAnsi="Garamond"/>
        </w:rPr>
        <w:t>and within a reasonable cost and schedule</w:t>
      </w:r>
      <w:r w:rsidR="00520B62">
        <w:rPr>
          <w:rFonts w:ascii="Garamond" w:hAnsi="Garamond"/>
        </w:rPr>
        <w:t>.</w:t>
      </w:r>
    </w:p>
    <w:p w:rsidR="00077D99" w:rsidRPr="00205F99" w:rsidRDefault="00077D99" w:rsidP="00C1529D">
      <w:pPr>
        <w:pStyle w:val="AZBody"/>
        <w:spacing w:line="480" w:lineRule="auto"/>
        <w:ind w:left="0"/>
      </w:pPr>
    </w:p>
    <w:p w:rsidR="00C634EC" w:rsidRPr="00205F99" w:rsidRDefault="005F6015" w:rsidP="00C1529D">
      <w:pPr>
        <w:spacing w:line="480" w:lineRule="auto"/>
        <w:ind w:left="720" w:hanging="720"/>
        <w:jc w:val="both"/>
        <w:rPr>
          <w:rFonts w:ascii="Garamond" w:hAnsi="Garamond"/>
        </w:rPr>
      </w:pPr>
      <w:r w:rsidRPr="00205F99">
        <w:rPr>
          <w:rFonts w:ascii="Garamond" w:hAnsi="Garamond"/>
          <w:b/>
        </w:rPr>
        <w:t>Q</w:t>
      </w:r>
      <w:r w:rsidR="00F157CA" w:rsidRPr="00205F99">
        <w:rPr>
          <w:rFonts w:ascii="Garamond" w:hAnsi="Garamond"/>
          <w:b/>
        </w:rPr>
        <w:t>.</w:t>
      </w:r>
      <w:r w:rsidRPr="00205F99">
        <w:rPr>
          <w:rFonts w:ascii="Garamond" w:hAnsi="Garamond"/>
        </w:rPr>
        <w:tab/>
      </w:r>
      <w:r w:rsidR="00C634EC" w:rsidRPr="00205F99">
        <w:rPr>
          <w:rFonts w:ascii="Garamond" w:hAnsi="Garamond"/>
          <w:b/>
          <w:bCs/>
        </w:rPr>
        <w:t>HAVE YOU PREVIOUSLY TESTIFIED BEFORE OTHER REGULATORY AGENCIES, AND SPECIFICALLY BEFORE THE GPSC</w:t>
      </w:r>
      <w:r w:rsidR="00B33442" w:rsidRPr="00205F99">
        <w:rPr>
          <w:rFonts w:ascii="Garamond" w:hAnsi="Garamond"/>
          <w:b/>
          <w:bCs/>
        </w:rPr>
        <w:t>?</w:t>
      </w:r>
    </w:p>
    <w:p w:rsidR="00C634EC" w:rsidRPr="00205F99" w:rsidRDefault="00C634EC" w:rsidP="00C1529D">
      <w:pPr>
        <w:spacing w:line="480" w:lineRule="auto"/>
        <w:ind w:left="720" w:hanging="720"/>
        <w:jc w:val="both"/>
        <w:rPr>
          <w:rFonts w:ascii="Garamond" w:hAnsi="Garamond"/>
        </w:rPr>
      </w:pPr>
    </w:p>
    <w:p w:rsidR="00C634EC" w:rsidRDefault="005F6015" w:rsidP="00C1529D">
      <w:pPr>
        <w:spacing w:line="480" w:lineRule="auto"/>
        <w:ind w:left="720" w:hanging="720"/>
        <w:jc w:val="both"/>
        <w:rPr>
          <w:rFonts w:ascii="Garamond" w:hAnsi="Garamond"/>
        </w:rPr>
      </w:pPr>
      <w:r w:rsidRPr="00205F99">
        <w:rPr>
          <w:rFonts w:ascii="Garamond" w:hAnsi="Garamond"/>
        </w:rPr>
        <w:t>A</w:t>
      </w:r>
      <w:r w:rsidR="00F157CA" w:rsidRPr="00205F99">
        <w:rPr>
          <w:rFonts w:ascii="Garamond" w:hAnsi="Garamond"/>
        </w:rPr>
        <w:t>.</w:t>
      </w:r>
      <w:r w:rsidRPr="00205F99">
        <w:rPr>
          <w:rFonts w:ascii="Garamond" w:hAnsi="Garamond"/>
        </w:rPr>
        <w:tab/>
      </w:r>
      <w:r w:rsidR="00C634EC" w:rsidRPr="00205F99">
        <w:rPr>
          <w:rFonts w:ascii="Garamond" w:hAnsi="Garamond"/>
        </w:rPr>
        <w:t xml:space="preserve">I have previously provided testimony to the GPSC </w:t>
      </w:r>
      <w:r w:rsidR="00BD0227" w:rsidRPr="00205F99">
        <w:rPr>
          <w:rFonts w:ascii="Garamond" w:hAnsi="Garamond"/>
        </w:rPr>
        <w:t>in Docket 29849 for the Vogtle Unit 3 and Unit 4 Project in December 2018</w:t>
      </w:r>
      <w:r w:rsidR="004A67FF">
        <w:rPr>
          <w:rFonts w:ascii="Garamond" w:hAnsi="Garamond"/>
        </w:rPr>
        <w:t>,</w:t>
      </w:r>
      <w:r w:rsidR="00BD0227" w:rsidRPr="00205F99">
        <w:rPr>
          <w:rFonts w:ascii="Garamond" w:hAnsi="Garamond"/>
        </w:rPr>
        <w:t xml:space="preserve"> December 2019</w:t>
      </w:r>
      <w:r w:rsidR="004A67FF">
        <w:rPr>
          <w:rFonts w:ascii="Garamond" w:hAnsi="Garamond"/>
        </w:rPr>
        <w:t>, June 2020</w:t>
      </w:r>
      <w:r w:rsidR="0029394E">
        <w:rPr>
          <w:rFonts w:ascii="Garamond" w:hAnsi="Garamond"/>
        </w:rPr>
        <w:t>, December 2020</w:t>
      </w:r>
      <w:r w:rsidR="008030E1">
        <w:rPr>
          <w:rFonts w:ascii="Garamond" w:hAnsi="Garamond"/>
        </w:rPr>
        <w:t>, and June 2021</w:t>
      </w:r>
      <w:r w:rsidR="006C3037">
        <w:rPr>
          <w:rFonts w:ascii="Garamond" w:hAnsi="Garamond"/>
        </w:rPr>
        <w:t>,</w:t>
      </w:r>
      <w:r w:rsidR="008030E1">
        <w:rPr>
          <w:rFonts w:ascii="Garamond" w:hAnsi="Garamond"/>
        </w:rPr>
        <w:t xml:space="preserve"> and in </w:t>
      </w:r>
      <w:r w:rsidR="0026650D">
        <w:rPr>
          <w:rFonts w:ascii="Garamond" w:hAnsi="Garamond"/>
        </w:rPr>
        <w:t xml:space="preserve">GPSC </w:t>
      </w:r>
      <w:r w:rsidR="008030E1">
        <w:rPr>
          <w:rFonts w:ascii="Garamond" w:hAnsi="Garamond"/>
        </w:rPr>
        <w:t>Docket 43838 for the Vogtle Unit 3</w:t>
      </w:r>
      <w:r w:rsidR="0026650D">
        <w:rPr>
          <w:rFonts w:ascii="Garamond" w:hAnsi="Garamond"/>
        </w:rPr>
        <w:t xml:space="preserve"> in September 2021</w:t>
      </w:r>
      <w:r w:rsidR="006C3037">
        <w:rPr>
          <w:rFonts w:ascii="Garamond" w:hAnsi="Garamond"/>
        </w:rPr>
        <w:t>.</w:t>
      </w:r>
      <w:r w:rsidR="00BD0227" w:rsidRPr="00205F99">
        <w:rPr>
          <w:rFonts w:ascii="Garamond" w:hAnsi="Garamond"/>
        </w:rPr>
        <w:t xml:space="preserve">  Also</w:t>
      </w:r>
      <w:r w:rsidR="006C3037">
        <w:rPr>
          <w:rFonts w:ascii="Garamond" w:hAnsi="Garamond"/>
        </w:rPr>
        <w:t>,</w:t>
      </w:r>
      <w:r w:rsidR="00BD0227" w:rsidRPr="00205F99">
        <w:rPr>
          <w:rFonts w:ascii="Garamond" w:hAnsi="Garamond"/>
        </w:rPr>
        <w:t xml:space="preserve"> I have </w:t>
      </w:r>
      <w:r w:rsidR="00C634EC" w:rsidRPr="00205F99">
        <w:rPr>
          <w:rFonts w:ascii="Garamond" w:hAnsi="Garamond"/>
        </w:rPr>
        <w:t xml:space="preserve">testified </w:t>
      </w:r>
      <w:r w:rsidR="00021693" w:rsidRPr="00205F99">
        <w:rPr>
          <w:rFonts w:ascii="Garamond" w:hAnsi="Garamond"/>
        </w:rPr>
        <w:t>before</w:t>
      </w:r>
      <w:r w:rsidR="00C634EC" w:rsidRPr="00205F99">
        <w:rPr>
          <w:rFonts w:ascii="Garamond" w:hAnsi="Garamond"/>
        </w:rPr>
        <w:t xml:space="preserve"> the Mississippi Public Service Commission, the Arizona Corporat</w:t>
      </w:r>
      <w:r w:rsidR="00046922">
        <w:rPr>
          <w:rFonts w:ascii="Garamond" w:hAnsi="Garamond"/>
        </w:rPr>
        <w:t>ion</w:t>
      </w:r>
      <w:r w:rsidR="00C634EC" w:rsidRPr="00205F99">
        <w:rPr>
          <w:rFonts w:ascii="Garamond" w:hAnsi="Garamond"/>
        </w:rPr>
        <w:t xml:space="preserve"> Commission, the Arkansas Attorney General’s Office</w:t>
      </w:r>
      <w:r w:rsidR="0029394E">
        <w:rPr>
          <w:rFonts w:ascii="Garamond" w:hAnsi="Garamond"/>
        </w:rPr>
        <w:t>, and the Federal Energy Regulatory Commission (FERC).</w:t>
      </w:r>
      <w:r w:rsidR="00C634EC" w:rsidRPr="00205F99">
        <w:rPr>
          <w:rFonts w:ascii="Garamond" w:hAnsi="Garamond"/>
        </w:rPr>
        <w:t xml:space="preserve">  I have also testified before the Nuclear Regulatory Commission</w:t>
      </w:r>
      <w:r w:rsidR="008D50F6" w:rsidRPr="00205F99">
        <w:rPr>
          <w:rFonts w:ascii="Garamond" w:hAnsi="Garamond"/>
        </w:rPr>
        <w:t xml:space="preserve"> </w:t>
      </w:r>
      <w:r w:rsidR="00C634EC" w:rsidRPr="00205F99">
        <w:rPr>
          <w:rFonts w:ascii="Garamond" w:hAnsi="Garamond"/>
        </w:rPr>
        <w:t>as the Chairman of the Boiling Water Reactor Owners’ Group.</w:t>
      </w:r>
    </w:p>
    <w:p w:rsidR="00380E17" w:rsidRPr="00205F99" w:rsidRDefault="00380E17" w:rsidP="00C1529D">
      <w:pPr>
        <w:spacing w:line="480" w:lineRule="auto"/>
        <w:ind w:left="720" w:hanging="720"/>
        <w:jc w:val="both"/>
        <w:rPr>
          <w:rFonts w:ascii="Garamond" w:hAnsi="Garamond"/>
        </w:rPr>
      </w:pPr>
    </w:p>
    <w:p w:rsidR="00C71D3C" w:rsidRDefault="00C71D3C" w:rsidP="00C1529D">
      <w:pPr>
        <w:spacing w:line="480" w:lineRule="auto"/>
        <w:ind w:left="720" w:hanging="720"/>
        <w:jc w:val="both"/>
        <w:rPr>
          <w:rFonts w:ascii="Garamond" w:hAnsi="Garamond"/>
          <w:b/>
          <w:bCs/>
        </w:rPr>
      </w:pPr>
      <w:r w:rsidRPr="00205F99">
        <w:rPr>
          <w:rFonts w:ascii="Garamond" w:hAnsi="Garamond"/>
          <w:b/>
          <w:bCs/>
        </w:rPr>
        <w:t>Q.</w:t>
      </w:r>
      <w:r w:rsidRPr="00205F99">
        <w:rPr>
          <w:rFonts w:ascii="Garamond" w:hAnsi="Garamond"/>
          <w:b/>
          <w:bCs/>
        </w:rPr>
        <w:tab/>
      </w:r>
      <w:r w:rsidR="001E0406" w:rsidRPr="00205F99">
        <w:rPr>
          <w:rFonts w:ascii="Garamond" w:hAnsi="Garamond"/>
          <w:b/>
          <w:bCs/>
        </w:rPr>
        <w:t>WILL YOUR TESTIMONY INCLUDE THE IMPACTS OF COVID</w:t>
      </w:r>
      <w:r w:rsidR="00520B62">
        <w:rPr>
          <w:rFonts w:ascii="Garamond" w:hAnsi="Garamond"/>
          <w:b/>
          <w:bCs/>
        </w:rPr>
        <w:t>-</w:t>
      </w:r>
      <w:r w:rsidR="001E0406" w:rsidRPr="00205F99">
        <w:rPr>
          <w:rFonts w:ascii="Garamond" w:hAnsi="Garamond"/>
          <w:b/>
          <w:bCs/>
        </w:rPr>
        <w:t xml:space="preserve">19? </w:t>
      </w:r>
    </w:p>
    <w:p w:rsidR="00380E17" w:rsidRPr="00205F99" w:rsidRDefault="00380E17" w:rsidP="00C1529D">
      <w:pPr>
        <w:spacing w:line="480" w:lineRule="auto"/>
        <w:ind w:left="720" w:hanging="720"/>
        <w:jc w:val="both"/>
        <w:rPr>
          <w:rFonts w:ascii="Garamond" w:hAnsi="Garamond"/>
        </w:rPr>
      </w:pPr>
    </w:p>
    <w:p w:rsidR="00C634EC" w:rsidRDefault="00C71D3C" w:rsidP="004E703D">
      <w:pPr>
        <w:spacing w:line="480" w:lineRule="auto"/>
        <w:ind w:left="720" w:hanging="720"/>
        <w:jc w:val="both"/>
        <w:rPr>
          <w:rFonts w:ascii="Garamond" w:hAnsi="Garamond"/>
          <w:bCs/>
        </w:rPr>
      </w:pPr>
      <w:r w:rsidRPr="00E50326">
        <w:rPr>
          <w:rFonts w:ascii="Garamond" w:hAnsi="Garamond"/>
          <w:bCs/>
        </w:rPr>
        <w:t>A.</w:t>
      </w:r>
      <w:r w:rsidRPr="00E50326">
        <w:rPr>
          <w:rFonts w:ascii="Garamond" w:hAnsi="Garamond"/>
          <w:bCs/>
        </w:rPr>
        <w:tab/>
      </w:r>
      <w:r w:rsidR="007A1E81">
        <w:rPr>
          <w:rFonts w:ascii="Garamond" w:hAnsi="Garamond"/>
          <w:bCs/>
        </w:rPr>
        <w:t>VMG</w:t>
      </w:r>
      <w:r w:rsidR="006478D3">
        <w:rPr>
          <w:rFonts w:ascii="Garamond" w:hAnsi="Garamond"/>
          <w:bCs/>
        </w:rPr>
        <w:t xml:space="preserve"> </w:t>
      </w:r>
      <w:r w:rsidR="00B07273">
        <w:rPr>
          <w:rFonts w:ascii="Garamond" w:hAnsi="Garamond"/>
          <w:bCs/>
        </w:rPr>
        <w:t xml:space="preserve">has </w:t>
      </w:r>
      <w:r w:rsidR="006478D3">
        <w:rPr>
          <w:rFonts w:ascii="Garamond" w:hAnsi="Garamond"/>
          <w:bCs/>
        </w:rPr>
        <w:t>include</w:t>
      </w:r>
      <w:r w:rsidR="00B07273">
        <w:rPr>
          <w:rFonts w:ascii="Garamond" w:hAnsi="Garamond"/>
          <w:bCs/>
        </w:rPr>
        <w:t>d</w:t>
      </w:r>
      <w:r w:rsidR="007A1E81">
        <w:rPr>
          <w:rFonts w:ascii="Garamond" w:hAnsi="Garamond"/>
          <w:bCs/>
        </w:rPr>
        <w:t xml:space="preserve"> analysis regarding the COVID-19 impact</w:t>
      </w:r>
      <w:r w:rsidR="00861E75">
        <w:rPr>
          <w:rFonts w:ascii="Garamond" w:hAnsi="Garamond"/>
          <w:bCs/>
        </w:rPr>
        <w:t xml:space="preserve"> to the extent </w:t>
      </w:r>
      <w:r w:rsidR="007A1E81">
        <w:rPr>
          <w:rFonts w:ascii="Garamond" w:hAnsi="Garamond"/>
          <w:bCs/>
        </w:rPr>
        <w:t xml:space="preserve">that </w:t>
      </w:r>
      <w:r w:rsidR="007006D6">
        <w:rPr>
          <w:rFonts w:ascii="Garamond" w:hAnsi="Garamond"/>
          <w:bCs/>
        </w:rPr>
        <w:t>Georgia Power Company (“</w:t>
      </w:r>
      <w:r w:rsidR="00F77FDD">
        <w:rPr>
          <w:rFonts w:ascii="Garamond" w:hAnsi="Garamond"/>
          <w:bCs/>
        </w:rPr>
        <w:t>C</w:t>
      </w:r>
      <w:r w:rsidR="006478D3">
        <w:rPr>
          <w:rFonts w:ascii="Garamond" w:hAnsi="Garamond"/>
          <w:bCs/>
        </w:rPr>
        <w:t>ompany</w:t>
      </w:r>
      <w:r w:rsidR="007006D6">
        <w:rPr>
          <w:rFonts w:ascii="Garamond" w:hAnsi="Garamond"/>
          <w:bCs/>
        </w:rPr>
        <w:t>”)</w:t>
      </w:r>
      <w:r w:rsidR="006478D3">
        <w:rPr>
          <w:rFonts w:ascii="Garamond" w:hAnsi="Garamond"/>
          <w:bCs/>
        </w:rPr>
        <w:t xml:space="preserve"> </w:t>
      </w:r>
      <w:r w:rsidR="00861E75">
        <w:rPr>
          <w:rFonts w:ascii="Garamond" w:hAnsi="Garamond"/>
          <w:bCs/>
        </w:rPr>
        <w:t>has</w:t>
      </w:r>
      <w:r w:rsidR="006478D3">
        <w:rPr>
          <w:rFonts w:ascii="Garamond" w:hAnsi="Garamond"/>
          <w:bCs/>
        </w:rPr>
        <w:t xml:space="preserve"> report</w:t>
      </w:r>
      <w:r w:rsidR="00861E75">
        <w:rPr>
          <w:rFonts w:ascii="Garamond" w:hAnsi="Garamond"/>
          <w:bCs/>
        </w:rPr>
        <w:t>ed</w:t>
      </w:r>
      <w:r w:rsidR="006478D3">
        <w:rPr>
          <w:rFonts w:ascii="Garamond" w:hAnsi="Garamond"/>
          <w:bCs/>
        </w:rPr>
        <w:t xml:space="preserve"> </w:t>
      </w:r>
      <w:r w:rsidR="007A1E81">
        <w:rPr>
          <w:rFonts w:ascii="Garamond" w:hAnsi="Garamond"/>
          <w:bCs/>
        </w:rPr>
        <w:t>this impact</w:t>
      </w:r>
      <w:r w:rsidR="0052642F">
        <w:rPr>
          <w:rFonts w:ascii="Garamond" w:hAnsi="Garamond"/>
          <w:bCs/>
        </w:rPr>
        <w:t>,</w:t>
      </w:r>
      <w:r w:rsidR="00F53945">
        <w:rPr>
          <w:rFonts w:ascii="Garamond" w:hAnsi="Garamond"/>
          <w:bCs/>
        </w:rPr>
        <w:t xml:space="preserve"> and </w:t>
      </w:r>
      <w:r w:rsidR="004E703D">
        <w:rPr>
          <w:rFonts w:ascii="Garamond" w:hAnsi="Garamond"/>
          <w:bCs/>
        </w:rPr>
        <w:t>later in th</w:t>
      </w:r>
      <w:r w:rsidR="007A1E81">
        <w:rPr>
          <w:rFonts w:ascii="Garamond" w:hAnsi="Garamond"/>
          <w:bCs/>
        </w:rPr>
        <w:t>e</w:t>
      </w:r>
      <w:r w:rsidR="004E703D">
        <w:rPr>
          <w:rFonts w:ascii="Garamond" w:hAnsi="Garamond"/>
          <w:bCs/>
        </w:rPr>
        <w:t xml:space="preserve"> testimony</w:t>
      </w:r>
      <w:r w:rsidR="00F37E43">
        <w:rPr>
          <w:rFonts w:ascii="Garamond" w:hAnsi="Garamond"/>
          <w:bCs/>
        </w:rPr>
        <w:t xml:space="preserve"> </w:t>
      </w:r>
      <w:r w:rsidR="007A1E81">
        <w:rPr>
          <w:rFonts w:ascii="Garamond" w:hAnsi="Garamond"/>
          <w:bCs/>
        </w:rPr>
        <w:t xml:space="preserve">VMG </w:t>
      </w:r>
      <w:r w:rsidR="004E55D3">
        <w:rPr>
          <w:rFonts w:ascii="Garamond" w:hAnsi="Garamond"/>
          <w:bCs/>
        </w:rPr>
        <w:t>provide</w:t>
      </w:r>
      <w:r w:rsidR="007A1E81">
        <w:rPr>
          <w:rFonts w:ascii="Garamond" w:hAnsi="Garamond"/>
          <w:bCs/>
        </w:rPr>
        <w:t>s</w:t>
      </w:r>
      <w:r w:rsidR="004E55D3">
        <w:rPr>
          <w:rFonts w:ascii="Garamond" w:hAnsi="Garamond"/>
          <w:bCs/>
        </w:rPr>
        <w:t xml:space="preserve"> an initial </w:t>
      </w:r>
      <w:r w:rsidR="004E703D">
        <w:rPr>
          <w:rFonts w:ascii="Garamond" w:hAnsi="Garamond"/>
          <w:bCs/>
        </w:rPr>
        <w:t xml:space="preserve">challenge </w:t>
      </w:r>
      <w:r w:rsidR="004E55D3">
        <w:rPr>
          <w:rFonts w:ascii="Garamond" w:hAnsi="Garamond"/>
          <w:bCs/>
        </w:rPr>
        <w:t xml:space="preserve">to </w:t>
      </w:r>
      <w:r w:rsidR="004E703D">
        <w:rPr>
          <w:rFonts w:ascii="Garamond" w:hAnsi="Garamond"/>
          <w:bCs/>
        </w:rPr>
        <w:t xml:space="preserve">the </w:t>
      </w:r>
      <w:r w:rsidR="004E55D3">
        <w:rPr>
          <w:rFonts w:ascii="Garamond" w:hAnsi="Garamond"/>
          <w:bCs/>
        </w:rPr>
        <w:t>C</w:t>
      </w:r>
      <w:r w:rsidR="004E703D">
        <w:rPr>
          <w:rFonts w:ascii="Garamond" w:hAnsi="Garamond"/>
          <w:bCs/>
        </w:rPr>
        <w:t xml:space="preserve">ompany’s assertion as provided in VCM 25 that the </w:t>
      </w:r>
      <w:r w:rsidR="007D2EC5">
        <w:rPr>
          <w:rFonts w:ascii="Garamond" w:hAnsi="Garamond"/>
          <w:bCs/>
        </w:rPr>
        <w:t>P</w:t>
      </w:r>
      <w:r w:rsidR="004E703D">
        <w:rPr>
          <w:rFonts w:ascii="Garamond" w:hAnsi="Garamond"/>
          <w:bCs/>
        </w:rPr>
        <w:t xml:space="preserve">roject </w:t>
      </w:r>
      <w:r w:rsidR="007D2EC5">
        <w:rPr>
          <w:rFonts w:ascii="Garamond" w:hAnsi="Garamond"/>
          <w:bCs/>
        </w:rPr>
        <w:t>S</w:t>
      </w:r>
      <w:r w:rsidR="004E703D">
        <w:rPr>
          <w:rFonts w:ascii="Garamond" w:hAnsi="Garamond"/>
          <w:bCs/>
        </w:rPr>
        <w:t xml:space="preserve">chedule has been delayed roughly 3 to 4 months </w:t>
      </w:r>
      <w:r w:rsidR="00D2051F">
        <w:rPr>
          <w:rFonts w:ascii="Garamond" w:hAnsi="Garamond"/>
          <w:bCs/>
        </w:rPr>
        <w:t>because of</w:t>
      </w:r>
      <w:r w:rsidR="007A1E81">
        <w:rPr>
          <w:rFonts w:ascii="Garamond" w:hAnsi="Garamond"/>
          <w:bCs/>
        </w:rPr>
        <w:t xml:space="preserve"> </w:t>
      </w:r>
      <w:r w:rsidR="004E703D">
        <w:rPr>
          <w:rFonts w:ascii="Garamond" w:hAnsi="Garamond"/>
          <w:bCs/>
        </w:rPr>
        <w:t>COVID</w:t>
      </w:r>
      <w:r w:rsidR="004E55D3">
        <w:rPr>
          <w:rFonts w:ascii="Garamond" w:hAnsi="Garamond"/>
          <w:bCs/>
        </w:rPr>
        <w:t>-19</w:t>
      </w:r>
      <w:r w:rsidR="004E703D">
        <w:rPr>
          <w:rFonts w:ascii="Garamond" w:hAnsi="Garamond"/>
          <w:bCs/>
        </w:rPr>
        <w:t xml:space="preserve">.  </w:t>
      </w:r>
    </w:p>
    <w:p w:rsidR="004E703D" w:rsidRPr="00205F99" w:rsidRDefault="004E703D" w:rsidP="004E703D">
      <w:pPr>
        <w:spacing w:line="480" w:lineRule="auto"/>
        <w:ind w:left="720" w:hanging="720"/>
        <w:jc w:val="both"/>
        <w:rPr>
          <w:rFonts w:ascii="Garamond" w:hAnsi="Garamond"/>
        </w:rPr>
      </w:pPr>
    </w:p>
    <w:p w:rsidR="009314C0" w:rsidRPr="005C1B6C" w:rsidRDefault="009314C0" w:rsidP="00C1529D">
      <w:pPr>
        <w:pStyle w:val="AZBody"/>
        <w:spacing w:line="480" w:lineRule="auto"/>
        <w:ind w:left="0"/>
        <w:jc w:val="center"/>
        <w:rPr>
          <w:b/>
          <w:sz w:val="32"/>
          <w:szCs w:val="32"/>
        </w:rPr>
      </w:pPr>
      <w:r w:rsidRPr="005C1B6C">
        <w:rPr>
          <w:b/>
          <w:sz w:val="32"/>
          <w:szCs w:val="32"/>
        </w:rPr>
        <w:t>PURPOSE OF TESTIMONY</w:t>
      </w:r>
    </w:p>
    <w:p w:rsidR="009314C0" w:rsidRPr="00205F99" w:rsidRDefault="009314C0" w:rsidP="00C1529D">
      <w:pPr>
        <w:pStyle w:val="AZBody"/>
        <w:spacing w:line="480" w:lineRule="auto"/>
        <w:ind w:left="0"/>
      </w:pPr>
    </w:p>
    <w:p w:rsidR="00077D99" w:rsidRPr="00205F99" w:rsidRDefault="00AB4FC3" w:rsidP="00C1529D">
      <w:pPr>
        <w:pStyle w:val="AZQuestion"/>
        <w:spacing w:line="480" w:lineRule="auto"/>
        <w:rPr>
          <w:caps/>
        </w:rPr>
      </w:pPr>
      <w:r w:rsidRPr="00205F99">
        <w:t>Q</w:t>
      </w:r>
      <w:r w:rsidR="00F157CA" w:rsidRPr="00205F99">
        <w:t>.</w:t>
      </w:r>
      <w:r w:rsidR="005F6015" w:rsidRPr="00205F99">
        <w:tab/>
      </w:r>
      <w:r w:rsidR="00031DDC" w:rsidRPr="00205F99">
        <w:rPr>
          <w:caps/>
        </w:rPr>
        <w:t xml:space="preserve">What is the purpose of your </w:t>
      </w:r>
      <w:r w:rsidR="00E57542" w:rsidRPr="00205F99">
        <w:rPr>
          <w:caps/>
        </w:rPr>
        <w:t>T</w:t>
      </w:r>
      <w:r w:rsidR="00031DDC" w:rsidRPr="00205F99">
        <w:rPr>
          <w:caps/>
        </w:rPr>
        <w:t>estimony?</w:t>
      </w:r>
    </w:p>
    <w:p w:rsidR="00B812E0" w:rsidRPr="00205F99" w:rsidRDefault="00B812E0" w:rsidP="00C1529D">
      <w:pPr>
        <w:pStyle w:val="AZAnswer"/>
        <w:spacing w:line="480" w:lineRule="auto"/>
      </w:pPr>
    </w:p>
    <w:p w:rsidR="00B812E0" w:rsidRDefault="00CC122D" w:rsidP="00C1529D">
      <w:pPr>
        <w:spacing w:line="480" w:lineRule="auto"/>
        <w:ind w:left="720" w:hanging="720"/>
        <w:jc w:val="both"/>
        <w:rPr>
          <w:rFonts w:ascii="Garamond" w:hAnsi="Garamond"/>
        </w:rPr>
      </w:pPr>
      <w:r w:rsidRPr="00205F99">
        <w:rPr>
          <w:rFonts w:ascii="Garamond" w:hAnsi="Garamond"/>
        </w:rPr>
        <w:t>A</w:t>
      </w:r>
      <w:r w:rsidR="00F157CA" w:rsidRPr="00205F99">
        <w:rPr>
          <w:rFonts w:ascii="Garamond" w:hAnsi="Garamond"/>
        </w:rPr>
        <w:t>.</w:t>
      </w:r>
      <w:r w:rsidRPr="00205F99">
        <w:rPr>
          <w:rFonts w:ascii="Garamond" w:hAnsi="Garamond"/>
        </w:rPr>
        <w:t xml:space="preserve">     </w:t>
      </w:r>
      <w:r w:rsidR="00B812E0" w:rsidRPr="00205F99">
        <w:rPr>
          <w:rFonts w:ascii="Garamond" w:hAnsi="Garamond"/>
        </w:rPr>
        <w:t xml:space="preserve">  </w:t>
      </w:r>
      <w:r w:rsidR="00FD11AC">
        <w:rPr>
          <w:rFonts w:ascii="Garamond" w:hAnsi="Garamond"/>
        </w:rPr>
        <w:t xml:space="preserve">Based on what is known regarding SNC’s performance to date, and the potential risks going forward, the </w:t>
      </w:r>
      <w:r w:rsidR="0044327B">
        <w:rPr>
          <w:rFonts w:ascii="Garamond" w:hAnsi="Garamond"/>
        </w:rPr>
        <w:t xml:space="preserve">primary </w:t>
      </w:r>
      <w:r w:rsidR="00FD11AC">
        <w:rPr>
          <w:rFonts w:ascii="Garamond" w:hAnsi="Garamond"/>
        </w:rPr>
        <w:t xml:space="preserve">purpose of this testimony is to advise the Commission of VMG’s independent assessment of forecast ranges </w:t>
      </w:r>
      <w:r w:rsidR="00660E29">
        <w:rPr>
          <w:rFonts w:ascii="Garamond" w:hAnsi="Garamond"/>
        </w:rPr>
        <w:t>of the U-3 and U-4 CODs and the Total Project Cost Estimate at Completion (TPC EAC</w:t>
      </w:r>
      <w:r w:rsidR="004E55D3">
        <w:rPr>
          <w:rFonts w:ascii="Garamond" w:hAnsi="Garamond"/>
        </w:rPr>
        <w:t xml:space="preserve"> 100% Ownership</w:t>
      </w:r>
      <w:r w:rsidR="00660E29">
        <w:rPr>
          <w:rFonts w:ascii="Garamond" w:hAnsi="Garamond"/>
        </w:rPr>
        <w:t>).</w:t>
      </w:r>
      <w:r w:rsidR="00FA2092">
        <w:rPr>
          <w:rFonts w:ascii="Garamond" w:hAnsi="Garamond"/>
        </w:rPr>
        <w:t xml:space="preserve"> </w:t>
      </w:r>
      <w:r w:rsidR="0044327B">
        <w:rPr>
          <w:rFonts w:ascii="Garamond" w:hAnsi="Garamond"/>
        </w:rPr>
        <w:t xml:space="preserve"> In addition, </w:t>
      </w:r>
      <w:r w:rsidR="007A1E81">
        <w:rPr>
          <w:rFonts w:ascii="Garamond" w:hAnsi="Garamond"/>
        </w:rPr>
        <w:t xml:space="preserve">VMG’s goal is </w:t>
      </w:r>
      <w:r w:rsidR="00D2051F">
        <w:rPr>
          <w:rFonts w:ascii="Garamond" w:hAnsi="Garamond"/>
        </w:rPr>
        <w:t>to provide</w:t>
      </w:r>
      <w:r w:rsidR="0044327B">
        <w:rPr>
          <w:rFonts w:ascii="Garamond" w:hAnsi="Garamond"/>
        </w:rPr>
        <w:t xml:space="preserve"> additional observations regarding future risks that could potentially be manifested which are not included in our independent assessment of the </w:t>
      </w:r>
      <w:r w:rsidR="004743CA">
        <w:rPr>
          <w:rFonts w:ascii="Garamond" w:hAnsi="Garamond"/>
        </w:rPr>
        <w:t>U-3 and U-4 CODs and the TPC EAC.</w:t>
      </w:r>
    </w:p>
    <w:p w:rsidR="00E95C8A" w:rsidRPr="00205F99" w:rsidRDefault="00E95C8A" w:rsidP="00C1529D">
      <w:pPr>
        <w:spacing w:line="480" w:lineRule="auto"/>
        <w:ind w:left="720" w:hanging="720"/>
        <w:jc w:val="both"/>
        <w:rPr>
          <w:rFonts w:ascii="Garamond" w:hAnsi="Garamond"/>
          <w:b/>
        </w:rPr>
      </w:pPr>
    </w:p>
    <w:p w:rsidR="001F558C" w:rsidRPr="00205F99" w:rsidRDefault="001F558C" w:rsidP="00C1529D">
      <w:pPr>
        <w:spacing w:line="480" w:lineRule="auto"/>
        <w:ind w:left="720" w:hanging="720"/>
        <w:jc w:val="both"/>
        <w:rPr>
          <w:rFonts w:ascii="Garamond" w:hAnsi="Garamond"/>
          <w:b/>
          <w:bCs/>
        </w:rPr>
      </w:pPr>
      <w:r w:rsidRPr="00205F99">
        <w:rPr>
          <w:rFonts w:ascii="Garamond" w:hAnsi="Garamond"/>
          <w:b/>
        </w:rPr>
        <w:t>Q</w:t>
      </w:r>
      <w:r w:rsidR="00F157CA" w:rsidRPr="00205F99">
        <w:rPr>
          <w:rFonts w:ascii="Garamond" w:hAnsi="Garamond"/>
          <w:b/>
        </w:rPr>
        <w:t>.</w:t>
      </w:r>
      <w:r w:rsidRPr="00205F99">
        <w:rPr>
          <w:rFonts w:ascii="Garamond" w:hAnsi="Garamond"/>
          <w:b/>
        </w:rPr>
        <w:tab/>
      </w:r>
      <w:r w:rsidR="00B812E0" w:rsidRPr="00205F99">
        <w:rPr>
          <w:rFonts w:ascii="Garamond" w:hAnsi="Garamond"/>
          <w:b/>
          <w:bCs/>
        </w:rPr>
        <w:t xml:space="preserve">PLEASE PROVIDE YOUR SUMMARY </w:t>
      </w:r>
      <w:r w:rsidR="004743CA">
        <w:rPr>
          <w:rFonts w:ascii="Garamond" w:hAnsi="Garamond"/>
          <w:b/>
          <w:bCs/>
        </w:rPr>
        <w:t>ASSESSMENT AND OBSERVATIONS</w:t>
      </w:r>
    </w:p>
    <w:p w:rsidR="00B812E0" w:rsidRPr="00205F99" w:rsidRDefault="00B812E0" w:rsidP="00C1529D">
      <w:pPr>
        <w:spacing w:line="480" w:lineRule="auto"/>
        <w:ind w:left="720" w:hanging="720"/>
        <w:jc w:val="both"/>
        <w:rPr>
          <w:rFonts w:ascii="Garamond" w:hAnsi="Garamond"/>
          <w:b/>
        </w:rPr>
      </w:pPr>
    </w:p>
    <w:p w:rsidR="004743CA" w:rsidRDefault="001F558C" w:rsidP="00B07358">
      <w:pPr>
        <w:spacing w:line="480" w:lineRule="auto"/>
        <w:ind w:left="720" w:hanging="720"/>
        <w:jc w:val="both"/>
        <w:rPr>
          <w:rFonts w:ascii="Garamond" w:hAnsi="Garamond"/>
        </w:rPr>
      </w:pPr>
      <w:r w:rsidRPr="00205F99">
        <w:rPr>
          <w:rFonts w:ascii="Garamond" w:hAnsi="Garamond"/>
        </w:rPr>
        <w:lastRenderedPageBreak/>
        <w:t>A</w:t>
      </w:r>
      <w:r w:rsidR="00F157CA" w:rsidRPr="00205F99">
        <w:rPr>
          <w:rFonts w:ascii="Garamond" w:hAnsi="Garamond"/>
        </w:rPr>
        <w:t>.</w:t>
      </w:r>
      <w:r w:rsidR="007C4F8A" w:rsidRPr="00205F99">
        <w:rPr>
          <w:rFonts w:ascii="Garamond" w:hAnsi="Garamond"/>
        </w:rPr>
        <w:tab/>
      </w:r>
      <w:r w:rsidR="00BF6110">
        <w:rPr>
          <w:rFonts w:ascii="Garamond" w:hAnsi="Garamond"/>
        </w:rPr>
        <w:t>VMG</w:t>
      </w:r>
      <w:r w:rsidR="00367350">
        <w:rPr>
          <w:rFonts w:ascii="Garamond" w:hAnsi="Garamond"/>
        </w:rPr>
        <w:t>’</w:t>
      </w:r>
      <w:r w:rsidR="00BF6110">
        <w:rPr>
          <w:rFonts w:ascii="Garamond" w:hAnsi="Garamond"/>
        </w:rPr>
        <w:t xml:space="preserve">s analysis indicates that the U-3 and U-4 CODs will most likely not be achieved any earlier than November 2022/2023, </w:t>
      </w:r>
      <w:r w:rsidR="00FE757E">
        <w:rPr>
          <w:rFonts w:ascii="Garamond" w:hAnsi="Garamond"/>
        </w:rPr>
        <w:t>respectively</w:t>
      </w:r>
      <w:r w:rsidR="00815D26">
        <w:rPr>
          <w:rFonts w:ascii="Garamond" w:hAnsi="Garamond"/>
        </w:rPr>
        <w:t xml:space="preserve">, and perhaps as late as February 2023/2024, respectively. </w:t>
      </w:r>
      <w:r w:rsidR="00FE757E">
        <w:rPr>
          <w:rFonts w:ascii="Garamond" w:hAnsi="Garamond"/>
        </w:rPr>
        <w:t xml:space="preserve"> </w:t>
      </w:r>
      <w:r w:rsidR="007A1E81">
        <w:rPr>
          <w:rFonts w:ascii="Garamond" w:hAnsi="Garamond"/>
        </w:rPr>
        <w:t xml:space="preserve">VMG </w:t>
      </w:r>
      <w:r w:rsidR="00BF6110">
        <w:rPr>
          <w:rFonts w:ascii="Garamond" w:hAnsi="Garamond"/>
        </w:rPr>
        <w:t xml:space="preserve">also conclude that the Regulatory Required TPC of $ 17.1 </w:t>
      </w:r>
      <w:r w:rsidR="00FE757E">
        <w:rPr>
          <w:rFonts w:ascii="Garamond" w:hAnsi="Garamond"/>
        </w:rPr>
        <w:t>billion (“B”)</w:t>
      </w:r>
      <w:r w:rsidR="00BF6110">
        <w:rPr>
          <w:rFonts w:ascii="Garamond" w:hAnsi="Garamond"/>
        </w:rPr>
        <w:t xml:space="preserve"> will be exceeded by roughly $</w:t>
      </w:r>
      <w:r w:rsidR="00367350">
        <w:rPr>
          <w:rFonts w:ascii="Garamond" w:hAnsi="Garamond"/>
        </w:rPr>
        <w:t xml:space="preserve"> </w:t>
      </w:r>
      <w:r w:rsidR="00F37E43">
        <w:rPr>
          <w:rFonts w:ascii="Garamond" w:hAnsi="Garamond"/>
        </w:rPr>
        <w:t>3</w:t>
      </w:r>
      <w:r w:rsidR="00BF6110">
        <w:rPr>
          <w:rFonts w:ascii="Garamond" w:hAnsi="Garamond"/>
        </w:rPr>
        <w:t xml:space="preserve"> B</w:t>
      </w:r>
      <w:r w:rsidR="004E703D">
        <w:rPr>
          <w:rFonts w:ascii="Garamond" w:hAnsi="Garamond"/>
        </w:rPr>
        <w:t xml:space="preserve"> </w:t>
      </w:r>
      <w:r w:rsidR="002269DA">
        <w:rPr>
          <w:rFonts w:ascii="Garamond" w:hAnsi="Garamond"/>
        </w:rPr>
        <w:t>to</w:t>
      </w:r>
      <w:r w:rsidR="004E703D">
        <w:rPr>
          <w:rFonts w:ascii="Garamond" w:hAnsi="Garamond"/>
        </w:rPr>
        <w:t xml:space="preserve"> $ 3.</w:t>
      </w:r>
      <w:r w:rsidR="002269DA">
        <w:rPr>
          <w:rFonts w:ascii="Garamond" w:hAnsi="Garamond"/>
        </w:rPr>
        <w:t>4</w:t>
      </w:r>
      <w:r w:rsidR="004E703D">
        <w:rPr>
          <w:rFonts w:ascii="Garamond" w:hAnsi="Garamond"/>
        </w:rPr>
        <w:t xml:space="preserve"> B</w:t>
      </w:r>
      <w:r w:rsidR="00C443F3">
        <w:rPr>
          <w:rFonts w:ascii="Garamond" w:hAnsi="Garamond"/>
        </w:rPr>
        <w:t xml:space="preserve"> (depending primarily on the CODs)</w:t>
      </w:r>
      <w:r w:rsidR="004E703D">
        <w:rPr>
          <w:rFonts w:ascii="Garamond" w:hAnsi="Garamond"/>
        </w:rPr>
        <w:t xml:space="preserve"> </w:t>
      </w:r>
      <w:r w:rsidR="00BF6110">
        <w:rPr>
          <w:rFonts w:ascii="Garamond" w:hAnsi="Garamond"/>
        </w:rPr>
        <w:t xml:space="preserve">resulting in a TPC </w:t>
      </w:r>
      <w:r w:rsidR="002269DA">
        <w:rPr>
          <w:rFonts w:ascii="Garamond" w:hAnsi="Garamond"/>
        </w:rPr>
        <w:t xml:space="preserve">range </w:t>
      </w:r>
      <w:r w:rsidR="00BF6110">
        <w:rPr>
          <w:rFonts w:ascii="Garamond" w:hAnsi="Garamond"/>
        </w:rPr>
        <w:t xml:space="preserve">of roughly $ </w:t>
      </w:r>
      <w:r w:rsidR="00EB1D6A">
        <w:rPr>
          <w:rFonts w:ascii="Garamond" w:hAnsi="Garamond"/>
        </w:rPr>
        <w:t>20.1</w:t>
      </w:r>
      <w:r w:rsidR="00BF6110">
        <w:rPr>
          <w:rFonts w:ascii="Garamond" w:hAnsi="Garamond"/>
        </w:rPr>
        <w:t xml:space="preserve"> B</w:t>
      </w:r>
      <w:r w:rsidR="004E703D">
        <w:rPr>
          <w:rFonts w:ascii="Garamond" w:hAnsi="Garamond"/>
        </w:rPr>
        <w:t xml:space="preserve"> to</w:t>
      </w:r>
      <w:r w:rsidR="00E07841">
        <w:rPr>
          <w:rFonts w:ascii="Garamond" w:hAnsi="Garamond"/>
        </w:rPr>
        <w:t xml:space="preserve"> </w:t>
      </w:r>
      <w:r w:rsidR="002269DA">
        <w:rPr>
          <w:rFonts w:ascii="Garamond" w:hAnsi="Garamond"/>
        </w:rPr>
        <w:t xml:space="preserve">$ </w:t>
      </w:r>
      <w:r w:rsidR="004E703D">
        <w:rPr>
          <w:rFonts w:ascii="Garamond" w:hAnsi="Garamond"/>
        </w:rPr>
        <w:t>20.</w:t>
      </w:r>
      <w:r w:rsidR="00EB1D6A">
        <w:rPr>
          <w:rFonts w:ascii="Garamond" w:hAnsi="Garamond"/>
        </w:rPr>
        <w:t>5</w:t>
      </w:r>
      <w:r w:rsidR="004E703D">
        <w:rPr>
          <w:rFonts w:ascii="Garamond" w:hAnsi="Garamond"/>
        </w:rPr>
        <w:t xml:space="preserve"> B</w:t>
      </w:r>
      <w:r w:rsidR="00BF6110">
        <w:rPr>
          <w:rFonts w:ascii="Garamond" w:hAnsi="Garamond"/>
        </w:rPr>
        <w:t>.  These new forecast</w:t>
      </w:r>
      <w:r w:rsidR="00F37E43">
        <w:rPr>
          <w:rFonts w:ascii="Garamond" w:hAnsi="Garamond"/>
        </w:rPr>
        <w:t>s</w:t>
      </w:r>
      <w:r w:rsidR="00BF6110">
        <w:rPr>
          <w:rFonts w:ascii="Garamond" w:hAnsi="Garamond"/>
        </w:rPr>
        <w:t xml:space="preserve"> represent another </w:t>
      </w:r>
      <w:r w:rsidR="00313FC3">
        <w:rPr>
          <w:rFonts w:ascii="Garamond" w:hAnsi="Garamond"/>
        </w:rPr>
        <w:t xml:space="preserve">5 months of schedule slip, and another $ </w:t>
      </w:r>
      <w:r w:rsidR="002269DA">
        <w:rPr>
          <w:rFonts w:ascii="Garamond" w:hAnsi="Garamond"/>
        </w:rPr>
        <w:t>1</w:t>
      </w:r>
      <w:r w:rsidR="00313FC3">
        <w:rPr>
          <w:rFonts w:ascii="Garamond" w:hAnsi="Garamond"/>
        </w:rPr>
        <w:t xml:space="preserve"> B cost increase,</w:t>
      </w:r>
      <w:r w:rsidR="00E07841">
        <w:rPr>
          <w:rFonts w:ascii="Garamond" w:hAnsi="Garamond"/>
        </w:rPr>
        <w:t xml:space="preserve"> </w:t>
      </w:r>
      <w:r w:rsidR="00313FC3">
        <w:rPr>
          <w:rFonts w:ascii="Garamond" w:hAnsi="Garamond"/>
        </w:rPr>
        <w:t>from</w:t>
      </w:r>
      <w:r w:rsidR="007A1E81">
        <w:rPr>
          <w:rFonts w:ascii="Garamond" w:hAnsi="Garamond"/>
        </w:rPr>
        <w:t xml:space="preserve"> previous VMG </w:t>
      </w:r>
      <w:r w:rsidR="00D2051F">
        <w:rPr>
          <w:rFonts w:ascii="Garamond" w:hAnsi="Garamond"/>
        </w:rPr>
        <w:t>f</w:t>
      </w:r>
      <w:r w:rsidR="007A1E81">
        <w:rPr>
          <w:rFonts w:ascii="Garamond" w:hAnsi="Garamond"/>
        </w:rPr>
        <w:t>orecasts</w:t>
      </w:r>
      <w:r w:rsidR="00313FC3">
        <w:rPr>
          <w:rFonts w:ascii="Garamond" w:hAnsi="Garamond"/>
        </w:rPr>
        <w:t xml:space="preserve">.  </w:t>
      </w:r>
      <w:r w:rsidR="007171DD">
        <w:rPr>
          <w:rFonts w:ascii="Garamond" w:hAnsi="Garamond"/>
        </w:rPr>
        <w:t xml:space="preserve">This further slip of schedule and further increase in cost is largely attributable to the more recently discovered Construction Quality issues, especially those related to non-compliances in meeting the design requirements of the Institute of Electrical </w:t>
      </w:r>
      <w:r w:rsidR="004E55D3">
        <w:rPr>
          <w:rFonts w:ascii="Garamond" w:hAnsi="Garamond"/>
        </w:rPr>
        <w:t xml:space="preserve">and Electronics </w:t>
      </w:r>
      <w:r w:rsidR="007171DD">
        <w:rPr>
          <w:rFonts w:ascii="Garamond" w:hAnsi="Garamond"/>
        </w:rPr>
        <w:t xml:space="preserve">Engineers </w:t>
      </w:r>
      <w:r w:rsidR="004E55D3">
        <w:rPr>
          <w:rFonts w:ascii="Garamond" w:hAnsi="Garamond"/>
        </w:rPr>
        <w:t xml:space="preserve">(“IEEE”) </w:t>
      </w:r>
      <w:r w:rsidR="007171DD">
        <w:rPr>
          <w:rFonts w:ascii="Garamond" w:hAnsi="Garamond"/>
        </w:rPr>
        <w:t xml:space="preserve">Standard 384 (titled Standard Criteria for Independence of Class 1E Equipment and Circuits).  </w:t>
      </w:r>
      <w:r w:rsidR="00815D26">
        <w:rPr>
          <w:rFonts w:ascii="Garamond" w:hAnsi="Garamond"/>
        </w:rPr>
        <w:t xml:space="preserve"> </w:t>
      </w:r>
    </w:p>
    <w:p w:rsidR="004743CA" w:rsidRDefault="004743CA" w:rsidP="004743CA">
      <w:pPr>
        <w:spacing w:line="480" w:lineRule="auto"/>
        <w:ind w:left="1440" w:hanging="720"/>
        <w:jc w:val="both"/>
        <w:rPr>
          <w:rFonts w:ascii="Garamond" w:hAnsi="Garamond"/>
        </w:rPr>
      </w:pPr>
      <w:r>
        <w:rPr>
          <w:rFonts w:ascii="Garamond" w:hAnsi="Garamond"/>
        </w:rPr>
        <w:t>Additional observations regarding the going forward efforts are as follows:</w:t>
      </w:r>
    </w:p>
    <w:p w:rsidR="004743CA" w:rsidRDefault="004743CA" w:rsidP="004743CA">
      <w:pPr>
        <w:numPr>
          <w:ilvl w:val="0"/>
          <w:numId w:val="59"/>
        </w:numPr>
        <w:spacing w:line="480" w:lineRule="auto"/>
        <w:jc w:val="both"/>
        <w:rPr>
          <w:rFonts w:ascii="Garamond" w:hAnsi="Garamond"/>
        </w:rPr>
      </w:pPr>
      <w:r>
        <w:rPr>
          <w:rFonts w:ascii="Garamond" w:hAnsi="Garamond"/>
        </w:rPr>
        <w:t xml:space="preserve">Because of the recent NRC Special Investigation and the resultant increased NRC oversight, </w:t>
      </w:r>
      <w:r w:rsidRPr="004743CA">
        <w:rPr>
          <w:rFonts w:ascii="Garamond" w:hAnsi="Garamond"/>
        </w:rPr>
        <w:t>this presents a risk of further slowing down on-going efforts, further delaying the CODs, and thereby further increasing the TPC EAC.</w:t>
      </w:r>
    </w:p>
    <w:p w:rsidR="004743CA" w:rsidRPr="004743CA" w:rsidRDefault="004743CA" w:rsidP="004743CA">
      <w:pPr>
        <w:numPr>
          <w:ilvl w:val="0"/>
          <w:numId w:val="59"/>
        </w:numPr>
        <w:spacing w:line="480" w:lineRule="auto"/>
        <w:jc w:val="both"/>
        <w:rPr>
          <w:rFonts w:ascii="Garamond" w:hAnsi="Garamond"/>
        </w:rPr>
      </w:pPr>
      <w:r>
        <w:rPr>
          <w:rFonts w:ascii="Garamond" w:hAnsi="Garamond"/>
        </w:rPr>
        <w:t xml:space="preserve">With the Company’s increased focus on Construction Quality, together with the increased NRC over-sight, an acceptable level of quality will be obtained so that both U-3 and U-4 can be operated safely. </w:t>
      </w:r>
    </w:p>
    <w:p w:rsidR="00B807D2" w:rsidRDefault="004743CA" w:rsidP="00383CBD">
      <w:pPr>
        <w:numPr>
          <w:ilvl w:val="0"/>
          <w:numId w:val="59"/>
        </w:numPr>
        <w:spacing w:line="480" w:lineRule="auto"/>
        <w:jc w:val="both"/>
        <w:rPr>
          <w:rFonts w:ascii="Garamond" w:hAnsi="Garamond"/>
        </w:rPr>
      </w:pPr>
      <w:r>
        <w:rPr>
          <w:rFonts w:ascii="Garamond" w:hAnsi="Garamond"/>
        </w:rPr>
        <w:t>VMG is also concerned, that apart from nuclear safety systems, the</w:t>
      </w:r>
      <w:r w:rsidR="00B807D2">
        <w:rPr>
          <w:rFonts w:ascii="Garamond" w:hAnsi="Garamond"/>
        </w:rPr>
        <w:t xml:space="preserve"> potential exists for greater than normal </w:t>
      </w:r>
      <w:r w:rsidR="0078767E">
        <w:rPr>
          <w:rFonts w:ascii="Garamond" w:hAnsi="Garamond"/>
        </w:rPr>
        <w:t>equipment reliability issue</w:t>
      </w:r>
      <w:r w:rsidR="00D2051F">
        <w:rPr>
          <w:rFonts w:ascii="Garamond" w:hAnsi="Garamond"/>
        </w:rPr>
        <w:t>s</w:t>
      </w:r>
      <w:r w:rsidR="00815D26">
        <w:rPr>
          <w:rFonts w:ascii="Garamond" w:hAnsi="Garamond"/>
        </w:rPr>
        <w:t xml:space="preserve"> </w:t>
      </w:r>
      <w:r w:rsidR="00B807D2">
        <w:rPr>
          <w:rFonts w:ascii="Garamond" w:hAnsi="Garamond"/>
        </w:rPr>
        <w:t xml:space="preserve">that may be experienced </w:t>
      </w:r>
      <w:r w:rsidR="00815D26">
        <w:rPr>
          <w:rFonts w:ascii="Garamond" w:hAnsi="Garamond"/>
        </w:rPr>
        <w:t>during the first operating cycle</w:t>
      </w:r>
      <w:r w:rsidR="007A1E81">
        <w:rPr>
          <w:rFonts w:ascii="Garamond" w:hAnsi="Garamond"/>
        </w:rPr>
        <w:t xml:space="preserve"> resulting in</w:t>
      </w:r>
      <w:r w:rsidR="0078767E">
        <w:rPr>
          <w:rFonts w:ascii="Garamond" w:hAnsi="Garamond"/>
        </w:rPr>
        <w:t xml:space="preserve"> </w:t>
      </w:r>
      <w:r w:rsidR="00960B40">
        <w:rPr>
          <w:rFonts w:ascii="Garamond" w:hAnsi="Garamond"/>
        </w:rPr>
        <w:t>the f</w:t>
      </w:r>
      <w:r w:rsidR="0078767E">
        <w:rPr>
          <w:rFonts w:ascii="Garamond" w:hAnsi="Garamond"/>
        </w:rPr>
        <w:t xml:space="preserve">irst Refueling Outage </w:t>
      </w:r>
      <w:r w:rsidR="00960B40">
        <w:rPr>
          <w:rFonts w:ascii="Garamond" w:hAnsi="Garamond"/>
        </w:rPr>
        <w:t xml:space="preserve">potentially </w:t>
      </w:r>
      <w:r w:rsidR="0078767E">
        <w:rPr>
          <w:rFonts w:ascii="Garamond" w:hAnsi="Garamond"/>
        </w:rPr>
        <w:t>be</w:t>
      </w:r>
      <w:r w:rsidR="00D2051F">
        <w:rPr>
          <w:rFonts w:ascii="Garamond" w:hAnsi="Garamond"/>
        </w:rPr>
        <w:t>ing</w:t>
      </w:r>
      <w:r w:rsidR="0078767E">
        <w:rPr>
          <w:rFonts w:ascii="Garamond" w:hAnsi="Garamond"/>
        </w:rPr>
        <w:t xml:space="preserve"> longer than should be expected for a new nuclear plant.</w:t>
      </w:r>
    </w:p>
    <w:p w:rsidR="004E55D3" w:rsidRPr="00383CBD" w:rsidRDefault="004E55D3" w:rsidP="004E55D3">
      <w:pPr>
        <w:spacing w:line="480" w:lineRule="auto"/>
        <w:ind w:left="360"/>
        <w:jc w:val="both"/>
        <w:rPr>
          <w:rFonts w:ascii="Garamond" w:hAnsi="Garamond"/>
        </w:rPr>
      </w:pPr>
    </w:p>
    <w:p w:rsidR="00D05161" w:rsidRPr="00D05161" w:rsidRDefault="007041FF" w:rsidP="00D05161">
      <w:pPr>
        <w:spacing w:line="480" w:lineRule="auto"/>
        <w:ind w:left="720" w:hanging="720"/>
        <w:jc w:val="center"/>
        <w:rPr>
          <w:rFonts w:ascii="Garamond" w:hAnsi="Garamond"/>
          <w:b/>
          <w:bCs/>
          <w:sz w:val="32"/>
          <w:szCs w:val="32"/>
        </w:rPr>
      </w:pPr>
      <w:r>
        <w:rPr>
          <w:rFonts w:ascii="Garamond" w:hAnsi="Garamond"/>
          <w:b/>
          <w:bCs/>
          <w:sz w:val="32"/>
          <w:szCs w:val="32"/>
        </w:rPr>
        <w:t xml:space="preserve">ANALYSIS OF PROJECT </w:t>
      </w:r>
      <w:r w:rsidR="00D05161">
        <w:rPr>
          <w:rFonts w:ascii="Garamond" w:hAnsi="Garamond"/>
          <w:b/>
          <w:bCs/>
          <w:sz w:val="32"/>
          <w:szCs w:val="32"/>
        </w:rPr>
        <w:t>SCHEDULE</w:t>
      </w:r>
    </w:p>
    <w:p w:rsidR="00313FC3" w:rsidRDefault="00313FC3" w:rsidP="00B07358">
      <w:pPr>
        <w:spacing w:line="480" w:lineRule="auto"/>
        <w:ind w:left="720" w:hanging="720"/>
        <w:jc w:val="both"/>
        <w:rPr>
          <w:rFonts w:ascii="Garamond" w:hAnsi="Garamond"/>
          <w:b/>
          <w:bCs/>
        </w:rPr>
      </w:pPr>
      <w:r>
        <w:rPr>
          <w:rFonts w:ascii="Garamond" w:hAnsi="Garamond"/>
          <w:b/>
          <w:bCs/>
        </w:rPr>
        <w:lastRenderedPageBreak/>
        <w:t>Q:</w:t>
      </w:r>
      <w:r>
        <w:rPr>
          <w:rFonts w:ascii="Garamond" w:hAnsi="Garamond"/>
          <w:b/>
          <w:bCs/>
        </w:rPr>
        <w:tab/>
      </w:r>
      <w:r w:rsidR="007171DD">
        <w:rPr>
          <w:rFonts w:ascii="Garamond" w:hAnsi="Garamond"/>
          <w:b/>
          <w:bCs/>
        </w:rPr>
        <w:t xml:space="preserve">PLEASE ELABORATE ON THE CONSTRUCTION QUALITY ISSUES THAT THE PROJECT HAS BEEN EXPERIENCING AND WHY </w:t>
      </w:r>
      <w:r w:rsidR="00D86400">
        <w:rPr>
          <w:rFonts w:ascii="Garamond" w:hAnsi="Garamond"/>
          <w:b/>
          <w:bCs/>
        </w:rPr>
        <w:t>THESE ISSUES</w:t>
      </w:r>
      <w:r w:rsidR="00815D26">
        <w:rPr>
          <w:rFonts w:ascii="Garamond" w:hAnsi="Garamond"/>
          <w:b/>
          <w:bCs/>
        </w:rPr>
        <w:t xml:space="preserve"> </w:t>
      </w:r>
      <w:r w:rsidR="00D86400">
        <w:rPr>
          <w:rFonts w:ascii="Garamond" w:hAnsi="Garamond"/>
          <w:b/>
          <w:bCs/>
        </w:rPr>
        <w:t xml:space="preserve">ARE </w:t>
      </w:r>
      <w:r w:rsidR="007171DD">
        <w:rPr>
          <w:rFonts w:ascii="Garamond" w:hAnsi="Garamond"/>
          <w:b/>
          <w:bCs/>
        </w:rPr>
        <w:t>HAVING A SIGNIFICANT IMPACT ON THE PROJECT SCHEDULE?</w:t>
      </w:r>
    </w:p>
    <w:p w:rsidR="007C617C" w:rsidRDefault="00313FC3" w:rsidP="007C617C">
      <w:pPr>
        <w:spacing w:line="480" w:lineRule="auto"/>
        <w:ind w:left="720" w:hanging="720"/>
        <w:jc w:val="both"/>
        <w:rPr>
          <w:rFonts w:ascii="Garamond" w:hAnsi="Garamond"/>
        </w:rPr>
      </w:pPr>
      <w:r>
        <w:rPr>
          <w:rFonts w:ascii="Garamond" w:hAnsi="Garamond"/>
        </w:rPr>
        <w:t>A:</w:t>
      </w:r>
      <w:r>
        <w:rPr>
          <w:rFonts w:ascii="Garamond" w:hAnsi="Garamond"/>
        </w:rPr>
        <w:tab/>
        <w:t xml:space="preserve">During VCM 24 </w:t>
      </w:r>
      <w:r w:rsidR="007A1E81">
        <w:rPr>
          <w:rFonts w:ascii="Garamond" w:hAnsi="Garamond"/>
        </w:rPr>
        <w:t>VMG</w:t>
      </w:r>
      <w:r>
        <w:rPr>
          <w:rFonts w:ascii="Garamond" w:hAnsi="Garamond"/>
        </w:rPr>
        <w:t xml:space="preserve"> had noted that the </w:t>
      </w:r>
      <w:r w:rsidR="00E735C5">
        <w:rPr>
          <w:rFonts w:ascii="Garamond" w:hAnsi="Garamond"/>
        </w:rPr>
        <w:t>P</w:t>
      </w:r>
      <w:r>
        <w:rPr>
          <w:rFonts w:ascii="Garamond" w:hAnsi="Garamond"/>
        </w:rPr>
        <w:t xml:space="preserve">roject was experiencing Construction Quality problems, </w:t>
      </w:r>
      <w:r w:rsidR="00EE42C6">
        <w:rPr>
          <w:rFonts w:ascii="Garamond" w:hAnsi="Garamond"/>
        </w:rPr>
        <w:t xml:space="preserve">and </w:t>
      </w:r>
      <w:r>
        <w:rPr>
          <w:rFonts w:ascii="Garamond" w:hAnsi="Garamond"/>
        </w:rPr>
        <w:t>that the NRC was in the process of conducting a Special Investigation to review these problems</w:t>
      </w:r>
      <w:r w:rsidR="00CC772F">
        <w:rPr>
          <w:rFonts w:ascii="Garamond" w:hAnsi="Garamond"/>
        </w:rPr>
        <w:t xml:space="preserve"> as it related to the </w:t>
      </w:r>
      <w:r w:rsidR="00E735C5">
        <w:rPr>
          <w:rFonts w:ascii="Garamond" w:hAnsi="Garamond"/>
        </w:rPr>
        <w:t>C</w:t>
      </w:r>
      <w:r w:rsidR="00CC772F">
        <w:rPr>
          <w:rFonts w:ascii="Garamond" w:hAnsi="Garamond"/>
        </w:rPr>
        <w:t xml:space="preserve">ompany not meeting the requirements of the </w:t>
      </w:r>
      <w:r w:rsidR="00E735C5">
        <w:rPr>
          <w:rFonts w:ascii="Garamond" w:hAnsi="Garamond"/>
        </w:rPr>
        <w:t>IEEE-</w:t>
      </w:r>
      <w:r w:rsidR="00CC772F">
        <w:rPr>
          <w:rFonts w:ascii="Garamond" w:hAnsi="Garamond"/>
        </w:rPr>
        <w:t>384</w:t>
      </w:r>
      <w:r w:rsidR="00EE42C6">
        <w:rPr>
          <w:rFonts w:ascii="Garamond" w:hAnsi="Garamond"/>
        </w:rPr>
        <w:t xml:space="preserve">.  </w:t>
      </w:r>
      <w:r w:rsidR="007A1E81">
        <w:rPr>
          <w:rFonts w:ascii="Garamond" w:hAnsi="Garamond"/>
        </w:rPr>
        <w:t xml:space="preserve">It was </w:t>
      </w:r>
      <w:r w:rsidR="00EE42C6">
        <w:rPr>
          <w:rFonts w:ascii="Garamond" w:hAnsi="Garamond"/>
        </w:rPr>
        <w:t xml:space="preserve">also noted </w:t>
      </w:r>
      <w:r>
        <w:rPr>
          <w:rFonts w:ascii="Garamond" w:hAnsi="Garamond"/>
        </w:rPr>
        <w:t xml:space="preserve">that corrective and preventive measures were being taken by the </w:t>
      </w:r>
      <w:r w:rsidR="00E735C5">
        <w:rPr>
          <w:rFonts w:ascii="Garamond" w:hAnsi="Garamond"/>
        </w:rPr>
        <w:t>C</w:t>
      </w:r>
      <w:r>
        <w:rPr>
          <w:rFonts w:ascii="Garamond" w:hAnsi="Garamond"/>
        </w:rPr>
        <w:t xml:space="preserve">ompany (and being reviewed by the NRC) to both identify and correct the then existing problems, and to improve Construction Quality for the yet to be performed work activities.  </w:t>
      </w:r>
      <w:r w:rsidR="00E735C5">
        <w:rPr>
          <w:rFonts w:ascii="Garamond" w:hAnsi="Garamond"/>
        </w:rPr>
        <w:t>A</w:t>
      </w:r>
      <w:r>
        <w:rPr>
          <w:rFonts w:ascii="Garamond" w:hAnsi="Garamond"/>
        </w:rPr>
        <w:t>t th</w:t>
      </w:r>
      <w:r w:rsidR="00B72108">
        <w:rPr>
          <w:rFonts w:ascii="Garamond" w:hAnsi="Garamond"/>
        </w:rPr>
        <w:t>e</w:t>
      </w:r>
      <w:r>
        <w:rPr>
          <w:rFonts w:ascii="Garamond" w:hAnsi="Garamond"/>
        </w:rPr>
        <w:t xml:space="preserve"> time</w:t>
      </w:r>
      <w:r w:rsidR="00B72108">
        <w:rPr>
          <w:rFonts w:ascii="Garamond" w:hAnsi="Garamond"/>
        </w:rPr>
        <w:t xml:space="preserve"> of </w:t>
      </w:r>
      <w:r w:rsidR="007A1E81">
        <w:rPr>
          <w:rFonts w:ascii="Garamond" w:hAnsi="Garamond"/>
        </w:rPr>
        <w:t xml:space="preserve">VMG’s </w:t>
      </w:r>
      <w:r w:rsidR="00B72108">
        <w:rPr>
          <w:rFonts w:ascii="Garamond" w:hAnsi="Garamond"/>
        </w:rPr>
        <w:t>VCM 24 testimony</w:t>
      </w:r>
      <w:r w:rsidR="00E735C5">
        <w:rPr>
          <w:rFonts w:ascii="Garamond" w:hAnsi="Garamond"/>
        </w:rPr>
        <w:t>,</w:t>
      </w:r>
      <w:r>
        <w:rPr>
          <w:rFonts w:ascii="Garamond" w:hAnsi="Garamond"/>
        </w:rPr>
        <w:t xml:space="preserve"> the extent of the problems, and the amount of rework that was necessary, were not known either in terms of the man-hours to correct them and the extent to which the integration of this emergent work would impact the overall schedule going forward.  </w:t>
      </w:r>
      <w:r w:rsidR="00E735C5">
        <w:rPr>
          <w:rFonts w:ascii="Garamond" w:hAnsi="Garamond"/>
        </w:rPr>
        <w:t>I</w:t>
      </w:r>
      <w:r>
        <w:rPr>
          <w:rFonts w:ascii="Garamond" w:hAnsi="Garamond"/>
        </w:rPr>
        <w:t xml:space="preserve">t is </w:t>
      </w:r>
      <w:r w:rsidR="00E735C5">
        <w:rPr>
          <w:rFonts w:ascii="Garamond" w:hAnsi="Garamond"/>
        </w:rPr>
        <w:t xml:space="preserve">still </w:t>
      </w:r>
      <w:r>
        <w:rPr>
          <w:rFonts w:ascii="Garamond" w:hAnsi="Garamond"/>
        </w:rPr>
        <w:t xml:space="preserve">difficult to </w:t>
      </w:r>
      <w:r w:rsidR="00E735C5">
        <w:rPr>
          <w:rFonts w:ascii="Garamond" w:hAnsi="Garamond"/>
        </w:rPr>
        <w:t>determine</w:t>
      </w:r>
      <w:r>
        <w:rPr>
          <w:rFonts w:ascii="Garamond" w:hAnsi="Garamond"/>
        </w:rPr>
        <w:t xml:space="preserve"> exactly how the future schedules and costs to complete will be impacted,</w:t>
      </w:r>
      <w:r w:rsidR="00E735C5">
        <w:rPr>
          <w:rFonts w:ascii="Garamond" w:hAnsi="Garamond"/>
        </w:rPr>
        <w:t xml:space="preserve"> however,</w:t>
      </w:r>
      <w:r>
        <w:rPr>
          <w:rFonts w:ascii="Garamond" w:hAnsi="Garamond"/>
        </w:rPr>
        <w:t xml:space="preserve"> VMG </w:t>
      </w:r>
      <w:r w:rsidR="00072F0A">
        <w:rPr>
          <w:rFonts w:ascii="Garamond" w:hAnsi="Garamond"/>
        </w:rPr>
        <w:t xml:space="preserve">has attempted to incorporate an estimate into its </w:t>
      </w:r>
      <w:r w:rsidR="00093D9C">
        <w:rPr>
          <w:rFonts w:ascii="Garamond" w:hAnsi="Garamond"/>
        </w:rPr>
        <w:t>analyses.</w:t>
      </w:r>
      <w:r>
        <w:rPr>
          <w:rFonts w:ascii="Garamond" w:hAnsi="Garamond"/>
        </w:rPr>
        <w:t xml:space="preserve"> </w:t>
      </w:r>
      <w:r w:rsidR="005024ED">
        <w:rPr>
          <w:rFonts w:ascii="Garamond" w:hAnsi="Garamond"/>
        </w:rPr>
        <w:t xml:space="preserve"> </w:t>
      </w:r>
      <w:r w:rsidR="007A1E81">
        <w:rPr>
          <w:rFonts w:ascii="Garamond" w:hAnsi="Garamond"/>
        </w:rPr>
        <w:t xml:space="preserve">The </w:t>
      </w:r>
      <w:r w:rsidR="00093D9C">
        <w:rPr>
          <w:rFonts w:ascii="Garamond" w:hAnsi="Garamond"/>
        </w:rPr>
        <w:t>Company’s</w:t>
      </w:r>
      <w:r w:rsidR="005024ED">
        <w:rPr>
          <w:rFonts w:ascii="Garamond" w:hAnsi="Garamond"/>
        </w:rPr>
        <w:t xml:space="preserve"> forecasts of the U-3 and U-4 CODs, and of Total Project Cost (TPC), had deviated substantially from VMG’s forecasts, </w:t>
      </w:r>
      <w:r w:rsidR="00D2051F">
        <w:rPr>
          <w:rFonts w:ascii="Garamond" w:hAnsi="Garamond"/>
        </w:rPr>
        <w:t xml:space="preserve">but </w:t>
      </w:r>
      <w:r w:rsidR="005024ED">
        <w:rPr>
          <w:rFonts w:ascii="Garamond" w:hAnsi="Garamond"/>
        </w:rPr>
        <w:t xml:space="preserve">the </w:t>
      </w:r>
      <w:r w:rsidR="00072F0A">
        <w:rPr>
          <w:rFonts w:ascii="Garamond" w:hAnsi="Garamond"/>
        </w:rPr>
        <w:t>C</w:t>
      </w:r>
      <w:r w:rsidR="005024ED">
        <w:rPr>
          <w:rFonts w:ascii="Garamond" w:hAnsi="Garamond"/>
        </w:rPr>
        <w:t xml:space="preserve">ompany’s </w:t>
      </w:r>
      <w:r w:rsidR="00D2051F">
        <w:rPr>
          <w:rFonts w:ascii="Garamond" w:hAnsi="Garamond"/>
        </w:rPr>
        <w:t xml:space="preserve">now </w:t>
      </w:r>
      <w:r w:rsidR="005024ED">
        <w:rPr>
          <w:rFonts w:ascii="Garamond" w:hAnsi="Garamond"/>
        </w:rPr>
        <w:t>reporting of “risk adjusted” CODs and TPC are starting to converge with VMG</w:t>
      </w:r>
      <w:r w:rsidR="00AA3626">
        <w:rPr>
          <w:rFonts w:ascii="Garamond" w:hAnsi="Garamond"/>
        </w:rPr>
        <w:t>’</w:t>
      </w:r>
      <w:r w:rsidR="005024ED">
        <w:rPr>
          <w:rFonts w:ascii="Garamond" w:hAnsi="Garamond"/>
        </w:rPr>
        <w:t xml:space="preserve">s forecasts.  </w:t>
      </w:r>
      <w:r w:rsidR="007A1E81">
        <w:rPr>
          <w:rFonts w:ascii="Garamond" w:hAnsi="Garamond"/>
        </w:rPr>
        <w:t xml:space="preserve">The </w:t>
      </w:r>
      <w:r w:rsidR="00093D9C">
        <w:rPr>
          <w:rFonts w:ascii="Garamond" w:hAnsi="Garamond"/>
        </w:rPr>
        <w:t xml:space="preserve">remaining differences, </w:t>
      </w:r>
      <w:r w:rsidR="009F03F8">
        <w:rPr>
          <w:rFonts w:ascii="Garamond" w:hAnsi="Garamond"/>
        </w:rPr>
        <w:t xml:space="preserve">can </w:t>
      </w:r>
      <w:r w:rsidR="00916A53">
        <w:rPr>
          <w:rFonts w:ascii="Garamond" w:hAnsi="Garamond"/>
        </w:rPr>
        <w:t xml:space="preserve">primarily </w:t>
      </w:r>
      <w:r w:rsidR="009F03F8">
        <w:rPr>
          <w:rFonts w:ascii="Garamond" w:hAnsi="Garamond"/>
        </w:rPr>
        <w:t xml:space="preserve">be attributed </w:t>
      </w:r>
      <w:r w:rsidR="00875EE5">
        <w:rPr>
          <w:rFonts w:ascii="Garamond" w:hAnsi="Garamond"/>
        </w:rPr>
        <w:t>to the following</w:t>
      </w:r>
      <w:r w:rsidR="00AA3626">
        <w:rPr>
          <w:rFonts w:ascii="Garamond" w:hAnsi="Garamond"/>
        </w:rPr>
        <w:t>:</w:t>
      </w:r>
      <w:r w:rsidR="009F03F8">
        <w:rPr>
          <w:rFonts w:ascii="Garamond" w:hAnsi="Garamond"/>
        </w:rPr>
        <w:t xml:space="preserve"> </w:t>
      </w:r>
    </w:p>
    <w:p w:rsidR="007C617C" w:rsidRDefault="007C617C" w:rsidP="007C617C">
      <w:pPr>
        <w:numPr>
          <w:ilvl w:val="0"/>
          <w:numId w:val="58"/>
        </w:numPr>
        <w:spacing w:line="480" w:lineRule="auto"/>
        <w:jc w:val="both"/>
        <w:rPr>
          <w:rFonts w:ascii="Garamond" w:hAnsi="Garamond"/>
        </w:rPr>
      </w:pPr>
      <w:r>
        <w:rPr>
          <w:rFonts w:ascii="Garamond" w:hAnsi="Garamond"/>
        </w:rPr>
        <w:t xml:space="preserve">For the </w:t>
      </w:r>
      <w:r w:rsidR="00875EE5">
        <w:rPr>
          <w:rFonts w:ascii="Garamond" w:hAnsi="Garamond"/>
        </w:rPr>
        <w:t>U-3</w:t>
      </w:r>
      <w:r>
        <w:rPr>
          <w:rFonts w:ascii="Garamond" w:hAnsi="Garamond"/>
        </w:rPr>
        <w:t xml:space="preserve"> COD</w:t>
      </w:r>
      <w:r w:rsidR="00875EE5">
        <w:rPr>
          <w:rFonts w:ascii="Garamond" w:hAnsi="Garamond"/>
        </w:rPr>
        <w:t xml:space="preserve">, </w:t>
      </w:r>
      <w:r w:rsidR="00E24696">
        <w:rPr>
          <w:rFonts w:ascii="Garamond" w:hAnsi="Garamond"/>
        </w:rPr>
        <w:t>th</w:t>
      </w:r>
      <w:r w:rsidR="00875EE5">
        <w:rPr>
          <w:rFonts w:ascii="Garamond" w:hAnsi="Garamond"/>
        </w:rPr>
        <w:t>e</w:t>
      </w:r>
      <w:r w:rsidR="00E24696">
        <w:rPr>
          <w:rFonts w:ascii="Garamond" w:hAnsi="Garamond"/>
        </w:rPr>
        <w:t xml:space="preserve"> </w:t>
      </w:r>
      <w:r w:rsidR="009F03F8">
        <w:rPr>
          <w:rFonts w:ascii="Garamond" w:hAnsi="Garamond"/>
        </w:rPr>
        <w:t xml:space="preserve">assumed </w:t>
      </w:r>
      <w:r w:rsidR="00195756">
        <w:rPr>
          <w:rFonts w:ascii="Garamond" w:hAnsi="Garamond"/>
        </w:rPr>
        <w:t xml:space="preserve">time </w:t>
      </w:r>
      <w:r w:rsidR="00E24696">
        <w:rPr>
          <w:rFonts w:ascii="Garamond" w:hAnsi="Garamond"/>
        </w:rPr>
        <w:t xml:space="preserve">duration </w:t>
      </w:r>
      <w:r w:rsidR="0038469C">
        <w:rPr>
          <w:rFonts w:ascii="Garamond" w:hAnsi="Garamond"/>
        </w:rPr>
        <w:t>between</w:t>
      </w:r>
      <w:r w:rsidR="00875EE5">
        <w:rPr>
          <w:rFonts w:ascii="Garamond" w:hAnsi="Garamond"/>
        </w:rPr>
        <w:t xml:space="preserve"> </w:t>
      </w:r>
      <w:r w:rsidR="005A7EC7">
        <w:rPr>
          <w:rFonts w:ascii="Garamond" w:hAnsi="Garamond"/>
        </w:rPr>
        <w:t>the Risk Adjusted Dates f</w:t>
      </w:r>
      <w:r w:rsidR="0038469C">
        <w:rPr>
          <w:rFonts w:ascii="Garamond" w:hAnsi="Garamond"/>
        </w:rPr>
        <w:t>or</w:t>
      </w:r>
      <w:r w:rsidR="005A7EC7">
        <w:rPr>
          <w:rFonts w:ascii="Garamond" w:hAnsi="Garamond"/>
        </w:rPr>
        <w:t xml:space="preserve"> the Start of </w:t>
      </w:r>
      <w:r w:rsidR="00E24696">
        <w:rPr>
          <w:rFonts w:ascii="Garamond" w:hAnsi="Garamond"/>
        </w:rPr>
        <w:t>Fuel Load</w:t>
      </w:r>
      <w:r w:rsidR="00875EE5">
        <w:rPr>
          <w:rFonts w:ascii="Garamond" w:hAnsi="Garamond"/>
        </w:rPr>
        <w:t xml:space="preserve"> to COD</w:t>
      </w:r>
      <w:r w:rsidR="00195756">
        <w:rPr>
          <w:rFonts w:ascii="Garamond" w:hAnsi="Garamond"/>
        </w:rPr>
        <w:t xml:space="preserve"> (discussed in more detail, later in this section)</w:t>
      </w:r>
      <w:r w:rsidR="00875EE5">
        <w:rPr>
          <w:rFonts w:ascii="Garamond" w:hAnsi="Garamond"/>
        </w:rPr>
        <w:t xml:space="preserve">,  </w:t>
      </w:r>
    </w:p>
    <w:p w:rsidR="007C617C" w:rsidRDefault="007C617C" w:rsidP="007C617C">
      <w:pPr>
        <w:numPr>
          <w:ilvl w:val="0"/>
          <w:numId w:val="58"/>
        </w:numPr>
        <w:spacing w:line="480" w:lineRule="auto"/>
        <w:jc w:val="both"/>
        <w:rPr>
          <w:rFonts w:ascii="Garamond" w:hAnsi="Garamond"/>
        </w:rPr>
      </w:pPr>
      <w:r>
        <w:rPr>
          <w:rFonts w:ascii="Garamond" w:hAnsi="Garamond"/>
        </w:rPr>
        <w:t xml:space="preserve">For the </w:t>
      </w:r>
      <w:r w:rsidR="00875EE5">
        <w:rPr>
          <w:rFonts w:ascii="Garamond" w:hAnsi="Garamond"/>
        </w:rPr>
        <w:t>U-4</w:t>
      </w:r>
      <w:r>
        <w:rPr>
          <w:rFonts w:ascii="Garamond" w:hAnsi="Garamond"/>
        </w:rPr>
        <w:t xml:space="preserve"> COD</w:t>
      </w:r>
      <w:r w:rsidR="00875EE5">
        <w:rPr>
          <w:rFonts w:ascii="Garamond" w:hAnsi="Garamond"/>
        </w:rPr>
        <w:t xml:space="preserve">, the assumed schedule lag from the U-3 </w:t>
      </w:r>
      <w:r w:rsidR="009F03F8">
        <w:rPr>
          <w:rFonts w:ascii="Garamond" w:hAnsi="Garamond"/>
        </w:rPr>
        <w:t>COD</w:t>
      </w:r>
      <w:r w:rsidR="00875EE5">
        <w:rPr>
          <w:rFonts w:ascii="Garamond" w:hAnsi="Garamond"/>
        </w:rPr>
        <w:t xml:space="preserve"> to the U-4 COD</w:t>
      </w:r>
      <w:r w:rsidR="00195756">
        <w:rPr>
          <w:rFonts w:ascii="Garamond" w:hAnsi="Garamond"/>
        </w:rPr>
        <w:t xml:space="preserve"> (discussed in more detail, later in this section)</w:t>
      </w:r>
      <w:r>
        <w:rPr>
          <w:rFonts w:ascii="Garamond" w:hAnsi="Garamond"/>
        </w:rPr>
        <w:t>, and</w:t>
      </w:r>
    </w:p>
    <w:p w:rsidR="007C617C" w:rsidRDefault="007C617C" w:rsidP="007C617C">
      <w:pPr>
        <w:numPr>
          <w:ilvl w:val="0"/>
          <w:numId w:val="58"/>
        </w:numPr>
        <w:spacing w:line="480" w:lineRule="auto"/>
        <w:jc w:val="both"/>
        <w:rPr>
          <w:rFonts w:ascii="Garamond" w:hAnsi="Garamond"/>
        </w:rPr>
      </w:pPr>
      <w:r>
        <w:rPr>
          <w:rFonts w:ascii="Garamond" w:hAnsi="Garamond"/>
        </w:rPr>
        <w:lastRenderedPageBreak/>
        <w:t xml:space="preserve">For the TPC EAC, the differences of assumed CODs (and resultant schedule delay costs; discussed in greater detail in the Cost Analysis Section). </w:t>
      </w:r>
    </w:p>
    <w:p w:rsidR="00313FC3" w:rsidRDefault="00313FC3" w:rsidP="00B07358">
      <w:pPr>
        <w:spacing w:line="480" w:lineRule="auto"/>
        <w:ind w:left="720" w:hanging="720"/>
        <w:jc w:val="both"/>
        <w:rPr>
          <w:rFonts w:ascii="Garamond" w:hAnsi="Garamond"/>
          <w:b/>
          <w:bCs/>
        </w:rPr>
      </w:pPr>
      <w:r>
        <w:rPr>
          <w:rFonts w:ascii="Garamond" w:hAnsi="Garamond"/>
          <w:b/>
          <w:bCs/>
        </w:rPr>
        <w:t>Q:</w:t>
      </w:r>
      <w:r>
        <w:rPr>
          <w:rFonts w:ascii="Garamond" w:hAnsi="Garamond"/>
          <w:b/>
          <w:bCs/>
        </w:rPr>
        <w:tab/>
      </w:r>
      <w:r w:rsidR="00CC4B40">
        <w:rPr>
          <w:rFonts w:ascii="Garamond" w:hAnsi="Garamond"/>
          <w:b/>
          <w:bCs/>
        </w:rPr>
        <w:t>WHAT ARE VMG’S PRIMARY CRITICISMS WITH THE COMPANY’S MEANS AND METHODS FOR DEVELOPING THEIR FORECASTS?</w:t>
      </w:r>
      <w:r w:rsidR="00747CBA">
        <w:rPr>
          <w:rFonts w:ascii="Garamond" w:hAnsi="Garamond"/>
          <w:b/>
          <w:bCs/>
        </w:rPr>
        <w:t xml:space="preserve"> </w:t>
      </w:r>
    </w:p>
    <w:p w:rsidR="00B807D2" w:rsidRDefault="00313FC3" w:rsidP="00195D5A">
      <w:pPr>
        <w:spacing w:line="480" w:lineRule="auto"/>
        <w:ind w:left="720" w:hanging="720"/>
        <w:jc w:val="both"/>
        <w:rPr>
          <w:rFonts w:ascii="Garamond" w:hAnsi="Garamond"/>
        </w:rPr>
      </w:pPr>
      <w:r>
        <w:rPr>
          <w:rFonts w:ascii="Garamond" w:hAnsi="Garamond"/>
        </w:rPr>
        <w:t>A:</w:t>
      </w:r>
      <w:r>
        <w:rPr>
          <w:rFonts w:ascii="Garamond" w:hAnsi="Garamond"/>
        </w:rPr>
        <w:tab/>
      </w:r>
      <w:r w:rsidR="00072A36">
        <w:rPr>
          <w:rFonts w:ascii="Garamond" w:hAnsi="Garamond"/>
        </w:rPr>
        <w:t xml:space="preserve">As </w:t>
      </w:r>
      <w:r w:rsidR="00CC4B40">
        <w:rPr>
          <w:rFonts w:ascii="Garamond" w:hAnsi="Garamond"/>
        </w:rPr>
        <w:t>VMG</w:t>
      </w:r>
      <w:r w:rsidR="00072A36">
        <w:rPr>
          <w:rFonts w:ascii="Garamond" w:hAnsi="Garamond"/>
        </w:rPr>
        <w:t xml:space="preserve"> ha</w:t>
      </w:r>
      <w:r w:rsidR="00CC4B40">
        <w:rPr>
          <w:rFonts w:ascii="Garamond" w:hAnsi="Garamond"/>
        </w:rPr>
        <w:t>s</w:t>
      </w:r>
      <w:r w:rsidR="00072A36">
        <w:rPr>
          <w:rFonts w:ascii="Garamond" w:hAnsi="Garamond"/>
        </w:rPr>
        <w:t xml:space="preserve"> </w:t>
      </w:r>
      <w:r w:rsidR="00CC4B40">
        <w:rPr>
          <w:rFonts w:ascii="Garamond" w:hAnsi="Garamond"/>
        </w:rPr>
        <w:t>stated</w:t>
      </w:r>
      <w:r w:rsidR="00072A36">
        <w:rPr>
          <w:rFonts w:ascii="Garamond" w:hAnsi="Garamond"/>
        </w:rPr>
        <w:t xml:space="preserve"> in past testimon</w:t>
      </w:r>
      <w:r w:rsidR="00CC4B40">
        <w:rPr>
          <w:rFonts w:ascii="Garamond" w:hAnsi="Garamond"/>
        </w:rPr>
        <w:t>ies</w:t>
      </w:r>
      <w:r w:rsidR="00072A36">
        <w:rPr>
          <w:rFonts w:ascii="Garamond" w:hAnsi="Garamond"/>
        </w:rPr>
        <w:t xml:space="preserve">, the </w:t>
      </w:r>
      <w:r w:rsidR="00CC4B40">
        <w:rPr>
          <w:rFonts w:ascii="Garamond" w:hAnsi="Garamond"/>
        </w:rPr>
        <w:t>C</w:t>
      </w:r>
      <w:r w:rsidR="00072A36">
        <w:rPr>
          <w:rFonts w:ascii="Garamond" w:hAnsi="Garamond"/>
        </w:rPr>
        <w:t xml:space="preserve">ompany’s prior forecasts of the U-3 and U-4 CODs </w:t>
      </w:r>
      <w:r w:rsidR="000B4B7D">
        <w:rPr>
          <w:rFonts w:ascii="Garamond" w:hAnsi="Garamond"/>
        </w:rPr>
        <w:t xml:space="preserve">have repeatedly been demonstrated to be unrealistic and unreliable.  </w:t>
      </w:r>
      <w:r w:rsidR="00072A36">
        <w:rPr>
          <w:rFonts w:ascii="Garamond" w:hAnsi="Garamond"/>
        </w:rPr>
        <w:t xml:space="preserve">Also, </w:t>
      </w:r>
      <w:r w:rsidR="00CC4B40">
        <w:rPr>
          <w:rFonts w:ascii="Garamond" w:hAnsi="Garamond"/>
        </w:rPr>
        <w:t>VMG</w:t>
      </w:r>
      <w:r w:rsidR="00072A36">
        <w:rPr>
          <w:rFonts w:ascii="Garamond" w:hAnsi="Garamond"/>
        </w:rPr>
        <w:t xml:space="preserve"> ha</w:t>
      </w:r>
      <w:r w:rsidR="00CC4B40">
        <w:rPr>
          <w:rFonts w:ascii="Garamond" w:hAnsi="Garamond"/>
        </w:rPr>
        <w:t>s</w:t>
      </w:r>
      <w:r w:rsidR="00072A36">
        <w:rPr>
          <w:rFonts w:ascii="Garamond" w:hAnsi="Garamond"/>
        </w:rPr>
        <w:t xml:space="preserve"> been critical of </w:t>
      </w:r>
      <w:r w:rsidR="00B72108">
        <w:rPr>
          <w:rFonts w:ascii="Garamond" w:hAnsi="Garamond"/>
        </w:rPr>
        <w:t xml:space="preserve">the potential consequences of </w:t>
      </w:r>
      <w:r w:rsidR="00916A53">
        <w:rPr>
          <w:rFonts w:ascii="Garamond" w:hAnsi="Garamond"/>
        </w:rPr>
        <w:t xml:space="preserve">the Company’s </w:t>
      </w:r>
      <w:r w:rsidR="00072A36">
        <w:rPr>
          <w:rFonts w:ascii="Garamond" w:hAnsi="Garamond"/>
        </w:rPr>
        <w:t xml:space="preserve">emphasis on </w:t>
      </w:r>
      <w:r w:rsidR="005A0322">
        <w:rPr>
          <w:rFonts w:ascii="Garamond" w:hAnsi="Garamond"/>
        </w:rPr>
        <w:t xml:space="preserve">pursuing an unrealistic </w:t>
      </w:r>
      <w:r w:rsidR="00072A36">
        <w:rPr>
          <w:rFonts w:ascii="Garamond" w:hAnsi="Garamond"/>
        </w:rPr>
        <w:t>schedule</w:t>
      </w:r>
      <w:r w:rsidR="006E62EC">
        <w:rPr>
          <w:rFonts w:ascii="Garamond" w:hAnsi="Garamond"/>
        </w:rPr>
        <w:t xml:space="preserve"> at any cost</w:t>
      </w:r>
      <w:r w:rsidR="00B72108">
        <w:rPr>
          <w:rFonts w:ascii="Garamond" w:hAnsi="Garamond"/>
        </w:rPr>
        <w:t xml:space="preserve">, and to this end have referenced the </w:t>
      </w:r>
      <w:r w:rsidR="00CC772F">
        <w:rPr>
          <w:rFonts w:ascii="Garamond" w:hAnsi="Garamond"/>
        </w:rPr>
        <w:t xml:space="preserve">INPO </w:t>
      </w:r>
      <w:r w:rsidR="00B72108">
        <w:rPr>
          <w:rFonts w:ascii="Garamond" w:hAnsi="Garamond"/>
        </w:rPr>
        <w:t xml:space="preserve">document titled “Principles for Excellence in Nuclear Project Construction”, Principle Number 4 titled “Schedules are Realistic and Understood.”  It is VMG’s </w:t>
      </w:r>
      <w:r w:rsidR="00916A53">
        <w:rPr>
          <w:rFonts w:ascii="Garamond" w:hAnsi="Garamond"/>
        </w:rPr>
        <w:t xml:space="preserve">assertion </w:t>
      </w:r>
      <w:r w:rsidR="00B72108">
        <w:rPr>
          <w:rFonts w:ascii="Garamond" w:hAnsi="Garamond"/>
        </w:rPr>
        <w:t xml:space="preserve">that </w:t>
      </w:r>
      <w:r w:rsidR="0044038E">
        <w:rPr>
          <w:rFonts w:ascii="Garamond" w:hAnsi="Garamond"/>
        </w:rPr>
        <w:t>the primary root c</w:t>
      </w:r>
      <w:r w:rsidR="00FD7F6E">
        <w:rPr>
          <w:rFonts w:ascii="Garamond" w:hAnsi="Garamond"/>
        </w:rPr>
        <w:t>aus</w:t>
      </w:r>
      <w:r w:rsidR="0044038E">
        <w:rPr>
          <w:rFonts w:ascii="Garamond" w:hAnsi="Garamond"/>
        </w:rPr>
        <w:t>e of the recently identified Construction Quality issues is due to SNC not</w:t>
      </w:r>
      <w:r w:rsidR="00B72108">
        <w:rPr>
          <w:rFonts w:ascii="Garamond" w:hAnsi="Garamond"/>
        </w:rPr>
        <w:t xml:space="preserve"> adhering to this </w:t>
      </w:r>
      <w:r w:rsidR="0089673E">
        <w:rPr>
          <w:rFonts w:ascii="Garamond" w:hAnsi="Garamond"/>
        </w:rPr>
        <w:t>principle.</w:t>
      </w:r>
      <w:r w:rsidR="00CC772F">
        <w:rPr>
          <w:rFonts w:ascii="Garamond" w:hAnsi="Garamond"/>
        </w:rPr>
        <w:t xml:space="preserve"> </w:t>
      </w:r>
      <w:r w:rsidR="00195756">
        <w:rPr>
          <w:rFonts w:ascii="Garamond" w:hAnsi="Garamond"/>
        </w:rPr>
        <w:t>Other factors that have contributed to Construction Quality Issues are noted in footnote 1 below.</w:t>
      </w:r>
      <w:r w:rsidR="00195756">
        <w:rPr>
          <w:rStyle w:val="FootnoteReference"/>
          <w:rFonts w:ascii="Garamond" w:hAnsi="Garamond"/>
        </w:rPr>
        <w:footnoteReference w:id="1"/>
      </w:r>
      <w:r w:rsidR="00195756" w:rsidRPr="00195756">
        <w:rPr>
          <w:rStyle w:val="FootnoteReference"/>
          <w:rFonts w:ascii="Garamond" w:hAnsi="Garamond"/>
        </w:rPr>
        <w:t xml:space="preserve"> </w:t>
      </w:r>
      <w:r w:rsidR="0044038E">
        <w:rPr>
          <w:rFonts w:ascii="Garamond" w:hAnsi="Garamond"/>
        </w:rPr>
        <w:t xml:space="preserve"> </w:t>
      </w:r>
      <w:r w:rsidR="00CC772F">
        <w:rPr>
          <w:rFonts w:ascii="Garamond" w:hAnsi="Garamond"/>
        </w:rPr>
        <w:t xml:space="preserve">These issues have then </w:t>
      </w:r>
      <w:r w:rsidR="00072A36">
        <w:rPr>
          <w:rFonts w:ascii="Garamond" w:hAnsi="Garamond"/>
        </w:rPr>
        <w:t xml:space="preserve">led to re-work </w:t>
      </w:r>
      <w:r w:rsidR="00CC772F">
        <w:rPr>
          <w:rFonts w:ascii="Garamond" w:hAnsi="Garamond"/>
        </w:rPr>
        <w:t xml:space="preserve">having to be added to an </w:t>
      </w:r>
      <w:r w:rsidR="00072A36">
        <w:rPr>
          <w:rFonts w:ascii="Garamond" w:hAnsi="Garamond"/>
        </w:rPr>
        <w:t xml:space="preserve">already overly compressed and complicated schedule.  </w:t>
      </w:r>
    </w:p>
    <w:p w:rsidR="00D95AC7" w:rsidRPr="00D95AC7" w:rsidRDefault="00B807D2" w:rsidP="00195D5A">
      <w:pPr>
        <w:spacing w:line="480" w:lineRule="auto"/>
        <w:ind w:left="720" w:hanging="720"/>
        <w:jc w:val="both"/>
        <w:rPr>
          <w:rFonts w:ascii="Garamond" w:hAnsi="Garamond"/>
        </w:rPr>
      </w:pPr>
      <w:r>
        <w:rPr>
          <w:rFonts w:ascii="Garamond" w:hAnsi="Garamond"/>
        </w:rPr>
        <w:tab/>
      </w:r>
      <w:r w:rsidR="005A0322">
        <w:rPr>
          <w:rFonts w:ascii="Garamond" w:hAnsi="Garamond"/>
        </w:rPr>
        <w:t xml:space="preserve">More recently, </w:t>
      </w:r>
      <w:r w:rsidR="00195756">
        <w:rPr>
          <w:rFonts w:ascii="Garamond" w:hAnsi="Garamond"/>
        </w:rPr>
        <w:t>however, the</w:t>
      </w:r>
      <w:r w:rsidR="005A0322">
        <w:rPr>
          <w:rFonts w:ascii="Garamond" w:hAnsi="Garamond"/>
        </w:rPr>
        <w:t xml:space="preserve"> </w:t>
      </w:r>
      <w:r w:rsidR="003F38C9">
        <w:rPr>
          <w:rFonts w:ascii="Garamond" w:hAnsi="Garamond"/>
        </w:rPr>
        <w:t>C</w:t>
      </w:r>
      <w:r w:rsidR="005A0322">
        <w:rPr>
          <w:rFonts w:ascii="Garamond" w:hAnsi="Garamond"/>
        </w:rPr>
        <w:t xml:space="preserve">ompany has continued to </w:t>
      </w:r>
      <w:r w:rsidR="003F38C9">
        <w:rPr>
          <w:rFonts w:ascii="Garamond" w:hAnsi="Garamond"/>
        </w:rPr>
        <w:t>schedule</w:t>
      </w:r>
      <w:r w:rsidR="005A0322">
        <w:rPr>
          <w:rFonts w:ascii="Garamond" w:hAnsi="Garamond"/>
        </w:rPr>
        <w:t xml:space="preserve"> not only early Site Working Schedule Milestone dates</w:t>
      </w:r>
      <w:r w:rsidR="00CC772F">
        <w:rPr>
          <w:rFonts w:ascii="Garamond" w:hAnsi="Garamond"/>
        </w:rPr>
        <w:t xml:space="preserve"> </w:t>
      </w:r>
      <w:r w:rsidR="005A0322">
        <w:rPr>
          <w:rFonts w:ascii="Garamond" w:hAnsi="Garamond"/>
        </w:rPr>
        <w:t xml:space="preserve">but is now also referring to later </w:t>
      </w:r>
      <w:r w:rsidR="00CE31AF">
        <w:rPr>
          <w:rFonts w:ascii="Garamond" w:hAnsi="Garamond"/>
        </w:rPr>
        <w:t xml:space="preserve">scheduled </w:t>
      </w:r>
      <w:r w:rsidR="005A0322">
        <w:rPr>
          <w:rFonts w:ascii="Garamond" w:hAnsi="Garamond"/>
        </w:rPr>
        <w:t xml:space="preserve">dates </w:t>
      </w:r>
      <w:r w:rsidR="00CC772F">
        <w:rPr>
          <w:rFonts w:ascii="Garamond" w:hAnsi="Garamond"/>
        </w:rPr>
        <w:t xml:space="preserve">for these same milestones </w:t>
      </w:r>
      <w:r w:rsidR="005A0322">
        <w:rPr>
          <w:rFonts w:ascii="Garamond" w:hAnsi="Garamond"/>
        </w:rPr>
        <w:t>which are referred to as “Risk Adjusted Dates”</w:t>
      </w:r>
      <w:r w:rsidR="003F38C9">
        <w:rPr>
          <w:rFonts w:ascii="Garamond" w:hAnsi="Garamond"/>
        </w:rPr>
        <w:t xml:space="preserve">, or </w:t>
      </w:r>
      <w:r w:rsidR="005A0322">
        <w:rPr>
          <w:rFonts w:ascii="Garamond" w:hAnsi="Garamond"/>
        </w:rPr>
        <w:t>“Target Dates.”   The</w:t>
      </w:r>
      <w:r w:rsidR="009017AF">
        <w:rPr>
          <w:rFonts w:ascii="Garamond" w:hAnsi="Garamond"/>
        </w:rPr>
        <w:t xml:space="preserve"> Site </w:t>
      </w:r>
      <w:r w:rsidR="009017AF">
        <w:rPr>
          <w:rFonts w:ascii="Garamond" w:hAnsi="Garamond"/>
        </w:rPr>
        <w:lastRenderedPageBreak/>
        <w:t>Working Schedule</w:t>
      </w:r>
      <w:r w:rsidR="005A0322">
        <w:rPr>
          <w:rFonts w:ascii="Garamond" w:hAnsi="Garamond"/>
        </w:rPr>
        <w:t xml:space="preserve"> dat</w:t>
      </w:r>
      <w:r w:rsidR="00E24696">
        <w:rPr>
          <w:rFonts w:ascii="Garamond" w:hAnsi="Garamond"/>
        </w:rPr>
        <w:t xml:space="preserve">es as forecast by the </w:t>
      </w:r>
      <w:r w:rsidR="003F38C9">
        <w:rPr>
          <w:rFonts w:ascii="Garamond" w:hAnsi="Garamond"/>
        </w:rPr>
        <w:t>C</w:t>
      </w:r>
      <w:r w:rsidR="00E24696">
        <w:rPr>
          <w:rFonts w:ascii="Garamond" w:hAnsi="Garamond"/>
        </w:rPr>
        <w:t xml:space="preserve">ompany in late October of this year, and indications of further </w:t>
      </w:r>
      <w:r w:rsidR="003F38C9">
        <w:rPr>
          <w:rFonts w:ascii="Garamond" w:hAnsi="Garamond"/>
        </w:rPr>
        <w:t>schedule delays</w:t>
      </w:r>
      <w:r w:rsidR="00E24696">
        <w:rPr>
          <w:rFonts w:ascii="Garamond" w:hAnsi="Garamond"/>
        </w:rPr>
        <w:t>,</w:t>
      </w:r>
      <w:r w:rsidR="005A0322">
        <w:rPr>
          <w:rFonts w:ascii="Garamond" w:hAnsi="Garamond"/>
        </w:rPr>
        <w:t xml:space="preserve"> are </w:t>
      </w:r>
      <w:r w:rsidR="00E24696">
        <w:rPr>
          <w:rFonts w:ascii="Garamond" w:hAnsi="Garamond"/>
        </w:rPr>
        <w:t>provided</w:t>
      </w:r>
      <w:r w:rsidR="005A0322">
        <w:rPr>
          <w:rFonts w:ascii="Garamond" w:hAnsi="Garamond"/>
        </w:rPr>
        <w:t xml:space="preserve"> in </w:t>
      </w:r>
      <w:r w:rsidR="009017AF">
        <w:rPr>
          <w:rFonts w:ascii="Garamond" w:hAnsi="Garamond"/>
        </w:rPr>
        <w:t xml:space="preserve">Table </w:t>
      </w:r>
      <w:r w:rsidR="00383CBD">
        <w:rPr>
          <w:rFonts w:ascii="Garamond" w:hAnsi="Garamond"/>
        </w:rPr>
        <w:t>TS</w:t>
      </w:r>
      <w:r w:rsidR="009017AF">
        <w:rPr>
          <w:rFonts w:ascii="Garamond" w:hAnsi="Garamond"/>
        </w:rPr>
        <w:t xml:space="preserve">-1 </w:t>
      </w:r>
      <w:r w:rsidR="005A0322">
        <w:rPr>
          <w:rFonts w:ascii="Garamond" w:hAnsi="Garamond"/>
        </w:rPr>
        <w:t>below</w:t>
      </w:r>
      <w:r w:rsidR="00BA19A8">
        <w:rPr>
          <w:rFonts w:ascii="Garamond" w:hAnsi="Garamond"/>
        </w:rPr>
        <w:t xml:space="preserve">.  </w:t>
      </w:r>
    </w:p>
    <w:p w:rsidR="00D739F3" w:rsidRPr="00D739F3" w:rsidRDefault="00D739F3" w:rsidP="00D739F3">
      <w:pPr>
        <w:spacing w:line="480" w:lineRule="auto"/>
        <w:ind w:left="720" w:hanging="720"/>
        <w:jc w:val="both"/>
        <w:rPr>
          <w:rFonts w:ascii="Garamond" w:hAnsi="Garamond"/>
        </w:rPr>
      </w:pPr>
    </w:p>
    <w:tbl>
      <w:tblPr>
        <w:tblW w:w="9710" w:type="dxa"/>
        <w:tblInd w:w="118" w:type="dxa"/>
        <w:tblLook w:val="04A0" w:firstRow="1" w:lastRow="0" w:firstColumn="1" w:lastColumn="0" w:noHBand="0" w:noVBand="1"/>
      </w:tblPr>
      <w:tblGrid>
        <w:gridCol w:w="1430"/>
        <w:gridCol w:w="1620"/>
        <w:gridCol w:w="1620"/>
        <w:gridCol w:w="5040"/>
      </w:tblGrid>
      <w:tr w:rsidR="00CF7B39" w:rsidTr="007E76A3">
        <w:trPr>
          <w:trHeight w:val="380"/>
        </w:trPr>
        <w:tc>
          <w:tcPr>
            <w:tcW w:w="9710" w:type="dxa"/>
            <w:gridSpan w:val="4"/>
            <w:tcBorders>
              <w:top w:val="single" w:sz="8" w:space="0" w:color="auto"/>
              <w:left w:val="single" w:sz="8" w:space="0" w:color="auto"/>
              <w:bottom w:val="nil"/>
              <w:right w:val="single" w:sz="8" w:space="0" w:color="000000"/>
            </w:tcBorders>
            <w:shd w:val="clear" w:color="auto" w:fill="auto"/>
            <w:noWrap/>
            <w:vAlign w:val="bottom"/>
            <w:hideMark/>
          </w:tcPr>
          <w:p w:rsidR="00CF7B39" w:rsidRDefault="00CF7B39">
            <w:pPr>
              <w:jc w:val="center"/>
              <w:rPr>
                <w:rFonts w:ascii="Calibri" w:hAnsi="Calibri" w:cs="Calibri"/>
                <w:b/>
                <w:bCs/>
                <w:color w:val="000000"/>
                <w:sz w:val="28"/>
                <w:szCs w:val="28"/>
              </w:rPr>
            </w:pPr>
            <w:r>
              <w:rPr>
                <w:rFonts w:ascii="Calibri" w:hAnsi="Calibri" w:cs="Calibri"/>
                <w:b/>
                <w:bCs/>
                <w:color w:val="000000"/>
                <w:sz w:val="28"/>
                <w:szCs w:val="28"/>
              </w:rPr>
              <w:t xml:space="preserve">Table </w:t>
            </w:r>
            <w:r w:rsidR="00383CBD">
              <w:rPr>
                <w:rFonts w:ascii="Calibri" w:hAnsi="Calibri" w:cs="Calibri"/>
                <w:b/>
                <w:bCs/>
                <w:color w:val="000000"/>
                <w:sz w:val="28"/>
                <w:szCs w:val="28"/>
              </w:rPr>
              <w:t>TS</w:t>
            </w:r>
            <w:r>
              <w:rPr>
                <w:rFonts w:ascii="Calibri" w:hAnsi="Calibri" w:cs="Calibri"/>
                <w:b/>
                <w:bCs/>
                <w:color w:val="000000"/>
                <w:sz w:val="28"/>
                <w:szCs w:val="28"/>
              </w:rPr>
              <w:t>-1</w:t>
            </w:r>
            <w:r w:rsidR="002E47AA">
              <w:rPr>
                <w:rFonts w:ascii="Calibri" w:hAnsi="Calibri" w:cs="Calibri"/>
                <w:b/>
                <w:bCs/>
                <w:color w:val="000000"/>
                <w:sz w:val="28"/>
                <w:szCs w:val="28"/>
              </w:rPr>
              <w:t>:</w:t>
            </w:r>
            <w:r>
              <w:rPr>
                <w:rFonts w:ascii="Calibri" w:hAnsi="Calibri" w:cs="Calibri"/>
                <w:b/>
                <w:bCs/>
                <w:color w:val="000000"/>
                <w:sz w:val="28"/>
                <w:szCs w:val="28"/>
              </w:rPr>
              <w:t xml:space="preserve"> Company's Forecast U-3 Schedule Milestone Dates</w:t>
            </w:r>
          </w:p>
        </w:tc>
      </w:tr>
      <w:tr w:rsidR="00CF7B39" w:rsidTr="007E76A3">
        <w:trPr>
          <w:trHeight w:val="680"/>
        </w:trPr>
        <w:tc>
          <w:tcPr>
            <w:tcW w:w="9710" w:type="dxa"/>
            <w:gridSpan w:val="4"/>
            <w:tcBorders>
              <w:top w:val="single" w:sz="8" w:space="0" w:color="auto"/>
              <w:left w:val="single" w:sz="8" w:space="0" w:color="auto"/>
              <w:bottom w:val="nil"/>
              <w:right w:val="single" w:sz="8" w:space="0" w:color="000000"/>
            </w:tcBorders>
            <w:shd w:val="clear" w:color="auto" w:fill="auto"/>
            <w:vAlign w:val="center"/>
            <w:hideMark/>
          </w:tcPr>
          <w:p w:rsidR="00CF7B39" w:rsidRDefault="00CF7B39">
            <w:pPr>
              <w:jc w:val="center"/>
              <w:rPr>
                <w:rFonts w:ascii="Calibri" w:hAnsi="Calibri" w:cs="Calibri"/>
                <w:b/>
                <w:bCs/>
                <w:color w:val="000000"/>
              </w:rPr>
            </w:pPr>
            <w:r>
              <w:rPr>
                <w:rFonts w:ascii="Calibri" w:hAnsi="Calibri" w:cs="Calibri"/>
                <w:b/>
                <w:bCs/>
                <w:color w:val="000000"/>
              </w:rPr>
              <w:t>DATA SOURCE:  COMPANY'S</w:t>
            </w:r>
            <w:r w:rsidR="00663008">
              <w:rPr>
                <w:rFonts w:ascii="Calibri" w:hAnsi="Calibri" w:cs="Calibri"/>
                <w:b/>
                <w:bCs/>
                <w:color w:val="000000"/>
              </w:rPr>
              <w:t xml:space="preserve"> VOGTLE </w:t>
            </w:r>
            <w:r>
              <w:rPr>
                <w:rFonts w:ascii="Calibri" w:hAnsi="Calibri" w:cs="Calibri"/>
                <w:b/>
                <w:bCs/>
                <w:color w:val="000000"/>
              </w:rPr>
              <w:t>MANAGEMENT BOARD REPORT DATED OCT 27, 2021</w:t>
            </w:r>
          </w:p>
        </w:tc>
      </w:tr>
      <w:tr w:rsidR="00CF7B39" w:rsidTr="007E76A3">
        <w:trPr>
          <w:trHeight w:val="320"/>
        </w:trPr>
        <w:tc>
          <w:tcPr>
            <w:tcW w:w="1430" w:type="dxa"/>
            <w:vMerge w:val="restart"/>
            <w:tcBorders>
              <w:top w:val="single" w:sz="4" w:space="0" w:color="auto"/>
              <w:left w:val="single" w:sz="8" w:space="0" w:color="auto"/>
              <w:bottom w:val="single" w:sz="4" w:space="0" w:color="auto"/>
              <w:right w:val="single" w:sz="4" w:space="0" w:color="auto"/>
            </w:tcBorders>
            <w:shd w:val="clear" w:color="auto" w:fill="auto"/>
            <w:vAlign w:val="bottom"/>
            <w:hideMark/>
          </w:tcPr>
          <w:p w:rsidR="00CF7B39" w:rsidRDefault="00CF7B39">
            <w:pPr>
              <w:jc w:val="center"/>
              <w:rPr>
                <w:rFonts w:ascii="Calibri" w:hAnsi="Calibri" w:cs="Calibri"/>
                <w:color w:val="000000"/>
              </w:rPr>
            </w:pPr>
            <w:r>
              <w:rPr>
                <w:rFonts w:ascii="Calibri" w:hAnsi="Calibri" w:cs="Calibri"/>
                <w:color w:val="000000"/>
              </w:rPr>
              <w:t>Schedule Milestone</w:t>
            </w:r>
          </w:p>
        </w:tc>
        <w:tc>
          <w:tcPr>
            <w:tcW w:w="3240" w:type="dxa"/>
            <w:gridSpan w:val="2"/>
            <w:tcBorders>
              <w:top w:val="single" w:sz="4" w:space="0" w:color="auto"/>
              <w:left w:val="nil"/>
              <w:bottom w:val="single" w:sz="4" w:space="0" w:color="auto"/>
              <w:right w:val="single" w:sz="4" w:space="0" w:color="auto"/>
            </w:tcBorders>
            <w:shd w:val="clear" w:color="auto" w:fill="auto"/>
            <w:noWrap/>
            <w:vAlign w:val="bottom"/>
            <w:hideMark/>
          </w:tcPr>
          <w:p w:rsidR="00CF7B39" w:rsidRDefault="00CF7B39">
            <w:pPr>
              <w:jc w:val="center"/>
              <w:rPr>
                <w:rFonts w:ascii="Calibri" w:hAnsi="Calibri" w:cs="Calibri"/>
                <w:color w:val="000000"/>
              </w:rPr>
            </w:pPr>
            <w:r>
              <w:rPr>
                <w:rFonts w:ascii="Calibri" w:hAnsi="Calibri" w:cs="Calibri"/>
                <w:color w:val="000000"/>
              </w:rPr>
              <w:t>Dates</w:t>
            </w:r>
          </w:p>
        </w:tc>
        <w:tc>
          <w:tcPr>
            <w:tcW w:w="5040" w:type="dxa"/>
            <w:vMerge w:val="restart"/>
            <w:tcBorders>
              <w:top w:val="single" w:sz="4" w:space="0" w:color="auto"/>
              <w:left w:val="single" w:sz="4" w:space="0" w:color="auto"/>
              <w:bottom w:val="single" w:sz="4" w:space="0" w:color="auto"/>
              <w:right w:val="single" w:sz="8" w:space="0" w:color="auto"/>
            </w:tcBorders>
            <w:shd w:val="clear" w:color="auto" w:fill="auto"/>
            <w:vAlign w:val="bottom"/>
            <w:hideMark/>
          </w:tcPr>
          <w:p w:rsidR="00CF7B39" w:rsidRDefault="00CF7B39">
            <w:pPr>
              <w:jc w:val="center"/>
              <w:rPr>
                <w:rFonts w:ascii="Calibri" w:hAnsi="Calibri" w:cs="Calibri"/>
                <w:color w:val="000000"/>
              </w:rPr>
            </w:pPr>
            <w:r>
              <w:rPr>
                <w:rFonts w:ascii="Calibri" w:hAnsi="Calibri" w:cs="Calibri"/>
                <w:color w:val="000000"/>
              </w:rPr>
              <w:t>Remarks</w:t>
            </w:r>
          </w:p>
        </w:tc>
      </w:tr>
      <w:tr w:rsidR="00CF7B39" w:rsidTr="007E76A3">
        <w:trPr>
          <w:trHeight w:val="1020"/>
        </w:trPr>
        <w:tc>
          <w:tcPr>
            <w:tcW w:w="1430" w:type="dxa"/>
            <w:vMerge/>
            <w:tcBorders>
              <w:top w:val="single" w:sz="4" w:space="0" w:color="auto"/>
              <w:left w:val="single" w:sz="8" w:space="0" w:color="auto"/>
              <w:bottom w:val="single" w:sz="4" w:space="0" w:color="auto"/>
              <w:right w:val="single" w:sz="4" w:space="0" w:color="auto"/>
            </w:tcBorders>
            <w:vAlign w:val="center"/>
            <w:hideMark/>
          </w:tcPr>
          <w:p w:rsidR="00CF7B39" w:rsidRDefault="00CF7B39">
            <w:pPr>
              <w:rPr>
                <w:rFonts w:ascii="Calibri" w:hAnsi="Calibri" w:cs="Calibri"/>
                <w:color w:val="000000"/>
              </w:rPr>
            </w:pPr>
          </w:p>
        </w:tc>
        <w:tc>
          <w:tcPr>
            <w:tcW w:w="1620" w:type="dxa"/>
            <w:tcBorders>
              <w:top w:val="nil"/>
              <w:left w:val="nil"/>
              <w:bottom w:val="single" w:sz="4" w:space="0" w:color="auto"/>
              <w:right w:val="single" w:sz="4" w:space="0" w:color="auto"/>
            </w:tcBorders>
            <w:shd w:val="clear" w:color="auto" w:fill="auto"/>
            <w:vAlign w:val="bottom"/>
            <w:hideMark/>
          </w:tcPr>
          <w:p w:rsidR="00CF7B39" w:rsidRDefault="00CF7B39">
            <w:pPr>
              <w:jc w:val="center"/>
              <w:rPr>
                <w:rFonts w:ascii="Calibri" w:hAnsi="Calibri" w:cs="Calibri"/>
                <w:color w:val="000000"/>
              </w:rPr>
            </w:pPr>
            <w:r>
              <w:rPr>
                <w:rFonts w:ascii="Calibri" w:hAnsi="Calibri" w:cs="Calibri"/>
                <w:color w:val="000000"/>
              </w:rPr>
              <w:t>Site Working Schedule</w:t>
            </w:r>
            <w:r w:rsidR="00D6139A">
              <w:rPr>
                <w:rFonts w:ascii="Calibri" w:hAnsi="Calibri" w:cs="Calibri"/>
                <w:color w:val="000000"/>
              </w:rPr>
              <w:t xml:space="preserve"> as of 10/27/2021</w:t>
            </w:r>
          </w:p>
        </w:tc>
        <w:tc>
          <w:tcPr>
            <w:tcW w:w="1620" w:type="dxa"/>
            <w:tcBorders>
              <w:top w:val="nil"/>
              <w:left w:val="nil"/>
              <w:bottom w:val="single" w:sz="4" w:space="0" w:color="auto"/>
              <w:right w:val="single" w:sz="4" w:space="0" w:color="auto"/>
            </w:tcBorders>
            <w:shd w:val="clear" w:color="auto" w:fill="auto"/>
            <w:vAlign w:val="bottom"/>
            <w:hideMark/>
          </w:tcPr>
          <w:p w:rsidR="00CF7B39" w:rsidRDefault="00D6139A" w:rsidP="00195756">
            <w:pPr>
              <w:rPr>
                <w:rFonts w:ascii="Calibri" w:hAnsi="Calibri" w:cs="Calibri"/>
                <w:color w:val="000000"/>
              </w:rPr>
            </w:pPr>
            <w:r>
              <w:rPr>
                <w:rFonts w:ascii="Calibri" w:hAnsi="Calibri" w:cs="Calibri"/>
                <w:color w:val="000000"/>
              </w:rPr>
              <w:t>Site Working Schedule as of 11/10/2021</w:t>
            </w:r>
          </w:p>
        </w:tc>
        <w:tc>
          <w:tcPr>
            <w:tcW w:w="5040" w:type="dxa"/>
            <w:vMerge/>
            <w:tcBorders>
              <w:top w:val="single" w:sz="4" w:space="0" w:color="auto"/>
              <w:left w:val="single" w:sz="4" w:space="0" w:color="auto"/>
              <w:bottom w:val="single" w:sz="4" w:space="0" w:color="auto"/>
              <w:right w:val="single" w:sz="8" w:space="0" w:color="auto"/>
            </w:tcBorders>
            <w:vAlign w:val="center"/>
            <w:hideMark/>
          </w:tcPr>
          <w:p w:rsidR="00CF7B39" w:rsidRDefault="00CF7B39">
            <w:pPr>
              <w:rPr>
                <w:rFonts w:ascii="Calibri" w:hAnsi="Calibri" w:cs="Calibri"/>
                <w:color w:val="000000"/>
              </w:rPr>
            </w:pPr>
          </w:p>
        </w:tc>
      </w:tr>
      <w:tr w:rsidR="00CF7B39" w:rsidTr="007E76A3">
        <w:trPr>
          <w:trHeight w:val="580"/>
        </w:trPr>
        <w:tc>
          <w:tcPr>
            <w:tcW w:w="1430" w:type="dxa"/>
            <w:tcBorders>
              <w:top w:val="nil"/>
              <w:left w:val="single" w:sz="8" w:space="0" w:color="auto"/>
              <w:bottom w:val="single" w:sz="4" w:space="0" w:color="auto"/>
              <w:right w:val="single" w:sz="4" w:space="0" w:color="auto"/>
            </w:tcBorders>
            <w:shd w:val="clear" w:color="auto" w:fill="auto"/>
            <w:vAlign w:val="bottom"/>
            <w:hideMark/>
          </w:tcPr>
          <w:p w:rsidR="00CF7B39" w:rsidRDefault="00CF7B39">
            <w:pPr>
              <w:jc w:val="center"/>
              <w:rPr>
                <w:rFonts w:ascii="Calibri" w:hAnsi="Calibri" w:cs="Calibri"/>
                <w:color w:val="000000"/>
              </w:rPr>
            </w:pPr>
            <w:r>
              <w:rPr>
                <w:rFonts w:ascii="Calibri" w:hAnsi="Calibri" w:cs="Calibri"/>
                <w:color w:val="000000"/>
              </w:rPr>
              <w:t>NRC 103.g. Letter</w:t>
            </w:r>
          </w:p>
        </w:tc>
        <w:tc>
          <w:tcPr>
            <w:tcW w:w="1620" w:type="dxa"/>
            <w:tcBorders>
              <w:top w:val="nil"/>
              <w:left w:val="nil"/>
              <w:bottom w:val="single" w:sz="4" w:space="0" w:color="auto"/>
              <w:right w:val="single" w:sz="4" w:space="0" w:color="auto"/>
            </w:tcBorders>
            <w:shd w:val="clear" w:color="auto" w:fill="auto"/>
            <w:noWrap/>
            <w:vAlign w:val="bottom"/>
            <w:hideMark/>
          </w:tcPr>
          <w:p w:rsidR="00CF7B39" w:rsidRDefault="00CF7B39">
            <w:pPr>
              <w:jc w:val="center"/>
              <w:rPr>
                <w:rFonts w:ascii="Calibri" w:hAnsi="Calibri" w:cs="Calibri"/>
                <w:color w:val="000000"/>
              </w:rPr>
            </w:pPr>
            <w:r>
              <w:rPr>
                <w:rFonts w:ascii="Calibri" w:hAnsi="Calibri" w:cs="Calibri"/>
                <w:color w:val="000000"/>
              </w:rPr>
              <w:t>Dec 6, 2021</w:t>
            </w:r>
          </w:p>
        </w:tc>
        <w:tc>
          <w:tcPr>
            <w:tcW w:w="1620" w:type="dxa"/>
            <w:tcBorders>
              <w:top w:val="nil"/>
              <w:left w:val="nil"/>
              <w:bottom w:val="single" w:sz="4" w:space="0" w:color="auto"/>
              <w:right w:val="single" w:sz="4" w:space="0" w:color="auto"/>
            </w:tcBorders>
            <w:shd w:val="clear" w:color="auto" w:fill="auto"/>
            <w:noWrap/>
            <w:vAlign w:val="bottom"/>
            <w:hideMark/>
          </w:tcPr>
          <w:p w:rsidR="00CF7B39" w:rsidRDefault="00D6139A">
            <w:pPr>
              <w:rPr>
                <w:rFonts w:ascii="Calibri" w:hAnsi="Calibri" w:cs="Calibri"/>
                <w:color w:val="000000"/>
              </w:rPr>
            </w:pPr>
            <w:r>
              <w:rPr>
                <w:rFonts w:ascii="Calibri" w:hAnsi="Calibri" w:cs="Calibri"/>
                <w:color w:val="000000"/>
              </w:rPr>
              <w:t>Jan 27, 2022</w:t>
            </w:r>
          </w:p>
        </w:tc>
        <w:tc>
          <w:tcPr>
            <w:tcW w:w="5040" w:type="dxa"/>
            <w:tcBorders>
              <w:top w:val="nil"/>
              <w:left w:val="single" w:sz="4" w:space="0" w:color="auto"/>
              <w:bottom w:val="single" w:sz="4" w:space="0" w:color="000000"/>
              <w:right w:val="single" w:sz="8" w:space="0" w:color="auto"/>
            </w:tcBorders>
            <w:shd w:val="clear" w:color="auto" w:fill="auto"/>
            <w:vAlign w:val="bottom"/>
            <w:hideMark/>
          </w:tcPr>
          <w:p w:rsidR="00CF7B39" w:rsidRDefault="00083BB2" w:rsidP="00EB1D6A">
            <w:pPr>
              <w:jc w:val="both"/>
              <w:rPr>
                <w:rFonts w:ascii="Calibri" w:hAnsi="Calibri" w:cs="Calibri"/>
                <w:color w:val="000000"/>
              </w:rPr>
            </w:pPr>
            <w:r>
              <w:rPr>
                <w:rFonts w:ascii="Calibri" w:hAnsi="Calibri" w:cs="Calibri"/>
                <w:color w:val="000000"/>
              </w:rPr>
              <w:t xml:space="preserve">In a period of 2 </w:t>
            </w:r>
            <w:r w:rsidR="00195756">
              <w:rPr>
                <w:rFonts w:ascii="Calibri" w:hAnsi="Calibri" w:cs="Calibri"/>
                <w:color w:val="000000"/>
              </w:rPr>
              <w:t>weeks</w:t>
            </w:r>
            <w:r w:rsidR="007201A4">
              <w:rPr>
                <w:rFonts w:ascii="Calibri" w:hAnsi="Calibri" w:cs="Calibri"/>
                <w:color w:val="000000"/>
              </w:rPr>
              <w:t>,</w:t>
            </w:r>
            <w:r w:rsidR="00195756">
              <w:rPr>
                <w:rFonts w:ascii="Calibri" w:hAnsi="Calibri" w:cs="Calibri"/>
                <w:color w:val="000000"/>
              </w:rPr>
              <w:t xml:space="preserve"> the</w:t>
            </w:r>
            <w:r>
              <w:rPr>
                <w:rFonts w:ascii="Calibri" w:hAnsi="Calibri" w:cs="Calibri"/>
                <w:color w:val="000000"/>
              </w:rPr>
              <w:t xml:space="preserve"> Dec 6</w:t>
            </w:r>
            <w:r w:rsidRPr="00083BB2">
              <w:rPr>
                <w:rFonts w:ascii="Calibri" w:hAnsi="Calibri" w:cs="Calibri"/>
                <w:color w:val="000000"/>
                <w:vertAlign w:val="superscript"/>
              </w:rPr>
              <w:t>th</w:t>
            </w:r>
            <w:r>
              <w:rPr>
                <w:rFonts w:ascii="Calibri" w:hAnsi="Calibri" w:cs="Calibri"/>
                <w:color w:val="000000"/>
              </w:rPr>
              <w:t xml:space="preserve"> date</w:t>
            </w:r>
            <w:r w:rsidR="001565EF">
              <w:rPr>
                <w:rStyle w:val="FootnoteReference"/>
                <w:rFonts w:ascii="Calibri" w:hAnsi="Calibri" w:cs="Calibri"/>
                <w:color w:val="000000"/>
              </w:rPr>
              <w:footnoteReference w:id="2"/>
            </w:r>
            <w:r>
              <w:rPr>
                <w:rFonts w:ascii="Calibri" w:hAnsi="Calibri" w:cs="Calibri"/>
                <w:color w:val="000000"/>
              </w:rPr>
              <w:t xml:space="preserve"> </w:t>
            </w:r>
            <w:r w:rsidR="00CE31AF">
              <w:rPr>
                <w:rFonts w:ascii="Calibri" w:hAnsi="Calibri" w:cs="Calibri"/>
                <w:color w:val="000000"/>
              </w:rPr>
              <w:t>ha</w:t>
            </w:r>
            <w:r w:rsidR="00A07D52">
              <w:rPr>
                <w:rFonts w:ascii="Calibri" w:hAnsi="Calibri" w:cs="Calibri"/>
                <w:color w:val="000000"/>
              </w:rPr>
              <w:t>d</w:t>
            </w:r>
            <w:r>
              <w:rPr>
                <w:rFonts w:ascii="Calibri" w:hAnsi="Calibri" w:cs="Calibri"/>
                <w:color w:val="000000"/>
              </w:rPr>
              <w:t xml:space="preserve"> slipped </w:t>
            </w:r>
            <w:r w:rsidR="007E76A3">
              <w:rPr>
                <w:rFonts w:ascii="Calibri" w:hAnsi="Calibri" w:cs="Calibri"/>
                <w:color w:val="000000"/>
              </w:rPr>
              <w:t>to</w:t>
            </w:r>
            <w:r>
              <w:rPr>
                <w:rFonts w:ascii="Calibri" w:hAnsi="Calibri" w:cs="Calibri"/>
                <w:color w:val="000000"/>
              </w:rPr>
              <w:t xml:space="preserve"> Jan </w:t>
            </w:r>
            <w:r w:rsidR="00E24696">
              <w:rPr>
                <w:rFonts w:ascii="Calibri" w:hAnsi="Calibri" w:cs="Calibri"/>
                <w:color w:val="000000"/>
              </w:rPr>
              <w:t>27</w:t>
            </w:r>
            <w:r w:rsidR="007E76A3">
              <w:rPr>
                <w:rFonts w:ascii="Calibri" w:hAnsi="Calibri" w:cs="Calibri"/>
                <w:color w:val="000000"/>
              </w:rPr>
              <w:t>, 2022.</w:t>
            </w:r>
          </w:p>
        </w:tc>
      </w:tr>
      <w:tr w:rsidR="00CF7B39" w:rsidTr="002269DA">
        <w:trPr>
          <w:trHeight w:val="782"/>
        </w:trPr>
        <w:tc>
          <w:tcPr>
            <w:tcW w:w="1430" w:type="dxa"/>
            <w:tcBorders>
              <w:top w:val="nil"/>
              <w:left w:val="single" w:sz="8" w:space="0" w:color="auto"/>
              <w:bottom w:val="single" w:sz="4" w:space="0" w:color="auto"/>
              <w:right w:val="single" w:sz="4" w:space="0" w:color="auto"/>
            </w:tcBorders>
            <w:shd w:val="clear" w:color="auto" w:fill="auto"/>
            <w:vAlign w:val="bottom"/>
            <w:hideMark/>
          </w:tcPr>
          <w:p w:rsidR="00CF7B39" w:rsidRDefault="00CF7B39">
            <w:pPr>
              <w:jc w:val="center"/>
              <w:rPr>
                <w:rFonts w:ascii="Calibri" w:hAnsi="Calibri" w:cs="Calibri"/>
                <w:color w:val="000000"/>
              </w:rPr>
            </w:pPr>
            <w:r>
              <w:rPr>
                <w:rFonts w:ascii="Calibri" w:hAnsi="Calibri" w:cs="Calibri"/>
                <w:color w:val="000000"/>
              </w:rPr>
              <w:t>Start of Fuel Load</w:t>
            </w:r>
          </w:p>
        </w:tc>
        <w:tc>
          <w:tcPr>
            <w:tcW w:w="1620" w:type="dxa"/>
            <w:tcBorders>
              <w:top w:val="nil"/>
              <w:left w:val="nil"/>
              <w:bottom w:val="single" w:sz="4" w:space="0" w:color="auto"/>
              <w:right w:val="single" w:sz="4" w:space="0" w:color="auto"/>
            </w:tcBorders>
            <w:shd w:val="clear" w:color="auto" w:fill="auto"/>
            <w:noWrap/>
            <w:vAlign w:val="bottom"/>
            <w:hideMark/>
          </w:tcPr>
          <w:p w:rsidR="00CF7B39" w:rsidRDefault="00CF7B39">
            <w:pPr>
              <w:jc w:val="center"/>
              <w:rPr>
                <w:rFonts w:ascii="Calibri" w:hAnsi="Calibri" w:cs="Calibri"/>
                <w:color w:val="000000"/>
              </w:rPr>
            </w:pPr>
            <w:r>
              <w:rPr>
                <w:rFonts w:ascii="Calibri" w:hAnsi="Calibri" w:cs="Calibri"/>
                <w:color w:val="000000"/>
              </w:rPr>
              <w:t>Jan 11, 2022</w:t>
            </w:r>
          </w:p>
        </w:tc>
        <w:tc>
          <w:tcPr>
            <w:tcW w:w="1620" w:type="dxa"/>
            <w:tcBorders>
              <w:top w:val="nil"/>
              <w:left w:val="nil"/>
              <w:bottom w:val="single" w:sz="4" w:space="0" w:color="auto"/>
              <w:right w:val="single" w:sz="4" w:space="0" w:color="auto"/>
            </w:tcBorders>
            <w:shd w:val="clear" w:color="auto" w:fill="auto"/>
            <w:noWrap/>
            <w:vAlign w:val="bottom"/>
            <w:hideMark/>
          </w:tcPr>
          <w:p w:rsidR="00CF7B39" w:rsidRDefault="00D6139A">
            <w:pPr>
              <w:rPr>
                <w:rFonts w:ascii="Calibri" w:hAnsi="Calibri" w:cs="Calibri"/>
                <w:color w:val="000000"/>
              </w:rPr>
            </w:pPr>
            <w:r>
              <w:rPr>
                <w:rFonts w:ascii="Calibri" w:hAnsi="Calibri" w:cs="Calibri"/>
                <w:color w:val="000000"/>
              </w:rPr>
              <w:t>Jan 31, 2022</w:t>
            </w:r>
          </w:p>
        </w:tc>
        <w:tc>
          <w:tcPr>
            <w:tcW w:w="5040" w:type="dxa"/>
            <w:tcBorders>
              <w:top w:val="nil"/>
              <w:left w:val="single" w:sz="4" w:space="0" w:color="auto"/>
              <w:bottom w:val="single" w:sz="4" w:space="0" w:color="auto"/>
              <w:right w:val="single" w:sz="8" w:space="0" w:color="auto"/>
            </w:tcBorders>
            <w:shd w:val="clear" w:color="auto" w:fill="auto"/>
            <w:vAlign w:val="center"/>
            <w:hideMark/>
          </w:tcPr>
          <w:p w:rsidR="00CF7B39" w:rsidRDefault="00D6139A">
            <w:pPr>
              <w:rPr>
                <w:rFonts w:ascii="Calibri" w:hAnsi="Calibri" w:cs="Calibri"/>
                <w:color w:val="000000"/>
              </w:rPr>
            </w:pPr>
            <w:r>
              <w:rPr>
                <w:rFonts w:ascii="Calibri" w:hAnsi="Calibri" w:cs="Calibri"/>
                <w:color w:val="000000"/>
              </w:rPr>
              <w:t>In a period of 2 weeks</w:t>
            </w:r>
            <w:r w:rsidR="007201A4">
              <w:rPr>
                <w:rFonts w:ascii="Calibri" w:hAnsi="Calibri" w:cs="Calibri"/>
                <w:color w:val="000000"/>
              </w:rPr>
              <w:t>,</w:t>
            </w:r>
            <w:r>
              <w:rPr>
                <w:rFonts w:ascii="Calibri" w:hAnsi="Calibri" w:cs="Calibri"/>
                <w:color w:val="000000"/>
              </w:rPr>
              <w:t xml:space="preserve"> t</w:t>
            </w:r>
            <w:r w:rsidR="00E24696">
              <w:rPr>
                <w:rFonts w:ascii="Calibri" w:hAnsi="Calibri" w:cs="Calibri"/>
                <w:color w:val="000000"/>
              </w:rPr>
              <w:t>he Jan 11</w:t>
            </w:r>
            <w:r w:rsidR="00E24696" w:rsidRPr="00E24696">
              <w:rPr>
                <w:rFonts w:ascii="Calibri" w:hAnsi="Calibri" w:cs="Calibri"/>
                <w:color w:val="000000"/>
                <w:vertAlign w:val="superscript"/>
              </w:rPr>
              <w:t>th</w:t>
            </w:r>
            <w:r w:rsidR="00E24696">
              <w:rPr>
                <w:rFonts w:ascii="Calibri" w:hAnsi="Calibri" w:cs="Calibri"/>
                <w:color w:val="000000"/>
              </w:rPr>
              <w:t xml:space="preserve"> date </w:t>
            </w:r>
            <w:r w:rsidR="00EB1D6A">
              <w:rPr>
                <w:rFonts w:ascii="Calibri" w:hAnsi="Calibri" w:cs="Calibri"/>
                <w:color w:val="000000"/>
              </w:rPr>
              <w:t>ha</w:t>
            </w:r>
            <w:r w:rsidR="00A07D52">
              <w:rPr>
                <w:rFonts w:ascii="Calibri" w:hAnsi="Calibri" w:cs="Calibri"/>
                <w:color w:val="000000"/>
              </w:rPr>
              <w:t>d</w:t>
            </w:r>
            <w:r w:rsidR="00EB1D6A">
              <w:rPr>
                <w:rFonts w:ascii="Calibri" w:hAnsi="Calibri" w:cs="Calibri"/>
                <w:color w:val="000000"/>
              </w:rPr>
              <w:t xml:space="preserve"> </w:t>
            </w:r>
            <w:r w:rsidR="007E76A3">
              <w:rPr>
                <w:rFonts w:ascii="Calibri" w:hAnsi="Calibri" w:cs="Calibri"/>
                <w:color w:val="000000"/>
              </w:rPr>
              <w:t xml:space="preserve">slipped to Jan </w:t>
            </w:r>
            <w:r w:rsidR="00E24696">
              <w:rPr>
                <w:rFonts w:ascii="Calibri" w:hAnsi="Calibri" w:cs="Calibri"/>
                <w:color w:val="000000"/>
              </w:rPr>
              <w:t>31</w:t>
            </w:r>
            <w:r w:rsidR="007E76A3">
              <w:rPr>
                <w:rFonts w:ascii="Calibri" w:hAnsi="Calibri" w:cs="Calibri"/>
                <w:color w:val="000000"/>
              </w:rPr>
              <w:t>, 2022</w:t>
            </w:r>
            <w:r w:rsidR="00083BB2">
              <w:rPr>
                <w:rFonts w:ascii="Calibri" w:hAnsi="Calibri" w:cs="Calibri"/>
                <w:color w:val="000000"/>
              </w:rPr>
              <w:t>.</w:t>
            </w:r>
            <w:r w:rsidR="001565EF">
              <w:rPr>
                <w:rFonts w:ascii="Calibri" w:hAnsi="Calibri" w:cs="Calibri"/>
                <w:color w:val="000000"/>
                <w:vertAlign w:val="superscript"/>
              </w:rPr>
              <w:t>3</w:t>
            </w:r>
            <w:r w:rsidR="00083BB2">
              <w:rPr>
                <w:rFonts w:ascii="Calibri" w:hAnsi="Calibri" w:cs="Calibri"/>
                <w:color w:val="000000"/>
              </w:rPr>
              <w:t xml:space="preserve"> </w:t>
            </w:r>
          </w:p>
        </w:tc>
      </w:tr>
      <w:tr w:rsidR="00CF7B39" w:rsidTr="007E76A3">
        <w:trPr>
          <w:trHeight w:val="360"/>
        </w:trPr>
        <w:tc>
          <w:tcPr>
            <w:tcW w:w="14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F7B39" w:rsidRDefault="00CF7B39">
            <w:pPr>
              <w:jc w:val="center"/>
              <w:rPr>
                <w:rFonts w:ascii="Calibri" w:hAnsi="Calibri" w:cs="Calibri"/>
                <w:color w:val="000000"/>
              </w:rPr>
            </w:pPr>
            <w:r>
              <w:rPr>
                <w:rFonts w:ascii="Calibri" w:hAnsi="Calibri" w:cs="Calibri"/>
                <w:color w:val="000000"/>
              </w:rPr>
              <w:t>Commercial Operations</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CF7B39" w:rsidRDefault="00CF7B39">
            <w:pPr>
              <w:jc w:val="center"/>
              <w:rPr>
                <w:rFonts w:ascii="Calibri" w:hAnsi="Calibri" w:cs="Calibri"/>
                <w:color w:val="000000"/>
              </w:rPr>
            </w:pPr>
            <w:r>
              <w:rPr>
                <w:rFonts w:ascii="Calibri" w:hAnsi="Calibri" w:cs="Calibri"/>
                <w:color w:val="000000"/>
              </w:rPr>
              <w:t>May 21, 2022</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CF7B39" w:rsidRDefault="00420552">
            <w:pPr>
              <w:rPr>
                <w:rFonts w:ascii="Calibri" w:hAnsi="Calibri" w:cs="Calibri"/>
                <w:color w:val="000000"/>
              </w:rPr>
            </w:pPr>
            <w:r>
              <w:rPr>
                <w:rFonts w:ascii="Calibri" w:hAnsi="Calibri" w:cs="Calibri"/>
                <w:color w:val="000000"/>
              </w:rPr>
              <w:t>May 21, 2022</w:t>
            </w:r>
          </w:p>
        </w:tc>
        <w:tc>
          <w:tcPr>
            <w:tcW w:w="5040" w:type="dxa"/>
            <w:tcBorders>
              <w:top w:val="single" w:sz="4" w:space="0" w:color="auto"/>
              <w:left w:val="nil"/>
              <w:bottom w:val="single" w:sz="4" w:space="0" w:color="auto"/>
              <w:right w:val="single" w:sz="4" w:space="0" w:color="auto"/>
            </w:tcBorders>
            <w:shd w:val="clear" w:color="auto" w:fill="auto"/>
            <w:noWrap/>
            <w:vAlign w:val="bottom"/>
            <w:hideMark/>
          </w:tcPr>
          <w:p w:rsidR="00CF7B39" w:rsidRDefault="00083BB2">
            <w:pPr>
              <w:rPr>
                <w:rFonts w:ascii="Calibri" w:hAnsi="Calibri" w:cs="Calibri"/>
                <w:color w:val="000000"/>
              </w:rPr>
            </w:pPr>
            <w:r>
              <w:rPr>
                <w:rFonts w:ascii="Calibri" w:hAnsi="Calibri" w:cs="Calibri"/>
                <w:color w:val="000000"/>
              </w:rPr>
              <w:t xml:space="preserve">Only </w:t>
            </w:r>
            <w:r w:rsidR="00CF7B39">
              <w:rPr>
                <w:rFonts w:ascii="Calibri" w:hAnsi="Calibri" w:cs="Calibri"/>
                <w:color w:val="000000"/>
              </w:rPr>
              <w:t>4 months from F</w:t>
            </w:r>
            <w:r>
              <w:rPr>
                <w:rFonts w:ascii="Calibri" w:hAnsi="Calibri" w:cs="Calibri"/>
                <w:color w:val="000000"/>
              </w:rPr>
              <w:t xml:space="preserve">uel Load </w:t>
            </w:r>
            <w:r w:rsidR="00CF7B39">
              <w:rPr>
                <w:rFonts w:ascii="Calibri" w:hAnsi="Calibri" w:cs="Calibri"/>
                <w:color w:val="000000"/>
              </w:rPr>
              <w:t>to COD</w:t>
            </w:r>
            <w:r>
              <w:rPr>
                <w:rFonts w:ascii="Calibri" w:hAnsi="Calibri" w:cs="Calibri"/>
                <w:color w:val="000000"/>
              </w:rPr>
              <w:t xml:space="preserve"> </w:t>
            </w:r>
            <w:r w:rsidR="00195756">
              <w:rPr>
                <w:rFonts w:ascii="Calibri" w:hAnsi="Calibri" w:cs="Calibri"/>
                <w:color w:val="000000"/>
              </w:rPr>
              <w:t>is</w:t>
            </w:r>
            <w:r w:rsidR="00CF7B39">
              <w:rPr>
                <w:rFonts w:ascii="Calibri" w:hAnsi="Calibri" w:cs="Calibri"/>
                <w:color w:val="000000"/>
              </w:rPr>
              <w:t xml:space="preserve"> </w:t>
            </w:r>
            <w:r w:rsidR="00195756">
              <w:rPr>
                <w:rFonts w:ascii="Calibri" w:hAnsi="Calibri" w:cs="Calibri"/>
                <w:color w:val="000000"/>
              </w:rPr>
              <w:t xml:space="preserve">unlikely. </w:t>
            </w:r>
          </w:p>
        </w:tc>
      </w:tr>
      <w:tr w:rsidR="00083BB2" w:rsidTr="007E76A3">
        <w:trPr>
          <w:trHeight w:val="360"/>
        </w:trPr>
        <w:tc>
          <w:tcPr>
            <w:tcW w:w="9710" w:type="dxa"/>
            <w:gridSpan w:val="4"/>
            <w:tcBorders>
              <w:top w:val="single" w:sz="4" w:space="0" w:color="auto"/>
              <w:left w:val="single" w:sz="8" w:space="0" w:color="auto"/>
              <w:bottom w:val="single" w:sz="8" w:space="0" w:color="auto"/>
              <w:right w:val="single" w:sz="8" w:space="0" w:color="auto"/>
            </w:tcBorders>
            <w:shd w:val="clear" w:color="auto" w:fill="auto"/>
            <w:vAlign w:val="bottom"/>
          </w:tcPr>
          <w:p w:rsidR="00083BB2" w:rsidRDefault="00083BB2">
            <w:pPr>
              <w:rPr>
                <w:rFonts w:ascii="Calibri" w:hAnsi="Calibri" w:cs="Calibri"/>
                <w:color w:val="000000"/>
              </w:rPr>
            </w:pPr>
            <w:r>
              <w:rPr>
                <w:rFonts w:ascii="Calibri" w:hAnsi="Calibri" w:cs="Calibri"/>
                <w:color w:val="000000"/>
              </w:rPr>
              <w:t>NOTE:  The 103.g. letter and Start of Fuel ha</w:t>
            </w:r>
            <w:r w:rsidR="00D6139A">
              <w:rPr>
                <w:rFonts w:ascii="Calibri" w:hAnsi="Calibri" w:cs="Calibri"/>
                <w:color w:val="000000"/>
              </w:rPr>
              <w:t>ve been</w:t>
            </w:r>
            <w:r>
              <w:rPr>
                <w:rFonts w:ascii="Calibri" w:hAnsi="Calibri" w:cs="Calibri"/>
                <w:color w:val="000000"/>
              </w:rPr>
              <w:t xml:space="preserve"> previously tracked as </w:t>
            </w:r>
            <w:r w:rsidR="00D6139A">
              <w:rPr>
                <w:rFonts w:ascii="Calibri" w:hAnsi="Calibri" w:cs="Calibri"/>
                <w:color w:val="000000"/>
              </w:rPr>
              <w:t>occurring on the same date</w:t>
            </w:r>
            <w:r>
              <w:rPr>
                <w:rFonts w:ascii="Calibri" w:hAnsi="Calibri" w:cs="Calibri"/>
                <w:color w:val="000000"/>
              </w:rPr>
              <w:t xml:space="preserve">, but more recently has been separated, with some work originally required for the singular milestone being pushed into the future as part of the separated and second (Start of Fuel Load) schedule milestone.  </w:t>
            </w:r>
          </w:p>
        </w:tc>
      </w:tr>
    </w:tbl>
    <w:p w:rsidR="0078767E" w:rsidRDefault="0078767E" w:rsidP="00CF7B39">
      <w:pPr>
        <w:spacing w:line="480" w:lineRule="auto"/>
        <w:ind w:left="720" w:hanging="720"/>
        <w:rPr>
          <w:rFonts w:ascii="Garamond" w:hAnsi="Garamond"/>
          <w:b/>
          <w:bCs/>
        </w:rPr>
      </w:pPr>
    </w:p>
    <w:p w:rsidR="00A07D52" w:rsidRDefault="00E24696" w:rsidP="00A07D52">
      <w:pPr>
        <w:spacing w:line="480" w:lineRule="auto"/>
        <w:ind w:left="720" w:hanging="720"/>
        <w:jc w:val="both"/>
        <w:rPr>
          <w:rFonts w:ascii="Garamond" w:hAnsi="Garamond"/>
        </w:rPr>
      </w:pPr>
      <w:r>
        <w:rPr>
          <w:rFonts w:ascii="Garamond" w:hAnsi="Garamond"/>
        </w:rPr>
        <w:tab/>
      </w:r>
      <w:r w:rsidR="00916A53">
        <w:rPr>
          <w:rFonts w:ascii="Garamond" w:hAnsi="Garamond"/>
        </w:rPr>
        <w:t>T</w:t>
      </w:r>
      <w:r w:rsidR="00A07D52">
        <w:rPr>
          <w:rFonts w:ascii="Garamond" w:hAnsi="Garamond"/>
        </w:rPr>
        <w:t xml:space="preserve">he Company’s Risk Adjusted Dates for the above three milestones, are April 17, 2022 (103.g.), May 23, 2022 (Start of Fuel Load), and September 30, 2022 (COD).  VMG views these </w:t>
      </w:r>
      <w:r w:rsidR="00420552">
        <w:rPr>
          <w:rFonts w:ascii="Garamond" w:hAnsi="Garamond"/>
        </w:rPr>
        <w:t xml:space="preserve">as much more realistic </w:t>
      </w:r>
      <w:r w:rsidR="00B239EE">
        <w:rPr>
          <w:rFonts w:ascii="Garamond" w:hAnsi="Garamond"/>
        </w:rPr>
        <w:t>dates but</w:t>
      </w:r>
      <w:r w:rsidR="00420552">
        <w:rPr>
          <w:rFonts w:ascii="Garamond" w:hAnsi="Garamond"/>
        </w:rPr>
        <w:t xml:space="preserve"> </w:t>
      </w:r>
      <w:r w:rsidR="00916A53">
        <w:rPr>
          <w:rFonts w:ascii="Garamond" w:hAnsi="Garamond"/>
        </w:rPr>
        <w:t>continues to emphas</w:t>
      </w:r>
      <w:r w:rsidR="00B239EE">
        <w:rPr>
          <w:rFonts w:ascii="Garamond" w:hAnsi="Garamond"/>
        </w:rPr>
        <w:t>ize</w:t>
      </w:r>
      <w:r w:rsidR="00916A53">
        <w:rPr>
          <w:rFonts w:ascii="Garamond" w:hAnsi="Garamond"/>
        </w:rPr>
        <w:t xml:space="preserve"> that</w:t>
      </w:r>
      <w:r w:rsidR="00420552">
        <w:rPr>
          <w:rFonts w:ascii="Garamond" w:hAnsi="Garamond"/>
        </w:rPr>
        <w:t xml:space="preserve"> four months </w:t>
      </w:r>
      <w:r w:rsidR="00B239EE">
        <w:rPr>
          <w:rFonts w:ascii="Garamond" w:hAnsi="Garamond"/>
        </w:rPr>
        <w:t xml:space="preserve">(i.e., May 23 – September 30, 2022) </w:t>
      </w:r>
      <w:r w:rsidR="00420552">
        <w:rPr>
          <w:rFonts w:ascii="Garamond" w:hAnsi="Garamond"/>
        </w:rPr>
        <w:t xml:space="preserve">between the Start of Fuel </w:t>
      </w:r>
      <w:r w:rsidR="000B4B7D">
        <w:rPr>
          <w:rFonts w:ascii="Garamond" w:hAnsi="Garamond"/>
        </w:rPr>
        <w:t xml:space="preserve">Load and </w:t>
      </w:r>
      <w:r w:rsidR="00420552">
        <w:rPr>
          <w:rFonts w:ascii="Garamond" w:hAnsi="Garamond"/>
        </w:rPr>
        <w:t xml:space="preserve">Commercial Operations as being too </w:t>
      </w:r>
      <w:r w:rsidR="009B643A">
        <w:rPr>
          <w:rFonts w:ascii="Garamond" w:hAnsi="Garamond"/>
        </w:rPr>
        <w:t>short and</w:t>
      </w:r>
      <w:r w:rsidR="00420552">
        <w:rPr>
          <w:rFonts w:ascii="Garamond" w:hAnsi="Garamond"/>
        </w:rPr>
        <w:t xml:space="preserve"> </w:t>
      </w:r>
      <w:r w:rsidR="00916A53">
        <w:rPr>
          <w:rFonts w:ascii="Garamond" w:hAnsi="Garamond"/>
        </w:rPr>
        <w:t xml:space="preserve">VMG </w:t>
      </w:r>
      <w:r w:rsidR="00420552">
        <w:rPr>
          <w:rFonts w:ascii="Garamond" w:hAnsi="Garamond"/>
        </w:rPr>
        <w:t>consider</w:t>
      </w:r>
      <w:r w:rsidR="000B4B7D">
        <w:rPr>
          <w:rFonts w:ascii="Garamond" w:hAnsi="Garamond"/>
        </w:rPr>
        <w:t>s</w:t>
      </w:r>
      <w:r w:rsidR="00420552">
        <w:rPr>
          <w:rFonts w:ascii="Garamond" w:hAnsi="Garamond"/>
        </w:rPr>
        <w:t xml:space="preserve"> </w:t>
      </w:r>
      <w:r w:rsidR="00A07D52">
        <w:rPr>
          <w:rFonts w:ascii="Garamond" w:hAnsi="Garamond"/>
        </w:rPr>
        <w:t xml:space="preserve">a </w:t>
      </w:r>
      <w:r w:rsidR="0038469C">
        <w:rPr>
          <w:rFonts w:ascii="Garamond" w:hAnsi="Garamond"/>
        </w:rPr>
        <w:t>6-month</w:t>
      </w:r>
      <w:r w:rsidR="00A07D52">
        <w:rPr>
          <w:rFonts w:ascii="Garamond" w:hAnsi="Garamond"/>
        </w:rPr>
        <w:t xml:space="preserve"> duration to be the best possible case.</w:t>
      </w:r>
      <w:r w:rsidR="00B239EE">
        <w:rPr>
          <w:rStyle w:val="FootnoteReference"/>
          <w:rFonts w:ascii="Garamond" w:hAnsi="Garamond"/>
        </w:rPr>
        <w:footnoteReference w:id="3"/>
      </w:r>
      <w:r w:rsidR="00A07D52">
        <w:rPr>
          <w:rFonts w:ascii="Garamond" w:hAnsi="Garamond"/>
        </w:rPr>
        <w:t xml:space="preserve"> </w:t>
      </w:r>
      <w:r w:rsidR="00A07D52">
        <w:rPr>
          <w:rFonts w:ascii="Garamond" w:hAnsi="Garamond"/>
        </w:rPr>
        <w:tab/>
      </w:r>
    </w:p>
    <w:p w:rsidR="0078767E" w:rsidRDefault="00CF7B39" w:rsidP="00CF7B39">
      <w:pPr>
        <w:spacing w:line="480" w:lineRule="auto"/>
        <w:ind w:left="720" w:hanging="720"/>
        <w:rPr>
          <w:rFonts w:ascii="Garamond" w:hAnsi="Garamond"/>
          <w:b/>
          <w:bCs/>
        </w:rPr>
      </w:pPr>
      <w:r>
        <w:rPr>
          <w:rFonts w:ascii="Garamond" w:hAnsi="Garamond"/>
          <w:b/>
          <w:bCs/>
        </w:rPr>
        <w:lastRenderedPageBreak/>
        <w:t>Q:</w:t>
      </w:r>
      <w:r>
        <w:rPr>
          <w:rFonts w:ascii="Garamond" w:hAnsi="Garamond"/>
          <w:b/>
          <w:bCs/>
        </w:rPr>
        <w:tab/>
        <w:t>WHAT DOES VMG CONCLUDE FROM THE</w:t>
      </w:r>
      <w:r w:rsidR="001565EF">
        <w:rPr>
          <w:rFonts w:ascii="Garamond" w:hAnsi="Garamond"/>
          <w:b/>
          <w:bCs/>
        </w:rPr>
        <w:t xml:space="preserve"> COMPANY’S FORECAST OF SCHEDULE MILESTONES AS SHOWN IN TABLE </w:t>
      </w:r>
      <w:r w:rsidR="00383CBD">
        <w:rPr>
          <w:rFonts w:ascii="Garamond" w:hAnsi="Garamond"/>
          <w:b/>
          <w:bCs/>
        </w:rPr>
        <w:t>TS</w:t>
      </w:r>
      <w:r w:rsidR="001565EF">
        <w:rPr>
          <w:rFonts w:ascii="Garamond" w:hAnsi="Garamond"/>
          <w:b/>
          <w:bCs/>
        </w:rPr>
        <w:t>-1</w:t>
      </w:r>
      <w:r w:rsidR="00420552">
        <w:rPr>
          <w:rFonts w:ascii="Garamond" w:hAnsi="Garamond"/>
          <w:b/>
          <w:bCs/>
        </w:rPr>
        <w:t xml:space="preserve"> AND THE RISK ADJUSTED DATES</w:t>
      </w:r>
      <w:r w:rsidR="006A296C">
        <w:rPr>
          <w:rFonts w:ascii="Garamond" w:hAnsi="Garamond"/>
          <w:b/>
          <w:bCs/>
        </w:rPr>
        <w:t>?</w:t>
      </w:r>
    </w:p>
    <w:p w:rsidR="004F440C" w:rsidRDefault="004F440C" w:rsidP="00EB1D6A">
      <w:pPr>
        <w:spacing w:line="480" w:lineRule="auto"/>
        <w:ind w:left="720" w:hanging="720"/>
        <w:jc w:val="both"/>
        <w:rPr>
          <w:rFonts w:ascii="Garamond" w:hAnsi="Garamond"/>
        </w:rPr>
      </w:pPr>
      <w:r>
        <w:rPr>
          <w:rFonts w:ascii="Garamond" w:hAnsi="Garamond"/>
        </w:rPr>
        <w:t>A:</w:t>
      </w:r>
      <w:r>
        <w:rPr>
          <w:rFonts w:ascii="Garamond" w:hAnsi="Garamond"/>
        </w:rPr>
        <w:tab/>
      </w:r>
      <w:r w:rsidR="001565EF">
        <w:rPr>
          <w:rFonts w:ascii="Garamond" w:hAnsi="Garamond"/>
        </w:rPr>
        <w:t xml:space="preserve">From the table, as the time to the forecast Site Working Schedule Milestone date gets closer, that date </w:t>
      </w:r>
      <w:r w:rsidR="00C022C2">
        <w:rPr>
          <w:rFonts w:ascii="Garamond" w:hAnsi="Garamond"/>
        </w:rPr>
        <w:t xml:space="preserve">starts </w:t>
      </w:r>
      <w:r w:rsidR="001565EF">
        <w:rPr>
          <w:rFonts w:ascii="Garamond" w:hAnsi="Garamond"/>
        </w:rPr>
        <w:t>slip</w:t>
      </w:r>
      <w:r w:rsidR="00C022C2">
        <w:rPr>
          <w:rFonts w:ascii="Garamond" w:hAnsi="Garamond"/>
        </w:rPr>
        <w:t xml:space="preserve">ping at an ever-faster rate toward the </w:t>
      </w:r>
      <w:r w:rsidR="001565EF">
        <w:rPr>
          <w:rFonts w:ascii="Garamond" w:hAnsi="Garamond"/>
        </w:rPr>
        <w:t xml:space="preserve">“Risk Adjusted” </w:t>
      </w:r>
      <w:r w:rsidR="00C022C2">
        <w:rPr>
          <w:rFonts w:ascii="Garamond" w:hAnsi="Garamond"/>
        </w:rPr>
        <w:t>date; and</w:t>
      </w:r>
      <w:r w:rsidR="00C443F3">
        <w:rPr>
          <w:rFonts w:ascii="Garamond" w:hAnsi="Garamond"/>
        </w:rPr>
        <w:t xml:space="preserve"> </w:t>
      </w:r>
      <w:r w:rsidR="00C022C2">
        <w:rPr>
          <w:rFonts w:ascii="Garamond" w:hAnsi="Garamond"/>
        </w:rPr>
        <w:t>the “Risk Adjusted” dates (for both the 103</w:t>
      </w:r>
      <w:r w:rsidR="001D4E2D">
        <w:rPr>
          <w:rFonts w:ascii="Garamond" w:hAnsi="Garamond"/>
        </w:rPr>
        <w:t>.</w:t>
      </w:r>
      <w:r w:rsidR="00C022C2">
        <w:rPr>
          <w:rFonts w:ascii="Garamond" w:hAnsi="Garamond"/>
        </w:rPr>
        <w:t xml:space="preserve"> </w:t>
      </w:r>
      <w:r w:rsidR="008D6734">
        <w:rPr>
          <w:rFonts w:ascii="Garamond" w:hAnsi="Garamond"/>
        </w:rPr>
        <w:t>g.</w:t>
      </w:r>
      <w:r w:rsidR="00C022C2">
        <w:rPr>
          <w:rFonts w:ascii="Garamond" w:hAnsi="Garamond"/>
        </w:rPr>
        <w:t xml:space="preserve"> letter and the start of Fuel Load schedule milestones) are a much more reliable predictor of the future.  VMG also concludes that the time duration of only 4 months from the Start of Fuel Load to Commercial Operations is not realistic and given the </w:t>
      </w:r>
      <w:r w:rsidR="00747CBA">
        <w:rPr>
          <w:rFonts w:ascii="Garamond" w:hAnsi="Garamond"/>
        </w:rPr>
        <w:t>status</w:t>
      </w:r>
      <w:r w:rsidR="00C022C2">
        <w:rPr>
          <w:rFonts w:ascii="Garamond" w:hAnsi="Garamond"/>
        </w:rPr>
        <w:t xml:space="preserve"> of the </w:t>
      </w:r>
      <w:r w:rsidR="004715D9">
        <w:rPr>
          <w:rFonts w:ascii="Garamond" w:hAnsi="Garamond"/>
        </w:rPr>
        <w:t>P</w:t>
      </w:r>
      <w:r w:rsidR="00C022C2">
        <w:rPr>
          <w:rFonts w:ascii="Garamond" w:hAnsi="Garamond"/>
        </w:rPr>
        <w:t xml:space="preserve">roject </w:t>
      </w:r>
      <w:r w:rsidR="00BC2283">
        <w:rPr>
          <w:rFonts w:ascii="Garamond" w:hAnsi="Garamond"/>
        </w:rPr>
        <w:t>VMG believes that a more reasonable duration would be</w:t>
      </w:r>
      <w:r w:rsidR="00C022C2">
        <w:rPr>
          <w:rFonts w:ascii="Garamond" w:hAnsi="Garamond"/>
        </w:rPr>
        <w:t xml:space="preserve"> 6</w:t>
      </w:r>
      <w:r w:rsidR="00BC2283">
        <w:rPr>
          <w:rFonts w:ascii="Garamond" w:hAnsi="Garamond"/>
        </w:rPr>
        <w:t xml:space="preserve"> </w:t>
      </w:r>
      <w:r w:rsidR="00C022C2">
        <w:rPr>
          <w:rFonts w:ascii="Garamond" w:hAnsi="Garamond"/>
        </w:rPr>
        <w:t>month</w:t>
      </w:r>
      <w:r w:rsidR="00BC2283">
        <w:rPr>
          <w:rFonts w:ascii="Garamond" w:hAnsi="Garamond"/>
        </w:rPr>
        <w:t>s</w:t>
      </w:r>
      <w:r w:rsidR="002D394F">
        <w:rPr>
          <w:rFonts w:ascii="Garamond" w:hAnsi="Garamond"/>
        </w:rPr>
        <w:t xml:space="preserve"> or more. </w:t>
      </w:r>
      <w:r w:rsidR="00C022C2">
        <w:rPr>
          <w:rFonts w:ascii="Garamond" w:hAnsi="Garamond"/>
        </w:rPr>
        <w:t xml:space="preserve"> Given </w:t>
      </w:r>
      <w:r w:rsidR="001D4E2D">
        <w:rPr>
          <w:rFonts w:ascii="Garamond" w:hAnsi="Garamond"/>
        </w:rPr>
        <w:t>all</w:t>
      </w:r>
      <w:r w:rsidR="00C022C2">
        <w:rPr>
          <w:rFonts w:ascii="Garamond" w:hAnsi="Garamond"/>
        </w:rPr>
        <w:t xml:space="preserve"> the above</w:t>
      </w:r>
      <w:r w:rsidR="00230518">
        <w:rPr>
          <w:rFonts w:ascii="Garamond" w:hAnsi="Garamond"/>
        </w:rPr>
        <w:t>,</w:t>
      </w:r>
      <w:r w:rsidR="00C022C2">
        <w:rPr>
          <w:rFonts w:ascii="Garamond" w:hAnsi="Garamond"/>
        </w:rPr>
        <w:t xml:space="preserve"> VMG concludes that a U-3 COD of November 2022 is </w:t>
      </w:r>
      <w:r w:rsidR="00BC2283">
        <w:rPr>
          <w:rFonts w:ascii="Garamond" w:hAnsi="Garamond"/>
        </w:rPr>
        <w:t xml:space="preserve">achievable, however </w:t>
      </w:r>
      <w:r w:rsidR="00C022C2">
        <w:rPr>
          <w:rFonts w:ascii="Garamond" w:hAnsi="Garamond"/>
        </w:rPr>
        <w:t xml:space="preserve">it </w:t>
      </w:r>
      <w:r w:rsidR="00EB1D6A">
        <w:rPr>
          <w:rFonts w:ascii="Garamond" w:hAnsi="Garamond"/>
        </w:rPr>
        <w:t xml:space="preserve">is </w:t>
      </w:r>
      <w:r w:rsidR="00C022C2">
        <w:rPr>
          <w:rFonts w:ascii="Garamond" w:hAnsi="Garamond"/>
        </w:rPr>
        <w:t>mo</w:t>
      </w:r>
      <w:r w:rsidR="00EB1D6A">
        <w:rPr>
          <w:rFonts w:ascii="Garamond" w:hAnsi="Garamond"/>
        </w:rPr>
        <w:t>re</w:t>
      </w:r>
      <w:r w:rsidR="00C022C2">
        <w:rPr>
          <w:rFonts w:ascii="Garamond" w:hAnsi="Garamond"/>
        </w:rPr>
        <w:t xml:space="preserve"> probabl</w:t>
      </w:r>
      <w:r w:rsidR="00EB1D6A">
        <w:rPr>
          <w:rFonts w:ascii="Garamond" w:hAnsi="Garamond"/>
        </w:rPr>
        <w:t>e</w:t>
      </w:r>
      <w:r w:rsidR="00C022C2">
        <w:rPr>
          <w:rFonts w:ascii="Garamond" w:hAnsi="Garamond"/>
        </w:rPr>
        <w:t xml:space="preserve"> </w:t>
      </w:r>
      <w:r w:rsidR="00EB1D6A">
        <w:rPr>
          <w:rFonts w:ascii="Garamond" w:hAnsi="Garamond"/>
        </w:rPr>
        <w:t xml:space="preserve">that </w:t>
      </w:r>
      <w:r w:rsidR="00E25223">
        <w:rPr>
          <w:rFonts w:ascii="Garamond" w:hAnsi="Garamond"/>
        </w:rPr>
        <w:t xml:space="preserve">the U-3 </w:t>
      </w:r>
      <w:r w:rsidR="00BC2283">
        <w:rPr>
          <w:rFonts w:ascii="Garamond" w:hAnsi="Garamond"/>
        </w:rPr>
        <w:t>COD</w:t>
      </w:r>
      <w:r w:rsidR="00EB1D6A">
        <w:rPr>
          <w:rFonts w:ascii="Garamond" w:hAnsi="Garamond"/>
        </w:rPr>
        <w:t xml:space="preserve"> will </w:t>
      </w:r>
      <w:r w:rsidR="00C022C2">
        <w:rPr>
          <w:rFonts w:ascii="Garamond" w:hAnsi="Garamond"/>
        </w:rPr>
        <w:t xml:space="preserve">occur sometime in the November 2022 </w:t>
      </w:r>
      <w:r w:rsidR="00C443F3">
        <w:rPr>
          <w:rFonts w:ascii="Garamond" w:hAnsi="Garamond"/>
        </w:rPr>
        <w:t>–</w:t>
      </w:r>
      <w:r w:rsidR="00C022C2">
        <w:rPr>
          <w:rFonts w:ascii="Garamond" w:hAnsi="Garamond"/>
        </w:rPr>
        <w:t xml:space="preserve"> </w:t>
      </w:r>
      <w:r w:rsidR="00C443F3">
        <w:rPr>
          <w:rFonts w:ascii="Garamond" w:hAnsi="Garamond"/>
        </w:rPr>
        <w:t xml:space="preserve">February 2023 timeframe. </w:t>
      </w:r>
    </w:p>
    <w:p w:rsidR="004F440C" w:rsidRDefault="004F440C" w:rsidP="00CF7B39">
      <w:pPr>
        <w:spacing w:line="480" w:lineRule="auto"/>
        <w:ind w:left="720" w:hanging="720"/>
        <w:rPr>
          <w:rFonts w:ascii="Garamond" w:hAnsi="Garamond"/>
          <w:b/>
          <w:bCs/>
        </w:rPr>
      </w:pPr>
      <w:r>
        <w:rPr>
          <w:rFonts w:ascii="Garamond" w:hAnsi="Garamond"/>
          <w:b/>
          <w:bCs/>
        </w:rPr>
        <w:t>Q:</w:t>
      </w:r>
      <w:r>
        <w:rPr>
          <w:rFonts w:ascii="Garamond" w:hAnsi="Garamond"/>
          <w:b/>
          <w:bCs/>
        </w:rPr>
        <w:tab/>
        <w:t>WHY DOES VMG BELIEVE TH</w:t>
      </w:r>
      <w:r w:rsidR="00C443F3">
        <w:rPr>
          <w:rFonts w:ascii="Garamond" w:hAnsi="Garamond"/>
          <w:b/>
          <w:bCs/>
        </w:rPr>
        <w:t>AT A FOUR MONTH DURATION FROM THE START OF FUEL LOAD TO COMMERCIAL OPERATION</w:t>
      </w:r>
      <w:r w:rsidR="00BC2283">
        <w:rPr>
          <w:rFonts w:ascii="Garamond" w:hAnsi="Garamond"/>
          <w:b/>
          <w:bCs/>
        </w:rPr>
        <w:t xml:space="preserve"> </w:t>
      </w:r>
      <w:r w:rsidR="00C443F3">
        <w:rPr>
          <w:rFonts w:ascii="Garamond" w:hAnsi="Garamond"/>
          <w:b/>
          <w:bCs/>
        </w:rPr>
        <w:t>IS NOT REALISTIC</w:t>
      </w:r>
      <w:r>
        <w:rPr>
          <w:rFonts w:ascii="Garamond" w:hAnsi="Garamond"/>
          <w:b/>
          <w:bCs/>
        </w:rPr>
        <w:t>?</w:t>
      </w:r>
    </w:p>
    <w:p w:rsidR="004F440C" w:rsidRDefault="004F440C" w:rsidP="00EB1D6A">
      <w:pPr>
        <w:spacing w:line="480" w:lineRule="auto"/>
        <w:ind w:left="720" w:hanging="720"/>
        <w:jc w:val="both"/>
        <w:rPr>
          <w:rFonts w:ascii="Garamond" w:hAnsi="Garamond"/>
        </w:rPr>
      </w:pPr>
      <w:r>
        <w:rPr>
          <w:rFonts w:ascii="Garamond" w:hAnsi="Garamond"/>
        </w:rPr>
        <w:t>A:</w:t>
      </w:r>
      <w:r>
        <w:rPr>
          <w:rFonts w:ascii="Garamond" w:hAnsi="Garamond"/>
        </w:rPr>
        <w:tab/>
      </w:r>
      <w:r w:rsidR="00916A53">
        <w:rPr>
          <w:rFonts w:ascii="Garamond" w:hAnsi="Garamond"/>
        </w:rPr>
        <w:t>T</w:t>
      </w:r>
      <w:r w:rsidR="00C443F3">
        <w:rPr>
          <w:rFonts w:ascii="Garamond" w:hAnsi="Garamond"/>
        </w:rPr>
        <w:t xml:space="preserve">he history of prior US Nuclear Plant </w:t>
      </w:r>
      <w:r w:rsidR="00916A53">
        <w:rPr>
          <w:rFonts w:ascii="Garamond" w:hAnsi="Garamond"/>
        </w:rPr>
        <w:t>start-up</w:t>
      </w:r>
      <w:r w:rsidR="008D6734">
        <w:rPr>
          <w:rFonts w:ascii="Garamond" w:hAnsi="Garamond"/>
        </w:rPr>
        <w:t>s</w:t>
      </w:r>
      <w:r w:rsidR="00916A53">
        <w:rPr>
          <w:rFonts w:ascii="Garamond" w:hAnsi="Garamond"/>
        </w:rPr>
        <w:t xml:space="preserve"> </w:t>
      </w:r>
      <w:r w:rsidR="00C443F3">
        <w:rPr>
          <w:rFonts w:ascii="Garamond" w:hAnsi="Garamond"/>
        </w:rPr>
        <w:t xml:space="preserve">indicates that 6 months is the norm.  In addition, </w:t>
      </w:r>
      <w:r>
        <w:rPr>
          <w:rFonts w:ascii="Garamond" w:hAnsi="Garamond"/>
        </w:rPr>
        <w:t>the</w:t>
      </w:r>
      <w:r w:rsidR="00C443F3">
        <w:rPr>
          <w:rFonts w:ascii="Garamond" w:hAnsi="Garamond"/>
        </w:rPr>
        <w:t xml:space="preserve"> </w:t>
      </w:r>
      <w:r w:rsidR="00BC2283">
        <w:rPr>
          <w:rFonts w:ascii="Garamond" w:hAnsi="Garamond"/>
        </w:rPr>
        <w:t>C</w:t>
      </w:r>
      <w:r w:rsidR="00C443F3">
        <w:rPr>
          <w:rFonts w:ascii="Garamond" w:hAnsi="Garamond"/>
        </w:rPr>
        <w:t xml:space="preserve">ompany has continued to defer work into the post Start of Fuel Load </w:t>
      </w:r>
      <w:r w:rsidR="00230E58">
        <w:rPr>
          <w:rFonts w:ascii="Garamond" w:hAnsi="Garamond"/>
        </w:rPr>
        <w:t>period</w:t>
      </w:r>
      <w:r w:rsidR="00C443F3">
        <w:rPr>
          <w:rFonts w:ascii="Garamond" w:hAnsi="Garamond"/>
        </w:rPr>
        <w:t>, and (with the NRC’s issuance of the 103.g. letter) this work will have to be completed in an Operations environment which ha</w:t>
      </w:r>
      <w:r w:rsidR="00230E58">
        <w:rPr>
          <w:rFonts w:ascii="Garamond" w:hAnsi="Garamond"/>
        </w:rPr>
        <w:t>s</w:t>
      </w:r>
      <w:r w:rsidR="00C443F3">
        <w:rPr>
          <w:rFonts w:ascii="Garamond" w:hAnsi="Garamond"/>
        </w:rPr>
        <w:t xml:space="preserve"> much greater controls</w:t>
      </w:r>
      <w:r w:rsidR="00230E58">
        <w:rPr>
          <w:rFonts w:ascii="Garamond" w:hAnsi="Garamond"/>
        </w:rPr>
        <w:t xml:space="preserve"> with respect to plant security, and with respect to Technical Specification requirements.</w:t>
      </w:r>
      <w:r w:rsidR="00230E58">
        <w:rPr>
          <w:rStyle w:val="FootnoteReference"/>
          <w:rFonts w:ascii="Garamond" w:hAnsi="Garamond"/>
        </w:rPr>
        <w:footnoteReference w:id="4"/>
      </w:r>
      <w:r w:rsidR="00230E58">
        <w:rPr>
          <w:rFonts w:ascii="Garamond" w:hAnsi="Garamond"/>
        </w:rPr>
        <w:t xml:space="preserve">  </w:t>
      </w:r>
      <w:r w:rsidR="00916A53">
        <w:rPr>
          <w:rFonts w:ascii="Garamond" w:hAnsi="Garamond"/>
        </w:rPr>
        <w:t>F</w:t>
      </w:r>
      <w:r w:rsidR="005E2D37">
        <w:rPr>
          <w:rFonts w:ascii="Garamond" w:hAnsi="Garamond"/>
        </w:rPr>
        <w:t xml:space="preserve">inally, </w:t>
      </w:r>
      <w:r w:rsidR="00747CBA">
        <w:rPr>
          <w:rFonts w:ascii="Garamond" w:hAnsi="Garamond"/>
        </w:rPr>
        <w:t xml:space="preserve">the activities between start of </w:t>
      </w:r>
      <w:r w:rsidR="00747CBA">
        <w:rPr>
          <w:rFonts w:ascii="Garamond" w:hAnsi="Garamond"/>
        </w:rPr>
        <w:lastRenderedPageBreak/>
        <w:t xml:space="preserve">Fuel </w:t>
      </w:r>
      <w:r w:rsidR="00E25223">
        <w:rPr>
          <w:rFonts w:ascii="Garamond" w:hAnsi="Garamond"/>
        </w:rPr>
        <w:t xml:space="preserve">Load </w:t>
      </w:r>
      <w:r w:rsidR="00747CBA">
        <w:rPr>
          <w:rFonts w:ascii="Garamond" w:hAnsi="Garamond"/>
        </w:rPr>
        <w:t xml:space="preserve">and COD can be largely characterized as “integrated systems tests, at ever increasing power levels”, and </w:t>
      </w:r>
      <w:r w:rsidR="005E2D37">
        <w:rPr>
          <w:rFonts w:ascii="Garamond" w:hAnsi="Garamond"/>
        </w:rPr>
        <w:t xml:space="preserve">the </w:t>
      </w:r>
      <w:r w:rsidR="00BC2283">
        <w:rPr>
          <w:rFonts w:ascii="Garamond" w:hAnsi="Garamond"/>
        </w:rPr>
        <w:t>C</w:t>
      </w:r>
      <w:r w:rsidR="005E2D37">
        <w:rPr>
          <w:rFonts w:ascii="Garamond" w:hAnsi="Garamond"/>
        </w:rPr>
        <w:t>ompany’s</w:t>
      </w:r>
      <w:r w:rsidR="00747CBA">
        <w:rPr>
          <w:rFonts w:ascii="Garamond" w:hAnsi="Garamond"/>
        </w:rPr>
        <w:t xml:space="preserve"> past poor</w:t>
      </w:r>
      <w:r w:rsidR="005E2D37">
        <w:rPr>
          <w:rFonts w:ascii="Garamond" w:hAnsi="Garamond"/>
        </w:rPr>
        <w:t xml:space="preserve"> performance of integrated system tests further supports the VMG position that 4 months is unrealistic.</w:t>
      </w:r>
    </w:p>
    <w:p w:rsidR="005E2D37" w:rsidRDefault="005E2D37" w:rsidP="00B807D2">
      <w:pPr>
        <w:spacing w:line="480" w:lineRule="auto"/>
        <w:ind w:left="720" w:hanging="720"/>
        <w:jc w:val="both"/>
        <w:rPr>
          <w:rFonts w:ascii="Garamond" w:hAnsi="Garamond"/>
          <w:b/>
          <w:bCs/>
        </w:rPr>
      </w:pPr>
      <w:r>
        <w:rPr>
          <w:rFonts w:ascii="Garamond" w:hAnsi="Garamond"/>
          <w:b/>
          <w:bCs/>
        </w:rPr>
        <w:t>Q:</w:t>
      </w:r>
      <w:r>
        <w:rPr>
          <w:rFonts w:ascii="Garamond" w:hAnsi="Garamond"/>
          <w:b/>
          <w:bCs/>
        </w:rPr>
        <w:tab/>
        <w:t xml:space="preserve">IS THERE AN EXAMPLE THAT VMG CAN POINT TO </w:t>
      </w:r>
      <w:r w:rsidR="007E76A3">
        <w:rPr>
          <w:rFonts w:ascii="Garamond" w:hAnsi="Garamond"/>
          <w:b/>
          <w:bCs/>
        </w:rPr>
        <w:t xml:space="preserve">REGARDING THE COMPANY’S </w:t>
      </w:r>
      <w:r w:rsidR="00747CBA">
        <w:rPr>
          <w:rFonts w:ascii="Garamond" w:hAnsi="Garamond"/>
          <w:b/>
          <w:bCs/>
        </w:rPr>
        <w:t xml:space="preserve">PAST </w:t>
      </w:r>
      <w:r w:rsidR="007E76A3">
        <w:rPr>
          <w:rFonts w:ascii="Garamond" w:hAnsi="Garamond"/>
          <w:b/>
          <w:bCs/>
        </w:rPr>
        <w:t xml:space="preserve">PERFORMANCE OF INTEGRATED SYSTEMS TESTS? </w:t>
      </w:r>
    </w:p>
    <w:p w:rsidR="005E2D37" w:rsidRPr="002D394F" w:rsidRDefault="005E2D37" w:rsidP="00FD7F6E">
      <w:pPr>
        <w:spacing w:line="480" w:lineRule="auto"/>
        <w:ind w:left="720" w:hanging="720"/>
        <w:jc w:val="both"/>
        <w:rPr>
          <w:rFonts w:ascii="Garamond" w:hAnsi="Garamond"/>
        </w:rPr>
      </w:pPr>
      <w:r>
        <w:rPr>
          <w:rFonts w:ascii="Garamond" w:hAnsi="Garamond"/>
        </w:rPr>
        <w:t>A:</w:t>
      </w:r>
      <w:r>
        <w:rPr>
          <w:rFonts w:ascii="Garamond" w:hAnsi="Garamond"/>
        </w:rPr>
        <w:tab/>
        <w:t xml:space="preserve">Yes, and </w:t>
      </w:r>
      <w:r w:rsidR="00FD7F6E">
        <w:rPr>
          <w:rFonts w:ascii="Garamond" w:hAnsi="Garamond"/>
        </w:rPr>
        <w:t xml:space="preserve">an </w:t>
      </w:r>
      <w:r>
        <w:rPr>
          <w:rFonts w:ascii="Garamond" w:hAnsi="Garamond"/>
        </w:rPr>
        <w:t xml:space="preserve">example of this is the time duration from when the Hot Functional Test </w:t>
      </w:r>
      <w:r w:rsidR="00FD7F6E">
        <w:rPr>
          <w:rFonts w:ascii="Garamond" w:hAnsi="Garamond"/>
        </w:rPr>
        <w:t xml:space="preserve">(“HFT”) </w:t>
      </w:r>
      <w:r>
        <w:rPr>
          <w:rFonts w:ascii="Garamond" w:hAnsi="Garamond"/>
        </w:rPr>
        <w:t xml:space="preserve">was started to when it was to be completed.  </w:t>
      </w:r>
      <w:r w:rsidR="00BC2283">
        <w:rPr>
          <w:rFonts w:ascii="Garamond" w:hAnsi="Garamond"/>
        </w:rPr>
        <w:t>HFT</w:t>
      </w:r>
      <w:r>
        <w:rPr>
          <w:rFonts w:ascii="Garamond" w:hAnsi="Garamond"/>
        </w:rPr>
        <w:t xml:space="preserve"> had been reported in our VCM 24 testimony but had not been completed until after our filing of th</w:t>
      </w:r>
      <w:r w:rsidR="00CF728C">
        <w:rPr>
          <w:rFonts w:ascii="Garamond" w:hAnsi="Garamond"/>
        </w:rPr>
        <w:t>at</w:t>
      </w:r>
      <w:r>
        <w:rPr>
          <w:rFonts w:ascii="Garamond" w:hAnsi="Garamond"/>
        </w:rPr>
        <w:t xml:space="preserve"> testimony.  </w:t>
      </w:r>
      <w:r w:rsidR="00BC2283">
        <w:rPr>
          <w:rFonts w:ascii="Garamond" w:hAnsi="Garamond"/>
        </w:rPr>
        <w:t>HFT</w:t>
      </w:r>
      <w:r w:rsidR="00CF728C">
        <w:rPr>
          <w:rFonts w:ascii="Garamond" w:hAnsi="Garamond"/>
        </w:rPr>
        <w:t xml:space="preserve"> involved using heat generated from the Reactor Coolant Pumps to heat the Reactor Coolant System to various temperature plateaus, performing various tests at each temperature plateau, and decreasing the temperature to another set of temperature plateaus at which </w:t>
      </w:r>
      <w:r w:rsidR="00B807D2">
        <w:rPr>
          <w:rFonts w:ascii="Garamond" w:hAnsi="Garamond"/>
        </w:rPr>
        <w:t>a</w:t>
      </w:r>
      <w:r w:rsidR="00CF728C">
        <w:rPr>
          <w:rFonts w:ascii="Garamond" w:hAnsi="Garamond"/>
        </w:rPr>
        <w:t>dditional systems integrated</w:t>
      </w:r>
      <w:r w:rsidR="00B807D2">
        <w:rPr>
          <w:rFonts w:ascii="Garamond" w:hAnsi="Garamond"/>
        </w:rPr>
        <w:t xml:space="preserve"> </w:t>
      </w:r>
      <w:r w:rsidR="00CF728C">
        <w:rPr>
          <w:rFonts w:ascii="Garamond" w:hAnsi="Garamond"/>
        </w:rPr>
        <w:t xml:space="preserve">types of tests were performed.  </w:t>
      </w:r>
      <w:r>
        <w:rPr>
          <w:rFonts w:ascii="Garamond" w:hAnsi="Garamond"/>
        </w:rPr>
        <w:t xml:space="preserve">HFT was reported to have started </w:t>
      </w:r>
      <w:r w:rsidR="00CF728C">
        <w:rPr>
          <w:rFonts w:ascii="Garamond" w:hAnsi="Garamond"/>
        </w:rPr>
        <w:t xml:space="preserve">on </w:t>
      </w:r>
      <w:r w:rsidR="001D4E2D">
        <w:rPr>
          <w:rFonts w:ascii="Garamond" w:hAnsi="Garamond"/>
        </w:rPr>
        <w:t>April 25,</w:t>
      </w:r>
      <w:r w:rsidR="00843623">
        <w:rPr>
          <w:rFonts w:ascii="Garamond" w:hAnsi="Garamond"/>
        </w:rPr>
        <w:t xml:space="preserve"> </w:t>
      </w:r>
      <w:r w:rsidR="001D4E2D">
        <w:rPr>
          <w:rFonts w:ascii="Garamond" w:hAnsi="Garamond"/>
        </w:rPr>
        <w:t>2021and</w:t>
      </w:r>
      <w:r w:rsidR="00CF728C">
        <w:rPr>
          <w:rFonts w:ascii="Garamond" w:hAnsi="Garamond"/>
        </w:rPr>
        <w:t xml:space="preserve"> was to last 45 days but was not declared to be completed until 95 days later</w:t>
      </w:r>
      <w:r w:rsidR="005B23B7">
        <w:rPr>
          <w:rFonts w:ascii="Garamond" w:hAnsi="Garamond"/>
        </w:rPr>
        <w:t xml:space="preserve"> on July 28, 2021</w:t>
      </w:r>
      <w:r w:rsidR="00CF728C">
        <w:rPr>
          <w:rFonts w:ascii="Garamond" w:hAnsi="Garamond"/>
        </w:rPr>
        <w:t>. The reasons for the delays varied but in large part were due to equipment problems having to be resolved.</w:t>
      </w:r>
      <w:r w:rsidR="00831FD8">
        <w:rPr>
          <w:rStyle w:val="FootnoteReference"/>
          <w:rFonts w:ascii="Garamond" w:hAnsi="Garamond"/>
        </w:rPr>
        <w:footnoteReference w:id="5"/>
      </w:r>
      <w:r w:rsidR="00831FD8">
        <w:rPr>
          <w:rFonts w:ascii="Garamond" w:hAnsi="Garamond"/>
        </w:rPr>
        <w:t xml:space="preserve"> </w:t>
      </w:r>
      <w:r w:rsidR="00BC2283">
        <w:rPr>
          <w:rFonts w:ascii="Garamond" w:hAnsi="Garamond"/>
        </w:rPr>
        <w:t>HFT</w:t>
      </w:r>
      <w:r w:rsidR="00CF728C">
        <w:rPr>
          <w:rFonts w:ascii="Garamond" w:hAnsi="Garamond"/>
        </w:rPr>
        <w:t xml:space="preserve"> did not involve taking the reactor critical and increasing reactor power levels up to 100 % rated conditions.  </w:t>
      </w:r>
      <w:r w:rsidR="00916A53">
        <w:rPr>
          <w:rFonts w:ascii="Garamond" w:hAnsi="Garamond"/>
        </w:rPr>
        <w:t>I</w:t>
      </w:r>
      <w:r w:rsidR="00CF728C">
        <w:rPr>
          <w:rFonts w:ascii="Garamond" w:hAnsi="Garamond"/>
        </w:rPr>
        <w:t>n going from the</w:t>
      </w:r>
      <w:r w:rsidR="00B807D2">
        <w:rPr>
          <w:rFonts w:ascii="Garamond" w:hAnsi="Garamond"/>
        </w:rPr>
        <w:t xml:space="preserve"> </w:t>
      </w:r>
      <w:r w:rsidR="00CF728C">
        <w:rPr>
          <w:rFonts w:ascii="Garamond" w:hAnsi="Garamond"/>
        </w:rPr>
        <w:t>Start of Fuel Load to Commercial Operations</w:t>
      </w:r>
      <w:r w:rsidR="005B23B7">
        <w:rPr>
          <w:rFonts w:ascii="Garamond" w:hAnsi="Garamond"/>
        </w:rPr>
        <w:t>,</w:t>
      </w:r>
      <w:r w:rsidR="00CF728C">
        <w:rPr>
          <w:rFonts w:ascii="Garamond" w:hAnsi="Garamond"/>
        </w:rPr>
        <w:t xml:space="preserve"> all systems (both the Reactor Plant Systems and the Secondary Steam Plant Systems) </w:t>
      </w:r>
      <w:r w:rsidR="00CF728C" w:rsidRPr="00AB4405">
        <w:rPr>
          <w:rFonts w:ascii="Garamond" w:hAnsi="Garamond"/>
          <w:u w:val="single"/>
        </w:rPr>
        <w:t>will be required for the first time to operate at 100% design conditions.</w:t>
      </w:r>
      <w:r w:rsidR="00CF728C">
        <w:rPr>
          <w:rFonts w:ascii="Garamond" w:hAnsi="Garamond"/>
        </w:rPr>
        <w:t xml:space="preserve">  Finally, some of the problems experienced during HFT were the result of equipment</w:t>
      </w:r>
      <w:r w:rsidR="00BC2283">
        <w:rPr>
          <w:rFonts w:ascii="Garamond" w:hAnsi="Garamond"/>
        </w:rPr>
        <w:t xml:space="preserve"> and components</w:t>
      </w:r>
      <w:r w:rsidR="00CF728C">
        <w:rPr>
          <w:rFonts w:ascii="Garamond" w:hAnsi="Garamond"/>
        </w:rPr>
        <w:t xml:space="preserve"> sitting in the warehouse for extended periods of time (sometimes with not having been properly maintained), and these </w:t>
      </w:r>
      <w:r w:rsidR="00CF728C">
        <w:rPr>
          <w:rFonts w:ascii="Garamond" w:hAnsi="Garamond"/>
        </w:rPr>
        <w:lastRenderedPageBreak/>
        <w:t>s</w:t>
      </w:r>
      <w:r w:rsidR="00697BF7">
        <w:rPr>
          <w:rFonts w:ascii="Garamond" w:hAnsi="Garamond"/>
        </w:rPr>
        <w:t>ame types of situations</w:t>
      </w:r>
      <w:r w:rsidR="00CF728C">
        <w:rPr>
          <w:rFonts w:ascii="Garamond" w:hAnsi="Garamond"/>
        </w:rPr>
        <w:t xml:space="preserve"> could potentially create the same types of problems (and schedule delays) as were experienced during the HFT phase. </w:t>
      </w:r>
    </w:p>
    <w:p w:rsidR="004F440C" w:rsidRDefault="004F440C" w:rsidP="005E547A">
      <w:pPr>
        <w:spacing w:line="480" w:lineRule="auto"/>
        <w:ind w:left="720" w:hanging="720"/>
        <w:jc w:val="both"/>
        <w:rPr>
          <w:rFonts w:ascii="Garamond" w:hAnsi="Garamond"/>
          <w:b/>
          <w:bCs/>
        </w:rPr>
      </w:pPr>
      <w:r>
        <w:rPr>
          <w:rFonts w:ascii="Garamond" w:hAnsi="Garamond"/>
          <w:b/>
          <w:bCs/>
        </w:rPr>
        <w:t>Q:</w:t>
      </w:r>
      <w:r>
        <w:rPr>
          <w:rFonts w:ascii="Garamond" w:hAnsi="Garamond"/>
          <w:b/>
          <w:bCs/>
        </w:rPr>
        <w:tab/>
        <w:t xml:space="preserve">PLEASE </w:t>
      </w:r>
      <w:r w:rsidR="002D394F">
        <w:rPr>
          <w:rFonts w:ascii="Garamond" w:hAnsi="Garamond"/>
          <w:b/>
          <w:bCs/>
        </w:rPr>
        <w:t xml:space="preserve">PROVIDE EXAMPLES OF THE </w:t>
      </w:r>
      <w:r>
        <w:rPr>
          <w:rFonts w:ascii="Garamond" w:hAnsi="Garamond"/>
          <w:b/>
          <w:bCs/>
        </w:rPr>
        <w:t xml:space="preserve">EMERGENT WORK SCOPE, </w:t>
      </w:r>
      <w:r w:rsidR="002D394F">
        <w:rPr>
          <w:rFonts w:ascii="Garamond" w:hAnsi="Garamond"/>
          <w:b/>
          <w:bCs/>
        </w:rPr>
        <w:t>WHY IT HAS OCCURRED, AND ITS SCHEDULE CONSEQUENCES</w:t>
      </w:r>
      <w:r w:rsidR="005B4A19">
        <w:rPr>
          <w:rFonts w:ascii="Garamond" w:hAnsi="Garamond"/>
          <w:b/>
          <w:bCs/>
        </w:rPr>
        <w:t>.</w:t>
      </w:r>
    </w:p>
    <w:p w:rsidR="004F440C" w:rsidRDefault="004F440C" w:rsidP="005E547A">
      <w:pPr>
        <w:spacing w:line="480" w:lineRule="auto"/>
        <w:ind w:left="720" w:hanging="720"/>
        <w:jc w:val="both"/>
        <w:rPr>
          <w:rFonts w:ascii="Garamond" w:hAnsi="Garamond"/>
        </w:rPr>
      </w:pPr>
      <w:r>
        <w:rPr>
          <w:rFonts w:ascii="Garamond" w:hAnsi="Garamond"/>
        </w:rPr>
        <w:t>A:</w:t>
      </w:r>
      <w:r>
        <w:rPr>
          <w:rFonts w:ascii="Garamond" w:hAnsi="Garamond"/>
        </w:rPr>
        <w:tab/>
        <w:t xml:space="preserve">One added work scope was due to </w:t>
      </w:r>
      <w:r w:rsidR="006C3037">
        <w:rPr>
          <w:rFonts w:ascii="Garamond" w:hAnsi="Garamond"/>
        </w:rPr>
        <w:t>how</w:t>
      </w:r>
      <w:r>
        <w:rPr>
          <w:rFonts w:ascii="Garamond" w:hAnsi="Garamond"/>
        </w:rPr>
        <w:t xml:space="preserve"> the </w:t>
      </w:r>
      <w:r w:rsidR="00995642">
        <w:rPr>
          <w:rFonts w:ascii="Garamond" w:hAnsi="Garamond"/>
        </w:rPr>
        <w:t>C</w:t>
      </w:r>
      <w:r>
        <w:rPr>
          <w:rFonts w:ascii="Garamond" w:hAnsi="Garamond"/>
        </w:rPr>
        <w:t xml:space="preserve">ompany had </w:t>
      </w:r>
      <w:r w:rsidR="00E8039E">
        <w:rPr>
          <w:rFonts w:ascii="Garamond" w:hAnsi="Garamond"/>
        </w:rPr>
        <w:t xml:space="preserve">checked for </w:t>
      </w:r>
      <w:r>
        <w:rPr>
          <w:rFonts w:ascii="Garamond" w:hAnsi="Garamond"/>
        </w:rPr>
        <w:t>leak</w:t>
      </w:r>
      <w:r w:rsidR="00E8039E">
        <w:rPr>
          <w:rFonts w:ascii="Garamond" w:hAnsi="Garamond"/>
        </w:rPr>
        <w:t>s</w:t>
      </w:r>
      <w:r w:rsidR="00995642">
        <w:rPr>
          <w:rFonts w:ascii="Garamond" w:hAnsi="Garamond"/>
        </w:rPr>
        <w:t xml:space="preserve"> </w:t>
      </w:r>
      <w:r w:rsidR="002D394F">
        <w:rPr>
          <w:rFonts w:ascii="Garamond" w:hAnsi="Garamond"/>
        </w:rPr>
        <w:t>that were</w:t>
      </w:r>
      <w:r>
        <w:rPr>
          <w:rFonts w:ascii="Garamond" w:hAnsi="Garamond"/>
        </w:rPr>
        <w:t xml:space="preserve"> occurring </w:t>
      </w:r>
      <w:r w:rsidR="00995642">
        <w:rPr>
          <w:rFonts w:ascii="Garamond" w:hAnsi="Garamond"/>
        </w:rPr>
        <w:t xml:space="preserve">from </w:t>
      </w:r>
      <w:r w:rsidR="006C3037">
        <w:rPr>
          <w:rFonts w:ascii="Garamond" w:hAnsi="Garamond"/>
        </w:rPr>
        <w:t xml:space="preserve">the </w:t>
      </w:r>
      <w:r>
        <w:rPr>
          <w:rFonts w:ascii="Garamond" w:hAnsi="Garamond"/>
        </w:rPr>
        <w:t xml:space="preserve">Spent Fuel Pool.  This </w:t>
      </w:r>
      <w:r w:rsidR="006C3037">
        <w:rPr>
          <w:rFonts w:ascii="Garamond" w:hAnsi="Garamond"/>
        </w:rPr>
        <w:t xml:space="preserve">entailed a misguided effort of </w:t>
      </w:r>
      <w:r>
        <w:rPr>
          <w:rFonts w:ascii="Garamond" w:hAnsi="Garamond"/>
        </w:rPr>
        <w:t xml:space="preserve">trouble shooting </w:t>
      </w:r>
      <w:r w:rsidR="00916A53">
        <w:rPr>
          <w:rFonts w:ascii="Garamond" w:hAnsi="Garamond"/>
        </w:rPr>
        <w:t xml:space="preserve">where </w:t>
      </w:r>
      <w:r>
        <w:rPr>
          <w:rFonts w:ascii="Garamond" w:hAnsi="Garamond"/>
        </w:rPr>
        <w:t xml:space="preserve">air pressure was put into the leakage channels </w:t>
      </w:r>
      <w:r w:rsidR="00995642">
        <w:rPr>
          <w:rFonts w:ascii="Garamond" w:hAnsi="Garamond"/>
        </w:rPr>
        <w:t>located around and beneath</w:t>
      </w:r>
      <w:r w:rsidR="006C3037">
        <w:rPr>
          <w:rFonts w:ascii="Garamond" w:hAnsi="Garamond"/>
        </w:rPr>
        <w:t xml:space="preserve"> </w:t>
      </w:r>
      <w:r>
        <w:rPr>
          <w:rFonts w:ascii="Garamond" w:hAnsi="Garamond"/>
        </w:rPr>
        <w:t xml:space="preserve">the </w:t>
      </w:r>
      <w:r w:rsidR="006C3037">
        <w:rPr>
          <w:rFonts w:ascii="Garamond" w:hAnsi="Garamond"/>
        </w:rPr>
        <w:t>Spent Fuel P</w:t>
      </w:r>
      <w:r>
        <w:rPr>
          <w:rFonts w:ascii="Garamond" w:hAnsi="Garamond"/>
        </w:rPr>
        <w:t>ool</w:t>
      </w:r>
      <w:r w:rsidR="00EA5B4E">
        <w:rPr>
          <w:rFonts w:ascii="Garamond" w:hAnsi="Garamond"/>
        </w:rPr>
        <w:t xml:space="preserve">.  </w:t>
      </w:r>
      <w:r w:rsidR="00995642">
        <w:rPr>
          <w:rFonts w:ascii="Garamond" w:hAnsi="Garamond"/>
        </w:rPr>
        <w:t>Initially 30 Pounds Per Square Inch (“PSI”) of air was forced into the leak</w:t>
      </w:r>
      <w:r w:rsidR="008D6734">
        <w:rPr>
          <w:rFonts w:ascii="Garamond" w:hAnsi="Garamond"/>
        </w:rPr>
        <w:t>age</w:t>
      </w:r>
      <w:r w:rsidR="00995642">
        <w:rPr>
          <w:rFonts w:ascii="Garamond" w:hAnsi="Garamond"/>
        </w:rPr>
        <w:t xml:space="preserve"> channels in the hope that the air would bleed through the leaks</w:t>
      </w:r>
      <w:r w:rsidR="00E8039E">
        <w:rPr>
          <w:rFonts w:ascii="Garamond" w:hAnsi="Garamond"/>
        </w:rPr>
        <w:t xml:space="preserve">. </w:t>
      </w:r>
      <w:r w:rsidR="00995642">
        <w:rPr>
          <w:rFonts w:ascii="Garamond" w:hAnsi="Garamond"/>
        </w:rPr>
        <w:t xml:space="preserve">The bubbling of air would </w:t>
      </w:r>
      <w:r w:rsidR="00E8039E">
        <w:rPr>
          <w:rFonts w:ascii="Garamond" w:hAnsi="Garamond"/>
        </w:rPr>
        <w:t xml:space="preserve">then </w:t>
      </w:r>
      <w:r w:rsidR="00995642">
        <w:rPr>
          <w:rFonts w:ascii="Garamond" w:hAnsi="Garamond"/>
        </w:rPr>
        <w:t xml:space="preserve">indicate the location of any leaks.  At this pressure no bubbles were observed.  Subsequently, the air pressure was unilaterally doubled to 60 PSI by the ITP engineer performing the test.  No time out was </w:t>
      </w:r>
      <w:r w:rsidR="002D394F">
        <w:rPr>
          <w:rFonts w:ascii="Garamond" w:hAnsi="Garamond"/>
        </w:rPr>
        <w:t>called,</w:t>
      </w:r>
      <w:r w:rsidR="00995642">
        <w:rPr>
          <w:rFonts w:ascii="Garamond" w:hAnsi="Garamond"/>
        </w:rPr>
        <w:t xml:space="preserve"> and no analysis was performed to pre-determine the effects of 60 PSI on the steel plates.  </w:t>
      </w:r>
      <w:r w:rsidR="00EA5B4E">
        <w:rPr>
          <w:rFonts w:ascii="Garamond" w:hAnsi="Garamond"/>
        </w:rPr>
        <w:t>This increase of pressure over a large area created forces</w:t>
      </w:r>
      <w:r>
        <w:rPr>
          <w:rFonts w:ascii="Garamond" w:hAnsi="Garamond"/>
        </w:rPr>
        <w:t xml:space="preserve"> which then distorted the Spent Fuel Pool and Fuel Transfer Canal steel lined plates</w:t>
      </w:r>
      <w:r w:rsidR="00747CBA">
        <w:rPr>
          <w:rFonts w:ascii="Garamond" w:hAnsi="Garamond"/>
        </w:rPr>
        <w:t xml:space="preserve"> on the floor of the pool</w:t>
      </w:r>
      <w:r w:rsidR="00995642">
        <w:rPr>
          <w:rFonts w:ascii="Garamond" w:hAnsi="Garamond"/>
        </w:rPr>
        <w:t>s</w:t>
      </w:r>
      <w:r>
        <w:rPr>
          <w:rFonts w:ascii="Garamond" w:hAnsi="Garamond"/>
        </w:rPr>
        <w:t>, thus necessitat</w:t>
      </w:r>
      <w:r w:rsidR="006C3037">
        <w:rPr>
          <w:rFonts w:ascii="Garamond" w:hAnsi="Garamond"/>
        </w:rPr>
        <w:t>ing</w:t>
      </w:r>
      <w:r>
        <w:rPr>
          <w:rFonts w:ascii="Garamond" w:hAnsi="Garamond"/>
        </w:rPr>
        <w:t xml:space="preserve"> the removal and reinstallation of new plates.  This is just one example of the emergent work </w:t>
      </w:r>
      <w:r w:rsidR="00843623">
        <w:rPr>
          <w:rFonts w:ascii="Garamond" w:hAnsi="Garamond"/>
        </w:rPr>
        <w:t>scope but</w:t>
      </w:r>
      <w:r w:rsidR="00916A53">
        <w:rPr>
          <w:rFonts w:ascii="Garamond" w:hAnsi="Garamond"/>
        </w:rPr>
        <w:t xml:space="preserve"> </w:t>
      </w:r>
      <w:r w:rsidR="006C3037">
        <w:rPr>
          <w:rFonts w:ascii="Garamond" w:hAnsi="Garamond"/>
        </w:rPr>
        <w:t xml:space="preserve">may </w:t>
      </w:r>
      <w:r>
        <w:rPr>
          <w:rFonts w:ascii="Garamond" w:hAnsi="Garamond"/>
        </w:rPr>
        <w:t xml:space="preserve">not </w:t>
      </w:r>
      <w:r w:rsidR="0026437A">
        <w:rPr>
          <w:rFonts w:ascii="Garamond" w:hAnsi="Garamond"/>
        </w:rPr>
        <w:t xml:space="preserve">even </w:t>
      </w:r>
      <w:r>
        <w:rPr>
          <w:rFonts w:ascii="Garamond" w:hAnsi="Garamond"/>
        </w:rPr>
        <w:t xml:space="preserve">prove to be the most schedule limiting rework issue.  </w:t>
      </w:r>
      <w:r w:rsidR="00843623">
        <w:rPr>
          <w:rFonts w:ascii="Garamond" w:hAnsi="Garamond"/>
        </w:rPr>
        <w:t>Rather, VMG</w:t>
      </w:r>
      <w:r w:rsidR="006C3037">
        <w:rPr>
          <w:rFonts w:ascii="Garamond" w:hAnsi="Garamond"/>
        </w:rPr>
        <w:t xml:space="preserve"> estimates that the emergent work scope which is the primary contributor to the extended U-3 schedule i</w:t>
      </w:r>
      <w:r w:rsidR="003945BA">
        <w:rPr>
          <w:rFonts w:ascii="Garamond" w:hAnsi="Garamond"/>
        </w:rPr>
        <w:t>nvolves</w:t>
      </w:r>
      <w:r w:rsidR="006C3037">
        <w:rPr>
          <w:rFonts w:ascii="Garamond" w:hAnsi="Garamond"/>
        </w:rPr>
        <w:t xml:space="preserve"> th</w:t>
      </w:r>
      <w:r w:rsidR="005B4A19">
        <w:rPr>
          <w:rFonts w:ascii="Garamond" w:hAnsi="Garamond"/>
        </w:rPr>
        <w:t>e work</w:t>
      </w:r>
      <w:r w:rsidR="006C3037">
        <w:rPr>
          <w:rFonts w:ascii="Garamond" w:hAnsi="Garamond"/>
        </w:rPr>
        <w:t xml:space="preserve"> required to rectify the electrical equipment and cable routing non-compliances to IEEE</w:t>
      </w:r>
      <w:r w:rsidR="00510286">
        <w:rPr>
          <w:rFonts w:ascii="Garamond" w:hAnsi="Garamond"/>
        </w:rPr>
        <w:t>-</w:t>
      </w:r>
      <w:r w:rsidR="006C3037">
        <w:rPr>
          <w:rFonts w:ascii="Garamond" w:hAnsi="Garamond"/>
        </w:rPr>
        <w:t xml:space="preserve">384.  </w:t>
      </w:r>
      <w:r w:rsidR="00510286">
        <w:rPr>
          <w:rFonts w:ascii="Garamond" w:hAnsi="Garamond"/>
        </w:rPr>
        <w:t xml:space="preserve">VMG </w:t>
      </w:r>
      <w:r w:rsidR="00916A53">
        <w:rPr>
          <w:rFonts w:ascii="Garamond" w:hAnsi="Garamond"/>
        </w:rPr>
        <w:t xml:space="preserve">observes </w:t>
      </w:r>
      <w:r w:rsidR="00230E58">
        <w:rPr>
          <w:rFonts w:ascii="Garamond" w:hAnsi="Garamond"/>
        </w:rPr>
        <w:t xml:space="preserve">that the </w:t>
      </w:r>
      <w:r w:rsidR="00510286">
        <w:rPr>
          <w:rFonts w:ascii="Garamond" w:hAnsi="Garamond"/>
        </w:rPr>
        <w:t>C</w:t>
      </w:r>
      <w:r w:rsidR="00230E58">
        <w:rPr>
          <w:rFonts w:ascii="Garamond" w:hAnsi="Garamond"/>
        </w:rPr>
        <w:t xml:space="preserve">ompany is starting to </w:t>
      </w:r>
      <w:r w:rsidR="00A247E5">
        <w:rPr>
          <w:rFonts w:ascii="Garamond" w:hAnsi="Garamond"/>
        </w:rPr>
        <w:t xml:space="preserve">complete the </w:t>
      </w:r>
      <w:r w:rsidR="002D394F">
        <w:rPr>
          <w:rFonts w:ascii="Garamond" w:hAnsi="Garamond"/>
        </w:rPr>
        <w:t>emergent</w:t>
      </w:r>
      <w:r w:rsidR="00510286">
        <w:rPr>
          <w:rFonts w:ascii="Garamond" w:hAnsi="Garamond"/>
        </w:rPr>
        <w:t xml:space="preserve"> </w:t>
      </w:r>
      <w:r w:rsidR="002D394F">
        <w:rPr>
          <w:rFonts w:ascii="Garamond" w:hAnsi="Garamond"/>
        </w:rPr>
        <w:t>work scope</w:t>
      </w:r>
      <w:r w:rsidR="00230E58">
        <w:rPr>
          <w:rFonts w:ascii="Garamond" w:hAnsi="Garamond"/>
        </w:rPr>
        <w:t xml:space="preserve"> </w:t>
      </w:r>
      <w:r w:rsidR="00E25223">
        <w:rPr>
          <w:rFonts w:ascii="Garamond" w:hAnsi="Garamond"/>
        </w:rPr>
        <w:t>for U</w:t>
      </w:r>
      <w:r w:rsidR="00230E58">
        <w:rPr>
          <w:rFonts w:ascii="Garamond" w:hAnsi="Garamond"/>
        </w:rPr>
        <w:t>-3</w:t>
      </w:r>
      <w:r w:rsidR="00697BF7">
        <w:rPr>
          <w:rFonts w:ascii="Garamond" w:hAnsi="Garamond"/>
        </w:rPr>
        <w:t>; however,</w:t>
      </w:r>
      <w:r w:rsidR="00230E58">
        <w:rPr>
          <w:rFonts w:ascii="Garamond" w:hAnsi="Garamond"/>
        </w:rPr>
        <w:t xml:space="preserve"> given the continued diversion of critical resources from U-</w:t>
      </w:r>
      <w:r w:rsidR="00637B2F">
        <w:rPr>
          <w:rFonts w:ascii="Garamond" w:hAnsi="Garamond"/>
        </w:rPr>
        <w:t xml:space="preserve">4 </w:t>
      </w:r>
      <w:r w:rsidR="00230E58">
        <w:rPr>
          <w:rFonts w:ascii="Garamond" w:hAnsi="Garamond"/>
        </w:rPr>
        <w:t xml:space="preserve">to support the higher priority U-3 </w:t>
      </w:r>
      <w:r w:rsidR="00843623">
        <w:rPr>
          <w:rFonts w:ascii="Garamond" w:hAnsi="Garamond"/>
        </w:rPr>
        <w:t>schedule, it</w:t>
      </w:r>
      <w:r w:rsidR="00230E58">
        <w:rPr>
          <w:rFonts w:ascii="Garamond" w:hAnsi="Garamond"/>
        </w:rPr>
        <w:t xml:space="preserve"> </w:t>
      </w:r>
      <w:r w:rsidR="005E547A">
        <w:rPr>
          <w:rFonts w:ascii="Garamond" w:hAnsi="Garamond"/>
        </w:rPr>
        <w:t xml:space="preserve">may </w:t>
      </w:r>
      <w:r w:rsidR="005E2D37">
        <w:rPr>
          <w:rFonts w:ascii="Garamond" w:hAnsi="Garamond"/>
        </w:rPr>
        <w:t xml:space="preserve">be </w:t>
      </w:r>
      <w:r w:rsidR="00230E58">
        <w:rPr>
          <w:rFonts w:ascii="Garamond" w:hAnsi="Garamond"/>
        </w:rPr>
        <w:t>more of an open issue for U-4 than it is U-3</w:t>
      </w:r>
      <w:r w:rsidR="005E2D37">
        <w:rPr>
          <w:rFonts w:ascii="Garamond" w:hAnsi="Garamond"/>
        </w:rPr>
        <w:t>.</w:t>
      </w:r>
    </w:p>
    <w:p w:rsidR="0026437A" w:rsidRDefault="0026437A" w:rsidP="00CF7B39">
      <w:pPr>
        <w:spacing w:line="480" w:lineRule="auto"/>
        <w:ind w:left="720" w:hanging="720"/>
        <w:rPr>
          <w:rFonts w:ascii="Garamond" w:hAnsi="Garamond"/>
          <w:b/>
          <w:bCs/>
        </w:rPr>
      </w:pPr>
      <w:r>
        <w:rPr>
          <w:rFonts w:ascii="Garamond" w:hAnsi="Garamond"/>
          <w:b/>
          <w:bCs/>
        </w:rPr>
        <w:lastRenderedPageBreak/>
        <w:t>Q:</w:t>
      </w:r>
      <w:r>
        <w:rPr>
          <w:rFonts w:ascii="Garamond" w:hAnsi="Garamond"/>
          <w:b/>
          <w:bCs/>
        </w:rPr>
        <w:tab/>
        <w:t>PLEASE ELABORATE FURTHER ON THE IEEE</w:t>
      </w:r>
      <w:r w:rsidR="00881648">
        <w:rPr>
          <w:rFonts w:ascii="Garamond" w:hAnsi="Garamond"/>
          <w:b/>
          <w:bCs/>
        </w:rPr>
        <w:t>-</w:t>
      </w:r>
      <w:r>
        <w:rPr>
          <w:rFonts w:ascii="Garamond" w:hAnsi="Garamond"/>
          <w:b/>
          <w:bCs/>
        </w:rPr>
        <w:t xml:space="preserve">384 NON-COMPLIANCES AND WHY </w:t>
      </w:r>
      <w:r w:rsidR="00881648">
        <w:rPr>
          <w:rFonts w:ascii="Garamond" w:hAnsi="Garamond"/>
          <w:b/>
          <w:bCs/>
        </w:rPr>
        <w:t xml:space="preserve">VMG BELIEVES ITS REMEDIATION </w:t>
      </w:r>
      <w:r>
        <w:rPr>
          <w:rFonts w:ascii="Garamond" w:hAnsi="Garamond"/>
          <w:b/>
          <w:bCs/>
        </w:rPr>
        <w:t>IS A SIGNIFICANT CONTRIBUTOR TO EXTENDING THE SCHEDULE?</w:t>
      </w:r>
    </w:p>
    <w:p w:rsidR="00601938" w:rsidRDefault="0026437A" w:rsidP="005E547A">
      <w:pPr>
        <w:spacing w:line="480" w:lineRule="auto"/>
        <w:ind w:left="720" w:hanging="720"/>
        <w:jc w:val="both"/>
        <w:rPr>
          <w:rFonts w:ascii="Garamond" w:hAnsi="Garamond"/>
        </w:rPr>
      </w:pPr>
      <w:r>
        <w:rPr>
          <w:rFonts w:ascii="Garamond" w:hAnsi="Garamond"/>
        </w:rPr>
        <w:t>A:</w:t>
      </w:r>
      <w:r>
        <w:rPr>
          <w:rFonts w:ascii="Garamond" w:hAnsi="Garamond"/>
        </w:rPr>
        <w:tab/>
        <w:t xml:space="preserve">As VMG has </w:t>
      </w:r>
      <w:r w:rsidR="00FD7F6E" w:rsidRPr="00FD7F6E">
        <w:rPr>
          <w:rFonts w:ascii="Garamond" w:hAnsi="Garamond"/>
        </w:rPr>
        <w:t xml:space="preserve">previously </w:t>
      </w:r>
      <w:r>
        <w:rPr>
          <w:rFonts w:ascii="Garamond" w:hAnsi="Garamond"/>
        </w:rPr>
        <w:t xml:space="preserve">testified, a strategic error in planning the execution of the </w:t>
      </w:r>
      <w:r w:rsidR="00881648">
        <w:rPr>
          <w:rFonts w:ascii="Garamond" w:hAnsi="Garamond"/>
        </w:rPr>
        <w:t>P</w:t>
      </w:r>
      <w:r>
        <w:rPr>
          <w:rFonts w:ascii="Garamond" w:hAnsi="Garamond"/>
        </w:rPr>
        <w:t>roject was the premature switching out of bulk installation of electrical commodities and focusing on a more piecemeal approach to the completion of the electrical work where the more limited (more limited when compared to what was previously planned) electrical work was focused on starting nearer term major milestones.  Th</w:t>
      </w:r>
      <w:r w:rsidR="00881648">
        <w:rPr>
          <w:rFonts w:ascii="Garamond" w:hAnsi="Garamond"/>
        </w:rPr>
        <w:t xml:space="preserve">e decision to piecemeal electrical commodity </w:t>
      </w:r>
      <w:r w:rsidR="00A247E5">
        <w:rPr>
          <w:rFonts w:ascii="Garamond" w:hAnsi="Garamond"/>
        </w:rPr>
        <w:t>installation has</w:t>
      </w:r>
      <w:r>
        <w:rPr>
          <w:rFonts w:ascii="Garamond" w:hAnsi="Garamond"/>
        </w:rPr>
        <w:t xml:space="preserve"> contributed to overall schedule slips, </w:t>
      </w:r>
      <w:r w:rsidR="00843623">
        <w:rPr>
          <w:rFonts w:ascii="Garamond" w:hAnsi="Garamond"/>
        </w:rPr>
        <w:t>and when</w:t>
      </w:r>
      <w:r>
        <w:rPr>
          <w:rFonts w:ascii="Garamond" w:hAnsi="Garamond"/>
        </w:rPr>
        <w:t xml:space="preserve"> </w:t>
      </w:r>
      <w:r w:rsidR="00881648">
        <w:rPr>
          <w:rFonts w:ascii="Garamond" w:hAnsi="Garamond"/>
        </w:rPr>
        <w:t>remedial work must be performed</w:t>
      </w:r>
      <w:r w:rsidR="00E25223">
        <w:rPr>
          <w:rFonts w:ascii="Garamond" w:hAnsi="Garamond"/>
        </w:rPr>
        <w:t>,</w:t>
      </w:r>
      <w:r w:rsidR="00881648">
        <w:rPr>
          <w:rFonts w:ascii="Garamond" w:hAnsi="Garamond"/>
        </w:rPr>
        <w:t xml:space="preserve"> </w:t>
      </w:r>
      <w:r w:rsidR="0069495D">
        <w:rPr>
          <w:rFonts w:ascii="Garamond" w:hAnsi="Garamond"/>
        </w:rPr>
        <w:t>it</w:t>
      </w:r>
      <w:r>
        <w:rPr>
          <w:rFonts w:ascii="Garamond" w:hAnsi="Garamond"/>
        </w:rPr>
        <w:t xml:space="preserve"> further complicate</w:t>
      </w:r>
      <w:r w:rsidR="00881648">
        <w:rPr>
          <w:rFonts w:ascii="Garamond" w:hAnsi="Garamond"/>
        </w:rPr>
        <w:t>s</w:t>
      </w:r>
      <w:r>
        <w:rPr>
          <w:rFonts w:ascii="Garamond" w:hAnsi="Garamond"/>
        </w:rPr>
        <w:t xml:space="preserve"> the </w:t>
      </w:r>
      <w:r w:rsidR="00B5583E">
        <w:rPr>
          <w:rFonts w:ascii="Garamond" w:hAnsi="Garamond"/>
        </w:rPr>
        <w:t xml:space="preserve">planning and execution of the remaining </w:t>
      </w:r>
      <w:r w:rsidR="00881648">
        <w:rPr>
          <w:rFonts w:ascii="Garamond" w:hAnsi="Garamond"/>
        </w:rPr>
        <w:t>P</w:t>
      </w:r>
      <w:r w:rsidR="00B5583E">
        <w:rPr>
          <w:rFonts w:ascii="Garamond" w:hAnsi="Garamond"/>
        </w:rPr>
        <w:t xml:space="preserve">roject work. </w:t>
      </w:r>
      <w:r>
        <w:rPr>
          <w:rFonts w:ascii="Garamond" w:hAnsi="Garamond"/>
        </w:rPr>
        <w:t xml:space="preserve"> </w:t>
      </w:r>
      <w:r w:rsidR="007B0C2A">
        <w:rPr>
          <w:rFonts w:ascii="Garamond" w:hAnsi="Garamond"/>
        </w:rPr>
        <w:t>For example,</w:t>
      </w:r>
      <w:r>
        <w:rPr>
          <w:rFonts w:ascii="Garamond" w:hAnsi="Garamond"/>
        </w:rPr>
        <w:t xml:space="preserve"> </w:t>
      </w:r>
      <w:r w:rsidR="00A247E5">
        <w:rPr>
          <w:rFonts w:ascii="Garamond" w:hAnsi="Garamond"/>
        </w:rPr>
        <w:t>already</w:t>
      </w:r>
      <w:r w:rsidR="00881648">
        <w:rPr>
          <w:rFonts w:ascii="Garamond" w:hAnsi="Garamond"/>
        </w:rPr>
        <w:t xml:space="preserve"> </w:t>
      </w:r>
      <w:r>
        <w:rPr>
          <w:rFonts w:ascii="Garamond" w:hAnsi="Garamond"/>
        </w:rPr>
        <w:t xml:space="preserve">terminated cables have had to be de-terminated, new cables run and terminated, and previously completed testing has had to be </w:t>
      </w:r>
      <w:r w:rsidR="00881648">
        <w:rPr>
          <w:rFonts w:ascii="Garamond" w:hAnsi="Garamond"/>
        </w:rPr>
        <w:t>reperformed</w:t>
      </w:r>
      <w:r>
        <w:rPr>
          <w:rFonts w:ascii="Garamond" w:hAnsi="Garamond"/>
        </w:rPr>
        <w:t xml:space="preserve">.  </w:t>
      </w:r>
      <w:r w:rsidR="00697BF7">
        <w:rPr>
          <w:rFonts w:ascii="Garamond" w:hAnsi="Garamond"/>
        </w:rPr>
        <w:t xml:space="preserve">Also, with work that was thought to be complete, the running of new cables has in some instances damaged already installed cable, thus adding more to what was thought to be completed work.  </w:t>
      </w:r>
      <w:r w:rsidR="00601938">
        <w:rPr>
          <w:rFonts w:ascii="Garamond" w:hAnsi="Garamond"/>
        </w:rPr>
        <w:t>Further complicating impacts which have then occurred include the following:</w:t>
      </w:r>
    </w:p>
    <w:p w:rsidR="00601938" w:rsidRDefault="00601938" w:rsidP="005E547A">
      <w:pPr>
        <w:numPr>
          <w:ilvl w:val="0"/>
          <w:numId w:val="28"/>
        </w:numPr>
        <w:spacing w:line="480" w:lineRule="auto"/>
        <w:jc w:val="both"/>
        <w:rPr>
          <w:rFonts w:ascii="Garamond" w:hAnsi="Garamond"/>
        </w:rPr>
      </w:pPr>
      <w:r>
        <w:rPr>
          <w:rFonts w:ascii="Garamond" w:hAnsi="Garamond"/>
        </w:rPr>
        <w:t xml:space="preserve">Needing to create additional Work Packages for re-doing work that had already been assumed to be complete.  This then further adds to the efforts needed to “close the work packages” and factor the added set of work packages into the turnover (from Construction to ITP) of the system which the </w:t>
      </w:r>
      <w:r w:rsidR="00881648">
        <w:rPr>
          <w:rFonts w:ascii="Garamond" w:hAnsi="Garamond"/>
        </w:rPr>
        <w:t xml:space="preserve">additional </w:t>
      </w:r>
      <w:r>
        <w:rPr>
          <w:rFonts w:ascii="Garamond" w:hAnsi="Garamond"/>
        </w:rPr>
        <w:t>work packages support.</w:t>
      </w:r>
    </w:p>
    <w:p w:rsidR="00601938" w:rsidRDefault="00107904" w:rsidP="005E547A">
      <w:pPr>
        <w:numPr>
          <w:ilvl w:val="0"/>
          <w:numId w:val="28"/>
        </w:numPr>
        <w:spacing w:line="480" w:lineRule="auto"/>
        <w:jc w:val="both"/>
        <w:rPr>
          <w:rFonts w:ascii="Garamond" w:hAnsi="Garamond"/>
        </w:rPr>
      </w:pPr>
      <w:r>
        <w:rPr>
          <w:rFonts w:ascii="Garamond" w:hAnsi="Garamond"/>
        </w:rPr>
        <w:t>P</w:t>
      </w:r>
      <w:r w:rsidR="00601938">
        <w:rPr>
          <w:rFonts w:ascii="Garamond" w:hAnsi="Garamond"/>
        </w:rPr>
        <w:t xml:space="preserve">otential changes in when the partial system </w:t>
      </w:r>
      <w:r w:rsidR="005E2D37">
        <w:rPr>
          <w:rFonts w:ascii="Garamond" w:hAnsi="Garamond"/>
        </w:rPr>
        <w:t xml:space="preserve">turnover </w:t>
      </w:r>
      <w:r w:rsidR="00601938">
        <w:rPr>
          <w:rFonts w:ascii="Garamond" w:hAnsi="Garamond"/>
        </w:rPr>
        <w:t xml:space="preserve">is to occur, and the resultant change in when the total system turnover is to </w:t>
      </w:r>
      <w:r w:rsidR="00843623">
        <w:rPr>
          <w:rFonts w:ascii="Garamond" w:hAnsi="Garamond"/>
        </w:rPr>
        <w:t>occur, can</w:t>
      </w:r>
      <w:r w:rsidR="00601938">
        <w:rPr>
          <w:rFonts w:ascii="Garamond" w:hAnsi="Garamond"/>
        </w:rPr>
        <w:t xml:space="preserve"> complicate </w:t>
      </w:r>
      <w:r w:rsidR="002721F1">
        <w:rPr>
          <w:rFonts w:ascii="Garamond" w:hAnsi="Garamond"/>
        </w:rPr>
        <w:t>and</w:t>
      </w:r>
      <w:r w:rsidR="00601938">
        <w:rPr>
          <w:rFonts w:ascii="Garamond" w:hAnsi="Garamond"/>
        </w:rPr>
        <w:t xml:space="preserve"> change the schedule by which future component tests, system tests, and pre-operational tests are to occur.</w:t>
      </w:r>
      <w:r w:rsidR="00A27078">
        <w:rPr>
          <w:rFonts w:ascii="Garamond" w:hAnsi="Garamond"/>
        </w:rPr>
        <w:t xml:space="preserve"> </w:t>
      </w:r>
    </w:p>
    <w:p w:rsidR="00A247E5" w:rsidRDefault="00A247E5" w:rsidP="00A247E5">
      <w:pPr>
        <w:numPr>
          <w:ilvl w:val="0"/>
          <w:numId w:val="28"/>
        </w:numPr>
        <w:spacing w:line="480" w:lineRule="auto"/>
        <w:jc w:val="both"/>
        <w:rPr>
          <w:rFonts w:ascii="Garamond" w:hAnsi="Garamond"/>
        </w:rPr>
      </w:pPr>
      <w:r>
        <w:rPr>
          <w:rFonts w:ascii="Garamond" w:hAnsi="Garamond"/>
        </w:rPr>
        <w:lastRenderedPageBreak/>
        <w:t>E</w:t>
      </w:r>
      <w:r w:rsidR="00601938">
        <w:rPr>
          <w:rFonts w:ascii="Garamond" w:hAnsi="Garamond"/>
        </w:rPr>
        <w:t xml:space="preserve">lectrical work encompasses the powering of equipment, and the monitoring and </w:t>
      </w:r>
      <w:r w:rsidR="0020632E">
        <w:rPr>
          <w:rFonts w:ascii="Garamond" w:hAnsi="Garamond"/>
        </w:rPr>
        <w:t xml:space="preserve">integrated </w:t>
      </w:r>
      <w:r w:rsidR="00601938">
        <w:rPr>
          <w:rFonts w:ascii="Garamond" w:hAnsi="Garamond"/>
        </w:rPr>
        <w:t xml:space="preserve">controls of the </w:t>
      </w:r>
      <w:r w:rsidR="0020632E">
        <w:rPr>
          <w:rFonts w:ascii="Garamond" w:hAnsi="Garamond"/>
        </w:rPr>
        <w:t>equipment comprising the various systems</w:t>
      </w:r>
      <w:r w:rsidR="006035AE">
        <w:rPr>
          <w:rFonts w:ascii="Garamond" w:hAnsi="Garamond"/>
        </w:rPr>
        <w:t xml:space="preserve">.  As such, planning and executing this critical work </w:t>
      </w:r>
      <w:r w:rsidR="0069495D">
        <w:rPr>
          <w:rFonts w:ascii="Garamond" w:hAnsi="Garamond"/>
        </w:rPr>
        <w:t xml:space="preserve">at this late stage of the </w:t>
      </w:r>
      <w:r w:rsidR="00E0153E">
        <w:rPr>
          <w:rFonts w:ascii="Garamond" w:hAnsi="Garamond"/>
        </w:rPr>
        <w:t>P</w:t>
      </w:r>
      <w:r w:rsidR="0069495D">
        <w:rPr>
          <w:rFonts w:ascii="Garamond" w:hAnsi="Garamond"/>
        </w:rPr>
        <w:t>roject can often require equipment Lock Outs and Tag Outs (</w:t>
      </w:r>
      <w:r w:rsidR="00E0153E">
        <w:rPr>
          <w:rFonts w:ascii="Garamond" w:hAnsi="Garamond"/>
        </w:rPr>
        <w:t>“</w:t>
      </w:r>
      <w:r w:rsidR="0069495D">
        <w:rPr>
          <w:rFonts w:ascii="Garamond" w:hAnsi="Garamond"/>
        </w:rPr>
        <w:t>LOTOs</w:t>
      </w:r>
      <w:r w:rsidR="00E0153E">
        <w:rPr>
          <w:rFonts w:ascii="Garamond" w:hAnsi="Garamond"/>
        </w:rPr>
        <w:t>”</w:t>
      </w:r>
      <w:r w:rsidR="0069495D">
        <w:rPr>
          <w:rFonts w:ascii="Garamond" w:hAnsi="Garamond"/>
        </w:rPr>
        <w:t xml:space="preserve">) which further complicates the planning and execution of this work. </w:t>
      </w:r>
    </w:p>
    <w:p w:rsidR="00601938" w:rsidRDefault="0069495D" w:rsidP="00A247E5">
      <w:pPr>
        <w:numPr>
          <w:ilvl w:val="0"/>
          <w:numId w:val="28"/>
        </w:numPr>
        <w:spacing w:line="480" w:lineRule="auto"/>
        <w:jc w:val="both"/>
        <w:rPr>
          <w:rFonts w:ascii="Garamond" w:hAnsi="Garamond"/>
        </w:rPr>
      </w:pPr>
      <w:r>
        <w:rPr>
          <w:rFonts w:ascii="Garamond" w:hAnsi="Garamond"/>
        </w:rPr>
        <w:t xml:space="preserve">An additional complication at this late stage of the </w:t>
      </w:r>
      <w:r w:rsidR="00E0153E">
        <w:rPr>
          <w:rFonts w:ascii="Garamond" w:hAnsi="Garamond"/>
        </w:rPr>
        <w:t>P</w:t>
      </w:r>
      <w:r>
        <w:rPr>
          <w:rFonts w:ascii="Garamond" w:hAnsi="Garamond"/>
        </w:rPr>
        <w:t xml:space="preserve">roject is the need for </w:t>
      </w:r>
      <w:r w:rsidR="0038469C">
        <w:rPr>
          <w:rFonts w:ascii="Garamond" w:hAnsi="Garamond"/>
        </w:rPr>
        <w:t>multiple number</w:t>
      </w:r>
      <w:r w:rsidR="00E25223">
        <w:rPr>
          <w:rFonts w:ascii="Garamond" w:hAnsi="Garamond"/>
        </w:rPr>
        <w:t>s</w:t>
      </w:r>
      <w:r w:rsidR="0038469C">
        <w:rPr>
          <w:rFonts w:ascii="Garamond" w:hAnsi="Garamond"/>
        </w:rPr>
        <w:t xml:space="preserve"> of </w:t>
      </w:r>
      <w:r>
        <w:rPr>
          <w:rFonts w:ascii="Garamond" w:hAnsi="Garamond"/>
        </w:rPr>
        <w:t xml:space="preserve">various </w:t>
      </w:r>
      <w:r w:rsidR="00637B2F">
        <w:rPr>
          <w:rFonts w:ascii="Garamond" w:hAnsi="Garamond"/>
        </w:rPr>
        <w:t>subcontractors</w:t>
      </w:r>
      <w:r w:rsidR="00A505F3">
        <w:rPr>
          <w:rFonts w:ascii="Garamond" w:hAnsi="Garamond"/>
        </w:rPr>
        <w:t xml:space="preserve"> to finish their work</w:t>
      </w:r>
      <w:r w:rsidR="00637B2F">
        <w:rPr>
          <w:rFonts w:ascii="Garamond" w:hAnsi="Garamond"/>
        </w:rPr>
        <w:t xml:space="preserve"> (referred to in prior VMG testimony as the “stacking of crafts”).  </w:t>
      </w:r>
      <w:r w:rsidR="00A505F3">
        <w:rPr>
          <w:rFonts w:ascii="Garamond" w:hAnsi="Garamond"/>
        </w:rPr>
        <w:t xml:space="preserve"> </w:t>
      </w:r>
    </w:p>
    <w:p w:rsidR="00601938" w:rsidRDefault="00B5583E" w:rsidP="00CF7B39">
      <w:pPr>
        <w:spacing w:line="480" w:lineRule="auto"/>
        <w:ind w:left="720" w:hanging="720"/>
        <w:rPr>
          <w:rFonts w:ascii="Garamond" w:hAnsi="Garamond"/>
          <w:b/>
          <w:bCs/>
        </w:rPr>
      </w:pPr>
      <w:r>
        <w:rPr>
          <w:rFonts w:ascii="Garamond" w:hAnsi="Garamond"/>
          <w:b/>
          <w:bCs/>
        </w:rPr>
        <w:t>Q:</w:t>
      </w:r>
      <w:r>
        <w:rPr>
          <w:rFonts w:ascii="Garamond" w:hAnsi="Garamond"/>
          <w:b/>
          <w:bCs/>
        </w:rPr>
        <w:tab/>
      </w:r>
      <w:r w:rsidR="002701C9">
        <w:rPr>
          <w:rFonts w:ascii="Garamond" w:hAnsi="Garamond"/>
          <w:b/>
          <w:bCs/>
        </w:rPr>
        <w:t xml:space="preserve">WHAT </w:t>
      </w:r>
      <w:r w:rsidR="0069495D">
        <w:rPr>
          <w:rFonts w:ascii="Garamond" w:hAnsi="Garamond"/>
          <w:b/>
          <w:bCs/>
        </w:rPr>
        <w:t>COMPANY METRICS</w:t>
      </w:r>
      <w:r>
        <w:rPr>
          <w:rFonts w:ascii="Garamond" w:hAnsi="Garamond"/>
          <w:b/>
          <w:bCs/>
        </w:rPr>
        <w:t xml:space="preserve"> </w:t>
      </w:r>
      <w:r w:rsidR="002701C9">
        <w:rPr>
          <w:rFonts w:ascii="Garamond" w:hAnsi="Garamond"/>
          <w:b/>
          <w:bCs/>
        </w:rPr>
        <w:t>SUPPORT THE ASSERTIONS IN THE ABOVE PARAGRAPH</w:t>
      </w:r>
      <w:r>
        <w:rPr>
          <w:rFonts w:ascii="Garamond" w:hAnsi="Garamond"/>
          <w:b/>
          <w:bCs/>
        </w:rPr>
        <w:t>?</w:t>
      </w:r>
    </w:p>
    <w:p w:rsidR="00504D49" w:rsidRDefault="00B5583E" w:rsidP="005E547A">
      <w:pPr>
        <w:spacing w:line="480" w:lineRule="auto"/>
        <w:ind w:left="720" w:hanging="720"/>
        <w:jc w:val="both"/>
        <w:rPr>
          <w:rFonts w:ascii="Garamond" w:hAnsi="Garamond"/>
        </w:rPr>
      </w:pPr>
      <w:r>
        <w:rPr>
          <w:rFonts w:ascii="Garamond" w:hAnsi="Garamond"/>
        </w:rPr>
        <w:t>A:</w:t>
      </w:r>
      <w:r>
        <w:rPr>
          <w:rFonts w:ascii="Garamond" w:hAnsi="Garamond"/>
        </w:rPr>
        <w:tab/>
      </w:r>
      <w:r w:rsidR="0069495D">
        <w:rPr>
          <w:rFonts w:ascii="Garamond" w:hAnsi="Garamond"/>
        </w:rPr>
        <w:t>T</w:t>
      </w:r>
      <w:r w:rsidR="005A7E8A">
        <w:rPr>
          <w:rFonts w:ascii="Garamond" w:hAnsi="Garamond"/>
        </w:rPr>
        <w:t xml:space="preserve">here are numerous metrics generated by the </w:t>
      </w:r>
      <w:r w:rsidR="002701C9">
        <w:rPr>
          <w:rFonts w:ascii="Garamond" w:hAnsi="Garamond"/>
        </w:rPr>
        <w:t>C</w:t>
      </w:r>
      <w:r w:rsidR="005A7E8A">
        <w:rPr>
          <w:rFonts w:ascii="Garamond" w:hAnsi="Garamond"/>
        </w:rPr>
        <w:t xml:space="preserve">ompany that would indicate </w:t>
      </w:r>
      <w:r w:rsidR="002701C9">
        <w:rPr>
          <w:rFonts w:ascii="Garamond" w:hAnsi="Garamond"/>
        </w:rPr>
        <w:t xml:space="preserve">that the </w:t>
      </w:r>
      <w:r w:rsidR="005A7E8A">
        <w:rPr>
          <w:rFonts w:ascii="Garamond" w:hAnsi="Garamond"/>
        </w:rPr>
        <w:t>103</w:t>
      </w:r>
      <w:r w:rsidR="008D6734">
        <w:rPr>
          <w:rFonts w:ascii="Garamond" w:hAnsi="Garamond"/>
        </w:rPr>
        <w:t>.</w:t>
      </w:r>
      <w:r w:rsidR="005A7E8A">
        <w:rPr>
          <w:rFonts w:ascii="Garamond" w:hAnsi="Garamond"/>
        </w:rPr>
        <w:t>g.</w:t>
      </w:r>
      <w:r w:rsidR="002701C9">
        <w:rPr>
          <w:rFonts w:ascii="Garamond" w:hAnsi="Garamond"/>
        </w:rPr>
        <w:t xml:space="preserve"> letter</w:t>
      </w:r>
      <w:r w:rsidR="005A7E8A">
        <w:rPr>
          <w:rFonts w:ascii="Garamond" w:hAnsi="Garamond"/>
        </w:rPr>
        <w:t xml:space="preserve"> and Start of Fuel Load dates are more </w:t>
      </w:r>
      <w:r w:rsidR="00090013">
        <w:rPr>
          <w:rFonts w:ascii="Garamond" w:hAnsi="Garamond"/>
        </w:rPr>
        <w:t xml:space="preserve">in </w:t>
      </w:r>
      <w:r w:rsidR="005A7E8A">
        <w:rPr>
          <w:rFonts w:ascii="Garamond" w:hAnsi="Garamond"/>
        </w:rPr>
        <w:t xml:space="preserve">line with </w:t>
      </w:r>
      <w:r w:rsidR="00090013">
        <w:rPr>
          <w:rFonts w:ascii="Garamond" w:hAnsi="Garamond"/>
        </w:rPr>
        <w:t xml:space="preserve">what </w:t>
      </w:r>
      <w:r w:rsidR="005A7E8A">
        <w:rPr>
          <w:rFonts w:ascii="Garamond" w:hAnsi="Garamond"/>
        </w:rPr>
        <w:t xml:space="preserve">the </w:t>
      </w:r>
      <w:r w:rsidR="002701C9">
        <w:rPr>
          <w:rFonts w:ascii="Garamond" w:hAnsi="Garamond"/>
        </w:rPr>
        <w:t>C</w:t>
      </w:r>
      <w:r w:rsidR="005A7E8A">
        <w:rPr>
          <w:rFonts w:ascii="Garamond" w:hAnsi="Garamond"/>
        </w:rPr>
        <w:t xml:space="preserve">ompany is now designating as their “Risk Adjusted” dates.  These metrics include the number of work packages to be closed to support each of these two milestones, the </w:t>
      </w:r>
      <w:r w:rsidR="007638D4">
        <w:rPr>
          <w:rFonts w:ascii="Garamond" w:hAnsi="Garamond"/>
        </w:rPr>
        <w:t xml:space="preserve">separate </w:t>
      </w:r>
      <w:r w:rsidR="005A7E8A">
        <w:rPr>
          <w:rFonts w:ascii="Garamond" w:hAnsi="Garamond"/>
        </w:rPr>
        <w:t>closure rate</w:t>
      </w:r>
      <w:r w:rsidR="007638D4">
        <w:rPr>
          <w:rFonts w:ascii="Garamond" w:hAnsi="Garamond"/>
        </w:rPr>
        <w:t>s</w:t>
      </w:r>
      <w:r w:rsidR="005A7E8A">
        <w:rPr>
          <w:rFonts w:ascii="Garamond" w:hAnsi="Garamond"/>
        </w:rPr>
        <w:t xml:space="preserve"> required to support the Site Working Schedule</w:t>
      </w:r>
      <w:r w:rsidR="007638D4">
        <w:rPr>
          <w:rFonts w:ascii="Garamond" w:hAnsi="Garamond"/>
        </w:rPr>
        <w:t>,</w:t>
      </w:r>
      <w:r w:rsidR="005A7E8A">
        <w:rPr>
          <w:rFonts w:ascii="Garamond" w:hAnsi="Garamond"/>
        </w:rPr>
        <w:t xml:space="preserve"> and the Risk Adjusted Schedule, and the actual rate of closures.  </w:t>
      </w:r>
      <w:r w:rsidR="00504D49">
        <w:rPr>
          <w:rFonts w:ascii="Garamond" w:hAnsi="Garamond"/>
        </w:rPr>
        <w:t xml:space="preserve">With respect to metrics such as the number of Work Packages to be closed, due to continual shifts into the future of work that is being required by a particular milestone, combined with Work Packages being added to correct Construction Quality issues, use of a metric such as Work Package closures can be difficult to interpret.  One measure that is not subject to </w:t>
      </w:r>
      <w:r w:rsidR="0069495D">
        <w:rPr>
          <w:rFonts w:ascii="Garamond" w:hAnsi="Garamond"/>
        </w:rPr>
        <w:t>change are</w:t>
      </w:r>
      <w:r w:rsidR="00504D49">
        <w:rPr>
          <w:rFonts w:ascii="Garamond" w:hAnsi="Garamond"/>
        </w:rPr>
        <w:t xml:space="preserve"> ITAACs.  The submittal of an “ITAAC Completion Notice” (ICN) represents the completion of work and associated tests</w:t>
      </w:r>
      <w:r w:rsidR="00B66C3B">
        <w:rPr>
          <w:rFonts w:ascii="Garamond" w:hAnsi="Garamond"/>
        </w:rPr>
        <w:t xml:space="preserve"> results that are required to be submitted to the NRC.  </w:t>
      </w:r>
      <w:r w:rsidR="0069495D">
        <w:rPr>
          <w:rFonts w:ascii="Garamond" w:hAnsi="Garamond"/>
        </w:rPr>
        <w:t xml:space="preserve">All ICNs are required to be submitted to, and approved by, the NRC to support NRC’s issuance of the 103.g. letter.  </w:t>
      </w:r>
      <w:r w:rsidR="00B66C3B">
        <w:rPr>
          <w:rFonts w:ascii="Garamond" w:hAnsi="Garamond"/>
        </w:rPr>
        <w:t xml:space="preserve">Table TS-2 below </w:t>
      </w:r>
      <w:r w:rsidR="00745029">
        <w:rPr>
          <w:rFonts w:ascii="Garamond" w:hAnsi="Garamond"/>
        </w:rPr>
        <w:t xml:space="preserve">shows </w:t>
      </w:r>
      <w:r w:rsidR="00504D49">
        <w:rPr>
          <w:rFonts w:ascii="Garamond" w:hAnsi="Garamond"/>
        </w:rPr>
        <w:t xml:space="preserve">actual versus planned </w:t>
      </w:r>
      <w:r w:rsidR="00B66C3B">
        <w:rPr>
          <w:rFonts w:ascii="Garamond" w:hAnsi="Garamond"/>
        </w:rPr>
        <w:t xml:space="preserve">ICN submittal </w:t>
      </w:r>
      <w:r w:rsidR="00504D49">
        <w:rPr>
          <w:rFonts w:ascii="Garamond" w:hAnsi="Garamond"/>
        </w:rPr>
        <w:t>performance</w:t>
      </w:r>
      <w:r w:rsidR="00745029">
        <w:rPr>
          <w:rFonts w:ascii="Garamond" w:hAnsi="Garamond"/>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2905"/>
        <w:gridCol w:w="2899"/>
      </w:tblGrid>
      <w:tr w:rsidR="00BD2307" w:rsidRPr="00740BAA" w:rsidTr="00740BAA">
        <w:tc>
          <w:tcPr>
            <w:tcW w:w="8943" w:type="dxa"/>
            <w:gridSpan w:val="3"/>
            <w:shd w:val="clear" w:color="auto" w:fill="auto"/>
          </w:tcPr>
          <w:p w:rsidR="00BD2307" w:rsidRPr="00843623" w:rsidRDefault="00BD2307" w:rsidP="00740BAA">
            <w:pPr>
              <w:spacing w:line="276" w:lineRule="auto"/>
              <w:jc w:val="center"/>
              <w:rPr>
                <w:rFonts w:ascii="Garamond" w:hAnsi="Garamond"/>
                <w:b/>
              </w:rPr>
            </w:pPr>
            <w:r w:rsidRPr="00843623">
              <w:rPr>
                <w:rFonts w:ascii="Garamond" w:hAnsi="Garamond"/>
                <w:b/>
              </w:rPr>
              <w:lastRenderedPageBreak/>
              <w:t>Table TS-2</w:t>
            </w:r>
            <w:r w:rsidR="002E47AA">
              <w:rPr>
                <w:rFonts w:ascii="Garamond" w:hAnsi="Garamond"/>
                <w:b/>
              </w:rPr>
              <w:t>:</w:t>
            </w:r>
            <w:r w:rsidRPr="00843623">
              <w:rPr>
                <w:rFonts w:ascii="Garamond" w:hAnsi="Garamond"/>
                <w:b/>
              </w:rPr>
              <w:t xml:space="preserve"> Company Submittal of ITAAC Completion Notices (ICNs)</w:t>
            </w:r>
          </w:p>
        </w:tc>
      </w:tr>
      <w:tr w:rsidR="00BD2307" w:rsidRPr="00740BAA" w:rsidTr="00740BAA">
        <w:tc>
          <w:tcPr>
            <w:tcW w:w="2981" w:type="dxa"/>
            <w:shd w:val="clear" w:color="auto" w:fill="auto"/>
          </w:tcPr>
          <w:p w:rsidR="00BD2307" w:rsidRPr="00740BAA" w:rsidRDefault="00BD2307" w:rsidP="00740BAA">
            <w:pPr>
              <w:spacing w:line="276" w:lineRule="auto"/>
              <w:jc w:val="center"/>
              <w:rPr>
                <w:rFonts w:ascii="Garamond" w:hAnsi="Garamond"/>
              </w:rPr>
            </w:pPr>
            <w:r w:rsidRPr="00740BAA">
              <w:rPr>
                <w:rFonts w:ascii="Garamond" w:hAnsi="Garamond"/>
              </w:rPr>
              <w:t xml:space="preserve">Month of </w:t>
            </w:r>
          </w:p>
        </w:tc>
        <w:tc>
          <w:tcPr>
            <w:tcW w:w="2981" w:type="dxa"/>
            <w:shd w:val="clear" w:color="auto" w:fill="auto"/>
          </w:tcPr>
          <w:p w:rsidR="00BD2307" w:rsidRPr="00740BAA" w:rsidRDefault="00BD2307" w:rsidP="00740BAA">
            <w:pPr>
              <w:spacing w:line="276" w:lineRule="auto"/>
              <w:jc w:val="center"/>
              <w:rPr>
                <w:rFonts w:ascii="Garamond" w:hAnsi="Garamond"/>
              </w:rPr>
            </w:pPr>
            <w:r w:rsidRPr="00740BAA">
              <w:rPr>
                <w:rFonts w:ascii="Garamond" w:hAnsi="Garamond"/>
              </w:rPr>
              <w:t>Planned</w:t>
            </w:r>
          </w:p>
        </w:tc>
        <w:tc>
          <w:tcPr>
            <w:tcW w:w="2981" w:type="dxa"/>
            <w:shd w:val="clear" w:color="auto" w:fill="auto"/>
          </w:tcPr>
          <w:p w:rsidR="00BD2307" w:rsidRPr="00740BAA" w:rsidRDefault="00BD2307" w:rsidP="00740BAA">
            <w:pPr>
              <w:spacing w:line="276" w:lineRule="auto"/>
              <w:jc w:val="center"/>
              <w:rPr>
                <w:rFonts w:ascii="Garamond" w:hAnsi="Garamond"/>
              </w:rPr>
            </w:pPr>
            <w:r w:rsidRPr="00740BAA">
              <w:rPr>
                <w:rFonts w:ascii="Garamond" w:hAnsi="Garamond"/>
              </w:rPr>
              <w:t>Actual</w:t>
            </w:r>
          </w:p>
        </w:tc>
      </w:tr>
      <w:tr w:rsidR="00BD2307" w:rsidRPr="00740BAA" w:rsidTr="00740BAA">
        <w:tc>
          <w:tcPr>
            <w:tcW w:w="2981" w:type="dxa"/>
            <w:shd w:val="clear" w:color="auto" w:fill="auto"/>
          </w:tcPr>
          <w:p w:rsidR="00BD2307" w:rsidRPr="00740BAA" w:rsidRDefault="00BD2307" w:rsidP="00740BAA">
            <w:pPr>
              <w:spacing w:line="276" w:lineRule="auto"/>
              <w:jc w:val="center"/>
              <w:rPr>
                <w:rFonts w:ascii="Garamond" w:hAnsi="Garamond"/>
              </w:rPr>
            </w:pPr>
            <w:r w:rsidRPr="00740BAA">
              <w:rPr>
                <w:rFonts w:ascii="Garamond" w:hAnsi="Garamond"/>
              </w:rPr>
              <w:t>August</w:t>
            </w:r>
          </w:p>
        </w:tc>
        <w:tc>
          <w:tcPr>
            <w:tcW w:w="2981" w:type="dxa"/>
            <w:shd w:val="clear" w:color="auto" w:fill="auto"/>
          </w:tcPr>
          <w:p w:rsidR="00BD2307" w:rsidRPr="00740BAA" w:rsidRDefault="00BD2307" w:rsidP="00740BAA">
            <w:pPr>
              <w:spacing w:line="276" w:lineRule="auto"/>
              <w:jc w:val="center"/>
              <w:rPr>
                <w:rFonts w:ascii="Garamond" w:hAnsi="Garamond"/>
              </w:rPr>
            </w:pPr>
            <w:r w:rsidRPr="00740BAA">
              <w:rPr>
                <w:rFonts w:ascii="Garamond" w:hAnsi="Garamond"/>
              </w:rPr>
              <w:t>78</w:t>
            </w:r>
          </w:p>
        </w:tc>
        <w:tc>
          <w:tcPr>
            <w:tcW w:w="2981" w:type="dxa"/>
            <w:shd w:val="clear" w:color="auto" w:fill="auto"/>
          </w:tcPr>
          <w:p w:rsidR="00BD2307" w:rsidRPr="00740BAA" w:rsidRDefault="00BD2307" w:rsidP="00740BAA">
            <w:pPr>
              <w:spacing w:line="276" w:lineRule="auto"/>
              <w:jc w:val="center"/>
              <w:rPr>
                <w:rFonts w:ascii="Garamond" w:hAnsi="Garamond"/>
              </w:rPr>
            </w:pPr>
            <w:r w:rsidRPr="00740BAA">
              <w:rPr>
                <w:rFonts w:ascii="Garamond" w:hAnsi="Garamond"/>
              </w:rPr>
              <w:t>6</w:t>
            </w:r>
          </w:p>
        </w:tc>
      </w:tr>
      <w:tr w:rsidR="00BD2307" w:rsidRPr="00740BAA" w:rsidTr="00740BAA">
        <w:tc>
          <w:tcPr>
            <w:tcW w:w="2981" w:type="dxa"/>
            <w:shd w:val="clear" w:color="auto" w:fill="auto"/>
          </w:tcPr>
          <w:p w:rsidR="00BD2307" w:rsidRPr="00740BAA" w:rsidRDefault="00BD2307" w:rsidP="00740BAA">
            <w:pPr>
              <w:spacing w:line="276" w:lineRule="auto"/>
              <w:jc w:val="center"/>
              <w:rPr>
                <w:rFonts w:ascii="Garamond" w:hAnsi="Garamond"/>
              </w:rPr>
            </w:pPr>
            <w:r w:rsidRPr="00740BAA">
              <w:rPr>
                <w:rFonts w:ascii="Garamond" w:hAnsi="Garamond"/>
              </w:rPr>
              <w:t>September</w:t>
            </w:r>
          </w:p>
        </w:tc>
        <w:tc>
          <w:tcPr>
            <w:tcW w:w="2981" w:type="dxa"/>
            <w:shd w:val="clear" w:color="auto" w:fill="auto"/>
          </w:tcPr>
          <w:p w:rsidR="00BD2307" w:rsidRPr="00740BAA" w:rsidRDefault="00BD2307" w:rsidP="00740BAA">
            <w:pPr>
              <w:spacing w:line="276" w:lineRule="auto"/>
              <w:jc w:val="center"/>
              <w:rPr>
                <w:rFonts w:ascii="Garamond" w:hAnsi="Garamond"/>
              </w:rPr>
            </w:pPr>
            <w:r w:rsidRPr="00740BAA">
              <w:rPr>
                <w:rFonts w:ascii="Garamond" w:hAnsi="Garamond"/>
              </w:rPr>
              <w:t>67</w:t>
            </w:r>
          </w:p>
        </w:tc>
        <w:tc>
          <w:tcPr>
            <w:tcW w:w="2981" w:type="dxa"/>
            <w:shd w:val="clear" w:color="auto" w:fill="auto"/>
          </w:tcPr>
          <w:p w:rsidR="00BD2307" w:rsidRPr="00740BAA" w:rsidRDefault="00BD2307" w:rsidP="00740BAA">
            <w:pPr>
              <w:spacing w:line="276" w:lineRule="auto"/>
              <w:jc w:val="center"/>
              <w:rPr>
                <w:rFonts w:ascii="Garamond" w:hAnsi="Garamond"/>
              </w:rPr>
            </w:pPr>
            <w:r w:rsidRPr="00740BAA">
              <w:rPr>
                <w:rFonts w:ascii="Garamond" w:hAnsi="Garamond"/>
              </w:rPr>
              <w:t>8</w:t>
            </w:r>
          </w:p>
        </w:tc>
      </w:tr>
      <w:tr w:rsidR="00BD2307" w:rsidRPr="00740BAA" w:rsidTr="00740BAA">
        <w:tc>
          <w:tcPr>
            <w:tcW w:w="2981" w:type="dxa"/>
            <w:shd w:val="clear" w:color="auto" w:fill="auto"/>
          </w:tcPr>
          <w:p w:rsidR="00BD2307" w:rsidRPr="00740BAA" w:rsidRDefault="00BD2307" w:rsidP="00740BAA">
            <w:pPr>
              <w:spacing w:line="276" w:lineRule="auto"/>
              <w:jc w:val="center"/>
              <w:rPr>
                <w:rFonts w:ascii="Garamond" w:hAnsi="Garamond"/>
              </w:rPr>
            </w:pPr>
            <w:r w:rsidRPr="00740BAA">
              <w:rPr>
                <w:rFonts w:ascii="Garamond" w:hAnsi="Garamond"/>
              </w:rPr>
              <w:t>October</w:t>
            </w:r>
          </w:p>
        </w:tc>
        <w:tc>
          <w:tcPr>
            <w:tcW w:w="2981" w:type="dxa"/>
            <w:shd w:val="clear" w:color="auto" w:fill="auto"/>
          </w:tcPr>
          <w:p w:rsidR="00BD2307" w:rsidRPr="00740BAA" w:rsidRDefault="00BD2307" w:rsidP="00740BAA">
            <w:pPr>
              <w:spacing w:line="276" w:lineRule="auto"/>
              <w:jc w:val="center"/>
              <w:rPr>
                <w:rFonts w:ascii="Garamond" w:hAnsi="Garamond"/>
              </w:rPr>
            </w:pPr>
            <w:r w:rsidRPr="00740BAA">
              <w:rPr>
                <w:rFonts w:ascii="Garamond" w:hAnsi="Garamond"/>
              </w:rPr>
              <w:t>47</w:t>
            </w:r>
          </w:p>
        </w:tc>
        <w:tc>
          <w:tcPr>
            <w:tcW w:w="2981" w:type="dxa"/>
            <w:shd w:val="clear" w:color="auto" w:fill="auto"/>
          </w:tcPr>
          <w:p w:rsidR="00BD2307" w:rsidRPr="00740BAA" w:rsidRDefault="00BD2307" w:rsidP="00740BAA">
            <w:pPr>
              <w:spacing w:line="276" w:lineRule="auto"/>
              <w:jc w:val="center"/>
              <w:rPr>
                <w:rFonts w:ascii="Garamond" w:hAnsi="Garamond"/>
              </w:rPr>
            </w:pPr>
            <w:r w:rsidRPr="00740BAA">
              <w:rPr>
                <w:rFonts w:ascii="Garamond" w:hAnsi="Garamond"/>
              </w:rPr>
              <w:t>21</w:t>
            </w:r>
          </w:p>
        </w:tc>
      </w:tr>
      <w:tr w:rsidR="00BD2307" w:rsidRPr="00740BAA" w:rsidTr="00740BAA">
        <w:trPr>
          <w:trHeight w:val="368"/>
        </w:trPr>
        <w:tc>
          <w:tcPr>
            <w:tcW w:w="8943" w:type="dxa"/>
            <w:gridSpan w:val="3"/>
            <w:shd w:val="clear" w:color="auto" w:fill="auto"/>
          </w:tcPr>
          <w:p w:rsidR="00BD2307" w:rsidRPr="00740BAA" w:rsidRDefault="00BD2307" w:rsidP="00740BAA">
            <w:pPr>
              <w:spacing w:line="276" w:lineRule="auto"/>
              <w:jc w:val="both"/>
              <w:rPr>
                <w:rFonts w:ascii="Garamond" w:hAnsi="Garamond"/>
              </w:rPr>
            </w:pPr>
            <w:r w:rsidRPr="00740BAA">
              <w:rPr>
                <w:rFonts w:ascii="Garamond" w:hAnsi="Garamond"/>
              </w:rPr>
              <w:t xml:space="preserve">NOTE: Source of Planned numbers is the July 2021 Monthly Project Review Presentation.  </w:t>
            </w:r>
            <w:r w:rsidR="00B66C3B" w:rsidRPr="00740BAA">
              <w:rPr>
                <w:rFonts w:ascii="Garamond" w:hAnsi="Garamond"/>
              </w:rPr>
              <w:t xml:space="preserve"> Finally, the number remaining to be submitted at the end of th</w:t>
            </w:r>
            <w:r w:rsidR="00993C46" w:rsidRPr="00740BAA">
              <w:rPr>
                <w:rFonts w:ascii="Garamond" w:hAnsi="Garamond"/>
              </w:rPr>
              <w:t>is</w:t>
            </w:r>
            <w:r w:rsidR="00B66C3B" w:rsidRPr="00740BAA">
              <w:rPr>
                <w:rFonts w:ascii="Garamond" w:hAnsi="Garamond"/>
              </w:rPr>
              <w:t xml:space="preserve"> reporting was 147.</w:t>
            </w:r>
          </w:p>
        </w:tc>
      </w:tr>
    </w:tbl>
    <w:p w:rsidR="00D55BBB" w:rsidRDefault="00383CBD" w:rsidP="00D55BBB">
      <w:pPr>
        <w:spacing w:line="480" w:lineRule="auto"/>
        <w:ind w:left="720" w:hanging="720"/>
        <w:jc w:val="both"/>
        <w:rPr>
          <w:rFonts w:ascii="Garamond" w:hAnsi="Garamond"/>
        </w:rPr>
      </w:pPr>
      <w:r>
        <w:rPr>
          <w:rFonts w:ascii="Garamond" w:hAnsi="Garamond"/>
        </w:rPr>
        <w:tab/>
      </w:r>
      <w:r w:rsidR="00993C46">
        <w:rPr>
          <w:rFonts w:ascii="Garamond" w:hAnsi="Garamond"/>
        </w:rPr>
        <w:t xml:space="preserve">Additional metrics that show how the risk adjusted milestones are more realistic than the site working schedule include </w:t>
      </w:r>
      <w:r w:rsidR="00D55BBB">
        <w:rPr>
          <w:rFonts w:ascii="Garamond" w:hAnsi="Garamond"/>
        </w:rPr>
        <w:t>t</w:t>
      </w:r>
      <w:r w:rsidR="003C2157">
        <w:rPr>
          <w:rFonts w:ascii="Garamond" w:hAnsi="Garamond"/>
        </w:rPr>
        <w:t xml:space="preserve">he numbers of Component Tests required to support </w:t>
      </w:r>
      <w:r w:rsidR="002701C9">
        <w:rPr>
          <w:rFonts w:ascii="Garamond" w:hAnsi="Garamond"/>
        </w:rPr>
        <w:t xml:space="preserve">the </w:t>
      </w:r>
      <w:r w:rsidR="00993C46">
        <w:rPr>
          <w:rFonts w:ascii="Garamond" w:hAnsi="Garamond"/>
        </w:rPr>
        <w:t xml:space="preserve">103g </w:t>
      </w:r>
      <w:r w:rsidR="002701C9">
        <w:rPr>
          <w:rFonts w:ascii="Garamond" w:hAnsi="Garamond"/>
        </w:rPr>
        <w:t xml:space="preserve">letter </w:t>
      </w:r>
      <w:r w:rsidR="00993C46">
        <w:rPr>
          <w:rFonts w:ascii="Garamond" w:hAnsi="Garamond"/>
        </w:rPr>
        <w:t xml:space="preserve">and Fuel Load, </w:t>
      </w:r>
      <w:r w:rsidR="00D55BBB">
        <w:rPr>
          <w:rFonts w:ascii="Garamond" w:hAnsi="Garamond"/>
        </w:rPr>
        <w:t xml:space="preserve">and the number of System Turnovers to Operations, both </w:t>
      </w:r>
      <w:r w:rsidR="00993C46">
        <w:rPr>
          <w:rFonts w:ascii="Garamond" w:hAnsi="Garamond"/>
        </w:rPr>
        <w:t xml:space="preserve">expressed </w:t>
      </w:r>
      <w:r w:rsidR="00D55BBB">
        <w:rPr>
          <w:rFonts w:ascii="Garamond" w:hAnsi="Garamond"/>
        </w:rPr>
        <w:t xml:space="preserve">separately </w:t>
      </w:r>
      <w:r w:rsidR="00993C46">
        <w:rPr>
          <w:rFonts w:ascii="Garamond" w:hAnsi="Garamond"/>
        </w:rPr>
        <w:t>in terms of the site working schedule</w:t>
      </w:r>
      <w:r w:rsidR="007638D4">
        <w:rPr>
          <w:rFonts w:ascii="Garamond" w:hAnsi="Garamond"/>
        </w:rPr>
        <w:t>,</w:t>
      </w:r>
      <w:r w:rsidR="00993C46">
        <w:rPr>
          <w:rFonts w:ascii="Garamond" w:hAnsi="Garamond"/>
        </w:rPr>
        <w:t xml:space="preserve"> and </w:t>
      </w:r>
      <w:r w:rsidR="007638D4">
        <w:rPr>
          <w:rFonts w:ascii="Garamond" w:hAnsi="Garamond"/>
        </w:rPr>
        <w:t xml:space="preserve">the </w:t>
      </w:r>
      <w:r w:rsidR="00993C46">
        <w:rPr>
          <w:rFonts w:ascii="Garamond" w:hAnsi="Garamond"/>
        </w:rPr>
        <w:t>risk adjusted dates</w:t>
      </w:r>
      <w:r w:rsidR="00D55BBB">
        <w:rPr>
          <w:rFonts w:ascii="Garamond" w:hAnsi="Garamond"/>
        </w:rPr>
        <w:t>.</w:t>
      </w:r>
      <w:r w:rsidR="00993C46">
        <w:rPr>
          <w:rFonts w:ascii="Garamond" w:hAnsi="Garamond"/>
        </w:rPr>
        <w:t xml:space="preserve"> </w:t>
      </w:r>
    </w:p>
    <w:p w:rsidR="00090013" w:rsidRDefault="00D55BBB" w:rsidP="00D55BBB">
      <w:pPr>
        <w:spacing w:line="480" w:lineRule="auto"/>
        <w:ind w:left="720" w:hanging="720"/>
        <w:jc w:val="both"/>
        <w:rPr>
          <w:rFonts w:ascii="Garamond" w:hAnsi="Garamond"/>
        </w:rPr>
      </w:pPr>
      <w:r>
        <w:rPr>
          <w:rFonts w:ascii="Garamond" w:hAnsi="Garamond"/>
        </w:rPr>
        <w:tab/>
      </w:r>
      <w:r w:rsidR="00090013">
        <w:rPr>
          <w:rFonts w:ascii="Garamond" w:hAnsi="Garamond"/>
        </w:rPr>
        <w:t xml:space="preserve">To further illustrate </w:t>
      </w:r>
      <w:r>
        <w:rPr>
          <w:rFonts w:ascii="Garamond" w:hAnsi="Garamond"/>
        </w:rPr>
        <w:t xml:space="preserve">the continued shifts of work into the future (which then complicates using some of these metrices), </w:t>
      </w:r>
      <w:r w:rsidR="00090013">
        <w:rPr>
          <w:rFonts w:ascii="Garamond" w:hAnsi="Garamond"/>
        </w:rPr>
        <w:t xml:space="preserve">there are </w:t>
      </w:r>
      <w:r w:rsidR="00023A56">
        <w:rPr>
          <w:rFonts w:ascii="Garamond" w:hAnsi="Garamond"/>
        </w:rPr>
        <w:t>87</w:t>
      </w:r>
      <w:r w:rsidR="00090013">
        <w:rPr>
          <w:rFonts w:ascii="Garamond" w:hAnsi="Garamond"/>
        </w:rPr>
        <w:t xml:space="preserve"> Systems that are required to be turned over to </w:t>
      </w:r>
      <w:r w:rsidR="00E0153E">
        <w:rPr>
          <w:rFonts w:ascii="Garamond" w:hAnsi="Garamond"/>
        </w:rPr>
        <w:t>O</w:t>
      </w:r>
      <w:r w:rsidR="00090013">
        <w:rPr>
          <w:rFonts w:ascii="Garamond" w:hAnsi="Garamond"/>
        </w:rPr>
        <w:t xml:space="preserve">perations, and </w:t>
      </w:r>
      <w:r w:rsidR="00E25223">
        <w:rPr>
          <w:rFonts w:ascii="Garamond" w:hAnsi="Garamond"/>
        </w:rPr>
        <w:t xml:space="preserve">as of this writing </w:t>
      </w:r>
      <w:r w:rsidR="00090013">
        <w:rPr>
          <w:rFonts w:ascii="Garamond" w:hAnsi="Garamond"/>
        </w:rPr>
        <w:t>only two systems (roof drains, and the system required to perform containment leak rate tests) have been turned over to Operations.</w:t>
      </w:r>
    </w:p>
    <w:p w:rsidR="0020632E" w:rsidRDefault="002E0D02" w:rsidP="005E547A">
      <w:pPr>
        <w:spacing w:line="480" w:lineRule="auto"/>
        <w:ind w:left="720"/>
        <w:jc w:val="both"/>
        <w:rPr>
          <w:rFonts w:ascii="Garamond" w:hAnsi="Garamond"/>
        </w:rPr>
      </w:pPr>
      <w:r>
        <w:rPr>
          <w:rFonts w:ascii="Garamond" w:hAnsi="Garamond"/>
        </w:rPr>
        <w:t>B</w:t>
      </w:r>
      <w:r w:rsidR="003C2157" w:rsidRPr="003C2157">
        <w:rPr>
          <w:rFonts w:ascii="Garamond" w:hAnsi="Garamond"/>
        </w:rPr>
        <w:t xml:space="preserve">ased on a summary analysis of </w:t>
      </w:r>
      <w:r w:rsidR="004C66FC">
        <w:rPr>
          <w:rFonts w:ascii="Garamond" w:hAnsi="Garamond"/>
        </w:rPr>
        <w:t xml:space="preserve">all </w:t>
      </w:r>
      <w:r w:rsidR="003C2157" w:rsidRPr="003C2157">
        <w:rPr>
          <w:rFonts w:ascii="Garamond" w:hAnsi="Garamond"/>
        </w:rPr>
        <w:t>this data</w:t>
      </w:r>
      <w:r w:rsidR="00090013">
        <w:rPr>
          <w:rFonts w:ascii="Garamond" w:hAnsi="Garamond"/>
        </w:rPr>
        <w:t xml:space="preserve">, </w:t>
      </w:r>
      <w:r w:rsidR="003C2157" w:rsidRPr="003C2157">
        <w:rPr>
          <w:rFonts w:ascii="Garamond" w:hAnsi="Garamond"/>
        </w:rPr>
        <w:t xml:space="preserve">VMG concludes that the </w:t>
      </w:r>
      <w:r>
        <w:rPr>
          <w:rFonts w:ascii="Garamond" w:hAnsi="Garamond"/>
        </w:rPr>
        <w:t>C</w:t>
      </w:r>
      <w:r w:rsidR="00090013">
        <w:rPr>
          <w:rFonts w:ascii="Garamond" w:hAnsi="Garamond"/>
        </w:rPr>
        <w:t xml:space="preserve">ompany’s </w:t>
      </w:r>
      <w:r w:rsidR="003C2157" w:rsidRPr="003C2157">
        <w:rPr>
          <w:rFonts w:ascii="Garamond" w:hAnsi="Garamond"/>
        </w:rPr>
        <w:t>“Risk Adjusted</w:t>
      </w:r>
      <w:r w:rsidR="00090013">
        <w:rPr>
          <w:rFonts w:ascii="Garamond" w:hAnsi="Garamond"/>
        </w:rPr>
        <w:t>”</w:t>
      </w:r>
      <w:r w:rsidR="003C2157" w:rsidRPr="003C2157">
        <w:rPr>
          <w:rFonts w:ascii="Garamond" w:hAnsi="Garamond"/>
        </w:rPr>
        <w:t xml:space="preserve"> dates</w:t>
      </w:r>
      <w:r w:rsidR="003C2157">
        <w:rPr>
          <w:rFonts w:ascii="Garamond" w:hAnsi="Garamond"/>
        </w:rPr>
        <w:t xml:space="preserve"> for </w:t>
      </w:r>
      <w:r>
        <w:rPr>
          <w:rFonts w:ascii="Garamond" w:hAnsi="Garamond"/>
        </w:rPr>
        <w:t xml:space="preserve">the </w:t>
      </w:r>
      <w:r w:rsidR="003C2157">
        <w:rPr>
          <w:rFonts w:ascii="Garamond" w:hAnsi="Garamond"/>
        </w:rPr>
        <w:t>103</w:t>
      </w:r>
      <w:r w:rsidR="008D6734">
        <w:rPr>
          <w:rFonts w:ascii="Garamond" w:hAnsi="Garamond"/>
        </w:rPr>
        <w:t>.</w:t>
      </w:r>
      <w:r w:rsidR="003C2157">
        <w:rPr>
          <w:rFonts w:ascii="Garamond" w:hAnsi="Garamond"/>
        </w:rPr>
        <w:t xml:space="preserve">g. </w:t>
      </w:r>
      <w:r>
        <w:rPr>
          <w:rFonts w:ascii="Garamond" w:hAnsi="Garamond"/>
        </w:rPr>
        <w:t xml:space="preserve">letter </w:t>
      </w:r>
      <w:r w:rsidR="003C2157">
        <w:rPr>
          <w:rFonts w:ascii="Garamond" w:hAnsi="Garamond"/>
        </w:rPr>
        <w:t>and for the Start of Fuel Load</w:t>
      </w:r>
      <w:r w:rsidR="003C2157" w:rsidRPr="003C2157">
        <w:rPr>
          <w:rFonts w:ascii="Garamond" w:hAnsi="Garamond"/>
        </w:rPr>
        <w:t xml:space="preserve"> are much more realistic than the Site Work Plan </w:t>
      </w:r>
      <w:r w:rsidR="00E25223">
        <w:rPr>
          <w:rFonts w:ascii="Garamond" w:hAnsi="Garamond"/>
        </w:rPr>
        <w:t>d</w:t>
      </w:r>
      <w:r w:rsidR="003C2157" w:rsidRPr="003C2157">
        <w:rPr>
          <w:rFonts w:ascii="Garamond" w:hAnsi="Garamond"/>
        </w:rPr>
        <w:t>ates</w:t>
      </w:r>
      <w:r w:rsidR="00745029">
        <w:rPr>
          <w:rFonts w:ascii="Garamond" w:hAnsi="Garamond"/>
        </w:rPr>
        <w:t xml:space="preserve">; however, </w:t>
      </w:r>
      <w:r w:rsidR="00916A53">
        <w:rPr>
          <w:rFonts w:ascii="Garamond" w:hAnsi="Garamond"/>
        </w:rPr>
        <w:t>VMG believes</w:t>
      </w:r>
      <w:r w:rsidR="00745029">
        <w:rPr>
          <w:rFonts w:ascii="Garamond" w:hAnsi="Garamond"/>
        </w:rPr>
        <w:t xml:space="preserve"> the Risk Adjusted Date of September 2022 for the U-3 COD is </w:t>
      </w:r>
      <w:r w:rsidR="005C3029">
        <w:rPr>
          <w:rFonts w:ascii="Garamond" w:hAnsi="Garamond"/>
        </w:rPr>
        <w:t>still</w:t>
      </w:r>
      <w:r w:rsidR="00745029">
        <w:rPr>
          <w:rFonts w:ascii="Garamond" w:hAnsi="Garamond"/>
        </w:rPr>
        <w:t xml:space="preserve"> unrealistic in that there should be (at the least) a 6 month duration from the Start of Fuel Load to the U-3 COD. </w:t>
      </w:r>
    </w:p>
    <w:p w:rsidR="00090013" w:rsidRDefault="00090013" w:rsidP="005E547A">
      <w:pPr>
        <w:spacing w:line="480" w:lineRule="auto"/>
        <w:jc w:val="both"/>
        <w:rPr>
          <w:rFonts w:ascii="Garamond" w:hAnsi="Garamond"/>
          <w:b/>
          <w:bCs/>
        </w:rPr>
      </w:pPr>
      <w:r>
        <w:rPr>
          <w:rFonts w:ascii="Garamond" w:hAnsi="Garamond"/>
          <w:b/>
          <w:bCs/>
        </w:rPr>
        <w:t>Q:</w:t>
      </w:r>
      <w:r>
        <w:rPr>
          <w:rFonts w:ascii="Garamond" w:hAnsi="Garamond"/>
          <w:b/>
          <w:bCs/>
        </w:rPr>
        <w:tab/>
        <w:t xml:space="preserve">IS THERE ANYTHING ELSE THAT VMG NEEDS TO ADDRESS BEFORE </w:t>
      </w:r>
    </w:p>
    <w:p w:rsidR="004C66FC" w:rsidRDefault="00090013" w:rsidP="005E547A">
      <w:pPr>
        <w:spacing w:line="480" w:lineRule="auto"/>
        <w:jc w:val="both"/>
        <w:rPr>
          <w:rFonts w:ascii="Garamond" w:hAnsi="Garamond"/>
          <w:b/>
          <w:bCs/>
        </w:rPr>
      </w:pPr>
      <w:r>
        <w:rPr>
          <w:rFonts w:ascii="Garamond" w:hAnsi="Garamond"/>
          <w:b/>
          <w:bCs/>
        </w:rPr>
        <w:tab/>
        <w:t>PROVIDING A SUMMARY ANALYSIS OF THE REMAINING U-3 SCHEDULE?</w:t>
      </w:r>
    </w:p>
    <w:p w:rsidR="00BB5C86" w:rsidRPr="009E0ACF" w:rsidRDefault="009E0ACF" w:rsidP="005E547A">
      <w:pPr>
        <w:spacing w:line="480" w:lineRule="auto"/>
        <w:jc w:val="both"/>
        <w:rPr>
          <w:rFonts w:ascii="Garamond" w:hAnsi="Garamond"/>
        </w:rPr>
      </w:pPr>
      <w:r>
        <w:rPr>
          <w:rFonts w:ascii="Garamond" w:hAnsi="Garamond"/>
        </w:rPr>
        <w:t>A:</w:t>
      </w:r>
      <w:r>
        <w:rPr>
          <w:rFonts w:ascii="Garamond" w:hAnsi="Garamond"/>
        </w:rPr>
        <w:tab/>
      </w:r>
      <w:r w:rsidR="00916A53">
        <w:rPr>
          <w:rFonts w:ascii="Garamond" w:hAnsi="Garamond"/>
        </w:rPr>
        <w:t>E</w:t>
      </w:r>
      <w:r w:rsidR="00E8039E">
        <w:rPr>
          <w:rFonts w:ascii="Garamond" w:hAnsi="Garamond"/>
        </w:rPr>
        <w:t xml:space="preserve">ven at this late date </w:t>
      </w:r>
      <w:r w:rsidR="00916A53">
        <w:rPr>
          <w:rFonts w:ascii="Garamond" w:hAnsi="Garamond"/>
        </w:rPr>
        <w:t xml:space="preserve">the Company is </w:t>
      </w:r>
      <w:r w:rsidR="00E8039E">
        <w:rPr>
          <w:rFonts w:ascii="Garamond" w:hAnsi="Garamond"/>
        </w:rPr>
        <w:t xml:space="preserve">continuing to consider </w:t>
      </w:r>
      <w:r w:rsidR="00D55BBB">
        <w:rPr>
          <w:rFonts w:ascii="Garamond" w:hAnsi="Garamond"/>
        </w:rPr>
        <w:t xml:space="preserve">deferring </w:t>
      </w:r>
      <w:r w:rsidR="00E8039E">
        <w:rPr>
          <w:rFonts w:ascii="Garamond" w:hAnsi="Garamond"/>
        </w:rPr>
        <w:t xml:space="preserve">of </w:t>
      </w:r>
      <w:r w:rsidR="00D55BBB">
        <w:rPr>
          <w:rFonts w:ascii="Garamond" w:hAnsi="Garamond"/>
        </w:rPr>
        <w:t xml:space="preserve">planned work into </w:t>
      </w:r>
      <w:r w:rsidR="00843623">
        <w:rPr>
          <w:rFonts w:ascii="Garamond" w:hAnsi="Garamond"/>
        </w:rPr>
        <w:tab/>
      </w:r>
      <w:r w:rsidR="00D55BBB">
        <w:rPr>
          <w:rFonts w:ascii="Garamond" w:hAnsi="Garamond"/>
        </w:rPr>
        <w:t xml:space="preserve">the future.  </w:t>
      </w:r>
      <w:r w:rsidR="00E8039E">
        <w:rPr>
          <w:rFonts w:ascii="Garamond" w:hAnsi="Garamond"/>
        </w:rPr>
        <w:t>To illustrate, t</w:t>
      </w:r>
      <w:r w:rsidR="0038469C">
        <w:rPr>
          <w:rFonts w:ascii="Garamond" w:hAnsi="Garamond"/>
        </w:rPr>
        <w:t xml:space="preserve">he </w:t>
      </w:r>
      <w:r w:rsidR="000B4F37">
        <w:rPr>
          <w:rFonts w:ascii="Garamond" w:hAnsi="Garamond"/>
        </w:rPr>
        <w:t>C</w:t>
      </w:r>
      <w:r w:rsidR="00BB5C86">
        <w:rPr>
          <w:rFonts w:ascii="Garamond" w:hAnsi="Garamond"/>
        </w:rPr>
        <w:t>ompany is further segregat</w:t>
      </w:r>
      <w:r w:rsidR="000B4F37">
        <w:rPr>
          <w:rFonts w:ascii="Garamond" w:hAnsi="Garamond"/>
        </w:rPr>
        <w:t>ing</w:t>
      </w:r>
      <w:r w:rsidR="00BB5C86">
        <w:rPr>
          <w:rFonts w:ascii="Garamond" w:hAnsi="Garamond"/>
        </w:rPr>
        <w:t xml:space="preserve"> the work currently identified as </w:t>
      </w:r>
      <w:r w:rsidR="00EB25C8">
        <w:rPr>
          <w:rFonts w:ascii="Garamond" w:hAnsi="Garamond"/>
        </w:rPr>
        <w:tab/>
      </w:r>
      <w:r w:rsidR="00BB5C86">
        <w:rPr>
          <w:rFonts w:ascii="Garamond" w:hAnsi="Garamond"/>
        </w:rPr>
        <w:t xml:space="preserve">being required to start Fuel Load, to retain some of the work within this category, and to </w:t>
      </w:r>
      <w:r w:rsidR="0038469C">
        <w:rPr>
          <w:rFonts w:ascii="Garamond" w:hAnsi="Garamond"/>
        </w:rPr>
        <w:tab/>
      </w:r>
      <w:r w:rsidR="00BB5C86">
        <w:rPr>
          <w:rFonts w:ascii="Garamond" w:hAnsi="Garamond"/>
        </w:rPr>
        <w:t xml:space="preserve">defer the remainder of this work to after the Start of Fuel Load.  </w:t>
      </w:r>
      <w:r w:rsidR="00E8039E">
        <w:rPr>
          <w:rFonts w:ascii="Garamond" w:hAnsi="Garamond"/>
        </w:rPr>
        <w:t xml:space="preserve">And, </w:t>
      </w:r>
      <w:r w:rsidR="00BB5C86">
        <w:rPr>
          <w:rFonts w:ascii="Garamond" w:hAnsi="Garamond"/>
        </w:rPr>
        <w:t xml:space="preserve">as </w:t>
      </w:r>
      <w:r w:rsidR="00E8039E">
        <w:rPr>
          <w:rFonts w:ascii="Garamond" w:hAnsi="Garamond"/>
        </w:rPr>
        <w:t xml:space="preserve">was </w:t>
      </w:r>
      <w:r w:rsidR="00BB5C86">
        <w:rPr>
          <w:rFonts w:ascii="Garamond" w:hAnsi="Garamond"/>
        </w:rPr>
        <w:t xml:space="preserve">noted </w:t>
      </w:r>
      <w:r w:rsidR="00EB25C8">
        <w:rPr>
          <w:rFonts w:ascii="Garamond" w:hAnsi="Garamond"/>
        </w:rPr>
        <w:lastRenderedPageBreak/>
        <w:tab/>
      </w:r>
      <w:r w:rsidR="00BB5C86">
        <w:rPr>
          <w:rFonts w:ascii="Garamond" w:hAnsi="Garamond"/>
        </w:rPr>
        <w:t>previously</w:t>
      </w:r>
      <w:r w:rsidR="00E8039E">
        <w:rPr>
          <w:rFonts w:ascii="Garamond" w:hAnsi="Garamond"/>
        </w:rPr>
        <w:t>,</w:t>
      </w:r>
      <w:r w:rsidR="00BB5C86">
        <w:rPr>
          <w:rFonts w:ascii="Garamond" w:hAnsi="Garamond"/>
        </w:rPr>
        <w:t xml:space="preserve"> </w:t>
      </w:r>
      <w:r w:rsidR="00E8039E">
        <w:rPr>
          <w:rFonts w:ascii="Garamond" w:hAnsi="Garamond"/>
        </w:rPr>
        <w:t xml:space="preserve">there </w:t>
      </w:r>
      <w:r w:rsidR="00BB5C86">
        <w:rPr>
          <w:rFonts w:ascii="Garamond" w:hAnsi="Garamond"/>
        </w:rPr>
        <w:t xml:space="preserve">are </w:t>
      </w:r>
      <w:r w:rsidR="00023A56">
        <w:rPr>
          <w:rFonts w:ascii="Garamond" w:hAnsi="Garamond"/>
        </w:rPr>
        <w:t>87</w:t>
      </w:r>
      <w:r w:rsidR="00BB5C86">
        <w:rPr>
          <w:rFonts w:ascii="Garamond" w:hAnsi="Garamond"/>
        </w:rPr>
        <w:t xml:space="preserve"> Systems to Turnover to Operations, and 2 ha</w:t>
      </w:r>
      <w:r w:rsidR="00E8039E">
        <w:rPr>
          <w:rFonts w:ascii="Garamond" w:hAnsi="Garamond"/>
        </w:rPr>
        <w:t>ve</w:t>
      </w:r>
      <w:r w:rsidR="00BB5C86">
        <w:rPr>
          <w:rFonts w:ascii="Garamond" w:hAnsi="Garamond"/>
        </w:rPr>
        <w:t xml:space="preserve"> been turned over.  </w:t>
      </w:r>
      <w:r w:rsidR="00EB25C8">
        <w:rPr>
          <w:rFonts w:ascii="Garamond" w:hAnsi="Garamond"/>
        </w:rPr>
        <w:tab/>
      </w:r>
      <w:r w:rsidR="00BB5C86">
        <w:rPr>
          <w:rFonts w:ascii="Garamond" w:hAnsi="Garamond"/>
        </w:rPr>
        <w:t xml:space="preserve">Of the remaining </w:t>
      </w:r>
      <w:proofErr w:type="gramStart"/>
      <w:r w:rsidR="00023A56">
        <w:rPr>
          <w:rFonts w:ascii="Garamond" w:hAnsi="Garamond"/>
        </w:rPr>
        <w:t xml:space="preserve">85 </w:t>
      </w:r>
      <w:r w:rsidR="00BB5C86">
        <w:rPr>
          <w:rFonts w:ascii="Garamond" w:hAnsi="Garamond"/>
        </w:rPr>
        <w:t xml:space="preserve"> Systems</w:t>
      </w:r>
      <w:proofErr w:type="gramEnd"/>
      <w:r w:rsidR="00BB5C86">
        <w:rPr>
          <w:rFonts w:ascii="Garamond" w:hAnsi="Garamond"/>
        </w:rPr>
        <w:t xml:space="preserve">, VMG understands </w:t>
      </w:r>
      <w:r w:rsidR="00117BD0">
        <w:rPr>
          <w:rFonts w:ascii="Garamond" w:hAnsi="Garamond"/>
        </w:rPr>
        <w:t xml:space="preserve">(based on a November site visit) </w:t>
      </w:r>
      <w:r w:rsidR="00BB5C86">
        <w:rPr>
          <w:rFonts w:ascii="Garamond" w:hAnsi="Garamond"/>
        </w:rPr>
        <w:t xml:space="preserve">that </w:t>
      </w:r>
      <w:r w:rsidR="00117BD0">
        <w:rPr>
          <w:rFonts w:ascii="Garamond" w:hAnsi="Garamond"/>
        </w:rPr>
        <w:tab/>
        <w:t>f</w:t>
      </w:r>
      <w:r w:rsidR="00BB5C86">
        <w:rPr>
          <w:rFonts w:ascii="Garamond" w:hAnsi="Garamond"/>
        </w:rPr>
        <w:t>urther efforts are being made to</w:t>
      </w:r>
      <w:r w:rsidR="00E8039E">
        <w:rPr>
          <w:rFonts w:ascii="Garamond" w:hAnsi="Garamond"/>
        </w:rPr>
        <w:t xml:space="preserve"> r</w:t>
      </w:r>
      <w:r w:rsidR="00BB5C86">
        <w:rPr>
          <w:rFonts w:ascii="Garamond" w:hAnsi="Garamond"/>
        </w:rPr>
        <w:t xml:space="preserve">equire only 48 systems to be turned </w:t>
      </w:r>
      <w:r w:rsidR="00117BD0">
        <w:rPr>
          <w:rFonts w:ascii="Garamond" w:hAnsi="Garamond"/>
        </w:rPr>
        <w:tab/>
      </w:r>
      <w:r w:rsidR="00BB5C86">
        <w:rPr>
          <w:rFonts w:ascii="Garamond" w:hAnsi="Garamond"/>
        </w:rPr>
        <w:t>over to</w:t>
      </w:r>
      <w:r w:rsidR="009B643A">
        <w:rPr>
          <w:rFonts w:ascii="Garamond" w:hAnsi="Garamond"/>
        </w:rPr>
        <w:t xml:space="preserve"> </w:t>
      </w:r>
      <w:r w:rsidR="00BB5C86">
        <w:rPr>
          <w:rFonts w:ascii="Garamond" w:hAnsi="Garamond"/>
        </w:rPr>
        <w:t xml:space="preserve">Operations prior to the Start of Fuel Load.  </w:t>
      </w:r>
      <w:r w:rsidR="00E25223">
        <w:rPr>
          <w:rFonts w:ascii="Garamond" w:hAnsi="Garamond"/>
        </w:rPr>
        <w:t xml:space="preserve">Therefore, when </w:t>
      </w:r>
      <w:r w:rsidR="00BB5C86">
        <w:rPr>
          <w:rFonts w:ascii="Garamond" w:hAnsi="Garamond"/>
        </w:rPr>
        <w:t xml:space="preserve">the </w:t>
      </w:r>
      <w:r w:rsidR="000B4F37">
        <w:rPr>
          <w:rFonts w:ascii="Garamond" w:hAnsi="Garamond"/>
        </w:rPr>
        <w:t>C</w:t>
      </w:r>
      <w:r w:rsidR="00BB5C86">
        <w:rPr>
          <w:rFonts w:ascii="Garamond" w:hAnsi="Garamond"/>
        </w:rPr>
        <w:t xml:space="preserve">ompany does </w:t>
      </w:r>
      <w:r w:rsidR="00117BD0">
        <w:rPr>
          <w:rFonts w:ascii="Garamond" w:hAnsi="Garamond"/>
        </w:rPr>
        <w:tab/>
      </w:r>
      <w:r w:rsidR="00BB5C86">
        <w:rPr>
          <w:rFonts w:ascii="Garamond" w:hAnsi="Garamond"/>
        </w:rPr>
        <w:t>announce “the start of</w:t>
      </w:r>
      <w:r w:rsidR="009B643A">
        <w:rPr>
          <w:rFonts w:ascii="Garamond" w:hAnsi="Garamond"/>
        </w:rPr>
        <w:t xml:space="preserve"> </w:t>
      </w:r>
      <w:r w:rsidR="00BB5C86">
        <w:rPr>
          <w:rFonts w:ascii="Garamond" w:hAnsi="Garamond"/>
        </w:rPr>
        <w:t xml:space="preserve">Fuel Load”, it </w:t>
      </w:r>
      <w:r w:rsidR="00E25223">
        <w:rPr>
          <w:rFonts w:ascii="Garamond" w:hAnsi="Garamond"/>
        </w:rPr>
        <w:tab/>
      </w:r>
      <w:r w:rsidR="00BB5C86">
        <w:rPr>
          <w:rFonts w:ascii="Garamond" w:hAnsi="Garamond"/>
        </w:rPr>
        <w:t xml:space="preserve">should be recognized that they are most likely </w:t>
      </w:r>
      <w:r w:rsidR="00117BD0">
        <w:rPr>
          <w:rFonts w:ascii="Garamond" w:hAnsi="Garamond"/>
        </w:rPr>
        <w:tab/>
      </w:r>
      <w:r w:rsidR="00BB5C86">
        <w:rPr>
          <w:rFonts w:ascii="Garamond" w:hAnsi="Garamond"/>
        </w:rPr>
        <w:t xml:space="preserve">continuing the practice of deferring originally </w:t>
      </w:r>
      <w:r w:rsidR="00EB25C8">
        <w:rPr>
          <w:rFonts w:ascii="Garamond" w:hAnsi="Garamond"/>
        </w:rPr>
        <w:tab/>
      </w:r>
      <w:r w:rsidR="00BB5C86">
        <w:rPr>
          <w:rFonts w:ascii="Garamond" w:hAnsi="Garamond"/>
        </w:rPr>
        <w:t xml:space="preserve">scheduled work into the future, thus adding to, </w:t>
      </w:r>
      <w:r w:rsidR="00117BD0">
        <w:rPr>
          <w:rFonts w:ascii="Garamond" w:hAnsi="Garamond"/>
        </w:rPr>
        <w:tab/>
      </w:r>
      <w:r w:rsidR="00BB5C86">
        <w:rPr>
          <w:rFonts w:ascii="Garamond" w:hAnsi="Garamond"/>
        </w:rPr>
        <w:t xml:space="preserve">and </w:t>
      </w:r>
      <w:r w:rsidR="00E25223">
        <w:rPr>
          <w:rFonts w:ascii="Garamond" w:hAnsi="Garamond"/>
        </w:rPr>
        <w:t xml:space="preserve">continuing to </w:t>
      </w:r>
      <w:r w:rsidR="00BB5C86">
        <w:rPr>
          <w:rFonts w:ascii="Garamond" w:hAnsi="Garamond"/>
        </w:rPr>
        <w:t>further complicat</w:t>
      </w:r>
      <w:r w:rsidR="00E25223">
        <w:rPr>
          <w:rFonts w:ascii="Garamond" w:hAnsi="Garamond"/>
        </w:rPr>
        <w:t>e</w:t>
      </w:r>
      <w:r w:rsidR="00BB5C86">
        <w:rPr>
          <w:rFonts w:ascii="Garamond" w:hAnsi="Garamond"/>
        </w:rPr>
        <w:t xml:space="preserve"> the completion of the remaining work. </w:t>
      </w:r>
    </w:p>
    <w:p w:rsidR="00090013" w:rsidRPr="009E0ACF" w:rsidRDefault="00090013" w:rsidP="00090013">
      <w:pPr>
        <w:spacing w:line="480" w:lineRule="auto"/>
        <w:rPr>
          <w:rFonts w:ascii="Garamond" w:hAnsi="Garamond"/>
        </w:rPr>
      </w:pPr>
    </w:p>
    <w:p w:rsidR="004C66FC" w:rsidRPr="004C66FC" w:rsidRDefault="004C66FC" w:rsidP="004C66FC">
      <w:pPr>
        <w:spacing w:line="480" w:lineRule="auto"/>
        <w:jc w:val="both"/>
        <w:rPr>
          <w:rFonts w:ascii="Garamond" w:hAnsi="Garamond"/>
          <w:b/>
          <w:bCs/>
        </w:rPr>
      </w:pPr>
      <w:r>
        <w:rPr>
          <w:rFonts w:ascii="Garamond" w:hAnsi="Garamond"/>
          <w:b/>
          <w:bCs/>
        </w:rPr>
        <w:t>Q:</w:t>
      </w:r>
      <w:r>
        <w:rPr>
          <w:rFonts w:ascii="Garamond" w:hAnsi="Garamond"/>
          <w:b/>
          <w:bCs/>
        </w:rPr>
        <w:tab/>
      </w:r>
      <w:r w:rsidR="000B4F37">
        <w:rPr>
          <w:rFonts w:ascii="Garamond" w:hAnsi="Garamond"/>
          <w:b/>
          <w:bCs/>
        </w:rPr>
        <w:t>PLEASE</w:t>
      </w:r>
      <w:r w:rsidR="009B643A">
        <w:rPr>
          <w:rFonts w:ascii="Garamond" w:hAnsi="Garamond"/>
          <w:b/>
          <w:bCs/>
        </w:rPr>
        <w:t xml:space="preserve"> </w:t>
      </w:r>
      <w:r>
        <w:rPr>
          <w:rFonts w:ascii="Garamond" w:hAnsi="Garamond"/>
          <w:b/>
          <w:bCs/>
        </w:rPr>
        <w:t>SUMMARIZE VMG’S ANALYSIS O</w:t>
      </w:r>
      <w:r w:rsidR="00BB5C86">
        <w:rPr>
          <w:rFonts w:ascii="Garamond" w:hAnsi="Garamond"/>
          <w:b/>
          <w:bCs/>
        </w:rPr>
        <w:t>F</w:t>
      </w:r>
      <w:r>
        <w:rPr>
          <w:rFonts w:ascii="Garamond" w:hAnsi="Garamond"/>
          <w:b/>
          <w:bCs/>
        </w:rPr>
        <w:t xml:space="preserve"> THE REMAINING</w:t>
      </w:r>
      <w:r w:rsidR="00E8039E">
        <w:rPr>
          <w:rFonts w:ascii="Garamond" w:hAnsi="Garamond"/>
          <w:b/>
          <w:bCs/>
        </w:rPr>
        <w:t xml:space="preserve"> </w:t>
      </w:r>
      <w:r>
        <w:rPr>
          <w:rFonts w:ascii="Garamond" w:hAnsi="Garamond"/>
          <w:b/>
          <w:bCs/>
        </w:rPr>
        <w:t xml:space="preserve">SCHEDULE </w:t>
      </w:r>
      <w:r w:rsidR="00E8039E">
        <w:rPr>
          <w:rFonts w:ascii="Garamond" w:hAnsi="Garamond"/>
          <w:b/>
          <w:bCs/>
        </w:rPr>
        <w:tab/>
      </w:r>
      <w:r w:rsidR="00647BE0">
        <w:rPr>
          <w:rFonts w:ascii="Garamond" w:hAnsi="Garamond"/>
          <w:b/>
          <w:bCs/>
        </w:rPr>
        <w:t>BY WHICH U-</w:t>
      </w:r>
      <w:r w:rsidR="0038469C">
        <w:rPr>
          <w:rFonts w:ascii="Garamond" w:hAnsi="Garamond"/>
          <w:b/>
          <w:bCs/>
        </w:rPr>
        <w:t>3 IS</w:t>
      </w:r>
      <w:r w:rsidR="00647BE0">
        <w:rPr>
          <w:rFonts w:ascii="Garamond" w:hAnsi="Garamond"/>
          <w:b/>
          <w:bCs/>
        </w:rPr>
        <w:t xml:space="preserve"> TO ACHIEVE COMMERCIAL OPERATIONS. </w:t>
      </w:r>
    </w:p>
    <w:p w:rsidR="004C66FC" w:rsidRDefault="004C66FC" w:rsidP="005E547A">
      <w:pPr>
        <w:spacing w:line="480" w:lineRule="auto"/>
        <w:jc w:val="both"/>
        <w:rPr>
          <w:rFonts w:ascii="Garamond" w:hAnsi="Garamond"/>
        </w:rPr>
      </w:pPr>
      <w:r>
        <w:rPr>
          <w:rFonts w:ascii="Garamond" w:hAnsi="Garamond"/>
        </w:rPr>
        <w:t>A:</w:t>
      </w:r>
      <w:r>
        <w:rPr>
          <w:rFonts w:ascii="Garamond" w:hAnsi="Garamond"/>
        </w:rPr>
        <w:tab/>
      </w:r>
      <w:r w:rsidR="0038469C">
        <w:rPr>
          <w:rFonts w:ascii="Garamond" w:hAnsi="Garamond"/>
        </w:rPr>
        <w:t>B</w:t>
      </w:r>
      <w:r>
        <w:rPr>
          <w:rFonts w:ascii="Garamond" w:hAnsi="Garamond"/>
        </w:rPr>
        <w:t>ased on the currentl</w:t>
      </w:r>
      <w:r w:rsidR="00BB5C86">
        <w:rPr>
          <w:rFonts w:ascii="Garamond" w:hAnsi="Garamond"/>
        </w:rPr>
        <w:t>y</w:t>
      </w:r>
      <w:r>
        <w:rPr>
          <w:rFonts w:ascii="Garamond" w:hAnsi="Garamond"/>
        </w:rPr>
        <w:t xml:space="preserve"> identified ris</w:t>
      </w:r>
      <w:r w:rsidR="00BB5C86">
        <w:rPr>
          <w:rFonts w:ascii="Garamond" w:hAnsi="Garamond"/>
        </w:rPr>
        <w:t xml:space="preserve">ks </w:t>
      </w:r>
      <w:r>
        <w:rPr>
          <w:rFonts w:ascii="Garamond" w:hAnsi="Garamond"/>
        </w:rPr>
        <w:t xml:space="preserve">and the not yet identifiable </w:t>
      </w:r>
      <w:r w:rsidR="00D95AC7">
        <w:rPr>
          <w:rFonts w:ascii="Garamond" w:hAnsi="Garamond"/>
        </w:rPr>
        <w:t xml:space="preserve">future </w:t>
      </w:r>
      <w:r>
        <w:rPr>
          <w:rFonts w:ascii="Garamond" w:hAnsi="Garamond"/>
        </w:rPr>
        <w:t xml:space="preserve">risks, VMG’s </w:t>
      </w:r>
      <w:r w:rsidR="0038469C">
        <w:rPr>
          <w:rFonts w:ascii="Garamond" w:hAnsi="Garamond"/>
        </w:rPr>
        <w:tab/>
      </w:r>
      <w:r>
        <w:rPr>
          <w:rFonts w:ascii="Garamond" w:hAnsi="Garamond"/>
        </w:rPr>
        <w:t>summary analysis of the remaining U-3 Schedule is as follows:</w:t>
      </w:r>
    </w:p>
    <w:p w:rsidR="00D02935" w:rsidRDefault="00D02935" w:rsidP="005E547A">
      <w:pPr>
        <w:numPr>
          <w:ilvl w:val="0"/>
          <w:numId w:val="31"/>
        </w:numPr>
        <w:spacing w:line="480" w:lineRule="auto"/>
        <w:ind w:left="1080"/>
        <w:jc w:val="both"/>
        <w:rPr>
          <w:rFonts w:ascii="Garamond" w:hAnsi="Garamond"/>
        </w:rPr>
      </w:pPr>
      <w:r>
        <w:rPr>
          <w:rFonts w:ascii="Garamond" w:hAnsi="Garamond"/>
        </w:rPr>
        <w:t xml:space="preserve">A </w:t>
      </w:r>
      <w:r w:rsidR="00E0153E">
        <w:rPr>
          <w:rFonts w:ascii="Garamond" w:hAnsi="Garamond"/>
        </w:rPr>
        <w:t>S</w:t>
      </w:r>
      <w:r>
        <w:rPr>
          <w:rFonts w:ascii="Garamond" w:hAnsi="Garamond"/>
        </w:rPr>
        <w:t xml:space="preserve">tart of Fuel Load date by </w:t>
      </w:r>
      <w:r w:rsidR="0038469C">
        <w:rPr>
          <w:rFonts w:ascii="Garamond" w:hAnsi="Garamond"/>
        </w:rPr>
        <w:t>the Company Risk Adjusted May</w:t>
      </w:r>
      <w:r>
        <w:rPr>
          <w:rFonts w:ascii="Garamond" w:hAnsi="Garamond"/>
        </w:rPr>
        <w:t xml:space="preserve"> 2022 is </w:t>
      </w:r>
      <w:r w:rsidR="00B707BF">
        <w:rPr>
          <w:rFonts w:ascii="Garamond" w:hAnsi="Garamond"/>
        </w:rPr>
        <w:t xml:space="preserve">possible; however, </w:t>
      </w:r>
      <w:r w:rsidR="00916A53">
        <w:rPr>
          <w:rFonts w:ascii="Garamond" w:hAnsi="Garamond"/>
        </w:rPr>
        <w:t xml:space="preserve">VMG would point </w:t>
      </w:r>
      <w:r w:rsidR="00EB25C8">
        <w:rPr>
          <w:rFonts w:ascii="Garamond" w:hAnsi="Garamond"/>
        </w:rPr>
        <w:t>out that</w:t>
      </w:r>
      <w:r w:rsidR="00B707BF">
        <w:rPr>
          <w:rFonts w:ascii="Garamond" w:hAnsi="Garamond"/>
        </w:rPr>
        <w:t xml:space="preserve"> for whenever this date is declared, some additional work may have been deferred until a later date, and that there are complications associated with attempting to complete the deferred work in a much more highly restrictive (e.g., from a Security and Plant Technical Specifications) plant operations environment.</w:t>
      </w:r>
      <w:r w:rsidR="0044204F">
        <w:rPr>
          <w:rStyle w:val="FootnoteReference"/>
          <w:rFonts w:ascii="Garamond" w:hAnsi="Garamond"/>
        </w:rPr>
        <w:footnoteReference w:id="6"/>
      </w:r>
      <w:r>
        <w:rPr>
          <w:rFonts w:ascii="Garamond" w:hAnsi="Garamond"/>
        </w:rPr>
        <w:t xml:space="preserve"> </w:t>
      </w:r>
    </w:p>
    <w:p w:rsidR="00DA3A53" w:rsidRDefault="00DA3A53" w:rsidP="005E547A">
      <w:pPr>
        <w:numPr>
          <w:ilvl w:val="0"/>
          <w:numId w:val="31"/>
        </w:numPr>
        <w:spacing w:line="480" w:lineRule="auto"/>
        <w:ind w:left="1080"/>
        <w:jc w:val="both"/>
        <w:rPr>
          <w:rFonts w:ascii="Garamond" w:hAnsi="Garamond"/>
        </w:rPr>
      </w:pPr>
      <w:r>
        <w:rPr>
          <w:rFonts w:ascii="Garamond" w:hAnsi="Garamond"/>
        </w:rPr>
        <w:t xml:space="preserve">It </w:t>
      </w:r>
      <w:r w:rsidR="005C64BA">
        <w:rPr>
          <w:rFonts w:ascii="Garamond" w:hAnsi="Garamond"/>
        </w:rPr>
        <w:t xml:space="preserve">should </w:t>
      </w:r>
      <w:r>
        <w:rPr>
          <w:rFonts w:ascii="Garamond" w:hAnsi="Garamond"/>
        </w:rPr>
        <w:t>be recognized that an assumed 6-month time duration from the Start of Fuel Load to Commercial Operations is most likely the best that one could expect, thus resulting in a mo</w:t>
      </w:r>
      <w:r w:rsidR="00296FE7">
        <w:rPr>
          <w:rFonts w:ascii="Garamond" w:hAnsi="Garamond"/>
        </w:rPr>
        <w:t>re</w:t>
      </w:r>
      <w:r>
        <w:rPr>
          <w:rFonts w:ascii="Garamond" w:hAnsi="Garamond"/>
        </w:rPr>
        <w:t xml:space="preserve"> probable VMG Forecast U-3 COD range of </w:t>
      </w:r>
      <w:r w:rsidR="009B643A">
        <w:rPr>
          <w:rFonts w:ascii="Garamond" w:hAnsi="Garamond"/>
        </w:rPr>
        <w:t>November</w:t>
      </w:r>
      <w:r>
        <w:rPr>
          <w:rFonts w:ascii="Garamond" w:hAnsi="Garamond"/>
        </w:rPr>
        <w:t xml:space="preserve"> 2022 through February 2023.</w:t>
      </w:r>
    </w:p>
    <w:p w:rsidR="00DA3A53" w:rsidRPr="00DA3A53" w:rsidRDefault="00DA3A53" w:rsidP="005E547A">
      <w:pPr>
        <w:numPr>
          <w:ilvl w:val="0"/>
          <w:numId w:val="31"/>
        </w:numPr>
        <w:spacing w:line="480" w:lineRule="auto"/>
        <w:ind w:left="1080"/>
        <w:jc w:val="both"/>
        <w:rPr>
          <w:rFonts w:ascii="Garamond" w:hAnsi="Garamond"/>
          <w:b/>
          <w:bCs/>
        </w:rPr>
      </w:pPr>
      <w:r>
        <w:rPr>
          <w:rFonts w:ascii="Garamond" w:hAnsi="Garamond"/>
        </w:rPr>
        <w:lastRenderedPageBreak/>
        <w:t>The above is all predicated on</w:t>
      </w:r>
      <w:r w:rsidR="005C64BA">
        <w:rPr>
          <w:rFonts w:ascii="Garamond" w:hAnsi="Garamond"/>
        </w:rPr>
        <w:t xml:space="preserve"> the assumption that</w:t>
      </w:r>
      <w:r>
        <w:rPr>
          <w:rFonts w:ascii="Garamond" w:hAnsi="Garamond"/>
        </w:rPr>
        <w:t xml:space="preserve"> there</w:t>
      </w:r>
      <w:r w:rsidR="005C64BA">
        <w:rPr>
          <w:rFonts w:ascii="Garamond" w:hAnsi="Garamond"/>
        </w:rPr>
        <w:t xml:space="preserve"> will</w:t>
      </w:r>
      <w:r>
        <w:rPr>
          <w:rFonts w:ascii="Garamond" w:hAnsi="Garamond"/>
        </w:rPr>
        <w:t xml:space="preserve"> be no additional significant risks, and that if these arise</w:t>
      </w:r>
      <w:r w:rsidR="00D33DE8">
        <w:rPr>
          <w:rFonts w:ascii="Garamond" w:hAnsi="Garamond"/>
        </w:rPr>
        <w:t xml:space="preserve"> </w:t>
      </w:r>
      <w:r>
        <w:rPr>
          <w:rFonts w:ascii="Garamond" w:hAnsi="Garamond"/>
        </w:rPr>
        <w:t>the COD could be even later than February 2023.</w:t>
      </w:r>
      <w:r w:rsidR="00D55BBB">
        <w:rPr>
          <w:rFonts w:ascii="Garamond" w:hAnsi="Garamond"/>
        </w:rPr>
        <w:t xml:space="preserve">  Examples of these risks include schedule extensions resulting from the increased oversight of construction by the NRC, and long lead times associated with having to replace equipment </w:t>
      </w:r>
      <w:r w:rsidR="00D33DE8">
        <w:rPr>
          <w:rFonts w:ascii="Garamond" w:hAnsi="Garamond"/>
        </w:rPr>
        <w:t xml:space="preserve">that does not function properly when exercised at rated power conditions.  </w:t>
      </w:r>
    </w:p>
    <w:p w:rsidR="00DA3A53" w:rsidRDefault="0020632E" w:rsidP="00DA3A53">
      <w:pPr>
        <w:spacing w:line="480" w:lineRule="auto"/>
        <w:rPr>
          <w:rFonts w:ascii="Garamond" w:hAnsi="Garamond"/>
          <w:b/>
          <w:bCs/>
        </w:rPr>
      </w:pPr>
      <w:r>
        <w:rPr>
          <w:rFonts w:ascii="Garamond" w:hAnsi="Garamond"/>
          <w:b/>
          <w:bCs/>
        </w:rPr>
        <w:t>Q:</w:t>
      </w:r>
      <w:r>
        <w:rPr>
          <w:rFonts w:ascii="Garamond" w:hAnsi="Garamond"/>
          <w:b/>
          <w:bCs/>
        </w:rPr>
        <w:tab/>
      </w:r>
      <w:r w:rsidR="000B4F37">
        <w:rPr>
          <w:rFonts w:ascii="Garamond" w:hAnsi="Garamond"/>
          <w:b/>
          <w:bCs/>
        </w:rPr>
        <w:t xml:space="preserve">WHEN DOES VMG BELIEVE UNIT FOUR WILL REACH COMMERCIAL </w:t>
      </w:r>
      <w:r w:rsidR="009B643A">
        <w:rPr>
          <w:rFonts w:ascii="Garamond" w:hAnsi="Garamond"/>
          <w:b/>
          <w:bCs/>
        </w:rPr>
        <w:tab/>
      </w:r>
      <w:r w:rsidR="000B4F37">
        <w:rPr>
          <w:rFonts w:ascii="Garamond" w:hAnsi="Garamond"/>
          <w:b/>
          <w:bCs/>
        </w:rPr>
        <w:t>OPERATION</w:t>
      </w:r>
      <w:r w:rsidR="001959E9">
        <w:rPr>
          <w:rFonts w:ascii="Garamond" w:hAnsi="Garamond"/>
          <w:b/>
          <w:bCs/>
        </w:rPr>
        <w:t>?</w:t>
      </w:r>
    </w:p>
    <w:p w:rsidR="00DA3A53" w:rsidRDefault="00DA3A53" w:rsidP="00DA3A53">
      <w:pPr>
        <w:spacing w:line="480" w:lineRule="auto"/>
        <w:ind w:left="720" w:hanging="720"/>
        <w:rPr>
          <w:rFonts w:ascii="Garamond" w:hAnsi="Garamond"/>
        </w:rPr>
      </w:pPr>
      <w:r>
        <w:rPr>
          <w:rFonts w:ascii="Garamond" w:hAnsi="Garamond"/>
        </w:rPr>
        <w:t>A:</w:t>
      </w:r>
      <w:r>
        <w:rPr>
          <w:rFonts w:ascii="Garamond" w:hAnsi="Garamond"/>
        </w:rPr>
        <w:tab/>
        <w:t xml:space="preserve">VMG believes that the U-4 COD, at the very best, would occur </w:t>
      </w:r>
      <w:r w:rsidR="00530545">
        <w:rPr>
          <w:rFonts w:ascii="Garamond" w:hAnsi="Garamond"/>
        </w:rPr>
        <w:t xml:space="preserve">by </w:t>
      </w:r>
      <w:r w:rsidR="009B643A">
        <w:rPr>
          <w:rFonts w:ascii="Garamond" w:hAnsi="Garamond"/>
        </w:rPr>
        <w:t>November</w:t>
      </w:r>
      <w:r w:rsidR="00530545">
        <w:rPr>
          <w:rFonts w:ascii="Garamond" w:hAnsi="Garamond"/>
        </w:rPr>
        <w:t xml:space="preserve"> 2023, and </w:t>
      </w:r>
      <w:r w:rsidR="00933AC4">
        <w:rPr>
          <w:rFonts w:ascii="Garamond" w:hAnsi="Garamond"/>
        </w:rPr>
        <w:t xml:space="preserve">perhaps </w:t>
      </w:r>
      <w:r w:rsidR="00530545">
        <w:rPr>
          <w:rFonts w:ascii="Garamond" w:hAnsi="Garamond"/>
        </w:rPr>
        <w:t>more probably</w:t>
      </w:r>
      <w:r w:rsidR="00D33DE8">
        <w:rPr>
          <w:rFonts w:ascii="Garamond" w:hAnsi="Garamond"/>
        </w:rPr>
        <w:t xml:space="preserve"> </w:t>
      </w:r>
      <w:r w:rsidR="00530545">
        <w:rPr>
          <w:rFonts w:ascii="Garamond" w:hAnsi="Garamond"/>
        </w:rPr>
        <w:t>during the 1Q of 2024</w:t>
      </w:r>
      <w:r w:rsidR="00D33DE8">
        <w:rPr>
          <w:rFonts w:ascii="Garamond" w:hAnsi="Garamond"/>
        </w:rPr>
        <w:t>.</w:t>
      </w:r>
      <w:r w:rsidR="00530545">
        <w:rPr>
          <w:rFonts w:ascii="Garamond" w:hAnsi="Garamond"/>
        </w:rPr>
        <w:t xml:space="preserve"> </w:t>
      </w:r>
    </w:p>
    <w:p w:rsidR="00DA3A53" w:rsidRDefault="00DA3A53" w:rsidP="00DA3A53">
      <w:pPr>
        <w:spacing w:line="480" w:lineRule="auto"/>
        <w:ind w:left="720" w:hanging="720"/>
        <w:rPr>
          <w:rFonts w:ascii="Garamond" w:hAnsi="Garamond"/>
          <w:b/>
          <w:bCs/>
        </w:rPr>
      </w:pPr>
      <w:r>
        <w:rPr>
          <w:rFonts w:ascii="Garamond" w:hAnsi="Garamond"/>
          <w:b/>
          <w:bCs/>
        </w:rPr>
        <w:t>Q:</w:t>
      </w:r>
      <w:r>
        <w:rPr>
          <w:rFonts w:ascii="Garamond" w:hAnsi="Garamond"/>
          <w:b/>
          <w:bCs/>
        </w:rPr>
        <w:tab/>
        <w:t>HOW DID VMG COME TO THIS CONCLUSION?</w:t>
      </w:r>
    </w:p>
    <w:p w:rsidR="00530545" w:rsidRDefault="00DA3A53" w:rsidP="005E547A">
      <w:pPr>
        <w:spacing w:line="480" w:lineRule="auto"/>
        <w:ind w:left="720" w:hanging="720"/>
        <w:jc w:val="both"/>
        <w:rPr>
          <w:rFonts w:ascii="Garamond" w:hAnsi="Garamond"/>
        </w:rPr>
      </w:pPr>
      <w:r>
        <w:rPr>
          <w:rFonts w:ascii="Garamond" w:hAnsi="Garamond"/>
        </w:rPr>
        <w:t>A:</w:t>
      </w:r>
      <w:r>
        <w:rPr>
          <w:rFonts w:ascii="Garamond" w:hAnsi="Garamond"/>
        </w:rPr>
        <w:tab/>
        <w:t>As a starting point</w:t>
      </w:r>
      <w:r w:rsidR="000B4F37">
        <w:rPr>
          <w:rFonts w:ascii="Garamond" w:hAnsi="Garamond"/>
        </w:rPr>
        <w:t>,</w:t>
      </w:r>
      <w:r>
        <w:rPr>
          <w:rFonts w:ascii="Garamond" w:hAnsi="Garamond"/>
        </w:rPr>
        <w:t xml:space="preserve"> </w:t>
      </w:r>
      <w:r w:rsidR="00530545">
        <w:rPr>
          <w:rFonts w:ascii="Garamond" w:hAnsi="Garamond"/>
        </w:rPr>
        <w:t xml:space="preserve">for some time </w:t>
      </w:r>
      <w:r>
        <w:rPr>
          <w:rFonts w:ascii="Garamond" w:hAnsi="Garamond"/>
        </w:rPr>
        <w:t xml:space="preserve">the U-4 COD had been planned to lag the U-3 COD by 12 months.  </w:t>
      </w:r>
      <w:r w:rsidR="000908AA">
        <w:rPr>
          <w:rFonts w:ascii="Garamond" w:hAnsi="Garamond"/>
        </w:rPr>
        <w:t>C</w:t>
      </w:r>
      <w:r w:rsidR="000B4F37">
        <w:rPr>
          <w:rFonts w:ascii="Garamond" w:hAnsi="Garamond"/>
        </w:rPr>
        <w:t xml:space="preserve">omparing the completion status of </w:t>
      </w:r>
      <w:r w:rsidR="000279A7">
        <w:rPr>
          <w:rFonts w:ascii="Garamond" w:hAnsi="Garamond"/>
        </w:rPr>
        <w:t>U-3 12 months ago with the current completion status of U-4</w:t>
      </w:r>
      <w:r>
        <w:rPr>
          <w:rFonts w:ascii="Garamond" w:hAnsi="Garamond"/>
        </w:rPr>
        <w:t xml:space="preserve"> </w:t>
      </w:r>
      <w:r w:rsidR="000908AA">
        <w:rPr>
          <w:rFonts w:ascii="Garamond" w:hAnsi="Garamond"/>
        </w:rPr>
        <w:t xml:space="preserve">provides </w:t>
      </w:r>
      <w:r w:rsidR="000B4F37">
        <w:rPr>
          <w:rFonts w:ascii="Garamond" w:hAnsi="Garamond"/>
        </w:rPr>
        <w:t xml:space="preserve">a </w:t>
      </w:r>
      <w:r w:rsidR="00AB10D5">
        <w:rPr>
          <w:rFonts w:ascii="Garamond" w:hAnsi="Garamond"/>
        </w:rPr>
        <w:t>measure of</w:t>
      </w:r>
      <w:r>
        <w:rPr>
          <w:rFonts w:ascii="Garamond" w:hAnsi="Garamond"/>
        </w:rPr>
        <w:t xml:space="preserve"> how far</w:t>
      </w:r>
      <w:r w:rsidR="00D33DE8">
        <w:rPr>
          <w:rFonts w:ascii="Garamond" w:hAnsi="Garamond"/>
        </w:rPr>
        <w:t xml:space="preserve"> </w:t>
      </w:r>
      <w:r>
        <w:rPr>
          <w:rFonts w:ascii="Garamond" w:hAnsi="Garamond"/>
        </w:rPr>
        <w:t xml:space="preserve">behind </w:t>
      </w:r>
      <w:r w:rsidR="000908AA">
        <w:rPr>
          <w:rFonts w:ascii="Garamond" w:hAnsi="Garamond"/>
        </w:rPr>
        <w:t xml:space="preserve">the rate of </w:t>
      </w:r>
      <w:r>
        <w:rPr>
          <w:rFonts w:ascii="Garamond" w:hAnsi="Garamond"/>
        </w:rPr>
        <w:t xml:space="preserve">completing U-4 </w:t>
      </w:r>
      <w:r w:rsidR="000908AA">
        <w:rPr>
          <w:rFonts w:ascii="Garamond" w:hAnsi="Garamond"/>
        </w:rPr>
        <w:t xml:space="preserve">is </w:t>
      </w:r>
      <w:r>
        <w:rPr>
          <w:rFonts w:ascii="Garamond" w:hAnsi="Garamond"/>
        </w:rPr>
        <w:t xml:space="preserve">compared to </w:t>
      </w:r>
      <w:r w:rsidR="000908AA">
        <w:rPr>
          <w:rFonts w:ascii="Garamond" w:hAnsi="Garamond"/>
        </w:rPr>
        <w:t xml:space="preserve">the rate of </w:t>
      </w:r>
      <w:r w:rsidR="000B4F37">
        <w:rPr>
          <w:rFonts w:ascii="Garamond" w:hAnsi="Garamond"/>
        </w:rPr>
        <w:t xml:space="preserve">completing </w:t>
      </w:r>
      <w:r>
        <w:rPr>
          <w:rFonts w:ascii="Garamond" w:hAnsi="Garamond"/>
        </w:rPr>
        <w:t xml:space="preserve">U-3.  When applying this measure to the critical electrical area, </w:t>
      </w:r>
      <w:r w:rsidR="000279A7">
        <w:rPr>
          <w:rFonts w:ascii="Garamond" w:hAnsi="Garamond"/>
        </w:rPr>
        <w:t>VMG</w:t>
      </w:r>
      <w:r>
        <w:rPr>
          <w:rFonts w:ascii="Garamond" w:hAnsi="Garamond"/>
        </w:rPr>
        <w:t xml:space="preserve"> find</w:t>
      </w:r>
      <w:r w:rsidR="000279A7">
        <w:rPr>
          <w:rFonts w:ascii="Garamond" w:hAnsi="Garamond"/>
        </w:rPr>
        <w:t>s</w:t>
      </w:r>
      <w:r>
        <w:rPr>
          <w:rFonts w:ascii="Garamond" w:hAnsi="Garamond"/>
        </w:rPr>
        <w:t xml:space="preserve"> that the U-4 effort now lags the U-3 effort by roughly 16 – 18 months (versus the originally planned 12 months).  The next logical question then becomes to what extent can this schedule lag be reduced, and whether reducing it to 12 months is even achievable. </w:t>
      </w:r>
      <w:r w:rsidR="00530545">
        <w:rPr>
          <w:rFonts w:ascii="Garamond" w:hAnsi="Garamond"/>
        </w:rPr>
        <w:t xml:space="preserve"> </w:t>
      </w:r>
      <w:r w:rsidR="00916A53">
        <w:rPr>
          <w:rFonts w:ascii="Garamond" w:hAnsi="Garamond"/>
        </w:rPr>
        <w:t>F</w:t>
      </w:r>
      <w:r w:rsidR="000908AA">
        <w:rPr>
          <w:rFonts w:ascii="Garamond" w:hAnsi="Garamond"/>
        </w:rPr>
        <w:t xml:space="preserve">or reasons which will follow, </w:t>
      </w:r>
      <w:r w:rsidR="00530545">
        <w:rPr>
          <w:rFonts w:ascii="Garamond" w:hAnsi="Garamond"/>
        </w:rPr>
        <w:t>VMG has assumed that the U-4 COD range w</w:t>
      </w:r>
      <w:r w:rsidR="000908AA">
        <w:rPr>
          <w:rFonts w:ascii="Garamond" w:hAnsi="Garamond"/>
        </w:rPr>
        <w:t>ill</w:t>
      </w:r>
      <w:r w:rsidR="00530545">
        <w:rPr>
          <w:rFonts w:ascii="Garamond" w:hAnsi="Garamond"/>
        </w:rPr>
        <w:t xml:space="preserve"> lag the U-3 COD by 12 months. </w:t>
      </w:r>
      <w:r w:rsidR="00B15736">
        <w:rPr>
          <w:rFonts w:ascii="Garamond" w:hAnsi="Garamond"/>
        </w:rPr>
        <w:t xml:space="preserve">  </w:t>
      </w:r>
    </w:p>
    <w:p w:rsidR="00530545" w:rsidRDefault="00B15736" w:rsidP="00DA3A53">
      <w:pPr>
        <w:spacing w:line="480" w:lineRule="auto"/>
        <w:ind w:left="720" w:hanging="720"/>
        <w:rPr>
          <w:rFonts w:ascii="Garamond" w:hAnsi="Garamond"/>
          <w:b/>
          <w:bCs/>
        </w:rPr>
      </w:pPr>
      <w:r>
        <w:rPr>
          <w:rFonts w:ascii="Garamond" w:hAnsi="Garamond"/>
          <w:b/>
          <w:bCs/>
        </w:rPr>
        <w:t>Q:</w:t>
      </w:r>
      <w:r>
        <w:rPr>
          <w:rFonts w:ascii="Garamond" w:hAnsi="Garamond"/>
          <w:b/>
          <w:bCs/>
        </w:rPr>
        <w:tab/>
      </w:r>
      <w:r w:rsidR="007903FA">
        <w:rPr>
          <w:rFonts w:ascii="Garamond" w:hAnsi="Garamond"/>
          <w:b/>
          <w:bCs/>
        </w:rPr>
        <w:t xml:space="preserve">WHEN ASSESSING THE U-4 COD TIME LAG FROM THE U-3 COD, </w:t>
      </w:r>
      <w:r>
        <w:rPr>
          <w:rFonts w:ascii="Garamond" w:hAnsi="Garamond"/>
          <w:b/>
          <w:bCs/>
        </w:rPr>
        <w:t xml:space="preserve">WHAT IS THE REASON FOR </w:t>
      </w:r>
      <w:r w:rsidR="000279A7">
        <w:rPr>
          <w:rFonts w:ascii="Garamond" w:hAnsi="Garamond"/>
          <w:b/>
          <w:bCs/>
        </w:rPr>
        <w:t>VMG</w:t>
      </w:r>
      <w:r>
        <w:rPr>
          <w:rFonts w:ascii="Garamond" w:hAnsi="Garamond"/>
          <w:b/>
          <w:bCs/>
        </w:rPr>
        <w:t xml:space="preserve"> HAVING ASSUME</w:t>
      </w:r>
      <w:r w:rsidR="007903FA">
        <w:rPr>
          <w:rFonts w:ascii="Garamond" w:hAnsi="Garamond"/>
          <w:b/>
          <w:bCs/>
        </w:rPr>
        <w:t>D</w:t>
      </w:r>
      <w:r>
        <w:rPr>
          <w:rFonts w:ascii="Garamond" w:hAnsi="Garamond"/>
          <w:b/>
          <w:bCs/>
        </w:rPr>
        <w:t xml:space="preserve"> A U-3 SCHEDULE RANGE?</w:t>
      </w:r>
    </w:p>
    <w:p w:rsidR="00B15736" w:rsidRDefault="00B15736" w:rsidP="005E547A">
      <w:pPr>
        <w:spacing w:line="480" w:lineRule="auto"/>
        <w:ind w:left="720" w:hanging="720"/>
        <w:jc w:val="both"/>
        <w:rPr>
          <w:rFonts w:ascii="Garamond" w:hAnsi="Garamond"/>
        </w:rPr>
      </w:pPr>
      <w:r>
        <w:rPr>
          <w:rFonts w:ascii="Garamond" w:hAnsi="Garamond"/>
        </w:rPr>
        <w:t>A:</w:t>
      </w:r>
      <w:r>
        <w:rPr>
          <w:rFonts w:ascii="Garamond" w:hAnsi="Garamond"/>
        </w:rPr>
        <w:tab/>
      </w:r>
      <w:r w:rsidR="000279A7">
        <w:rPr>
          <w:rFonts w:ascii="Garamond" w:hAnsi="Garamond"/>
        </w:rPr>
        <w:t>T</w:t>
      </w:r>
      <w:r>
        <w:rPr>
          <w:rFonts w:ascii="Garamond" w:hAnsi="Garamond"/>
        </w:rPr>
        <w:t xml:space="preserve">he longer U-3 is delayed, </w:t>
      </w:r>
      <w:r w:rsidR="000279A7">
        <w:rPr>
          <w:rFonts w:ascii="Garamond" w:hAnsi="Garamond"/>
        </w:rPr>
        <w:t xml:space="preserve">the </w:t>
      </w:r>
      <w:r>
        <w:rPr>
          <w:rFonts w:ascii="Garamond" w:hAnsi="Garamond"/>
        </w:rPr>
        <w:t xml:space="preserve">greater </w:t>
      </w:r>
      <w:r w:rsidR="000279A7">
        <w:rPr>
          <w:rFonts w:ascii="Garamond" w:hAnsi="Garamond"/>
        </w:rPr>
        <w:t xml:space="preserve">an </w:t>
      </w:r>
      <w:r>
        <w:rPr>
          <w:rFonts w:ascii="Garamond" w:hAnsi="Garamond"/>
        </w:rPr>
        <w:t xml:space="preserve">opportunity </w:t>
      </w:r>
      <w:r w:rsidR="000279A7">
        <w:rPr>
          <w:rFonts w:ascii="Garamond" w:hAnsi="Garamond"/>
        </w:rPr>
        <w:t xml:space="preserve">exists </w:t>
      </w:r>
      <w:r>
        <w:rPr>
          <w:rFonts w:ascii="Garamond" w:hAnsi="Garamond"/>
        </w:rPr>
        <w:t xml:space="preserve">to further reduce the U-4 COD time lag from the U-3 COD.  </w:t>
      </w:r>
      <w:r w:rsidR="00916A53">
        <w:rPr>
          <w:rFonts w:ascii="Garamond" w:hAnsi="Garamond"/>
        </w:rPr>
        <w:t>W</w:t>
      </w:r>
      <w:r w:rsidR="007903FA">
        <w:rPr>
          <w:rFonts w:ascii="Garamond" w:hAnsi="Garamond"/>
        </w:rPr>
        <w:t>ith a significant extension of the U-3 COD</w:t>
      </w:r>
      <w:r w:rsidR="00A505F3">
        <w:rPr>
          <w:rFonts w:ascii="Garamond" w:hAnsi="Garamond"/>
        </w:rPr>
        <w:t xml:space="preserve"> </w:t>
      </w:r>
      <w:r w:rsidR="007903FA">
        <w:rPr>
          <w:rFonts w:ascii="Garamond" w:hAnsi="Garamond"/>
        </w:rPr>
        <w:t xml:space="preserve">and depending on the extent to which additional resources (above and beyond what had been done on U-3) are </w:t>
      </w:r>
      <w:r w:rsidR="007903FA">
        <w:rPr>
          <w:rFonts w:ascii="Garamond" w:hAnsi="Garamond"/>
        </w:rPr>
        <w:lastRenderedPageBreak/>
        <w:t xml:space="preserve">effectively employed on U-4, the greater the extent to which the schedule lag between the CODs could be reduced. </w:t>
      </w:r>
    </w:p>
    <w:p w:rsidR="00B15736" w:rsidRDefault="00B15736" w:rsidP="005E547A">
      <w:pPr>
        <w:spacing w:line="480" w:lineRule="auto"/>
        <w:ind w:left="720" w:hanging="720"/>
        <w:jc w:val="both"/>
        <w:rPr>
          <w:rFonts w:ascii="Garamond" w:hAnsi="Garamond"/>
          <w:b/>
          <w:bCs/>
        </w:rPr>
      </w:pPr>
      <w:r>
        <w:rPr>
          <w:rFonts w:ascii="Garamond" w:hAnsi="Garamond"/>
          <w:b/>
          <w:bCs/>
        </w:rPr>
        <w:t>Q:</w:t>
      </w:r>
      <w:r>
        <w:rPr>
          <w:rFonts w:ascii="Garamond" w:hAnsi="Garamond"/>
          <w:b/>
          <w:bCs/>
        </w:rPr>
        <w:tab/>
        <w:t>GIVEN YOUR ASSUMPTIONS REGARDING THE U-3 COD SCHEDULE RANGE, WHAT IS YOU</w:t>
      </w:r>
      <w:r w:rsidR="007C1A26">
        <w:rPr>
          <w:rFonts w:ascii="Garamond" w:hAnsi="Garamond"/>
          <w:b/>
          <w:bCs/>
        </w:rPr>
        <w:t>R</w:t>
      </w:r>
      <w:r>
        <w:rPr>
          <w:rFonts w:ascii="Garamond" w:hAnsi="Garamond"/>
          <w:b/>
          <w:bCs/>
        </w:rPr>
        <w:t xml:space="preserve"> BASIS FOR THEN ASSUMING A 12 MONTH LAG TO THE U-4 COD.</w:t>
      </w:r>
    </w:p>
    <w:p w:rsidR="007903FA" w:rsidRDefault="00B15736" w:rsidP="005E547A">
      <w:pPr>
        <w:spacing w:line="480" w:lineRule="auto"/>
        <w:jc w:val="both"/>
        <w:rPr>
          <w:rFonts w:ascii="Garamond" w:hAnsi="Garamond"/>
        </w:rPr>
      </w:pPr>
      <w:r>
        <w:rPr>
          <w:rFonts w:ascii="Garamond" w:hAnsi="Garamond"/>
        </w:rPr>
        <w:t>A:</w:t>
      </w:r>
      <w:r>
        <w:rPr>
          <w:rFonts w:ascii="Garamond" w:hAnsi="Garamond"/>
        </w:rPr>
        <w:tab/>
      </w:r>
      <w:r w:rsidR="00637B2F">
        <w:rPr>
          <w:rFonts w:ascii="Garamond" w:hAnsi="Garamond"/>
        </w:rPr>
        <w:t>First</w:t>
      </w:r>
      <w:r w:rsidR="00A505F3">
        <w:rPr>
          <w:rFonts w:ascii="Garamond" w:hAnsi="Garamond"/>
        </w:rPr>
        <w:t>,</w:t>
      </w:r>
      <w:r w:rsidR="007903FA">
        <w:rPr>
          <w:rFonts w:ascii="Garamond" w:hAnsi="Garamond"/>
        </w:rPr>
        <w:t xml:space="preserve"> there are numerous indeterminate issues at this point, and the analysis is </w:t>
      </w:r>
      <w:r w:rsidR="00A505F3">
        <w:rPr>
          <w:rFonts w:ascii="Garamond" w:hAnsi="Garamond"/>
        </w:rPr>
        <w:tab/>
      </w:r>
      <w:r w:rsidR="007903FA">
        <w:rPr>
          <w:rFonts w:ascii="Garamond" w:hAnsi="Garamond"/>
        </w:rPr>
        <w:t xml:space="preserve">somewhat subjective.  </w:t>
      </w:r>
      <w:r w:rsidR="000279A7">
        <w:rPr>
          <w:rFonts w:ascii="Garamond" w:hAnsi="Garamond"/>
        </w:rPr>
        <w:t>T</w:t>
      </w:r>
      <w:r w:rsidR="007903FA">
        <w:rPr>
          <w:rFonts w:ascii="Garamond" w:hAnsi="Garamond"/>
        </w:rPr>
        <w:t xml:space="preserve">here are many performance issues that need improvement </w:t>
      </w:r>
      <w:r w:rsidR="000279A7">
        <w:rPr>
          <w:rFonts w:ascii="Garamond" w:hAnsi="Garamond"/>
        </w:rPr>
        <w:t xml:space="preserve">on U-4 </w:t>
      </w:r>
      <w:r w:rsidR="007903FA">
        <w:rPr>
          <w:rFonts w:ascii="Garamond" w:hAnsi="Garamond"/>
        </w:rPr>
        <w:t xml:space="preserve">to </w:t>
      </w:r>
      <w:r w:rsidR="000908AA">
        <w:rPr>
          <w:rFonts w:ascii="Garamond" w:hAnsi="Garamond"/>
        </w:rPr>
        <w:tab/>
      </w:r>
      <w:r w:rsidR="007903FA">
        <w:rPr>
          <w:rFonts w:ascii="Garamond" w:hAnsi="Garamond"/>
        </w:rPr>
        <w:t xml:space="preserve">reduce the current 16–18-month lag to 12 months, and to date we have not seen objective </w:t>
      </w:r>
      <w:r w:rsidR="000908AA">
        <w:rPr>
          <w:rFonts w:ascii="Garamond" w:hAnsi="Garamond"/>
        </w:rPr>
        <w:tab/>
      </w:r>
      <w:r w:rsidR="007903FA">
        <w:rPr>
          <w:rFonts w:ascii="Garamond" w:hAnsi="Garamond"/>
        </w:rPr>
        <w:t xml:space="preserve">evidence that U-4 performance is improving.  This, </w:t>
      </w:r>
      <w:r w:rsidR="00296FE7">
        <w:rPr>
          <w:rFonts w:ascii="Garamond" w:hAnsi="Garamond"/>
        </w:rPr>
        <w:t>even though</w:t>
      </w:r>
      <w:r w:rsidR="00B707BF">
        <w:rPr>
          <w:rFonts w:ascii="Garamond" w:hAnsi="Garamond"/>
        </w:rPr>
        <w:t xml:space="preserve"> there</w:t>
      </w:r>
      <w:r w:rsidR="007903FA">
        <w:rPr>
          <w:rFonts w:ascii="Garamond" w:hAnsi="Garamond"/>
        </w:rPr>
        <w:t xml:space="preserve"> are numerous </w:t>
      </w:r>
      <w:r w:rsidR="000908AA">
        <w:rPr>
          <w:rFonts w:ascii="Garamond" w:hAnsi="Garamond"/>
        </w:rPr>
        <w:tab/>
      </w:r>
      <w:r w:rsidR="007903FA">
        <w:rPr>
          <w:rFonts w:ascii="Garamond" w:hAnsi="Garamond"/>
        </w:rPr>
        <w:t xml:space="preserve">lessons </w:t>
      </w:r>
      <w:r w:rsidR="00296FE7">
        <w:rPr>
          <w:rFonts w:ascii="Garamond" w:hAnsi="Garamond"/>
        </w:rPr>
        <w:tab/>
      </w:r>
      <w:r w:rsidR="007903FA">
        <w:rPr>
          <w:rFonts w:ascii="Garamond" w:hAnsi="Garamond"/>
        </w:rPr>
        <w:t>from U-3, which when factored into the planning and execution of U-4</w:t>
      </w:r>
      <w:r w:rsidR="000279A7">
        <w:rPr>
          <w:rFonts w:ascii="Garamond" w:hAnsi="Garamond"/>
        </w:rPr>
        <w:t>,</w:t>
      </w:r>
      <w:r w:rsidR="007903FA">
        <w:rPr>
          <w:rFonts w:ascii="Garamond" w:hAnsi="Garamond"/>
        </w:rPr>
        <w:t xml:space="preserve"> should improve U-4 </w:t>
      </w:r>
      <w:r w:rsidR="00296FE7">
        <w:rPr>
          <w:rFonts w:ascii="Garamond" w:hAnsi="Garamond"/>
        </w:rPr>
        <w:tab/>
      </w:r>
      <w:r w:rsidR="007903FA">
        <w:rPr>
          <w:rFonts w:ascii="Garamond" w:hAnsi="Garamond"/>
        </w:rPr>
        <w:t>performance.</w:t>
      </w:r>
    </w:p>
    <w:p w:rsidR="007903FA" w:rsidRDefault="007903FA" w:rsidP="005E547A">
      <w:pPr>
        <w:spacing w:line="480" w:lineRule="auto"/>
        <w:jc w:val="both"/>
        <w:rPr>
          <w:rFonts w:ascii="Garamond" w:hAnsi="Garamond"/>
          <w:b/>
          <w:bCs/>
        </w:rPr>
      </w:pPr>
      <w:r>
        <w:rPr>
          <w:rFonts w:ascii="Garamond" w:hAnsi="Garamond"/>
          <w:b/>
          <w:bCs/>
        </w:rPr>
        <w:t>Q:</w:t>
      </w:r>
      <w:r>
        <w:rPr>
          <w:rFonts w:ascii="Garamond" w:hAnsi="Garamond"/>
          <w:b/>
          <w:bCs/>
        </w:rPr>
        <w:tab/>
        <w:t xml:space="preserve">PLEASE PROVIDE EXAMPLES OF HOW PERFORMANCE ISSUES ARE </w:t>
      </w:r>
      <w:r w:rsidR="00B80D31">
        <w:rPr>
          <w:rFonts w:ascii="Garamond" w:hAnsi="Garamond"/>
          <w:b/>
          <w:bCs/>
        </w:rPr>
        <w:tab/>
      </w:r>
      <w:r>
        <w:rPr>
          <w:rFonts w:ascii="Garamond" w:hAnsi="Garamond"/>
          <w:b/>
          <w:bCs/>
        </w:rPr>
        <w:t>NOT IMPROVING?</w:t>
      </w:r>
    </w:p>
    <w:p w:rsidR="0001340A" w:rsidRDefault="007903FA" w:rsidP="00EB25C8">
      <w:pPr>
        <w:spacing w:line="480" w:lineRule="auto"/>
        <w:jc w:val="both"/>
        <w:rPr>
          <w:rFonts w:ascii="Garamond" w:hAnsi="Garamond"/>
        </w:rPr>
      </w:pPr>
      <w:r>
        <w:rPr>
          <w:rFonts w:ascii="Garamond" w:hAnsi="Garamond"/>
        </w:rPr>
        <w:t>A:</w:t>
      </w:r>
      <w:r>
        <w:rPr>
          <w:rFonts w:ascii="Garamond" w:hAnsi="Garamond"/>
        </w:rPr>
        <w:tab/>
      </w:r>
      <w:r w:rsidR="00916A53">
        <w:rPr>
          <w:rFonts w:ascii="Garamond" w:hAnsi="Garamond"/>
        </w:rPr>
        <w:t>First,</w:t>
      </w:r>
      <w:r>
        <w:rPr>
          <w:rFonts w:ascii="Garamond" w:hAnsi="Garamond"/>
        </w:rPr>
        <w:t xml:space="preserve"> </w:t>
      </w:r>
      <w:r w:rsidR="000279A7">
        <w:rPr>
          <w:rFonts w:ascii="Garamond" w:hAnsi="Garamond"/>
        </w:rPr>
        <w:t>VMG</w:t>
      </w:r>
      <w:r>
        <w:rPr>
          <w:rFonts w:ascii="Garamond" w:hAnsi="Garamond"/>
        </w:rPr>
        <w:t xml:space="preserve"> note</w:t>
      </w:r>
      <w:r w:rsidR="000279A7">
        <w:rPr>
          <w:rFonts w:ascii="Garamond" w:hAnsi="Garamond"/>
        </w:rPr>
        <w:t>s</w:t>
      </w:r>
      <w:r>
        <w:rPr>
          <w:rFonts w:ascii="Garamond" w:hAnsi="Garamond"/>
        </w:rPr>
        <w:t xml:space="preserve"> the</w:t>
      </w:r>
      <w:r w:rsidR="0001340A">
        <w:rPr>
          <w:rFonts w:ascii="Garamond" w:hAnsi="Garamond"/>
        </w:rPr>
        <w:t xml:space="preserve"> </w:t>
      </w:r>
      <w:r w:rsidR="00A505F3">
        <w:rPr>
          <w:rFonts w:ascii="Garamond" w:hAnsi="Garamond"/>
        </w:rPr>
        <w:t>ever-changing</w:t>
      </w:r>
      <w:r>
        <w:rPr>
          <w:rFonts w:ascii="Garamond" w:hAnsi="Garamond"/>
        </w:rPr>
        <w:t xml:space="preserve"> </w:t>
      </w:r>
      <w:r w:rsidR="000279A7">
        <w:rPr>
          <w:rFonts w:ascii="Garamond" w:hAnsi="Garamond"/>
        </w:rPr>
        <w:t>C</w:t>
      </w:r>
      <w:r>
        <w:rPr>
          <w:rFonts w:ascii="Garamond" w:hAnsi="Garamond"/>
        </w:rPr>
        <w:t xml:space="preserve">ompany forecast for the start of the next U-4 Schedule </w:t>
      </w:r>
      <w:r w:rsidR="00EB25C8">
        <w:rPr>
          <w:rFonts w:ascii="Garamond" w:hAnsi="Garamond"/>
        </w:rPr>
        <w:tab/>
      </w:r>
      <w:r>
        <w:rPr>
          <w:rFonts w:ascii="Garamond" w:hAnsi="Garamond"/>
        </w:rPr>
        <w:t>Milestone, which is the start of Open Vessel Testing (</w:t>
      </w:r>
      <w:r w:rsidR="000279A7">
        <w:rPr>
          <w:rFonts w:ascii="Garamond" w:hAnsi="Garamond"/>
        </w:rPr>
        <w:t>“</w:t>
      </w:r>
      <w:r>
        <w:rPr>
          <w:rFonts w:ascii="Garamond" w:hAnsi="Garamond"/>
        </w:rPr>
        <w:t>OVT</w:t>
      </w:r>
      <w:r w:rsidR="000279A7">
        <w:rPr>
          <w:rFonts w:ascii="Garamond" w:hAnsi="Garamond"/>
        </w:rPr>
        <w:t>”</w:t>
      </w:r>
      <w:r>
        <w:rPr>
          <w:rFonts w:ascii="Garamond" w:hAnsi="Garamond"/>
        </w:rPr>
        <w:t xml:space="preserve">).  </w:t>
      </w:r>
      <w:r w:rsidR="0001340A">
        <w:rPr>
          <w:rFonts w:ascii="Garamond" w:hAnsi="Garamond"/>
        </w:rPr>
        <w:t xml:space="preserve">With the major re-baselining </w:t>
      </w:r>
      <w:r w:rsidR="00EB25C8">
        <w:rPr>
          <w:rFonts w:ascii="Garamond" w:hAnsi="Garamond"/>
        </w:rPr>
        <w:tab/>
      </w:r>
      <w:r w:rsidR="0001340A">
        <w:rPr>
          <w:rFonts w:ascii="Garamond" w:hAnsi="Garamond"/>
        </w:rPr>
        <w:t xml:space="preserve">effort that was </w:t>
      </w:r>
      <w:r w:rsidR="000279A7">
        <w:rPr>
          <w:rFonts w:ascii="Garamond" w:hAnsi="Garamond"/>
        </w:rPr>
        <w:t>performed</w:t>
      </w:r>
      <w:r w:rsidR="0001340A">
        <w:rPr>
          <w:rFonts w:ascii="Garamond" w:hAnsi="Garamond"/>
        </w:rPr>
        <w:t xml:space="preserve"> in April 2019 the start of OVT was forecast to start in October </w:t>
      </w:r>
      <w:r w:rsidR="00EB25C8">
        <w:rPr>
          <w:rFonts w:ascii="Garamond" w:hAnsi="Garamond"/>
        </w:rPr>
        <w:tab/>
      </w:r>
      <w:r w:rsidR="0001340A">
        <w:rPr>
          <w:rFonts w:ascii="Garamond" w:hAnsi="Garamond"/>
        </w:rPr>
        <w:t>2020</w:t>
      </w:r>
      <w:r w:rsidR="000279A7">
        <w:rPr>
          <w:rFonts w:ascii="Garamond" w:hAnsi="Garamond"/>
        </w:rPr>
        <w:t>.</w:t>
      </w:r>
      <w:r w:rsidR="0001340A">
        <w:rPr>
          <w:rFonts w:ascii="Garamond" w:hAnsi="Garamond"/>
        </w:rPr>
        <w:t xml:space="preserve"> </w:t>
      </w:r>
      <w:r w:rsidR="000279A7">
        <w:rPr>
          <w:rFonts w:ascii="Garamond" w:hAnsi="Garamond"/>
        </w:rPr>
        <w:t>I</w:t>
      </w:r>
      <w:r w:rsidR="0001340A">
        <w:rPr>
          <w:rFonts w:ascii="Garamond" w:hAnsi="Garamond"/>
        </w:rPr>
        <w:t xml:space="preserve">n October 2021 it is now forecast to start in December 2021.  Therefore, over a period </w:t>
      </w:r>
      <w:r w:rsidR="00EB25C8">
        <w:rPr>
          <w:rFonts w:ascii="Garamond" w:hAnsi="Garamond"/>
        </w:rPr>
        <w:tab/>
      </w:r>
      <w:r w:rsidR="0001340A">
        <w:rPr>
          <w:rFonts w:ascii="Garamond" w:hAnsi="Garamond"/>
        </w:rPr>
        <w:t xml:space="preserve">of 2.5 years (30 months), </w:t>
      </w:r>
      <w:r w:rsidR="000908AA">
        <w:rPr>
          <w:rFonts w:ascii="Garamond" w:hAnsi="Garamond"/>
        </w:rPr>
        <w:t>OVT has</w:t>
      </w:r>
      <w:r w:rsidR="0001340A">
        <w:rPr>
          <w:rFonts w:ascii="Garamond" w:hAnsi="Garamond"/>
        </w:rPr>
        <w:t xml:space="preserve"> slipped 14 months.   Additional examples of a lack of </w:t>
      </w:r>
      <w:r w:rsidR="00EB25C8">
        <w:rPr>
          <w:rFonts w:ascii="Garamond" w:hAnsi="Garamond"/>
        </w:rPr>
        <w:tab/>
      </w:r>
      <w:r w:rsidR="0001340A">
        <w:rPr>
          <w:rFonts w:ascii="Garamond" w:hAnsi="Garamond"/>
        </w:rPr>
        <w:t>improvement in U-4 performance are as follows:</w:t>
      </w:r>
    </w:p>
    <w:p w:rsidR="0001340A" w:rsidRDefault="0001340A" w:rsidP="0001340A">
      <w:pPr>
        <w:numPr>
          <w:ilvl w:val="0"/>
          <w:numId w:val="36"/>
        </w:numPr>
        <w:spacing w:line="480" w:lineRule="auto"/>
        <w:rPr>
          <w:rFonts w:ascii="Garamond" w:hAnsi="Garamond"/>
        </w:rPr>
      </w:pPr>
      <w:r>
        <w:rPr>
          <w:rFonts w:ascii="Garamond" w:hAnsi="Garamond"/>
        </w:rPr>
        <w:t>The staffing of the critical electrical craft continues to fall below what has been planned.</w:t>
      </w:r>
    </w:p>
    <w:p w:rsidR="0001340A" w:rsidRPr="00530545" w:rsidRDefault="0001340A" w:rsidP="0001340A">
      <w:pPr>
        <w:numPr>
          <w:ilvl w:val="0"/>
          <w:numId w:val="36"/>
        </w:numPr>
        <w:spacing w:line="480" w:lineRule="auto"/>
        <w:rPr>
          <w:rFonts w:ascii="Garamond" w:hAnsi="Garamond"/>
        </w:rPr>
      </w:pPr>
      <w:r>
        <w:rPr>
          <w:rFonts w:ascii="Garamond" w:hAnsi="Garamond"/>
        </w:rPr>
        <w:t>Further exacerbating the issue of electrical craft staffing, U-4 continues to be a lower priority than U-3</w:t>
      </w:r>
      <w:r w:rsidR="000B7D82">
        <w:rPr>
          <w:rFonts w:ascii="Garamond" w:hAnsi="Garamond"/>
        </w:rPr>
        <w:t xml:space="preserve">. </w:t>
      </w:r>
      <w:r>
        <w:rPr>
          <w:rFonts w:ascii="Garamond" w:hAnsi="Garamond"/>
        </w:rPr>
        <w:t xml:space="preserve"> </w:t>
      </w:r>
      <w:r w:rsidR="000B7D82">
        <w:rPr>
          <w:rFonts w:ascii="Garamond" w:hAnsi="Garamond"/>
        </w:rPr>
        <w:t>E</w:t>
      </w:r>
      <w:r w:rsidR="0080404A">
        <w:rPr>
          <w:rFonts w:ascii="Garamond" w:hAnsi="Garamond"/>
        </w:rPr>
        <w:t>xperienced</w:t>
      </w:r>
      <w:r>
        <w:rPr>
          <w:rFonts w:ascii="Garamond" w:hAnsi="Garamond"/>
        </w:rPr>
        <w:t xml:space="preserve"> electricians from U-4 continue to be reassigned to U-3 to help finish the remaining U-3 electrical work</w:t>
      </w:r>
      <w:r w:rsidR="0080404A">
        <w:rPr>
          <w:rFonts w:ascii="Garamond" w:hAnsi="Garamond"/>
        </w:rPr>
        <w:t xml:space="preserve">; and, as noted previously, this U-3 work </w:t>
      </w:r>
      <w:r>
        <w:rPr>
          <w:rFonts w:ascii="Garamond" w:hAnsi="Garamond"/>
        </w:rPr>
        <w:t xml:space="preserve">has </w:t>
      </w:r>
      <w:r>
        <w:rPr>
          <w:rFonts w:ascii="Garamond" w:hAnsi="Garamond"/>
        </w:rPr>
        <w:lastRenderedPageBreak/>
        <w:t xml:space="preserve">been significantly impacted/ increased due to the significant rework required to address IEEE-384 issues.  </w:t>
      </w:r>
    </w:p>
    <w:p w:rsidR="0080404A" w:rsidRDefault="0001340A" w:rsidP="00195D5A">
      <w:pPr>
        <w:numPr>
          <w:ilvl w:val="0"/>
          <w:numId w:val="36"/>
        </w:numPr>
        <w:spacing w:line="480" w:lineRule="auto"/>
        <w:jc w:val="both"/>
        <w:rPr>
          <w:rFonts w:ascii="Garamond" w:hAnsi="Garamond"/>
        </w:rPr>
      </w:pPr>
      <w:r>
        <w:rPr>
          <w:rFonts w:ascii="Garamond" w:hAnsi="Garamond"/>
        </w:rPr>
        <w:t xml:space="preserve">Although there </w:t>
      </w:r>
      <w:r w:rsidR="006E5D08">
        <w:rPr>
          <w:rFonts w:ascii="Garamond" w:hAnsi="Garamond"/>
        </w:rPr>
        <w:t xml:space="preserve">had </w:t>
      </w:r>
      <w:r>
        <w:rPr>
          <w:rFonts w:ascii="Garamond" w:hAnsi="Garamond"/>
        </w:rPr>
        <w:t xml:space="preserve">appeared to be a shift in strategic focus away from simply meeting </w:t>
      </w:r>
      <w:r w:rsidR="0080404A">
        <w:rPr>
          <w:rFonts w:ascii="Garamond" w:hAnsi="Garamond"/>
        </w:rPr>
        <w:t xml:space="preserve">the start of </w:t>
      </w:r>
      <w:r>
        <w:rPr>
          <w:rFonts w:ascii="Garamond" w:hAnsi="Garamond"/>
        </w:rPr>
        <w:t xml:space="preserve">major schedule milestones </w:t>
      </w:r>
      <w:r w:rsidR="006E5D08">
        <w:rPr>
          <w:rFonts w:ascii="Garamond" w:hAnsi="Garamond"/>
        </w:rPr>
        <w:t>to</w:t>
      </w:r>
      <w:r>
        <w:rPr>
          <w:rFonts w:ascii="Garamond" w:hAnsi="Garamond"/>
        </w:rPr>
        <w:t xml:space="preserve"> completing electrical bulks, </w:t>
      </w:r>
      <w:r w:rsidR="0080404A">
        <w:rPr>
          <w:rFonts w:ascii="Garamond" w:hAnsi="Garamond"/>
        </w:rPr>
        <w:t>it appears as if they are perhaps keeping the primary focus on the piecemeal approach to this work such that they continue to have a greater focus on meeting the start of major milestones.</w:t>
      </w:r>
      <w:r>
        <w:rPr>
          <w:rFonts w:ascii="Garamond" w:hAnsi="Garamond"/>
        </w:rPr>
        <w:t xml:space="preserve">  This, </w:t>
      </w:r>
      <w:r w:rsidR="006E5D08">
        <w:rPr>
          <w:rFonts w:ascii="Garamond" w:hAnsi="Garamond"/>
        </w:rPr>
        <w:t>despite</w:t>
      </w:r>
      <w:r>
        <w:rPr>
          <w:rFonts w:ascii="Garamond" w:hAnsi="Garamond"/>
        </w:rPr>
        <w:t xml:space="preserve"> the fact, that the percent complete for electrical work </w:t>
      </w:r>
      <w:r w:rsidR="0080404A">
        <w:rPr>
          <w:rFonts w:ascii="Garamond" w:hAnsi="Garamond"/>
        </w:rPr>
        <w:t>within the nuclear island is far short of the normal industry benchmarks for when one shifts out of the bulk mode.  Th</w:t>
      </w:r>
      <w:r w:rsidR="0029426E">
        <w:rPr>
          <w:rFonts w:ascii="Garamond" w:hAnsi="Garamond"/>
        </w:rPr>
        <w:t>e</w:t>
      </w:r>
      <w:r w:rsidR="0080404A">
        <w:rPr>
          <w:rFonts w:ascii="Garamond" w:hAnsi="Garamond"/>
        </w:rPr>
        <w:t xml:space="preserve"> normal industry benchmark is to switch out of bulks at roughly 75% to 80% complete, yet for the month ending October 2021 their percentages complete were as follows:</w:t>
      </w:r>
    </w:p>
    <w:p w:rsidR="008F433B" w:rsidRDefault="0080404A" w:rsidP="0044204F">
      <w:pPr>
        <w:numPr>
          <w:ilvl w:val="1"/>
          <w:numId w:val="36"/>
        </w:numPr>
        <w:spacing w:line="480" w:lineRule="auto"/>
        <w:jc w:val="both"/>
        <w:rPr>
          <w:rFonts w:ascii="Garamond" w:hAnsi="Garamond"/>
        </w:rPr>
      </w:pPr>
      <w:r>
        <w:rPr>
          <w:rFonts w:ascii="Garamond" w:hAnsi="Garamond"/>
        </w:rPr>
        <w:t>Containment Building:  Cable Pulls at 15%, Terminations at 2%.</w:t>
      </w:r>
    </w:p>
    <w:p w:rsidR="00EB25FE" w:rsidRDefault="00EB25FE" w:rsidP="0044204F">
      <w:pPr>
        <w:numPr>
          <w:ilvl w:val="1"/>
          <w:numId w:val="36"/>
        </w:numPr>
        <w:spacing w:line="480" w:lineRule="auto"/>
        <w:rPr>
          <w:rFonts w:ascii="Garamond" w:hAnsi="Garamond"/>
        </w:rPr>
      </w:pPr>
      <w:r>
        <w:rPr>
          <w:rFonts w:ascii="Garamond" w:hAnsi="Garamond"/>
        </w:rPr>
        <w:t>Auxiliary Building: Cable Pulls at 22%, Terminations at 14%</w:t>
      </w:r>
    </w:p>
    <w:p w:rsidR="00EA6176" w:rsidRDefault="008F433B" w:rsidP="005E547A">
      <w:pPr>
        <w:numPr>
          <w:ilvl w:val="0"/>
          <w:numId w:val="36"/>
        </w:numPr>
        <w:spacing w:line="480" w:lineRule="auto"/>
        <w:jc w:val="both"/>
        <w:rPr>
          <w:rFonts w:ascii="Garamond" w:hAnsi="Garamond"/>
        </w:rPr>
      </w:pPr>
      <w:r>
        <w:rPr>
          <w:rFonts w:ascii="Garamond" w:hAnsi="Garamond"/>
        </w:rPr>
        <w:t xml:space="preserve">The major metric in measuring schedule performance is the </w:t>
      </w:r>
      <w:r w:rsidR="00406EDD">
        <w:rPr>
          <w:rFonts w:ascii="Garamond" w:hAnsi="Garamond"/>
        </w:rPr>
        <w:t>Schedule Performance Ind</w:t>
      </w:r>
      <w:r w:rsidR="0029426E">
        <w:rPr>
          <w:rFonts w:ascii="Garamond" w:hAnsi="Garamond"/>
        </w:rPr>
        <w:t>e</w:t>
      </w:r>
      <w:r w:rsidR="00406EDD">
        <w:rPr>
          <w:rFonts w:ascii="Garamond" w:hAnsi="Garamond"/>
        </w:rPr>
        <w:t>x (</w:t>
      </w:r>
      <w:r w:rsidR="000B7D82">
        <w:rPr>
          <w:rFonts w:ascii="Garamond" w:hAnsi="Garamond"/>
        </w:rPr>
        <w:t>“</w:t>
      </w:r>
      <w:r>
        <w:rPr>
          <w:rFonts w:ascii="Garamond" w:hAnsi="Garamond"/>
        </w:rPr>
        <w:t>SPI</w:t>
      </w:r>
      <w:r w:rsidR="000B7D82">
        <w:rPr>
          <w:rFonts w:ascii="Garamond" w:hAnsi="Garamond"/>
        </w:rPr>
        <w:t>”</w:t>
      </w:r>
      <w:r w:rsidR="00406EDD">
        <w:rPr>
          <w:rFonts w:ascii="Garamond" w:hAnsi="Garamond"/>
        </w:rPr>
        <w:t>)</w:t>
      </w:r>
      <w:r w:rsidR="00EA6176">
        <w:rPr>
          <w:rFonts w:ascii="Garamond" w:hAnsi="Garamond"/>
        </w:rPr>
        <w:t>.  SPI is a measure of planned work divided by earned work.  Therefore, an SPI less than 1.0 is favorable, and greater than 1.0 is unfavorable.  As has been explained in past testimony, concurrent with a re-baselin</w:t>
      </w:r>
      <w:r w:rsidR="00CD6927">
        <w:rPr>
          <w:rFonts w:ascii="Garamond" w:hAnsi="Garamond"/>
        </w:rPr>
        <w:t>in</w:t>
      </w:r>
      <w:r w:rsidR="00EA6176">
        <w:rPr>
          <w:rFonts w:ascii="Garamond" w:hAnsi="Garamond"/>
        </w:rPr>
        <w:t xml:space="preserve">g effort, past poor schedule performance is masked by </w:t>
      </w:r>
      <w:r w:rsidR="000B7D82">
        <w:rPr>
          <w:rFonts w:ascii="Garamond" w:hAnsi="Garamond"/>
        </w:rPr>
        <w:t>P</w:t>
      </w:r>
      <w:r w:rsidR="00EA6176">
        <w:rPr>
          <w:rFonts w:ascii="Garamond" w:hAnsi="Garamond"/>
        </w:rPr>
        <w:t xml:space="preserve">roject to date cumulative measures of the SPI, and one must focus on the SPIs for the future time periods as they are experienced.  After each re-baselining the SPI quickly </w:t>
      </w:r>
      <w:r w:rsidR="000B7D82">
        <w:rPr>
          <w:rFonts w:ascii="Garamond" w:hAnsi="Garamond"/>
        </w:rPr>
        <w:t>deteriorates</w:t>
      </w:r>
      <w:r w:rsidR="00EA6176">
        <w:rPr>
          <w:rFonts w:ascii="Garamond" w:hAnsi="Garamond"/>
        </w:rPr>
        <w:t xml:space="preserve">.  </w:t>
      </w:r>
      <w:r w:rsidR="000B7D82">
        <w:rPr>
          <w:rFonts w:ascii="Garamond" w:hAnsi="Garamond"/>
        </w:rPr>
        <w:t xml:space="preserve">For </w:t>
      </w:r>
      <w:r w:rsidR="00EA6176">
        <w:rPr>
          <w:rFonts w:ascii="Garamond" w:hAnsi="Garamond"/>
        </w:rPr>
        <w:t xml:space="preserve">example, for the six-week period starting with the week ending September 12, 2021, through the week ending October 17, 2021, the SPI varied from 1.16 to 1.91, and averaged 1.54.  </w:t>
      </w:r>
      <w:r w:rsidR="00AC32A2">
        <w:rPr>
          <w:rFonts w:ascii="Garamond" w:hAnsi="Garamond"/>
        </w:rPr>
        <w:t>F</w:t>
      </w:r>
      <w:r w:rsidR="00406EDD">
        <w:rPr>
          <w:rFonts w:ascii="Garamond" w:hAnsi="Garamond"/>
        </w:rPr>
        <w:t xml:space="preserve">or every hour of planned construction work, only 0.65 hours of work was completed.  </w:t>
      </w:r>
      <w:r w:rsidR="000B7D82">
        <w:rPr>
          <w:rFonts w:ascii="Garamond" w:hAnsi="Garamond"/>
        </w:rPr>
        <w:t xml:space="preserve">In other words, </w:t>
      </w:r>
      <w:r w:rsidR="00406EDD">
        <w:rPr>
          <w:rFonts w:ascii="Garamond" w:hAnsi="Garamond"/>
        </w:rPr>
        <w:t xml:space="preserve">to complete 100 hrs. of work, </w:t>
      </w:r>
      <w:r w:rsidR="000B7D82">
        <w:rPr>
          <w:rFonts w:ascii="Garamond" w:hAnsi="Garamond"/>
        </w:rPr>
        <w:t>154 hours must be planned</w:t>
      </w:r>
      <w:r w:rsidR="00406EDD">
        <w:rPr>
          <w:rFonts w:ascii="Garamond" w:hAnsi="Garamond"/>
        </w:rPr>
        <w:t xml:space="preserve">, which then increases the overall schedule </w:t>
      </w:r>
      <w:r w:rsidR="000B7D82">
        <w:rPr>
          <w:rFonts w:ascii="Garamond" w:hAnsi="Garamond"/>
        </w:rPr>
        <w:t xml:space="preserve">hours </w:t>
      </w:r>
      <w:r w:rsidR="00406EDD">
        <w:rPr>
          <w:rFonts w:ascii="Garamond" w:hAnsi="Garamond"/>
        </w:rPr>
        <w:t xml:space="preserve">by roughly 50%. </w:t>
      </w:r>
    </w:p>
    <w:p w:rsidR="00EA6176" w:rsidRDefault="001E520D" w:rsidP="005E547A">
      <w:pPr>
        <w:numPr>
          <w:ilvl w:val="0"/>
          <w:numId w:val="36"/>
        </w:numPr>
        <w:spacing w:line="480" w:lineRule="auto"/>
        <w:jc w:val="both"/>
        <w:rPr>
          <w:rFonts w:ascii="Garamond" w:hAnsi="Garamond"/>
        </w:rPr>
      </w:pPr>
      <w:r>
        <w:rPr>
          <w:rFonts w:ascii="Garamond" w:hAnsi="Garamond"/>
        </w:rPr>
        <w:lastRenderedPageBreak/>
        <w:t xml:space="preserve">In projecting ahead from September 2021, the time remaining to the aggressive Aug 2022 start of </w:t>
      </w:r>
      <w:r w:rsidR="00296FE7">
        <w:rPr>
          <w:rFonts w:ascii="Garamond" w:hAnsi="Garamond"/>
        </w:rPr>
        <w:t xml:space="preserve">U-4 </w:t>
      </w:r>
      <w:r>
        <w:rPr>
          <w:rFonts w:ascii="Garamond" w:hAnsi="Garamond"/>
        </w:rPr>
        <w:t>Fuel Load is 11 months, and assuming a future SPI of 1.54 the time to complete the planned work would be 11 x 1.54 which equals 17 months.  This alone results in a risk adjusted U-4 start of Fuel load of February 2023</w:t>
      </w:r>
      <w:r w:rsidR="0029426E">
        <w:rPr>
          <w:rFonts w:ascii="Garamond" w:hAnsi="Garamond"/>
        </w:rPr>
        <w:t xml:space="preserve">, which is consistent with the </w:t>
      </w:r>
      <w:r w:rsidR="000B7D82">
        <w:rPr>
          <w:rFonts w:ascii="Garamond" w:hAnsi="Garamond"/>
        </w:rPr>
        <w:t>C</w:t>
      </w:r>
      <w:r w:rsidR="0029426E">
        <w:rPr>
          <w:rFonts w:ascii="Garamond" w:hAnsi="Garamond"/>
        </w:rPr>
        <w:t xml:space="preserve">ompany’s most recent (late October 2021) risk adjusted </w:t>
      </w:r>
      <w:r w:rsidR="00081568">
        <w:rPr>
          <w:rFonts w:ascii="Garamond" w:hAnsi="Garamond"/>
        </w:rPr>
        <w:t>S</w:t>
      </w:r>
      <w:r w:rsidR="0029426E">
        <w:rPr>
          <w:rFonts w:ascii="Garamond" w:hAnsi="Garamond"/>
        </w:rPr>
        <w:t xml:space="preserve">tart of Fuel Load date. </w:t>
      </w:r>
      <w:r>
        <w:rPr>
          <w:rFonts w:ascii="Garamond" w:hAnsi="Garamond"/>
        </w:rPr>
        <w:t xml:space="preserve">However, this is just a “bulk measure” of work to be accomplished and does not account for the detailed scheduling and integrated planning of </w:t>
      </w:r>
      <w:r w:rsidR="00405F2F">
        <w:rPr>
          <w:rFonts w:ascii="Garamond" w:hAnsi="Garamond"/>
        </w:rPr>
        <w:t xml:space="preserve">an </w:t>
      </w:r>
      <w:r w:rsidR="004B0E7C">
        <w:rPr>
          <w:rFonts w:ascii="Garamond" w:hAnsi="Garamond"/>
        </w:rPr>
        <w:t>ever-increasing</w:t>
      </w:r>
      <w:r w:rsidR="00405F2F">
        <w:rPr>
          <w:rFonts w:ascii="Garamond" w:hAnsi="Garamond"/>
        </w:rPr>
        <w:t xml:space="preserve"> volume of </w:t>
      </w:r>
      <w:r>
        <w:rPr>
          <w:rFonts w:ascii="Garamond" w:hAnsi="Garamond"/>
        </w:rPr>
        <w:t>required work</w:t>
      </w:r>
      <w:r w:rsidR="00405F2F">
        <w:rPr>
          <w:rFonts w:ascii="Garamond" w:hAnsi="Garamond"/>
        </w:rPr>
        <w:t>, all within an ever</w:t>
      </w:r>
      <w:r w:rsidR="00797D9B">
        <w:rPr>
          <w:rFonts w:ascii="Garamond" w:hAnsi="Garamond"/>
        </w:rPr>
        <w:t>-</w:t>
      </w:r>
      <w:r w:rsidR="00405F2F">
        <w:rPr>
          <w:rFonts w:ascii="Garamond" w:hAnsi="Garamond"/>
        </w:rPr>
        <w:t xml:space="preserve">increasing complex work environment. </w:t>
      </w:r>
      <w:r>
        <w:rPr>
          <w:rFonts w:ascii="Garamond" w:hAnsi="Garamond"/>
        </w:rPr>
        <w:t xml:space="preserve">  </w:t>
      </w:r>
    </w:p>
    <w:p w:rsidR="00405F2F" w:rsidRDefault="0029426E" w:rsidP="008378DC">
      <w:pPr>
        <w:numPr>
          <w:ilvl w:val="0"/>
          <w:numId w:val="36"/>
        </w:numPr>
        <w:spacing w:line="480" w:lineRule="auto"/>
        <w:jc w:val="both"/>
        <w:rPr>
          <w:rFonts w:ascii="Garamond" w:hAnsi="Garamond"/>
        </w:rPr>
      </w:pPr>
      <w:r>
        <w:rPr>
          <w:rFonts w:ascii="Garamond" w:hAnsi="Garamond"/>
        </w:rPr>
        <w:t xml:space="preserve">From the risk adjusted February 2023 Start of Fuel Load, the </w:t>
      </w:r>
      <w:r w:rsidR="000B7D82">
        <w:rPr>
          <w:rFonts w:ascii="Garamond" w:hAnsi="Garamond"/>
        </w:rPr>
        <w:t>C</w:t>
      </w:r>
      <w:r>
        <w:rPr>
          <w:rFonts w:ascii="Garamond" w:hAnsi="Garamond"/>
        </w:rPr>
        <w:t>ompany then assumes only 4 months to</w:t>
      </w:r>
      <w:r w:rsidR="008378DC">
        <w:rPr>
          <w:rFonts w:ascii="Garamond" w:hAnsi="Garamond"/>
        </w:rPr>
        <w:t xml:space="preserve"> a U-4 COD of June 2023.  </w:t>
      </w:r>
      <w:r w:rsidR="00405F2F">
        <w:rPr>
          <w:rFonts w:ascii="Garamond" w:hAnsi="Garamond"/>
        </w:rPr>
        <w:t xml:space="preserve">VMG </w:t>
      </w:r>
      <w:r w:rsidR="000B7D82">
        <w:rPr>
          <w:rFonts w:ascii="Garamond" w:hAnsi="Garamond"/>
        </w:rPr>
        <w:t xml:space="preserve">believes this period will take </w:t>
      </w:r>
      <w:r w:rsidR="000362CB">
        <w:rPr>
          <w:rFonts w:ascii="Garamond" w:hAnsi="Garamond"/>
        </w:rPr>
        <w:t xml:space="preserve">a minimum of </w:t>
      </w:r>
      <w:r w:rsidR="000B7D82">
        <w:rPr>
          <w:rFonts w:ascii="Garamond" w:hAnsi="Garamond"/>
        </w:rPr>
        <w:t>six months.</w:t>
      </w:r>
      <w:r w:rsidR="00405F2F">
        <w:rPr>
          <w:rFonts w:ascii="Garamond" w:hAnsi="Garamond"/>
        </w:rPr>
        <w:t xml:space="preserve">  </w:t>
      </w:r>
    </w:p>
    <w:p w:rsidR="008F433B" w:rsidRPr="00405F2F" w:rsidRDefault="00405F2F" w:rsidP="008378DC">
      <w:pPr>
        <w:numPr>
          <w:ilvl w:val="0"/>
          <w:numId w:val="36"/>
        </w:numPr>
        <w:spacing w:line="480" w:lineRule="auto"/>
        <w:jc w:val="both"/>
        <w:rPr>
          <w:rFonts w:ascii="Garamond" w:hAnsi="Garamond"/>
        </w:rPr>
      </w:pPr>
      <w:r>
        <w:rPr>
          <w:rFonts w:ascii="Garamond" w:hAnsi="Garamond"/>
        </w:rPr>
        <w:t xml:space="preserve">Finally, due to SPIs experienced to date, in combination with the many other </w:t>
      </w:r>
      <w:r w:rsidR="008378DC">
        <w:rPr>
          <w:rFonts w:ascii="Garamond" w:hAnsi="Garamond"/>
        </w:rPr>
        <w:t xml:space="preserve">factors discussed thus far, </w:t>
      </w:r>
      <w:r w:rsidR="000362CB">
        <w:rPr>
          <w:rFonts w:ascii="Garamond" w:hAnsi="Garamond"/>
        </w:rPr>
        <w:t xml:space="preserve">even if there are lessons </w:t>
      </w:r>
      <w:r w:rsidR="00296FE7">
        <w:rPr>
          <w:rFonts w:ascii="Garamond" w:hAnsi="Garamond"/>
        </w:rPr>
        <w:t xml:space="preserve">to be </w:t>
      </w:r>
      <w:r w:rsidR="000362CB">
        <w:rPr>
          <w:rFonts w:ascii="Garamond" w:hAnsi="Garamond"/>
        </w:rPr>
        <w:t xml:space="preserve">learned from U-3 that will help in the planning and execution of U-4, </w:t>
      </w:r>
      <w:r w:rsidR="000B7D82">
        <w:rPr>
          <w:rFonts w:ascii="Garamond" w:hAnsi="Garamond"/>
        </w:rPr>
        <w:t>VMG</w:t>
      </w:r>
      <w:r w:rsidR="008378DC">
        <w:rPr>
          <w:rFonts w:ascii="Garamond" w:hAnsi="Garamond"/>
        </w:rPr>
        <w:t xml:space="preserve"> do</w:t>
      </w:r>
      <w:r w:rsidR="000B7D82">
        <w:rPr>
          <w:rFonts w:ascii="Garamond" w:hAnsi="Garamond"/>
        </w:rPr>
        <w:t>es</w:t>
      </w:r>
      <w:r w:rsidR="008378DC">
        <w:rPr>
          <w:rFonts w:ascii="Garamond" w:hAnsi="Garamond"/>
        </w:rPr>
        <w:t xml:space="preserve"> not see </w:t>
      </w:r>
      <w:r w:rsidR="000B7D82">
        <w:rPr>
          <w:rFonts w:ascii="Garamond" w:hAnsi="Garamond"/>
        </w:rPr>
        <w:t xml:space="preserve">SNC </w:t>
      </w:r>
      <w:r w:rsidR="008378DC">
        <w:rPr>
          <w:rFonts w:ascii="Garamond" w:hAnsi="Garamond"/>
        </w:rPr>
        <w:t>being able to close the gap between the U-3 and U-4 CODs to less than 12 months.</w:t>
      </w:r>
      <w:r w:rsidR="008378DC">
        <w:rPr>
          <w:rStyle w:val="FootnoteReference"/>
          <w:rFonts w:ascii="Garamond" w:hAnsi="Garamond"/>
        </w:rPr>
        <w:footnoteReference w:id="7"/>
      </w:r>
      <w:r w:rsidR="008378DC">
        <w:rPr>
          <w:rFonts w:ascii="Garamond" w:hAnsi="Garamond"/>
        </w:rPr>
        <w:t xml:space="preserve">  </w:t>
      </w:r>
    </w:p>
    <w:p w:rsidR="00405F2F" w:rsidRDefault="00405F2F" w:rsidP="005549C2">
      <w:pPr>
        <w:spacing w:line="480" w:lineRule="auto"/>
        <w:jc w:val="both"/>
        <w:rPr>
          <w:rFonts w:ascii="Garamond" w:hAnsi="Garamond"/>
        </w:rPr>
      </w:pPr>
    </w:p>
    <w:p w:rsidR="006E5D08" w:rsidRDefault="006E5D08" w:rsidP="005549C2">
      <w:pPr>
        <w:spacing w:line="480" w:lineRule="auto"/>
        <w:jc w:val="both"/>
        <w:rPr>
          <w:rFonts w:ascii="Garamond" w:hAnsi="Garamond"/>
          <w:b/>
          <w:bCs/>
        </w:rPr>
      </w:pPr>
      <w:r>
        <w:rPr>
          <w:rFonts w:ascii="Garamond" w:hAnsi="Garamond"/>
          <w:b/>
          <w:bCs/>
        </w:rPr>
        <w:t>Q:</w:t>
      </w:r>
      <w:r>
        <w:rPr>
          <w:rFonts w:ascii="Garamond" w:hAnsi="Garamond"/>
          <w:b/>
          <w:bCs/>
        </w:rPr>
        <w:tab/>
        <w:t>WHAT</w:t>
      </w:r>
      <w:r w:rsidR="001A3AF0">
        <w:rPr>
          <w:rFonts w:ascii="Garamond" w:hAnsi="Garamond"/>
          <w:b/>
          <w:bCs/>
        </w:rPr>
        <w:t xml:space="preserve"> IS</w:t>
      </w:r>
      <w:r>
        <w:rPr>
          <w:rFonts w:ascii="Garamond" w:hAnsi="Garamond"/>
          <w:b/>
          <w:bCs/>
        </w:rPr>
        <w:t xml:space="preserve"> VMG</w:t>
      </w:r>
      <w:r w:rsidR="001A3AF0">
        <w:rPr>
          <w:rFonts w:ascii="Garamond" w:hAnsi="Garamond"/>
          <w:b/>
          <w:bCs/>
        </w:rPr>
        <w:t>’S</w:t>
      </w:r>
      <w:r>
        <w:rPr>
          <w:rFonts w:ascii="Garamond" w:hAnsi="Garamond"/>
          <w:b/>
          <w:bCs/>
        </w:rPr>
        <w:t xml:space="preserve"> </w:t>
      </w:r>
      <w:r w:rsidR="00AB10D5">
        <w:rPr>
          <w:rFonts w:ascii="Garamond" w:hAnsi="Garamond"/>
          <w:b/>
          <w:bCs/>
        </w:rPr>
        <w:t>OPINION REGARDING</w:t>
      </w:r>
      <w:r>
        <w:rPr>
          <w:rFonts w:ascii="Garamond" w:hAnsi="Garamond"/>
          <w:b/>
          <w:bCs/>
        </w:rPr>
        <w:t xml:space="preserve"> THE COMPANY’S ASSERTION </w:t>
      </w:r>
      <w:r w:rsidR="00B80D31">
        <w:rPr>
          <w:rFonts w:ascii="Garamond" w:hAnsi="Garamond"/>
          <w:b/>
          <w:bCs/>
        </w:rPr>
        <w:tab/>
      </w:r>
      <w:r>
        <w:rPr>
          <w:rFonts w:ascii="Garamond" w:hAnsi="Garamond"/>
          <w:b/>
          <w:bCs/>
        </w:rPr>
        <w:t xml:space="preserve">THAT </w:t>
      </w:r>
      <w:r w:rsidR="007058F2">
        <w:rPr>
          <w:rFonts w:ascii="Garamond" w:hAnsi="Garamond"/>
          <w:b/>
          <w:bCs/>
        </w:rPr>
        <w:t>COVID</w:t>
      </w:r>
      <w:r w:rsidR="00081568">
        <w:rPr>
          <w:rFonts w:ascii="Garamond" w:hAnsi="Garamond"/>
          <w:b/>
          <w:bCs/>
        </w:rPr>
        <w:t>-19</w:t>
      </w:r>
      <w:r w:rsidR="007058F2">
        <w:rPr>
          <w:rFonts w:ascii="Garamond" w:hAnsi="Garamond"/>
          <w:b/>
          <w:bCs/>
        </w:rPr>
        <w:t xml:space="preserve"> DELAYED </w:t>
      </w:r>
      <w:r>
        <w:rPr>
          <w:rFonts w:ascii="Garamond" w:hAnsi="Garamond"/>
          <w:b/>
          <w:bCs/>
        </w:rPr>
        <w:t xml:space="preserve">THE OVER-ALL PROJECT SCHEDULE BY 3 TO 4 </w:t>
      </w:r>
      <w:r w:rsidR="00B80D31">
        <w:rPr>
          <w:rFonts w:ascii="Garamond" w:hAnsi="Garamond"/>
          <w:b/>
          <w:bCs/>
        </w:rPr>
        <w:tab/>
      </w:r>
      <w:r>
        <w:rPr>
          <w:rFonts w:ascii="Garamond" w:hAnsi="Garamond"/>
          <w:b/>
          <w:bCs/>
        </w:rPr>
        <w:t>MONTHS?</w:t>
      </w:r>
    </w:p>
    <w:p w:rsidR="000B1BF2" w:rsidRDefault="006E5D08" w:rsidP="00195D5A">
      <w:pPr>
        <w:spacing w:line="480" w:lineRule="auto"/>
        <w:jc w:val="both"/>
        <w:rPr>
          <w:rFonts w:ascii="Garamond" w:hAnsi="Garamond"/>
        </w:rPr>
      </w:pPr>
      <w:r>
        <w:rPr>
          <w:rFonts w:ascii="Garamond" w:hAnsi="Garamond"/>
        </w:rPr>
        <w:t>A:</w:t>
      </w:r>
      <w:r>
        <w:rPr>
          <w:rFonts w:ascii="Garamond" w:hAnsi="Garamond"/>
        </w:rPr>
        <w:tab/>
        <w:t xml:space="preserve">This will require more detailed analysis to be done concurrent with the review of prudency </w:t>
      </w:r>
      <w:r w:rsidR="00B80D31">
        <w:rPr>
          <w:rFonts w:ascii="Garamond" w:hAnsi="Garamond"/>
        </w:rPr>
        <w:tab/>
      </w:r>
      <w:r>
        <w:rPr>
          <w:rFonts w:ascii="Garamond" w:hAnsi="Garamond"/>
        </w:rPr>
        <w:t>issues</w:t>
      </w:r>
      <w:r w:rsidR="00405F2F">
        <w:rPr>
          <w:rFonts w:ascii="Garamond" w:hAnsi="Garamond"/>
        </w:rPr>
        <w:t xml:space="preserve">.  However, </w:t>
      </w:r>
      <w:r>
        <w:rPr>
          <w:rFonts w:ascii="Garamond" w:hAnsi="Garamond"/>
        </w:rPr>
        <w:t xml:space="preserve">at this point </w:t>
      </w:r>
      <w:r w:rsidR="001A3AF0">
        <w:rPr>
          <w:rFonts w:ascii="Garamond" w:hAnsi="Garamond"/>
        </w:rPr>
        <w:t>VMG</w:t>
      </w:r>
      <w:r>
        <w:rPr>
          <w:rFonts w:ascii="Garamond" w:hAnsi="Garamond"/>
        </w:rPr>
        <w:t xml:space="preserve"> do</w:t>
      </w:r>
      <w:r w:rsidR="001A3AF0">
        <w:rPr>
          <w:rFonts w:ascii="Garamond" w:hAnsi="Garamond"/>
        </w:rPr>
        <w:t>es</w:t>
      </w:r>
      <w:r>
        <w:rPr>
          <w:rFonts w:ascii="Garamond" w:hAnsi="Garamond"/>
        </w:rPr>
        <w:t xml:space="preserve"> not see that there is objective evidence</w:t>
      </w:r>
      <w:r w:rsidR="003B0400">
        <w:rPr>
          <w:rFonts w:ascii="Garamond" w:hAnsi="Garamond"/>
        </w:rPr>
        <w:t xml:space="preserve"> </w:t>
      </w:r>
      <w:r>
        <w:rPr>
          <w:rFonts w:ascii="Garamond" w:hAnsi="Garamond"/>
        </w:rPr>
        <w:t>to support</w:t>
      </w:r>
      <w:r w:rsidR="00405F2F">
        <w:rPr>
          <w:rFonts w:ascii="Garamond" w:hAnsi="Garamond"/>
        </w:rPr>
        <w:t xml:space="preserve"> </w:t>
      </w:r>
      <w:r w:rsidR="00B80D31">
        <w:rPr>
          <w:rFonts w:ascii="Garamond" w:hAnsi="Garamond"/>
        </w:rPr>
        <w:lastRenderedPageBreak/>
        <w:tab/>
      </w:r>
      <w:r>
        <w:rPr>
          <w:rFonts w:ascii="Garamond" w:hAnsi="Garamond"/>
        </w:rPr>
        <w:t xml:space="preserve">this claim.  To the contrary, </w:t>
      </w:r>
      <w:r w:rsidR="00916A53">
        <w:rPr>
          <w:rFonts w:ascii="Garamond" w:hAnsi="Garamond"/>
        </w:rPr>
        <w:t xml:space="preserve">VMG </w:t>
      </w:r>
      <w:r>
        <w:rPr>
          <w:rFonts w:ascii="Garamond" w:hAnsi="Garamond"/>
        </w:rPr>
        <w:t>observe</w:t>
      </w:r>
      <w:r w:rsidR="00916A53">
        <w:rPr>
          <w:rFonts w:ascii="Garamond" w:hAnsi="Garamond"/>
        </w:rPr>
        <w:t>s</w:t>
      </w:r>
      <w:r>
        <w:rPr>
          <w:rFonts w:ascii="Garamond" w:hAnsi="Garamond"/>
        </w:rPr>
        <w:t xml:space="preserve"> that based on measures of the Schedule </w:t>
      </w:r>
      <w:r w:rsidR="007E7FF1">
        <w:rPr>
          <w:rFonts w:ascii="Garamond" w:hAnsi="Garamond"/>
        </w:rPr>
        <w:tab/>
      </w:r>
      <w:r>
        <w:rPr>
          <w:rFonts w:ascii="Garamond" w:hAnsi="Garamond"/>
        </w:rPr>
        <w:t>Performance Indices (SPIs)</w:t>
      </w:r>
      <w:r w:rsidR="006833B5">
        <w:rPr>
          <w:rFonts w:ascii="Garamond" w:hAnsi="Garamond"/>
        </w:rPr>
        <w:t xml:space="preserve"> </w:t>
      </w:r>
      <w:r>
        <w:rPr>
          <w:rFonts w:ascii="Garamond" w:hAnsi="Garamond"/>
        </w:rPr>
        <w:t xml:space="preserve">with staff reductions that occurred during periods of high cases </w:t>
      </w:r>
      <w:r w:rsidR="007E7FF1">
        <w:rPr>
          <w:rFonts w:ascii="Garamond" w:hAnsi="Garamond"/>
        </w:rPr>
        <w:tab/>
      </w:r>
      <w:r>
        <w:rPr>
          <w:rFonts w:ascii="Garamond" w:hAnsi="Garamond"/>
        </w:rPr>
        <w:t>of COVID</w:t>
      </w:r>
      <w:r w:rsidR="00B241AE">
        <w:rPr>
          <w:rFonts w:ascii="Garamond" w:hAnsi="Garamond"/>
        </w:rPr>
        <w:t>,</w:t>
      </w:r>
      <w:r>
        <w:rPr>
          <w:rFonts w:ascii="Garamond" w:hAnsi="Garamond"/>
        </w:rPr>
        <w:t xml:space="preserve"> SPIs </w:t>
      </w:r>
      <w:r w:rsidR="00B241AE">
        <w:rPr>
          <w:rFonts w:ascii="Garamond" w:hAnsi="Garamond"/>
        </w:rPr>
        <w:t>improved</w:t>
      </w:r>
      <w:r>
        <w:rPr>
          <w:rFonts w:ascii="Garamond" w:hAnsi="Garamond"/>
        </w:rPr>
        <w:t xml:space="preserve"> </w:t>
      </w:r>
      <w:r w:rsidR="00C7697F">
        <w:rPr>
          <w:rFonts w:ascii="Garamond" w:hAnsi="Garamond"/>
        </w:rPr>
        <w:t>by at least 10%</w:t>
      </w:r>
      <w:r w:rsidR="004B0E7C">
        <w:rPr>
          <w:rFonts w:ascii="Garamond" w:hAnsi="Garamond"/>
        </w:rPr>
        <w:t xml:space="preserve">. </w:t>
      </w:r>
      <w:r>
        <w:rPr>
          <w:rFonts w:ascii="Garamond" w:hAnsi="Garamond"/>
        </w:rPr>
        <w:t xml:space="preserve"> </w:t>
      </w:r>
      <w:r w:rsidR="00B241AE">
        <w:rPr>
          <w:rFonts w:ascii="Garamond" w:hAnsi="Garamond"/>
        </w:rPr>
        <w:t xml:space="preserve">This then indicates that the </w:t>
      </w:r>
      <w:r w:rsidR="003B0400">
        <w:rPr>
          <w:rFonts w:ascii="Garamond" w:hAnsi="Garamond"/>
        </w:rPr>
        <w:t xml:space="preserve">ratio of the </w:t>
      </w:r>
      <w:r w:rsidR="00B241AE">
        <w:rPr>
          <w:rFonts w:ascii="Garamond" w:hAnsi="Garamond"/>
        </w:rPr>
        <w:t xml:space="preserve">value of </w:t>
      </w:r>
      <w:r w:rsidR="007E7FF1">
        <w:rPr>
          <w:rFonts w:ascii="Garamond" w:hAnsi="Garamond"/>
        </w:rPr>
        <w:tab/>
      </w:r>
      <w:r w:rsidR="00B241AE">
        <w:rPr>
          <w:rFonts w:ascii="Garamond" w:hAnsi="Garamond"/>
        </w:rPr>
        <w:t>the work</w:t>
      </w:r>
      <w:r w:rsidR="003B0400">
        <w:rPr>
          <w:rFonts w:ascii="Garamond" w:hAnsi="Garamond"/>
        </w:rPr>
        <w:t xml:space="preserve"> planned divided by the value of the work completed became less (i.e., schedule </w:t>
      </w:r>
      <w:r w:rsidR="007E7FF1">
        <w:rPr>
          <w:rFonts w:ascii="Garamond" w:hAnsi="Garamond"/>
        </w:rPr>
        <w:tab/>
      </w:r>
      <w:r w:rsidR="003B0400">
        <w:rPr>
          <w:rFonts w:ascii="Garamond" w:hAnsi="Garamond"/>
        </w:rPr>
        <w:t>performance was more favorable).</w:t>
      </w:r>
      <w:r w:rsidR="00B241AE">
        <w:rPr>
          <w:rFonts w:ascii="Garamond" w:hAnsi="Garamond"/>
        </w:rPr>
        <w:t xml:space="preserve"> </w:t>
      </w:r>
      <w:r w:rsidR="00A821D8">
        <w:rPr>
          <w:rFonts w:ascii="Garamond" w:hAnsi="Garamond"/>
        </w:rPr>
        <w:t xml:space="preserve"> </w:t>
      </w:r>
      <w:r w:rsidR="000B1BF2">
        <w:rPr>
          <w:rFonts w:ascii="Garamond" w:hAnsi="Garamond"/>
        </w:rPr>
        <w:t xml:space="preserve">In addition, there have </w:t>
      </w:r>
      <w:r w:rsidR="003C023D">
        <w:rPr>
          <w:rFonts w:ascii="Garamond" w:hAnsi="Garamond"/>
        </w:rPr>
        <w:t xml:space="preserve">been </w:t>
      </w:r>
      <w:r w:rsidR="000B1BF2">
        <w:rPr>
          <w:rFonts w:ascii="Garamond" w:hAnsi="Garamond"/>
        </w:rPr>
        <w:t>many “</w:t>
      </w:r>
      <w:r w:rsidR="008B5B29">
        <w:rPr>
          <w:rFonts w:ascii="Garamond" w:hAnsi="Garamond"/>
        </w:rPr>
        <w:t>C</w:t>
      </w:r>
      <w:r w:rsidR="000B1BF2">
        <w:rPr>
          <w:rFonts w:ascii="Garamond" w:hAnsi="Garamond"/>
        </w:rPr>
        <w:t xml:space="preserve">ompany inflicted” </w:t>
      </w:r>
      <w:r w:rsidR="004B0E7C">
        <w:rPr>
          <w:rFonts w:ascii="Garamond" w:hAnsi="Garamond"/>
        </w:rPr>
        <w:tab/>
      </w:r>
      <w:r w:rsidR="000B1BF2">
        <w:rPr>
          <w:rFonts w:ascii="Garamond" w:hAnsi="Garamond"/>
        </w:rPr>
        <w:t xml:space="preserve">problems which in themselves can account for most of (if not the total) delay in </w:t>
      </w:r>
      <w:r w:rsidR="00A4223F">
        <w:rPr>
          <w:rFonts w:ascii="Garamond" w:hAnsi="Garamond"/>
        </w:rPr>
        <w:t>P</w:t>
      </w:r>
      <w:r w:rsidR="000B1BF2">
        <w:rPr>
          <w:rFonts w:ascii="Garamond" w:hAnsi="Garamond"/>
        </w:rPr>
        <w:t xml:space="preserve">roject </w:t>
      </w:r>
      <w:r w:rsidR="004B0E7C">
        <w:rPr>
          <w:rFonts w:ascii="Garamond" w:hAnsi="Garamond"/>
        </w:rPr>
        <w:tab/>
        <w:t>c</w:t>
      </w:r>
      <w:r w:rsidR="000B1BF2">
        <w:rPr>
          <w:rFonts w:ascii="Garamond" w:hAnsi="Garamond"/>
        </w:rPr>
        <w:t xml:space="preserve">ompletion beyond the VCM 17 Regulatory Approved dates of November </w:t>
      </w:r>
      <w:r w:rsidR="004B0E7C">
        <w:rPr>
          <w:rFonts w:ascii="Garamond" w:hAnsi="Garamond"/>
        </w:rPr>
        <w:t xml:space="preserve">from </w:t>
      </w:r>
      <w:r w:rsidR="000B1BF2">
        <w:rPr>
          <w:rFonts w:ascii="Garamond" w:hAnsi="Garamond"/>
        </w:rPr>
        <w:t xml:space="preserve">2021/ </w:t>
      </w:r>
      <w:r w:rsidR="004B0E7C">
        <w:rPr>
          <w:rFonts w:ascii="Garamond" w:hAnsi="Garamond"/>
        </w:rPr>
        <w:tab/>
      </w:r>
      <w:r w:rsidR="000B1BF2">
        <w:rPr>
          <w:rFonts w:ascii="Garamond" w:hAnsi="Garamond"/>
        </w:rPr>
        <w:t>November 2022.  A partial listing of these issues follows:</w:t>
      </w:r>
    </w:p>
    <w:p w:rsidR="000B1BF2" w:rsidRDefault="000B1BF2" w:rsidP="00195D5A">
      <w:pPr>
        <w:numPr>
          <w:ilvl w:val="0"/>
          <w:numId w:val="39"/>
        </w:numPr>
        <w:spacing w:line="480" w:lineRule="auto"/>
        <w:jc w:val="both"/>
        <w:rPr>
          <w:rFonts w:ascii="Garamond" w:hAnsi="Garamond"/>
        </w:rPr>
      </w:pPr>
      <w:r>
        <w:rPr>
          <w:rFonts w:ascii="Garamond" w:hAnsi="Garamond"/>
        </w:rPr>
        <w:t>Developing and reporting to an unrealistic “Site Work Plan”, and then repeatedly claiming that there was “schedule margin” to the Regulatory Required dates</w:t>
      </w:r>
      <w:r w:rsidR="008840AB">
        <w:rPr>
          <w:rFonts w:ascii="Garamond" w:hAnsi="Garamond"/>
        </w:rPr>
        <w:t xml:space="preserve">, </w:t>
      </w:r>
      <w:r w:rsidR="00916A53">
        <w:rPr>
          <w:rFonts w:ascii="Garamond" w:hAnsi="Garamond"/>
        </w:rPr>
        <w:t xml:space="preserve">where </w:t>
      </w:r>
      <w:r w:rsidR="008840AB">
        <w:rPr>
          <w:rFonts w:ascii="Garamond" w:hAnsi="Garamond"/>
        </w:rPr>
        <w:t xml:space="preserve">in fact that margin never existed.  </w:t>
      </w:r>
    </w:p>
    <w:p w:rsidR="008840AB" w:rsidRDefault="008840AB" w:rsidP="00195D5A">
      <w:pPr>
        <w:numPr>
          <w:ilvl w:val="0"/>
          <w:numId w:val="39"/>
        </w:numPr>
        <w:spacing w:line="480" w:lineRule="auto"/>
        <w:jc w:val="both"/>
        <w:rPr>
          <w:rFonts w:ascii="Garamond" w:hAnsi="Garamond"/>
        </w:rPr>
      </w:pPr>
      <w:r>
        <w:rPr>
          <w:rFonts w:ascii="Garamond" w:hAnsi="Garamond"/>
        </w:rPr>
        <w:t>With HFT on the critical path, having planned HFT for 45 days, but then taking 9</w:t>
      </w:r>
      <w:r w:rsidR="00405F2F">
        <w:rPr>
          <w:rFonts w:ascii="Garamond" w:hAnsi="Garamond"/>
        </w:rPr>
        <w:t>5</w:t>
      </w:r>
      <w:r>
        <w:rPr>
          <w:rFonts w:ascii="Garamond" w:hAnsi="Garamond"/>
        </w:rPr>
        <w:t xml:space="preserve"> days, represents another 1.5</w:t>
      </w:r>
      <w:r w:rsidR="003C023D">
        <w:rPr>
          <w:rFonts w:ascii="Garamond" w:hAnsi="Garamond"/>
        </w:rPr>
        <w:t>+</w:t>
      </w:r>
      <w:r>
        <w:rPr>
          <w:rFonts w:ascii="Garamond" w:hAnsi="Garamond"/>
        </w:rPr>
        <w:t xml:space="preserve"> months of delay.</w:t>
      </w:r>
    </w:p>
    <w:p w:rsidR="008840AB" w:rsidRDefault="008840AB" w:rsidP="00195D5A">
      <w:pPr>
        <w:numPr>
          <w:ilvl w:val="0"/>
          <w:numId w:val="39"/>
        </w:numPr>
        <w:spacing w:line="480" w:lineRule="auto"/>
        <w:jc w:val="both"/>
        <w:rPr>
          <w:rFonts w:ascii="Garamond" w:hAnsi="Garamond"/>
        </w:rPr>
      </w:pPr>
      <w:r>
        <w:rPr>
          <w:rFonts w:ascii="Garamond" w:hAnsi="Garamond"/>
        </w:rPr>
        <w:t xml:space="preserve">The damage to the Spent Fuel Pool and Fuel Transfer canal was </w:t>
      </w:r>
      <w:r w:rsidR="00405F2F">
        <w:rPr>
          <w:rFonts w:ascii="Garamond" w:hAnsi="Garamond"/>
        </w:rPr>
        <w:t xml:space="preserve">largely </w:t>
      </w:r>
      <w:r>
        <w:rPr>
          <w:rFonts w:ascii="Garamond" w:hAnsi="Garamond"/>
        </w:rPr>
        <w:t xml:space="preserve">self-inflicted, </w:t>
      </w:r>
      <w:r w:rsidR="003C023D">
        <w:rPr>
          <w:rFonts w:ascii="Garamond" w:hAnsi="Garamond"/>
        </w:rPr>
        <w:t>which</w:t>
      </w:r>
      <w:r>
        <w:rPr>
          <w:rFonts w:ascii="Garamond" w:hAnsi="Garamond"/>
        </w:rPr>
        <w:t xml:space="preserve"> (if it were not for the IEEE 384 issues) would have delayed the </w:t>
      </w:r>
      <w:r w:rsidR="00A4223F">
        <w:rPr>
          <w:rFonts w:ascii="Garamond" w:hAnsi="Garamond"/>
        </w:rPr>
        <w:t>P</w:t>
      </w:r>
      <w:r>
        <w:rPr>
          <w:rFonts w:ascii="Garamond" w:hAnsi="Garamond"/>
        </w:rPr>
        <w:t>roject.  Further, there is no indication that COVID</w:t>
      </w:r>
      <w:r w:rsidR="00654FE4">
        <w:rPr>
          <w:rFonts w:ascii="Garamond" w:hAnsi="Garamond"/>
        </w:rPr>
        <w:t>-19</w:t>
      </w:r>
      <w:r>
        <w:rPr>
          <w:rFonts w:ascii="Garamond" w:hAnsi="Garamond"/>
        </w:rPr>
        <w:t xml:space="preserve"> impacted this repair work</w:t>
      </w:r>
      <w:r w:rsidR="000362CB">
        <w:rPr>
          <w:rFonts w:ascii="Garamond" w:hAnsi="Garamond"/>
        </w:rPr>
        <w:t xml:space="preserve">. </w:t>
      </w:r>
    </w:p>
    <w:p w:rsidR="0089650D" w:rsidRPr="00B80D31" w:rsidRDefault="008840AB" w:rsidP="00B80D31">
      <w:pPr>
        <w:numPr>
          <w:ilvl w:val="0"/>
          <w:numId w:val="39"/>
        </w:numPr>
        <w:spacing w:line="480" w:lineRule="auto"/>
        <w:jc w:val="both"/>
        <w:rPr>
          <w:rFonts w:ascii="Garamond" w:hAnsi="Garamond"/>
        </w:rPr>
      </w:pPr>
      <w:r>
        <w:rPr>
          <w:rFonts w:ascii="Garamond" w:hAnsi="Garamond"/>
        </w:rPr>
        <w:t xml:space="preserve">The IEEE 384 issues, as will be explained in the cost analyses section, were mostly due to issuing engineering documents for construction that were simply </w:t>
      </w:r>
      <w:r w:rsidR="004B0E7C">
        <w:rPr>
          <w:rFonts w:ascii="Garamond" w:hAnsi="Garamond"/>
        </w:rPr>
        <w:t xml:space="preserve">either incomplete or </w:t>
      </w:r>
      <w:r>
        <w:rPr>
          <w:rFonts w:ascii="Garamond" w:hAnsi="Garamond"/>
        </w:rPr>
        <w:t xml:space="preserve">incapable of being properly interpreted by Construction which has then led to the large degree of </w:t>
      </w:r>
      <w:r w:rsidR="00AB10D5">
        <w:rPr>
          <w:rFonts w:ascii="Garamond" w:hAnsi="Garamond"/>
        </w:rPr>
        <w:t>rework.</w:t>
      </w:r>
    </w:p>
    <w:p w:rsidR="00B15736" w:rsidRDefault="00B15736" w:rsidP="005549C2">
      <w:pPr>
        <w:spacing w:line="480" w:lineRule="auto"/>
        <w:ind w:left="720" w:hanging="720"/>
        <w:jc w:val="both"/>
        <w:rPr>
          <w:rFonts w:ascii="Garamond" w:hAnsi="Garamond"/>
          <w:b/>
          <w:bCs/>
        </w:rPr>
      </w:pPr>
      <w:r>
        <w:rPr>
          <w:rFonts w:ascii="Garamond" w:hAnsi="Garamond"/>
          <w:b/>
          <w:bCs/>
        </w:rPr>
        <w:t>Q:</w:t>
      </w:r>
      <w:r>
        <w:rPr>
          <w:rFonts w:ascii="Garamond" w:hAnsi="Garamond"/>
          <w:b/>
          <w:bCs/>
        </w:rPr>
        <w:tab/>
        <w:t xml:space="preserve">PLEASE SUMMARIZE VMG’S FORECASTS FOR THE U-3 AND U-4 CODS, </w:t>
      </w:r>
    </w:p>
    <w:p w:rsidR="00B80D31" w:rsidRDefault="00B15736" w:rsidP="005549C2">
      <w:pPr>
        <w:spacing w:line="480" w:lineRule="auto"/>
        <w:ind w:left="720" w:hanging="720"/>
        <w:jc w:val="both"/>
        <w:rPr>
          <w:rFonts w:ascii="Garamond" w:hAnsi="Garamond"/>
        </w:rPr>
      </w:pPr>
      <w:r>
        <w:rPr>
          <w:rFonts w:ascii="Garamond" w:hAnsi="Garamond"/>
        </w:rPr>
        <w:t>A:</w:t>
      </w:r>
      <w:r>
        <w:rPr>
          <w:rFonts w:ascii="Garamond" w:hAnsi="Garamond"/>
        </w:rPr>
        <w:tab/>
      </w:r>
      <w:r w:rsidR="00A4223F">
        <w:rPr>
          <w:rFonts w:ascii="Garamond" w:hAnsi="Garamond"/>
        </w:rPr>
        <w:t>T</w:t>
      </w:r>
      <w:r>
        <w:rPr>
          <w:rFonts w:ascii="Garamond" w:hAnsi="Garamond"/>
        </w:rPr>
        <w:t xml:space="preserve">his </w:t>
      </w:r>
      <w:r w:rsidR="00A4223F">
        <w:rPr>
          <w:rFonts w:ascii="Garamond" w:hAnsi="Garamond"/>
        </w:rPr>
        <w:t>summary</w:t>
      </w:r>
      <w:r>
        <w:rPr>
          <w:rFonts w:ascii="Garamond" w:hAnsi="Garamond"/>
        </w:rPr>
        <w:t xml:space="preserve"> is provided in Table </w:t>
      </w:r>
      <w:r w:rsidR="00B11F6E">
        <w:rPr>
          <w:rFonts w:ascii="Garamond" w:hAnsi="Garamond"/>
        </w:rPr>
        <w:t>T</w:t>
      </w:r>
      <w:r>
        <w:rPr>
          <w:rFonts w:ascii="Garamond" w:hAnsi="Garamond"/>
        </w:rPr>
        <w:t>S-</w:t>
      </w:r>
      <w:r w:rsidR="007E7FF1">
        <w:rPr>
          <w:rFonts w:ascii="Garamond" w:hAnsi="Garamond"/>
        </w:rPr>
        <w:t>3.</w:t>
      </w:r>
      <w:r w:rsidR="000502D8">
        <w:rPr>
          <w:rFonts w:ascii="Garamond" w:hAnsi="Garamond"/>
        </w:rPr>
        <w:t xml:space="preserve">  Also, as is shown in the table, </w:t>
      </w:r>
      <w:r w:rsidR="00A4223F">
        <w:rPr>
          <w:rFonts w:ascii="Garamond" w:hAnsi="Garamond"/>
        </w:rPr>
        <w:t xml:space="preserve">there </w:t>
      </w:r>
      <w:r w:rsidR="000502D8">
        <w:rPr>
          <w:rFonts w:ascii="Garamond" w:hAnsi="Garamond"/>
        </w:rPr>
        <w:t xml:space="preserve">are the assumed U-3 and U-4 CODs upon which the </w:t>
      </w:r>
      <w:r w:rsidR="00A4223F">
        <w:rPr>
          <w:rFonts w:ascii="Garamond" w:hAnsi="Garamond"/>
        </w:rPr>
        <w:t>C</w:t>
      </w:r>
      <w:r w:rsidR="000502D8">
        <w:rPr>
          <w:rFonts w:ascii="Garamond" w:hAnsi="Garamond"/>
        </w:rPr>
        <w:t xml:space="preserve">ompany’s forecast TPC EAC is based, and the U-3 and </w:t>
      </w:r>
      <w:r w:rsidR="000502D8">
        <w:rPr>
          <w:rFonts w:ascii="Garamond" w:hAnsi="Garamond"/>
        </w:rPr>
        <w:lastRenderedPageBreak/>
        <w:t>U-4 CODs upon which VMG’s forecast TPC EAC is based.  These dates are represented by the table headings “Cost BOE”, where “BOE” stands for “Basis of Estimate</w:t>
      </w:r>
      <w:r w:rsidR="006833B5">
        <w:rPr>
          <w:rFonts w:ascii="Garamond" w:hAnsi="Garamond"/>
        </w:rPr>
        <w:t>” and</w:t>
      </w:r>
      <w:r w:rsidR="004B0E7C">
        <w:rPr>
          <w:rFonts w:ascii="Garamond" w:hAnsi="Garamond"/>
        </w:rPr>
        <w:t xml:space="preserve"> are important when addressing the Total Project Cost Estimate at Completion (TPC EAC). </w:t>
      </w:r>
    </w:p>
    <w:p w:rsidR="00383CBD" w:rsidRDefault="00383CBD" w:rsidP="005549C2">
      <w:pPr>
        <w:spacing w:line="480" w:lineRule="auto"/>
        <w:ind w:left="720" w:hanging="720"/>
        <w:jc w:val="both"/>
        <w:rPr>
          <w:rFonts w:ascii="Garamond" w:hAnsi="Garamond"/>
        </w:rPr>
      </w:pPr>
    </w:p>
    <w:tbl>
      <w:tblPr>
        <w:tblW w:w="9545" w:type="dxa"/>
        <w:tblInd w:w="118" w:type="dxa"/>
        <w:tblLook w:val="04A0" w:firstRow="1" w:lastRow="0" w:firstColumn="1" w:lastColumn="0" w:noHBand="0" w:noVBand="1"/>
      </w:tblPr>
      <w:tblGrid>
        <w:gridCol w:w="1430"/>
        <w:gridCol w:w="1321"/>
        <w:gridCol w:w="1516"/>
        <w:gridCol w:w="1123"/>
        <w:gridCol w:w="1440"/>
        <w:gridCol w:w="1260"/>
        <w:gridCol w:w="1455"/>
      </w:tblGrid>
      <w:tr w:rsidR="000502D8" w:rsidTr="000502D8">
        <w:trPr>
          <w:trHeight w:val="340"/>
        </w:trPr>
        <w:tc>
          <w:tcPr>
            <w:tcW w:w="9545" w:type="dxa"/>
            <w:gridSpan w:val="7"/>
            <w:tcBorders>
              <w:top w:val="single" w:sz="8" w:space="0" w:color="auto"/>
              <w:left w:val="single" w:sz="8" w:space="0" w:color="auto"/>
              <w:bottom w:val="nil"/>
              <w:right w:val="single" w:sz="8" w:space="0" w:color="000000"/>
            </w:tcBorders>
            <w:shd w:val="clear" w:color="auto" w:fill="auto"/>
            <w:noWrap/>
            <w:vAlign w:val="bottom"/>
            <w:hideMark/>
          </w:tcPr>
          <w:p w:rsidR="000502D8" w:rsidRDefault="000502D8">
            <w:pPr>
              <w:jc w:val="center"/>
              <w:rPr>
                <w:rFonts w:ascii="Calibri" w:hAnsi="Calibri" w:cs="Calibri"/>
                <w:b/>
                <w:bCs/>
                <w:color w:val="000000"/>
              </w:rPr>
            </w:pPr>
            <w:r>
              <w:rPr>
                <w:rFonts w:ascii="Calibri" w:hAnsi="Calibri" w:cs="Calibri"/>
                <w:b/>
                <w:bCs/>
                <w:color w:val="000000"/>
              </w:rPr>
              <w:t>Table TS-</w:t>
            </w:r>
            <w:r w:rsidR="00CC6065">
              <w:rPr>
                <w:rFonts w:ascii="Calibri" w:hAnsi="Calibri" w:cs="Calibri"/>
                <w:b/>
                <w:bCs/>
                <w:color w:val="000000"/>
              </w:rPr>
              <w:t>3</w:t>
            </w:r>
            <w:r w:rsidR="002E47AA">
              <w:rPr>
                <w:rFonts w:ascii="Calibri" w:hAnsi="Calibri" w:cs="Calibri"/>
                <w:b/>
                <w:bCs/>
                <w:color w:val="000000"/>
              </w:rPr>
              <w:t>:</w:t>
            </w:r>
            <w:r>
              <w:rPr>
                <w:rFonts w:ascii="Calibri" w:hAnsi="Calibri" w:cs="Calibri"/>
                <w:b/>
                <w:bCs/>
                <w:color w:val="000000"/>
              </w:rPr>
              <w:t xml:space="preserve"> Summary Schedule Analysis</w:t>
            </w:r>
          </w:p>
        </w:tc>
      </w:tr>
      <w:tr w:rsidR="000502D8" w:rsidTr="000362CB">
        <w:trPr>
          <w:trHeight w:val="412"/>
        </w:trPr>
        <w:tc>
          <w:tcPr>
            <w:tcW w:w="1430" w:type="dxa"/>
            <w:vMerge w:val="restart"/>
            <w:tcBorders>
              <w:top w:val="single" w:sz="8" w:space="0" w:color="auto"/>
              <w:left w:val="single" w:sz="8" w:space="0" w:color="auto"/>
              <w:bottom w:val="single" w:sz="4" w:space="0" w:color="auto"/>
              <w:right w:val="single" w:sz="4" w:space="0" w:color="auto"/>
            </w:tcBorders>
            <w:shd w:val="clear" w:color="auto" w:fill="auto"/>
            <w:vAlign w:val="bottom"/>
            <w:hideMark/>
          </w:tcPr>
          <w:p w:rsidR="000502D8" w:rsidRDefault="000502D8">
            <w:pPr>
              <w:jc w:val="center"/>
              <w:rPr>
                <w:rFonts w:ascii="Calibri" w:hAnsi="Calibri" w:cs="Calibri"/>
                <w:color w:val="000000"/>
              </w:rPr>
            </w:pPr>
            <w:r>
              <w:rPr>
                <w:rFonts w:ascii="Calibri" w:hAnsi="Calibri" w:cs="Calibri"/>
                <w:color w:val="000000"/>
              </w:rPr>
              <w:t>Forecast By</w:t>
            </w:r>
          </w:p>
        </w:tc>
        <w:tc>
          <w:tcPr>
            <w:tcW w:w="3960" w:type="dxa"/>
            <w:gridSpan w:val="3"/>
            <w:tcBorders>
              <w:top w:val="single" w:sz="8" w:space="0" w:color="auto"/>
              <w:left w:val="nil"/>
              <w:bottom w:val="single" w:sz="4" w:space="0" w:color="auto"/>
              <w:right w:val="single" w:sz="4"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U-3 COD</w:t>
            </w:r>
          </w:p>
        </w:tc>
        <w:tc>
          <w:tcPr>
            <w:tcW w:w="4155" w:type="dxa"/>
            <w:gridSpan w:val="3"/>
            <w:tcBorders>
              <w:top w:val="single" w:sz="8" w:space="0" w:color="auto"/>
              <w:left w:val="nil"/>
              <w:bottom w:val="single" w:sz="4" w:space="0" w:color="auto"/>
              <w:right w:val="single" w:sz="8" w:space="0" w:color="000000"/>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U-4 COD</w:t>
            </w:r>
          </w:p>
        </w:tc>
      </w:tr>
      <w:tr w:rsidR="000502D8" w:rsidTr="000362CB">
        <w:trPr>
          <w:trHeight w:val="320"/>
        </w:trPr>
        <w:tc>
          <w:tcPr>
            <w:tcW w:w="1430" w:type="dxa"/>
            <w:vMerge/>
            <w:tcBorders>
              <w:top w:val="single" w:sz="8" w:space="0" w:color="auto"/>
              <w:left w:val="single" w:sz="8" w:space="0" w:color="auto"/>
              <w:bottom w:val="single" w:sz="4" w:space="0" w:color="auto"/>
              <w:right w:val="single" w:sz="4" w:space="0" w:color="auto"/>
            </w:tcBorders>
            <w:vAlign w:val="center"/>
            <w:hideMark/>
          </w:tcPr>
          <w:p w:rsidR="000502D8" w:rsidRDefault="000502D8">
            <w:pPr>
              <w:rPr>
                <w:rFonts w:ascii="Calibri" w:hAnsi="Calibri" w:cs="Calibri"/>
                <w:color w:val="000000"/>
              </w:rPr>
            </w:pPr>
          </w:p>
        </w:tc>
        <w:tc>
          <w:tcPr>
            <w:tcW w:w="1321" w:type="dxa"/>
            <w:tcBorders>
              <w:top w:val="nil"/>
              <w:left w:val="nil"/>
              <w:bottom w:val="single" w:sz="4" w:space="0" w:color="auto"/>
              <w:right w:val="single" w:sz="4"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Aggressive</w:t>
            </w:r>
          </w:p>
        </w:tc>
        <w:tc>
          <w:tcPr>
            <w:tcW w:w="1516" w:type="dxa"/>
            <w:tcBorders>
              <w:top w:val="nil"/>
              <w:left w:val="nil"/>
              <w:bottom w:val="single" w:sz="4" w:space="0" w:color="auto"/>
              <w:right w:val="single" w:sz="4"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Target</w:t>
            </w:r>
          </w:p>
        </w:tc>
        <w:tc>
          <w:tcPr>
            <w:tcW w:w="1123" w:type="dxa"/>
            <w:tcBorders>
              <w:top w:val="nil"/>
              <w:left w:val="nil"/>
              <w:bottom w:val="single" w:sz="4" w:space="0" w:color="auto"/>
              <w:right w:val="single" w:sz="4"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Cost BOE</w:t>
            </w:r>
          </w:p>
        </w:tc>
        <w:tc>
          <w:tcPr>
            <w:tcW w:w="1440" w:type="dxa"/>
            <w:tcBorders>
              <w:top w:val="nil"/>
              <w:left w:val="nil"/>
              <w:bottom w:val="single" w:sz="4" w:space="0" w:color="auto"/>
              <w:right w:val="single" w:sz="4"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Aggressive</w:t>
            </w:r>
          </w:p>
        </w:tc>
        <w:tc>
          <w:tcPr>
            <w:tcW w:w="1260" w:type="dxa"/>
            <w:tcBorders>
              <w:top w:val="nil"/>
              <w:left w:val="nil"/>
              <w:bottom w:val="single" w:sz="4" w:space="0" w:color="auto"/>
              <w:right w:val="single" w:sz="4"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Target</w:t>
            </w:r>
          </w:p>
        </w:tc>
        <w:tc>
          <w:tcPr>
            <w:tcW w:w="1455" w:type="dxa"/>
            <w:tcBorders>
              <w:top w:val="nil"/>
              <w:left w:val="nil"/>
              <w:bottom w:val="single" w:sz="4" w:space="0" w:color="auto"/>
              <w:right w:val="single" w:sz="8"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Cost BOE</w:t>
            </w:r>
          </w:p>
        </w:tc>
      </w:tr>
      <w:tr w:rsidR="000502D8" w:rsidTr="000362CB">
        <w:trPr>
          <w:trHeight w:val="340"/>
        </w:trPr>
        <w:tc>
          <w:tcPr>
            <w:tcW w:w="1430" w:type="dxa"/>
            <w:tcBorders>
              <w:top w:val="nil"/>
              <w:left w:val="single" w:sz="8" w:space="0" w:color="auto"/>
              <w:bottom w:val="single" w:sz="8" w:space="0" w:color="auto"/>
              <w:right w:val="single" w:sz="4"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Company</w:t>
            </w:r>
          </w:p>
        </w:tc>
        <w:tc>
          <w:tcPr>
            <w:tcW w:w="1321" w:type="dxa"/>
            <w:tcBorders>
              <w:top w:val="nil"/>
              <w:left w:val="nil"/>
              <w:bottom w:val="single" w:sz="8" w:space="0" w:color="auto"/>
              <w:right w:val="single" w:sz="4" w:space="0" w:color="auto"/>
            </w:tcBorders>
            <w:shd w:val="clear" w:color="auto" w:fill="auto"/>
            <w:noWrap/>
            <w:vAlign w:val="bottom"/>
            <w:hideMark/>
          </w:tcPr>
          <w:p w:rsidR="000502D8" w:rsidRDefault="000502D8" w:rsidP="000502D8">
            <w:pPr>
              <w:jc w:val="center"/>
              <w:rPr>
                <w:rFonts w:ascii="Calibri" w:hAnsi="Calibri" w:cs="Calibri"/>
                <w:color w:val="000000"/>
              </w:rPr>
            </w:pPr>
            <w:r>
              <w:rPr>
                <w:rFonts w:ascii="Calibri" w:hAnsi="Calibri" w:cs="Calibri"/>
                <w:color w:val="000000"/>
              </w:rPr>
              <w:t>May 21, 2022</w:t>
            </w:r>
          </w:p>
        </w:tc>
        <w:tc>
          <w:tcPr>
            <w:tcW w:w="1516" w:type="dxa"/>
            <w:tcBorders>
              <w:top w:val="nil"/>
              <w:left w:val="nil"/>
              <w:bottom w:val="single" w:sz="8" w:space="0" w:color="auto"/>
              <w:right w:val="single" w:sz="4" w:space="0" w:color="auto"/>
            </w:tcBorders>
            <w:shd w:val="clear" w:color="auto" w:fill="auto"/>
            <w:noWrap/>
            <w:vAlign w:val="bottom"/>
            <w:hideMark/>
          </w:tcPr>
          <w:p w:rsidR="000502D8" w:rsidRDefault="000502D8" w:rsidP="000502D8">
            <w:pPr>
              <w:jc w:val="center"/>
              <w:rPr>
                <w:rFonts w:ascii="Calibri" w:hAnsi="Calibri" w:cs="Calibri"/>
                <w:color w:val="000000"/>
              </w:rPr>
            </w:pPr>
            <w:r>
              <w:rPr>
                <w:rFonts w:ascii="Calibri" w:hAnsi="Calibri" w:cs="Calibri"/>
                <w:color w:val="000000"/>
              </w:rPr>
              <w:t>Sept 30, 2022</w:t>
            </w:r>
          </w:p>
        </w:tc>
        <w:tc>
          <w:tcPr>
            <w:tcW w:w="1123" w:type="dxa"/>
            <w:tcBorders>
              <w:top w:val="nil"/>
              <w:left w:val="nil"/>
              <w:bottom w:val="single" w:sz="8" w:space="0" w:color="auto"/>
              <w:right w:val="single" w:sz="4" w:space="0" w:color="auto"/>
            </w:tcBorders>
            <w:shd w:val="clear" w:color="auto" w:fill="auto"/>
            <w:noWrap/>
            <w:vAlign w:val="bottom"/>
            <w:hideMark/>
          </w:tcPr>
          <w:p w:rsidR="000502D8" w:rsidRDefault="000502D8" w:rsidP="000362CB">
            <w:pPr>
              <w:jc w:val="center"/>
              <w:rPr>
                <w:rFonts w:ascii="Calibri" w:hAnsi="Calibri" w:cs="Calibri"/>
                <w:color w:val="000000"/>
              </w:rPr>
            </w:pPr>
            <w:r>
              <w:rPr>
                <w:rFonts w:ascii="Calibri" w:hAnsi="Calibri" w:cs="Calibri"/>
                <w:color w:val="000000"/>
              </w:rPr>
              <w:t>June 2022</w:t>
            </w:r>
          </w:p>
        </w:tc>
        <w:tc>
          <w:tcPr>
            <w:tcW w:w="1440" w:type="dxa"/>
            <w:tcBorders>
              <w:top w:val="nil"/>
              <w:left w:val="nil"/>
              <w:bottom w:val="single" w:sz="8" w:space="0" w:color="auto"/>
              <w:right w:val="single" w:sz="4" w:space="0" w:color="auto"/>
            </w:tcBorders>
            <w:shd w:val="clear" w:color="auto" w:fill="auto"/>
            <w:noWrap/>
            <w:vAlign w:val="bottom"/>
            <w:hideMark/>
          </w:tcPr>
          <w:p w:rsidR="000502D8" w:rsidRDefault="000502D8" w:rsidP="00AC4AA5">
            <w:pPr>
              <w:jc w:val="center"/>
              <w:rPr>
                <w:rFonts w:ascii="Calibri" w:hAnsi="Calibri" w:cs="Calibri"/>
                <w:color w:val="000000"/>
              </w:rPr>
            </w:pPr>
            <w:r>
              <w:rPr>
                <w:rFonts w:ascii="Calibri" w:hAnsi="Calibri" w:cs="Calibri"/>
                <w:color w:val="000000"/>
              </w:rPr>
              <w:t>March 2023</w:t>
            </w:r>
          </w:p>
        </w:tc>
        <w:tc>
          <w:tcPr>
            <w:tcW w:w="1260" w:type="dxa"/>
            <w:tcBorders>
              <w:top w:val="nil"/>
              <w:left w:val="nil"/>
              <w:bottom w:val="single" w:sz="8" w:space="0" w:color="auto"/>
              <w:right w:val="single" w:sz="4" w:space="0" w:color="auto"/>
            </w:tcBorders>
            <w:shd w:val="clear" w:color="auto" w:fill="auto"/>
            <w:noWrap/>
            <w:vAlign w:val="bottom"/>
            <w:hideMark/>
          </w:tcPr>
          <w:p w:rsidR="000502D8" w:rsidRDefault="000502D8" w:rsidP="00AC4AA5">
            <w:pPr>
              <w:jc w:val="center"/>
              <w:rPr>
                <w:rFonts w:ascii="Calibri" w:hAnsi="Calibri" w:cs="Calibri"/>
                <w:color w:val="000000"/>
              </w:rPr>
            </w:pPr>
            <w:r>
              <w:rPr>
                <w:rFonts w:ascii="Calibri" w:hAnsi="Calibri" w:cs="Calibri"/>
                <w:color w:val="000000"/>
              </w:rPr>
              <w:t>June 2023</w:t>
            </w:r>
          </w:p>
        </w:tc>
        <w:tc>
          <w:tcPr>
            <w:tcW w:w="1455" w:type="dxa"/>
            <w:tcBorders>
              <w:top w:val="nil"/>
              <w:left w:val="nil"/>
              <w:bottom w:val="single" w:sz="8" w:space="0" w:color="auto"/>
              <w:right w:val="single" w:sz="8" w:space="0" w:color="auto"/>
            </w:tcBorders>
            <w:shd w:val="clear" w:color="auto" w:fill="auto"/>
            <w:noWrap/>
            <w:vAlign w:val="bottom"/>
            <w:hideMark/>
          </w:tcPr>
          <w:p w:rsidR="000502D8" w:rsidRDefault="000502D8" w:rsidP="000362CB">
            <w:pPr>
              <w:jc w:val="center"/>
              <w:rPr>
                <w:rFonts w:ascii="Calibri" w:hAnsi="Calibri" w:cs="Calibri"/>
                <w:color w:val="000000"/>
              </w:rPr>
            </w:pPr>
            <w:r>
              <w:rPr>
                <w:rFonts w:ascii="Calibri" w:hAnsi="Calibri" w:cs="Calibri"/>
                <w:color w:val="000000"/>
              </w:rPr>
              <w:t>March 2023</w:t>
            </w:r>
          </w:p>
        </w:tc>
      </w:tr>
      <w:tr w:rsidR="000502D8" w:rsidTr="000362CB">
        <w:trPr>
          <w:trHeight w:val="180"/>
        </w:trPr>
        <w:tc>
          <w:tcPr>
            <w:tcW w:w="1430" w:type="dxa"/>
            <w:tcBorders>
              <w:top w:val="nil"/>
              <w:left w:val="single" w:sz="8" w:space="0" w:color="auto"/>
              <w:bottom w:val="nil"/>
              <w:right w:val="single" w:sz="4" w:space="0" w:color="auto"/>
            </w:tcBorders>
            <w:shd w:val="clear" w:color="000000" w:fill="BFBFBF"/>
            <w:noWrap/>
            <w:vAlign w:val="bottom"/>
            <w:hideMark/>
          </w:tcPr>
          <w:p w:rsidR="000502D8" w:rsidRDefault="000502D8">
            <w:pPr>
              <w:jc w:val="center"/>
              <w:rPr>
                <w:rFonts w:ascii="Calibri" w:hAnsi="Calibri" w:cs="Calibri"/>
                <w:color w:val="000000"/>
              </w:rPr>
            </w:pPr>
            <w:r>
              <w:rPr>
                <w:rFonts w:ascii="Calibri" w:hAnsi="Calibri" w:cs="Calibri"/>
                <w:color w:val="000000"/>
              </w:rPr>
              <w:t> </w:t>
            </w:r>
          </w:p>
        </w:tc>
        <w:tc>
          <w:tcPr>
            <w:tcW w:w="1321" w:type="dxa"/>
            <w:tcBorders>
              <w:top w:val="nil"/>
              <w:left w:val="nil"/>
              <w:bottom w:val="nil"/>
              <w:right w:val="single" w:sz="4" w:space="0" w:color="auto"/>
            </w:tcBorders>
            <w:shd w:val="clear" w:color="000000" w:fill="BFBFBF"/>
            <w:noWrap/>
            <w:vAlign w:val="bottom"/>
            <w:hideMark/>
          </w:tcPr>
          <w:p w:rsidR="000502D8" w:rsidRDefault="000502D8">
            <w:pPr>
              <w:rPr>
                <w:rFonts w:ascii="Calibri" w:hAnsi="Calibri" w:cs="Calibri"/>
                <w:color w:val="000000"/>
              </w:rPr>
            </w:pPr>
            <w:r>
              <w:rPr>
                <w:rFonts w:ascii="Calibri" w:hAnsi="Calibri" w:cs="Calibri"/>
                <w:color w:val="000000"/>
              </w:rPr>
              <w:t> </w:t>
            </w:r>
          </w:p>
        </w:tc>
        <w:tc>
          <w:tcPr>
            <w:tcW w:w="1516" w:type="dxa"/>
            <w:tcBorders>
              <w:top w:val="nil"/>
              <w:left w:val="nil"/>
              <w:bottom w:val="nil"/>
              <w:right w:val="single" w:sz="4" w:space="0" w:color="auto"/>
            </w:tcBorders>
            <w:shd w:val="clear" w:color="000000" w:fill="BFBFBF"/>
            <w:noWrap/>
            <w:vAlign w:val="bottom"/>
            <w:hideMark/>
          </w:tcPr>
          <w:p w:rsidR="000502D8" w:rsidRDefault="000502D8">
            <w:pPr>
              <w:rPr>
                <w:rFonts w:ascii="Calibri" w:hAnsi="Calibri" w:cs="Calibri"/>
                <w:color w:val="000000"/>
              </w:rPr>
            </w:pPr>
            <w:r>
              <w:rPr>
                <w:rFonts w:ascii="Calibri" w:hAnsi="Calibri" w:cs="Calibri"/>
                <w:color w:val="000000"/>
              </w:rPr>
              <w:t> </w:t>
            </w:r>
          </w:p>
        </w:tc>
        <w:tc>
          <w:tcPr>
            <w:tcW w:w="1123" w:type="dxa"/>
            <w:tcBorders>
              <w:top w:val="nil"/>
              <w:left w:val="nil"/>
              <w:bottom w:val="nil"/>
              <w:right w:val="single" w:sz="4" w:space="0" w:color="auto"/>
            </w:tcBorders>
            <w:shd w:val="clear" w:color="000000" w:fill="BFBFBF"/>
            <w:noWrap/>
            <w:vAlign w:val="bottom"/>
            <w:hideMark/>
          </w:tcPr>
          <w:p w:rsidR="000502D8" w:rsidRDefault="000502D8">
            <w:pPr>
              <w:rPr>
                <w:rFonts w:ascii="Calibri" w:hAnsi="Calibri" w:cs="Calibri"/>
                <w:color w:val="000000"/>
              </w:rPr>
            </w:pPr>
            <w:r>
              <w:rPr>
                <w:rFonts w:ascii="Calibri" w:hAnsi="Calibri" w:cs="Calibri"/>
                <w:color w:val="000000"/>
              </w:rPr>
              <w:t> </w:t>
            </w:r>
          </w:p>
        </w:tc>
        <w:tc>
          <w:tcPr>
            <w:tcW w:w="1440" w:type="dxa"/>
            <w:tcBorders>
              <w:top w:val="nil"/>
              <w:left w:val="nil"/>
              <w:bottom w:val="nil"/>
              <w:right w:val="single" w:sz="4" w:space="0" w:color="auto"/>
            </w:tcBorders>
            <w:shd w:val="clear" w:color="000000" w:fill="BFBFBF"/>
            <w:noWrap/>
            <w:vAlign w:val="bottom"/>
            <w:hideMark/>
          </w:tcPr>
          <w:p w:rsidR="000502D8" w:rsidRDefault="000502D8">
            <w:pPr>
              <w:rPr>
                <w:rFonts w:ascii="Calibri" w:hAnsi="Calibri" w:cs="Calibri"/>
                <w:color w:val="000000"/>
              </w:rPr>
            </w:pPr>
            <w:r>
              <w:rPr>
                <w:rFonts w:ascii="Calibri" w:hAnsi="Calibri" w:cs="Calibri"/>
                <w:color w:val="000000"/>
              </w:rPr>
              <w:t> </w:t>
            </w:r>
          </w:p>
        </w:tc>
        <w:tc>
          <w:tcPr>
            <w:tcW w:w="1260" w:type="dxa"/>
            <w:tcBorders>
              <w:top w:val="nil"/>
              <w:left w:val="nil"/>
              <w:bottom w:val="nil"/>
              <w:right w:val="single" w:sz="4" w:space="0" w:color="auto"/>
            </w:tcBorders>
            <w:shd w:val="clear" w:color="000000" w:fill="BFBFBF"/>
            <w:noWrap/>
            <w:vAlign w:val="bottom"/>
            <w:hideMark/>
          </w:tcPr>
          <w:p w:rsidR="000502D8" w:rsidRDefault="000502D8">
            <w:pPr>
              <w:rPr>
                <w:rFonts w:ascii="Calibri" w:hAnsi="Calibri" w:cs="Calibri"/>
                <w:color w:val="000000"/>
              </w:rPr>
            </w:pPr>
            <w:r>
              <w:rPr>
                <w:rFonts w:ascii="Calibri" w:hAnsi="Calibri" w:cs="Calibri"/>
                <w:color w:val="000000"/>
              </w:rPr>
              <w:t> </w:t>
            </w:r>
          </w:p>
        </w:tc>
        <w:tc>
          <w:tcPr>
            <w:tcW w:w="1455" w:type="dxa"/>
            <w:tcBorders>
              <w:top w:val="nil"/>
              <w:left w:val="nil"/>
              <w:bottom w:val="nil"/>
              <w:right w:val="single" w:sz="8" w:space="0" w:color="auto"/>
            </w:tcBorders>
            <w:shd w:val="clear" w:color="000000" w:fill="BFBFBF"/>
            <w:noWrap/>
            <w:vAlign w:val="bottom"/>
            <w:hideMark/>
          </w:tcPr>
          <w:p w:rsidR="000502D8" w:rsidRDefault="000502D8">
            <w:pPr>
              <w:rPr>
                <w:rFonts w:ascii="Calibri" w:hAnsi="Calibri" w:cs="Calibri"/>
                <w:color w:val="000000"/>
              </w:rPr>
            </w:pPr>
            <w:r>
              <w:rPr>
                <w:rFonts w:ascii="Calibri" w:hAnsi="Calibri" w:cs="Calibri"/>
                <w:color w:val="000000"/>
              </w:rPr>
              <w:t> </w:t>
            </w:r>
          </w:p>
        </w:tc>
      </w:tr>
      <w:tr w:rsidR="000502D8" w:rsidTr="000362CB">
        <w:trPr>
          <w:trHeight w:val="320"/>
        </w:trPr>
        <w:tc>
          <w:tcPr>
            <w:tcW w:w="1430" w:type="dxa"/>
            <w:vMerge w:val="restart"/>
            <w:tcBorders>
              <w:top w:val="single" w:sz="8" w:space="0" w:color="auto"/>
              <w:left w:val="single" w:sz="8" w:space="0" w:color="auto"/>
              <w:bottom w:val="single" w:sz="4" w:space="0" w:color="auto"/>
              <w:right w:val="single" w:sz="4" w:space="0" w:color="auto"/>
            </w:tcBorders>
            <w:shd w:val="clear" w:color="auto" w:fill="auto"/>
            <w:vAlign w:val="bottom"/>
            <w:hideMark/>
          </w:tcPr>
          <w:p w:rsidR="000502D8" w:rsidRDefault="000502D8">
            <w:pPr>
              <w:jc w:val="center"/>
              <w:rPr>
                <w:rFonts w:ascii="Calibri" w:hAnsi="Calibri" w:cs="Calibri"/>
                <w:color w:val="000000"/>
              </w:rPr>
            </w:pPr>
            <w:r>
              <w:rPr>
                <w:rFonts w:ascii="Calibri" w:hAnsi="Calibri" w:cs="Calibri"/>
                <w:color w:val="000000"/>
              </w:rPr>
              <w:t>Forecast By</w:t>
            </w:r>
          </w:p>
        </w:tc>
        <w:tc>
          <w:tcPr>
            <w:tcW w:w="2837" w:type="dxa"/>
            <w:gridSpan w:val="2"/>
            <w:tcBorders>
              <w:top w:val="single" w:sz="8" w:space="0" w:color="auto"/>
              <w:left w:val="nil"/>
              <w:bottom w:val="single" w:sz="4" w:space="0" w:color="auto"/>
              <w:right w:val="single" w:sz="4"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U-3 COD (</w:t>
            </w:r>
            <w:r w:rsidR="00AD3635">
              <w:rPr>
                <w:rFonts w:ascii="Calibri" w:hAnsi="Calibri" w:cs="Calibri"/>
                <w:color w:val="000000"/>
              </w:rPr>
              <w:t xml:space="preserve">More </w:t>
            </w:r>
            <w:r>
              <w:rPr>
                <w:rFonts w:ascii="Calibri" w:hAnsi="Calibri" w:cs="Calibri"/>
                <w:color w:val="000000"/>
              </w:rPr>
              <w:t>Probable Range)</w:t>
            </w:r>
          </w:p>
        </w:tc>
        <w:tc>
          <w:tcPr>
            <w:tcW w:w="1123" w:type="dxa"/>
            <w:vMerge w:val="restart"/>
            <w:tcBorders>
              <w:top w:val="single" w:sz="8" w:space="0" w:color="auto"/>
              <w:left w:val="single" w:sz="4" w:space="0" w:color="auto"/>
              <w:bottom w:val="single" w:sz="4" w:space="0" w:color="auto"/>
              <w:right w:val="single" w:sz="4" w:space="0" w:color="auto"/>
            </w:tcBorders>
            <w:shd w:val="clear" w:color="auto" w:fill="auto"/>
            <w:vAlign w:val="bottom"/>
            <w:hideMark/>
          </w:tcPr>
          <w:p w:rsidR="000502D8" w:rsidRDefault="000502D8">
            <w:pPr>
              <w:jc w:val="center"/>
              <w:rPr>
                <w:rFonts w:ascii="Calibri" w:hAnsi="Calibri" w:cs="Calibri"/>
                <w:color w:val="000000"/>
              </w:rPr>
            </w:pPr>
            <w:r>
              <w:rPr>
                <w:rFonts w:ascii="Calibri" w:hAnsi="Calibri" w:cs="Calibri"/>
                <w:color w:val="000000"/>
              </w:rPr>
              <w:t>U-3 Cost BOE</w:t>
            </w:r>
          </w:p>
        </w:tc>
        <w:tc>
          <w:tcPr>
            <w:tcW w:w="2700" w:type="dxa"/>
            <w:gridSpan w:val="2"/>
            <w:tcBorders>
              <w:top w:val="single" w:sz="8" w:space="0" w:color="auto"/>
              <w:left w:val="nil"/>
              <w:bottom w:val="single" w:sz="4" w:space="0" w:color="auto"/>
              <w:right w:val="single" w:sz="4"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U-4 COD (</w:t>
            </w:r>
            <w:r w:rsidR="0001550B">
              <w:rPr>
                <w:rFonts w:ascii="Calibri" w:hAnsi="Calibri" w:cs="Calibri"/>
                <w:color w:val="000000"/>
              </w:rPr>
              <w:t xml:space="preserve">More </w:t>
            </w:r>
            <w:r>
              <w:rPr>
                <w:rFonts w:ascii="Calibri" w:hAnsi="Calibri" w:cs="Calibri"/>
                <w:color w:val="000000"/>
              </w:rPr>
              <w:t>Probable Range)</w:t>
            </w:r>
          </w:p>
        </w:tc>
        <w:tc>
          <w:tcPr>
            <w:tcW w:w="1455" w:type="dxa"/>
            <w:vMerge w:val="restart"/>
            <w:tcBorders>
              <w:top w:val="single" w:sz="8" w:space="0" w:color="auto"/>
              <w:left w:val="single" w:sz="4" w:space="0" w:color="auto"/>
              <w:bottom w:val="single" w:sz="4" w:space="0" w:color="auto"/>
              <w:right w:val="single" w:sz="8" w:space="0" w:color="auto"/>
            </w:tcBorders>
            <w:shd w:val="clear" w:color="auto" w:fill="auto"/>
            <w:vAlign w:val="bottom"/>
            <w:hideMark/>
          </w:tcPr>
          <w:p w:rsidR="000502D8" w:rsidRDefault="000502D8">
            <w:pPr>
              <w:jc w:val="center"/>
              <w:rPr>
                <w:rFonts w:ascii="Calibri" w:hAnsi="Calibri" w:cs="Calibri"/>
                <w:color w:val="000000"/>
              </w:rPr>
            </w:pPr>
            <w:r>
              <w:rPr>
                <w:rFonts w:ascii="Calibri" w:hAnsi="Calibri" w:cs="Calibri"/>
                <w:color w:val="000000"/>
              </w:rPr>
              <w:t>U-4 Cost BOE</w:t>
            </w:r>
          </w:p>
        </w:tc>
      </w:tr>
      <w:tr w:rsidR="000502D8" w:rsidTr="000362CB">
        <w:trPr>
          <w:trHeight w:val="320"/>
        </w:trPr>
        <w:tc>
          <w:tcPr>
            <w:tcW w:w="1430" w:type="dxa"/>
            <w:vMerge/>
            <w:tcBorders>
              <w:top w:val="single" w:sz="8" w:space="0" w:color="auto"/>
              <w:left w:val="single" w:sz="8" w:space="0" w:color="auto"/>
              <w:bottom w:val="single" w:sz="4" w:space="0" w:color="auto"/>
              <w:right w:val="single" w:sz="4" w:space="0" w:color="auto"/>
            </w:tcBorders>
            <w:vAlign w:val="center"/>
            <w:hideMark/>
          </w:tcPr>
          <w:p w:rsidR="000502D8" w:rsidRDefault="000502D8">
            <w:pPr>
              <w:rPr>
                <w:rFonts w:ascii="Calibri" w:hAnsi="Calibri" w:cs="Calibri"/>
                <w:color w:val="000000"/>
              </w:rPr>
            </w:pPr>
          </w:p>
        </w:tc>
        <w:tc>
          <w:tcPr>
            <w:tcW w:w="1321" w:type="dxa"/>
            <w:tcBorders>
              <w:top w:val="nil"/>
              <w:left w:val="nil"/>
              <w:bottom w:val="single" w:sz="4" w:space="0" w:color="auto"/>
              <w:right w:val="single" w:sz="4"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From</w:t>
            </w:r>
          </w:p>
        </w:tc>
        <w:tc>
          <w:tcPr>
            <w:tcW w:w="1516" w:type="dxa"/>
            <w:tcBorders>
              <w:top w:val="nil"/>
              <w:left w:val="nil"/>
              <w:bottom w:val="single" w:sz="4" w:space="0" w:color="auto"/>
              <w:right w:val="single" w:sz="4"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To</w:t>
            </w:r>
          </w:p>
        </w:tc>
        <w:tc>
          <w:tcPr>
            <w:tcW w:w="1123" w:type="dxa"/>
            <w:vMerge/>
            <w:tcBorders>
              <w:top w:val="single" w:sz="8" w:space="0" w:color="auto"/>
              <w:left w:val="single" w:sz="4" w:space="0" w:color="auto"/>
              <w:bottom w:val="single" w:sz="4" w:space="0" w:color="auto"/>
              <w:right w:val="single" w:sz="4" w:space="0" w:color="auto"/>
            </w:tcBorders>
            <w:vAlign w:val="center"/>
            <w:hideMark/>
          </w:tcPr>
          <w:p w:rsidR="000502D8" w:rsidRDefault="000502D8">
            <w:pPr>
              <w:rPr>
                <w:rFonts w:ascii="Calibri" w:hAnsi="Calibri" w:cs="Calibri"/>
                <w:color w:val="000000"/>
              </w:rPr>
            </w:pPr>
          </w:p>
        </w:tc>
        <w:tc>
          <w:tcPr>
            <w:tcW w:w="1440" w:type="dxa"/>
            <w:tcBorders>
              <w:top w:val="nil"/>
              <w:left w:val="nil"/>
              <w:bottom w:val="single" w:sz="4" w:space="0" w:color="auto"/>
              <w:right w:val="single" w:sz="4"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From</w:t>
            </w:r>
          </w:p>
        </w:tc>
        <w:tc>
          <w:tcPr>
            <w:tcW w:w="1260" w:type="dxa"/>
            <w:tcBorders>
              <w:top w:val="nil"/>
              <w:left w:val="nil"/>
              <w:bottom w:val="single" w:sz="4" w:space="0" w:color="auto"/>
              <w:right w:val="single" w:sz="4"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To</w:t>
            </w:r>
          </w:p>
        </w:tc>
        <w:tc>
          <w:tcPr>
            <w:tcW w:w="1455" w:type="dxa"/>
            <w:vMerge/>
            <w:tcBorders>
              <w:top w:val="single" w:sz="8" w:space="0" w:color="auto"/>
              <w:left w:val="single" w:sz="4" w:space="0" w:color="auto"/>
              <w:bottom w:val="single" w:sz="4" w:space="0" w:color="auto"/>
              <w:right w:val="single" w:sz="8" w:space="0" w:color="auto"/>
            </w:tcBorders>
            <w:vAlign w:val="center"/>
            <w:hideMark/>
          </w:tcPr>
          <w:p w:rsidR="000502D8" w:rsidRDefault="000502D8">
            <w:pPr>
              <w:rPr>
                <w:rFonts w:ascii="Calibri" w:hAnsi="Calibri" w:cs="Calibri"/>
                <w:color w:val="000000"/>
              </w:rPr>
            </w:pPr>
          </w:p>
        </w:tc>
      </w:tr>
      <w:tr w:rsidR="000502D8" w:rsidTr="000362CB">
        <w:trPr>
          <w:trHeight w:val="340"/>
        </w:trPr>
        <w:tc>
          <w:tcPr>
            <w:tcW w:w="1430" w:type="dxa"/>
            <w:tcBorders>
              <w:top w:val="nil"/>
              <w:left w:val="single" w:sz="8" w:space="0" w:color="auto"/>
              <w:bottom w:val="nil"/>
              <w:right w:val="single" w:sz="4"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VMG</w:t>
            </w:r>
          </w:p>
        </w:tc>
        <w:tc>
          <w:tcPr>
            <w:tcW w:w="1321" w:type="dxa"/>
            <w:tcBorders>
              <w:top w:val="nil"/>
              <w:left w:val="nil"/>
              <w:bottom w:val="nil"/>
              <w:right w:val="single" w:sz="4"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Nov 2022</w:t>
            </w:r>
          </w:p>
        </w:tc>
        <w:tc>
          <w:tcPr>
            <w:tcW w:w="1516" w:type="dxa"/>
            <w:tcBorders>
              <w:top w:val="nil"/>
              <w:left w:val="nil"/>
              <w:bottom w:val="nil"/>
              <w:right w:val="single" w:sz="4"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Feb 2023</w:t>
            </w:r>
          </w:p>
        </w:tc>
        <w:tc>
          <w:tcPr>
            <w:tcW w:w="1123" w:type="dxa"/>
            <w:tcBorders>
              <w:top w:val="nil"/>
              <w:left w:val="nil"/>
              <w:bottom w:val="nil"/>
              <w:right w:val="single" w:sz="4" w:space="0" w:color="auto"/>
            </w:tcBorders>
            <w:shd w:val="clear" w:color="auto" w:fill="auto"/>
            <w:noWrap/>
            <w:vAlign w:val="bottom"/>
            <w:hideMark/>
          </w:tcPr>
          <w:p w:rsidR="000502D8" w:rsidRDefault="00AD3635" w:rsidP="00AD3635">
            <w:pPr>
              <w:jc w:val="center"/>
              <w:rPr>
                <w:rFonts w:ascii="Calibri" w:hAnsi="Calibri" w:cs="Calibri"/>
                <w:color w:val="000000"/>
              </w:rPr>
            </w:pPr>
            <w:r>
              <w:rPr>
                <w:rFonts w:ascii="Calibri" w:hAnsi="Calibri" w:cs="Calibri"/>
                <w:color w:val="000000"/>
              </w:rPr>
              <w:t>Jan 2023</w:t>
            </w:r>
          </w:p>
        </w:tc>
        <w:tc>
          <w:tcPr>
            <w:tcW w:w="1440" w:type="dxa"/>
            <w:tcBorders>
              <w:top w:val="nil"/>
              <w:left w:val="nil"/>
              <w:bottom w:val="nil"/>
              <w:right w:val="single" w:sz="4"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Nov 2023</w:t>
            </w:r>
          </w:p>
        </w:tc>
        <w:tc>
          <w:tcPr>
            <w:tcW w:w="1260" w:type="dxa"/>
            <w:tcBorders>
              <w:top w:val="nil"/>
              <w:left w:val="nil"/>
              <w:bottom w:val="nil"/>
              <w:right w:val="single" w:sz="4" w:space="0" w:color="auto"/>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Feb 202</w:t>
            </w:r>
            <w:r w:rsidR="00AC4AA5">
              <w:rPr>
                <w:rFonts w:ascii="Calibri" w:hAnsi="Calibri" w:cs="Calibri"/>
                <w:color w:val="000000"/>
              </w:rPr>
              <w:t>4</w:t>
            </w:r>
          </w:p>
        </w:tc>
        <w:tc>
          <w:tcPr>
            <w:tcW w:w="1455" w:type="dxa"/>
            <w:tcBorders>
              <w:top w:val="nil"/>
              <w:left w:val="nil"/>
              <w:bottom w:val="nil"/>
              <w:right w:val="single" w:sz="8" w:space="0" w:color="auto"/>
            </w:tcBorders>
            <w:shd w:val="clear" w:color="auto" w:fill="auto"/>
            <w:noWrap/>
            <w:vAlign w:val="bottom"/>
            <w:hideMark/>
          </w:tcPr>
          <w:p w:rsidR="000502D8" w:rsidRDefault="00AD3635" w:rsidP="00AD3635">
            <w:pPr>
              <w:jc w:val="center"/>
              <w:rPr>
                <w:rFonts w:ascii="Calibri" w:hAnsi="Calibri" w:cs="Calibri"/>
                <w:color w:val="000000"/>
              </w:rPr>
            </w:pPr>
            <w:r>
              <w:rPr>
                <w:rFonts w:ascii="Calibri" w:hAnsi="Calibri" w:cs="Calibri"/>
                <w:color w:val="000000"/>
              </w:rPr>
              <w:t>Jan 2024</w:t>
            </w:r>
          </w:p>
        </w:tc>
      </w:tr>
      <w:tr w:rsidR="000502D8" w:rsidTr="000502D8">
        <w:trPr>
          <w:trHeight w:val="420"/>
        </w:trPr>
        <w:tc>
          <w:tcPr>
            <w:tcW w:w="9545" w:type="dxa"/>
            <w:gridSpan w:val="7"/>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0502D8" w:rsidRDefault="000502D8">
            <w:pPr>
              <w:jc w:val="center"/>
              <w:rPr>
                <w:rFonts w:ascii="Calibri" w:hAnsi="Calibri" w:cs="Calibri"/>
                <w:color w:val="000000"/>
              </w:rPr>
            </w:pPr>
            <w:r>
              <w:rPr>
                <w:rFonts w:ascii="Calibri" w:hAnsi="Calibri" w:cs="Calibri"/>
                <w:color w:val="000000"/>
              </w:rPr>
              <w:t>Notes</w:t>
            </w:r>
          </w:p>
        </w:tc>
      </w:tr>
      <w:tr w:rsidR="000502D8" w:rsidTr="000362CB">
        <w:trPr>
          <w:trHeight w:val="782"/>
        </w:trPr>
        <w:tc>
          <w:tcPr>
            <w:tcW w:w="9545" w:type="dxa"/>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rsidR="000502D8" w:rsidRDefault="000502D8">
            <w:pPr>
              <w:rPr>
                <w:rFonts w:ascii="Calibri" w:hAnsi="Calibri" w:cs="Calibri"/>
                <w:color w:val="000000"/>
              </w:rPr>
            </w:pPr>
            <w:r>
              <w:rPr>
                <w:rFonts w:ascii="Calibri" w:hAnsi="Calibri" w:cs="Calibri"/>
                <w:color w:val="000000"/>
              </w:rPr>
              <w:t xml:space="preserve">1.  If the scope of work is properly estimated and accounted for, then the main variables that impact the TPC EAC are (a) the actual COD for U-3 and for U-4, and (b) at this point of the </w:t>
            </w:r>
            <w:r w:rsidR="00846A79">
              <w:rPr>
                <w:rFonts w:ascii="Calibri" w:hAnsi="Calibri" w:cs="Calibri"/>
                <w:color w:val="000000"/>
              </w:rPr>
              <w:t>P</w:t>
            </w:r>
            <w:r>
              <w:rPr>
                <w:rFonts w:ascii="Calibri" w:hAnsi="Calibri" w:cs="Calibri"/>
                <w:color w:val="000000"/>
              </w:rPr>
              <w:t>roject, U-4 craft productivity (as measured by CPIs).</w:t>
            </w:r>
          </w:p>
        </w:tc>
      </w:tr>
      <w:tr w:rsidR="000502D8" w:rsidTr="000502D8">
        <w:trPr>
          <w:trHeight w:val="660"/>
        </w:trPr>
        <w:tc>
          <w:tcPr>
            <w:tcW w:w="9545" w:type="dxa"/>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rsidR="000502D8" w:rsidRDefault="000502D8">
            <w:pPr>
              <w:rPr>
                <w:rFonts w:ascii="Calibri" w:hAnsi="Calibri" w:cs="Calibri"/>
                <w:color w:val="000000"/>
              </w:rPr>
            </w:pPr>
            <w:r>
              <w:rPr>
                <w:rFonts w:ascii="Calibri" w:hAnsi="Calibri" w:cs="Calibri"/>
                <w:color w:val="000000"/>
              </w:rPr>
              <w:t>2.  The "probable ranges" provided by VMG reflect some possible degree of previously unidentified risks occurring, but nothing that is "highly significant"</w:t>
            </w:r>
          </w:p>
        </w:tc>
      </w:tr>
      <w:tr w:rsidR="000502D8" w:rsidTr="000502D8">
        <w:trPr>
          <w:trHeight w:val="960"/>
        </w:trPr>
        <w:tc>
          <w:tcPr>
            <w:tcW w:w="9545" w:type="dxa"/>
            <w:gridSpan w:val="7"/>
            <w:tcBorders>
              <w:top w:val="single" w:sz="4" w:space="0" w:color="auto"/>
              <w:left w:val="single" w:sz="8" w:space="0" w:color="auto"/>
              <w:bottom w:val="single" w:sz="8" w:space="0" w:color="auto"/>
              <w:right w:val="single" w:sz="8" w:space="0" w:color="000000"/>
            </w:tcBorders>
            <w:shd w:val="clear" w:color="auto" w:fill="auto"/>
            <w:vAlign w:val="bottom"/>
            <w:hideMark/>
          </w:tcPr>
          <w:p w:rsidR="000502D8" w:rsidRDefault="000502D8">
            <w:pPr>
              <w:rPr>
                <w:rFonts w:ascii="Calibri" w:hAnsi="Calibri" w:cs="Calibri"/>
                <w:color w:val="000000"/>
              </w:rPr>
            </w:pPr>
            <w:r>
              <w:rPr>
                <w:rFonts w:ascii="Calibri" w:hAnsi="Calibri" w:cs="Calibri"/>
                <w:color w:val="000000"/>
              </w:rPr>
              <w:t>3.  Slips of the CODs are estimated to cost roughly $ 100 M/ Month (for an equal slip of both the U-3 and U-4 Scheduled CODs), roughly $ 65 M/ month for a slip of just the U-3 COD, and $ 35 M/ month for a slip of just the U-4 COD.</w:t>
            </w:r>
          </w:p>
        </w:tc>
      </w:tr>
    </w:tbl>
    <w:p w:rsidR="000502D8" w:rsidRDefault="000502D8" w:rsidP="000502D8">
      <w:pPr>
        <w:spacing w:line="480" w:lineRule="auto"/>
        <w:ind w:left="720" w:hanging="720"/>
        <w:jc w:val="center"/>
        <w:rPr>
          <w:rFonts w:ascii="Garamond" w:hAnsi="Garamond"/>
        </w:rPr>
      </w:pPr>
    </w:p>
    <w:p w:rsidR="000502D8" w:rsidRDefault="000502D8" w:rsidP="000502D8">
      <w:pPr>
        <w:spacing w:line="480" w:lineRule="auto"/>
        <w:ind w:left="720" w:hanging="720"/>
        <w:rPr>
          <w:rFonts w:ascii="Garamond" w:hAnsi="Garamond"/>
          <w:b/>
          <w:bCs/>
        </w:rPr>
      </w:pPr>
      <w:r>
        <w:rPr>
          <w:rFonts w:ascii="Garamond" w:hAnsi="Garamond"/>
          <w:b/>
          <w:bCs/>
        </w:rPr>
        <w:t>Q:</w:t>
      </w:r>
      <w:r>
        <w:rPr>
          <w:rFonts w:ascii="Garamond" w:hAnsi="Garamond"/>
          <w:b/>
          <w:bCs/>
        </w:rPr>
        <w:tab/>
      </w:r>
      <w:r w:rsidR="003B3FD2">
        <w:rPr>
          <w:rFonts w:ascii="Garamond" w:hAnsi="Garamond"/>
          <w:b/>
          <w:bCs/>
        </w:rPr>
        <w:t>BASED ON TABLE TS-</w:t>
      </w:r>
      <w:r w:rsidR="00CC6065">
        <w:rPr>
          <w:rFonts w:ascii="Garamond" w:hAnsi="Garamond"/>
          <w:b/>
          <w:bCs/>
        </w:rPr>
        <w:t>3</w:t>
      </w:r>
      <w:r w:rsidR="003B3FD2">
        <w:rPr>
          <w:rFonts w:ascii="Garamond" w:hAnsi="Garamond"/>
          <w:b/>
          <w:bCs/>
        </w:rPr>
        <w:t xml:space="preserve">, </w:t>
      </w:r>
      <w:r w:rsidR="00CC6065">
        <w:rPr>
          <w:rFonts w:ascii="Garamond" w:hAnsi="Garamond"/>
          <w:b/>
          <w:bCs/>
        </w:rPr>
        <w:t xml:space="preserve">PLEASE </w:t>
      </w:r>
      <w:r w:rsidR="003B3FD2">
        <w:rPr>
          <w:rFonts w:ascii="Garamond" w:hAnsi="Garamond"/>
          <w:b/>
          <w:bCs/>
        </w:rPr>
        <w:t>SUMMARIZE VMG’S ANALYSIS OF THE U-3 AND U-4 COD</w:t>
      </w:r>
      <w:r w:rsidR="00CC6065">
        <w:rPr>
          <w:rFonts w:ascii="Garamond" w:hAnsi="Garamond"/>
          <w:b/>
          <w:bCs/>
        </w:rPr>
        <w:t xml:space="preserve">s VERSUS WHAT THE COMPANY IS FORECASTING? </w:t>
      </w:r>
    </w:p>
    <w:p w:rsidR="00AD0F21" w:rsidRDefault="000502D8" w:rsidP="005549C2">
      <w:pPr>
        <w:spacing w:line="480" w:lineRule="auto"/>
        <w:ind w:left="720" w:hanging="720"/>
        <w:jc w:val="both"/>
        <w:rPr>
          <w:rFonts w:ascii="Garamond" w:hAnsi="Garamond"/>
        </w:rPr>
      </w:pPr>
      <w:r>
        <w:rPr>
          <w:rFonts w:ascii="Garamond" w:hAnsi="Garamond"/>
        </w:rPr>
        <w:t>A:</w:t>
      </w:r>
      <w:r>
        <w:rPr>
          <w:rFonts w:ascii="Garamond" w:hAnsi="Garamond"/>
        </w:rPr>
        <w:tab/>
        <w:t>Whereas the Company is forecasting a U-3 COD of between May 2022 and September 2022, VMG forecasts a U-3 COD schedule range which is 5 months later than this range (i.e., November 2022 to February 2023</w:t>
      </w:r>
      <w:r w:rsidR="002A6A97">
        <w:rPr>
          <w:rFonts w:ascii="Garamond" w:hAnsi="Garamond"/>
        </w:rPr>
        <w:t>)</w:t>
      </w:r>
      <w:r w:rsidR="00AC4AA5">
        <w:rPr>
          <w:rFonts w:ascii="Garamond" w:hAnsi="Garamond"/>
        </w:rPr>
        <w:t xml:space="preserve">.  Further the basis of VMG’s forecast is based on </w:t>
      </w:r>
      <w:r w:rsidR="00AD0F21">
        <w:rPr>
          <w:rFonts w:ascii="Garamond" w:hAnsi="Garamond"/>
        </w:rPr>
        <w:t>the following:</w:t>
      </w:r>
    </w:p>
    <w:p w:rsidR="00AD0F21" w:rsidRDefault="00AD0F21" w:rsidP="00AD0F21">
      <w:pPr>
        <w:numPr>
          <w:ilvl w:val="0"/>
          <w:numId w:val="60"/>
        </w:numPr>
        <w:spacing w:line="480" w:lineRule="auto"/>
        <w:jc w:val="both"/>
        <w:rPr>
          <w:rFonts w:ascii="Garamond" w:hAnsi="Garamond"/>
        </w:rPr>
      </w:pPr>
      <w:r>
        <w:rPr>
          <w:rFonts w:ascii="Garamond" w:hAnsi="Garamond"/>
        </w:rPr>
        <w:t>Accepting t</w:t>
      </w:r>
      <w:r w:rsidR="00296FE7">
        <w:rPr>
          <w:rFonts w:ascii="Garamond" w:hAnsi="Garamond"/>
        </w:rPr>
        <w:t>he company’s risk adjusted U-3 Start of Fuel Load date</w:t>
      </w:r>
      <w:r>
        <w:rPr>
          <w:rFonts w:ascii="Garamond" w:hAnsi="Garamond"/>
        </w:rPr>
        <w:t>.</w:t>
      </w:r>
    </w:p>
    <w:p w:rsidR="00AD0F21" w:rsidRDefault="00AD0F21" w:rsidP="00AD0F21">
      <w:pPr>
        <w:numPr>
          <w:ilvl w:val="0"/>
          <w:numId w:val="60"/>
        </w:numPr>
        <w:spacing w:line="480" w:lineRule="auto"/>
        <w:jc w:val="both"/>
        <w:rPr>
          <w:rFonts w:ascii="Garamond" w:hAnsi="Garamond"/>
        </w:rPr>
      </w:pPr>
      <w:r>
        <w:rPr>
          <w:rFonts w:ascii="Garamond" w:hAnsi="Garamond"/>
        </w:rPr>
        <w:lastRenderedPageBreak/>
        <w:t xml:space="preserve">Not accepting the company’s </w:t>
      </w:r>
      <w:r w:rsidR="00AC4AA5">
        <w:rPr>
          <w:rFonts w:ascii="Garamond" w:hAnsi="Garamond"/>
        </w:rPr>
        <w:t xml:space="preserve">duration </w:t>
      </w:r>
      <w:r>
        <w:rPr>
          <w:rFonts w:ascii="Garamond" w:hAnsi="Garamond"/>
        </w:rPr>
        <w:t xml:space="preserve">of only 4 months </w:t>
      </w:r>
      <w:r w:rsidR="00AC4AA5">
        <w:rPr>
          <w:rFonts w:ascii="Garamond" w:hAnsi="Garamond"/>
        </w:rPr>
        <w:t>from the Start of Fuel Load to Commercial Operation</w:t>
      </w:r>
      <w:r>
        <w:rPr>
          <w:rFonts w:ascii="Garamond" w:hAnsi="Garamond"/>
        </w:rPr>
        <w:t xml:space="preserve">, but rather considering 6 months as the minimal acceptable duration. </w:t>
      </w:r>
    </w:p>
    <w:p w:rsidR="00AC4AA5" w:rsidRDefault="00AD0F21" w:rsidP="00AD0F21">
      <w:pPr>
        <w:numPr>
          <w:ilvl w:val="0"/>
          <w:numId w:val="60"/>
        </w:numPr>
        <w:spacing w:line="480" w:lineRule="auto"/>
        <w:jc w:val="both"/>
        <w:rPr>
          <w:rFonts w:ascii="Garamond" w:hAnsi="Garamond"/>
        </w:rPr>
      </w:pPr>
      <w:r>
        <w:rPr>
          <w:rFonts w:ascii="Garamond" w:hAnsi="Garamond"/>
        </w:rPr>
        <w:t xml:space="preserve">Including a possible further </w:t>
      </w:r>
      <w:r w:rsidR="00B80D31">
        <w:rPr>
          <w:rFonts w:ascii="Garamond" w:hAnsi="Garamond"/>
        </w:rPr>
        <w:t xml:space="preserve">extension </w:t>
      </w:r>
      <w:r>
        <w:rPr>
          <w:rFonts w:ascii="Garamond" w:hAnsi="Garamond"/>
        </w:rPr>
        <w:t xml:space="preserve">of the </w:t>
      </w:r>
      <w:r w:rsidR="00555179">
        <w:rPr>
          <w:rFonts w:ascii="Garamond" w:hAnsi="Garamond"/>
        </w:rPr>
        <w:t>6-month</w:t>
      </w:r>
      <w:r>
        <w:rPr>
          <w:rFonts w:ascii="Garamond" w:hAnsi="Garamond"/>
        </w:rPr>
        <w:t xml:space="preserve"> duration </w:t>
      </w:r>
      <w:r w:rsidR="00B80D31">
        <w:rPr>
          <w:rFonts w:ascii="Garamond" w:hAnsi="Garamond"/>
        </w:rPr>
        <w:t>to reflect</w:t>
      </w:r>
      <w:r w:rsidR="00AC4AA5">
        <w:rPr>
          <w:rFonts w:ascii="Garamond" w:hAnsi="Garamond"/>
        </w:rPr>
        <w:t xml:space="preserve"> the company’s prior poor performance in successfully completing Integrated Test Type activities (such as was the case for the prior HFT, and as will be the case for the Start-up Testing leading to Commercial Operations).</w:t>
      </w:r>
    </w:p>
    <w:p w:rsidR="00AC4AA5" w:rsidRDefault="00AC4AA5" w:rsidP="005549C2">
      <w:pPr>
        <w:spacing w:line="480" w:lineRule="auto"/>
        <w:ind w:left="720" w:hanging="720"/>
        <w:jc w:val="both"/>
        <w:rPr>
          <w:rFonts w:ascii="Garamond" w:hAnsi="Garamond"/>
        </w:rPr>
      </w:pPr>
      <w:r>
        <w:rPr>
          <w:rFonts w:ascii="Garamond" w:hAnsi="Garamond"/>
        </w:rPr>
        <w:tab/>
      </w:r>
      <w:r w:rsidR="002A6A97">
        <w:rPr>
          <w:rFonts w:ascii="Garamond" w:hAnsi="Garamond"/>
        </w:rPr>
        <w:t>W</w:t>
      </w:r>
      <w:r>
        <w:rPr>
          <w:rFonts w:ascii="Garamond" w:hAnsi="Garamond"/>
        </w:rPr>
        <w:t>ith respect to the U-4 COD, whereas the company is forecasting a COD of between March 2023 and June 2023, VMG is forecasting a U-4 COD of between November 2023 and February 2024</w:t>
      </w:r>
      <w:r w:rsidR="00350BF9">
        <w:rPr>
          <w:rFonts w:ascii="Garamond" w:hAnsi="Garamond"/>
        </w:rPr>
        <w:t xml:space="preserve"> (i.e., a COD range which is 8 months later than what the company is forecasting)</w:t>
      </w:r>
      <w:r>
        <w:rPr>
          <w:rFonts w:ascii="Garamond" w:hAnsi="Garamond"/>
        </w:rPr>
        <w:t>.  Further, the basis of VMG’s forecast is that due to the many issues previously identified in this testimony, it is simply unrealistic to assume (even with the Lessons Learned from U-3</w:t>
      </w:r>
      <w:r w:rsidR="00350BF9">
        <w:rPr>
          <w:rFonts w:ascii="Garamond" w:hAnsi="Garamond"/>
        </w:rPr>
        <w:t>)</w:t>
      </w:r>
      <w:r>
        <w:rPr>
          <w:rFonts w:ascii="Garamond" w:hAnsi="Garamond"/>
        </w:rPr>
        <w:t xml:space="preserve"> that the current schedule lag of 16 to 18 months between the U-3 COD and the U-4 COD can be reduced to less than the originally scheduled 12-month lag.</w:t>
      </w:r>
    </w:p>
    <w:p w:rsidR="002F09A4" w:rsidRDefault="002F09A4" w:rsidP="00AC4AA5">
      <w:pPr>
        <w:spacing w:line="480" w:lineRule="auto"/>
        <w:ind w:left="720" w:hanging="720"/>
        <w:jc w:val="center"/>
        <w:rPr>
          <w:rFonts w:ascii="Garamond" w:hAnsi="Garamond"/>
          <w:b/>
          <w:bCs/>
          <w:sz w:val="32"/>
          <w:szCs w:val="32"/>
        </w:rPr>
      </w:pPr>
    </w:p>
    <w:p w:rsidR="002F09A4" w:rsidRDefault="002F09A4" w:rsidP="00AC4AA5">
      <w:pPr>
        <w:spacing w:line="480" w:lineRule="auto"/>
        <w:ind w:left="720" w:hanging="720"/>
        <w:jc w:val="center"/>
        <w:rPr>
          <w:rFonts w:ascii="Garamond" w:hAnsi="Garamond"/>
          <w:b/>
          <w:bCs/>
          <w:sz w:val="32"/>
          <w:szCs w:val="32"/>
        </w:rPr>
      </w:pPr>
    </w:p>
    <w:p w:rsidR="00AC4AA5" w:rsidRDefault="00AC4AA5" w:rsidP="00AC4AA5">
      <w:pPr>
        <w:spacing w:line="480" w:lineRule="auto"/>
        <w:ind w:left="720" w:hanging="720"/>
        <w:jc w:val="center"/>
        <w:rPr>
          <w:rFonts w:ascii="Garamond" w:hAnsi="Garamond"/>
          <w:b/>
          <w:bCs/>
          <w:sz w:val="32"/>
          <w:szCs w:val="32"/>
        </w:rPr>
      </w:pPr>
      <w:r>
        <w:rPr>
          <w:rFonts w:ascii="Garamond" w:hAnsi="Garamond"/>
          <w:b/>
          <w:bCs/>
          <w:sz w:val="32"/>
          <w:szCs w:val="32"/>
        </w:rPr>
        <w:t xml:space="preserve">ANALYSIS OF </w:t>
      </w:r>
      <w:r w:rsidR="00FA2D6E">
        <w:rPr>
          <w:rFonts w:ascii="Garamond" w:hAnsi="Garamond"/>
          <w:b/>
          <w:bCs/>
          <w:sz w:val="32"/>
          <w:szCs w:val="32"/>
        </w:rPr>
        <w:t>TOTAL PROJECT COST (TPC)</w:t>
      </w:r>
    </w:p>
    <w:p w:rsidR="00FA2D6E" w:rsidRDefault="00FA2D6E" w:rsidP="00AC4AA5">
      <w:pPr>
        <w:spacing w:line="480" w:lineRule="auto"/>
        <w:ind w:left="720" w:hanging="720"/>
        <w:jc w:val="center"/>
        <w:rPr>
          <w:rFonts w:ascii="Garamond" w:hAnsi="Garamond"/>
          <w:b/>
          <w:bCs/>
          <w:sz w:val="32"/>
          <w:szCs w:val="32"/>
        </w:rPr>
      </w:pPr>
      <w:r>
        <w:rPr>
          <w:rFonts w:ascii="Garamond" w:hAnsi="Garamond"/>
          <w:b/>
          <w:bCs/>
          <w:sz w:val="32"/>
          <w:szCs w:val="32"/>
        </w:rPr>
        <w:t>ESTIMATE AT COMPLETION (EAC)</w:t>
      </w:r>
    </w:p>
    <w:p w:rsidR="00FA2D6E" w:rsidRDefault="00FA2D6E" w:rsidP="00FA2D6E">
      <w:pPr>
        <w:spacing w:line="480" w:lineRule="auto"/>
        <w:ind w:left="720" w:hanging="720"/>
        <w:rPr>
          <w:rFonts w:ascii="Garamond" w:hAnsi="Garamond"/>
          <w:b/>
          <w:bCs/>
        </w:rPr>
      </w:pPr>
      <w:r>
        <w:rPr>
          <w:rFonts w:ascii="Garamond" w:hAnsi="Garamond"/>
          <w:b/>
          <w:bCs/>
        </w:rPr>
        <w:t>Q:</w:t>
      </w:r>
      <w:r>
        <w:rPr>
          <w:rFonts w:ascii="Garamond" w:hAnsi="Garamond"/>
          <w:b/>
          <w:bCs/>
        </w:rPr>
        <w:tab/>
        <w:t xml:space="preserve">PLEASE FIRST DESCRIBE </w:t>
      </w:r>
      <w:r w:rsidR="00350BF9">
        <w:rPr>
          <w:rFonts w:ascii="Garamond" w:hAnsi="Garamond"/>
          <w:b/>
          <w:bCs/>
        </w:rPr>
        <w:t xml:space="preserve">THE COMPANY’S LATEST FORECAST TPC EAC. </w:t>
      </w:r>
    </w:p>
    <w:p w:rsidR="00877DAF" w:rsidRDefault="00FA2D6E" w:rsidP="005549C2">
      <w:pPr>
        <w:spacing w:line="480" w:lineRule="auto"/>
        <w:ind w:left="720" w:hanging="720"/>
        <w:jc w:val="both"/>
        <w:rPr>
          <w:rFonts w:ascii="Garamond" w:hAnsi="Garamond"/>
        </w:rPr>
      </w:pPr>
      <w:r>
        <w:rPr>
          <w:rFonts w:ascii="Garamond" w:hAnsi="Garamond"/>
        </w:rPr>
        <w:lastRenderedPageBreak/>
        <w:t>A:</w:t>
      </w:r>
      <w:r>
        <w:rPr>
          <w:rFonts w:ascii="Garamond" w:hAnsi="Garamond"/>
        </w:rPr>
        <w:tab/>
      </w:r>
      <w:r w:rsidR="00350BF9">
        <w:rPr>
          <w:rFonts w:ascii="Garamond" w:hAnsi="Garamond"/>
        </w:rPr>
        <w:t xml:space="preserve">The </w:t>
      </w:r>
      <w:r w:rsidR="00F06929">
        <w:rPr>
          <w:rFonts w:ascii="Garamond" w:hAnsi="Garamond"/>
        </w:rPr>
        <w:t>C</w:t>
      </w:r>
      <w:r w:rsidR="00350BF9">
        <w:rPr>
          <w:rFonts w:ascii="Garamond" w:hAnsi="Garamond"/>
        </w:rPr>
        <w:t>ompany’s forecast TPC EAC</w:t>
      </w:r>
      <w:r w:rsidR="00D04156">
        <w:rPr>
          <w:rStyle w:val="FootnoteReference"/>
          <w:rFonts w:ascii="Garamond" w:hAnsi="Garamond"/>
        </w:rPr>
        <w:footnoteReference w:id="8"/>
      </w:r>
      <w:r w:rsidR="00350BF9">
        <w:rPr>
          <w:rFonts w:ascii="Garamond" w:hAnsi="Garamond"/>
        </w:rPr>
        <w:t xml:space="preserve"> has increased dramatically in the time-period </w:t>
      </w:r>
      <w:r w:rsidR="00916A53">
        <w:rPr>
          <w:rFonts w:ascii="Garamond" w:hAnsi="Garamond"/>
        </w:rPr>
        <w:t>that</w:t>
      </w:r>
      <w:r w:rsidR="00967B06">
        <w:rPr>
          <w:rFonts w:ascii="Garamond" w:hAnsi="Garamond"/>
        </w:rPr>
        <w:t xml:space="preserve"> VMG has been engaged by the PSC PIA Staff to assist in </w:t>
      </w:r>
      <w:r w:rsidR="00653115">
        <w:rPr>
          <w:rFonts w:ascii="Garamond" w:hAnsi="Garamond"/>
        </w:rPr>
        <w:t xml:space="preserve">its </w:t>
      </w:r>
      <w:r w:rsidR="00967B06">
        <w:rPr>
          <w:rFonts w:ascii="Garamond" w:hAnsi="Garamond"/>
        </w:rPr>
        <w:t>independ</w:t>
      </w:r>
      <w:r w:rsidR="00653115">
        <w:rPr>
          <w:rFonts w:ascii="Garamond" w:hAnsi="Garamond"/>
        </w:rPr>
        <w:t>ent oversight</w:t>
      </w:r>
      <w:r w:rsidR="00967B06">
        <w:rPr>
          <w:rFonts w:ascii="Garamond" w:hAnsi="Garamond"/>
        </w:rPr>
        <w:t xml:space="preserve"> </w:t>
      </w:r>
      <w:r w:rsidR="00877DAF">
        <w:rPr>
          <w:rFonts w:ascii="Garamond" w:hAnsi="Garamond"/>
        </w:rPr>
        <w:t>of the</w:t>
      </w:r>
      <w:r w:rsidR="00967B06">
        <w:rPr>
          <w:rFonts w:ascii="Garamond" w:hAnsi="Garamond"/>
        </w:rPr>
        <w:t xml:space="preserve"> </w:t>
      </w:r>
      <w:r w:rsidR="00F06929">
        <w:rPr>
          <w:rFonts w:ascii="Garamond" w:hAnsi="Garamond"/>
        </w:rPr>
        <w:t>P</w:t>
      </w:r>
      <w:r w:rsidR="00967B06">
        <w:rPr>
          <w:rFonts w:ascii="Garamond" w:hAnsi="Garamond"/>
        </w:rPr>
        <w:t xml:space="preserve">roject.  </w:t>
      </w:r>
      <w:r w:rsidR="00653115">
        <w:rPr>
          <w:rFonts w:ascii="Garamond" w:hAnsi="Garamond"/>
        </w:rPr>
        <w:t xml:space="preserve">Further, </w:t>
      </w:r>
      <w:r w:rsidR="00877DAF">
        <w:rPr>
          <w:rFonts w:ascii="Garamond" w:hAnsi="Garamond"/>
        </w:rPr>
        <w:t>information regarding the</w:t>
      </w:r>
      <w:r w:rsidR="00653115">
        <w:rPr>
          <w:rFonts w:ascii="Garamond" w:hAnsi="Garamond"/>
        </w:rPr>
        <w:t xml:space="preserve"> latest phase of this </w:t>
      </w:r>
      <w:r w:rsidR="00F06929">
        <w:rPr>
          <w:rFonts w:ascii="Garamond" w:hAnsi="Garamond"/>
        </w:rPr>
        <w:t xml:space="preserve">large </w:t>
      </w:r>
      <w:r w:rsidR="00653115">
        <w:rPr>
          <w:rFonts w:ascii="Garamond" w:hAnsi="Garamond"/>
        </w:rPr>
        <w:t xml:space="preserve">increase </w:t>
      </w:r>
      <w:r w:rsidR="00F06929">
        <w:rPr>
          <w:rFonts w:ascii="Garamond" w:hAnsi="Garamond"/>
        </w:rPr>
        <w:t xml:space="preserve">was only </w:t>
      </w:r>
      <w:r w:rsidR="00877DAF">
        <w:rPr>
          <w:rFonts w:ascii="Garamond" w:hAnsi="Garamond"/>
        </w:rPr>
        <w:t>provided to the PIA Staff, the Construction Monitor and VMG at the October 28, 2021, Vogtle Monthly Project Management Board (</w:t>
      </w:r>
      <w:r w:rsidR="00654FE4">
        <w:rPr>
          <w:rFonts w:ascii="Garamond" w:hAnsi="Garamond"/>
        </w:rPr>
        <w:t>“</w:t>
      </w:r>
      <w:r w:rsidR="00877DAF">
        <w:rPr>
          <w:rFonts w:ascii="Garamond" w:hAnsi="Garamond"/>
        </w:rPr>
        <w:t>VPMB</w:t>
      </w:r>
      <w:r w:rsidR="00654FE4">
        <w:rPr>
          <w:rFonts w:ascii="Garamond" w:hAnsi="Garamond"/>
        </w:rPr>
        <w:t>”</w:t>
      </w:r>
      <w:r w:rsidR="00877DAF">
        <w:rPr>
          <w:rFonts w:ascii="Garamond" w:hAnsi="Garamond"/>
        </w:rPr>
        <w:t xml:space="preserve">) meeting.  Finally, these </w:t>
      </w:r>
      <w:r w:rsidR="00654FE4">
        <w:rPr>
          <w:rFonts w:ascii="Garamond" w:hAnsi="Garamond"/>
        </w:rPr>
        <w:t xml:space="preserve">cost </w:t>
      </w:r>
      <w:r w:rsidR="00877DAF">
        <w:rPr>
          <w:rFonts w:ascii="Garamond" w:hAnsi="Garamond"/>
        </w:rPr>
        <w:t xml:space="preserve">increases have in large part been necessitated by the discovery of numerous Construction Quality issues, the amount of rework to fix the issues, and the resultant impact on the </w:t>
      </w:r>
      <w:r w:rsidR="00F06929">
        <w:rPr>
          <w:rFonts w:ascii="Garamond" w:hAnsi="Garamond"/>
        </w:rPr>
        <w:t>P</w:t>
      </w:r>
      <w:r w:rsidR="00877DAF">
        <w:rPr>
          <w:rFonts w:ascii="Garamond" w:hAnsi="Garamond"/>
        </w:rPr>
        <w:t xml:space="preserve">roject schedule (where schedule delays have further added to the costs).  Recognize that what VMG is reporting may be the subject of further analysis and refinement </w:t>
      </w:r>
      <w:r w:rsidR="00F06929">
        <w:rPr>
          <w:rFonts w:ascii="Garamond" w:hAnsi="Garamond"/>
        </w:rPr>
        <w:t xml:space="preserve">of information provided </w:t>
      </w:r>
      <w:r w:rsidR="00877DAF">
        <w:rPr>
          <w:rFonts w:ascii="Garamond" w:hAnsi="Garamond"/>
        </w:rPr>
        <w:t xml:space="preserve">by the Company. </w:t>
      </w:r>
    </w:p>
    <w:p w:rsidR="00201DB5" w:rsidRDefault="00877DAF" w:rsidP="005549C2">
      <w:pPr>
        <w:spacing w:line="480" w:lineRule="auto"/>
        <w:ind w:left="720" w:hanging="720"/>
        <w:jc w:val="both"/>
        <w:rPr>
          <w:rFonts w:ascii="Garamond" w:hAnsi="Garamond"/>
        </w:rPr>
      </w:pPr>
      <w:r>
        <w:rPr>
          <w:rFonts w:ascii="Garamond" w:hAnsi="Garamond"/>
        </w:rPr>
        <w:tab/>
      </w:r>
      <w:r w:rsidR="00280EB0">
        <w:rPr>
          <w:rFonts w:ascii="Garamond" w:hAnsi="Garamond"/>
        </w:rPr>
        <w:t>Table TC-1 show</w:t>
      </w:r>
      <w:r w:rsidR="00F06929">
        <w:rPr>
          <w:rFonts w:ascii="Garamond" w:hAnsi="Garamond"/>
        </w:rPr>
        <w:t>s</w:t>
      </w:r>
      <w:r w:rsidR="00280EB0">
        <w:rPr>
          <w:rFonts w:ascii="Garamond" w:hAnsi="Garamond"/>
        </w:rPr>
        <w:t xml:space="preserve"> the change in the </w:t>
      </w:r>
      <w:r w:rsidR="00F06929">
        <w:rPr>
          <w:rFonts w:ascii="Garamond" w:hAnsi="Garamond"/>
        </w:rPr>
        <w:t>C</w:t>
      </w:r>
      <w:r w:rsidR="00280EB0">
        <w:rPr>
          <w:rFonts w:ascii="Garamond" w:hAnsi="Garamond"/>
        </w:rPr>
        <w:t xml:space="preserve">ompany’s forecast of the TPC EAC from the time when VMG was first engaged to assist the PIA Staff to the present.  </w:t>
      </w:r>
    </w:p>
    <w:tbl>
      <w:tblPr>
        <w:tblW w:w="9620" w:type="dxa"/>
        <w:tblInd w:w="118" w:type="dxa"/>
        <w:tblLook w:val="04A0" w:firstRow="1" w:lastRow="0" w:firstColumn="1" w:lastColumn="0" w:noHBand="0" w:noVBand="1"/>
      </w:tblPr>
      <w:tblGrid>
        <w:gridCol w:w="498"/>
        <w:gridCol w:w="1472"/>
        <w:gridCol w:w="1170"/>
        <w:gridCol w:w="1350"/>
        <w:gridCol w:w="1260"/>
        <w:gridCol w:w="3870"/>
      </w:tblGrid>
      <w:tr w:rsidR="00201DB5" w:rsidTr="00CC6065">
        <w:trPr>
          <w:trHeight w:val="320"/>
        </w:trPr>
        <w:tc>
          <w:tcPr>
            <w:tcW w:w="9620"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201DB5" w:rsidRDefault="00201DB5">
            <w:pPr>
              <w:jc w:val="center"/>
              <w:rPr>
                <w:rFonts w:ascii="Calibri" w:hAnsi="Calibri" w:cs="Calibri"/>
                <w:b/>
                <w:bCs/>
                <w:color w:val="000000"/>
              </w:rPr>
            </w:pPr>
            <w:r>
              <w:rPr>
                <w:rFonts w:ascii="Calibri" w:hAnsi="Calibri" w:cs="Calibri"/>
                <w:b/>
                <w:bCs/>
                <w:color w:val="000000"/>
              </w:rPr>
              <w:t>Table TC-1</w:t>
            </w:r>
            <w:r w:rsidR="002E47AA">
              <w:rPr>
                <w:rFonts w:ascii="Calibri" w:hAnsi="Calibri" w:cs="Calibri"/>
                <w:b/>
                <w:bCs/>
                <w:color w:val="000000"/>
              </w:rPr>
              <w:t>:</w:t>
            </w:r>
            <w:r>
              <w:rPr>
                <w:rFonts w:ascii="Calibri" w:hAnsi="Calibri" w:cs="Calibri"/>
                <w:b/>
                <w:bCs/>
                <w:color w:val="000000"/>
              </w:rPr>
              <w:t xml:space="preserve"> Company Forecasts of TPC EAC (VCM 19 - VCM 25)</w:t>
            </w:r>
          </w:p>
        </w:tc>
      </w:tr>
      <w:tr w:rsidR="00201DB5" w:rsidTr="00CC6065">
        <w:trPr>
          <w:trHeight w:val="620"/>
        </w:trPr>
        <w:tc>
          <w:tcPr>
            <w:tcW w:w="197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01DB5" w:rsidRDefault="00FA3443">
            <w:pPr>
              <w:jc w:val="center"/>
              <w:rPr>
                <w:rFonts w:ascii="Calibri" w:hAnsi="Calibri" w:cs="Calibri"/>
                <w:color w:val="000000"/>
              </w:rPr>
            </w:pPr>
            <w:r>
              <w:rPr>
                <w:rFonts w:ascii="Calibri" w:hAnsi="Calibri" w:cs="Calibri"/>
                <w:color w:val="000000"/>
              </w:rPr>
              <w:t xml:space="preserve">Company </w:t>
            </w:r>
            <w:r w:rsidR="003B3FD2">
              <w:rPr>
                <w:rFonts w:ascii="Calibri" w:hAnsi="Calibri" w:cs="Calibri"/>
                <w:color w:val="000000"/>
              </w:rPr>
              <w:t xml:space="preserve">&amp; VMG </w:t>
            </w:r>
            <w:r w:rsidR="00201DB5">
              <w:rPr>
                <w:rFonts w:ascii="Calibri" w:hAnsi="Calibri" w:cs="Calibri"/>
                <w:color w:val="000000"/>
              </w:rPr>
              <w:t xml:space="preserve">VCM </w:t>
            </w:r>
            <w:r>
              <w:rPr>
                <w:rFonts w:ascii="Calibri" w:hAnsi="Calibri" w:cs="Calibri"/>
                <w:color w:val="000000"/>
              </w:rPr>
              <w:t xml:space="preserve">Pre-Filed </w:t>
            </w:r>
            <w:r w:rsidR="00201DB5">
              <w:rPr>
                <w:rFonts w:ascii="Calibri" w:hAnsi="Calibri" w:cs="Calibri"/>
                <w:color w:val="000000"/>
              </w:rPr>
              <w:t xml:space="preserve">Testimonies </w:t>
            </w:r>
          </w:p>
        </w:tc>
        <w:tc>
          <w:tcPr>
            <w:tcW w:w="1170" w:type="dxa"/>
            <w:vMerge w:val="restart"/>
            <w:tcBorders>
              <w:top w:val="nil"/>
              <w:left w:val="single" w:sz="4" w:space="0" w:color="auto"/>
              <w:bottom w:val="single" w:sz="4" w:space="0" w:color="auto"/>
              <w:right w:val="single" w:sz="4" w:space="0" w:color="auto"/>
            </w:tcBorders>
            <w:shd w:val="clear" w:color="auto" w:fill="auto"/>
            <w:vAlign w:val="bottom"/>
            <w:hideMark/>
          </w:tcPr>
          <w:p w:rsidR="00201DB5" w:rsidRDefault="00201DB5">
            <w:pPr>
              <w:jc w:val="center"/>
              <w:rPr>
                <w:rFonts w:ascii="Calibri" w:hAnsi="Calibri" w:cs="Calibri"/>
                <w:color w:val="000000"/>
              </w:rPr>
            </w:pPr>
            <w:r>
              <w:rPr>
                <w:rFonts w:ascii="Calibri" w:hAnsi="Calibri" w:cs="Calibri"/>
                <w:color w:val="000000"/>
              </w:rPr>
              <w:t>Co Forecast TPC/ EAC</w:t>
            </w:r>
          </w:p>
        </w:tc>
        <w:tc>
          <w:tcPr>
            <w:tcW w:w="2610" w:type="dxa"/>
            <w:gridSpan w:val="2"/>
            <w:tcBorders>
              <w:top w:val="single" w:sz="4" w:space="0" w:color="auto"/>
              <w:left w:val="nil"/>
              <w:bottom w:val="single" w:sz="4" w:space="0" w:color="auto"/>
              <w:right w:val="single" w:sz="4" w:space="0" w:color="auto"/>
            </w:tcBorders>
            <w:shd w:val="clear" w:color="auto" w:fill="auto"/>
            <w:vAlign w:val="bottom"/>
            <w:hideMark/>
          </w:tcPr>
          <w:p w:rsidR="00201DB5" w:rsidRDefault="00FA3443">
            <w:pPr>
              <w:jc w:val="center"/>
              <w:rPr>
                <w:rFonts w:ascii="Calibri" w:hAnsi="Calibri" w:cs="Calibri"/>
                <w:color w:val="000000"/>
              </w:rPr>
            </w:pPr>
            <w:r>
              <w:rPr>
                <w:rFonts w:ascii="Calibri" w:hAnsi="Calibri" w:cs="Calibri"/>
                <w:color w:val="000000"/>
              </w:rPr>
              <w:t xml:space="preserve">Company Assumed </w:t>
            </w:r>
            <w:r w:rsidR="00201DB5">
              <w:rPr>
                <w:rFonts w:ascii="Calibri" w:hAnsi="Calibri" w:cs="Calibri"/>
                <w:color w:val="000000"/>
              </w:rPr>
              <w:t>CODs as Basis of TPC/EAC</w:t>
            </w:r>
          </w:p>
        </w:tc>
        <w:tc>
          <w:tcPr>
            <w:tcW w:w="3870" w:type="dxa"/>
            <w:vMerge w:val="restart"/>
            <w:tcBorders>
              <w:top w:val="nil"/>
              <w:left w:val="single" w:sz="4" w:space="0" w:color="auto"/>
              <w:bottom w:val="single" w:sz="4" w:space="0" w:color="auto"/>
              <w:right w:val="single" w:sz="8" w:space="0" w:color="auto"/>
            </w:tcBorders>
            <w:shd w:val="clear" w:color="auto" w:fill="auto"/>
            <w:noWrap/>
            <w:vAlign w:val="bottom"/>
            <w:hideMark/>
          </w:tcPr>
          <w:p w:rsidR="00201DB5" w:rsidRDefault="00201DB5">
            <w:pPr>
              <w:jc w:val="center"/>
              <w:rPr>
                <w:rFonts w:ascii="Calibri" w:hAnsi="Calibri" w:cs="Calibri"/>
                <w:color w:val="000000"/>
              </w:rPr>
            </w:pPr>
            <w:r>
              <w:rPr>
                <w:rFonts w:ascii="Calibri" w:hAnsi="Calibri" w:cs="Calibri"/>
                <w:color w:val="000000"/>
              </w:rPr>
              <w:t>Remarks</w:t>
            </w:r>
          </w:p>
        </w:tc>
      </w:tr>
      <w:tr w:rsidR="00201DB5" w:rsidTr="00CC6065">
        <w:trPr>
          <w:trHeight w:val="320"/>
        </w:trPr>
        <w:tc>
          <w:tcPr>
            <w:tcW w:w="498" w:type="dxa"/>
            <w:tcBorders>
              <w:top w:val="nil"/>
              <w:left w:val="single" w:sz="8" w:space="0" w:color="auto"/>
              <w:bottom w:val="single" w:sz="4" w:space="0" w:color="auto"/>
              <w:right w:val="single" w:sz="4" w:space="0" w:color="auto"/>
            </w:tcBorders>
            <w:shd w:val="clear" w:color="auto" w:fill="auto"/>
            <w:noWrap/>
            <w:vAlign w:val="bottom"/>
            <w:hideMark/>
          </w:tcPr>
          <w:p w:rsidR="00201DB5" w:rsidRDefault="00201DB5">
            <w:pPr>
              <w:jc w:val="center"/>
              <w:rPr>
                <w:rFonts w:ascii="Calibri" w:hAnsi="Calibri" w:cs="Calibri"/>
                <w:color w:val="000000"/>
              </w:rPr>
            </w:pPr>
            <w:r>
              <w:rPr>
                <w:rFonts w:ascii="Calibri" w:hAnsi="Calibri" w:cs="Calibri"/>
                <w:color w:val="000000"/>
              </w:rPr>
              <w:t>No</w:t>
            </w:r>
          </w:p>
        </w:tc>
        <w:tc>
          <w:tcPr>
            <w:tcW w:w="1472" w:type="dxa"/>
            <w:tcBorders>
              <w:top w:val="nil"/>
              <w:left w:val="nil"/>
              <w:bottom w:val="single" w:sz="4" w:space="0" w:color="auto"/>
              <w:right w:val="single" w:sz="4" w:space="0" w:color="auto"/>
            </w:tcBorders>
            <w:shd w:val="clear" w:color="auto" w:fill="auto"/>
            <w:noWrap/>
            <w:vAlign w:val="bottom"/>
            <w:hideMark/>
          </w:tcPr>
          <w:p w:rsidR="00201DB5" w:rsidRDefault="00201DB5">
            <w:pPr>
              <w:jc w:val="center"/>
              <w:rPr>
                <w:rFonts w:ascii="Calibri" w:hAnsi="Calibri" w:cs="Calibri"/>
                <w:color w:val="000000"/>
              </w:rPr>
            </w:pPr>
            <w:r>
              <w:rPr>
                <w:rFonts w:ascii="Calibri" w:hAnsi="Calibri" w:cs="Calibri"/>
                <w:color w:val="000000"/>
              </w:rPr>
              <w:t>Date Filed</w:t>
            </w:r>
          </w:p>
        </w:tc>
        <w:tc>
          <w:tcPr>
            <w:tcW w:w="1170" w:type="dxa"/>
            <w:vMerge/>
            <w:tcBorders>
              <w:top w:val="nil"/>
              <w:left w:val="single" w:sz="4" w:space="0" w:color="auto"/>
              <w:bottom w:val="single" w:sz="4" w:space="0" w:color="auto"/>
              <w:right w:val="single" w:sz="4" w:space="0" w:color="auto"/>
            </w:tcBorders>
            <w:vAlign w:val="center"/>
            <w:hideMark/>
          </w:tcPr>
          <w:p w:rsidR="00201DB5" w:rsidRDefault="00201DB5">
            <w:pPr>
              <w:rPr>
                <w:rFonts w:ascii="Calibri" w:hAnsi="Calibri" w:cs="Calibri"/>
                <w:color w:val="000000"/>
              </w:rPr>
            </w:pPr>
          </w:p>
        </w:tc>
        <w:tc>
          <w:tcPr>
            <w:tcW w:w="1350" w:type="dxa"/>
            <w:tcBorders>
              <w:top w:val="nil"/>
              <w:left w:val="nil"/>
              <w:bottom w:val="single" w:sz="4" w:space="0" w:color="auto"/>
              <w:right w:val="single" w:sz="4" w:space="0" w:color="auto"/>
            </w:tcBorders>
            <w:shd w:val="clear" w:color="auto" w:fill="auto"/>
            <w:noWrap/>
            <w:vAlign w:val="bottom"/>
            <w:hideMark/>
          </w:tcPr>
          <w:p w:rsidR="00201DB5" w:rsidRDefault="00201DB5">
            <w:pPr>
              <w:jc w:val="center"/>
              <w:rPr>
                <w:rFonts w:ascii="Calibri" w:hAnsi="Calibri" w:cs="Calibri"/>
                <w:color w:val="000000"/>
              </w:rPr>
            </w:pPr>
            <w:r>
              <w:rPr>
                <w:rFonts w:ascii="Calibri" w:hAnsi="Calibri" w:cs="Calibri"/>
                <w:color w:val="000000"/>
              </w:rPr>
              <w:t>U-3</w:t>
            </w:r>
          </w:p>
        </w:tc>
        <w:tc>
          <w:tcPr>
            <w:tcW w:w="1260" w:type="dxa"/>
            <w:tcBorders>
              <w:top w:val="nil"/>
              <w:left w:val="nil"/>
              <w:bottom w:val="single" w:sz="4" w:space="0" w:color="auto"/>
              <w:right w:val="single" w:sz="4" w:space="0" w:color="auto"/>
            </w:tcBorders>
            <w:shd w:val="clear" w:color="auto" w:fill="auto"/>
            <w:noWrap/>
            <w:vAlign w:val="bottom"/>
            <w:hideMark/>
          </w:tcPr>
          <w:p w:rsidR="00201DB5" w:rsidRDefault="00201DB5">
            <w:pPr>
              <w:jc w:val="center"/>
              <w:rPr>
                <w:rFonts w:ascii="Calibri" w:hAnsi="Calibri" w:cs="Calibri"/>
                <w:color w:val="000000"/>
              </w:rPr>
            </w:pPr>
            <w:r>
              <w:rPr>
                <w:rFonts w:ascii="Calibri" w:hAnsi="Calibri" w:cs="Calibri"/>
                <w:color w:val="000000"/>
              </w:rPr>
              <w:t>U-4</w:t>
            </w:r>
          </w:p>
        </w:tc>
        <w:tc>
          <w:tcPr>
            <w:tcW w:w="3870" w:type="dxa"/>
            <w:vMerge/>
            <w:tcBorders>
              <w:top w:val="nil"/>
              <w:left w:val="single" w:sz="4" w:space="0" w:color="auto"/>
              <w:bottom w:val="single" w:sz="4" w:space="0" w:color="auto"/>
              <w:right w:val="single" w:sz="8" w:space="0" w:color="auto"/>
            </w:tcBorders>
            <w:vAlign w:val="center"/>
            <w:hideMark/>
          </w:tcPr>
          <w:p w:rsidR="00201DB5" w:rsidRDefault="00201DB5">
            <w:pPr>
              <w:rPr>
                <w:rFonts w:ascii="Calibri" w:hAnsi="Calibri" w:cs="Calibri"/>
                <w:color w:val="000000"/>
              </w:rPr>
            </w:pPr>
          </w:p>
        </w:tc>
      </w:tr>
      <w:tr w:rsidR="00201DB5" w:rsidTr="00CC6065">
        <w:trPr>
          <w:trHeight w:val="680"/>
        </w:trPr>
        <w:tc>
          <w:tcPr>
            <w:tcW w:w="498" w:type="dxa"/>
            <w:tcBorders>
              <w:top w:val="nil"/>
              <w:left w:val="single" w:sz="8" w:space="0" w:color="auto"/>
              <w:bottom w:val="single" w:sz="4" w:space="0" w:color="auto"/>
              <w:right w:val="single" w:sz="4" w:space="0" w:color="auto"/>
            </w:tcBorders>
            <w:shd w:val="clear" w:color="auto" w:fill="auto"/>
            <w:noWrap/>
            <w:vAlign w:val="bottom"/>
            <w:hideMark/>
          </w:tcPr>
          <w:p w:rsidR="00201DB5" w:rsidRDefault="00201DB5">
            <w:pPr>
              <w:jc w:val="center"/>
              <w:rPr>
                <w:rFonts w:ascii="Calibri" w:hAnsi="Calibri" w:cs="Calibri"/>
                <w:color w:val="000000"/>
              </w:rPr>
            </w:pPr>
            <w:r>
              <w:rPr>
                <w:rFonts w:ascii="Calibri" w:hAnsi="Calibri" w:cs="Calibri"/>
                <w:color w:val="000000"/>
              </w:rPr>
              <w:t>19</w:t>
            </w:r>
          </w:p>
        </w:tc>
        <w:tc>
          <w:tcPr>
            <w:tcW w:w="1472" w:type="dxa"/>
            <w:tcBorders>
              <w:top w:val="nil"/>
              <w:left w:val="nil"/>
              <w:bottom w:val="single" w:sz="4" w:space="0" w:color="auto"/>
              <w:right w:val="single" w:sz="4" w:space="0" w:color="auto"/>
            </w:tcBorders>
            <w:shd w:val="clear" w:color="auto" w:fill="auto"/>
            <w:noWrap/>
            <w:vAlign w:val="bottom"/>
            <w:hideMark/>
          </w:tcPr>
          <w:p w:rsidR="00201DB5" w:rsidRDefault="00201DB5">
            <w:pPr>
              <w:jc w:val="center"/>
              <w:rPr>
                <w:rFonts w:ascii="Calibri" w:hAnsi="Calibri" w:cs="Calibri"/>
                <w:color w:val="000000"/>
              </w:rPr>
            </w:pPr>
            <w:r>
              <w:rPr>
                <w:rFonts w:ascii="Calibri" w:hAnsi="Calibri" w:cs="Calibri"/>
                <w:color w:val="000000"/>
              </w:rPr>
              <w:t>Fall 2018</w:t>
            </w:r>
          </w:p>
        </w:tc>
        <w:tc>
          <w:tcPr>
            <w:tcW w:w="1170" w:type="dxa"/>
            <w:tcBorders>
              <w:top w:val="nil"/>
              <w:left w:val="nil"/>
              <w:bottom w:val="single" w:sz="4" w:space="0" w:color="auto"/>
              <w:right w:val="single" w:sz="4" w:space="0" w:color="auto"/>
            </w:tcBorders>
            <w:shd w:val="clear" w:color="auto" w:fill="auto"/>
            <w:noWrap/>
            <w:vAlign w:val="bottom"/>
            <w:hideMark/>
          </w:tcPr>
          <w:p w:rsidR="00201DB5" w:rsidRDefault="00201DB5">
            <w:pPr>
              <w:jc w:val="center"/>
              <w:rPr>
                <w:rFonts w:ascii="Calibri" w:hAnsi="Calibri" w:cs="Calibri"/>
                <w:color w:val="000000"/>
              </w:rPr>
            </w:pPr>
            <w:r>
              <w:rPr>
                <w:rFonts w:ascii="Calibri" w:hAnsi="Calibri" w:cs="Calibri"/>
                <w:color w:val="000000"/>
              </w:rPr>
              <w:t>$ 17.1 B</w:t>
            </w:r>
          </w:p>
        </w:tc>
        <w:tc>
          <w:tcPr>
            <w:tcW w:w="1350" w:type="dxa"/>
            <w:tcBorders>
              <w:top w:val="nil"/>
              <w:left w:val="nil"/>
              <w:bottom w:val="single" w:sz="4" w:space="0" w:color="auto"/>
              <w:right w:val="single" w:sz="4" w:space="0" w:color="auto"/>
            </w:tcBorders>
            <w:shd w:val="clear" w:color="auto" w:fill="auto"/>
            <w:noWrap/>
            <w:vAlign w:val="bottom"/>
            <w:hideMark/>
          </w:tcPr>
          <w:p w:rsidR="00201DB5" w:rsidRDefault="00201DB5">
            <w:pPr>
              <w:rPr>
                <w:rFonts w:ascii="Calibri" w:hAnsi="Calibri" w:cs="Calibri"/>
                <w:color w:val="000000"/>
              </w:rPr>
            </w:pPr>
            <w:r>
              <w:rPr>
                <w:rFonts w:ascii="Calibri" w:hAnsi="Calibri" w:cs="Calibri"/>
                <w:color w:val="000000"/>
              </w:rPr>
              <w:t>Nov 2021</w:t>
            </w:r>
          </w:p>
        </w:tc>
        <w:tc>
          <w:tcPr>
            <w:tcW w:w="1260" w:type="dxa"/>
            <w:tcBorders>
              <w:top w:val="nil"/>
              <w:left w:val="nil"/>
              <w:bottom w:val="single" w:sz="4" w:space="0" w:color="auto"/>
              <w:right w:val="single" w:sz="4" w:space="0" w:color="auto"/>
            </w:tcBorders>
            <w:shd w:val="clear" w:color="auto" w:fill="auto"/>
            <w:noWrap/>
            <w:vAlign w:val="bottom"/>
            <w:hideMark/>
          </w:tcPr>
          <w:p w:rsidR="00201DB5" w:rsidRDefault="00201DB5">
            <w:pPr>
              <w:jc w:val="center"/>
              <w:rPr>
                <w:rFonts w:ascii="Calibri" w:hAnsi="Calibri" w:cs="Calibri"/>
                <w:color w:val="000000"/>
              </w:rPr>
            </w:pPr>
            <w:r>
              <w:rPr>
                <w:rFonts w:ascii="Calibri" w:hAnsi="Calibri" w:cs="Calibri"/>
                <w:color w:val="000000"/>
              </w:rPr>
              <w:t>Nov 2022</w:t>
            </w:r>
          </w:p>
        </w:tc>
        <w:tc>
          <w:tcPr>
            <w:tcW w:w="3870" w:type="dxa"/>
            <w:tcBorders>
              <w:top w:val="nil"/>
              <w:left w:val="nil"/>
              <w:bottom w:val="single" w:sz="4" w:space="0" w:color="auto"/>
              <w:right w:val="single" w:sz="8" w:space="0" w:color="auto"/>
            </w:tcBorders>
            <w:shd w:val="clear" w:color="auto" w:fill="auto"/>
            <w:vAlign w:val="bottom"/>
            <w:hideMark/>
          </w:tcPr>
          <w:p w:rsidR="00201DB5" w:rsidRDefault="00FA3443">
            <w:pPr>
              <w:rPr>
                <w:rFonts w:ascii="Calibri" w:hAnsi="Calibri" w:cs="Calibri"/>
                <w:color w:val="000000"/>
              </w:rPr>
            </w:pPr>
            <w:r>
              <w:rPr>
                <w:rFonts w:ascii="Calibri" w:hAnsi="Calibri" w:cs="Calibri"/>
                <w:color w:val="000000"/>
              </w:rPr>
              <w:t>Dates became new</w:t>
            </w:r>
            <w:r w:rsidR="00201DB5">
              <w:rPr>
                <w:rFonts w:ascii="Calibri" w:hAnsi="Calibri" w:cs="Calibri"/>
                <w:color w:val="000000"/>
              </w:rPr>
              <w:t xml:space="preserve"> "Regulatory Required" Dates.</w:t>
            </w:r>
          </w:p>
        </w:tc>
      </w:tr>
      <w:tr w:rsidR="00201DB5" w:rsidTr="00CC6065">
        <w:trPr>
          <w:trHeight w:val="320"/>
        </w:trPr>
        <w:tc>
          <w:tcPr>
            <w:tcW w:w="498" w:type="dxa"/>
            <w:tcBorders>
              <w:top w:val="nil"/>
              <w:left w:val="single" w:sz="8" w:space="0" w:color="auto"/>
              <w:bottom w:val="single" w:sz="4" w:space="0" w:color="auto"/>
              <w:right w:val="single" w:sz="4" w:space="0" w:color="auto"/>
            </w:tcBorders>
            <w:shd w:val="clear" w:color="auto" w:fill="auto"/>
            <w:noWrap/>
            <w:vAlign w:val="bottom"/>
            <w:hideMark/>
          </w:tcPr>
          <w:p w:rsidR="00201DB5" w:rsidRDefault="00201DB5">
            <w:pPr>
              <w:jc w:val="center"/>
              <w:rPr>
                <w:rFonts w:ascii="Calibri" w:hAnsi="Calibri" w:cs="Calibri"/>
                <w:color w:val="000000"/>
              </w:rPr>
            </w:pPr>
            <w:r>
              <w:rPr>
                <w:rFonts w:ascii="Calibri" w:hAnsi="Calibri" w:cs="Calibri"/>
                <w:color w:val="000000"/>
              </w:rPr>
              <w:t>25</w:t>
            </w:r>
          </w:p>
        </w:tc>
        <w:tc>
          <w:tcPr>
            <w:tcW w:w="1472" w:type="dxa"/>
            <w:tcBorders>
              <w:top w:val="nil"/>
              <w:left w:val="nil"/>
              <w:bottom w:val="single" w:sz="4" w:space="0" w:color="auto"/>
              <w:right w:val="single" w:sz="4" w:space="0" w:color="auto"/>
            </w:tcBorders>
            <w:shd w:val="clear" w:color="auto" w:fill="auto"/>
            <w:noWrap/>
            <w:vAlign w:val="bottom"/>
            <w:hideMark/>
          </w:tcPr>
          <w:p w:rsidR="00201DB5" w:rsidRDefault="00201DB5">
            <w:pPr>
              <w:jc w:val="center"/>
              <w:rPr>
                <w:rFonts w:ascii="Calibri" w:hAnsi="Calibri" w:cs="Calibri"/>
                <w:color w:val="000000"/>
              </w:rPr>
            </w:pPr>
            <w:r>
              <w:rPr>
                <w:rFonts w:ascii="Calibri" w:hAnsi="Calibri" w:cs="Calibri"/>
                <w:color w:val="000000"/>
              </w:rPr>
              <w:t>Fall 2021</w:t>
            </w:r>
          </w:p>
        </w:tc>
        <w:tc>
          <w:tcPr>
            <w:tcW w:w="1170" w:type="dxa"/>
            <w:tcBorders>
              <w:top w:val="nil"/>
              <w:left w:val="nil"/>
              <w:bottom w:val="single" w:sz="4" w:space="0" w:color="auto"/>
              <w:right w:val="single" w:sz="4" w:space="0" w:color="auto"/>
            </w:tcBorders>
            <w:shd w:val="clear" w:color="auto" w:fill="auto"/>
            <w:noWrap/>
            <w:vAlign w:val="bottom"/>
            <w:hideMark/>
          </w:tcPr>
          <w:p w:rsidR="00201DB5" w:rsidRDefault="00201DB5">
            <w:pPr>
              <w:jc w:val="center"/>
              <w:rPr>
                <w:rFonts w:ascii="Calibri" w:hAnsi="Calibri" w:cs="Calibri"/>
                <w:color w:val="000000"/>
              </w:rPr>
            </w:pPr>
            <w:r>
              <w:rPr>
                <w:rFonts w:ascii="Calibri" w:hAnsi="Calibri" w:cs="Calibri"/>
                <w:color w:val="000000"/>
              </w:rPr>
              <w:t>$ 19.5 B</w:t>
            </w:r>
          </w:p>
        </w:tc>
        <w:tc>
          <w:tcPr>
            <w:tcW w:w="1350" w:type="dxa"/>
            <w:tcBorders>
              <w:top w:val="nil"/>
              <w:left w:val="nil"/>
              <w:bottom w:val="single" w:sz="4" w:space="0" w:color="auto"/>
              <w:right w:val="single" w:sz="4" w:space="0" w:color="auto"/>
            </w:tcBorders>
            <w:shd w:val="clear" w:color="auto" w:fill="auto"/>
            <w:noWrap/>
            <w:vAlign w:val="bottom"/>
            <w:hideMark/>
          </w:tcPr>
          <w:p w:rsidR="00201DB5" w:rsidRDefault="00201DB5">
            <w:pPr>
              <w:rPr>
                <w:rFonts w:ascii="Calibri" w:hAnsi="Calibri" w:cs="Calibri"/>
                <w:color w:val="000000"/>
              </w:rPr>
            </w:pPr>
            <w:r>
              <w:rPr>
                <w:rFonts w:ascii="Calibri" w:hAnsi="Calibri" w:cs="Calibri"/>
                <w:color w:val="000000"/>
              </w:rPr>
              <w:t>Sept 2022</w:t>
            </w:r>
          </w:p>
        </w:tc>
        <w:tc>
          <w:tcPr>
            <w:tcW w:w="1260" w:type="dxa"/>
            <w:tcBorders>
              <w:top w:val="nil"/>
              <w:left w:val="nil"/>
              <w:bottom w:val="single" w:sz="4" w:space="0" w:color="auto"/>
              <w:right w:val="single" w:sz="4" w:space="0" w:color="auto"/>
            </w:tcBorders>
            <w:shd w:val="clear" w:color="auto" w:fill="auto"/>
            <w:noWrap/>
            <w:vAlign w:val="bottom"/>
            <w:hideMark/>
          </w:tcPr>
          <w:p w:rsidR="00201DB5" w:rsidRDefault="00201DB5">
            <w:pPr>
              <w:rPr>
                <w:rFonts w:ascii="Calibri" w:hAnsi="Calibri" w:cs="Calibri"/>
                <w:color w:val="000000"/>
              </w:rPr>
            </w:pPr>
            <w:r>
              <w:rPr>
                <w:rFonts w:ascii="Calibri" w:hAnsi="Calibri" w:cs="Calibri"/>
                <w:color w:val="000000"/>
              </w:rPr>
              <w:t>June 2023</w:t>
            </w:r>
          </w:p>
        </w:tc>
        <w:tc>
          <w:tcPr>
            <w:tcW w:w="3870" w:type="dxa"/>
            <w:vMerge w:val="restart"/>
            <w:tcBorders>
              <w:top w:val="nil"/>
              <w:left w:val="nil"/>
              <w:right w:val="single" w:sz="8" w:space="0" w:color="auto"/>
            </w:tcBorders>
            <w:shd w:val="clear" w:color="auto" w:fill="auto"/>
            <w:noWrap/>
            <w:vAlign w:val="bottom"/>
            <w:hideMark/>
          </w:tcPr>
          <w:p w:rsidR="00201DB5" w:rsidRDefault="00201DB5" w:rsidP="00826851">
            <w:pPr>
              <w:rPr>
                <w:rFonts w:ascii="Calibri" w:hAnsi="Calibri" w:cs="Calibri"/>
                <w:color w:val="000000"/>
              </w:rPr>
            </w:pPr>
            <w:r>
              <w:rPr>
                <w:rFonts w:ascii="Calibri" w:hAnsi="Calibri" w:cs="Calibri"/>
                <w:color w:val="000000"/>
              </w:rPr>
              <w:t xml:space="preserve">Cost not </w:t>
            </w:r>
            <w:r w:rsidR="00CC6065">
              <w:rPr>
                <w:rFonts w:ascii="Calibri" w:hAnsi="Calibri" w:cs="Calibri"/>
                <w:color w:val="000000"/>
              </w:rPr>
              <w:t xml:space="preserve">formally </w:t>
            </w:r>
            <w:r>
              <w:rPr>
                <w:rFonts w:ascii="Calibri" w:hAnsi="Calibri" w:cs="Calibri"/>
                <w:color w:val="000000"/>
              </w:rPr>
              <w:t xml:space="preserve">addressed in company VCM 25 </w:t>
            </w:r>
            <w:r w:rsidR="00FA3443">
              <w:rPr>
                <w:rFonts w:ascii="Calibri" w:hAnsi="Calibri" w:cs="Calibri"/>
                <w:color w:val="000000"/>
              </w:rPr>
              <w:t xml:space="preserve">Pre-Filed testimony </w:t>
            </w:r>
            <w:r>
              <w:rPr>
                <w:rFonts w:ascii="Calibri" w:hAnsi="Calibri" w:cs="Calibri"/>
                <w:color w:val="000000"/>
              </w:rPr>
              <w:t>(was under development)</w:t>
            </w:r>
            <w:r w:rsidR="00CC6065">
              <w:rPr>
                <w:rFonts w:ascii="Calibri" w:hAnsi="Calibri" w:cs="Calibri"/>
                <w:color w:val="000000"/>
              </w:rPr>
              <w:t>; Cost from Oct 2021 VPMB</w:t>
            </w:r>
          </w:p>
        </w:tc>
      </w:tr>
      <w:tr w:rsidR="00201DB5" w:rsidTr="00CC6065">
        <w:trPr>
          <w:trHeight w:val="340"/>
        </w:trPr>
        <w:tc>
          <w:tcPr>
            <w:tcW w:w="197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201DB5" w:rsidRDefault="00201DB5">
            <w:pPr>
              <w:jc w:val="center"/>
              <w:rPr>
                <w:rFonts w:ascii="Calibri" w:hAnsi="Calibri" w:cs="Calibri"/>
                <w:color w:val="000000"/>
              </w:rPr>
            </w:pPr>
            <w:r>
              <w:rPr>
                <w:rFonts w:ascii="Calibri" w:hAnsi="Calibri" w:cs="Calibri"/>
                <w:color w:val="000000"/>
              </w:rPr>
              <w:t>Change Summary</w:t>
            </w:r>
          </w:p>
        </w:tc>
        <w:tc>
          <w:tcPr>
            <w:tcW w:w="1170" w:type="dxa"/>
            <w:tcBorders>
              <w:top w:val="nil"/>
              <w:left w:val="nil"/>
              <w:bottom w:val="single" w:sz="8" w:space="0" w:color="auto"/>
              <w:right w:val="single" w:sz="4" w:space="0" w:color="auto"/>
            </w:tcBorders>
            <w:shd w:val="clear" w:color="auto" w:fill="auto"/>
            <w:noWrap/>
            <w:vAlign w:val="bottom"/>
            <w:hideMark/>
          </w:tcPr>
          <w:p w:rsidR="00201DB5" w:rsidRDefault="00285EB8">
            <w:pPr>
              <w:jc w:val="center"/>
              <w:rPr>
                <w:rFonts w:ascii="Calibri" w:hAnsi="Calibri" w:cs="Calibri"/>
                <w:color w:val="000000"/>
              </w:rPr>
            </w:pPr>
            <w:r>
              <w:rPr>
                <w:rFonts w:ascii="Calibri" w:hAnsi="Calibri" w:cs="Calibri"/>
                <w:color w:val="000000"/>
              </w:rPr>
              <w:t xml:space="preserve">$ 2.4 B, or </w:t>
            </w:r>
            <w:r w:rsidR="00201DB5">
              <w:rPr>
                <w:rFonts w:ascii="Calibri" w:hAnsi="Calibri" w:cs="Calibri"/>
                <w:color w:val="000000"/>
              </w:rPr>
              <w:t>14%</w:t>
            </w:r>
          </w:p>
        </w:tc>
        <w:tc>
          <w:tcPr>
            <w:tcW w:w="1350" w:type="dxa"/>
            <w:tcBorders>
              <w:top w:val="nil"/>
              <w:left w:val="nil"/>
              <w:bottom w:val="single" w:sz="8" w:space="0" w:color="auto"/>
              <w:right w:val="single" w:sz="4" w:space="0" w:color="auto"/>
            </w:tcBorders>
            <w:shd w:val="clear" w:color="auto" w:fill="auto"/>
            <w:noWrap/>
            <w:vAlign w:val="bottom"/>
            <w:hideMark/>
          </w:tcPr>
          <w:p w:rsidR="00201DB5" w:rsidRDefault="00201DB5">
            <w:pPr>
              <w:rPr>
                <w:rFonts w:ascii="Calibri" w:hAnsi="Calibri" w:cs="Calibri"/>
                <w:color w:val="000000"/>
              </w:rPr>
            </w:pPr>
            <w:r>
              <w:rPr>
                <w:rFonts w:ascii="Calibri" w:hAnsi="Calibri" w:cs="Calibri"/>
                <w:color w:val="000000"/>
              </w:rPr>
              <w:t>10 Mo Slip</w:t>
            </w:r>
          </w:p>
          <w:p w:rsidR="00FA3443" w:rsidRDefault="00FA3443">
            <w:pPr>
              <w:rPr>
                <w:rFonts w:ascii="Calibri" w:hAnsi="Calibri" w:cs="Calibri"/>
                <w:color w:val="000000"/>
              </w:rPr>
            </w:pPr>
          </w:p>
        </w:tc>
        <w:tc>
          <w:tcPr>
            <w:tcW w:w="1260" w:type="dxa"/>
            <w:tcBorders>
              <w:top w:val="nil"/>
              <w:left w:val="nil"/>
              <w:bottom w:val="single" w:sz="8" w:space="0" w:color="auto"/>
              <w:right w:val="single" w:sz="4" w:space="0" w:color="auto"/>
            </w:tcBorders>
            <w:shd w:val="clear" w:color="auto" w:fill="auto"/>
            <w:noWrap/>
            <w:vAlign w:val="bottom"/>
            <w:hideMark/>
          </w:tcPr>
          <w:p w:rsidR="00201DB5" w:rsidRDefault="00201DB5">
            <w:pPr>
              <w:rPr>
                <w:rFonts w:ascii="Calibri" w:hAnsi="Calibri" w:cs="Calibri"/>
                <w:color w:val="000000"/>
              </w:rPr>
            </w:pPr>
            <w:r>
              <w:rPr>
                <w:rFonts w:ascii="Calibri" w:hAnsi="Calibri" w:cs="Calibri"/>
                <w:color w:val="000000"/>
              </w:rPr>
              <w:t>7 Mo Slip</w:t>
            </w:r>
          </w:p>
          <w:p w:rsidR="00FA3443" w:rsidRDefault="00FA3443">
            <w:pPr>
              <w:rPr>
                <w:rFonts w:ascii="Calibri" w:hAnsi="Calibri" w:cs="Calibri"/>
                <w:color w:val="000000"/>
              </w:rPr>
            </w:pPr>
          </w:p>
        </w:tc>
        <w:tc>
          <w:tcPr>
            <w:tcW w:w="3870" w:type="dxa"/>
            <w:vMerge/>
            <w:tcBorders>
              <w:left w:val="nil"/>
              <w:bottom w:val="single" w:sz="8" w:space="0" w:color="auto"/>
              <w:right w:val="single" w:sz="8" w:space="0" w:color="auto"/>
            </w:tcBorders>
            <w:shd w:val="clear" w:color="auto" w:fill="auto"/>
            <w:noWrap/>
            <w:vAlign w:val="bottom"/>
            <w:hideMark/>
          </w:tcPr>
          <w:p w:rsidR="00201DB5" w:rsidRDefault="00201DB5">
            <w:pPr>
              <w:rPr>
                <w:rFonts w:ascii="Calibri" w:hAnsi="Calibri" w:cs="Calibri"/>
                <w:color w:val="000000"/>
              </w:rPr>
            </w:pPr>
          </w:p>
        </w:tc>
      </w:tr>
    </w:tbl>
    <w:p w:rsidR="00280EB0" w:rsidRPr="00280EB0" w:rsidRDefault="00280EB0" w:rsidP="00280EB0">
      <w:pPr>
        <w:spacing w:line="480" w:lineRule="auto"/>
        <w:ind w:left="720" w:hanging="720"/>
        <w:rPr>
          <w:rFonts w:ascii="Garamond" w:hAnsi="Garamond"/>
        </w:rPr>
      </w:pPr>
      <w:r>
        <w:rPr>
          <w:rFonts w:ascii="Garamond" w:hAnsi="Garamond"/>
        </w:rPr>
        <w:tab/>
      </w:r>
    </w:p>
    <w:p w:rsidR="00201DB5" w:rsidRDefault="00201DB5" w:rsidP="00FA2D6E">
      <w:pPr>
        <w:spacing w:line="480" w:lineRule="auto"/>
        <w:ind w:left="720" w:hanging="720"/>
        <w:rPr>
          <w:rFonts w:ascii="Garamond" w:hAnsi="Garamond"/>
          <w:b/>
          <w:bCs/>
        </w:rPr>
      </w:pPr>
      <w:r>
        <w:rPr>
          <w:rFonts w:ascii="Garamond" w:hAnsi="Garamond"/>
          <w:b/>
          <w:bCs/>
        </w:rPr>
        <w:t>Q:</w:t>
      </w:r>
      <w:r>
        <w:rPr>
          <w:rFonts w:ascii="Garamond" w:hAnsi="Garamond"/>
          <w:b/>
          <w:bCs/>
        </w:rPr>
        <w:tab/>
        <w:t>WHAT DOES VMG CONCLUDE FROM TABLE TC-1?</w:t>
      </w:r>
    </w:p>
    <w:p w:rsidR="006B6486" w:rsidRDefault="00201DB5" w:rsidP="00F06929">
      <w:pPr>
        <w:spacing w:line="480" w:lineRule="auto"/>
        <w:ind w:left="720" w:hanging="720"/>
        <w:jc w:val="both"/>
        <w:rPr>
          <w:rFonts w:ascii="Garamond" w:hAnsi="Garamond"/>
        </w:rPr>
      </w:pPr>
      <w:r>
        <w:rPr>
          <w:rFonts w:ascii="Garamond" w:hAnsi="Garamond"/>
        </w:rPr>
        <w:lastRenderedPageBreak/>
        <w:t>A:</w:t>
      </w:r>
      <w:r>
        <w:rPr>
          <w:rFonts w:ascii="Garamond" w:hAnsi="Garamond"/>
        </w:rPr>
        <w:tab/>
      </w:r>
      <w:r w:rsidR="00F06929">
        <w:rPr>
          <w:rFonts w:ascii="Garamond" w:hAnsi="Garamond"/>
        </w:rPr>
        <w:t>R</w:t>
      </w:r>
      <w:r w:rsidR="00F06929" w:rsidRPr="00F06929">
        <w:rPr>
          <w:rFonts w:ascii="Garamond" w:hAnsi="Garamond"/>
        </w:rPr>
        <w:t xml:space="preserve">oughly $ 0.9 B </w:t>
      </w:r>
      <w:r w:rsidR="00F06929">
        <w:rPr>
          <w:rFonts w:ascii="Garamond" w:hAnsi="Garamond"/>
        </w:rPr>
        <w:t xml:space="preserve">of the cost increase </w:t>
      </w:r>
      <w:r w:rsidR="00F06929" w:rsidRPr="00F06929">
        <w:rPr>
          <w:rFonts w:ascii="Garamond" w:hAnsi="Garamond"/>
        </w:rPr>
        <w:t>c</w:t>
      </w:r>
      <w:r w:rsidR="00F06929">
        <w:rPr>
          <w:rFonts w:ascii="Garamond" w:hAnsi="Garamond"/>
        </w:rPr>
        <w:t>an</w:t>
      </w:r>
      <w:r w:rsidR="00F06929" w:rsidRPr="00F06929">
        <w:rPr>
          <w:rFonts w:ascii="Garamond" w:hAnsi="Garamond"/>
        </w:rPr>
        <w:t xml:space="preserve"> be attributed </w:t>
      </w:r>
      <w:r w:rsidR="00F06929">
        <w:rPr>
          <w:rFonts w:ascii="Garamond" w:hAnsi="Garamond"/>
        </w:rPr>
        <w:t xml:space="preserve">to </w:t>
      </w:r>
      <w:r w:rsidR="00285EB8">
        <w:rPr>
          <w:rFonts w:ascii="Garamond" w:hAnsi="Garamond"/>
        </w:rPr>
        <w:t>slips of the CODs</w:t>
      </w:r>
      <w:r w:rsidR="003B3FD2">
        <w:rPr>
          <w:rFonts w:ascii="Garamond" w:hAnsi="Garamond"/>
        </w:rPr>
        <w:t>.</w:t>
      </w:r>
      <w:r w:rsidR="003B3FD2">
        <w:rPr>
          <w:rStyle w:val="FootnoteReference"/>
          <w:rFonts w:ascii="Garamond" w:hAnsi="Garamond"/>
        </w:rPr>
        <w:footnoteReference w:id="9"/>
      </w:r>
      <w:r w:rsidR="003B3FD2">
        <w:rPr>
          <w:rFonts w:ascii="Garamond" w:hAnsi="Garamond"/>
        </w:rPr>
        <w:t xml:space="preserve">  </w:t>
      </w:r>
      <w:r w:rsidR="00153BEC">
        <w:rPr>
          <w:rFonts w:ascii="Garamond" w:hAnsi="Garamond"/>
        </w:rPr>
        <w:t>With respect to t</w:t>
      </w:r>
      <w:r w:rsidR="00285EB8">
        <w:rPr>
          <w:rFonts w:ascii="Garamond" w:hAnsi="Garamond"/>
        </w:rPr>
        <w:t>he remaining $ 1.5 B</w:t>
      </w:r>
      <w:r w:rsidR="00153BEC">
        <w:rPr>
          <w:rFonts w:ascii="Garamond" w:hAnsi="Garamond"/>
        </w:rPr>
        <w:t xml:space="preserve">, some may be attributable to prior underestimates of the cost with the balance </w:t>
      </w:r>
      <w:r w:rsidR="00280EB0">
        <w:rPr>
          <w:rFonts w:ascii="Garamond" w:hAnsi="Garamond"/>
        </w:rPr>
        <w:t>be</w:t>
      </w:r>
      <w:r w:rsidR="00153BEC">
        <w:rPr>
          <w:rFonts w:ascii="Garamond" w:hAnsi="Garamond"/>
        </w:rPr>
        <w:t>ing</w:t>
      </w:r>
      <w:r w:rsidR="00280EB0">
        <w:rPr>
          <w:rFonts w:ascii="Garamond" w:hAnsi="Garamond"/>
        </w:rPr>
        <w:t xml:space="preserve"> </w:t>
      </w:r>
      <w:r w:rsidR="00285EB8">
        <w:rPr>
          <w:rFonts w:ascii="Garamond" w:hAnsi="Garamond"/>
        </w:rPr>
        <w:t>attributable to production inefficiencies and scope increases (</w:t>
      </w:r>
      <w:r w:rsidR="00C86A28">
        <w:rPr>
          <w:rFonts w:ascii="Garamond" w:hAnsi="Garamond"/>
        </w:rPr>
        <w:t xml:space="preserve">due primarily to having to correct </w:t>
      </w:r>
      <w:r w:rsidR="00285EB8">
        <w:rPr>
          <w:rFonts w:ascii="Garamond" w:hAnsi="Garamond"/>
        </w:rPr>
        <w:t>Construction Quality issues).</w:t>
      </w:r>
    </w:p>
    <w:p w:rsidR="006B6486" w:rsidRDefault="006B6486" w:rsidP="005549C2">
      <w:pPr>
        <w:spacing w:line="480" w:lineRule="auto"/>
        <w:ind w:left="720" w:hanging="720"/>
        <w:jc w:val="both"/>
        <w:rPr>
          <w:rFonts w:ascii="Garamond" w:hAnsi="Garamond"/>
          <w:b/>
          <w:bCs/>
        </w:rPr>
      </w:pPr>
      <w:r>
        <w:rPr>
          <w:rFonts w:ascii="Garamond" w:hAnsi="Garamond"/>
          <w:b/>
          <w:bCs/>
        </w:rPr>
        <w:t>Q:</w:t>
      </w:r>
      <w:r>
        <w:rPr>
          <w:rFonts w:ascii="Garamond" w:hAnsi="Garamond"/>
          <w:b/>
          <w:bCs/>
        </w:rPr>
        <w:tab/>
      </w:r>
      <w:r w:rsidR="00A35A41">
        <w:rPr>
          <w:rFonts w:ascii="Garamond" w:hAnsi="Garamond"/>
          <w:b/>
          <w:bCs/>
        </w:rPr>
        <w:t>PLEASE SHOW THE TIMING OF COST INCREASES SINCE VMG HAS BEEN ENGAGED IN THIS DOCKET</w:t>
      </w:r>
      <w:r>
        <w:rPr>
          <w:rFonts w:ascii="Garamond" w:hAnsi="Garamond"/>
          <w:b/>
          <w:bCs/>
        </w:rPr>
        <w:t>?</w:t>
      </w:r>
    </w:p>
    <w:p w:rsidR="00BF28B7" w:rsidRDefault="006B6486" w:rsidP="00AD0F21">
      <w:pPr>
        <w:spacing w:line="480" w:lineRule="auto"/>
        <w:ind w:left="720" w:hanging="720"/>
        <w:jc w:val="both"/>
        <w:rPr>
          <w:rFonts w:ascii="Garamond" w:hAnsi="Garamond"/>
        </w:rPr>
      </w:pPr>
      <w:r>
        <w:rPr>
          <w:rFonts w:ascii="Garamond" w:hAnsi="Garamond"/>
        </w:rPr>
        <w:t>A:</w:t>
      </w:r>
      <w:r>
        <w:rPr>
          <w:rFonts w:ascii="Garamond" w:hAnsi="Garamond"/>
        </w:rPr>
        <w:tab/>
        <w:t>This is displayed in Table TC-2 below</w:t>
      </w:r>
      <w:r w:rsidR="00B821D2">
        <w:rPr>
          <w:rFonts w:ascii="Garamond" w:hAnsi="Garamond"/>
        </w:rPr>
        <w:t>.</w:t>
      </w:r>
    </w:p>
    <w:p w:rsidR="00994C79" w:rsidRDefault="00994C79" w:rsidP="00AD0F21">
      <w:pPr>
        <w:spacing w:line="480" w:lineRule="auto"/>
        <w:ind w:left="720" w:hanging="720"/>
        <w:jc w:val="both"/>
        <w:rPr>
          <w:rFonts w:ascii="Garamond" w:hAnsi="Garamond"/>
        </w:rPr>
      </w:pPr>
    </w:p>
    <w:tbl>
      <w:tblPr>
        <w:tblW w:w="6840" w:type="dxa"/>
        <w:tblInd w:w="828" w:type="dxa"/>
        <w:tblLook w:val="04A0" w:firstRow="1" w:lastRow="0" w:firstColumn="1" w:lastColumn="0" w:noHBand="0" w:noVBand="1"/>
      </w:tblPr>
      <w:tblGrid>
        <w:gridCol w:w="1170"/>
        <w:gridCol w:w="1381"/>
        <w:gridCol w:w="1390"/>
        <w:gridCol w:w="1348"/>
        <w:gridCol w:w="1551"/>
      </w:tblGrid>
      <w:tr w:rsidR="00445DE4" w:rsidTr="00445DE4">
        <w:trPr>
          <w:trHeight w:val="320"/>
        </w:trPr>
        <w:tc>
          <w:tcPr>
            <w:tcW w:w="6840"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BF28B7" w:rsidRDefault="00445DE4">
            <w:pPr>
              <w:jc w:val="center"/>
              <w:rPr>
                <w:rFonts w:ascii="Calibri" w:hAnsi="Calibri" w:cs="Calibri"/>
                <w:b/>
                <w:bCs/>
                <w:color w:val="000000"/>
              </w:rPr>
            </w:pPr>
            <w:r>
              <w:rPr>
                <w:rFonts w:ascii="Calibri" w:hAnsi="Calibri" w:cs="Calibri"/>
                <w:b/>
                <w:bCs/>
                <w:color w:val="000000"/>
              </w:rPr>
              <w:t>Table TC-2</w:t>
            </w:r>
            <w:r w:rsidR="002E47AA">
              <w:rPr>
                <w:rFonts w:ascii="Calibri" w:hAnsi="Calibri" w:cs="Calibri"/>
                <w:b/>
                <w:bCs/>
                <w:color w:val="000000"/>
              </w:rPr>
              <w:t>:</w:t>
            </w:r>
            <w:r>
              <w:rPr>
                <w:rFonts w:ascii="Calibri" w:hAnsi="Calibri" w:cs="Calibri"/>
                <w:b/>
                <w:bCs/>
                <w:color w:val="000000"/>
              </w:rPr>
              <w:t xml:space="preserve"> Company Re-Forecasts of TPC EAC ($B's) Broken Down</w:t>
            </w:r>
          </w:p>
        </w:tc>
      </w:tr>
      <w:tr w:rsidR="00445DE4" w:rsidTr="00445DE4">
        <w:trPr>
          <w:trHeight w:val="320"/>
        </w:trPr>
        <w:tc>
          <w:tcPr>
            <w:tcW w:w="1170" w:type="dxa"/>
            <w:vMerge w:val="restart"/>
            <w:tcBorders>
              <w:top w:val="nil"/>
              <w:left w:val="single" w:sz="8" w:space="0" w:color="auto"/>
              <w:bottom w:val="single" w:sz="4" w:space="0" w:color="auto"/>
              <w:right w:val="single" w:sz="4" w:space="0" w:color="auto"/>
            </w:tcBorders>
            <w:shd w:val="clear" w:color="000000" w:fill="BFBFBF"/>
            <w:noWrap/>
            <w:vAlign w:val="bottom"/>
            <w:hideMark/>
          </w:tcPr>
          <w:p w:rsidR="00445DE4" w:rsidRDefault="00445DE4">
            <w:pPr>
              <w:jc w:val="center"/>
              <w:rPr>
                <w:rFonts w:ascii="Calibri" w:hAnsi="Calibri" w:cs="Calibri"/>
                <w:color w:val="000000"/>
              </w:rPr>
            </w:pPr>
            <w:r>
              <w:rPr>
                <w:rFonts w:ascii="Calibri" w:hAnsi="Calibri" w:cs="Calibri"/>
                <w:color w:val="000000"/>
              </w:rPr>
              <w:t> </w:t>
            </w:r>
          </w:p>
        </w:tc>
        <w:tc>
          <w:tcPr>
            <w:tcW w:w="567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445DE4" w:rsidRDefault="00445DE4">
            <w:pPr>
              <w:jc w:val="center"/>
              <w:rPr>
                <w:rFonts w:ascii="Calibri" w:hAnsi="Calibri" w:cs="Calibri"/>
                <w:color w:val="000000"/>
              </w:rPr>
            </w:pPr>
            <w:r>
              <w:rPr>
                <w:rFonts w:ascii="Calibri" w:hAnsi="Calibri" w:cs="Calibri"/>
                <w:color w:val="000000"/>
              </w:rPr>
              <w:t>Date of Re-Forecast</w:t>
            </w:r>
          </w:p>
        </w:tc>
      </w:tr>
      <w:tr w:rsidR="00445DE4" w:rsidTr="00445DE4">
        <w:trPr>
          <w:trHeight w:val="680"/>
        </w:trPr>
        <w:tc>
          <w:tcPr>
            <w:tcW w:w="1170" w:type="dxa"/>
            <w:vMerge/>
            <w:tcBorders>
              <w:top w:val="nil"/>
              <w:left w:val="single" w:sz="8" w:space="0" w:color="auto"/>
              <w:bottom w:val="single" w:sz="4" w:space="0" w:color="auto"/>
              <w:right w:val="single" w:sz="4" w:space="0" w:color="auto"/>
            </w:tcBorders>
            <w:vAlign w:val="center"/>
            <w:hideMark/>
          </w:tcPr>
          <w:p w:rsidR="00445DE4" w:rsidRDefault="00445DE4">
            <w:pPr>
              <w:rPr>
                <w:rFonts w:ascii="Calibri" w:hAnsi="Calibri" w:cs="Calibri"/>
                <w:color w:val="000000"/>
              </w:rPr>
            </w:pPr>
          </w:p>
        </w:tc>
        <w:tc>
          <w:tcPr>
            <w:tcW w:w="1381" w:type="dxa"/>
            <w:tcBorders>
              <w:top w:val="nil"/>
              <w:left w:val="nil"/>
              <w:bottom w:val="single" w:sz="4" w:space="0" w:color="auto"/>
              <w:right w:val="single" w:sz="4" w:space="0" w:color="auto"/>
            </w:tcBorders>
            <w:shd w:val="clear" w:color="auto" w:fill="auto"/>
            <w:vAlign w:val="bottom"/>
            <w:hideMark/>
          </w:tcPr>
          <w:p w:rsidR="00445DE4" w:rsidRDefault="00445DE4">
            <w:pPr>
              <w:jc w:val="center"/>
              <w:rPr>
                <w:rFonts w:ascii="Calibri" w:hAnsi="Calibri" w:cs="Calibri"/>
                <w:color w:val="000000"/>
              </w:rPr>
            </w:pPr>
            <w:r>
              <w:rPr>
                <w:rFonts w:ascii="Calibri" w:hAnsi="Calibri" w:cs="Calibri"/>
                <w:color w:val="000000"/>
              </w:rPr>
              <w:t>Fall 2018 (VCM 19)</w:t>
            </w:r>
          </w:p>
        </w:tc>
        <w:tc>
          <w:tcPr>
            <w:tcW w:w="1390" w:type="dxa"/>
            <w:tcBorders>
              <w:top w:val="nil"/>
              <w:left w:val="nil"/>
              <w:bottom w:val="single" w:sz="4" w:space="0" w:color="auto"/>
              <w:right w:val="single" w:sz="4" w:space="0" w:color="auto"/>
            </w:tcBorders>
            <w:shd w:val="clear" w:color="auto" w:fill="auto"/>
            <w:vAlign w:val="bottom"/>
            <w:hideMark/>
          </w:tcPr>
          <w:p w:rsidR="00445DE4" w:rsidRDefault="00445DE4">
            <w:pPr>
              <w:jc w:val="center"/>
              <w:rPr>
                <w:rFonts w:ascii="Calibri" w:hAnsi="Calibri" w:cs="Calibri"/>
                <w:color w:val="000000"/>
              </w:rPr>
            </w:pPr>
            <w:r>
              <w:rPr>
                <w:rFonts w:ascii="Calibri" w:hAnsi="Calibri" w:cs="Calibri"/>
                <w:color w:val="000000"/>
              </w:rPr>
              <w:t>Feb 2021</w:t>
            </w:r>
          </w:p>
        </w:tc>
        <w:tc>
          <w:tcPr>
            <w:tcW w:w="1348" w:type="dxa"/>
            <w:tcBorders>
              <w:top w:val="nil"/>
              <w:left w:val="nil"/>
              <w:bottom w:val="single" w:sz="4" w:space="0" w:color="auto"/>
              <w:right w:val="single" w:sz="4" w:space="0" w:color="auto"/>
            </w:tcBorders>
            <w:shd w:val="clear" w:color="auto" w:fill="auto"/>
            <w:noWrap/>
            <w:vAlign w:val="bottom"/>
            <w:hideMark/>
          </w:tcPr>
          <w:p w:rsidR="00445DE4" w:rsidRDefault="00445DE4">
            <w:pPr>
              <w:jc w:val="center"/>
              <w:rPr>
                <w:rFonts w:ascii="Calibri" w:hAnsi="Calibri" w:cs="Calibri"/>
                <w:color w:val="000000"/>
              </w:rPr>
            </w:pPr>
            <w:r>
              <w:rPr>
                <w:rFonts w:ascii="Calibri" w:hAnsi="Calibri" w:cs="Calibri"/>
                <w:color w:val="000000"/>
              </w:rPr>
              <w:t>Aug 2021</w:t>
            </w:r>
          </w:p>
        </w:tc>
        <w:tc>
          <w:tcPr>
            <w:tcW w:w="1551" w:type="dxa"/>
            <w:tcBorders>
              <w:top w:val="nil"/>
              <w:left w:val="nil"/>
              <w:bottom w:val="single" w:sz="4" w:space="0" w:color="auto"/>
              <w:right w:val="single" w:sz="8" w:space="0" w:color="auto"/>
            </w:tcBorders>
            <w:shd w:val="clear" w:color="auto" w:fill="auto"/>
            <w:vAlign w:val="bottom"/>
            <w:hideMark/>
          </w:tcPr>
          <w:p w:rsidR="00445DE4" w:rsidRDefault="00445DE4">
            <w:pPr>
              <w:jc w:val="center"/>
              <w:rPr>
                <w:rFonts w:ascii="Calibri" w:hAnsi="Calibri" w:cs="Calibri"/>
                <w:color w:val="000000"/>
              </w:rPr>
            </w:pPr>
            <w:r>
              <w:rPr>
                <w:rFonts w:ascii="Calibri" w:hAnsi="Calibri" w:cs="Calibri"/>
                <w:color w:val="000000"/>
              </w:rPr>
              <w:t>Oct 27, 2021</w:t>
            </w:r>
          </w:p>
        </w:tc>
      </w:tr>
      <w:tr w:rsidR="00445DE4" w:rsidTr="00445DE4">
        <w:trPr>
          <w:trHeight w:val="320"/>
        </w:trPr>
        <w:tc>
          <w:tcPr>
            <w:tcW w:w="1170" w:type="dxa"/>
            <w:tcBorders>
              <w:top w:val="nil"/>
              <w:left w:val="single" w:sz="8" w:space="0" w:color="auto"/>
              <w:bottom w:val="single" w:sz="4" w:space="0" w:color="auto"/>
              <w:right w:val="single" w:sz="4" w:space="0" w:color="auto"/>
            </w:tcBorders>
            <w:shd w:val="clear" w:color="auto" w:fill="auto"/>
            <w:noWrap/>
            <w:vAlign w:val="bottom"/>
            <w:hideMark/>
          </w:tcPr>
          <w:p w:rsidR="00445DE4" w:rsidRDefault="00445DE4">
            <w:pPr>
              <w:jc w:val="center"/>
              <w:rPr>
                <w:rFonts w:ascii="Calibri" w:hAnsi="Calibri" w:cs="Calibri"/>
                <w:color w:val="000000"/>
              </w:rPr>
            </w:pPr>
            <w:r>
              <w:rPr>
                <w:rFonts w:ascii="Calibri" w:hAnsi="Calibri" w:cs="Calibri"/>
                <w:color w:val="000000"/>
              </w:rPr>
              <w:t>TPC EAC</w:t>
            </w:r>
          </w:p>
        </w:tc>
        <w:tc>
          <w:tcPr>
            <w:tcW w:w="1381" w:type="dxa"/>
            <w:tcBorders>
              <w:top w:val="nil"/>
              <w:left w:val="nil"/>
              <w:bottom w:val="single" w:sz="4" w:space="0" w:color="auto"/>
              <w:right w:val="single" w:sz="4" w:space="0" w:color="auto"/>
            </w:tcBorders>
            <w:shd w:val="clear" w:color="auto" w:fill="auto"/>
            <w:noWrap/>
            <w:vAlign w:val="bottom"/>
            <w:hideMark/>
          </w:tcPr>
          <w:p w:rsidR="00445DE4" w:rsidRDefault="00445DE4">
            <w:pPr>
              <w:jc w:val="center"/>
              <w:rPr>
                <w:rFonts w:ascii="Calibri" w:hAnsi="Calibri" w:cs="Calibri"/>
                <w:color w:val="000000"/>
              </w:rPr>
            </w:pPr>
            <w:r>
              <w:rPr>
                <w:rFonts w:ascii="Calibri" w:hAnsi="Calibri" w:cs="Calibri"/>
                <w:color w:val="000000"/>
              </w:rPr>
              <w:t>17.1</w:t>
            </w:r>
          </w:p>
        </w:tc>
        <w:tc>
          <w:tcPr>
            <w:tcW w:w="1390" w:type="dxa"/>
            <w:tcBorders>
              <w:top w:val="nil"/>
              <w:left w:val="nil"/>
              <w:bottom w:val="single" w:sz="4" w:space="0" w:color="auto"/>
              <w:right w:val="single" w:sz="4" w:space="0" w:color="auto"/>
            </w:tcBorders>
            <w:shd w:val="clear" w:color="auto" w:fill="auto"/>
            <w:noWrap/>
            <w:vAlign w:val="bottom"/>
            <w:hideMark/>
          </w:tcPr>
          <w:p w:rsidR="00445DE4" w:rsidRDefault="00445DE4">
            <w:pPr>
              <w:jc w:val="center"/>
              <w:rPr>
                <w:rFonts w:ascii="Calibri" w:hAnsi="Calibri" w:cs="Calibri"/>
                <w:color w:val="000000"/>
              </w:rPr>
            </w:pPr>
            <w:r>
              <w:rPr>
                <w:rFonts w:ascii="Calibri" w:hAnsi="Calibri" w:cs="Calibri"/>
                <w:color w:val="000000"/>
              </w:rPr>
              <w:t>17.8</w:t>
            </w:r>
          </w:p>
        </w:tc>
        <w:tc>
          <w:tcPr>
            <w:tcW w:w="1348" w:type="dxa"/>
            <w:tcBorders>
              <w:top w:val="nil"/>
              <w:left w:val="nil"/>
              <w:bottom w:val="single" w:sz="4" w:space="0" w:color="auto"/>
              <w:right w:val="single" w:sz="4" w:space="0" w:color="auto"/>
            </w:tcBorders>
            <w:shd w:val="clear" w:color="auto" w:fill="auto"/>
            <w:noWrap/>
            <w:vAlign w:val="bottom"/>
            <w:hideMark/>
          </w:tcPr>
          <w:p w:rsidR="00445DE4" w:rsidRDefault="00445DE4">
            <w:pPr>
              <w:jc w:val="center"/>
              <w:rPr>
                <w:rFonts w:ascii="Calibri" w:hAnsi="Calibri" w:cs="Calibri"/>
                <w:color w:val="000000"/>
              </w:rPr>
            </w:pPr>
            <w:r>
              <w:rPr>
                <w:rFonts w:ascii="Calibri" w:hAnsi="Calibri" w:cs="Calibri"/>
                <w:color w:val="000000"/>
              </w:rPr>
              <w:t>18.9</w:t>
            </w:r>
          </w:p>
        </w:tc>
        <w:tc>
          <w:tcPr>
            <w:tcW w:w="1551" w:type="dxa"/>
            <w:tcBorders>
              <w:top w:val="nil"/>
              <w:left w:val="nil"/>
              <w:bottom w:val="single" w:sz="4" w:space="0" w:color="auto"/>
              <w:right w:val="single" w:sz="8" w:space="0" w:color="auto"/>
            </w:tcBorders>
            <w:shd w:val="clear" w:color="auto" w:fill="auto"/>
            <w:noWrap/>
            <w:vAlign w:val="bottom"/>
            <w:hideMark/>
          </w:tcPr>
          <w:p w:rsidR="00445DE4" w:rsidRDefault="00445DE4">
            <w:pPr>
              <w:jc w:val="center"/>
              <w:rPr>
                <w:rFonts w:ascii="Calibri" w:hAnsi="Calibri" w:cs="Calibri"/>
                <w:color w:val="000000"/>
              </w:rPr>
            </w:pPr>
            <w:r>
              <w:rPr>
                <w:rFonts w:ascii="Calibri" w:hAnsi="Calibri" w:cs="Calibri"/>
                <w:color w:val="000000"/>
              </w:rPr>
              <w:t>19.5</w:t>
            </w:r>
          </w:p>
        </w:tc>
      </w:tr>
      <w:tr w:rsidR="00445DE4" w:rsidTr="00445DE4">
        <w:trPr>
          <w:trHeight w:val="380"/>
        </w:trPr>
        <w:tc>
          <w:tcPr>
            <w:tcW w:w="1170" w:type="dxa"/>
            <w:vMerge w:val="restart"/>
            <w:tcBorders>
              <w:top w:val="nil"/>
              <w:left w:val="single" w:sz="8" w:space="0" w:color="auto"/>
              <w:bottom w:val="single" w:sz="4" w:space="0" w:color="auto"/>
              <w:right w:val="single" w:sz="4" w:space="0" w:color="auto"/>
            </w:tcBorders>
            <w:shd w:val="clear" w:color="auto" w:fill="auto"/>
            <w:vAlign w:val="center"/>
            <w:hideMark/>
          </w:tcPr>
          <w:p w:rsidR="00445DE4" w:rsidRDefault="00445DE4">
            <w:pPr>
              <w:jc w:val="center"/>
              <w:rPr>
                <w:rFonts w:ascii="Calibri" w:hAnsi="Calibri" w:cs="Calibri"/>
                <w:color w:val="000000"/>
              </w:rPr>
            </w:pPr>
            <w:r>
              <w:rPr>
                <w:rFonts w:ascii="Calibri" w:hAnsi="Calibri" w:cs="Calibri"/>
                <w:color w:val="000000"/>
              </w:rPr>
              <w:t>Increase ($ B's/ %)</w:t>
            </w:r>
          </w:p>
        </w:tc>
        <w:tc>
          <w:tcPr>
            <w:tcW w:w="2771" w:type="dxa"/>
            <w:gridSpan w:val="2"/>
            <w:tcBorders>
              <w:top w:val="single" w:sz="4" w:space="0" w:color="auto"/>
              <w:left w:val="nil"/>
              <w:bottom w:val="single" w:sz="4" w:space="0" w:color="auto"/>
              <w:right w:val="single" w:sz="4" w:space="0" w:color="auto"/>
            </w:tcBorders>
            <w:shd w:val="clear" w:color="auto" w:fill="auto"/>
            <w:noWrap/>
            <w:vAlign w:val="bottom"/>
            <w:hideMark/>
          </w:tcPr>
          <w:p w:rsidR="00445DE4" w:rsidRDefault="00445DE4">
            <w:pPr>
              <w:jc w:val="center"/>
              <w:rPr>
                <w:rFonts w:ascii="Calibri" w:hAnsi="Calibri" w:cs="Calibri"/>
                <w:color w:val="000000"/>
              </w:rPr>
            </w:pPr>
            <w:r>
              <w:rPr>
                <w:rFonts w:ascii="Calibri" w:hAnsi="Calibri" w:cs="Calibri"/>
                <w:color w:val="000000"/>
              </w:rPr>
              <w:t>$ 0.7 B/ 4.1%</w:t>
            </w:r>
          </w:p>
        </w:tc>
        <w:tc>
          <w:tcPr>
            <w:tcW w:w="1348" w:type="dxa"/>
            <w:tcBorders>
              <w:top w:val="nil"/>
              <w:left w:val="nil"/>
              <w:bottom w:val="single" w:sz="4" w:space="0" w:color="auto"/>
              <w:right w:val="single" w:sz="4" w:space="0" w:color="auto"/>
            </w:tcBorders>
            <w:shd w:val="clear" w:color="auto" w:fill="auto"/>
            <w:noWrap/>
            <w:vAlign w:val="bottom"/>
            <w:hideMark/>
          </w:tcPr>
          <w:p w:rsidR="00445DE4" w:rsidRDefault="00445DE4">
            <w:pPr>
              <w:rPr>
                <w:rFonts w:ascii="Calibri" w:hAnsi="Calibri" w:cs="Calibri"/>
                <w:color w:val="000000"/>
              </w:rPr>
            </w:pPr>
            <w:r>
              <w:rPr>
                <w:rFonts w:ascii="Calibri" w:hAnsi="Calibri" w:cs="Calibri"/>
                <w:color w:val="000000"/>
              </w:rPr>
              <w:t> </w:t>
            </w:r>
          </w:p>
        </w:tc>
        <w:tc>
          <w:tcPr>
            <w:tcW w:w="1551" w:type="dxa"/>
            <w:tcBorders>
              <w:top w:val="nil"/>
              <w:left w:val="nil"/>
              <w:bottom w:val="single" w:sz="4" w:space="0" w:color="auto"/>
              <w:right w:val="single" w:sz="8" w:space="0" w:color="auto"/>
            </w:tcBorders>
            <w:shd w:val="clear" w:color="auto" w:fill="auto"/>
            <w:noWrap/>
            <w:vAlign w:val="bottom"/>
            <w:hideMark/>
          </w:tcPr>
          <w:p w:rsidR="00445DE4" w:rsidRDefault="00445DE4">
            <w:pPr>
              <w:rPr>
                <w:rFonts w:ascii="Calibri" w:hAnsi="Calibri" w:cs="Calibri"/>
                <w:color w:val="000000"/>
              </w:rPr>
            </w:pPr>
            <w:r>
              <w:rPr>
                <w:rFonts w:ascii="Calibri" w:hAnsi="Calibri" w:cs="Calibri"/>
                <w:color w:val="000000"/>
              </w:rPr>
              <w:t> </w:t>
            </w:r>
          </w:p>
        </w:tc>
      </w:tr>
      <w:tr w:rsidR="00445DE4" w:rsidTr="00445DE4">
        <w:trPr>
          <w:trHeight w:val="320"/>
        </w:trPr>
        <w:tc>
          <w:tcPr>
            <w:tcW w:w="1170" w:type="dxa"/>
            <w:vMerge/>
            <w:tcBorders>
              <w:top w:val="nil"/>
              <w:left w:val="single" w:sz="8" w:space="0" w:color="auto"/>
              <w:bottom w:val="single" w:sz="4" w:space="0" w:color="auto"/>
              <w:right w:val="single" w:sz="4" w:space="0" w:color="auto"/>
            </w:tcBorders>
            <w:vAlign w:val="center"/>
            <w:hideMark/>
          </w:tcPr>
          <w:p w:rsidR="00445DE4" w:rsidRDefault="00445DE4">
            <w:pPr>
              <w:rPr>
                <w:rFonts w:ascii="Calibri" w:hAnsi="Calibri" w:cs="Calibri"/>
                <w:color w:val="000000"/>
              </w:rPr>
            </w:pPr>
          </w:p>
        </w:tc>
        <w:tc>
          <w:tcPr>
            <w:tcW w:w="1381" w:type="dxa"/>
            <w:tcBorders>
              <w:top w:val="nil"/>
              <w:left w:val="nil"/>
              <w:bottom w:val="single" w:sz="4" w:space="0" w:color="auto"/>
              <w:right w:val="single" w:sz="4" w:space="0" w:color="auto"/>
            </w:tcBorders>
            <w:shd w:val="clear" w:color="000000" w:fill="BFBFBF"/>
            <w:noWrap/>
            <w:vAlign w:val="bottom"/>
            <w:hideMark/>
          </w:tcPr>
          <w:p w:rsidR="00445DE4" w:rsidRDefault="00445DE4">
            <w:pPr>
              <w:rPr>
                <w:rFonts w:ascii="Calibri" w:hAnsi="Calibri" w:cs="Calibri"/>
                <w:color w:val="000000"/>
              </w:rPr>
            </w:pPr>
            <w:r>
              <w:rPr>
                <w:rFonts w:ascii="Calibri" w:hAnsi="Calibri" w:cs="Calibri"/>
                <w:color w:val="000000"/>
              </w:rPr>
              <w:t> </w:t>
            </w:r>
          </w:p>
        </w:tc>
        <w:tc>
          <w:tcPr>
            <w:tcW w:w="2738" w:type="dxa"/>
            <w:gridSpan w:val="2"/>
            <w:tcBorders>
              <w:top w:val="single" w:sz="4" w:space="0" w:color="auto"/>
              <w:left w:val="nil"/>
              <w:bottom w:val="single" w:sz="4" w:space="0" w:color="auto"/>
              <w:right w:val="single" w:sz="4" w:space="0" w:color="auto"/>
            </w:tcBorders>
            <w:shd w:val="clear" w:color="auto" w:fill="auto"/>
            <w:noWrap/>
            <w:vAlign w:val="bottom"/>
            <w:hideMark/>
          </w:tcPr>
          <w:p w:rsidR="00445DE4" w:rsidRDefault="00445DE4">
            <w:pPr>
              <w:jc w:val="center"/>
              <w:rPr>
                <w:rFonts w:ascii="Calibri" w:hAnsi="Calibri" w:cs="Calibri"/>
                <w:color w:val="000000"/>
              </w:rPr>
            </w:pPr>
            <w:r>
              <w:rPr>
                <w:rFonts w:ascii="Calibri" w:hAnsi="Calibri" w:cs="Calibri"/>
                <w:color w:val="000000"/>
              </w:rPr>
              <w:t>$ 1.1 B/ 6.2 %</w:t>
            </w:r>
          </w:p>
        </w:tc>
        <w:tc>
          <w:tcPr>
            <w:tcW w:w="1551" w:type="dxa"/>
            <w:tcBorders>
              <w:top w:val="nil"/>
              <w:left w:val="nil"/>
              <w:bottom w:val="single" w:sz="4" w:space="0" w:color="auto"/>
              <w:right w:val="single" w:sz="8" w:space="0" w:color="auto"/>
            </w:tcBorders>
            <w:shd w:val="clear" w:color="000000" w:fill="BFBFBF"/>
            <w:noWrap/>
            <w:vAlign w:val="bottom"/>
            <w:hideMark/>
          </w:tcPr>
          <w:p w:rsidR="00445DE4" w:rsidRDefault="00445DE4">
            <w:pPr>
              <w:rPr>
                <w:rFonts w:ascii="Calibri" w:hAnsi="Calibri" w:cs="Calibri"/>
                <w:color w:val="000000"/>
              </w:rPr>
            </w:pPr>
            <w:r>
              <w:rPr>
                <w:rFonts w:ascii="Calibri" w:hAnsi="Calibri" w:cs="Calibri"/>
                <w:color w:val="000000"/>
              </w:rPr>
              <w:t> </w:t>
            </w:r>
          </w:p>
        </w:tc>
      </w:tr>
      <w:tr w:rsidR="00445DE4" w:rsidTr="00445DE4">
        <w:trPr>
          <w:trHeight w:val="340"/>
        </w:trPr>
        <w:tc>
          <w:tcPr>
            <w:tcW w:w="1170" w:type="dxa"/>
            <w:vMerge/>
            <w:tcBorders>
              <w:top w:val="nil"/>
              <w:left w:val="single" w:sz="8" w:space="0" w:color="auto"/>
              <w:bottom w:val="single" w:sz="4" w:space="0" w:color="auto"/>
              <w:right w:val="single" w:sz="4" w:space="0" w:color="auto"/>
            </w:tcBorders>
            <w:vAlign w:val="center"/>
            <w:hideMark/>
          </w:tcPr>
          <w:p w:rsidR="00445DE4" w:rsidRDefault="00445DE4">
            <w:pPr>
              <w:rPr>
                <w:rFonts w:ascii="Calibri" w:hAnsi="Calibri" w:cs="Calibri"/>
                <w:color w:val="000000"/>
              </w:rPr>
            </w:pPr>
          </w:p>
        </w:tc>
        <w:tc>
          <w:tcPr>
            <w:tcW w:w="2771" w:type="dxa"/>
            <w:gridSpan w:val="2"/>
            <w:tcBorders>
              <w:top w:val="single" w:sz="4" w:space="0" w:color="auto"/>
              <w:left w:val="nil"/>
              <w:bottom w:val="nil"/>
              <w:right w:val="single" w:sz="4" w:space="0" w:color="auto"/>
            </w:tcBorders>
            <w:shd w:val="clear" w:color="000000" w:fill="BFBFBF"/>
            <w:noWrap/>
            <w:vAlign w:val="bottom"/>
            <w:hideMark/>
          </w:tcPr>
          <w:p w:rsidR="00445DE4" w:rsidRDefault="00445DE4">
            <w:pPr>
              <w:jc w:val="center"/>
              <w:rPr>
                <w:rFonts w:ascii="Calibri" w:hAnsi="Calibri" w:cs="Calibri"/>
                <w:color w:val="000000"/>
              </w:rPr>
            </w:pPr>
            <w:r>
              <w:rPr>
                <w:rFonts w:ascii="Calibri" w:hAnsi="Calibri" w:cs="Calibri"/>
                <w:color w:val="000000"/>
              </w:rPr>
              <w:t> </w:t>
            </w:r>
          </w:p>
        </w:tc>
        <w:tc>
          <w:tcPr>
            <w:tcW w:w="2899" w:type="dxa"/>
            <w:gridSpan w:val="2"/>
            <w:tcBorders>
              <w:top w:val="single" w:sz="4" w:space="0" w:color="auto"/>
              <w:left w:val="nil"/>
              <w:bottom w:val="nil"/>
              <w:right w:val="single" w:sz="8" w:space="0" w:color="000000"/>
            </w:tcBorders>
            <w:shd w:val="clear" w:color="auto" w:fill="auto"/>
            <w:noWrap/>
            <w:vAlign w:val="bottom"/>
            <w:hideMark/>
          </w:tcPr>
          <w:p w:rsidR="00445DE4" w:rsidRDefault="00445DE4">
            <w:pPr>
              <w:jc w:val="center"/>
              <w:rPr>
                <w:rFonts w:ascii="Calibri" w:hAnsi="Calibri" w:cs="Calibri"/>
                <w:color w:val="000000"/>
              </w:rPr>
            </w:pPr>
            <w:r>
              <w:rPr>
                <w:rFonts w:ascii="Calibri" w:hAnsi="Calibri" w:cs="Calibri"/>
                <w:color w:val="000000"/>
              </w:rPr>
              <w:t>$ 0.6 B/ 3.2 %</w:t>
            </w:r>
          </w:p>
        </w:tc>
      </w:tr>
      <w:tr w:rsidR="00445DE4" w:rsidTr="00445DE4">
        <w:trPr>
          <w:trHeight w:val="340"/>
        </w:trPr>
        <w:tc>
          <w:tcPr>
            <w:tcW w:w="2551"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45DE4" w:rsidRDefault="00445DE4">
            <w:pPr>
              <w:jc w:val="center"/>
              <w:rPr>
                <w:rFonts w:ascii="Calibri" w:hAnsi="Calibri" w:cs="Calibri"/>
                <w:b/>
                <w:bCs/>
                <w:color w:val="000000"/>
              </w:rPr>
            </w:pPr>
            <w:r>
              <w:rPr>
                <w:rFonts w:ascii="Calibri" w:hAnsi="Calibri" w:cs="Calibri"/>
                <w:b/>
                <w:bCs/>
                <w:color w:val="000000"/>
              </w:rPr>
              <w:t>Increase over 8 months</w:t>
            </w:r>
          </w:p>
        </w:tc>
        <w:tc>
          <w:tcPr>
            <w:tcW w:w="4289" w:type="dxa"/>
            <w:gridSpan w:val="3"/>
            <w:tcBorders>
              <w:top w:val="single" w:sz="8" w:space="0" w:color="auto"/>
              <w:left w:val="nil"/>
              <w:bottom w:val="single" w:sz="8" w:space="0" w:color="auto"/>
              <w:right w:val="single" w:sz="8" w:space="0" w:color="000000"/>
            </w:tcBorders>
            <w:shd w:val="clear" w:color="auto" w:fill="auto"/>
            <w:noWrap/>
            <w:vAlign w:val="bottom"/>
            <w:hideMark/>
          </w:tcPr>
          <w:p w:rsidR="00445DE4" w:rsidRDefault="00445DE4">
            <w:pPr>
              <w:jc w:val="center"/>
              <w:rPr>
                <w:rFonts w:ascii="Calibri" w:hAnsi="Calibri" w:cs="Calibri"/>
                <w:b/>
                <w:bCs/>
                <w:color w:val="000000"/>
              </w:rPr>
            </w:pPr>
            <w:r>
              <w:rPr>
                <w:rFonts w:ascii="Calibri" w:hAnsi="Calibri" w:cs="Calibri"/>
                <w:b/>
                <w:bCs/>
                <w:color w:val="000000"/>
              </w:rPr>
              <w:t>$ 1.7 B/ 9.6 %</w:t>
            </w:r>
          </w:p>
        </w:tc>
      </w:tr>
    </w:tbl>
    <w:p w:rsidR="00464D10" w:rsidRDefault="00464D10" w:rsidP="00445DE4">
      <w:pPr>
        <w:spacing w:line="480" w:lineRule="auto"/>
        <w:ind w:left="720" w:hanging="720"/>
        <w:jc w:val="center"/>
        <w:rPr>
          <w:rFonts w:ascii="Garamond" w:hAnsi="Garamond"/>
        </w:rPr>
      </w:pPr>
    </w:p>
    <w:p w:rsidR="006B6486" w:rsidRDefault="00445DE4" w:rsidP="005549C2">
      <w:pPr>
        <w:spacing w:line="480" w:lineRule="auto"/>
        <w:ind w:left="720" w:hanging="720"/>
        <w:jc w:val="both"/>
        <w:rPr>
          <w:rFonts w:ascii="Garamond" w:hAnsi="Garamond"/>
          <w:b/>
          <w:bCs/>
        </w:rPr>
      </w:pPr>
      <w:r>
        <w:rPr>
          <w:rFonts w:ascii="Garamond" w:hAnsi="Garamond"/>
          <w:b/>
          <w:bCs/>
        </w:rPr>
        <w:t>Q:</w:t>
      </w:r>
      <w:r>
        <w:rPr>
          <w:rFonts w:ascii="Garamond" w:hAnsi="Garamond"/>
          <w:b/>
          <w:bCs/>
        </w:rPr>
        <w:tab/>
        <w:t>AND WHAT DO YOU CONCLUDE FROM TABLES TC-1 AND TC-2?</w:t>
      </w:r>
    </w:p>
    <w:p w:rsidR="00BF28B7" w:rsidRPr="00BF28B7" w:rsidRDefault="00445DE4" w:rsidP="00BF28B7">
      <w:pPr>
        <w:spacing w:line="480" w:lineRule="auto"/>
        <w:ind w:left="720" w:hanging="720"/>
        <w:jc w:val="both"/>
        <w:rPr>
          <w:rFonts w:ascii="Garamond" w:hAnsi="Garamond"/>
          <w:b/>
          <w:bCs/>
          <w:u w:val="single"/>
        </w:rPr>
      </w:pPr>
      <w:r>
        <w:rPr>
          <w:rFonts w:ascii="Garamond" w:hAnsi="Garamond"/>
        </w:rPr>
        <w:t>A:</w:t>
      </w:r>
      <w:r>
        <w:rPr>
          <w:rFonts w:ascii="Garamond" w:hAnsi="Garamond"/>
        </w:rPr>
        <w:tab/>
        <w:t xml:space="preserve">From table TC-1 </w:t>
      </w:r>
      <w:r w:rsidR="00A35A41">
        <w:rPr>
          <w:rFonts w:ascii="Garamond" w:hAnsi="Garamond"/>
        </w:rPr>
        <w:t xml:space="preserve">VMG concludes </w:t>
      </w:r>
      <w:r w:rsidRPr="00BF28B7">
        <w:rPr>
          <w:rFonts w:ascii="Garamond" w:hAnsi="Garamond"/>
          <w:u w:val="single"/>
        </w:rPr>
        <w:t>that over a roughly 3</w:t>
      </w:r>
      <w:r w:rsidR="00A821D8" w:rsidRPr="00BF28B7">
        <w:rPr>
          <w:rFonts w:ascii="Garamond" w:hAnsi="Garamond"/>
          <w:u w:val="single"/>
        </w:rPr>
        <w:t>-</w:t>
      </w:r>
      <w:r w:rsidRPr="00BF28B7">
        <w:rPr>
          <w:rFonts w:ascii="Garamond" w:hAnsi="Garamond"/>
          <w:u w:val="single"/>
        </w:rPr>
        <w:t xml:space="preserve">year period the </w:t>
      </w:r>
      <w:r w:rsidR="00B72B73" w:rsidRPr="00BF28B7">
        <w:rPr>
          <w:rFonts w:ascii="Garamond" w:hAnsi="Garamond"/>
          <w:u w:val="single"/>
        </w:rPr>
        <w:t xml:space="preserve">TPC EAC increased by </w:t>
      </w:r>
      <w:r w:rsidR="00555179">
        <w:rPr>
          <w:rFonts w:ascii="Garamond" w:hAnsi="Garamond"/>
          <w:u w:val="single"/>
        </w:rPr>
        <w:t xml:space="preserve">$ 2.4 B </w:t>
      </w:r>
      <w:r w:rsidR="00B72B73" w:rsidRPr="00BF28B7">
        <w:rPr>
          <w:rFonts w:ascii="Garamond" w:hAnsi="Garamond"/>
          <w:u w:val="single"/>
        </w:rPr>
        <w:t>(</w:t>
      </w:r>
      <w:r w:rsidR="00555179">
        <w:rPr>
          <w:rFonts w:ascii="Garamond" w:hAnsi="Garamond"/>
          <w:u w:val="single"/>
        </w:rPr>
        <w:t xml:space="preserve">i.e., 14%, </w:t>
      </w:r>
      <w:r w:rsidR="00B72B73" w:rsidRPr="00BF28B7">
        <w:rPr>
          <w:rFonts w:ascii="Garamond" w:hAnsi="Garamond"/>
          <w:u w:val="single"/>
        </w:rPr>
        <w:t xml:space="preserve">or roughly </w:t>
      </w:r>
      <w:r w:rsidR="00B72B73" w:rsidRPr="00BF28B7">
        <w:rPr>
          <w:rFonts w:ascii="Garamond" w:hAnsi="Garamond"/>
          <w:b/>
          <w:bCs/>
          <w:u w:val="single"/>
        </w:rPr>
        <w:t>4.5 % per year</w:t>
      </w:r>
      <w:r w:rsidR="00B72B73" w:rsidRPr="00BF28B7">
        <w:rPr>
          <w:rFonts w:ascii="Garamond" w:hAnsi="Garamond"/>
          <w:u w:val="single"/>
        </w:rPr>
        <w:t>), whereas over the past 8 months the TPC EAC increased by 9.6 % (or</w:t>
      </w:r>
      <w:r w:rsidR="00BF28B7" w:rsidRPr="00BF28B7">
        <w:rPr>
          <w:rFonts w:ascii="Garamond" w:hAnsi="Garamond"/>
          <w:u w:val="single"/>
        </w:rPr>
        <w:t xml:space="preserve"> by </w:t>
      </w:r>
      <w:r w:rsidR="00BF28B7" w:rsidRPr="00BF28B7">
        <w:rPr>
          <w:rFonts w:ascii="Garamond" w:hAnsi="Garamond"/>
          <w:b/>
          <w:bCs/>
          <w:u w:val="single"/>
        </w:rPr>
        <w:t>over 14 % per year</w:t>
      </w:r>
      <w:r w:rsidR="00BF28B7" w:rsidRPr="00BF28B7">
        <w:rPr>
          <w:rFonts w:ascii="Garamond" w:hAnsi="Garamond"/>
          <w:u w:val="single"/>
        </w:rPr>
        <w:t>)</w:t>
      </w:r>
    </w:p>
    <w:p w:rsidR="00A64130" w:rsidRPr="00A35A41" w:rsidRDefault="00B72B73" w:rsidP="00555179">
      <w:pPr>
        <w:spacing w:line="480" w:lineRule="auto"/>
        <w:ind w:left="1440"/>
        <w:jc w:val="both"/>
        <w:rPr>
          <w:rFonts w:ascii="Garamond" w:hAnsi="Garamond"/>
        </w:rPr>
      </w:pPr>
      <w:r>
        <w:rPr>
          <w:rFonts w:ascii="Garamond" w:hAnsi="Garamond"/>
          <w:b/>
          <w:bCs/>
        </w:rPr>
        <w:tab/>
      </w:r>
    </w:p>
    <w:p w:rsidR="00575693" w:rsidRDefault="00575693" w:rsidP="005549C2">
      <w:pPr>
        <w:spacing w:line="480" w:lineRule="auto"/>
        <w:jc w:val="both"/>
        <w:rPr>
          <w:rFonts w:ascii="Garamond" w:hAnsi="Garamond"/>
          <w:b/>
          <w:bCs/>
        </w:rPr>
      </w:pPr>
      <w:r>
        <w:rPr>
          <w:rFonts w:ascii="Garamond" w:hAnsi="Garamond"/>
          <w:b/>
          <w:bCs/>
        </w:rPr>
        <w:t>Q:</w:t>
      </w:r>
      <w:r>
        <w:rPr>
          <w:rFonts w:ascii="Garamond" w:hAnsi="Garamond"/>
          <w:b/>
          <w:bCs/>
        </w:rPr>
        <w:tab/>
        <w:t xml:space="preserve">YOU ALSO REMARKED THAT THERE IS ADDITIONAL DATA TO SUGGEST </w:t>
      </w:r>
    </w:p>
    <w:p w:rsidR="00A64130" w:rsidRDefault="00575693" w:rsidP="005549C2">
      <w:pPr>
        <w:spacing w:line="480" w:lineRule="auto"/>
        <w:jc w:val="both"/>
        <w:rPr>
          <w:rFonts w:ascii="Garamond" w:hAnsi="Garamond"/>
          <w:b/>
          <w:bCs/>
        </w:rPr>
      </w:pPr>
      <w:r>
        <w:rPr>
          <w:rFonts w:ascii="Garamond" w:hAnsi="Garamond"/>
          <w:b/>
          <w:bCs/>
        </w:rPr>
        <w:lastRenderedPageBreak/>
        <w:tab/>
        <w:t xml:space="preserve">THAT THE </w:t>
      </w:r>
      <w:r w:rsidR="00A132BA">
        <w:rPr>
          <w:rFonts w:ascii="Garamond" w:hAnsi="Garamond"/>
          <w:b/>
          <w:bCs/>
        </w:rPr>
        <w:t xml:space="preserve">COMPANY </w:t>
      </w:r>
      <w:r>
        <w:rPr>
          <w:rFonts w:ascii="Garamond" w:hAnsi="Garamond"/>
          <w:b/>
          <w:bCs/>
        </w:rPr>
        <w:t xml:space="preserve">TPC EAC HAS (HISTORICALLY SPEAKING) BEEN </w:t>
      </w:r>
      <w:r w:rsidR="00A132BA">
        <w:rPr>
          <w:rFonts w:ascii="Garamond" w:hAnsi="Garamond"/>
          <w:b/>
          <w:bCs/>
        </w:rPr>
        <w:tab/>
      </w:r>
      <w:r>
        <w:rPr>
          <w:rFonts w:ascii="Garamond" w:hAnsi="Garamond"/>
          <w:b/>
          <w:bCs/>
        </w:rPr>
        <w:t>A</w:t>
      </w:r>
      <w:r w:rsidR="00654FE4">
        <w:rPr>
          <w:rFonts w:ascii="Garamond" w:hAnsi="Garamond"/>
          <w:b/>
          <w:bCs/>
        </w:rPr>
        <w:t>N</w:t>
      </w:r>
      <w:r>
        <w:rPr>
          <w:rFonts w:ascii="Garamond" w:hAnsi="Garamond"/>
          <w:b/>
          <w:bCs/>
        </w:rPr>
        <w:t xml:space="preserve"> UNDERESTIMATE.  COULD YOU PLEASE PROVIDE THAT DATA?</w:t>
      </w:r>
    </w:p>
    <w:p w:rsidR="00994C79" w:rsidRDefault="00575693" w:rsidP="00A132BA">
      <w:pPr>
        <w:spacing w:line="480" w:lineRule="auto"/>
        <w:jc w:val="both"/>
        <w:rPr>
          <w:rFonts w:ascii="Garamond" w:hAnsi="Garamond"/>
        </w:rPr>
      </w:pPr>
      <w:r>
        <w:rPr>
          <w:rFonts w:ascii="Garamond" w:hAnsi="Garamond"/>
        </w:rPr>
        <w:t>A:</w:t>
      </w:r>
      <w:r>
        <w:rPr>
          <w:rFonts w:ascii="Garamond" w:hAnsi="Garamond"/>
        </w:rPr>
        <w:tab/>
      </w:r>
      <w:r w:rsidR="000E481C">
        <w:rPr>
          <w:rFonts w:ascii="Garamond" w:hAnsi="Garamond"/>
        </w:rPr>
        <w:t xml:space="preserve">Table TC-3 provides a monthly update of monthly expenditures starting in January 2021 </w:t>
      </w:r>
      <w:r w:rsidR="00A132BA">
        <w:rPr>
          <w:rFonts w:ascii="Garamond" w:hAnsi="Garamond"/>
        </w:rPr>
        <w:tab/>
      </w:r>
      <w:r w:rsidR="000E481C">
        <w:rPr>
          <w:rFonts w:ascii="Garamond" w:hAnsi="Garamond"/>
        </w:rPr>
        <w:t xml:space="preserve">through September 2021, and the monthly “Estimate to Complete” (ETC) from the </w:t>
      </w:r>
      <w:r w:rsidR="00A132BA">
        <w:rPr>
          <w:rFonts w:ascii="Garamond" w:hAnsi="Garamond"/>
        </w:rPr>
        <w:tab/>
      </w:r>
      <w:r w:rsidR="000E481C">
        <w:rPr>
          <w:rFonts w:ascii="Garamond" w:hAnsi="Garamond"/>
        </w:rPr>
        <w:t xml:space="preserve">same </w:t>
      </w:r>
      <w:r w:rsidR="00A132BA">
        <w:rPr>
          <w:rFonts w:ascii="Garamond" w:hAnsi="Garamond"/>
        </w:rPr>
        <w:tab/>
      </w:r>
      <w:r w:rsidR="000E481C">
        <w:rPr>
          <w:rFonts w:ascii="Garamond" w:hAnsi="Garamond"/>
        </w:rPr>
        <w:t xml:space="preserve">end of the month reporting through project completion.  </w:t>
      </w:r>
    </w:p>
    <w:p w:rsidR="00994C79" w:rsidRDefault="00994C79" w:rsidP="005549C2">
      <w:pPr>
        <w:spacing w:line="480" w:lineRule="auto"/>
        <w:rPr>
          <w:rFonts w:ascii="Garamond" w:hAnsi="Garamond"/>
        </w:rPr>
      </w:pPr>
    </w:p>
    <w:tbl>
      <w:tblPr>
        <w:tblW w:w="8550" w:type="dxa"/>
        <w:tblInd w:w="648" w:type="dxa"/>
        <w:tblLook w:val="04A0" w:firstRow="1" w:lastRow="0" w:firstColumn="1" w:lastColumn="0" w:noHBand="0" w:noVBand="1"/>
      </w:tblPr>
      <w:tblGrid>
        <w:gridCol w:w="1620"/>
        <w:gridCol w:w="2340"/>
        <w:gridCol w:w="1170"/>
        <w:gridCol w:w="3420"/>
      </w:tblGrid>
      <w:tr w:rsidR="005C75D5" w:rsidTr="005C75D5">
        <w:trPr>
          <w:trHeight w:val="740"/>
        </w:trPr>
        <w:tc>
          <w:tcPr>
            <w:tcW w:w="8550" w:type="dxa"/>
            <w:gridSpan w:val="4"/>
            <w:tcBorders>
              <w:top w:val="single" w:sz="8" w:space="0" w:color="auto"/>
              <w:left w:val="single" w:sz="8" w:space="0" w:color="auto"/>
              <w:bottom w:val="single" w:sz="4" w:space="0" w:color="auto"/>
              <w:right w:val="single" w:sz="8" w:space="0" w:color="000000"/>
            </w:tcBorders>
            <w:shd w:val="clear" w:color="auto" w:fill="auto"/>
            <w:vAlign w:val="bottom"/>
            <w:hideMark/>
          </w:tcPr>
          <w:p w:rsidR="005C75D5" w:rsidRDefault="005C75D5">
            <w:pPr>
              <w:jc w:val="center"/>
              <w:rPr>
                <w:rFonts w:ascii="Calibri" w:hAnsi="Calibri" w:cs="Calibri"/>
                <w:b/>
                <w:bCs/>
                <w:color w:val="000000"/>
              </w:rPr>
            </w:pPr>
            <w:r>
              <w:rPr>
                <w:rFonts w:ascii="Calibri" w:hAnsi="Calibri" w:cs="Calibri"/>
                <w:b/>
                <w:bCs/>
                <w:color w:val="000000"/>
              </w:rPr>
              <w:t>Table TC-3</w:t>
            </w:r>
            <w:r w:rsidR="002E47AA">
              <w:rPr>
                <w:rFonts w:ascii="Calibri" w:hAnsi="Calibri" w:cs="Calibri"/>
                <w:b/>
                <w:bCs/>
                <w:color w:val="000000"/>
              </w:rPr>
              <w:t>:</w:t>
            </w:r>
            <w:r>
              <w:rPr>
                <w:rFonts w:ascii="Calibri" w:hAnsi="Calibri" w:cs="Calibri"/>
                <w:b/>
                <w:bCs/>
                <w:color w:val="000000"/>
              </w:rPr>
              <w:t xml:space="preserve"> Company Reforecasting of Project Estimate to Complete (ETC)</w:t>
            </w:r>
          </w:p>
        </w:tc>
      </w:tr>
      <w:tr w:rsidR="005C75D5" w:rsidTr="005C75D5">
        <w:trPr>
          <w:trHeight w:val="480"/>
        </w:trPr>
        <w:tc>
          <w:tcPr>
            <w:tcW w:w="1620" w:type="dxa"/>
            <w:vMerge w:val="restart"/>
            <w:tcBorders>
              <w:top w:val="nil"/>
              <w:left w:val="single" w:sz="8" w:space="0" w:color="auto"/>
              <w:bottom w:val="single" w:sz="4" w:space="0" w:color="auto"/>
              <w:right w:val="single" w:sz="4" w:space="0" w:color="auto"/>
            </w:tcBorders>
            <w:shd w:val="clear" w:color="auto" w:fill="auto"/>
            <w:vAlign w:val="bottom"/>
            <w:hideMark/>
          </w:tcPr>
          <w:p w:rsidR="005C75D5" w:rsidRDefault="005C75D5">
            <w:pPr>
              <w:jc w:val="center"/>
              <w:rPr>
                <w:rFonts w:ascii="Calibri" w:hAnsi="Calibri" w:cs="Calibri"/>
                <w:color w:val="000000"/>
              </w:rPr>
            </w:pPr>
            <w:r>
              <w:rPr>
                <w:rFonts w:ascii="Calibri" w:hAnsi="Calibri" w:cs="Calibri"/>
                <w:color w:val="000000"/>
              </w:rPr>
              <w:t>Reporting Month</w:t>
            </w:r>
          </w:p>
        </w:tc>
        <w:tc>
          <w:tcPr>
            <w:tcW w:w="2340" w:type="dxa"/>
            <w:vMerge w:val="restart"/>
            <w:tcBorders>
              <w:top w:val="nil"/>
              <w:left w:val="single" w:sz="4" w:space="0" w:color="auto"/>
              <w:bottom w:val="single" w:sz="4" w:space="0" w:color="auto"/>
              <w:right w:val="single" w:sz="4" w:space="0" w:color="auto"/>
            </w:tcBorders>
            <w:shd w:val="clear" w:color="auto" w:fill="auto"/>
            <w:vAlign w:val="bottom"/>
            <w:hideMark/>
          </w:tcPr>
          <w:p w:rsidR="005C75D5" w:rsidRDefault="005C75D5">
            <w:pPr>
              <w:jc w:val="center"/>
              <w:rPr>
                <w:rFonts w:ascii="Calibri" w:hAnsi="Calibri" w:cs="Calibri"/>
                <w:color w:val="000000"/>
              </w:rPr>
            </w:pPr>
            <w:r>
              <w:rPr>
                <w:rFonts w:ascii="Calibri" w:hAnsi="Calibri" w:cs="Calibri"/>
                <w:color w:val="000000"/>
              </w:rPr>
              <w:t>Monthly Costs ($ M's)</w:t>
            </w:r>
          </w:p>
        </w:tc>
        <w:tc>
          <w:tcPr>
            <w:tcW w:w="459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ETC</w:t>
            </w:r>
          </w:p>
        </w:tc>
      </w:tr>
      <w:tr w:rsidR="005C75D5" w:rsidTr="005C75D5">
        <w:trPr>
          <w:trHeight w:val="740"/>
        </w:trPr>
        <w:tc>
          <w:tcPr>
            <w:tcW w:w="1620" w:type="dxa"/>
            <w:vMerge/>
            <w:tcBorders>
              <w:top w:val="nil"/>
              <w:left w:val="single" w:sz="8" w:space="0" w:color="auto"/>
              <w:bottom w:val="single" w:sz="4" w:space="0" w:color="auto"/>
              <w:right w:val="single" w:sz="4" w:space="0" w:color="auto"/>
            </w:tcBorders>
            <w:vAlign w:val="center"/>
            <w:hideMark/>
          </w:tcPr>
          <w:p w:rsidR="005C75D5" w:rsidRDefault="005C75D5">
            <w:pPr>
              <w:rPr>
                <w:rFonts w:ascii="Calibri" w:hAnsi="Calibri" w:cs="Calibri"/>
                <w:color w:val="000000"/>
              </w:rPr>
            </w:pPr>
          </w:p>
        </w:tc>
        <w:tc>
          <w:tcPr>
            <w:tcW w:w="2340" w:type="dxa"/>
            <w:vMerge/>
            <w:tcBorders>
              <w:top w:val="nil"/>
              <w:left w:val="single" w:sz="4" w:space="0" w:color="auto"/>
              <w:bottom w:val="single" w:sz="4" w:space="0" w:color="auto"/>
              <w:right w:val="single" w:sz="4" w:space="0" w:color="auto"/>
            </w:tcBorders>
            <w:vAlign w:val="center"/>
            <w:hideMark/>
          </w:tcPr>
          <w:p w:rsidR="005C75D5" w:rsidRDefault="005C75D5">
            <w:pPr>
              <w:rPr>
                <w:rFonts w:ascii="Calibri" w:hAnsi="Calibri" w:cs="Calibri"/>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 M's</w:t>
            </w:r>
          </w:p>
        </w:tc>
        <w:tc>
          <w:tcPr>
            <w:tcW w:w="3420" w:type="dxa"/>
            <w:tcBorders>
              <w:top w:val="nil"/>
              <w:left w:val="nil"/>
              <w:bottom w:val="single" w:sz="4" w:space="0" w:color="auto"/>
              <w:right w:val="single" w:sz="8" w:space="0" w:color="auto"/>
            </w:tcBorders>
            <w:shd w:val="clear" w:color="auto" w:fill="auto"/>
            <w:vAlign w:val="bottom"/>
            <w:hideMark/>
          </w:tcPr>
          <w:p w:rsidR="005C75D5" w:rsidRDefault="005C75D5">
            <w:pPr>
              <w:jc w:val="center"/>
              <w:rPr>
                <w:rFonts w:ascii="Calibri" w:hAnsi="Calibri" w:cs="Calibri"/>
                <w:color w:val="000000"/>
              </w:rPr>
            </w:pPr>
            <w:proofErr w:type="spellStart"/>
            <w:r>
              <w:rPr>
                <w:rFonts w:ascii="Calibri" w:hAnsi="Calibri" w:cs="Calibri"/>
                <w:color w:val="000000"/>
              </w:rPr>
              <w:t>Fm</w:t>
            </w:r>
            <w:proofErr w:type="spellEnd"/>
            <w:r>
              <w:rPr>
                <w:rFonts w:ascii="Calibri" w:hAnsi="Calibri" w:cs="Calibri"/>
                <w:color w:val="000000"/>
              </w:rPr>
              <w:t xml:space="preserve"> End of ___ To U-4 COD</w:t>
            </w:r>
          </w:p>
        </w:tc>
      </w:tr>
      <w:tr w:rsidR="005C75D5" w:rsidTr="005C75D5">
        <w:trPr>
          <w:trHeight w:val="320"/>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Jan 2021</w:t>
            </w:r>
          </w:p>
        </w:tc>
        <w:tc>
          <w:tcPr>
            <w:tcW w:w="2340" w:type="dxa"/>
            <w:tcBorders>
              <w:top w:val="nil"/>
              <w:left w:val="nil"/>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215</w:t>
            </w:r>
          </w:p>
        </w:tc>
        <w:tc>
          <w:tcPr>
            <w:tcW w:w="1170" w:type="dxa"/>
            <w:tcBorders>
              <w:top w:val="nil"/>
              <w:left w:val="nil"/>
              <w:bottom w:val="single" w:sz="4" w:space="0" w:color="auto"/>
              <w:right w:val="single" w:sz="4" w:space="0" w:color="auto"/>
            </w:tcBorders>
            <w:shd w:val="clear" w:color="auto" w:fill="auto"/>
            <w:noWrap/>
            <w:vAlign w:val="bottom"/>
            <w:hideMark/>
          </w:tcPr>
          <w:p w:rsidR="005C75D5" w:rsidRDefault="005C75D5">
            <w:pPr>
              <w:rPr>
                <w:rFonts w:ascii="Calibri" w:hAnsi="Calibri" w:cs="Calibri"/>
                <w:color w:val="000000"/>
              </w:rPr>
            </w:pPr>
            <w:r>
              <w:rPr>
                <w:rFonts w:ascii="Calibri" w:hAnsi="Calibri" w:cs="Calibri"/>
                <w:color w:val="000000"/>
              </w:rPr>
              <w:t xml:space="preserve">     2,503 </w:t>
            </w:r>
          </w:p>
        </w:tc>
        <w:tc>
          <w:tcPr>
            <w:tcW w:w="3420" w:type="dxa"/>
            <w:tcBorders>
              <w:top w:val="nil"/>
              <w:left w:val="nil"/>
              <w:bottom w:val="single" w:sz="4" w:space="0" w:color="auto"/>
              <w:right w:val="single" w:sz="8"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Jan 2021</w:t>
            </w:r>
          </w:p>
        </w:tc>
      </w:tr>
      <w:tr w:rsidR="005C75D5" w:rsidTr="005C75D5">
        <w:trPr>
          <w:trHeight w:val="320"/>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Feb 2021</w:t>
            </w:r>
          </w:p>
        </w:tc>
        <w:tc>
          <w:tcPr>
            <w:tcW w:w="2340" w:type="dxa"/>
            <w:tcBorders>
              <w:top w:val="nil"/>
              <w:left w:val="nil"/>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219</w:t>
            </w:r>
          </w:p>
        </w:tc>
        <w:tc>
          <w:tcPr>
            <w:tcW w:w="1170" w:type="dxa"/>
            <w:tcBorders>
              <w:top w:val="nil"/>
              <w:left w:val="nil"/>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 xml:space="preserve">     2,673 </w:t>
            </w:r>
          </w:p>
        </w:tc>
        <w:tc>
          <w:tcPr>
            <w:tcW w:w="3420" w:type="dxa"/>
            <w:tcBorders>
              <w:top w:val="nil"/>
              <w:left w:val="nil"/>
              <w:bottom w:val="single" w:sz="4" w:space="0" w:color="auto"/>
              <w:right w:val="single" w:sz="8"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Feb 2021</w:t>
            </w:r>
          </w:p>
        </w:tc>
      </w:tr>
      <w:tr w:rsidR="005C75D5" w:rsidTr="005C75D5">
        <w:trPr>
          <w:trHeight w:val="320"/>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Mar 2021</w:t>
            </w:r>
          </w:p>
        </w:tc>
        <w:tc>
          <w:tcPr>
            <w:tcW w:w="2340" w:type="dxa"/>
            <w:tcBorders>
              <w:top w:val="nil"/>
              <w:left w:val="nil"/>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227</w:t>
            </w:r>
          </w:p>
        </w:tc>
        <w:tc>
          <w:tcPr>
            <w:tcW w:w="1170" w:type="dxa"/>
            <w:tcBorders>
              <w:top w:val="nil"/>
              <w:left w:val="nil"/>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 xml:space="preserve">     2,454 </w:t>
            </w:r>
          </w:p>
        </w:tc>
        <w:tc>
          <w:tcPr>
            <w:tcW w:w="3420" w:type="dxa"/>
            <w:tcBorders>
              <w:top w:val="nil"/>
              <w:left w:val="nil"/>
              <w:bottom w:val="single" w:sz="4" w:space="0" w:color="auto"/>
              <w:right w:val="single" w:sz="8"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Mar 2021</w:t>
            </w:r>
          </w:p>
        </w:tc>
      </w:tr>
      <w:tr w:rsidR="005C75D5" w:rsidTr="005C75D5">
        <w:trPr>
          <w:trHeight w:val="320"/>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Apr 2021</w:t>
            </w:r>
          </w:p>
        </w:tc>
        <w:tc>
          <w:tcPr>
            <w:tcW w:w="2340" w:type="dxa"/>
            <w:tcBorders>
              <w:top w:val="nil"/>
              <w:left w:val="nil"/>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214</w:t>
            </w:r>
          </w:p>
        </w:tc>
        <w:tc>
          <w:tcPr>
            <w:tcW w:w="1170" w:type="dxa"/>
            <w:tcBorders>
              <w:top w:val="nil"/>
              <w:left w:val="nil"/>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 xml:space="preserve">     2,313 </w:t>
            </w:r>
          </w:p>
        </w:tc>
        <w:tc>
          <w:tcPr>
            <w:tcW w:w="3420" w:type="dxa"/>
            <w:tcBorders>
              <w:top w:val="nil"/>
              <w:left w:val="nil"/>
              <w:bottom w:val="single" w:sz="4" w:space="0" w:color="auto"/>
              <w:right w:val="single" w:sz="8"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April 2021</w:t>
            </w:r>
          </w:p>
        </w:tc>
      </w:tr>
      <w:tr w:rsidR="005C75D5" w:rsidTr="005C75D5">
        <w:trPr>
          <w:trHeight w:val="320"/>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May 2021</w:t>
            </w:r>
          </w:p>
        </w:tc>
        <w:tc>
          <w:tcPr>
            <w:tcW w:w="2340" w:type="dxa"/>
            <w:tcBorders>
              <w:top w:val="nil"/>
              <w:left w:val="nil"/>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200</w:t>
            </w:r>
          </w:p>
        </w:tc>
        <w:tc>
          <w:tcPr>
            <w:tcW w:w="1170" w:type="dxa"/>
            <w:tcBorders>
              <w:top w:val="nil"/>
              <w:left w:val="nil"/>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 xml:space="preserve">     2,119 </w:t>
            </w:r>
          </w:p>
        </w:tc>
        <w:tc>
          <w:tcPr>
            <w:tcW w:w="3420" w:type="dxa"/>
            <w:tcBorders>
              <w:top w:val="nil"/>
              <w:left w:val="nil"/>
              <w:bottom w:val="single" w:sz="4" w:space="0" w:color="auto"/>
              <w:right w:val="single" w:sz="8"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May 2021</w:t>
            </w:r>
          </w:p>
        </w:tc>
      </w:tr>
      <w:tr w:rsidR="005C75D5" w:rsidTr="005C75D5">
        <w:trPr>
          <w:trHeight w:val="320"/>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June 2021</w:t>
            </w:r>
          </w:p>
        </w:tc>
        <w:tc>
          <w:tcPr>
            <w:tcW w:w="2340" w:type="dxa"/>
            <w:tcBorders>
              <w:top w:val="nil"/>
              <w:left w:val="nil"/>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206</w:t>
            </w:r>
          </w:p>
        </w:tc>
        <w:tc>
          <w:tcPr>
            <w:tcW w:w="1170" w:type="dxa"/>
            <w:tcBorders>
              <w:top w:val="nil"/>
              <w:left w:val="nil"/>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 xml:space="preserve">     1,918 </w:t>
            </w:r>
          </w:p>
        </w:tc>
        <w:tc>
          <w:tcPr>
            <w:tcW w:w="3420" w:type="dxa"/>
            <w:tcBorders>
              <w:top w:val="nil"/>
              <w:left w:val="nil"/>
              <w:bottom w:val="single" w:sz="4" w:space="0" w:color="auto"/>
              <w:right w:val="single" w:sz="8"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June 2021</w:t>
            </w:r>
          </w:p>
        </w:tc>
      </w:tr>
      <w:tr w:rsidR="005C75D5" w:rsidTr="005C75D5">
        <w:trPr>
          <w:trHeight w:val="320"/>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July 2021</w:t>
            </w:r>
          </w:p>
        </w:tc>
        <w:tc>
          <w:tcPr>
            <w:tcW w:w="2340" w:type="dxa"/>
            <w:tcBorders>
              <w:top w:val="nil"/>
              <w:left w:val="nil"/>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201</w:t>
            </w:r>
          </w:p>
        </w:tc>
        <w:tc>
          <w:tcPr>
            <w:tcW w:w="1170" w:type="dxa"/>
            <w:tcBorders>
              <w:top w:val="nil"/>
              <w:left w:val="nil"/>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 xml:space="preserve">     2,718 </w:t>
            </w:r>
          </w:p>
        </w:tc>
        <w:tc>
          <w:tcPr>
            <w:tcW w:w="3420" w:type="dxa"/>
            <w:tcBorders>
              <w:top w:val="nil"/>
              <w:left w:val="nil"/>
              <w:bottom w:val="single" w:sz="4" w:space="0" w:color="auto"/>
              <w:right w:val="single" w:sz="8"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July 2021</w:t>
            </w:r>
          </w:p>
        </w:tc>
      </w:tr>
      <w:tr w:rsidR="005C75D5" w:rsidTr="005C75D5">
        <w:trPr>
          <w:trHeight w:val="320"/>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Aug 2021</w:t>
            </w:r>
          </w:p>
        </w:tc>
        <w:tc>
          <w:tcPr>
            <w:tcW w:w="2340" w:type="dxa"/>
            <w:tcBorders>
              <w:top w:val="nil"/>
              <w:left w:val="nil"/>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220</w:t>
            </w:r>
          </w:p>
        </w:tc>
        <w:tc>
          <w:tcPr>
            <w:tcW w:w="1170" w:type="dxa"/>
            <w:tcBorders>
              <w:top w:val="nil"/>
              <w:left w:val="nil"/>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 xml:space="preserve">     2,517 </w:t>
            </w:r>
          </w:p>
        </w:tc>
        <w:tc>
          <w:tcPr>
            <w:tcW w:w="3420" w:type="dxa"/>
            <w:tcBorders>
              <w:top w:val="nil"/>
              <w:left w:val="nil"/>
              <w:bottom w:val="single" w:sz="4" w:space="0" w:color="auto"/>
              <w:right w:val="single" w:sz="8"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Aug 2021</w:t>
            </w:r>
          </w:p>
        </w:tc>
      </w:tr>
      <w:tr w:rsidR="005C75D5" w:rsidTr="005C75D5">
        <w:trPr>
          <w:trHeight w:val="320"/>
        </w:trPr>
        <w:tc>
          <w:tcPr>
            <w:tcW w:w="1620" w:type="dxa"/>
            <w:tcBorders>
              <w:top w:val="nil"/>
              <w:left w:val="single" w:sz="8" w:space="0" w:color="auto"/>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Sept 2021</w:t>
            </w:r>
          </w:p>
        </w:tc>
        <w:tc>
          <w:tcPr>
            <w:tcW w:w="2340" w:type="dxa"/>
            <w:tcBorders>
              <w:top w:val="nil"/>
              <w:left w:val="nil"/>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214</w:t>
            </w:r>
          </w:p>
        </w:tc>
        <w:tc>
          <w:tcPr>
            <w:tcW w:w="1170" w:type="dxa"/>
            <w:tcBorders>
              <w:top w:val="nil"/>
              <w:left w:val="nil"/>
              <w:bottom w:val="single" w:sz="4"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 xml:space="preserve">     2,927 </w:t>
            </w:r>
          </w:p>
        </w:tc>
        <w:tc>
          <w:tcPr>
            <w:tcW w:w="3420" w:type="dxa"/>
            <w:tcBorders>
              <w:top w:val="nil"/>
              <w:left w:val="nil"/>
              <w:bottom w:val="single" w:sz="4" w:space="0" w:color="auto"/>
              <w:right w:val="single" w:sz="8"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Sept 2021</w:t>
            </w:r>
          </w:p>
        </w:tc>
      </w:tr>
      <w:tr w:rsidR="005C75D5" w:rsidTr="005C75D5">
        <w:trPr>
          <w:trHeight w:val="340"/>
        </w:trPr>
        <w:tc>
          <w:tcPr>
            <w:tcW w:w="1620" w:type="dxa"/>
            <w:tcBorders>
              <w:top w:val="nil"/>
              <w:left w:val="single" w:sz="8" w:space="0" w:color="auto"/>
              <w:bottom w:val="single" w:sz="8"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9</w:t>
            </w:r>
            <w:r w:rsidR="002E47AA">
              <w:rPr>
                <w:rFonts w:ascii="Calibri" w:hAnsi="Calibri" w:cs="Calibri"/>
                <w:color w:val="000000"/>
              </w:rPr>
              <w:t>-</w:t>
            </w:r>
            <w:r>
              <w:rPr>
                <w:rFonts w:ascii="Calibri" w:hAnsi="Calibri" w:cs="Calibri"/>
                <w:color w:val="000000"/>
              </w:rPr>
              <w:t>Month Total</w:t>
            </w:r>
          </w:p>
        </w:tc>
        <w:tc>
          <w:tcPr>
            <w:tcW w:w="2340" w:type="dxa"/>
            <w:tcBorders>
              <w:top w:val="nil"/>
              <w:left w:val="nil"/>
              <w:bottom w:val="single" w:sz="8"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 xml:space="preserve"> 1,916 </w:t>
            </w:r>
          </w:p>
        </w:tc>
        <w:tc>
          <w:tcPr>
            <w:tcW w:w="1170" w:type="dxa"/>
            <w:tcBorders>
              <w:top w:val="nil"/>
              <w:left w:val="nil"/>
              <w:bottom w:val="single" w:sz="8" w:space="0" w:color="auto"/>
              <w:right w:val="single" w:sz="4"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 xml:space="preserve">     2,661 </w:t>
            </w:r>
          </w:p>
        </w:tc>
        <w:tc>
          <w:tcPr>
            <w:tcW w:w="3420" w:type="dxa"/>
            <w:tcBorders>
              <w:top w:val="nil"/>
              <w:left w:val="nil"/>
              <w:bottom w:val="single" w:sz="8" w:space="0" w:color="auto"/>
              <w:right w:val="single" w:sz="8" w:space="0" w:color="auto"/>
            </w:tcBorders>
            <w:shd w:val="clear" w:color="auto" w:fill="auto"/>
            <w:noWrap/>
            <w:vAlign w:val="bottom"/>
            <w:hideMark/>
          </w:tcPr>
          <w:p w:rsidR="005C75D5" w:rsidRDefault="005C75D5">
            <w:pPr>
              <w:jc w:val="center"/>
              <w:rPr>
                <w:rFonts w:ascii="Calibri" w:hAnsi="Calibri" w:cs="Calibri"/>
                <w:color w:val="000000"/>
              </w:rPr>
            </w:pPr>
            <w:r>
              <w:rPr>
                <w:rFonts w:ascii="Calibri" w:hAnsi="Calibri" w:cs="Calibri"/>
                <w:color w:val="000000"/>
              </w:rPr>
              <w:t>Oct 2021</w:t>
            </w:r>
          </w:p>
        </w:tc>
      </w:tr>
    </w:tbl>
    <w:p w:rsidR="00257D17" w:rsidRDefault="00257D17" w:rsidP="00A821D8">
      <w:pPr>
        <w:spacing w:line="480" w:lineRule="auto"/>
        <w:jc w:val="center"/>
        <w:rPr>
          <w:rFonts w:ascii="Garamond" w:hAnsi="Garamond"/>
        </w:rPr>
      </w:pPr>
    </w:p>
    <w:p w:rsidR="00257D17" w:rsidRDefault="005C75D5" w:rsidP="00195D5A">
      <w:pPr>
        <w:spacing w:line="480" w:lineRule="auto"/>
        <w:jc w:val="both"/>
        <w:rPr>
          <w:rFonts w:ascii="Garamond" w:hAnsi="Garamond"/>
          <w:b/>
          <w:bCs/>
        </w:rPr>
      </w:pPr>
      <w:r>
        <w:rPr>
          <w:rFonts w:ascii="Garamond" w:hAnsi="Garamond"/>
          <w:b/>
          <w:bCs/>
        </w:rPr>
        <w:t>Q:</w:t>
      </w:r>
      <w:r>
        <w:rPr>
          <w:rFonts w:ascii="Garamond" w:hAnsi="Garamond"/>
          <w:b/>
          <w:bCs/>
        </w:rPr>
        <w:tab/>
        <w:t>AND WHAT CAN WE CONCLUDE FROM TABLE TC-3?</w:t>
      </w:r>
    </w:p>
    <w:p w:rsidR="005C75D5" w:rsidRDefault="005C75D5" w:rsidP="00195D5A">
      <w:pPr>
        <w:spacing w:line="480" w:lineRule="auto"/>
        <w:jc w:val="both"/>
        <w:rPr>
          <w:rFonts w:ascii="Garamond" w:hAnsi="Garamond"/>
        </w:rPr>
      </w:pPr>
      <w:r>
        <w:rPr>
          <w:rFonts w:ascii="Garamond" w:hAnsi="Garamond"/>
        </w:rPr>
        <w:t>A:</w:t>
      </w:r>
      <w:r>
        <w:rPr>
          <w:rFonts w:ascii="Garamond" w:hAnsi="Garamond"/>
        </w:rPr>
        <w:tab/>
        <w:t>As can be seen from the table, over a period of roughly 9 months there were actual</w:t>
      </w:r>
    </w:p>
    <w:p w:rsidR="00CF2D2E" w:rsidRDefault="005C75D5" w:rsidP="00195D5A">
      <w:pPr>
        <w:spacing w:line="480" w:lineRule="auto"/>
        <w:jc w:val="both"/>
        <w:rPr>
          <w:rFonts w:ascii="Garamond" w:hAnsi="Garamond"/>
        </w:rPr>
      </w:pPr>
      <w:r>
        <w:rPr>
          <w:rFonts w:ascii="Garamond" w:hAnsi="Garamond"/>
        </w:rPr>
        <w:tab/>
        <w:t>expenditures of $ 1.91</w:t>
      </w:r>
      <w:r w:rsidR="004C1736">
        <w:rPr>
          <w:rFonts w:ascii="Garamond" w:hAnsi="Garamond"/>
        </w:rPr>
        <w:t>6</w:t>
      </w:r>
      <w:r>
        <w:rPr>
          <w:rFonts w:ascii="Garamond" w:hAnsi="Garamond"/>
        </w:rPr>
        <w:t xml:space="preserve"> B</w:t>
      </w:r>
      <w:r w:rsidR="00A35A41">
        <w:rPr>
          <w:rFonts w:ascii="Garamond" w:hAnsi="Garamond"/>
        </w:rPr>
        <w:t xml:space="preserve">. </w:t>
      </w:r>
      <w:r>
        <w:rPr>
          <w:rFonts w:ascii="Garamond" w:hAnsi="Garamond"/>
        </w:rPr>
        <w:t xml:space="preserve"> </w:t>
      </w:r>
      <w:r w:rsidR="00A35A41">
        <w:rPr>
          <w:rFonts w:ascii="Garamond" w:hAnsi="Garamond"/>
        </w:rPr>
        <w:t>A</w:t>
      </w:r>
      <w:r>
        <w:rPr>
          <w:rFonts w:ascii="Garamond" w:hAnsi="Garamond"/>
        </w:rPr>
        <w:t>t the beginning of this 9-month period the ETC was $ 2.503 B</w:t>
      </w:r>
      <w:r w:rsidR="006149D3">
        <w:rPr>
          <w:rFonts w:ascii="Garamond" w:hAnsi="Garamond"/>
        </w:rPr>
        <w:t>;</w:t>
      </w:r>
      <w:r>
        <w:rPr>
          <w:rFonts w:ascii="Garamond" w:hAnsi="Garamond"/>
        </w:rPr>
        <w:t xml:space="preserve"> </w:t>
      </w:r>
      <w:r w:rsidR="00CF2D2E">
        <w:rPr>
          <w:rFonts w:ascii="Garamond" w:hAnsi="Garamond"/>
        </w:rPr>
        <w:tab/>
      </w:r>
      <w:r>
        <w:rPr>
          <w:rFonts w:ascii="Garamond" w:hAnsi="Garamond"/>
        </w:rPr>
        <w:t>yet at the end of this 9</w:t>
      </w:r>
      <w:r w:rsidR="00CF2D2E">
        <w:rPr>
          <w:rFonts w:ascii="Garamond" w:hAnsi="Garamond"/>
        </w:rPr>
        <w:t>-</w:t>
      </w:r>
      <w:r>
        <w:rPr>
          <w:rFonts w:ascii="Garamond" w:hAnsi="Garamond"/>
        </w:rPr>
        <w:t xml:space="preserve">month period the ETC (despite having </w:t>
      </w:r>
      <w:r w:rsidR="00A35A41">
        <w:rPr>
          <w:rFonts w:ascii="Garamond" w:hAnsi="Garamond"/>
        </w:rPr>
        <w:t>expended</w:t>
      </w:r>
      <w:r>
        <w:rPr>
          <w:rFonts w:ascii="Garamond" w:hAnsi="Garamond"/>
        </w:rPr>
        <w:t xml:space="preserve"> a $ 1.91</w:t>
      </w:r>
      <w:r w:rsidR="004C1736">
        <w:rPr>
          <w:rFonts w:ascii="Garamond" w:hAnsi="Garamond"/>
        </w:rPr>
        <w:t>6</w:t>
      </w:r>
      <w:r>
        <w:rPr>
          <w:rFonts w:ascii="Garamond" w:hAnsi="Garamond"/>
        </w:rPr>
        <w:t xml:space="preserve"> B) </w:t>
      </w:r>
    </w:p>
    <w:p w:rsidR="005C75D5" w:rsidRDefault="00CF2D2E" w:rsidP="00195D5A">
      <w:pPr>
        <w:spacing w:line="480" w:lineRule="auto"/>
        <w:jc w:val="both"/>
        <w:rPr>
          <w:rFonts w:ascii="Garamond" w:hAnsi="Garamond"/>
        </w:rPr>
      </w:pPr>
      <w:r>
        <w:rPr>
          <w:rFonts w:ascii="Garamond" w:hAnsi="Garamond"/>
        </w:rPr>
        <w:tab/>
      </w:r>
      <w:r w:rsidR="00A35A41">
        <w:rPr>
          <w:rFonts w:ascii="Garamond" w:hAnsi="Garamond"/>
        </w:rPr>
        <w:t>ha</w:t>
      </w:r>
      <w:r w:rsidR="00A132BA">
        <w:rPr>
          <w:rFonts w:ascii="Garamond" w:hAnsi="Garamond"/>
        </w:rPr>
        <w:t>d</w:t>
      </w:r>
      <w:r w:rsidR="00A35A41">
        <w:rPr>
          <w:rFonts w:ascii="Garamond" w:hAnsi="Garamond"/>
        </w:rPr>
        <w:t xml:space="preserve"> </w:t>
      </w:r>
      <w:r w:rsidR="005C75D5">
        <w:rPr>
          <w:rFonts w:ascii="Garamond" w:hAnsi="Garamond"/>
        </w:rPr>
        <w:t xml:space="preserve">increased to $ 2.661 B.  </w:t>
      </w:r>
      <w:r>
        <w:rPr>
          <w:rFonts w:ascii="Garamond" w:hAnsi="Garamond"/>
        </w:rPr>
        <w:t xml:space="preserve"> </w:t>
      </w:r>
    </w:p>
    <w:p w:rsidR="00FB0DDB" w:rsidRDefault="00FB0DDB" w:rsidP="00195D5A">
      <w:pPr>
        <w:spacing w:line="480" w:lineRule="auto"/>
        <w:jc w:val="both"/>
        <w:rPr>
          <w:rFonts w:ascii="Garamond" w:hAnsi="Garamond"/>
          <w:b/>
          <w:bCs/>
        </w:rPr>
      </w:pPr>
      <w:r>
        <w:rPr>
          <w:rFonts w:ascii="Garamond" w:hAnsi="Garamond"/>
          <w:b/>
          <w:bCs/>
        </w:rPr>
        <w:t>Q:</w:t>
      </w:r>
      <w:r>
        <w:rPr>
          <w:rFonts w:ascii="Garamond" w:hAnsi="Garamond"/>
          <w:b/>
          <w:bCs/>
        </w:rPr>
        <w:tab/>
        <w:t xml:space="preserve">DOES THIS REVISED ETC OF $ 2.661 B, WHEN ADDED TO THE ACTUAL </w:t>
      </w:r>
    </w:p>
    <w:p w:rsidR="00FB0DDB" w:rsidRDefault="00FB0DDB" w:rsidP="00195D5A">
      <w:pPr>
        <w:spacing w:line="480" w:lineRule="auto"/>
        <w:jc w:val="both"/>
        <w:rPr>
          <w:rFonts w:ascii="Garamond" w:hAnsi="Garamond"/>
          <w:b/>
          <w:bCs/>
        </w:rPr>
      </w:pPr>
      <w:r>
        <w:rPr>
          <w:rFonts w:ascii="Garamond" w:hAnsi="Garamond"/>
          <w:b/>
          <w:bCs/>
        </w:rPr>
        <w:lastRenderedPageBreak/>
        <w:tab/>
        <w:t xml:space="preserve">EXPENSES INCURRED UP THROUGH SEPTEMBER 2021, MATCH THE </w:t>
      </w:r>
    </w:p>
    <w:p w:rsidR="00FB0DDB" w:rsidRDefault="00FB0DDB" w:rsidP="00195D5A">
      <w:pPr>
        <w:spacing w:line="480" w:lineRule="auto"/>
        <w:jc w:val="both"/>
        <w:rPr>
          <w:rFonts w:ascii="Garamond" w:hAnsi="Garamond"/>
          <w:b/>
          <w:bCs/>
        </w:rPr>
      </w:pPr>
      <w:r>
        <w:rPr>
          <w:rFonts w:ascii="Garamond" w:hAnsi="Garamond"/>
          <w:b/>
          <w:bCs/>
        </w:rPr>
        <w:tab/>
        <w:t xml:space="preserve">REVISED </w:t>
      </w:r>
      <w:r w:rsidR="00A132BA">
        <w:rPr>
          <w:rFonts w:ascii="Garamond" w:hAnsi="Garamond"/>
          <w:b/>
          <w:bCs/>
        </w:rPr>
        <w:t xml:space="preserve">COMPANY </w:t>
      </w:r>
      <w:r>
        <w:rPr>
          <w:rFonts w:ascii="Garamond" w:hAnsi="Garamond"/>
          <w:b/>
          <w:bCs/>
        </w:rPr>
        <w:t xml:space="preserve">TPC EAC OF $ 19.5 B, AND IF </w:t>
      </w:r>
      <w:r w:rsidR="00CA291F">
        <w:rPr>
          <w:rFonts w:ascii="Garamond" w:hAnsi="Garamond"/>
          <w:b/>
          <w:bCs/>
        </w:rPr>
        <w:t>SO,</w:t>
      </w:r>
      <w:r>
        <w:rPr>
          <w:rFonts w:ascii="Garamond" w:hAnsi="Garamond"/>
          <w:b/>
          <w:bCs/>
        </w:rPr>
        <w:t xml:space="preserve"> WHAT DOES THAT, </w:t>
      </w:r>
      <w:r w:rsidR="00A132BA">
        <w:rPr>
          <w:rFonts w:ascii="Garamond" w:hAnsi="Garamond"/>
          <w:b/>
          <w:bCs/>
        </w:rPr>
        <w:tab/>
      </w:r>
      <w:r>
        <w:rPr>
          <w:rFonts w:ascii="Garamond" w:hAnsi="Garamond"/>
          <w:b/>
          <w:bCs/>
        </w:rPr>
        <w:t>TOGETHER WITH THE DATA OF TABLE TC-3</w:t>
      </w:r>
      <w:r w:rsidR="00654FE4">
        <w:rPr>
          <w:rFonts w:ascii="Garamond" w:hAnsi="Garamond"/>
          <w:b/>
          <w:bCs/>
        </w:rPr>
        <w:t>,</w:t>
      </w:r>
      <w:r>
        <w:rPr>
          <w:rFonts w:ascii="Garamond" w:hAnsi="Garamond"/>
          <w:b/>
          <w:bCs/>
        </w:rPr>
        <w:t xml:space="preserve"> INDICATE?</w:t>
      </w:r>
    </w:p>
    <w:p w:rsidR="00FB0DDB" w:rsidRDefault="00FB0DDB" w:rsidP="00195D5A">
      <w:pPr>
        <w:spacing w:line="480" w:lineRule="auto"/>
        <w:jc w:val="both"/>
        <w:rPr>
          <w:rFonts w:ascii="Garamond" w:hAnsi="Garamond"/>
        </w:rPr>
      </w:pPr>
      <w:r>
        <w:rPr>
          <w:rFonts w:ascii="Garamond" w:hAnsi="Garamond"/>
        </w:rPr>
        <w:t>A:</w:t>
      </w:r>
      <w:r>
        <w:rPr>
          <w:rFonts w:ascii="Garamond" w:hAnsi="Garamond"/>
        </w:rPr>
        <w:tab/>
        <w:t>The latest ETC of $ 2.66</w:t>
      </w:r>
      <w:r w:rsidR="004C1736">
        <w:rPr>
          <w:rFonts w:ascii="Garamond" w:hAnsi="Garamond"/>
        </w:rPr>
        <w:t>1</w:t>
      </w:r>
      <w:r>
        <w:rPr>
          <w:rFonts w:ascii="Garamond" w:hAnsi="Garamond"/>
        </w:rPr>
        <w:t xml:space="preserve"> B (Starting with October 2021 and going through U-4 COD) when </w:t>
      </w:r>
    </w:p>
    <w:p w:rsidR="00C133AB" w:rsidRDefault="00FB0DDB" w:rsidP="00195D5A">
      <w:pPr>
        <w:spacing w:line="480" w:lineRule="auto"/>
        <w:jc w:val="both"/>
        <w:rPr>
          <w:rFonts w:ascii="Garamond" w:hAnsi="Garamond"/>
        </w:rPr>
      </w:pPr>
      <w:r>
        <w:rPr>
          <w:rFonts w:ascii="Garamond" w:hAnsi="Garamond"/>
        </w:rPr>
        <w:tab/>
        <w:t xml:space="preserve">added to the costs prior to October 2021 of $ 16.848 B, does equal the </w:t>
      </w:r>
      <w:r w:rsidR="00A35A41">
        <w:rPr>
          <w:rFonts w:ascii="Garamond" w:hAnsi="Garamond"/>
        </w:rPr>
        <w:t>C</w:t>
      </w:r>
      <w:r w:rsidR="00C133AB">
        <w:rPr>
          <w:rFonts w:ascii="Garamond" w:hAnsi="Garamond"/>
        </w:rPr>
        <w:t xml:space="preserve">ompany’s </w:t>
      </w:r>
      <w:r>
        <w:rPr>
          <w:rFonts w:ascii="Garamond" w:hAnsi="Garamond"/>
        </w:rPr>
        <w:t xml:space="preserve">revised </w:t>
      </w:r>
    </w:p>
    <w:p w:rsidR="00280EB0" w:rsidRPr="00E50238" w:rsidRDefault="00C133AB" w:rsidP="00C35E49">
      <w:pPr>
        <w:spacing w:line="480" w:lineRule="auto"/>
        <w:jc w:val="both"/>
        <w:rPr>
          <w:rFonts w:ascii="Garamond" w:hAnsi="Garamond"/>
        </w:rPr>
      </w:pPr>
      <w:r>
        <w:rPr>
          <w:rFonts w:ascii="Garamond" w:hAnsi="Garamond"/>
        </w:rPr>
        <w:tab/>
      </w:r>
      <w:r w:rsidR="00FB0DDB">
        <w:rPr>
          <w:rFonts w:ascii="Garamond" w:hAnsi="Garamond"/>
        </w:rPr>
        <w:t xml:space="preserve">TPC EAC of $ 19.5 B.  When viewing </w:t>
      </w:r>
      <w:r w:rsidR="00CA291F">
        <w:rPr>
          <w:rFonts w:ascii="Garamond" w:hAnsi="Garamond"/>
        </w:rPr>
        <w:t xml:space="preserve">the monthly ETC data of </w:t>
      </w:r>
      <w:r w:rsidR="00FB0DDB">
        <w:rPr>
          <w:rFonts w:ascii="Garamond" w:hAnsi="Garamond"/>
        </w:rPr>
        <w:t xml:space="preserve">Table TC-3 </w:t>
      </w:r>
      <w:r w:rsidR="00CA291F">
        <w:rPr>
          <w:rFonts w:ascii="Garamond" w:hAnsi="Garamond"/>
        </w:rPr>
        <w:t xml:space="preserve">the monthly </w:t>
      </w:r>
      <w:r>
        <w:rPr>
          <w:rFonts w:ascii="Garamond" w:hAnsi="Garamond"/>
        </w:rPr>
        <w:tab/>
      </w:r>
      <w:r w:rsidR="00CA291F">
        <w:rPr>
          <w:rFonts w:ascii="Garamond" w:hAnsi="Garamond"/>
        </w:rPr>
        <w:t xml:space="preserve">minor changes of the ETC would appear to indicate that the amount of work being </w:t>
      </w:r>
      <w:r>
        <w:rPr>
          <w:rFonts w:ascii="Garamond" w:hAnsi="Garamond"/>
        </w:rPr>
        <w:tab/>
      </w:r>
      <w:r w:rsidR="00CA291F">
        <w:rPr>
          <w:rFonts w:ascii="Garamond" w:hAnsi="Garamond"/>
        </w:rPr>
        <w:t xml:space="preserve">accomplished was roughly equal to </w:t>
      </w:r>
      <w:r w:rsidR="009935E6">
        <w:rPr>
          <w:rFonts w:ascii="Garamond" w:hAnsi="Garamond"/>
        </w:rPr>
        <w:t xml:space="preserve">the sum of (a) </w:t>
      </w:r>
      <w:r w:rsidR="00CA291F">
        <w:rPr>
          <w:rFonts w:ascii="Garamond" w:hAnsi="Garamond"/>
        </w:rPr>
        <w:t>the amount of work being added</w:t>
      </w:r>
      <w:r w:rsidR="00E50238">
        <w:rPr>
          <w:rFonts w:ascii="Garamond" w:hAnsi="Garamond"/>
        </w:rPr>
        <w:t xml:space="preserve"> (e.g., to </w:t>
      </w:r>
      <w:r w:rsidR="009935E6">
        <w:rPr>
          <w:rFonts w:ascii="Garamond" w:hAnsi="Garamond"/>
        </w:rPr>
        <w:tab/>
      </w:r>
      <w:r w:rsidR="00E50238">
        <w:rPr>
          <w:rFonts w:ascii="Garamond" w:hAnsi="Garamond"/>
        </w:rPr>
        <w:t xml:space="preserve">address IEEE </w:t>
      </w:r>
      <w:r>
        <w:rPr>
          <w:rFonts w:ascii="Garamond" w:hAnsi="Garamond"/>
        </w:rPr>
        <w:tab/>
      </w:r>
      <w:r w:rsidR="00E50238">
        <w:rPr>
          <w:rFonts w:ascii="Garamond" w:hAnsi="Garamond"/>
        </w:rPr>
        <w:t xml:space="preserve">384 non-compliances, and other rework such as the Spent Fuel Pool/ Fuel </w:t>
      </w:r>
      <w:r w:rsidR="009935E6">
        <w:rPr>
          <w:rFonts w:ascii="Garamond" w:hAnsi="Garamond"/>
        </w:rPr>
        <w:tab/>
      </w:r>
      <w:r w:rsidR="00E50238">
        <w:rPr>
          <w:rFonts w:ascii="Garamond" w:hAnsi="Garamond"/>
        </w:rPr>
        <w:t>Transfer Canal)</w:t>
      </w:r>
      <w:r w:rsidR="009935E6">
        <w:rPr>
          <w:rFonts w:ascii="Garamond" w:hAnsi="Garamond"/>
        </w:rPr>
        <w:t xml:space="preserve">, and (b) construction inefficiencies (as measured by the </w:t>
      </w:r>
      <w:r w:rsidR="00E50238">
        <w:rPr>
          <w:rFonts w:ascii="Garamond" w:hAnsi="Garamond"/>
        </w:rPr>
        <w:t>CPI</w:t>
      </w:r>
      <w:r w:rsidR="009935E6">
        <w:rPr>
          <w:rFonts w:ascii="Garamond" w:hAnsi="Garamond"/>
        </w:rPr>
        <w:t>s)</w:t>
      </w:r>
      <w:r w:rsidR="00E50238">
        <w:rPr>
          <w:rFonts w:ascii="Garamond" w:hAnsi="Garamond"/>
        </w:rPr>
        <w:t xml:space="preserve"> for already </w:t>
      </w:r>
      <w:r w:rsidR="009935E6">
        <w:rPr>
          <w:rFonts w:ascii="Garamond" w:hAnsi="Garamond"/>
        </w:rPr>
        <w:tab/>
      </w:r>
      <w:r w:rsidR="00E50238">
        <w:rPr>
          <w:rFonts w:ascii="Garamond" w:hAnsi="Garamond"/>
        </w:rPr>
        <w:t xml:space="preserve">planned and executed work being less favorable than the CPIs used for budgeting purposes. </w:t>
      </w:r>
      <w:r w:rsidR="00CA291F">
        <w:rPr>
          <w:rFonts w:ascii="Garamond" w:hAnsi="Garamond"/>
        </w:rPr>
        <w:t xml:space="preserve">  </w:t>
      </w:r>
    </w:p>
    <w:p w:rsidR="00285EB8" w:rsidRDefault="00285EB8" w:rsidP="00FA2D6E">
      <w:pPr>
        <w:spacing w:line="480" w:lineRule="auto"/>
        <w:ind w:left="720" w:hanging="720"/>
        <w:rPr>
          <w:rFonts w:ascii="Garamond" w:hAnsi="Garamond"/>
          <w:b/>
          <w:bCs/>
        </w:rPr>
      </w:pPr>
      <w:r>
        <w:rPr>
          <w:rFonts w:ascii="Garamond" w:hAnsi="Garamond"/>
          <w:b/>
          <w:bCs/>
        </w:rPr>
        <w:t>Q:</w:t>
      </w:r>
      <w:r>
        <w:rPr>
          <w:rFonts w:ascii="Garamond" w:hAnsi="Garamond"/>
          <w:b/>
          <w:bCs/>
        </w:rPr>
        <w:tab/>
        <w:t>DOES VMG CONCUR THAT $ 19.5 B IS NOW A RELIABLE FORECAST OF THE TPC/ EAC?</w:t>
      </w:r>
    </w:p>
    <w:p w:rsidR="0021787A" w:rsidRDefault="00285EB8" w:rsidP="00195D5A">
      <w:pPr>
        <w:spacing w:line="480" w:lineRule="auto"/>
        <w:ind w:left="720" w:hanging="720"/>
        <w:jc w:val="both"/>
        <w:rPr>
          <w:rFonts w:ascii="Garamond" w:hAnsi="Garamond"/>
        </w:rPr>
      </w:pPr>
      <w:r>
        <w:rPr>
          <w:rFonts w:ascii="Garamond" w:hAnsi="Garamond"/>
        </w:rPr>
        <w:t>A:</w:t>
      </w:r>
      <w:r>
        <w:rPr>
          <w:rFonts w:ascii="Garamond" w:hAnsi="Garamond"/>
        </w:rPr>
        <w:tab/>
        <w:t>It is a more accurate representation of the TPC EAC</w:t>
      </w:r>
      <w:r w:rsidR="00C133AB">
        <w:rPr>
          <w:rFonts w:ascii="Garamond" w:hAnsi="Garamond"/>
        </w:rPr>
        <w:t xml:space="preserve">.  </w:t>
      </w:r>
      <w:r w:rsidR="00E45447">
        <w:rPr>
          <w:rFonts w:ascii="Garamond" w:hAnsi="Garamond"/>
        </w:rPr>
        <w:t>H</w:t>
      </w:r>
      <w:r>
        <w:rPr>
          <w:rFonts w:ascii="Garamond" w:hAnsi="Garamond"/>
        </w:rPr>
        <w:t xml:space="preserve">owever, it is contingent on meeting the </w:t>
      </w:r>
      <w:r w:rsidR="0021787A">
        <w:rPr>
          <w:rFonts w:ascii="Garamond" w:hAnsi="Garamond"/>
        </w:rPr>
        <w:t xml:space="preserve">U-3 and U-4 CODs of September 2022 and June 2023, </w:t>
      </w:r>
      <w:r w:rsidR="00A132BA">
        <w:rPr>
          <w:rFonts w:ascii="Garamond" w:hAnsi="Garamond"/>
        </w:rPr>
        <w:t xml:space="preserve">and </w:t>
      </w:r>
      <w:r w:rsidR="00CD79BF">
        <w:rPr>
          <w:rFonts w:ascii="Garamond" w:hAnsi="Garamond"/>
        </w:rPr>
        <w:t>without</w:t>
      </w:r>
      <w:r w:rsidR="0021787A">
        <w:rPr>
          <w:rFonts w:ascii="Garamond" w:hAnsi="Garamond"/>
        </w:rPr>
        <w:t xml:space="preserve"> additional significant risks.</w:t>
      </w:r>
      <w:r w:rsidR="00C86A28">
        <w:rPr>
          <w:rFonts w:ascii="Garamond" w:hAnsi="Garamond"/>
        </w:rPr>
        <w:t xml:space="preserve">  Also, although efforts have been made to incorporate all scope increases associated with correcting Construction Quality issues, it is not clear to VMG if </w:t>
      </w:r>
      <w:r w:rsidR="00FB1EC7">
        <w:rPr>
          <w:rFonts w:ascii="Garamond" w:hAnsi="Garamond"/>
        </w:rPr>
        <w:t>all</w:t>
      </w:r>
      <w:r w:rsidR="00C86A28">
        <w:rPr>
          <w:rFonts w:ascii="Garamond" w:hAnsi="Garamond"/>
        </w:rPr>
        <w:t xml:space="preserve"> these scope increases hav</w:t>
      </w:r>
      <w:r w:rsidR="002E47AA">
        <w:rPr>
          <w:rFonts w:ascii="Garamond" w:hAnsi="Garamond"/>
        </w:rPr>
        <w:t>e</w:t>
      </w:r>
      <w:r w:rsidR="00C86A28">
        <w:rPr>
          <w:rFonts w:ascii="Garamond" w:hAnsi="Garamond"/>
        </w:rPr>
        <w:t xml:space="preserve"> been incorporated.</w:t>
      </w:r>
    </w:p>
    <w:p w:rsidR="0021787A" w:rsidRDefault="0021787A" w:rsidP="00C35E49">
      <w:pPr>
        <w:spacing w:line="480" w:lineRule="auto"/>
        <w:ind w:left="720" w:hanging="720"/>
        <w:jc w:val="both"/>
        <w:rPr>
          <w:rFonts w:ascii="Garamond" w:hAnsi="Garamond"/>
          <w:b/>
          <w:bCs/>
        </w:rPr>
      </w:pPr>
      <w:r>
        <w:rPr>
          <w:rFonts w:ascii="Garamond" w:hAnsi="Garamond"/>
          <w:b/>
          <w:bCs/>
        </w:rPr>
        <w:t>Q:</w:t>
      </w:r>
      <w:r>
        <w:rPr>
          <w:rFonts w:ascii="Garamond" w:hAnsi="Garamond"/>
          <w:b/>
          <w:bCs/>
        </w:rPr>
        <w:tab/>
        <w:t xml:space="preserve">DOES THE </w:t>
      </w:r>
      <w:r w:rsidR="00A132BA">
        <w:rPr>
          <w:rFonts w:ascii="Garamond" w:hAnsi="Garamond"/>
          <w:b/>
          <w:bCs/>
        </w:rPr>
        <w:t xml:space="preserve">COMPANY </w:t>
      </w:r>
      <w:r>
        <w:rPr>
          <w:rFonts w:ascii="Garamond" w:hAnsi="Garamond"/>
          <w:b/>
          <w:bCs/>
        </w:rPr>
        <w:t xml:space="preserve">TPC EAC OF $ 19.5 B INCLUDE </w:t>
      </w:r>
      <w:r w:rsidR="00B125E8">
        <w:rPr>
          <w:rFonts w:ascii="Garamond" w:hAnsi="Garamond"/>
          <w:b/>
          <w:bCs/>
        </w:rPr>
        <w:t>SUFFICIENT</w:t>
      </w:r>
      <w:r>
        <w:rPr>
          <w:rFonts w:ascii="Garamond" w:hAnsi="Garamond"/>
          <w:b/>
          <w:bCs/>
        </w:rPr>
        <w:t xml:space="preserve"> COST CONTINGENC</w:t>
      </w:r>
      <w:r w:rsidR="00B125E8">
        <w:rPr>
          <w:rFonts w:ascii="Garamond" w:hAnsi="Garamond"/>
          <w:b/>
          <w:bCs/>
        </w:rPr>
        <w:t>IES</w:t>
      </w:r>
      <w:r>
        <w:rPr>
          <w:rFonts w:ascii="Garamond" w:hAnsi="Garamond"/>
          <w:b/>
          <w:bCs/>
        </w:rPr>
        <w:t xml:space="preserve"> TO COVER THE POTENTIAL EMERGENCE OF ADDITIONAL </w:t>
      </w:r>
      <w:r w:rsidR="00C86A28">
        <w:rPr>
          <w:rFonts w:ascii="Garamond" w:hAnsi="Garamond"/>
          <w:b/>
          <w:bCs/>
        </w:rPr>
        <w:t xml:space="preserve">COST </w:t>
      </w:r>
      <w:r>
        <w:rPr>
          <w:rFonts w:ascii="Garamond" w:hAnsi="Garamond"/>
          <w:b/>
          <w:bCs/>
        </w:rPr>
        <w:t>RISKS?</w:t>
      </w:r>
    </w:p>
    <w:p w:rsidR="00E45447" w:rsidRDefault="0021787A" w:rsidP="00C35E49">
      <w:pPr>
        <w:spacing w:line="480" w:lineRule="auto"/>
        <w:ind w:left="720" w:hanging="720"/>
        <w:jc w:val="both"/>
        <w:rPr>
          <w:rFonts w:ascii="Garamond" w:hAnsi="Garamond"/>
        </w:rPr>
      </w:pPr>
      <w:r>
        <w:rPr>
          <w:rFonts w:ascii="Garamond" w:hAnsi="Garamond"/>
        </w:rPr>
        <w:t>A:</w:t>
      </w:r>
      <w:r>
        <w:rPr>
          <w:rFonts w:ascii="Garamond" w:hAnsi="Garamond"/>
        </w:rPr>
        <w:tab/>
      </w:r>
      <w:r w:rsidR="00C86A28">
        <w:rPr>
          <w:rFonts w:ascii="Garamond" w:hAnsi="Garamond"/>
        </w:rPr>
        <w:t>VMG understands</w:t>
      </w:r>
      <w:r w:rsidR="002E47AA">
        <w:rPr>
          <w:rFonts w:ascii="Garamond" w:hAnsi="Garamond"/>
        </w:rPr>
        <w:t>,</w:t>
      </w:r>
      <w:r w:rsidR="00C86A28">
        <w:rPr>
          <w:rFonts w:ascii="Garamond" w:hAnsi="Garamond"/>
        </w:rPr>
        <w:t xml:space="preserve"> for the </w:t>
      </w:r>
      <w:r w:rsidR="00614F30">
        <w:rPr>
          <w:rFonts w:ascii="Garamond" w:hAnsi="Garamond"/>
        </w:rPr>
        <w:t>C</w:t>
      </w:r>
      <w:r w:rsidR="00C35E49">
        <w:rPr>
          <w:rFonts w:ascii="Garamond" w:hAnsi="Garamond"/>
        </w:rPr>
        <w:t xml:space="preserve">ompany </w:t>
      </w:r>
      <w:r w:rsidR="00C86A28">
        <w:rPr>
          <w:rFonts w:ascii="Garamond" w:hAnsi="Garamond"/>
        </w:rPr>
        <w:t>assumed CODs presented in Table TC-1</w:t>
      </w:r>
      <w:r w:rsidR="002E47AA">
        <w:rPr>
          <w:rFonts w:ascii="Garamond" w:hAnsi="Garamond"/>
        </w:rPr>
        <w:t>,</w:t>
      </w:r>
      <w:r w:rsidR="00C86A28">
        <w:rPr>
          <w:rFonts w:ascii="Garamond" w:hAnsi="Garamond"/>
        </w:rPr>
        <w:t xml:space="preserve"> that (a) there is no </w:t>
      </w:r>
      <w:r w:rsidR="00FB1EC7">
        <w:rPr>
          <w:rFonts w:ascii="Garamond" w:hAnsi="Garamond"/>
        </w:rPr>
        <w:t xml:space="preserve">added </w:t>
      </w:r>
      <w:r w:rsidR="00C86A28">
        <w:rPr>
          <w:rFonts w:ascii="Garamond" w:hAnsi="Garamond"/>
        </w:rPr>
        <w:t xml:space="preserve">schedule related cost contingency to account for further slips </w:t>
      </w:r>
      <w:r w:rsidR="00FB1EC7">
        <w:rPr>
          <w:rFonts w:ascii="Garamond" w:hAnsi="Garamond"/>
        </w:rPr>
        <w:t xml:space="preserve">beyond the assumed September 2022/ June 2023 CODs, </w:t>
      </w:r>
      <w:r w:rsidR="00C86A28">
        <w:rPr>
          <w:rFonts w:ascii="Garamond" w:hAnsi="Garamond"/>
        </w:rPr>
        <w:t xml:space="preserve">and (b) </w:t>
      </w:r>
      <w:r w:rsidR="00B125E8">
        <w:rPr>
          <w:rFonts w:ascii="Garamond" w:hAnsi="Garamond"/>
        </w:rPr>
        <w:t xml:space="preserve">there is a cost contingency of $ 300 M which is to </w:t>
      </w:r>
      <w:r w:rsidR="00B125E8">
        <w:rPr>
          <w:rFonts w:ascii="Garamond" w:hAnsi="Garamond"/>
        </w:rPr>
        <w:lastRenderedPageBreak/>
        <w:t xml:space="preserve">address potential </w:t>
      </w:r>
      <w:r w:rsidR="006149D3">
        <w:rPr>
          <w:rFonts w:ascii="Garamond" w:hAnsi="Garamond"/>
        </w:rPr>
        <w:t>higher than budgeted</w:t>
      </w:r>
      <w:r w:rsidR="00FB1EC7">
        <w:rPr>
          <w:rFonts w:ascii="Garamond" w:hAnsi="Garamond"/>
        </w:rPr>
        <w:t xml:space="preserve"> </w:t>
      </w:r>
      <w:r w:rsidR="00C86A28">
        <w:rPr>
          <w:rFonts w:ascii="Garamond" w:hAnsi="Garamond"/>
        </w:rPr>
        <w:t xml:space="preserve">construction </w:t>
      </w:r>
      <w:r w:rsidR="006149D3">
        <w:rPr>
          <w:rFonts w:ascii="Garamond" w:hAnsi="Garamond"/>
        </w:rPr>
        <w:t xml:space="preserve">CPIs </w:t>
      </w:r>
      <w:r w:rsidR="00FB1EC7">
        <w:rPr>
          <w:rFonts w:ascii="Garamond" w:hAnsi="Garamond"/>
        </w:rPr>
        <w:t xml:space="preserve">and related </w:t>
      </w:r>
      <w:r w:rsidR="006149D3">
        <w:rPr>
          <w:rFonts w:ascii="Garamond" w:hAnsi="Garamond"/>
        </w:rPr>
        <w:t xml:space="preserve">construction </w:t>
      </w:r>
      <w:r w:rsidR="00B125E8">
        <w:rPr>
          <w:rFonts w:ascii="Garamond" w:hAnsi="Garamond"/>
        </w:rPr>
        <w:t xml:space="preserve">support </w:t>
      </w:r>
      <w:r w:rsidR="00FB1EC7">
        <w:rPr>
          <w:rFonts w:ascii="Garamond" w:hAnsi="Garamond"/>
        </w:rPr>
        <w:t xml:space="preserve">activities (e.g., support required </w:t>
      </w:r>
      <w:r w:rsidR="00B125E8">
        <w:rPr>
          <w:rFonts w:ascii="Garamond" w:hAnsi="Garamond"/>
        </w:rPr>
        <w:t xml:space="preserve">for inspections and </w:t>
      </w:r>
      <w:r w:rsidR="00FB1EC7">
        <w:rPr>
          <w:rFonts w:ascii="Garamond" w:hAnsi="Garamond"/>
        </w:rPr>
        <w:t>close</w:t>
      </w:r>
      <w:r w:rsidR="00B125E8">
        <w:rPr>
          <w:rFonts w:ascii="Garamond" w:hAnsi="Garamond"/>
        </w:rPr>
        <w:t>-out</w:t>
      </w:r>
      <w:r w:rsidR="00FB1EC7">
        <w:rPr>
          <w:rFonts w:ascii="Garamond" w:hAnsi="Garamond"/>
        </w:rPr>
        <w:t xml:space="preserve"> and turnover </w:t>
      </w:r>
      <w:r w:rsidR="00B125E8">
        <w:rPr>
          <w:rFonts w:ascii="Garamond" w:hAnsi="Garamond"/>
        </w:rPr>
        <w:t xml:space="preserve">of </w:t>
      </w:r>
      <w:r w:rsidR="00FB1EC7">
        <w:rPr>
          <w:rFonts w:ascii="Garamond" w:hAnsi="Garamond"/>
        </w:rPr>
        <w:t>Work Packages and Syst</w:t>
      </w:r>
      <w:r w:rsidR="00B125E8">
        <w:rPr>
          <w:rFonts w:ascii="Garamond" w:hAnsi="Garamond"/>
        </w:rPr>
        <w:t>ems).  In summary, VMG believes either the CODs used as the basis of the cost estimate need to be established at later dates, or better yet a range of CODs and associated TPC EACs should be developed.  With respect to the adequacy of the $ 300 M contingency</w:t>
      </w:r>
      <w:r w:rsidR="00555179">
        <w:rPr>
          <w:rFonts w:ascii="Garamond" w:hAnsi="Garamond"/>
        </w:rPr>
        <w:t xml:space="preserve"> </w:t>
      </w:r>
      <w:r w:rsidR="00555179" w:rsidRPr="00153BEC">
        <w:rPr>
          <w:rFonts w:ascii="Garamond" w:hAnsi="Garamond"/>
          <w:u w:val="single"/>
        </w:rPr>
        <w:t>to cover cost risks other than schedule delay induced costs</w:t>
      </w:r>
      <w:r w:rsidR="00555179">
        <w:rPr>
          <w:rFonts w:ascii="Garamond" w:hAnsi="Garamond"/>
        </w:rPr>
        <w:t xml:space="preserve">, it is difficult to make a definitive </w:t>
      </w:r>
      <w:r w:rsidR="00FE0825">
        <w:rPr>
          <w:rFonts w:ascii="Garamond" w:hAnsi="Garamond"/>
        </w:rPr>
        <w:t>judgment,</w:t>
      </w:r>
      <w:r w:rsidR="00555179">
        <w:rPr>
          <w:rFonts w:ascii="Garamond" w:hAnsi="Garamond"/>
        </w:rPr>
        <w:t xml:space="preserve"> but </w:t>
      </w:r>
      <w:r w:rsidR="004B08B4">
        <w:rPr>
          <w:rFonts w:ascii="Garamond" w:hAnsi="Garamond"/>
        </w:rPr>
        <w:t xml:space="preserve">a somewhat qualitative opinion is that it may be adequate.  </w:t>
      </w:r>
    </w:p>
    <w:p w:rsidR="00FB1EC7" w:rsidRDefault="00E45447" w:rsidP="00C35E49">
      <w:pPr>
        <w:spacing w:line="480" w:lineRule="auto"/>
        <w:ind w:left="720" w:hanging="720"/>
        <w:jc w:val="both"/>
        <w:rPr>
          <w:rFonts w:ascii="Garamond" w:hAnsi="Garamond"/>
        </w:rPr>
      </w:pPr>
      <w:r>
        <w:rPr>
          <w:rFonts w:ascii="Garamond" w:hAnsi="Garamond"/>
        </w:rPr>
        <w:tab/>
      </w:r>
      <w:r w:rsidR="004B08B4">
        <w:rPr>
          <w:rFonts w:ascii="Garamond" w:hAnsi="Garamond"/>
        </w:rPr>
        <w:t>VMG’s observation is that t</w:t>
      </w:r>
      <w:r w:rsidR="00971C0F">
        <w:rPr>
          <w:rFonts w:ascii="Garamond" w:hAnsi="Garamond"/>
        </w:rPr>
        <w:t>he most significant cost driver</w:t>
      </w:r>
      <w:r w:rsidR="004B08B4">
        <w:rPr>
          <w:rFonts w:ascii="Garamond" w:hAnsi="Garamond"/>
        </w:rPr>
        <w:t>s</w:t>
      </w:r>
      <w:r w:rsidR="00971C0F">
        <w:rPr>
          <w:rFonts w:ascii="Garamond" w:hAnsi="Garamond"/>
        </w:rPr>
        <w:t xml:space="preserve"> beyond the company’s $ 19.5 B TPC EAC will continue to be cost increases due to further schedule delays</w:t>
      </w:r>
      <w:r>
        <w:rPr>
          <w:rFonts w:ascii="Garamond" w:hAnsi="Garamond"/>
        </w:rPr>
        <w:t xml:space="preserve">.  </w:t>
      </w:r>
      <w:r w:rsidR="006643DC">
        <w:rPr>
          <w:rFonts w:ascii="Garamond" w:hAnsi="Garamond"/>
        </w:rPr>
        <w:t>T</w:t>
      </w:r>
      <w:r>
        <w:rPr>
          <w:rFonts w:ascii="Garamond" w:hAnsi="Garamond"/>
        </w:rPr>
        <w:t xml:space="preserve">he most significant potential drivers of </w:t>
      </w:r>
      <w:r w:rsidR="00FE0825">
        <w:rPr>
          <w:rFonts w:ascii="Garamond" w:hAnsi="Garamond"/>
        </w:rPr>
        <w:t xml:space="preserve">further schedule induced cost increases </w:t>
      </w:r>
      <w:r>
        <w:rPr>
          <w:rFonts w:ascii="Garamond" w:hAnsi="Garamond"/>
        </w:rPr>
        <w:t>include the increased NRC over-sight of construction activities,</w:t>
      </w:r>
      <w:r>
        <w:rPr>
          <w:rStyle w:val="FootnoteReference"/>
          <w:rFonts w:ascii="Garamond" w:hAnsi="Garamond"/>
        </w:rPr>
        <w:footnoteReference w:id="10"/>
      </w:r>
      <w:r>
        <w:rPr>
          <w:rFonts w:ascii="Garamond" w:hAnsi="Garamond"/>
        </w:rPr>
        <w:t xml:space="preserve"> and long lead times associated with the potential need to replace equipment that has not yet been required to operate at 100% design rated conditions. </w:t>
      </w:r>
      <w:r w:rsidR="00971C0F">
        <w:rPr>
          <w:rFonts w:ascii="Garamond" w:hAnsi="Garamond"/>
        </w:rPr>
        <w:t xml:space="preserve"> </w:t>
      </w:r>
    </w:p>
    <w:p w:rsidR="00C86A28" w:rsidRDefault="00FB1EC7" w:rsidP="00FA2D6E">
      <w:pPr>
        <w:spacing w:line="480" w:lineRule="auto"/>
        <w:ind w:left="720" w:hanging="720"/>
        <w:rPr>
          <w:rFonts w:ascii="Garamond" w:hAnsi="Garamond"/>
          <w:b/>
          <w:bCs/>
        </w:rPr>
      </w:pPr>
      <w:r>
        <w:rPr>
          <w:rFonts w:ascii="Garamond" w:hAnsi="Garamond"/>
          <w:b/>
          <w:bCs/>
        </w:rPr>
        <w:t>Q:</w:t>
      </w:r>
      <w:r>
        <w:rPr>
          <w:rFonts w:ascii="Garamond" w:hAnsi="Garamond"/>
          <w:b/>
          <w:bCs/>
        </w:rPr>
        <w:tab/>
      </w:r>
      <w:r w:rsidR="000E1E92">
        <w:rPr>
          <w:rFonts w:ascii="Garamond" w:hAnsi="Garamond"/>
          <w:b/>
          <w:bCs/>
        </w:rPr>
        <w:t xml:space="preserve">USING THE COMPANY’S LATEST TPC EAC AS A STARTING POINT, </w:t>
      </w:r>
      <w:r w:rsidR="00B125E8">
        <w:rPr>
          <w:rFonts w:ascii="Garamond" w:hAnsi="Garamond"/>
          <w:b/>
          <w:bCs/>
        </w:rPr>
        <w:t xml:space="preserve">COULD YOU PLEASE PROVIDE A RANGE OF TPC EACS FOR WHAT VMG CONSIDERS TO BE A </w:t>
      </w:r>
      <w:r w:rsidR="0016507D">
        <w:rPr>
          <w:rFonts w:ascii="Garamond" w:hAnsi="Garamond"/>
          <w:b/>
          <w:bCs/>
        </w:rPr>
        <w:t>MORE</w:t>
      </w:r>
      <w:r w:rsidR="00B125E8">
        <w:rPr>
          <w:rFonts w:ascii="Garamond" w:hAnsi="Garamond"/>
          <w:b/>
          <w:bCs/>
        </w:rPr>
        <w:t xml:space="preserve"> PROBABLE RANGE OF U-3 AND U-4 CODS?</w:t>
      </w:r>
    </w:p>
    <w:p w:rsidR="00A132BA" w:rsidRDefault="00B125E8" w:rsidP="00FA2D6E">
      <w:pPr>
        <w:spacing w:line="480" w:lineRule="auto"/>
        <w:ind w:left="720" w:hanging="720"/>
        <w:rPr>
          <w:rFonts w:ascii="Garamond" w:hAnsi="Garamond"/>
        </w:rPr>
      </w:pPr>
      <w:r>
        <w:rPr>
          <w:rFonts w:ascii="Garamond" w:hAnsi="Garamond"/>
        </w:rPr>
        <w:t>A:</w:t>
      </w:r>
      <w:r>
        <w:rPr>
          <w:rFonts w:ascii="Garamond" w:hAnsi="Garamond"/>
        </w:rPr>
        <w:tab/>
      </w:r>
      <w:r w:rsidR="00173B41">
        <w:rPr>
          <w:rFonts w:ascii="Garamond" w:hAnsi="Garamond"/>
        </w:rPr>
        <w:t>This information, and how it was derived, are shown within Table TC-4.</w:t>
      </w:r>
    </w:p>
    <w:p w:rsidR="00B07273" w:rsidRDefault="00B07273" w:rsidP="00FA2D6E">
      <w:pPr>
        <w:spacing w:line="480" w:lineRule="auto"/>
        <w:ind w:left="720" w:hanging="720"/>
        <w:rPr>
          <w:rFonts w:ascii="Garamond" w:hAnsi="Garamond"/>
        </w:rPr>
      </w:pPr>
    </w:p>
    <w:p w:rsidR="00B07273" w:rsidRDefault="00B07273" w:rsidP="00FA2D6E">
      <w:pPr>
        <w:spacing w:line="480" w:lineRule="auto"/>
        <w:ind w:left="720" w:hanging="720"/>
        <w:rPr>
          <w:rFonts w:ascii="Garamond" w:hAnsi="Garamond"/>
        </w:rPr>
      </w:pPr>
    </w:p>
    <w:p w:rsidR="00B07273" w:rsidRDefault="00B07273" w:rsidP="00FA2D6E">
      <w:pPr>
        <w:spacing w:line="480" w:lineRule="auto"/>
        <w:ind w:left="720" w:hanging="720"/>
        <w:rPr>
          <w:rFonts w:ascii="Garamond" w:hAnsi="Garamond"/>
        </w:rPr>
      </w:pPr>
    </w:p>
    <w:p w:rsidR="00B07273" w:rsidRDefault="00B07273" w:rsidP="00FA2D6E">
      <w:pPr>
        <w:spacing w:line="480" w:lineRule="auto"/>
        <w:ind w:left="720" w:hanging="720"/>
        <w:rPr>
          <w:rFonts w:ascii="Garamond" w:hAnsi="Garamond"/>
        </w:rPr>
      </w:pPr>
    </w:p>
    <w:p w:rsidR="00B07273" w:rsidRDefault="00B07273" w:rsidP="00FA2D6E">
      <w:pPr>
        <w:spacing w:line="480" w:lineRule="auto"/>
        <w:ind w:left="720" w:hanging="720"/>
        <w:rPr>
          <w:rFonts w:ascii="Garamond" w:hAnsi="Garamond"/>
        </w:rPr>
      </w:pPr>
    </w:p>
    <w:tbl>
      <w:tblPr>
        <w:tblW w:w="9350" w:type="dxa"/>
        <w:tblInd w:w="118" w:type="dxa"/>
        <w:tblLook w:val="04A0" w:firstRow="1" w:lastRow="0" w:firstColumn="1" w:lastColumn="0" w:noHBand="0" w:noVBand="1"/>
      </w:tblPr>
      <w:tblGrid>
        <w:gridCol w:w="1139"/>
        <w:gridCol w:w="1232"/>
        <w:gridCol w:w="1306"/>
        <w:gridCol w:w="1083"/>
        <w:gridCol w:w="4590"/>
      </w:tblGrid>
      <w:tr w:rsidR="0016507D" w:rsidTr="0016507D">
        <w:trPr>
          <w:trHeight w:val="320"/>
        </w:trPr>
        <w:tc>
          <w:tcPr>
            <w:tcW w:w="9350"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16507D" w:rsidRDefault="0016507D">
            <w:pPr>
              <w:jc w:val="center"/>
              <w:rPr>
                <w:rFonts w:ascii="Calibri" w:hAnsi="Calibri" w:cs="Calibri"/>
                <w:b/>
                <w:bCs/>
                <w:color w:val="000000"/>
              </w:rPr>
            </w:pPr>
            <w:r>
              <w:rPr>
                <w:rFonts w:ascii="Calibri" w:hAnsi="Calibri" w:cs="Calibri"/>
                <w:b/>
                <w:bCs/>
                <w:color w:val="000000"/>
              </w:rPr>
              <w:t>Table TC-4: VMG'S Analysis of TPC EAC, Updating for "More Probable COD Schedule Range"</w:t>
            </w:r>
          </w:p>
        </w:tc>
      </w:tr>
      <w:tr w:rsidR="0016507D" w:rsidTr="00725681">
        <w:trPr>
          <w:trHeight w:val="320"/>
        </w:trPr>
        <w:tc>
          <w:tcPr>
            <w:tcW w:w="1139" w:type="dxa"/>
            <w:vMerge w:val="restart"/>
            <w:tcBorders>
              <w:top w:val="nil"/>
              <w:left w:val="single" w:sz="8" w:space="0" w:color="auto"/>
              <w:bottom w:val="single" w:sz="4" w:space="0" w:color="auto"/>
              <w:right w:val="single" w:sz="4" w:space="0" w:color="auto"/>
            </w:tcBorders>
            <w:shd w:val="clear" w:color="000000" w:fill="D9D9D9"/>
            <w:noWrap/>
            <w:vAlign w:val="bottom"/>
            <w:hideMark/>
          </w:tcPr>
          <w:p w:rsidR="0016507D" w:rsidRDefault="0016507D">
            <w:pPr>
              <w:jc w:val="center"/>
              <w:rPr>
                <w:rFonts w:ascii="Calibri" w:hAnsi="Calibri" w:cs="Calibri"/>
                <w:color w:val="000000"/>
              </w:rPr>
            </w:pPr>
            <w:r>
              <w:rPr>
                <w:rFonts w:ascii="Calibri" w:hAnsi="Calibri" w:cs="Calibri"/>
                <w:color w:val="000000"/>
              </w:rPr>
              <w:t> </w:t>
            </w:r>
          </w:p>
        </w:tc>
        <w:tc>
          <w:tcPr>
            <w:tcW w:w="3621" w:type="dxa"/>
            <w:gridSpan w:val="3"/>
            <w:tcBorders>
              <w:top w:val="single" w:sz="4" w:space="0" w:color="auto"/>
              <w:left w:val="nil"/>
              <w:bottom w:val="single" w:sz="4" w:space="0" w:color="auto"/>
              <w:right w:val="single" w:sz="4" w:space="0" w:color="auto"/>
            </w:tcBorders>
            <w:shd w:val="clear" w:color="auto" w:fill="auto"/>
            <w:noWrap/>
            <w:vAlign w:val="bottom"/>
            <w:hideMark/>
          </w:tcPr>
          <w:p w:rsidR="0016507D" w:rsidRDefault="0016507D">
            <w:pPr>
              <w:jc w:val="center"/>
              <w:rPr>
                <w:rFonts w:ascii="Calibri" w:hAnsi="Calibri" w:cs="Calibri"/>
                <w:color w:val="000000"/>
              </w:rPr>
            </w:pPr>
            <w:r>
              <w:rPr>
                <w:rFonts w:ascii="Calibri" w:hAnsi="Calibri" w:cs="Calibri"/>
                <w:color w:val="000000"/>
              </w:rPr>
              <w:t>Schedule "Basis of Estimate" CODs</w:t>
            </w:r>
          </w:p>
        </w:tc>
        <w:tc>
          <w:tcPr>
            <w:tcW w:w="4590" w:type="dxa"/>
            <w:tcBorders>
              <w:top w:val="nil"/>
              <w:left w:val="nil"/>
              <w:bottom w:val="single" w:sz="4" w:space="0" w:color="auto"/>
              <w:right w:val="single" w:sz="8" w:space="0" w:color="auto"/>
            </w:tcBorders>
            <w:shd w:val="clear" w:color="auto" w:fill="auto"/>
            <w:noWrap/>
            <w:vAlign w:val="bottom"/>
            <w:hideMark/>
          </w:tcPr>
          <w:p w:rsidR="0016507D" w:rsidRDefault="0016507D">
            <w:pPr>
              <w:jc w:val="center"/>
              <w:rPr>
                <w:rFonts w:ascii="Calibri" w:hAnsi="Calibri" w:cs="Calibri"/>
                <w:color w:val="000000"/>
              </w:rPr>
            </w:pPr>
            <w:r>
              <w:rPr>
                <w:rFonts w:ascii="Calibri" w:hAnsi="Calibri" w:cs="Calibri"/>
                <w:color w:val="000000"/>
              </w:rPr>
              <w:t>Remarks</w:t>
            </w:r>
          </w:p>
        </w:tc>
      </w:tr>
      <w:tr w:rsidR="0016507D" w:rsidTr="00725681">
        <w:trPr>
          <w:trHeight w:val="320"/>
        </w:trPr>
        <w:tc>
          <w:tcPr>
            <w:tcW w:w="1139" w:type="dxa"/>
            <w:vMerge/>
            <w:tcBorders>
              <w:top w:val="nil"/>
              <w:left w:val="single" w:sz="8" w:space="0" w:color="auto"/>
              <w:bottom w:val="single" w:sz="4" w:space="0" w:color="auto"/>
              <w:right w:val="single" w:sz="4" w:space="0" w:color="auto"/>
            </w:tcBorders>
            <w:vAlign w:val="center"/>
            <w:hideMark/>
          </w:tcPr>
          <w:p w:rsidR="0016507D" w:rsidRDefault="0016507D">
            <w:pPr>
              <w:rPr>
                <w:rFonts w:ascii="Calibri" w:hAnsi="Calibri" w:cs="Calibri"/>
                <w:color w:val="000000"/>
              </w:rPr>
            </w:pPr>
          </w:p>
        </w:tc>
        <w:tc>
          <w:tcPr>
            <w:tcW w:w="1232" w:type="dxa"/>
            <w:tcBorders>
              <w:top w:val="nil"/>
              <w:left w:val="nil"/>
              <w:bottom w:val="single" w:sz="4" w:space="0" w:color="auto"/>
              <w:right w:val="single" w:sz="4" w:space="0" w:color="auto"/>
            </w:tcBorders>
            <w:shd w:val="clear" w:color="auto" w:fill="auto"/>
            <w:noWrap/>
            <w:vAlign w:val="bottom"/>
            <w:hideMark/>
          </w:tcPr>
          <w:p w:rsidR="0016507D" w:rsidRDefault="0016507D">
            <w:pPr>
              <w:jc w:val="center"/>
              <w:rPr>
                <w:rFonts w:ascii="Calibri" w:hAnsi="Calibri" w:cs="Calibri"/>
                <w:color w:val="000000"/>
              </w:rPr>
            </w:pPr>
            <w:r>
              <w:rPr>
                <w:rFonts w:ascii="Calibri" w:hAnsi="Calibri" w:cs="Calibri"/>
                <w:color w:val="000000"/>
              </w:rPr>
              <w:t>U-3</w:t>
            </w:r>
          </w:p>
        </w:tc>
        <w:tc>
          <w:tcPr>
            <w:tcW w:w="1306" w:type="dxa"/>
            <w:tcBorders>
              <w:top w:val="nil"/>
              <w:left w:val="nil"/>
              <w:bottom w:val="single" w:sz="4" w:space="0" w:color="auto"/>
              <w:right w:val="single" w:sz="4" w:space="0" w:color="auto"/>
            </w:tcBorders>
            <w:shd w:val="clear" w:color="auto" w:fill="auto"/>
            <w:noWrap/>
            <w:vAlign w:val="bottom"/>
            <w:hideMark/>
          </w:tcPr>
          <w:p w:rsidR="0016507D" w:rsidRDefault="0016507D">
            <w:pPr>
              <w:jc w:val="center"/>
              <w:rPr>
                <w:rFonts w:ascii="Calibri" w:hAnsi="Calibri" w:cs="Calibri"/>
                <w:color w:val="000000"/>
              </w:rPr>
            </w:pPr>
            <w:r>
              <w:rPr>
                <w:rFonts w:ascii="Calibri" w:hAnsi="Calibri" w:cs="Calibri"/>
                <w:color w:val="000000"/>
              </w:rPr>
              <w:t>U-4</w:t>
            </w:r>
          </w:p>
        </w:tc>
        <w:tc>
          <w:tcPr>
            <w:tcW w:w="1083" w:type="dxa"/>
            <w:tcBorders>
              <w:top w:val="nil"/>
              <w:left w:val="nil"/>
              <w:bottom w:val="single" w:sz="4" w:space="0" w:color="auto"/>
              <w:right w:val="single" w:sz="4" w:space="0" w:color="auto"/>
            </w:tcBorders>
            <w:shd w:val="clear" w:color="auto" w:fill="auto"/>
            <w:noWrap/>
            <w:vAlign w:val="bottom"/>
            <w:hideMark/>
          </w:tcPr>
          <w:p w:rsidR="0016507D" w:rsidRDefault="0016507D">
            <w:pPr>
              <w:jc w:val="center"/>
              <w:rPr>
                <w:rFonts w:ascii="Calibri" w:hAnsi="Calibri" w:cs="Calibri"/>
                <w:color w:val="000000"/>
              </w:rPr>
            </w:pPr>
            <w:r>
              <w:rPr>
                <w:rFonts w:ascii="Calibri" w:hAnsi="Calibri" w:cs="Calibri"/>
                <w:color w:val="000000"/>
              </w:rPr>
              <w:t>TPC EAC</w:t>
            </w:r>
          </w:p>
        </w:tc>
        <w:tc>
          <w:tcPr>
            <w:tcW w:w="4590" w:type="dxa"/>
            <w:tcBorders>
              <w:top w:val="nil"/>
              <w:left w:val="nil"/>
              <w:bottom w:val="single" w:sz="4" w:space="0" w:color="auto"/>
              <w:right w:val="single" w:sz="8" w:space="0" w:color="auto"/>
            </w:tcBorders>
            <w:shd w:val="clear" w:color="auto" w:fill="auto"/>
            <w:noWrap/>
            <w:vAlign w:val="bottom"/>
            <w:hideMark/>
          </w:tcPr>
          <w:p w:rsidR="0016507D" w:rsidRDefault="0016507D">
            <w:pPr>
              <w:jc w:val="center"/>
              <w:rPr>
                <w:rFonts w:ascii="Calibri" w:hAnsi="Calibri" w:cs="Calibri"/>
                <w:color w:val="000000"/>
              </w:rPr>
            </w:pPr>
            <w:r>
              <w:rPr>
                <w:rFonts w:ascii="Calibri" w:hAnsi="Calibri" w:cs="Calibri"/>
                <w:color w:val="000000"/>
              </w:rPr>
              <w:t>See Schedule Table TS-2 for COD data</w:t>
            </w:r>
          </w:p>
        </w:tc>
      </w:tr>
      <w:tr w:rsidR="0016507D" w:rsidTr="00725681">
        <w:trPr>
          <w:trHeight w:val="320"/>
        </w:trPr>
        <w:tc>
          <w:tcPr>
            <w:tcW w:w="1139" w:type="dxa"/>
            <w:tcBorders>
              <w:top w:val="nil"/>
              <w:left w:val="single" w:sz="8" w:space="0" w:color="auto"/>
              <w:bottom w:val="single" w:sz="4" w:space="0" w:color="auto"/>
              <w:right w:val="single" w:sz="4" w:space="0" w:color="auto"/>
            </w:tcBorders>
            <w:shd w:val="clear" w:color="auto" w:fill="auto"/>
            <w:noWrap/>
            <w:vAlign w:val="bottom"/>
            <w:hideMark/>
          </w:tcPr>
          <w:p w:rsidR="0016507D" w:rsidRDefault="0016507D">
            <w:pPr>
              <w:jc w:val="center"/>
              <w:rPr>
                <w:rFonts w:ascii="Calibri" w:hAnsi="Calibri" w:cs="Calibri"/>
                <w:color w:val="000000"/>
              </w:rPr>
            </w:pPr>
            <w:r>
              <w:rPr>
                <w:rFonts w:ascii="Calibri" w:hAnsi="Calibri" w:cs="Calibri"/>
                <w:color w:val="000000"/>
              </w:rPr>
              <w:t>Company</w:t>
            </w:r>
          </w:p>
        </w:tc>
        <w:tc>
          <w:tcPr>
            <w:tcW w:w="12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6507D" w:rsidRDefault="0016507D">
            <w:pPr>
              <w:jc w:val="center"/>
              <w:rPr>
                <w:rFonts w:ascii="Calibri" w:hAnsi="Calibri" w:cs="Calibri"/>
                <w:color w:val="000000"/>
              </w:rPr>
            </w:pPr>
            <w:r>
              <w:rPr>
                <w:rFonts w:ascii="Calibri" w:hAnsi="Calibri" w:cs="Calibri"/>
                <w:color w:val="000000"/>
              </w:rPr>
              <w:t>June 2022</w:t>
            </w:r>
          </w:p>
        </w:tc>
        <w:tc>
          <w:tcPr>
            <w:tcW w:w="13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6507D" w:rsidRDefault="0016507D">
            <w:pPr>
              <w:jc w:val="center"/>
              <w:rPr>
                <w:rFonts w:ascii="Calibri" w:hAnsi="Calibri" w:cs="Calibri"/>
                <w:color w:val="000000"/>
              </w:rPr>
            </w:pPr>
            <w:r>
              <w:rPr>
                <w:rFonts w:ascii="Calibri" w:hAnsi="Calibri" w:cs="Calibri"/>
                <w:color w:val="000000"/>
              </w:rPr>
              <w:t>March 2023</w:t>
            </w:r>
          </w:p>
        </w:tc>
        <w:tc>
          <w:tcPr>
            <w:tcW w:w="10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6507D" w:rsidRDefault="0016507D">
            <w:pPr>
              <w:jc w:val="center"/>
              <w:rPr>
                <w:rFonts w:ascii="Calibri" w:hAnsi="Calibri" w:cs="Calibri"/>
                <w:color w:val="000000"/>
              </w:rPr>
            </w:pPr>
            <w:r>
              <w:rPr>
                <w:rFonts w:ascii="Calibri" w:hAnsi="Calibri" w:cs="Calibri"/>
                <w:color w:val="000000"/>
              </w:rPr>
              <w:t>$ 19.5 B</w:t>
            </w:r>
          </w:p>
        </w:tc>
        <w:tc>
          <w:tcPr>
            <w:tcW w:w="4590" w:type="dxa"/>
            <w:vMerge w:val="restart"/>
            <w:tcBorders>
              <w:top w:val="nil"/>
              <w:left w:val="single" w:sz="4" w:space="0" w:color="auto"/>
              <w:bottom w:val="single" w:sz="4" w:space="0" w:color="auto"/>
              <w:right w:val="single" w:sz="8" w:space="0" w:color="auto"/>
            </w:tcBorders>
            <w:shd w:val="clear" w:color="auto" w:fill="auto"/>
            <w:vAlign w:val="bottom"/>
            <w:hideMark/>
          </w:tcPr>
          <w:p w:rsidR="0016507D" w:rsidRDefault="0016507D">
            <w:pPr>
              <w:jc w:val="center"/>
              <w:rPr>
                <w:rFonts w:ascii="Calibri" w:hAnsi="Calibri" w:cs="Calibri"/>
                <w:color w:val="000000"/>
              </w:rPr>
            </w:pPr>
            <w:r>
              <w:rPr>
                <w:rFonts w:ascii="Calibri" w:hAnsi="Calibri" w:cs="Calibri"/>
                <w:color w:val="000000"/>
              </w:rPr>
              <w:t xml:space="preserve">Company CODs &amp; TPC EAC used as starting point; includes company assumed 9 </w:t>
            </w:r>
            <w:proofErr w:type="spellStart"/>
            <w:r>
              <w:rPr>
                <w:rFonts w:ascii="Calibri" w:hAnsi="Calibri" w:cs="Calibri"/>
                <w:color w:val="000000"/>
              </w:rPr>
              <w:t>mo</w:t>
            </w:r>
            <w:proofErr w:type="spellEnd"/>
            <w:r>
              <w:rPr>
                <w:rFonts w:ascii="Calibri" w:hAnsi="Calibri" w:cs="Calibri"/>
                <w:color w:val="000000"/>
              </w:rPr>
              <w:t xml:space="preserve"> lag</w:t>
            </w:r>
          </w:p>
        </w:tc>
      </w:tr>
      <w:tr w:rsidR="0016507D" w:rsidTr="00725681">
        <w:trPr>
          <w:trHeight w:val="320"/>
        </w:trPr>
        <w:tc>
          <w:tcPr>
            <w:tcW w:w="1139"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16507D" w:rsidRDefault="0016507D">
            <w:pPr>
              <w:jc w:val="center"/>
              <w:rPr>
                <w:rFonts w:ascii="Calibri" w:hAnsi="Calibri" w:cs="Calibri"/>
                <w:color w:val="000000"/>
              </w:rPr>
            </w:pPr>
            <w:r>
              <w:rPr>
                <w:rFonts w:ascii="Calibri" w:hAnsi="Calibri" w:cs="Calibri"/>
                <w:color w:val="000000"/>
              </w:rPr>
              <w:t>VMG</w:t>
            </w:r>
          </w:p>
        </w:tc>
        <w:tc>
          <w:tcPr>
            <w:tcW w:w="1232" w:type="dxa"/>
            <w:vMerge/>
            <w:tcBorders>
              <w:top w:val="nil"/>
              <w:left w:val="single" w:sz="4" w:space="0" w:color="auto"/>
              <w:bottom w:val="single" w:sz="4" w:space="0" w:color="auto"/>
              <w:right w:val="single" w:sz="4" w:space="0" w:color="auto"/>
            </w:tcBorders>
            <w:vAlign w:val="center"/>
            <w:hideMark/>
          </w:tcPr>
          <w:p w:rsidR="0016507D" w:rsidRDefault="0016507D">
            <w:pPr>
              <w:rPr>
                <w:rFonts w:ascii="Calibri" w:hAnsi="Calibri" w:cs="Calibri"/>
                <w:color w:val="000000"/>
              </w:rPr>
            </w:pPr>
          </w:p>
        </w:tc>
        <w:tc>
          <w:tcPr>
            <w:tcW w:w="1306" w:type="dxa"/>
            <w:vMerge/>
            <w:tcBorders>
              <w:top w:val="nil"/>
              <w:left w:val="single" w:sz="4" w:space="0" w:color="auto"/>
              <w:bottom w:val="single" w:sz="4" w:space="0" w:color="auto"/>
              <w:right w:val="single" w:sz="4" w:space="0" w:color="auto"/>
            </w:tcBorders>
            <w:vAlign w:val="center"/>
            <w:hideMark/>
          </w:tcPr>
          <w:p w:rsidR="0016507D" w:rsidRDefault="0016507D">
            <w:pPr>
              <w:rPr>
                <w:rFonts w:ascii="Calibri" w:hAnsi="Calibri" w:cs="Calibri"/>
                <w:color w:val="000000"/>
              </w:rPr>
            </w:pPr>
          </w:p>
        </w:tc>
        <w:tc>
          <w:tcPr>
            <w:tcW w:w="1083" w:type="dxa"/>
            <w:vMerge/>
            <w:tcBorders>
              <w:top w:val="nil"/>
              <w:left w:val="single" w:sz="4" w:space="0" w:color="auto"/>
              <w:bottom w:val="single" w:sz="4" w:space="0" w:color="auto"/>
              <w:right w:val="single" w:sz="4" w:space="0" w:color="auto"/>
            </w:tcBorders>
            <w:vAlign w:val="center"/>
            <w:hideMark/>
          </w:tcPr>
          <w:p w:rsidR="0016507D" w:rsidRDefault="0016507D">
            <w:pPr>
              <w:rPr>
                <w:rFonts w:ascii="Calibri" w:hAnsi="Calibri" w:cs="Calibri"/>
                <w:color w:val="000000"/>
              </w:rPr>
            </w:pPr>
          </w:p>
        </w:tc>
        <w:tc>
          <w:tcPr>
            <w:tcW w:w="4590" w:type="dxa"/>
            <w:vMerge/>
            <w:tcBorders>
              <w:top w:val="nil"/>
              <w:left w:val="single" w:sz="4" w:space="0" w:color="auto"/>
              <w:bottom w:val="single" w:sz="4" w:space="0" w:color="auto"/>
              <w:right w:val="single" w:sz="8" w:space="0" w:color="auto"/>
            </w:tcBorders>
            <w:vAlign w:val="center"/>
            <w:hideMark/>
          </w:tcPr>
          <w:p w:rsidR="0016507D" w:rsidRDefault="0016507D">
            <w:pPr>
              <w:rPr>
                <w:rFonts w:ascii="Calibri" w:hAnsi="Calibri" w:cs="Calibri"/>
                <w:color w:val="000000"/>
              </w:rPr>
            </w:pPr>
          </w:p>
        </w:tc>
      </w:tr>
      <w:tr w:rsidR="0016507D" w:rsidTr="00725681">
        <w:trPr>
          <w:trHeight w:val="340"/>
        </w:trPr>
        <w:tc>
          <w:tcPr>
            <w:tcW w:w="1139" w:type="dxa"/>
            <w:vMerge/>
            <w:tcBorders>
              <w:top w:val="nil"/>
              <w:left w:val="single" w:sz="8" w:space="0" w:color="auto"/>
              <w:bottom w:val="single" w:sz="4" w:space="0" w:color="auto"/>
              <w:right w:val="single" w:sz="4" w:space="0" w:color="auto"/>
            </w:tcBorders>
            <w:vAlign w:val="center"/>
            <w:hideMark/>
          </w:tcPr>
          <w:p w:rsidR="0016507D" w:rsidRDefault="0016507D">
            <w:pPr>
              <w:rPr>
                <w:rFonts w:ascii="Calibri" w:hAnsi="Calibri" w:cs="Calibri"/>
                <w:color w:val="000000"/>
              </w:rPr>
            </w:pPr>
          </w:p>
        </w:tc>
        <w:tc>
          <w:tcPr>
            <w:tcW w:w="1232" w:type="dxa"/>
            <w:tcBorders>
              <w:top w:val="nil"/>
              <w:left w:val="nil"/>
              <w:bottom w:val="single" w:sz="4" w:space="0" w:color="auto"/>
              <w:right w:val="single" w:sz="4" w:space="0" w:color="auto"/>
            </w:tcBorders>
            <w:shd w:val="clear" w:color="auto" w:fill="auto"/>
            <w:vAlign w:val="bottom"/>
            <w:hideMark/>
          </w:tcPr>
          <w:p w:rsidR="0016507D" w:rsidRDefault="0016507D">
            <w:pPr>
              <w:jc w:val="center"/>
              <w:rPr>
                <w:rFonts w:ascii="Calibri" w:hAnsi="Calibri" w:cs="Calibri"/>
                <w:color w:val="000000"/>
              </w:rPr>
            </w:pPr>
            <w:r>
              <w:rPr>
                <w:rFonts w:ascii="Calibri" w:hAnsi="Calibri" w:cs="Calibri"/>
                <w:color w:val="000000"/>
              </w:rPr>
              <w:t>Jan 2023</w:t>
            </w:r>
          </w:p>
        </w:tc>
        <w:tc>
          <w:tcPr>
            <w:tcW w:w="1306" w:type="dxa"/>
            <w:tcBorders>
              <w:top w:val="nil"/>
              <w:left w:val="nil"/>
              <w:bottom w:val="single" w:sz="4" w:space="0" w:color="auto"/>
              <w:right w:val="single" w:sz="4" w:space="0" w:color="auto"/>
            </w:tcBorders>
            <w:shd w:val="clear" w:color="auto" w:fill="auto"/>
            <w:vAlign w:val="bottom"/>
            <w:hideMark/>
          </w:tcPr>
          <w:p w:rsidR="0016507D" w:rsidRDefault="0016507D">
            <w:pPr>
              <w:jc w:val="center"/>
              <w:rPr>
                <w:rFonts w:ascii="Calibri" w:hAnsi="Calibri" w:cs="Calibri"/>
                <w:color w:val="000000"/>
              </w:rPr>
            </w:pPr>
            <w:r>
              <w:rPr>
                <w:rFonts w:ascii="Calibri" w:hAnsi="Calibri" w:cs="Calibri"/>
                <w:color w:val="000000"/>
              </w:rPr>
              <w:t>Oct 2023</w:t>
            </w:r>
          </w:p>
        </w:tc>
        <w:tc>
          <w:tcPr>
            <w:tcW w:w="1083" w:type="dxa"/>
            <w:tcBorders>
              <w:top w:val="nil"/>
              <w:left w:val="nil"/>
              <w:bottom w:val="single" w:sz="4" w:space="0" w:color="auto"/>
              <w:right w:val="single" w:sz="4" w:space="0" w:color="auto"/>
            </w:tcBorders>
            <w:shd w:val="clear" w:color="auto" w:fill="auto"/>
            <w:noWrap/>
            <w:vAlign w:val="bottom"/>
            <w:hideMark/>
          </w:tcPr>
          <w:p w:rsidR="0016507D" w:rsidRDefault="0016507D">
            <w:pPr>
              <w:jc w:val="center"/>
              <w:rPr>
                <w:rFonts w:ascii="Calibri" w:hAnsi="Calibri" w:cs="Calibri"/>
                <w:color w:val="000000"/>
              </w:rPr>
            </w:pPr>
            <w:r>
              <w:rPr>
                <w:rFonts w:ascii="Calibri" w:hAnsi="Calibri" w:cs="Calibri"/>
                <w:color w:val="000000"/>
              </w:rPr>
              <w:t>+ $ 0.7 B</w:t>
            </w:r>
          </w:p>
        </w:tc>
        <w:tc>
          <w:tcPr>
            <w:tcW w:w="4590" w:type="dxa"/>
            <w:tcBorders>
              <w:top w:val="nil"/>
              <w:left w:val="nil"/>
              <w:bottom w:val="single" w:sz="4" w:space="0" w:color="auto"/>
              <w:right w:val="single" w:sz="8" w:space="0" w:color="auto"/>
            </w:tcBorders>
            <w:shd w:val="clear" w:color="auto" w:fill="auto"/>
            <w:noWrap/>
            <w:vAlign w:val="bottom"/>
            <w:hideMark/>
          </w:tcPr>
          <w:p w:rsidR="0016507D" w:rsidRDefault="0016507D">
            <w:pPr>
              <w:rPr>
                <w:rFonts w:ascii="Calibri" w:hAnsi="Calibri" w:cs="Calibri"/>
                <w:color w:val="000000"/>
              </w:rPr>
            </w:pPr>
            <w:r>
              <w:rPr>
                <w:rFonts w:ascii="Calibri" w:hAnsi="Calibri" w:cs="Calibri"/>
                <w:color w:val="000000"/>
              </w:rPr>
              <w:t xml:space="preserve">With both units 7 </w:t>
            </w:r>
            <w:proofErr w:type="spellStart"/>
            <w:r>
              <w:rPr>
                <w:rFonts w:ascii="Calibri" w:hAnsi="Calibri" w:cs="Calibri"/>
                <w:color w:val="000000"/>
              </w:rPr>
              <w:t>mo</w:t>
            </w:r>
            <w:proofErr w:type="spellEnd"/>
            <w:r>
              <w:rPr>
                <w:rFonts w:ascii="Calibri" w:hAnsi="Calibri" w:cs="Calibri"/>
                <w:color w:val="000000"/>
              </w:rPr>
              <w:t xml:space="preserve"> slip at $ 100 M/ Mo</w:t>
            </w:r>
          </w:p>
        </w:tc>
      </w:tr>
      <w:tr w:rsidR="0016507D" w:rsidTr="00725681">
        <w:trPr>
          <w:trHeight w:val="320"/>
        </w:trPr>
        <w:tc>
          <w:tcPr>
            <w:tcW w:w="1139" w:type="dxa"/>
            <w:vMerge/>
            <w:tcBorders>
              <w:top w:val="nil"/>
              <w:left w:val="single" w:sz="8" w:space="0" w:color="auto"/>
              <w:bottom w:val="single" w:sz="4" w:space="0" w:color="auto"/>
              <w:right w:val="single" w:sz="4" w:space="0" w:color="auto"/>
            </w:tcBorders>
            <w:vAlign w:val="center"/>
            <w:hideMark/>
          </w:tcPr>
          <w:p w:rsidR="0016507D" w:rsidRDefault="0016507D">
            <w:pPr>
              <w:rPr>
                <w:rFonts w:ascii="Calibri" w:hAnsi="Calibri" w:cs="Calibri"/>
                <w:color w:val="000000"/>
              </w:rPr>
            </w:pPr>
          </w:p>
        </w:tc>
        <w:tc>
          <w:tcPr>
            <w:tcW w:w="1232" w:type="dxa"/>
            <w:tcBorders>
              <w:top w:val="nil"/>
              <w:left w:val="nil"/>
              <w:bottom w:val="single" w:sz="4" w:space="0" w:color="auto"/>
              <w:right w:val="single" w:sz="4" w:space="0" w:color="auto"/>
            </w:tcBorders>
            <w:shd w:val="clear" w:color="auto" w:fill="auto"/>
            <w:noWrap/>
            <w:vAlign w:val="bottom"/>
            <w:hideMark/>
          </w:tcPr>
          <w:p w:rsidR="0016507D" w:rsidRDefault="0016507D">
            <w:pPr>
              <w:jc w:val="center"/>
              <w:rPr>
                <w:rFonts w:ascii="Calibri" w:hAnsi="Calibri" w:cs="Calibri"/>
                <w:color w:val="000000"/>
              </w:rPr>
            </w:pPr>
            <w:r>
              <w:rPr>
                <w:rFonts w:ascii="Calibri" w:hAnsi="Calibri" w:cs="Calibri"/>
                <w:color w:val="000000"/>
              </w:rPr>
              <w:t>Jan 2023</w:t>
            </w:r>
          </w:p>
        </w:tc>
        <w:tc>
          <w:tcPr>
            <w:tcW w:w="1306" w:type="dxa"/>
            <w:tcBorders>
              <w:top w:val="nil"/>
              <w:left w:val="nil"/>
              <w:bottom w:val="single" w:sz="4" w:space="0" w:color="auto"/>
              <w:right w:val="single" w:sz="4" w:space="0" w:color="auto"/>
            </w:tcBorders>
            <w:shd w:val="clear" w:color="auto" w:fill="auto"/>
            <w:noWrap/>
            <w:vAlign w:val="bottom"/>
            <w:hideMark/>
          </w:tcPr>
          <w:p w:rsidR="0016507D" w:rsidRDefault="0016507D">
            <w:pPr>
              <w:jc w:val="center"/>
              <w:rPr>
                <w:rFonts w:ascii="Calibri" w:hAnsi="Calibri" w:cs="Calibri"/>
                <w:color w:val="000000"/>
              </w:rPr>
            </w:pPr>
            <w:r>
              <w:rPr>
                <w:rFonts w:ascii="Calibri" w:hAnsi="Calibri" w:cs="Calibri"/>
                <w:color w:val="000000"/>
              </w:rPr>
              <w:t>Jan 2024</w:t>
            </w:r>
          </w:p>
        </w:tc>
        <w:tc>
          <w:tcPr>
            <w:tcW w:w="1083" w:type="dxa"/>
            <w:tcBorders>
              <w:top w:val="nil"/>
              <w:left w:val="nil"/>
              <w:bottom w:val="single" w:sz="4" w:space="0" w:color="auto"/>
              <w:right w:val="single" w:sz="4" w:space="0" w:color="auto"/>
            </w:tcBorders>
            <w:shd w:val="clear" w:color="auto" w:fill="auto"/>
            <w:noWrap/>
            <w:vAlign w:val="bottom"/>
            <w:hideMark/>
          </w:tcPr>
          <w:p w:rsidR="0016507D" w:rsidRDefault="0016507D">
            <w:pPr>
              <w:jc w:val="center"/>
              <w:rPr>
                <w:rFonts w:ascii="Calibri" w:hAnsi="Calibri" w:cs="Calibri"/>
                <w:color w:val="000000"/>
              </w:rPr>
            </w:pPr>
            <w:r>
              <w:rPr>
                <w:rFonts w:ascii="Calibri" w:hAnsi="Calibri" w:cs="Calibri"/>
                <w:color w:val="000000"/>
              </w:rPr>
              <w:t>+ $ 0.1 B</w:t>
            </w:r>
          </w:p>
        </w:tc>
        <w:tc>
          <w:tcPr>
            <w:tcW w:w="4590" w:type="dxa"/>
            <w:tcBorders>
              <w:top w:val="nil"/>
              <w:left w:val="nil"/>
              <w:bottom w:val="single" w:sz="4" w:space="0" w:color="auto"/>
              <w:right w:val="single" w:sz="8" w:space="0" w:color="auto"/>
            </w:tcBorders>
            <w:shd w:val="clear" w:color="auto" w:fill="auto"/>
            <w:noWrap/>
            <w:vAlign w:val="bottom"/>
            <w:hideMark/>
          </w:tcPr>
          <w:p w:rsidR="0016507D" w:rsidRDefault="0016507D">
            <w:pPr>
              <w:rPr>
                <w:rFonts w:ascii="Calibri" w:hAnsi="Calibri" w:cs="Calibri"/>
                <w:color w:val="000000"/>
              </w:rPr>
            </w:pPr>
            <w:r>
              <w:rPr>
                <w:rFonts w:ascii="Calibri" w:hAnsi="Calibri" w:cs="Calibri"/>
                <w:color w:val="000000"/>
              </w:rPr>
              <w:t>U-4 further slip of 3 months at $ 35 M/ Mo</w:t>
            </w:r>
          </w:p>
        </w:tc>
      </w:tr>
      <w:tr w:rsidR="0016507D" w:rsidTr="00725681">
        <w:trPr>
          <w:trHeight w:val="700"/>
        </w:trPr>
        <w:tc>
          <w:tcPr>
            <w:tcW w:w="1139" w:type="dxa"/>
            <w:vMerge/>
            <w:tcBorders>
              <w:top w:val="nil"/>
              <w:left w:val="single" w:sz="8" w:space="0" w:color="auto"/>
              <w:bottom w:val="single" w:sz="4" w:space="0" w:color="auto"/>
              <w:right w:val="single" w:sz="4" w:space="0" w:color="auto"/>
            </w:tcBorders>
            <w:vAlign w:val="center"/>
            <w:hideMark/>
          </w:tcPr>
          <w:p w:rsidR="0016507D" w:rsidRDefault="0016507D">
            <w:pPr>
              <w:rPr>
                <w:rFonts w:ascii="Calibri" w:hAnsi="Calibri" w:cs="Calibri"/>
                <w:color w:val="000000"/>
              </w:rPr>
            </w:pPr>
          </w:p>
        </w:tc>
        <w:tc>
          <w:tcPr>
            <w:tcW w:w="1232" w:type="dxa"/>
            <w:tcBorders>
              <w:top w:val="nil"/>
              <w:left w:val="nil"/>
              <w:bottom w:val="nil"/>
              <w:right w:val="single" w:sz="4" w:space="0" w:color="auto"/>
            </w:tcBorders>
            <w:shd w:val="clear" w:color="auto" w:fill="auto"/>
            <w:noWrap/>
            <w:vAlign w:val="bottom"/>
            <w:hideMark/>
          </w:tcPr>
          <w:p w:rsidR="0016507D" w:rsidRDefault="0016507D">
            <w:pPr>
              <w:jc w:val="center"/>
              <w:rPr>
                <w:rFonts w:ascii="Calibri" w:hAnsi="Calibri" w:cs="Calibri"/>
                <w:color w:val="000000"/>
              </w:rPr>
            </w:pPr>
            <w:r>
              <w:rPr>
                <w:rFonts w:ascii="Calibri" w:hAnsi="Calibri" w:cs="Calibri"/>
                <w:color w:val="000000"/>
              </w:rPr>
              <w:t>Jan 1, 2023</w:t>
            </w:r>
          </w:p>
        </w:tc>
        <w:tc>
          <w:tcPr>
            <w:tcW w:w="1306" w:type="dxa"/>
            <w:tcBorders>
              <w:top w:val="nil"/>
              <w:left w:val="nil"/>
              <w:bottom w:val="nil"/>
              <w:right w:val="single" w:sz="4" w:space="0" w:color="auto"/>
            </w:tcBorders>
            <w:shd w:val="clear" w:color="auto" w:fill="auto"/>
            <w:noWrap/>
            <w:vAlign w:val="bottom"/>
            <w:hideMark/>
          </w:tcPr>
          <w:p w:rsidR="0016507D" w:rsidRDefault="0016507D">
            <w:pPr>
              <w:jc w:val="center"/>
              <w:rPr>
                <w:rFonts w:ascii="Calibri" w:hAnsi="Calibri" w:cs="Calibri"/>
                <w:color w:val="000000"/>
              </w:rPr>
            </w:pPr>
            <w:r>
              <w:rPr>
                <w:rFonts w:ascii="Calibri" w:hAnsi="Calibri" w:cs="Calibri"/>
                <w:color w:val="000000"/>
              </w:rPr>
              <w:t>Jan 1, 2024</w:t>
            </w:r>
          </w:p>
        </w:tc>
        <w:tc>
          <w:tcPr>
            <w:tcW w:w="1083" w:type="dxa"/>
            <w:tcBorders>
              <w:top w:val="nil"/>
              <w:left w:val="nil"/>
              <w:bottom w:val="nil"/>
              <w:right w:val="single" w:sz="4" w:space="0" w:color="auto"/>
            </w:tcBorders>
            <w:shd w:val="clear" w:color="auto" w:fill="auto"/>
            <w:noWrap/>
            <w:vAlign w:val="bottom"/>
            <w:hideMark/>
          </w:tcPr>
          <w:p w:rsidR="0016507D" w:rsidRDefault="0016507D">
            <w:pPr>
              <w:jc w:val="center"/>
              <w:rPr>
                <w:rFonts w:ascii="Calibri" w:hAnsi="Calibri" w:cs="Calibri"/>
                <w:color w:val="000000"/>
              </w:rPr>
            </w:pPr>
            <w:r>
              <w:rPr>
                <w:rFonts w:ascii="Calibri" w:hAnsi="Calibri" w:cs="Calibri"/>
                <w:color w:val="000000"/>
              </w:rPr>
              <w:t>$ 20.3 B</w:t>
            </w:r>
          </w:p>
        </w:tc>
        <w:tc>
          <w:tcPr>
            <w:tcW w:w="4590" w:type="dxa"/>
            <w:tcBorders>
              <w:top w:val="nil"/>
              <w:left w:val="nil"/>
              <w:bottom w:val="nil"/>
              <w:right w:val="single" w:sz="8" w:space="0" w:color="auto"/>
            </w:tcBorders>
            <w:shd w:val="clear" w:color="auto" w:fill="auto"/>
            <w:vAlign w:val="bottom"/>
            <w:hideMark/>
          </w:tcPr>
          <w:p w:rsidR="0016507D" w:rsidRDefault="0016507D">
            <w:pPr>
              <w:rPr>
                <w:rFonts w:ascii="Calibri" w:hAnsi="Calibri" w:cs="Calibri"/>
                <w:color w:val="000000"/>
              </w:rPr>
            </w:pPr>
            <w:r>
              <w:rPr>
                <w:rFonts w:ascii="Calibri" w:hAnsi="Calibri" w:cs="Calibri"/>
                <w:color w:val="000000"/>
              </w:rPr>
              <w:t>VMG TPC EAC based on Company TPC EAC, adjusted for later CODs as shown</w:t>
            </w:r>
          </w:p>
        </w:tc>
      </w:tr>
      <w:tr w:rsidR="0016507D" w:rsidTr="0016507D">
        <w:trPr>
          <w:trHeight w:val="320"/>
        </w:trPr>
        <w:tc>
          <w:tcPr>
            <w:tcW w:w="9350"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16507D" w:rsidRDefault="0016507D">
            <w:pPr>
              <w:jc w:val="center"/>
              <w:rPr>
                <w:rFonts w:ascii="Calibri" w:hAnsi="Calibri" w:cs="Calibri"/>
                <w:color w:val="000000"/>
              </w:rPr>
            </w:pPr>
            <w:r>
              <w:rPr>
                <w:rFonts w:ascii="Calibri" w:hAnsi="Calibri" w:cs="Calibri"/>
                <w:color w:val="000000"/>
              </w:rPr>
              <w:t xml:space="preserve">Given VMG "More Probable COD Schedule Ranges" Shown in Table TS-2 </w:t>
            </w:r>
          </w:p>
        </w:tc>
      </w:tr>
      <w:tr w:rsidR="0016507D" w:rsidTr="0016507D">
        <w:trPr>
          <w:trHeight w:val="320"/>
        </w:trPr>
        <w:tc>
          <w:tcPr>
            <w:tcW w:w="1139" w:type="dxa"/>
            <w:vMerge w:val="restart"/>
            <w:tcBorders>
              <w:top w:val="nil"/>
              <w:left w:val="single" w:sz="8" w:space="0" w:color="auto"/>
              <w:bottom w:val="single" w:sz="8" w:space="0" w:color="000000"/>
              <w:right w:val="single" w:sz="4" w:space="0" w:color="auto"/>
            </w:tcBorders>
            <w:shd w:val="clear" w:color="000000" w:fill="D9D9D9"/>
            <w:noWrap/>
            <w:vAlign w:val="bottom"/>
            <w:hideMark/>
          </w:tcPr>
          <w:p w:rsidR="0016507D" w:rsidRDefault="0016507D">
            <w:pPr>
              <w:jc w:val="center"/>
              <w:rPr>
                <w:rFonts w:ascii="Calibri" w:hAnsi="Calibri" w:cs="Calibri"/>
                <w:color w:val="000000"/>
              </w:rPr>
            </w:pPr>
            <w:r>
              <w:rPr>
                <w:rFonts w:ascii="Calibri" w:hAnsi="Calibri" w:cs="Calibri"/>
                <w:color w:val="000000"/>
              </w:rPr>
              <w:t> </w:t>
            </w:r>
          </w:p>
        </w:tc>
        <w:tc>
          <w:tcPr>
            <w:tcW w:w="1232" w:type="dxa"/>
            <w:tcBorders>
              <w:top w:val="nil"/>
              <w:left w:val="nil"/>
              <w:bottom w:val="single" w:sz="4" w:space="0" w:color="auto"/>
              <w:right w:val="single" w:sz="4" w:space="0" w:color="auto"/>
            </w:tcBorders>
            <w:shd w:val="clear" w:color="auto" w:fill="auto"/>
            <w:noWrap/>
            <w:vAlign w:val="bottom"/>
            <w:hideMark/>
          </w:tcPr>
          <w:p w:rsidR="0016507D" w:rsidRDefault="0016507D">
            <w:pPr>
              <w:jc w:val="center"/>
              <w:rPr>
                <w:rFonts w:ascii="Calibri" w:hAnsi="Calibri" w:cs="Calibri"/>
                <w:color w:val="000000"/>
              </w:rPr>
            </w:pPr>
            <w:r>
              <w:rPr>
                <w:rFonts w:ascii="Calibri" w:hAnsi="Calibri" w:cs="Calibri"/>
                <w:color w:val="000000"/>
              </w:rPr>
              <w:t>U-3 COD</w:t>
            </w:r>
          </w:p>
        </w:tc>
        <w:tc>
          <w:tcPr>
            <w:tcW w:w="1306" w:type="dxa"/>
            <w:tcBorders>
              <w:top w:val="nil"/>
              <w:left w:val="nil"/>
              <w:bottom w:val="single" w:sz="4" w:space="0" w:color="auto"/>
              <w:right w:val="single" w:sz="4" w:space="0" w:color="auto"/>
            </w:tcBorders>
            <w:shd w:val="clear" w:color="auto" w:fill="auto"/>
            <w:noWrap/>
            <w:vAlign w:val="bottom"/>
            <w:hideMark/>
          </w:tcPr>
          <w:p w:rsidR="0016507D" w:rsidRDefault="0016507D">
            <w:pPr>
              <w:jc w:val="center"/>
              <w:rPr>
                <w:rFonts w:ascii="Calibri" w:hAnsi="Calibri" w:cs="Calibri"/>
                <w:color w:val="000000"/>
              </w:rPr>
            </w:pPr>
            <w:r>
              <w:rPr>
                <w:rFonts w:ascii="Calibri" w:hAnsi="Calibri" w:cs="Calibri"/>
                <w:color w:val="000000"/>
              </w:rPr>
              <w:t>U-4 COD</w:t>
            </w:r>
          </w:p>
        </w:tc>
        <w:tc>
          <w:tcPr>
            <w:tcW w:w="5673" w:type="dxa"/>
            <w:gridSpan w:val="2"/>
            <w:tcBorders>
              <w:top w:val="single" w:sz="4" w:space="0" w:color="auto"/>
              <w:left w:val="nil"/>
              <w:bottom w:val="single" w:sz="4" w:space="0" w:color="auto"/>
              <w:right w:val="single" w:sz="8" w:space="0" w:color="000000"/>
            </w:tcBorders>
            <w:shd w:val="clear" w:color="auto" w:fill="auto"/>
            <w:noWrap/>
            <w:vAlign w:val="bottom"/>
            <w:hideMark/>
          </w:tcPr>
          <w:p w:rsidR="0016507D" w:rsidRDefault="0016507D">
            <w:pPr>
              <w:jc w:val="center"/>
              <w:rPr>
                <w:rFonts w:ascii="Calibri" w:hAnsi="Calibri" w:cs="Calibri"/>
                <w:b/>
                <w:bCs/>
                <w:color w:val="000000"/>
              </w:rPr>
            </w:pPr>
            <w:r>
              <w:rPr>
                <w:rFonts w:ascii="Calibri" w:hAnsi="Calibri" w:cs="Calibri"/>
                <w:b/>
                <w:bCs/>
                <w:color w:val="000000"/>
              </w:rPr>
              <w:t>VMG TPC EAC Forecast Cost Range</w:t>
            </w:r>
          </w:p>
        </w:tc>
      </w:tr>
      <w:tr w:rsidR="0016507D" w:rsidTr="0016507D">
        <w:trPr>
          <w:trHeight w:val="340"/>
        </w:trPr>
        <w:tc>
          <w:tcPr>
            <w:tcW w:w="1139" w:type="dxa"/>
            <w:vMerge/>
            <w:tcBorders>
              <w:top w:val="nil"/>
              <w:left w:val="single" w:sz="8" w:space="0" w:color="auto"/>
              <w:bottom w:val="single" w:sz="8" w:space="0" w:color="000000"/>
              <w:right w:val="single" w:sz="4" w:space="0" w:color="auto"/>
            </w:tcBorders>
            <w:vAlign w:val="center"/>
            <w:hideMark/>
          </w:tcPr>
          <w:p w:rsidR="0016507D" w:rsidRDefault="0016507D">
            <w:pPr>
              <w:rPr>
                <w:rFonts w:ascii="Calibri" w:hAnsi="Calibri" w:cs="Calibri"/>
                <w:color w:val="000000"/>
              </w:rPr>
            </w:pPr>
          </w:p>
        </w:tc>
        <w:tc>
          <w:tcPr>
            <w:tcW w:w="2538" w:type="dxa"/>
            <w:gridSpan w:val="2"/>
            <w:tcBorders>
              <w:top w:val="single" w:sz="4" w:space="0" w:color="auto"/>
              <w:left w:val="nil"/>
              <w:bottom w:val="single" w:sz="8" w:space="0" w:color="auto"/>
              <w:right w:val="single" w:sz="4" w:space="0" w:color="auto"/>
            </w:tcBorders>
            <w:shd w:val="clear" w:color="auto" w:fill="auto"/>
            <w:noWrap/>
            <w:vAlign w:val="bottom"/>
            <w:hideMark/>
          </w:tcPr>
          <w:p w:rsidR="0016507D" w:rsidRDefault="0016507D">
            <w:pPr>
              <w:jc w:val="center"/>
              <w:rPr>
                <w:rFonts w:ascii="Calibri" w:hAnsi="Calibri" w:cs="Calibri"/>
                <w:color w:val="000000"/>
              </w:rPr>
            </w:pPr>
            <w:r>
              <w:rPr>
                <w:rFonts w:ascii="Calibri" w:hAnsi="Calibri" w:cs="Calibri"/>
                <w:color w:val="000000"/>
              </w:rPr>
              <w:t>+/ - 2 months</w:t>
            </w:r>
          </w:p>
        </w:tc>
        <w:tc>
          <w:tcPr>
            <w:tcW w:w="5673" w:type="dxa"/>
            <w:gridSpan w:val="2"/>
            <w:tcBorders>
              <w:top w:val="single" w:sz="4" w:space="0" w:color="auto"/>
              <w:left w:val="nil"/>
              <w:bottom w:val="single" w:sz="8" w:space="0" w:color="auto"/>
              <w:right w:val="single" w:sz="8" w:space="0" w:color="000000"/>
            </w:tcBorders>
            <w:shd w:val="clear" w:color="auto" w:fill="auto"/>
            <w:noWrap/>
            <w:vAlign w:val="bottom"/>
            <w:hideMark/>
          </w:tcPr>
          <w:p w:rsidR="0016507D" w:rsidRDefault="0016507D">
            <w:pPr>
              <w:jc w:val="center"/>
              <w:rPr>
                <w:rFonts w:ascii="Calibri" w:hAnsi="Calibri" w:cs="Calibri"/>
                <w:b/>
                <w:bCs/>
                <w:color w:val="000000"/>
              </w:rPr>
            </w:pPr>
            <w:r>
              <w:rPr>
                <w:rFonts w:ascii="Calibri" w:hAnsi="Calibri" w:cs="Calibri"/>
                <w:b/>
                <w:bCs/>
                <w:color w:val="000000"/>
              </w:rPr>
              <w:t>$ 20.1 B - $ 20.5 B</w:t>
            </w:r>
          </w:p>
        </w:tc>
      </w:tr>
    </w:tbl>
    <w:p w:rsidR="00173B41" w:rsidRDefault="00173B41" w:rsidP="0016507D">
      <w:pPr>
        <w:spacing w:line="480" w:lineRule="auto"/>
        <w:ind w:left="720" w:hanging="720"/>
        <w:jc w:val="center"/>
        <w:rPr>
          <w:rFonts w:ascii="Garamond" w:hAnsi="Garamond"/>
        </w:rPr>
      </w:pPr>
    </w:p>
    <w:p w:rsidR="00173B41" w:rsidRDefault="0016507D" w:rsidP="00C35E49">
      <w:pPr>
        <w:spacing w:line="480" w:lineRule="auto"/>
        <w:ind w:left="720" w:hanging="720"/>
        <w:jc w:val="both"/>
        <w:rPr>
          <w:rFonts w:ascii="Garamond" w:hAnsi="Garamond"/>
          <w:b/>
          <w:bCs/>
        </w:rPr>
      </w:pPr>
      <w:r>
        <w:rPr>
          <w:rFonts w:ascii="Garamond" w:hAnsi="Garamond"/>
          <w:b/>
          <w:bCs/>
        </w:rPr>
        <w:t>Q:</w:t>
      </w:r>
      <w:r>
        <w:rPr>
          <w:rFonts w:ascii="Garamond" w:hAnsi="Garamond"/>
          <w:b/>
          <w:bCs/>
        </w:rPr>
        <w:tab/>
        <w:t>IN PAST TESTIMONY VMG HAS USED A VARIETY OF MEANS TO INDEPENDENTLY ASSESS THE TPC EAC; HAS VMG DONE SO FOR THIS TESTIMONY?</w:t>
      </w:r>
    </w:p>
    <w:p w:rsidR="004B08B4" w:rsidRDefault="0016507D" w:rsidP="00C35E49">
      <w:pPr>
        <w:spacing w:line="480" w:lineRule="auto"/>
        <w:ind w:left="720" w:hanging="720"/>
        <w:jc w:val="both"/>
        <w:rPr>
          <w:rFonts w:ascii="Garamond" w:hAnsi="Garamond"/>
        </w:rPr>
      </w:pPr>
      <w:r>
        <w:rPr>
          <w:rFonts w:ascii="Garamond" w:hAnsi="Garamond"/>
        </w:rPr>
        <w:t>A:</w:t>
      </w:r>
      <w:r>
        <w:rPr>
          <w:rFonts w:ascii="Garamond" w:hAnsi="Garamond"/>
        </w:rPr>
        <w:tab/>
        <w:t xml:space="preserve">As is described in VMG prior testimony we </w:t>
      </w:r>
      <w:r w:rsidR="00131A8A">
        <w:rPr>
          <w:rFonts w:ascii="Garamond" w:hAnsi="Garamond"/>
        </w:rPr>
        <w:t xml:space="preserve">had </w:t>
      </w:r>
      <w:r>
        <w:rPr>
          <w:rFonts w:ascii="Garamond" w:hAnsi="Garamond"/>
        </w:rPr>
        <w:t xml:space="preserve">also used a dollars </w:t>
      </w:r>
      <w:r w:rsidR="002F09A4">
        <w:rPr>
          <w:rFonts w:ascii="Garamond" w:hAnsi="Garamond"/>
        </w:rPr>
        <w:t xml:space="preserve">per </w:t>
      </w:r>
      <w:r>
        <w:rPr>
          <w:rFonts w:ascii="Garamond" w:hAnsi="Garamond"/>
        </w:rPr>
        <w:t xml:space="preserve">percent complete method.  </w:t>
      </w:r>
      <w:r w:rsidR="006643DC">
        <w:rPr>
          <w:rFonts w:ascii="Garamond" w:hAnsi="Garamond"/>
        </w:rPr>
        <w:t xml:space="preserve">VMG did </w:t>
      </w:r>
      <w:r w:rsidR="002F09A4">
        <w:rPr>
          <w:rFonts w:ascii="Garamond" w:hAnsi="Garamond"/>
        </w:rPr>
        <w:t>not continue</w:t>
      </w:r>
      <w:r>
        <w:rPr>
          <w:rFonts w:ascii="Garamond" w:hAnsi="Garamond"/>
        </w:rPr>
        <w:t xml:space="preserve"> use of that method for we </w:t>
      </w:r>
      <w:r w:rsidR="004B08B4">
        <w:rPr>
          <w:rFonts w:ascii="Garamond" w:hAnsi="Garamond"/>
        </w:rPr>
        <w:t xml:space="preserve">have found there are aspects of the percent complete reporting that do not provide a solid basis for continued use of this methodology.  To illustrate, the </w:t>
      </w:r>
      <w:r w:rsidR="00153BEC">
        <w:rPr>
          <w:rFonts w:ascii="Garamond" w:hAnsi="Garamond"/>
        </w:rPr>
        <w:t xml:space="preserve">on-going </w:t>
      </w:r>
      <w:r w:rsidR="004B08B4">
        <w:rPr>
          <w:rFonts w:ascii="Garamond" w:hAnsi="Garamond"/>
        </w:rPr>
        <w:t xml:space="preserve">Engineering Budget EAC is $ </w:t>
      </w:r>
      <w:r w:rsidR="00153BEC">
        <w:rPr>
          <w:rFonts w:ascii="Garamond" w:hAnsi="Garamond"/>
        </w:rPr>
        <w:t>258</w:t>
      </w:r>
      <w:r w:rsidR="004B08B4">
        <w:rPr>
          <w:rFonts w:ascii="Garamond" w:hAnsi="Garamond"/>
        </w:rPr>
        <w:t xml:space="preserve"> M, and the </w:t>
      </w:r>
      <w:r w:rsidR="00153BEC">
        <w:rPr>
          <w:rFonts w:ascii="Garamond" w:hAnsi="Garamond"/>
        </w:rPr>
        <w:t xml:space="preserve">Estimate to Complete (ETC) for this </w:t>
      </w:r>
      <w:r w:rsidR="004B08B4">
        <w:rPr>
          <w:rFonts w:ascii="Garamond" w:hAnsi="Garamond"/>
        </w:rPr>
        <w:t xml:space="preserve">budget </w:t>
      </w:r>
      <w:r w:rsidR="00153BEC">
        <w:rPr>
          <w:rFonts w:ascii="Garamond" w:hAnsi="Garamond"/>
        </w:rPr>
        <w:t>is</w:t>
      </w:r>
      <w:r w:rsidR="004B08B4">
        <w:rPr>
          <w:rFonts w:ascii="Garamond" w:hAnsi="Garamond"/>
        </w:rPr>
        <w:t xml:space="preserve"> $</w:t>
      </w:r>
      <w:r w:rsidR="00153BEC">
        <w:rPr>
          <w:rFonts w:ascii="Garamond" w:hAnsi="Garamond"/>
        </w:rPr>
        <w:t xml:space="preserve"> 57 M</w:t>
      </w:r>
      <w:r w:rsidR="004B08B4">
        <w:rPr>
          <w:rFonts w:ascii="Garamond" w:hAnsi="Garamond"/>
        </w:rPr>
        <w:t xml:space="preserve">, thus (with a properly integrated Earned Value Management System) would indicate a percent complete </w:t>
      </w:r>
      <w:r w:rsidR="00153BEC">
        <w:rPr>
          <w:rFonts w:ascii="Garamond" w:hAnsi="Garamond"/>
        </w:rPr>
        <w:t xml:space="preserve">to go </w:t>
      </w:r>
      <w:r w:rsidR="004B08B4">
        <w:rPr>
          <w:rFonts w:ascii="Garamond" w:hAnsi="Garamond"/>
        </w:rPr>
        <w:t xml:space="preserve">of roughly </w:t>
      </w:r>
      <w:r w:rsidR="00153BEC">
        <w:rPr>
          <w:rFonts w:ascii="Garamond" w:hAnsi="Garamond"/>
        </w:rPr>
        <w:t>22</w:t>
      </w:r>
      <w:r w:rsidR="004B08B4">
        <w:rPr>
          <w:rFonts w:ascii="Garamond" w:hAnsi="Garamond"/>
        </w:rPr>
        <w:t xml:space="preserve"> %.  Yet, engineering has been reported at 100% complete for the past 10 months. </w:t>
      </w:r>
      <w:r w:rsidR="000E11FE">
        <w:rPr>
          <w:rFonts w:ascii="Garamond" w:hAnsi="Garamond"/>
        </w:rPr>
        <w:t xml:space="preserve">This will become more obvious as percent complete yet to be reported gets smaller and smaller each month while actual costs continue at about the same $200M per month rate for months to come. </w:t>
      </w:r>
      <w:r>
        <w:rPr>
          <w:rFonts w:ascii="Garamond" w:hAnsi="Garamond"/>
        </w:rPr>
        <w:t xml:space="preserve"> </w:t>
      </w:r>
    </w:p>
    <w:p w:rsidR="0016507D" w:rsidRDefault="004B08B4" w:rsidP="00C35E49">
      <w:pPr>
        <w:spacing w:line="480" w:lineRule="auto"/>
        <w:ind w:left="720" w:hanging="720"/>
        <w:jc w:val="both"/>
        <w:rPr>
          <w:rFonts w:ascii="Garamond" w:hAnsi="Garamond"/>
        </w:rPr>
      </w:pPr>
      <w:r>
        <w:rPr>
          <w:rFonts w:ascii="Garamond" w:hAnsi="Garamond"/>
        </w:rPr>
        <w:lastRenderedPageBreak/>
        <w:tab/>
      </w:r>
      <w:r w:rsidR="00970766">
        <w:rPr>
          <w:rFonts w:ascii="Garamond" w:hAnsi="Garamond"/>
        </w:rPr>
        <w:t>VMG</w:t>
      </w:r>
      <w:r w:rsidR="0016507D">
        <w:rPr>
          <w:rFonts w:ascii="Garamond" w:hAnsi="Garamond"/>
        </w:rPr>
        <w:t xml:space="preserve"> did continue to use another approach wherein we took a closer look at the categories of costs that are the primary drivers of the Estimate to Complete (ETC) and used this method as an independent check</w:t>
      </w:r>
      <w:r w:rsidR="007C4BD2">
        <w:rPr>
          <w:rFonts w:ascii="Garamond" w:hAnsi="Garamond"/>
        </w:rPr>
        <w:t>.</w:t>
      </w:r>
    </w:p>
    <w:p w:rsidR="007C4BD2" w:rsidRDefault="007C4BD2" w:rsidP="00195D5A">
      <w:pPr>
        <w:spacing w:line="480" w:lineRule="auto"/>
        <w:ind w:left="720" w:hanging="720"/>
        <w:jc w:val="both"/>
        <w:rPr>
          <w:rFonts w:ascii="Garamond" w:hAnsi="Garamond"/>
          <w:b/>
          <w:bCs/>
        </w:rPr>
      </w:pPr>
      <w:r>
        <w:rPr>
          <w:rFonts w:ascii="Garamond" w:hAnsi="Garamond"/>
          <w:b/>
          <w:bCs/>
        </w:rPr>
        <w:t>Q:</w:t>
      </w:r>
      <w:r>
        <w:rPr>
          <w:rFonts w:ascii="Garamond" w:hAnsi="Garamond"/>
          <w:b/>
          <w:bCs/>
        </w:rPr>
        <w:tab/>
        <w:t>COULD YOU PLEASE DESCRIBE THAT METHOD AND ITS RESULTS?</w:t>
      </w:r>
    </w:p>
    <w:p w:rsidR="00725681" w:rsidRDefault="007C4BD2" w:rsidP="00195D5A">
      <w:pPr>
        <w:spacing w:line="480" w:lineRule="auto"/>
        <w:ind w:left="720" w:hanging="720"/>
        <w:jc w:val="both"/>
        <w:rPr>
          <w:rFonts w:ascii="Garamond" w:hAnsi="Garamond"/>
        </w:rPr>
      </w:pPr>
      <w:r>
        <w:rPr>
          <w:rFonts w:ascii="Garamond" w:hAnsi="Garamond"/>
        </w:rPr>
        <w:t>A:</w:t>
      </w:r>
      <w:r>
        <w:rPr>
          <w:rFonts w:ascii="Garamond" w:hAnsi="Garamond"/>
        </w:rPr>
        <w:tab/>
        <w:t xml:space="preserve">For this method we first looked at the actual CPIs being experienced on both U-3 and U-4 and compared those with what has been used as the basis </w:t>
      </w:r>
      <w:r w:rsidR="00562BE4">
        <w:rPr>
          <w:rFonts w:ascii="Garamond" w:hAnsi="Garamond"/>
        </w:rPr>
        <w:t xml:space="preserve">of estimate </w:t>
      </w:r>
      <w:r w:rsidR="004B08B4">
        <w:rPr>
          <w:rFonts w:ascii="Garamond" w:hAnsi="Garamond"/>
        </w:rPr>
        <w:t xml:space="preserve">CPIs </w:t>
      </w:r>
      <w:r w:rsidR="00562BE4">
        <w:rPr>
          <w:rFonts w:ascii="Garamond" w:hAnsi="Garamond"/>
        </w:rPr>
        <w:t xml:space="preserve">(BOE CPIs) </w:t>
      </w:r>
      <w:r>
        <w:rPr>
          <w:rFonts w:ascii="Garamond" w:hAnsi="Garamond"/>
        </w:rPr>
        <w:t>for the going forward construction efforts.  This data is provided in Table TC-</w:t>
      </w:r>
      <w:r w:rsidR="00562BE4">
        <w:rPr>
          <w:rFonts w:ascii="Garamond" w:hAnsi="Garamond"/>
        </w:rPr>
        <w:t>5</w:t>
      </w:r>
      <w:r w:rsidR="002F09A4">
        <w:rPr>
          <w:rFonts w:ascii="Garamond" w:hAnsi="Garamond"/>
        </w:rPr>
        <w:t>.</w:t>
      </w:r>
      <w:r>
        <w:rPr>
          <w:rFonts w:ascii="Garamond" w:hAnsi="Garamond"/>
        </w:rPr>
        <w:t xml:space="preserve"> </w:t>
      </w:r>
    </w:p>
    <w:p w:rsidR="004B08B4" w:rsidRDefault="004B08B4" w:rsidP="00195D5A">
      <w:pPr>
        <w:spacing w:line="480" w:lineRule="auto"/>
        <w:ind w:left="720" w:hanging="720"/>
        <w:jc w:val="both"/>
        <w:rPr>
          <w:rFonts w:ascii="Garamond" w:hAnsi="Garamond"/>
        </w:rPr>
      </w:pPr>
    </w:p>
    <w:tbl>
      <w:tblPr>
        <w:tblW w:w="8910" w:type="dxa"/>
        <w:tblInd w:w="558" w:type="dxa"/>
        <w:tblLook w:val="04A0" w:firstRow="1" w:lastRow="0" w:firstColumn="1" w:lastColumn="0" w:noHBand="0" w:noVBand="1"/>
      </w:tblPr>
      <w:tblGrid>
        <w:gridCol w:w="1710"/>
        <w:gridCol w:w="2340"/>
        <w:gridCol w:w="2160"/>
        <w:gridCol w:w="2700"/>
      </w:tblGrid>
      <w:tr w:rsidR="00562BE4" w:rsidTr="00562BE4">
        <w:trPr>
          <w:trHeight w:val="400"/>
        </w:trPr>
        <w:tc>
          <w:tcPr>
            <w:tcW w:w="891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Table TC-5</w:t>
            </w:r>
            <w:r w:rsidR="009B4904">
              <w:rPr>
                <w:rFonts w:ascii="Calibri" w:hAnsi="Calibri" w:cs="Calibri"/>
                <w:color w:val="000000"/>
              </w:rPr>
              <w:t>:</w:t>
            </w:r>
            <w:r>
              <w:rPr>
                <w:rFonts w:ascii="Calibri" w:hAnsi="Calibri" w:cs="Calibri"/>
                <w:color w:val="000000"/>
              </w:rPr>
              <w:t xml:space="preserve"> Actual vs Basis of Estimate (BOE) CPIs</w:t>
            </w:r>
          </w:p>
        </w:tc>
      </w:tr>
      <w:tr w:rsidR="00562BE4" w:rsidTr="00562BE4">
        <w:trPr>
          <w:trHeight w:val="380"/>
        </w:trPr>
        <w:tc>
          <w:tcPr>
            <w:tcW w:w="8910" w:type="dxa"/>
            <w:gridSpan w:val="4"/>
            <w:tcBorders>
              <w:top w:val="single" w:sz="4" w:space="0" w:color="auto"/>
              <w:left w:val="single" w:sz="8" w:space="0" w:color="auto"/>
              <w:bottom w:val="single" w:sz="4" w:space="0" w:color="auto"/>
              <w:right w:val="single" w:sz="8" w:space="0" w:color="000000"/>
            </w:tcBorders>
            <w:shd w:val="clear" w:color="auto" w:fill="auto"/>
            <w:vAlign w:val="bottom"/>
            <w:hideMark/>
          </w:tcPr>
          <w:p w:rsidR="00562BE4" w:rsidRDefault="00562BE4">
            <w:pPr>
              <w:jc w:val="center"/>
              <w:rPr>
                <w:rFonts w:ascii="Calibri" w:hAnsi="Calibri" w:cs="Calibri"/>
                <w:color w:val="000000"/>
              </w:rPr>
            </w:pPr>
            <w:r>
              <w:rPr>
                <w:rFonts w:ascii="Calibri" w:hAnsi="Calibri" w:cs="Calibri"/>
                <w:color w:val="000000"/>
              </w:rPr>
              <w:t>U-3; Actual Weekly Electrical CPIs (vs Costing BOE CPI of 5.0)</w:t>
            </w:r>
          </w:p>
        </w:tc>
      </w:tr>
      <w:tr w:rsidR="00562BE4" w:rsidTr="00562BE4">
        <w:trPr>
          <w:trHeight w:val="320"/>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Date</w:t>
            </w:r>
            <w:r w:rsidR="00483382">
              <w:rPr>
                <w:rFonts w:ascii="Calibri" w:hAnsi="Calibri" w:cs="Calibri"/>
                <w:color w:val="000000"/>
              </w:rPr>
              <w:t>s (2021)</w:t>
            </w:r>
          </w:p>
        </w:tc>
        <w:tc>
          <w:tcPr>
            <w:tcW w:w="2340" w:type="dxa"/>
            <w:tcBorders>
              <w:top w:val="nil"/>
              <w:left w:val="nil"/>
              <w:bottom w:val="single" w:sz="4" w:space="0" w:color="auto"/>
              <w:right w:val="single" w:sz="4"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CPI</w:t>
            </w:r>
          </w:p>
        </w:tc>
        <w:tc>
          <w:tcPr>
            <w:tcW w:w="2160" w:type="dxa"/>
            <w:tcBorders>
              <w:top w:val="nil"/>
              <w:left w:val="nil"/>
              <w:bottom w:val="single" w:sz="4" w:space="0" w:color="auto"/>
              <w:right w:val="single" w:sz="4"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Date</w:t>
            </w:r>
          </w:p>
        </w:tc>
        <w:tc>
          <w:tcPr>
            <w:tcW w:w="2700" w:type="dxa"/>
            <w:tcBorders>
              <w:top w:val="nil"/>
              <w:left w:val="nil"/>
              <w:bottom w:val="single" w:sz="4" w:space="0" w:color="auto"/>
              <w:right w:val="single" w:sz="8"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CPI</w:t>
            </w:r>
          </w:p>
        </w:tc>
      </w:tr>
      <w:tr w:rsidR="00562BE4" w:rsidTr="00562BE4">
        <w:trPr>
          <w:trHeight w:val="320"/>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Sept 16</w:t>
            </w:r>
          </w:p>
        </w:tc>
        <w:tc>
          <w:tcPr>
            <w:tcW w:w="2340" w:type="dxa"/>
            <w:tcBorders>
              <w:top w:val="nil"/>
              <w:left w:val="nil"/>
              <w:bottom w:val="single" w:sz="4" w:space="0" w:color="auto"/>
              <w:right w:val="single" w:sz="4"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49.94</w:t>
            </w:r>
          </w:p>
        </w:tc>
        <w:tc>
          <w:tcPr>
            <w:tcW w:w="2160" w:type="dxa"/>
            <w:tcBorders>
              <w:top w:val="nil"/>
              <w:left w:val="nil"/>
              <w:bottom w:val="single" w:sz="4" w:space="0" w:color="auto"/>
              <w:right w:val="single" w:sz="4"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Oct 17</w:t>
            </w:r>
          </w:p>
        </w:tc>
        <w:tc>
          <w:tcPr>
            <w:tcW w:w="2700" w:type="dxa"/>
            <w:tcBorders>
              <w:top w:val="nil"/>
              <w:left w:val="nil"/>
              <w:bottom w:val="single" w:sz="4" w:space="0" w:color="auto"/>
              <w:right w:val="single" w:sz="8"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15.92</w:t>
            </w:r>
          </w:p>
        </w:tc>
      </w:tr>
      <w:tr w:rsidR="00562BE4" w:rsidTr="00562BE4">
        <w:trPr>
          <w:trHeight w:val="320"/>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Oct 3</w:t>
            </w:r>
          </w:p>
        </w:tc>
        <w:tc>
          <w:tcPr>
            <w:tcW w:w="2340" w:type="dxa"/>
            <w:tcBorders>
              <w:top w:val="nil"/>
              <w:left w:val="nil"/>
              <w:bottom w:val="single" w:sz="4" w:space="0" w:color="auto"/>
              <w:right w:val="single" w:sz="4"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43.31</w:t>
            </w:r>
          </w:p>
        </w:tc>
        <w:tc>
          <w:tcPr>
            <w:tcW w:w="2160" w:type="dxa"/>
            <w:tcBorders>
              <w:top w:val="nil"/>
              <w:left w:val="nil"/>
              <w:bottom w:val="single" w:sz="4" w:space="0" w:color="auto"/>
              <w:right w:val="single" w:sz="4"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 xml:space="preserve">Oct 24 </w:t>
            </w:r>
          </w:p>
        </w:tc>
        <w:tc>
          <w:tcPr>
            <w:tcW w:w="2700" w:type="dxa"/>
            <w:tcBorders>
              <w:top w:val="nil"/>
              <w:left w:val="nil"/>
              <w:bottom w:val="single" w:sz="4" w:space="0" w:color="auto"/>
              <w:right w:val="single" w:sz="8"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18.01</w:t>
            </w:r>
          </w:p>
        </w:tc>
      </w:tr>
      <w:tr w:rsidR="00562BE4" w:rsidTr="00562BE4">
        <w:trPr>
          <w:trHeight w:val="320"/>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Oct 10</w:t>
            </w:r>
          </w:p>
        </w:tc>
        <w:tc>
          <w:tcPr>
            <w:tcW w:w="2340" w:type="dxa"/>
            <w:tcBorders>
              <w:top w:val="nil"/>
              <w:left w:val="nil"/>
              <w:bottom w:val="single" w:sz="4" w:space="0" w:color="auto"/>
              <w:right w:val="single" w:sz="4"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14.86</w:t>
            </w:r>
          </w:p>
        </w:tc>
        <w:tc>
          <w:tcPr>
            <w:tcW w:w="4860" w:type="dxa"/>
            <w:gridSpan w:val="2"/>
            <w:tcBorders>
              <w:top w:val="single" w:sz="4" w:space="0" w:color="auto"/>
              <w:left w:val="nil"/>
              <w:bottom w:val="single" w:sz="4" w:space="0" w:color="auto"/>
              <w:right w:val="single" w:sz="8" w:space="0" w:color="000000"/>
            </w:tcBorders>
            <w:shd w:val="clear" w:color="000000" w:fill="BFBFBF"/>
            <w:noWrap/>
            <w:vAlign w:val="bottom"/>
            <w:hideMark/>
          </w:tcPr>
          <w:p w:rsidR="00562BE4" w:rsidRDefault="00562BE4">
            <w:pPr>
              <w:jc w:val="center"/>
              <w:rPr>
                <w:rFonts w:ascii="Calibri" w:hAnsi="Calibri" w:cs="Calibri"/>
                <w:color w:val="000000"/>
              </w:rPr>
            </w:pPr>
            <w:r>
              <w:rPr>
                <w:rFonts w:ascii="Calibri" w:hAnsi="Calibri" w:cs="Calibri"/>
                <w:color w:val="000000"/>
              </w:rPr>
              <w:t> </w:t>
            </w:r>
          </w:p>
        </w:tc>
      </w:tr>
      <w:tr w:rsidR="00562BE4" w:rsidTr="00562BE4">
        <w:trPr>
          <w:trHeight w:val="320"/>
        </w:trPr>
        <w:tc>
          <w:tcPr>
            <w:tcW w:w="8910"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U-4; Electrical &amp; Mechanical, 4-week Avg CPIs</w:t>
            </w:r>
          </w:p>
        </w:tc>
      </w:tr>
      <w:tr w:rsidR="00562BE4" w:rsidTr="00562BE4">
        <w:trPr>
          <w:trHeight w:val="320"/>
        </w:trPr>
        <w:tc>
          <w:tcPr>
            <w:tcW w:w="405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Electrical</w:t>
            </w:r>
          </w:p>
        </w:tc>
        <w:tc>
          <w:tcPr>
            <w:tcW w:w="4860" w:type="dxa"/>
            <w:gridSpan w:val="2"/>
            <w:tcBorders>
              <w:top w:val="single" w:sz="4" w:space="0" w:color="auto"/>
              <w:left w:val="nil"/>
              <w:bottom w:val="single" w:sz="4" w:space="0" w:color="auto"/>
              <w:right w:val="single" w:sz="8" w:space="0" w:color="000000"/>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Mechanical</w:t>
            </w:r>
          </w:p>
        </w:tc>
      </w:tr>
      <w:tr w:rsidR="00562BE4" w:rsidTr="00562BE4">
        <w:trPr>
          <w:trHeight w:val="320"/>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Actual CPI</w:t>
            </w:r>
          </w:p>
        </w:tc>
        <w:tc>
          <w:tcPr>
            <w:tcW w:w="2340" w:type="dxa"/>
            <w:tcBorders>
              <w:top w:val="nil"/>
              <w:left w:val="nil"/>
              <w:bottom w:val="single" w:sz="4" w:space="0" w:color="auto"/>
              <w:right w:val="single" w:sz="4"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BOE CPI</w:t>
            </w:r>
          </w:p>
        </w:tc>
        <w:tc>
          <w:tcPr>
            <w:tcW w:w="2160" w:type="dxa"/>
            <w:tcBorders>
              <w:top w:val="nil"/>
              <w:left w:val="nil"/>
              <w:bottom w:val="single" w:sz="4" w:space="0" w:color="auto"/>
              <w:right w:val="single" w:sz="4"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Actual CPI</w:t>
            </w:r>
          </w:p>
        </w:tc>
        <w:tc>
          <w:tcPr>
            <w:tcW w:w="2700" w:type="dxa"/>
            <w:tcBorders>
              <w:top w:val="nil"/>
              <w:left w:val="nil"/>
              <w:bottom w:val="single" w:sz="4" w:space="0" w:color="auto"/>
              <w:right w:val="single" w:sz="8"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BOE CPI</w:t>
            </w:r>
          </w:p>
        </w:tc>
      </w:tr>
      <w:tr w:rsidR="00562BE4" w:rsidTr="00562BE4">
        <w:trPr>
          <w:trHeight w:val="340"/>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2.38</w:t>
            </w:r>
          </w:p>
        </w:tc>
        <w:tc>
          <w:tcPr>
            <w:tcW w:w="2340" w:type="dxa"/>
            <w:tcBorders>
              <w:top w:val="nil"/>
              <w:left w:val="nil"/>
              <w:bottom w:val="single" w:sz="4" w:space="0" w:color="auto"/>
              <w:right w:val="single" w:sz="4"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2.30</w:t>
            </w:r>
          </w:p>
        </w:tc>
        <w:tc>
          <w:tcPr>
            <w:tcW w:w="2160" w:type="dxa"/>
            <w:tcBorders>
              <w:top w:val="nil"/>
              <w:left w:val="nil"/>
              <w:bottom w:val="single" w:sz="4" w:space="0" w:color="auto"/>
              <w:right w:val="single" w:sz="4"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2.42</w:t>
            </w:r>
          </w:p>
        </w:tc>
        <w:tc>
          <w:tcPr>
            <w:tcW w:w="2700" w:type="dxa"/>
            <w:tcBorders>
              <w:top w:val="nil"/>
              <w:left w:val="nil"/>
              <w:bottom w:val="single" w:sz="4" w:space="0" w:color="auto"/>
              <w:right w:val="single" w:sz="8" w:space="0" w:color="auto"/>
            </w:tcBorders>
            <w:shd w:val="clear" w:color="auto" w:fill="auto"/>
            <w:noWrap/>
            <w:vAlign w:val="bottom"/>
            <w:hideMark/>
          </w:tcPr>
          <w:p w:rsidR="00562BE4" w:rsidRDefault="00562BE4">
            <w:pPr>
              <w:jc w:val="center"/>
              <w:rPr>
                <w:rFonts w:ascii="Calibri" w:hAnsi="Calibri" w:cs="Calibri"/>
                <w:color w:val="000000"/>
              </w:rPr>
            </w:pPr>
            <w:r>
              <w:rPr>
                <w:rFonts w:ascii="Calibri" w:hAnsi="Calibri" w:cs="Calibri"/>
                <w:color w:val="000000"/>
              </w:rPr>
              <w:t>2.3</w:t>
            </w:r>
          </w:p>
        </w:tc>
      </w:tr>
      <w:tr w:rsidR="00562BE4" w:rsidTr="00562BE4">
        <w:trPr>
          <w:trHeight w:val="458"/>
        </w:trPr>
        <w:tc>
          <w:tcPr>
            <w:tcW w:w="8910"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rsidR="00562BE4" w:rsidRDefault="00562BE4">
            <w:pPr>
              <w:jc w:val="center"/>
              <w:rPr>
                <w:rFonts w:ascii="Calibri" w:hAnsi="Calibri" w:cs="Calibri"/>
                <w:color w:val="000000"/>
              </w:rPr>
            </w:pPr>
            <w:r>
              <w:rPr>
                <w:rFonts w:ascii="Calibri" w:hAnsi="Calibri" w:cs="Calibri"/>
                <w:color w:val="000000"/>
              </w:rPr>
              <w:t xml:space="preserve">NOTE:  The actual Mechanical CPI in the most critical </w:t>
            </w:r>
            <w:r w:rsidR="002F09A4">
              <w:rPr>
                <w:rFonts w:ascii="Calibri" w:hAnsi="Calibri" w:cs="Calibri"/>
                <w:color w:val="000000"/>
              </w:rPr>
              <w:t>(</w:t>
            </w:r>
            <w:r>
              <w:rPr>
                <w:rFonts w:ascii="Calibri" w:hAnsi="Calibri" w:cs="Calibri"/>
                <w:color w:val="000000"/>
              </w:rPr>
              <w:t>i.e., Containment</w:t>
            </w:r>
            <w:r w:rsidR="002F09A4">
              <w:rPr>
                <w:rFonts w:ascii="Calibri" w:hAnsi="Calibri" w:cs="Calibri"/>
                <w:color w:val="000000"/>
              </w:rPr>
              <w:t>)</w:t>
            </w:r>
            <w:r>
              <w:rPr>
                <w:rFonts w:ascii="Calibri" w:hAnsi="Calibri" w:cs="Calibri"/>
                <w:color w:val="000000"/>
              </w:rPr>
              <w:t xml:space="preserve"> Building is 4.9</w:t>
            </w:r>
          </w:p>
        </w:tc>
      </w:tr>
    </w:tbl>
    <w:p w:rsidR="00506D1E" w:rsidRDefault="00131A8A" w:rsidP="00195D5A">
      <w:pPr>
        <w:spacing w:line="480" w:lineRule="auto"/>
        <w:ind w:left="720" w:hanging="720"/>
        <w:jc w:val="both"/>
        <w:rPr>
          <w:rFonts w:ascii="Garamond" w:hAnsi="Garamond"/>
        </w:rPr>
      </w:pPr>
      <w:r>
        <w:rPr>
          <w:rFonts w:ascii="Garamond" w:hAnsi="Garamond"/>
        </w:rPr>
        <w:tab/>
      </w:r>
    </w:p>
    <w:p w:rsidR="00173B41" w:rsidRDefault="00506D1E" w:rsidP="00195D5A">
      <w:pPr>
        <w:spacing w:line="480" w:lineRule="auto"/>
        <w:ind w:left="720" w:hanging="720"/>
        <w:jc w:val="both"/>
        <w:rPr>
          <w:rFonts w:ascii="Garamond" w:hAnsi="Garamond"/>
        </w:rPr>
      </w:pPr>
      <w:r>
        <w:rPr>
          <w:rFonts w:ascii="Garamond" w:hAnsi="Garamond"/>
        </w:rPr>
        <w:tab/>
      </w:r>
      <w:r w:rsidR="00131A8A">
        <w:rPr>
          <w:rFonts w:ascii="Garamond" w:hAnsi="Garamond"/>
        </w:rPr>
        <w:t xml:space="preserve">The above data relates to direct construction work.  </w:t>
      </w:r>
      <w:r w:rsidR="00725681">
        <w:rPr>
          <w:rFonts w:ascii="Garamond" w:hAnsi="Garamond"/>
        </w:rPr>
        <w:t xml:space="preserve">For </w:t>
      </w:r>
      <w:r w:rsidR="004865EB">
        <w:rPr>
          <w:rFonts w:ascii="Garamond" w:hAnsi="Garamond"/>
        </w:rPr>
        <w:t xml:space="preserve">some of </w:t>
      </w:r>
      <w:r w:rsidR="00725681">
        <w:rPr>
          <w:rFonts w:ascii="Garamond" w:hAnsi="Garamond"/>
        </w:rPr>
        <w:t xml:space="preserve">the remaining cost categories </w:t>
      </w:r>
      <w:r w:rsidR="00131A8A">
        <w:rPr>
          <w:rFonts w:ascii="Garamond" w:hAnsi="Garamond"/>
        </w:rPr>
        <w:t xml:space="preserve">such as </w:t>
      </w:r>
      <w:proofErr w:type="spellStart"/>
      <w:r w:rsidR="00713E4B">
        <w:rPr>
          <w:rFonts w:ascii="Garamond" w:hAnsi="Garamond"/>
        </w:rPr>
        <w:t>Indirect</w:t>
      </w:r>
      <w:r w:rsidR="00131A8A">
        <w:rPr>
          <w:rFonts w:ascii="Garamond" w:hAnsi="Garamond"/>
        </w:rPr>
        <w:t>s</w:t>
      </w:r>
      <w:proofErr w:type="spellEnd"/>
      <w:r w:rsidR="00713E4B">
        <w:rPr>
          <w:rFonts w:ascii="Garamond" w:hAnsi="Garamond"/>
        </w:rPr>
        <w:t>, Field Non</w:t>
      </w:r>
      <w:r w:rsidR="004865EB">
        <w:rPr>
          <w:rFonts w:ascii="Garamond" w:hAnsi="Garamond"/>
        </w:rPr>
        <w:t>-</w:t>
      </w:r>
      <w:r w:rsidR="00713E4B">
        <w:rPr>
          <w:rFonts w:ascii="Garamond" w:hAnsi="Garamond"/>
        </w:rPr>
        <w:t xml:space="preserve">Manuals, SNC Labor, </w:t>
      </w:r>
      <w:r w:rsidR="00131A8A">
        <w:rPr>
          <w:rFonts w:ascii="Garamond" w:hAnsi="Garamond"/>
        </w:rPr>
        <w:t xml:space="preserve">and </w:t>
      </w:r>
      <w:r w:rsidR="00713E4B">
        <w:rPr>
          <w:rFonts w:ascii="Garamond" w:hAnsi="Garamond"/>
        </w:rPr>
        <w:t>Su</w:t>
      </w:r>
      <w:r w:rsidR="00131A8A">
        <w:rPr>
          <w:rFonts w:ascii="Garamond" w:hAnsi="Garamond"/>
        </w:rPr>
        <w:t>b</w:t>
      </w:r>
      <w:r w:rsidR="00713E4B">
        <w:rPr>
          <w:rFonts w:ascii="Garamond" w:hAnsi="Garamond"/>
        </w:rPr>
        <w:t xml:space="preserve">-Contracts </w:t>
      </w:r>
      <w:r w:rsidR="00725681">
        <w:rPr>
          <w:rFonts w:ascii="Garamond" w:hAnsi="Garamond"/>
        </w:rPr>
        <w:t xml:space="preserve">VMG </w:t>
      </w:r>
      <w:r w:rsidR="00131A8A">
        <w:rPr>
          <w:rFonts w:ascii="Garamond" w:hAnsi="Garamond"/>
        </w:rPr>
        <w:t xml:space="preserve">has </w:t>
      </w:r>
      <w:r w:rsidR="00725681">
        <w:rPr>
          <w:rFonts w:ascii="Garamond" w:hAnsi="Garamond"/>
        </w:rPr>
        <w:t>observed that the updated EACs for these categories continues to lag what is happening in the field</w:t>
      </w:r>
      <w:r w:rsidR="004865EB">
        <w:rPr>
          <w:rFonts w:ascii="Garamond" w:hAnsi="Garamond"/>
        </w:rPr>
        <w:t xml:space="preserve">. </w:t>
      </w:r>
      <w:r w:rsidR="00131A8A">
        <w:rPr>
          <w:rFonts w:ascii="Garamond" w:hAnsi="Garamond"/>
        </w:rPr>
        <w:t xml:space="preserve"> </w:t>
      </w:r>
      <w:r w:rsidR="00725681">
        <w:rPr>
          <w:rFonts w:ascii="Garamond" w:hAnsi="Garamond"/>
        </w:rPr>
        <w:t xml:space="preserve">An example of </w:t>
      </w:r>
      <w:r w:rsidR="00131A8A">
        <w:rPr>
          <w:rFonts w:ascii="Garamond" w:hAnsi="Garamond"/>
        </w:rPr>
        <w:t xml:space="preserve">the delayed updating of the </w:t>
      </w:r>
      <w:r w:rsidR="00970766">
        <w:rPr>
          <w:rFonts w:ascii="Garamond" w:hAnsi="Garamond"/>
        </w:rPr>
        <w:t>P</w:t>
      </w:r>
      <w:r w:rsidR="00131A8A">
        <w:rPr>
          <w:rFonts w:ascii="Garamond" w:hAnsi="Garamond"/>
        </w:rPr>
        <w:t xml:space="preserve">roject ETC </w:t>
      </w:r>
      <w:r w:rsidR="00725681">
        <w:rPr>
          <w:rFonts w:ascii="Garamond" w:hAnsi="Garamond"/>
        </w:rPr>
        <w:t xml:space="preserve">was demonstrated by the discussion of the data presented in Table TC-3.  Other examples are the time between updated forecasts and the amount of the increases with each new forecast.  </w:t>
      </w:r>
      <w:r w:rsidR="006643DC">
        <w:rPr>
          <w:rFonts w:ascii="Garamond" w:hAnsi="Garamond"/>
        </w:rPr>
        <w:t>In</w:t>
      </w:r>
      <w:r w:rsidR="00725681">
        <w:rPr>
          <w:rFonts w:ascii="Garamond" w:hAnsi="Garamond"/>
        </w:rPr>
        <w:t xml:space="preserve"> going forward, for these other four major cost categories we continued these trends.</w:t>
      </w:r>
    </w:p>
    <w:p w:rsidR="00725681" w:rsidRDefault="00725681" w:rsidP="00725681">
      <w:pPr>
        <w:spacing w:line="480" w:lineRule="auto"/>
        <w:ind w:left="720" w:hanging="720"/>
        <w:jc w:val="both"/>
        <w:rPr>
          <w:rFonts w:ascii="Garamond" w:hAnsi="Garamond"/>
          <w:b/>
          <w:bCs/>
        </w:rPr>
      </w:pPr>
      <w:r>
        <w:rPr>
          <w:rFonts w:ascii="Garamond" w:hAnsi="Garamond"/>
          <w:b/>
          <w:bCs/>
        </w:rPr>
        <w:lastRenderedPageBreak/>
        <w:t>Q:</w:t>
      </w:r>
      <w:r>
        <w:rPr>
          <w:rFonts w:ascii="Garamond" w:hAnsi="Garamond"/>
          <w:b/>
          <w:bCs/>
        </w:rPr>
        <w:tab/>
        <w:t xml:space="preserve">AND WHAT </w:t>
      </w:r>
      <w:r w:rsidR="002E3519">
        <w:rPr>
          <w:rFonts w:ascii="Garamond" w:hAnsi="Garamond"/>
          <w:b/>
          <w:bCs/>
        </w:rPr>
        <w:t xml:space="preserve">IS </w:t>
      </w:r>
      <w:r w:rsidR="00506D1E">
        <w:rPr>
          <w:rFonts w:ascii="Garamond" w:hAnsi="Garamond"/>
          <w:b/>
          <w:bCs/>
        </w:rPr>
        <w:t>THE TPC</w:t>
      </w:r>
      <w:r>
        <w:rPr>
          <w:rFonts w:ascii="Garamond" w:hAnsi="Garamond"/>
          <w:b/>
          <w:bCs/>
        </w:rPr>
        <w:t xml:space="preserve"> EAC FROM USING THIS METHOD OF ANALYSIS?</w:t>
      </w:r>
    </w:p>
    <w:p w:rsidR="00725681" w:rsidRDefault="00725681" w:rsidP="00725681">
      <w:pPr>
        <w:spacing w:line="480" w:lineRule="auto"/>
        <w:ind w:left="720" w:hanging="720"/>
        <w:jc w:val="both"/>
        <w:rPr>
          <w:rFonts w:ascii="Garamond" w:hAnsi="Garamond"/>
        </w:rPr>
      </w:pPr>
      <w:r>
        <w:rPr>
          <w:rFonts w:ascii="Garamond" w:hAnsi="Garamond"/>
        </w:rPr>
        <w:t xml:space="preserve">A: </w:t>
      </w:r>
      <w:r>
        <w:rPr>
          <w:rFonts w:ascii="Garamond" w:hAnsi="Garamond"/>
        </w:rPr>
        <w:tab/>
        <w:t xml:space="preserve">The resulting TPC EAC in using this method </w:t>
      </w:r>
      <w:r w:rsidR="002E3519">
        <w:rPr>
          <w:rFonts w:ascii="Garamond" w:hAnsi="Garamond"/>
        </w:rPr>
        <w:t>is</w:t>
      </w:r>
      <w:r>
        <w:rPr>
          <w:rFonts w:ascii="Garamond" w:hAnsi="Garamond"/>
        </w:rPr>
        <w:t xml:space="preserve"> $ 20.1 B, which is at the low range of the TPC EAC shown in Table TC-4</w:t>
      </w:r>
      <w:r w:rsidR="002E3519">
        <w:rPr>
          <w:rFonts w:ascii="Garamond" w:hAnsi="Garamond"/>
        </w:rPr>
        <w:t>.</w:t>
      </w:r>
      <w:r w:rsidR="00131A8A">
        <w:rPr>
          <w:rFonts w:ascii="Garamond" w:hAnsi="Garamond"/>
        </w:rPr>
        <w:t xml:space="preserve">  </w:t>
      </w:r>
      <w:r w:rsidR="002F09A4">
        <w:rPr>
          <w:rFonts w:ascii="Garamond" w:hAnsi="Garamond"/>
        </w:rPr>
        <w:t>This latest approach</w:t>
      </w:r>
      <w:r w:rsidR="005A7EC7">
        <w:rPr>
          <w:rFonts w:ascii="Garamond" w:hAnsi="Garamond"/>
        </w:rPr>
        <w:t xml:space="preserve"> </w:t>
      </w:r>
      <w:r w:rsidR="00FE0825">
        <w:rPr>
          <w:rFonts w:ascii="Garamond" w:hAnsi="Garamond"/>
        </w:rPr>
        <w:t xml:space="preserve">simply trends the company’s latest estimates to complete the defined work within the </w:t>
      </w:r>
      <w:r w:rsidR="00654FE4">
        <w:rPr>
          <w:rFonts w:ascii="Garamond" w:hAnsi="Garamond"/>
        </w:rPr>
        <w:t>C</w:t>
      </w:r>
      <w:r w:rsidR="00FE0825">
        <w:rPr>
          <w:rFonts w:ascii="Garamond" w:hAnsi="Garamond"/>
        </w:rPr>
        <w:t xml:space="preserve">ompany assumed CODs and </w:t>
      </w:r>
      <w:r w:rsidR="005A7EC7">
        <w:rPr>
          <w:rFonts w:ascii="Garamond" w:hAnsi="Garamond"/>
        </w:rPr>
        <w:t xml:space="preserve">does not </w:t>
      </w:r>
      <w:r w:rsidR="00383CBD">
        <w:rPr>
          <w:rFonts w:ascii="Garamond" w:hAnsi="Garamond"/>
        </w:rPr>
        <w:t>include</w:t>
      </w:r>
      <w:r w:rsidR="00FE0825">
        <w:rPr>
          <w:rFonts w:ascii="Garamond" w:hAnsi="Garamond"/>
        </w:rPr>
        <w:t xml:space="preserve"> a</w:t>
      </w:r>
      <w:r w:rsidR="00383CBD">
        <w:rPr>
          <w:rFonts w:ascii="Garamond" w:hAnsi="Garamond"/>
        </w:rPr>
        <w:t xml:space="preserve"> cost</w:t>
      </w:r>
      <w:r w:rsidR="00FE0825">
        <w:rPr>
          <w:rFonts w:ascii="Garamond" w:hAnsi="Garamond"/>
        </w:rPr>
        <w:t xml:space="preserve"> accounting for </w:t>
      </w:r>
      <w:r w:rsidR="005A7EC7">
        <w:rPr>
          <w:rFonts w:ascii="Garamond" w:hAnsi="Garamond"/>
        </w:rPr>
        <w:t>what VMG believes will be further schedule delays</w:t>
      </w:r>
      <w:r w:rsidR="00FE0825">
        <w:rPr>
          <w:rFonts w:ascii="Garamond" w:hAnsi="Garamond"/>
        </w:rPr>
        <w:t xml:space="preserve">. </w:t>
      </w:r>
    </w:p>
    <w:p w:rsidR="002E3519" w:rsidRDefault="002E3519" w:rsidP="00725681">
      <w:pPr>
        <w:spacing w:line="480" w:lineRule="auto"/>
        <w:ind w:left="720" w:hanging="720"/>
        <w:jc w:val="both"/>
        <w:rPr>
          <w:rFonts w:ascii="Garamond" w:hAnsi="Garamond"/>
          <w:b/>
          <w:bCs/>
        </w:rPr>
      </w:pPr>
      <w:r>
        <w:rPr>
          <w:rFonts w:ascii="Garamond" w:hAnsi="Garamond"/>
          <w:b/>
          <w:bCs/>
        </w:rPr>
        <w:t>Q:</w:t>
      </w:r>
      <w:r>
        <w:rPr>
          <w:rFonts w:ascii="Garamond" w:hAnsi="Garamond"/>
          <w:b/>
          <w:bCs/>
        </w:rPr>
        <w:tab/>
        <w:t>WHAT DOES VMG CONCLUDE IN ASSESSING THE TPC EAC?</w:t>
      </w:r>
    </w:p>
    <w:p w:rsidR="002E3519" w:rsidRDefault="002E3519" w:rsidP="00725681">
      <w:pPr>
        <w:spacing w:line="480" w:lineRule="auto"/>
        <w:ind w:left="720" w:hanging="720"/>
        <w:jc w:val="both"/>
        <w:rPr>
          <w:rFonts w:ascii="Garamond" w:hAnsi="Garamond"/>
        </w:rPr>
      </w:pPr>
      <w:r>
        <w:rPr>
          <w:rFonts w:ascii="Garamond" w:hAnsi="Garamond"/>
        </w:rPr>
        <w:t>A:</w:t>
      </w:r>
      <w:r>
        <w:rPr>
          <w:rFonts w:ascii="Garamond" w:hAnsi="Garamond"/>
        </w:rPr>
        <w:tab/>
        <w:t xml:space="preserve">VMG continues to be highly concerned regarding the </w:t>
      </w:r>
      <w:r w:rsidR="007D4ABB">
        <w:rPr>
          <w:rFonts w:ascii="Garamond" w:hAnsi="Garamond"/>
        </w:rPr>
        <w:t>P</w:t>
      </w:r>
      <w:r>
        <w:rPr>
          <w:rFonts w:ascii="Garamond" w:hAnsi="Garamond"/>
        </w:rPr>
        <w:t xml:space="preserve">roject </w:t>
      </w:r>
      <w:r w:rsidR="007D4ABB">
        <w:rPr>
          <w:rFonts w:ascii="Garamond" w:hAnsi="Garamond"/>
        </w:rPr>
        <w:t>S</w:t>
      </w:r>
      <w:r>
        <w:rPr>
          <w:rFonts w:ascii="Garamond" w:hAnsi="Garamond"/>
        </w:rPr>
        <w:t xml:space="preserve">chedule, especially considering the equipment problems that have been experienced to date, the complicated and </w:t>
      </w:r>
      <w:r w:rsidR="00C35E49">
        <w:rPr>
          <w:rFonts w:ascii="Garamond" w:hAnsi="Garamond"/>
        </w:rPr>
        <w:t>time-consuming</w:t>
      </w:r>
      <w:r>
        <w:rPr>
          <w:rFonts w:ascii="Garamond" w:hAnsi="Garamond"/>
        </w:rPr>
        <w:t xml:space="preserve"> processes to close out work and turn the plant over to operations, and the fact that both the primary and secondary systems have yet to be operated at 100% rated conditions.  For these reasons, </w:t>
      </w:r>
      <w:r w:rsidR="006643DC">
        <w:rPr>
          <w:rFonts w:ascii="Garamond" w:hAnsi="Garamond"/>
        </w:rPr>
        <w:t xml:space="preserve">VMG asserts that </w:t>
      </w:r>
      <w:r>
        <w:rPr>
          <w:rFonts w:ascii="Garamond" w:hAnsi="Garamond"/>
        </w:rPr>
        <w:t xml:space="preserve">the first method, wherein we took the </w:t>
      </w:r>
      <w:r w:rsidR="00970766">
        <w:rPr>
          <w:rFonts w:ascii="Garamond" w:hAnsi="Garamond"/>
        </w:rPr>
        <w:t>C</w:t>
      </w:r>
      <w:r>
        <w:rPr>
          <w:rFonts w:ascii="Garamond" w:hAnsi="Garamond"/>
        </w:rPr>
        <w:t xml:space="preserve">ompany-based estimate, and modified it to reflect a later schedule, is </w:t>
      </w:r>
      <w:r w:rsidR="000066CD">
        <w:rPr>
          <w:rFonts w:ascii="Garamond" w:hAnsi="Garamond"/>
        </w:rPr>
        <w:t>t</w:t>
      </w:r>
      <w:r>
        <w:rPr>
          <w:rFonts w:ascii="Garamond" w:hAnsi="Garamond"/>
        </w:rPr>
        <w:t>he m</w:t>
      </w:r>
      <w:r w:rsidR="000066CD">
        <w:rPr>
          <w:rFonts w:ascii="Garamond" w:hAnsi="Garamond"/>
        </w:rPr>
        <w:t>o</w:t>
      </w:r>
      <w:r w:rsidR="00195D5A">
        <w:rPr>
          <w:rFonts w:ascii="Garamond" w:hAnsi="Garamond"/>
        </w:rPr>
        <w:t xml:space="preserve">st </w:t>
      </w:r>
      <w:r>
        <w:rPr>
          <w:rFonts w:ascii="Garamond" w:hAnsi="Garamond"/>
        </w:rPr>
        <w:t>reliable indicator of the range within which the final TPC will fall.  And that is within the range of $ 20.1 B to $ 20.5 B.</w:t>
      </w:r>
    </w:p>
    <w:p w:rsidR="008F08D0" w:rsidRDefault="008F08D0" w:rsidP="000066CD">
      <w:pPr>
        <w:spacing w:line="480" w:lineRule="auto"/>
        <w:ind w:left="720"/>
        <w:jc w:val="center"/>
        <w:rPr>
          <w:rFonts w:ascii="Garamond" w:hAnsi="Garamond"/>
        </w:rPr>
      </w:pPr>
    </w:p>
    <w:p w:rsidR="00972BD3" w:rsidRDefault="00972BD3" w:rsidP="00972BD3">
      <w:pPr>
        <w:spacing w:line="480" w:lineRule="auto"/>
        <w:jc w:val="both"/>
        <w:rPr>
          <w:rFonts w:ascii="Garamond" w:hAnsi="Garamond"/>
          <w:b/>
          <w:bCs/>
        </w:rPr>
      </w:pPr>
      <w:r>
        <w:rPr>
          <w:rFonts w:ascii="Garamond" w:hAnsi="Garamond"/>
          <w:b/>
          <w:bCs/>
        </w:rPr>
        <w:t>Q:</w:t>
      </w:r>
      <w:r>
        <w:rPr>
          <w:rFonts w:ascii="Garamond" w:hAnsi="Garamond"/>
          <w:b/>
          <w:bCs/>
        </w:rPr>
        <w:tab/>
        <w:t>MR. GRACE, DOES THAT COMPLETE YOUR TESTIMONY</w:t>
      </w:r>
      <w:r w:rsidR="009B4904">
        <w:rPr>
          <w:rFonts w:ascii="Garamond" w:hAnsi="Garamond"/>
          <w:b/>
          <w:bCs/>
        </w:rPr>
        <w:t>?</w:t>
      </w:r>
    </w:p>
    <w:p w:rsidR="00972BD3" w:rsidRPr="00972BD3" w:rsidRDefault="00972BD3" w:rsidP="00972BD3">
      <w:pPr>
        <w:spacing w:line="480" w:lineRule="auto"/>
        <w:jc w:val="both"/>
        <w:rPr>
          <w:rFonts w:ascii="Garamond" w:hAnsi="Garamond"/>
        </w:rPr>
      </w:pPr>
      <w:r>
        <w:rPr>
          <w:rFonts w:ascii="Garamond" w:hAnsi="Garamond"/>
        </w:rPr>
        <w:t>A:</w:t>
      </w:r>
      <w:r>
        <w:rPr>
          <w:rFonts w:ascii="Garamond" w:hAnsi="Garamond"/>
        </w:rPr>
        <w:tab/>
        <w:t>Yes, it does.</w:t>
      </w:r>
    </w:p>
    <w:p w:rsidR="00FA312B" w:rsidRPr="00B338CD" w:rsidRDefault="00FA312B" w:rsidP="00405217">
      <w:pPr>
        <w:spacing w:line="480" w:lineRule="auto"/>
        <w:rPr>
          <w:rFonts w:ascii="Garamond" w:hAnsi="Garamond"/>
          <w:b/>
        </w:rPr>
        <w:sectPr w:rsidR="00FA312B" w:rsidRPr="00B338CD" w:rsidSect="006E0741">
          <w:footerReference w:type="default" r:id="rId13"/>
          <w:pgSz w:w="12240" w:h="15840" w:code="1"/>
          <w:pgMar w:top="720" w:right="806" w:bottom="432" w:left="1987" w:header="720" w:footer="720" w:gutter="0"/>
          <w:paperSrc w:first="7" w:other="7"/>
          <w:lnNumType w:countBy="1"/>
          <w:pgNumType w:start="1"/>
          <w:cols w:space="720"/>
          <w:noEndnote/>
          <w:docGrid w:linePitch="326"/>
        </w:sectPr>
      </w:pPr>
    </w:p>
    <w:p w:rsidR="00FA312B" w:rsidRDefault="00FA312B" w:rsidP="00FA312B">
      <w:pPr>
        <w:spacing w:line="480" w:lineRule="auto"/>
        <w:jc w:val="center"/>
        <w:rPr>
          <w:rFonts w:ascii="Garamond" w:hAnsi="Garamond"/>
          <w:b/>
          <w:sz w:val="48"/>
          <w:szCs w:val="48"/>
        </w:rPr>
      </w:pPr>
    </w:p>
    <w:p w:rsidR="00FA312B" w:rsidRDefault="00FA312B" w:rsidP="00FA312B">
      <w:pPr>
        <w:spacing w:line="480" w:lineRule="auto"/>
        <w:jc w:val="center"/>
        <w:rPr>
          <w:rFonts w:ascii="Garamond" w:hAnsi="Garamond"/>
          <w:b/>
          <w:sz w:val="48"/>
          <w:szCs w:val="48"/>
        </w:rPr>
      </w:pPr>
    </w:p>
    <w:p w:rsidR="00B338CD" w:rsidRPr="00FA312B" w:rsidRDefault="00B338CD" w:rsidP="00FA312B">
      <w:pPr>
        <w:spacing w:line="480" w:lineRule="auto"/>
        <w:jc w:val="center"/>
        <w:rPr>
          <w:rFonts w:ascii="Garamond" w:hAnsi="Garamond"/>
          <w:bCs/>
        </w:rPr>
      </w:pPr>
      <w:r w:rsidRPr="00A52C95">
        <w:rPr>
          <w:rFonts w:ascii="Garamond" w:hAnsi="Garamond"/>
          <w:b/>
          <w:sz w:val="48"/>
          <w:szCs w:val="48"/>
        </w:rPr>
        <w:t xml:space="preserve">Exhibit </w:t>
      </w:r>
      <w:r w:rsidR="00A52C95" w:rsidRPr="00A52C95">
        <w:rPr>
          <w:rFonts w:ascii="Garamond" w:hAnsi="Garamond"/>
          <w:b/>
          <w:sz w:val="48"/>
          <w:szCs w:val="48"/>
        </w:rPr>
        <w:t>“</w:t>
      </w:r>
      <w:r w:rsidRPr="00A52C95">
        <w:rPr>
          <w:rFonts w:ascii="Garamond" w:hAnsi="Garamond"/>
          <w:b/>
          <w:sz w:val="48"/>
          <w:szCs w:val="48"/>
        </w:rPr>
        <w:t>A</w:t>
      </w:r>
      <w:r w:rsidR="00A52C95" w:rsidRPr="00A52C95">
        <w:rPr>
          <w:rFonts w:ascii="Garamond" w:hAnsi="Garamond"/>
          <w:b/>
          <w:sz w:val="48"/>
          <w:szCs w:val="48"/>
        </w:rPr>
        <w:t>”</w:t>
      </w:r>
    </w:p>
    <w:p w:rsidR="00B338CD" w:rsidRDefault="00B338CD" w:rsidP="00760062">
      <w:pPr>
        <w:spacing w:line="480" w:lineRule="auto"/>
        <w:ind w:right="807"/>
        <w:jc w:val="center"/>
        <w:rPr>
          <w:rFonts w:ascii="Garamond" w:hAnsi="Garamond"/>
          <w:bCs/>
          <w:sz w:val="48"/>
          <w:szCs w:val="48"/>
        </w:rPr>
      </w:pPr>
      <w:r w:rsidRPr="00A52C95">
        <w:rPr>
          <w:rFonts w:ascii="Garamond" w:hAnsi="Garamond"/>
          <w:b/>
          <w:sz w:val="48"/>
          <w:szCs w:val="48"/>
        </w:rPr>
        <w:t>Resume of Donald</w:t>
      </w:r>
      <w:r w:rsidR="00A52C95" w:rsidRPr="00A52C95">
        <w:rPr>
          <w:rFonts w:ascii="Garamond" w:hAnsi="Garamond"/>
          <w:b/>
          <w:sz w:val="48"/>
          <w:szCs w:val="48"/>
        </w:rPr>
        <w:t xml:space="preserve"> N.</w:t>
      </w:r>
      <w:r w:rsidRPr="00A52C95">
        <w:rPr>
          <w:rFonts w:ascii="Garamond" w:hAnsi="Garamond"/>
          <w:b/>
          <w:sz w:val="48"/>
          <w:szCs w:val="48"/>
        </w:rPr>
        <w:t xml:space="preserve"> Grace</w:t>
      </w:r>
      <w:r w:rsidR="00A52C95" w:rsidRPr="00A52C95">
        <w:rPr>
          <w:rFonts w:ascii="Garamond" w:hAnsi="Garamond"/>
          <w:b/>
          <w:sz w:val="48"/>
          <w:szCs w:val="48"/>
        </w:rPr>
        <w:t xml:space="preserve"> P.E</w:t>
      </w:r>
      <w:r w:rsidR="00A52C95">
        <w:rPr>
          <w:rFonts w:ascii="Garamond" w:hAnsi="Garamond"/>
          <w:bCs/>
          <w:sz w:val="48"/>
          <w:szCs w:val="48"/>
        </w:rPr>
        <w:t>.</w:t>
      </w:r>
    </w:p>
    <w:p w:rsidR="00A52C95" w:rsidRDefault="00A52C95" w:rsidP="00B338CD">
      <w:pPr>
        <w:spacing w:line="480" w:lineRule="auto"/>
        <w:jc w:val="center"/>
        <w:rPr>
          <w:rFonts w:ascii="Garamond" w:hAnsi="Garamond"/>
          <w:bCs/>
          <w:sz w:val="48"/>
          <w:szCs w:val="48"/>
        </w:rPr>
      </w:pPr>
    </w:p>
    <w:p w:rsidR="00A52C95" w:rsidRDefault="00A52C95" w:rsidP="00B338CD">
      <w:pPr>
        <w:spacing w:line="480" w:lineRule="auto"/>
        <w:jc w:val="center"/>
        <w:rPr>
          <w:rFonts w:ascii="Garamond" w:hAnsi="Garamond"/>
          <w:bCs/>
          <w:sz w:val="48"/>
          <w:szCs w:val="48"/>
        </w:rPr>
      </w:pPr>
    </w:p>
    <w:p w:rsidR="00A52C95" w:rsidRDefault="00A52C95" w:rsidP="00B338CD">
      <w:pPr>
        <w:spacing w:line="480" w:lineRule="auto"/>
        <w:jc w:val="center"/>
        <w:rPr>
          <w:rFonts w:ascii="Garamond" w:hAnsi="Garamond"/>
          <w:bCs/>
          <w:sz w:val="48"/>
          <w:szCs w:val="48"/>
        </w:rPr>
      </w:pPr>
    </w:p>
    <w:p w:rsidR="00A52C95" w:rsidRDefault="00A52C95" w:rsidP="00B338CD">
      <w:pPr>
        <w:spacing w:line="480" w:lineRule="auto"/>
        <w:jc w:val="center"/>
        <w:rPr>
          <w:rFonts w:ascii="Garamond" w:hAnsi="Garamond"/>
          <w:bCs/>
          <w:sz w:val="48"/>
          <w:szCs w:val="48"/>
        </w:rPr>
      </w:pPr>
    </w:p>
    <w:p w:rsidR="00A52C95" w:rsidRDefault="00A52C95" w:rsidP="00B338CD">
      <w:pPr>
        <w:spacing w:line="480" w:lineRule="auto"/>
        <w:jc w:val="center"/>
        <w:rPr>
          <w:rFonts w:ascii="Garamond" w:hAnsi="Garamond"/>
          <w:bCs/>
          <w:sz w:val="48"/>
          <w:szCs w:val="48"/>
        </w:rPr>
      </w:pPr>
    </w:p>
    <w:p w:rsidR="00A52C95" w:rsidRDefault="00A52C95" w:rsidP="00B338CD">
      <w:pPr>
        <w:spacing w:line="480" w:lineRule="auto"/>
        <w:jc w:val="center"/>
        <w:rPr>
          <w:rFonts w:ascii="Garamond" w:hAnsi="Garamond"/>
          <w:bCs/>
          <w:sz w:val="48"/>
          <w:szCs w:val="48"/>
        </w:rPr>
      </w:pPr>
    </w:p>
    <w:p w:rsidR="00A52C95" w:rsidRDefault="00A52C95" w:rsidP="00B338CD">
      <w:pPr>
        <w:spacing w:line="480" w:lineRule="auto"/>
        <w:jc w:val="center"/>
        <w:rPr>
          <w:rFonts w:ascii="Garamond" w:hAnsi="Garamond"/>
          <w:bCs/>
          <w:sz w:val="48"/>
          <w:szCs w:val="48"/>
        </w:rPr>
      </w:pPr>
    </w:p>
    <w:p w:rsidR="00A52C95" w:rsidRDefault="00A52C95" w:rsidP="00760062">
      <w:pPr>
        <w:spacing w:line="480" w:lineRule="auto"/>
        <w:ind w:right="87"/>
        <w:jc w:val="center"/>
        <w:rPr>
          <w:rFonts w:ascii="Garamond" w:hAnsi="Garamond"/>
          <w:bCs/>
          <w:sz w:val="48"/>
          <w:szCs w:val="48"/>
        </w:rPr>
      </w:pPr>
    </w:p>
    <w:p w:rsidR="004261C1" w:rsidRDefault="004261C1" w:rsidP="004261C1">
      <w:pPr>
        <w:jc w:val="center"/>
        <w:rPr>
          <w:b/>
        </w:rPr>
      </w:pPr>
    </w:p>
    <w:p w:rsidR="004261C1" w:rsidRDefault="004261C1" w:rsidP="004261C1">
      <w:pPr>
        <w:jc w:val="center"/>
        <w:rPr>
          <w:b/>
        </w:rPr>
      </w:pPr>
      <w:r w:rsidRPr="00596C43">
        <w:rPr>
          <w:b/>
        </w:rPr>
        <w:lastRenderedPageBreak/>
        <w:t>Donald N. Grace, P.E.</w:t>
      </w:r>
    </w:p>
    <w:p w:rsidR="004261C1" w:rsidRDefault="004261C1" w:rsidP="004261C1">
      <w:pPr>
        <w:jc w:val="center"/>
        <w:rPr>
          <w:b/>
        </w:rPr>
      </w:pPr>
      <w:r>
        <w:rPr>
          <w:b/>
        </w:rPr>
        <w:t>President, Grace Management Consulting Services (GMCS, LLC)</w:t>
      </w:r>
    </w:p>
    <w:p w:rsidR="004261C1" w:rsidRPr="00596C43" w:rsidRDefault="004261C1" w:rsidP="004261C1">
      <w:pPr>
        <w:jc w:val="center"/>
        <w:rPr>
          <w:b/>
        </w:rPr>
      </w:pPr>
      <w:r>
        <w:rPr>
          <w:b/>
        </w:rPr>
        <w:t xml:space="preserve">Serving Vogtle Monitoring Group, &amp; BCN </w:t>
      </w:r>
      <w:proofErr w:type="spellStart"/>
      <w:r>
        <w:rPr>
          <w:b/>
        </w:rPr>
        <w:t>EcoPower</w:t>
      </w:r>
      <w:proofErr w:type="spellEnd"/>
      <w:r>
        <w:rPr>
          <w:b/>
        </w:rPr>
        <w:t>, Inc</w:t>
      </w:r>
    </w:p>
    <w:p w:rsidR="004261C1" w:rsidRPr="00734FFE" w:rsidRDefault="004261C1" w:rsidP="004261C1">
      <w:pPr>
        <w:jc w:val="center"/>
        <w:rPr>
          <w:b/>
          <w:sz w:val="13"/>
          <w:szCs w:val="13"/>
        </w:rPr>
      </w:pPr>
    </w:p>
    <w:p w:rsidR="004261C1" w:rsidRPr="00596C43" w:rsidRDefault="004261C1" w:rsidP="004261C1">
      <w:pPr>
        <w:jc w:val="center"/>
        <w:rPr>
          <w:b/>
        </w:rPr>
      </w:pPr>
      <w:r w:rsidRPr="00596C43">
        <w:rPr>
          <w:b/>
        </w:rPr>
        <w:t>Education</w:t>
      </w:r>
      <w:r>
        <w:rPr>
          <w:b/>
        </w:rPr>
        <w:t>,</w:t>
      </w:r>
      <w:r w:rsidRPr="00596C43">
        <w:rPr>
          <w:b/>
        </w:rPr>
        <w:t xml:space="preserve"> Certifications</w:t>
      </w:r>
      <w:r>
        <w:rPr>
          <w:b/>
        </w:rPr>
        <w:t xml:space="preserve"> and Professional Affiliations</w:t>
      </w:r>
    </w:p>
    <w:p w:rsidR="004261C1" w:rsidRPr="00734FFE" w:rsidRDefault="004261C1" w:rsidP="004261C1">
      <w:pPr>
        <w:jc w:val="center"/>
        <w:rPr>
          <w:b/>
          <w:sz w:val="13"/>
          <w:szCs w:val="13"/>
        </w:rPr>
      </w:pPr>
    </w:p>
    <w:p w:rsidR="004261C1" w:rsidRPr="00C1368E" w:rsidRDefault="004261C1" w:rsidP="00FA312B">
      <w:pPr>
        <w:pStyle w:val="ListParagraph"/>
        <w:tabs>
          <w:tab w:val="left" w:pos="4320"/>
        </w:tabs>
        <w:ind w:left="0"/>
        <w:contextualSpacing/>
        <w:jc w:val="both"/>
        <w:outlineLvl w:val="0"/>
      </w:pPr>
      <w:r w:rsidRPr="00FA312B">
        <w:rPr>
          <w:bCs/>
          <w:u w:val="single"/>
        </w:rPr>
        <w:t>Master of Business Administration</w:t>
      </w:r>
      <w:r w:rsidRPr="00596C43">
        <w:rPr>
          <w:bCs/>
        </w:rPr>
        <w:t>, Project Management</w:t>
      </w:r>
      <w:r w:rsidRPr="00596C43">
        <w:t xml:space="preserve">, </w:t>
      </w:r>
      <w:r w:rsidRPr="00596C43">
        <w:rPr>
          <w:bCs/>
        </w:rPr>
        <w:t xml:space="preserve">Harvard Graduate School of Business </w:t>
      </w:r>
      <w:r w:rsidR="002F09A4">
        <w:rPr>
          <w:bCs/>
        </w:rPr>
        <w:t xml:space="preserve">   </w:t>
      </w:r>
      <w:r w:rsidRPr="00596C43">
        <w:rPr>
          <w:bCs/>
        </w:rPr>
        <w:t>(Awarded Fellowship to Attend</w:t>
      </w:r>
      <w:r>
        <w:rPr>
          <w:bCs/>
        </w:rPr>
        <w:t>)</w:t>
      </w:r>
    </w:p>
    <w:p w:rsidR="004261C1" w:rsidRPr="00C1368E" w:rsidRDefault="004261C1" w:rsidP="00FA312B">
      <w:pPr>
        <w:pStyle w:val="ListParagraph"/>
        <w:tabs>
          <w:tab w:val="left" w:pos="4320"/>
        </w:tabs>
        <w:ind w:left="0"/>
        <w:contextualSpacing/>
        <w:jc w:val="both"/>
        <w:outlineLvl w:val="0"/>
      </w:pPr>
      <w:r w:rsidRPr="00FA312B">
        <w:rPr>
          <w:bCs/>
          <w:u w:val="single"/>
        </w:rPr>
        <w:t>Bachelor of Science in Marine Engineering and Mathematics</w:t>
      </w:r>
      <w:r w:rsidRPr="00596C43">
        <w:t xml:space="preserve">, </w:t>
      </w:r>
      <w:r w:rsidRPr="00596C43">
        <w:rPr>
          <w:bCs/>
        </w:rPr>
        <w:t>United States Naval Academy (Graduated Cum Laude)</w:t>
      </w:r>
    </w:p>
    <w:p w:rsidR="004261C1" w:rsidRPr="00C1368E" w:rsidRDefault="004261C1" w:rsidP="00FA312B">
      <w:pPr>
        <w:pStyle w:val="ListParagraph"/>
        <w:tabs>
          <w:tab w:val="left" w:pos="4320"/>
        </w:tabs>
        <w:ind w:left="0"/>
        <w:contextualSpacing/>
        <w:jc w:val="both"/>
        <w:outlineLvl w:val="0"/>
      </w:pPr>
      <w:r w:rsidRPr="00FA312B">
        <w:rPr>
          <w:u w:val="single"/>
        </w:rPr>
        <w:t>Professional Engineer</w:t>
      </w:r>
      <w:r w:rsidRPr="00596C43">
        <w:t xml:space="preserve"> (Pennsylvania), Power Generation</w:t>
      </w:r>
    </w:p>
    <w:p w:rsidR="004261C1" w:rsidRPr="00C1368E" w:rsidRDefault="004261C1" w:rsidP="00FA312B">
      <w:pPr>
        <w:pStyle w:val="ListParagraph"/>
        <w:tabs>
          <w:tab w:val="left" w:pos="4320"/>
        </w:tabs>
        <w:ind w:left="0"/>
        <w:contextualSpacing/>
        <w:jc w:val="both"/>
        <w:outlineLvl w:val="0"/>
      </w:pPr>
      <w:r w:rsidRPr="00FA312B">
        <w:rPr>
          <w:u w:val="single"/>
        </w:rPr>
        <w:t>Served as technical lead on</w:t>
      </w:r>
      <w:r w:rsidRPr="00596C43">
        <w:t xml:space="preserve"> D</w:t>
      </w:r>
      <w:r>
        <w:t xml:space="preserve">epartment of Energy (DOE) </w:t>
      </w:r>
      <w:r w:rsidRPr="00596C43">
        <w:t>Review</w:t>
      </w:r>
      <w:r>
        <w:t xml:space="preserve">s and </w:t>
      </w:r>
      <w:r w:rsidRPr="00596C43">
        <w:t>Certif</w:t>
      </w:r>
      <w:r>
        <w:t>ications</w:t>
      </w:r>
      <w:r w:rsidRPr="00596C43">
        <w:t xml:space="preserve"> </w:t>
      </w:r>
      <w:r>
        <w:t xml:space="preserve">of major </w:t>
      </w:r>
      <w:r w:rsidRPr="00FA312B">
        <w:rPr>
          <w:u w:val="single"/>
        </w:rPr>
        <w:t>DOE Contractors’ Earned Value Management Systems</w:t>
      </w:r>
      <w:r>
        <w:t xml:space="preserve"> (EVMS)</w:t>
      </w:r>
    </w:p>
    <w:p w:rsidR="004261C1" w:rsidRPr="00596C43" w:rsidRDefault="004261C1" w:rsidP="00FA312B">
      <w:pPr>
        <w:pStyle w:val="ListParagraph"/>
        <w:tabs>
          <w:tab w:val="left" w:pos="4320"/>
        </w:tabs>
        <w:ind w:left="0"/>
        <w:contextualSpacing/>
        <w:jc w:val="both"/>
        <w:outlineLvl w:val="0"/>
      </w:pPr>
      <w:r w:rsidRPr="00FA312B">
        <w:rPr>
          <w:u w:val="single"/>
        </w:rPr>
        <w:t>Past Chairman of Boiling Water Reactor Owners’ Group</w:t>
      </w:r>
      <w:r>
        <w:t xml:space="preserve">, and </w:t>
      </w:r>
      <w:r w:rsidRPr="00FA312B">
        <w:rPr>
          <w:u w:val="single"/>
        </w:rPr>
        <w:t>Past Chairman of the American Nuclear Society Reactor Safety Executive Committee</w:t>
      </w:r>
    </w:p>
    <w:p w:rsidR="004261C1" w:rsidRPr="00734FFE" w:rsidRDefault="004261C1" w:rsidP="004261C1">
      <w:pPr>
        <w:tabs>
          <w:tab w:val="left" w:pos="4320"/>
        </w:tabs>
        <w:outlineLvl w:val="0"/>
        <w:rPr>
          <w:sz w:val="13"/>
          <w:szCs w:val="13"/>
        </w:rPr>
      </w:pPr>
    </w:p>
    <w:p w:rsidR="004261C1" w:rsidRDefault="004261C1" w:rsidP="004261C1">
      <w:pPr>
        <w:tabs>
          <w:tab w:val="left" w:pos="4320"/>
        </w:tabs>
        <w:jc w:val="center"/>
        <w:outlineLvl w:val="0"/>
        <w:rPr>
          <w:b/>
        </w:rPr>
      </w:pPr>
      <w:r>
        <w:rPr>
          <w:b/>
        </w:rPr>
        <w:t>Career Highlights</w:t>
      </w:r>
    </w:p>
    <w:p w:rsidR="004261C1" w:rsidRPr="00734FFE" w:rsidRDefault="004261C1" w:rsidP="004261C1">
      <w:pPr>
        <w:tabs>
          <w:tab w:val="left" w:pos="4320"/>
        </w:tabs>
        <w:jc w:val="center"/>
        <w:outlineLvl w:val="0"/>
        <w:rPr>
          <w:b/>
          <w:sz w:val="13"/>
          <w:szCs w:val="13"/>
        </w:rPr>
      </w:pPr>
    </w:p>
    <w:p w:rsidR="004261C1" w:rsidRPr="00C1368E" w:rsidRDefault="004261C1" w:rsidP="00FA312B">
      <w:pPr>
        <w:pStyle w:val="ListParagraph"/>
        <w:tabs>
          <w:tab w:val="left" w:pos="4320"/>
        </w:tabs>
        <w:ind w:left="0"/>
        <w:contextualSpacing/>
        <w:jc w:val="both"/>
        <w:outlineLvl w:val="0"/>
      </w:pPr>
      <w:r w:rsidRPr="00AE121C">
        <w:rPr>
          <w:bCs/>
          <w:u w:val="single"/>
        </w:rPr>
        <w:t xml:space="preserve">Over </w:t>
      </w:r>
      <w:r>
        <w:rPr>
          <w:bCs/>
          <w:u w:val="single"/>
        </w:rPr>
        <w:t>50</w:t>
      </w:r>
      <w:r w:rsidRPr="00AE121C">
        <w:rPr>
          <w:bCs/>
          <w:u w:val="single"/>
        </w:rPr>
        <w:t xml:space="preserve"> years of hands on technical, management and executive experience</w:t>
      </w:r>
      <w:r w:rsidRPr="00AE121C">
        <w:rPr>
          <w:bCs/>
        </w:rPr>
        <w:t xml:space="preserve"> with all ph</w:t>
      </w:r>
      <w:r>
        <w:rPr>
          <w:bCs/>
        </w:rPr>
        <w:t>a</w:t>
      </w:r>
      <w:r w:rsidRPr="00AE121C">
        <w:rPr>
          <w:bCs/>
        </w:rPr>
        <w:t xml:space="preserve">ses of the </w:t>
      </w:r>
      <w:r>
        <w:rPr>
          <w:bCs/>
        </w:rPr>
        <w:t xml:space="preserve">Fossil and Nuclear Power </w:t>
      </w:r>
      <w:r w:rsidRPr="00AE121C">
        <w:rPr>
          <w:bCs/>
        </w:rPr>
        <w:t>Plant Life Cycle (design, licensing</w:t>
      </w:r>
      <w:r>
        <w:rPr>
          <w:bCs/>
        </w:rPr>
        <w:t xml:space="preserve"> &amp; permitting</w:t>
      </w:r>
      <w:r w:rsidRPr="00AE121C">
        <w:rPr>
          <w:bCs/>
        </w:rPr>
        <w:t xml:space="preserve">, construction, start-up and testing, commissioning, operations and decommissioning). </w:t>
      </w:r>
    </w:p>
    <w:p w:rsidR="004261C1" w:rsidRPr="00C1368E" w:rsidRDefault="004261C1" w:rsidP="00FA312B">
      <w:pPr>
        <w:pStyle w:val="ListParagraph"/>
        <w:tabs>
          <w:tab w:val="left" w:pos="4320"/>
        </w:tabs>
        <w:ind w:left="0"/>
        <w:contextualSpacing/>
        <w:jc w:val="both"/>
        <w:outlineLvl w:val="0"/>
      </w:pPr>
      <w:r>
        <w:rPr>
          <w:bCs/>
          <w:u w:val="single"/>
        </w:rPr>
        <w:t xml:space="preserve">Over 20 years of operating power plant </w:t>
      </w:r>
      <w:r w:rsidRPr="00483FFF">
        <w:rPr>
          <w:bCs/>
          <w:u w:val="single"/>
        </w:rPr>
        <w:t>experience</w:t>
      </w:r>
      <w:r>
        <w:rPr>
          <w:bCs/>
        </w:rPr>
        <w:t xml:space="preserve">, </w:t>
      </w:r>
      <w:r w:rsidRPr="00483FFF">
        <w:rPr>
          <w:bCs/>
        </w:rPr>
        <w:t>with</w:t>
      </w:r>
      <w:r w:rsidRPr="008A728F">
        <w:rPr>
          <w:bCs/>
        </w:rPr>
        <w:t xml:space="preserve"> 5 of the years as an officer serving aboard US Naval </w:t>
      </w:r>
      <w:r>
        <w:rPr>
          <w:bCs/>
        </w:rPr>
        <w:t xml:space="preserve">Nuclear </w:t>
      </w:r>
      <w:r w:rsidRPr="008A728F">
        <w:rPr>
          <w:bCs/>
        </w:rPr>
        <w:t xml:space="preserve">Submarines and 17 years with General Public Utilities. </w:t>
      </w:r>
      <w:r>
        <w:rPr>
          <w:bCs/>
          <w:u w:val="single"/>
        </w:rPr>
        <w:t xml:space="preserve">  </w:t>
      </w:r>
    </w:p>
    <w:p w:rsidR="004261C1" w:rsidRPr="00C1368E" w:rsidRDefault="004261C1" w:rsidP="00FA312B">
      <w:pPr>
        <w:jc w:val="both"/>
        <w:rPr>
          <w:bCs/>
        </w:rPr>
      </w:pPr>
      <w:r w:rsidRPr="008A728F">
        <w:rPr>
          <w:bCs/>
          <w:u w:val="single"/>
        </w:rPr>
        <w:t>Development of New Facilities</w:t>
      </w:r>
      <w:r w:rsidRPr="008A728F">
        <w:rPr>
          <w:bCs/>
        </w:rPr>
        <w:t xml:space="preserve"> – Seventeen years of experience with a major U.S. Architectural Engineering firm, Burns and Roe Enterprises (BREI), in the positions of Project Engineering Manager, Project Manager, Executive Consultant, and President of a company formed by BREI, AREVA and Duratek.  Nearly </w:t>
      </w:r>
      <w:r w:rsidR="0056074B" w:rsidRPr="008A728F">
        <w:rPr>
          <w:bCs/>
        </w:rPr>
        <w:t>all</w:t>
      </w:r>
      <w:r w:rsidRPr="008A728F">
        <w:rPr>
          <w:bCs/>
        </w:rPr>
        <w:t xml:space="preserve"> these experiences entailed First of a Kind (FOAK) projects which involved new Nuclear Power Plant Projects and FOAK Chemical Process Projects, several of which were DOE Projects.</w:t>
      </w:r>
    </w:p>
    <w:p w:rsidR="004261C1" w:rsidRPr="00C1368E" w:rsidRDefault="004261C1" w:rsidP="00FA312B">
      <w:pPr>
        <w:pStyle w:val="ListParagraph"/>
        <w:ind w:left="0"/>
        <w:contextualSpacing/>
        <w:jc w:val="both"/>
      </w:pPr>
      <w:r w:rsidRPr="008A728F">
        <w:rPr>
          <w:bCs/>
          <w:u w:val="single"/>
        </w:rPr>
        <w:t>Directing Major Project, Independent Reviews</w:t>
      </w:r>
      <w:r w:rsidRPr="008A728F">
        <w:rPr>
          <w:bCs/>
        </w:rPr>
        <w:t xml:space="preserve"> - As an employee of BREI, contracted by the Department of Energy (DOE) to assemble project review teams which I then directed to provide independent project management reviews of multi-billion-dollar DOE projects.  Nearly </w:t>
      </w:r>
      <w:r w:rsidR="0056074B" w:rsidRPr="008A728F">
        <w:rPr>
          <w:bCs/>
        </w:rPr>
        <w:t>all</w:t>
      </w:r>
      <w:r w:rsidRPr="008A728F">
        <w:rPr>
          <w:bCs/>
        </w:rPr>
        <w:t xml:space="preserve"> the projects were FOAK, and the reviews were total scope reviews (i.e., reviewed ability to achieve technical objectives, within the forecast costs and schedules)</w:t>
      </w:r>
      <w:r>
        <w:rPr>
          <w:bCs/>
        </w:rPr>
        <w:t>, and they were performed at major schedule milestones (prior to proceeding to the next project phase).</w:t>
      </w:r>
      <w:r w:rsidRPr="008A728F">
        <w:rPr>
          <w:bCs/>
        </w:rPr>
        <w:t xml:space="preserve"> </w:t>
      </w:r>
    </w:p>
    <w:p w:rsidR="004261C1" w:rsidRPr="00C1368E" w:rsidRDefault="004261C1" w:rsidP="00FA312B">
      <w:pPr>
        <w:pStyle w:val="ListParagraph"/>
        <w:ind w:left="0"/>
        <w:contextualSpacing/>
        <w:jc w:val="both"/>
      </w:pPr>
      <w:r>
        <w:rPr>
          <w:bCs/>
          <w:u w:val="single"/>
        </w:rPr>
        <w:t xml:space="preserve">Currently provide written and oral testimony as an expert witness to state public utility </w:t>
      </w:r>
      <w:r w:rsidRPr="00734FFE">
        <w:rPr>
          <w:bCs/>
          <w:u w:val="single"/>
        </w:rPr>
        <w:t>commissions in their prudency reviews of major power plant projects</w:t>
      </w:r>
      <w:r>
        <w:rPr>
          <w:bCs/>
        </w:rPr>
        <w:t>.  Included in these reviews have been - and in some cases continue to be - the following: (a) Integrated Gasification Combined Cycle Project (IGCC, at Kemper, Mississippi), (b) Arkansas Nuclear One (a two nuclear unit site), (c) Grand Gulf Nuclear (the largest single unit nuclear plant in the US), (d) Vogtle 3 &amp; 4 Nuclear Project (the only new active nuclear construction project in the US), and (e) the Four Corners Selective Catalytic Project (project was implemented to reduce NOx emissions at this coal fired dual unit site, where each of the still operating units is roughly 750 MW net)</w:t>
      </w:r>
      <w:r w:rsidRPr="00596C43">
        <w:t>.</w:t>
      </w:r>
    </w:p>
    <w:p w:rsidR="004261C1" w:rsidRPr="00FA312B" w:rsidRDefault="004261C1" w:rsidP="00FA312B">
      <w:pPr>
        <w:pStyle w:val="ListParagraph"/>
        <w:ind w:left="0"/>
        <w:contextualSpacing/>
        <w:jc w:val="both"/>
      </w:pPr>
      <w:r>
        <w:rPr>
          <w:u w:val="single"/>
        </w:rPr>
        <w:t xml:space="preserve">President, BCN </w:t>
      </w:r>
      <w:proofErr w:type="spellStart"/>
      <w:r>
        <w:rPr>
          <w:u w:val="single"/>
        </w:rPr>
        <w:t>EcoPower</w:t>
      </w:r>
      <w:proofErr w:type="spellEnd"/>
      <w:r>
        <w:rPr>
          <w:u w:val="single"/>
        </w:rPr>
        <w:t xml:space="preserve"> (Beyond Carbon Neutral, Economical Power Generation) </w:t>
      </w:r>
      <w:r w:rsidRPr="00FA312B">
        <w:t>working to develop and deploy a patent pending Cryogenic Regenerative Power Cycle (CRPC) wherein cycle fuel efficiencies for large scale power plants and industrial facilities can be significantly improved with significant reductions of harmful emissions (including CO</w:t>
      </w:r>
      <w:r w:rsidRPr="00FA312B">
        <w:rPr>
          <w:vertAlign w:val="subscript"/>
        </w:rPr>
        <w:t>2</w:t>
      </w:r>
      <w:r w:rsidRPr="00FA312B">
        <w:t xml:space="preserve">). </w:t>
      </w:r>
    </w:p>
    <w:sectPr w:rsidR="004261C1" w:rsidRPr="00FA312B" w:rsidSect="00A61D0B">
      <w:headerReference w:type="default" r:id="rId14"/>
      <w:pgSz w:w="12240" w:h="15840" w:code="1"/>
      <w:pgMar w:top="720" w:right="806" w:bottom="432" w:left="1987" w:header="720" w:footer="720" w:gutter="0"/>
      <w:paperSrc w:first="7" w:other="7"/>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49F" w:rsidRDefault="0024649F">
      <w:r>
        <w:separator/>
      </w:r>
    </w:p>
  </w:endnote>
  <w:endnote w:type="continuationSeparator" w:id="0">
    <w:p w:rsidR="0024649F" w:rsidRDefault="0024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3A9" w:rsidRDefault="001C43A9" w:rsidP="001D516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1C43A9" w:rsidRDefault="001C4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3A9" w:rsidRDefault="001C43A9">
    <w:pPr>
      <w:pStyle w:val="Footer"/>
      <w:jc w:val="center"/>
    </w:pPr>
  </w:p>
  <w:p w:rsidR="001C43A9" w:rsidRDefault="001C4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3A9" w:rsidRDefault="001C43A9">
    <w:pPr>
      <w:pStyle w:val="Footer"/>
      <w:jc w:val="center"/>
    </w:pPr>
  </w:p>
  <w:p w:rsidR="001C43A9" w:rsidRDefault="001C43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3A9" w:rsidRDefault="001C43A9">
    <w:pPr>
      <w:pStyle w:val="Footer"/>
      <w:jc w:val="center"/>
    </w:pPr>
  </w:p>
  <w:p w:rsidR="001C43A9" w:rsidRDefault="001C43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3A9" w:rsidRDefault="001C43A9">
    <w:pPr>
      <w:pStyle w:val="Footer"/>
      <w:jc w:val="center"/>
    </w:pPr>
    <w:r>
      <w:fldChar w:fldCharType="begin"/>
    </w:r>
    <w:r>
      <w:instrText xml:space="preserve"> PAGE   \* MERGEFORMAT </w:instrText>
    </w:r>
    <w:r>
      <w:fldChar w:fldCharType="separate"/>
    </w:r>
    <w:r>
      <w:rPr>
        <w:noProof/>
      </w:rPr>
      <w:t>2</w:t>
    </w:r>
    <w:r>
      <w:rPr>
        <w:noProof/>
      </w:rPr>
      <w:fldChar w:fldCharType="end"/>
    </w:r>
  </w:p>
  <w:p w:rsidR="001C43A9" w:rsidRDefault="001C4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49F" w:rsidRDefault="0024649F">
      <w:r>
        <w:separator/>
      </w:r>
    </w:p>
  </w:footnote>
  <w:footnote w:type="continuationSeparator" w:id="0">
    <w:p w:rsidR="0024649F" w:rsidRDefault="0024649F">
      <w:r>
        <w:continuationSeparator/>
      </w:r>
    </w:p>
  </w:footnote>
  <w:footnote w:id="1">
    <w:p w:rsidR="001C43A9" w:rsidRDefault="001C43A9" w:rsidP="0089673E">
      <w:pPr>
        <w:pStyle w:val="FootnoteText"/>
        <w:jc w:val="both"/>
      </w:pPr>
      <w:r>
        <w:rPr>
          <w:rStyle w:val="FootnoteReference"/>
        </w:rPr>
        <w:footnoteRef/>
      </w:r>
      <w:r>
        <w:t xml:space="preserve"> As indicated in past testimonies, other factors that have contributed to Construction Quality issues have included switching too quickly from a “bulk installation” approach to a more piecemeal approach of “do just what is necessary to meet the start of an upcoming intermediate milestone and defer the remaining work.”  This has been especially true of bulk electrical commodities, and as an example of the problems this creates, cables were pulled through a raceway in a piecemeal (vs bulk) fashion, and later cable pulls through the same raceway could damage already pulled cables.  This, combined with the cable separation issues discovered more recently, have served to greatly complicate the completion of work in that the rework itself often causes further damage to work that was previously considered to be complete.  The piecemeal approach also resulted in Systems being broken into sub-systems, allowing for “Partial Releases for Test” prior to completion of the sub-system, and also allowed for “Technical Exceptions” to completion of work that was being turned over to the Integrated Test Program (ITP) Group).  All of this has also greatly complicated the work process itself (in that jurisdictional control of the systems is broken into pieces and controlled by different organizations) and has also greatly complicated the process for properly documenting the completion of work.  </w:t>
      </w:r>
    </w:p>
    <w:p w:rsidR="001C43A9" w:rsidRDefault="001C43A9">
      <w:pPr>
        <w:pStyle w:val="FootnoteText"/>
      </w:pPr>
    </w:p>
  </w:footnote>
  <w:footnote w:id="2">
    <w:p w:rsidR="001C43A9" w:rsidRDefault="001C43A9" w:rsidP="00EB1D6A">
      <w:pPr>
        <w:pStyle w:val="FootnoteText"/>
        <w:jc w:val="both"/>
      </w:pPr>
      <w:r>
        <w:rPr>
          <w:rStyle w:val="FootnoteReference"/>
        </w:rPr>
        <w:footnoteRef/>
      </w:r>
      <w:r>
        <w:t xml:space="preserve"> The data source for the slipping of the December 6</w:t>
      </w:r>
      <w:r w:rsidRPr="001565EF">
        <w:rPr>
          <w:vertAlign w:val="superscript"/>
        </w:rPr>
        <w:t>th</w:t>
      </w:r>
      <w:r>
        <w:t xml:space="preserve"> and January 11</w:t>
      </w:r>
      <w:r w:rsidRPr="001565EF">
        <w:rPr>
          <w:vertAlign w:val="superscript"/>
        </w:rPr>
        <w:t>th</w:t>
      </w:r>
      <w:r>
        <w:t xml:space="preserve"> dates has been obtained from the U-3 Plan of the Day (POD) Meetings wherein there is a project reporting of the various Critical Paths and Near Critical Paths.  That document, therefore, represents a “live updating” of the Site Working Schedule. </w:t>
      </w:r>
    </w:p>
  </w:footnote>
  <w:footnote w:id="3">
    <w:p w:rsidR="001C43A9" w:rsidRDefault="001C43A9">
      <w:pPr>
        <w:pStyle w:val="FootnoteText"/>
      </w:pPr>
      <w:r>
        <w:rPr>
          <w:rStyle w:val="FootnoteReference"/>
        </w:rPr>
        <w:footnoteRef/>
      </w:r>
      <w:r>
        <w:t xml:space="preserve"> To further illustrate how unrealistic the company has been in estimating these last remaining time durations, on page 19 of the January 2021 Monthly Project Review (MPR) the company had estimated 114 days (less than 4 months) from the start of HFT to the start of Fuel Load.  That duration (as of November 25</w:t>
      </w:r>
      <w:r w:rsidRPr="001D4E2D">
        <w:rPr>
          <w:vertAlign w:val="superscript"/>
        </w:rPr>
        <w:t>th</w:t>
      </w:r>
      <w:r>
        <w:t xml:space="preserve">) was at 7 months and if start of Fuel Load is achieved by the Company’s current risk adjusted date of May 23, 2022, that actual duration will be 13 months.  That same MPR also showed only 110 days (less than 3.5 months) from start of Fuel Load to COD (totally unrealistic). </w:t>
      </w:r>
    </w:p>
  </w:footnote>
  <w:footnote w:id="4">
    <w:p w:rsidR="001C43A9" w:rsidRDefault="001C43A9" w:rsidP="00EB1D6A">
      <w:pPr>
        <w:pStyle w:val="FootnoteText"/>
        <w:jc w:val="both"/>
      </w:pPr>
      <w:r>
        <w:rPr>
          <w:rStyle w:val="FootnoteReference"/>
        </w:rPr>
        <w:footnoteRef/>
      </w:r>
      <w:r>
        <w:t xml:space="preserve"> With the NRC’s issuance of the </w:t>
      </w:r>
      <w:r>
        <w:t xml:space="preserve">103.g., letter, Operation of the Plant is strictly controlled by the NRC approved “Plant Technical Specifications”.  This document provides numerous conditions under which the plant must be operated as it progresses from various states of increased power operations (termed “Modes”), and violation of the requirements can lead to having to file a Licensee Event Report (LER’s) with the NRC.  Depending on the reported issue, the potential exists for increased oversight on the part of the NRC, and (depending on the severity of the reported LER(s)) can lead to an order from the NRC to cease operations until various NRC Ordered actions are taken.  VMG is not saying that this indeed is likely to happen, but certainly the increased level of controls that must be implemented can further delay the completion of the work required prior to COD. </w:t>
      </w:r>
    </w:p>
  </w:footnote>
  <w:footnote w:id="5">
    <w:p w:rsidR="001C43A9" w:rsidRDefault="001C43A9" w:rsidP="00195D5A">
      <w:pPr>
        <w:pStyle w:val="FootnoteText"/>
        <w:jc w:val="both"/>
      </w:pPr>
      <w:r>
        <w:rPr>
          <w:rStyle w:val="FootnoteReference"/>
        </w:rPr>
        <w:footnoteRef/>
      </w:r>
      <w:r>
        <w:t xml:space="preserve"> During the Southern Company’s </w:t>
      </w:r>
      <w:r>
        <w:t xml:space="preserve">2Q 2020 earnings call, a question was asked regarding our estimate of a 12-month duration from the start of HFT to COD versus the company’s forecast duration of 224 days (i.e., 7.5 months).  This 12-month forecast was based on historical experience, with 6 months from the start of HFT to Fuel Load, and another 6 months from the start of Fuel Load to COD.  The company response was that our 12-month duration was from the 1970’s era, and that the project can do better.  Given, however, the history of the project and the problems which have been manifested, VMG continues to believe that the historical duration of 6 month from the start of Fuel Load to COD is “at best” what the project can hope to achieve. </w:t>
      </w:r>
    </w:p>
  </w:footnote>
  <w:footnote w:id="6">
    <w:p w:rsidR="001C43A9" w:rsidRDefault="001C43A9" w:rsidP="00117BD0">
      <w:pPr>
        <w:pStyle w:val="FootnoteText"/>
        <w:jc w:val="both"/>
      </w:pPr>
      <w:r>
        <w:rPr>
          <w:rStyle w:val="FootnoteReference"/>
        </w:rPr>
        <w:footnoteRef/>
      </w:r>
      <w:r>
        <w:t xml:space="preserve"> In addition to completing added work in a more highly restrictive work environment, see prior footnote 3 on page 7 regarding the example of time duration for what the company had forecast from the Start of HFT to Start of Fuel Load. That was less than 4 months, and the actual time (not yet achieved) may be on the order of 13 months).  Then consider the reliability of their current forecast duration from Fuel Load to COD (only roughly 4 months)?  </w:t>
      </w:r>
    </w:p>
  </w:footnote>
  <w:footnote w:id="7">
    <w:p w:rsidR="001C43A9" w:rsidRDefault="001C43A9" w:rsidP="0088087E">
      <w:pPr>
        <w:pStyle w:val="FootnoteText"/>
        <w:jc w:val="both"/>
      </w:pPr>
      <w:r>
        <w:rPr>
          <w:rStyle w:val="FootnoteReference"/>
        </w:rPr>
        <w:footnoteRef/>
      </w:r>
      <w:r>
        <w:t xml:space="preserve"> As mentioned previously, if the U-3 COD were not bounded to roughly November 2022 – February 2023, and it continued to slip, then at some point it should be possible to reduce the COD lag between U-3 and U-4 to less than 12 months.  However, that would be possible only with an even greater slip of the U-3 COD.</w:t>
      </w:r>
    </w:p>
  </w:footnote>
  <w:footnote w:id="8">
    <w:p w:rsidR="001C43A9" w:rsidRDefault="001C43A9">
      <w:pPr>
        <w:pStyle w:val="FootnoteText"/>
      </w:pPr>
      <w:r>
        <w:rPr>
          <w:rStyle w:val="FootnoteReference"/>
        </w:rPr>
        <w:footnoteRef/>
      </w:r>
      <w:r>
        <w:t xml:space="preserve"> The </w:t>
      </w:r>
      <w:r>
        <w:t xml:space="preserve">TPC EAC that VMG reports on includes all 100% equity shareable costs and does not include the financing related costs of the various owners and does not include “non-shareable” costs (currently estimated to be $ 570 M) which are incurred only by Georgia Power Company.  </w:t>
      </w:r>
    </w:p>
  </w:footnote>
  <w:footnote w:id="9">
    <w:p w:rsidR="001C43A9" w:rsidRDefault="001C43A9">
      <w:pPr>
        <w:pStyle w:val="FootnoteText"/>
      </w:pPr>
      <w:r>
        <w:rPr>
          <w:rStyle w:val="FootnoteReference"/>
        </w:rPr>
        <w:footnoteRef/>
      </w:r>
      <w:r>
        <w:t xml:space="preserve"> The $ 0.9 B calculation is based on a roughly $ 100 M/ month for both schedules slipping, a roughly $ 65 M/ month for just U-3 slipping, and a roughly $ 0.35 M / months for just U-4 slipping.  Given these assumptions, a 7 month slip of both schedules equals $ 0.7 B, plus an additional 3 months slip of the U-3 schedule equals another $ 0.2 B, and when added to $ 0.7 B equals a total of $0.9 B. </w:t>
      </w:r>
    </w:p>
  </w:footnote>
  <w:footnote w:id="10">
    <w:p w:rsidR="001C43A9" w:rsidRDefault="001C43A9">
      <w:pPr>
        <w:pStyle w:val="FootnoteText"/>
      </w:pPr>
      <w:r>
        <w:rPr>
          <w:rStyle w:val="FootnoteReference"/>
        </w:rPr>
        <w:footnoteRef/>
      </w:r>
      <w:r>
        <w:t xml:space="preserve"> The NRC just recently issued its final “Special Investigation Report” and based on that report they will be providing increased over-sight of construction work.  VMG has not had time to assess the extent of this increased over-sight, and its potential impacts on the project schedule, but this is certainly a potential risk to the remaining project schedule which would then also increase the </w:t>
      </w:r>
      <w:r>
        <w:t xml:space="preserve">TPC EAC.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3A9" w:rsidRPr="00DB1893" w:rsidRDefault="001C43A9">
    <w:pPr>
      <w:pStyle w:val="Header"/>
      <w:tabs>
        <w:tab w:val="clear" w:pos="4320"/>
        <w:tab w:val="clear" w:pos="8640"/>
      </w:tabs>
      <w:rPr>
        <w:rStyle w:val="PageNumber"/>
        <w:rFonts w:ascii="Garamond" w:hAnsi="Garamond"/>
      </w:rPr>
    </w:pPr>
    <w:r>
      <w:rPr>
        <w:noProof/>
      </w:rPr>
      <mc:AlternateContent>
        <mc:Choice Requires="wps">
          <w:drawing>
            <wp:anchor distT="0" distB="0" distL="113792" distR="113792" simplePos="0" relativeHeight="251658240" behindDoc="0" locked="0" layoutInCell="0" allowOverlap="1">
              <wp:simplePos x="0" y="0"/>
              <wp:positionH relativeFrom="column">
                <wp:posOffset>-164466</wp:posOffset>
              </wp:positionH>
              <wp:positionV relativeFrom="paragraph">
                <wp:posOffset>-274320</wp:posOffset>
              </wp:positionV>
              <wp:extent cx="0" cy="9692640"/>
              <wp:effectExtent l="19050" t="0" r="0" b="381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9264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F80A29" id="Straight Connector 2" o:spid="_x0000_s1026" style="position:absolute;z-index:251658240;visibility:visible;mso-wrap-style:square;mso-width-percent:0;mso-height-percent:0;mso-wrap-distance-left:8.96pt;mso-wrap-distance-top:0;mso-wrap-distance-right:8.96pt;mso-wrap-distance-bottom:0;mso-position-horizontal:absolute;mso-position-horizontal-relative:text;mso-position-vertical:absolute;mso-position-vertical-relative:text;mso-width-percent:0;mso-height-percent:0;mso-width-relative:page;mso-height-relative:page" from="-12.95pt,-21.6pt" to="-12.95pt,7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" o:allowincell="f" strokeweight="3pt">
              <v:stroke linestyle="thinThin"/>
            </v:line>
          </w:pict>
        </mc:Fallback>
      </mc:AlternateContent>
    </w:r>
    <w:r>
      <w:rPr>
        <w:noProof/>
      </w:rPr>
      <mc:AlternateContent>
        <mc:Choice Requires="wps">
          <w:drawing>
            <wp:anchor distT="0" distB="0" distL="113792" distR="113792" simplePos="0" relativeHeight="251657216" behindDoc="0" locked="0" layoutInCell="0" allowOverlap="1">
              <wp:simplePos x="0" y="0"/>
              <wp:positionH relativeFrom="column">
                <wp:posOffset>6144894</wp:posOffset>
              </wp:positionH>
              <wp:positionV relativeFrom="page">
                <wp:posOffset>182880</wp:posOffset>
              </wp:positionV>
              <wp:extent cx="0" cy="9784080"/>
              <wp:effectExtent l="0" t="0" r="1905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840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EF3D53" id="Straight Connector 1" o:spid="_x0000_s1026" style="position:absolute;z-index:251657216;visibility:visible;mso-wrap-style:square;mso-width-percent:0;mso-height-percent:0;mso-wrap-distance-left:8.96pt;mso-wrap-distance-top:0;mso-wrap-distance-right:8.96pt;mso-wrap-distance-bottom:0;mso-position-horizontal:absolute;mso-position-horizontal-relative:text;mso-position-vertical:absolute;mso-position-vertical-relative:page;mso-width-percent:0;mso-height-percent:0;mso-width-relative:page;mso-height-relative:page" from="483.85pt,14.4pt" to="483.85pt,7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" o:allowincell="f">
              <w10:wrap anchory="page"/>
            </v:line>
          </w:pict>
        </mc:Fallback>
      </mc:AlternateContent>
    </w:r>
    <w:r w:rsidRPr="00DB1893">
      <w:rPr>
        <w:rFonts w:ascii="Garamond" w:hAnsi="Garamond"/>
        <w:noProof/>
      </w:rPr>
      <w:t>Direct</w:t>
    </w:r>
    <w:r w:rsidRPr="00DB1893">
      <w:rPr>
        <w:rStyle w:val="PageNumber"/>
        <w:rFonts w:ascii="Garamond" w:hAnsi="Garamond"/>
      </w:rPr>
      <w:t xml:space="preserve"> Testimony of Don Grace</w:t>
    </w:r>
  </w:p>
  <w:p w:rsidR="001C43A9" w:rsidRPr="00DB1893" w:rsidRDefault="001C43A9" w:rsidP="00C626E7">
    <w:pPr>
      <w:rPr>
        <w:rStyle w:val="PageNumber"/>
        <w:rFonts w:ascii="Garamond" w:hAnsi="Garamond"/>
      </w:rPr>
    </w:pPr>
    <w:r w:rsidRPr="00DB1893">
      <w:rPr>
        <w:rStyle w:val="PageNumber"/>
        <w:rFonts w:ascii="Garamond" w:hAnsi="Garamond"/>
      </w:rPr>
      <w:t>Docket No. 29849</w:t>
    </w:r>
    <w:r>
      <w:rPr>
        <w:rStyle w:val="PageNumber"/>
        <w:rFonts w:ascii="Garamond" w:hAnsi="Garamond"/>
      </w:rPr>
      <w:t>, Twenty-Fifth Semi-Annual Vogtle Construction Monitoring Period</w:t>
    </w:r>
  </w:p>
  <w:p w:rsidR="001C43A9" w:rsidRDefault="001C43A9">
    <w:pPr>
      <w:rPr>
        <w:rStyle w:val="PageNumber"/>
      </w:rPr>
    </w:pPr>
  </w:p>
  <w:p w:rsidR="001C43A9" w:rsidRDefault="001C43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3A9" w:rsidRDefault="001C43A9">
    <w:pPr>
      <w:rPr>
        <w:rStyle w:val="PageNumber"/>
      </w:rPr>
    </w:pPr>
  </w:p>
  <w:p w:rsidR="001C43A9" w:rsidRDefault="001C43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042E"/>
    <w:multiLevelType w:val="hybridMultilevel"/>
    <w:tmpl w:val="F16A2C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0F31AC"/>
    <w:multiLevelType w:val="multilevel"/>
    <w:tmpl w:val="B854DE9E"/>
    <w:styleLink w:val="AG-DR1"/>
    <w:lvl w:ilvl="0">
      <w:start w:val="1"/>
      <w:numFmt w:val="bullet"/>
      <w:pStyle w:val="BulletList"/>
      <w:lvlText w:val=""/>
      <w:lvlJc w:val="left"/>
      <w:pPr>
        <w:tabs>
          <w:tab w:val="num" w:pos="1080"/>
        </w:tabs>
        <w:ind w:left="1080" w:hanging="1080"/>
      </w:pPr>
      <w:rPr>
        <w:rFonts w:ascii="Symbol" w:hAnsi="Symbo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E8033E"/>
    <w:multiLevelType w:val="hybridMultilevel"/>
    <w:tmpl w:val="31AE40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C70453"/>
    <w:multiLevelType w:val="hybridMultilevel"/>
    <w:tmpl w:val="A8B24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F71B26"/>
    <w:multiLevelType w:val="hybridMultilevel"/>
    <w:tmpl w:val="874839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B0334"/>
    <w:multiLevelType w:val="hybridMultilevel"/>
    <w:tmpl w:val="3090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034DF"/>
    <w:multiLevelType w:val="hybridMultilevel"/>
    <w:tmpl w:val="07B04CE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E74F4B"/>
    <w:multiLevelType w:val="hybridMultilevel"/>
    <w:tmpl w:val="5A04C14A"/>
    <w:lvl w:ilvl="0" w:tplc="0409000F">
      <w:start w:val="1"/>
      <w:numFmt w:val="decimal"/>
      <w:lvlText w:val="%1."/>
      <w:lvlJc w:val="left"/>
      <w:pPr>
        <w:ind w:left="1799" w:hanging="360"/>
      </w:p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8" w15:restartNumberingAfterBreak="0">
    <w:nsid w:val="15CD1BD9"/>
    <w:multiLevelType w:val="hybridMultilevel"/>
    <w:tmpl w:val="54906D1E"/>
    <w:lvl w:ilvl="0" w:tplc="04090011">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BF42CB"/>
    <w:multiLevelType w:val="hybridMultilevel"/>
    <w:tmpl w:val="727C586A"/>
    <w:lvl w:ilvl="0" w:tplc="0C090001">
      <w:start w:val="1"/>
      <w:numFmt w:val="bullet"/>
      <w:lvlText w:val=""/>
      <w:lvlJc w:val="left"/>
      <w:pPr>
        <w:ind w:left="2940" w:hanging="360"/>
      </w:pPr>
      <w:rPr>
        <w:rFonts w:ascii="Symbol" w:hAnsi="Symbol" w:hint="default"/>
      </w:rPr>
    </w:lvl>
    <w:lvl w:ilvl="1" w:tplc="0C090003" w:tentative="1">
      <w:start w:val="1"/>
      <w:numFmt w:val="bullet"/>
      <w:lvlText w:val="o"/>
      <w:lvlJc w:val="left"/>
      <w:pPr>
        <w:ind w:left="3660" w:hanging="360"/>
      </w:pPr>
      <w:rPr>
        <w:rFonts w:ascii="Courier New" w:hAnsi="Courier New" w:cs="Courier New" w:hint="default"/>
      </w:rPr>
    </w:lvl>
    <w:lvl w:ilvl="2" w:tplc="0C090005" w:tentative="1">
      <w:start w:val="1"/>
      <w:numFmt w:val="bullet"/>
      <w:lvlText w:val=""/>
      <w:lvlJc w:val="left"/>
      <w:pPr>
        <w:ind w:left="4380" w:hanging="360"/>
      </w:pPr>
      <w:rPr>
        <w:rFonts w:ascii="Wingdings" w:hAnsi="Wingdings" w:hint="default"/>
      </w:rPr>
    </w:lvl>
    <w:lvl w:ilvl="3" w:tplc="0C090001" w:tentative="1">
      <w:start w:val="1"/>
      <w:numFmt w:val="bullet"/>
      <w:lvlText w:val=""/>
      <w:lvlJc w:val="left"/>
      <w:pPr>
        <w:ind w:left="5100" w:hanging="360"/>
      </w:pPr>
      <w:rPr>
        <w:rFonts w:ascii="Symbol" w:hAnsi="Symbol" w:hint="default"/>
      </w:rPr>
    </w:lvl>
    <w:lvl w:ilvl="4" w:tplc="0C090003" w:tentative="1">
      <w:start w:val="1"/>
      <w:numFmt w:val="bullet"/>
      <w:lvlText w:val="o"/>
      <w:lvlJc w:val="left"/>
      <w:pPr>
        <w:ind w:left="5820" w:hanging="360"/>
      </w:pPr>
      <w:rPr>
        <w:rFonts w:ascii="Courier New" w:hAnsi="Courier New" w:cs="Courier New" w:hint="default"/>
      </w:rPr>
    </w:lvl>
    <w:lvl w:ilvl="5" w:tplc="0C090005" w:tentative="1">
      <w:start w:val="1"/>
      <w:numFmt w:val="bullet"/>
      <w:lvlText w:val=""/>
      <w:lvlJc w:val="left"/>
      <w:pPr>
        <w:ind w:left="6540" w:hanging="360"/>
      </w:pPr>
      <w:rPr>
        <w:rFonts w:ascii="Wingdings" w:hAnsi="Wingdings" w:hint="default"/>
      </w:rPr>
    </w:lvl>
    <w:lvl w:ilvl="6" w:tplc="0C090001" w:tentative="1">
      <w:start w:val="1"/>
      <w:numFmt w:val="bullet"/>
      <w:lvlText w:val=""/>
      <w:lvlJc w:val="left"/>
      <w:pPr>
        <w:ind w:left="7260" w:hanging="360"/>
      </w:pPr>
      <w:rPr>
        <w:rFonts w:ascii="Symbol" w:hAnsi="Symbol" w:hint="default"/>
      </w:rPr>
    </w:lvl>
    <w:lvl w:ilvl="7" w:tplc="0C090003" w:tentative="1">
      <w:start w:val="1"/>
      <w:numFmt w:val="bullet"/>
      <w:lvlText w:val="o"/>
      <w:lvlJc w:val="left"/>
      <w:pPr>
        <w:ind w:left="7980" w:hanging="360"/>
      </w:pPr>
      <w:rPr>
        <w:rFonts w:ascii="Courier New" w:hAnsi="Courier New" w:cs="Courier New" w:hint="default"/>
      </w:rPr>
    </w:lvl>
    <w:lvl w:ilvl="8" w:tplc="0C090005" w:tentative="1">
      <w:start w:val="1"/>
      <w:numFmt w:val="bullet"/>
      <w:lvlText w:val=""/>
      <w:lvlJc w:val="left"/>
      <w:pPr>
        <w:ind w:left="8700" w:hanging="360"/>
      </w:pPr>
      <w:rPr>
        <w:rFonts w:ascii="Wingdings" w:hAnsi="Wingdings" w:hint="default"/>
      </w:rPr>
    </w:lvl>
  </w:abstractNum>
  <w:abstractNum w:abstractNumId="10" w15:restartNumberingAfterBreak="0">
    <w:nsid w:val="190048A5"/>
    <w:multiLevelType w:val="hybridMultilevel"/>
    <w:tmpl w:val="6BCA858A"/>
    <w:lvl w:ilvl="0" w:tplc="0C09000F">
      <w:start w:val="1"/>
      <w:numFmt w:val="decimal"/>
      <w:lvlText w:val="%1."/>
      <w:lvlJc w:val="left"/>
      <w:pPr>
        <w:ind w:left="1079" w:hanging="360"/>
      </w:pPr>
    </w:lvl>
    <w:lvl w:ilvl="1" w:tplc="0C090019" w:tentative="1">
      <w:start w:val="1"/>
      <w:numFmt w:val="lowerLetter"/>
      <w:lvlText w:val="%2."/>
      <w:lvlJc w:val="left"/>
      <w:pPr>
        <w:ind w:left="1799" w:hanging="360"/>
      </w:pPr>
    </w:lvl>
    <w:lvl w:ilvl="2" w:tplc="0C09001B" w:tentative="1">
      <w:start w:val="1"/>
      <w:numFmt w:val="lowerRoman"/>
      <w:lvlText w:val="%3."/>
      <w:lvlJc w:val="right"/>
      <w:pPr>
        <w:ind w:left="2519" w:hanging="180"/>
      </w:pPr>
    </w:lvl>
    <w:lvl w:ilvl="3" w:tplc="0C09000F" w:tentative="1">
      <w:start w:val="1"/>
      <w:numFmt w:val="decimal"/>
      <w:lvlText w:val="%4."/>
      <w:lvlJc w:val="left"/>
      <w:pPr>
        <w:ind w:left="3239" w:hanging="360"/>
      </w:pPr>
    </w:lvl>
    <w:lvl w:ilvl="4" w:tplc="0C090019" w:tentative="1">
      <w:start w:val="1"/>
      <w:numFmt w:val="lowerLetter"/>
      <w:lvlText w:val="%5."/>
      <w:lvlJc w:val="left"/>
      <w:pPr>
        <w:ind w:left="3959" w:hanging="360"/>
      </w:pPr>
    </w:lvl>
    <w:lvl w:ilvl="5" w:tplc="0C09001B" w:tentative="1">
      <w:start w:val="1"/>
      <w:numFmt w:val="lowerRoman"/>
      <w:lvlText w:val="%6."/>
      <w:lvlJc w:val="right"/>
      <w:pPr>
        <w:ind w:left="4679" w:hanging="180"/>
      </w:pPr>
    </w:lvl>
    <w:lvl w:ilvl="6" w:tplc="0C09000F" w:tentative="1">
      <w:start w:val="1"/>
      <w:numFmt w:val="decimal"/>
      <w:lvlText w:val="%7."/>
      <w:lvlJc w:val="left"/>
      <w:pPr>
        <w:ind w:left="5399" w:hanging="360"/>
      </w:pPr>
    </w:lvl>
    <w:lvl w:ilvl="7" w:tplc="0C090019" w:tentative="1">
      <w:start w:val="1"/>
      <w:numFmt w:val="lowerLetter"/>
      <w:lvlText w:val="%8."/>
      <w:lvlJc w:val="left"/>
      <w:pPr>
        <w:ind w:left="6119" w:hanging="360"/>
      </w:pPr>
    </w:lvl>
    <w:lvl w:ilvl="8" w:tplc="0C09001B" w:tentative="1">
      <w:start w:val="1"/>
      <w:numFmt w:val="lowerRoman"/>
      <w:lvlText w:val="%9."/>
      <w:lvlJc w:val="right"/>
      <w:pPr>
        <w:ind w:left="6839" w:hanging="180"/>
      </w:pPr>
    </w:lvl>
  </w:abstractNum>
  <w:abstractNum w:abstractNumId="11" w15:restartNumberingAfterBreak="0">
    <w:nsid w:val="1BE60788"/>
    <w:multiLevelType w:val="hybridMultilevel"/>
    <w:tmpl w:val="53600D6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1C3D7B5F"/>
    <w:multiLevelType w:val="hybridMultilevel"/>
    <w:tmpl w:val="600E5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481753"/>
    <w:multiLevelType w:val="hybridMultilevel"/>
    <w:tmpl w:val="2798732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E76F05"/>
    <w:multiLevelType w:val="hybridMultilevel"/>
    <w:tmpl w:val="BF4C5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425240"/>
    <w:multiLevelType w:val="hybridMultilevel"/>
    <w:tmpl w:val="488230FA"/>
    <w:lvl w:ilvl="0" w:tplc="56AA0A6E">
      <w:start w:val="1"/>
      <w:numFmt w:val="bullet"/>
      <w:pStyle w:val="AZ-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1FB76E5D"/>
    <w:multiLevelType w:val="hybridMultilevel"/>
    <w:tmpl w:val="CCC06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0817F4"/>
    <w:multiLevelType w:val="hybridMultilevel"/>
    <w:tmpl w:val="70109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8C96D41"/>
    <w:multiLevelType w:val="hybridMultilevel"/>
    <w:tmpl w:val="48C8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A286EE7"/>
    <w:multiLevelType w:val="hybridMultilevel"/>
    <w:tmpl w:val="EF9CC8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C102F54"/>
    <w:multiLevelType w:val="hybridMultilevel"/>
    <w:tmpl w:val="EE26C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200AE7"/>
    <w:multiLevelType w:val="hybridMultilevel"/>
    <w:tmpl w:val="C0D403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CC83891"/>
    <w:multiLevelType w:val="hybridMultilevel"/>
    <w:tmpl w:val="D28E46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EF242AE"/>
    <w:multiLevelType w:val="hybridMultilevel"/>
    <w:tmpl w:val="9654A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203503B"/>
    <w:multiLevelType w:val="hybridMultilevel"/>
    <w:tmpl w:val="375E5B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2227C97"/>
    <w:multiLevelType w:val="hybridMultilevel"/>
    <w:tmpl w:val="DF5A43DE"/>
    <w:lvl w:ilvl="0" w:tplc="0C090001">
      <w:start w:val="1"/>
      <w:numFmt w:val="bullet"/>
      <w:lvlText w:val=""/>
      <w:lvlJc w:val="left"/>
      <w:pPr>
        <w:ind w:left="2580" w:hanging="360"/>
      </w:pPr>
      <w:rPr>
        <w:rFonts w:ascii="Symbol" w:hAnsi="Symbol" w:hint="default"/>
      </w:rPr>
    </w:lvl>
    <w:lvl w:ilvl="1" w:tplc="0C090003" w:tentative="1">
      <w:start w:val="1"/>
      <w:numFmt w:val="bullet"/>
      <w:lvlText w:val="o"/>
      <w:lvlJc w:val="left"/>
      <w:pPr>
        <w:ind w:left="3300" w:hanging="360"/>
      </w:pPr>
      <w:rPr>
        <w:rFonts w:ascii="Courier New" w:hAnsi="Courier New" w:cs="Courier New" w:hint="default"/>
      </w:rPr>
    </w:lvl>
    <w:lvl w:ilvl="2" w:tplc="0C090005" w:tentative="1">
      <w:start w:val="1"/>
      <w:numFmt w:val="bullet"/>
      <w:lvlText w:val=""/>
      <w:lvlJc w:val="left"/>
      <w:pPr>
        <w:ind w:left="4020" w:hanging="360"/>
      </w:pPr>
      <w:rPr>
        <w:rFonts w:ascii="Wingdings" w:hAnsi="Wingdings" w:hint="default"/>
      </w:rPr>
    </w:lvl>
    <w:lvl w:ilvl="3" w:tplc="0C090001" w:tentative="1">
      <w:start w:val="1"/>
      <w:numFmt w:val="bullet"/>
      <w:lvlText w:val=""/>
      <w:lvlJc w:val="left"/>
      <w:pPr>
        <w:ind w:left="4740" w:hanging="360"/>
      </w:pPr>
      <w:rPr>
        <w:rFonts w:ascii="Symbol" w:hAnsi="Symbol" w:hint="default"/>
      </w:rPr>
    </w:lvl>
    <w:lvl w:ilvl="4" w:tplc="0C090003" w:tentative="1">
      <w:start w:val="1"/>
      <w:numFmt w:val="bullet"/>
      <w:lvlText w:val="o"/>
      <w:lvlJc w:val="left"/>
      <w:pPr>
        <w:ind w:left="5460" w:hanging="360"/>
      </w:pPr>
      <w:rPr>
        <w:rFonts w:ascii="Courier New" w:hAnsi="Courier New" w:cs="Courier New" w:hint="default"/>
      </w:rPr>
    </w:lvl>
    <w:lvl w:ilvl="5" w:tplc="0C090005" w:tentative="1">
      <w:start w:val="1"/>
      <w:numFmt w:val="bullet"/>
      <w:lvlText w:val=""/>
      <w:lvlJc w:val="left"/>
      <w:pPr>
        <w:ind w:left="6180" w:hanging="360"/>
      </w:pPr>
      <w:rPr>
        <w:rFonts w:ascii="Wingdings" w:hAnsi="Wingdings" w:hint="default"/>
      </w:rPr>
    </w:lvl>
    <w:lvl w:ilvl="6" w:tplc="0C090001" w:tentative="1">
      <w:start w:val="1"/>
      <w:numFmt w:val="bullet"/>
      <w:lvlText w:val=""/>
      <w:lvlJc w:val="left"/>
      <w:pPr>
        <w:ind w:left="6900" w:hanging="360"/>
      </w:pPr>
      <w:rPr>
        <w:rFonts w:ascii="Symbol" w:hAnsi="Symbol" w:hint="default"/>
      </w:rPr>
    </w:lvl>
    <w:lvl w:ilvl="7" w:tplc="0C090003" w:tentative="1">
      <w:start w:val="1"/>
      <w:numFmt w:val="bullet"/>
      <w:lvlText w:val="o"/>
      <w:lvlJc w:val="left"/>
      <w:pPr>
        <w:ind w:left="7620" w:hanging="360"/>
      </w:pPr>
      <w:rPr>
        <w:rFonts w:ascii="Courier New" w:hAnsi="Courier New" w:cs="Courier New" w:hint="default"/>
      </w:rPr>
    </w:lvl>
    <w:lvl w:ilvl="8" w:tplc="0C090005" w:tentative="1">
      <w:start w:val="1"/>
      <w:numFmt w:val="bullet"/>
      <w:lvlText w:val=""/>
      <w:lvlJc w:val="left"/>
      <w:pPr>
        <w:ind w:left="8340" w:hanging="360"/>
      </w:pPr>
      <w:rPr>
        <w:rFonts w:ascii="Wingdings" w:hAnsi="Wingdings" w:hint="default"/>
      </w:rPr>
    </w:lvl>
  </w:abstractNum>
  <w:abstractNum w:abstractNumId="26" w15:restartNumberingAfterBreak="0">
    <w:nsid w:val="33F3207C"/>
    <w:multiLevelType w:val="hybridMultilevel"/>
    <w:tmpl w:val="E9BA335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4E86F9A"/>
    <w:multiLevelType w:val="hybridMultilevel"/>
    <w:tmpl w:val="535AF31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3A482C98"/>
    <w:multiLevelType w:val="hybridMultilevel"/>
    <w:tmpl w:val="F46A2B5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0617BC4"/>
    <w:multiLevelType w:val="hybridMultilevel"/>
    <w:tmpl w:val="D854CA8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1411D68"/>
    <w:multiLevelType w:val="hybridMultilevel"/>
    <w:tmpl w:val="C9926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2A5CA5"/>
    <w:multiLevelType w:val="hybridMultilevel"/>
    <w:tmpl w:val="E2DCCD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A486FED"/>
    <w:multiLevelType w:val="hybridMultilevel"/>
    <w:tmpl w:val="49CA3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AE73FAF"/>
    <w:multiLevelType w:val="hybridMultilevel"/>
    <w:tmpl w:val="A8706C28"/>
    <w:lvl w:ilvl="0" w:tplc="04090017">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4" w15:restartNumberingAfterBreak="0">
    <w:nsid w:val="4DD41180"/>
    <w:multiLevelType w:val="hybridMultilevel"/>
    <w:tmpl w:val="9E28D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055242C"/>
    <w:multiLevelType w:val="hybridMultilevel"/>
    <w:tmpl w:val="CD9EB374"/>
    <w:lvl w:ilvl="0" w:tplc="B8E24558">
      <w:start w:val="1"/>
      <w:numFmt w:val="decimal"/>
      <w:pStyle w:val="AZNumList"/>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0A75305"/>
    <w:multiLevelType w:val="hybridMultilevel"/>
    <w:tmpl w:val="1C30CC56"/>
    <w:lvl w:ilvl="0" w:tplc="8304C6CC">
      <w:start w:val="1"/>
      <w:numFmt w:val="bullet"/>
      <w:pStyle w:val="PA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52030E"/>
    <w:multiLevelType w:val="hybridMultilevel"/>
    <w:tmpl w:val="3184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AD77DC"/>
    <w:multiLevelType w:val="hybridMultilevel"/>
    <w:tmpl w:val="EBC8E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51E1CD8"/>
    <w:multiLevelType w:val="hybridMultilevel"/>
    <w:tmpl w:val="63FE7DD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5834AEA"/>
    <w:multiLevelType w:val="hybridMultilevel"/>
    <w:tmpl w:val="986A9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6140C75"/>
    <w:multiLevelType w:val="hybridMultilevel"/>
    <w:tmpl w:val="20862F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63164F9"/>
    <w:multiLevelType w:val="hybridMultilevel"/>
    <w:tmpl w:val="CA32694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A7D2748"/>
    <w:multiLevelType w:val="hybridMultilevel"/>
    <w:tmpl w:val="4B02F5B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 w15:restartNumberingAfterBreak="0">
    <w:nsid w:val="5EAC2DD9"/>
    <w:multiLevelType w:val="multilevel"/>
    <w:tmpl w:val="12E4F69A"/>
    <w:lvl w:ilvl="0">
      <w:start w:val="1"/>
      <w:numFmt w:val="upperLetter"/>
      <w:pStyle w:val="Heading2"/>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121700C"/>
    <w:multiLevelType w:val="hybridMultilevel"/>
    <w:tmpl w:val="B73887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1C228E2"/>
    <w:multiLevelType w:val="hybridMultilevel"/>
    <w:tmpl w:val="3874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E758AA"/>
    <w:multiLevelType w:val="hybridMultilevel"/>
    <w:tmpl w:val="9AA2A2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001EE0"/>
    <w:multiLevelType w:val="hybridMultilevel"/>
    <w:tmpl w:val="E36406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87808A1"/>
    <w:multiLevelType w:val="hybridMultilevel"/>
    <w:tmpl w:val="51FEC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92C1194"/>
    <w:multiLevelType w:val="hybridMultilevel"/>
    <w:tmpl w:val="386E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5A459B"/>
    <w:multiLevelType w:val="hybridMultilevel"/>
    <w:tmpl w:val="591268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E627878"/>
    <w:multiLevelType w:val="hybridMultilevel"/>
    <w:tmpl w:val="E81E4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07755D1"/>
    <w:multiLevelType w:val="hybridMultilevel"/>
    <w:tmpl w:val="FC88AC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3096692"/>
    <w:multiLevelType w:val="hybridMultilevel"/>
    <w:tmpl w:val="416E6C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3AF48AD"/>
    <w:multiLevelType w:val="hybridMultilevel"/>
    <w:tmpl w:val="BA2C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59357F"/>
    <w:multiLevelType w:val="hybridMultilevel"/>
    <w:tmpl w:val="D8C0BE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8716724"/>
    <w:multiLevelType w:val="hybridMultilevel"/>
    <w:tmpl w:val="38AA272C"/>
    <w:lvl w:ilvl="0" w:tplc="04090013">
      <w:start w:val="1"/>
      <w:numFmt w:val="upperRoman"/>
      <w:lvlText w:val="%1."/>
      <w:lvlJc w:val="right"/>
      <w:pPr>
        <w:ind w:left="2158" w:hanging="360"/>
      </w:pPr>
    </w:lvl>
    <w:lvl w:ilvl="1" w:tplc="04090019" w:tentative="1">
      <w:start w:val="1"/>
      <w:numFmt w:val="lowerLetter"/>
      <w:lvlText w:val="%2."/>
      <w:lvlJc w:val="left"/>
      <w:pPr>
        <w:ind w:left="2878" w:hanging="360"/>
      </w:pPr>
    </w:lvl>
    <w:lvl w:ilvl="2" w:tplc="0409001B" w:tentative="1">
      <w:start w:val="1"/>
      <w:numFmt w:val="lowerRoman"/>
      <w:lvlText w:val="%3."/>
      <w:lvlJc w:val="right"/>
      <w:pPr>
        <w:ind w:left="3598" w:hanging="180"/>
      </w:pPr>
    </w:lvl>
    <w:lvl w:ilvl="3" w:tplc="0409000F" w:tentative="1">
      <w:start w:val="1"/>
      <w:numFmt w:val="decimal"/>
      <w:lvlText w:val="%4."/>
      <w:lvlJc w:val="left"/>
      <w:pPr>
        <w:ind w:left="4318" w:hanging="360"/>
      </w:pPr>
    </w:lvl>
    <w:lvl w:ilvl="4" w:tplc="04090019" w:tentative="1">
      <w:start w:val="1"/>
      <w:numFmt w:val="lowerLetter"/>
      <w:lvlText w:val="%5."/>
      <w:lvlJc w:val="left"/>
      <w:pPr>
        <w:ind w:left="5038" w:hanging="360"/>
      </w:pPr>
    </w:lvl>
    <w:lvl w:ilvl="5" w:tplc="0409001B" w:tentative="1">
      <w:start w:val="1"/>
      <w:numFmt w:val="lowerRoman"/>
      <w:lvlText w:val="%6."/>
      <w:lvlJc w:val="right"/>
      <w:pPr>
        <w:ind w:left="5758" w:hanging="180"/>
      </w:pPr>
    </w:lvl>
    <w:lvl w:ilvl="6" w:tplc="0409000F" w:tentative="1">
      <w:start w:val="1"/>
      <w:numFmt w:val="decimal"/>
      <w:lvlText w:val="%7."/>
      <w:lvlJc w:val="left"/>
      <w:pPr>
        <w:ind w:left="6478" w:hanging="360"/>
      </w:pPr>
    </w:lvl>
    <w:lvl w:ilvl="7" w:tplc="04090019" w:tentative="1">
      <w:start w:val="1"/>
      <w:numFmt w:val="lowerLetter"/>
      <w:lvlText w:val="%8."/>
      <w:lvlJc w:val="left"/>
      <w:pPr>
        <w:ind w:left="7198" w:hanging="360"/>
      </w:pPr>
    </w:lvl>
    <w:lvl w:ilvl="8" w:tplc="0409001B" w:tentative="1">
      <w:start w:val="1"/>
      <w:numFmt w:val="lowerRoman"/>
      <w:lvlText w:val="%9."/>
      <w:lvlJc w:val="right"/>
      <w:pPr>
        <w:ind w:left="7918" w:hanging="180"/>
      </w:pPr>
    </w:lvl>
  </w:abstractNum>
  <w:abstractNum w:abstractNumId="58" w15:restartNumberingAfterBreak="0">
    <w:nsid w:val="787A3508"/>
    <w:multiLevelType w:val="hybridMultilevel"/>
    <w:tmpl w:val="64C2D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E60711B"/>
    <w:multiLevelType w:val="singleLevel"/>
    <w:tmpl w:val="75829662"/>
    <w:lvl w:ilvl="0">
      <w:start w:val="1"/>
      <w:numFmt w:val="bullet"/>
      <w:pStyle w:val="ListBullet2"/>
      <w:lvlText w:val=""/>
      <w:lvlJc w:val="left"/>
      <w:pPr>
        <w:tabs>
          <w:tab w:val="num" w:pos="1440"/>
        </w:tabs>
        <w:ind w:left="1440" w:hanging="360"/>
      </w:pPr>
      <w:rPr>
        <w:rFonts w:ascii="Symbol" w:hAnsi="Symbol" w:hint="default"/>
      </w:rPr>
    </w:lvl>
  </w:abstractNum>
  <w:num w:numId="1">
    <w:abstractNumId w:val="59"/>
  </w:num>
  <w:num w:numId="2">
    <w:abstractNumId w:val="36"/>
  </w:num>
  <w:num w:numId="3">
    <w:abstractNumId w:val="1"/>
  </w:num>
  <w:num w:numId="4">
    <w:abstractNumId w:val="15"/>
  </w:num>
  <w:num w:numId="5">
    <w:abstractNumId w:val="35"/>
  </w:num>
  <w:num w:numId="6">
    <w:abstractNumId w:val="44"/>
  </w:num>
  <w:num w:numId="7">
    <w:abstractNumId w:val="37"/>
  </w:num>
  <w:num w:numId="8">
    <w:abstractNumId w:val="8"/>
  </w:num>
  <w:num w:numId="9">
    <w:abstractNumId w:val="47"/>
  </w:num>
  <w:num w:numId="10">
    <w:abstractNumId w:val="21"/>
  </w:num>
  <w:num w:numId="11">
    <w:abstractNumId w:val="45"/>
  </w:num>
  <w:num w:numId="12">
    <w:abstractNumId w:val="33"/>
  </w:num>
  <w:num w:numId="13">
    <w:abstractNumId w:val="48"/>
  </w:num>
  <w:num w:numId="14">
    <w:abstractNumId w:val="41"/>
  </w:num>
  <w:num w:numId="15">
    <w:abstractNumId w:val="55"/>
  </w:num>
  <w:num w:numId="16">
    <w:abstractNumId w:val="24"/>
  </w:num>
  <w:num w:numId="17">
    <w:abstractNumId w:val="42"/>
  </w:num>
  <w:num w:numId="18">
    <w:abstractNumId w:val="26"/>
  </w:num>
  <w:num w:numId="19">
    <w:abstractNumId w:val="38"/>
  </w:num>
  <w:num w:numId="20">
    <w:abstractNumId w:val="19"/>
  </w:num>
  <w:num w:numId="21">
    <w:abstractNumId w:val="4"/>
  </w:num>
  <w:num w:numId="22">
    <w:abstractNumId w:val="6"/>
  </w:num>
  <w:num w:numId="23">
    <w:abstractNumId w:val="13"/>
  </w:num>
  <w:num w:numId="24">
    <w:abstractNumId w:val="53"/>
  </w:num>
  <w:num w:numId="25">
    <w:abstractNumId w:val="28"/>
  </w:num>
  <w:num w:numId="26">
    <w:abstractNumId w:val="49"/>
  </w:num>
  <w:num w:numId="27">
    <w:abstractNumId w:val="20"/>
  </w:num>
  <w:num w:numId="28">
    <w:abstractNumId w:val="3"/>
  </w:num>
  <w:num w:numId="29">
    <w:abstractNumId w:val="50"/>
  </w:num>
  <w:num w:numId="30">
    <w:abstractNumId w:val="5"/>
  </w:num>
  <w:num w:numId="31">
    <w:abstractNumId w:val="32"/>
  </w:num>
  <w:num w:numId="32">
    <w:abstractNumId w:val="22"/>
  </w:num>
  <w:num w:numId="33">
    <w:abstractNumId w:val="43"/>
  </w:num>
  <w:num w:numId="34">
    <w:abstractNumId w:val="40"/>
  </w:num>
  <w:num w:numId="35">
    <w:abstractNumId w:val="56"/>
  </w:num>
  <w:num w:numId="36">
    <w:abstractNumId w:val="51"/>
  </w:num>
  <w:num w:numId="37">
    <w:abstractNumId w:val="31"/>
  </w:num>
  <w:num w:numId="38">
    <w:abstractNumId w:val="58"/>
  </w:num>
  <w:num w:numId="39">
    <w:abstractNumId w:val="17"/>
  </w:num>
  <w:num w:numId="40">
    <w:abstractNumId w:val="0"/>
  </w:num>
  <w:num w:numId="41">
    <w:abstractNumId w:val="30"/>
  </w:num>
  <w:num w:numId="42">
    <w:abstractNumId w:val="29"/>
  </w:num>
  <w:num w:numId="43">
    <w:abstractNumId w:val="27"/>
  </w:num>
  <w:num w:numId="44">
    <w:abstractNumId w:val="9"/>
  </w:num>
  <w:num w:numId="45">
    <w:abstractNumId w:val="14"/>
  </w:num>
  <w:num w:numId="46">
    <w:abstractNumId w:val="10"/>
  </w:num>
  <w:num w:numId="47">
    <w:abstractNumId w:val="25"/>
  </w:num>
  <w:num w:numId="48">
    <w:abstractNumId w:val="11"/>
  </w:num>
  <w:num w:numId="49">
    <w:abstractNumId w:val="52"/>
  </w:num>
  <w:num w:numId="50">
    <w:abstractNumId w:val="2"/>
  </w:num>
  <w:num w:numId="51">
    <w:abstractNumId w:val="54"/>
  </w:num>
  <w:num w:numId="52">
    <w:abstractNumId w:val="12"/>
  </w:num>
  <w:num w:numId="53">
    <w:abstractNumId w:val="57"/>
  </w:num>
  <w:num w:numId="54">
    <w:abstractNumId w:val="18"/>
  </w:num>
  <w:num w:numId="55">
    <w:abstractNumId w:val="39"/>
  </w:num>
  <w:num w:numId="56">
    <w:abstractNumId w:val="7"/>
  </w:num>
  <w:num w:numId="57">
    <w:abstractNumId w:val="46"/>
  </w:num>
  <w:num w:numId="58">
    <w:abstractNumId w:val="16"/>
  </w:num>
  <w:num w:numId="59">
    <w:abstractNumId w:val="34"/>
  </w:num>
  <w:num w:numId="60">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4A"/>
    <w:rsid w:val="00000BE4"/>
    <w:rsid w:val="00000D7C"/>
    <w:rsid w:val="00000F79"/>
    <w:rsid w:val="0000183C"/>
    <w:rsid w:val="00002692"/>
    <w:rsid w:val="000027F1"/>
    <w:rsid w:val="00002C6A"/>
    <w:rsid w:val="000037E0"/>
    <w:rsid w:val="00003C7A"/>
    <w:rsid w:val="00004895"/>
    <w:rsid w:val="000049D4"/>
    <w:rsid w:val="000063D1"/>
    <w:rsid w:val="000066CD"/>
    <w:rsid w:val="00007644"/>
    <w:rsid w:val="00007DA9"/>
    <w:rsid w:val="000104E6"/>
    <w:rsid w:val="000109CB"/>
    <w:rsid w:val="00011100"/>
    <w:rsid w:val="00011B04"/>
    <w:rsid w:val="0001337F"/>
    <w:rsid w:val="0001340A"/>
    <w:rsid w:val="000135F3"/>
    <w:rsid w:val="000140E4"/>
    <w:rsid w:val="000147C7"/>
    <w:rsid w:val="0001550B"/>
    <w:rsid w:val="00017A0E"/>
    <w:rsid w:val="00017A6B"/>
    <w:rsid w:val="00017D23"/>
    <w:rsid w:val="000203AE"/>
    <w:rsid w:val="0002077E"/>
    <w:rsid w:val="00021030"/>
    <w:rsid w:val="000214F4"/>
    <w:rsid w:val="000215FC"/>
    <w:rsid w:val="00021693"/>
    <w:rsid w:val="000216B2"/>
    <w:rsid w:val="000231D9"/>
    <w:rsid w:val="00023933"/>
    <w:rsid w:val="00023A56"/>
    <w:rsid w:val="00023A64"/>
    <w:rsid w:val="00023A8B"/>
    <w:rsid w:val="000245FC"/>
    <w:rsid w:val="000279A7"/>
    <w:rsid w:val="00027A25"/>
    <w:rsid w:val="00030231"/>
    <w:rsid w:val="00030325"/>
    <w:rsid w:val="00030FA4"/>
    <w:rsid w:val="000311DA"/>
    <w:rsid w:val="00031363"/>
    <w:rsid w:val="000313AB"/>
    <w:rsid w:val="00031A56"/>
    <w:rsid w:val="00031DDC"/>
    <w:rsid w:val="00033082"/>
    <w:rsid w:val="0003336F"/>
    <w:rsid w:val="000335E2"/>
    <w:rsid w:val="0003452A"/>
    <w:rsid w:val="00034BDC"/>
    <w:rsid w:val="000352F8"/>
    <w:rsid w:val="00035B43"/>
    <w:rsid w:val="000362CB"/>
    <w:rsid w:val="000362EA"/>
    <w:rsid w:val="0003768B"/>
    <w:rsid w:val="00037BEE"/>
    <w:rsid w:val="0004064B"/>
    <w:rsid w:val="00041C68"/>
    <w:rsid w:val="000435DC"/>
    <w:rsid w:val="000437DD"/>
    <w:rsid w:val="000438D7"/>
    <w:rsid w:val="00043FA3"/>
    <w:rsid w:val="00044649"/>
    <w:rsid w:val="00044F5B"/>
    <w:rsid w:val="0004539F"/>
    <w:rsid w:val="00046922"/>
    <w:rsid w:val="00046B5A"/>
    <w:rsid w:val="00046CBA"/>
    <w:rsid w:val="000471B1"/>
    <w:rsid w:val="0004729D"/>
    <w:rsid w:val="0004757B"/>
    <w:rsid w:val="000502D8"/>
    <w:rsid w:val="000522BF"/>
    <w:rsid w:val="0005250F"/>
    <w:rsid w:val="00052EDE"/>
    <w:rsid w:val="0005320A"/>
    <w:rsid w:val="00053656"/>
    <w:rsid w:val="000537AD"/>
    <w:rsid w:val="000538A4"/>
    <w:rsid w:val="00053B55"/>
    <w:rsid w:val="00053C43"/>
    <w:rsid w:val="00053DE0"/>
    <w:rsid w:val="0005410A"/>
    <w:rsid w:val="00054386"/>
    <w:rsid w:val="00056591"/>
    <w:rsid w:val="0005679B"/>
    <w:rsid w:val="00056935"/>
    <w:rsid w:val="00056C96"/>
    <w:rsid w:val="00056DAA"/>
    <w:rsid w:val="00057B3F"/>
    <w:rsid w:val="00057BF6"/>
    <w:rsid w:val="00060242"/>
    <w:rsid w:val="0006154C"/>
    <w:rsid w:val="00061D14"/>
    <w:rsid w:val="000622A7"/>
    <w:rsid w:val="000622F0"/>
    <w:rsid w:val="00062310"/>
    <w:rsid w:val="00063016"/>
    <w:rsid w:val="000645B7"/>
    <w:rsid w:val="00064C99"/>
    <w:rsid w:val="000653CC"/>
    <w:rsid w:val="00066478"/>
    <w:rsid w:val="00066A51"/>
    <w:rsid w:val="00066EE5"/>
    <w:rsid w:val="00067137"/>
    <w:rsid w:val="00067254"/>
    <w:rsid w:val="0006784B"/>
    <w:rsid w:val="0007081B"/>
    <w:rsid w:val="00070C03"/>
    <w:rsid w:val="00070F3E"/>
    <w:rsid w:val="000713C0"/>
    <w:rsid w:val="00072000"/>
    <w:rsid w:val="000722EA"/>
    <w:rsid w:val="00072A36"/>
    <w:rsid w:val="00072F0A"/>
    <w:rsid w:val="000733D2"/>
    <w:rsid w:val="00073979"/>
    <w:rsid w:val="00073C6C"/>
    <w:rsid w:val="00074C3E"/>
    <w:rsid w:val="00075833"/>
    <w:rsid w:val="00076206"/>
    <w:rsid w:val="000774FE"/>
    <w:rsid w:val="00077955"/>
    <w:rsid w:val="00077D99"/>
    <w:rsid w:val="00077F42"/>
    <w:rsid w:val="00081568"/>
    <w:rsid w:val="000816D0"/>
    <w:rsid w:val="00081FA1"/>
    <w:rsid w:val="00082600"/>
    <w:rsid w:val="00082687"/>
    <w:rsid w:val="000828C2"/>
    <w:rsid w:val="0008383D"/>
    <w:rsid w:val="00083BB2"/>
    <w:rsid w:val="0008470E"/>
    <w:rsid w:val="00085E6A"/>
    <w:rsid w:val="0008625D"/>
    <w:rsid w:val="00087F43"/>
    <w:rsid w:val="00090013"/>
    <w:rsid w:val="000908AA"/>
    <w:rsid w:val="000909DD"/>
    <w:rsid w:val="00090F0C"/>
    <w:rsid w:val="00090FCC"/>
    <w:rsid w:val="0009227F"/>
    <w:rsid w:val="00092D43"/>
    <w:rsid w:val="00093D9C"/>
    <w:rsid w:val="00093E17"/>
    <w:rsid w:val="000945AA"/>
    <w:rsid w:val="00094687"/>
    <w:rsid w:val="000951F2"/>
    <w:rsid w:val="000953CA"/>
    <w:rsid w:val="000958FE"/>
    <w:rsid w:val="00096495"/>
    <w:rsid w:val="000969F0"/>
    <w:rsid w:val="00096B0C"/>
    <w:rsid w:val="00096C25"/>
    <w:rsid w:val="00096C68"/>
    <w:rsid w:val="00096EA2"/>
    <w:rsid w:val="00097E5B"/>
    <w:rsid w:val="00097ED0"/>
    <w:rsid w:val="000A003C"/>
    <w:rsid w:val="000A04DA"/>
    <w:rsid w:val="000A090E"/>
    <w:rsid w:val="000A0B3E"/>
    <w:rsid w:val="000A0D6C"/>
    <w:rsid w:val="000A0E82"/>
    <w:rsid w:val="000A14C5"/>
    <w:rsid w:val="000A1510"/>
    <w:rsid w:val="000A217C"/>
    <w:rsid w:val="000A32CA"/>
    <w:rsid w:val="000A33DD"/>
    <w:rsid w:val="000A3A74"/>
    <w:rsid w:val="000A42C4"/>
    <w:rsid w:val="000A56FB"/>
    <w:rsid w:val="000A6B34"/>
    <w:rsid w:val="000A7263"/>
    <w:rsid w:val="000B0598"/>
    <w:rsid w:val="000B14F4"/>
    <w:rsid w:val="000B1BF2"/>
    <w:rsid w:val="000B1FAE"/>
    <w:rsid w:val="000B315A"/>
    <w:rsid w:val="000B429C"/>
    <w:rsid w:val="000B4B7D"/>
    <w:rsid w:val="000B4E70"/>
    <w:rsid w:val="000B4F37"/>
    <w:rsid w:val="000B70C7"/>
    <w:rsid w:val="000B72FD"/>
    <w:rsid w:val="000B7471"/>
    <w:rsid w:val="000B7D82"/>
    <w:rsid w:val="000C00C9"/>
    <w:rsid w:val="000C06AF"/>
    <w:rsid w:val="000C088D"/>
    <w:rsid w:val="000C1096"/>
    <w:rsid w:val="000C2674"/>
    <w:rsid w:val="000C39BD"/>
    <w:rsid w:val="000C3C3C"/>
    <w:rsid w:val="000C4054"/>
    <w:rsid w:val="000C4120"/>
    <w:rsid w:val="000C650E"/>
    <w:rsid w:val="000C77F4"/>
    <w:rsid w:val="000C7EF0"/>
    <w:rsid w:val="000D0209"/>
    <w:rsid w:val="000D06A9"/>
    <w:rsid w:val="000D1276"/>
    <w:rsid w:val="000D1AF7"/>
    <w:rsid w:val="000D1B7D"/>
    <w:rsid w:val="000D1EB0"/>
    <w:rsid w:val="000D2603"/>
    <w:rsid w:val="000D2AFF"/>
    <w:rsid w:val="000D3327"/>
    <w:rsid w:val="000D37E4"/>
    <w:rsid w:val="000D3F36"/>
    <w:rsid w:val="000D5251"/>
    <w:rsid w:val="000D5521"/>
    <w:rsid w:val="000D5A10"/>
    <w:rsid w:val="000D5DF2"/>
    <w:rsid w:val="000D6563"/>
    <w:rsid w:val="000D6CE3"/>
    <w:rsid w:val="000D7066"/>
    <w:rsid w:val="000E080F"/>
    <w:rsid w:val="000E11FE"/>
    <w:rsid w:val="000E1492"/>
    <w:rsid w:val="000E1B6F"/>
    <w:rsid w:val="000E1D7B"/>
    <w:rsid w:val="000E1E92"/>
    <w:rsid w:val="000E2E03"/>
    <w:rsid w:val="000E3490"/>
    <w:rsid w:val="000E369D"/>
    <w:rsid w:val="000E380B"/>
    <w:rsid w:val="000E481C"/>
    <w:rsid w:val="000E4D78"/>
    <w:rsid w:val="000E5F0E"/>
    <w:rsid w:val="000E5F54"/>
    <w:rsid w:val="000E6F10"/>
    <w:rsid w:val="000E798F"/>
    <w:rsid w:val="000E7D47"/>
    <w:rsid w:val="000E7D7A"/>
    <w:rsid w:val="000F0633"/>
    <w:rsid w:val="000F1BC3"/>
    <w:rsid w:val="000F1F5E"/>
    <w:rsid w:val="000F272E"/>
    <w:rsid w:val="000F43B6"/>
    <w:rsid w:val="000F5652"/>
    <w:rsid w:val="000F7223"/>
    <w:rsid w:val="00101731"/>
    <w:rsid w:val="00101A19"/>
    <w:rsid w:val="001023DD"/>
    <w:rsid w:val="0010276A"/>
    <w:rsid w:val="00102F75"/>
    <w:rsid w:val="001039FD"/>
    <w:rsid w:val="00104234"/>
    <w:rsid w:val="0010507E"/>
    <w:rsid w:val="00105D80"/>
    <w:rsid w:val="001068B4"/>
    <w:rsid w:val="00106F2D"/>
    <w:rsid w:val="00107904"/>
    <w:rsid w:val="001079DC"/>
    <w:rsid w:val="0011157C"/>
    <w:rsid w:val="0011227F"/>
    <w:rsid w:val="00112FC4"/>
    <w:rsid w:val="00113364"/>
    <w:rsid w:val="00113B50"/>
    <w:rsid w:val="00113C4A"/>
    <w:rsid w:val="00113EE8"/>
    <w:rsid w:val="00114BEE"/>
    <w:rsid w:val="00116505"/>
    <w:rsid w:val="00116510"/>
    <w:rsid w:val="001171F2"/>
    <w:rsid w:val="00117AE4"/>
    <w:rsid w:val="00117BD0"/>
    <w:rsid w:val="00120990"/>
    <w:rsid w:val="00120DDD"/>
    <w:rsid w:val="00120EAD"/>
    <w:rsid w:val="001211D2"/>
    <w:rsid w:val="00122043"/>
    <w:rsid w:val="00122AEE"/>
    <w:rsid w:val="001237A2"/>
    <w:rsid w:val="00124172"/>
    <w:rsid w:val="00125B78"/>
    <w:rsid w:val="00125D34"/>
    <w:rsid w:val="00126455"/>
    <w:rsid w:val="00126C5C"/>
    <w:rsid w:val="00127A28"/>
    <w:rsid w:val="00127B5B"/>
    <w:rsid w:val="00127B5D"/>
    <w:rsid w:val="00130D4E"/>
    <w:rsid w:val="00131A8A"/>
    <w:rsid w:val="00131B27"/>
    <w:rsid w:val="001327B4"/>
    <w:rsid w:val="00134D7C"/>
    <w:rsid w:val="00135DC8"/>
    <w:rsid w:val="00136DB9"/>
    <w:rsid w:val="00136F34"/>
    <w:rsid w:val="00137AAD"/>
    <w:rsid w:val="001410B1"/>
    <w:rsid w:val="001412F4"/>
    <w:rsid w:val="001414CE"/>
    <w:rsid w:val="00141C91"/>
    <w:rsid w:val="001420DC"/>
    <w:rsid w:val="0014215A"/>
    <w:rsid w:val="00143715"/>
    <w:rsid w:val="001437EF"/>
    <w:rsid w:val="00143820"/>
    <w:rsid w:val="001439BD"/>
    <w:rsid w:val="00143B9C"/>
    <w:rsid w:val="00143EEB"/>
    <w:rsid w:val="001447BD"/>
    <w:rsid w:val="00144C97"/>
    <w:rsid w:val="001457AE"/>
    <w:rsid w:val="00145D6B"/>
    <w:rsid w:val="0014671D"/>
    <w:rsid w:val="0014678B"/>
    <w:rsid w:val="001472C0"/>
    <w:rsid w:val="00147AF5"/>
    <w:rsid w:val="00150191"/>
    <w:rsid w:val="00150642"/>
    <w:rsid w:val="00151764"/>
    <w:rsid w:val="00151D21"/>
    <w:rsid w:val="001529F8"/>
    <w:rsid w:val="00153BEC"/>
    <w:rsid w:val="001556EC"/>
    <w:rsid w:val="001565D8"/>
    <w:rsid w:val="001565EF"/>
    <w:rsid w:val="00156645"/>
    <w:rsid w:val="00156CC2"/>
    <w:rsid w:val="0015736F"/>
    <w:rsid w:val="0015787B"/>
    <w:rsid w:val="00161251"/>
    <w:rsid w:val="00161D50"/>
    <w:rsid w:val="00162210"/>
    <w:rsid w:val="00162DC6"/>
    <w:rsid w:val="00163079"/>
    <w:rsid w:val="0016346E"/>
    <w:rsid w:val="0016351F"/>
    <w:rsid w:val="0016507D"/>
    <w:rsid w:val="00165E92"/>
    <w:rsid w:val="001660DC"/>
    <w:rsid w:val="0016731D"/>
    <w:rsid w:val="00167453"/>
    <w:rsid w:val="00167FC9"/>
    <w:rsid w:val="001700F6"/>
    <w:rsid w:val="00171D0B"/>
    <w:rsid w:val="00173308"/>
    <w:rsid w:val="00173B41"/>
    <w:rsid w:val="0017594B"/>
    <w:rsid w:val="00175C50"/>
    <w:rsid w:val="00175F8A"/>
    <w:rsid w:val="001771D4"/>
    <w:rsid w:val="00177284"/>
    <w:rsid w:val="00177F09"/>
    <w:rsid w:val="001806CD"/>
    <w:rsid w:val="00180EC9"/>
    <w:rsid w:val="00181A73"/>
    <w:rsid w:val="00182537"/>
    <w:rsid w:val="00182A69"/>
    <w:rsid w:val="00182C1C"/>
    <w:rsid w:val="00182FE9"/>
    <w:rsid w:val="00184073"/>
    <w:rsid w:val="0018579F"/>
    <w:rsid w:val="00185946"/>
    <w:rsid w:val="00185BA6"/>
    <w:rsid w:val="00185FE8"/>
    <w:rsid w:val="00186024"/>
    <w:rsid w:val="00186592"/>
    <w:rsid w:val="001866D7"/>
    <w:rsid w:val="00186F71"/>
    <w:rsid w:val="00187ECB"/>
    <w:rsid w:val="00190330"/>
    <w:rsid w:val="001911DC"/>
    <w:rsid w:val="001911FD"/>
    <w:rsid w:val="00191290"/>
    <w:rsid w:val="00191725"/>
    <w:rsid w:val="0019264D"/>
    <w:rsid w:val="00192F34"/>
    <w:rsid w:val="001933DA"/>
    <w:rsid w:val="001935D2"/>
    <w:rsid w:val="00194CBC"/>
    <w:rsid w:val="00195242"/>
    <w:rsid w:val="001955A5"/>
    <w:rsid w:val="00195756"/>
    <w:rsid w:val="001959E9"/>
    <w:rsid w:val="00195D5A"/>
    <w:rsid w:val="001A08CA"/>
    <w:rsid w:val="001A187D"/>
    <w:rsid w:val="001A1FA8"/>
    <w:rsid w:val="001A3AF0"/>
    <w:rsid w:val="001A4728"/>
    <w:rsid w:val="001A52A5"/>
    <w:rsid w:val="001A6851"/>
    <w:rsid w:val="001A7309"/>
    <w:rsid w:val="001B01B4"/>
    <w:rsid w:val="001B033F"/>
    <w:rsid w:val="001B0E92"/>
    <w:rsid w:val="001B1DD8"/>
    <w:rsid w:val="001B2417"/>
    <w:rsid w:val="001B2BC6"/>
    <w:rsid w:val="001B369F"/>
    <w:rsid w:val="001B49A9"/>
    <w:rsid w:val="001B4E62"/>
    <w:rsid w:val="001B4FEC"/>
    <w:rsid w:val="001B53BB"/>
    <w:rsid w:val="001B559C"/>
    <w:rsid w:val="001B5896"/>
    <w:rsid w:val="001B5B77"/>
    <w:rsid w:val="001B5E6F"/>
    <w:rsid w:val="001B61E9"/>
    <w:rsid w:val="001B62E7"/>
    <w:rsid w:val="001B73ED"/>
    <w:rsid w:val="001B7B78"/>
    <w:rsid w:val="001C0B87"/>
    <w:rsid w:val="001C0BA7"/>
    <w:rsid w:val="001C0E09"/>
    <w:rsid w:val="001C0FC6"/>
    <w:rsid w:val="001C13C5"/>
    <w:rsid w:val="001C18CC"/>
    <w:rsid w:val="001C1B48"/>
    <w:rsid w:val="001C2918"/>
    <w:rsid w:val="001C2DFE"/>
    <w:rsid w:val="001C3568"/>
    <w:rsid w:val="001C3CBA"/>
    <w:rsid w:val="001C3ED3"/>
    <w:rsid w:val="001C43A9"/>
    <w:rsid w:val="001C4BF6"/>
    <w:rsid w:val="001C4DC8"/>
    <w:rsid w:val="001C5139"/>
    <w:rsid w:val="001C5345"/>
    <w:rsid w:val="001C582C"/>
    <w:rsid w:val="001C5B1C"/>
    <w:rsid w:val="001C647C"/>
    <w:rsid w:val="001C649A"/>
    <w:rsid w:val="001C6619"/>
    <w:rsid w:val="001C6B06"/>
    <w:rsid w:val="001C7099"/>
    <w:rsid w:val="001C7EB0"/>
    <w:rsid w:val="001D036D"/>
    <w:rsid w:val="001D0C8C"/>
    <w:rsid w:val="001D11BE"/>
    <w:rsid w:val="001D12EB"/>
    <w:rsid w:val="001D20C6"/>
    <w:rsid w:val="001D263C"/>
    <w:rsid w:val="001D31EA"/>
    <w:rsid w:val="001D43F8"/>
    <w:rsid w:val="001D4E2D"/>
    <w:rsid w:val="001D5164"/>
    <w:rsid w:val="001D5479"/>
    <w:rsid w:val="001D5620"/>
    <w:rsid w:val="001D58E4"/>
    <w:rsid w:val="001D70A3"/>
    <w:rsid w:val="001D72D7"/>
    <w:rsid w:val="001D79D7"/>
    <w:rsid w:val="001D7E28"/>
    <w:rsid w:val="001E01BA"/>
    <w:rsid w:val="001E0406"/>
    <w:rsid w:val="001E2921"/>
    <w:rsid w:val="001E2BF7"/>
    <w:rsid w:val="001E35CE"/>
    <w:rsid w:val="001E415F"/>
    <w:rsid w:val="001E4493"/>
    <w:rsid w:val="001E46AD"/>
    <w:rsid w:val="001E4F1D"/>
    <w:rsid w:val="001E520D"/>
    <w:rsid w:val="001E5E12"/>
    <w:rsid w:val="001E6288"/>
    <w:rsid w:val="001E688D"/>
    <w:rsid w:val="001E6FBC"/>
    <w:rsid w:val="001F0994"/>
    <w:rsid w:val="001F09F0"/>
    <w:rsid w:val="001F24F0"/>
    <w:rsid w:val="001F2810"/>
    <w:rsid w:val="001F375C"/>
    <w:rsid w:val="001F3A88"/>
    <w:rsid w:val="001F4646"/>
    <w:rsid w:val="001F4F7B"/>
    <w:rsid w:val="001F501A"/>
    <w:rsid w:val="001F50CE"/>
    <w:rsid w:val="001F558C"/>
    <w:rsid w:val="001F5642"/>
    <w:rsid w:val="001F5B65"/>
    <w:rsid w:val="001F6044"/>
    <w:rsid w:val="001F664D"/>
    <w:rsid w:val="001F6B87"/>
    <w:rsid w:val="0020050C"/>
    <w:rsid w:val="002009DA"/>
    <w:rsid w:val="002009F4"/>
    <w:rsid w:val="00201DB5"/>
    <w:rsid w:val="00202679"/>
    <w:rsid w:val="00202706"/>
    <w:rsid w:val="0020281B"/>
    <w:rsid w:val="0020285B"/>
    <w:rsid w:val="002028D6"/>
    <w:rsid w:val="002044C9"/>
    <w:rsid w:val="00204660"/>
    <w:rsid w:val="002047AE"/>
    <w:rsid w:val="00205F99"/>
    <w:rsid w:val="0020632E"/>
    <w:rsid w:val="002065AF"/>
    <w:rsid w:val="00206F73"/>
    <w:rsid w:val="002074DC"/>
    <w:rsid w:val="002079CA"/>
    <w:rsid w:val="00210418"/>
    <w:rsid w:val="002112AE"/>
    <w:rsid w:val="0021161F"/>
    <w:rsid w:val="002126D4"/>
    <w:rsid w:val="00212A68"/>
    <w:rsid w:val="002133CB"/>
    <w:rsid w:val="00214186"/>
    <w:rsid w:val="002148E2"/>
    <w:rsid w:val="0021512F"/>
    <w:rsid w:val="0021517B"/>
    <w:rsid w:val="002155CF"/>
    <w:rsid w:val="00216505"/>
    <w:rsid w:val="00216B1E"/>
    <w:rsid w:val="00216D98"/>
    <w:rsid w:val="0021787A"/>
    <w:rsid w:val="00217B69"/>
    <w:rsid w:val="0022096A"/>
    <w:rsid w:val="00220EFD"/>
    <w:rsid w:val="00223DE5"/>
    <w:rsid w:val="00224A01"/>
    <w:rsid w:val="00225220"/>
    <w:rsid w:val="0022547C"/>
    <w:rsid w:val="002255B7"/>
    <w:rsid w:val="00226087"/>
    <w:rsid w:val="00226635"/>
    <w:rsid w:val="002266FE"/>
    <w:rsid w:val="0022671E"/>
    <w:rsid w:val="002269DA"/>
    <w:rsid w:val="00226B1E"/>
    <w:rsid w:val="00226B8A"/>
    <w:rsid w:val="00226B97"/>
    <w:rsid w:val="00227B3C"/>
    <w:rsid w:val="00230518"/>
    <w:rsid w:val="002309D9"/>
    <w:rsid w:val="00230A22"/>
    <w:rsid w:val="00230E58"/>
    <w:rsid w:val="00230EA5"/>
    <w:rsid w:val="0023108D"/>
    <w:rsid w:val="002312B8"/>
    <w:rsid w:val="00231544"/>
    <w:rsid w:val="00231A97"/>
    <w:rsid w:val="002324A6"/>
    <w:rsid w:val="00233CDD"/>
    <w:rsid w:val="0023403A"/>
    <w:rsid w:val="00235CE3"/>
    <w:rsid w:val="00236446"/>
    <w:rsid w:val="002372A9"/>
    <w:rsid w:val="002400B9"/>
    <w:rsid w:val="00240680"/>
    <w:rsid w:val="00240770"/>
    <w:rsid w:val="002408AF"/>
    <w:rsid w:val="00240E6F"/>
    <w:rsid w:val="00241072"/>
    <w:rsid w:val="00241119"/>
    <w:rsid w:val="00242C8B"/>
    <w:rsid w:val="0024348C"/>
    <w:rsid w:val="00243DCC"/>
    <w:rsid w:val="00244183"/>
    <w:rsid w:val="00245135"/>
    <w:rsid w:val="0024649F"/>
    <w:rsid w:val="00246AEA"/>
    <w:rsid w:val="00246BE4"/>
    <w:rsid w:val="00246CA9"/>
    <w:rsid w:val="002475F3"/>
    <w:rsid w:val="00247754"/>
    <w:rsid w:val="002502B9"/>
    <w:rsid w:val="002508E6"/>
    <w:rsid w:val="00250A18"/>
    <w:rsid w:val="00251728"/>
    <w:rsid w:val="0025197A"/>
    <w:rsid w:val="00252D3B"/>
    <w:rsid w:val="002555B9"/>
    <w:rsid w:val="002557F4"/>
    <w:rsid w:val="002569A6"/>
    <w:rsid w:val="00256EFD"/>
    <w:rsid w:val="00257008"/>
    <w:rsid w:val="00257674"/>
    <w:rsid w:val="00257D17"/>
    <w:rsid w:val="002606B0"/>
    <w:rsid w:val="002629D5"/>
    <w:rsid w:val="00262AD4"/>
    <w:rsid w:val="00262B28"/>
    <w:rsid w:val="002640B9"/>
    <w:rsid w:val="0026437A"/>
    <w:rsid w:val="00264B60"/>
    <w:rsid w:val="00265C77"/>
    <w:rsid w:val="00265E47"/>
    <w:rsid w:val="0026650D"/>
    <w:rsid w:val="002670B2"/>
    <w:rsid w:val="0026789E"/>
    <w:rsid w:val="002701C9"/>
    <w:rsid w:val="002702A3"/>
    <w:rsid w:val="00270ED1"/>
    <w:rsid w:val="0027138A"/>
    <w:rsid w:val="00271FE8"/>
    <w:rsid w:val="002721EA"/>
    <w:rsid w:val="002721F1"/>
    <w:rsid w:val="00272606"/>
    <w:rsid w:val="002731AB"/>
    <w:rsid w:val="002735C9"/>
    <w:rsid w:val="002743E7"/>
    <w:rsid w:val="00274C39"/>
    <w:rsid w:val="00274C86"/>
    <w:rsid w:val="00275E8D"/>
    <w:rsid w:val="00275F6B"/>
    <w:rsid w:val="0027726E"/>
    <w:rsid w:val="00277505"/>
    <w:rsid w:val="002775C6"/>
    <w:rsid w:val="002778B8"/>
    <w:rsid w:val="00280EB0"/>
    <w:rsid w:val="0028211D"/>
    <w:rsid w:val="00282FF0"/>
    <w:rsid w:val="002836AC"/>
    <w:rsid w:val="00284155"/>
    <w:rsid w:val="00285A8A"/>
    <w:rsid w:val="00285EB8"/>
    <w:rsid w:val="00286C1E"/>
    <w:rsid w:val="00286E1D"/>
    <w:rsid w:val="00287217"/>
    <w:rsid w:val="002875FB"/>
    <w:rsid w:val="00287825"/>
    <w:rsid w:val="0028788A"/>
    <w:rsid w:val="002900EB"/>
    <w:rsid w:val="002914CE"/>
    <w:rsid w:val="00291736"/>
    <w:rsid w:val="0029198C"/>
    <w:rsid w:val="00292A3F"/>
    <w:rsid w:val="00292E79"/>
    <w:rsid w:val="002937E3"/>
    <w:rsid w:val="0029394E"/>
    <w:rsid w:val="00293DBA"/>
    <w:rsid w:val="0029426E"/>
    <w:rsid w:val="002954F5"/>
    <w:rsid w:val="002957D9"/>
    <w:rsid w:val="00295F2B"/>
    <w:rsid w:val="00295FD8"/>
    <w:rsid w:val="00296FE7"/>
    <w:rsid w:val="00297A9F"/>
    <w:rsid w:val="00297B0D"/>
    <w:rsid w:val="002A027F"/>
    <w:rsid w:val="002A085C"/>
    <w:rsid w:val="002A08A0"/>
    <w:rsid w:val="002A0ABA"/>
    <w:rsid w:val="002A1141"/>
    <w:rsid w:val="002A1499"/>
    <w:rsid w:val="002A19FE"/>
    <w:rsid w:val="002A1EC7"/>
    <w:rsid w:val="002A209D"/>
    <w:rsid w:val="002A3387"/>
    <w:rsid w:val="002A3587"/>
    <w:rsid w:val="002A3B98"/>
    <w:rsid w:val="002A494E"/>
    <w:rsid w:val="002A498E"/>
    <w:rsid w:val="002A53EE"/>
    <w:rsid w:val="002A595F"/>
    <w:rsid w:val="002A5B27"/>
    <w:rsid w:val="002A65E8"/>
    <w:rsid w:val="002A6788"/>
    <w:rsid w:val="002A6A97"/>
    <w:rsid w:val="002A6B64"/>
    <w:rsid w:val="002A75BE"/>
    <w:rsid w:val="002B016A"/>
    <w:rsid w:val="002B0232"/>
    <w:rsid w:val="002B070C"/>
    <w:rsid w:val="002B128C"/>
    <w:rsid w:val="002B1722"/>
    <w:rsid w:val="002B1DE1"/>
    <w:rsid w:val="002B2A7C"/>
    <w:rsid w:val="002B3CEE"/>
    <w:rsid w:val="002B3E17"/>
    <w:rsid w:val="002B581F"/>
    <w:rsid w:val="002B63B8"/>
    <w:rsid w:val="002B677D"/>
    <w:rsid w:val="002B719B"/>
    <w:rsid w:val="002B77B5"/>
    <w:rsid w:val="002C032A"/>
    <w:rsid w:val="002C1722"/>
    <w:rsid w:val="002C1B94"/>
    <w:rsid w:val="002C2541"/>
    <w:rsid w:val="002C2E80"/>
    <w:rsid w:val="002C2FBC"/>
    <w:rsid w:val="002C351F"/>
    <w:rsid w:val="002C35BF"/>
    <w:rsid w:val="002C3850"/>
    <w:rsid w:val="002C428C"/>
    <w:rsid w:val="002C4532"/>
    <w:rsid w:val="002C4761"/>
    <w:rsid w:val="002C48C9"/>
    <w:rsid w:val="002C50AB"/>
    <w:rsid w:val="002C5404"/>
    <w:rsid w:val="002C58E5"/>
    <w:rsid w:val="002C6181"/>
    <w:rsid w:val="002C70DD"/>
    <w:rsid w:val="002D0122"/>
    <w:rsid w:val="002D01A9"/>
    <w:rsid w:val="002D0862"/>
    <w:rsid w:val="002D0E3D"/>
    <w:rsid w:val="002D109C"/>
    <w:rsid w:val="002D181E"/>
    <w:rsid w:val="002D1D7C"/>
    <w:rsid w:val="002D237F"/>
    <w:rsid w:val="002D2B8B"/>
    <w:rsid w:val="002D319C"/>
    <w:rsid w:val="002D3916"/>
    <w:rsid w:val="002D394F"/>
    <w:rsid w:val="002D3D0E"/>
    <w:rsid w:val="002D3E7C"/>
    <w:rsid w:val="002D4258"/>
    <w:rsid w:val="002D7E35"/>
    <w:rsid w:val="002E00B0"/>
    <w:rsid w:val="002E0A3A"/>
    <w:rsid w:val="002E0D02"/>
    <w:rsid w:val="002E18FC"/>
    <w:rsid w:val="002E27AE"/>
    <w:rsid w:val="002E3519"/>
    <w:rsid w:val="002E4695"/>
    <w:rsid w:val="002E47AA"/>
    <w:rsid w:val="002E4B4E"/>
    <w:rsid w:val="002E4BB8"/>
    <w:rsid w:val="002E5AB6"/>
    <w:rsid w:val="002E5AB8"/>
    <w:rsid w:val="002E6D51"/>
    <w:rsid w:val="002F02BB"/>
    <w:rsid w:val="002F039E"/>
    <w:rsid w:val="002F09A4"/>
    <w:rsid w:val="002F0F85"/>
    <w:rsid w:val="002F11B7"/>
    <w:rsid w:val="002F13CF"/>
    <w:rsid w:val="002F18F3"/>
    <w:rsid w:val="002F1FF4"/>
    <w:rsid w:val="002F370A"/>
    <w:rsid w:val="002F4FEC"/>
    <w:rsid w:val="002F5334"/>
    <w:rsid w:val="002F59D7"/>
    <w:rsid w:val="002F5BAE"/>
    <w:rsid w:val="002F5FFA"/>
    <w:rsid w:val="002F6BDF"/>
    <w:rsid w:val="002F77E6"/>
    <w:rsid w:val="002F7CCC"/>
    <w:rsid w:val="00302AB9"/>
    <w:rsid w:val="003031AF"/>
    <w:rsid w:val="003039A9"/>
    <w:rsid w:val="00304809"/>
    <w:rsid w:val="003050E3"/>
    <w:rsid w:val="00305A37"/>
    <w:rsid w:val="00306051"/>
    <w:rsid w:val="003065AC"/>
    <w:rsid w:val="00306665"/>
    <w:rsid w:val="0030667B"/>
    <w:rsid w:val="00306818"/>
    <w:rsid w:val="003071EF"/>
    <w:rsid w:val="00307B98"/>
    <w:rsid w:val="0031201C"/>
    <w:rsid w:val="003120D6"/>
    <w:rsid w:val="0031222F"/>
    <w:rsid w:val="003136E2"/>
    <w:rsid w:val="00313FC3"/>
    <w:rsid w:val="003156E5"/>
    <w:rsid w:val="00315CED"/>
    <w:rsid w:val="00315F88"/>
    <w:rsid w:val="003162C5"/>
    <w:rsid w:val="003162E3"/>
    <w:rsid w:val="003163AD"/>
    <w:rsid w:val="00316861"/>
    <w:rsid w:val="00316EB1"/>
    <w:rsid w:val="003174DB"/>
    <w:rsid w:val="00317852"/>
    <w:rsid w:val="00321741"/>
    <w:rsid w:val="003224A1"/>
    <w:rsid w:val="00323C91"/>
    <w:rsid w:val="003245CB"/>
    <w:rsid w:val="00324A9D"/>
    <w:rsid w:val="003250BD"/>
    <w:rsid w:val="003253B1"/>
    <w:rsid w:val="00326196"/>
    <w:rsid w:val="003262FF"/>
    <w:rsid w:val="003265AC"/>
    <w:rsid w:val="00330EE2"/>
    <w:rsid w:val="003311E7"/>
    <w:rsid w:val="003318C0"/>
    <w:rsid w:val="00333BDE"/>
    <w:rsid w:val="00334032"/>
    <w:rsid w:val="003340E8"/>
    <w:rsid w:val="00334CF7"/>
    <w:rsid w:val="00335C1C"/>
    <w:rsid w:val="00336F75"/>
    <w:rsid w:val="00337992"/>
    <w:rsid w:val="00340C80"/>
    <w:rsid w:val="0034123B"/>
    <w:rsid w:val="00341334"/>
    <w:rsid w:val="00342049"/>
    <w:rsid w:val="00342054"/>
    <w:rsid w:val="0034290E"/>
    <w:rsid w:val="0034369B"/>
    <w:rsid w:val="00343E81"/>
    <w:rsid w:val="00344A56"/>
    <w:rsid w:val="00344AEE"/>
    <w:rsid w:val="00344FA1"/>
    <w:rsid w:val="00344FD5"/>
    <w:rsid w:val="0034574D"/>
    <w:rsid w:val="00345B29"/>
    <w:rsid w:val="00345E1B"/>
    <w:rsid w:val="00346F0B"/>
    <w:rsid w:val="00347483"/>
    <w:rsid w:val="00347F76"/>
    <w:rsid w:val="00350A69"/>
    <w:rsid w:val="00350BF9"/>
    <w:rsid w:val="00350FD9"/>
    <w:rsid w:val="0035159D"/>
    <w:rsid w:val="00352B39"/>
    <w:rsid w:val="003539C2"/>
    <w:rsid w:val="00353BC7"/>
    <w:rsid w:val="00354878"/>
    <w:rsid w:val="00354EBC"/>
    <w:rsid w:val="00355735"/>
    <w:rsid w:val="003575CE"/>
    <w:rsid w:val="0035762A"/>
    <w:rsid w:val="00357711"/>
    <w:rsid w:val="00360570"/>
    <w:rsid w:val="00360733"/>
    <w:rsid w:val="00360CA7"/>
    <w:rsid w:val="00361236"/>
    <w:rsid w:val="0036192A"/>
    <w:rsid w:val="00361959"/>
    <w:rsid w:val="00361A21"/>
    <w:rsid w:val="00361CA0"/>
    <w:rsid w:val="00362326"/>
    <w:rsid w:val="00362DC1"/>
    <w:rsid w:val="003630A4"/>
    <w:rsid w:val="00364714"/>
    <w:rsid w:val="003664D1"/>
    <w:rsid w:val="0036665C"/>
    <w:rsid w:val="00366EEB"/>
    <w:rsid w:val="0036722F"/>
    <w:rsid w:val="00367350"/>
    <w:rsid w:val="00367E0B"/>
    <w:rsid w:val="00367E5A"/>
    <w:rsid w:val="003713D5"/>
    <w:rsid w:val="00371F1F"/>
    <w:rsid w:val="003724A8"/>
    <w:rsid w:val="0037274D"/>
    <w:rsid w:val="00374D48"/>
    <w:rsid w:val="0037558A"/>
    <w:rsid w:val="003767D0"/>
    <w:rsid w:val="00376E9C"/>
    <w:rsid w:val="0037775F"/>
    <w:rsid w:val="003778F5"/>
    <w:rsid w:val="003805A9"/>
    <w:rsid w:val="003805BF"/>
    <w:rsid w:val="00380A20"/>
    <w:rsid w:val="00380E17"/>
    <w:rsid w:val="003810D6"/>
    <w:rsid w:val="0038176A"/>
    <w:rsid w:val="00382FE5"/>
    <w:rsid w:val="00383CBD"/>
    <w:rsid w:val="00384432"/>
    <w:rsid w:val="0038469C"/>
    <w:rsid w:val="00384A47"/>
    <w:rsid w:val="00385231"/>
    <w:rsid w:val="003859AD"/>
    <w:rsid w:val="00385ED9"/>
    <w:rsid w:val="003879DE"/>
    <w:rsid w:val="00387C4A"/>
    <w:rsid w:val="003906BF"/>
    <w:rsid w:val="00390767"/>
    <w:rsid w:val="00390F9D"/>
    <w:rsid w:val="0039220B"/>
    <w:rsid w:val="00392B6D"/>
    <w:rsid w:val="00392C31"/>
    <w:rsid w:val="00393337"/>
    <w:rsid w:val="00393E8F"/>
    <w:rsid w:val="0039402E"/>
    <w:rsid w:val="003945BA"/>
    <w:rsid w:val="00394748"/>
    <w:rsid w:val="00394A81"/>
    <w:rsid w:val="00395676"/>
    <w:rsid w:val="00395726"/>
    <w:rsid w:val="00395926"/>
    <w:rsid w:val="00395B2C"/>
    <w:rsid w:val="0039629D"/>
    <w:rsid w:val="00397561"/>
    <w:rsid w:val="003979CD"/>
    <w:rsid w:val="003A0785"/>
    <w:rsid w:val="003A1ABA"/>
    <w:rsid w:val="003A1B15"/>
    <w:rsid w:val="003A20EA"/>
    <w:rsid w:val="003A23CD"/>
    <w:rsid w:val="003A2897"/>
    <w:rsid w:val="003A2989"/>
    <w:rsid w:val="003A2E88"/>
    <w:rsid w:val="003A3B98"/>
    <w:rsid w:val="003A4438"/>
    <w:rsid w:val="003A52DA"/>
    <w:rsid w:val="003A5759"/>
    <w:rsid w:val="003A5B4C"/>
    <w:rsid w:val="003A5FCD"/>
    <w:rsid w:val="003A6324"/>
    <w:rsid w:val="003A69A1"/>
    <w:rsid w:val="003A6B28"/>
    <w:rsid w:val="003A6B5D"/>
    <w:rsid w:val="003A78F1"/>
    <w:rsid w:val="003A7B86"/>
    <w:rsid w:val="003B00EB"/>
    <w:rsid w:val="003B03B4"/>
    <w:rsid w:val="003B0400"/>
    <w:rsid w:val="003B076B"/>
    <w:rsid w:val="003B0D31"/>
    <w:rsid w:val="003B21F3"/>
    <w:rsid w:val="003B2888"/>
    <w:rsid w:val="003B2BED"/>
    <w:rsid w:val="003B3396"/>
    <w:rsid w:val="003B3888"/>
    <w:rsid w:val="003B3C87"/>
    <w:rsid w:val="003B3FD2"/>
    <w:rsid w:val="003B4070"/>
    <w:rsid w:val="003B4678"/>
    <w:rsid w:val="003B5000"/>
    <w:rsid w:val="003B590D"/>
    <w:rsid w:val="003B5E4D"/>
    <w:rsid w:val="003B6017"/>
    <w:rsid w:val="003B6214"/>
    <w:rsid w:val="003B6C40"/>
    <w:rsid w:val="003B7439"/>
    <w:rsid w:val="003B7F60"/>
    <w:rsid w:val="003C0060"/>
    <w:rsid w:val="003C023D"/>
    <w:rsid w:val="003C0556"/>
    <w:rsid w:val="003C08F5"/>
    <w:rsid w:val="003C0BA4"/>
    <w:rsid w:val="003C1B77"/>
    <w:rsid w:val="003C1D06"/>
    <w:rsid w:val="003C2157"/>
    <w:rsid w:val="003C21C9"/>
    <w:rsid w:val="003C2A0E"/>
    <w:rsid w:val="003C3F17"/>
    <w:rsid w:val="003C3F94"/>
    <w:rsid w:val="003C423D"/>
    <w:rsid w:val="003C48D5"/>
    <w:rsid w:val="003C4C3B"/>
    <w:rsid w:val="003C4C6F"/>
    <w:rsid w:val="003C4DEA"/>
    <w:rsid w:val="003C5477"/>
    <w:rsid w:val="003C56E1"/>
    <w:rsid w:val="003C6069"/>
    <w:rsid w:val="003C698E"/>
    <w:rsid w:val="003C7588"/>
    <w:rsid w:val="003D004B"/>
    <w:rsid w:val="003D0713"/>
    <w:rsid w:val="003D1414"/>
    <w:rsid w:val="003D2215"/>
    <w:rsid w:val="003D310B"/>
    <w:rsid w:val="003D3EE4"/>
    <w:rsid w:val="003D406B"/>
    <w:rsid w:val="003D4DAB"/>
    <w:rsid w:val="003D604A"/>
    <w:rsid w:val="003E0ABE"/>
    <w:rsid w:val="003E0B9D"/>
    <w:rsid w:val="003E11B0"/>
    <w:rsid w:val="003E4ECD"/>
    <w:rsid w:val="003E538F"/>
    <w:rsid w:val="003E5CBD"/>
    <w:rsid w:val="003E6012"/>
    <w:rsid w:val="003E6117"/>
    <w:rsid w:val="003E631B"/>
    <w:rsid w:val="003E66BD"/>
    <w:rsid w:val="003F0FFF"/>
    <w:rsid w:val="003F1533"/>
    <w:rsid w:val="003F1DBB"/>
    <w:rsid w:val="003F2083"/>
    <w:rsid w:val="003F25B6"/>
    <w:rsid w:val="003F3134"/>
    <w:rsid w:val="003F346D"/>
    <w:rsid w:val="003F3613"/>
    <w:rsid w:val="003F38C9"/>
    <w:rsid w:val="003F43BD"/>
    <w:rsid w:val="003F46CD"/>
    <w:rsid w:val="003F614D"/>
    <w:rsid w:val="003F6FD6"/>
    <w:rsid w:val="004000AC"/>
    <w:rsid w:val="00400687"/>
    <w:rsid w:val="00401C76"/>
    <w:rsid w:val="00402AAA"/>
    <w:rsid w:val="00402DF8"/>
    <w:rsid w:val="00403ACA"/>
    <w:rsid w:val="00404C22"/>
    <w:rsid w:val="00405217"/>
    <w:rsid w:val="00405785"/>
    <w:rsid w:val="00405F2F"/>
    <w:rsid w:val="00406334"/>
    <w:rsid w:val="00406EDD"/>
    <w:rsid w:val="00407928"/>
    <w:rsid w:val="00410A7B"/>
    <w:rsid w:val="00410F7C"/>
    <w:rsid w:val="004112AE"/>
    <w:rsid w:val="0041242D"/>
    <w:rsid w:val="004139D7"/>
    <w:rsid w:val="00413FAD"/>
    <w:rsid w:val="0041424C"/>
    <w:rsid w:val="0041449A"/>
    <w:rsid w:val="00415503"/>
    <w:rsid w:val="0041579F"/>
    <w:rsid w:val="00417070"/>
    <w:rsid w:val="00417740"/>
    <w:rsid w:val="00417AA5"/>
    <w:rsid w:val="0042011C"/>
    <w:rsid w:val="004204D5"/>
    <w:rsid w:val="00420552"/>
    <w:rsid w:val="00420AC8"/>
    <w:rsid w:val="00421F87"/>
    <w:rsid w:val="0042221E"/>
    <w:rsid w:val="00422A40"/>
    <w:rsid w:val="00422CDA"/>
    <w:rsid w:val="004232CE"/>
    <w:rsid w:val="004234D5"/>
    <w:rsid w:val="00423545"/>
    <w:rsid w:val="00423705"/>
    <w:rsid w:val="00423AD0"/>
    <w:rsid w:val="00424D14"/>
    <w:rsid w:val="00425597"/>
    <w:rsid w:val="0042593C"/>
    <w:rsid w:val="004261C1"/>
    <w:rsid w:val="00426F2E"/>
    <w:rsid w:val="00427047"/>
    <w:rsid w:val="00427936"/>
    <w:rsid w:val="00430146"/>
    <w:rsid w:val="00430955"/>
    <w:rsid w:val="00431225"/>
    <w:rsid w:val="00431AFF"/>
    <w:rsid w:val="00432B57"/>
    <w:rsid w:val="00432DA9"/>
    <w:rsid w:val="00433EA4"/>
    <w:rsid w:val="0043430C"/>
    <w:rsid w:val="004344D9"/>
    <w:rsid w:val="00434865"/>
    <w:rsid w:val="00434AF9"/>
    <w:rsid w:val="00434C12"/>
    <w:rsid w:val="004353C7"/>
    <w:rsid w:val="00435CFD"/>
    <w:rsid w:val="00436C44"/>
    <w:rsid w:val="00437265"/>
    <w:rsid w:val="0044038E"/>
    <w:rsid w:val="0044079B"/>
    <w:rsid w:val="00441919"/>
    <w:rsid w:val="0044204F"/>
    <w:rsid w:val="0044243B"/>
    <w:rsid w:val="00442F50"/>
    <w:rsid w:val="0044321C"/>
    <w:rsid w:val="0044327B"/>
    <w:rsid w:val="0044356B"/>
    <w:rsid w:val="00444960"/>
    <w:rsid w:val="00445DE4"/>
    <w:rsid w:val="004469BD"/>
    <w:rsid w:val="00446C04"/>
    <w:rsid w:val="00446FA5"/>
    <w:rsid w:val="00447343"/>
    <w:rsid w:val="00447BA2"/>
    <w:rsid w:val="004506DE"/>
    <w:rsid w:val="00451321"/>
    <w:rsid w:val="00452D02"/>
    <w:rsid w:val="00453639"/>
    <w:rsid w:val="004537F4"/>
    <w:rsid w:val="0045402E"/>
    <w:rsid w:val="00454CE1"/>
    <w:rsid w:val="00454D27"/>
    <w:rsid w:val="00455781"/>
    <w:rsid w:val="00455AEF"/>
    <w:rsid w:val="00455D23"/>
    <w:rsid w:val="0046009E"/>
    <w:rsid w:val="00460A2C"/>
    <w:rsid w:val="00460AF1"/>
    <w:rsid w:val="004617B8"/>
    <w:rsid w:val="00462ADE"/>
    <w:rsid w:val="004642A3"/>
    <w:rsid w:val="00464A40"/>
    <w:rsid w:val="00464D10"/>
    <w:rsid w:val="004654E9"/>
    <w:rsid w:val="0046598C"/>
    <w:rsid w:val="00465D00"/>
    <w:rsid w:val="0046673D"/>
    <w:rsid w:val="004667A6"/>
    <w:rsid w:val="004669B7"/>
    <w:rsid w:val="0046720E"/>
    <w:rsid w:val="00467569"/>
    <w:rsid w:val="00467744"/>
    <w:rsid w:val="004679FB"/>
    <w:rsid w:val="004708A8"/>
    <w:rsid w:val="004710D3"/>
    <w:rsid w:val="004710F9"/>
    <w:rsid w:val="004713A0"/>
    <w:rsid w:val="004715D9"/>
    <w:rsid w:val="004718ED"/>
    <w:rsid w:val="00471F02"/>
    <w:rsid w:val="0047385D"/>
    <w:rsid w:val="00473D35"/>
    <w:rsid w:val="00473E83"/>
    <w:rsid w:val="0047422E"/>
    <w:rsid w:val="0047434C"/>
    <w:rsid w:val="004743CA"/>
    <w:rsid w:val="00474627"/>
    <w:rsid w:val="00477B47"/>
    <w:rsid w:val="00480918"/>
    <w:rsid w:val="00480A5D"/>
    <w:rsid w:val="00481593"/>
    <w:rsid w:val="00481B04"/>
    <w:rsid w:val="00481B55"/>
    <w:rsid w:val="00483382"/>
    <w:rsid w:val="004838E9"/>
    <w:rsid w:val="00483D14"/>
    <w:rsid w:val="004846E9"/>
    <w:rsid w:val="00484D33"/>
    <w:rsid w:val="00484F7A"/>
    <w:rsid w:val="00485B65"/>
    <w:rsid w:val="004860AC"/>
    <w:rsid w:val="004865EB"/>
    <w:rsid w:val="004866C0"/>
    <w:rsid w:val="00486E10"/>
    <w:rsid w:val="004879AB"/>
    <w:rsid w:val="00487C73"/>
    <w:rsid w:val="00490014"/>
    <w:rsid w:val="00490C53"/>
    <w:rsid w:val="00491C66"/>
    <w:rsid w:val="0049230E"/>
    <w:rsid w:val="00492A29"/>
    <w:rsid w:val="0049608C"/>
    <w:rsid w:val="00496F8A"/>
    <w:rsid w:val="00497540"/>
    <w:rsid w:val="004978B9"/>
    <w:rsid w:val="004A1BDC"/>
    <w:rsid w:val="004A1D6F"/>
    <w:rsid w:val="004A250A"/>
    <w:rsid w:val="004A2A54"/>
    <w:rsid w:val="004A445C"/>
    <w:rsid w:val="004A540C"/>
    <w:rsid w:val="004A558C"/>
    <w:rsid w:val="004A573A"/>
    <w:rsid w:val="004A5A6E"/>
    <w:rsid w:val="004A618A"/>
    <w:rsid w:val="004A67FF"/>
    <w:rsid w:val="004B057B"/>
    <w:rsid w:val="004B08B4"/>
    <w:rsid w:val="004B091D"/>
    <w:rsid w:val="004B0D17"/>
    <w:rsid w:val="004B0E7C"/>
    <w:rsid w:val="004B19DE"/>
    <w:rsid w:val="004B2C30"/>
    <w:rsid w:val="004B33A7"/>
    <w:rsid w:val="004B37B7"/>
    <w:rsid w:val="004B4C1C"/>
    <w:rsid w:val="004B4D5C"/>
    <w:rsid w:val="004B524C"/>
    <w:rsid w:val="004B532A"/>
    <w:rsid w:val="004B5561"/>
    <w:rsid w:val="004B6BFB"/>
    <w:rsid w:val="004B6F00"/>
    <w:rsid w:val="004C0DB2"/>
    <w:rsid w:val="004C0E12"/>
    <w:rsid w:val="004C15BA"/>
    <w:rsid w:val="004C1736"/>
    <w:rsid w:val="004C1D26"/>
    <w:rsid w:val="004C23B1"/>
    <w:rsid w:val="004C289A"/>
    <w:rsid w:val="004C3503"/>
    <w:rsid w:val="004C4155"/>
    <w:rsid w:val="004C47D5"/>
    <w:rsid w:val="004C4DDD"/>
    <w:rsid w:val="004C53CD"/>
    <w:rsid w:val="004C5E1D"/>
    <w:rsid w:val="004C66FC"/>
    <w:rsid w:val="004C67C5"/>
    <w:rsid w:val="004C774E"/>
    <w:rsid w:val="004D02AA"/>
    <w:rsid w:val="004D02D2"/>
    <w:rsid w:val="004D0650"/>
    <w:rsid w:val="004D158F"/>
    <w:rsid w:val="004D1DF0"/>
    <w:rsid w:val="004D20F4"/>
    <w:rsid w:val="004D279A"/>
    <w:rsid w:val="004D2C0F"/>
    <w:rsid w:val="004D3915"/>
    <w:rsid w:val="004D40F2"/>
    <w:rsid w:val="004D4403"/>
    <w:rsid w:val="004D4AC9"/>
    <w:rsid w:val="004D4DC4"/>
    <w:rsid w:val="004D5556"/>
    <w:rsid w:val="004D5FDE"/>
    <w:rsid w:val="004D686B"/>
    <w:rsid w:val="004D68F1"/>
    <w:rsid w:val="004D6A3D"/>
    <w:rsid w:val="004D72AB"/>
    <w:rsid w:val="004D74AF"/>
    <w:rsid w:val="004D7585"/>
    <w:rsid w:val="004E022F"/>
    <w:rsid w:val="004E040E"/>
    <w:rsid w:val="004E06EA"/>
    <w:rsid w:val="004E18AF"/>
    <w:rsid w:val="004E1AB6"/>
    <w:rsid w:val="004E279B"/>
    <w:rsid w:val="004E3555"/>
    <w:rsid w:val="004E36DB"/>
    <w:rsid w:val="004E4D05"/>
    <w:rsid w:val="004E4F74"/>
    <w:rsid w:val="004E55D3"/>
    <w:rsid w:val="004E6FD5"/>
    <w:rsid w:val="004E703D"/>
    <w:rsid w:val="004F211B"/>
    <w:rsid w:val="004F2CEC"/>
    <w:rsid w:val="004F3039"/>
    <w:rsid w:val="004F3A00"/>
    <w:rsid w:val="004F3A79"/>
    <w:rsid w:val="004F440C"/>
    <w:rsid w:val="004F49DE"/>
    <w:rsid w:val="004F53CE"/>
    <w:rsid w:val="004F5D92"/>
    <w:rsid w:val="004F5EA4"/>
    <w:rsid w:val="004F5FB6"/>
    <w:rsid w:val="004F6D7A"/>
    <w:rsid w:val="004F76CB"/>
    <w:rsid w:val="004F77E5"/>
    <w:rsid w:val="004F7E0B"/>
    <w:rsid w:val="00500421"/>
    <w:rsid w:val="005005C4"/>
    <w:rsid w:val="005007ED"/>
    <w:rsid w:val="00501856"/>
    <w:rsid w:val="005024ED"/>
    <w:rsid w:val="00502A3F"/>
    <w:rsid w:val="005038AC"/>
    <w:rsid w:val="0050464C"/>
    <w:rsid w:val="005046E4"/>
    <w:rsid w:val="00504D49"/>
    <w:rsid w:val="00506D1E"/>
    <w:rsid w:val="005100BC"/>
    <w:rsid w:val="0051010E"/>
    <w:rsid w:val="00510286"/>
    <w:rsid w:val="00510D84"/>
    <w:rsid w:val="00510D9E"/>
    <w:rsid w:val="00511298"/>
    <w:rsid w:val="005115BD"/>
    <w:rsid w:val="00511813"/>
    <w:rsid w:val="00512065"/>
    <w:rsid w:val="00513A2E"/>
    <w:rsid w:val="00514451"/>
    <w:rsid w:val="00514C82"/>
    <w:rsid w:val="00514E93"/>
    <w:rsid w:val="00516723"/>
    <w:rsid w:val="00516817"/>
    <w:rsid w:val="00516954"/>
    <w:rsid w:val="0051718E"/>
    <w:rsid w:val="00517868"/>
    <w:rsid w:val="005201F3"/>
    <w:rsid w:val="00520B62"/>
    <w:rsid w:val="00522008"/>
    <w:rsid w:val="00522509"/>
    <w:rsid w:val="0052278B"/>
    <w:rsid w:val="00522DD3"/>
    <w:rsid w:val="00523578"/>
    <w:rsid w:val="00523FC9"/>
    <w:rsid w:val="0052410E"/>
    <w:rsid w:val="00524D81"/>
    <w:rsid w:val="00524F15"/>
    <w:rsid w:val="0052642F"/>
    <w:rsid w:val="00526FCA"/>
    <w:rsid w:val="00527D00"/>
    <w:rsid w:val="005302DC"/>
    <w:rsid w:val="00530545"/>
    <w:rsid w:val="005309B0"/>
    <w:rsid w:val="00531067"/>
    <w:rsid w:val="005318F5"/>
    <w:rsid w:val="00531AFE"/>
    <w:rsid w:val="00532816"/>
    <w:rsid w:val="005330FE"/>
    <w:rsid w:val="005332B6"/>
    <w:rsid w:val="00533638"/>
    <w:rsid w:val="005336CB"/>
    <w:rsid w:val="00534330"/>
    <w:rsid w:val="00534F02"/>
    <w:rsid w:val="0053612F"/>
    <w:rsid w:val="00536B8F"/>
    <w:rsid w:val="00536CDB"/>
    <w:rsid w:val="00537431"/>
    <w:rsid w:val="0053747D"/>
    <w:rsid w:val="00537866"/>
    <w:rsid w:val="005378CF"/>
    <w:rsid w:val="00537DF3"/>
    <w:rsid w:val="005409B0"/>
    <w:rsid w:val="005431A5"/>
    <w:rsid w:val="00543500"/>
    <w:rsid w:val="0054375F"/>
    <w:rsid w:val="00543BD5"/>
    <w:rsid w:val="0054409B"/>
    <w:rsid w:val="00544185"/>
    <w:rsid w:val="00544221"/>
    <w:rsid w:val="0054486D"/>
    <w:rsid w:val="005450B8"/>
    <w:rsid w:val="005459E0"/>
    <w:rsid w:val="00546400"/>
    <w:rsid w:val="005465A7"/>
    <w:rsid w:val="0054676D"/>
    <w:rsid w:val="00546DAD"/>
    <w:rsid w:val="00547C7F"/>
    <w:rsid w:val="005501CD"/>
    <w:rsid w:val="00550CCF"/>
    <w:rsid w:val="00550D94"/>
    <w:rsid w:val="005512BF"/>
    <w:rsid w:val="005525AC"/>
    <w:rsid w:val="005549C2"/>
    <w:rsid w:val="00554FAE"/>
    <w:rsid w:val="00555179"/>
    <w:rsid w:val="00555B92"/>
    <w:rsid w:val="00555E58"/>
    <w:rsid w:val="00556530"/>
    <w:rsid w:val="00556CE9"/>
    <w:rsid w:val="00557100"/>
    <w:rsid w:val="005571F2"/>
    <w:rsid w:val="00557455"/>
    <w:rsid w:val="0056074B"/>
    <w:rsid w:val="00560FB5"/>
    <w:rsid w:val="00562BD7"/>
    <w:rsid w:val="00562BE4"/>
    <w:rsid w:val="00562F48"/>
    <w:rsid w:val="005631DF"/>
    <w:rsid w:val="005633F4"/>
    <w:rsid w:val="005634F2"/>
    <w:rsid w:val="00563B75"/>
    <w:rsid w:val="00563F52"/>
    <w:rsid w:val="00563F90"/>
    <w:rsid w:val="00564E22"/>
    <w:rsid w:val="00565D23"/>
    <w:rsid w:val="00566E2E"/>
    <w:rsid w:val="00570465"/>
    <w:rsid w:val="0057190C"/>
    <w:rsid w:val="00571928"/>
    <w:rsid w:val="00571DB0"/>
    <w:rsid w:val="00572042"/>
    <w:rsid w:val="00572BE9"/>
    <w:rsid w:val="00572D3C"/>
    <w:rsid w:val="005730F1"/>
    <w:rsid w:val="0057343F"/>
    <w:rsid w:val="00573626"/>
    <w:rsid w:val="00575194"/>
    <w:rsid w:val="00575693"/>
    <w:rsid w:val="005768D9"/>
    <w:rsid w:val="00576A78"/>
    <w:rsid w:val="00576D87"/>
    <w:rsid w:val="00576DF9"/>
    <w:rsid w:val="00581C04"/>
    <w:rsid w:val="005828BB"/>
    <w:rsid w:val="00582B5E"/>
    <w:rsid w:val="00583D5A"/>
    <w:rsid w:val="005845E6"/>
    <w:rsid w:val="00584C2F"/>
    <w:rsid w:val="005862BB"/>
    <w:rsid w:val="0058634A"/>
    <w:rsid w:val="005870F4"/>
    <w:rsid w:val="0058725B"/>
    <w:rsid w:val="005878EF"/>
    <w:rsid w:val="00590881"/>
    <w:rsid w:val="00590995"/>
    <w:rsid w:val="00590E2D"/>
    <w:rsid w:val="00590E59"/>
    <w:rsid w:val="005912E3"/>
    <w:rsid w:val="00591EC3"/>
    <w:rsid w:val="0059219B"/>
    <w:rsid w:val="005929A4"/>
    <w:rsid w:val="00592AC3"/>
    <w:rsid w:val="005931CC"/>
    <w:rsid w:val="005935CC"/>
    <w:rsid w:val="0059389C"/>
    <w:rsid w:val="005939B5"/>
    <w:rsid w:val="00593C5D"/>
    <w:rsid w:val="00593D65"/>
    <w:rsid w:val="0059407E"/>
    <w:rsid w:val="005940B2"/>
    <w:rsid w:val="00594D89"/>
    <w:rsid w:val="00595611"/>
    <w:rsid w:val="005958C5"/>
    <w:rsid w:val="00595B5F"/>
    <w:rsid w:val="005966A8"/>
    <w:rsid w:val="00596E19"/>
    <w:rsid w:val="00597E6C"/>
    <w:rsid w:val="00597FA9"/>
    <w:rsid w:val="005A0322"/>
    <w:rsid w:val="005A0F21"/>
    <w:rsid w:val="005A144D"/>
    <w:rsid w:val="005A2E41"/>
    <w:rsid w:val="005A3204"/>
    <w:rsid w:val="005A3721"/>
    <w:rsid w:val="005A4847"/>
    <w:rsid w:val="005A4EE0"/>
    <w:rsid w:val="005A56EF"/>
    <w:rsid w:val="005A7195"/>
    <w:rsid w:val="005A7E8A"/>
    <w:rsid w:val="005A7EC7"/>
    <w:rsid w:val="005A7F60"/>
    <w:rsid w:val="005B044C"/>
    <w:rsid w:val="005B1B83"/>
    <w:rsid w:val="005B23B7"/>
    <w:rsid w:val="005B2D11"/>
    <w:rsid w:val="005B2E15"/>
    <w:rsid w:val="005B33D7"/>
    <w:rsid w:val="005B3584"/>
    <w:rsid w:val="005B3813"/>
    <w:rsid w:val="005B4A19"/>
    <w:rsid w:val="005B4D05"/>
    <w:rsid w:val="005B6678"/>
    <w:rsid w:val="005B6CCE"/>
    <w:rsid w:val="005B6E7B"/>
    <w:rsid w:val="005B6EC2"/>
    <w:rsid w:val="005C0A36"/>
    <w:rsid w:val="005C0A55"/>
    <w:rsid w:val="005C1648"/>
    <w:rsid w:val="005C16FB"/>
    <w:rsid w:val="005C1A97"/>
    <w:rsid w:val="005C1B6C"/>
    <w:rsid w:val="005C2394"/>
    <w:rsid w:val="005C262A"/>
    <w:rsid w:val="005C3029"/>
    <w:rsid w:val="005C3156"/>
    <w:rsid w:val="005C3742"/>
    <w:rsid w:val="005C3B12"/>
    <w:rsid w:val="005C4162"/>
    <w:rsid w:val="005C470F"/>
    <w:rsid w:val="005C53CC"/>
    <w:rsid w:val="005C58CB"/>
    <w:rsid w:val="005C5B3B"/>
    <w:rsid w:val="005C64BA"/>
    <w:rsid w:val="005C6DDC"/>
    <w:rsid w:val="005C75D5"/>
    <w:rsid w:val="005C7F50"/>
    <w:rsid w:val="005D0E85"/>
    <w:rsid w:val="005D28BF"/>
    <w:rsid w:val="005D3641"/>
    <w:rsid w:val="005D4925"/>
    <w:rsid w:val="005D4D60"/>
    <w:rsid w:val="005D58B0"/>
    <w:rsid w:val="005D5A55"/>
    <w:rsid w:val="005D5C84"/>
    <w:rsid w:val="005D5E31"/>
    <w:rsid w:val="005D69F8"/>
    <w:rsid w:val="005D6AE7"/>
    <w:rsid w:val="005E089D"/>
    <w:rsid w:val="005E0B3B"/>
    <w:rsid w:val="005E0C0E"/>
    <w:rsid w:val="005E1245"/>
    <w:rsid w:val="005E19D7"/>
    <w:rsid w:val="005E1C10"/>
    <w:rsid w:val="005E2973"/>
    <w:rsid w:val="005E2D37"/>
    <w:rsid w:val="005E2FA2"/>
    <w:rsid w:val="005E3077"/>
    <w:rsid w:val="005E31A7"/>
    <w:rsid w:val="005E433D"/>
    <w:rsid w:val="005E4C12"/>
    <w:rsid w:val="005E547A"/>
    <w:rsid w:val="005E57B9"/>
    <w:rsid w:val="005E5BD9"/>
    <w:rsid w:val="005E5CE1"/>
    <w:rsid w:val="005E6947"/>
    <w:rsid w:val="005E6D14"/>
    <w:rsid w:val="005E78A1"/>
    <w:rsid w:val="005F03FC"/>
    <w:rsid w:val="005F0758"/>
    <w:rsid w:val="005F0B1C"/>
    <w:rsid w:val="005F0BE2"/>
    <w:rsid w:val="005F0DA8"/>
    <w:rsid w:val="005F1F85"/>
    <w:rsid w:val="005F2C8F"/>
    <w:rsid w:val="005F3935"/>
    <w:rsid w:val="005F39C1"/>
    <w:rsid w:val="005F57DB"/>
    <w:rsid w:val="005F6015"/>
    <w:rsid w:val="005F636A"/>
    <w:rsid w:val="005F6FF2"/>
    <w:rsid w:val="005F734C"/>
    <w:rsid w:val="005F7793"/>
    <w:rsid w:val="005F79B7"/>
    <w:rsid w:val="005F7E40"/>
    <w:rsid w:val="00600DF6"/>
    <w:rsid w:val="00601637"/>
    <w:rsid w:val="006017A7"/>
    <w:rsid w:val="006017B4"/>
    <w:rsid w:val="006017D7"/>
    <w:rsid w:val="00601938"/>
    <w:rsid w:val="006023B6"/>
    <w:rsid w:val="006035AE"/>
    <w:rsid w:val="006039EE"/>
    <w:rsid w:val="0060449A"/>
    <w:rsid w:val="00604854"/>
    <w:rsid w:val="00605A19"/>
    <w:rsid w:val="00605A9A"/>
    <w:rsid w:val="0060617E"/>
    <w:rsid w:val="0060666C"/>
    <w:rsid w:val="006068DE"/>
    <w:rsid w:val="0060745F"/>
    <w:rsid w:val="0060746D"/>
    <w:rsid w:val="00611B33"/>
    <w:rsid w:val="0061230F"/>
    <w:rsid w:val="00613DB4"/>
    <w:rsid w:val="00613E3F"/>
    <w:rsid w:val="006149D3"/>
    <w:rsid w:val="00614F30"/>
    <w:rsid w:val="00615004"/>
    <w:rsid w:val="00616D65"/>
    <w:rsid w:val="00617F7A"/>
    <w:rsid w:val="00620549"/>
    <w:rsid w:val="00620EB5"/>
    <w:rsid w:val="00621BF4"/>
    <w:rsid w:val="00621CC0"/>
    <w:rsid w:val="00624A42"/>
    <w:rsid w:val="00624B82"/>
    <w:rsid w:val="006252EA"/>
    <w:rsid w:val="00625902"/>
    <w:rsid w:val="0062706A"/>
    <w:rsid w:val="00630048"/>
    <w:rsid w:val="00630FD7"/>
    <w:rsid w:val="00631042"/>
    <w:rsid w:val="006310AB"/>
    <w:rsid w:val="00631498"/>
    <w:rsid w:val="00631C7B"/>
    <w:rsid w:val="00631E57"/>
    <w:rsid w:val="00632284"/>
    <w:rsid w:val="0063315C"/>
    <w:rsid w:val="00633620"/>
    <w:rsid w:val="00633A79"/>
    <w:rsid w:val="0063456D"/>
    <w:rsid w:val="00634B81"/>
    <w:rsid w:val="00634C31"/>
    <w:rsid w:val="00635D4B"/>
    <w:rsid w:val="006369EF"/>
    <w:rsid w:val="0063711D"/>
    <w:rsid w:val="00637207"/>
    <w:rsid w:val="00637B2F"/>
    <w:rsid w:val="00637DCA"/>
    <w:rsid w:val="00640290"/>
    <w:rsid w:val="006424D6"/>
    <w:rsid w:val="006462A0"/>
    <w:rsid w:val="00646382"/>
    <w:rsid w:val="00646CDC"/>
    <w:rsid w:val="00646D5B"/>
    <w:rsid w:val="00647238"/>
    <w:rsid w:val="00647252"/>
    <w:rsid w:val="006478D3"/>
    <w:rsid w:val="00647BE0"/>
    <w:rsid w:val="00647DC5"/>
    <w:rsid w:val="00647FB6"/>
    <w:rsid w:val="006508E7"/>
    <w:rsid w:val="006510AB"/>
    <w:rsid w:val="006521DC"/>
    <w:rsid w:val="00652A74"/>
    <w:rsid w:val="00652D8C"/>
    <w:rsid w:val="00653115"/>
    <w:rsid w:val="00654304"/>
    <w:rsid w:val="00654FE4"/>
    <w:rsid w:val="00655D50"/>
    <w:rsid w:val="0065682B"/>
    <w:rsid w:val="00656850"/>
    <w:rsid w:val="00657370"/>
    <w:rsid w:val="00657415"/>
    <w:rsid w:val="00660E29"/>
    <w:rsid w:val="006610F4"/>
    <w:rsid w:val="006611A6"/>
    <w:rsid w:val="006615DB"/>
    <w:rsid w:val="00663008"/>
    <w:rsid w:val="006643DC"/>
    <w:rsid w:val="0066570D"/>
    <w:rsid w:val="0066579E"/>
    <w:rsid w:val="0066621C"/>
    <w:rsid w:val="006667A6"/>
    <w:rsid w:val="00667169"/>
    <w:rsid w:val="006672B5"/>
    <w:rsid w:val="006676DF"/>
    <w:rsid w:val="00672142"/>
    <w:rsid w:val="006736A9"/>
    <w:rsid w:val="00674634"/>
    <w:rsid w:val="00674AF6"/>
    <w:rsid w:val="00675052"/>
    <w:rsid w:val="0067571A"/>
    <w:rsid w:val="006757C2"/>
    <w:rsid w:val="0067583D"/>
    <w:rsid w:val="00675CC6"/>
    <w:rsid w:val="006764AF"/>
    <w:rsid w:val="00676A7F"/>
    <w:rsid w:val="006770ED"/>
    <w:rsid w:val="006800E5"/>
    <w:rsid w:val="006823C3"/>
    <w:rsid w:val="00682B4F"/>
    <w:rsid w:val="00682D69"/>
    <w:rsid w:val="0068301F"/>
    <w:rsid w:val="00683072"/>
    <w:rsid w:val="006833B5"/>
    <w:rsid w:val="00683D5E"/>
    <w:rsid w:val="006842BE"/>
    <w:rsid w:val="006850BE"/>
    <w:rsid w:val="00685314"/>
    <w:rsid w:val="00685922"/>
    <w:rsid w:val="00685BC0"/>
    <w:rsid w:val="006871DE"/>
    <w:rsid w:val="00687559"/>
    <w:rsid w:val="00687E82"/>
    <w:rsid w:val="00690AFC"/>
    <w:rsid w:val="00690B2A"/>
    <w:rsid w:val="00690DCF"/>
    <w:rsid w:val="006915DB"/>
    <w:rsid w:val="0069191F"/>
    <w:rsid w:val="00692005"/>
    <w:rsid w:val="00692010"/>
    <w:rsid w:val="0069314E"/>
    <w:rsid w:val="00694387"/>
    <w:rsid w:val="00694728"/>
    <w:rsid w:val="0069495D"/>
    <w:rsid w:val="006950F8"/>
    <w:rsid w:val="00695C5E"/>
    <w:rsid w:val="0069667F"/>
    <w:rsid w:val="006973ED"/>
    <w:rsid w:val="00697B92"/>
    <w:rsid w:val="00697BF7"/>
    <w:rsid w:val="00697C07"/>
    <w:rsid w:val="006A16BB"/>
    <w:rsid w:val="006A171B"/>
    <w:rsid w:val="006A296C"/>
    <w:rsid w:val="006A3161"/>
    <w:rsid w:val="006A41F9"/>
    <w:rsid w:val="006A4769"/>
    <w:rsid w:val="006A480E"/>
    <w:rsid w:val="006A5445"/>
    <w:rsid w:val="006A550D"/>
    <w:rsid w:val="006A5875"/>
    <w:rsid w:val="006A5927"/>
    <w:rsid w:val="006A6A98"/>
    <w:rsid w:val="006A71D7"/>
    <w:rsid w:val="006A746D"/>
    <w:rsid w:val="006A79AD"/>
    <w:rsid w:val="006A7EE4"/>
    <w:rsid w:val="006A7FB7"/>
    <w:rsid w:val="006B0231"/>
    <w:rsid w:val="006B0AD2"/>
    <w:rsid w:val="006B10C4"/>
    <w:rsid w:val="006B234D"/>
    <w:rsid w:val="006B28B5"/>
    <w:rsid w:val="006B2CB8"/>
    <w:rsid w:val="006B341B"/>
    <w:rsid w:val="006B3B3B"/>
    <w:rsid w:val="006B481E"/>
    <w:rsid w:val="006B6486"/>
    <w:rsid w:val="006B7614"/>
    <w:rsid w:val="006B7637"/>
    <w:rsid w:val="006C01DD"/>
    <w:rsid w:val="006C0642"/>
    <w:rsid w:val="006C1069"/>
    <w:rsid w:val="006C18AA"/>
    <w:rsid w:val="006C1F65"/>
    <w:rsid w:val="006C2319"/>
    <w:rsid w:val="006C2B26"/>
    <w:rsid w:val="006C3037"/>
    <w:rsid w:val="006C3552"/>
    <w:rsid w:val="006C4279"/>
    <w:rsid w:val="006C4FCA"/>
    <w:rsid w:val="006C5237"/>
    <w:rsid w:val="006C55E1"/>
    <w:rsid w:val="006C5C42"/>
    <w:rsid w:val="006C7046"/>
    <w:rsid w:val="006C7729"/>
    <w:rsid w:val="006C787C"/>
    <w:rsid w:val="006D009D"/>
    <w:rsid w:val="006D040B"/>
    <w:rsid w:val="006D08F2"/>
    <w:rsid w:val="006D1208"/>
    <w:rsid w:val="006D172F"/>
    <w:rsid w:val="006D1A51"/>
    <w:rsid w:val="006D2387"/>
    <w:rsid w:val="006D26FC"/>
    <w:rsid w:val="006D28C2"/>
    <w:rsid w:val="006D322D"/>
    <w:rsid w:val="006D3284"/>
    <w:rsid w:val="006D39A0"/>
    <w:rsid w:val="006D42CB"/>
    <w:rsid w:val="006D460F"/>
    <w:rsid w:val="006D52B0"/>
    <w:rsid w:val="006D59C5"/>
    <w:rsid w:val="006D5DF2"/>
    <w:rsid w:val="006D6DD3"/>
    <w:rsid w:val="006E0741"/>
    <w:rsid w:val="006E1555"/>
    <w:rsid w:val="006E189E"/>
    <w:rsid w:val="006E18C1"/>
    <w:rsid w:val="006E1991"/>
    <w:rsid w:val="006E1A79"/>
    <w:rsid w:val="006E2AA9"/>
    <w:rsid w:val="006E35F6"/>
    <w:rsid w:val="006E3B41"/>
    <w:rsid w:val="006E3CD2"/>
    <w:rsid w:val="006E3DDA"/>
    <w:rsid w:val="006E428D"/>
    <w:rsid w:val="006E48EA"/>
    <w:rsid w:val="006E5AE8"/>
    <w:rsid w:val="006E5D08"/>
    <w:rsid w:val="006E62EC"/>
    <w:rsid w:val="006E67F8"/>
    <w:rsid w:val="006E6CBF"/>
    <w:rsid w:val="006E7E9C"/>
    <w:rsid w:val="006F0847"/>
    <w:rsid w:val="006F0C61"/>
    <w:rsid w:val="006F1118"/>
    <w:rsid w:val="006F148F"/>
    <w:rsid w:val="006F238D"/>
    <w:rsid w:val="006F269F"/>
    <w:rsid w:val="006F2CEB"/>
    <w:rsid w:val="006F373F"/>
    <w:rsid w:val="006F37DE"/>
    <w:rsid w:val="006F4931"/>
    <w:rsid w:val="006F6663"/>
    <w:rsid w:val="006F67C3"/>
    <w:rsid w:val="006F6F61"/>
    <w:rsid w:val="006F7457"/>
    <w:rsid w:val="006F7622"/>
    <w:rsid w:val="006F765C"/>
    <w:rsid w:val="006F794B"/>
    <w:rsid w:val="00700009"/>
    <w:rsid w:val="007006D6"/>
    <w:rsid w:val="00701075"/>
    <w:rsid w:val="00701270"/>
    <w:rsid w:val="00702588"/>
    <w:rsid w:val="0070275F"/>
    <w:rsid w:val="00702CAD"/>
    <w:rsid w:val="00702F40"/>
    <w:rsid w:val="00703083"/>
    <w:rsid w:val="007030FE"/>
    <w:rsid w:val="007039E3"/>
    <w:rsid w:val="00703BE1"/>
    <w:rsid w:val="007041FF"/>
    <w:rsid w:val="00704C5C"/>
    <w:rsid w:val="007058F2"/>
    <w:rsid w:val="0070613D"/>
    <w:rsid w:val="007069E0"/>
    <w:rsid w:val="00706C3F"/>
    <w:rsid w:val="00707B08"/>
    <w:rsid w:val="00710F9A"/>
    <w:rsid w:val="007110B7"/>
    <w:rsid w:val="00711250"/>
    <w:rsid w:val="007116E1"/>
    <w:rsid w:val="00712AAA"/>
    <w:rsid w:val="00713E4B"/>
    <w:rsid w:val="00714118"/>
    <w:rsid w:val="00714311"/>
    <w:rsid w:val="007143C7"/>
    <w:rsid w:val="00714B24"/>
    <w:rsid w:val="00715D8C"/>
    <w:rsid w:val="007160A2"/>
    <w:rsid w:val="00716DD7"/>
    <w:rsid w:val="007171DD"/>
    <w:rsid w:val="007201A4"/>
    <w:rsid w:val="007207AB"/>
    <w:rsid w:val="00720FE9"/>
    <w:rsid w:val="00721816"/>
    <w:rsid w:val="00721C93"/>
    <w:rsid w:val="00721D6E"/>
    <w:rsid w:val="00722435"/>
    <w:rsid w:val="0072244F"/>
    <w:rsid w:val="00722BB6"/>
    <w:rsid w:val="00722FFF"/>
    <w:rsid w:val="00723121"/>
    <w:rsid w:val="00724172"/>
    <w:rsid w:val="00725681"/>
    <w:rsid w:val="00725F1B"/>
    <w:rsid w:val="00726883"/>
    <w:rsid w:val="00726CC5"/>
    <w:rsid w:val="0072713D"/>
    <w:rsid w:val="00727568"/>
    <w:rsid w:val="0073170E"/>
    <w:rsid w:val="007330B8"/>
    <w:rsid w:val="00735650"/>
    <w:rsid w:val="00736179"/>
    <w:rsid w:val="00736C35"/>
    <w:rsid w:val="00737A0C"/>
    <w:rsid w:val="00740808"/>
    <w:rsid w:val="00740BAA"/>
    <w:rsid w:val="007411A7"/>
    <w:rsid w:val="007417C6"/>
    <w:rsid w:val="007427F7"/>
    <w:rsid w:val="00742F43"/>
    <w:rsid w:val="00743B88"/>
    <w:rsid w:val="0074453D"/>
    <w:rsid w:val="00744F71"/>
    <w:rsid w:val="00745029"/>
    <w:rsid w:val="0074569C"/>
    <w:rsid w:val="00745880"/>
    <w:rsid w:val="00745A4E"/>
    <w:rsid w:val="00745E88"/>
    <w:rsid w:val="00745EBC"/>
    <w:rsid w:val="007466DE"/>
    <w:rsid w:val="00746A7C"/>
    <w:rsid w:val="007478F7"/>
    <w:rsid w:val="00747CBA"/>
    <w:rsid w:val="00747E16"/>
    <w:rsid w:val="007504CD"/>
    <w:rsid w:val="00751040"/>
    <w:rsid w:val="00751314"/>
    <w:rsid w:val="007514E1"/>
    <w:rsid w:val="007527E6"/>
    <w:rsid w:val="00752C4E"/>
    <w:rsid w:val="00752D61"/>
    <w:rsid w:val="00752FB1"/>
    <w:rsid w:val="007530A4"/>
    <w:rsid w:val="007534ED"/>
    <w:rsid w:val="007535D8"/>
    <w:rsid w:val="007537FC"/>
    <w:rsid w:val="0075532E"/>
    <w:rsid w:val="00755836"/>
    <w:rsid w:val="00755AFE"/>
    <w:rsid w:val="00755C5D"/>
    <w:rsid w:val="00756080"/>
    <w:rsid w:val="00756A8B"/>
    <w:rsid w:val="00757375"/>
    <w:rsid w:val="00760062"/>
    <w:rsid w:val="00760D66"/>
    <w:rsid w:val="00761A09"/>
    <w:rsid w:val="00761B04"/>
    <w:rsid w:val="007638D4"/>
    <w:rsid w:val="0076440F"/>
    <w:rsid w:val="00765AB8"/>
    <w:rsid w:val="00765F34"/>
    <w:rsid w:val="00766BA4"/>
    <w:rsid w:val="00767777"/>
    <w:rsid w:val="00767FCF"/>
    <w:rsid w:val="0077047D"/>
    <w:rsid w:val="00770BAA"/>
    <w:rsid w:val="00770C0F"/>
    <w:rsid w:val="00770EBB"/>
    <w:rsid w:val="00771987"/>
    <w:rsid w:val="00771E4C"/>
    <w:rsid w:val="007723CD"/>
    <w:rsid w:val="00772F73"/>
    <w:rsid w:val="007736C5"/>
    <w:rsid w:val="00773FE2"/>
    <w:rsid w:val="007741F0"/>
    <w:rsid w:val="00774B2B"/>
    <w:rsid w:val="00775622"/>
    <w:rsid w:val="00776220"/>
    <w:rsid w:val="00776F8E"/>
    <w:rsid w:val="00777A96"/>
    <w:rsid w:val="0078069B"/>
    <w:rsid w:val="0078098B"/>
    <w:rsid w:val="0078098C"/>
    <w:rsid w:val="00780B57"/>
    <w:rsid w:val="00780D65"/>
    <w:rsid w:val="007814CA"/>
    <w:rsid w:val="00781A10"/>
    <w:rsid w:val="00782390"/>
    <w:rsid w:val="00782FDC"/>
    <w:rsid w:val="00783050"/>
    <w:rsid w:val="007834BD"/>
    <w:rsid w:val="007838A3"/>
    <w:rsid w:val="00783D32"/>
    <w:rsid w:val="00784250"/>
    <w:rsid w:val="0078434F"/>
    <w:rsid w:val="00785870"/>
    <w:rsid w:val="007873C5"/>
    <w:rsid w:val="0078767E"/>
    <w:rsid w:val="0078770B"/>
    <w:rsid w:val="007877FF"/>
    <w:rsid w:val="007901E4"/>
    <w:rsid w:val="007903FA"/>
    <w:rsid w:val="007908B5"/>
    <w:rsid w:val="00791200"/>
    <w:rsid w:val="007912EB"/>
    <w:rsid w:val="0079168E"/>
    <w:rsid w:val="0079187B"/>
    <w:rsid w:val="00791E95"/>
    <w:rsid w:val="007922B3"/>
    <w:rsid w:val="00792844"/>
    <w:rsid w:val="00792BCA"/>
    <w:rsid w:val="00793FA3"/>
    <w:rsid w:val="00793FEF"/>
    <w:rsid w:val="007960C7"/>
    <w:rsid w:val="00796B8F"/>
    <w:rsid w:val="00796BEA"/>
    <w:rsid w:val="00796C00"/>
    <w:rsid w:val="00797D9B"/>
    <w:rsid w:val="007A0473"/>
    <w:rsid w:val="007A098A"/>
    <w:rsid w:val="007A0C3B"/>
    <w:rsid w:val="007A15EB"/>
    <w:rsid w:val="007A17C2"/>
    <w:rsid w:val="007A1E81"/>
    <w:rsid w:val="007A27BD"/>
    <w:rsid w:val="007A3583"/>
    <w:rsid w:val="007A498A"/>
    <w:rsid w:val="007A5023"/>
    <w:rsid w:val="007A5BDF"/>
    <w:rsid w:val="007A725F"/>
    <w:rsid w:val="007A7761"/>
    <w:rsid w:val="007A7E8A"/>
    <w:rsid w:val="007B0C2A"/>
    <w:rsid w:val="007B0E9E"/>
    <w:rsid w:val="007B1309"/>
    <w:rsid w:val="007B1E55"/>
    <w:rsid w:val="007B24D4"/>
    <w:rsid w:val="007B27EB"/>
    <w:rsid w:val="007B3D38"/>
    <w:rsid w:val="007B5BBD"/>
    <w:rsid w:val="007B6035"/>
    <w:rsid w:val="007B6C0E"/>
    <w:rsid w:val="007B765D"/>
    <w:rsid w:val="007C05D8"/>
    <w:rsid w:val="007C0668"/>
    <w:rsid w:val="007C10C3"/>
    <w:rsid w:val="007C1A26"/>
    <w:rsid w:val="007C2828"/>
    <w:rsid w:val="007C2C4D"/>
    <w:rsid w:val="007C3574"/>
    <w:rsid w:val="007C3FFD"/>
    <w:rsid w:val="007C45E6"/>
    <w:rsid w:val="007C4BD2"/>
    <w:rsid w:val="007C4F8A"/>
    <w:rsid w:val="007C590D"/>
    <w:rsid w:val="007C617C"/>
    <w:rsid w:val="007C621B"/>
    <w:rsid w:val="007C684C"/>
    <w:rsid w:val="007C7BD5"/>
    <w:rsid w:val="007C7FFB"/>
    <w:rsid w:val="007D07C8"/>
    <w:rsid w:val="007D0C71"/>
    <w:rsid w:val="007D0D2B"/>
    <w:rsid w:val="007D209C"/>
    <w:rsid w:val="007D2EC5"/>
    <w:rsid w:val="007D3750"/>
    <w:rsid w:val="007D3808"/>
    <w:rsid w:val="007D47C1"/>
    <w:rsid w:val="007D4ABB"/>
    <w:rsid w:val="007D523C"/>
    <w:rsid w:val="007D5BB3"/>
    <w:rsid w:val="007D6EA8"/>
    <w:rsid w:val="007D7935"/>
    <w:rsid w:val="007E0142"/>
    <w:rsid w:val="007E0D84"/>
    <w:rsid w:val="007E1780"/>
    <w:rsid w:val="007E18A2"/>
    <w:rsid w:val="007E1C3C"/>
    <w:rsid w:val="007E217C"/>
    <w:rsid w:val="007E24C7"/>
    <w:rsid w:val="007E3077"/>
    <w:rsid w:val="007E4967"/>
    <w:rsid w:val="007E4C25"/>
    <w:rsid w:val="007E4EE3"/>
    <w:rsid w:val="007E51A9"/>
    <w:rsid w:val="007E5271"/>
    <w:rsid w:val="007E610F"/>
    <w:rsid w:val="007E6B2C"/>
    <w:rsid w:val="007E6E84"/>
    <w:rsid w:val="007E76A3"/>
    <w:rsid w:val="007E7FF1"/>
    <w:rsid w:val="007F03C1"/>
    <w:rsid w:val="007F10EC"/>
    <w:rsid w:val="007F1813"/>
    <w:rsid w:val="007F19A1"/>
    <w:rsid w:val="007F3198"/>
    <w:rsid w:val="007F39C7"/>
    <w:rsid w:val="007F3D28"/>
    <w:rsid w:val="007F3DF8"/>
    <w:rsid w:val="007F5B85"/>
    <w:rsid w:val="007F5E24"/>
    <w:rsid w:val="007F5EC1"/>
    <w:rsid w:val="007F6624"/>
    <w:rsid w:val="007F6BC3"/>
    <w:rsid w:val="007F6C2F"/>
    <w:rsid w:val="007F6DBC"/>
    <w:rsid w:val="008010B6"/>
    <w:rsid w:val="0080175F"/>
    <w:rsid w:val="008018BB"/>
    <w:rsid w:val="008029C6"/>
    <w:rsid w:val="008030E1"/>
    <w:rsid w:val="00803153"/>
    <w:rsid w:val="0080404A"/>
    <w:rsid w:val="0080480B"/>
    <w:rsid w:val="00806CCA"/>
    <w:rsid w:val="00807FDC"/>
    <w:rsid w:val="0081163C"/>
    <w:rsid w:val="00811BE7"/>
    <w:rsid w:val="00812236"/>
    <w:rsid w:val="00812C06"/>
    <w:rsid w:val="0081307B"/>
    <w:rsid w:val="00813C75"/>
    <w:rsid w:val="008140DA"/>
    <w:rsid w:val="0081456C"/>
    <w:rsid w:val="008149A7"/>
    <w:rsid w:val="00815302"/>
    <w:rsid w:val="008159EF"/>
    <w:rsid w:val="00815D26"/>
    <w:rsid w:val="00816AF3"/>
    <w:rsid w:val="00817B56"/>
    <w:rsid w:val="00817F12"/>
    <w:rsid w:val="008209CA"/>
    <w:rsid w:val="00820D2C"/>
    <w:rsid w:val="008216B8"/>
    <w:rsid w:val="00821A2C"/>
    <w:rsid w:val="00821AFE"/>
    <w:rsid w:val="00822AD8"/>
    <w:rsid w:val="00822D4D"/>
    <w:rsid w:val="008234C8"/>
    <w:rsid w:val="00823B51"/>
    <w:rsid w:val="00824713"/>
    <w:rsid w:val="008247E3"/>
    <w:rsid w:val="00824900"/>
    <w:rsid w:val="008252B7"/>
    <w:rsid w:val="0082585C"/>
    <w:rsid w:val="00825A9A"/>
    <w:rsid w:val="0082611A"/>
    <w:rsid w:val="00826851"/>
    <w:rsid w:val="0082690E"/>
    <w:rsid w:val="00826B15"/>
    <w:rsid w:val="00826F36"/>
    <w:rsid w:val="00826FA4"/>
    <w:rsid w:val="0083146A"/>
    <w:rsid w:val="00831C76"/>
    <w:rsid w:val="00831F29"/>
    <w:rsid w:val="00831FD8"/>
    <w:rsid w:val="00832013"/>
    <w:rsid w:val="008320AE"/>
    <w:rsid w:val="00833115"/>
    <w:rsid w:val="008332AD"/>
    <w:rsid w:val="008348FC"/>
    <w:rsid w:val="00834D86"/>
    <w:rsid w:val="00835158"/>
    <w:rsid w:val="00835E10"/>
    <w:rsid w:val="0083620B"/>
    <w:rsid w:val="00837025"/>
    <w:rsid w:val="008378DC"/>
    <w:rsid w:val="00837927"/>
    <w:rsid w:val="00837A76"/>
    <w:rsid w:val="00837A98"/>
    <w:rsid w:val="00837B8D"/>
    <w:rsid w:val="008404AC"/>
    <w:rsid w:val="0084088B"/>
    <w:rsid w:val="00840C17"/>
    <w:rsid w:val="008412C0"/>
    <w:rsid w:val="00843623"/>
    <w:rsid w:val="008444EB"/>
    <w:rsid w:val="00844F56"/>
    <w:rsid w:val="00845076"/>
    <w:rsid w:val="008456F5"/>
    <w:rsid w:val="00845D1A"/>
    <w:rsid w:val="00846A79"/>
    <w:rsid w:val="00847802"/>
    <w:rsid w:val="00847F0A"/>
    <w:rsid w:val="008507DB"/>
    <w:rsid w:val="0085106B"/>
    <w:rsid w:val="008511BF"/>
    <w:rsid w:val="00852387"/>
    <w:rsid w:val="0085266A"/>
    <w:rsid w:val="00852D48"/>
    <w:rsid w:val="0085426B"/>
    <w:rsid w:val="00856322"/>
    <w:rsid w:val="00856545"/>
    <w:rsid w:val="008571E5"/>
    <w:rsid w:val="00857C0F"/>
    <w:rsid w:val="00860060"/>
    <w:rsid w:val="008604A1"/>
    <w:rsid w:val="00861061"/>
    <w:rsid w:val="008613C6"/>
    <w:rsid w:val="00861BE1"/>
    <w:rsid w:val="00861E75"/>
    <w:rsid w:val="00862016"/>
    <w:rsid w:val="00862FE2"/>
    <w:rsid w:val="00863355"/>
    <w:rsid w:val="0086390C"/>
    <w:rsid w:val="0086521C"/>
    <w:rsid w:val="008660EC"/>
    <w:rsid w:val="0086623C"/>
    <w:rsid w:val="0086663A"/>
    <w:rsid w:val="00866DDE"/>
    <w:rsid w:val="008679F3"/>
    <w:rsid w:val="00867EBE"/>
    <w:rsid w:val="00870360"/>
    <w:rsid w:val="00870772"/>
    <w:rsid w:val="008711E6"/>
    <w:rsid w:val="0087309C"/>
    <w:rsid w:val="00873DC1"/>
    <w:rsid w:val="00873EDB"/>
    <w:rsid w:val="008741B3"/>
    <w:rsid w:val="00874849"/>
    <w:rsid w:val="00874D4E"/>
    <w:rsid w:val="008759CE"/>
    <w:rsid w:val="00875EE5"/>
    <w:rsid w:val="00876208"/>
    <w:rsid w:val="008764A6"/>
    <w:rsid w:val="008772B1"/>
    <w:rsid w:val="00877635"/>
    <w:rsid w:val="00877DAF"/>
    <w:rsid w:val="008802FB"/>
    <w:rsid w:val="008806F5"/>
    <w:rsid w:val="00880875"/>
    <w:rsid w:val="0088087E"/>
    <w:rsid w:val="00881648"/>
    <w:rsid w:val="00881D2E"/>
    <w:rsid w:val="0088220F"/>
    <w:rsid w:val="00882A74"/>
    <w:rsid w:val="00883362"/>
    <w:rsid w:val="008836F2"/>
    <w:rsid w:val="00883736"/>
    <w:rsid w:val="00883943"/>
    <w:rsid w:val="008840AB"/>
    <w:rsid w:val="00884693"/>
    <w:rsid w:val="00884798"/>
    <w:rsid w:val="00884A81"/>
    <w:rsid w:val="00884AD9"/>
    <w:rsid w:val="00884B97"/>
    <w:rsid w:val="008851B7"/>
    <w:rsid w:val="008853D5"/>
    <w:rsid w:val="00885405"/>
    <w:rsid w:val="0088550C"/>
    <w:rsid w:val="008859D1"/>
    <w:rsid w:val="00885D4D"/>
    <w:rsid w:val="00885E4D"/>
    <w:rsid w:val="00886728"/>
    <w:rsid w:val="00886A56"/>
    <w:rsid w:val="00887B8F"/>
    <w:rsid w:val="00887EBC"/>
    <w:rsid w:val="00890B1B"/>
    <w:rsid w:val="00890CA6"/>
    <w:rsid w:val="00891318"/>
    <w:rsid w:val="00891887"/>
    <w:rsid w:val="00892D8B"/>
    <w:rsid w:val="00893409"/>
    <w:rsid w:val="008934AE"/>
    <w:rsid w:val="0089420C"/>
    <w:rsid w:val="00894C0A"/>
    <w:rsid w:val="00895443"/>
    <w:rsid w:val="00896319"/>
    <w:rsid w:val="0089650D"/>
    <w:rsid w:val="0089673E"/>
    <w:rsid w:val="00896D6D"/>
    <w:rsid w:val="008975EC"/>
    <w:rsid w:val="008A0DC7"/>
    <w:rsid w:val="008A1534"/>
    <w:rsid w:val="008A2A79"/>
    <w:rsid w:val="008A2A82"/>
    <w:rsid w:val="008A3C28"/>
    <w:rsid w:val="008A3FC1"/>
    <w:rsid w:val="008A3FEE"/>
    <w:rsid w:val="008A5C69"/>
    <w:rsid w:val="008A5D5B"/>
    <w:rsid w:val="008A6D6A"/>
    <w:rsid w:val="008A7528"/>
    <w:rsid w:val="008A76DC"/>
    <w:rsid w:val="008A7999"/>
    <w:rsid w:val="008A7FBD"/>
    <w:rsid w:val="008B0069"/>
    <w:rsid w:val="008B0743"/>
    <w:rsid w:val="008B0B0A"/>
    <w:rsid w:val="008B0D0E"/>
    <w:rsid w:val="008B2B1D"/>
    <w:rsid w:val="008B2D41"/>
    <w:rsid w:val="008B2D61"/>
    <w:rsid w:val="008B3370"/>
    <w:rsid w:val="008B3B34"/>
    <w:rsid w:val="008B42C1"/>
    <w:rsid w:val="008B4840"/>
    <w:rsid w:val="008B4F73"/>
    <w:rsid w:val="008B517E"/>
    <w:rsid w:val="008B522B"/>
    <w:rsid w:val="008B53AF"/>
    <w:rsid w:val="008B5A9F"/>
    <w:rsid w:val="008B5B29"/>
    <w:rsid w:val="008B5C64"/>
    <w:rsid w:val="008B6549"/>
    <w:rsid w:val="008B786D"/>
    <w:rsid w:val="008B7F15"/>
    <w:rsid w:val="008C0055"/>
    <w:rsid w:val="008C04AF"/>
    <w:rsid w:val="008C04DF"/>
    <w:rsid w:val="008C0D60"/>
    <w:rsid w:val="008C0DCA"/>
    <w:rsid w:val="008C1339"/>
    <w:rsid w:val="008C16D9"/>
    <w:rsid w:val="008C18C9"/>
    <w:rsid w:val="008C1B4B"/>
    <w:rsid w:val="008C1D28"/>
    <w:rsid w:val="008C20A4"/>
    <w:rsid w:val="008C2AA4"/>
    <w:rsid w:val="008C350A"/>
    <w:rsid w:val="008C37BB"/>
    <w:rsid w:val="008C4A9E"/>
    <w:rsid w:val="008C53C4"/>
    <w:rsid w:val="008C5BB5"/>
    <w:rsid w:val="008C5E17"/>
    <w:rsid w:val="008C6838"/>
    <w:rsid w:val="008C6E80"/>
    <w:rsid w:val="008C70FA"/>
    <w:rsid w:val="008C781F"/>
    <w:rsid w:val="008C7B41"/>
    <w:rsid w:val="008D1409"/>
    <w:rsid w:val="008D1A07"/>
    <w:rsid w:val="008D1EC9"/>
    <w:rsid w:val="008D20DD"/>
    <w:rsid w:val="008D22B8"/>
    <w:rsid w:val="008D2458"/>
    <w:rsid w:val="008D353C"/>
    <w:rsid w:val="008D5024"/>
    <w:rsid w:val="008D50F6"/>
    <w:rsid w:val="008D579A"/>
    <w:rsid w:val="008D5BE7"/>
    <w:rsid w:val="008D5F37"/>
    <w:rsid w:val="008D5F70"/>
    <w:rsid w:val="008D6734"/>
    <w:rsid w:val="008D67A5"/>
    <w:rsid w:val="008D72BD"/>
    <w:rsid w:val="008D76B3"/>
    <w:rsid w:val="008D78C6"/>
    <w:rsid w:val="008D7E82"/>
    <w:rsid w:val="008E0F0B"/>
    <w:rsid w:val="008E2803"/>
    <w:rsid w:val="008E29DE"/>
    <w:rsid w:val="008E2ECC"/>
    <w:rsid w:val="008E2F35"/>
    <w:rsid w:val="008E3604"/>
    <w:rsid w:val="008E37F3"/>
    <w:rsid w:val="008E403F"/>
    <w:rsid w:val="008E41B3"/>
    <w:rsid w:val="008E43E0"/>
    <w:rsid w:val="008E4D94"/>
    <w:rsid w:val="008E51C6"/>
    <w:rsid w:val="008E59A9"/>
    <w:rsid w:val="008E6B05"/>
    <w:rsid w:val="008E7171"/>
    <w:rsid w:val="008E7597"/>
    <w:rsid w:val="008E797C"/>
    <w:rsid w:val="008E7EB5"/>
    <w:rsid w:val="008F005C"/>
    <w:rsid w:val="008F008E"/>
    <w:rsid w:val="008F0431"/>
    <w:rsid w:val="008F08D0"/>
    <w:rsid w:val="008F0D12"/>
    <w:rsid w:val="008F142B"/>
    <w:rsid w:val="008F24AD"/>
    <w:rsid w:val="008F257F"/>
    <w:rsid w:val="008F28E9"/>
    <w:rsid w:val="008F2A5F"/>
    <w:rsid w:val="008F2CA0"/>
    <w:rsid w:val="008F433B"/>
    <w:rsid w:val="008F43A4"/>
    <w:rsid w:val="008F46A0"/>
    <w:rsid w:val="008F48DE"/>
    <w:rsid w:val="008F49AF"/>
    <w:rsid w:val="008F49DB"/>
    <w:rsid w:val="008F4D3D"/>
    <w:rsid w:val="008F55A5"/>
    <w:rsid w:val="008F5B5D"/>
    <w:rsid w:val="008F6D01"/>
    <w:rsid w:val="008F7626"/>
    <w:rsid w:val="008F7F1D"/>
    <w:rsid w:val="00900793"/>
    <w:rsid w:val="00900D53"/>
    <w:rsid w:val="00900D60"/>
    <w:rsid w:val="00900D84"/>
    <w:rsid w:val="00901271"/>
    <w:rsid w:val="009017AF"/>
    <w:rsid w:val="00901884"/>
    <w:rsid w:val="00901FBD"/>
    <w:rsid w:val="00902012"/>
    <w:rsid w:val="00902BBD"/>
    <w:rsid w:val="009037D3"/>
    <w:rsid w:val="00903990"/>
    <w:rsid w:val="00903CD6"/>
    <w:rsid w:val="00904AA4"/>
    <w:rsid w:val="00905CCE"/>
    <w:rsid w:val="00906410"/>
    <w:rsid w:val="0090705A"/>
    <w:rsid w:val="00907372"/>
    <w:rsid w:val="00907BA4"/>
    <w:rsid w:val="00910D5A"/>
    <w:rsid w:val="009111B1"/>
    <w:rsid w:val="00911A58"/>
    <w:rsid w:val="0091229A"/>
    <w:rsid w:val="00914504"/>
    <w:rsid w:val="00914632"/>
    <w:rsid w:val="00915B32"/>
    <w:rsid w:val="00916A53"/>
    <w:rsid w:val="00917265"/>
    <w:rsid w:val="00920474"/>
    <w:rsid w:val="009219F6"/>
    <w:rsid w:val="0092389A"/>
    <w:rsid w:val="009238D9"/>
    <w:rsid w:val="00923C46"/>
    <w:rsid w:val="009246AE"/>
    <w:rsid w:val="00924948"/>
    <w:rsid w:val="00925245"/>
    <w:rsid w:val="009256EF"/>
    <w:rsid w:val="00925A5D"/>
    <w:rsid w:val="00925F24"/>
    <w:rsid w:val="009264A4"/>
    <w:rsid w:val="00926949"/>
    <w:rsid w:val="00926CD4"/>
    <w:rsid w:val="009276CE"/>
    <w:rsid w:val="009278E3"/>
    <w:rsid w:val="00930E70"/>
    <w:rsid w:val="009314C0"/>
    <w:rsid w:val="00931857"/>
    <w:rsid w:val="00931AE4"/>
    <w:rsid w:val="009328F2"/>
    <w:rsid w:val="00933AC4"/>
    <w:rsid w:val="00933DC7"/>
    <w:rsid w:val="00933F6F"/>
    <w:rsid w:val="0093420C"/>
    <w:rsid w:val="009342FA"/>
    <w:rsid w:val="009346CD"/>
    <w:rsid w:val="009355B3"/>
    <w:rsid w:val="00936B2C"/>
    <w:rsid w:val="00937F4D"/>
    <w:rsid w:val="00940BF8"/>
    <w:rsid w:val="00943048"/>
    <w:rsid w:val="00943E1B"/>
    <w:rsid w:val="0094430C"/>
    <w:rsid w:val="0094458A"/>
    <w:rsid w:val="009446E5"/>
    <w:rsid w:val="0094482A"/>
    <w:rsid w:val="00944DF5"/>
    <w:rsid w:val="00945106"/>
    <w:rsid w:val="00945966"/>
    <w:rsid w:val="00945E4A"/>
    <w:rsid w:val="00945E98"/>
    <w:rsid w:val="0094692B"/>
    <w:rsid w:val="00947447"/>
    <w:rsid w:val="00947C4C"/>
    <w:rsid w:val="00950826"/>
    <w:rsid w:val="00950870"/>
    <w:rsid w:val="00950DA5"/>
    <w:rsid w:val="00951846"/>
    <w:rsid w:val="00952333"/>
    <w:rsid w:val="00952A9F"/>
    <w:rsid w:val="00952AB5"/>
    <w:rsid w:val="00953204"/>
    <w:rsid w:val="00953964"/>
    <w:rsid w:val="00954521"/>
    <w:rsid w:val="00954E1F"/>
    <w:rsid w:val="00955858"/>
    <w:rsid w:val="009565A3"/>
    <w:rsid w:val="00956CEC"/>
    <w:rsid w:val="0095760D"/>
    <w:rsid w:val="0095779A"/>
    <w:rsid w:val="009578DF"/>
    <w:rsid w:val="00957A32"/>
    <w:rsid w:val="00957E96"/>
    <w:rsid w:val="0096000A"/>
    <w:rsid w:val="00960B40"/>
    <w:rsid w:val="009624EF"/>
    <w:rsid w:val="00963054"/>
    <w:rsid w:val="009631BF"/>
    <w:rsid w:val="0096352B"/>
    <w:rsid w:val="0096387E"/>
    <w:rsid w:val="00963A24"/>
    <w:rsid w:val="00963F84"/>
    <w:rsid w:val="00967317"/>
    <w:rsid w:val="0096756D"/>
    <w:rsid w:val="00967B06"/>
    <w:rsid w:val="00967E57"/>
    <w:rsid w:val="00967FFA"/>
    <w:rsid w:val="00970106"/>
    <w:rsid w:val="00970766"/>
    <w:rsid w:val="00970829"/>
    <w:rsid w:val="00970D03"/>
    <w:rsid w:val="00970DD5"/>
    <w:rsid w:val="0097115F"/>
    <w:rsid w:val="009714B6"/>
    <w:rsid w:val="009717CE"/>
    <w:rsid w:val="00971C0F"/>
    <w:rsid w:val="009723C9"/>
    <w:rsid w:val="00972BD3"/>
    <w:rsid w:val="00972D31"/>
    <w:rsid w:val="00974050"/>
    <w:rsid w:val="009749D9"/>
    <w:rsid w:val="00974D0E"/>
    <w:rsid w:val="00974D98"/>
    <w:rsid w:val="0097540C"/>
    <w:rsid w:val="00976C4F"/>
    <w:rsid w:val="00976DE0"/>
    <w:rsid w:val="00977106"/>
    <w:rsid w:val="009772C4"/>
    <w:rsid w:val="00980124"/>
    <w:rsid w:val="00980500"/>
    <w:rsid w:val="00980951"/>
    <w:rsid w:val="00980D70"/>
    <w:rsid w:val="00981704"/>
    <w:rsid w:val="009817BF"/>
    <w:rsid w:val="00982000"/>
    <w:rsid w:val="0098320C"/>
    <w:rsid w:val="0098352C"/>
    <w:rsid w:val="0098399C"/>
    <w:rsid w:val="00983BAA"/>
    <w:rsid w:val="00984174"/>
    <w:rsid w:val="00984F91"/>
    <w:rsid w:val="00985344"/>
    <w:rsid w:val="00985410"/>
    <w:rsid w:val="00986567"/>
    <w:rsid w:val="00986663"/>
    <w:rsid w:val="00987B76"/>
    <w:rsid w:val="0099046D"/>
    <w:rsid w:val="009906C6"/>
    <w:rsid w:val="009925D7"/>
    <w:rsid w:val="0099263E"/>
    <w:rsid w:val="009935E6"/>
    <w:rsid w:val="00993C46"/>
    <w:rsid w:val="00993E5E"/>
    <w:rsid w:val="009943A9"/>
    <w:rsid w:val="00994737"/>
    <w:rsid w:val="00994C79"/>
    <w:rsid w:val="00994E55"/>
    <w:rsid w:val="009954D4"/>
    <w:rsid w:val="00995642"/>
    <w:rsid w:val="0099599B"/>
    <w:rsid w:val="00995A1C"/>
    <w:rsid w:val="0099628E"/>
    <w:rsid w:val="00996921"/>
    <w:rsid w:val="00996D05"/>
    <w:rsid w:val="0099744A"/>
    <w:rsid w:val="0099767E"/>
    <w:rsid w:val="009A1C3E"/>
    <w:rsid w:val="009A2127"/>
    <w:rsid w:val="009A27D0"/>
    <w:rsid w:val="009A33E9"/>
    <w:rsid w:val="009A43C5"/>
    <w:rsid w:val="009A509B"/>
    <w:rsid w:val="009A5754"/>
    <w:rsid w:val="009A5A21"/>
    <w:rsid w:val="009A5D4C"/>
    <w:rsid w:val="009A66B2"/>
    <w:rsid w:val="009A671C"/>
    <w:rsid w:val="009A6F26"/>
    <w:rsid w:val="009A7679"/>
    <w:rsid w:val="009B0105"/>
    <w:rsid w:val="009B066D"/>
    <w:rsid w:val="009B08D9"/>
    <w:rsid w:val="009B0CCA"/>
    <w:rsid w:val="009B1B77"/>
    <w:rsid w:val="009B1E84"/>
    <w:rsid w:val="009B280E"/>
    <w:rsid w:val="009B369C"/>
    <w:rsid w:val="009B3F95"/>
    <w:rsid w:val="009B4904"/>
    <w:rsid w:val="009B4949"/>
    <w:rsid w:val="009B4F05"/>
    <w:rsid w:val="009B51D2"/>
    <w:rsid w:val="009B56FB"/>
    <w:rsid w:val="009B5732"/>
    <w:rsid w:val="009B5A1C"/>
    <w:rsid w:val="009B643A"/>
    <w:rsid w:val="009B64A4"/>
    <w:rsid w:val="009B6A7C"/>
    <w:rsid w:val="009B7BA2"/>
    <w:rsid w:val="009C051E"/>
    <w:rsid w:val="009C0722"/>
    <w:rsid w:val="009C0DD9"/>
    <w:rsid w:val="009C1B00"/>
    <w:rsid w:val="009C20CE"/>
    <w:rsid w:val="009C2DCA"/>
    <w:rsid w:val="009C4729"/>
    <w:rsid w:val="009C5214"/>
    <w:rsid w:val="009C5B60"/>
    <w:rsid w:val="009C5C2A"/>
    <w:rsid w:val="009C6368"/>
    <w:rsid w:val="009C74C6"/>
    <w:rsid w:val="009C7699"/>
    <w:rsid w:val="009D0C6A"/>
    <w:rsid w:val="009D2358"/>
    <w:rsid w:val="009D2B78"/>
    <w:rsid w:val="009D3257"/>
    <w:rsid w:val="009D3C80"/>
    <w:rsid w:val="009D3F77"/>
    <w:rsid w:val="009D46A6"/>
    <w:rsid w:val="009D5511"/>
    <w:rsid w:val="009D703D"/>
    <w:rsid w:val="009D7C86"/>
    <w:rsid w:val="009D7E3D"/>
    <w:rsid w:val="009E09AD"/>
    <w:rsid w:val="009E0ACF"/>
    <w:rsid w:val="009E1E45"/>
    <w:rsid w:val="009E2A42"/>
    <w:rsid w:val="009E2A53"/>
    <w:rsid w:val="009E380B"/>
    <w:rsid w:val="009E41A8"/>
    <w:rsid w:val="009E41FA"/>
    <w:rsid w:val="009E447F"/>
    <w:rsid w:val="009E44F1"/>
    <w:rsid w:val="009E458A"/>
    <w:rsid w:val="009E4935"/>
    <w:rsid w:val="009E4D63"/>
    <w:rsid w:val="009E5557"/>
    <w:rsid w:val="009F018D"/>
    <w:rsid w:val="009F01BD"/>
    <w:rsid w:val="009F03F8"/>
    <w:rsid w:val="009F11DE"/>
    <w:rsid w:val="009F17DE"/>
    <w:rsid w:val="009F1F42"/>
    <w:rsid w:val="009F351F"/>
    <w:rsid w:val="009F5499"/>
    <w:rsid w:val="009F58E4"/>
    <w:rsid w:val="009F6533"/>
    <w:rsid w:val="009F6FBA"/>
    <w:rsid w:val="009F7EE2"/>
    <w:rsid w:val="00A0002E"/>
    <w:rsid w:val="00A00124"/>
    <w:rsid w:val="00A00D3E"/>
    <w:rsid w:val="00A0192F"/>
    <w:rsid w:val="00A01AC3"/>
    <w:rsid w:val="00A02263"/>
    <w:rsid w:val="00A022FE"/>
    <w:rsid w:val="00A025A5"/>
    <w:rsid w:val="00A04BFD"/>
    <w:rsid w:val="00A04E7F"/>
    <w:rsid w:val="00A0550D"/>
    <w:rsid w:val="00A059AD"/>
    <w:rsid w:val="00A06260"/>
    <w:rsid w:val="00A06BBB"/>
    <w:rsid w:val="00A0748E"/>
    <w:rsid w:val="00A07817"/>
    <w:rsid w:val="00A07D52"/>
    <w:rsid w:val="00A10715"/>
    <w:rsid w:val="00A11819"/>
    <w:rsid w:val="00A11873"/>
    <w:rsid w:val="00A11F0B"/>
    <w:rsid w:val="00A12138"/>
    <w:rsid w:val="00A125DD"/>
    <w:rsid w:val="00A13158"/>
    <w:rsid w:val="00A132BA"/>
    <w:rsid w:val="00A13A47"/>
    <w:rsid w:val="00A13ADA"/>
    <w:rsid w:val="00A14298"/>
    <w:rsid w:val="00A15514"/>
    <w:rsid w:val="00A158C8"/>
    <w:rsid w:val="00A16112"/>
    <w:rsid w:val="00A16C5E"/>
    <w:rsid w:val="00A1762B"/>
    <w:rsid w:val="00A17766"/>
    <w:rsid w:val="00A20BE7"/>
    <w:rsid w:val="00A21A86"/>
    <w:rsid w:val="00A21DBF"/>
    <w:rsid w:val="00A220ED"/>
    <w:rsid w:val="00A23A42"/>
    <w:rsid w:val="00A24025"/>
    <w:rsid w:val="00A247AD"/>
    <w:rsid w:val="00A247E5"/>
    <w:rsid w:val="00A24A85"/>
    <w:rsid w:val="00A26659"/>
    <w:rsid w:val="00A268BF"/>
    <w:rsid w:val="00A26DBE"/>
    <w:rsid w:val="00A26F7E"/>
    <w:rsid w:val="00A27078"/>
    <w:rsid w:val="00A271E9"/>
    <w:rsid w:val="00A30813"/>
    <w:rsid w:val="00A30BFF"/>
    <w:rsid w:val="00A313F6"/>
    <w:rsid w:val="00A31B91"/>
    <w:rsid w:val="00A32049"/>
    <w:rsid w:val="00A32C30"/>
    <w:rsid w:val="00A333C1"/>
    <w:rsid w:val="00A335B5"/>
    <w:rsid w:val="00A33A74"/>
    <w:rsid w:val="00A33CEA"/>
    <w:rsid w:val="00A342D7"/>
    <w:rsid w:val="00A34678"/>
    <w:rsid w:val="00A346FF"/>
    <w:rsid w:val="00A34763"/>
    <w:rsid w:val="00A3565C"/>
    <w:rsid w:val="00A35A41"/>
    <w:rsid w:val="00A360C0"/>
    <w:rsid w:val="00A366E0"/>
    <w:rsid w:val="00A36F1A"/>
    <w:rsid w:val="00A37725"/>
    <w:rsid w:val="00A37E25"/>
    <w:rsid w:val="00A4042C"/>
    <w:rsid w:val="00A4066E"/>
    <w:rsid w:val="00A40941"/>
    <w:rsid w:val="00A41B15"/>
    <w:rsid w:val="00A4223F"/>
    <w:rsid w:val="00A42862"/>
    <w:rsid w:val="00A43172"/>
    <w:rsid w:val="00A452C2"/>
    <w:rsid w:val="00A45E25"/>
    <w:rsid w:val="00A4647A"/>
    <w:rsid w:val="00A47844"/>
    <w:rsid w:val="00A47B1C"/>
    <w:rsid w:val="00A47F5E"/>
    <w:rsid w:val="00A50587"/>
    <w:rsid w:val="00A505F3"/>
    <w:rsid w:val="00A50722"/>
    <w:rsid w:val="00A5101B"/>
    <w:rsid w:val="00A51C68"/>
    <w:rsid w:val="00A51FA7"/>
    <w:rsid w:val="00A52C95"/>
    <w:rsid w:val="00A54873"/>
    <w:rsid w:val="00A55DBB"/>
    <w:rsid w:val="00A57252"/>
    <w:rsid w:val="00A573E6"/>
    <w:rsid w:val="00A574DE"/>
    <w:rsid w:val="00A6104F"/>
    <w:rsid w:val="00A618D4"/>
    <w:rsid w:val="00A61909"/>
    <w:rsid w:val="00A61D0B"/>
    <w:rsid w:val="00A61D7D"/>
    <w:rsid w:val="00A621C6"/>
    <w:rsid w:val="00A631A1"/>
    <w:rsid w:val="00A634BB"/>
    <w:rsid w:val="00A63736"/>
    <w:rsid w:val="00A64130"/>
    <w:rsid w:val="00A64912"/>
    <w:rsid w:val="00A64D7B"/>
    <w:rsid w:val="00A65BC7"/>
    <w:rsid w:val="00A65F29"/>
    <w:rsid w:val="00A66344"/>
    <w:rsid w:val="00A66824"/>
    <w:rsid w:val="00A668C5"/>
    <w:rsid w:val="00A67744"/>
    <w:rsid w:val="00A71CE6"/>
    <w:rsid w:val="00A722D6"/>
    <w:rsid w:val="00A725C2"/>
    <w:rsid w:val="00A72C38"/>
    <w:rsid w:val="00A72F55"/>
    <w:rsid w:val="00A74371"/>
    <w:rsid w:val="00A745C8"/>
    <w:rsid w:val="00A74D58"/>
    <w:rsid w:val="00A74EFF"/>
    <w:rsid w:val="00A75009"/>
    <w:rsid w:val="00A750DB"/>
    <w:rsid w:val="00A754B2"/>
    <w:rsid w:val="00A75B6D"/>
    <w:rsid w:val="00A815E4"/>
    <w:rsid w:val="00A821D8"/>
    <w:rsid w:val="00A82DB7"/>
    <w:rsid w:val="00A83159"/>
    <w:rsid w:val="00A8412F"/>
    <w:rsid w:val="00A859D0"/>
    <w:rsid w:val="00A860D5"/>
    <w:rsid w:val="00A86E00"/>
    <w:rsid w:val="00A90926"/>
    <w:rsid w:val="00A90E12"/>
    <w:rsid w:val="00A90FB9"/>
    <w:rsid w:val="00A92E62"/>
    <w:rsid w:val="00A93247"/>
    <w:rsid w:val="00A93A38"/>
    <w:rsid w:val="00A93B1C"/>
    <w:rsid w:val="00A93DAF"/>
    <w:rsid w:val="00A93DBA"/>
    <w:rsid w:val="00A9479A"/>
    <w:rsid w:val="00A949A3"/>
    <w:rsid w:val="00A94B60"/>
    <w:rsid w:val="00A95BC0"/>
    <w:rsid w:val="00A95BFF"/>
    <w:rsid w:val="00A9620D"/>
    <w:rsid w:val="00A97991"/>
    <w:rsid w:val="00AA1850"/>
    <w:rsid w:val="00AA32CA"/>
    <w:rsid w:val="00AA3626"/>
    <w:rsid w:val="00AA3750"/>
    <w:rsid w:val="00AA387B"/>
    <w:rsid w:val="00AA3E52"/>
    <w:rsid w:val="00AA3F40"/>
    <w:rsid w:val="00AA438E"/>
    <w:rsid w:val="00AA45C5"/>
    <w:rsid w:val="00AA4B3F"/>
    <w:rsid w:val="00AA53C5"/>
    <w:rsid w:val="00AA53EC"/>
    <w:rsid w:val="00AA7ABF"/>
    <w:rsid w:val="00AA7E37"/>
    <w:rsid w:val="00AB0577"/>
    <w:rsid w:val="00AB08D9"/>
    <w:rsid w:val="00AB10D5"/>
    <w:rsid w:val="00AB124C"/>
    <w:rsid w:val="00AB1895"/>
    <w:rsid w:val="00AB189D"/>
    <w:rsid w:val="00AB1B88"/>
    <w:rsid w:val="00AB33E2"/>
    <w:rsid w:val="00AB349F"/>
    <w:rsid w:val="00AB3FDC"/>
    <w:rsid w:val="00AB4405"/>
    <w:rsid w:val="00AB47E0"/>
    <w:rsid w:val="00AB48D0"/>
    <w:rsid w:val="00AB4A5F"/>
    <w:rsid w:val="00AB4DCB"/>
    <w:rsid w:val="00AB4FC3"/>
    <w:rsid w:val="00AB5028"/>
    <w:rsid w:val="00AB504E"/>
    <w:rsid w:val="00AB525D"/>
    <w:rsid w:val="00AB6638"/>
    <w:rsid w:val="00AC05C9"/>
    <w:rsid w:val="00AC0855"/>
    <w:rsid w:val="00AC0900"/>
    <w:rsid w:val="00AC1774"/>
    <w:rsid w:val="00AC1CBC"/>
    <w:rsid w:val="00AC1D26"/>
    <w:rsid w:val="00AC2BBD"/>
    <w:rsid w:val="00AC2BE4"/>
    <w:rsid w:val="00AC2DA4"/>
    <w:rsid w:val="00AC32A2"/>
    <w:rsid w:val="00AC3FB2"/>
    <w:rsid w:val="00AC3FBB"/>
    <w:rsid w:val="00AC4AA5"/>
    <w:rsid w:val="00AC4E99"/>
    <w:rsid w:val="00AC5193"/>
    <w:rsid w:val="00AC5396"/>
    <w:rsid w:val="00AC5442"/>
    <w:rsid w:val="00AC5555"/>
    <w:rsid w:val="00AC558A"/>
    <w:rsid w:val="00AC59A7"/>
    <w:rsid w:val="00AC5F21"/>
    <w:rsid w:val="00AC6307"/>
    <w:rsid w:val="00AC6536"/>
    <w:rsid w:val="00AC6712"/>
    <w:rsid w:val="00AC7B63"/>
    <w:rsid w:val="00AC7F81"/>
    <w:rsid w:val="00AD0048"/>
    <w:rsid w:val="00AD0652"/>
    <w:rsid w:val="00AD09DB"/>
    <w:rsid w:val="00AD0EE3"/>
    <w:rsid w:val="00AD0F21"/>
    <w:rsid w:val="00AD1B08"/>
    <w:rsid w:val="00AD1F91"/>
    <w:rsid w:val="00AD2B9F"/>
    <w:rsid w:val="00AD3635"/>
    <w:rsid w:val="00AD3D72"/>
    <w:rsid w:val="00AD40E2"/>
    <w:rsid w:val="00AD42A5"/>
    <w:rsid w:val="00AD5121"/>
    <w:rsid w:val="00AD51C0"/>
    <w:rsid w:val="00AD5F1B"/>
    <w:rsid w:val="00AD6548"/>
    <w:rsid w:val="00AD7967"/>
    <w:rsid w:val="00AE1A43"/>
    <w:rsid w:val="00AE4253"/>
    <w:rsid w:val="00AE4C55"/>
    <w:rsid w:val="00AE50C5"/>
    <w:rsid w:val="00AE548F"/>
    <w:rsid w:val="00AE5BB6"/>
    <w:rsid w:val="00AE6017"/>
    <w:rsid w:val="00AF1EC1"/>
    <w:rsid w:val="00AF3002"/>
    <w:rsid w:val="00AF3293"/>
    <w:rsid w:val="00AF5F9D"/>
    <w:rsid w:val="00AF77A4"/>
    <w:rsid w:val="00AF79DD"/>
    <w:rsid w:val="00B01DD5"/>
    <w:rsid w:val="00B01ECA"/>
    <w:rsid w:val="00B02649"/>
    <w:rsid w:val="00B02665"/>
    <w:rsid w:val="00B027FF"/>
    <w:rsid w:val="00B030AE"/>
    <w:rsid w:val="00B0363F"/>
    <w:rsid w:val="00B048B3"/>
    <w:rsid w:val="00B0492E"/>
    <w:rsid w:val="00B05855"/>
    <w:rsid w:val="00B060A9"/>
    <w:rsid w:val="00B067B0"/>
    <w:rsid w:val="00B06838"/>
    <w:rsid w:val="00B06E3D"/>
    <w:rsid w:val="00B07273"/>
    <w:rsid w:val="00B072B2"/>
    <w:rsid w:val="00B07358"/>
    <w:rsid w:val="00B0746A"/>
    <w:rsid w:val="00B07C9B"/>
    <w:rsid w:val="00B108C9"/>
    <w:rsid w:val="00B11218"/>
    <w:rsid w:val="00B1152E"/>
    <w:rsid w:val="00B11EF2"/>
    <w:rsid w:val="00B11F6A"/>
    <w:rsid w:val="00B11F6E"/>
    <w:rsid w:val="00B12017"/>
    <w:rsid w:val="00B125E8"/>
    <w:rsid w:val="00B12F2C"/>
    <w:rsid w:val="00B13CB7"/>
    <w:rsid w:val="00B14732"/>
    <w:rsid w:val="00B147C0"/>
    <w:rsid w:val="00B152A2"/>
    <w:rsid w:val="00B155E4"/>
    <w:rsid w:val="00B15736"/>
    <w:rsid w:val="00B209C6"/>
    <w:rsid w:val="00B218EF"/>
    <w:rsid w:val="00B22E8D"/>
    <w:rsid w:val="00B234FD"/>
    <w:rsid w:val="00B235E2"/>
    <w:rsid w:val="00B239EE"/>
    <w:rsid w:val="00B23C28"/>
    <w:rsid w:val="00B241AE"/>
    <w:rsid w:val="00B2489D"/>
    <w:rsid w:val="00B24B21"/>
    <w:rsid w:val="00B26D77"/>
    <w:rsid w:val="00B30146"/>
    <w:rsid w:val="00B3067F"/>
    <w:rsid w:val="00B30943"/>
    <w:rsid w:val="00B31B8C"/>
    <w:rsid w:val="00B32510"/>
    <w:rsid w:val="00B32A32"/>
    <w:rsid w:val="00B33442"/>
    <w:rsid w:val="00B338CD"/>
    <w:rsid w:val="00B33945"/>
    <w:rsid w:val="00B339CA"/>
    <w:rsid w:val="00B33BAD"/>
    <w:rsid w:val="00B340D7"/>
    <w:rsid w:val="00B34E98"/>
    <w:rsid w:val="00B35283"/>
    <w:rsid w:val="00B35E4B"/>
    <w:rsid w:val="00B375DA"/>
    <w:rsid w:val="00B401E9"/>
    <w:rsid w:val="00B40CE7"/>
    <w:rsid w:val="00B40CFF"/>
    <w:rsid w:val="00B41522"/>
    <w:rsid w:val="00B41AD9"/>
    <w:rsid w:val="00B425EA"/>
    <w:rsid w:val="00B42CB4"/>
    <w:rsid w:val="00B441C0"/>
    <w:rsid w:val="00B446D8"/>
    <w:rsid w:val="00B44840"/>
    <w:rsid w:val="00B45270"/>
    <w:rsid w:val="00B45A82"/>
    <w:rsid w:val="00B45E17"/>
    <w:rsid w:val="00B46F2B"/>
    <w:rsid w:val="00B50103"/>
    <w:rsid w:val="00B504BF"/>
    <w:rsid w:val="00B50621"/>
    <w:rsid w:val="00B52092"/>
    <w:rsid w:val="00B520CA"/>
    <w:rsid w:val="00B5238E"/>
    <w:rsid w:val="00B52AED"/>
    <w:rsid w:val="00B52C86"/>
    <w:rsid w:val="00B52FDB"/>
    <w:rsid w:val="00B53F2D"/>
    <w:rsid w:val="00B54C18"/>
    <w:rsid w:val="00B55273"/>
    <w:rsid w:val="00B554E6"/>
    <w:rsid w:val="00B5578A"/>
    <w:rsid w:val="00B5583E"/>
    <w:rsid w:val="00B56CF5"/>
    <w:rsid w:val="00B57733"/>
    <w:rsid w:val="00B57C97"/>
    <w:rsid w:val="00B60291"/>
    <w:rsid w:val="00B60F4B"/>
    <w:rsid w:val="00B61584"/>
    <w:rsid w:val="00B61774"/>
    <w:rsid w:val="00B623E0"/>
    <w:rsid w:val="00B62899"/>
    <w:rsid w:val="00B628A0"/>
    <w:rsid w:val="00B635B8"/>
    <w:rsid w:val="00B63916"/>
    <w:rsid w:val="00B63A60"/>
    <w:rsid w:val="00B63C4B"/>
    <w:rsid w:val="00B64195"/>
    <w:rsid w:val="00B6515C"/>
    <w:rsid w:val="00B668A5"/>
    <w:rsid w:val="00B668BD"/>
    <w:rsid w:val="00B66C3B"/>
    <w:rsid w:val="00B67413"/>
    <w:rsid w:val="00B67B61"/>
    <w:rsid w:val="00B67C0B"/>
    <w:rsid w:val="00B67F49"/>
    <w:rsid w:val="00B707BF"/>
    <w:rsid w:val="00B70B63"/>
    <w:rsid w:val="00B715BB"/>
    <w:rsid w:val="00B71C75"/>
    <w:rsid w:val="00B72108"/>
    <w:rsid w:val="00B7253A"/>
    <w:rsid w:val="00B7275B"/>
    <w:rsid w:val="00B7286B"/>
    <w:rsid w:val="00B72B73"/>
    <w:rsid w:val="00B72D7F"/>
    <w:rsid w:val="00B745A4"/>
    <w:rsid w:val="00B748C5"/>
    <w:rsid w:val="00B748CB"/>
    <w:rsid w:val="00B765FD"/>
    <w:rsid w:val="00B7693C"/>
    <w:rsid w:val="00B76DE0"/>
    <w:rsid w:val="00B77601"/>
    <w:rsid w:val="00B77630"/>
    <w:rsid w:val="00B77F9B"/>
    <w:rsid w:val="00B8021E"/>
    <w:rsid w:val="00B803D1"/>
    <w:rsid w:val="00B807D2"/>
    <w:rsid w:val="00B80D31"/>
    <w:rsid w:val="00B812E0"/>
    <w:rsid w:val="00B821D2"/>
    <w:rsid w:val="00B84008"/>
    <w:rsid w:val="00B84AA8"/>
    <w:rsid w:val="00B85471"/>
    <w:rsid w:val="00B85F95"/>
    <w:rsid w:val="00B86A9F"/>
    <w:rsid w:val="00B872E8"/>
    <w:rsid w:val="00B87DE1"/>
    <w:rsid w:val="00B90726"/>
    <w:rsid w:val="00B9073C"/>
    <w:rsid w:val="00B90A62"/>
    <w:rsid w:val="00B91670"/>
    <w:rsid w:val="00B92141"/>
    <w:rsid w:val="00B92471"/>
    <w:rsid w:val="00B93087"/>
    <w:rsid w:val="00B93662"/>
    <w:rsid w:val="00B94319"/>
    <w:rsid w:val="00B95DBD"/>
    <w:rsid w:val="00B960E5"/>
    <w:rsid w:val="00B97781"/>
    <w:rsid w:val="00B97D62"/>
    <w:rsid w:val="00BA02F5"/>
    <w:rsid w:val="00BA08BC"/>
    <w:rsid w:val="00BA1381"/>
    <w:rsid w:val="00BA190C"/>
    <w:rsid w:val="00BA19A8"/>
    <w:rsid w:val="00BA1DF8"/>
    <w:rsid w:val="00BA2CCF"/>
    <w:rsid w:val="00BA2D17"/>
    <w:rsid w:val="00BA37F7"/>
    <w:rsid w:val="00BA39F9"/>
    <w:rsid w:val="00BA3C7A"/>
    <w:rsid w:val="00BA3FF6"/>
    <w:rsid w:val="00BA4716"/>
    <w:rsid w:val="00BA47A4"/>
    <w:rsid w:val="00BA4F31"/>
    <w:rsid w:val="00BA503A"/>
    <w:rsid w:val="00BA565D"/>
    <w:rsid w:val="00BA5FCF"/>
    <w:rsid w:val="00BA6240"/>
    <w:rsid w:val="00BA6AC8"/>
    <w:rsid w:val="00BA70EA"/>
    <w:rsid w:val="00BB0665"/>
    <w:rsid w:val="00BB1212"/>
    <w:rsid w:val="00BB1788"/>
    <w:rsid w:val="00BB2BC6"/>
    <w:rsid w:val="00BB322E"/>
    <w:rsid w:val="00BB36CC"/>
    <w:rsid w:val="00BB4158"/>
    <w:rsid w:val="00BB41A1"/>
    <w:rsid w:val="00BB46B6"/>
    <w:rsid w:val="00BB5766"/>
    <w:rsid w:val="00BB582D"/>
    <w:rsid w:val="00BB5C86"/>
    <w:rsid w:val="00BB690F"/>
    <w:rsid w:val="00BB6AE3"/>
    <w:rsid w:val="00BB6C27"/>
    <w:rsid w:val="00BB73AC"/>
    <w:rsid w:val="00BC0784"/>
    <w:rsid w:val="00BC124D"/>
    <w:rsid w:val="00BC2283"/>
    <w:rsid w:val="00BC2603"/>
    <w:rsid w:val="00BC2969"/>
    <w:rsid w:val="00BC2D70"/>
    <w:rsid w:val="00BC3214"/>
    <w:rsid w:val="00BC33A2"/>
    <w:rsid w:val="00BC3942"/>
    <w:rsid w:val="00BC461A"/>
    <w:rsid w:val="00BC4A27"/>
    <w:rsid w:val="00BC4ABF"/>
    <w:rsid w:val="00BC596D"/>
    <w:rsid w:val="00BC5BAA"/>
    <w:rsid w:val="00BC5FE2"/>
    <w:rsid w:val="00BC6536"/>
    <w:rsid w:val="00BC6851"/>
    <w:rsid w:val="00BC7B1B"/>
    <w:rsid w:val="00BD0227"/>
    <w:rsid w:val="00BD03A6"/>
    <w:rsid w:val="00BD05FB"/>
    <w:rsid w:val="00BD1506"/>
    <w:rsid w:val="00BD158B"/>
    <w:rsid w:val="00BD1E3C"/>
    <w:rsid w:val="00BD2009"/>
    <w:rsid w:val="00BD22CD"/>
    <w:rsid w:val="00BD2307"/>
    <w:rsid w:val="00BD2528"/>
    <w:rsid w:val="00BD2E40"/>
    <w:rsid w:val="00BD3F6E"/>
    <w:rsid w:val="00BD46AA"/>
    <w:rsid w:val="00BD49ED"/>
    <w:rsid w:val="00BD581F"/>
    <w:rsid w:val="00BD5AB7"/>
    <w:rsid w:val="00BD5C26"/>
    <w:rsid w:val="00BD5F79"/>
    <w:rsid w:val="00BD6736"/>
    <w:rsid w:val="00BD6B64"/>
    <w:rsid w:val="00BD6DF7"/>
    <w:rsid w:val="00BD713E"/>
    <w:rsid w:val="00BD767E"/>
    <w:rsid w:val="00BD7829"/>
    <w:rsid w:val="00BD79D7"/>
    <w:rsid w:val="00BE0581"/>
    <w:rsid w:val="00BE0DBB"/>
    <w:rsid w:val="00BE0FA5"/>
    <w:rsid w:val="00BE11B4"/>
    <w:rsid w:val="00BE161E"/>
    <w:rsid w:val="00BE1623"/>
    <w:rsid w:val="00BE16B9"/>
    <w:rsid w:val="00BE1775"/>
    <w:rsid w:val="00BE24D2"/>
    <w:rsid w:val="00BE446E"/>
    <w:rsid w:val="00BE59D6"/>
    <w:rsid w:val="00BE60DC"/>
    <w:rsid w:val="00BE7BFB"/>
    <w:rsid w:val="00BE7DEA"/>
    <w:rsid w:val="00BF10D3"/>
    <w:rsid w:val="00BF10EF"/>
    <w:rsid w:val="00BF18D8"/>
    <w:rsid w:val="00BF21A3"/>
    <w:rsid w:val="00BF28B7"/>
    <w:rsid w:val="00BF28CE"/>
    <w:rsid w:val="00BF36EC"/>
    <w:rsid w:val="00BF3B32"/>
    <w:rsid w:val="00BF4A9F"/>
    <w:rsid w:val="00BF4ACB"/>
    <w:rsid w:val="00BF4EE1"/>
    <w:rsid w:val="00BF5380"/>
    <w:rsid w:val="00BF564F"/>
    <w:rsid w:val="00BF5911"/>
    <w:rsid w:val="00BF59EB"/>
    <w:rsid w:val="00BF5C65"/>
    <w:rsid w:val="00BF5E6B"/>
    <w:rsid w:val="00BF6110"/>
    <w:rsid w:val="00BF6436"/>
    <w:rsid w:val="00BF78E5"/>
    <w:rsid w:val="00C00131"/>
    <w:rsid w:val="00C00480"/>
    <w:rsid w:val="00C004FE"/>
    <w:rsid w:val="00C00A9B"/>
    <w:rsid w:val="00C00AEE"/>
    <w:rsid w:val="00C00EAA"/>
    <w:rsid w:val="00C00EFB"/>
    <w:rsid w:val="00C00F03"/>
    <w:rsid w:val="00C01075"/>
    <w:rsid w:val="00C0201F"/>
    <w:rsid w:val="00C022C2"/>
    <w:rsid w:val="00C02E93"/>
    <w:rsid w:val="00C030FC"/>
    <w:rsid w:val="00C03A13"/>
    <w:rsid w:val="00C046A6"/>
    <w:rsid w:val="00C0679B"/>
    <w:rsid w:val="00C06EF0"/>
    <w:rsid w:val="00C07560"/>
    <w:rsid w:val="00C11F72"/>
    <w:rsid w:val="00C123CA"/>
    <w:rsid w:val="00C125ED"/>
    <w:rsid w:val="00C12D26"/>
    <w:rsid w:val="00C13262"/>
    <w:rsid w:val="00C133AB"/>
    <w:rsid w:val="00C13B60"/>
    <w:rsid w:val="00C14932"/>
    <w:rsid w:val="00C14BF9"/>
    <w:rsid w:val="00C1529D"/>
    <w:rsid w:val="00C15762"/>
    <w:rsid w:val="00C16405"/>
    <w:rsid w:val="00C1730A"/>
    <w:rsid w:val="00C17BC6"/>
    <w:rsid w:val="00C17D3D"/>
    <w:rsid w:val="00C20191"/>
    <w:rsid w:val="00C20D2D"/>
    <w:rsid w:val="00C20E9A"/>
    <w:rsid w:val="00C215A4"/>
    <w:rsid w:val="00C21801"/>
    <w:rsid w:val="00C21EC9"/>
    <w:rsid w:val="00C25319"/>
    <w:rsid w:val="00C25D1B"/>
    <w:rsid w:val="00C26339"/>
    <w:rsid w:val="00C306ED"/>
    <w:rsid w:val="00C30A54"/>
    <w:rsid w:val="00C315DB"/>
    <w:rsid w:val="00C31718"/>
    <w:rsid w:val="00C3220D"/>
    <w:rsid w:val="00C32265"/>
    <w:rsid w:val="00C32A15"/>
    <w:rsid w:val="00C3301A"/>
    <w:rsid w:val="00C34349"/>
    <w:rsid w:val="00C344AE"/>
    <w:rsid w:val="00C3499F"/>
    <w:rsid w:val="00C3504D"/>
    <w:rsid w:val="00C352F9"/>
    <w:rsid w:val="00C35596"/>
    <w:rsid w:val="00C35E49"/>
    <w:rsid w:val="00C36266"/>
    <w:rsid w:val="00C369C8"/>
    <w:rsid w:val="00C36FBF"/>
    <w:rsid w:val="00C370CF"/>
    <w:rsid w:val="00C37111"/>
    <w:rsid w:val="00C37701"/>
    <w:rsid w:val="00C37AB0"/>
    <w:rsid w:val="00C37CA9"/>
    <w:rsid w:val="00C40058"/>
    <w:rsid w:val="00C40610"/>
    <w:rsid w:val="00C4072E"/>
    <w:rsid w:val="00C40741"/>
    <w:rsid w:val="00C408B3"/>
    <w:rsid w:val="00C41915"/>
    <w:rsid w:val="00C42D0C"/>
    <w:rsid w:val="00C436B3"/>
    <w:rsid w:val="00C443F3"/>
    <w:rsid w:val="00C4468F"/>
    <w:rsid w:val="00C44A7E"/>
    <w:rsid w:val="00C44D99"/>
    <w:rsid w:val="00C45E95"/>
    <w:rsid w:val="00C463CE"/>
    <w:rsid w:val="00C474FD"/>
    <w:rsid w:val="00C4792F"/>
    <w:rsid w:val="00C4796A"/>
    <w:rsid w:val="00C47DFA"/>
    <w:rsid w:val="00C50BEC"/>
    <w:rsid w:val="00C5107C"/>
    <w:rsid w:val="00C51A3A"/>
    <w:rsid w:val="00C5217F"/>
    <w:rsid w:val="00C523E6"/>
    <w:rsid w:val="00C5270C"/>
    <w:rsid w:val="00C528AE"/>
    <w:rsid w:val="00C52BC9"/>
    <w:rsid w:val="00C52D57"/>
    <w:rsid w:val="00C53539"/>
    <w:rsid w:val="00C53E15"/>
    <w:rsid w:val="00C54334"/>
    <w:rsid w:val="00C54B2C"/>
    <w:rsid w:val="00C5551F"/>
    <w:rsid w:val="00C5617D"/>
    <w:rsid w:val="00C566BC"/>
    <w:rsid w:val="00C56704"/>
    <w:rsid w:val="00C568EE"/>
    <w:rsid w:val="00C56A8A"/>
    <w:rsid w:val="00C56C11"/>
    <w:rsid w:val="00C577D3"/>
    <w:rsid w:val="00C5797F"/>
    <w:rsid w:val="00C57C5A"/>
    <w:rsid w:val="00C60282"/>
    <w:rsid w:val="00C619D4"/>
    <w:rsid w:val="00C626E7"/>
    <w:rsid w:val="00C6297A"/>
    <w:rsid w:val="00C634EC"/>
    <w:rsid w:val="00C639B3"/>
    <w:rsid w:val="00C63BB8"/>
    <w:rsid w:val="00C647C7"/>
    <w:rsid w:val="00C64950"/>
    <w:rsid w:val="00C657FA"/>
    <w:rsid w:val="00C66177"/>
    <w:rsid w:val="00C6710A"/>
    <w:rsid w:val="00C674C0"/>
    <w:rsid w:val="00C7036B"/>
    <w:rsid w:val="00C706A0"/>
    <w:rsid w:val="00C70CC5"/>
    <w:rsid w:val="00C719A7"/>
    <w:rsid w:val="00C71D3C"/>
    <w:rsid w:val="00C71E24"/>
    <w:rsid w:val="00C71E8D"/>
    <w:rsid w:val="00C7223F"/>
    <w:rsid w:val="00C73F3C"/>
    <w:rsid w:val="00C7408B"/>
    <w:rsid w:val="00C7422C"/>
    <w:rsid w:val="00C74C16"/>
    <w:rsid w:val="00C75F58"/>
    <w:rsid w:val="00C761CA"/>
    <w:rsid w:val="00C7697F"/>
    <w:rsid w:val="00C777F6"/>
    <w:rsid w:val="00C7793B"/>
    <w:rsid w:val="00C77B6E"/>
    <w:rsid w:val="00C801D0"/>
    <w:rsid w:val="00C809EA"/>
    <w:rsid w:val="00C80ABF"/>
    <w:rsid w:val="00C810FE"/>
    <w:rsid w:val="00C81A3C"/>
    <w:rsid w:val="00C82326"/>
    <w:rsid w:val="00C843A7"/>
    <w:rsid w:val="00C8615D"/>
    <w:rsid w:val="00C8632D"/>
    <w:rsid w:val="00C86357"/>
    <w:rsid w:val="00C86517"/>
    <w:rsid w:val="00C86A28"/>
    <w:rsid w:val="00C86F87"/>
    <w:rsid w:val="00C87767"/>
    <w:rsid w:val="00C903E7"/>
    <w:rsid w:val="00C912C4"/>
    <w:rsid w:val="00C9151F"/>
    <w:rsid w:val="00C9342E"/>
    <w:rsid w:val="00C939C6"/>
    <w:rsid w:val="00C93CBD"/>
    <w:rsid w:val="00C9456A"/>
    <w:rsid w:val="00C94D2C"/>
    <w:rsid w:val="00C95C44"/>
    <w:rsid w:val="00C970BA"/>
    <w:rsid w:val="00C97610"/>
    <w:rsid w:val="00C97AD0"/>
    <w:rsid w:val="00CA0AEE"/>
    <w:rsid w:val="00CA12A3"/>
    <w:rsid w:val="00CA291F"/>
    <w:rsid w:val="00CA2BF4"/>
    <w:rsid w:val="00CA309C"/>
    <w:rsid w:val="00CA3F4B"/>
    <w:rsid w:val="00CA42FD"/>
    <w:rsid w:val="00CA4334"/>
    <w:rsid w:val="00CA4CE0"/>
    <w:rsid w:val="00CA5285"/>
    <w:rsid w:val="00CA5B5B"/>
    <w:rsid w:val="00CA6D6A"/>
    <w:rsid w:val="00CA7AE1"/>
    <w:rsid w:val="00CB0CA4"/>
    <w:rsid w:val="00CB1CC0"/>
    <w:rsid w:val="00CB20D7"/>
    <w:rsid w:val="00CB2A9C"/>
    <w:rsid w:val="00CB2B0C"/>
    <w:rsid w:val="00CB2DB1"/>
    <w:rsid w:val="00CB2DEE"/>
    <w:rsid w:val="00CB3639"/>
    <w:rsid w:val="00CB3BAA"/>
    <w:rsid w:val="00CB3DA6"/>
    <w:rsid w:val="00CB41E7"/>
    <w:rsid w:val="00CB4D79"/>
    <w:rsid w:val="00CB51F7"/>
    <w:rsid w:val="00CB5F1A"/>
    <w:rsid w:val="00CB6B5F"/>
    <w:rsid w:val="00CB6CCC"/>
    <w:rsid w:val="00CB77C1"/>
    <w:rsid w:val="00CB7978"/>
    <w:rsid w:val="00CC08E6"/>
    <w:rsid w:val="00CC122D"/>
    <w:rsid w:val="00CC193A"/>
    <w:rsid w:val="00CC1B15"/>
    <w:rsid w:val="00CC22C4"/>
    <w:rsid w:val="00CC2EA1"/>
    <w:rsid w:val="00CC30B4"/>
    <w:rsid w:val="00CC36EE"/>
    <w:rsid w:val="00CC3F1A"/>
    <w:rsid w:val="00CC41EE"/>
    <w:rsid w:val="00CC4AD8"/>
    <w:rsid w:val="00CC4B40"/>
    <w:rsid w:val="00CC4DCC"/>
    <w:rsid w:val="00CC4EEB"/>
    <w:rsid w:val="00CC5539"/>
    <w:rsid w:val="00CC6065"/>
    <w:rsid w:val="00CC6484"/>
    <w:rsid w:val="00CC68BB"/>
    <w:rsid w:val="00CC6F45"/>
    <w:rsid w:val="00CC772F"/>
    <w:rsid w:val="00CC7C7F"/>
    <w:rsid w:val="00CD011B"/>
    <w:rsid w:val="00CD0309"/>
    <w:rsid w:val="00CD0427"/>
    <w:rsid w:val="00CD07E1"/>
    <w:rsid w:val="00CD0BDB"/>
    <w:rsid w:val="00CD0D95"/>
    <w:rsid w:val="00CD265B"/>
    <w:rsid w:val="00CD26C1"/>
    <w:rsid w:val="00CD3C61"/>
    <w:rsid w:val="00CD411C"/>
    <w:rsid w:val="00CD44B8"/>
    <w:rsid w:val="00CD557A"/>
    <w:rsid w:val="00CD6412"/>
    <w:rsid w:val="00CD6927"/>
    <w:rsid w:val="00CD785B"/>
    <w:rsid w:val="00CD79BF"/>
    <w:rsid w:val="00CD7E52"/>
    <w:rsid w:val="00CD7E7E"/>
    <w:rsid w:val="00CE01AF"/>
    <w:rsid w:val="00CE180D"/>
    <w:rsid w:val="00CE2D23"/>
    <w:rsid w:val="00CE31AF"/>
    <w:rsid w:val="00CE3595"/>
    <w:rsid w:val="00CE38BF"/>
    <w:rsid w:val="00CE4BEC"/>
    <w:rsid w:val="00CE535A"/>
    <w:rsid w:val="00CE5B91"/>
    <w:rsid w:val="00CE6818"/>
    <w:rsid w:val="00CE6B55"/>
    <w:rsid w:val="00CE6EB5"/>
    <w:rsid w:val="00CE70DA"/>
    <w:rsid w:val="00CE7927"/>
    <w:rsid w:val="00CE79D3"/>
    <w:rsid w:val="00CE7BAD"/>
    <w:rsid w:val="00CF280E"/>
    <w:rsid w:val="00CF2D2E"/>
    <w:rsid w:val="00CF2DF5"/>
    <w:rsid w:val="00CF37D4"/>
    <w:rsid w:val="00CF4997"/>
    <w:rsid w:val="00CF572D"/>
    <w:rsid w:val="00CF60DD"/>
    <w:rsid w:val="00CF64CF"/>
    <w:rsid w:val="00CF70CF"/>
    <w:rsid w:val="00CF7217"/>
    <w:rsid w:val="00CF728C"/>
    <w:rsid w:val="00CF73D5"/>
    <w:rsid w:val="00CF7543"/>
    <w:rsid w:val="00CF7B39"/>
    <w:rsid w:val="00D002C7"/>
    <w:rsid w:val="00D00757"/>
    <w:rsid w:val="00D01522"/>
    <w:rsid w:val="00D018ED"/>
    <w:rsid w:val="00D01C0A"/>
    <w:rsid w:val="00D01C4A"/>
    <w:rsid w:val="00D021A1"/>
    <w:rsid w:val="00D02935"/>
    <w:rsid w:val="00D02A5B"/>
    <w:rsid w:val="00D03389"/>
    <w:rsid w:val="00D0395B"/>
    <w:rsid w:val="00D04156"/>
    <w:rsid w:val="00D047C1"/>
    <w:rsid w:val="00D05089"/>
    <w:rsid w:val="00D05161"/>
    <w:rsid w:val="00D06B4D"/>
    <w:rsid w:val="00D06F13"/>
    <w:rsid w:val="00D0748E"/>
    <w:rsid w:val="00D10592"/>
    <w:rsid w:val="00D10975"/>
    <w:rsid w:val="00D11954"/>
    <w:rsid w:val="00D11B06"/>
    <w:rsid w:val="00D1343B"/>
    <w:rsid w:val="00D13907"/>
    <w:rsid w:val="00D14310"/>
    <w:rsid w:val="00D14867"/>
    <w:rsid w:val="00D14DCD"/>
    <w:rsid w:val="00D15E72"/>
    <w:rsid w:val="00D161EC"/>
    <w:rsid w:val="00D16309"/>
    <w:rsid w:val="00D166B4"/>
    <w:rsid w:val="00D200B6"/>
    <w:rsid w:val="00D2051F"/>
    <w:rsid w:val="00D206A0"/>
    <w:rsid w:val="00D2075E"/>
    <w:rsid w:val="00D20970"/>
    <w:rsid w:val="00D20F63"/>
    <w:rsid w:val="00D212F0"/>
    <w:rsid w:val="00D23174"/>
    <w:rsid w:val="00D23A69"/>
    <w:rsid w:val="00D23F79"/>
    <w:rsid w:val="00D24562"/>
    <w:rsid w:val="00D247BB"/>
    <w:rsid w:val="00D24CAD"/>
    <w:rsid w:val="00D250B4"/>
    <w:rsid w:val="00D2580F"/>
    <w:rsid w:val="00D25A06"/>
    <w:rsid w:val="00D25E6D"/>
    <w:rsid w:val="00D266D1"/>
    <w:rsid w:val="00D268F1"/>
    <w:rsid w:val="00D2716B"/>
    <w:rsid w:val="00D272DF"/>
    <w:rsid w:val="00D30510"/>
    <w:rsid w:val="00D30DA7"/>
    <w:rsid w:val="00D314E8"/>
    <w:rsid w:val="00D31807"/>
    <w:rsid w:val="00D33DE8"/>
    <w:rsid w:val="00D347A0"/>
    <w:rsid w:val="00D34D5E"/>
    <w:rsid w:val="00D350C7"/>
    <w:rsid w:val="00D35B69"/>
    <w:rsid w:val="00D36126"/>
    <w:rsid w:val="00D366F9"/>
    <w:rsid w:val="00D3790A"/>
    <w:rsid w:val="00D37C88"/>
    <w:rsid w:val="00D4140F"/>
    <w:rsid w:val="00D42706"/>
    <w:rsid w:val="00D42E60"/>
    <w:rsid w:val="00D4359F"/>
    <w:rsid w:val="00D43B01"/>
    <w:rsid w:val="00D441C8"/>
    <w:rsid w:val="00D44290"/>
    <w:rsid w:val="00D45A7C"/>
    <w:rsid w:val="00D45E0E"/>
    <w:rsid w:val="00D4603C"/>
    <w:rsid w:val="00D4641C"/>
    <w:rsid w:val="00D46488"/>
    <w:rsid w:val="00D468A7"/>
    <w:rsid w:val="00D46CFC"/>
    <w:rsid w:val="00D4754E"/>
    <w:rsid w:val="00D507FD"/>
    <w:rsid w:val="00D516CD"/>
    <w:rsid w:val="00D51A49"/>
    <w:rsid w:val="00D52BAE"/>
    <w:rsid w:val="00D52D72"/>
    <w:rsid w:val="00D542BE"/>
    <w:rsid w:val="00D546E6"/>
    <w:rsid w:val="00D55BBB"/>
    <w:rsid w:val="00D55D99"/>
    <w:rsid w:val="00D56060"/>
    <w:rsid w:val="00D56C32"/>
    <w:rsid w:val="00D56F89"/>
    <w:rsid w:val="00D577EA"/>
    <w:rsid w:val="00D5797B"/>
    <w:rsid w:val="00D601F9"/>
    <w:rsid w:val="00D6139A"/>
    <w:rsid w:val="00D6342A"/>
    <w:rsid w:val="00D6363B"/>
    <w:rsid w:val="00D63685"/>
    <w:rsid w:val="00D63818"/>
    <w:rsid w:val="00D63EC4"/>
    <w:rsid w:val="00D6478E"/>
    <w:rsid w:val="00D65042"/>
    <w:rsid w:val="00D650C2"/>
    <w:rsid w:val="00D65855"/>
    <w:rsid w:val="00D66396"/>
    <w:rsid w:val="00D66EDB"/>
    <w:rsid w:val="00D676C4"/>
    <w:rsid w:val="00D67D86"/>
    <w:rsid w:val="00D7038B"/>
    <w:rsid w:val="00D707D0"/>
    <w:rsid w:val="00D70ADA"/>
    <w:rsid w:val="00D7126B"/>
    <w:rsid w:val="00D71D82"/>
    <w:rsid w:val="00D724AE"/>
    <w:rsid w:val="00D72822"/>
    <w:rsid w:val="00D73175"/>
    <w:rsid w:val="00D739F3"/>
    <w:rsid w:val="00D73AA5"/>
    <w:rsid w:val="00D73EC9"/>
    <w:rsid w:val="00D7493C"/>
    <w:rsid w:val="00D75FC3"/>
    <w:rsid w:val="00D76673"/>
    <w:rsid w:val="00D77155"/>
    <w:rsid w:val="00D77319"/>
    <w:rsid w:val="00D776F1"/>
    <w:rsid w:val="00D81237"/>
    <w:rsid w:val="00D81994"/>
    <w:rsid w:val="00D82020"/>
    <w:rsid w:val="00D8221E"/>
    <w:rsid w:val="00D82828"/>
    <w:rsid w:val="00D83AA5"/>
    <w:rsid w:val="00D85970"/>
    <w:rsid w:val="00D85C8A"/>
    <w:rsid w:val="00D85E3B"/>
    <w:rsid w:val="00D86400"/>
    <w:rsid w:val="00D8645F"/>
    <w:rsid w:val="00D867EB"/>
    <w:rsid w:val="00D868B0"/>
    <w:rsid w:val="00D869C8"/>
    <w:rsid w:val="00D8769B"/>
    <w:rsid w:val="00D87A66"/>
    <w:rsid w:val="00D87F73"/>
    <w:rsid w:val="00D909CD"/>
    <w:rsid w:val="00D91272"/>
    <w:rsid w:val="00D91845"/>
    <w:rsid w:val="00D918EC"/>
    <w:rsid w:val="00D929B8"/>
    <w:rsid w:val="00D930C7"/>
    <w:rsid w:val="00D935FB"/>
    <w:rsid w:val="00D93A62"/>
    <w:rsid w:val="00D93F8A"/>
    <w:rsid w:val="00D94F79"/>
    <w:rsid w:val="00D95AC7"/>
    <w:rsid w:val="00D95BC3"/>
    <w:rsid w:val="00D96C4B"/>
    <w:rsid w:val="00DA042D"/>
    <w:rsid w:val="00DA0432"/>
    <w:rsid w:val="00DA09B5"/>
    <w:rsid w:val="00DA1507"/>
    <w:rsid w:val="00DA17EC"/>
    <w:rsid w:val="00DA1C0C"/>
    <w:rsid w:val="00DA291C"/>
    <w:rsid w:val="00DA2F4D"/>
    <w:rsid w:val="00DA369B"/>
    <w:rsid w:val="00DA3A53"/>
    <w:rsid w:val="00DA4932"/>
    <w:rsid w:val="00DA587E"/>
    <w:rsid w:val="00DA5A57"/>
    <w:rsid w:val="00DA685D"/>
    <w:rsid w:val="00DA6A4E"/>
    <w:rsid w:val="00DA6CFE"/>
    <w:rsid w:val="00DA6F78"/>
    <w:rsid w:val="00DA7205"/>
    <w:rsid w:val="00DA7E13"/>
    <w:rsid w:val="00DA7ED9"/>
    <w:rsid w:val="00DB0478"/>
    <w:rsid w:val="00DB0490"/>
    <w:rsid w:val="00DB0A32"/>
    <w:rsid w:val="00DB0C77"/>
    <w:rsid w:val="00DB1893"/>
    <w:rsid w:val="00DB2AE5"/>
    <w:rsid w:val="00DB2C78"/>
    <w:rsid w:val="00DB2E2D"/>
    <w:rsid w:val="00DB30A6"/>
    <w:rsid w:val="00DB3A63"/>
    <w:rsid w:val="00DB4F0C"/>
    <w:rsid w:val="00DB533D"/>
    <w:rsid w:val="00DB5A81"/>
    <w:rsid w:val="00DB626C"/>
    <w:rsid w:val="00DB687A"/>
    <w:rsid w:val="00DB6943"/>
    <w:rsid w:val="00DB69AD"/>
    <w:rsid w:val="00DB7608"/>
    <w:rsid w:val="00DB79B7"/>
    <w:rsid w:val="00DC05F0"/>
    <w:rsid w:val="00DC0A73"/>
    <w:rsid w:val="00DC0CC3"/>
    <w:rsid w:val="00DC1675"/>
    <w:rsid w:val="00DC1911"/>
    <w:rsid w:val="00DC271F"/>
    <w:rsid w:val="00DC3464"/>
    <w:rsid w:val="00DC3F2B"/>
    <w:rsid w:val="00DC44F7"/>
    <w:rsid w:val="00DC516E"/>
    <w:rsid w:val="00DC52C1"/>
    <w:rsid w:val="00DC57B4"/>
    <w:rsid w:val="00DC5869"/>
    <w:rsid w:val="00DC5EAB"/>
    <w:rsid w:val="00DC6ED7"/>
    <w:rsid w:val="00DC7614"/>
    <w:rsid w:val="00DC7E19"/>
    <w:rsid w:val="00DD0647"/>
    <w:rsid w:val="00DD06A3"/>
    <w:rsid w:val="00DD0ED4"/>
    <w:rsid w:val="00DD2115"/>
    <w:rsid w:val="00DD2531"/>
    <w:rsid w:val="00DD3616"/>
    <w:rsid w:val="00DD4AC7"/>
    <w:rsid w:val="00DD4E5C"/>
    <w:rsid w:val="00DD529A"/>
    <w:rsid w:val="00DD5861"/>
    <w:rsid w:val="00DD5D66"/>
    <w:rsid w:val="00DD6778"/>
    <w:rsid w:val="00DD74A9"/>
    <w:rsid w:val="00DE020B"/>
    <w:rsid w:val="00DE03E5"/>
    <w:rsid w:val="00DE0ADE"/>
    <w:rsid w:val="00DE0B2F"/>
    <w:rsid w:val="00DE1940"/>
    <w:rsid w:val="00DE1F74"/>
    <w:rsid w:val="00DE241F"/>
    <w:rsid w:val="00DE2830"/>
    <w:rsid w:val="00DE2F4B"/>
    <w:rsid w:val="00DE2F6C"/>
    <w:rsid w:val="00DE2FDD"/>
    <w:rsid w:val="00DE331A"/>
    <w:rsid w:val="00DE3443"/>
    <w:rsid w:val="00DE3F38"/>
    <w:rsid w:val="00DE4A3E"/>
    <w:rsid w:val="00DE5312"/>
    <w:rsid w:val="00DE6415"/>
    <w:rsid w:val="00DE7666"/>
    <w:rsid w:val="00DE7BE0"/>
    <w:rsid w:val="00DE7D0A"/>
    <w:rsid w:val="00DF094B"/>
    <w:rsid w:val="00DF0F42"/>
    <w:rsid w:val="00DF2D47"/>
    <w:rsid w:val="00DF344C"/>
    <w:rsid w:val="00DF406C"/>
    <w:rsid w:val="00DF63AB"/>
    <w:rsid w:val="00DF6418"/>
    <w:rsid w:val="00DF6CFF"/>
    <w:rsid w:val="00DF7978"/>
    <w:rsid w:val="00DF7AE3"/>
    <w:rsid w:val="00DF7D79"/>
    <w:rsid w:val="00E0011A"/>
    <w:rsid w:val="00E0066A"/>
    <w:rsid w:val="00E00C50"/>
    <w:rsid w:val="00E013EF"/>
    <w:rsid w:val="00E0153E"/>
    <w:rsid w:val="00E01991"/>
    <w:rsid w:val="00E01B3C"/>
    <w:rsid w:val="00E01BD4"/>
    <w:rsid w:val="00E022C3"/>
    <w:rsid w:val="00E046AF"/>
    <w:rsid w:val="00E046B8"/>
    <w:rsid w:val="00E0479F"/>
    <w:rsid w:val="00E04E4A"/>
    <w:rsid w:val="00E05C0E"/>
    <w:rsid w:val="00E061EB"/>
    <w:rsid w:val="00E0681D"/>
    <w:rsid w:val="00E06E36"/>
    <w:rsid w:val="00E06E96"/>
    <w:rsid w:val="00E0715A"/>
    <w:rsid w:val="00E074C2"/>
    <w:rsid w:val="00E07841"/>
    <w:rsid w:val="00E07964"/>
    <w:rsid w:val="00E07F30"/>
    <w:rsid w:val="00E101F7"/>
    <w:rsid w:val="00E116AC"/>
    <w:rsid w:val="00E11923"/>
    <w:rsid w:val="00E11D0B"/>
    <w:rsid w:val="00E1234B"/>
    <w:rsid w:val="00E13581"/>
    <w:rsid w:val="00E142AC"/>
    <w:rsid w:val="00E149C7"/>
    <w:rsid w:val="00E150F1"/>
    <w:rsid w:val="00E154E6"/>
    <w:rsid w:val="00E15505"/>
    <w:rsid w:val="00E16C0B"/>
    <w:rsid w:val="00E16E8E"/>
    <w:rsid w:val="00E201DB"/>
    <w:rsid w:val="00E21D9E"/>
    <w:rsid w:val="00E222DC"/>
    <w:rsid w:val="00E2305D"/>
    <w:rsid w:val="00E23386"/>
    <w:rsid w:val="00E234E0"/>
    <w:rsid w:val="00E235E7"/>
    <w:rsid w:val="00E23928"/>
    <w:rsid w:val="00E24696"/>
    <w:rsid w:val="00E24734"/>
    <w:rsid w:val="00E25223"/>
    <w:rsid w:val="00E25B35"/>
    <w:rsid w:val="00E26844"/>
    <w:rsid w:val="00E30E2A"/>
    <w:rsid w:val="00E3120D"/>
    <w:rsid w:val="00E31A47"/>
    <w:rsid w:val="00E32B3C"/>
    <w:rsid w:val="00E330E6"/>
    <w:rsid w:val="00E34B61"/>
    <w:rsid w:val="00E3505B"/>
    <w:rsid w:val="00E355CA"/>
    <w:rsid w:val="00E3615D"/>
    <w:rsid w:val="00E3624F"/>
    <w:rsid w:val="00E36AFD"/>
    <w:rsid w:val="00E36F17"/>
    <w:rsid w:val="00E377D3"/>
    <w:rsid w:val="00E400F0"/>
    <w:rsid w:val="00E40120"/>
    <w:rsid w:val="00E413DB"/>
    <w:rsid w:val="00E42834"/>
    <w:rsid w:val="00E42D47"/>
    <w:rsid w:val="00E43A54"/>
    <w:rsid w:val="00E43F43"/>
    <w:rsid w:val="00E44502"/>
    <w:rsid w:val="00E445B0"/>
    <w:rsid w:val="00E44EB8"/>
    <w:rsid w:val="00E45447"/>
    <w:rsid w:val="00E45B2E"/>
    <w:rsid w:val="00E4631A"/>
    <w:rsid w:val="00E46358"/>
    <w:rsid w:val="00E46805"/>
    <w:rsid w:val="00E4722E"/>
    <w:rsid w:val="00E47311"/>
    <w:rsid w:val="00E50238"/>
    <w:rsid w:val="00E50326"/>
    <w:rsid w:val="00E5062D"/>
    <w:rsid w:val="00E51447"/>
    <w:rsid w:val="00E530E5"/>
    <w:rsid w:val="00E5467D"/>
    <w:rsid w:val="00E548B1"/>
    <w:rsid w:val="00E5494E"/>
    <w:rsid w:val="00E55AA2"/>
    <w:rsid w:val="00E56319"/>
    <w:rsid w:val="00E564C9"/>
    <w:rsid w:val="00E57542"/>
    <w:rsid w:val="00E60BF1"/>
    <w:rsid w:val="00E61093"/>
    <w:rsid w:val="00E613D0"/>
    <w:rsid w:val="00E6140C"/>
    <w:rsid w:val="00E615BD"/>
    <w:rsid w:val="00E61B67"/>
    <w:rsid w:val="00E61C7B"/>
    <w:rsid w:val="00E621F1"/>
    <w:rsid w:val="00E6235E"/>
    <w:rsid w:val="00E626BB"/>
    <w:rsid w:val="00E634FE"/>
    <w:rsid w:val="00E63B82"/>
    <w:rsid w:val="00E63EAB"/>
    <w:rsid w:val="00E64094"/>
    <w:rsid w:val="00E644DE"/>
    <w:rsid w:val="00E6558F"/>
    <w:rsid w:val="00E657AD"/>
    <w:rsid w:val="00E66518"/>
    <w:rsid w:val="00E679B5"/>
    <w:rsid w:val="00E67C3E"/>
    <w:rsid w:val="00E67F74"/>
    <w:rsid w:val="00E7036A"/>
    <w:rsid w:val="00E70DA9"/>
    <w:rsid w:val="00E71609"/>
    <w:rsid w:val="00E72459"/>
    <w:rsid w:val="00E731EB"/>
    <w:rsid w:val="00E735C5"/>
    <w:rsid w:val="00E736B2"/>
    <w:rsid w:val="00E74233"/>
    <w:rsid w:val="00E7530A"/>
    <w:rsid w:val="00E75868"/>
    <w:rsid w:val="00E7723D"/>
    <w:rsid w:val="00E7796C"/>
    <w:rsid w:val="00E77A4E"/>
    <w:rsid w:val="00E8009F"/>
    <w:rsid w:val="00E80103"/>
    <w:rsid w:val="00E8039E"/>
    <w:rsid w:val="00E80538"/>
    <w:rsid w:val="00E81373"/>
    <w:rsid w:val="00E821F7"/>
    <w:rsid w:val="00E83016"/>
    <w:rsid w:val="00E83ACA"/>
    <w:rsid w:val="00E852A9"/>
    <w:rsid w:val="00E85677"/>
    <w:rsid w:val="00E857E8"/>
    <w:rsid w:val="00E867CD"/>
    <w:rsid w:val="00E868C2"/>
    <w:rsid w:val="00E871A5"/>
    <w:rsid w:val="00E8723D"/>
    <w:rsid w:val="00E8748B"/>
    <w:rsid w:val="00E87E76"/>
    <w:rsid w:val="00E9014A"/>
    <w:rsid w:val="00E913A7"/>
    <w:rsid w:val="00E913B0"/>
    <w:rsid w:val="00E917B2"/>
    <w:rsid w:val="00E93FD0"/>
    <w:rsid w:val="00E9533F"/>
    <w:rsid w:val="00E95C8A"/>
    <w:rsid w:val="00E95D27"/>
    <w:rsid w:val="00E976D9"/>
    <w:rsid w:val="00EA014B"/>
    <w:rsid w:val="00EA0155"/>
    <w:rsid w:val="00EA03AF"/>
    <w:rsid w:val="00EA0933"/>
    <w:rsid w:val="00EA0DDF"/>
    <w:rsid w:val="00EA1490"/>
    <w:rsid w:val="00EA1ACB"/>
    <w:rsid w:val="00EA1B20"/>
    <w:rsid w:val="00EA1BAB"/>
    <w:rsid w:val="00EA2164"/>
    <w:rsid w:val="00EA2556"/>
    <w:rsid w:val="00EA272A"/>
    <w:rsid w:val="00EA2A63"/>
    <w:rsid w:val="00EA2B34"/>
    <w:rsid w:val="00EA3357"/>
    <w:rsid w:val="00EA5B4E"/>
    <w:rsid w:val="00EA6176"/>
    <w:rsid w:val="00EA7150"/>
    <w:rsid w:val="00EA731D"/>
    <w:rsid w:val="00EA77D0"/>
    <w:rsid w:val="00EB0114"/>
    <w:rsid w:val="00EB06A8"/>
    <w:rsid w:val="00EB1A50"/>
    <w:rsid w:val="00EB1B2B"/>
    <w:rsid w:val="00EB1D6A"/>
    <w:rsid w:val="00EB2279"/>
    <w:rsid w:val="00EB25C8"/>
    <w:rsid w:val="00EB25FE"/>
    <w:rsid w:val="00EB3C13"/>
    <w:rsid w:val="00EB5158"/>
    <w:rsid w:val="00EB6184"/>
    <w:rsid w:val="00EB689B"/>
    <w:rsid w:val="00EB6A55"/>
    <w:rsid w:val="00EB71A3"/>
    <w:rsid w:val="00EC020D"/>
    <w:rsid w:val="00EC0940"/>
    <w:rsid w:val="00EC2265"/>
    <w:rsid w:val="00EC35E8"/>
    <w:rsid w:val="00EC3949"/>
    <w:rsid w:val="00EC47F2"/>
    <w:rsid w:val="00EC669E"/>
    <w:rsid w:val="00EC710B"/>
    <w:rsid w:val="00EC72E8"/>
    <w:rsid w:val="00EC77F4"/>
    <w:rsid w:val="00EC792D"/>
    <w:rsid w:val="00ED1427"/>
    <w:rsid w:val="00ED1480"/>
    <w:rsid w:val="00ED1CFA"/>
    <w:rsid w:val="00ED23AA"/>
    <w:rsid w:val="00ED300F"/>
    <w:rsid w:val="00ED3079"/>
    <w:rsid w:val="00ED33C7"/>
    <w:rsid w:val="00ED34E5"/>
    <w:rsid w:val="00ED3535"/>
    <w:rsid w:val="00ED35E5"/>
    <w:rsid w:val="00ED5A1C"/>
    <w:rsid w:val="00ED6075"/>
    <w:rsid w:val="00ED623E"/>
    <w:rsid w:val="00ED6D37"/>
    <w:rsid w:val="00ED705C"/>
    <w:rsid w:val="00ED71A5"/>
    <w:rsid w:val="00EE0013"/>
    <w:rsid w:val="00EE099B"/>
    <w:rsid w:val="00EE0E65"/>
    <w:rsid w:val="00EE167C"/>
    <w:rsid w:val="00EE1DE9"/>
    <w:rsid w:val="00EE22FF"/>
    <w:rsid w:val="00EE2A5D"/>
    <w:rsid w:val="00EE2BCE"/>
    <w:rsid w:val="00EE2D24"/>
    <w:rsid w:val="00EE2DA7"/>
    <w:rsid w:val="00EE2DE5"/>
    <w:rsid w:val="00EE2E7B"/>
    <w:rsid w:val="00EE4053"/>
    <w:rsid w:val="00EE42C6"/>
    <w:rsid w:val="00EE4C74"/>
    <w:rsid w:val="00EE4CBD"/>
    <w:rsid w:val="00EE4E96"/>
    <w:rsid w:val="00EE5723"/>
    <w:rsid w:val="00EE6026"/>
    <w:rsid w:val="00EE6BF7"/>
    <w:rsid w:val="00EE73CB"/>
    <w:rsid w:val="00EE775E"/>
    <w:rsid w:val="00EF1EA4"/>
    <w:rsid w:val="00EF23D1"/>
    <w:rsid w:val="00EF2C86"/>
    <w:rsid w:val="00EF2CEE"/>
    <w:rsid w:val="00EF33DD"/>
    <w:rsid w:val="00EF3DDC"/>
    <w:rsid w:val="00EF4406"/>
    <w:rsid w:val="00EF558F"/>
    <w:rsid w:val="00EF5967"/>
    <w:rsid w:val="00EF64AD"/>
    <w:rsid w:val="00F00213"/>
    <w:rsid w:val="00F00569"/>
    <w:rsid w:val="00F00A81"/>
    <w:rsid w:val="00F0103A"/>
    <w:rsid w:val="00F0137E"/>
    <w:rsid w:val="00F01CAE"/>
    <w:rsid w:val="00F0376D"/>
    <w:rsid w:val="00F048AD"/>
    <w:rsid w:val="00F05A93"/>
    <w:rsid w:val="00F05B72"/>
    <w:rsid w:val="00F05C03"/>
    <w:rsid w:val="00F068AC"/>
    <w:rsid w:val="00F06929"/>
    <w:rsid w:val="00F06DED"/>
    <w:rsid w:val="00F07CE7"/>
    <w:rsid w:val="00F10D87"/>
    <w:rsid w:val="00F11FA7"/>
    <w:rsid w:val="00F1237A"/>
    <w:rsid w:val="00F138F9"/>
    <w:rsid w:val="00F13B74"/>
    <w:rsid w:val="00F1409C"/>
    <w:rsid w:val="00F142AD"/>
    <w:rsid w:val="00F157CA"/>
    <w:rsid w:val="00F1695C"/>
    <w:rsid w:val="00F16FB5"/>
    <w:rsid w:val="00F16FFD"/>
    <w:rsid w:val="00F171E4"/>
    <w:rsid w:val="00F20303"/>
    <w:rsid w:val="00F20C47"/>
    <w:rsid w:val="00F21333"/>
    <w:rsid w:val="00F213ED"/>
    <w:rsid w:val="00F21796"/>
    <w:rsid w:val="00F21DCE"/>
    <w:rsid w:val="00F223AB"/>
    <w:rsid w:val="00F2296F"/>
    <w:rsid w:val="00F22E8D"/>
    <w:rsid w:val="00F23E85"/>
    <w:rsid w:val="00F23F5A"/>
    <w:rsid w:val="00F25362"/>
    <w:rsid w:val="00F25461"/>
    <w:rsid w:val="00F25718"/>
    <w:rsid w:val="00F25CDC"/>
    <w:rsid w:val="00F25DCE"/>
    <w:rsid w:val="00F2674F"/>
    <w:rsid w:val="00F26E51"/>
    <w:rsid w:val="00F279AE"/>
    <w:rsid w:val="00F27DBE"/>
    <w:rsid w:val="00F27E5C"/>
    <w:rsid w:val="00F27FE2"/>
    <w:rsid w:val="00F30412"/>
    <w:rsid w:val="00F324EB"/>
    <w:rsid w:val="00F32CBE"/>
    <w:rsid w:val="00F33976"/>
    <w:rsid w:val="00F3454B"/>
    <w:rsid w:val="00F34867"/>
    <w:rsid w:val="00F36BB7"/>
    <w:rsid w:val="00F37154"/>
    <w:rsid w:val="00F3787E"/>
    <w:rsid w:val="00F37AF3"/>
    <w:rsid w:val="00F37B92"/>
    <w:rsid w:val="00F37E43"/>
    <w:rsid w:val="00F40B3F"/>
    <w:rsid w:val="00F40E27"/>
    <w:rsid w:val="00F41B5E"/>
    <w:rsid w:val="00F42635"/>
    <w:rsid w:val="00F42D49"/>
    <w:rsid w:val="00F439B0"/>
    <w:rsid w:val="00F44199"/>
    <w:rsid w:val="00F444EF"/>
    <w:rsid w:val="00F4481F"/>
    <w:rsid w:val="00F448A5"/>
    <w:rsid w:val="00F45845"/>
    <w:rsid w:val="00F4711C"/>
    <w:rsid w:val="00F475C4"/>
    <w:rsid w:val="00F47997"/>
    <w:rsid w:val="00F47EF3"/>
    <w:rsid w:val="00F50379"/>
    <w:rsid w:val="00F51704"/>
    <w:rsid w:val="00F525D0"/>
    <w:rsid w:val="00F53098"/>
    <w:rsid w:val="00F5320C"/>
    <w:rsid w:val="00F536B7"/>
    <w:rsid w:val="00F53945"/>
    <w:rsid w:val="00F53B57"/>
    <w:rsid w:val="00F541A7"/>
    <w:rsid w:val="00F5474E"/>
    <w:rsid w:val="00F54833"/>
    <w:rsid w:val="00F54A54"/>
    <w:rsid w:val="00F56512"/>
    <w:rsid w:val="00F56D63"/>
    <w:rsid w:val="00F57AF6"/>
    <w:rsid w:val="00F601A6"/>
    <w:rsid w:val="00F60810"/>
    <w:rsid w:val="00F61046"/>
    <w:rsid w:val="00F61C39"/>
    <w:rsid w:val="00F623A5"/>
    <w:rsid w:val="00F62733"/>
    <w:rsid w:val="00F62F29"/>
    <w:rsid w:val="00F63497"/>
    <w:rsid w:val="00F634C7"/>
    <w:rsid w:val="00F63D28"/>
    <w:rsid w:val="00F65625"/>
    <w:rsid w:val="00F660FA"/>
    <w:rsid w:val="00F66817"/>
    <w:rsid w:val="00F66A50"/>
    <w:rsid w:val="00F67207"/>
    <w:rsid w:val="00F674F8"/>
    <w:rsid w:val="00F67538"/>
    <w:rsid w:val="00F67886"/>
    <w:rsid w:val="00F67EE6"/>
    <w:rsid w:val="00F7056C"/>
    <w:rsid w:val="00F712E9"/>
    <w:rsid w:val="00F718FC"/>
    <w:rsid w:val="00F7210E"/>
    <w:rsid w:val="00F72423"/>
    <w:rsid w:val="00F72A1E"/>
    <w:rsid w:val="00F7312E"/>
    <w:rsid w:val="00F74B9D"/>
    <w:rsid w:val="00F75671"/>
    <w:rsid w:val="00F75B7D"/>
    <w:rsid w:val="00F7664E"/>
    <w:rsid w:val="00F76812"/>
    <w:rsid w:val="00F770B4"/>
    <w:rsid w:val="00F7795A"/>
    <w:rsid w:val="00F77FDD"/>
    <w:rsid w:val="00F77FE0"/>
    <w:rsid w:val="00F80FAD"/>
    <w:rsid w:val="00F813C7"/>
    <w:rsid w:val="00F81BF6"/>
    <w:rsid w:val="00F81F3F"/>
    <w:rsid w:val="00F8200D"/>
    <w:rsid w:val="00F82609"/>
    <w:rsid w:val="00F82BB7"/>
    <w:rsid w:val="00F83359"/>
    <w:rsid w:val="00F83C5B"/>
    <w:rsid w:val="00F84093"/>
    <w:rsid w:val="00F845C1"/>
    <w:rsid w:val="00F848F3"/>
    <w:rsid w:val="00F84961"/>
    <w:rsid w:val="00F84A37"/>
    <w:rsid w:val="00F858E7"/>
    <w:rsid w:val="00F86888"/>
    <w:rsid w:val="00F87134"/>
    <w:rsid w:val="00F879F9"/>
    <w:rsid w:val="00F90D24"/>
    <w:rsid w:val="00F90F1F"/>
    <w:rsid w:val="00F9194B"/>
    <w:rsid w:val="00F91A01"/>
    <w:rsid w:val="00F91E70"/>
    <w:rsid w:val="00F92762"/>
    <w:rsid w:val="00F93A11"/>
    <w:rsid w:val="00F93D0B"/>
    <w:rsid w:val="00F93F11"/>
    <w:rsid w:val="00F941B8"/>
    <w:rsid w:val="00F94295"/>
    <w:rsid w:val="00F94E2F"/>
    <w:rsid w:val="00F94E9C"/>
    <w:rsid w:val="00F95034"/>
    <w:rsid w:val="00F959B1"/>
    <w:rsid w:val="00F961E0"/>
    <w:rsid w:val="00F96A59"/>
    <w:rsid w:val="00F97317"/>
    <w:rsid w:val="00F9749D"/>
    <w:rsid w:val="00F97AE4"/>
    <w:rsid w:val="00FA0397"/>
    <w:rsid w:val="00FA1469"/>
    <w:rsid w:val="00FA1BCC"/>
    <w:rsid w:val="00FA2092"/>
    <w:rsid w:val="00FA248B"/>
    <w:rsid w:val="00FA2BA6"/>
    <w:rsid w:val="00FA2D6E"/>
    <w:rsid w:val="00FA312B"/>
    <w:rsid w:val="00FA3443"/>
    <w:rsid w:val="00FA35FE"/>
    <w:rsid w:val="00FA3924"/>
    <w:rsid w:val="00FA3DEA"/>
    <w:rsid w:val="00FA4009"/>
    <w:rsid w:val="00FA4532"/>
    <w:rsid w:val="00FA5421"/>
    <w:rsid w:val="00FA5A40"/>
    <w:rsid w:val="00FA6BF2"/>
    <w:rsid w:val="00FA7C97"/>
    <w:rsid w:val="00FA7D37"/>
    <w:rsid w:val="00FB0DDB"/>
    <w:rsid w:val="00FB10CB"/>
    <w:rsid w:val="00FB16E8"/>
    <w:rsid w:val="00FB18F5"/>
    <w:rsid w:val="00FB1A2C"/>
    <w:rsid w:val="00FB1EC7"/>
    <w:rsid w:val="00FB2C6D"/>
    <w:rsid w:val="00FB3142"/>
    <w:rsid w:val="00FB31A7"/>
    <w:rsid w:val="00FB41BD"/>
    <w:rsid w:val="00FB425E"/>
    <w:rsid w:val="00FB45C8"/>
    <w:rsid w:val="00FB468C"/>
    <w:rsid w:val="00FB4938"/>
    <w:rsid w:val="00FB5E44"/>
    <w:rsid w:val="00FB6B12"/>
    <w:rsid w:val="00FB6C34"/>
    <w:rsid w:val="00FB6C64"/>
    <w:rsid w:val="00FB7CA6"/>
    <w:rsid w:val="00FC076C"/>
    <w:rsid w:val="00FC0A7F"/>
    <w:rsid w:val="00FC0ADC"/>
    <w:rsid w:val="00FC0D51"/>
    <w:rsid w:val="00FC1179"/>
    <w:rsid w:val="00FC1A0A"/>
    <w:rsid w:val="00FC31E9"/>
    <w:rsid w:val="00FC33AA"/>
    <w:rsid w:val="00FC34EF"/>
    <w:rsid w:val="00FC3528"/>
    <w:rsid w:val="00FC3899"/>
    <w:rsid w:val="00FC5D77"/>
    <w:rsid w:val="00FC5F6D"/>
    <w:rsid w:val="00FC7362"/>
    <w:rsid w:val="00FC7B0E"/>
    <w:rsid w:val="00FD0708"/>
    <w:rsid w:val="00FD11AC"/>
    <w:rsid w:val="00FD2636"/>
    <w:rsid w:val="00FD2713"/>
    <w:rsid w:val="00FD2EF3"/>
    <w:rsid w:val="00FD303E"/>
    <w:rsid w:val="00FD35A8"/>
    <w:rsid w:val="00FD35DB"/>
    <w:rsid w:val="00FD3A21"/>
    <w:rsid w:val="00FD43AF"/>
    <w:rsid w:val="00FD462A"/>
    <w:rsid w:val="00FD4B70"/>
    <w:rsid w:val="00FD620A"/>
    <w:rsid w:val="00FD6EF0"/>
    <w:rsid w:val="00FD7BE6"/>
    <w:rsid w:val="00FD7F6E"/>
    <w:rsid w:val="00FE032E"/>
    <w:rsid w:val="00FE0713"/>
    <w:rsid w:val="00FE0825"/>
    <w:rsid w:val="00FE0847"/>
    <w:rsid w:val="00FE1FA6"/>
    <w:rsid w:val="00FE2334"/>
    <w:rsid w:val="00FE25A2"/>
    <w:rsid w:val="00FE293A"/>
    <w:rsid w:val="00FE2CD2"/>
    <w:rsid w:val="00FE2D69"/>
    <w:rsid w:val="00FE32CA"/>
    <w:rsid w:val="00FE3B74"/>
    <w:rsid w:val="00FE3C2C"/>
    <w:rsid w:val="00FE4045"/>
    <w:rsid w:val="00FE5A4D"/>
    <w:rsid w:val="00FE5EA4"/>
    <w:rsid w:val="00FE66A8"/>
    <w:rsid w:val="00FE6773"/>
    <w:rsid w:val="00FE69C2"/>
    <w:rsid w:val="00FE6C09"/>
    <w:rsid w:val="00FE6E98"/>
    <w:rsid w:val="00FE6EA3"/>
    <w:rsid w:val="00FE74D1"/>
    <w:rsid w:val="00FE757E"/>
    <w:rsid w:val="00FF00B5"/>
    <w:rsid w:val="00FF015F"/>
    <w:rsid w:val="00FF0A00"/>
    <w:rsid w:val="00FF10D2"/>
    <w:rsid w:val="00FF1262"/>
    <w:rsid w:val="00FF19A0"/>
    <w:rsid w:val="00FF1CB5"/>
    <w:rsid w:val="00FF3407"/>
    <w:rsid w:val="00FF3470"/>
    <w:rsid w:val="00FF371D"/>
    <w:rsid w:val="00FF4AED"/>
    <w:rsid w:val="00FF5390"/>
    <w:rsid w:val="00FF55A7"/>
    <w:rsid w:val="00FF5FF6"/>
    <w:rsid w:val="00FF6602"/>
    <w:rsid w:val="00FF6BF2"/>
    <w:rsid w:val="00FF7149"/>
    <w:rsid w:val="00FF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64DD5"/>
  <w15:docId w15:val="{814ACB77-709E-4AB6-88D7-59C6CFF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1DB5"/>
    <w:rPr>
      <w:sz w:val="24"/>
      <w:szCs w:val="24"/>
    </w:rPr>
  </w:style>
  <w:style w:type="paragraph" w:styleId="Heading1">
    <w:name w:val="heading 1"/>
    <w:basedOn w:val="Normal"/>
    <w:next w:val="Normal"/>
    <w:link w:val="Heading1Char"/>
    <w:autoRedefine/>
    <w:qFormat/>
    <w:rsid w:val="00BE0DBB"/>
    <w:pPr>
      <w:tabs>
        <w:tab w:val="left" w:pos="0"/>
        <w:tab w:val="left" w:pos="720"/>
      </w:tabs>
      <w:spacing w:line="360" w:lineRule="auto"/>
      <w:ind w:left="720"/>
      <w:jc w:val="center"/>
      <w:outlineLvl w:val="0"/>
    </w:pPr>
    <w:rPr>
      <w:rFonts w:ascii="Garamond" w:hAnsi="Garamond"/>
      <w:b/>
      <w:caps/>
      <w:sz w:val="32"/>
      <w:szCs w:val="32"/>
    </w:rPr>
  </w:style>
  <w:style w:type="paragraph" w:styleId="Heading2">
    <w:name w:val="heading 2"/>
    <w:basedOn w:val="Normal"/>
    <w:next w:val="Normal"/>
    <w:link w:val="Heading2Char"/>
    <w:autoRedefine/>
    <w:qFormat/>
    <w:rsid w:val="00AD2B9F"/>
    <w:pPr>
      <w:numPr>
        <w:numId w:val="6"/>
      </w:numPr>
      <w:spacing w:line="480" w:lineRule="exact"/>
      <w:jc w:val="both"/>
      <w:outlineLvl w:val="1"/>
    </w:pPr>
    <w:rPr>
      <w:rFonts w:ascii="Garamond" w:hAnsi="Garamond"/>
      <w:i/>
    </w:rPr>
  </w:style>
  <w:style w:type="paragraph" w:styleId="Heading3">
    <w:name w:val="heading 3"/>
    <w:basedOn w:val="Normal"/>
    <w:next w:val="Normal"/>
    <w:link w:val="Heading3Char"/>
    <w:qFormat/>
    <w:rsid w:val="001412F4"/>
    <w:pPr>
      <w:keepNext/>
      <w:spacing w:line="480" w:lineRule="exact"/>
      <w:ind w:left="720"/>
      <w:outlineLvl w:val="2"/>
    </w:pPr>
    <w:rPr>
      <w:b/>
    </w:rPr>
  </w:style>
  <w:style w:type="paragraph" w:styleId="Heading4">
    <w:name w:val="heading 4"/>
    <w:basedOn w:val="Normal"/>
    <w:next w:val="Normal"/>
    <w:link w:val="Heading4Char"/>
    <w:rsid w:val="00046B5A"/>
    <w:pPr>
      <w:keepNext/>
      <w:keepLines/>
      <w:ind w:left="720" w:hanging="806"/>
      <w:jc w:val="center"/>
      <w:outlineLvl w:val="3"/>
    </w:pPr>
    <w:rPr>
      <w:b/>
      <w:snapToGrid w:val="0"/>
      <w:color w:val="000000"/>
    </w:rPr>
  </w:style>
  <w:style w:type="paragraph" w:styleId="Heading5">
    <w:name w:val="heading 5"/>
    <w:basedOn w:val="Normal"/>
    <w:next w:val="Normal"/>
    <w:link w:val="Heading5Char"/>
    <w:rsid w:val="00046B5A"/>
    <w:pPr>
      <w:keepNext/>
      <w:keepLines/>
      <w:ind w:left="720" w:hanging="806"/>
      <w:jc w:val="both"/>
      <w:outlineLvl w:val="4"/>
    </w:pPr>
    <w:rPr>
      <w:b/>
      <w:snapToGrid w:val="0"/>
      <w:color w:val="000000"/>
    </w:rPr>
  </w:style>
  <w:style w:type="paragraph" w:styleId="Heading6">
    <w:name w:val="heading 6"/>
    <w:basedOn w:val="Normal"/>
    <w:next w:val="Normal"/>
    <w:link w:val="Heading6Char"/>
    <w:rsid w:val="00046B5A"/>
    <w:pPr>
      <w:keepNext/>
      <w:spacing w:line="480" w:lineRule="auto"/>
      <w:ind w:left="900" w:hanging="720"/>
      <w:jc w:val="both"/>
      <w:outlineLvl w:val="5"/>
    </w:pPr>
    <w:rPr>
      <w:b/>
      <w:noProof/>
    </w:rPr>
  </w:style>
  <w:style w:type="paragraph" w:styleId="Heading7">
    <w:name w:val="heading 7"/>
    <w:basedOn w:val="Normal"/>
    <w:next w:val="Normal"/>
    <w:link w:val="Heading7Char"/>
    <w:rsid w:val="00046B5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exact"/>
      <w:ind w:left="720" w:hanging="806"/>
      <w:jc w:val="center"/>
      <w:outlineLvl w:val="6"/>
    </w:pPr>
    <w:rPr>
      <w:b/>
      <w:noProof/>
      <w:color w:val="0000FF"/>
    </w:rPr>
  </w:style>
  <w:style w:type="paragraph" w:styleId="Heading8">
    <w:name w:val="heading 8"/>
    <w:basedOn w:val="Normal"/>
    <w:next w:val="Normal"/>
    <w:link w:val="Heading8Char"/>
    <w:rsid w:val="00046B5A"/>
    <w:pPr>
      <w:keepNext/>
      <w:ind w:left="720" w:hanging="806"/>
      <w:jc w:val="both"/>
      <w:outlineLvl w:val="7"/>
    </w:pPr>
    <w:rPr>
      <w:b/>
      <w:noProof/>
      <w:snapToGrid w:val="0"/>
    </w:rPr>
  </w:style>
  <w:style w:type="paragraph" w:styleId="Heading9">
    <w:name w:val="heading 9"/>
    <w:basedOn w:val="Normal"/>
    <w:next w:val="Normal"/>
    <w:link w:val="Heading9Char"/>
    <w:qFormat/>
    <w:rsid w:val="00DB6943"/>
    <w:pPr>
      <w:keepNext/>
      <w:jc w:val="center"/>
      <w:outlineLvl w:val="8"/>
    </w:pPr>
    <w:rPr>
      <w:b/>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E0DBB"/>
    <w:rPr>
      <w:rFonts w:ascii="Garamond" w:hAnsi="Garamond"/>
      <w:b/>
      <w:caps/>
      <w:sz w:val="32"/>
      <w:szCs w:val="32"/>
      <w:lang w:eastAsia="en-US"/>
    </w:rPr>
  </w:style>
  <w:style w:type="character" w:customStyle="1" w:styleId="Heading2Char">
    <w:name w:val="Heading 2 Char"/>
    <w:link w:val="Heading2"/>
    <w:locked/>
    <w:rsid w:val="00AD2B9F"/>
    <w:rPr>
      <w:rFonts w:ascii="Garamond" w:hAnsi="Garamond"/>
      <w:i/>
      <w:sz w:val="24"/>
      <w:szCs w:val="24"/>
    </w:rPr>
  </w:style>
  <w:style w:type="character" w:styleId="LineNumber">
    <w:name w:val="line number"/>
    <w:basedOn w:val="DefaultParagraphFont"/>
    <w:rsid w:val="00046B5A"/>
  </w:style>
  <w:style w:type="paragraph" w:styleId="Header">
    <w:name w:val="header"/>
    <w:basedOn w:val="Normal"/>
    <w:link w:val="HeaderChar"/>
    <w:rsid w:val="00046B5A"/>
    <w:pPr>
      <w:tabs>
        <w:tab w:val="center" w:pos="4320"/>
        <w:tab w:val="right" w:pos="8640"/>
      </w:tabs>
    </w:pPr>
  </w:style>
  <w:style w:type="paragraph" w:styleId="Footer">
    <w:name w:val="footer"/>
    <w:basedOn w:val="Normal"/>
    <w:link w:val="FooterChar"/>
    <w:uiPriority w:val="99"/>
    <w:rsid w:val="00046B5A"/>
    <w:pPr>
      <w:tabs>
        <w:tab w:val="center" w:pos="4320"/>
        <w:tab w:val="right" w:pos="8640"/>
      </w:tabs>
    </w:pPr>
  </w:style>
  <w:style w:type="character" w:customStyle="1" w:styleId="FooterChar">
    <w:name w:val="Footer Char"/>
    <w:link w:val="Footer"/>
    <w:uiPriority w:val="99"/>
    <w:locked/>
    <w:rsid w:val="00AB4FC3"/>
    <w:rPr>
      <w:sz w:val="24"/>
      <w:lang w:val="en-US" w:eastAsia="en-US" w:bidi="ar-SA"/>
    </w:rPr>
  </w:style>
  <w:style w:type="character" w:styleId="PageNumber">
    <w:name w:val="page number"/>
    <w:basedOn w:val="DefaultParagraphFont"/>
    <w:rsid w:val="00046B5A"/>
  </w:style>
  <w:style w:type="paragraph" w:styleId="TOC1">
    <w:name w:val="toc 1"/>
    <w:basedOn w:val="Normal"/>
    <w:next w:val="Normal"/>
    <w:autoRedefine/>
    <w:uiPriority w:val="39"/>
    <w:rsid w:val="00E36AFD"/>
    <w:pPr>
      <w:tabs>
        <w:tab w:val="left" w:pos="720"/>
        <w:tab w:val="right" w:leader="dot" w:pos="9350"/>
      </w:tabs>
      <w:spacing w:before="120" w:after="120"/>
      <w:ind w:left="720" w:right="576" w:hanging="720"/>
    </w:pPr>
    <w:rPr>
      <w:rFonts w:ascii="Garamond" w:hAnsi="Garamond"/>
    </w:rPr>
  </w:style>
  <w:style w:type="paragraph" w:styleId="TOC2">
    <w:name w:val="toc 2"/>
    <w:basedOn w:val="Normal"/>
    <w:next w:val="Normal"/>
    <w:autoRedefine/>
    <w:uiPriority w:val="39"/>
    <w:rsid w:val="00F66817"/>
    <w:pPr>
      <w:tabs>
        <w:tab w:val="right" w:leader="dot" w:pos="9350"/>
      </w:tabs>
      <w:ind w:left="720" w:right="576"/>
    </w:pPr>
    <w:rPr>
      <w:rFonts w:ascii="Garamond" w:hAnsi="Garamond"/>
      <w:i/>
      <w:sz w:val="20"/>
    </w:rPr>
  </w:style>
  <w:style w:type="paragraph" w:styleId="TOC3">
    <w:name w:val="toc 3"/>
    <w:basedOn w:val="Normal"/>
    <w:next w:val="Normal"/>
    <w:autoRedefine/>
    <w:semiHidden/>
    <w:rsid w:val="00046B5A"/>
    <w:pPr>
      <w:ind w:left="480"/>
    </w:pPr>
    <w:rPr>
      <w:i/>
      <w:sz w:val="20"/>
    </w:rPr>
  </w:style>
  <w:style w:type="paragraph" w:styleId="TOC4">
    <w:name w:val="toc 4"/>
    <w:basedOn w:val="Normal"/>
    <w:next w:val="Normal"/>
    <w:autoRedefine/>
    <w:semiHidden/>
    <w:rsid w:val="00046B5A"/>
    <w:pPr>
      <w:ind w:left="720"/>
    </w:pPr>
    <w:rPr>
      <w:sz w:val="18"/>
    </w:rPr>
  </w:style>
  <w:style w:type="paragraph" w:styleId="TOC5">
    <w:name w:val="toc 5"/>
    <w:basedOn w:val="Normal"/>
    <w:next w:val="Normal"/>
    <w:autoRedefine/>
    <w:semiHidden/>
    <w:rsid w:val="00046B5A"/>
    <w:pPr>
      <w:ind w:left="960"/>
    </w:pPr>
    <w:rPr>
      <w:sz w:val="18"/>
    </w:rPr>
  </w:style>
  <w:style w:type="paragraph" w:styleId="TOC6">
    <w:name w:val="toc 6"/>
    <w:basedOn w:val="Normal"/>
    <w:next w:val="Normal"/>
    <w:autoRedefine/>
    <w:semiHidden/>
    <w:rsid w:val="00046B5A"/>
    <w:pPr>
      <w:ind w:left="1200"/>
    </w:pPr>
    <w:rPr>
      <w:sz w:val="18"/>
    </w:rPr>
  </w:style>
  <w:style w:type="paragraph" w:styleId="TOC7">
    <w:name w:val="toc 7"/>
    <w:basedOn w:val="Normal"/>
    <w:next w:val="Normal"/>
    <w:autoRedefine/>
    <w:semiHidden/>
    <w:rsid w:val="00046B5A"/>
    <w:pPr>
      <w:ind w:left="1440"/>
    </w:pPr>
    <w:rPr>
      <w:sz w:val="18"/>
    </w:rPr>
  </w:style>
  <w:style w:type="paragraph" w:styleId="TOC8">
    <w:name w:val="toc 8"/>
    <w:basedOn w:val="Normal"/>
    <w:next w:val="Normal"/>
    <w:autoRedefine/>
    <w:semiHidden/>
    <w:rsid w:val="00046B5A"/>
    <w:pPr>
      <w:ind w:left="1680"/>
    </w:pPr>
    <w:rPr>
      <w:sz w:val="18"/>
    </w:rPr>
  </w:style>
  <w:style w:type="paragraph" w:styleId="TOC9">
    <w:name w:val="toc 9"/>
    <w:basedOn w:val="Normal"/>
    <w:next w:val="Normal"/>
    <w:autoRedefine/>
    <w:semiHidden/>
    <w:rsid w:val="00046B5A"/>
    <w:pPr>
      <w:ind w:left="1920"/>
    </w:pPr>
    <w:rPr>
      <w:sz w:val="18"/>
    </w:rPr>
  </w:style>
  <w:style w:type="character" w:styleId="FootnoteReference">
    <w:name w:val="footnote reference"/>
    <w:aliases w:val="o"/>
    <w:uiPriority w:val="99"/>
    <w:rsid w:val="00046B5A"/>
    <w:rPr>
      <w:vertAlign w:val="superscript"/>
    </w:rPr>
  </w:style>
  <w:style w:type="paragraph" w:styleId="FootnoteText">
    <w:name w:val="footnote text"/>
    <w:aliases w:val="Footnote Text Char3 Char,Footnote Text Char2 Char Char,Footnote Text Char1 Char Char Char,Footnote Text Char Char Char Char Char,Footnote Text Char Char1 Char Char,Footnote Text Char1 Char1 Char,ALTS FOOTNOTE,fn,Footnote Text Char1"/>
    <w:basedOn w:val="Normal"/>
    <w:link w:val="FootnoteTextChar"/>
    <w:uiPriority w:val="99"/>
    <w:rsid w:val="00F1695C"/>
    <w:rPr>
      <w:rFonts w:ascii="Garamond" w:hAnsi="Garamond"/>
      <w:sz w:val="20"/>
    </w:rPr>
  </w:style>
  <w:style w:type="character" w:customStyle="1" w:styleId="FootnoteTextChar">
    <w:name w:val="Footnote Text Char"/>
    <w:aliases w:val="Footnote Text Char3 Char Char,Footnote Text Char2 Char Char Char,Footnote Text Char1 Char Char Char Char,Footnote Text Char Char Char Char Char Char,Footnote Text Char Char1 Char Char Char,Footnote Text Char1 Char1 Char Char,fn Char"/>
    <w:link w:val="FootnoteText"/>
    <w:uiPriority w:val="99"/>
    <w:locked/>
    <w:rsid w:val="00F1695C"/>
    <w:rPr>
      <w:rFonts w:ascii="Garamond" w:hAnsi="Garamond"/>
    </w:rPr>
  </w:style>
  <w:style w:type="paragraph" w:styleId="BlockText">
    <w:name w:val="Block Text"/>
    <w:basedOn w:val="Normal"/>
    <w:rsid w:val="00046B5A"/>
    <w:pPr>
      <w:spacing w:line="480" w:lineRule="exact"/>
      <w:ind w:left="720" w:hanging="720"/>
      <w:jc w:val="both"/>
    </w:pPr>
  </w:style>
  <w:style w:type="paragraph" w:styleId="List">
    <w:name w:val="List"/>
    <w:basedOn w:val="Normal"/>
    <w:rsid w:val="00046B5A"/>
    <w:pPr>
      <w:ind w:left="360" w:hanging="360"/>
    </w:pPr>
  </w:style>
  <w:style w:type="paragraph" w:styleId="List2">
    <w:name w:val="List 2"/>
    <w:basedOn w:val="Normal"/>
    <w:rsid w:val="00046B5A"/>
    <w:pPr>
      <w:ind w:left="720" w:hanging="360"/>
    </w:pPr>
  </w:style>
  <w:style w:type="paragraph" w:styleId="Date">
    <w:name w:val="Date"/>
    <w:basedOn w:val="Normal"/>
    <w:next w:val="Normal"/>
    <w:link w:val="DateChar"/>
    <w:rsid w:val="00046B5A"/>
  </w:style>
  <w:style w:type="paragraph" w:styleId="BodyText">
    <w:name w:val="Body Text"/>
    <w:basedOn w:val="Normal"/>
    <w:link w:val="BodyTextChar"/>
    <w:rsid w:val="00046B5A"/>
    <w:pPr>
      <w:jc w:val="both"/>
    </w:pPr>
  </w:style>
  <w:style w:type="paragraph" w:styleId="ListBullet2">
    <w:name w:val="List Bullet 2"/>
    <w:basedOn w:val="Normal"/>
    <w:autoRedefine/>
    <w:rsid w:val="00046B5A"/>
    <w:pPr>
      <w:numPr>
        <w:numId w:val="1"/>
      </w:numPr>
      <w:tabs>
        <w:tab w:val="left" w:pos="1800"/>
      </w:tabs>
      <w:spacing w:line="480" w:lineRule="auto"/>
    </w:pPr>
  </w:style>
  <w:style w:type="paragraph" w:customStyle="1" w:styleId="Style1">
    <w:name w:val="Style1"/>
    <w:basedOn w:val="Heading1"/>
    <w:rsid w:val="00046B5A"/>
    <w:pPr>
      <w:jc w:val="left"/>
    </w:pPr>
  </w:style>
  <w:style w:type="paragraph" w:styleId="Caption">
    <w:name w:val="caption"/>
    <w:basedOn w:val="Normal"/>
    <w:next w:val="Normal"/>
    <w:rsid w:val="001412F4"/>
    <w:pPr>
      <w:spacing w:before="120" w:after="120"/>
      <w:jc w:val="center"/>
    </w:pPr>
    <w:rPr>
      <w:b/>
    </w:rPr>
  </w:style>
  <w:style w:type="paragraph" w:styleId="BodyTextIndent">
    <w:name w:val="Body Text Indent"/>
    <w:basedOn w:val="Normal"/>
    <w:link w:val="BodyTextIndentChar"/>
    <w:rsid w:val="00046B5A"/>
    <w:pPr>
      <w:ind w:firstLine="720"/>
      <w:jc w:val="both"/>
    </w:pPr>
  </w:style>
  <w:style w:type="paragraph" w:styleId="Title">
    <w:name w:val="Title"/>
    <w:basedOn w:val="Normal"/>
    <w:link w:val="TitleChar"/>
    <w:rsid w:val="00046B5A"/>
    <w:pPr>
      <w:jc w:val="center"/>
    </w:pPr>
    <w:rPr>
      <w:b/>
      <w:sz w:val="32"/>
    </w:rPr>
  </w:style>
  <w:style w:type="paragraph" w:customStyle="1" w:styleId="AttorneyName">
    <w:name w:val="Attorney Name"/>
    <w:basedOn w:val="Normal"/>
    <w:rsid w:val="006C1F65"/>
    <w:pPr>
      <w:spacing w:line="212" w:lineRule="exact"/>
    </w:pPr>
    <w:rPr>
      <w:sz w:val="16"/>
    </w:rPr>
  </w:style>
  <w:style w:type="table" w:styleId="TableGrid">
    <w:name w:val="Table Grid"/>
    <w:basedOn w:val="TableNormal"/>
    <w:uiPriority w:val="39"/>
    <w:rsid w:val="00467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12F4"/>
    <w:pPr>
      <w:ind w:left="720"/>
    </w:pPr>
  </w:style>
  <w:style w:type="paragraph" w:customStyle="1" w:styleId="AZAnswer">
    <w:name w:val="AZ Answer"/>
    <w:basedOn w:val="Normal"/>
    <w:next w:val="AZBody"/>
    <w:link w:val="AZAnswerChar"/>
    <w:qFormat/>
    <w:rsid w:val="0026789E"/>
    <w:pPr>
      <w:spacing w:line="480" w:lineRule="exact"/>
      <w:ind w:left="720" w:hanging="720"/>
      <w:jc w:val="both"/>
    </w:pPr>
    <w:rPr>
      <w:rFonts w:ascii="Garamond" w:hAnsi="Garamond"/>
    </w:rPr>
  </w:style>
  <w:style w:type="paragraph" w:customStyle="1" w:styleId="AZBody">
    <w:name w:val="AZ Body"/>
    <w:basedOn w:val="Answer"/>
    <w:link w:val="AZBodyChar"/>
    <w:qFormat/>
    <w:rsid w:val="0026789E"/>
    <w:pPr>
      <w:spacing w:after="0" w:line="480" w:lineRule="exact"/>
      <w:ind w:firstLine="0"/>
      <w:jc w:val="both"/>
    </w:pPr>
    <w:rPr>
      <w:rFonts w:ascii="Garamond" w:hAnsi="Garamond"/>
      <w:szCs w:val="24"/>
    </w:rPr>
  </w:style>
  <w:style w:type="character" w:customStyle="1" w:styleId="AZBodyChar">
    <w:name w:val="AZ Body Char"/>
    <w:link w:val="AZBody"/>
    <w:locked/>
    <w:rsid w:val="0026789E"/>
    <w:rPr>
      <w:rFonts w:ascii="Garamond" w:hAnsi="Garamond"/>
      <w:sz w:val="24"/>
      <w:szCs w:val="24"/>
    </w:rPr>
  </w:style>
  <w:style w:type="character" w:customStyle="1" w:styleId="AZAnswerChar">
    <w:name w:val="AZ Answer Char"/>
    <w:link w:val="AZAnswer"/>
    <w:locked/>
    <w:rsid w:val="0026789E"/>
    <w:rPr>
      <w:rFonts w:ascii="Garamond" w:hAnsi="Garamond"/>
      <w:sz w:val="24"/>
      <w:szCs w:val="24"/>
    </w:rPr>
  </w:style>
  <w:style w:type="paragraph" w:customStyle="1" w:styleId="AZQuestion">
    <w:name w:val="AZ Question"/>
    <w:basedOn w:val="Normal"/>
    <w:next w:val="AZAnswer"/>
    <w:link w:val="AZQuestionChar"/>
    <w:qFormat/>
    <w:rsid w:val="0026789E"/>
    <w:pPr>
      <w:spacing w:line="480" w:lineRule="exact"/>
      <w:ind w:left="720" w:hanging="720"/>
      <w:jc w:val="both"/>
    </w:pPr>
    <w:rPr>
      <w:rFonts w:ascii="Garamond" w:hAnsi="Garamond"/>
      <w:b/>
    </w:rPr>
  </w:style>
  <w:style w:type="character" w:customStyle="1" w:styleId="AZQuestionChar">
    <w:name w:val="AZ Question Char"/>
    <w:link w:val="AZQuestion"/>
    <w:locked/>
    <w:rsid w:val="0026789E"/>
    <w:rPr>
      <w:rFonts w:ascii="Garamond" w:hAnsi="Garamond"/>
      <w:b/>
      <w:sz w:val="24"/>
      <w:szCs w:val="24"/>
    </w:rPr>
  </w:style>
  <w:style w:type="paragraph" w:styleId="BodyTextIndent2">
    <w:name w:val="Body Text Indent 2"/>
    <w:basedOn w:val="Normal"/>
    <w:link w:val="BodyTextIndent2Char"/>
    <w:rsid w:val="00AB4FC3"/>
    <w:pPr>
      <w:ind w:left="1440"/>
    </w:pPr>
  </w:style>
  <w:style w:type="paragraph" w:styleId="BodyTextIndent3">
    <w:name w:val="Body Text Indent 3"/>
    <w:basedOn w:val="Normal"/>
    <w:link w:val="BodyTextIndent3Char"/>
    <w:rsid w:val="00AB4FC3"/>
    <w:pPr>
      <w:ind w:firstLine="720"/>
    </w:pPr>
  </w:style>
  <w:style w:type="paragraph" w:customStyle="1" w:styleId="Question">
    <w:name w:val="Question"/>
    <w:basedOn w:val="Answer"/>
    <w:next w:val="Answer"/>
    <w:rsid w:val="00AB4FC3"/>
    <w:pPr>
      <w:keepNext/>
      <w:keepLines/>
    </w:pPr>
    <w:rPr>
      <w:b/>
    </w:rPr>
  </w:style>
  <w:style w:type="paragraph" w:customStyle="1" w:styleId="Answer">
    <w:name w:val="Answer"/>
    <w:next w:val="Question"/>
    <w:rsid w:val="00AB4FC3"/>
    <w:pPr>
      <w:spacing w:after="160" w:line="360" w:lineRule="auto"/>
      <w:ind w:left="720" w:hanging="720"/>
    </w:pPr>
    <w:rPr>
      <w:sz w:val="24"/>
    </w:rPr>
  </w:style>
  <w:style w:type="paragraph" w:customStyle="1" w:styleId="question0">
    <w:name w:val="question"/>
    <w:basedOn w:val="Normal"/>
    <w:rsid w:val="00AB4FC3"/>
    <w:pPr>
      <w:spacing w:line="480" w:lineRule="auto"/>
    </w:pPr>
    <w:rPr>
      <w:rFonts w:ascii="Arial" w:hAnsi="Arial" w:cs="Arial"/>
      <w:b/>
    </w:rPr>
  </w:style>
  <w:style w:type="paragraph" w:styleId="EndnoteText">
    <w:name w:val="endnote text"/>
    <w:basedOn w:val="Normal"/>
    <w:link w:val="EndnoteTextChar"/>
    <w:semiHidden/>
    <w:rsid w:val="00AB4FC3"/>
    <w:rPr>
      <w:sz w:val="20"/>
    </w:rPr>
  </w:style>
  <w:style w:type="character" w:customStyle="1" w:styleId="EndnoteTextChar">
    <w:name w:val="Endnote Text Char"/>
    <w:link w:val="EndnoteText"/>
    <w:semiHidden/>
    <w:locked/>
    <w:rsid w:val="00AB4FC3"/>
    <w:rPr>
      <w:lang w:val="en-US" w:eastAsia="en-US" w:bidi="ar-SA"/>
    </w:rPr>
  </w:style>
  <w:style w:type="paragraph" w:customStyle="1" w:styleId="NormalArial">
    <w:name w:val="Normal + Arial"/>
    <w:aliases w:val="Bold,Justified,Left:  0&quot;,Hanging:  0.5&quot;,Line spacing:  Do..."/>
    <w:basedOn w:val="Normal"/>
    <w:rsid w:val="00AB4FC3"/>
    <w:pPr>
      <w:spacing w:line="480" w:lineRule="auto"/>
      <w:ind w:left="720" w:hanging="720"/>
      <w:jc w:val="both"/>
    </w:pPr>
    <w:rPr>
      <w:rFonts w:ascii="Arial" w:hAnsi="Arial" w:cs="Arial"/>
      <w:b/>
    </w:rPr>
  </w:style>
  <w:style w:type="character" w:styleId="Emphasis">
    <w:name w:val="Emphasis"/>
    <w:rsid w:val="00AB4FC3"/>
    <w:rPr>
      <w:rFonts w:cs="Times New Roman"/>
      <w:i/>
      <w:iCs/>
    </w:rPr>
  </w:style>
  <w:style w:type="paragraph" w:styleId="Quote">
    <w:name w:val="Quote"/>
    <w:basedOn w:val="Normal"/>
    <w:next w:val="Normal"/>
    <w:link w:val="QuoteChar"/>
    <w:uiPriority w:val="29"/>
    <w:qFormat/>
    <w:rsid w:val="00BC461A"/>
    <w:pPr>
      <w:spacing w:after="240"/>
      <w:ind w:left="1440" w:right="720"/>
      <w:jc w:val="both"/>
    </w:pPr>
    <w:rPr>
      <w:rFonts w:ascii="Garamond" w:hAnsi="Garamond"/>
      <w:iCs/>
      <w:color w:val="000000"/>
    </w:rPr>
  </w:style>
  <w:style w:type="character" w:customStyle="1" w:styleId="QuoteChar">
    <w:name w:val="Quote Char"/>
    <w:link w:val="Quote"/>
    <w:uiPriority w:val="29"/>
    <w:locked/>
    <w:rsid w:val="00BC461A"/>
    <w:rPr>
      <w:rFonts w:ascii="Garamond" w:hAnsi="Garamond"/>
      <w:iCs/>
      <w:color w:val="000000"/>
      <w:sz w:val="24"/>
    </w:rPr>
  </w:style>
  <w:style w:type="paragraph" w:customStyle="1" w:styleId="BulletList">
    <w:name w:val="Bullet List"/>
    <w:basedOn w:val="Normal"/>
    <w:link w:val="BulletListChar"/>
    <w:qFormat/>
    <w:rsid w:val="00F97317"/>
    <w:pPr>
      <w:numPr>
        <w:numId w:val="3"/>
      </w:numPr>
      <w:spacing w:after="240"/>
      <w:ind w:left="1440" w:hanging="720"/>
      <w:jc w:val="both"/>
    </w:pPr>
  </w:style>
  <w:style w:type="character" w:customStyle="1" w:styleId="BulletListChar">
    <w:name w:val="Bullet List Char"/>
    <w:link w:val="BulletList"/>
    <w:locked/>
    <w:rsid w:val="00F97317"/>
    <w:rPr>
      <w:sz w:val="24"/>
      <w:szCs w:val="24"/>
    </w:rPr>
  </w:style>
  <w:style w:type="paragraph" w:customStyle="1" w:styleId="NumList">
    <w:name w:val="Num List"/>
    <w:basedOn w:val="Normal"/>
    <w:link w:val="NumListChar"/>
    <w:rsid w:val="00AB4FC3"/>
    <w:pPr>
      <w:spacing w:before="240" w:after="240" w:line="480" w:lineRule="exact"/>
      <w:ind w:left="1440" w:hanging="720"/>
      <w:jc w:val="both"/>
    </w:pPr>
  </w:style>
  <w:style w:type="character" w:customStyle="1" w:styleId="NumListChar">
    <w:name w:val="Num List Char"/>
    <w:link w:val="NumList"/>
    <w:locked/>
    <w:rsid w:val="00AB4FC3"/>
    <w:rPr>
      <w:sz w:val="24"/>
      <w:lang w:val="en-US" w:eastAsia="en-US" w:bidi="ar-SA"/>
    </w:rPr>
  </w:style>
  <w:style w:type="paragraph" w:customStyle="1" w:styleId="PAQuestion">
    <w:name w:val="PA Question"/>
    <w:basedOn w:val="Normal"/>
    <w:next w:val="PAAnswer"/>
    <w:link w:val="PAQuestionChar"/>
    <w:rsid w:val="00AB4FC3"/>
    <w:pPr>
      <w:autoSpaceDE w:val="0"/>
      <w:autoSpaceDN w:val="0"/>
      <w:adjustRightInd w:val="0"/>
      <w:spacing w:line="480" w:lineRule="auto"/>
      <w:ind w:left="720" w:hanging="720"/>
    </w:pPr>
    <w:rPr>
      <w:b/>
    </w:rPr>
  </w:style>
  <w:style w:type="paragraph" w:customStyle="1" w:styleId="PAAnswer">
    <w:name w:val="PA Answer"/>
    <w:basedOn w:val="Normal"/>
    <w:next w:val="Normal"/>
    <w:link w:val="PAAnswerChar"/>
    <w:rsid w:val="00AB4FC3"/>
    <w:pPr>
      <w:autoSpaceDE w:val="0"/>
      <w:autoSpaceDN w:val="0"/>
      <w:adjustRightInd w:val="0"/>
      <w:spacing w:line="480" w:lineRule="auto"/>
      <w:ind w:left="720" w:hanging="720"/>
    </w:pPr>
  </w:style>
  <w:style w:type="character" w:customStyle="1" w:styleId="PAAnswerChar">
    <w:name w:val="PA Answer Char"/>
    <w:link w:val="PAAnswer"/>
    <w:locked/>
    <w:rsid w:val="00AB4FC3"/>
    <w:rPr>
      <w:sz w:val="24"/>
      <w:szCs w:val="24"/>
      <w:lang w:val="en-US" w:eastAsia="en-US" w:bidi="ar-SA"/>
    </w:rPr>
  </w:style>
  <w:style w:type="character" w:customStyle="1" w:styleId="PAQuestionChar">
    <w:name w:val="PA Question Char"/>
    <w:link w:val="PAQuestion"/>
    <w:locked/>
    <w:rsid w:val="00AB4FC3"/>
    <w:rPr>
      <w:b/>
      <w:sz w:val="24"/>
      <w:szCs w:val="24"/>
      <w:lang w:val="en-US" w:eastAsia="en-US" w:bidi="ar-SA"/>
    </w:rPr>
  </w:style>
  <w:style w:type="paragraph" w:customStyle="1" w:styleId="PABulletList">
    <w:name w:val="PABulletList"/>
    <w:basedOn w:val="ListParagraph"/>
    <w:link w:val="PABulletListChar"/>
    <w:rsid w:val="00056DAA"/>
    <w:pPr>
      <w:numPr>
        <w:numId w:val="2"/>
      </w:numPr>
      <w:spacing w:after="200"/>
      <w:contextualSpacing/>
      <w:jc w:val="both"/>
    </w:pPr>
    <w:rPr>
      <w:rFonts w:ascii="Garamond" w:hAnsi="Garamond"/>
    </w:rPr>
  </w:style>
  <w:style w:type="character" w:customStyle="1" w:styleId="PABulletListChar">
    <w:name w:val="PABulletList Char"/>
    <w:link w:val="PABulletList"/>
    <w:locked/>
    <w:rsid w:val="00056DAA"/>
    <w:rPr>
      <w:rFonts w:ascii="Garamond" w:hAnsi="Garamond"/>
      <w:sz w:val="24"/>
      <w:szCs w:val="24"/>
    </w:rPr>
  </w:style>
  <w:style w:type="paragraph" w:customStyle="1" w:styleId="TURNB">
    <w:name w:val="TURN B"/>
    <w:basedOn w:val="Normal"/>
    <w:next w:val="Normal"/>
    <w:link w:val="TURNBChar"/>
    <w:rsid w:val="00AB4FC3"/>
    <w:pPr>
      <w:spacing w:line="480" w:lineRule="auto"/>
      <w:ind w:left="720" w:firstLine="720"/>
    </w:pPr>
    <w:rPr>
      <w:rFonts w:ascii="Arial" w:hAnsi="Arial"/>
    </w:rPr>
  </w:style>
  <w:style w:type="character" w:customStyle="1" w:styleId="TURNBChar">
    <w:name w:val="TURN B Char"/>
    <w:link w:val="TURNB"/>
    <w:locked/>
    <w:rsid w:val="00AB4FC3"/>
    <w:rPr>
      <w:rFonts w:ascii="Arial" w:hAnsi="Arial"/>
      <w:sz w:val="24"/>
      <w:szCs w:val="24"/>
      <w:lang w:val="en-US" w:eastAsia="en-US" w:bidi="ar-SA"/>
    </w:rPr>
  </w:style>
  <w:style w:type="paragraph" w:customStyle="1" w:styleId="PSEQ">
    <w:name w:val="PSE Q"/>
    <w:basedOn w:val="Answer"/>
    <w:next w:val="Normal"/>
    <w:link w:val="PSEQChar"/>
    <w:rsid w:val="00AB4FC3"/>
    <w:pPr>
      <w:spacing w:before="120" w:after="120" w:line="480" w:lineRule="auto"/>
    </w:pPr>
    <w:rPr>
      <w:b/>
      <w:lang w:eastAsia="zh-CN"/>
    </w:rPr>
  </w:style>
  <w:style w:type="character" w:customStyle="1" w:styleId="PSEQChar">
    <w:name w:val="PSE Q Char"/>
    <w:link w:val="PSEQ"/>
    <w:locked/>
    <w:rsid w:val="00AB4FC3"/>
    <w:rPr>
      <w:b/>
      <w:sz w:val="24"/>
      <w:lang w:val="en-US" w:eastAsia="zh-CN" w:bidi="ar-SA"/>
    </w:rPr>
  </w:style>
  <w:style w:type="character" w:customStyle="1" w:styleId="Heading3Char">
    <w:name w:val="Heading 3 Char"/>
    <w:link w:val="Heading3"/>
    <w:rsid w:val="001412F4"/>
    <w:rPr>
      <w:b/>
      <w:sz w:val="24"/>
    </w:rPr>
  </w:style>
  <w:style w:type="paragraph" w:customStyle="1" w:styleId="WVAns">
    <w:name w:val="WV Ans"/>
    <w:basedOn w:val="Normal"/>
    <w:next w:val="Normal"/>
    <w:link w:val="WVAnsChar"/>
    <w:rsid w:val="00DB6943"/>
    <w:pPr>
      <w:spacing w:line="480" w:lineRule="auto"/>
      <w:ind w:left="720" w:hanging="720"/>
    </w:pPr>
  </w:style>
  <w:style w:type="character" w:customStyle="1" w:styleId="WVAnsChar">
    <w:name w:val="WV Ans Char"/>
    <w:link w:val="WVAns"/>
    <w:locked/>
    <w:rsid w:val="00DB6943"/>
    <w:rPr>
      <w:sz w:val="24"/>
      <w:szCs w:val="24"/>
    </w:rPr>
  </w:style>
  <w:style w:type="paragraph" w:customStyle="1" w:styleId="WVBody">
    <w:name w:val="WV Body"/>
    <w:basedOn w:val="Normal"/>
    <w:next w:val="Normal"/>
    <w:link w:val="WVBodyChar"/>
    <w:rsid w:val="00F171E4"/>
    <w:pPr>
      <w:spacing w:line="480" w:lineRule="auto"/>
      <w:ind w:left="720" w:firstLine="720"/>
    </w:pPr>
  </w:style>
  <w:style w:type="character" w:customStyle="1" w:styleId="WVBodyChar">
    <w:name w:val="WV Body Char"/>
    <w:link w:val="WVBody"/>
    <w:locked/>
    <w:rsid w:val="00F171E4"/>
    <w:rPr>
      <w:sz w:val="24"/>
      <w:szCs w:val="24"/>
    </w:rPr>
  </w:style>
  <w:style w:type="paragraph" w:customStyle="1" w:styleId="AZBody2">
    <w:name w:val="AZ Body2"/>
    <w:basedOn w:val="Answer"/>
    <w:link w:val="AZBody2Char"/>
    <w:qFormat/>
    <w:rsid w:val="001412F4"/>
    <w:pPr>
      <w:spacing w:after="0" w:line="480" w:lineRule="auto"/>
      <w:ind w:firstLine="0"/>
      <w:jc w:val="both"/>
    </w:pPr>
    <w:rPr>
      <w:szCs w:val="24"/>
    </w:rPr>
  </w:style>
  <w:style w:type="character" w:customStyle="1" w:styleId="AZBody2Char">
    <w:name w:val="AZ Body2 Char"/>
    <w:link w:val="AZBody2"/>
    <w:rsid w:val="001412F4"/>
    <w:rPr>
      <w:rFonts w:ascii="Garamond" w:hAnsi="Garamond"/>
      <w:sz w:val="24"/>
      <w:szCs w:val="24"/>
    </w:rPr>
  </w:style>
  <w:style w:type="paragraph" w:styleId="NoSpacing">
    <w:name w:val="No Spacing"/>
    <w:link w:val="NoSpacingChar"/>
    <w:uiPriority w:val="1"/>
    <w:rsid w:val="00821A2C"/>
    <w:rPr>
      <w:sz w:val="24"/>
    </w:rPr>
  </w:style>
  <w:style w:type="paragraph" w:customStyle="1" w:styleId="AZ-Summ">
    <w:name w:val="AZ - Summ"/>
    <w:basedOn w:val="Normal"/>
    <w:link w:val="AZ-SummChar"/>
    <w:qFormat/>
    <w:rsid w:val="00BF28CE"/>
    <w:pPr>
      <w:jc w:val="both"/>
    </w:pPr>
  </w:style>
  <w:style w:type="paragraph" w:customStyle="1" w:styleId="AZNumList">
    <w:name w:val="AZ Num List"/>
    <w:basedOn w:val="NumList"/>
    <w:link w:val="AZNumListChar"/>
    <w:qFormat/>
    <w:rsid w:val="001412F4"/>
    <w:pPr>
      <w:numPr>
        <w:numId w:val="5"/>
      </w:numPr>
      <w:spacing w:before="120" w:after="120" w:line="360" w:lineRule="auto"/>
    </w:pPr>
  </w:style>
  <w:style w:type="character" w:customStyle="1" w:styleId="NoSpacingChar">
    <w:name w:val="No Spacing Char"/>
    <w:link w:val="NoSpacing"/>
    <w:uiPriority w:val="1"/>
    <w:rsid w:val="00C64950"/>
    <w:rPr>
      <w:sz w:val="24"/>
      <w:lang w:val="en-US" w:eastAsia="en-US" w:bidi="ar-SA"/>
    </w:rPr>
  </w:style>
  <w:style w:type="character" w:customStyle="1" w:styleId="AZ-SummChar">
    <w:name w:val="AZ - Summ Char"/>
    <w:link w:val="AZ-Summ"/>
    <w:rsid w:val="00C64950"/>
    <w:rPr>
      <w:sz w:val="24"/>
      <w:lang w:val="en-US" w:eastAsia="en-US" w:bidi="ar-SA"/>
    </w:rPr>
  </w:style>
  <w:style w:type="character" w:customStyle="1" w:styleId="BodyTextChar">
    <w:name w:val="Body Text Char"/>
    <w:link w:val="BodyText"/>
    <w:rsid w:val="007873C5"/>
    <w:rPr>
      <w:sz w:val="24"/>
    </w:rPr>
  </w:style>
  <w:style w:type="character" w:customStyle="1" w:styleId="BodyTextIndentChar">
    <w:name w:val="Body Text Indent Char"/>
    <w:link w:val="BodyTextIndent"/>
    <w:rsid w:val="007873C5"/>
    <w:rPr>
      <w:sz w:val="24"/>
    </w:rPr>
  </w:style>
  <w:style w:type="character" w:customStyle="1" w:styleId="AZNumListChar">
    <w:name w:val="AZ Num List Char"/>
    <w:link w:val="AZNumList"/>
    <w:rsid w:val="001412F4"/>
    <w:rPr>
      <w:sz w:val="24"/>
      <w:szCs w:val="24"/>
    </w:rPr>
  </w:style>
  <w:style w:type="numbering" w:customStyle="1" w:styleId="AG-DR">
    <w:name w:val="AG-DR"/>
    <w:uiPriority w:val="99"/>
    <w:rsid w:val="00FB6B12"/>
  </w:style>
  <w:style w:type="paragraph" w:customStyle="1" w:styleId="AZ-Bullet">
    <w:name w:val="AZ-Bullet"/>
    <w:basedOn w:val="Quote"/>
    <w:link w:val="AZ-BulletChar"/>
    <w:qFormat/>
    <w:rsid w:val="00FB6B12"/>
    <w:pPr>
      <w:numPr>
        <w:numId w:val="4"/>
      </w:numPr>
    </w:pPr>
  </w:style>
  <w:style w:type="character" w:customStyle="1" w:styleId="AZ-BulletChar">
    <w:name w:val="AZ-Bullet Char"/>
    <w:link w:val="AZ-Bullet"/>
    <w:rsid w:val="00FB6B12"/>
    <w:rPr>
      <w:rFonts w:ascii="Garamond" w:hAnsi="Garamond"/>
      <w:iCs/>
      <w:color w:val="000000"/>
      <w:sz w:val="24"/>
      <w:szCs w:val="24"/>
    </w:rPr>
  </w:style>
  <w:style w:type="paragraph" w:styleId="BalloonText">
    <w:name w:val="Balloon Text"/>
    <w:basedOn w:val="Normal"/>
    <w:link w:val="BalloonTextChar"/>
    <w:rsid w:val="00D507FD"/>
    <w:rPr>
      <w:rFonts w:ascii="Tahoma" w:hAnsi="Tahoma" w:cs="Tahoma"/>
      <w:sz w:val="16"/>
      <w:szCs w:val="16"/>
    </w:rPr>
  </w:style>
  <w:style w:type="character" w:customStyle="1" w:styleId="BalloonTextChar">
    <w:name w:val="Balloon Text Char"/>
    <w:link w:val="BalloonText"/>
    <w:rsid w:val="00D507FD"/>
    <w:rPr>
      <w:rFonts w:ascii="Tahoma" w:hAnsi="Tahoma" w:cs="Tahoma"/>
      <w:sz w:val="16"/>
      <w:szCs w:val="16"/>
    </w:rPr>
  </w:style>
  <w:style w:type="paragraph" w:customStyle="1" w:styleId="AZ-Quote">
    <w:name w:val="AZ-Quote"/>
    <w:basedOn w:val="AZBody"/>
    <w:link w:val="AZ-QuoteChar"/>
    <w:qFormat/>
    <w:rsid w:val="004D279A"/>
    <w:pPr>
      <w:spacing w:before="120" w:after="240" w:line="240" w:lineRule="auto"/>
      <w:ind w:left="1440" w:right="720"/>
    </w:pPr>
  </w:style>
  <w:style w:type="character" w:customStyle="1" w:styleId="HeaderChar">
    <w:name w:val="Header Char"/>
    <w:link w:val="Header"/>
    <w:rsid w:val="005431A5"/>
    <w:rPr>
      <w:sz w:val="24"/>
    </w:rPr>
  </w:style>
  <w:style w:type="character" w:customStyle="1" w:styleId="AZ-QuoteChar">
    <w:name w:val="AZ-Quote Char"/>
    <w:link w:val="AZ-Quote"/>
    <w:rsid w:val="004D279A"/>
    <w:rPr>
      <w:rFonts w:ascii="Garamond" w:hAnsi="Garamond"/>
      <w:sz w:val="24"/>
      <w:szCs w:val="24"/>
    </w:rPr>
  </w:style>
  <w:style w:type="paragraph" w:customStyle="1" w:styleId="AttachmentList">
    <w:name w:val="AttachmentList"/>
    <w:basedOn w:val="TOC2"/>
    <w:link w:val="AttachmentListChar"/>
    <w:qFormat/>
    <w:rsid w:val="001412F4"/>
    <w:pPr>
      <w:tabs>
        <w:tab w:val="clear" w:pos="9350"/>
        <w:tab w:val="right" w:leader="dot" w:pos="9360"/>
      </w:tabs>
      <w:spacing w:after="80"/>
      <w:ind w:left="0"/>
    </w:pPr>
    <w:rPr>
      <w:i w:val="0"/>
      <w:noProof/>
    </w:rPr>
  </w:style>
  <w:style w:type="character" w:customStyle="1" w:styleId="AttachmentListChar">
    <w:name w:val="AttachmentList Char"/>
    <w:link w:val="AttachmentList"/>
    <w:rsid w:val="001412F4"/>
    <w:rPr>
      <w:rFonts w:ascii="Garamond" w:hAnsi="Garamond"/>
      <w:i/>
      <w:noProof/>
    </w:rPr>
  </w:style>
  <w:style w:type="paragraph" w:customStyle="1" w:styleId="DCAns">
    <w:name w:val="DC Ans"/>
    <w:basedOn w:val="Normal"/>
    <w:next w:val="Normal"/>
    <w:link w:val="DCAnsChar"/>
    <w:rsid w:val="001412F4"/>
    <w:pPr>
      <w:widowControl w:val="0"/>
      <w:tabs>
        <w:tab w:val="left" w:pos="720"/>
        <w:tab w:val="left" w:pos="4680"/>
      </w:tabs>
      <w:suppressAutoHyphens/>
      <w:spacing w:line="480" w:lineRule="auto"/>
      <w:ind w:left="720" w:hanging="720"/>
      <w:jc w:val="both"/>
    </w:pPr>
    <w:rPr>
      <w:snapToGrid w:val="0"/>
    </w:rPr>
  </w:style>
  <w:style w:type="character" w:customStyle="1" w:styleId="DCAnsChar">
    <w:name w:val="DC Ans Char"/>
    <w:link w:val="DCAns"/>
    <w:rsid w:val="001412F4"/>
    <w:rPr>
      <w:snapToGrid w:val="0"/>
      <w:sz w:val="24"/>
      <w:szCs w:val="24"/>
    </w:rPr>
  </w:style>
  <w:style w:type="paragraph" w:customStyle="1" w:styleId="AZ-ExSum-List">
    <w:name w:val="AZ-ExSum-List"/>
    <w:basedOn w:val="Normal"/>
    <w:link w:val="AZ-ExSum-ListChar"/>
    <w:qFormat/>
    <w:rsid w:val="00E7530A"/>
    <w:pPr>
      <w:spacing w:after="120"/>
      <w:ind w:left="720" w:hanging="720"/>
      <w:jc w:val="both"/>
    </w:pPr>
  </w:style>
  <w:style w:type="character" w:styleId="CommentReference">
    <w:name w:val="annotation reference"/>
    <w:uiPriority w:val="99"/>
    <w:unhideWhenUsed/>
    <w:rsid w:val="00E7530A"/>
    <w:rPr>
      <w:sz w:val="16"/>
      <w:szCs w:val="16"/>
    </w:rPr>
  </w:style>
  <w:style w:type="character" w:customStyle="1" w:styleId="AZ-ExSum-ListChar">
    <w:name w:val="AZ-ExSum-List Char"/>
    <w:link w:val="AZ-ExSum-List"/>
    <w:rsid w:val="00E7530A"/>
    <w:rPr>
      <w:sz w:val="24"/>
      <w:szCs w:val="24"/>
    </w:rPr>
  </w:style>
  <w:style w:type="paragraph" w:styleId="CommentText">
    <w:name w:val="annotation text"/>
    <w:basedOn w:val="Normal"/>
    <w:link w:val="CommentTextChar"/>
    <w:uiPriority w:val="99"/>
    <w:unhideWhenUsed/>
    <w:rsid w:val="00E7530A"/>
    <w:rPr>
      <w:sz w:val="20"/>
    </w:rPr>
  </w:style>
  <w:style w:type="character" w:customStyle="1" w:styleId="CommentTextChar">
    <w:name w:val="Comment Text Char"/>
    <w:basedOn w:val="DefaultParagraphFont"/>
    <w:link w:val="CommentText"/>
    <w:uiPriority w:val="99"/>
    <w:rsid w:val="00E7530A"/>
  </w:style>
  <w:style w:type="paragraph" w:customStyle="1" w:styleId="SettlementHeading">
    <w:name w:val="Settlement Heading"/>
    <w:basedOn w:val="Heading1"/>
    <w:link w:val="SettlementHeadingChar"/>
    <w:qFormat/>
    <w:rsid w:val="004D3915"/>
    <w:pPr>
      <w:spacing w:after="120" w:line="240" w:lineRule="auto"/>
      <w:ind w:hanging="720"/>
    </w:pPr>
  </w:style>
  <w:style w:type="character" w:customStyle="1" w:styleId="SettlementHeadingChar">
    <w:name w:val="Settlement Heading Char"/>
    <w:link w:val="SettlementHeading"/>
    <w:rsid w:val="004D3915"/>
    <w:rPr>
      <w:rFonts w:ascii="Garamond" w:hAnsi="Garamond"/>
      <w:b/>
      <w:caps/>
      <w:sz w:val="24"/>
    </w:rPr>
  </w:style>
  <w:style w:type="paragraph" w:styleId="CommentSubject">
    <w:name w:val="annotation subject"/>
    <w:basedOn w:val="CommentText"/>
    <w:next w:val="CommentText"/>
    <w:link w:val="CommentSubjectChar"/>
    <w:semiHidden/>
    <w:unhideWhenUsed/>
    <w:rsid w:val="007A27BD"/>
    <w:rPr>
      <w:b/>
      <w:bCs/>
    </w:rPr>
  </w:style>
  <w:style w:type="character" w:customStyle="1" w:styleId="CommentSubjectChar">
    <w:name w:val="Comment Subject Char"/>
    <w:link w:val="CommentSubject"/>
    <w:semiHidden/>
    <w:rsid w:val="007A27BD"/>
    <w:rPr>
      <w:b/>
      <w:bCs/>
    </w:rPr>
  </w:style>
  <w:style w:type="paragraph" w:styleId="Revision">
    <w:name w:val="Revision"/>
    <w:hidden/>
    <w:uiPriority w:val="99"/>
    <w:semiHidden/>
    <w:rsid w:val="00101A19"/>
    <w:rPr>
      <w:sz w:val="24"/>
    </w:rPr>
  </w:style>
  <w:style w:type="paragraph" w:customStyle="1" w:styleId="Body">
    <w:name w:val="Body"/>
    <w:rsid w:val="005F6015"/>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EndnoteReference">
    <w:name w:val="endnote reference"/>
    <w:semiHidden/>
    <w:unhideWhenUsed/>
    <w:rsid w:val="0096756D"/>
    <w:rPr>
      <w:vertAlign w:val="superscript"/>
    </w:rPr>
  </w:style>
  <w:style w:type="paragraph" w:styleId="NormalWeb">
    <w:name w:val="Normal (Web)"/>
    <w:basedOn w:val="Normal"/>
    <w:uiPriority w:val="99"/>
    <w:semiHidden/>
    <w:unhideWhenUsed/>
    <w:rsid w:val="001D263C"/>
    <w:pPr>
      <w:spacing w:before="100" w:beforeAutospacing="1" w:after="100" w:afterAutospacing="1"/>
    </w:pPr>
  </w:style>
  <w:style w:type="character" w:customStyle="1" w:styleId="Heading4Char">
    <w:name w:val="Heading 4 Char"/>
    <w:link w:val="Heading4"/>
    <w:rsid w:val="00B63A60"/>
    <w:rPr>
      <w:b/>
      <w:snapToGrid w:val="0"/>
      <w:color w:val="000000"/>
      <w:sz w:val="24"/>
      <w:lang w:eastAsia="en-US"/>
    </w:rPr>
  </w:style>
  <w:style w:type="character" w:customStyle="1" w:styleId="Heading5Char">
    <w:name w:val="Heading 5 Char"/>
    <w:link w:val="Heading5"/>
    <w:rsid w:val="00B63A60"/>
    <w:rPr>
      <w:b/>
      <w:snapToGrid w:val="0"/>
      <w:color w:val="000000"/>
      <w:sz w:val="24"/>
      <w:lang w:eastAsia="en-US"/>
    </w:rPr>
  </w:style>
  <w:style w:type="character" w:customStyle="1" w:styleId="Heading6Char">
    <w:name w:val="Heading 6 Char"/>
    <w:link w:val="Heading6"/>
    <w:rsid w:val="00B63A60"/>
    <w:rPr>
      <w:b/>
      <w:noProof/>
      <w:sz w:val="24"/>
      <w:lang w:eastAsia="en-US"/>
    </w:rPr>
  </w:style>
  <w:style w:type="character" w:customStyle="1" w:styleId="Heading7Char">
    <w:name w:val="Heading 7 Char"/>
    <w:link w:val="Heading7"/>
    <w:rsid w:val="00B63A60"/>
    <w:rPr>
      <w:b/>
      <w:noProof/>
      <w:color w:val="0000FF"/>
      <w:sz w:val="24"/>
      <w:lang w:eastAsia="en-US"/>
    </w:rPr>
  </w:style>
  <w:style w:type="character" w:customStyle="1" w:styleId="Heading8Char">
    <w:name w:val="Heading 8 Char"/>
    <w:link w:val="Heading8"/>
    <w:rsid w:val="00B63A60"/>
    <w:rPr>
      <w:b/>
      <w:noProof/>
      <w:snapToGrid w:val="0"/>
      <w:sz w:val="24"/>
      <w:lang w:eastAsia="en-US"/>
    </w:rPr>
  </w:style>
  <w:style w:type="character" w:customStyle="1" w:styleId="Heading9Char">
    <w:name w:val="Heading 9 Char"/>
    <w:link w:val="Heading9"/>
    <w:rsid w:val="00B63A60"/>
    <w:rPr>
      <w:b/>
      <w:caps/>
      <w:sz w:val="24"/>
      <w:u w:val="single"/>
      <w:lang w:eastAsia="en-US"/>
    </w:rPr>
  </w:style>
  <w:style w:type="character" w:customStyle="1" w:styleId="DateChar">
    <w:name w:val="Date Char"/>
    <w:link w:val="Date"/>
    <w:rsid w:val="00B63A60"/>
    <w:rPr>
      <w:sz w:val="24"/>
      <w:lang w:eastAsia="en-US"/>
    </w:rPr>
  </w:style>
  <w:style w:type="character" w:customStyle="1" w:styleId="TitleChar">
    <w:name w:val="Title Char"/>
    <w:link w:val="Title"/>
    <w:rsid w:val="00B63A60"/>
    <w:rPr>
      <w:b/>
      <w:sz w:val="32"/>
      <w:lang w:eastAsia="en-US"/>
    </w:rPr>
  </w:style>
  <w:style w:type="character" w:customStyle="1" w:styleId="BodyTextIndent2Char">
    <w:name w:val="Body Text Indent 2 Char"/>
    <w:link w:val="BodyTextIndent2"/>
    <w:rsid w:val="00B63A60"/>
    <w:rPr>
      <w:sz w:val="24"/>
      <w:lang w:eastAsia="en-US"/>
    </w:rPr>
  </w:style>
  <w:style w:type="character" w:customStyle="1" w:styleId="BodyTextIndent3Char">
    <w:name w:val="Body Text Indent 3 Char"/>
    <w:link w:val="BodyTextIndent3"/>
    <w:rsid w:val="00B63A60"/>
    <w:rPr>
      <w:sz w:val="24"/>
      <w:lang w:eastAsia="en-US"/>
    </w:rPr>
  </w:style>
  <w:style w:type="numbering" w:customStyle="1" w:styleId="AG-DR1">
    <w:name w:val="AG-DR1"/>
    <w:uiPriority w:val="99"/>
    <w:rsid w:val="00B63A60"/>
    <w:pPr>
      <w:numPr>
        <w:numId w:val="3"/>
      </w:numPr>
    </w:pPr>
  </w:style>
  <w:style w:type="character" w:customStyle="1" w:styleId="apple-converted-space">
    <w:name w:val="apple-converted-space"/>
    <w:rsid w:val="00564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6526">
      <w:bodyDiv w:val="1"/>
      <w:marLeft w:val="0"/>
      <w:marRight w:val="0"/>
      <w:marTop w:val="0"/>
      <w:marBottom w:val="0"/>
      <w:divBdr>
        <w:top w:val="none" w:sz="0" w:space="0" w:color="auto"/>
        <w:left w:val="none" w:sz="0" w:space="0" w:color="auto"/>
        <w:bottom w:val="none" w:sz="0" w:space="0" w:color="auto"/>
        <w:right w:val="none" w:sz="0" w:space="0" w:color="auto"/>
      </w:divBdr>
    </w:div>
    <w:div w:id="231156649">
      <w:bodyDiv w:val="1"/>
      <w:marLeft w:val="0"/>
      <w:marRight w:val="0"/>
      <w:marTop w:val="0"/>
      <w:marBottom w:val="0"/>
      <w:divBdr>
        <w:top w:val="none" w:sz="0" w:space="0" w:color="auto"/>
        <w:left w:val="none" w:sz="0" w:space="0" w:color="auto"/>
        <w:bottom w:val="none" w:sz="0" w:space="0" w:color="auto"/>
        <w:right w:val="none" w:sz="0" w:space="0" w:color="auto"/>
      </w:divBdr>
    </w:div>
    <w:div w:id="238441491">
      <w:bodyDiv w:val="1"/>
      <w:marLeft w:val="0"/>
      <w:marRight w:val="0"/>
      <w:marTop w:val="0"/>
      <w:marBottom w:val="0"/>
      <w:divBdr>
        <w:top w:val="none" w:sz="0" w:space="0" w:color="auto"/>
        <w:left w:val="none" w:sz="0" w:space="0" w:color="auto"/>
        <w:bottom w:val="none" w:sz="0" w:space="0" w:color="auto"/>
        <w:right w:val="none" w:sz="0" w:space="0" w:color="auto"/>
      </w:divBdr>
    </w:div>
    <w:div w:id="261647538">
      <w:bodyDiv w:val="1"/>
      <w:marLeft w:val="0"/>
      <w:marRight w:val="0"/>
      <w:marTop w:val="0"/>
      <w:marBottom w:val="0"/>
      <w:divBdr>
        <w:top w:val="none" w:sz="0" w:space="0" w:color="auto"/>
        <w:left w:val="none" w:sz="0" w:space="0" w:color="auto"/>
        <w:bottom w:val="none" w:sz="0" w:space="0" w:color="auto"/>
        <w:right w:val="none" w:sz="0" w:space="0" w:color="auto"/>
      </w:divBdr>
    </w:div>
    <w:div w:id="270014127">
      <w:bodyDiv w:val="1"/>
      <w:marLeft w:val="0"/>
      <w:marRight w:val="0"/>
      <w:marTop w:val="0"/>
      <w:marBottom w:val="0"/>
      <w:divBdr>
        <w:top w:val="none" w:sz="0" w:space="0" w:color="auto"/>
        <w:left w:val="none" w:sz="0" w:space="0" w:color="auto"/>
        <w:bottom w:val="none" w:sz="0" w:space="0" w:color="auto"/>
        <w:right w:val="none" w:sz="0" w:space="0" w:color="auto"/>
      </w:divBdr>
    </w:div>
    <w:div w:id="294485591">
      <w:bodyDiv w:val="1"/>
      <w:marLeft w:val="0"/>
      <w:marRight w:val="0"/>
      <w:marTop w:val="0"/>
      <w:marBottom w:val="0"/>
      <w:divBdr>
        <w:top w:val="none" w:sz="0" w:space="0" w:color="auto"/>
        <w:left w:val="none" w:sz="0" w:space="0" w:color="auto"/>
        <w:bottom w:val="none" w:sz="0" w:space="0" w:color="auto"/>
        <w:right w:val="none" w:sz="0" w:space="0" w:color="auto"/>
      </w:divBdr>
      <w:divsChild>
        <w:div w:id="1531334026">
          <w:marLeft w:val="0"/>
          <w:marRight w:val="0"/>
          <w:marTop w:val="0"/>
          <w:marBottom w:val="150"/>
          <w:divBdr>
            <w:top w:val="none" w:sz="0" w:space="0" w:color="auto"/>
            <w:left w:val="none" w:sz="0" w:space="0" w:color="auto"/>
            <w:bottom w:val="none" w:sz="0" w:space="0" w:color="auto"/>
            <w:right w:val="none" w:sz="0" w:space="0" w:color="auto"/>
          </w:divBdr>
          <w:divsChild>
            <w:div w:id="20018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97636">
      <w:bodyDiv w:val="1"/>
      <w:marLeft w:val="0"/>
      <w:marRight w:val="0"/>
      <w:marTop w:val="0"/>
      <w:marBottom w:val="0"/>
      <w:divBdr>
        <w:top w:val="none" w:sz="0" w:space="0" w:color="auto"/>
        <w:left w:val="none" w:sz="0" w:space="0" w:color="auto"/>
        <w:bottom w:val="none" w:sz="0" w:space="0" w:color="auto"/>
        <w:right w:val="none" w:sz="0" w:space="0" w:color="auto"/>
      </w:divBdr>
    </w:div>
    <w:div w:id="355693500">
      <w:bodyDiv w:val="1"/>
      <w:marLeft w:val="0"/>
      <w:marRight w:val="0"/>
      <w:marTop w:val="0"/>
      <w:marBottom w:val="0"/>
      <w:divBdr>
        <w:top w:val="none" w:sz="0" w:space="0" w:color="auto"/>
        <w:left w:val="none" w:sz="0" w:space="0" w:color="auto"/>
        <w:bottom w:val="none" w:sz="0" w:space="0" w:color="auto"/>
        <w:right w:val="none" w:sz="0" w:space="0" w:color="auto"/>
      </w:divBdr>
    </w:div>
    <w:div w:id="472911347">
      <w:bodyDiv w:val="1"/>
      <w:marLeft w:val="0"/>
      <w:marRight w:val="0"/>
      <w:marTop w:val="0"/>
      <w:marBottom w:val="0"/>
      <w:divBdr>
        <w:top w:val="none" w:sz="0" w:space="0" w:color="auto"/>
        <w:left w:val="none" w:sz="0" w:space="0" w:color="auto"/>
        <w:bottom w:val="none" w:sz="0" w:space="0" w:color="auto"/>
        <w:right w:val="none" w:sz="0" w:space="0" w:color="auto"/>
      </w:divBdr>
    </w:div>
    <w:div w:id="479689842">
      <w:bodyDiv w:val="1"/>
      <w:marLeft w:val="0"/>
      <w:marRight w:val="0"/>
      <w:marTop w:val="0"/>
      <w:marBottom w:val="0"/>
      <w:divBdr>
        <w:top w:val="none" w:sz="0" w:space="0" w:color="auto"/>
        <w:left w:val="none" w:sz="0" w:space="0" w:color="auto"/>
        <w:bottom w:val="none" w:sz="0" w:space="0" w:color="auto"/>
        <w:right w:val="none" w:sz="0" w:space="0" w:color="auto"/>
      </w:divBdr>
    </w:div>
    <w:div w:id="481240769">
      <w:bodyDiv w:val="1"/>
      <w:marLeft w:val="0"/>
      <w:marRight w:val="0"/>
      <w:marTop w:val="0"/>
      <w:marBottom w:val="0"/>
      <w:divBdr>
        <w:top w:val="none" w:sz="0" w:space="0" w:color="auto"/>
        <w:left w:val="none" w:sz="0" w:space="0" w:color="auto"/>
        <w:bottom w:val="none" w:sz="0" w:space="0" w:color="auto"/>
        <w:right w:val="none" w:sz="0" w:space="0" w:color="auto"/>
      </w:divBdr>
    </w:div>
    <w:div w:id="490296612">
      <w:bodyDiv w:val="1"/>
      <w:marLeft w:val="0"/>
      <w:marRight w:val="0"/>
      <w:marTop w:val="0"/>
      <w:marBottom w:val="0"/>
      <w:divBdr>
        <w:top w:val="none" w:sz="0" w:space="0" w:color="auto"/>
        <w:left w:val="none" w:sz="0" w:space="0" w:color="auto"/>
        <w:bottom w:val="none" w:sz="0" w:space="0" w:color="auto"/>
        <w:right w:val="none" w:sz="0" w:space="0" w:color="auto"/>
      </w:divBdr>
    </w:div>
    <w:div w:id="588580761">
      <w:bodyDiv w:val="1"/>
      <w:marLeft w:val="0"/>
      <w:marRight w:val="0"/>
      <w:marTop w:val="0"/>
      <w:marBottom w:val="0"/>
      <w:divBdr>
        <w:top w:val="none" w:sz="0" w:space="0" w:color="auto"/>
        <w:left w:val="none" w:sz="0" w:space="0" w:color="auto"/>
        <w:bottom w:val="none" w:sz="0" w:space="0" w:color="auto"/>
        <w:right w:val="none" w:sz="0" w:space="0" w:color="auto"/>
      </w:divBdr>
    </w:div>
    <w:div w:id="592474174">
      <w:bodyDiv w:val="1"/>
      <w:marLeft w:val="0"/>
      <w:marRight w:val="0"/>
      <w:marTop w:val="0"/>
      <w:marBottom w:val="0"/>
      <w:divBdr>
        <w:top w:val="none" w:sz="0" w:space="0" w:color="auto"/>
        <w:left w:val="none" w:sz="0" w:space="0" w:color="auto"/>
        <w:bottom w:val="none" w:sz="0" w:space="0" w:color="auto"/>
        <w:right w:val="none" w:sz="0" w:space="0" w:color="auto"/>
      </w:divBdr>
    </w:div>
    <w:div w:id="602032002">
      <w:bodyDiv w:val="1"/>
      <w:marLeft w:val="0"/>
      <w:marRight w:val="0"/>
      <w:marTop w:val="0"/>
      <w:marBottom w:val="0"/>
      <w:divBdr>
        <w:top w:val="none" w:sz="0" w:space="0" w:color="auto"/>
        <w:left w:val="none" w:sz="0" w:space="0" w:color="auto"/>
        <w:bottom w:val="none" w:sz="0" w:space="0" w:color="auto"/>
        <w:right w:val="none" w:sz="0" w:space="0" w:color="auto"/>
      </w:divBdr>
    </w:div>
    <w:div w:id="612438080">
      <w:bodyDiv w:val="1"/>
      <w:marLeft w:val="0"/>
      <w:marRight w:val="0"/>
      <w:marTop w:val="0"/>
      <w:marBottom w:val="0"/>
      <w:divBdr>
        <w:top w:val="none" w:sz="0" w:space="0" w:color="auto"/>
        <w:left w:val="none" w:sz="0" w:space="0" w:color="auto"/>
        <w:bottom w:val="none" w:sz="0" w:space="0" w:color="auto"/>
        <w:right w:val="none" w:sz="0" w:space="0" w:color="auto"/>
      </w:divBdr>
    </w:div>
    <w:div w:id="800071598">
      <w:bodyDiv w:val="1"/>
      <w:marLeft w:val="0"/>
      <w:marRight w:val="0"/>
      <w:marTop w:val="0"/>
      <w:marBottom w:val="0"/>
      <w:divBdr>
        <w:top w:val="none" w:sz="0" w:space="0" w:color="auto"/>
        <w:left w:val="none" w:sz="0" w:space="0" w:color="auto"/>
        <w:bottom w:val="none" w:sz="0" w:space="0" w:color="auto"/>
        <w:right w:val="none" w:sz="0" w:space="0" w:color="auto"/>
      </w:divBdr>
    </w:div>
    <w:div w:id="802966374">
      <w:bodyDiv w:val="1"/>
      <w:marLeft w:val="0"/>
      <w:marRight w:val="0"/>
      <w:marTop w:val="0"/>
      <w:marBottom w:val="0"/>
      <w:divBdr>
        <w:top w:val="none" w:sz="0" w:space="0" w:color="auto"/>
        <w:left w:val="none" w:sz="0" w:space="0" w:color="auto"/>
        <w:bottom w:val="none" w:sz="0" w:space="0" w:color="auto"/>
        <w:right w:val="none" w:sz="0" w:space="0" w:color="auto"/>
      </w:divBdr>
    </w:div>
    <w:div w:id="816412197">
      <w:bodyDiv w:val="1"/>
      <w:marLeft w:val="0"/>
      <w:marRight w:val="0"/>
      <w:marTop w:val="0"/>
      <w:marBottom w:val="0"/>
      <w:divBdr>
        <w:top w:val="none" w:sz="0" w:space="0" w:color="auto"/>
        <w:left w:val="none" w:sz="0" w:space="0" w:color="auto"/>
        <w:bottom w:val="none" w:sz="0" w:space="0" w:color="auto"/>
        <w:right w:val="none" w:sz="0" w:space="0" w:color="auto"/>
      </w:divBdr>
    </w:div>
    <w:div w:id="829947977">
      <w:bodyDiv w:val="1"/>
      <w:marLeft w:val="0"/>
      <w:marRight w:val="0"/>
      <w:marTop w:val="0"/>
      <w:marBottom w:val="0"/>
      <w:divBdr>
        <w:top w:val="none" w:sz="0" w:space="0" w:color="auto"/>
        <w:left w:val="none" w:sz="0" w:space="0" w:color="auto"/>
        <w:bottom w:val="none" w:sz="0" w:space="0" w:color="auto"/>
        <w:right w:val="none" w:sz="0" w:space="0" w:color="auto"/>
      </w:divBdr>
    </w:div>
    <w:div w:id="853493486">
      <w:bodyDiv w:val="1"/>
      <w:marLeft w:val="0"/>
      <w:marRight w:val="0"/>
      <w:marTop w:val="0"/>
      <w:marBottom w:val="0"/>
      <w:divBdr>
        <w:top w:val="none" w:sz="0" w:space="0" w:color="auto"/>
        <w:left w:val="none" w:sz="0" w:space="0" w:color="auto"/>
        <w:bottom w:val="none" w:sz="0" w:space="0" w:color="auto"/>
        <w:right w:val="none" w:sz="0" w:space="0" w:color="auto"/>
      </w:divBdr>
    </w:div>
    <w:div w:id="898517383">
      <w:bodyDiv w:val="1"/>
      <w:marLeft w:val="0"/>
      <w:marRight w:val="0"/>
      <w:marTop w:val="0"/>
      <w:marBottom w:val="0"/>
      <w:divBdr>
        <w:top w:val="none" w:sz="0" w:space="0" w:color="auto"/>
        <w:left w:val="none" w:sz="0" w:space="0" w:color="auto"/>
        <w:bottom w:val="none" w:sz="0" w:space="0" w:color="auto"/>
        <w:right w:val="none" w:sz="0" w:space="0" w:color="auto"/>
      </w:divBdr>
    </w:div>
    <w:div w:id="911238769">
      <w:bodyDiv w:val="1"/>
      <w:marLeft w:val="0"/>
      <w:marRight w:val="0"/>
      <w:marTop w:val="0"/>
      <w:marBottom w:val="0"/>
      <w:divBdr>
        <w:top w:val="none" w:sz="0" w:space="0" w:color="auto"/>
        <w:left w:val="none" w:sz="0" w:space="0" w:color="auto"/>
        <w:bottom w:val="none" w:sz="0" w:space="0" w:color="auto"/>
        <w:right w:val="none" w:sz="0" w:space="0" w:color="auto"/>
      </w:divBdr>
    </w:div>
    <w:div w:id="946742236">
      <w:bodyDiv w:val="1"/>
      <w:marLeft w:val="0"/>
      <w:marRight w:val="0"/>
      <w:marTop w:val="0"/>
      <w:marBottom w:val="0"/>
      <w:divBdr>
        <w:top w:val="none" w:sz="0" w:space="0" w:color="auto"/>
        <w:left w:val="none" w:sz="0" w:space="0" w:color="auto"/>
        <w:bottom w:val="none" w:sz="0" w:space="0" w:color="auto"/>
        <w:right w:val="none" w:sz="0" w:space="0" w:color="auto"/>
      </w:divBdr>
    </w:div>
    <w:div w:id="1049190577">
      <w:bodyDiv w:val="1"/>
      <w:marLeft w:val="0"/>
      <w:marRight w:val="0"/>
      <w:marTop w:val="0"/>
      <w:marBottom w:val="0"/>
      <w:divBdr>
        <w:top w:val="none" w:sz="0" w:space="0" w:color="auto"/>
        <w:left w:val="none" w:sz="0" w:space="0" w:color="auto"/>
        <w:bottom w:val="none" w:sz="0" w:space="0" w:color="auto"/>
        <w:right w:val="none" w:sz="0" w:space="0" w:color="auto"/>
      </w:divBdr>
    </w:div>
    <w:div w:id="1079786258">
      <w:bodyDiv w:val="1"/>
      <w:marLeft w:val="0"/>
      <w:marRight w:val="0"/>
      <w:marTop w:val="0"/>
      <w:marBottom w:val="0"/>
      <w:divBdr>
        <w:top w:val="none" w:sz="0" w:space="0" w:color="auto"/>
        <w:left w:val="none" w:sz="0" w:space="0" w:color="auto"/>
        <w:bottom w:val="none" w:sz="0" w:space="0" w:color="auto"/>
        <w:right w:val="none" w:sz="0" w:space="0" w:color="auto"/>
      </w:divBdr>
    </w:div>
    <w:div w:id="1105030627">
      <w:bodyDiv w:val="1"/>
      <w:marLeft w:val="0"/>
      <w:marRight w:val="0"/>
      <w:marTop w:val="0"/>
      <w:marBottom w:val="0"/>
      <w:divBdr>
        <w:top w:val="none" w:sz="0" w:space="0" w:color="auto"/>
        <w:left w:val="none" w:sz="0" w:space="0" w:color="auto"/>
        <w:bottom w:val="none" w:sz="0" w:space="0" w:color="auto"/>
        <w:right w:val="none" w:sz="0" w:space="0" w:color="auto"/>
      </w:divBdr>
    </w:div>
    <w:div w:id="1112019358">
      <w:bodyDiv w:val="1"/>
      <w:marLeft w:val="0"/>
      <w:marRight w:val="0"/>
      <w:marTop w:val="0"/>
      <w:marBottom w:val="0"/>
      <w:divBdr>
        <w:top w:val="none" w:sz="0" w:space="0" w:color="auto"/>
        <w:left w:val="none" w:sz="0" w:space="0" w:color="auto"/>
        <w:bottom w:val="none" w:sz="0" w:space="0" w:color="auto"/>
        <w:right w:val="none" w:sz="0" w:space="0" w:color="auto"/>
      </w:divBdr>
    </w:div>
    <w:div w:id="1158838102">
      <w:bodyDiv w:val="1"/>
      <w:marLeft w:val="0"/>
      <w:marRight w:val="0"/>
      <w:marTop w:val="0"/>
      <w:marBottom w:val="0"/>
      <w:divBdr>
        <w:top w:val="none" w:sz="0" w:space="0" w:color="auto"/>
        <w:left w:val="none" w:sz="0" w:space="0" w:color="auto"/>
        <w:bottom w:val="none" w:sz="0" w:space="0" w:color="auto"/>
        <w:right w:val="none" w:sz="0" w:space="0" w:color="auto"/>
      </w:divBdr>
    </w:div>
    <w:div w:id="1177233136">
      <w:bodyDiv w:val="1"/>
      <w:marLeft w:val="0"/>
      <w:marRight w:val="0"/>
      <w:marTop w:val="0"/>
      <w:marBottom w:val="0"/>
      <w:divBdr>
        <w:top w:val="none" w:sz="0" w:space="0" w:color="auto"/>
        <w:left w:val="none" w:sz="0" w:space="0" w:color="auto"/>
        <w:bottom w:val="none" w:sz="0" w:space="0" w:color="auto"/>
        <w:right w:val="none" w:sz="0" w:space="0" w:color="auto"/>
      </w:divBdr>
    </w:div>
    <w:div w:id="1254780573">
      <w:bodyDiv w:val="1"/>
      <w:marLeft w:val="0"/>
      <w:marRight w:val="0"/>
      <w:marTop w:val="0"/>
      <w:marBottom w:val="0"/>
      <w:divBdr>
        <w:top w:val="none" w:sz="0" w:space="0" w:color="auto"/>
        <w:left w:val="none" w:sz="0" w:space="0" w:color="auto"/>
        <w:bottom w:val="none" w:sz="0" w:space="0" w:color="auto"/>
        <w:right w:val="none" w:sz="0" w:space="0" w:color="auto"/>
      </w:divBdr>
    </w:div>
    <w:div w:id="1389375084">
      <w:bodyDiv w:val="1"/>
      <w:marLeft w:val="0"/>
      <w:marRight w:val="0"/>
      <w:marTop w:val="0"/>
      <w:marBottom w:val="0"/>
      <w:divBdr>
        <w:top w:val="none" w:sz="0" w:space="0" w:color="auto"/>
        <w:left w:val="none" w:sz="0" w:space="0" w:color="auto"/>
        <w:bottom w:val="none" w:sz="0" w:space="0" w:color="auto"/>
        <w:right w:val="none" w:sz="0" w:space="0" w:color="auto"/>
      </w:divBdr>
    </w:div>
    <w:div w:id="1429931702">
      <w:bodyDiv w:val="1"/>
      <w:marLeft w:val="0"/>
      <w:marRight w:val="0"/>
      <w:marTop w:val="0"/>
      <w:marBottom w:val="0"/>
      <w:divBdr>
        <w:top w:val="none" w:sz="0" w:space="0" w:color="auto"/>
        <w:left w:val="none" w:sz="0" w:space="0" w:color="auto"/>
        <w:bottom w:val="none" w:sz="0" w:space="0" w:color="auto"/>
        <w:right w:val="none" w:sz="0" w:space="0" w:color="auto"/>
      </w:divBdr>
    </w:div>
    <w:div w:id="1435441824">
      <w:bodyDiv w:val="1"/>
      <w:marLeft w:val="0"/>
      <w:marRight w:val="0"/>
      <w:marTop w:val="0"/>
      <w:marBottom w:val="0"/>
      <w:divBdr>
        <w:top w:val="none" w:sz="0" w:space="0" w:color="auto"/>
        <w:left w:val="none" w:sz="0" w:space="0" w:color="auto"/>
        <w:bottom w:val="none" w:sz="0" w:space="0" w:color="auto"/>
        <w:right w:val="none" w:sz="0" w:space="0" w:color="auto"/>
      </w:divBdr>
    </w:div>
    <w:div w:id="1592204061">
      <w:bodyDiv w:val="1"/>
      <w:marLeft w:val="0"/>
      <w:marRight w:val="0"/>
      <w:marTop w:val="0"/>
      <w:marBottom w:val="0"/>
      <w:divBdr>
        <w:top w:val="none" w:sz="0" w:space="0" w:color="auto"/>
        <w:left w:val="none" w:sz="0" w:space="0" w:color="auto"/>
        <w:bottom w:val="none" w:sz="0" w:space="0" w:color="auto"/>
        <w:right w:val="none" w:sz="0" w:space="0" w:color="auto"/>
      </w:divBdr>
    </w:div>
    <w:div w:id="1596598933">
      <w:bodyDiv w:val="1"/>
      <w:marLeft w:val="0"/>
      <w:marRight w:val="0"/>
      <w:marTop w:val="0"/>
      <w:marBottom w:val="0"/>
      <w:divBdr>
        <w:top w:val="none" w:sz="0" w:space="0" w:color="auto"/>
        <w:left w:val="none" w:sz="0" w:space="0" w:color="auto"/>
        <w:bottom w:val="none" w:sz="0" w:space="0" w:color="auto"/>
        <w:right w:val="none" w:sz="0" w:space="0" w:color="auto"/>
      </w:divBdr>
    </w:div>
    <w:div w:id="1623996815">
      <w:bodyDiv w:val="1"/>
      <w:marLeft w:val="0"/>
      <w:marRight w:val="0"/>
      <w:marTop w:val="0"/>
      <w:marBottom w:val="0"/>
      <w:divBdr>
        <w:top w:val="none" w:sz="0" w:space="0" w:color="auto"/>
        <w:left w:val="none" w:sz="0" w:space="0" w:color="auto"/>
        <w:bottom w:val="none" w:sz="0" w:space="0" w:color="auto"/>
        <w:right w:val="none" w:sz="0" w:space="0" w:color="auto"/>
      </w:divBdr>
    </w:div>
    <w:div w:id="1659648008">
      <w:bodyDiv w:val="1"/>
      <w:marLeft w:val="0"/>
      <w:marRight w:val="0"/>
      <w:marTop w:val="0"/>
      <w:marBottom w:val="0"/>
      <w:divBdr>
        <w:top w:val="none" w:sz="0" w:space="0" w:color="auto"/>
        <w:left w:val="none" w:sz="0" w:space="0" w:color="auto"/>
        <w:bottom w:val="none" w:sz="0" w:space="0" w:color="auto"/>
        <w:right w:val="none" w:sz="0" w:space="0" w:color="auto"/>
      </w:divBdr>
    </w:div>
    <w:div w:id="1680962426">
      <w:bodyDiv w:val="1"/>
      <w:marLeft w:val="0"/>
      <w:marRight w:val="0"/>
      <w:marTop w:val="0"/>
      <w:marBottom w:val="0"/>
      <w:divBdr>
        <w:top w:val="none" w:sz="0" w:space="0" w:color="auto"/>
        <w:left w:val="none" w:sz="0" w:space="0" w:color="auto"/>
        <w:bottom w:val="none" w:sz="0" w:space="0" w:color="auto"/>
        <w:right w:val="none" w:sz="0" w:space="0" w:color="auto"/>
      </w:divBdr>
    </w:div>
    <w:div w:id="1715035200">
      <w:bodyDiv w:val="1"/>
      <w:marLeft w:val="0"/>
      <w:marRight w:val="0"/>
      <w:marTop w:val="0"/>
      <w:marBottom w:val="0"/>
      <w:divBdr>
        <w:top w:val="none" w:sz="0" w:space="0" w:color="auto"/>
        <w:left w:val="none" w:sz="0" w:space="0" w:color="auto"/>
        <w:bottom w:val="none" w:sz="0" w:space="0" w:color="auto"/>
        <w:right w:val="none" w:sz="0" w:space="0" w:color="auto"/>
      </w:divBdr>
    </w:div>
    <w:div w:id="1781954334">
      <w:bodyDiv w:val="1"/>
      <w:marLeft w:val="0"/>
      <w:marRight w:val="0"/>
      <w:marTop w:val="0"/>
      <w:marBottom w:val="0"/>
      <w:divBdr>
        <w:top w:val="none" w:sz="0" w:space="0" w:color="auto"/>
        <w:left w:val="none" w:sz="0" w:space="0" w:color="auto"/>
        <w:bottom w:val="none" w:sz="0" w:space="0" w:color="auto"/>
        <w:right w:val="none" w:sz="0" w:space="0" w:color="auto"/>
      </w:divBdr>
    </w:div>
    <w:div w:id="1816606447">
      <w:bodyDiv w:val="1"/>
      <w:marLeft w:val="0"/>
      <w:marRight w:val="0"/>
      <w:marTop w:val="0"/>
      <w:marBottom w:val="0"/>
      <w:divBdr>
        <w:top w:val="none" w:sz="0" w:space="0" w:color="auto"/>
        <w:left w:val="none" w:sz="0" w:space="0" w:color="auto"/>
        <w:bottom w:val="none" w:sz="0" w:space="0" w:color="auto"/>
        <w:right w:val="none" w:sz="0" w:space="0" w:color="auto"/>
      </w:divBdr>
    </w:div>
    <w:div w:id="1837259725">
      <w:bodyDiv w:val="1"/>
      <w:marLeft w:val="0"/>
      <w:marRight w:val="0"/>
      <w:marTop w:val="0"/>
      <w:marBottom w:val="0"/>
      <w:divBdr>
        <w:top w:val="none" w:sz="0" w:space="0" w:color="auto"/>
        <w:left w:val="none" w:sz="0" w:space="0" w:color="auto"/>
        <w:bottom w:val="none" w:sz="0" w:space="0" w:color="auto"/>
        <w:right w:val="none" w:sz="0" w:space="0" w:color="auto"/>
      </w:divBdr>
    </w:div>
    <w:div w:id="1854958397">
      <w:bodyDiv w:val="1"/>
      <w:marLeft w:val="0"/>
      <w:marRight w:val="0"/>
      <w:marTop w:val="0"/>
      <w:marBottom w:val="0"/>
      <w:divBdr>
        <w:top w:val="none" w:sz="0" w:space="0" w:color="auto"/>
        <w:left w:val="none" w:sz="0" w:space="0" w:color="auto"/>
        <w:bottom w:val="none" w:sz="0" w:space="0" w:color="auto"/>
        <w:right w:val="none" w:sz="0" w:space="0" w:color="auto"/>
      </w:divBdr>
    </w:div>
    <w:div w:id="1864200790">
      <w:bodyDiv w:val="1"/>
      <w:marLeft w:val="0"/>
      <w:marRight w:val="0"/>
      <w:marTop w:val="0"/>
      <w:marBottom w:val="0"/>
      <w:divBdr>
        <w:top w:val="none" w:sz="0" w:space="0" w:color="auto"/>
        <w:left w:val="none" w:sz="0" w:space="0" w:color="auto"/>
        <w:bottom w:val="none" w:sz="0" w:space="0" w:color="auto"/>
        <w:right w:val="none" w:sz="0" w:space="0" w:color="auto"/>
      </w:divBdr>
    </w:div>
    <w:div w:id="1872452312">
      <w:bodyDiv w:val="1"/>
      <w:marLeft w:val="0"/>
      <w:marRight w:val="0"/>
      <w:marTop w:val="0"/>
      <w:marBottom w:val="0"/>
      <w:divBdr>
        <w:top w:val="none" w:sz="0" w:space="0" w:color="auto"/>
        <w:left w:val="none" w:sz="0" w:space="0" w:color="auto"/>
        <w:bottom w:val="none" w:sz="0" w:space="0" w:color="auto"/>
        <w:right w:val="none" w:sz="0" w:space="0" w:color="auto"/>
      </w:divBdr>
    </w:div>
    <w:div w:id="1945333808">
      <w:bodyDiv w:val="1"/>
      <w:marLeft w:val="0"/>
      <w:marRight w:val="0"/>
      <w:marTop w:val="0"/>
      <w:marBottom w:val="0"/>
      <w:divBdr>
        <w:top w:val="none" w:sz="0" w:space="0" w:color="auto"/>
        <w:left w:val="none" w:sz="0" w:space="0" w:color="auto"/>
        <w:bottom w:val="none" w:sz="0" w:space="0" w:color="auto"/>
        <w:right w:val="none" w:sz="0" w:space="0" w:color="auto"/>
      </w:divBdr>
    </w:div>
    <w:div w:id="1962028496">
      <w:bodyDiv w:val="1"/>
      <w:marLeft w:val="0"/>
      <w:marRight w:val="0"/>
      <w:marTop w:val="0"/>
      <w:marBottom w:val="0"/>
      <w:divBdr>
        <w:top w:val="none" w:sz="0" w:space="0" w:color="auto"/>
        <w:left w:val="none" w:sz="0" w:space="0" w:color="auto"/>
        <w:bottom w:val="none" w:sz="0" w:space="0" w:color="auto"/>
        <w:right w:val="none" w:sz="0" w:space="0" w:color="auto"/>
      </w:divBdr>
    </w:div>
    <w:div w:id="1976136567">
      <w:bodyDiv w:val="1"/>
      <w:marLeft w:val="0"/>
      <w:marRight w:val="0"/>
      <w:marTop w:val="0"/>
      <w:marBottom w:val="0"/>
      <w:divBdr>
        <w:top w:val="none" w:sz="0" w:space="0" w:color="auto"/>
        <w:left w:val="none" w:sz="0" w:space="0" w:color="auto"/>
        <w:bottom w:val="none" w:sz="0" w:space="0" w:color="auto"/>
        <w:right w:val="none" w:sz="0" w:space="0" w:color="auto"/>
      </w:divBdr>
    </w:div>
    <w:div w:id="1991593014">
      <w:bodyDiv w:val="1"/>
      <w:marLeft w:val="0"/>
      <w:marRight w:val="0"/>
      <w:marTop w:val="0"/>
      <w:marBottom w:val="0"/>
      <w:divBdr>
        <w:top w:val="none" w:sz="0" w:space="0" w:color="auto"/>
        <w:left w:val="none" w:sz="0" w:space="0" w:color="auto"/>
        <w:bottom w:val="none" w:sz="0" w:space="0" w:color="auto"/>
        <w:right w:val="none" w:sz="0" w:space="0" w:color="auto"/>
      </w:divBdr>
    </w:div>
    <w:div w:id="1993828198">
      <w:bodyDiv w:val="1"/>
      <w:marLeft w:val="0"/>
      <w:marRight w:val="0"/>
      <w:marTop w:val="0"/>
      <w:marBottom w:val="0"/>
      <w:divBdr>
        <w:top w:val="none" w:sz="0" w:space="0" w:color="auto"/>
        <w:left w:val="none" w:sz="0" w:space="0" w:color="auto"/>
        <w:bottom w:val="none" w:sz="0" w:space="0" w:color="auto"/>
        <w:right w:val="none" w:sz="0" w:space="0" w:color="auto"/>
      </w:divBdr>
    </w:div>
    <w:div w:id="1999115628">
      <w:bodyDiv w:val="1"/>
      <w:marLeft w:val="0"/>
      <w:marRight w:val="0"/>
      <w:marTop w:val="0"/>
      <w:marBottom w:val="0"/>
      <w:divBdr>
        <w:top w:val="none" w:sz="0" w:space="0" w:color="auto"/>
        <w:left w:val="none" w:sz="0" w:space="0" w:color="auto"/>
        <w:bottom w:val="none" w:sz="0" w:space="0" w:color="auto"/>
        <w:right w:val="none" w:sz="0" w:space="0" w:color="auto"/>
      </w:divBdr>
    </w:div>
    <w:div w:id="2033220716">
      <w:bodyDiv w:val="1"/>
      <w:marLeft w:val="0"/>
      <w:marRight w:val="0"/>
      <w:marTop w:val="0"/>
      <w:marBottom w:val="0"/>
      <w:divBdr>
        <w:top w:val="none" w:sz="0" w:space="0" w:color="auto"/>
        <w:left w:val="none" w:sz="0" w:space="0" w:color="auto"/>
        <w:bottom w:val="none" w:sz="0" w:space="0" w:color="auto"/>
        <w:right w:val="none" w:sz="0" w:space="0" w:color="auto"/>
      </w:divBdr>
    </w:div>
    <w:div w:id="2043167385">
      <w:bodyDiv w:val="1"/>
      <w:marLeft w:val="0"/>
      <w:marRight w:val="0"/>
      <w:marTop w:val="0"/>
      <w:marBottom w:val="0"/>
      <w:divBdr>
        <w:top w:val="none" w:sz="0" w:space="0" w:color="auto"/>
        <w:left w:val="none" w:sz="0" w:space="0" w:color="auto"/>
        <w:bottom w:val="none" w:sz="0" w:space="0" w:color="auto"/>
        <w:right w:val="none" w:sz="0" w:space="0" w:color="auto"/>
      </w:divBdr>
    </w:div>
    <w:div w:id="2066491157">
      <w:bodyDiv w:val="1"/>
      <w:marLeft w:val="0"/>
      <w:marRight w:val="0"/>
      <w:marTop w:val="0"/>
      <w:marBottom w:val="0"/>
      <w:divBdr>
        <w:top w:val="none" w:sz="0" w:space="0" w:color="auto"/>
        <w:left w:val="none" w:sz="0" w:space="0" w:color="auto"/>
        <w:bottom w:val="none" w:sz="0" w:space="0" w:color="auto"/>
        <w:right w:val="none" w:sz="0" w:space="0" w:color="auto"/>
      </w:divBdr>
    </w:div>
    <w:div w:id="2117090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A94ED-0016-4DDC-94BE-2C15A687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7495</Words>
  <Characters>42723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Utility Div. testimony form</vt:lpstr>
    </vt:vector>
  </TitlesOfParts>
  <Company>OPUC</Company>
  <LinksUpToDate>false</LinksUpToDate>
  <CharactersWithSpaces>50118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Div. testimony form</dc:title>
  <dc:subject/>
  <dc:creator>rdelafuente</dc:creator>
  <cp:keywords/>
  <dc:description/>
  <cp:lastModifiedBy>Ann McCullough</cp:lastModifiedBy>
  <cp:revision>7</cp:revision>
  <cp:lastPrinted>2021-11-28T22:16:00Z</cp:lastPrinted>
  <dcterms:created xsi:type="dcterms:W3CDTF">2021-11-30T11:18:00Z</dcterms:created>
  <dcterms:modified xsi:type="dcterms:W3CDTF">2021-12-01T19:24:00Z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