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1A0D2A" w14:textId="15BA4FDB" w:rsidR="00A25C33" w:rsidRPr="00A25C33" w:rsidRDefault="00A25C33" w:rsidP="00A25C33">
      <w:pPr>
        <w:spacing w:after="0" w:line="240" w:lineRule="auto"/>
        <w:rPr>
          <w:rFonts w:ascii="Times New Roman" w:eastAsia="Times New Roman" w:hAnsi="Times New Roman" w:cs="Times New Roman"/>
          <w:sz w:val="28"/>
          <w:szCs w:val="28"/>
        </w:rPr>
      </w:pPr>
    </w:p>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280C6A" w:rsidRPr="00280C6A" w14:paraId="77C852E9" w14:textId="77777777" w:rsidTr="00FB7A9F">
        <w:trPr>
          <w:trHeight w:val="1681"/>
          <w:jc w:val="center"/>
        </w:trPr>
        <w:tc>
          <w:tcPr>
            <w:tcW w:w="4358" w:type="dxa"/>
            <w:hideMark/>
          </w:tcPr>
          <w:p w14:paraId="4714994D" w14:textId="77777777" w:rsidR="00280C6A" w:rsidRPr="00280C6A" w:rsidRDefault="00280C6A" w:rsidP="00280C6A">
            <w:pPr>
              <w:spacing w:after="0" w:line="276" w:lineRule="auto"/>
              <w:rPr>
                <w:rFonts w:ascii="Arial Black" w:eastAsia="Times New Roman" w:hAnsi="Arial Black" w:cs="Times New Roman"/>
                <w:b/>
                <w:sz w:val="16"/>
                <w:szCs w:val="16"/>
              </w:rPr>
            </w:pPr>
            <w:r w:rsidRPr="00280C6A">
              <w:rPr>
                <w:rFonts w:ascii="Arial Black" w:eastAsia="Times New Roman" w:hAnsi="Arial Black" w:cs="Times New Roman"/>
                <w:sz w:val="16"/>
                <w:szCs w:val="16"/>
              </w:rPr>
              <w:fldChar w:fldCharType="begin"/>
            </w:r>
            <w:r w:rsidRPr="00280C6A">
              <w:rPr>
                <w:rFonts w:ascii="Arial Black" w:eastAsia="Times New Roman" w:hAnsi="Arial Black" w:cs="Times New Roman"/>
                <w:sz w:val="16"/>
                <w:szCs w:val="16"/>
              </w:rPr>
              <w:instrText>PRIVATE</w:instrText>
            </w:r>
            <w:r w:rsidRPr="00280C6A">
              <w:rPr>
                <w:rFonts w:ascii="Arial Black" w:eastAsia="Times New Roman" w:hAnsi="Arial Black" w:cs="Times New Roman"/>
                <w:sz w:val="16"/>
                <w:szCs w:val="16"/>
              </w:rPr>
              <w:fldChar w:fldCharType="end"/>
            </w:r>
            <w:r w:rsidRPr="00280C6A">
              <w:rPr>
                <w:rFonts w:ascii="Arial Black" w:eastAsia="Times New Roman" w:hAnsi="Arial Black" w:cs="Times New Roman"/>
                <w:b/>
                <w:sz w:val="16"/>
                <w:szCs w:val="16"/>
              </w:rPr>
              <w:t>COMMISSIONERS:</w:t>
            </w:r>
          </w:p>
          <w:p w14:paraId="7C49FC2E" w14:textId="77777777" w:rsidR="00280C6A" w:rsidRPr="00280C6A" w:rsidRDefault="00280C6A" w:rsidP="00280C6A">
            <w:pPr>
              <w:spacing w:after="0" w:line="276" w:lineRule="auto"/>
              <w:rPr>
                <w:rFonts w:ascii="Arial Black" w:eastAsia="Times New Roman" w:hAnsi="Arial Black" w:cs="Times New Roman"/>
                <w:b/>
                <w:sz w:val="16"/>
                <w:szCs w:val="16"/>
              </w:rPr>
            </w:pPr>
          </w:p>
          <w:p w14:paraId="3D5C6F6A" w14:textId="77777777" w:rsidR="00280C6A" w:rsidRPr="00280C6A" w:rsidRDefault="00280C6A" w:rsidP="00280C6A">
            <w:pPr>
              <w:spacing w:after="0" w:line="276" w:lineRule="auto"/>
              <w:rPr>
                <w:rFonts w:ascii="Arial Black" w:eastAsia="Times New Roman" w:hAnsi="Arial Black" w:cs="Times New Roman"/>
                <w:b/>
                <w:sz w:val="16"/>
                <w:szCs w:val="16"/>
              </w:rPr>
            </w:pPr>
            <w:r w:rsidRPr="00280C6A">
              <w:rPr>
                <w:rFonts w:ascii="Arial Black" w:eastAsia="Times New Roman" w:hAnsi="Arial Black" w:cs="Times New Roman"/>
                <w:b/>
                <w:sz w:val="16"/>
                <w:szCs w:val="16"/>
              </w:rPr>
              <w:t xml:space="preserve">TRICIA PRIDEMORE, Chairman </w:t>
            </w:r>
          </w:p>
          <w:p w14:paraId="1E2B1558" w14:textId="77777777" w:rsidR="00280C6A" w:rsidRPr="00280C6A" w:rsidRDefault="00280C6A" w:rsidP="00280C6A">
            <w:pPr>
              <w:spacing w:after="0" w:line="276" w:lineRule="auto"/>
              <w:rPr>
                <w:rFonts w:ascii="Arial Black" w:eastAsia="Times New Roman" w:hAnsi="Arial Black" w:cs="Times New Roman"/>
                <w:b/>
                <w:sz w:val="16"/>
                <w:szCs w:val="16"/>
              </w:rPr>
            </w:pPr>
            <w:r w:rsidRPr="00280C6A">
              <w:rPr>
                <w:rFonts w:ascii="Arial Black" w:eastAsia="Times New Roman" w:hAnsi="Arial Black" w:cs="Times New Roman"/>
                <w:b/>
                <w:sz w:val="16"/>
                <w:szCs w:val="16"/>
              </w:rPr>
              <w:t>TIM G. ECHOLS, Vice-Chairman</w:t>
            </w:r>
          </w:p>
          <w:p w14:paraId="75DE90A8" w14:textId="77777777" w:rsidR="00280C6A" w:rsidRPr="00280C6A" w:rsidRDefault="00280C6A" w:rsidP="00280C6A">
            <w:pPr>
              <w:spacing w:after="0" w:line="276" w:lineRule="auto"/>
              <w:rPr>
                <w:rFonts w:ascii="Arial Black" w:eastAsia="Times New Roman" w:hAnsi="Arial Black" w:cs="Times New Roman"/>
                <w:b/>
                <w:sz w:val="16"/>
                <w:szCs w:val="16"/>
              </w:rPr>
            </w:pPr>
            <w:r w:rsidRPr="00280C6A">
              <w:rPr>
                <w:rFonts w:ascii="Arial Black" w:eastAsia="Times New Roman" w:hAnsi="Arial Black" w:cs="Times New Roman"/>
                <w:b/>
                <w:sz w:val="16"/>
                <w:szCs w:val="16"/>
              </w:rPr>
              <w:t xml:space="preserve">FITZ JOHNSON </w:t>
            </w:r>
          </w:p>
          <w:p w14:paraId="76606601" w14:textId="77777777" w:rsidR="00280C6A" w:rsidRPr="00280C6A" w:rsidRDefault="00280C6A" w:rsidP="00280C6A">
            <w:pPr>
              <w:spacing w:after="0" w:line="276" w:lineRule="auto"/>
              <w:rPr>
                <w:rFonts w:ascii="Times New Roman" w:eastAsia="Times New Roman" w:hAnsi="Times New Roman" w:cs="Times New Roman"/>
                <w:sz w:val="24"/>
                <w:szCs w:val="24"/>
              </w:rPr>
            </w:pPr>
            <w:r w:rsidRPr="00280C6A">
              <w:rPr>
                <w:rFonts w:ascii="Arial Black" w:eastAsia="Times New Roman" w:hAnsi="Arial Black" w:cs="Times New Roman"/>
                <w:b/>
                <w:sz w:val="16"/>
                <w:szCs w:val="16"/>
              </w:rPr>
              <w:t xml:space="preserve">LAUREN “BUBBA” McDONALD                                  </w:t>
            </w:r>
            <w:r w:rsidRPr="00280C6A">
              <w:rPr>
                <w:rFonts w:ascii="Arial Black" w:eastAsia="Times New Roman" w:hAnsi="Arial Black" w:cs="Times New Roman"/>
                <w:b/>
                <w:sz w:val="16"/>
                <w:szCs w:val="16"/>
              </w:rPr>
              <w:br/>
              <w:t xml:space="preserve">JASON SHAW                          </w:t>
            </w:r>
            <w:r w:rsidRPr="00280C6A">
              <w:rPr>
                <w:rFonts w:ascii="Arial Black" w:eastAsia="Times New Roman" w:hAnsi="Arial Black" w:cs="Times New Roman"/>
                <w:b/>
                <w:sz w:val="16"/>
                <w:szCs w:val="16"/>
              </w:rPr>
              <w:br/>
            </w:r>
          </w:p>
        </w:tc>
        <w:tc>
          <w:tcPr>
            <w:tcW w:w="2970" w:type="dxa"/>
            <w:hideMark/>
          </w:tcPr>
          <w:p w14:paraId="6B3620A2" w14:textId="77777777" w:rsidR="00280C6A" w:rsidRPr="00280C6A" w:rsidRDefault="00280C6A" w:rsidP="00280C6A">
            <w:pPr>
              <w:spacing w:after="0" w:line="276" w:lineRule="auto"/>
              <w:jc w:val="center"/>
              <w:rPr>
                <w:rFonts w:ascii="Times New Roman" w:eastAsia="Times New Roman" w:hAnsi="Times New Roman" w:cs="Times New Roman"/>
                <w:sz w:val="24"/>
                <w:szCs w:val="24"/>
              </w:rPr>
            </w:pPr>
            <w:r w:rsidRPr="00280C6A">
              <w:rPr>
                <w:rFonts w:ascii="Times New Roman" w:eastAsia="Times New Roman" w:hAnsi="Times New Roman" w:cs="Times New Roman"/>
                <w:noProof/>
                <w:sz w:val="24"/>
                <w:szCs w:val="24"/>
              </w:rPr>
              <w:drawing>
                <wp:inline distT="0" distB="0" distL="0" distR="0" wp14:anchorId="379F4551" wp14:editId="7432FB9B">
                  <wp:extent cx="1200150" cy="1143000"/>
                  <wp:effectExtent l="0" t="0" r="0" b="0"/>
                  <wp:docPr id="1" name="Picture 1" descr="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0" cy="1143000"/>
                          </a:xfrm>
                          <a:prstGeom prst="rect">
                            <a:avLst/>
                          </a:prstGeom>
                          <a:noFill/>
                          <a:ln>
                            <a:noFill/>
                          </a:ln>
                        </pic:spPr>
                      </pic:pic>
                    </a:graphicData>
                  </a:graphic>
                </wp:inline>
              </w:drawing>
            </w:r>
          </w:p>
        </w:tc>
        <w:tc>
          <w:tcPr>
            <w:tcW w:w="3728" w:type="dxa"/>
            <w:hideMark/>
          </w:tcPr>
          <w:p w14:paraId="168ED2D3" w14:textId="77777777" w:rsidR="00280C6A" w:rsidRPr="00280C6A" w:rsidRDefault="00280C6A" w:rsidP="00280C6A">
            <w:pPr>
              <w:spacing w:after="0" w:line="276" w:lineRule="auto"/>
              <w:jc w:val="right"/>
              <w:rPr>
                <w:rFonts w:ascii="Arial Black" w:eastAsia="Times New Roman" w:hAnsi="Arial Black" w:cs="Times New Roman"/>
                <w:b/>
                <w:sz w:val="16"/>
                <w:szCs w:val="16"/>
              </w:rPr>
            </w:pPr>
          </w:p>
          <w:p w14:paraId="003AB8C1" w14:textId="77777777" w:rsidR="00280C6A" w:rsidRPr="00280C6A" w:rsidRDefault="00280C6A" w:rsidP="00280C6A">
            <w:pPr>
              <w:spacing w:after="0" w:line="276" w:lineRule="auto"/>
              <w:jc w:val="right"/>
              <w:rPr>
                <w:rFonts w:ascii="Arial Black" w:eastAsia="Times New Roman" w:hAnsi="Arial Black" w:cs="Times New Roman"/>
                <w:b/>
                <w:sz w:val="16"/>
                <w:szCs w:val="16"/>
              </w:rPr>
            </w:pPr>
          </w:p>
          <w:p w14:paraId="67CE7E41" w14:textId="77777777" w:rsidR="00280C6A" w:rsidRPr="00280C6A" w:rsidRDefault="00280C6A" w:rsidP="00280C6A">
            <w:pPr>
              <w:spacing w:after="0" w:line="276" w:lineRule="auto"/>
              <w:jc w:val="right"/>
              <w:rPr>
                <w:rFonts w:ascii="Arial Black" w:eastAsia="Times New Roman" w:hAnsi="Arial Black" w:cs="Times New Roman"/>
                <w:b/>
                <w:sz w:val="16"/>
                <w:szCs w:val="16"/>
              </w:rPr>
            </w:pPr>
            <w:r w:rsidRPr="00280C6A">
              <w:rPr>
                <w:rFonts w:ascii="Arial Black" w:eastAsia="Times New Roman" w:hAnsi="Arial Black" w:cs="Times New Roman"/>
                <w:b/>
                <w:sz w:val="16"/>
                <w:szCs w:val="16"/>
              </w:rPr>
              <w:t>REECE McALISTER </w:t>
            </w:r>
          </w:p>
          <w:p w14:paraId="77CE8204" w14:textId="77777777" w:rsidR="00280C6A" w:rsidRPr="00280C6A" w:rsidRDefault="00280C6A" w:rsidP="00280C6A">
            <w:pPr>
              <w:spacing w:after="0" w:line="276" w:lineRule="auto"/>
              <w:jc w:val="right"/>
              <w:rPr>
                <w:rFonts w:ascii="Arial Black" w:eastAsia="Times New Roman" w:hAnsi="Arial Black" w:cs="Times New Roman"/>
                <w:b/>
                <w:sz w:val="16"/>
                <w:szCs w:val="16"/>
              </w:rPr>
            </w:pPr>
            <w:r w:rsidRPr="00280C6A">
              <w:rPr>
                <w:rFonts w:ascii="Arial Black" w:eastAsia="Times New Roman" w:hAnsi="Arial Black" w:cs="Times New Roman"/>
                <w:b/>
                <w:sz w:val="16"/>
                <w:szCs w:val="16"/>
              </w:rPr>
              <w:t>EXECUTIVE DIRECTOR</w:t>
            </w:r>
          </w:p>
          <w:p w14:paraId="485ECC16" w14:textId="77777777" w:rsidR="00280C6A" w:rsidRPr="00280C6A" w:rsidRDefault="00280C6A" w:rsidP="00280C6A">
            <w:pPr>
              <w:spacing w:after="0" w:line="276" w:lineRule="auto"/>
              <w:jc w:val="right"/>
              <w:rPr>
                <w:rFonts w:ascii="Arial Black" w:eastAsia="Times New Roman" w:hAnsi="Arial Black" w:cs="Times New Roman"/>
                <w:sz w:val="16"/>
                <w:szCs w:val="16"/>
              </w:rPr>
            </w:pPr>
            <w:r w:rsidRPr="00280C6A">
              <w:rPr>
                <w:rFonts w:ascii="Arial Black" w:eastAsia="Times New Roman" w:hAnsi="Arial Black" w:cs="Times New Roman"/>
                <w:b/>
                <w:sz w:val="16"/>
                <w:szCs w:val="16"/>
              </w:rPr>
              <w:t xml:space="preserve"> </w:t>
            </w:r>
            <w:r w:rsidRPr="00280C6A">
              <w:rPr>
                <w:rFonts w:ascii="Arial Black" w:eastAsia="Times New Roman" w:hAnsi="Arial Black" w:cs="Times New Roman"/>
                <w:b/>
                <w:sz w:val="16"/>
                <w:szCs w:val="16"/>
              </w:rPr>
              <w:br/>
              <w:t>SALLIE TANNER</w:t>
            </w:r>
            <w:r w:rsidRPr="00280C6A">
              <w:rPr>
                <w:rFonts w:ascii="Arial Black" w:eastAsia="Times New Roman" w:hAnsi="Arial Black" w:cs="Times New Roman"/>
                <w:b/>
                <w:sz w:val="16"/>
                <w:szCs w:val="16"/>
              </w:rPr>
              <w:br/>
              <w:t>EXECUTIVE SECRETARY</w:t>
            </w:r>
          </w:p>
        </w:tc>
      </w:tr>
      <w:tr w:rsidR="00280C6A" w:rsidRPr="00280C6A" w14:paraId="384BCD55" w14:textId="77777777" w:rsidTr="00FB7A9F">
        <w:trPr>
          <w:trHeight w:val="772"/>
          <w:jc w:val="center"/>
        </w:trPr>
        <w:tc>
          <w:tcPr>
            <w:tcW w:w="11056" w:type="dxa"/>
            <w:gridSpan w:val="3"/>
            <w:hideMark/>
          </w:tcPr>
          <w:p w14:paraId="5B21BC90" w14:textId="77777777" w:rsidR="00280C6A" w:rsidRPr="00280C6A" w:rsidRDefault="00280C6A" w:rsidP="00280C6A">
            <w:pPr>
              <w:keepNext/>
              <w:widowControl w:val="0"/>
              <w:tabs>
                <w:tab w:val="center" w:pos="4680"/>
              </w:tabs>
              <w:autoSpaceDE w:val="0"/>
              <w:autoSpaceDN w:val="0"/>
              <w:adjustRightInd w:val="0"/>
              <w:spacing w:after="0" w:line="276" w:lineRule="auto"/>
              <w:jc w:val="center"/>
              <w:outlineLvl w:val="0"/>
              <w:rPr>
                <w:rFonts w:ascii="Old English Text MT" w:eastAsia="Times New Roman" w:hAnsi="Old English Text MT" w:cs="Times New Roman"/>
                <w:sz w:val="42"/>
                <w:szCs w:val="24"/>
              </w:rPr>
            </w:pPr>
            <w:smartTag w:uri="urn:schemas-microsoft-com:office:smarttags" w:element="country-region">
              <w:smartTag w:uri="urn:schemas-microsoft-com:office:smarttags" w:element="place">
                <w:r w:rsidRPr="00280C6A">
                  <w:rPr>
                    <w:rFonts w:ascii="Old English Text MT" w:eastAsia="Times New Roman" w:hAnsi="Old English Text MT" w:cs="Times New Roman"/>
                    <w:sz w:val="42"/>
                    <w:szCs w:val="24"/>
                  </w:rPr>
                  <w:t>Georgia</w:t>
                </w:r>
              </w:smartTag>
            </w:smartTag>
            <w:r w:rsidRPr="00280C6A">
              <w:rPr>
                <w:rFonts w:ascii="Old English Text MT" w:eastAsia="Times New Roman" w:hAnsi="Old English Text MT" w:cs="Times New Roman"/>
                <w:sz w:val="42"/>
                <w:szCs w:val="24"/>
              </w:rPr>
              <w:t xml:space="preserve"> Public Service Commission</w:t>
            </w:r>
          </w:p>
        </w:tc>
      </w:tr>
      <w:tr w:rsidR="00280C6A" w:rsidRPr="00280C6A" w14:paraId="6BF0D728" w14:textId="77777777" w:rsidTr="00FB7A9F">
        <w:trPr>
          <w:jc w:val="center"/>
        </w:trPr>
        <w:tc>
          <w:tcPr>
            <w:tcW w:w="4358" w:type="dxa"/>
            <w:hideMark/>
          </w:tcPr>
          <w:p w14:paraId="4F111ABB" w14:textId="77777777" w:rsidR="00280C6A" w:rsidRPr="00280C6A" w:rsidRDefault="00280C6A" w:rsidP="00280C6A">
            <w:pPr>
              <w:spacing w:after="0" w:line="276" w:lineRule="auto"/>
              <w:rPr>
                <w:rFonts w:ascii="Times New Roman" w:eastAsia="Times New Roman" w:hAnsi="Times New Roman" w:cs="Arial"/>
                <w:b/>
                <w:bCs/>
                <w:sz w:val="17"/>
                <w:szCs w:val="17"/>
              </w:rPr>
            </w:pPr>
            <w:r w:rsidRPr="00280C6A">
              <w:rPr>
                <w:rFonts w:ascii="Times New Roman" w:eastAsia="Times New Roman" w:hAnsi="Times New Roman" w:cs="Arial"/>
                <w:b/>
                <w:bCs/>
                <w:sz w:val="17"/>
                <w:szCs w:val="17"/>
              </w:rPr>
              <w:t xml:space="preserve">(404) 656-4501  </w:t>
            </w:r>
          </w:p>
          <w:p w14:paraId="5E3B6481" w14:textId="77777777" w:rsidR="00280C6A" w:rsidRPr="00280C6A" w:rsidRDefault="00280C6A" w:rsidP="00280C6A">
            <w:pPr>
              <w:spacing w:after="0" w:line="276" w:lineRule="auto"/>
              <w:rPr>
                <w:rFonts w:ascii="Times New Roman" w:eastAsia="Times New Roman" w:hAnsi="Times New Roman" w:cs="Arial"/>
                <w:b/>
                <w:bCs/>
                <w:sz w:val="24"/>
                <w:szCs w:val="24"/>
              </w:rPr>
            </w:pPr>
            <w:r w:rsidRPr="00280C6A">
              <w:rPr>
                <w:rFonts w:ascii="Times New Roman" w:eastAsia="Times New Roman" w:hAnsi="Times New Roman" w:cs="Arial"/>
                <w:b/>
                <w:bCs/>
                <w:sz w:val="17"/>
                <w:szCs w:val="17"/>
              </w:rPr>
              <w:t>(800) 282-5813</w:t>
            </w:r>
          </w:p>
        </w:tc>
        <w:tc>
          <w:tcPr>
            <w:tcW w:w="2970" w:type="dxa"/>
            <w:hideMark/>
          </w:tcPr>
          <w:p w14:paraId="278B8A46" w14:textId="77777777" w:rsidR="00280C6A" w:rsidRPr="00280C6A" w:rsidRDefault="00280C6A" w:rsidP="00280C6A">
            <w:pPr>
              <w:spacing w:after="0" w:line="276" w:lineRule="auto"/>
              <w:jc w:val="center"/>
              <w:rPr>
                <w:rFonts w:ascii="Times New Roman" w:eastAsia="Times New Roman" w:hAnsi="Times New Roman" w:cs="Arial"/>
                <w:b/>
                <w:sz w:val="17"/>
                <w:szCs w:val="17"/>
              </w:rPr>
            </w:pPr>
            <w:r w:rsidRPr="00280C6A">
              <w:rPr>
                <w:rFonts w:ascii="Times New Roman" w:eastAsia="Times New Roman" w:hAnsi="Times New Roman" w:cs="Arial"/>
                <w:b/>
                <w:sz w:val="17"/>
                <w:szCs w:val="17"/>
              </w:rPr>
              <w:t>244 WASHINGTON STREET, SW</w:t>
            </w:r>
            <w:r w:rsidRPr="00280C6A">
              <w:rPr>
                <w:rFonts w:ascii="Times New Roman" w:eastAsia="Times New Roman" w:hAnsi="Times New Roman" w:cs="Arial"/>
                <w:b/>
                <w:sz w:val="17"/>
                <w:szCs w:val="17"/>
              </w:rPr>
              <w:br/>
            </w:r>
            <w:smartTag w:uri="urn:schemas-microsoft-com:office:smarttags" w:element="City">
              <w:r w:rsidRPr="00280C6A">
                <w:rPr>
                  <w:rFonts w:ascii="Times New Roman" w:eastAsia="Times New Roman" w:hAnsi="Times New Roman" w:cs="Arial"/>
                  <w:b/>
                  <w:sz w:val="17"/>
                  <w:szCs w:val="17"/>
                </w:rPr>
                <w:t>ATLANTA</w:t>
              </w:r>
            </w:smartTag>
            <w:r w:rsidRPr="00280C6A">
              <w:rPr>
                <w:rFonts w:ascii="Times New Roman" w:eastAsia="Times New Roman" w:hAnsi="Times New Roman" w:cs="Arial"/>
                <w:b/>
                <w:sz w:val="17"/>
                <w:szCs w:val="17"/>
              </w:rPr>
              <w:t xml:space="preserve">, </w:t>
            </w:r>
            <w:smartTag w:uri="urn:schemas-microsoft-com:office:smarttags" w:element="country-region">
              <w:r w:rsidRPr="00280C6A">
                <w:rPr>
                  <w:rFonts w:ascii="Times New Roman" w:eastAsia="Times New Roman" w:hAnsi="Times New Roman" w:cs="Arial"/>
                  <w:b/>
                  <w:sz w:val="17"/>
                  <w:szCs w:val="17"/>
                </w:rPr>
                <w:t>GEORGIA</w:t>
              </w:r>
            </w:smartTag>
            <w:r w:rsidRPr="00280C6A">
              <w:rPr>
                <w:rFonts w:ascii="Times New Roman" w:eastAsia="Times New Roman" w:hAnsi="Times New Roman" w:cs="Arial"/>
                <w:b/>
                <w:sz w:val="17"/>
                <w:szCs w:val="17"/>
              </w:rPr>
              <w:t xml:space="preserve"> 30334-5701</w:t>
            </w:r>
          </w:p>
        </w:tc>
        <w:tc>
          <w:tcPr>
            <w:tcW w:w="3728" w:type="dxa"/>
            <w:hideMark/>
          </w:tcPr>
          <w:p w14:paraId="2F445800" w14:textId="77777777" w:rsidR="00280C6A" w:rsidRPr="00280C6A" w:rsidRDefault="00280C6A" w:rsidP="00280C6A">
            <w:pPr>
              <w:spacing w:after="0" w:line="276" w:lineRule="auto"/>
              <w:jc w:val="right"/>
              <w:rPr>
                <w:rFonts w:ascii="Times New Roman" w:eastAsia="Times New Roman" w:hAnsi="Times New Roman" w:cs="Arial"/>
                <w:b/>
                <w:bCs/>
                <w:sz w:val="24"/>
                <w:szCs w:val="24"/>
              </w:rPr>
            </w:pPr>
            <w:r w:rsidRPr="00280C6A">
              <w:rPr>
                <w:rFonts w:ascii="Times New Roman" w:eastAsia="Times New Roman" w:hAnsi="Times New Roman" w:cs="Arial"/>
                <w:b/>
                <w:bCs/>
                <w:sz w:val="17"/>
                <w:szCs w:val="17"/>
              </w:rPr>
              <w:t>FAX:  (404) 656-2341                   www.psc.state.ga.us</w:t>
            </w:r>
          </w:p>
        </w:tc>
      </w:tr>
    </w:tbl>
    <w:p w14:paraId="117B0D99" w14:textId="77777777" w:rsidR="00280C6A" w:rsidRPr="00280C6A" w:rsidRDefault="00280C6A" w:rsidP="00280C6A">
      <w:pPr>
        <w:spacing w:after="0" w:line="240" w:lineRule="auto"/>
        <w:rPr>
          <w:rFonts w:ascii="Times New Roman" w:eastAsia="Times New Roman" w:hAnsi="Times New Roman" w:cs="Times New Roman"/>
          <w:color w:val="FF0000"/>
          <w:sz w:val="24"/>
          <w:szCs w:val="24"/>
        </w:rPr>
      </w:pPr>
    </w:p>
    <w:p w14:paraId="38C567FF" w14:textId="77777777" w:rsidR="00280C6A" w:rsidRPr="00280C6A" w:rsidRDefault="00280C6A" w:rsidP="00280C6A">
      <w:pPr>
        <w:widowControl w:val="0"/>
        <w:tabs>
          <w:tab w:val="center" w:pos="4680"/>
        </w:tabs>
        <w:autoSpaceDE w:val="0"/>
        <w:autoSpaceDN w:val="0"/>
        <w:adjustRightInd w:val="0"/>
        <w:spacing w:after="0" w:line="240" w:lineRule="auto"/>
        <w:jc w:val="center"/>
        <w:rPr>
          <w:rFonts w:ascii="Times New Roman" w:eastAsia="Times New Roman" w:hAnsi="Times New Roman" w:cs="Times New Roman"/>
          <w:color w:val="FF0000"/>
          <w:sz w:val="24"/>
          <w:szCs w:val="24"/>
        </w:rPr>
      </w:pPr>
    </w:p>
    <w:p w14:paraId="2DC95D26" w14:textId="0AEDBD54" w:rsidR="00A25C33" w:rsidRPr="00A25C33" w:rsidRDefault="00A25C33" w:rsidP="00A25C33">
      <w:pPr>
        <w:keepNext/>
        <w:keepLines/>
        <w:spacing w:before="40" w:after="0" w:line="240" w:lineRule="auto"/>
        <w:jc w:val="center"/>
        <w:outlineLvl w:val="2"/>
        <w:rPr>
          <w:rFonts w:ascii="Times New Roman" w:eastAsia="Times New Roman" w:hAnsi="Times New Roman" w:cs="Times New Roman"/>
          <w:b/>
          <w:sz w:val="24"/>
          <w:szCs w:val="24"/>
        </w:rPr>
      </w:pPr>
      <w:bookmarkStart w:id="0" w:name="_Hlk87349715"/>
      <w:r w:rsidRPr="0089480C">
        <w:rPr>
          <w:rFonts w:ascii="Times New Roman" w:eastAsia="Times New Roman" w:hAnsi="Times New Roman" w:cs="Times New Roman"/>
          <w:b/>
          <w:sz w:val="24"/>
          <w:szCs w:val="24"/>
        </w:rPr>
        <w:t>DOCKET NO.</w:t>
      </w:r>
      <w:r w:rsidRPr="00A25C33">
        <w:rPr>
          <w:rFonts w:ascii="Times New Roman" w:eastAsia="Times New Roman" w:hAnsi="Times New Roman" w:cs="Times New Roman"/>
          <w:b/>
          <w:sz w:val="24"/>
          <w:szCs w:val="24"/>
        </w:rPr>
        <w:t xml:space="preserve"> 43838</w:t>
      </w:r>
    </w:p>
    <w:p w14:paraId="210749DB" w14:textId="77777777" w:rsidR="00A25C33" w:rsidRPr="00A25C33" w:rsidRDefault="00A25C33" w:rsidP="00A25C33">
      <w:pPr>
        <w:spacing w:after="0" w:line="240" w:lineRule="auto"/>
        <w:jc w:val="center"/>
        <w:rPr>
          <w:rFonts w:ascii="Times New Roman" w:eastAsia="Times New Roman" w:hAnsi="Times New Roman" w:cs="Times New Roman"/>
          <w:b/>
          <w:sz w:val="24"/>
          <w:szCs w:val="24"/>
        </w:rPr>
      </w:pPr>
    </w:p>
    <w:p w14:paraId="2FA9223D" w14:textId="77777777" w:rsidR="00A25C33" w:rsidRDefault="00A25C33" w:rsidP="00A25C33">
      <w:pPr>
        <w:spacing w:after="0" w:line="240" w:lineRule="auto"/>
        <w:jc w:val="center"/>
        <w:rPr>
          <w:rFonts w:ascii="Times New Roman" w:eastAsia="Times New Roman" w:hAnsi="Times New Roman" w:cs="Times New Roman"/>
          <w:b/>
          <w:sz w:val="24"/>
          <w:szCs w:val="24"/>
        </w:rPr>
      </w:pPr>
      <w:r w:rsidRPr="00A25C33">
        <w:rPr>
          <w:rFonts w:ascii="Times New Roman" w:eastAsia="Times New Roman" w:hAnsi="Times New Roman" w:cs="Times New Roman"/>
          <w:b/>
          <w:sz w:val="24"/>
          <w:szCs w:val="24"/>
        </w:rPr>
        <w:t>IN RE:</w:t>
      </w:r>
      <w:r w:rsidRPr="00A25C33">
        <w:rPr>
          <w:rFonts w:ascii="Times New Roman" w:eastAsia="Times New Roman" w:hAnsi="Times New Roman" w:cs="Times New Roman"/>
          <w:b/>
          <w:sz w:val="24"/>
          <w:szCs w:val="24"/>
        </w:rPr>
        <w:tab/>
        <w:t>Georgia Power Company’s Application to Adjust Rates to Include Certain Plant Vogtle Unit 3 and Common Costs</w:t>
      </w:r>
    </w:p>
    <w:p w14:paraId="0693432C" w14:textId="77777777" w:rsidR="006768E2" w:rsidRDefault="006768E2" w:rsidP="00A25C33">
      <w:pPr>
        <w:spacing w:after="0" w:line="240" w:lineRule="auto"/>
        <w:jc w:val="center"/>
        <w:rPr>
          <w:rFonts w:ascii="Times New Roman" w:eastAsia="Times New Roman" w:hAnsi="Times New Roman" w:cs="Times New Roman"/>
          <w:b/>
          <w:sz w:val="24"/>
          <w:szCs w:val="24"/>
        </w:rPr>
      </w:pPr>
    </w:p>
    <w:p w14:paraId="5A84ADA0" w14:textId="77777777" w:rsidR="00A25C33" w:rsidRDefault="00A25C33" w:rsidP="00A25C33">
      <w:pPr>
        <w:spacing w:after="0" w:line="240" w:lineRule="auto"/>
        <w:jc w:val="center"/>
        <w:rPr>
          <w:rFonts w:ascii="Times New Roman" w:eastAsia="Times New Roman" w:hAnsi="Times New Roman" w:cs="Times New Roman"/>
          <w:b/>
          <w:sz w:val="24"/>
          <w:szCs w:val="24"/>
        </w:rPr>
      </w:pPr>
    </w:p>
    <w:p w14:paraId="2F05A745" w14:textId="77777777" w:rsidR="00A25C33" w:rsidRDefault="00A25C33" w:rsidP="00A25C33">
      <w:pPr>
        <w:spacing w:after="0" w:line="240" w:lineRule="auto"/>
        <w:jc w:val="center"/>
        <w:rPr>
          <w:rFonts w:ascii="Times New Roman" w:eastAsia="Times New Roman" w:hAnsi="Times New Roman" w:cs="Times New Roman"/>
          <w:b/>
          <w:sz w:val="24"/>
          <w:szCs w:val="24"/>
          <w:u w:val="single"/>
        </w:rPr>
      </w:pPr>
      <w:r w:rsidRPr="00A25C33">
        <w:rPr>
          <w:rFonts w:ascii="Times New Roman" w:eastAsia="Times New Roman" w:hAnsi="Times New Roman" w:cs="Times New Roman"/>
          <w:b/>
          <w:sz w:val="24"/>
          <w:szCs w:val="24"/>
          <w:u w:val="single"/>
        </w:rPr>
        <w:t>ORDER</w:t>
      </w:r>
      <w:r w:rsidR="00DE3C82">
        <w:rPr>
          <w:rFonts w:ascii="Times New Roman" w:eastAsia="Times New Roman" w:hAnsi="Times New Roman" w:cs="Times New Roman"/>
          <w:b/>
          <w:sz w:val="24"/>
          <w:szCs w:val="24"/>
          <w:u w:val="single"/>
        </w:rPr>
        <w:t xml:space="preserve"> ADOPTING STIPULATION</w:t>
      </w:r>
    </w:p>
    <w:p w14:paraId="06EEDB3C" w14:textId="77777777" w:rsidR="00CC1079" w:rsidRPr="00A25C33" w:rsidRDefault="00CC1079" w:rsidP="00A25C33">
      <w:pPr>
        <w:spacing w:after="0" w:line="240" w:lineRule="auto"/>
        <w:jc w:val="center"/>
        <w:rPr>
          <w:rFonts w:ascii="Times New Roman" w:eastAsia="Times New Roman" w:hAnsi="Times New Roman" w:cs="Times New Roman"/>
          <w:b/>
          <w:sz w:val="24"/>
          <w:szCs w:val="24"/>
          <w:u w:val="single"/>
        </w:rPr>
      </w:pPr>
    </w:p>
    <w:p w14:paraId="4673E3B3" w14:textId="77777777" w:rsidR="000413B2" w:rsidRPr="000413B2" w:rsidRDefault="000413B2" w:rsidP="000413B2">
      <w:pPr>
        <w:keepNext/>
        <w:spacing w:after="0" w:line="240" w:lineRule="auto"/>
        <w:jc w:val="center"/>
        <w:outlineLvl w:val="8"/>
        <w:rPr>
          <w:rFonts w:ascii="Times New Roman" w:eastAsia="Times New Roman" w:hAnsi="Times New Roman" w:cs="Times New Roman"/>
          <w:b/>
          <w:bCs/>
          <w:sz w:val="24"/>
          <w:szCs w:val="20"/>
          <w:u w:val="single"/>
        </w:rPr>
      </w:pPr>
      <w:r w:rsidRPr="000413B2">
        <w:rPr>
          <w:rFonts w:ascii="Times New Roman" w:eastAsia="Times New Roman" w:hAnsi="Times New Roman" w:cs="Times New Roman"/>
          <w:b/>
          <w:bCs/>
          <w:sz w:val="24"/>
          <w:szCs w:val="20"/>
          <w:u w:val="single"/>
        </w:rPr>
        <w:t>APPEARANCES</w:t>
      </w:r>
    </w:p>
    <w:p w14:paraId="66F314F4" w14:textId="77777777" w:rsidR="000413B2" w:rsidRPr="000413B2" w:rsidRDefault="000413B2" w:rsidP="000413B2">
      <w:pPr>
        <w:spacing w:after="0" w:line="240" w:lineRule="auto"/>
        <w:jc w:val="both"/>
        <w:rPr>
          <w:rFonts w:ascii="Times New Roman" w:eastAsia="Times New Roman" w:hAnsi="Times New Roman" w:cs="Times New Roman"/>
          <w:sz w:val="24"/>
          <w:szCs w:val="20"/>
        </w:rPr>
      </w:pPr>
    </w:p>
    <w:p w14:paraId="1677C70F" w14:textId="77777777" w:rsidR="000413B2" w:rsidRPr="000413B2" w:rsidRDefault="000413B2" w:rsidP="000413B2">
      <w:pPr>
        <w:spacing w:after="0" w:line="240" w:lineRule="auto"/>
        <w:jc w:val="both"/>
        <w:rPr>
          <w:rFonts w:ascii="Times New Roman" w:eastAsia="Times New Roman" w:hAnsi="Times New Roman" w:cs="Times New Roman"/>
          <w:sz w:val="24"/>
          <w:szCs w:val="20"/>
        </w:rPr>
      </w:pPr>
    </w:p>
    <w:p w14:paraId="0C1C4BF1" w14:textId="77777777" w:rsidR="000413B2" w:rsidRPr="000413B2" w:rsidRDefault="000413B2" w:rsidP="000413B2">
      <w:pPr>
        <w:tabs>
          <w:tab w:val="left" w:pos="-720"/>
        </w:tabs>
        <w:suppressAutoHyphens/>
        <w:spacing w:after="0" w:line="240" w:lineRule="atLeast"/>
        <w:rPr>
          <w:rFonts w:ascii="Times New Roman" w:eastAsia="Times New Roman" w:hAnsi="Times New Roman" w:cs="Times New Roman"/>
          <w:sz w:val="24"/>
          <w:szCs w:val="24"/>
        </w:rPr>
      </w:pPr>
      <w:r w:rsidRPr="000413B2">
        <w:rPr>
          <w:rFonts w:ascii="Times New Roman" w:eastAsia="Times New Roman" w:hAnsi="Times New Roman" w:cs="Times New Roman"/>
          <w:sz w:val="24"/>
          <w:szCs w:val="24"/>
          <w:u w:val="single"/>
        </w:rPr>
        <w:t>On behalf of Georgia Public Service Commission Public Interest Advocacy Staff</w:t>
      </w:r>
      <w:r w:rsidRPr="000413B2">
        <w:rPr>
          <w:rFonts w:ascii="Times New Roman" w:eastAsia="Times New Roman" w:hAnsi="Times New Roman" w:cs="Times New Roman"/>
          <w:sz w:val="24"/>
          <w:szCs w:val="24"/>
        </w:rPr>
        <w:t>:</w:t>
      </w:r>
    </w:p>
    <w:p w14:paraId="349A0696" w14:textId="77777777" w:rsidR="000413B2" w:rsidRPr="000413B2" w:rsidRDefault="000413B2" w:rsidP="000413B2">
      <w:pPr>
        <w:tabs>
          <w:tab w:val="left" w:pos="-720"/>
        </w:tabs>
        <w:suppressAutoHyphens/>
        <w:spacing w:after="0" w:line="240" w:lineRule="atLeast"/>
        <w:rPr>
          <w:rFonts w:ascii="Times New Roman" w:eastAsia="Times New Roman" w:hAnsi="Times New Roman" w:cs="Times New Roman"/>
          <w:sz w:val="24"/>
          <w:szCs w:val="24"/>
        </w:rPr>
      </w:pPr>
    </w:p>
    <w:p w14:paraId="463DB1A5" w14:textId="77777777" w:rsidR="000413B2" w:rsidRDefault="000413B2" w:rsidP="000413B2">
      <w:pPr>
        <w:tabs>
          <w:tab w:val="left" w:pos="-720"/>
        </w:tabs>
        <w:suppressAutoHyphens/>
        <w:spacing w:after="0" w:line="240" w:lineRule="atLeast"/>
        <w:rPr>
          <w:rFonts w:ascii="Times New Roman" w:eastAsia="Times New Roman" w:hAnsi="Times New Roman" w:cs="Times New Roman"/>
          <w:sz w:val="24"/>
          <w:szCs w:val="24"/>
        </w:rPr>
      </w:pPr>
      <w:r w:rsidRPr="000413B2">
        <w:rPr>
          <w:rFonts w:ascii="Times New Roman" w:eastAsia="Times New Roman" w:hAnsi="Times New Roman" w:cs="Times New Roman"/>
          <w:sz w:val="24"/>
          <w:szCs w:val="24"/>
        </w:rPr>
        <w:tab/>
        <w:t>PRESTON THOMAS, Esq.</w:t>
      </w:r>
      <w:r>
        <w:rPr>
          <w:rFonts w:ascii="Times New Roman" w:eastAsia="Times New Roman" w:hAnsi="Times New Roman" w:cs="Times New Roman"/>
          <w:sz w:val="24"/>
          <w:szCs w:val="24"/>
        </w:rPr>
        <w:t xml:space="preserve"> and JACK BRANCH, Esq.</w:t>
      </w:r>
    </w:p>
    <w:p w14:paraId="13FB7E83" w14:textId="4A875E69" w:rsidR="000413B2" w:rsidRPr="000413B2" w:rsidRDefault="000413B2" w:rsidP="000413B2">
      <w:pPr>
        <w:tabs>
          <w:tab w:val="left" w:pos="-720"/>
        </w:tabs>
        <w:suppressAutoHyphens/>
        <w:spacing w:after="0" w:line="240" w:lineRule="atLeast"/>
        <w:rPr>
          <w:rFonts w:ascii="Times New Roman" w:eastAsia="Times New Roman" w:hAnsi="Times New Roman" w:cs="Times New Roman"/>
          <w:sz w:val="24"/>
          <w:szCs w:val="24"/>
        </w:rPr>
      </w:pPr>
      <w:r w:rsidRPr="000413B2">
        <w:rPr>
          <w:rFonts w:ascii="Times New Roman" w:eastAsia="Times New Roman" w:hAnsi="Times New Roman" w:cs="Times New Roman"/>
          <w:sz w:val="24"/>
          <w:szCs w:val="24"/>
        </w:rPr>
        <w:tab/>
      </w:r>
      <w:r w:rsidRPr="000413B2">
        <w:rPr>
          <w:rFonts w:ascii="Times New Roman" w:eastAsia="Times New Roman" w:hAnsi="Times New Roman" w:cs="Times New Roman"/>
          <w:sz w:val="24"/>
          <w:szCs w:val="24"/>
        </w:rPr>
        <w:tab/>
      </w:r>
    </w:p>
    <w:p w14:paraId="32312F26" w14:textId="77777777" w:rsidR="000413B2" w:rsidRPr="000413B2" w:rsidRDefault="000413B2" w:rsidP="000413B2">
      <w:pPr>
        <w:tabs>
          <w:tab w:val="left" w:pos="-720"/>
        </w:tabs>
        <w:suppressAutoHyphens/>
        <w:spacing w:after="0" w:line="240" w:lineRule="atLeast"/>
        <w:rPr>
          <w:rFonts w:ascii="Times New Roman" w:eastAsia="Times New Roman" w:hAnsi="Times New Roman" w:cs="Times New Roman"/>
          <w:sz w:val="24"/>
          <w:szCs w:val="24"/>
        </w:rPr>
      </w:pPr>
      <w:r w:rsidRPr="000413B2">
        <w:rPr>
          <w:rFonts w:ascii="Times New Roman" w:eastAsia="Times New Roman" w:hAnsi="Times New Roman" w:cs="Times New Roman"/>
          <w:sz w:val="24"/>
          <w:szCs w:val="24"/>
          <w:u w:val="single"/>
        </w:rPr>
        <w:t>On behalf of Georgia Power Company</w:t>
      </w:r>
      <w:r w:rsidRPr="000413B2">
        <w:rPr>
          <w:rFonts w:ascii="Times New Roman" w:eastAsia="Times New Roman" w:hAnsi="Times New Roman" w:cs="Times New Roman"/>
          <w:sz w:val="24"/>
          <w:szCs w:val="24"/>
        </w:rPr>
        <w:t>:</w:t>
      </w:r>
    </w:p>
    <w:p w14:paraId="23EA8A31" w14:textId="4EF2F066" w:rsidR="000413B2" w:rsidRPr="000413B2" w:rsidRDefault="000413B2" w:rsidP="000413B2">
      <w:pPr>
        <w:tabs>
          <w:tab w:val="left" w:pos="-720"/>
        </w:tabs>
        <w:suppressAutoHyphens/>
        <w:spacing w:after="0" w:line="240" w:lineRule="atLeast"/>
        <w:rPr>
          <w:rFonts w:ascii="Times New Roman" w:eastAsia="Times New Roman" w:hAnsi="Times New Roman" w:cs="Times New Roman"/>
          <w:sz w:val="24"/>
          <w:szCs w:val="24"/>
        </w:rPr>
      </w:pPr>
    </w:p>
    <w:p w14:paraId="77C434EB" w14:textId="07C16494" w:rsidR="000413B2" w:rsidRPr="000413B2" w:rsidRDefault="000413B2" w:rsidP="000413B2">
      <w:pPr>
        <w:tabs>
          <w:tab w:val="left" w:pos="-720"/>
        </w:tabs>
        <w:suppressAutoHyphens/>
        <w:spacing w:after="0" w:line="240" w:lineRule="atLeast"/>
        <w:ind w:left="720"/>
        <w:rPr>
          <w:rFonts w:ascii="Times New Roman" w:eastAsia="Times New Roman" w:hAnsi="Times New Roman" w:cs="Times New Roman"/>
          <w:sz w:val="24"/>
          <w:szCs w:val="20"/>
        </w:rPr>
      </w:pPr>
      <w:r w:rsidRPr="000413B2">
        <w:rPr>
          <w:rFonts w:ascii="Times New Roman" w:eastAsia="Times New Roman" w:hAnsi="Times New Roman" w:cs="Times New Roman"/>
          <w:sz w:val="24"/>
          <w:szCs w:val="24"/>
        </w:rPr>
        <w:t xml:space="preserve">KEVIN C. GREENE, Esq., </w:t>
      </w:r>
      <w:r w:rsidRPr="000413B2">
        <w:rPr>
          <w:rFonts w:ascii="Times New Roman" w:eastAsia="Times New Roman" w:hAnsi="Times New Roman" w:cs="Times New Roman"/>
          <w:sz w:val="24"/>
          <w:szCs w:val="20"/>
        </w:rPr>
        <w:t>STEVE HEWITSON, Esq.</w:t>
      </w:r>
      <w:r>
        <w:rPr>
          <w:rFonts w:ascii="Times New Roman" w:eastAsia="Times New Roman" w:hAnsi="Times New Roman" w:cs="Times New Roman"/>
          <w:sz w:val="24"/>
          <w:szCs w:val="20"/>
        </w:rPr>
        <w:t xml:space="preserve"> and ALLISON PRYOR, Esq.</w:t>
      </w:r>
    </w:p>
    <w:p w14:paraId="3D2F0146" w14:textId="77777777" w:rsidR="000413B2" w:rsidRPr="000413B2" w:rsidRDefault="000413B2" w:rsidP="000413B2">
      <w:pPr>
        <w:tabs>
          <w:tab w:val="left" w:pos="-720"/>
        </w:tabs>
        <w:suppressAutoHyphens/>
        <w:spacing w:after="0" w:line="240" w:lineRule="atLeast"/>
        <w:rPr>
          <w:rFonts w:ascii="Times New Roman" w:eastAsia="Times New Roman" w:hAnsi="Times New Roman" w:cs="Times New Roman"/>
          <w:sz w:val="24"/>
          <w:szCs w:val="24"/>
        </w:rPr>
      </w:pPr>
    </w:p>
    <w:p w14:paraId="4F50B578" w14:textId="63F8C6E9" w:rsidR="000413B2" w:rsidRPr="000413B2" w:rsidRDefault="000413B2" w:rsidP="000413B2">
      <w:pPr>
        <w:tabs>
          <w:tab w:val="left" w:pos="-720"/>
        </w:tabs>
        <w:suppressAutoHyphens/>
        <w:spacing w:after="0" w:line="240" w:lineRule="atLeast"/>
        <w:rPr>
          <w:rFonts w:ascii="Times New Roman" w:eastAsia="Times New Roman" w:hAnsi="Times New Roman" w:cs="Times New Roman"/>
          <w:sz w:val="24"/>
          <w:szCs w:val="24"/>
          <w:u w:val="single"/>
        </w:rPr>
      </w:pPr>
      <w:r w:rsidRPr="000413B2">
        <w:rPr>
          <w:rFonts w:ascii="Times New Roman" w:eastAsia="Times New Roman" w:hAnsi="Times New Roman" w:cs="Times New Roman"/>
          <w:sz w:val="24"/>
          <w:szCs w:val="24"/>
          <w:u w:val="single"/>
        </w:rPr>
        <w:t>On behalf of C</w:t>
      </w:r>
      <w:r>
        <w:rPr>
          <w:rFonts w:ascii="Times New Roman" w:eastAsia="Times New Roman" w:hAnsi="Times New Roman" w:cs="Times New Roman"/>
          <w:sz w:val="24"/>
          <w:szCs w:val="24"/>
          <w:u w:val="single"/>
        </w:rPr>
        <w:t>oncerned Ratepayers of Georgia</w:t>
      </w:r>
      <w:r w:rsidRPr="000413B2">
        <w:rPr>
          <w:rFonts w:ascii="Times New Roman" w:eastAsia="Times New Roman" w:hAnsi="Times New Roman" w:cs="Times New Roman"/>
          <w:sz w:val="24"/>
          <w:szCs w:val="24"/>
        </w:rPr>
        <w:t>:</w:t>
      </w:r>
    </w:p>
    <w:p w14:paraId="664E8AAB" w14:textId="77777777" w:rsidR="000413B2" w:rsidRPr="000413B2" w:rsidRDefault="000413B2" w:rsidP="000413B2">
      <w:pPr>
        <w:tabs>
          <w:tab w:val="left" w:pos="-720"/>
        </w:tabs>
        <w:suppressAutoHyphens/>
        <w:spacing w:after="0" w:line="240" w:lineRule="atLeast"/>
        <w:rPr>
          <w:rFonts w:ascii="Times New Roman" w:eastAsia="Times New Roman" w:hAnsi="Times New Roman" w:cs="Times New Roman"/>
          <w:sz w:val="24"/>
          <w:szCs w:val="24"/>
        </w:rPr>
      </w:pPr>
    </w:p>
    <w:p w14:paraId="6E2AA64C" w14:textId="14AABBA4" w:rsidR="000413B2" w:rsidRPr="000413B2" w:rsidRDefault="000413B2" w:rsidP="000413B2">
      <w:pPr>
        <w:tabs>
          <w:tab w:val="left" w:pos="-720"/>
        </w:tabs>
        <w:suppressAutoHyphens/>
        <w:spacing w:after="0" w:line="240" w:lineRule="atLeast"/>
        <w:rPr>
          <w:rFonts w:ascii="Times New Roman" w:eastAsia="Times New Roman" w:hAnsi="Times New Roman" w:cs="Times New Roman"/>
          <w:sz w:val="24"/>
          <w:szCs w:val="24"/>
        </w:rPr>
      </w:pPr>
      <w:r w:rsidRPr="000413B2">
        <w:rPr>
          <w:rFonts w:ascii="Times New Roman" w:eastAsia="Times New Roman" w:hAnsi="Times New Roman" w:cs="Times New Roman"/>
          <w:sz w:val="24"/>
          <w:szCs w:val="24"/>
        </w:rPr>
        <w:tab/>
      </w:r>
      <w:r>
        <w:rPr>
          <w:rFonts w:ascii="Times New Roman" w:eastAsia="Times New Roman" w:hAnsi="Times New Roman" w:cs="Times New Roman"/>
          <w:sz w:val="24"/>
          <w:szCs w:val="24"/>
        </w:rPr>
        <w:t>BEN J. STOCKTON AND STEVEN C. PRENOVITS</w:t>
      </w:r>
    </w:p>
    <w:p w14:paraId="753AAC30" w14:textId="77777777" w:rsidR="000413B2" w:rsidRPr="000413B2" w:rsidRDefault="000413B2" w:rsidP="000413B2">
      <w:pPr>
        <w:tabs>
          <w:tab w:val="left" w:pos="-720"/>
        </w:tabs>
        <w:suppressAutoHyphens/>
        <w:spacing w:after="0" w:line="240" w:lineRule="atLeast"/>
        <w:rPr>
          <w:rFonts w:ascii="Times New Roman" w:eastAsia="Times New Roman" w:hAnsi="Times New Roman" w:cs="Times New Roman"/>
          <w:sz w:val="24"/>
          <w:szCs w:val="24"/>
          <w:u w:val="single"/>
        </w:rPr>
      </w:pPr>
    </w:p>
    <w:p w14:paraId="77FE08C9" w14:textId="77777777" w:rsidR="000413B2" w:rsidRPr="000413B2" w:rsidRDefault="000413B2" w:rsidP="000413B2">
      <w:pPr>
        <w:tabs>
          <w:tab w:val="left" w:pos="-720"/>
        </w:tabs>
        <w:suppressAutoHyphens/>
        <w:spacing w:after="0" w:line="240" w:lineRule="atLeast"/>
        <w:rPr>
          <w:rFonts w:ascii="Times New Roman" w:eastAsia="Times New Roman" w:hAnsi="Times New Roman" w:cs="Times New Roman"/>
          <w:sz w:val="24"/>
          <w:szCs w:val="24"/>
        </w:rPr>
      </w:pPr>
      <w:r w:rsidRPr="000413B2">
        <w:rPr>
          <w:rFonts w:ascii="Times New Roman" w:eastAsia="Times New Roman" w:hAnsi="Times New Roman" w:cs="Times New Roman"/>
          <w:sz w:val="24"/>
          <w:szCs w:val="24"/>
          <w:u w:val="single"/>
        </w:rPr>
        <w:t>On behalf of Georgia Association of Manufacturers</w:t>
      </w:r>
      <w:r w:rsidRPr="000413B2">
        <w:rPr>
          <w:rFonts w:ascii="Times New Roman" w:eastAsia="Times New Roman" w:hAnsi="Times New Roman" w:cs="Times New Roman"/>
          <w:sz w:val="24"/>
          <w:szCs w:val="24"/>
        </w:rPr>
        <w:t>:</w:t>
      </w:r>
    </w:p>
    <w:p w14:paraId="67A3F157" w14:textId="77777777" w:rsidR="000413B2" w:rsidRPr="000413B2" w:rsidRDefault="000413B2" w:rsidP="000413B2">
      <w:pPr>
        <w:tabs>
          <w:tab w:val="left" w:pos="-720"/>
        </w:tabs>
        <w:suppressAutoHyphens/>
        <w:spacing w:after="0" w:line="240" w:lineRule="atLeast"/>
        <w:rPr>
          <w:rFonts w:ascii="Times New Roman" w:eastAsia="Times New Roman" w:hAnsi="Times New Roman" w:cs="Times New Roman"/>
          <w:sz w:val="24"/>
          <w:szCs w:val="24"/>
        </w:rPr>
      </w:pPr>
    </w:p>
    <w:p w14:paraId="176E8D38" w14:textId="77777777" w:rsidR="000413B2" w:rsidRPr="000413B2" w:rsidRDefault="000413B2" w:rsidP="000413B2">
      <w:pPr>
        <w:tabs>
          <w:tab w:val="left" w:pos="-720"/>
        </w:tabs>
        <w:suppressAutoHyphens/>
        <w:spacing w:after="0" w:line="240" w:lineRule="atLeast"/>
        <w:rPr>
          <w:rFonts w:ascii="Times New Roman" w:eastAsia="Times New Roman" w:hAnsi="Times New Roman" w:cs="Times New Roman"/>
          <w:sz w:val="24"/>
          <w:szCs w:val="24"/>
        </w:rPr>
      </w:pPr>
      <w:r w:rsidRPr="000413B2">
        <w:rPr>
          <w:rFonts w:ascii="Times New Roman" w:eastAsia="Times New Roman" w:hAnsi="Times New Roman" w:cs="Times New Roman"/>
          <w:sz w:val="24"/>
          <w:szCs w:val="24"/>
        </w:rPr>
        <w:tab/>
        <w:t>CHARLES B. JONES, III, Esq.</w:t>
      </w:r>
    </w:p>
    <w:p w14:paraId="072C656E" w14:textId="77777777" w:rsidR="000413B2" w:rsidRPr="000413B2" w:rsidRDefault="000413B2" w:rsidP="000413B2">
      <w:pPr>
        <w:tabs>
          <w:tab w:val="left" w:pos="-720"/>
        </w:tabs>
        <w:suppressAutoHyphens/>
        <w:spacing w:after="0" w:line="240" w:lineRule="atLeast"/>
        <w:rPr>
          <w:rFonts w:ascii="Times New Roman" w:eastAsia="Times New Roman" w:hAnsi="Times New Roman" w:cs="Times New Roman"/>
          <w:sz w:val="24"/>
          <w:szCs w:val="24"/>
        </w:rPr>
      </w:pPr>
    </w:p>
    <w:p w14:paraId="1352DEB1" w14:textId="0D0F81F5" w:rsidR="000413B2" w:rsidRPr="000413B2" w:rsidRDefault="000413B2" w:rsidP="000413B2">
      <w:pPr>
        <w:tabs>
          <w:tab w:val="left" w:pos="-720"/>
        </w:tabs>
        <w:suppressAutoHyphens/>
        <w:spacing w:after="0" w:line="240" w:lineRule="atLeast"/>
        <w:rPr>
          <w:rFonts w:ascii="Times New Roman" w:eastAsia="Times New Roman" w:hAnsi="Times New Roman" w:cs="Times New Roman"/>
          <w:sz w:val="24"/>
          <w:szCs w:val="24"/>
          <w:u w:val="single"/>
        </w:rPr>
      </w:pPr>
      <w:r w:rsidRPr="000413B2">
        <w:rPr>
          <w:rFonts w:ascii="Times New Roman" w:eastAsia="Times New Roman" w:hAnsi="Times New Roman" w:cs="Times New Roman"/>
          <w:sz w:val="24"/>
          <w:szCs w:val="24"/>
          <w:u w:val="single"/>
        </w:rPr>
        <w:t>On behalf of Georgia Interfaith Power &amp; Light</w:t>
      </w:r>
      <w:r w:rsidR="00AA6CE6">
        <w:rPr>
          <w:rFonts w:ascii="Times New Roman" w:eastAsia="Times New Roman" w:hAnsi="Times New Roman" w:cs="Times New Roman"/>
          <w:sz w:val="24"/>
          <w:szCs w:val="24"/>
          <w:u w:val="single"/>
        </w:rPr>
        <w:t xml:space="preserve"> and Partnership for Southern Equity</w:t>
      </w:r>
      <w:r w:rsidRPr="000413B2">
        <w:rPr>
          <w:rFonts w:ascii="Times New Roman" w:eastAsia="Times New Roman" w:hAnsi="Times New Roman" w:cs="Times New Roman"/>
          <w:sz w:val="24"/>
          <w:szCs w:val="24"/>
        </w:rPr>
        <w:t>:</w:t>
      </w:r>
    </w:p>
    <w:p w14:paraId="6D35F73A" w14:textId="77777777" w:rsidR="000413B2" w:rsidRPr="000413B2" w:rsidRDefault="000413B2" w:rsidP="000413B2">
      <w:pPr>
        <w:tabs>
          <w:tab w:val="left" w:pos="-720"/>
        </w:tabs>
        <w:suppressAutoHyphens/>
        <w:spacing w:after="0" w:line="240" w:lineRule="atLeast"/>
        <w:rPr>
          <w:rFonts w:ascii="Times New Roman" w:eastAsia="Times New Roman" w:hAnsi="Times New Roman" w:cs="Times New Roman"/>
          <w:sz w:val="24"/>
          <w:szCs w:val="24"/>
        </w:rPr>
      </w:pPr>
    </w:p>
    <w:p w14:paraId="4A5A5E7C" w14:textId="6C6CD7AE" w:rsidR="000413B2" w:rsidRPr="000413B2" w:rsidRDefault="000413B2" w:rsidP="00250357">
      <w:pPr>
        <w:tabs>
          <w:tab w:val="left" w:pos="-720"/>
        </w:tabs>
        <w:suppressAutoHyphens/>
        <w:spacing w:after="0" w:line="240" w:lineRule="atLeast"/>
        <w:ind w:left="720" w:hanging="720"/>
        <w:rPr>
          <w:rFonts w:ascii="Times New Roman" w:eastAsia="Times New Roman" w:hAnsi="Times New Roman" w:cs="Times New Roman"/>
          <w:sz w:val="24"/>
          <w:szCs w:val="24"/>
        </w:rPr>
      </w:pPr>
      <w:r w:rsidRPr="000413B2">
        <w:rPr>
          <w:rFonts w:ascii="Times New Roman" w:eastAsia="Times New Roman" w:hAnsi="Times New Roman" w:cs="Times New Roman"/>
          <w:sz w:val="24"/>
          <w:szCs w:val="24"/>
        </w:rPr>
        <w:lastRenderedPageBreak/>
        <w:tab/>
        <w:t>KURT EBERSBACH, Esq., JILLIAN KYSOR, Esq.</w:t>
      </w:r>
      <w:r w:rsidR="00AA6CE6">
        <w:rPr>
          <w:rFonts w:ascii="Times New Roman" w:eastAsia="Times New Roman" w:hAnsi="Times New Roman" w:cs="Times New Roman"/>
          <w:sz w:val="24"/>
          <w:szCs w:val="24"/>
        </w:rPr>
        <w:t xml:space="preserve"> and NICHA RAKPANICHMANEE, Esq.</w:t>
      </w:r>
    </w:p>
    <w:p w14:paraId="07E7A2FA" w14:textId="3D0329C7" w:rsidR="000413B2" w:rsidRDefault="000413B2" w:rsidP="000413B2">
      <w:pPr>
        <w:tabs>
          <w:tab w:val="left" w:pos="-720"/>
        </w:tabs>
        <w:suppressAutoHyphens/>
        <w:spacing w:after="0" w:line="240" w:lineRule="atLeast"/>
        <w:rPr>
          <w:rFonts w:ascii="Times New Roman" w:eastAsia="Times New Roman" w:hAnsi="Times New Roman" w:cs="Times New Roman"/>
          <w:sz w:val="24"/>
          <w:szCs w:val="20"/>
          <w:u w:val="single"/>
        </w:rPr>
      </w:pPr>
    </w:p>
    <w:p w14:paraId="3D668D03" w14:textId="77777777" w:rsidR="00934B0A" w:rsidRPr="000413B2" w:rsidRDefault="00934B0A" w:rsidP="000413B2">
      <w:pPr>
        <w:tabs>
          <w:tab w:val="left" w:pos="-720"/>
        </w:tabs>
        <w:suppressAutoHyphens/>
        <w:spacing w:after="0" w:line="240" w:lineRule="atLeast"/>
        <w:rPr>
          <w:rFonts w:ascii="Times New Roman" w:eastAsia="Times New Roman" w:hAnsi="Times New Roman" w:cs="Times New Roman"/>
          <w:sz w:val="24"/>
          <w:szCs w:val="20"/>
          <w:u w:val="single"/>
        </w:rPr>
      </w:pPr>
    </w:p>
    <w:p w14:paraId="019C994D" w14:textId="77777777" w:rsidR="000413B2" w:rsidRPr="000413B2" w:rsidRDefault="000413B2" w:rsidP="000413B2">
      <w:pPr>
        <w:tabs>
          <w:tab w:val="left" w:pos="-720"/>
        </w:tabs>
        <w:suppressAutoHyphens/>
        <w:spacing w:after="0" w:line="240" w:lineRule="atLeast"/>
        <w:rPr>
          <w:rFonts w:ascii="Times New Roman" w:eastAsia="Times New Roman" w:hAnsi="Times New Roman" w:cs="Times New Roman"/>
          <w:sz w:val="24"/>
          <w:szCs w:val="24"/>
        </w:rPr>
      </w:pPr>
      <w:r w:rsidRPr="000413B2">
        <w:rPr>
          <w:rFonts w:ascii="Times New Roman" w:eastAsia="Times New Roman" w:hAnsi="Times New Roman" w:cs="Times New Roman"/>
          <w:sz w:val="24"/>
          <w:szCs w:val="24"/>
          <w:u w:val="single"/>
        </w:rPr>
        <w:t>On behalf of Georgia Watch</w:t>
      </w:r>
      <w:r w:rsidRPr="000413B2">
        <w:rPr>
          <w:rFonts w:ascii="Times New Roman" w:eastAsia="Times New Roman" w:hAnsi="Times New Roman" w:cs="Times New Roman"/>
          <w:sz w:val="24"/>
          <w:szCs w:val="24"/>
        </w:rPr>
        <w:t>:</w:t>
      </w:r>
    </w:p>
    <w:p w14:paraId="6FB1E0D5" w14:textId="77777777" w:rsidR="000413B2" w:rsidRPr="000413B2" w:rsidRDefault="000413B2" w:rsidP="000413B2">
      <w:pPr>
        <w:tabs>
          <w:tab w:val="left" w:pos="-720"/>
        </w:tabs>
        <w:suppressAutoHyphens/>
        <w:spacing w:after="0" w:line="240" w:lineRule="atLeast"/>
        <w:rPr>
          <w:rFonts w:ascii="Times New Roman" w:eastAsia="Times New Roman" w:hAnsi="Times New Roman" w:cs="Times New Roman"/>
          <w:sz w:val="24"/>
          <w:szCs w:val="24"/>
        </w:rPr>
      </w:pPr>
    </w:p>
    <w:p w14:paraId="160B3E9F" w14:textId="77777777" w:rsidR="000413B2" w:rsidRPr="000413B2" w:rsidRDefault="000413B2" w:rsidP="000413B2">
      <w:pPr>
        <w:tabs>
          <w:tab w:val="left" w:pos="-720"/>
        </w:tabs>
        <w:suppressAutoHyphens/>
        <w:spacing w:after="0" w:line="240" w:lineRule="atLeast"/>
        <w:rPr>
          <w:rFonts w:ascii="Times New Roman" w:eastAsia="Times New Roman" w:hAnsi="Times New Roman" w:cs="Times New Roman"/>
          <w:sz w:val="24"/>
          <w:szCs w:val="24"/>
        </w:rPr>
      </w:pPr>
      <w:r w:rsidRPr="000413B2">
        <w:rPr>
          <w:rFonts w:ascii="Times New Roman" w:eastAsia="Times New Roman" w:hAnsi="Times New Roman" w:cs="Times New Roman"/>
          <w:sz w:val="24"/>
          <w:szCs w:val="20"/>
        </w:rPr>
        <w:tab/>
        <w:t>LIZ COYLE</w:t>
      </w:r>
    </w:p>
    <w:p w14:paraId="486E26B6" w14:textId="77777777" w:rsidR="000413B2" w:rsidRPr="000413B2" w:rsidRDefault="000413B2" w:rsidP="000413B2">
      <w:pPr>
        <w:tabs>
          <w:tab w:val="left" w:pos="-720"/>
        </w:tabs>
        <w:suppressAutoHyphens/>
        <w:spacing w:after="0" w:line="240" w:lineRule="atLeast"/>
        <w:rPr>
          <w:rFonts w:ascii="Times New Roman" w:eastAsia="Times New Roman" w:hAnsi="Times New Roman" w:cs="Times New Roman"/>
          <w:sz w:val="24"/>
          <w:szCs w:val="24"/>
        </w:rPr>
      </w:pPr>
    </w:p>
    <w:p w14:paraId="44D002DC" w14:textId="37591817" w:rsidR="000413B2" w:rsidRPr="000413B2" w:rsidRDefault="000413B2" w:rsidP="000413B2">
      <w:pPr>
        <w:tabs>
          <w:tab w:val="left" w:pos="-720"/>
        </w:tabs>
        <w:suppressAutoHyphens/>
        <w:spacing w:after="0" w:line="240" w:lineRule="atLeast"/>
        <w:rPr>
          <w:rFonts w:ascii="Times New Roman" w:eastAsia="Times New Roman" w:hAnsi="Times New Roman" w:cs="Times New Roman"/>
          <w:sz w:val="24"/>
          <w:szCs w:val="24"/>
        </w:rPr>
      </w:pPr>
      <w:r w:rsidRPr="000413B2">
        <w:rPr>
          <w:rFonts w:ascii="Times New Roman" w:eastAsia="Times New Roman" w:hAnsi="Times New Roman" w:cs="Times New Roman"/>
          <w:sz w:val="24"/>
          <w:szCs w:val="24"/>
          <w:u w:val="single"/>
        </w:rPr>
        <w:t xml:space="preserve">On behalf of </w:t>
      </w:r>
      <w:r w:rsidR="00AA6CE6">
        <w:rPr>
          <w:rFonts w:ascii="Times New Roman" w:eastAsia="Times New Roman" w:hAnsi="Times New Roman" w:cs="Times New Roman"/>
          <w:sz w:val="24"/>
          <w:szCs w:val="24"/>
          <w:u w:val="single"/>
        </w:rPr>
        <w:t>Interstate Gas Supply</w:t>
      </w:r>
      <w:r w:rsidRPr="000413B2">
        <w:rPr>
          <w:rFonts w:ascii="Times New Roman" w:eastAsia="Times New Roman" w:hAnsi="Times New Roman" w:cs="Times New Roman"/>
          <w:sz w:val="24"/>
          <w:szCs w:val="24"/>
        </w:rPr>
        <w:t>:</w:t>
      </w:r>
    </w:p>
    <w:p w14:paraId="7B0A9D97" w14:textId="77777777" w:rsidR="000413B2" w:rsidRPr="000413B2" w:rsidRDefault="000413B2" w:rsidP="000413B2">
      <w:pPr>
        <w:tabs>
          <w:tab w:val="left" w:pos="-720"/>
        </w:tabs>
        <w:suppressAutoHyphens/>
        <w:spacing w:after="0" w:line="240" w:lineRule="atLeast"/>
        <w:rPr>
          <w:rFonts w:ascii="Times New Roman" w:eastAsia="Times New Roman" w:hAnsi="Times New Roman" w:cs="Times New Roman"/>
          <w:sz w:val="24"/>
          <w:szCs w:val="24"/>
        </w:rPr>
      </w:pPr>
    </w:p>
    <w:p w14:paraId="614CAABB" w14:textId="2C116711" w:rsidR="000413B2" w:rsidRPr="000413B2" w:rsidRDefault="000413B2" w:rsidP="000413B2">
      <w:pPr>
        <w:tabs>
          <w:tab w:val="left" w:pos="-720"/>
        </w:tabs>
        <w:suppressAutoHyphens/>
        <w:spacing w:after="0" w:line="240" w:lineRule="atLeast"/>
        <w:rPr>
          <w:rFonts w:ascii="Times New Roman" w:eastAsia="Times New Roman" w:hAnsi="Times New Roman" w:cs="Times New Roman"/>
          <w:sz w:val="24"/>
          <w:szCs w:val="24"/>
        </w:rPr>
      </w:pPr>
      <w:r w:rsidRPr="000413B2">
        <w:rPr>
          <w:rFonts w:ascii="Times New Roman" w:eastAsia="Times New Roman" w:hAnsi="Times New Roman" w:cs="Times New Roman"/>
          <w:sz w:val="24"/>
          <w:szCs w:val="24"/>
        </w:rPr>
        <w:tab/>
      </w:r>
      <w:r w:rsidR="00AA6CE6">
        <w:rPr>
          <w:rFonts w:ascii="Times New Roman" w:eastAsia="Times New Roman" w:hAnsi="Times New Roman" w:cs="Times New Roman"/>
          <w:sz w:val="24"/>
          <w:szCs w:val="24"/>
        </w:rPr>
        <w:t xml:space="preserve">BRAD CARVER, </w:t>
      </w:r>
      <w:r w:rsidRPr="000413B2">
        <w:rPr>
          <w:rFonts w:ascii="Times New Roman" w:eastAsia="Times New Roman" w:hAnsi="Times New Roman" w:cs="Times New Roman"/>
          <w:sz w:val="24"/>
          <w:szCs w:val="24"/>
        </w:rPr>
        <w:t xml:space="preserve">Esq. </w:t>
      </w:r>
    </w:p>
    <w:bookmarkEnd w:id="0"/>
    <w:p w14:paraId="553EB1F5" w14:textId="77777777" w:rsidR="000413B2" w:rsidRPr="000413B2" w:rsidRDefault="000413B2" w:rsidP="000413B2">
      <w:pPr>
        <w:tabs>
          <w:tab w:val="left" w:pos="-720"/>
        </w:tabs>
        <w:suppressAutoHyphens/>
        <w:spacing w:after="0" w:line="240" w:lineRule="atLeast"/>
        <w:rPr>
          <w:rFonts w:ascii="Times New Roman" w:eastAsia="Times New Roman" w:hAnsi="Times New Roman" w:cs="Times New Roman"/>
          <w:sz w:val="24"/>
          <w:szCs w:val="24"/>
        </w:rPr>
      </w:pPr>
    </w:p>
    <w:p w14:paraId="613DDEAA" w14:textId="77777777" w:rsidR="000413B2" w:rsidRPr="000413B2" w:rsidRDefault="000413B2" w:rsidP="000413B2">
      <w:pPr>
        <w:tabs>
          <w:tab w:val="left" w:pos="-720"/>
        </w:tabs>
        <w:suppressAutoHyphens/>
        <w:spacing w:after="0" w:line="240" w:lineRule="atLeast"/>
        <w:rPr>
          <w:rFonts w:ascii="Times New Roman" w:eastAsia="Times New Roman" w:hAnsi="Times New Roman" w:cs="Times New Roman"/>
          <w:sz w:val="24"/>
          <w:szCs w:val="24"/>
          <w:u w:val="single"/>
        </w:rPr>
      </w:pPr>
      <w:r w:rsidRPr="000413B2">
        <w:rPr>
          <w:rFonts w:ascii="Times New Roman" w:eastAsia="Times New Roman" w:hAnsi="Times New Roman" w:cs="Times New Roman"/>
          <w:sz w:val="24"/>
          <w:szCs w:val="24"/>
          <w:u w:val="single"/>
        </w:rPr>
        <w:t>On behalf of Metropolitan Atlanta Rapid Transit Authority</w:t>
      </w:r>
      <w:r w:rsidRPr="000413B2">
        <w:rPr>
          <w:rFonts w:ascii="Times New Roman" w:eastAsia="Times New Roman" w:hAnsi="Times New Roman" w:cs="Times New Roman"/>
          <w:sz w:val="24"/>
          <w:szCs w:val="24"/>
        </w:rPr>
        <w:t>:</w:t>
      </w:r>
    </w:p>
    <w:p w14:paraId="1D9417B8" w14:textId="77777777" w:rsidR="000413B2" w:rsidRPr="000413B2" w:rsidRDefault="000413B2" w:rsidP="000413B2">
      <w:pPr>
        <w:tabs>
          <w:tab w:val="left" w:pos="-720"/>
        </w:tabs>
        <w:suppressAutoHyphens/>
        <w:spacing w:after="0" w:line="240" w:lineRule="atLeast"/>
        <w:rPr>
          <w:rFonts w:ascii="Times New Roman" w:eastAsia="Times New Roman" w:hAnsi="Times New Roman" w:cs="Times New Roman"/>
          <w:sz w:val="24"/>
          <w:szCs w:val="24"/>
        </w:rPr>
      </w:pPr>
    </w:p>
    <w:p w14:paraId="555EC044" w14:textId="03793D23" w:rsidR="000413B2" w:rsidRPr="000413B2" w:rsidRDefault="000413B2" w:rsidP="000413B2">
      <w:pPr>
        <w:tabs>
          <w:tab w:val="left" w:pos="-720"/>
        </w:tabs>
        <w:suppressAutoHyphens/>
        <w:spacing w:after="0" w:line="240" w:lineRule="atLeast"/>
        <w:rPr>
          <w:rFonts w:ascii="Times New Roman" w:eastAsia="Times New Roman" w:hAnsi="Times New Roman" w:cs="Times New Roman"/>
          <w:sz w:val="24"/>
          <w:szCs w:val="24"/>
        </w:rPr>
      </w:pPr>
      <w:r w:rsidRPr="000413B2">
        <w:rPr>
          <w:rFonts w:ascii="Times New Roman" w:eastAsia="Times New Roman" w:hAnsi="Times New Roman" w:cs="Times New Roman"/>
          <w:sz w:val="24"/>
          <w:szCs w:val="20"/>
        </w:rPr>
        <w:tab/>
        <w:t xml:space="preserve">ROBERT BAKER, </w:t>
      </w:r>
      <w:r w:rsidRPr="000413B2">
        <w:rPr>
          <w:rFonts w:ascii="Times New Roman" w:eastAsia="Times New Roman" w:hAnsi="Times New Roman" w:cs="Times New Roman"/>
          <w:sz w:val="24"/>
          <w:szCs w:val="24"/>
        </w:rPr>
        <w:t>Esq.</w:t>
      </w:r>
    </w:p>
    <w:p w14:paraId="2F02C30D" w14:textId="77777777" w:rsidR="000413B2" w:rsidRPr="000413B2" w:rsidRDefault="000413B2" w:rsidP="000413B2">
      <w:pPr>
        <w:tabs>
          <w:tab w:val="left" w:pos="-720"/>
        </w:tabs>
        <w:suppressAutoHyphens/>
        <w:spacing w:after="0" w:line="240" w:lineRule="atLeast"/>
        <w:rPr>
          <w:rFonts w:ascii="Times New Roman" w:eastAsia="Times New Roman" w:hAnsi="Times New Roman" w:cs="Times New Roman"/>
          <w:sz w:val="24"/>
          <w:szCs w:val="24"/>
        </w:rPr>
      </w:pPr>
    </w:p>
    <w:p w14:paraId="1801951A" w14:textId="77777777" w:rsidR="000413B2" w:rsidRPr="000413B2" w:rsidRDefault="000413B2" w:rsidP="000413B2">
      <w:pPr>
        <w:tabs>
          <w:tab w:val="left" w:pos="-720"/>
        </w:tabs>
        <w:suppressAutoHyphens/>
        <w:spacing w:after="0" w:line="240" w:lineRule="atLeast"/>
        <w:rPr>
          <w:rFonts w:ascii="Times New Roman" w:eastAsia="Times New Roman" w:hAnsi="Times New Roman" w:cs="Times New Roman"/>
          <w:sz w:val="24"/>
          <w:szCs w:val="24"/>
        </w:rPr>
      </w:pPr>
      <w:r w:rsidRPr="000413B2">
        <w:rPr>
          <w:rFonts w:ascii="Times New Roman" w:eastAsia="Times New Roman" w:hAnsi="Times New Roman" w:cs="Times New Roman"/>
          <w:sz w:val="24"/>
          <w:szCs w:val="24"/>
          <w:u w:val="single"/>
        </w:rPr>
        <w:t>On behalf of Resource Supply Management</w:t>
      </w:r>
      <w:r w:rsidRPr="000413B2">
        <w:rPr>
          <w:rFonts w:ascii="Times New Roman" w:eastAsia="Times New Roman" w:hAnsi="Times New Roman" w:cs="Times New Roman"/>
          <w:sz w:val="24"/>
          <w:szCs w:val="24"/>
        </w:rPr>
        <w:t>:</w:t>
      </w:r>
    </w:p>
    <w:p w14:paraId="0FC1D5F3" w14:textId="77777777" w:rsidR="000413B2" w:rsidRPr="000413B2" w:rsidRDefault="000413B2" w:rsidP="000413B2">
      <w:pPr>
        <w:tabs>
          <w:tab w:val="left" w:pos="-720"/>
        </w:tabs>
        <w:suppressAutoHyphens/>
        <w:spacing w:after="0" w:line="240" w:lineRule="atLeast"/>
        <w:rPr>
          <w:rFonts w:ascii="Times New Roman" w:eastAsia="Times New Roman" w:hAnsi="Times New Roman" w:cs="Times New Roman"/>
          <w:sz w:val="24"/>
          <w:szCs w:val="24"/>
        </w:rPr>
      </w:pPr>
    </w:p>
    <w:p w14:paraId="5B658576" w14:textId="7DBF79B1" w:rsidR="00AA6CE6" w:rsidRDefault="000413B2" w:rsidP="000413B2">
      <w:pPr>
        <w:tabs>
          <w:tab w:val="left" w:pos="-720"/>
        </w:tabs>
        <w:suppressAutoHyphens/>
        <w:spacing w:after="0" w:line="240" w:lineRule="atLeast"/>
        <w:rPr>
          <w:rFonts w:ascii="Times New Roman" w:eastAsia="Times New Roman" w:hAnsi="Times New Roman" w:cs="Times New Roman"/>
          <w:sz w:val="24"/>
          <w:szCs w:val="24"/>
        </w:rPr>
      </w:pPr>
      <w:r w:rsidRPr="000413B2">
        <w:rPr>
          <w:rFonts w:ascii="Times New Roman" w:eastAsia="Times New Roman" w:hAnsi="Times New Roman" w:cs="Times New Roman"/>
          <w:sz w:val="24"/>
          <w:szCs w:val="24"/>
        </w:rPr>
        <w:tab/>
        <w:t>JIM CLARKSON</w:t>
      </w:r>
    </w:p>
    <w:p w14:paraId="35AC69D2" w14:textId="77777777" w:rsidR="00AA6CE6" w:rsidRDefault="00AA6CE6" w:rsidP="000413B2">
      <w:pPr>
        <w:tabs>
          <w:tab w:val="left" w:pos="-720"/>
        </w:tabs>
        <w:suppressAutoHyphens/>
        <w:spacing w:after="0" w:line="240" w:lineRule="atLeast"/>
        <w:rPr>
          <w:rFonts w:ascii="Times New Roman" w:eastAsia="Times New Roman" w:hAnsi="Times New Roman" w:cs="Times New Roman"/>
          <w:sz w:val="24"/>
          <w:szCs w:val="24"/>
        </w:rPr>
      </w:pPr>
    </w:p>
    <w:p w14:paraId="6DBD0D06" w14:textId="78E5AADF" w:rsidR="00AA6CE6" w:rsidRDefault="00AA6CE6" w:rsidP="000413B2">
      <w:pPr>
        <w:tabs>
          <w:tab w:val="left" w:pos="-720"/>
        </w:tabs>
        <w:suppressAutoHyphens/>
        <w:spacing w:after="0" w:line="240" w:lineRule="atLeast"/>
        <w:rPr>
          <w:rFonts w:ascii="Times New Roman" w:eastAsia="Times New Roman" w:hAnsi="Times New Roman" w:cs="Times New Roman"/>
          <w:sz w:val="24"/>
          <w:szCs w:val="24"/>
        </w:rPr>
      </w:pPr>
      <w:r w:rsidRPr="00250357">
        <w:rPr>
          <w:rFonts w:ascii="Times New Roman" w:eastAsia="Times New Roman" w:hAnsi="Times New Roman" w:cs="Times New Roman"/>
          <w:sz w:val="24"/>
          <w:szCs w:val="24"/>
          <w:u w:val="single"/>
        </w:rPr>
        <w:t>On behalf of Southern Alliance for Clean Energy</w:t>
      </w:r>
      <w:r>
        <w:rPr>
          <w:rFonts w:ascii="Times New Roman" w:eastAsia="Times New Roman" w:hAnsi="Times New Roman" w:cs="Times New Roman"/>
          <w:sz w:val="24"/>
          <w:szCs w:val="24"/>
        </w:rPr>
        <w:t>:</w:t>
      </w:r>
    </w:p>
    <w:p w14:paraId="1DD9225A" w14:textId="77777777" w:rsidR="00A12EF7" w:rsidRDefault="00A12EF7" w:rsidP="000413B2">
      <w:pPr>
        <w:tabs>
          <w:tab w:val="left" w:pos="-720"/>
        </w:tabs>
        <w:suppressAutoHyphens/>
        <w:spacing w:after="0" w:line="240" w:lineRule="atLeast"/>
        <w:rPr>
          <w:rFonts w:ascii="Times New Roman" w:eastAsia="Times New Roman" w:hAnsi="Times New Roman" w:cs="Times New Roman"/>
          <w:sz w:val="24"/>
          <w:szCs w:val="24"/>
        </w:rPr>
      </w:pPr>
    </w:p>
    <w:p w14:paraId="1A39740A" w14:textId="204E6131" w:rsidR="000413B2" w:rsidRDefault="00AA6CE6" w:rsidP="000413B2">
      <w:pPr>
        <w:tabs>
          <w:tab w:val="left" w:pos="-720"/>
        </w:tabs>
        <w:suppressAutoHyphens/>
        <w:spacing w:after="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t>BRYAN JACOB</w:t>
      </w:r>
      <w:r w:rsidR="000413B2" w:rsidRPr="000413B2">
        <w:rPr>
          <w:rFonts w:ascii="Times New Roman" w:eastAsia="Times New Roman" w:hAnsi="Times New Roman" w:cs="Times New Roman"/>
          <w:sz w:val="24"/>
          <w:szCs w:val="24"/>
        </w:rPr>
        <w:tab/>
      </w:r>
    </w:p>
    <w:p w14:paraId="79F35769" w14:textId="77777777" w:rsidR="00187D1D" w:rsidRPr="000413B2" w:rsidRDefault="00187D1D" w:rsidP="000413B2">
      <w:pPr>
        <w:tabs>
          <w:tab w:val="left" w:pos="-720"/>
        </w:tabs>
        <w:suppressAutoHyphens/>
        <w:spacing w:after="0" w:line="240" w:lineRule="atLeast"/>
        <w:rPr>
          <w:rFonts w:ascii="Times New Roman" w:eastAsia="Times New Roman" w:hAnsi="Times New Roman" w:cs="Times New Roman"/>
          <w:sz w:val="24"/>
          <w:szCs w:val="24"/>
        </w:rPr>
      </w:pPr>
    </w:p>
    <w:p w14:paraId="21BB0F80" w14:textId="77777777" w:rsidR="00187D1D" w:rsidRDefault="00187D1D" w:rsidP="00187D1D">
      <w:pPr>
        <w:pStyle w:val="Quote2"/>
        <w:spacing w:after="0"/>
        <w:jc w:val="center"/>
        <w:rPr>
          <w:b/>
          <w:sz w:val="24"/>
        </w:rPr>
      </w:pPr>
      <w:r w:rsidRPr="00504DF0">
        <w:rPr>
          <w:b/>
          <w:sz w:val="24"/>
        </w:rPr>
        <w:t xml:space="preserve">STATEMENT OF </w:t>
      </w:r>
      <w:bookmarkStart w:id="1" w:name="_Toc26610015"/>
      <w:bookmarkStart w:id="2" w:name="_Toc26774269"/>
      <w:r w:rsidRPr="00504DF0">
        <w:rPr>
          <w:b/>
          <w:sz w:val="24"/>
        </w:rPr>
        <w:t>PROCEEDING</w:t>
      </w:r>
      <w:bookmarkEnd w:id="1"/>
      <w:bookmarkEnd w:id="2"/>
      <w:r w:rsidRPr="00504DF0">
        <w:rPr>
          <w:b/>
          <w:sz w:val="24"/>
        </w:rPr>
        <w:t>S</w:t>
      </w:r>
    </w:p>
    <w:p w14:paraId="15593E23" w14:textId="77777777" w:rsidR="00187D1D" w:rsidRDefault="00187D1D"/>
    <w:p w14:paraId="5957C503" w14:textId="2A5EE22E" w:rsidR="00D57EC3" w:rsidRDefault="00A25C33" w:rsidP="00E720A1">
      <w:pPr>
        <w:spacing w:after="0" w:line="276" w:lineRule="auto"/>
        <w:ind w:firstLine="720"/>
        <w:jc w:val="both"/>
        <w:rPr>
          <w:rFonts w:ascii="Times New Roman" w:eastAsia="Times New Roman" w:hAnsi="Times New Roman" w:cs="Times New Roman"/>
          <w:sz w:val="24"/>
          <w:szCs w:val="24"/>
        </w:rPr>
      </w:pPr>
      <w:r w:rsidRPr="00A25C33">
        <w:rPr>
          <w:rFonts w:ascii="Times New Roman" w:eastAsia="Times New Roman" w:hAnsi="Times New Roman" w:cs="Times New Roman"/>
          <w:sz w:val="24"/>
          <w:szCs w:val="24"/>
        </w:rPr>
        <w:t xml:space="preserve">In its January 11, 2018 </w:t>
      </w:r>
      <w:hyperlink r:id="rId9" w:history="1">
        <w:r w:rsidRPr="00DE3C82">
          <w:rPr>
            <w:rFonts w:ascii="Times New Roman" w:eastAsia="Times New Roman" w:hAnsi="Times New Roman" w:cs="Times New Roman"/>
            <w:color w:val="000000"/>
            <w:sz w:val="24"/>
            <w:szCs w:val="24"/>
            <w:u w:val="single"/>
          </w:rPr>
          <w:t>Order</w:t>
        </w:r>
      </w:hyperlink>
      <w:r w:rsidRPr="00A25C33">
        <w:rPr>
          <w:rFonts w:ascii="Times New Roman" w:eastAsia="Times New Roman" w:hAnsi="Times New Roman" w:cs="Times New Roman"/>
          <w:sz w:val="24"/>
          <w:szCs w:val="24"/>
        </w:rPr>
        <w:t xml:space="preserve"> in the 17</w:t>
      </w:r>
      <w:r w:rsidRPr="00A25C33">
        <w:rPr>
          <w:rFonts w:ascii="Times New Roman" w:eastAsia="Times New Roman" w:hAnsi="Times New Roman" w:cs="Times New Roman"/>
          <w:sz w:val="24"/>
          <w:szCs w:val="24"/>
          <w:vertAlign w:val="superscript"/>
        </w:rPr>
        <w:t>th</w:t>
      </w:r>
      <w:r w:rsidRPr="00A25C33">
        <w:rPr>
          <w:rFonts w:ascii="Times New Roman" w:eastAsia="Times New Roman" w:hAnsi="Times New Roman" w:cs="Times New Roman"/>
          <w:sz w:val="24"/>
          <w:szCs w:val="24"/>
        </w:rPr>
        <w:t xml:space="preserve"> Vogtle Construction Monitoring (“</w:t>
      </w:r>
      <w:r w:rsidR="000E781A">
        <w:rPr>
          <w:rFonts w:ascii="Times New Roman" w:eastAsia="Times New Roman" w:hAnsi="Times New Roman" w:cs="Times New Roman"/>
          <w:sz w:val="24"/>
          <w:szCs w:val="24"/>
        </w:rPr>
        <w:t>17th</w:t>
      </w:r>
      <w:r w:rsidRPr="00A25C33">
        <w:rPr>
          <w:rFonts w:ascii="Times New Roman" w:eastAsia="Times New Roman" w:hAnsi="Times New Roman" w:cs="Times New Roman"/>
          <w:sz w:val="24"/>
          <w:szCs w:val="24"/>
        </w:rPr>
        <w:t>VCM</w:t>
      </w:r>
      <w:r w:rsidR="000E781A">
        <w:rPr>
          <w:rFonts w:ascii="Times New Roman" w:eastAsia="Times New Roman" w:hAnsi="Times New Roman" w:cs="Times New Roman"/>
          <w:sz w:val="24"/>
          <w:szCs w:val="24"/>
        </w:rPr>
        <w:t xml:space="preserve"> Order</w:t>
      </w:r>
      <w:r w:rsidRPr="00A25C33">
        <w:rPr>
          <w:rFonts w:ascii="Times New Roman" w:eastAsia="Times New Roman" w:hAnsi="Times New Roman" w:cs="Times New Roman"/>
          <w:sz w:val="24"/>
          <w:szCs w:val="24"/>
        </w:rPr>
        <w:t xml:space="preserve">”) proceeding, Docket No. 29849, the </w:t>
      </w:r>
      <w:r w:rsidR="008B082B">
        <w:rPr>
          <w:rFonts w:ascii="Times New Roman" w:eastAsia="Times New Roman" w:hAnsi="Times New Roman" w:cs="Times New Roman"/>
          <w:sz w:val="24"/>
          <w:szCs w:val="24"/>
        </w:rPr>
        <w:t xml:space="preserve">Georgia Public Service </w:t>
      </w:r>
      <w:r w:rsidRPr="00A25C33">
        <w:rPr>
          <w:rFonts w:ascii="Times New Roman" w:eastAsia="Times New Roman" w:hAnsi="Times New Roman" w:cs="Times New Roman"/>
          <w:sz w:val="24"/>
          <w:szCs w:val="24"/>
        </w:rPr>
        <w:t xml:space="preserve">Commission </w:t>
      </w:r>
      <w:r w:rsidR="008B082B">
        <w:rPr>
          <w:rFonts w:ascii="Times New Roman" w:eastAsia="Times New Roman" w:hAnsi="Times New Roman" w:cs="Times New Roman"/>
          <w:sz w:val="24"/>
          <w:szCs w:val="24"/>
        </w:rPr>
        <w:t xml:space="preserve">(“Commission”) </w:t>
      </w:r>
      <w:r w:rsidRPr="00A25C33">
        <w:rPr>
          <w:rFonts w:ascii="Times New Roman" w:eastAsia="Times New Roman" w:hAnsi="Times New Roman" w:cs="Times New Roman"/>
          <w:sz w:val="24"/>
          <w:szCs w:val="24"/>
        </w:rPr>
        <w:t>determined that upon reaching Commercial Operation of Unit 3, retail base rates w</w:t>
      </w:r>
      <w:r w:rsidR="00E40510">
        <w:rPr>
          <w:rFonts w:ascii="Times New Roman" w:eastAsia="Times New Roman" w:hAnsi="Times New Roman" w:cs="Times New Roman"/>
          <w:sz w:val="24"/>
          <w:szCs w:val="24"/>
        </w:rPr>
        <w:t>ould</w:t>
      </w:r>
      <w:r w:rsidRPr="00A25C33">
        <w:rPr>
          <w:rFonts w:ascii="Times New Roman" w:eastAsia="Times New Roman" w:hAnsi="Times New Roman" w:cs="Times New Roman"/>
          <w:sz w:val="24"/>
          <w:szCs w:val="24"/>
        </w:rPr>
        <w:t xml:space="preserve"> be adjusted to include the costs related to Unit 3 and common facilities which were deemed prudent in the January 3, 2017 Supplemental Information Review </w:t>
      </w:r>
      <w:hyperlink r:id="rId10" w:history="1">
        <w:r w:rsidRPr="00FB2B5C">
          <w:rPr>
            <w:rFonts w:ascii="Times New Roman" w:eastAsia="Times New Roman" w:hAnsi="Times New Roman" w:cs="Times New Roman"/>
            <w:color w:val="000000"/>
            <w:sz w:val="24"/>
            <w:szCs w:val="24"/>
            <w:u w:val="single"/>
          </w:rPr>
          <w:t>Stipulation</w:t>
        </w:r>
      </w:hyperlink>
      <w:r w:rsidR="00FB2B5C">
        <w:rPr>
          <w:rFonts w:ascii="Times New Roman" w:eastAsia="Times New Roman" w:hAnsi="Times New Roman" w:cs="Times New Roman"/>
          <w:color w:val="000000"/>
          <w:sz w:val="24"/>
          <w:szCs w:val="24"/>
        </w:rPr>
        <w:t xml:space="preserve"> </w:t>
      </w:r>
      <w:r w:rsidR="00DC5601" w:rsidRPr="00DC5601">
        <w:rPr>
          <w:rFonts w:ascii="Times New Roman" w:eastAsia="Times New Roman" w:hAnsi="Times New Roman" w:cs="Times New Roman"/>
          <w:color w:val="000000"/>
          <w:sz w:val="24"/>
          <w:szCs w:val="24"/>
        </w:rPr>
        <w:t>(“SIR Stipulation”)</w:t>
      </w:r>
      <w:r w:rsidRPr="00A25C33">
        <w:rPr>
          <w:rFonts w:ascii="Times New Roman" w:eastAsia="Times New Roman" w:hAnsi="Times New Roman" w:cs="Times New Roman"/>
          <w:sz w:val="24"/>
          <w:szCs w:val="24"/>
        </w:rPr>
        <w:t>. The Commission also determined that this rate adjustment</w:t>
      </w:r>
      <w:r w:rsidR="001F4B48">
        <w:rPr>
          <w:rFonts w:ascii="Times New Roman" w:eastAsia="Times New Roman" w:hAnsi="Times New Roman" w:cs="Times New Roman"/>
          <w:sz w:val="24"/>
          <w:szCs w:val="24"/>
        </w:rPr>
        <w:t xml:space="preserve"> would</w:t>
      </w:r>
      <w:r w:rsidRPr="00A25C33">
        <w:rPr>
          <w:rFonts w:ascii="Times New Roman" w:eastAsia="Times New Roman" w:hAnsi="Times New Roman" w:cs="Times New Roman"/>
          <w:sz w:val="24"/>
          <w:szCs w:val="24"/>
        </w:rPr>
        <w:t xml:space="preserve"> be effective the first month after Unit 3 is in Commercial Operation. </w:t>
      </w:r>
    </w:p>
    <w:p w14:paraId="172DF54F" w14:textId="77777777" w:rsidR="00D57EC3" w:rsidRDefault="00D57EC3" w:rsidP="00E720A1">
      <w:pPr>
        <w:spacing w:after="0" w:line="276" w:lineRule="auto"/>
        <w:ind w:firstLine="720"/>
        <w:jc w:val="both"/>
        <w:rPr>
          <w:rFonts w:ascii="Times New Roman" w:eastAsia="Times New Roman" w:hAnsi="Times New Roman" w:cs="Times New Roman"/>
          <w:sz w:val="24"/>
          <w:szCs w:val="24"/>
        </w:rPr>
      </w:pPr>
    </w:p>
    <w:p w14:paraId="59289CC8" w14:textId="7827ACE4" w:rsidR="00250D82" w:rsidRDefault="008B082B" w:rsidP="00E720A1">
      <w:pPr>
        <w:spacing w:after="0" w:line="276" w:lineRule="auto"/>
        <w:ind w:firstLine="720"/>
        <w:jc w:val="both"/>
        <w:rPr>
          <w:rFonts w:ascii="Times New Roman" w:eastAsia="Times New Roman" w:hAnsi="Times New Roman" w:cs="Times New Roman"/>
          <w:sz w:val="24"/>
          <w:szCs w:val="24"/>
        </w:rPr>
      </w:pPr>
      <w:r w:rsidRPr="006935FC">
        <w:rPr>
          <w:rFonts w:ascii="Times New Roman" w:eastAsia="Times New Roman" w:hAnsi="Times New Roman" w:cs="Times New Roman"/>
          <w:sz w:val="24"/>
          <w:szCs w:val="24"/>
        </w:rPr>
        <w:t>On May 20, 2021, the</w:t>
      </w:r>
      <w:r w:rsidR="005C156C" w:rsidRPr="006935FC">
        <w:rPr>
          <w:rFonts w:ascii="Times New Roman" w:eastAsia="Times New Roman" w:hAnsi="Times New Roman" w:cs="Times New Roman"/>
          <w:sz w:val="24"/>
          <w:szCs w:val="24"/>
        </w:rPr>
        <w:t xml:space="preserve"> Commission issued its</w:t>
      </w:r>
      <w:r w:rsidR="00A25C33" w:rsidRPr="006935FC">
        <w:rPr>
          <w:rFonts w:ascii="Times New Roman" w:eastAsia="Times New Roman" w:hAnsi="Times New Roman" w:cs="Times New Roman"/>
          <w:sz w:val="24"/>
          <w:szCs w:val="24"/>
        </w:rPr>
        <w:t xml:space="preserve"> </w:t>
      </w:r>
      <w:r w:rsidR="00F6144B" w:rsidRPr="006935FC">
        <w:rPr>
          <w:rFonts w:ascii="Times New Roman" w:eastAsia="Times New Roman" w:hAnsi="Times New Roman" w:cs="Times New Roman"/>
          <w:sz w:val="24"/>
          <w:szCs w:val="24"/>
        </w:rPr>
        <w:t>Procedural and Scheduling Order</w:t>
      </w:r>
      <w:r w:rsidR="00FB2B5C">
        <w:rPr>
          <w:rFonts w:ascii="Times New Roman" w:eastAsia="Times New Roman" w:hAnsi="Times New Roman" w:cs="Times New Roman"/>
          <w:sz w:val="24"/>
          <w:szCs w:val="24"/>
        </w:rPr>
        <w:t xml:space="preserve"> </w:t>
      </w:r>
      <w:r w:rsidR="00BA45E7">
        <w:rPr>
          <w:rFonts w:ascii="Times New Roman" w:eastAsia="Times New Roman" w:hAnsi="Times New Roman" w:cs="Times New Roman"/>
          <w:sz w:val="24"/>
          <w:szCs w:val="24"/>
        </w:rPr>
        <w:t>(“PSO”)</w:t>
      </w:r>
      <w:r w:rsidR="00F6144B" w:rsidRPr="006935FC">
        <w:rPr>
          <w:rFonts w:ascii="Times New Roman" w:eastAsia="Times New Roman" w:hAnsi="Times New Roman" w:cs="Times New Roman"/>
          <w:sz w:val="24"/>
          <w:szCs w:val="24"/>
        </w:rPr>
        <w:t xml:space="preserve"> for the sole pur</w:t>
      </w:r>
      <w:r w:rsidR="00C73B7A">
        <w:rPr>
          <w:rFonts w:ascii="Times New Roman" w:eastAsia="Times New Roman" w:hAnsi="Times New Roman" w:cs="Times New Roman"/>
          <w:sz w:val="24"/>
          <w:szCs w:val="24"/>
        </w:rPr>
        <w:t>pose of approving Georgia Power Company’</w:t>
      </w:r>
      <w:r w:rsidR="00F6144B" w:rsidRPr="006935FC">
        <w:rPr>
          <w:rFonts w:ascii="Times New Roman" w:eastAsia="Times New Roman" w:hAnsi="Times New Roman" w:cs="Times New Roman"/>
          <w:sz w:val="24"/>
          <w:szCs w:val="24"/>
        </w:rPr>
        <w:t>s</w:t>
      </w:r>
      <w:r w:rsidR="00C73B7A">
        <w:rPr>
          <w:rFonts w:ascii="Times New Roman" w:eastAsia="Times New Roman" w:hAnsi="Times New Roman" w:cs="Times New Roman"/>
          <w:sz w:val="24"/>
          <w:szCs w:val="24"/>
        </w:rPr>
        <w:t xml:space="preserve"> (“Company</w:t>
      </w:r>
      <w:r w:rsidR="00BA45E7">
        <w:rPr>
          <w:rFonts w:ascii="Times New Roman" w:eastAsia="Times New Roman" w:hAnsi="Times New Roman" w:cs="Times New Roman"/>
          <w:sz w:val="24"/>
          <w:szCs w:val="24"/>
        </w:rPr>
        <w:t>, GPC, or Georgia Power</w:t>
      </w:r>
      <w:r w:rsidR="00C73B7A">
        <w:rPr>
          <w:rFonts w:ascii="Times New Roman" w:eastAsia="Times New Roman" w:hAnsi="Times New Roman" w:cs="Times New Roman"/>
          <w:sz w:val="24"/>
          <w:szCs w:val="24"/>
        </w:rPr>
        <w:t>”)</w:t>
      </w:r>
      <w:r w:rsidR="00F6144B" w:rsidRPr="006935FC">
        <w:rPr>
          <w:rFonts w:ascii="Times New Roman" w:eastAsia="Times New Roman" w:hAnsi="Times New Roman" w:cs="Times New Roman"/>
          <w:sz w:val="24"/>
          <w:szCs w:val="24"/>
        </w:rPr>
        <w:t xml:space="preserve"> rate adjustment filing related to the Unit 3 and common facility costs</w:t>
      </w:r>
      <w:r w:rsidR="005C156C" w:rsidRPr="006935FC">
        <w:rPr>
          <w:rFonts w:ascii="Times New Roman" w:eastAsia="Times New Roman" w:hAnsi="Times New Roman" w:cs="Times New Roman"/>
          <w:sz w:val="24"/>
          <w:szCs w:val="24"/>
        </w:rPr>
        <w:t xml:space="preserve"> consistent with Georgia law,</w:t>
      </w:r>
      <w:r w:rsidR="00F6144B" w:rsidRPr="006935FC">
        <w:rPr>
          <w:rFonts w:ascii="Times New Roman" w:eastAsia="Times New Roman" w:hAnsi="Times New Roman" w:cs="Times New Roman"/>
          <w:sz w:val="24"/>
          <w:szCs w:val="24"/>
        </w:rPr>
        <w:t xml:space="preserve"> the </w:t>
      </w:r>
      <w:r w:rsidR="00D3348A">
        <w:rPr>
          <w:rFonts w:ascii="Times New Roman" w:eastAsia="Times New Roman" w:hAnsi="Times New Roman" w:cs="Times New Roman"/>
          <w:sz w:val="24"/>
          <w:szCs w:val="24"/>
        </w:rPr>
        <w:t xml:space="preserve">SIR </w:t>
      </w:r>
      <w:r w:rsidR="00F6144B" w:rsidRPr="006935FC">
        <w:rPr>
          <w:rFonts w:ascii="Times New Roman" w:eastAsia="Times New Roman" w:hAnsi="Times New Roman" w:cs="Times New Roman"/>
          <w:sz w:val="24"/>
          <w:szCs w:val="24"/>
        </w:rPr>
        <w:t>Stipulation approved by the Commission on January 3, 2017</w:t>
      </w:r>
      <w:r w:rsidR="005C156C" w:rsidRPr="006935FC">
        <w:rPr>
          <w:rFonts w:ascii="Times New Roman" w:eastAsia="Times New Roman" w:hAnsi="Times New Roman" w:cs="Times New Roman"/>
          <w:sz w:val="24"/>
          <w:szCs w:val="24"/>
        </w:rPr>
        <w:t>,</w:t>
      </w:r>
      <w:r w:rsidR="00F6144B" w:rsidRPr="006935FC">
        <w:rPr>
          <w:rFonts w:ascii="Times New Roman" w:eastAsia="Times New Roman" w:hAnsi="Times New Roman" w:cs="Times New Roman"/>
          <w:sz w:val="24"/>
          <w:szCs w:val="24"/>
        </w:rPr>
        <w:t xml:space="preserve"> and the 17th VCM</w:t>
      </w:r>
      <w:r w:rsidR="00D3348A">
        <w:rPr>
          <w:rFonts w:ascii="Times New Roman" w:eastAsia="Times New Roman" w:hAnsi="Times New Roman" w:cs="Times New Roman"/>
          <w:sz w:val="24"/>
          <w:szCs w:val="24"/>
        </w:rPr>
        <w:t xml:space="preserve"> Order</w:t>
      </w:r>
      <w:r w:rsidR="00F6144B" w:rsidRPr="006935FC">
        <w:rPr>
          <w:rFonts w:ascii="Times New Roman" w:eastAsia="Times New Roman" w:hAnsi="Times New Roman" w:cs="Times New Roman"/>
          <w:sz w:val="24"/>
          <w:szCs w:val="24"/>
        </w:rPr>
        <w:t>, including the costs recoverable through an adjustment to the base revenue requirement and base rates, the costs that will remain eligible for recovery through the Nuclear Construction Cost Recovery</w:t>
      </w:r>
      <w:r w:rsidR="00D3348A">
        <w:rPr>
          <w:rFonts w:ascii="Times New Roman" w:eastAsia="Times New Roman" w:hAnsi="Times New Roman" w:cs="Times New Roman"/>
          <w:sz w:val="24"/>
          <w:szCs w:val="24"/>
        </w:rPr>
        <w:t xml:space="preserve"> (“NC</w:t>
      </w:r>
      <w:r w:rsidR="001131E7">
        <w:rPr>
          <w:rFonts w:ascii="Times New Roman" w:eastAsia="Times New Roman" w:hAnsi="Times New Roman" w:cs="Times New Roman"/>
          <w:sz w:val="24"/>
          <w:szCs w:val="24"/>
        </w:rPr>
        <w:t>CR”)</w:t>
      </w:r>
      <w:r w:rsidR="00F6144B" w:rsidRPr="006935FC">
        <w:rPr>
          <w:rFonts w:ascii="Times New Roman" w:eastAsia="Times New Roman" w:hAnsi="Times New Roman" w:cs="Times New Roman"/>
          <w:sz w:val="24"/>
          <w:szCs w:val="24"/>
        </w:rPr>
        <w:t xml:space="preserve"> tariff, the costs that will be reflected in Fuel Cost Recovery, and the costs, if any, eligible for deferral and consideration for recovery in future </w:t>
      </w:r>
      <w:r w:rsidR="00F6144B" w:rsidRPr="006935FC">
        <w:rPr>
          <w:rFonts w:ascii="Times New Roman" w:eastAsia="Times New Roman" w:hAnsi="Times New Roman" w:cs="Times New Roman"/>
          <w:sz w:val="24"/>
          <w:szCs w:val="24"/>
        </w:rPr>
        <w:lastRenderedPageBreak/>
        <w:t xml:space="preserve">ratemaking proceedings. The Commission </w:t>
      </w:r>
      <w:r w:rsidR="001049F1">
        <w:rPr>
          <w:rFonts w:ascii="Times New Roman" w:eastAsia="Times New Roman" w:hAnsi="Times New Roman" w:cs="Times New Roman"/>
          <w:sz w:val="24"/>
          <w:szCs w:val="24"/>
        </w:rPr>
        <w:t xml:space="preserve">ensured that it </w:t>
      </w:r>
      <w:r w:rsidR="00F6144B" w:rsidRPr="006935FC">
        <w:rPr>
          <w:rFonts w:ascii="Times New Roman" w:eastAsia="Times New Roman" w:hAnsi="Times New Roman" w:cs="Times New Roman"/>
          <w:sz w:val="24"/>
          <w:szCs w:val="24"/>
        </w:rPr>
        <w:t xml:space="preserve">will not be making prudency determinations in this proceeding. </w:t>
      </w:r>
      <w:r w:rsidR="00F6144B" w:rsidRPr="00F6144B">
        <w:rPr>
          <w:rFonts w:ascii="Times New Roman" w:eastAsia="Times New Roman" w:hAnsi="Times New Roman" w:cs="Times New Roman"/>
          <w:sz w:val="24"/>
          <w:szCs w:val="24"/>
        </w:rPr>
        <w:t>For those costs that were not deemed prudent in the SIR Stipulation, the Commission will make such prudency determinations in a proceeding that will commence upon fuel load of Unit 4.</w:t>
      </w:r>
      <w:r w:rsidR="00F6144B" w:rsidRPr="00F6144B">
        <w:rPr>
          <w:rFonts w:ascii="Times New Roman" w:eastAsia="Times New Roman" w:hAnsi="Times New Roman" w:cs="Times New Roman"/>
          <w:sz w:val="24"/>
          <w:szCs w:val="24"/>
          <w:vertAlign w:val="superscript"/>
        </w:rPr>
        <w:footnoteReference w:id="1"/>
      </w:r>
    </w:p>
    <w:p w14:paraId="2520A250" w14:textId="519D8C50" w:rsidR="00171DB6" w:rsidRDefault="00171DB6" w:rsidP="00E720A1">
      <w:pPr>
        <w:spacing w:after="0" w:line="276" w:lineRule="auto"/>
        <w:ind w:firstLine="720"/>
        <w:jc w:val="both"/>
        <w:rPr>
          <w:rFonts w:ascii="Times New Roman" w:eastAsia="Times New Roman" w:hAnsi="Times New Roman" w:cs="Times New Roman"/>
          <w:sz w:val="24"/>
          <w:szCs w:val="24"/>
        </w:rPr>
      </w:pPr>
    </w:p>
    <w:p w14:paraId="2DAC019E" w14:textId="1517BFD4" w:rsidR="00171DB6" w:rsidRDefault="00171DB6" w:rsidP="00171DB6">
      <w:pPr>
        <w:keepNext/>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Company submitted its Application to adjust rates, including Minimum Filing Requirements (“MFRs”) on June 15, 2021.</w:t>
      </w:r>
    </w:p>
    <w:p w14:paraId="3AC6E4FD" w14:textId="77777777" w:rsidR="00171DB6" w:rsidRDefault="00171DB6" w:rsidP="00171DB6">
      <w:pPr>
        <w:keepNext/>
        <w:spacing w:after="0" w:line="240" w:lineRule="auto"/>
        <w:ind w:left="720"/>
        <w:jc w:val="both"/>
        <w:rPr>
          <w:rFonts w:ascii="Times New Roman" w:eastAsia="Times New Roman" w:hAnsi="Times New Roman" w:cs="Times New Roman"/>
          <w:sz w:val="24"/>
          <w:szCs w:val="24"/>
        </w:rPr>
      </w:pPr>
    </w:p>
    <w:p w14:paraId="7B4B8889" w14:textId="7C17DE0C" w:rsidR="00171DB6" w:rsidRDefault="00171DB6" w:rsidP="00171DB6">
      <w:pPr>
        <w:keepNext/>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Applications to Intervene were filed by: Georgia Interfaith Power&amp; Light and Partnership for Southern Equity (“GIPL-PSE”); Georgia Association of Manufacturers (“GAM</w:t>
      </w:r>
      <w:r w:rsidR="00E837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Concerned Ratepayers of Georgia (“CRG”); Southern Alliance For Clean Energy (“SACE”); Resource Supply Management (“RSM”); and Georgia Watch.</w:t>
      </w:r>
    </w:p>
    <w:p w14:paraId="1BC1ECAD" w14:textId="77777777" w:rsidR="00171DB6" w:rsidRDefault="00171DB6" w:rsidP="00171DB6">
      <w:pPr>
        <w:keepNext/>
        <w:spacing w:after="0" w:line="240" w:lineRule="auto"/>
        <w:ind w:left="720"/>
        <w:jc w:val="both"/>
        <w:rPr>
          <w:rFonts w:ascii="Times New Roman" w:eastAsia="Times New Roman" w:hAnsi="Times New Roman" w:cs="Times New Roman"/>
          <w:sz w:val="24"/>
          <w:szCs w:val="24"/>
        </w:rPr>
      </w:pPr>
    </w:p>
    <w:p w14:paraId="79A17AE4" w14:textId="77777777" w:rsidR="00171DB6" w:rsidRDefault="00171DB6" w:rsidP="00171DB6">
      <w:pPr>
        <w:keepNext/>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accordance with the PSO, the Company filed</w:t>
      </w:r>
      <w:r w:rsidRPr="00F461AC">
        <w:rPr>
          <w:rFonts w:ascii="Times New Roman" w:eastAsia="Times New Roman" w:hAnsi="Times New Roman" w:cs="Times New Roman"/>
          <w:sz w:val="24"/>
          <w:szCs w:val="24"/>
        </w:rPr>
        <w:t xml:space="preserve"> the direct testimony of the panel of Daniel S. Tucker and Sarah P. Adams and updated the supporting MFRs based on a revised in-service date for Unit 3. On September 8, 2021, the Company substituted its direct testimony with the direct testimony of the panel of Aaron P. Abramovitz and Sarah P. Adams. No substantive changes were made to the direct testimony other than to substitute the biographic information of Aaron Abramovitz for Daniel Tucker after Aaron Abramovitz replaced Daniel Tucker as Executive Vice President, Chief Financial Officer</w:t>
      </w:r>
      <w:r>
        <w:rPr>
          <w:rFonts w:ascii="Times New Roman" w:eastAsia="Times New Roman" w:hAnsi="Times New Roman" w:cs="Times New Roman"/>
          <w:sz w:val="24"/>
          <w:szCs w:val="24"/>
        </w:rPr>
        <w:t>, and Treasurer of the Company</w:t>
      </w:r>
      <w:r w:rsidRPr="00F461AC">
        <w:rPr>
          <w:rFonts w:ascii="Times New Roman" w:eastAsia="Times New Roman" w:hAnsi="Times New Roman" w:cs="Times New Roman"/>
          <w:sz w:val="24"/>
          <w:szCs w:val="24"/>
        </w:rPr>
        <w:t xml:space="preserve">. </w:t>
      </w:r>
    </w:p>
    <w:p w14:paraId="42F4790F" w14:textId="77777777" w:rsidR="00171DB6" w:rsidRPr="00F461AC" w:rsidRDefault="00171DB6" w:rsidP="00171DB6">
      <w:pPr>
        <w:keepNext/>
        <w:spacing w:after="0" w:line="240" w:lineRule="auto"/>
        <w:ind w:left="720"/>
        <w:jc w:val="both"/>
        <w:rPr>
          <w:rFonts w:ascii="Times New Roman" w:eastAsia="Times New Roman" w:hAnsi="Times New Roman" w:cs="Times New Roman"/>
          <w:sz w:val="24"/>
          <w:szCs w:val="24"/>
        </w:rPr>
      </w:pPr>
    </w:p>
    <w:p w14:paraId="37D51495" w14:textId="129AFB0C" w:rsidR="00171DB6" w:rsidRDefault="00171DB6" w:rsidP="00171DB6">
      <w:pPr>
        <w:keepNext/>
        <w:spacing w:after="0" w:line="240" w:lineRule="auto"/>
        <w:ind w:firstLine="720"/>
        <w:jc w:val="both"/>
        <w:rPr>
          <w:rFonts w:ascii="Times New Roman" w:eastAsia="Times New Roman" w:hAnsi="Times New Roman" w:cs="Times New Roman"/>
          <w:sz w:val="24"/>
          <w:szCs w:val="24"/>
        </w:rPr>
      </w:pPr>
      <w:r w:rsidRPr="00F461AC">
        <w:rPr>
          <w:rFonts w:ascii="Times New Roman" w:eastAsia="Times New Roman" w:hAnsi="Times New Roman" w:cs="Times New Roman"/>
          <w:sz w:val="24"/>
          <w:szCs w:val="24"/>
        </w:rPr>
        <w:t xml:space="preserve">On September 9, 2021, the Commission’s </w:t>
      </w:r>
      <w:r w:rsidR="00D00E9E">
        <w:rPr>
          <w:rFonts w:ascii="Times New Roman" w:eastAsia="Times New Roman" w:hAnsi="Times New Roman" w:cs="Times New Roman"/>
          <w:sz w:val="24"/>
          <w:szCs w:val="24"/>
        </w:rPr>
        <w:t>Public Interest Advocacy Staff (“</w:t>
      </w:r>
      <w:r w:rsidRPr="00F461AC">
        <w:rPr>
          <w:rFonts w:ascii="Times New Roman" w:eastAsia="Times New Roman" w:hAnsi="Times New Roman" w:cs="Times New Roman"/>
          <w:sz w:val="24"/>
          <w:szCs w:val="24"/>
        </w:rPr>
        <w:t xml:space="preserve">PIA Staff </w:t>
      </w:r>
      <w:r w:rsidR="00D00E9E">
        <w:rPr>
          <w:rFonts w:ascii="Times New Roman" w:eastAsia="Times New Roman" w:hAnsi="Times New Roman" w:cs="Times New Roman"/>
          <w:sz w:val="24"/>
          <w:szCs w:val="24"/>
        </w:rPr>
        <w:t xml:space="preserve">“) </w:t>
      </w:r>
      <w:r w:rsidRPr="00F461AC">
        <w:rPr>
          <w:rFonts w:ascii="Times New Roman" w:eastAsia="Times New Roman" w:hAnsi="Times New Roman" w:cs="Times New Roman"/>
          <w:sz w:val="24"/>
          <w:szCs w:val="24"/>
        </w:rPr>
        <w:t>filed the direct testimony and exhibits of the panel of Tom Newsome and Lane Kollen and the panel of Steven D. Roetger, Dr. William R. Jacobs Jr., and Donald N. Grace. Also, on Sep</w:t>
      </w:r>
      <w:r>
        <w:rPr>
          <w:rFonts w:ascii="Times New Roman" w:eastAsia="Times New Roman" w:hAnsi="Times New Roman" w:cs="Times New Roman"/>
          <w:sz w:val="24"/>
          <w:szCs w:val="24"/>
        </w:rPr>
        <w:t>tember 9, 2021, GAM</w:t>
      </w:r>
      <w:r w:rsidRPr="00F461AC">
        <w:rPr>
          <w:rFonts w:ascii="Times New Roman" w:eastAsia="Times New Roman" w:hAnsi="Times New Roman" w:cs="Times New Roman"/>
          <w:sz w:val="24"/>
          <w:szCs w:val="24"/>
        </w:rPr>
        <w:t xml:space="preserve"> filed the direct testimony and exhibits of Jeffry Pollock and the Metropolitan Atlanta Rapid Transit Authority (“MARTA”) filed the direct testimony of Kevin L. Hurley.</w:t>
      </w:r>
      <w:r>
        <w:rPr>
          <w:rFonts w:ascii="Times New Roman" w:eastAsia="Times New Roman" w:hAnsi="Times New Roman" w:cs="Times New Roman"/>
          <w:sz w:val="24"/>
          <w:szCs w:val="24"/>
        </w:rPr>
        <w:t xml:space="preserve"> No other</w:t>
      </w:r>
      <w:r w:rsidRPr="00F461AC">
        <w:rPr>
          <w:rFonts w:ascii="Times New Roman" w:eastAsia="Times New Roman" w:hAnsi="Times New Roman" w:cs="Times New Roman"/>
          <w:sz w:val="24"/>
          <w:szCs w:val="24"/>
        </w:rPr>
        <w:t xml:space="preserve"> Intervenors </w:t>
      </w:r>
      <w:r>
        <w:rPr>
          <w:rFonts w:ascii="Times New Roman" w:eastAsia="Times New Roman" w:hAnsi="Times New Roman" w:cs="Times New Roman"/>
          <w:sz w:val="24"/>
          <w:szCs w:val="24"/>
        </w:rPr>
        <w:t>submitted testimony in this docket.</w:t>
      </w:r>
    </w:p>
    <w:p w14:paraId="048373B2" w14:textId="77777777" w:rsidR="00171DB6" w:rsidRDefault="00171DB6" w:rsidP="00171DB6">
      <w:pPr>
        <w:keepNext/>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41FA25CB" w14:textId="77777777" w:rsidR="00171DB6" w:rsidRDefault="00171DB6" w:rsidP="00171DB6">
      <w:pPr>
        <w:keepNext/>
        <w:spacing w:after="0" w:line="240" w:lineRule="auto"/>
        <w:ind w:firstLine="720"/>
        <w:jc w:val="both"/>
        <w:rPr>
          <w:rFonts w:ascii="Times New Roman" w:eastAsia="Times New Roman" w:hAnsi="Times New Roman" w:cs="Times New Roman"/>
          <w:sz w:val="24"/>
          <w:szCs w:val="24"/>
        </w:rPr>
      </w:pPr>
      <w:r w:rsidRPr="0023253A">
        <w:rPr>
          <w:rFonts w:ascii="Times New Roman" w:eastAsia="Times New Roman" w:hAnsi="Times New Roman" w:cs="Times New Roman"/>
          <w:sz w:val="24"/>
          <w:szCs w:val="24"/>
        </w:rPr>
        <w:t xml:space="preserve">On September 30, 2021, the Company filed the rebuttal testimony of the panel of Aaron P. Abramovitz and Sarah P. Adams in response to the positions advocated by PIA Staff, GAM, and MARTA, and updated the MFRs based on a revised in-service date for Unit 3. </w:t>
      </w:r>
    </w:p>
    <w:p w14:paraId="3488A414" w14:textId="77777777" w:rsidR="00171DB6" w:rsidRDefault="00171DB6" w:rsidP="00171DB6">
      <w:pPr>
        <w:keepNext/>
        <w:spacing w:after="0" w:line="240" w:lineRule="auto"/>
        <w:ind w:firstLine="720"/>
        <w:jc w:val="both"/>
        <w:rPr>
          <w:rFonts w:ascii="Times New Roman" w:eastAsia="Times New Roman" w:hAnsi="Times New Roman" w:cs="Times New Roman"/>
          <w:sz w:val="24"/>
          <w:szCs w:val="24"/>
        </w:rPr>
      </w:pPr>
    </w:p>
    <w:p w14:paraId="790B6A1B" w14:textId="3D80C150" w:rsidR="00171DB6" w:rsidRDefault="00171DB6" w:rsidP="00171DB6">
      <w:pPr>
        <w:keepNext/>
        <w:spacing w:after="0" w:line="240" w:lineRule="auto"/>
        <w:ind w:firstLine="720"/>
        <w:jc w:val="both"/>
        <w:rPr>
          <w:rFonts w:ascii="Times New Roman" w:eastAsia="Times New Roman" w:hAnsi="Times New Roman" w:cs="Times New Roman"/>
          <w:sz w:val="24"/>
          <w:szCs w:val="24"/>
        </w:rPr>
      </w:pPr>
      <w:r w:rsidRPr="0023253A">
        <w:rPr>
          <w:rFonts w:ascii="Times New Roman" w:eastAsia="Times New Roman" w:hAnsi="Times New Roman" w:cs="Times New Roman"/>
          <w:sz w:val="24"/>
          <w:szCs w:val="24"/>
        </w:rPr>
        <w:t>On October 13, 2021,</w:t>
      </w:r>
      <w:r>
        <w:rPr>
          <w:rFonts w:ascii="Times New Roman" w:eastAsia="Times New Roman" w:hAnsi="Times New Roman" w:cs="Times New Roman"/>
          <w:sz w:val="24"/>
          <w:szCs w:val="24"/>
        </w:rPr>
        <w:t xml:space="preserve"> the day before the Commission was to hold </w:t>
      </w:r>
      <w:r w:rsidR="007D2346">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hearing on the direct testimony from all Company and Intervenors that had filed testimony, the PIA Staff and the Company</w:t>
      </w:r>
      <w:r w:rsidRPr="0023253A">
        <w:rPr>
          <w:rFonts w:ascii="Times New Roman" w:eastAsia="Times New Roman" w:hAnsi="Times New Roman" w:cs="Times New Roman"/>
          <w:sz w:val="24"/>
          <w:szCs w:val="24"/>
        </w:rPr>
        <w:t xml:space="preserve"> entered into a Stipulation</w:t>
      </w:r>
      <w:r>
        <w:rPr>
          <w:rFonts w:ascii="Times New Roman" w:eastAsia="Times New Roman" w:hAnsi="Times New Roman" w:cs="Times New Roman"/>
          <w:sz w:val="24"/>
          <w:szCs w:val="24"/>
        </w:rPr>
        <w:t>.</w:t>
      </w:r>
      <w:r w:rsidRPr="0023253A">
        <w:rPr>
          <w:rFonts w:ascii="Times New Roman" w:eastAsia="Times New Roman" w:hAnsi="Times New Roman" w:cs="Times New Roman"/>
          <w:sz w:val="24"/>
          <w:szCs w:val="24"/>
        </w:rPr>
        <w:t xml:space="preserve"> The hearing regarding the Company’s direct and rebuttal testimony, PIA Staff and Intervenor direct testimony, and </w:t>
      </w:r>
      <w:r w:rsidR="00377006">
        <w:rPr>
          <w:rFonts w:ascii="Times New Roman" w:eastAsia="Times New Roman" w:hAnsi="Times New Roman" w:cs="Times New Roman"/>
          <w:sz w:val="24"/>
          <w:szCs w:val="24"/>
        </w:rPr>
        <w:t xml:space="preserve">joint testimony </w:t>
      </w:r>
      <w:r w:rsidR="00D00E9E">
        <w:rPr>
          <w:rFonts w:ascii="Times New Roman" w:eastAsia="Times New Roman" w:hAnsi="Times New Roman" w:cs="Times New Roman"/>
          <w:sz w:val="24"/>
          <w:szCs w:val="24"/>
        </w:rPr>
        <w:t>of PIA</w:t>
      </w:r>
      <w:r w:rsidR="00377006">
        <w:rPr>
          <w:rFonts w:ascii="Times New Roman" w:eastAsia="Times New Roman" w:hAnsi="Times New Roman" w:cs="Times New Roman"/>
          <w:sz w:val="24"/>
          <w:szCs w:val="24"/>
        </w:rPr>
        <w:t xml:space="preserve"> Staff and Georgia Power in support of </w:t>
      </w:r>
      <w:r w:rsidRPr="0023253A">
        <w:rPr>
          <w:rFonts w:ascii="Times New Roman" w:eastAsia="Times New Roman" w:hAnsi="Times New Roman" w:cs="Times New Roman"/>
          <w:sz w:val="24"/>
          <w:szCs w:val="24"/>
        </w:rPr>
        <w:t xml:space="preserve">the Stipulation was held on October 14, 2021. At the hearing, </w:t>
      </w:r>
      <w:r>
        <w:rPr>
          <w:rFonts w:ascii="Times New Roman" w:eastAsia="Times New Roman" w:hAnsi="Times New Roman" w:cs="Times New Roman"/>
          <w:sz w:val="24"/>
          <w:szCs w:val="24"/>
        </w:rPr>
        <w:t xml:space="preserve">over the objection of Georgia Watch, </w:t>
      </w:r>
      <w:r w:rsidRPr="0023253A">
        <w:rPr>
          <w:rFonts w:ascii="Times New Roman" w:eastAsia="Times New Roman" w:hAnsi="Times New Roman" w:cs="Times New Roman"/>
          <w:sz w:val="24"/>
          <w:szCs w:val="24"/>
        </w:rPr>
        <w:t>PIA Staff withdrew the pre-filed testimony of Tom Newsome and Lane Kollen.</w:t>
      </w:r>
      <w:r>
        <w:rPr>
          <w:rFonts w:ascii="Times New Roman" w:eastAsia="Times New Roman" w:hAnsi="Times New Roman" w:cs="Times New Roman"/>
          <w:sz w:val="24"/>
          <w:szCs w:val="24"/>
        </w:rPr>
        <w:t xml:space="preserve"> </w:t>
      </w:r>
      <w:r w:rsidR="00377006">
        <w:rPr>
          <w:rFonts w:ascii="Times New Roman" w:eastAsia="Times New Roman" w:hAnsi="Times New Roman" w:cs="Times New Roman"/>
          <w:sz w:val="24"/>
          <w:szCs w:val="24"/>
        </w:rPr>
        <w:t>The parties filed briefs on October 21</w:t>
      </w:r>
      <w:r w:rsidR="00FE66A3">
        <w:rPr>
          <w:rFonts w:ascii="Times New Roman" w:eastAsia="Times New Roman" w:hAnsi="Times New Roman" w:cs="Times New Roman"/>
          <w:sz w:val="24"/>
          <w:szCs w:val="24"/>
        </w:rPr>
        <w:t>, 2021. The Commission decided the matter at the regularly scheduled Administrative Session on November 2, 2021. In doing so, the Commission hereby adopts in this Order, the Stipulation executed on behalf of the PIA Staff and Georgia Power.</w:t>
      </w:r>
    </w:p>
    <w:p w14:paraId="241CC3EA" w14:textId="77777777" w:rsidR="00171DB6" w:rsidRPr="00F6144B" w:rsidRDefault="00171DB6" w:rsidP="00E720A1">
      <w:pPr>
        <w:spacing w:after="0" w:line="276" w:lineRule="auto"/>
        <w:ind w:firstLine="720"/>
        <w:jc w:val="both"/>
        <w:rPr>
          <w:rFonts w:ascii="Times New Roman" w:eastAsia="Times New Roman" w:hAnsi="Times New Roman" w:cs="Times New Roman"/>
          <w:sz w:val="24"/>
          <w:szCs w:val="24"/>
        </w:rPr>
      </w:pPr>
    </w:p>
    <w:p w14:paraId="061390A2" w14:textId="77777777" w:rsidR="00F91027" w:rsidRPr="00250D82" w:rsidRDefault="00250D82" w:rsidP="00250D82">
      <w:pPr>
        <w:keepNext/>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Background</w:t>
      </w:r>
    </w:p>
    <w:p w14:paraId="37A04083" w14:textId="77777777" w:rsidR="00250D82" w:rsidRDefault="00250D82" w:rsidP="00BC0914">
      <w:pPr>
        <w:keepNext/>
        <w:spacing w:after="0" w:line="240" w:lineRule="auto"/>
        <w:rPr>
          <w:rFonts w:ascii="Times New Roman" w:eastAsia="Times New Roman" w:hAnsi="Times New Roman" w:cs="Times New Roman"/>
          <w:sz w:val="24"/>
          <w:szCs w:val="24"/>
        </w:rPr>
      </w:pPr>
    </w:p>
    <w:p w14:paraId="19D7BB22" w14:textId="77777777" w:rsidR="0020561E" w:rsidRDefault="0020561E" w:rsidP="00E720A1">
      <w:pPr>
        <w:keepNext/>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w:t>
      </w:r>
      <w:r w:rsidRPr="0020561E">
        <w:rPr>
          <w:rFonts w:ascii="Times New Roman" w:eastAsia="Times New Roman" w:hAnsi="Times New Roman" w:cs="Times New Roman"/>
          <w:sz w:val="24"/>
          <w:szCs w:val="24"/>
        </w:rPr>
        <w:t xml:space="preserve"> January 3, 2017,</w:t>
      </w:r>
      <w:r>
        <w:rPr>
          <w:rFonts w:ascii="Times New Roman" w:eastAsia="Times New Roman" w:hAnsi="Times New Roman" w:cs="Times New Roman"/>
          <w:sz w:val="24"/>
          <w:szCs w:val="24"/>
        </w:rPr>
        <w:t xml:space="preserve"> the</w:t>
      </w:r>
      <w:r w:rsidRPr="002056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Commission adopted t</w:t>
      </w:r>
      <w:r w:rsidR="005C156C">
        <w:rPr>
          <w:rFonts w:ascii="Times New Roman" w:eastAsia="Times New Roman" w:hAnsi="Times New Roman" w:cs="Times New Roman"/>
          <w:sz w:val="24"/>
          <w:szCs w:val="24"/>
        </w:rPr>
        <w:t>he SIR Stipulation which</w:t>
      </w:r>
      <w:r>
        <w:rPr>
          <w:rFonts w:ascii="Times New Roman" w:eastAsia="Times New Roman" w:hAnsi="Times New Roman" w:cs="Times New Roman"/>
          <w:sz w:val="24"/>
          <w:szCs w:val="24"/>
        </w:rPr>
        <w:t xml:space="preserve"> </w:t>
      </w:r>
      <w:r w:rsidR="005C156C">
        <w:rPr>
          <w:rFonts w:ascii="Times New Roman" w:eastAsia="Times New Roman" w:hAnsi="Times New Roman" w:cs="Times New Roman"/>
          <w:sz w:val="24"/>
          <w:szCs w:val="24"/>
        </w:rPr>
        <w:t>provides</w:t>
      </w:r>
      <w:r w:rsidR="00487780">
        <w:rPr>
          <w:rFonts w:ascii="Times New Roman" w:eastAsia="Times New Roman" w:hAnsi="Times New Roman" w:cs="Times New Roman"/>
          <w:sz w:val="24"/>
          <w:szCs w:val="24"/>
        </w:rPr>
        <w:t>:</w:t>
      </w:r>
    </w:p>
    <w:p w14:paraId="0432BD27" w14:textId="77777777" w:rsidR="003E238C" w:rsidRPr="00F91027" w:rsidRDefault="003E238C" w:rsidP="00E720A1">
      <w:pPr>
        <w:keepNext/>
        <w:spacing w:after="0" w:line="240" w:lineRule="auto"/>
        <w:jc w:val="both"/>
        <w:rPr>
          <w:rFonts w:ascii="Times New Roman" w:eastAsia="Times New Roman" w:hAnsi="Times New Roman" w:cs="Times New Roman"/>
          <w:i/>
          <w:sz w:val="24"/>
          <w:szCs w:val="24"/>
        </w:rPr>
      </w:pPr>
    </w:p>
    <w:p w14:paraId="298F44AE" w14:textId="77777777" w:rsidR="003E238C" w:rsidRPr="00F91027" w:rsidRDefault="003E238C" w:rsidP="00E720A1">
      <w:pPr>
        <w:keepNext/>
        <w:spacing w:after="0" w:line="240" w:lineRule="auto"/>
        <w:ind w:left="720" w:right="720"/>
        <w:jc w:val="both"/>
        <w:rPr>
          <w:rFonts w:ascii="Times New Roman" w:eastAsia="Times New Roman" w:hAnsi="Times New Roman" w:cs="Times New Roman"/>
          <w:i/>
          <w:sz w:val="24"/>
          <w:szCs w:val="24"/>
        </w:rPr>
      </w:pPr>
      <w:r w:rsidRPr="00F91027">
        <w:rPr>
          <w:rFonts w:ascii="Times New Roman" w:eastAsia="Times New Roman" w:hAnsi="Times New Roman" w:cs="Times New Roman"/>
          <w:i/>
          <w:sz w:val="24"/>
          <w:szCs w:val="24"/>
        </w:rPr>
        <w:t>None of the costs that were incurred, verified and approved through the 14</w:t>
      </w:r>
      <w:r w:rsidRPr="00F91027">
        <w:rPr>
          <w:rFonts w:ascii="Times New Roman" w:eastAsia="Times New Roman" w:hAnsi="Times New Roman" w:cs="Times New Roman"/>
          <w:i/>
          <w:sz w:val="24"/>
          <w:szCs w:val="24"/>
          <w:vertAlign w:val="superscript"/>
        </w:rPr>
        <w:t>th</w:t>
      </w:r>
      <w:r w:rsidRPr="00F91027">
        <w:rPr>
          <w:rFonts w:ascii="Times New Roman" w:eastAsia="Times New Roman" w:hAnsi="Times New Roman" w:cs="Times New Roman"/>
          <w:i/>
          <w:sz w:val="24"/>
          <w:szCs w:val="24"/>
        </w:rPr>
        <w:t xml:space="preserve"> Vogtle Construction Monitoring Report should be disallowed from rate base on the basis of imprudence as specified in O.C.G.A. § 46-3A-7.</w:t>
      </w:r>
      <w:r w:rsidRPr="00F91027">
        <w:rPr>
          <w:rFonts w:ascii="Times New Roman" w:eastAsia="Times New Roman" w:hAnsi="Times New Roman" w:cs="Times New Roman"/>
          <w:i/>
          <w:sz w:val="24"/>
          <w:szCs w:val="24"/>
          <w:vertAlign w:val="superscript"/>
        </w:rPr>
        <w:footnoteReference w:id="2"/>
      </w:r>
      <w:r w:rsidRPr="00F91027">
        <w:rPr>
          <w:rFonts w:ascii="Times New Roman" w:eastAsia="Times New Roman" w:hAnsi="Times New Roman" w:cs="Times New Roman"/>
          <w:i/>
          <w:sz w:val="24"/>
          <w:szCs w:val="24"/>
        </w:rPr>
        <w:t xml:space="preserve"> </w:t>
      </w:r>
    </w:p>
    <w:p w14:paraId="784A93EF" w14:textId="77777777" w:rsidR="003E238C" w:rsidRPr="00F91027" w:rsidRDefault="003E238C" w:rsidP="00E720A1">
      <w:pPr>
        <w:spacing w:after="0" w:line="240" w:lineRule="auto"/>
        <w:ind w:left="360"/>
        <w:jc w:val="both"/>
        <w:rPr>
          <w:rFonts w:ascii="Times New Roman" w:eastAsia="Times New Roman" w:hAnsi="Times New Roman" w:cs="Times New Roman"/>
          <w:i/>
          <w:sz w:val="24"/>
          <w:szCs w:val="24"/>
        </w:rPr>
      </w:pPr>
    </w:p>
    <w:p w14:paraId="601A3806" w14:textId="77777777" w:rsidR="003E238C" w:rsidRPr="003E238C" w:rsidRDefault="003E238C" w:rsidP="00E720A1">
      <w:pPr>
        <w:spacing w:after="0" w:line="240" w:lineRule="auto"/>
        <w:ind w:firstLine="720"/>
        <w:jc w:val="both"/>
        <w:rPr>
          <w:rFonts w:ascii="Times New Roman" w:eastAsia="Times New Roman" w:hAnsi="Times New Roman" w:cs="Times New Roman"/>
          <w:sz w:val="24"/>
          <w:szCs w:val="24"/>
        </w:rPr>
      </w:pPr>
      <w:r w:rsidRPr="003E238C">
        <w:rPr>
          <w:rFonts w:ascii="Times New Roman" w:eastAsia="Times New Roman" w:hAnsi="Times New Roman" w:cs="Times New Roman"/>
          <w:sz w:val="24"/>
          <w:szCs w:val="24"/>
        </w:rPr>
        <w:t>A total of $3.509 b</w:t>
      </w:r>
      <w:r w:rsidR="005C156C">
        <w:rPr>
          <w:rFonts w:ascii="Times New Roman" w:eastAsia="Times New Roman" w:hAnsi="Times New Roman" w:cs="Times New Roman"/>
          <w:sz w:val="24"/>
          <w:szCs w:val="24"/>
        </w:rPr>
        <w:t>illion in construction costs has</w:t>
      </w:r>
      <w:r w:rsidRPr="003E238C">
        <w:rPr>
          <w:rFonts w:ascii="Times New Roman" w:eastAsia="Times New Roman" w:hAnsi="Times New Roman" w:cs="Times New Roman"/>
          <w:sz w:val="24"/>
          <w:szCs w:val="24"/>
        </w:rPr>
        <w:t xml:space="preserve"> been incurred, verified and approved through VCM 14. This $3.509 billion included costs related to Unit 3 and common facilities as well as costs related to Unit 4.</w:t>
      </w:r>
    </w:p>
    <w:p w14:paraId="68E4364A" w14:textId="77777777" w:rsidR="003E238C" w:rsidRPr="003E238C" w:rsidRDefault="003E238C" w:rsidP="00E720A1">
      <w:pPr>
        <w:spacing w:after="0" w:line="240" w:lineRule="auto"/>
        <w:jc w:val="both"/>
        <w:rPr>
          <w:rFonts w:ascii="Times New Roman" w:eastAsia="Times New Roman" w:hAnsi="Times New Roman" w:cs="Times New Roman"/>
          <w:sz w:val="24"/>
          <w:szCs w:val="24"/>
        </w:rPr>
      </w:pPr>
    </w:p>
    <w:p w14:paraId="1603953E" w14:textId="77777777" w:rsidR="003E238C" w:rsidRPr="003E238C" w:rsidRDefault="003E238C" w:rsidP="00E720A1">
      <w:pPr>
        <w:spacing w:after="0" w:line="240" w:lineRule="auto"/>
        <w:ind w:firstLine="720"/>
        <w:jc w:val="both"/>
        <w:rPr>
          <w:rFonts w:ascii="Times New Roman" w:eastAsia="Times New Roman" w:hAnsi="Times New Roman" w:cs="Times New Roman"/>
          <w:sz w:val="24"/>
          <w:szCs w:val="24"/>
        </w:rPr>
      </w:pPr>
      <w:r w:rsidRPr="003E238C">
        <w:rPr>
          <w:rFonts w:ascii="Times New Roman" w:eastAsia="Times New Roman" w:hAnsi="Times New Roman" w:cs="Times New Roman"/>
          <w:sz w:val="24"/>
          <w:szCs w:val="24"/>
        </w:rPr>
        <w:t>The SIR Stipulation also provided that:</w:t>
      </w:r>
    </w:p>
    <w:p w14:paraId="228135A1" w14:textId="77777777" w:rsidR="003E238C" w:rsidRPr="003E238C" w:rsidRDefault="003E238C" w:rsidP="00E720A1">
      <w:pPr>
        <w:spacing w:after="0" w:line="240" w:lineRule="auto"/>
        <w:jc w:val="both"/>
        <w:rPr>
          <w:rFonts w:ascii="Times New Roman" w:eastAsia="Times New Roman" w:hAnsi="Times New Roman" w:cs="Times New Roman"/>
          <w:sz w:val="24"/>
          <w:szCs w:val="24"/>
        </w:rPr>
      </w:pPr>
    </w:p>
    <w:p w14:paraId="51F32D9D" w14:textId="77777777" w:rsidR="003E238C" w:rsidRPr="00F91027" w:rsidRDefault="003E238C" w:rsidP="00E720A1">
      <w:pPr>
        <w:spacing w:after="0" w:line="240" w:lineRule="auto"/>
        <w:ind w:left="720" w:right="720"/>
        <w:jc w:val="both"/>
        <w:rPr>
          <w:rFonts w:ascii="Times New Roman" w:eastAsia="Times New Roman" w:hAnsi="Times New Roman" w:cs="Times New Roman"/>
          <w:i/>
          <w:sz w:val="24"/>
          <w:szCs w:val="24"/>
        </w:rPr>
      </w:pPr>
      <w:r w:rsidRPr="00F91027">
        <w:rPr>
          <w:rFonts w:ascii="Times New Roman" w:eastAsia="Times New Roman" w:hAnsi="Times New Roman" w:cs="Times New Roman"/>
          <w:i/>
          <w:sz w:val="24"/>
          <w:szCs w:val="24"/>
        </w:rPr>
        <w:t>Financing costs on capital dollars that have been verified and approved will be deemed prudent provided they are incurred pursuant to O.C.G.A. § 46-2-25 and this agreement and provided that they are incurred prior to December 31, 2019 for Unit 3 and December 31, 2020 for Unit 4.</w:t>
      </w:r>
      <w:r w:rsidRPr="00F91027">
        <w:rPr>
          <w:rFonts w:ascii="Times New Roman" w:eastAsia="Times New Roman" w:hAnsi="Times New Roman" w:cs="Times New Roman"/>
          <w:i/>
          <w:sz w:val="24"/>
          <w:szCs w:val="24"/>
          <w:vertAlign w:val="superscript"/>
        </w:rPr>
        <w:footnoteReference w:id="3"/>
      </w:r>
    </w:p>
    <w:p w14:paraId="7929CEDA" w14:textId="77777777" w:rsidR="00F64838" w:rsidRPr="00F91027" w:rsidRDefault="00F64838" w:rsidP="00E720A1">
      <w:pPr>
        <w:spacing w:after="0" w:line="240" w:lineRule="auto"/>
        <w:ind w:left="720" w:right="720"/>
        <w:jc w:val="both"/>
        <w:rPr>
          <w:rFonts w:ascii="Times New Roman" w:eastAsia="Times New Roman" w:hAnsi="Times New Roman" w:cs="Times New Roman"/>
          <w:i/>
          <w:sz w:val="24"/>
          <w:szCs w:val="24"/>
        </w:rPr>
      </w:pPr>
    </w:p>
    <w:p w14:paraId="53F173D6" w14:textId="77777777" w:rsidR="001F2FDB" w:rsidRPr="001F2FDB" w:rsidRDefault="001F2FDB" w:rsidP="00E720A1">
      <w:pPr>
        <w:spacing w:after="0" w:line="240" w:lineRule="auto"/>
        <w:ind w:firstLine="720"/>
        <w:jc w:val="both"/>
        <w:rPr>
          <w:rFonts w:ascii="Times New Roman" w:eastAsia="Times New Roman" w:hAnsi="Times New Roman" w:cs="Times New Roman"/>
          <w:sz w:val="24"/>
          <w:szCs w:val="24"/>
        </w:rPr>
      </w:pPr>
      <w:r w:rsidRPr="001F2FDB">
        <w:rPr>
          <w:rFonts w:ascii="Times New Roman" w:eastAsia="Times New Roman" w:hAnsi="Times New Roman" w:cs="Times New Roman"/>
          <w:sz w:val="24"/>
          <w:szCs w:val="24"/>
        </w:rPr>
        <w:t>The SIR Stipulation also coupled Units 3 and 4 for ratemaking purposes, providing that “[t]he Project, consisting of both Units 3 and 4, will be placed into retail rate base on December 31, 2020 or upon reaching commercial operation whichever is later.”</w:t>
      </w:r>
      <w:r w:rsidRPr="00ED7DDF">
        <w:rPr>
          <w:rFonts w:ascii="Times New Roman" w:eastAsia="Times New Roman" w:hAnsi="Times New Roman" w:cs="Times New Roman"/>
          <w:sz w:val="24"/>
          <w:szCs w:val="24"/>
          <w:vertAlign w:val="superscript"/>
        </w:rPr>
        <w:footnoteReference w:id="4"/>
      </w:r>
      <w:r w:rsidRPr="001F2FDB">
        <w:rPr>
          <w:rFonts w:ascii="Times New Roman" w:eastAsia="Times New Roman" w:hAnsi="Times New Roman" w:cs="Times New Roman"/>
          <w:sz w:val="24"/>
          <w:szCs w:val="24"/>
        </w:rPr>
        <w:t xml:space="preserve"> The SIR Stipulation then defined Commercial Operation “as the Unit being </w:t>
      </w:r>
      <w:r w:rsidR="00B360DE" w:rsidRPr="001F2FDB">
        <w:rPr>
          <w:rFonts w:ascii="Times New Roman" w:eastAsia="Times New Roman" w:hAnsi="Times New Roman" w:cs="Times New Roman"/>
          <w:sz w:val="24"/>
          <w:szCs w:val="24"/>
        </w:rPr>
        <w:t>fully dispatchable</w:t>
      </w:r>
      <w:r w:rsidRPr="001F2FDB">
        <w:rPr>
          <w:rFonts w:ascii="Times New Roman" w:eastAsia="Times New Roman" w:hAnsi="Times New Roman" w:cs="Times New Roman"/>
          <w:sz w:val="24"/>
          <w:szCs w:val="24"/>
        </w:rPr>
        <w:t xml:space="preserve"> on demand at the stated Net Electrical Output of 1,102 MWe of the Unit.”</w:t>
      </w:r>
      <w:r w:rsidRPr="00ED7DDF">
        <w:rPr>
          <w:rFonts w:ascii="Times New Roman" w:eastAsia="Times New Roman" w:hAnsi="Times New Roman" w:cs="Times New Roman"/>
          <w:sz w:val="24"/>
          <w:szCs w:val="24"/>
          <w:vertAlign w:val="superscript"/>
        </w:rPr>
        <w:footnoteReference w:id="5"/>
      </w:r>
    </w:p>
    <w:p w14:paraId="70F5AF48" w14:textId="77777777" w:rsidR="001F2FDB" w:rsidRPr="001F2FDB" w:rsidRDefault="001F2FDB" w:rsidP="00E720A1">
      <w:pPr>
        <w:spacing w:after="0" w:line="240" w:lineRule="auto"/>
        <w:jc w:val="both"/>
        <w:rPr>
          <w:rFonts w:ascii="Times New Roman" w:eastAsia="Times New Roman" w:hAnsi="Times New Roman" w:cs="Times New Roman"/>
          <w:sz w:val="24"/>
          <w:szCs w:val="24"/>
        </w:rPr>
      </w:pPr>
    </w:p>
    <w:p w14:paraId="1C52557E" w14:textId="77777777" w:rsidR="001F2FDB" w:rsidRPr="001F2FDB" w:rsidRDefault="001F2FDB" w:rsidP="00E720A1">
      <w:pPr>
        <w:spacing w:after="0" w:line="240" w:lineRule="auto"/>
        <w:ind w:firstLine="720"/>
        <w:jc w:val="both"/>
        <w:rPr>
          <w:rFonts w:ascii="Times New Roman" w:eastAsia="Times New Roman" w:hAnsi="Times New Roman" w:cs="Times New Roman"/>
          <w:sz w:val="24"/>
          <w:szCs w:val="24"/>
        </w:rPr>
      </w:pPr>
      <w:r w:rsidRPr="001F2FDB">
        <w:rPr>
          <w:rFonts w:ascii="Times New Roman" w:eastAsia="Times New Roman" w:hAnsi="Times New Roman" w:cs="Times New Roman"/>
          <w:sz w:val="24"/>
          <w:szCs w:val="24"/>
        </w:rPr>
        <w:t>The Commission, in its January 11, 2018 Order in the 17</w:t>
      </w:r>
      <w:r w:rsidRPr="001F2FDB">
        <w:rPr>
          <w:rFonts w:ascii="Times New Roman" w:eastAsia="Times New Roman" w:hAnsi="Times New Roman" w:cs="Times New Roman"/>
          <w:sz w:val="24"/>
          <w:szCs w:val="24"/>
          <w:vertAlign w:val="superscript"/>
        </w:rPr>
        <w:t>th</w:t>
      </w:r>
      <w:r w:rsidRPr="001F2FDB">
        <w:rPr>
          <w:rFonts w:ascii="Times New Roman" w:eastAsia="Times New Roman" w:hAnsi="Times New Roman" w:cs="Times New Roman"/>
          <w:sz w:val="24"/>
          <w:szCs w:val="24"/>
        </w:rPr>
        <w:t xml:space="preserve"> VCM, approved a revised capital and construction cost forecast of $7.3 billion, which is not intended to be a cost cap,</w:t>
      </w:r>
      <w:r w:rsidRPr="00ED7DDF">
        <w:rPr>
          <w:rFonts w:ascii="Times New Roman" w:eastAsia="Times New Roman" w:hAnsi="Times New Roman" w:cs="Times New Roman"/>
          <w:sz w:val="21"/>
          <w:szCs w:val="24"/>
          <w:vertAlign w:val="superscript"/>
        </w:rPr>
        <w:footnoteReference w:id="6"/>
      </w:r>
      <w:r w:rsidRPr="001F2FDB">
        <w:rPr>
          <w:rFonts w:ascii="Times New Roman" w:eastAsia="Times New Roman" w:hAnsi="Times New Roman" w:cs="Times New Roman"/>
          <w:sz w:val="24"/>
          <w:szCs w:val="24"/>
        </w:rPr>
        <w:t xml:space="preserve"> and the Company’s revised schedule, which included the Company’s new expected date of Commercial Operation for Unit 3 of November 2021 and for Unit 4 of November 2022. The 17</w:t>
      </w:r>
      <w:r w:rsidRPr="001F2FDB">
        <w:rPr>
          <w:rFonts w:ascii="Times New Roman" w:eastAsia="Times New Roman" w:hAnsi="Times New Roman" w:cs="Times New Roman"/>
          <w:sz w:val="24"/>
          <w:szCs w:val="24"/>
          <w:vertAlign w:val="superscript"/>
        </w:rPr>
        <w:t>th</w:t>
      </w:r>
      <w:r w:rsidRPr="001F2FDB">
        <w:rPr>
          <w:rFonts w:ascii="Times New Roman" w:eastAsia="Times New Roman" w:hAnsi="Times New Roman" w:cs="Times New Roman"/>
          <w:sz w:val="24"/>
          <w:szCs w:val="24"/>
        </w:rPr>
        <w:t xml:space="preserve"> VCM Order also partially decoupled Unit 3, providing: “To further incent the Company to complete the Units as safely and quickly as possible, the Commission also finds that upon reaching Commercial Operation of Unit 3, which is expected to be in November 2021, retail base rates will be adjusted to include the costs related to Unit 3 and common facilities deemed prudent in the January 3, 2017 Stipulation. This rate adjustment will be effective the first month after Unit 3 is in commercial operation.”</w:t>
      </w:r>
      <w:r w:rsidRPr="00ED7DDF">
        <w:rPr>
          <w:rFonts w:ascii="Times New Roman" w:eastAsia="Times New Roman" w:hAnsi="Times New Roman" w:cs="Times New Roman"/>
          <w:sz w:val="21"/>
          <w:szCs w:val="24"/>
          <w:vertAlign w:val="superscript"/>
        </w:rPr>
        <w:footnoteReference w:id="7"/>
      </w:r>
      <w:r w:rsidRPr="001F2FDB">
        <w:rPr>
          <w:rFonts w:ascii="Times New Roman" w:eastAsia="Times New Roman" w:hAnsi="Times New Roman" w:cs="Times New Roman"/>
          <w:sz w:val="24"/>
          <w:szCs w:val="24"/>
        </w:rPr>
        <w:t xml:space="preserve"> The 17</w:t>
      </w:r>
      <w:r w:rsidRPr="001F2FDB">
        <w:rPr>
          <w:rFonts w:ascii="Times New Roman" w:eastAsia="Times New Roman" w:hAnsi="Times New Roman" w:cs="Times New Roman"/>
          <w:sz w:val="24"/>
          <w:szCs w:val="24"/>
          <w:vertAlign w:val="superscript"/>
        </w:rPr>
        <w:t>th</w:t>
      </w:r>
      <w:r w:rsidRPr="001F2FDB">
        <w:rPr>
          <w:rFonts w:ascii="Times New Roman" w:eastAsia="Times New Roman" w:hAnsi="Times New Roman" w:cs="Times New Roman"/>
          <w:sz w:val="24"/>
          <w:szCs w:val="24"/>
        </w:rPr>
        <w:t xml:space="preserve"> VCM Order also stated that “all decisions regarding cost recovery from </w:t>
      </w:r>
      <w:r w:rsidRPr="001F2FDB">
        <w:rPr>
          <w:rFonts w:ascii="Times New Roman" w:eastAsia="Times New Roman" w:hAnsi="Times New Roman" w:cs="Times New Roman"/>
          <w:sz w:val="24"/>
          <w:szCs w:val="24"/>
        </w:rPr>
        <w:lastRenderedPageBreak/>
        <w:t>customers will be made later in a manner Consistent with Georgia law and the Stipulation approved by the Commission on January 3, 2017, and this Order.”</w:t>
      </w:r>
      <w:r w:rsidRPr="00ED7DDF">
        <w:rPr>
          <w:rFonts w:ascii="Times New Roman" w:eastAsia="Times New Roman" w:hAnsi="Times New Roman" w:cs="Times New Roman"/>
          <w:sz w:val="21"/>
          <w:szCs w:val="24"/>
          <w:vertAlign w:val="superscript"/>
        </w:rPr>
        <w:footnoteReference w:id="8"/>
      </w:r>
    </w:p>
    <w:p w14:paraId="1DA691D3" w14:textId="77777777" w:rsidR="001F2FDB" w:rsidRPr="001F2FDB" w:rsidRDefault="001F2FDB" w:rsidP="00E720A1">
      <w:pPr>
        <w:tabs>
          <w:tab w:val="left" w:pos="4770"/>
        </w:tabs>
        <w:autoSpaceDE w:val="0"/>
        <w:autoSpaceDN w:val="0"/>
        <w:adjustRightInd w:val="0"/>
        <w:spacing w:after="0" w:line="240" w:lineRule="auto"/>
        <w:jc w:val="both"/>
        <w:rPr>
          <w:rFonts w:ascii="Times New Roman" w:eastAsia="Times New Roman" w:hAnsi="Times New Roman" w:cs="Times New Roman"/>
          <w:sz w:val="24"/>
          <w:szCs w:val="24"/>
        </w:rPr>
      </w:pPr>
    </w:p>
    <w:p w14:paraId="1A351755" w14:textId="77777777" w:rsidR="004177A7" w:rsidRDefault="001F2FDB" w:rsidP="00E720A1">
      <w:pPr>
        <w:spacing w:after="0" w:line="240" w:lineRule="auto"/>
        <w:ind w:firstLine="720"/>
        <w:jc w:val="both"/>
        <w:rPr>
          <w:rFonts w:ascii="Times New Roman" w:eastAsia="Calibri" w:hAnsi="Times New Roman" w:cs="Times New Roman"/>
          <w:sz w:val="24"/>
          <w:szCs w:val="24"/>
        </w:rPr>
      </w:pPr>
      <w:r w:rsidRPr="001F2FDB">
        <w:rPr>
          <w:rFonts w:ascii="Times New Roman" w:eastAsia="Calibri" w:hAnsi="Times New Roman" w:cs="Times New Roman"/>
          <w:sz w:val="24"/>
          <w:szCs w:val="24"/>
        </w:rPr>
        <w:t>The revised cost of $7.3 billion was net of the Toshiba Parental Guarantee. The 17</w:t>
      </w:r>
      <w:r w:rsidRPr="001F2FDB">
        <w:rPr>
          <w:rFonts w:ascii="Times New Roman" w:eastAsia="Calibri" w:hAnsi="Times New Roman" w:cs="Times New Roman"/>
          <w:sz w:val="24"/>
          <w:szCs w:val="24"/>
          <w:vertAlign w:val="superscript"/>
        </w:rPr>
        <w:t>th</w:t>
      </w:r>
      <w:r w:rsidRPr="001F2FDB">
        <w:rPr>
          <w:rFonts w:ascii="Times New Roman" w:eastAsia="Calibri" w:hAnsi="Times New Roman" w:cs="Times New Roman"/>
          <w:sz w:val="24"/>
          <w:szCs w:val="24"/>
        </w:rPr>
        <w:t xml:space="preserve"> VCM Order provided that “[t]he balance of the proceeds received from Toshiba, net of the Company’s costs to obtain that payment and net of the costs of providing those customer credits, will be applied to the CWIP balance. This will have the effect of reducing the level of the NCCR and the Company’s earnings on the NCCR until the CWIP balance is built back up with actual investments to the original certified amount of $4.418 billion.”</w:t>
      </w:r>
      <w:r w:rsidRPr="00ED7DDF">
        <w:rPr>
          <w:rFonts w:ascii="Times New Roman" w:eastAsia="Calibri" w:hAnsi="Times New Roman" w:cs="Times New Roman"/>
          <w:szCs w:val="24"/>
          <w:vertAlign w:val="superscript"/>
        </w:rPr>
        <w:footnoteReference w:id="9"/>
      </w:r>
    </w:p>
    <w:p w14:paraId="01CCDCE4" w14:textId="77777777" w:rsidR="004177A7" w:rsidRDefault="004177A7" w:rsidP="00E720A1">
      <w:pPr>
        <w:spacing w:after="0" w:line="240" w:lineRule="auto"/>
        <w:ind w:firstLine="720"/>
        <w:jc w:val="both"/>
        <w:rPr>
          <w:rFonts w:ascii="Times New Roman" w:eastAsia="Times New Roman" w:hAnsi="Times New Roman" w:cs="Times New Roman"/>
          <w:sz w:val="24"/>
          <w:szCs w:val="24"/>
        </w:rPr>
      </w:pPr>
    </w:p>
    <w:p w14:paraId="2B42D578" w14:textId="7B4BA7AF" w:rsidR="00ED7DDF" w:rsidRPr="00ED7DDF" w:rsidRDefault="00ED7DDF" w:rsidP="00E720A1">
      <w:pPr>
        <w:spacing w:after="0" w:line="240" w:lineRule="auto"/>
        <w:ind w:firstLine="720"/>
        <w:jc w:val="both"/>
        <w:rPr>
          <w:rFonts w:ascii="Times New Roman" w:eastAsia="Times New Roman" w:hAnsi="Times New Roman" w:cs="Times New Roman"/>
          <w:sz w:val="24"/>
          <w:szCs w:val="24"/>
        </w:rPr>
      </w:pPr>
      <w:r w:rsidRPr="00ED7DDF">
        <w:rPr>
          <w:rFonts w:ascii="Times New Roman" w:eastAsia="Times New Roman" w:hAnsi="Times New Roman" w:cs="Times New Roman"/>
          <w:sz w:val="24"/>
          <w:szCs w:val="24"/>
        </w:rPr>
        <w:t xml:space="preserve">  In VCM 23, the Company and PIA Staff agreed in a Stipulation approved by Commission Order on February 23, 2021 to: </w:t>
      </w:r>
    </w:p>
    <w:p w14:paraId="3E0430BE" w14:textId="77777777" w:rsidR="00ED7DDF" w:rsidRPr="00ED7DDF" w:rsidRDefault="00ED7DDF" w:rsidP="00E720A1">
      <w:pPr>
        <w:keepNext/>
        <w:spacing w:after="0" w:line="240" w:lineRule="auto"/>
        <w:jc w:val="both"/>
        <w:rPr>
          <w:rFonts w:ascii="Times New Roman" w:eastAsia="Times New Roman" w:hAnsi="Times New Roman" w:cs="Times New Roman"/>
          <w:sz w:val="24"/>
          <w:szCs w:val="24"/>
        </w:rPr>
      </w:pPr>
    </w:p>
    <w:p w14:paraId="41CEB2D4" w14:textId="77777777" w:rsidR="00ED7DDF" w:rsidRDefault="00ED7DDF" w:rsidP="00250357">
      <w:pPr>
        <w:keepNext/>
        <w:spacing w:after="0" w:line="240" w:lineRule="auto"/>
        <w:ind w:left="720" w:right="720"/>
        <w:jc w:val="both"/>
        <w:rPr>
          <w:rFonts w:ascii="Times New Roman" w:eastAsia="Times New Roman" w:hAnsi="Times New Roman" w:cs="Times New Roman"/>
          <w:i/>
          <w:sz w:val="24"/>
          <w:szCs w:val="24"/>
        </w:rPr>
      </w:pPr>
      <w:r w:rsidRPr="00ED7DDF">
        <w:rPr>
          <w:rFonts w:ascii="Times New Roman" w:eastAsia="Times New Roman" w:hAnsi="Times New Roman" w:cs="Times New Roman"/>
          <w:i/>
          <w:sz w:val="24"/>
          <w:szCs w:val="24"/>
        </w:rPr>
        <w:t>[M]eet in a good faith effort to develop a mutually agreeable recommendation to the Commission regarding the procedure for and the timing, form and substance of the rate adjustment filing related to the Unit 3 and common facility costs consistent with Georgia law and the Stipulation approved by the Commission on January 3, 2017 and the Order on the 17th VCM, including the costs recoverable through an adjustment to the base revenue requirement and base rates, the costs that will remain eligible for recovery through the Nuclear Construction Cost Recovery tariff, the costs that will be reflected in Fuel Cost Recovery, and the costs, if any, eligible for deferral and consideration for recovery in future ratemaking proceedings. The parties shall provide such recommendation to the Commission or otherwise report on their progress by March 31, 2021.</w:t>
      </w:r>
      <w:r w:rsidRPr="00ED7DDF">
        <w:rPr>
          <w:rFonts w:ascii="Times New Roman" w:eastAsia="Times New Roman" w:hAnsi="Times New Roman" w:cs="Times New Roman"/>
          <w:i/>
          <w:sz w:val="24"/>
          <w:szCs w:val="24"/>
          <w:vertAlign w:val="superscript"/>
        </w:rPr>
        <w:footnoteReference w:id="10"/>
      </w:r>
    </w:p>
    <w:p w14:paraId="31AF45A2" w14:textId="77777777" w:rsidR="00282D2D" w:rsidRDefault="00282D2D" w:rsidP="00282D2D">
      <w:pPr>
        <w:keepNext/>
        <w:spacing w:after="0" w:line="240" w:lineRule="auto"/>
        <w:rPr>
          <w:rFonts w:ascii="Times New Roman" w:eastAsia="Times New Roman" w:hAnsi="Times New Roman" w:cs="Times New Roman"/>
          <w:sz w:val="24"/>
          <w:szCs w:val="24"/>
        </w:rPr>
      </w:pPr>
    </w:p>
    <w:p w14:paraId="2C0F30CB" w14:textId="5573FC0B" w:rsidR="00282D2D" w:rsidRPr="00282D2D" w:rsidRDefault="00282D2D" w:rsidP="00282D2D">
      <w:pPr>
        <w:tabs>
          <w:tab w:val="left" w:pos="-2070"/>
          <w:tab w:val="left" w:pos="-1800"/>
          <w:tab w:val="left" w:pos="360"/>
          <w:tab w:val="left" w:pos="720"/>
          <w:tab w:val="left" w:pos="1170"/>
          <w:tab w:val="left" w:pos="2070"/>
        </w:tabs>
        <w:spacing w:after="0" w:line="240" w:lineRule="auto"/>
        <w:jc w:val="center"/>
        <w:rPr>
          <w:rFonts w:ascii="Times New Roman" w:eastAsia="Times New Roman" w:hAnsi="Times New Roman" w:cs="Times New Roman"/>
          <w:b/>
          <w:sz w:val="24"/>
          <w:szCs w:val="24"/>
          <w:u w:val="single"/>
        </w:rPr>
      </w:pPr>
      <w:r w:rsidRPr="009B6A8B">
        <w:rPr>
          <w:rFonts w:ascii="Times New Roman" w:eastAsia="Times New Roman" w:hAnsi="Times New Roman" w:cs="Times New Roman"/>
          <w:b/>
          <w:sz w:val="24"/>
          <w:szCs w:val="24"/>
          <w:u w:val="single"/>
        </w:rPr>
        <w:t>Le</w:t>
      </w:r>
      <w:r w:rsidR="00C73B7A">
        <w:rPr>
          <w:rFonts w:ascii="Times New Roman" w:eastAsia="Times New Roman" w:hAnsi="Times New Roman" w:cs="Times New Roman"/>
          <w:b/>
          <w:sz w:val="24"/>
          <w:szCs w:val="24"/>
          <w:u w:val="single"/>
        </w:rPr>
        <w:t>g</w:t>
      </w:r>
      <w:r w:rsidRPr="009B6A8B">
        <w:rPr>
          <w:rFonts w:ascii="Times New Roman" w:eastAsia="Times New Roman" w:hAnsi="Times New Roman" w:cs="Times New Roman"/>
          <w:b/>
          <w:sz w:val="24"/>
          <w:szCs w:val="24"/>
          <w:u w:val="single"/>
        </w:rPr>
        <w:t>al Authority And Jurisdiction</w:t>
      </w:r>
    </w:p>
    <w:p w14:paraId="7F902738" w14:textId="77777777" w:rsidR="00FF38F8" w:rsidRDefault="00FF38F8" w:rsidP="001133B4">
      <w:pPr>
        <w:tabs>
          <w:tab w:val="left" w:pos="-2070"/>
          <w:tab w:val="left" w:pos="-1800"/>
          <w:tab w:val="left" w:pos="360"/>
          <w:tab w:val="left" w:pos="720"/>
          <w:tab w:val="left" w:pos="1170"/>
          <w:tab w:val="left" w:pos="2070"/>
        </w:tabs>
        <w:spacing w:after="0" w:line="240" w:lineRule="auto"/>
        <w:jc w:val="both"/>
        <w:rPr>
          <w:rFonts w:ascii="Arial" w:eastAsia="Times New Roman" w:hAnsi="Arial" w:cs="Arial"/>
          <w:sz w:val="24"/>
          <w:szCs w:val="24"/>
        </w:rPr>
      </w:pPr>
      <w:r>
        <w:rPr>
          <w:rFonts w:ascii="Arial" w:eastAsia="Times New Roman" w:hAnsi="Arial" w:cs="Arial"/>
          <w:sz w:val="24"/>
          <w:szCs w:val="24"/>
        </w:rPr>
        <w:tab/>
      </w:r>
    </w:p>
    <w:p w14:paraId="56A8B619" w14:textId="4EBECCDC" w:rsidR="001133B4" w:rsidRDefault="00DE244B" w:rsidP="001133B4">
      <w:pPr>
        <w:tabs>
          <w:tab w:val="left" w:pos="-2070"/>
          <w:tab w:val="left" w:pos="-1800"/>
          <w:tab w:val="left" w:pos="360"/>
          <w:tab w:val="left" w:pos="720"/>
          <w:tab w:val="left" w:pos="1170"/>
          <w:tab w:val="left" w:pos="207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82D2D" w:rsidRPr="00282D2D">
        <w:rPr>
          <w:rFonts w:ascii="Times New Roman" w:eastAsia="Times New Roman" w:hAnsi="Times New Roman" w:cs="Times New Roman"/>
          <w:sz w:val="24"/>
          <w:szCs w:val="24"/>
        </w:rPr>
        <w:t>The Commission has general supervisory authority over electric utilities. O.C.G.A. §§ 46-2-20 and 21. The Commission has the exclusive power to determine just and reasonable rates an</w:t>
      </w:r>
      <w:r w:rsidR="00C73B7A">
        <w:rPr>
          <w:rFonts w:ascii="Times New Roman" w:eastAsia="Times New Roman" w:hAnsi="Times New Roman" w:cs="Times New Roman"/>
          <w:sz w:val="24"/>
          <w:szCs w:val="24"/>
        </w:rPr>
        <w:t xml:space="preserve">d charges made by the </w:t>
      </w:r>
      <w:r w:rsidR="00282D2D" w:rsidRPr="00282D2D">
        <w:rPr>
          <w:rFonts w:ascii="Times New Roman" w:eastAsia="Times New Roman" w:hAnsi="Times New Roman" w:cs="Times New Roman"/>
          <w:sz w:val="24"/>
          <w:szCs w:val="24"/>
        </w:rPr>
        <w:t>Company. O.C.G.A. § 46-2-23(a). The procedure for changing rates is governed by O.C.G.A. § 46-2-25. The Commission has jurisdiction over placing construction costs in base rates. O.C.G.A. § 46-3A-7. The Commission has jurisdiction over financing associated with the construction of a nuclear generating plant which has been certified by the commission prior to January 1, 2018. O.C.G.A. § 46-2-25(c.1). The Commission has jurisdiction over fuel costs.  O.C.G.A. § 46-2-26.</w:t>
      </w:r>
    </w:p>
    <w:p w14:paraId="4BBE74D5" w14:textId="77777777" w:rsidR="001133B4" w:rsidRDefault="001133B4" w:rsidP="001133B4">
      <w:pPr>
        <w:tabs>
          <w:tab w:val="left" w:pos="-2070"/>
          <w:tab w:val="left" w:pos="-1800"/>
          <w:tab w:val="left" w:pos="360"/>
          <w:tab w:val="left" w:pos="720"/>
          <w:tab w:val="left" w:pos="1170"/>
          <w:tab w:val="left" w:pos="2070"/>
        </w:tabs>
        <w:spacing w:after="0" w:line="240" w:lineRule="auto"/>
        <w:jc w:val="both"/>
        <w:rPr>
          <w:rFonts w:ascii="Times New Roman" w:eastAsia="Times New Roman" w:hAnsi="Times New Roman" w:cs="Times New Roman"/>
          <w:sz w:val="24"/>
          <w:szCs w:val="24"/>
        </w:rPr>
      </w:pPr>
    </w:p>
    <w:p w14:paraId="54B542A3" w14:textId="00BFD97F" w:rsidR="001133B4" w:rsidRPr="00E00876" w:rsidRDefault="001133B4" w:rsidP="00853BD7">
      <w:pPr>
        <w:tabs>
          <w:tab w:val="left" w:pos="-2070"/>
          <w:tab w:val="left" w:pos="-1800"/>
          <w:tab w:val="left" w:pos="360"/>
          <w:tab w:val="left" w:pos="720"/>
          <w:tab w:val="left" w:pos="1170"/>
          <w:tab w:val="left" w:pos="2070"/>
        </w:tabs>
        <w:spacing w:after="0" w:line="240" w:lineRule="auto"/>
        <w:jc w:val="center"/>
        <w:rPr>
          <w:rFonts w:ascii="Times New Roman" w:eastAsia="Times New Roman" w:hAnsi="Times New Roman" w:cs="Times New Roman"/>
          <w:b/>
          <w:sz w:val="24"/>
          <w:szCs w:val="24"/>
          <w:u w:val="single"/>
        </w:rPr>
      </w:pPr>
      <w:r w:rsidRPr="00E00876">
        <w:rPr>
          <w:rFonts w:ascii="Times New Roman" w:eastAsia="Times New Roman" w:hAnsi="Times New Roman" w:cs="Times New Roman"/>
          <w:b/>
          <w:sz w:val="24"/>
          <w:szCs w:val="24"/>
          <w:u w:val="single"/>
        </w:rPr>
        <w:t>Issues Involved</w:t>
      </w:r>
    </w:p>
    <w:p w14:paraId="15F17C70" w14:textId="77777777" w:rsidR="001133B4" w:rsidRDefault="001133B4" w:rsidP="001133B4">
      <w:pPr>
        <w:tabs>
          <w:tab w:val="left" w:pos="-2070"/>
          <w:tab w:val="left" w:pos="-1800"/>
          <w:tab w:val="left" w:pos="360"/>
          <w:tab w:val="left" w:pos="720"/>
          <w:tab w:val="left" w:pos="1170"/>
          <w:tab w:val="left" w:pos="2070"/>
        </w:tabs>
        <w:spacing w:after="0" w:line="240" w:lineRule="auto"/>
        <w:jc w:val="both"/>
        <w:rPr>
          <w:rFonts w:ascii="Times New Roman" w:eastAsia="Times New Roman" w:hAnsi="Times New Roman" w:cs="Times New Roman"/>
          <w:sz w:val="24"/>
          <w:szCs w:val="24"/>
        </w:rPr>
      </w:pPr>
    </w:p>
    <w:p w14:paraId="5EE01BA1" w14:textId="57B252EA" w:rsidR="00E00876" w:rsidRDefault="00E00876" w:rsidP="00E00876">
      <w:pPr>
        <w:tabs>
          <w:tab w:val="left" w:pos="-2070"/>
          <w:tab w:val="left" w:pos="-1800"/>
          <w:tab w:val="left" w:pos="360"/>
          <w:tab w:val="left" w:pos="720"/>
          <w:tab w:val="left" w:pos="1170"/>
          <w:tab w:val="left" w:pos="207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133B4" w:rsidRPr="001133B4">
        <w:rPr>
          <w:rFonts w:ascii="Times New Roman" w:eastAsia="Times New Roman" w:hAnsi="Times New Roman" w:cs="Times New Roman"/>
          <w:sz w:val="24"/>
          <w:szCs w:val="24"/>
        </w:rPr>
        <w:t>The issues to be addressed in this proceeding include, but are not limited to, the following:</w:t>
      </w:r>
    </w:p>
    <w:p w14:paraId="0BA24C07" w14:textId="77777777" w:rsidR="00E00876" w:rsidRDefault="00E00876" w:rsidP="00E00876">
      <w:pPr>
        <w:tabs>
          <w:tab w:val="left" w:pos="-2070"/>
          <w:tab w:val="left" w:pos="-1800"/>
          <w:tab w:val="left" w:pos="360"/>
          <w:tab w:val="left" w:pos="720"/>
          <w:tab w:val="left" w:pos="1170"/>
          <w:tab w:val="left" w:pos="2070"/>
        </w:tabs>
        <w:spacing w:after="0" w:line="240" w:lineRule="auto"/>
        <w:jc w:val="both"/>
        <w:rPr>
          <w:rFonts w:ascii="Times New Roman" w:eastAsia="Times New Roman" w:hAnsi="Times New Roman" w:cs="Times New Roman"/>
          <w:sz w:val="24"/>
          <w:szCs w:val="24"/>
        </w:rPr>
      </w:pPr>
    </w:p>
    <w:p w14:paraId="0E301CBC" w14:textId="368FD739" w:rsidR="00E00876" w:rsidRPr="00E00876" w:rsidRDefault="001133B4" w:rsidP="00E00876">
      <w:pPr>
        <w:pStyle w:val="ListParagraph"/>
        <w:numPr>
          <w:ilvl w:val="0"/>
          <w:numId w:val="3"/>
        </w:numPr>
        <w:tabs>
          <w:tab w:val="left" w:pos="-2070"/>
          <w:tab w:val="left" w:pos="-1800"/>
          <w:tab w:val="left" w:pos="360"/>
          <w:tab w:val="left" w:pos="720"/>
          <w:tab w:val="left" w:pos="1170"/>
          <w:tab w:val="left" w:pos="2070"/>
        </w:tabs>
        <w:spacing w:after="0" w:line="240" w:lineRule="auto"/>
        <w:jc w:val="both"/>
        <w:rPr>
          <w:rFonts w:ascii="Times New Roman" w:eastAsia="Times New Roman" w:hAnsi="Times New Roman" w:cs="Times New Roman"/>
          <w:sz w:val="24"/>
          <w:szCs w:val="24"/>
        </w:rPr>
      </w:pPr>
      <w:r w:rsidRPr="00E00876">
        <w:rPr>
          <w:rFonts w:ascii="Times New Roman" w:eastAsia="Times New Roman" w:hAnsi="Times New Roman" w:cs="Times New Roman"/>
          <w:sz w:val="24"/>
          <w:szCs w:val="24"/>
        </w:rPr>
        <w:lastRenderedPageBreak/>
        <w:t>What are the costs related to Unit 3 and common facilities deemed</w:t>
      </w:r>
      <w:r w:rsidR="00E00876" w:rsidRPr="00E00876">
        <w:rPr>
          <w:rFonts w:ascii="Times New Roman" w:eastAsia="Times New Roman" w:hAnsi="Times New Roman" w:cs="Times New Roman"/>
          <w:sz w:val="24"/>
          <w:szCs w:val="24"/>
        </w:rPr>
        <w:t xml:space="preserve"> prudent in the SIR Stipulation</w:t>
      </w:r>
      <w:r w:rsidR="00350968">
        <w:rPr>
          <w:rFonts w:ascii="Times New Roman" w:eastAsia="Times New Roman" w:hAnsi="Times New Roman" w:cs="Times New Roman"/>
          <w:sz w:val="24"/>
          <w:szCs w:val="24"/>
        </w:rPr>
        <w:t>?</w:t>
      </w:r>
    </w:p>
    <w:p w14:paraId="4F16F5E0" w14:textId="0A4E7369" w:rsidR="00E00876" w:rsidRPr="00E00876" w:rsidRDefault="001133B4" w:rsidP="00E00876">
      <w:pPr>
        <w:pStyle w:val="ListParagraph"/>
        <w:numPr>
          <w:ilvl w:val="0"/>
          <w:numId w:val="3"/>
        </w:numPr>
        <w:tabs>
          <w:tab w:val="left" w:pos="-2070"/>
          <w:tab w:val="left" w:pos="-1800"/>
          <w:tab w:val="left" w:pos="360"/>
          <w:tab w:val="left" w:pos="720"/>
          <w:tab w:val="left" w:pos="1170"/>
          <w:tab w:val="left" w:pos="2070"/>
        </w:tabs>
        <w:spacing w:after="0" w:line="240" w:lineRule="auto"/>
        <w:jc w:val="both"/>
        <w:rPr>
          <w:rFonts w:ascii="Times New Roman" w:eastAsia="Times New Roman" w:hAnsi="Times New Roman" w:cs="Times New Roman"/>
          <w:sz w:val="24"/>
          <w:szCs w:val="24"/>
        </w:rPr>
      </w:pPr>
      <w:r w:rsidRPr="00E00876">
        <w:rPr>
          <w:rFonts w:ascii="Times New Roman" w:eastAsia="Times New Roman" w:hAnsi="Times New Roman" w:cs="Times New Roman"/>
          <w:sz w:val="24"/>
          <w:szCs w:val="24"/>
        </w:rPr>
        <w:t>What is the appropriate retail base rate adjustment to recover the costs identified in Issue Involved (a), above? As part of this determination what the revenue requirement to be recovered from ratepayers and what is the appropriate rate design for the recovery?</w:t>
      </w:r>
    </w:p>
    <w:p w14:paraId="4D6E80C1" w14:textId="0D725FE5" w:rsidR="00E00876" w:rsidRPr="00E00876" w:rsidRDefault="001133B4" w:rsidP="00E00876">
      <w:pPr>
        <w:pStyle w:val="ListParagraph"/>
        <w:numPr>
          <w:ilvl w:val="0"/>
          <w:numId w:val="3"/>
        </w:numPr>
        <w:tabs>
          <w:tab w:val="left" w:pos="-2070"/>
          <w:tab w:val="left" w:pos="-1800"/>
          <w:tab w:val="left" w:pos="360"/>
          <w:tab w:val="left" w:pos="720"/>
          <w:tab w:val="left" w:pos="1170"/>
          <w:tab w:val="left" w:pos="2070"/>
        </w:tabs>
        <w:spacing w:after="0" w:line="240" w:lineRule="auto"/>
        <w:jc w:val="both"/>
        <w:rPr>
          <w:rFonts w:ascii="Times New Roman" w:eastAsia="Times New Roman" w:hAnsi="Times New Roman" w:cs="Times New Roman"/>
          <w:sz w:val="24"/>
          <w:szCs w:val="24"/>
        </w:rPr>
      </w:pPr>
      <w:r w:rsidRPr="00E00876">
        <w:rPr>
          <w:rFonts w:ascii="Times New Roman" w:eastAsia="Times New Roman" w:hAnsi="Times New Roman" w:cs="Times New Roman"/>
          <w:sz w:val="24"/>
          <w:szCs w:val="24"/>
        </w:rPr>
        <w:t>What costs will remain eligible for recovery through the Nuclear Construction Cost Recovery tariff?</w:t>
      </w:r>
    </w:p>
    <w:p w14:paraId="4F3ED8D6" w14:textId="35F5902D" w:rsidR="00E00876" w:rsidRPr="00E00876" w:rsidRDefault="001133B4" w:rsidP="00E00876">
      <w:pPr>
        <w:pStyle w:val="ListParagraph"/>
        <w:numPr>
          <w:ilvl w:val="0"/>
          <w:numId w:val="3"/>
        </w:numPr>
        <w:tabs>
          <w:tab w:val="left" w:pos="-2070"/>
          <w:tab w:val="left" w:pos="-1800"/>
          <w:tab w:val="left" w:pos="360"/>
          <w:tab w:val="left" w:pos="720"/>
          <w:tab w:val="left" w:pos="1170"/>
          <w:tab w:val="left" w:pos="2070"/>
        </w:tabs>
        <w:spacing w:after="0" w:line="240" w:lineRule="auto"/>
        <w:jc w:val="both"/>
        <w:rPr>
          <w:rFonts w:ascii="Times New Roman" w:eastAsia="Times New Roman" w:hAnsi="Times New Roman" w:cs="Times New Roman"/>
          <w:sz w:val="24"/>
          <w:szCs w:val="24"/>
        </w:rPr>
      </w:pPr>
      <w:r w:rsidRPr="00E00876">
        <w:rPr>
          <w:rFonts w:ascii="Times New Roman" w:eastAsia="Times New Roman" w:hAnsi="Times New Roman" w:cs="Times New Roman"/>
          <w:sz w:val="24"/>
          <w:szCs w:val="24"/>
        </w:rPr>
        <w:t>What costs will be reflected in Fuel Cost Recovery?</w:t>
      </w:r>
    </w:p>
    <w:p w14:paraId="108659C6" w14:textId="4E674DD0" w:rsidR="00E00876" w:rsidRPr="00E00876" w:rsidRDefault="001133B4" w:rsidP="00E00876">
      <w:pPr>
        <w:pStyle w:val="ListParagraph"/>
        <w:numPr>
          <w:ilvl w:val="0"/>
          <w:numId w:val="3"/>
        </w:numPr>
        <w:tabs>
          <w:tab w:val="left" w:pos="-2070"/>
          <w:tab w:val="left" w:pos="-1800"/>
          <w:tab w:val="left" w:pos="360"/>
          <w:tab w:val="left" w:pos="720"/>
          <w:tab w:val="left" w:pos="1170"/>
          <w:tab w:val="left" w:pos="2070"/>
        </w:tabs>
        <w:spacing w:after="0" w:line="240" w:lineRule="auto"/>
        <w:jc w:val="both"/>
        <w:rPr>
          <w:rFonts w:ascii="Times New Roman" w:eastAsia="Times New Roman" w:hAnsi="Times New Roman" w:cs="Times New Roman"/>
          <w:sz w:val="24"/>
          <w:szCs w:val="24"/>
        </w:rPr>
      </w:pPr>
      <w:r w:rsidRPr="00E00876">
        <w:rPr>
          <w:rFonts w:ascii="Times New Roman" w:eastAsia="Times New Roman" w:hAnsi="Times New Roman" w:cs="Times New Roman"/>
          <w:sz w:val="24"/>
          <w:szCs w:val="24"/>
        </w:rPr>
        <w:t>What costs, if any, are eligible for deferral and consideration for recovery in future ratemaking proceedings?</w:t>
      </w:r>
    </w:p>
    <w:p w14:paraId="2FC6C928" w14:textId="326927F1" w:rsidR="00294334" w:rsidRPr="00E00876" w:rsidRDefault="001133B4" w:rsidP="00E00876">
      <w:pPr>
        <w:pStyle w:val="ListParagraph"/>
        <w:numPr>
          <w:ilvl w:val="0"/>
          <w:numId w:val="3"/>
        </w:numPr>
        <w:tabs>
          <w:tab w:val="left" w:pos="-2070"/>
          <w:tab w:val="left" w:pos="-1800"/>
          <w:tab w:val="left" w:pos="360"/>
          <w:tab w:val="left" w:pos="720"/>
          <w:tab w:val="left" w:pos="1170"/>
          <w:tab w:val="left" w:pos="2070"/>
        </w:tabs>
        <w:spacing w:after="0" w:line="240" w:lineRule="auto"/>
        <w:jc w:val="both"/>
        <w:rPr>
          <w:rFonts w:ascii="Times New Roman" w:eastAsia="Times New Roman" w:hAnsi="Times New Roman" w:cs="Times New Roman"/>
          <w:sz w:val="24"/>
          <w:szCs w:val="24"/>
        </w:rPr>
      </w:pPr>
      <w:r w:rsidRPr="00E00876">
        <w:rPr>
          <w:rFonts w:ascii="Times New Roman" w:eastAsia="Times New Roman" w:hAnsi="Times New Roman" w:cs="Times New Roman"/>
          <w:sz w:val="24"/>
          <w:szCs w:val="24"/>
        </w:rPr>
        <w:t>What process will be used to determine that Unit 3 is “fully dispatchable on demand at the stated Net Electrical Output of 1,102 MWe” as that term is used in the SIR Stipulation?</w:t>
      </w:r>
    </w:p>
    <w:p w14:paraId="42C3B506" w14:textId="77777777" w:rsidR="00D75093" w:rsidRDefault="00D75093" w:rsidP="00D75093">
      <w:pPr>
        <w:keepNext/>
        <w:spacing w:after="0" w:line="240" w:lineRule="auto"/>
        <w:ind w:firstLine="720"/>
        <w:jc w:val="center"/>
        <w:rPr>
          <w:rFonts w:ascii="Times New Roman" w:eastAsia="Times New Roman" w:hAnsi="Times New Roman" w:cs="Times New Roman"/>
          <w:b/>
          <w:sz w:val="24"/>
          <w:szCs w:val="24"/>
          <w:u w:val="single"/>
        </w:rPr>
      </w:pPr>
    </w:p>
    <w:p w14:paraId="15E016C0" w14:textId="77777777" w:rsidR="00BF2646" w:rsidRDefault="00BF2646" w:rsidP="00350968">
      <w:pPr>
        <w:spacing w:after="0" w:line="240" w:lineRule="auto"/>
        <w:ind w:firstLine="720"/>
        <w:jc w:val="both"/>
        <w:rPr>
          <w:rFonts w:ascii="Times New Roman" w:eastAsia="Times New Roman" w:hAnsi="Times New Roman" w:cs="Times New Roman"/>
          <w:b/>
          <w:sz w:val="24"/>
          <w:szCs w:val="24"/>
          <w:u w:val="single"/>
        </w:rPr>
      </w:pPr>
    </w:p>
    <w:p w14:paraId="420A44B7" w14:textId="7A38D994" w:rsidR="005528CE" w:rsidRDefault="00E00876" w:rsidP="00E720A1">
      <w:pPr>
        <w:keepNext/>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Findings of Facts and Conclusions o</w:t>
      </w:r>
      <w:r w:rsidRPr="002B64B4">
        <w:rPr>
          <w:rFonts w:ascii="Times New Roman" w:eastAsia="Times New Roman" w:hAnsi="Times New Roman" w:cs="Times New Roman"/>
          <w:b/>
          <w:bCs/>
          <w:sz w:val="24"/>
          <w:szCs w:val="24"/>
          <w:u w:val="single"/>
        </w:rPr>
        <w:t>f Law</w:t>
      </w:r>
    </w:p>
    <w:p w14:paraId="71FFFDB8" w14:textId="04B57EE6" w:rsidR="007563FF" w:rsidRDefault="007563FF" w:rsidP="00E720A1">
      <w:pPr>
        <w:keepNext/>
        <w:spacing w:after="0" w:line="240" w:lineRule="auto"/>
        <w:jc w:val="center"/>
        <w:rPr>
          <w:rFonts w:ascii="Times New Roman" w:eastAsia="Times New Roman" w:hAnsi="Times New Roman" w:cs="Times New Roman"/>
          <w:b/>
          <w:bCs/>
          <w:sz w:val="24"/>
          <w:szCs w:val="24"/>
          <w:u w:val="single"/>
        </w:rPr>
      </w:pPr>
    </w:p>
    <w:p w14:paraId="41D1E531" w14:textId="7020596D" w:rsidR="007563FF" w:rsidRPr="00E720A1" w:rsidRDefault="007563FF" w:rsidP="00E720A1">
      <w:pPr>
        <w:keepNext/>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1.</w:t>
      </w:r>
    </w:p>
    <w:p w14:paraId="1EFAFA8C" w14:textId="77777777" w:rsidR="00AC0AAC" w:rsidRDefault="00AC0AAC" w:rsidP="00E64225">
      <w:pPr>
        <w:keepNext/>
        <w:spacing w:after="0" w:line="240" w:lineRule="auto"/>
        <w:jc w:val="center"/>
        <w:rPr>
          <w:rFonts w:ascii="Times New Roman" w:eastAsia="Times New Roman" w:hAnsi="Times New Roman" w:cs="Times New Roman"/>
          <w:b/>
          <w:sz w:val="24"/>
          <w:szCs w:val="24"/>
          <w:u w:val="single"/>
        </w:rPr>
      </w:pPr>
    </w:p>
    <w:p w14:paraId="2F93DD8F" w14:textId="5014DF94" w:rsidR="007563FF" w:rsidRPr="002B64B4" w:rsidRDefault="007563FF" w:rsidP="007563FF">
      <w:pPr>
        <w:keepNext/>
        <w:spacing w:after="0" w:line="240" w:lineRule="auto"/>
        <w:ind w:firstLine="720"/>
        <w:jc w:val="both"/>
        <w:rPr>
          <w:rFonts w:ascii="Times New Roman" w:eastAsia="Times New Roman" w:hAnsi="Times New Roman" w:cs="Times New Roman"/>
          <w:bCs/>
          <w:sz w:val="24"/>
          <w:szCs w:val="24"/>
        </w:rPr>
      </w:pPr>
      <w:r w:rsidRPr="002B64B4">
        <w:rPr>
          <w:rFonts w:ascii="Times New Roman" w:eastAsia="Times New Roman" w:hAnsi="Times New Roman" w:cs="Times New Roman"/>
          <w:bCs/>
          <w:sz w:val="24"/>
          <w:szCs w:val="24"/>
        </w:rPr>
        <w:t>After thorough consideration of the attached Stipulation, the Commission finds as a matter of fact and concludes as a matter of law that the terms and conditions of the Stipulation are reasonable and in the public interest. The Commission further finds and concludes that adoption of the Stipulation constitutes a fair, efficient, effective and responsible discharge of the</w:t>
      </w:r>
      <w:r>
        <w:rPr>
          <w:rFonts w:ascii="Times New Roman" w:eastAsia="Times New Roman" w:hAnsi="Times New Roman" w:cs="Times New Roman"/>
          <w:bCs/>
          <w:sz w:val="24"/>
          <w:szCs w:val="24"/>
        </w:rPr>
        <w:t xml:space="preserve"> Co</w:t>
      </w:r>
      <w:r w:rsidRPr="002B64B4">
        <w:rPr>
          <w:rFonts w:ascii="Times New Roman" w:eastAsia="Times New Roman" w:hAnsi="Times New Roman" w:cs="Times New Roman"/>
          <w:bCs/>
          <w:sz w:val="24"/>
          <w:szCs w:val="24"/>
        </w:rPr>
        <w:t>mmission’s duties in accordance with Georgia law. All other recommendations and/or requests are denied.</w:t>
      </w:r>
    </w:p>
    <w:p w14:paraId="13C7953D" w14:textId="6AB4F7BC" w:rsidR="00877C48" w:rsidRDefault="00877C48" w:rsidP="006A0E91">
      <w:pPr>
        <w:keepNext/>
        <w:spacing w:after="0" w:line="240" w:lineRule="auto"/>
        <w:jc w:val="both"/>
        <w:rPr>
          <w:rFonts w:ascii="Times New Roman" w:eastAsia="Times New Roman" w:hAnsi="Times New Roman" w:cs="Times New Roman"/>
          <w:sz w:val="24"/>
          <w:szCs w:val="24"/>
        </w:rPr>
      </w:pPr>
    </w:p>
    <w:p w14:paraId="6BE87971" w14:textId="64E60AB4" w:rsidR="00877C48" w:rsidRDefault="00877C48" w:rsidP="006A0E91">
      <w:pPr>
        <w:keepNext/>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Stipulation contains eight provisions which are as outlined below:</w:t>
      </w:r>
    </w:p>
    <w:p w14:paraId="312A2C49" w14:textId="39F1CC5A" w:rsidR="00877C48" w:rsidRDefault="00877C48" w:rsidP="006A0E91">
      <w:pPr>
        <w:keepNext/>
        <w:spacing w:after="0" w:line="240" w:lineRule="auto"/>
        <w:jc w:val="both"/>
        <w:rPr>
          <w:rFonts w:ascii="Times New Roman" w:eastAsia="Times New Roman" w:hAnsi="Times New Roman" w:cs="Times New Roman"/>
          <w:sz w:val="24"/>
          <w:szCs w:val="24"/>
        </w:rPr>
      </w:pPr>
    </w:p>
    <w:p w14:paraId="52793F5A" w14:textId="0C1579A4" w:rsidR="00877C48" w:rsidRPr="00AC0AAC" w:rsidRDefault="00877C48" w:rsidP="00877C48">
      <w:pPr>
        <w:keepNext/>
        <w:spacing w:after="0" w:line="240" w:lineRule="auto"/>
        <w:ind w:firstLine="720"/>
        <w:jc w:val="both"/>
        <w:rPr>
          <w:rFonts w:ascii="Times New Roman" w:eastAsia="Times New Roman" w:hAnsi="Times New Roman" w:cs="Times New Roman"/>
          <w:sz w:val="24"/>
          <w:szCs w:val="24"/>
        </w:rPr>
      </w:pPr>
      <w:r w:rsidRPr="00AC0AAC">
        <w:rPr>
          <w:rFonts w:ascii="Times New Roman" w:eastAsia="Times New Roman" w:hAnsi="Times New Roman" w:cs="Times New Roman"/>
          <w:sz w:val="24"/>
          <w:szCs w:val="24"/>
        </w:rPr>
        <w:t xml:space="preserve">Provision one of the Stipulation results in the approval of the Company’s Application as modified by the Stipulation. </w:t>
      </w:r>
    </w:p>
    <w:p w14:paraId="10804766" w14:textId="77777777" w:rsidR="00877C48" w:rsidRPr="00AC0AAC" w:rsidRDefault="00877C48" w:rsidP="00877C48">
      <w:pPr>
        <w:keepNext/>
        <w:spacing w:after="0" w:line="240" w:lineRule="auto"/>
        <w:ind w:firstLine="720"/>
        <w:jc w:val="both"/>
        <w:rPr>
          <w:rFonts w:ascii="Times New Roman" w:eastAsia="Times New Roman" w:hAnsi="Times New Roman" w:cs="Times New Roman"/>
          <w:sz w:val="24"/>
          <w:szCs w:val="24"/>
        </w:rPr>
      </w:pPr>
    </w:p>
    <w:p w14:paraId="243FD685" w14:textId="77777777" w:rsidR="00877C48" w:rsidRPr="00AC0AAC" w:rsidRDefault="00877C48" w:rsidP="00877C48">
      <w:pPr>
        <w:spacing w:after="0" w:line="240" w:lineRule="auto"/>
        <w:ind w:firstLine="720"/>
        <w:jc w:val="both"/>
        <w:rPr>
          <w:rFonts w:ascii="Times New Roman" w:eastAsia="Times New Roman" w:hAnsi="Times New Roman" w:cs="Times New Roman"/>
          <w:sz w:val="24"/>
          <w:szCs w:val="24"/>
        </w:rPr>
      </w:pPr>
      <w:r w:rsidRPr="00AC0AAC">
        <w:rPr>
          <w:rFonts w:ascii="Times New Roman" w:eastAsia="Times New Roman" w:hAnsi="Times New Roman" w:cs="Times New Roman"/>
          <w:sz w:val="24"/>
          <w:szCs w:val="24"/>
        </w:rPr>
        <w:t>Provision two specifies the deemed prudent amount of Unit 3 and Common Costs that will be allowed in rate base the month after Unit 3 reaches Commercial Operation. This provision also</w:t>
      </w:r>
      <w:r>
        <w:rPr>
          <w:rFonts w:ascii="Times New Roman" w:eastAsia="Times New Roman" w:hAnsi="Times New Roman" w:cs="Times New Roman"/>
          <w:sz w:val="24"/>
          <w:szCs w:val="24"/>
        </w:rPr>
        <w:t xml:space="preserve"> </w:t>
      </w:r>
      <w:r w:rsidRPr="00AC0AAC">
        <w:rPr>
          <w:rFonts w:ascii="Times New Roman" w:eastAsia="Times New Roman" w:hAnsi="Times New Roman" w:cs="Times New Roman"/>
          <w:sz w:val="24"/>
          <w:szCs w:val="24"/>
        </w:rPr>
        <w:t xml:space="preserve">states the parties’ agreement as to the treatment of the Toshiba Parental Guarantee funds following the conclusion of the prudency proceeding. </w:t>
      </w:r>
    </w:p>
    <w:p w14:paraId="40156437" w14:textId="77777777" w:rsidR="00877C48" w:rsidRPr="00AC0AAC" w:rsidRDefault="00877C48" w:rsidP="00877C48">
      <w:pPr>
        <w:keepNext/>
        <w:spacing w:after="0" w:line="240" w:lineRule="auto"/>
        <w:ind w:firstLine="720"/>
        <w:jc w:val="both"/>
        <w:rPr>
          <w:rFonts w:ascii="Times New Roman" w:eastAsia="Times New Roman" w:hAnsi="Times New Roman" w:cs="Times New Roman"/>
          <w:sz w:val="24"/>
          <w:szCs w:val="24"/>
        </w:rPr>
      </w:pPr>
    </w:p>
    <w:p w14:paraId="0FB258CA" w14:textId="77777777" w:rsidR="00877C48" w:rsidRPr="00AC0AAC" w:rsidRDefault="00877C48" w:rsidP="00877C48">
      <w:pPr>
        <w:keepNext/>
        <w:spacing w:after="0" w:line="240" w:lineRule="auto"/>
        <w:ind w:firstLine="720"/>
        <w:jc w:val="both"/>
        <w:rPr>
          <w:rFonts w:ascii="Times New Roman" w:eastAsia="Times New Roman" w:hAnsi="Times New Roman" w:cs="Times New Roman"/>
          <w:sz w:val="24"/>
          <w:szCs w:val="24"/>
        </w:rPr>
      </w:pPr>
      <w:r w:rsidRPr="00AC0AAC">
        <w:rPr>
          <w:rFonts w:ascii="Times New Roman" w:eastAsia="Times New Roman" w:hAnsi="Times New Roman" w:cs="Times New Roman"/>
          <w:sz w:val="24"/>
          <w:szCs w:val="24"/>
        </w:rPr>
        <w:t>Provisions three and four address the depreciation on the deemed prudent amount going into rate base and the depreciation on the Unit 3 and Common Costs that are being deferred, along with the agreed to depreciation rate.</w:t>
      </w:r>
    </w:p>
    <w:p w14:paraId="480509CF" w14:textId="77777777" w:rsidR="00877C48" w:rsidRPr="00AC0AAC" w:rsidRDefault="00877C48" w:rsidP="00877C48">
      <w:pPr>
        <w:keepNext/>
        <w:spacing w:after="0" w:line="240" w:lineRule="auto"/>
        <w:ind w:firstLine="720"/>
        <w:jc w:val="both"/>
        <w:rPr>
          <w:rFonts w:ascii="Times New Roman" w:eastAsia="Times New Roman" w:hAnsi="Times New Roman" w:cs="Times New Roman"/>
          <w:sz w:val="24"/>
          <w:szCs w:val="24"/>
        </w:rPr>
      </w:pPr>
    </w:p>
    <w:p w14:paraId="04562E88" w14:textId="77777777" w:rsidR="00877C48" w:rsidRPr="00AC0AAC" w:rsidRDefault="00877C48" w:rsidP="00877C48">
      <w:pPr>
        <w:keepNext/>
        <w:spacing w:after="0" w:line="240" w:lineRule="auto"/>
        <w:ind w:firstLine="720"/>
        <w:jc w:val="both"/>
        <w:rPr>
          <w:rFonts w:ascii="Times New Roman" w:eastAsia="Times New Roman" w:hAnsi="Times New Roman" w:cs="Times New Roman"/>
          <w:sz w:val="24"/>
          <w:szCs w:val="24"/>
        </w:rPr>
      </w:pPr>
      <w:r w:rsidRPr="00AC0AAC">
        <w:rPr>
          <w:rFonts w:ascii="Times New Roman" w:eastAsia="Times New Roman" w:hAnsi="Times New Roman" w:cs="Times New Roman"/>
          <w:sz w:val="24"/>
          <w:szCs w:val="24"/>
        </w:rPr>
        <w:t>Provision five provides customer protections that take effect if Unit 3 does not operate as anticipa</w:t>
      </w:r>
      <w:r>
        <w:rPr>
          <w:rFonts w:ascii="Times New Roman" w:eastAsia="Times New Roman" w:hAnsi="Times New Roman" w:cs="Times New Roman"/>
          <w:sz w:val="24"/>
          <w:szCs w:val="24"/>
        </w:rPr>
        <w:t>ted. In its brief, the Company</w:t>
      </w:r>
      <w:r w:rsidRPr="00AC0AAC">
        <w:rPr>
          <w:rFonts w:ascii="Times New Roman" w:eastAsia="Times New Roman" w:hAnsi="Times New Roman" w:cs="Times New Roman"/>
          <w:sz w:val="24"/>
          <w:szCs w:val="24"/>
        </w:rPr>
        <w:t xml:space="preserve"> summarizes this provision as follows: “If Unit 3 materially deviates from its expected performance as of the date Georgia Power files the prudence review, the stipulating parties agree that (i) the Commission has the right to review the Operating and </w:t>
      </w:r>
      <w:r w:rsidRPr="00AC0AAC">
        <w:rPr>
          <w:rFonts w:ascii="Times New Roman" w:eastAsia="Times New Roman" w:hAnsi="Times New Roman" w:cs="Times New Roman"/>
          <w:sz w:val="24"/>
          <w:szCs w:val="24"/>
        </w:rPr>
        <w:lastRenderedPageBreak/>
        <w:t>Maintenance (“O&amp;M”) expenses for Unit 3 and Common facilities and (ii) Georgia Power has the burden to prove that any outage or derating that resulted in lower than anticipated production was not the result of unreasonable or imprudent construction, testing, or startup activities. (Tr. 156.). If the Company fails to meet this burden, the Stipulation authorizes the Commission to order Georgia Power to return to customers an appropriate portion of those O&amp;M costs to be determined by the Commission.”</w:t>
      </w:r>
    </w:p>
    <w:p w14:paraId="7943D332" w14:textId="77777777" w:rsidR="00877C48" w:rsidRPr="00AC0AAC" w:rsidRDefault="00877C48" w:rsidP="00877C48">
      <w:pPr>
        <w:keepNext/>
        <w:spacing w:after="0" w:line="240" w:lineRule="auto"/>
        <w:ind w:firstLine="720"/>
        <w:jc w:val="both"/>
        <w:rPr>
          <w:rFonts w:ascii="Times New Roman" w:eastAsia="Times New Roman" w:hAnsi="Times New Roman" w:cs="Times New Roman"/>
          <w:sz w:val="24"/>
          <w:szCs w:val="24"/>
        </w:rPr>
      </w:pPr>
    </w:p>
    <w:p w14:paraId="3A0A236B" w14:textId="77777777" w:rsidR="00877C48" w:rsidRDefault="00877C48" w:rsidP="00877C48">
      <w:pPr>
        <w:keepNext/>
        <w:spacing w:after="0" w:line="240" w:lineRule="auto"/>
        <w:ind w:firstLine="720"/>
        <w:jc w:val="both"/>
        <w:rPr>
          <w:rFonts w:ascii="Times New Roman" w:eastAsia="Times New Roman" w:hAnsi="Times New Roman" w:cs="Times New Roman"/>
          <w:sz w:val="24"/>
          <w:szCs w:val="24"/>
        </w:rPr>
      </w:pPr>
      <w:r w:rsidRPr="00AC0AAC">
        <w:rPr>
          <w:rFonts w:ascii="Times New Roman" w:eastAsia="Times New Roman" w:hAnsi="Times New Roman" w:cs="Times New Roman"/>
          <w:sz w:val="24"/>
          <w:szCs w:val="24"/>
        </w:rPr>
        <w:t>Provision six states that the Company will update the MFRs, proposed rate adjustment, and tariffs, for any changes in the Commercial Operation date or changes in federal or state income tax rates prior to implementing the rate adjustment.</w:t>
      </w:r>
    </w:p>
    <w:p w14:paraId="31FD9C42" w14:textId="77777777" w:rsidR="00877C48" w:rsidRDefault="00877C48" w:rsidP="00877C48">
      <w:pPr>
        <w:keepNext/>
        <w:spacing w:after="0" w:line="240" w:lineRule="auto"/>
        <w:ind w:firstLine="720"/>
        <w:jc w:val="both"/>
        <w:rPr>
          <w:rFonts w:ascii="Times New Roman" w:eastAsia="Times New Roman" w:hAnsi="Times New Roman" w:cs="Times New Roman"/>
          <w:sz w:val="24"/>
          <w:szCs w:val="24"/>
        </w:rPr>
      </w:pPr>
    </w:p>
    <w:p w14:paraId="69606864" w14:textId="77777777" w:rsidR="00877C48" w:rsidRDefault="00877C48" w:rsidP="00877C48">
      <w:pPr>
        <w:spacing w:after="0" w:line="240" w:lineRule="auto"/>
        <w:ind w:firstLine="720"/>
        <w:jc w:val="both"/>
        <w:rPr>
          <w:rFonts w:ascii="Times New Roman" w:eastAsia="Times New Roman" w:hAnsi="Times New Roman" w:cs="Times New Roman"/>
          <w:sz w:val="24"/>
          <w:szCs w:val="24"/>
        </w:rPr>
      </w:pPr>
      <w:r w:rsidRPr="00AC0AAC">
        <w:rPr>
          <w:rFonts w:ascii="Times New Roman" w:eastAsia="Times New Roman" w:hAnsi="Times New Roman" w:cs="Times New Roman"/>
          <w:sz w:val="24"/>
          <w:szCs w:val="24"/>
        </w:rPr>
        <w:t>Provision seven pertains to the definition of Commercial Operation as applicable to Unit 3 and Unit 4. For Unit 4 the definition will remain unaltered. For Unit 3, however, the parties agreed that “…Commercial Operation shall not be declared for rate recovery purposes unless and until</w:t>
      </w:r>
      <w:r>
        <w:rPr>
          <w:rFonts w:ascii="Times New Roman" w:eastAsia="Times New Roman" w:hAnsi="Times New Roman" w:cs="Times New Roman"/>
          <w:sz w:val="24"/>
          <w:szCs w:val="24"/>
        </w:rPr>
        <w:t xml:space="preserve"> </w:t>
      </w:r>
      <w:r w:rsidRPr="001133B4">
        <w:rPr>
          <w:rFonts w:ascii="Times New Roman" w:eastAsia="Times New Roman" w:hAnsi="Times New Roman" w:cs="Times New Roman"/>
          <w:sz w:val="24"/>
          <w:szCs w:val="24"/>
        </w:rPr>
        <w:t xml:space="preserve">Unit 3 successfully completes all appropriate pre-operational tests and power ascension testing and any necessary mediation required for safe and reliable operation.” </w:t>
      </w:r>
    </w:p>
    <w:p w14:paraId="3291AB0E" w14:textId="77777777" w:rsidR="00877C48" w:rsidRDefault="00877C48" w:rsidP="00877C48">
      <w:pPr>
        <w:spacing w:after="0" w:line="240" w:lineRule="auto"/>
        <w:ind w:firstLine="720"/>
        <w:jc w:val="both"/>
        <w:rPr>
          <w:rFonts w:ascii="Times New Roman" w:eastAsia="Times New Roman" w:hAnsi="Times New Roman" w:cs="Times New Roman"/>
          <w:sz w:val="24"/>
          <w:szCs w:val="24"/>
        </w:rPr>
      </w:pPr>
    </w:p>
    <w:p w14:paraId="195C130D" w14:textId="77777777" w:rsidR="00877C48" w:rsidRDefault="00877C48" w:rsidP="00877C48">
      <w:pPr>
        <w:spacing w:after="0" w:line="240" w:lineRule="auto"/>
        <w:ind w:firstLine="720"/>
        <w:jc w:val="both"/>
        <w:rPr>
          <w:rFonts w:ascii="Times New Roman" w:eastAsia="Times New Roman" w:hAnsi="Times New Roman" w:cs="Times New Roman"/>
          <w:sz w:val="24"/>
          <w:szCs w:val="24"/>
        </w:rPr>
      </w:pPr>
      <w:r w:rsidRPr="001133B4">
        <w:rPr>
          <w:rFonts w:ascii="Times New Roman" w:eastAsia="Times New Roman" w:hAnsi="Times New Roman" w:cs="Times New Roman"/>
          <w:sz w:val="24"/>
          <w:szCs w:val="24"/>
        </w:rPr>
        <w:t>The final provision states that nothing in the Stipulation is intended to be construed as a disallowance of any capital cost or operating cost.</w:t>
      </w:r>
    </w:p>
    <w:p w14:paraId="7C53A0D4" w14:textId="77777777" w:rsidR="00877C48" w:rsidRDefault="00877C48" w:rsidP="00877C48">
      <w:pPr>
        <w:spacing w:after="0" w:line="240" w:lineRule="auto"/>
        <w:ind w:firstLine="720"/>
        <w:jc w:val="both"/>
        <w:rPr>
          <w:rFonts w:ascii="Times New Roman" w:eastAsia="Times New Roman" w:hAnsi="Times New Roman" w:cs="Times New Roman"/>
          <w:b/>
          <w:sz w:val="24"/>
          <w:szCs w:val="24"/>
          <w:u w:val="single"/>
        </w:rPr>
      </w:pPr>
    </w:p>
    <w:p w14:paraId="0C397EC0" w14:textId="4CC978DC" w:rsidR="00877C48" w:rsidRDefault="007563FF" w:rsidP="00853BD7">
      <w:pPr>
        <w:keepNext/>
        <w:spacing w:after="0" w:line="240" w:lineRule="auto"/>
        <w:jc w:val="center"/>
        <w:rPr>
          <w:rFonts w:ascii="Times New Roman" w:eastAsia="Times New Roman" w:hAnsi="Times New Roman" w:cs="Times New Roman"/>
          <w:b/>
          <w:bCs/>
          <w:sz w:val="24"/>
          <w:szCs w:val="24"/>
        </w:rPr>
      </w:pPr>
      <w:r w:rsidRPr="00853BD7">
        <w:rPr>
          <w:rFonts w:ascii="Times New Roman" w:eastAsia="Times New Roman" w:hAnsi="Times New Roman" w:cs="Times New Roman"/>
          <w:b/>
          <w:bCs/>
          <w:sz w:val="24"/>
          <w:szCs w:val="24"/>
        </w:rPr>
        <w:t>2.</w:t>
      </w:r>
    </w:p>
    <w:p w14:paraId="682E7872" w14:textId="77777777" w:rsidR="009F6FD3" w:rsidRPr="00853BD7" w:rsidRDefault="009F6FD3" w:rsidP="00853BD7">
      <w:pPr>
        <w:keepNext/>
        <w:spacing w:after="0" w:line="240" w:lineRule="auto"/>
        <w:jc w:val="center"/>
        <w:rPr>
          <w:rFonts w:ascii="Times New Roman" w:eastAsia="Times New Roman" w:hAnsi="Times New Roman" w:cs="Times New Roman"/>
          <w:b/>
          <w:bCs/>
          <w:sz w:val="24"/>
          <w:szCs w:val="24"/>
        </w:rPr>
      </w:pPr>
    </w:p>
    <w:p w14:paraId="381F1FD0" w14:textId="77777777" w:rsidR="00E54243" w:rsidRPr="00E54243" w:rsidRDefault="00E54243" w:rsidP="00E54243">
      <w:pPr>
        <w:keepNext/>
        <w:spacing w:after="0" w:line="240" w:lineRule="auto"/>
        <w:rPr>
          <w:rFonts w:ascii="Times New Roman" w:eastAsia="Times New Roman" w:hAnsi="Times New Roman" w:cs="Times New Roman"/>
          <w:b/>
          <w:bCs/>
          <w:sz w:val="24"/>
          <w:szCs w:val="24"/>
        </w:rPr>
      </w:pPr>
      <w:r w:rsidRPr="00E54243">
        <w:rPr>
          <w:rFonts w:ascii="Times New Roman" w:eastAsia="Times New Roman" w:hAnsi="Times New Roman" w:cs="Times New Roman"/>
          <w:b/>
          <w:bCs/>
          <w:sz w:val="24"/>
          <w:szCs w:val="24"/>
        </w:rPr>
        <w:t>Metropolitan Atlanta Rapid Transit Authority (MARTA)</w:t>
      </w:r>
    </w:p>
    <w:p w14:paraId="1D142FC1" w14:textId="77777777" w:rsidR="00E54243" w:rsidRPr="00E54243" w:rsidRDefault="00E54243" w:rsidP="00E54243">
      <w:pPr>
        <w:keepNext/>
        <w:spacing w:after="0" w:line="240" w:lineRule="auto"/>
        <w:rPr>
          <w:rFonts w:ascii="Times New Roman" w:eastAsia="Times New Roman" w:hAnsi="Times New Roman" w:cs="Times New Roman"/>
          <w:b/>
          <w:bCs/>
          <w:sz w:val="24"/>
          <w:szCs w:val="24"/>
        </w:rPr>
      </w:pPr>
    </w:p>
    <w:p w14:paraId="2A78B3A4" w14:textId="53CC5D92" w:rsidR="00E54243" w:rsidRDefault="00E54243" w:rsidP="00600C87">
      <w:pPr>
        <w:spacing w:after="0" w:line="240" w:lineRule="auto"/>
        <w:ind w:firstLine="720"/>
        <w:jc w:val="both"/>
        <w:rPr>
          <w:rFonts w:ascii="Times New Roman" w:eastAsia="Times New Roman" w:hAnsi="Times New Roman" w:cs="Times New Roman"/>
          <w:bCs/>
          <w:sz w:val="24"/>
          <w:szCs w:val="24"/>
        </w:rPr>
      </w:pPr>
      <w:r w:rsidRPr="00E54243">
        <w:rPr>
          <w:rFonts w:ascii="Times New Roman" w:eastAsia="Times New Roman" w:hAnsi="Times New Roman" w:cs="Times New Roman"/>
          <w:bCs/>
          <w:sz w:val="24"/>
          <w:szCs w:val="24"/>
        </w:rPr>
        <w:t>MARTA request</w:t>
      </w:r>
      <w:r w:rsidR="001E6DC3">
        <w:rPr>
          <w:rFonts w:ascii="Times New Roman" w:eastAsia="Times New Roman" w:hAnsi="Times New Roman" w:cs="Times New Roman"/>
          <w:bCs/>
          <w:sz w:val="24"/>
          <w:szCs w:val="24"/>
        </w:rPr>
        <w:t>ed</w:t>
      </w:r>
      <w:r w:rsidRPr="00E54243">
        <w:rPr>
          <w:rFonts w:ascii="Times New Roman" w:eastAsia="Times New Roman" w:hAnsi="Times New Roman" w:cs="Times New Roman"/>
          <w:bCs/>
          <w:sz w:val="24"/>
          <w:szCs w:val="24"/>
        </w:rPr>
        <w:t xml:space="preserve"> that the Commission exempt the Electric Transportation (“ET”) tariff from any rate increase for the cost recovery of Vogtle Unit 3 and Common Costs. (MARTA Brief p.8). Alternatively, in its brief, MARTA request</w:t>
      </w:r>
      <w:r w:rsidR="007C3CDA">
        <w:rPr>
          <w:rFonts w:ascii="Times New Roman" w:eastAsia="Times New Roman" w:hAnsi="Times New Roman" w:cs="Times New Roman"/>
          <w:bCs/>
          <w:sz w:val="24"/>
          <w:szCs w:val="24"/>
        </w:rPr>
        <w:t>ed</w:t>
      </w:r>
      <w:r w:rsidRPr="00E54243">
        <w:rPr>
          <w:rFonts w:ascii="Times New Roman" w:eastAsia="Times New Roman" w:hAnsi="Times New Roman" w:cs="Times New Roman"/>
          <w:bCs/>
          <w:sz w:val="24"/>
          <w:szCs w:val="24"/>
        </w:rPr>
        <w:t xml:space="preserve"> that any such costs receive the same rate adjustment approved as provided in the 2019 Rate case.   </w:t>
      </w:r>
    </w:p>
    <w:p w14:paraId="3A00E56C" w14:textId="77777777" w:rsidR="00FD3657" w:rsidRPr="00E54243" w:rsidRDefault="00FD3657" w:rsidP="00E54243">
      <w:pPr>
        <w:keepNext/>
        <w:spacing w:after="0" w:line="240" w:lineRule="auto"/>
        <w:jc w:val="both"/>
        <w:rPr>
          <w:rFonts w:ascii="Times New Roman" w:eastAsia="Times New Roman" w:hAnsi="Times New Roman" w:cs="Times New Roman"/>
          <w:bCs/>
          <w:sz w:val="24"/>
          <w:szCs w:val="24"/>
        </w:rPr>
      </w:pPr>
    </w:p>
    <w:p w14:paraId="0337F8EE" w14:textId="77777777" w:rsidR="00A51E96" w:rsidRDefault="00E54243" w:rsidP="00D1013A">
      <w:pPr>
        <w:spacing w:after="0" w:line="240" w:lineRule="auto"/>
        <w:ind w:firstLine="720"/>
        <w:jc w:val="both"/>
        <w:rPr>
          <w:rFonts w:ascii="Times New Roman" w:eastAsia="Times New Roman" w:hAnsi="Times New Roman" w:cs="Times New Roman"/>
          <w:bCs/>
          <w:sz w:val="24"/>
          <w:szCs w:val="24"/>
        </w:rPr>
      </w:pPr>
      <w:r w:rsidRPr="00E54243">
        <w:rPr>
          <w:rFonts w:ascii="Times New Roman" w:eastAsia="Times New Roman" w:hAnsi="Times New Roman" w:cs="Times New Roman"/>
          <w:bCs/>
          <w:sz w:val="24"/>
          <w:szCs w:val="24"/>
        </w:rPr>
        <w:t>MARTA argue</w:t>
      </w:r>
      <w:r w:rsidR="007C3CDA">
        <w:rPr>
          <w:rFonts w:ascii="Times New Roman" w:eastAsia="Times New Roman" w:hAnsi="Times New Roman" w:cs="Times New Roman"/>
          <w:bCs/>
          <w:sz w:val="24"/>
          <w:szCs w:val="24"/>
        </w:rPr>
        <w:t>d</w:t>
      </w:r>
      <w:r w:rsidRPr="00E54243">
        <w:rPr>
          <w:rFonts w:ascii="Times New Roman" w:eastAsia="Times New Roman" w:hAnsi="Times New Roman" w:cs="Times New Roman"/>
          <w:bCs/>
          <w:sz w:val="24"/>
          <w:szCs w:val="24"/>
        </w:rPr>
        <w:t xml:space="preserve"> that expansion of its service territory would benefit from any such tariff treatment. It also </w:t>
      </w:r>
      <w:r w:rsidR="00BA28C6">
        <w:rPr>
          <w:rFonts w:ascii="Times New Roman" w:eastAsia="Times New Roman" w:hAnsi="Times New Roman" w:cs="Times New Roman"/>
          <w:bCs/>
          <w:sz w:val="24"/>
          <w:szCs w:val="24"/>
        </w:rPr>
        <w:t>claimed</w:t>
      </w:r>
      <w:r w:rsidRPr="00E54243">
        <w:rPr>
          <w:rFonts w:ascii="Times New Roman" w:eastAsia="Times New Roman" w:hAnsi="Times New Roman" w:cs="Times New Roman"/>
          <w:bCs/>
          <w:sz w:val="24"/>
          <w:szCs w:val="24"/>
        </w:rPr>
        <w:t xml:space="preserve"> that it is key to attr</w:t>
      </w:r>
      <w:r w:rsidR="00E00876">
        <w:rPr>
          <w:rFonts w:ascii="Times New Roman" w:eastAsia="Times New Roman" w:hAnsi="Times New Roman" w:cs="Times New Roman"/>
          <w:bCs/>
          <w:sz w:val="24"/>
          <w:szCs w:val="24"/>
        </w:rPr>
        <w:t xml:space="preserve">acting corporate hubs and </w:t>
      </w:r>
      <w:r w:rsidRPr="00E54243">
        <w:rPr>
          <w:rFonts w:ascii="Times New Roman" w:eastAsia="Times New Roman" w:hAnsi="Times New Roman" w:cs="Times New Roman"/>
          <w:bCs/>
          <w:sz w:val="24"/>
          <w:szCs w:val="24"/>
        </w:rPr>
        <w:t>sporting events. (MARTA Brief p.3). MARTA cit</w:t>
      </w:r>
      <w:r w:rsidR="00BA28C6">
        <w:rPr>
          <w:rFonts w:ascii="Times New Roman" w:eastAsia="Times New Roman" w:hAnsi="Times New Roman" w:cs="Times New Roman"/>
          <w:bCs/>
          <w:sz w:val="24"/>
          <w:szCs w:val="24"/>
        </w:rPr>
        <w:t>ed</w:t>
      </w:r>
      <w:r w:rsidRPr="00E54243">
        <w:rPr>
          <w:rFonts w:ascii="Times New Roman" w:eastAsia="Times New Roman" w:hAnsi="Times New Roman" w:cs="Times New Roman"/>
          <w:bCs/>
          <w:sz w:val="24"/>
          <w:szCs w:val="24"/>
        </w:rPr>
        <w:t xml:space="preserve"> future project plans and the resulting benefits t</w:t>
      </w:r>
      <w:r w:rsidR="00E00876">
        <w:rPr>
          <w:rFonts w:ascii="Times New Roman" w:eastAsia="Times New Roman" w:hAnsi="Times New Roman" w:cs="Times New Roman"/>
          <w:bCs/>
          <w:sz w:val="24"/>
          <w:szCs w:val="24"/>
        </w:rPr>
        <w:t>o society and the Company. (</w:t>
      </w:r>
      <w:r w:rsidR="00E00876" w:rsidRPr="00BA28C6">
        <w:rPr>
          <w:rFonts w:ascii="Times New Roman" w:eastAsia="Times New Roman" w:hAnsi="Times New Roman" w:cs="Times New Roman"/>
          <w:bCs/>
          <w:i/>
          <w:sz w:val="24"/>
          <w:szCs w:val="24"/>
        </w:rPr>
        <w:t>Id</w:t>
      </w:r>
      <w:r w:rsidR="00E00876">
        <w:rPr>
          <w:rFonts w:ascii="Times New Roman" w:eastAsia="Times New Roman" w:hAnsi="Times New Roman" w:cs="Times New Roman"/>
          <w:bCs/>
          <w:sz w:val="24"/>
          <w:szCs w:val="24"/>
        </w:rPr>
        <w:t>.).</w:t>
      </w:r>
    </w:p>
    <w:p w14:paraId="0A35AE64" w14:textId="77777777" w:rsidR="00A51E96" w:rsidRDefault="00A51E96" w:rsidP="00D1013A">
      <w:pPr>
        <w:spacing w:after="0" w:line="240" w:lineRule="auto"/>
        <w:ind w:firstLine="720"/>
        <w:jc w:val="both"/>
        <w:rPr>
          <w:rFonts w:ascii="Times New Roman" w:eastAsia="Times New Roman" w:hAnsi="Times New Roman" w:cs="Times New Roman"/>
          <w:bCs/>
          <w:sz w:val="24"/>
          <w:szCs w:val="24"/>
        </w:rPr>
      </w:pPr>
    </w:p>
    <w:p w14:paraId="6AB01376" w14:textId="20131A54" w:rsidR="00E54243" w:rsidRDefault="00A51E96" w:rsidP="00D1013A">
      <w:pPr>
        <w:spacing w:after="0" w:line="24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Georgia Power </w:t>
      </w:r>
      <w:r w:rsidR="00E54243" w:rsidRPr="00E54243">
        <w:rPr>
          <w:rFonts w:ascii="Times New Roman" w:eastAsia="Times New Roman" w:hAnsi="Times New Roman" w:cs="Times New Roman"/>
          <w:bCs/>
          <w:sz w:val="24"/>
          <w:szCs w:val="24"/>
        </w:rPr>
        <w:t>recommend</w:t>
      </w:r>
      <w:r w:rsidR="00BA28C6">
        <w:rPr>
          <w:rFonts w:ascii="Times New Roman" w:eastAsia="Times New Roman" w:hAnsi="Times New Roman" w:cs="Times New Roman"/>
          <w:bCs/>
          <w:sz w:val="24"/>
          <w:szCs w:val="24"/>
        </w:rPr>
        <w:t>ed</w:t>
      </w:r>
      <w:r w:rsidR="00E54243" w:rsidRPr="00E54243">
        <w:rPr>
          <w:rFonts w:ascii="Times New Roman" w:eastAsia="Times New Roman" w:hAnsi="Times New Roman" w:cs="Times New Roman"/>
          <w:bCs/>
          <w:sz w:val="24"/>
          <w:szCs w:val="24"/>
        </w:rPr>
        <w:t xml:space="preserve"> that MARTA’s request to exempt the ET tariff from any rate increase be denied. The Company argue</w:t>
      </w:r>
      <w:r w:rsidR="00783C06">
        <w:rPr>
          <w:rFonts w:ascii="Times New Roman" w:eastAsia="Times New Roman" w:hAnsi="Times New Roman" w:cs="Times New Roman"/>
          <w:bCs/>
          <w:sz w:val="24"/>
          <w:szCs w:val="24"/>
        </w:rPr>
        <w:t>d</w:t>
      </w:r>
      <w:r w:rsidR="00E54243" w:rsidRPr="00E54243">
        <w:rPr>
          <w:rFonts w:ascii="Times New Roman" w:eastAsia="Times New Roman" w:hAnsi="Times New Roman" w:cs="Times New Roman"/>
          <w:bCs/>
          <w:sz w:val="24"/>
          <w:szCs w:val="24"/>
        </w:rPr>
        <w:t xml:space="preserve"> that “It is appropriate for all of Georgia Power’s customers to share in this rate adjustment, and the Company has proposed to design rates to recover the Unit 3 rate adjustment equally across all base tariffs.” (Georgia Power Brief p. 7). The Company further argue</w:t>
      </w:r>
      <w:r w:rsidR="00783C06">
        <w:rPr>
          <w:rFonts w:ascii="Times New Roman" w:eastAsia="Times New Roman" w:hAnsi="Times New Roman" w:cs="Times New Roman"/>
          <w:bCs/>
          <w:sz w:val="24"/>
          <w:szCs w:val="24"/>
        </w:rPr>
        <w:t>d</w:t>
      </w:r>
      <w:r w:rsidR="00E54243" w:rsidRPr="00E54243">
        <w:rPr>
          <w:rFonts w:ascii="Times New Roman" w:eastAsia="Times New Roman" w:hAnsi="Times New Roman" w:cs="Times New Roman"/>
          <w:bCs/>
          <w:sz w:val="24"/>
          <w:szCs w:val="24"/>
        </w:rPr>
        <w:t xml:space="preserve"> that “Since all customers will benefit from Georgia Power’s share of Unit 3’s output, it is appropriate for all of Georgia Power’s customers to share in its cost.” (</w:t>
      </w:r>
      <w:r w:rsidR="00E54243" w:rsidRPr="00783C06">
        <w:rPr>
          <w:rFonts w:ascii="Times New Roman" w:eastAsia="Times New Roman" w:hAnsi="Times New Roman" w:cs="Times New Roman"/>
          <w:bCs/>
          <w:i/>
          <w:sz w:val="24"/>
          <w:szCs w:val="24"/>
        </w:rPr>
        <w:t>Id</w:t>
      </w:r>
      <w:r w:rsidR="00E54243" w:rsidRPr="00E54243">
        <w:rPr>
          <w:rFonts w:ascii="Times New Roman" w:eastAsia="Times New Roman" w:hAnsi="Times New Roman" w:cs="Times New Roman"/>
          <w:bCs/>
          <w:sz w:val="24"/>
          <w:szCs w:val="24"/>
        </w:rPr>
        <w:t>.)</w:t>
      </w:r>
      <w:r w:rsidR="00FD3657">
        <w:rPr>
          <w:rFonts w:ascii="Times New Roman" w:eastAsia="Times New Roman" w:hAnsi="Times New Roman" w:cs="Times New Roman"/>
          <w:bCs/>
          <w:sz w:val="24"/>
          <w:szCs w:val="24"/>
        </w:rPr>
        <w:t xml:space="preserve">.      </w:t>
      </w:r>
    </w:p>
    <w:p w14:paraId="7FE78402" w14:textId="77777777" w:rsidR="00E54243" w:rsidRDefault="00E54243" w:rsidP="00E54243">
      <w:pPr>
        <w:keepNext/>
        <w:spacing w:after="0" w:line="240" w:lineRule="auto"/>
        <w:jc w:val="both"/>
        <w:rPr>
          <w:rFonts w:ascii="Times New Roman" w:eastAsia="Times New Roman" w:hAnsi="Times New Roman" w:cs="Times New Roman"/>
          <w:bCs/>
          <w:sz w:val="24"/>
          <w:szCs w:val="24"/>
        </w:rPr>
      </w:pPr>
    </w:p>
    <w:p w14:paraId="1C0148AF" w14:textId="39F073F2" w:rsidR="00BF2646" w:rsidRDefault="00FD3657" w:rsidP="00BF2646">
      <w:pPr>
        <w:keepNext/>
        <w:spacing w:after="0" w:line="240" w:lineRule="auto"/>
        <w:ind w:firstLine="720"/>
        <w:jc w:val="both"/>
        <w:rPr>
          <w:rFonts w:ascii="Times New Roman" w:eastAsia="Times New Roman" w:hAnsi="Times New Roman" w:cs="Times New Roman"/>
          <w:bCs/>
          <w:sz w:val="24"/>
          <w:szCs w:val="24"/>
        </w:rPr>
      </w:pPr>
      <w:r w:rsidRPr="009821C9">
        <w:rPr>
          <w:rFonts w:ascii="Times New Roman" w:eastAsia="Times New Roman" w:hAnsi="Times New Roman" w:cs="Times New Roman"/>
          <w:bCs/>
          <w:sz w:val="24"/>
          <w:szCs w:val="24"/>
        </w:rPr>
        <w:t xml:space="preserve">The Commission has carefully reviewed MARTA’s proposal and </w:t>
      </w:r>
      <w:r w:rsidR="004D16C5">
        <w:rPr>
          <w:rFonts w:ascii="Times New Roman" w:eastAsia="Times New Roman" w:hAnsi="Times New Roman" w:cs="Times New Roman"/>
          <w:bCs/>
          <w:sz w:val="24"/>
          <w:szCs w:val="24"/>
        </w:rPr>
        <w:t>finds</w:t>
      </w:r>
      <w:r w:rsidRPr="009821C9">
        <w:rPr>
          <w:rFonts w:ascii="Times New Roman" w:eastAsia="Times New Roman" w:hAnsi="Times New Roman" w:cs="Times New Roman"/>
          <w:bCs/>
          <w:sz w:val="24"/>
          <w:szCs w:val="24"/>
        </w:rPr>
        <w:t xml:space="preserve"> that r</w:t>
      </w:r>
      <w:r w:rsidR="00E54243" w:rsidRPr="009821C9">
        <w:rPr>
          <w:rFonts w:ascii="Times New Roman" w:eastAsia="Times New Roman" w:hAnsi="Times New Roman" w:cs="Times New Roman"/>
          <w:bCs/>
          <w:sz w:val="24"/>
          <w:szCs w:val="24"/>
        </w:rPr>
        <w:t>ate allocation is better addressed in a rate case proceeding where the Commission will have access to more data and can consider</w:t>
      </w:r>
      <w:r w:rsidRPr="009821C9">
        <w:rPr>
          <w:rFonts w:ascii="Times New Roman" w:eastAsia="Times New Roman" w:hAnsi="Times New Roman" w:cs="Times New Roman"/>
          <w:bCs/>
          <w:sz w:val="24"/>
          <w:szCs w:val="24"/>
        </w:rPr>
        <w:t xml:space="preserve"> the appropriateness of MARTA’s proposed modifications to rate allocation</w:t>
      </w:r>
      <w:r w:rsidR="00E54243" w:rsidRPr="009821C9">
        <w:rPr>
          <w:rFonts w:ascii="Times New Roman" w:eastAsia="Times New Roman" w:hAnsi="Times New Roman" w:cs="Times New Roman"/>
          <w:bCs/>
          <w:sz w:val="24"/>
          <w:szCs w:val="24"/>
        </w:rPr>
        <w:t xml:space="preserve"> in a </w:t>
      </w:r>
      <w:r w:rsidR="00E54243" w:rsidRPr="009821C9">
        <w:rPr>
          <w:rFonts w:ascii="Times New Roman" w:eastAsia="Times New Roman" w:hAnsi="Times New Roman" w:cs="Times New Roman"/>
          <w:bCs/>
          <w:sz w:val="24"/>
          <w:szCs w:val="24"/>
        </w:rPr>
        <w:lastRenderedPageBreak/>
        <w:t>broader context of rate design.</w:t>
      </w:r>
      <w:r w:rsidR="004F322F">
        <w:rPr>
          <w:rFonts w:ascii="Times New Roman" w:eastAsia="Times New Roman" w:hAnsi="Times New Roman" w:cs="Times New Roman"/>
          <w:bCs/>
          <w:sz w:val="24"/>
          <w:szCs w:val="24"/>
        </w:rPr>
        <w:t xml:space="preserve"> The Commission finds and concludes that M</w:t>
      </w:r>
      <w:r w:rsidR="002F55D1">
        <w:rPr>
          <w:rFonts w:ascii="Times New Roman" w:eastAsia="Times New Roman" w:hAnsi="Times New Roman" w:cs="Times New Roman"/>
          <w:bCs/>
          <w:sz w:val="24"/>
          <w:szCs w:val="24"/>
        </w:rPr>
        <w:t>ARTA</w:t>
      </w:r>
      <w:r w:rsidR="004F322F">
        <w:rPr>
          <w:rFonts w:ascii="Times New Roman" w:eastAsia="Times New Roman" w:hAnsi="Times New Roman" w:cs="Times New Roman"/>
          <w:bCs/>
          <w:sz w:val="24"/>
          <w:szCs w:val="24"/>
        </w:rPr>
        <w:t>’s request</w:t>
      </w:r>
      <w:r w:rsidR="00600C87">
        <w:rPr>
          <w:rFonts w:ascii="Times New Roman" w:eastAsia="Times New Roman" w:hAnsi="Times New Roman" w:cs="Times New Roman"/>
          <w:bCs/>
          <w:sz w:val="24"/>
          <w:szCs w:val="24"/>
        </w:rPr>
        <w:t xml:space="preserve"> and alternative recommendation is denied at this time.</w:t>
      </w:r>
    </w:p>
    <w:p w14:paraId="589CDDEF" w14:textId="14FAFD8F" w:rsidR="00C13789" w:rsidRDefault="00C13789" w:rsidP="00BF2646">
      <w:pPr>
        <w:keepNext/>
        <w:spacing w:after="0" w:line="240" w:lineRule="auto"/>
        <w:ind w:firstLine="720"/>
        <w:jc w:val="both"/>
        <w:rPr>
          <w:rFonts w:ascii="Times New Roman" w:eastAsia="Times New Roman" w:hAnsi="Times New Roman" w:cs="Times New Roman"/>
          <w:bCs/>
          <w:sz w:val="24"/>
          <w:szCs w:val="24"/>
        </w:rPr>
      </w:pPr>
    </w:p>
    <w:p w14:paraId="7BDE015B" w14:textId="4DE828C3" w:rsidR="00C13789" w:rsidRPr="00853BD7" w:rsidRDefault="00C13789" w:rsidP="00853BD7">
      <w:pPr>
        <w:keepNext/>
        <w:spacing w:after="0" w:line="240" w:lineRule="auto"/>
        <w:jc w:val="center"/>
        <w:rPr>
          <w:rFonts w:ascii="Times New Roman" w:eastAsia="Times New Roman" w:hAnsi="Times New Roman" w:cs="Times New Roman"/>
          <w:b/>
          <w:sz w:val="24"/>
          <w:szCs w:val="24"/>
        </w:rPr>
      </w:pPr>
      <w:r w:rsidRPr="00853BD7">
        <w:rPr>
          <w:rFonts w:ascii="Times New Roman" w:eastAsia="Times New Roman" w:hAnsi="Times New Roman" w:cs="Times New Roman"/>
          <w:b/>
          <w:sz w:val="24"/>
          <w:szCs w:val="24"/>
        </w:rPr>
        <w:t>3.</w:t>
      </w:r>
    </w:p>
    <w:p w14:paraId="3D98FB6F" w14:textId="77777777" w:rsidR="00E54243" w:rsidRPr="00E54243" w:rsidRDefault="00E54243" w:rsidP="00E54243">
      <w:pPr>
        <w:keepNext/>
        <w:spacing w:after="0" w:line="240" w:lineRule="auto"/>
        <w:jc w:val="both"/>
        <w:rPr>
          <w:rFonts w:ascii="Times New Roman" w:eastAsia="Times New Roman" w:hAnsi="Times New Roman" w:cs="Times New Roman"/>
          <w:bCs/>
          <w:sz w:val="24"/>
          <w:szCs w:val="24"/>
        </w:rPr>
      </w:pPr>
    </w:p>
    <w:p w14:paraId="30F29908" w14:textId="77777777" w:rsidR="00171BDD" w:rsidRPr="00171BDD" w:rsidRDefault="00171BDD" w:rsidP="00DC1331">
      <w:pPr>
        <w:keepNext/>
        <w:spacing w:after="0" w:line="240" w:lineRule="auto"/>
        <w:rPr>
          <w:rFonts w:ascii="Times New Roman" w:eastAsia="Times New Roman" w:hAnsi="Times New Roman" w:cs="Times New Roman"/>
          <w:b/>
          <w:bCs/>
          <w:sz w:val="24"/>
          <w:szCs w:val="24"/>
        </w:rPr>
      </w:pPr>
      <w:r w:rsidRPr="00171BDD">
        <w:rPr>
          <w:rFonts w:ascii="Times New Roman" w:eastAsia="Times New Roman" w:hAnsi="Times New Roman" w:cs="Times New Roman"/>
          <w:b/>
          <w:bCs/>
          <w:sz w:val="24"/>
          <w:szCs w:val="24"/>
        </w:rPr>
        <w:t>Georgia Association of Manufacturers (GAM)</w:t>
      </w:r>
    </w:p>
    <w:p w14:paraId="65E59B39" w14:textId="77777777" w:rsidR="00171BDD" w:rsidRPr="00171BDD" w:rsidRDefault="00171BDD" w:rsidP="00171BDD">
      <w:pPr>
        <w:keepNext/>
        <w:spacing w:after="0" w:line="240" w:lineRule="auto"/>
        <w:rPr>
          <w:rFonts w:ascii="Times New Roman" w:eastAsia="Times New Roman" w:hAnsi="Times New Roman" w:cs="Times New Roman"/>
          <w:b/>
          <w:bCs/>
          <w:sz w:val="24"/>
          <w:szCs w:val="24"/>
        </w:rPr>
      </w:pPr>
    </w:p>
    <w:p w14:paraId="3480D950" w14:textId="682B9175" w:rsidR="00171BDD" w:rsidRPr="00171BDD" w:rsidRDefault="00171BDD" w:rsidP="00600C87">
      <w:pPr>
        <w:keepNext/>
        <w:spacing w:after="0" w:line="240" w:lineRule="auto"/>
        <w:ind w:firstLine="720"/>
        <w:jc w:val="both"/>
        <w:rPr>
          <w:rFonts w:ascii="Times New Roman" w:eastAsia="Times New Roman" w:hAnsi="Times New Roman" w:cs="Times New Roman"/>
          <w:sz w:val="24"/>
          <w:szCs w:val="24"/>
          <w:lang w:val="en"/>
        </w:rPr>
      </w:pPr>
      <w:r w:rsidRPr="00171BDD">
        <w:rPr>
          <w:rFonts w:ascii="Times New Roman" w:eastAsia="Times New Roman" w:hAnsi="Times New Roman" w:cs="Times New Roman"/>
          <w:sz w:val="24"/>
          <w:szCs w:val="24"/>
          <w:lang w:val="en"/>
        </w:rPr>
        <w:t>GAM state</w:t>
      </w:r>
      <w:r w:rsidR="00600C87">
        <w:rPr>
          <w:rFonts w:ascii="Times New Roman" w:eastAsia="Times New Roman" w:hAnsi="Times New Roman" w:cs="Times New Roman"/>
          <w:sz w:val="24"/>
          <w:szCs w:val="24"/>
          <w:lang w:val="en"/>
        </w:rPr>
        <w:t>d</w:t>
      </w:r>
      <w:r w:rsidRPr="00171BDD">
        <w:rPr>
          <w:rFonts w:ascii="Times New Roman" w:eastAsia="Times New Roman" w:hAnsi="Times New Roman" w:cs="Times New Roman"/>
          <w:sz w:val="24"/>
          <w:szCs w:val="24"/>
          <w:lang w:val="en"/>
        </w:rPr>
        <w:t xml:space="preserve"> that it does not oppose any of the provisions of the Stipulation, except for the provision that would implement the increase in base rates following Commercial Operation of Unit 3. (GAM Brief p. 5). As it relates to the timing of the rate adjustment, GAM proposes that the Commission consider implementing an alternate way in which the Company recovers Vogtle Unit 3 rate adjustments. </w:t>
      </w:r>
    </w:p>
    <w:p w14:paraId="4E1D925A" w14:textId="77777777" w:rsidR="00171BDD" w:rsidRPr="00171BDD" w:rsidRDefault="00171BDD" w:rsidP="00E720A1">
      <w:pPr>
        <w:keepNext/>
        <w:spacing w:after="0" w:line="240" w:lineRule="auto"/>
        <w:jc w:val="both"/>
        <w:rPr>
          <w:rFonts w:ascii="Times New Roman" w:eastAsia="Times New Roman" w:hAnsi="Times New Roman" w:cs="Times New Roman"/>
          <w:sz w:val="24"/>
          <w:szCs w:val="24"/>
          <w:lang w:val="en"/>
        </w:rPr>
      </w:pPr>
    </w:p>
    <w:p w14:paraId="5F845AB0" w14:textId="616F5CE3" w:rsidR="00171BDD" w:rsidRPr="00171BDD" w:rsidRDefault="000A0895" w:rsidP="00600C87">
      <w:pPr>
        <w:keepNext/>
        <w:spacing w:after="0" w:line="240" w:lineRule="auto"/>
        <w:ind w:firstLine="720"/>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T</w:t>
      </w:r>
      <w:r w:rsidR="00171BDD" w:rsidRPr="00171BDD">
        <w:rPr>
          <w:rFonts w:ascii="Times New Roman" w:eastAsia="Times New Roman" w:hAnsi="Times New Roman" w:cs="Times New Roman"/>
          <w:sz w:val="24"/>
          <w:szCs w:val="24"/>
          <w:lang w:val="en"/>
        </w:rPr>
        <w:t>o address the multiple rate changes that are slated to take effect starting on January 1, 2022, GAM propose</w:t>
      </w:r>
      <w:r>
        <w:rPr>
          <w:rFonts w:ascii="Times New Roman" w:eastAsia="Times New Roman" w:hAnsi="Times New Roman" w:cs="Times New Roman"/>
          <w:sz w:val="24"/>
          <w:szCs w:val="24"/>
          <w:lang w:val="en"/>
        </w:rPr>
        <w:t>d</w:t>
      </w:r>
      <w:r w:rsidR="00171BDD" w:rsidRPr="00171BDD">
        <w:rPr>
          <w:rFonts w:ascii="Times New Roman" w:eastAsia="Times New Roman" w:hAnsi="Times New Roman" w:cs="Times New Roman"/>
          <w:sz w:val="24"/>
          <w:szCs w:val="24"/>
          <w:lang w:val="en"/>
        </w:rPr>
        <w:t xml:space="preserve"> what it states is “a simple alternative to manage these impending increases…” by recommending that the NCCR decrease “…be deferred to January 1, 2023 to coincide with any other rate adjustments made during the 2022 Rate Case.” (GAM Brief p. 2).  GAM </w:t>
      </w:r>
      <w:r w:rsidR="00623DCC">
        <w:rPr>
          <w:rFonts w:ascii="Times New Roman" w:eastAsia="Times New Roman" w:hAnsi="Times New Roman" w:cs="Times New Roman"/>
          <w:sz w:val="24"/>
          <w:szCs w:val="24"/>
          <w:lang w:val="en"/>
        </w:rPr>
        <w:t>claimed</w:t>
      </w:r>
      <w:r w:rsidR="00404386">
        <w:rPr>
          <w:rFonts w:ascii="Times New Roman" w:eastAsia="Times New Roman" w:hAnsi="Times New Roman" w:cs="Times New Roman"/>
          <w:sz w:val="24"/>
          <w:szCs w:val="24"/>
          <w:lang w:val="en"/>
        </w:rPr>
        <w:t xml:space="preserve"> that</w:t>
      </w:r>
      <w:r w:rsidR="00171BDD" w:rsidRPr="00171BDD">
        <w:rPr>
          <w:rFonts w:ascii="Times New Roman" w:eastAsia="Times New Roman" w:hAnsi="Times New Roman" w:cs="Times New Roman"/>
          <w:sz w:val="24"/>
          <w:szCs w:val="24"/>
          <w:lang w:val="en"/>
        </w:rPr>
        <w:t xml:space="preserve"> such deferral is ideal because it would no</w:t>
      </w:r>
      <w:r w:rsidR="00BF033C">
        <w:rPr>
          <w:rFonts w:ascii="Times New Roman" w:eastAsia="Times New Roman" w:hAnsi="Times New Roman" w:cs="Times New Roman"/>
          <w:sz w:val="24"/>
          <w:szCs w:val="24"/>
          <w:lang w:val="en"/>
        </w:rPr>
        <w:t>t deny recovery to the Company</w:t>
      </w:r>
      <w:r w:rsidR="00171BDD" w:rsidRPr="00171BDD">
        <w:rPr>
          <w:rFonts w:ascii="Times New Roman" w:eastAsia="Times New Roman" w:hAnsi="Times New Roman" w:cs="Times New Roman"/>
          <w:sz w:val="24"/>
          <w:szCs w:val="24"/>
          <w:lang w:val="en"/>
        </w:rPr>
        <w:t xml:space="preserve"> of any Commission-approved dollars yet allows for recovery in a way that is more stable and predictable for customers. </w:t>
      </w:r>
      <w:r w:rsidR="00171BDD" w:rsidRPr="000A0895">
        <w:rPr>
          <w:rFonts w:ascii="Times New Roman" w:eastAsia="Times New Roman" w:hAnsi="Times New Roman" w:cs="Times New Roman"/>
          <w:i/>
          <w:sz w:val="24"/>
          <w:szCs w:val="24"/>
          <w:lang w:val="en"/>
        </w:rPr>
        <w:t>(Id.</w:t>
      </w:r>
      <w:r w:rsidR="00171BDD" w:rsidRPr="00171BDD">
        <w:rPr>
          <w:rFonts w:ascii="Times New Roman" w:eastAsia="Times New Roman" w:hAnsi="Times New Roman" w:cs="Times New Roman"/>
          <w:sz w:val="24"/>
          <w:szCs w:val="24"/>
          <w:lang w:val="en"/>
        </w:rPr>
        <w:t>). It further state</w:t>
      </w:r>
      <w:r w:rsidR="000E781A">
        <w:rPr>
          <w:rFonts w:ascii="Times New Roman" w:eastAsia="Times New Roman" w:hAnsi="Times New Roman" w:cs="Times New Roman"/>
          <w:sz w:val="24"/>
          <w:szCs w:val="24"/>
          <w:lang w:val="en"/>
        </w:rPr>
        <w:t>d</w:t>
      </w:r>
      <w:r w:rsidR="004E1F16">
        <w:rPr>
          <w:rFonts w:ascii="Times New Roman" w:eastAsia="Times New Roman" w:hAnsi="Times New Roman" w:cs="Times New Roman"/>
          <w:sz w:val="24"/>
          <w:szCs w:val="24"/>
          <w:lang w:val="en"/>
        </w:rPr>
        <w:t xml:space="preserve"> </w:t>
      </w:r>
      <w:r w:rsidR="00171BDD" w:rsidRPr="00171BDD">
        <w:rPr>
          <w:rFonts w:ascii="Times New Roman" w:eastAsia="Times New Roman" w:hAnsi="Times New Roman" w:cs="Times New Roman"/>
          <w:sz w:val="24"/>
          <w:szCs w:val="24"/>
          <w:lang w:val="en"/>
        </w:rPr>
        <w:t xml:space="preserve">that its approach would allow the Commission to base the cost of capital on its updated decision in the 2022 Rate Case and would allow the Commission some time with Unit 3 in service to better evaluate the appropriateness of the Company’s projected O&amp;M expenses before adjusting rates to customers since non-fuel O&amp;M expenses are not fully known or predictable. (GAM Brief p. 3). </w:t>
      </w:r>
    </w:p>
    <w:p w14:paraId="73980387" w14:textId="77777777" w:rsidR="00171BDD" w:rsidRPr="00171BDD" w:rsidRDefault="00171BDD" w:rsidP="00E720A1">
      <w:pPr>
        <w:keepNext/>
        <w:spacing w:after="0" w:line="240" w:lineRule="auto"/>
        <w:jc w:val="both"/>
        <w:rPr>
          <w:rFonts w:ascii="Times New Roman" w:eastAsia="Times New Roman" w:hAnsi="Times New Roman" w:cs="Times New Roman"/>
          <w:sz w:val="24"/>
          <w:szCs w:val="24"/>
          <w:lang w:val="en"/>
        </w:rPr>
      </w:pPr>
    </w:p>
    <w:p w14:paraId="29CC39F8" w14:textId="4BAAADEC" w:rsidR="00171BDD" w:rsidRDefault="00BD74FC" w:rsidP="000A0895">
      <w:pPr>
        <w:keepNext/>
        <w:spacing w:after="0" w:line="240" w:lineRule="auto"/>
        <w:ind w:firstLine="720"/>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Georgia Power</w:t>
      </w:r>
      <w:r w:rsidR="00171BDD" w:rsidRPr="00171BDD">
        <w:rPr>
          <w:rFonts w:ascii="Times New Roman" w:eastAsia="Times New Roman" w:hAnsi="Times New Roman" w:cs="Times New Roman"/>
          <w:sz w:val="24"/>
          <w:szCs w:val="24"/>
          <w:lang w:val="en"/>
        </w:rPr>
        <w:t xml:space="preserve"> contend</w:t>
      </w:r>
      <w:r w:rsidR="000E781A">
        <w:rPr>
          <w:rFonts w:ascii="Times New Roman" w:eastAsia="Times New Roman" w:hAnsi="Times New Roman" w:cs="Times New Roman"/>
          <w:sz w:val="24"/>
          <w:szCs w:val="24"/>
          <w:lang w:val="en"/>
        </w:rPr>
        <w:t>ed</w:t>
      </w:r>
      <w:r w:rsidR="00171BDD" w:rsidRPr="00171BDD">
        <w:rPr>
          <w:rFonts w:ascii="Times New Roman" w:eastAsia="Times New Roman" w:hAnsi="Times New Roman" w:cs="Times New Roman"/>
          <w:sz w:val="24"/>
          <w:szCs w:val="24"/>
          <w:lang w:val="en"/>
        </w:rPr>
        <w:t xml:space="preserve"> that GAM's proposal goes against the Commission's goal in the 17th VCM</w:t>
      </w:r>
      <w:r w:rsidR="000E781A">
        <w:rPr>
          <w:rFonts w:ascii="Times New Roman" w:eastAsia="Times New Roman" w:hAnsi="Times New Roman" w:cs="Times New Roman"/>
          <w:sz w:val="24"/>
          <w:szCs w:val="24"/>
          <w:lang w:val="en"/>
        </w:rPr>
        <w:t xml:space="preserve"> Order</w:t>
      </w:r>
      <w:r w:rsidR="00171BDD" w:rsidRPr="00171BDD">
        <w:rPr>
          <w:rFonts w:ascii="Times New Roman" w:eastAsia="Times New Roman" w:hAnsi="Times New Roman" w:cs="Times New Roman"/>
          <w:sz w:val="24"/>
          <w:szCs w:val="24"/>
          <w:lang w:val="en"/>
        </w:rPr>
        <w:t xml:space="preserve"> to incentivize the Company to complete Unit 3 as soon as possible by allowing recovery one month after commercial operation. The Company further argue</w:t>
      </w:r>
      <w:r w:rsidR="009308AE">
        <w:rPr>
          <w:rFonts w:ascii="Times New Roman" w:eastAsia="Times New Roman" w:hAnsi="Times New Roman" w:cs="Times New Roman"/>
          <w:sz w:val="24"/>
          <w:szCs w:val="24"/>
          <w:lang w:val="en"/>
        </w:rPr>
        <w:t>d</w:t>
      </w:r>
      <w:r w:rsidR="00171BDD" w:rsidRPr="00171BDD">
        <w:rPr>
          <w:rFonts w:ascii="Times New Roman" w:eastAsia="Times New Roman" w:hAnsi="Times New Roman" w:cs="Times New Roman"/>
          <w:sz w:val="24"/>
          <w:szCs w:val="24"/>
          <w:lang w:val="en"/>
        </w:rPr>
        <w:t xml:space="preserve"> that any delays in placing Unit 3's costs in rate base would adversely affect the Company and would not materially benefit customers long-term. (Georgia Power Brief p. 8).</w:t>
      </w:r>
    </w:p>
    <w:p w14:paraId="1AD8B68A" w14:textId="77777777" w:rsidR="00E54243" w:rsidRDefault="00E54243" w:rsidP="00E720A1">
      <w:pPr>
        <w:keepNext/>
        <w:spacing w:after="0" w:line="240" w:lineRule="auto"/>
        <w:ind w:firstLine="720"/>
        <w:jc w:val="both"/>
        <w:rPr>
          <w:rFonts w:ascii="Times New Roman" w:eastAsia="Times New Roman" w:hAnsi="Times New Roman" w:cs="Times New Roman"/>
          <w:sz w:val="24"/>
          <w:szCs w:val="24"/>
          <w:lang w:val="en"/>
        </w:rPr>
      </w:pPr>
    </w:p>
    <w:p w14:paraId="06DF7EA3" w14:textId="6C53B3C4" w:rsidR="00E54243" w:rsidRDefault="000A16AB" w:rsidP="009308AE">
      <w:pPr>
        <w:keepNext/>
        <w:spacing w:after="0" w:line="240" w:lineRule="auto"/>
        <w:ind w:firstLine="720"/>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T</w:t>
      </w:r>
      <w:r w:rsidR="006A3995" w:rsidRPr="005A2748">
        <w:rPr>
          <w:rFonts w:ascii="Times New Roman" w:eastAsia="Times New Roman" w:hAnsi="Times New Roman" w:cs="Times New Roman"/>
          <w:sz w:val="24"/>
          <w:szCs w:val="24"/>
          <w:lang w:val="en"/>
        </w:rPr>
        <w:t>he Commission finds that GAM’s proposed deferral would not only cause additional complexity to the intended scope of this Docket,</w:t>
      </w:r>
      <w:r w:rsidR="001F4B48">
        <w:rPr>
          <w:rFonts w:ascii="Times New Roman" w:eastAsia="Times New Roman" w:hAnsi="Times New Roman" w:cs="Times New Roman"/>
          <w:sz w:val="24"/>
          <w:szCs w:val="24"/>
          <w:lang w:val="en"/>
        </w:rPr>
        <w:t xml:space="preserve"> but</w:t>
      </w:r>
      <w:r w:rsidR="006A3995" w:rsidRPr="005A2748">
        <w:rPr>
          <w:rFonts w:ascii="Times New Roman" w:eastAsia="Times New Roman" w:hAnsi="Times New Roman" w:cs="Times New Roman"/>
          <w:sz w:val="24"/>
          <w:szCs w:val="24"/>
          <w:lang w:val="en"/>
        </w:rPr>
        <w:t xml:space="preserve"> would also contradict the original intent of the 17</w:t>
      </w:r>
      <w:r w:rsidR="006A3995" w:rsidRPr="005A2748">
        <w:rPr>
          <w:rFonts w:ascii="Times New Roman" w:eastAsia="Times New Roman" w:hAnsi="Times New Roman" w:cs="Times New Roman"/>
          <w:sz w:val="24"/>
          <w:szCs w:val="24"/>
          <w:vertAlign w:val="superscript"/>
          <w:lang w:val="en"/>
        </w:rPr>
        <w:t>th</w:t>
      </w:r>
      <w:r w:rsidR="006A3995" w:rsidRPr="005A2748">
        <w:rPr>
          <w:rFonts w:ascii="Times New Roman" w:eastAsia="Times New Roman" w:hAnsi="Times New Roman" w:cs="Times New Roman"/>
          <w:sz w:val="24"/>
          <w:szCs w:val="24"/>
          <w:lang w:val="en"/>
        </w:rPr>
        <w:t xml:space="preserve"> VCM</w:t>
      </w:r>
      <w:r w:rsidR="009308AE">
        <w:rPr>
          <w:rFonts w:ascii="Times New Roman" w:eastAsia="Times New Roman" w:hAnsi="Times New Roman" w:cs="Times New Roman"/>
          <w:sz w:val="24"/>
          <w:szCs w:val="24"/>
          <w:lang w:val="en"/>
        </w:rPr>
        <w:t xml:space="preserve"> Order</w:t>
      </w:r>
      <w:r w:rsidR="006A3995" w:rsidRPr="005A2748">
        <w:rPr>
          <w:rFonts w:ascii="Times New Roman" w:eastAsia="Times New Roman" w:hAnsi="Times New Roman" w:cs="Times New Roman"/>
          <w:sz w:val="24"/>
          <w:szCs w:val="24"/>
          <w:lang w:val="en"/>
        </w:rPr>
        <w:t xml:space="preserve"> in incentivizing the timely Commercial Operation of Unit 3. </w:t>
      </w:r>
      <w:r w:rsidR="00963E4C" w:rsidRPr="005A2748">
        <w:rPr>
          <w:rFonts w:ascii="Times New Roman" w:eastAsia="Times New Roman" w:hAnsi="Times New Roman" w:cs="Times New Roman"/>
          <w:sz w:val="24"/>
          <w:szCs w:val="24"/>
          <w:lang w:val="en"/>
        </w:rPr>
        <w:t xml:space="preserve">The Commission </w:t>
      </w:r>
      <w:r w:rsidR="009308AE">
        <w:rPr>
          <w:rFonts w:ascii="Times New Roman" w:eastAsia="Times New Roman" w:hAnsi="Times New Roman" w:cs="Times New Roman"/>
          <w:sz w:val="24"/>
          <w:szCs w:val="24"/>
          <w:lang w:val="en"/>
        </w:rPr>
        <w:t xml:space="preserve">finds and concludes </w:t>
      </w:r>
      <w:r w:rsidR="00163305">
        <w:rPr>
          <w:rFonts w:ascii="Times New Roman" w:eastAsia="Times New Roman" w:hAnsi="Times New Roman" w:cs="Times New Roman"/>
          <w:sz w:val="24"/>
          <w:szCs w:val="24"/>
          <w:lang w:val="en"/>
        </w:rPr>
        <w:t xml:space="preserve">that </w:t>
      </w:r>
      <w:r w:rsidR="00163305" w:rsidRPr="005A2748">
        <w:rPr>
          <w:rFonts w:ascii="Times New Roman" w:eastAsia="Times New Roman" w:hAnsi="Times New Roman" w:cs="Times New Roman"/>
          <w:sz w:val="24"/>
          <w:szCs w:val="24"/>
          <w:lang w:val="en"/>
        </w:rPr>
        <w:t>denial</w:t>
      </w:r>
      <w:r w:rsidR="00D737E1">
        <w:rPr>
          <w:rFonts w:ascii="Times New Roman" w:eastAsia="Times New Roman" w:hAnsi="Times New Roman" w:cs="Times New Roman"/>
          <w:sz w:val="24"/>
          <w:szCs w:val="24"/>
          <w:lang w:val="en"/>
        </w:rPr>
        <w:t xml:space="preserve"> of</w:t>
      </w:r>
      <w:r w:rsidR="00963E4C" w:rsidRPr="005A2748">
        <w:rPr>
          <w:rFonts w:ascii="Times New Roman" w:eastAsia="Times New Roman" w:hAnsi="Times New Roman" w:cs="Times New Roman"/>
          <w:sz w:val="24"/>
          <w:szCs w:val="24"/>
          <w:lang w:val="en"/>
        </w:rPr>
        <w:t xml:space="preserve"> GAM’s recommendation</w:t>
      </w:r>
      <w:r w:rsidR="00D737E1">
        <w:rPr>
          <w:rFonts w:ascii="Times New Roman" w:eastAsia="Times New Roman" w:hAnsi="Times New Roman" w:cs="Times New Roman"/>
          <w:sz w:val="24"/>
          <w:szCs w:val="24"/>
          <w:lang w:val="en"/>
        </w:rPr>
        <w:t xml:space="preserve"> is appropriate in this proceeding.</w:t>
      </w:r>
      <w:r w:rsidR="00963E4C" w:rsidRPr="005A2748">
        <w:rPr>
          <w:rFonts w:ascii="Times New Roman" w:eastAsia="Times New Roman" w:hAnsi="Times New Roman" w:cs="Times New Roman"/>
          <w:sz w:val="24"/>
          <w:szCs w:val="24"/>
          <w:lang w:val="en"/>
        </w:rPr>
        <w:t xml:space="preserve"> </w:t>
      </w:r>
    </w:p>
    <w:p w14:paraId="1F2D4AEE" w14:textId="27A05871" w:rsidR="00C13789" w:rsidRDefault="00C13789" w:rsidP="009308AE">
      <w:pPr>
        <w:keepNext/>
        <w:spacing w:after="0" w:line="240" w:lineRule="auto"/>
        <w:ind w:firstLine="720"/>
        <w:jc w:val="both"/>
        <w:rPr>
          <w:rFonts w:ascii="Times New Roman" w:eastAsia="Times New Roman" w:hAnsi="Times New Roman" w:cs="Times New Roman"/>
          <w:sz w:val="24"/>
          <w:szCs w:val="24"/>
          <w:lang w:val="en"/>
        </w:rPr>
      </w:pPr>
    </w:p>
    <w:p w14:paraId="4D6DA192" w14:textId="778C6D97" w:rsidR="00C13789" w:rsidRPr="00853BD7" w:rsidRDefault="00C13789" w:rsidP="00853BD7">
      <w:pPr>
        <w:keepNext/>
        <w:spacing w:after="0" w:line="240" w:lineRule="auto"/>
        <w:jc w:val="center"/>
        <w:rPr>
          <w:rFonts w:ascii="Times New Roman" w:eastAsia="Times New Roman" w:hAnsi="Times New Roman" w:cs="Times New Roman"/>
          <w:b/>
          <w:bCs/>
          <w:sz w:val="24"/>
          <w:szCs w:val="24"/>
          <w:lang w:val="en"/>
        </w:rPr>
      </w:pPr>
      <w:r w:rsidRPr="00853BD7">
        <w:rPr>
          <w:rFonts w:ascii="Times New Roman" w:eastAsia="Times New Roman" w:hAnsi="Times New Roman" w:cs="Times New Roman"/>
          <w:b/>
          <w:bCs/>
          <w:sz w:val="24"/>
          <w:szCs w:val="24"/>
          <w:lang w:val="en"/>
        </w:rPr>
        <w:t>4.</w:t>
      </w:r>
    </w:p>
    <w:p w14:paraId="4709F706" w14:textId="77777777" w:rsidR="00783543" w:rsidRDefault="00783543" w:rsidP="00171BDD">
      <w:pPr>
        <w:keepNext/>
        <w:spacing w:after="0" w:line="240" w:lineRule="auto"/>
        <w:rPr>
          <w:rFonts w:ascii="Times New Roman" w:eastAsia="Times New Roman" w:hAnsi="Times New Roman" w:cs="Times New Roman"/>
          <w:sz w:val="24"/>
          <w:szCs w:val="24"/>
          <w:lang w:val="en"/>
        </w:rPr>
      </w:pPr>
    </w:p>
    <w:p w14:paraId="645689C7" w14:textId="77777777" w:rsidR="00783543" w:rsidRPr="00783543" w:rsidRDefault="00783543" w:rsidP="00783543">
      <w:pPr>
        <w:keepNext/>
        <w:spacing w:after="0" w:line="240" w:lineRule="auto"/>
        <w:rPr>
          <w:rFonts w:ascii="Times New Roman" w:eastAsia="Times New Roman" w:hAnsi="Times New Roman" w:cs="Times New Roman"/>
          <w:sz w:val="24"/>
          <w:szCs w:val="24"/>
        </w:rPr>
      </w:pPr>
      <w:r w:rsidRPr="00783543">
        <w:rPr>
          <w:rFonts w:ascii="Times New Roman" w:eastAsia="Times New Roman" w:hAnsi="Times New Roman" w:cs="Times New Roman"/>
          <w:b/>
          <w:bCs/>
          <w:sz w:val="24"/>
          <w:szCs w:val="24"/>
        </w:rPr>
        <w:t>Georgia Interfaith Power &amp; Light and the Partnership for Southern Equity (GIPL-PSE)</w:t>
      </w:r>
    </w:p>
    <w:p w14:paraId="66F08702" w14:textId="77777777" w:rsidR="00783543" w:rsidRPr="00783543" w:rsidRDefault="00783543" w:rsidP="00783543">
      <w:pPr>
        <w:keepNext/>
        <w:spacing w:after="0" w:line="240" w:lineRule="auto"/>
        <w:rPr>
          <w:rFonts w:ascii="Times New Roman" w:eastAsia="Times New Roman" w:hAnsi="Times New Roman" w:cs="Times New Roman"/>
          <w:sz w:val="24"/>
          <w:szCs w:val="24"/>
        </w:rPr>
      </w:pPr>
    </w:p>
    <w:p w14:paraId="34785143" w14:textId="7A9DF595" w:rsidR="00783543" w:rsidRPr="00783543" w:rsidRDefault="00783543" w:rsidP="00E720A1">
      <w:pPr>
        <w:keepNext/>
        <w:spacing w:after="0" w:line="240" w:lineRule="auto"/>
        <w:ind w:firstLine="720"/>
        <w:jc w:val="both"/>
        <w:rPr>
          <w:rFonts w:ascii="Times New Roman" w:eastAsia="Times New Roman" w:hAnsi="Times New Roman" w:cs="Times New Roman"/>
          <w:sz w:val="24"/>
          <w:szCs w:val="24"/>
        </w:rPr>
      </w:pPr>
      <w:r w:rsidRPr="00783543">
        <w:rPr>
          <w:rFonts w:ascii="Times New Roman" w:eastAsia="Times New Roman" w:hAnsi="Times New Roman" w:cs="Times New Roman"/>
          <w:sz w:val="24"/>
          <w:szCs w:val="24"/>
        </w:rPr>
        <w:t>GIPL-PSE recommend</w:t>
      </w:r>
      <w:r w:rsidR="001F4B48">
        <w:rPr>
          <w:rFonts w:ascii="Times New Roman" w:eastAsia="Times New Roman" w:hAnsi="Times New Roman" w:cs="Times New Roman"/>
          <w:sz w:val="24"/>
          <w:szCs w:val="24"/>
        </w:rPr>
        <w:t>ed</w:t>
      </w:r>
      <w:r w:rsidRPr="00783543">
        <w:rPr>
          <w:rFonts w:ascii="Times New Roman" w:eastAsia="Times New Roman" w:hAnsi="Times New Roman" w:cs="Times New Roman"/>
          <w:sz w:val="24"/>
          <w:szCs w:val="24"/>
        </w:rPr>
        <w:t xml:space="preserve"> that the Commission use this opportunity to recouple the rate treatment of Units 3 and 4 such that no capital costs may enter rate base until full project completion. GIPL-PSE </w:t>
      </w:r>
      <w:r w:rsidR="00E70648" w:rsidRPr="00783543">
        <w:rPr>
          <w:rFonts w:ascii="Times New Roman" w:eastAsia="Times New Roman" w:hAnsi="Times New Roman" w:cs="Times New Roman"/>
          <w:sz w:val="24"/>
          <w:szCs w:val="24"/>
        </w:rPr>
        <w:t>conten</w:t>
      </w:r>
      <w:r w:rsidR="00E70648">
        <w:rPr>
          <w:rFonts w:ascii="Times New Roman" w:eastAsia="Times New Roman" w:hAnsi="Times New Roman" w:cs="Times New Roman"/>
          <w:sz w:val="24"/>
          <w:szCs w:val="24"/>
        </w:rPr>
        <w:t>ded</w:t>
      </w:r>
      <w:r w:rsidRPr="00783543">
        <w:rPr>
          <w:rFonts w:ascii="Times New Roman" w:eastAsia="Times New Roman" w:hAnsi="Times New Roman" w:cs="Times New Roman"/>
          <w:sz w:val="24"/>
          <w:szCs w:val="24"/>
        </w:rPr>
        <w:t xml:space="preserve"> that recoupling is well within the Commission’s authority as it would simply restore the status quo from before the 17</w:t>
      </w:r>
      <w:r w:rsidRPr="00783543">
        <w:rPr>
          <w:rFonts w:ascii="Times New Roman" w:eastAsia="Times New Roman" w:hAnsi="Times New Roman" w:cs="Times New Roman"/>
          <w:sz w:val="24"/>
          <w:szCs w:val="24"/>
          <w:vertAlign w:val="superscript"/>
        </w:rPr>
        <w:t>th</w:t>
      </w:r>
      <w:r w:rsidRPr="00783543">
        <w:rPr>
          <w:rFonts w:ascii="Times New Roman" w:eastAsia="Times New Roman" w:hAnsi="Times New Roman" w:cs="Times New Roman"/>
          <w:sz w:val="24"/>
          <w:szCs w:val="24"/>
        </w:rPr>
        <w:t xml:space="preserve"> VCM Order. GIPL-PSE </w:t>
      </w:r>
      <w:r w:rsidR="009D041F" w:rsidRPr="00783543">
        <w:rPr>
          <w:rFonts w:ascii="Times New Roman" w:eastAsia="Times New Roman" w:hAnsi="Times New Roman" w:cs="Times New Roman"/>
          <w:sz w:val="24"/>
          <w:szCs w:val="24"/>
        </w:rPr>
        <w:t>note</w:t>
      </w:r>
      <w:r w:rsidR="009D041F">
        <w:rPr>
          <w:rFonts w:ascii="Times New Roman" w:eastAsia="Times New Roman" w:hAnsi="Times New Roman" w:cs="Times New Roman"/>
          <w:sz w:val="24"/>
          <w:szCs w:val="24"/>
        </w:rPr>
        <w:t>d</w:t>
      </w:r>
      <w:r w:rsidRPr="00783543">
        <w:rPr>
          <w:rFonts w:ascii="Times New Roman" w:eastAsia="Times New Roman" w:hAnsi="Times New Roman" w:cs="Times New Roman"/>
          <w:sz w:val="24"/>
          <w:szCs w:val="24"/>
        </w:rPr>
        <w:t xml:space="preserve"> that decoupling was not one of the conditions insisted upon by the Company in order to continue the </w:t>
      </w:r>
      <w:r w:rsidRPr="00783543">
        <w:rPr>
          <w:rFonts w:ascii="Times New Roman" w:eastAsia="Times New Roman" w:hAnsi="Times New Roman" w:cs="Times New Roman"/>
          <w:sz w:val="24"/>
          <w:szCs w:val="24"/>
        </w:rPr>
        <w:lastRenderedPageBreak/>
        <w:t>project. It contend</w:t>
      </w:r>
      <w:r w:rsidR="007769EE">
        <w:rPr>
          <w:rFonts w:ascii="Times New Roman" w:eastAsia="Times New Roman" w:hAnsi="Times New Roman" w:cs="Times New Roman"/>
          <w:sz w:val="24"/>
          <w:szCs w:val="24"/>
        </w:rPr>
        <w:t>ed</w:t>
      </w:r>
      <w:r w:rsidRPr="00783543">
        <w:rPr>
          <w:rFonts w:ascii="Times New Roman" w:eastAsia="Times New Roman" w:hAnsi="Times New Roman" w:cs="Times New Roman"/>
          <w:sz w:val="24"/>
          <w:szCs w:val="24"/>
        </w:rPr>
        <w:t xml:space="preserve"> that decoupling was an incentive mechanism devised by the Commission to achieve completion by the revised dates approved in the 17</w:t>
      </w:r>
      <w:r w:rsidRPr="00783543">
        <w:rPr>
          <w:rFonts w:ascii="Times New Roman" w:eastAsia="Times New Roman" w:hAnsi="Times New Roman" w:cs="Times New Roman"/>
          <w:sz w:val="24"/>
          <w:szCs w:val="24"/>
          <w:vertAlign w:val="superscript"/>
        </w:rPr>
        <w:t>th</w:t>
      </w:r>
      <w:r w:rsidRPr="00783543">
        <w:rPr>
          <w:rFonts w:ascii="Times New Roman" w:eastAsia="Times New Roman" w:hAnsi="Times New Roman" w:cs="Times New Roman"/>
          <w:sz w:val="24"/>
          <w:szCs w:val="24"/>
        </w:rPr>
        <w:t xml:space="preserve"> VCM</w:t>
      </w:r>
      <w:r w:rsidR="00CB3CEF">
        <w:rPr>
          <w:rFonts w:ascii="Times New Roman" w:eastAsia="Times New Roman" w:hAnsi="Times New Roman" w:cs="Times New Roman"/>
          <w:sz w:val="24"/>
          <w:szCs w:val="24"/>
        </w:rPr>
        <w:t xml:space="preserve"> Order</w:t>
      </w:r>
      <w:r w:rsidRPr="00783543">
        <w:rPr>
          <w:rFonts w:ascii="Times New Roman" w:eastAsia="Times New Roman" w:hAnsi="Times New Roman" w:cs="Times New Roman"/>
          <w:sz w:val="24"/>
          <w:szCs w:val="24"/>
        </w:rPr>
        <w:t xml:space="preserve"> and because timely completion has not occurred, recoupling is appropriate as a matter of basic fairness to ratepayers. GIPL-PSE further contend</w:t>
      </w:r>
      <w:r w:rsidR="00CB3CEF">
        <w:rPr>
          <w:rFonts w:ascii="Times New Roman" w:eastAsia="Times New Roman" w:hAnsi="Times New Roman" w:cs="Times New Roman"/>
          <w:sz w:val="24"/>
          <w:szCs w:val="24"/>
        </w:rPr>
        <w:t>ed</w:t>
      </w:r>
      <w:r w:rsidRPr="00783543">
        <w:rPr>
          <w:rFonts w:ascii="Times New Roman" w:eastAsia="Times New Roman" w:hAnsi="Times New Roman" w:cs="Times New Roman"/>
          <w:sz w:val="24"/>
          <w:szCs w:val="24"/>
        </w:rPr>
        <w:t xml:space="preserve"> that its recommendation is consistent with the governing statute, O.C.G.A. § 46-3A-7, which requires that prudency determinations and related rate base adjustments await full project completion. (GIPL-PSE Brief p. 5).</w:t>
      </w:r>
    </w:p>
    <w:p w14:paraId="06D242A6" w14:textId="77777777" w:rsidR="00783543" w:rsidRPr="00783543" w:rsidRDefault="00783543" w:rsidP="00E720A1">
      <w:pPr>
        <w:keepNext/>
        <w:spacing w:after="0" w:line="240" w:lineRule="auto"/>
        <w:jc w:val="both"/>
        <w:rPr>
          <w:rFonts w:ascii="Times New Roman" w:eastAsia="Times New Roman" w:hAnsi="Times New Roman" w:cs="Times New Roman"/>
          <w:sz w:val="24"/>
          <w:szCs w:val="24"/>
        </w:rPr>
      </w:pPr>
    </w:p>
    <w:p w14:paraId="5A3DE792" w14:textId="6DE5E8F8" w:rsidR="00107B9E" w:rsidRPr="00783543" w:rsidRDefault="00783543" w:rsidP="00307532">
      <w:pPr>
        <w:keepNext/>
        <w:spacing w:after="0" w:line="240" w:lineRule="auto"/>
        <w:ind w:firstLine="720"/>
        <w:jc w:val="both"/>
        <w:rPr>
          <w:rFonts w:ascii="Times New Roman" w:eastAsia="Times New Roman" w:hAnsi="Times New Roman" w:cs="Times New Roman"/>
          <w:bCs/>
          <w:sz w:val="24"/>
          <w:szCs w:val="24"/>
        </w:rPr>
      </w:pPr>
      <w:r w:rsidRPr="00783543">
        <w:rPr>
          <w:rFonts w:ascii="Times New Roman" w:eastAsia="Times New Roman" w:hAnsi="Times New Roman" w:cs="Times New Roman"/>
          <w:sz w:val="24"/>
          <w:szCs w:val="24"/>
        </w:rPr>
        <w:t>Alternatively, GIPL-PSE recommend</w:t>
      </w:r>
      <w:r w:rsidR="00CB3CEF">
        <w:rPr>
          <w:rFonts w:ascii="Times New Roman" w:eastAsia="Times New Roman" w:hAnsi="Times New Roman" w:cs="Times New Roman"/>
          <w:sz w:val="24"/>
          <w:szCs w:val="24"/>
        </w:rPr>
        <w:t>ed</w:t>
      </w:r>
      <w:r w:rsidRPr="00783543">
        <w:rPr>
          <w:rFonts w:ascii="Times New Roman" w:eastAsia="Times New Roman" w:hAnsi="Times New Roman" w:cs="Times New Roman"/>
          <w:sz w:val="24"/>
          <w:szCs w:val="24"/>
        </w:rPr>
        <w:t xml:space="preserve"> that the Commission defer consideration of the Company’s requested retail rate adjustment until the 2022 rate case. GIPL-PSE maintain</w:t>
      </w:r>
      <w:r w:rsidR="00CB3CEF">
        <w:rPr>
          <w:rFonts w:ascii="Times New Roman" w:eastAsia="Times New Roman" w:hAnsi="Times New Roman" w:cs="Times New Roman"/>
          <w:sz w:val="24"/>
          <w:szCs w:val="24"/>
        </w:rPr>
        <w:t>ed</w:t>
      </w:r>
      <w:r w:rsidRPr="00783543">
        <w:rPr>
          <w:rFonts w:ascii="Times New Roman" w:eastAsia="Times New Roman" w:hAnsi="Times New Roman" w:cs="Times New Roman"/>
          <w:sz w:val="24"/>
          <w:szCs w:val="24"/>
        </w:rPr>
        <w:t xml:space="preserve"> that deferring consideration until the 2022 rate case </w:t>
      </w:r>
      <w:r w:rsidR="00CB3CEF">
        <w:rPr>
          <w:rFonts w:ascii="Times New Roman" w:eastAsia="Times New Roman" w:hAnsi="Times New Roman" w:cs="Times New Roman"/>
          <w:sz w:val="24"/>
          <w:szCs w:val="24"/>
        </w:rPr>
        <w:t xml:space="preserve">would </w:t>
      </w:r>
      <w:r w:rsidRPr="00783543">
        <w:rPr>
          <w:rFonts w:ascii="Times New Roman" w:eastAsia="Times New Roman" w:hAnsi="Times New Roman" w:cs="Times New Roman"/>
          <w:sz w:val="24"/>
          <w:szCs w:val="24"/>
        </w:rPr>
        <w:t>allow the Commission to determine whether the Company’s proposed $300 million rate increase is truly warranted, and that the Commission c</w:t>
      </w:r>
      <w:r w:rsidR="00A55070">
        <w:rPr>
          <w:rFonts w:ascii="Times New Roman" w:eastAsia="Times New Roman" w:hAnsi="Times New Roman" w:cs="Times New Roman"/>
          <w:sz w:val="24"/>
          <w:szCs w:val="24"/>
        </w:rPr>
        <w:t>ould</w:t>
      </w:r>
      <w:r w:rsidRPr="00783543">
        <w:rPr>
          <w:rFonts w:ascii="Times New Roman" w:eastAsia="Times New Roman" w:hAnsi="Times New Roman" w:cs="Times New Roman"/>
          <w:sz w:val="24"/>
          <w:szCs w:val="24"/>
        </w:rPr>
        <w:t xml:space="preserve"> allow the Company to move the $2.1 billion into rate base without those sums necessarily triggering a rate increase of the magnitude currently under consideration. GIPL-PSE argue</w:t>
      </w:r>
      <w:r w:rsidR="00A55070">
        <w:rPr>
          <w:rFonts w:ascii="Times New Roman" w:eastAsia="Times New Roman" w:hAnsi="Times New Roman" w:cs="Times New Roman"/>
          <w:sz w:val="24"/>
          <w:szCs w:val="24"/>
        </w:rPr>
        <w:t>d</w:t>
      </w:r>
      <w:r w:rsidRPr="00783543">
        <w:rPr>
          <w:rFonts w:ascii="Times New Roman" w:eastAsia="Times New Roman" w:hAnsi="Times New Roman" w:cs="Times New Roman"/>
          <w:sz w:val="24"/>
          <w:szCs w:val="24"/>
        </w:rPr>
        <w:t xml:space="preserve"> that whether and how much of a rate increase is needed will depend on the array of factors normally examined in a general rate case, including the Company’s earnings history and authorized Return on Equity.</w:t>
      </w:r>
      <w:r w:rsidRPr="00783543">
        <w:rPr>
          <w:rFonts w:ascii="Times New Roman" w:eastAsia="Times New Roman" w:hAnsi="Times New Roman" w:cs="Times New Roman"/>
          <w:b/>
          <w:sz w:val="24"/>
          <w:szCs w:val="24"/>
        </w:rPr>
        <w:t xml:space="preserve"> </w:t>
      </w:r>
      <w:r w:rsidRPr="00783543">
        <w:rPr>
          <w:rFonts w:ascii="Times New Roman" w:eastAsia="Times New Roman" w:hAnsi="Times New Roman" w:cs="Times New Roman"/>
          <w:bCs/>
          <w:sz w:val="24"/>
          <w:szCs w:val="24"/>
        </w:rPr>
        <w:t>(GIPL-PSE Brief pp. 5-7).</w:t>
      </w:r>
    </w:p>
    <w:p w14:paraId="5CDB0133" w14:textId="77777777" w:rsidR="00783543" w:rsidRPr="00E54243" w:rsidRDefault="00783543" w:rsidP="00171BDD">
      <w:pPr>
        <w:keepNext/>
        <w:spacing w:after="0" w:line="240" w:lineRule="auto"/>
        <w:rPr>
          <w:rFonts w:ascii="Times New Roman" w:eastAsia="Times New Roman" w:hAnsi="Times New Roman" w:cs="Times New Roman"/>
          <w:sz w:val="24"/>
          <w:szCs w:val="24"/>
        </w:rPr>
      </w:pPr>
    </w:p>
    <w:p w14:paraId="1F7430BE" w14:textId="7BD34518" w:rsidR="00E54243" w:rsidRDefault="00815C59" w:rsidP="00C1378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Commission </w:t>
      </w:r>
      <w:r w:rsidR="00963E4C" w:rsidRPr="00963E4C">
        <w:rPr>
          <w:rFonts w:ascii="Times New Roman" w:eastAsia="Times New Roman" w:hAnsi="Times New Roman" w:cs="Times New Roman"/>
          <w:sz w:val="24"/>
          <w:szCs w:val="24"/>
        </w:rPr>
        <w:t>denies</w:t>
      </w:r>
      <w:r w:rsidR="00E54243" w:rsidRPr="00E54243">
        <w:rPr>
          <w:rFonts w:ascii="Times New Roman" w:eastAsia="Times New Roman" w:hAnsi="Times New Roman" w:cs="Times New Roman"/>
          <w:sz w:val="24"/>
          <w:szCs w:val="24"/>
        </w:rPr>
        <w:t xml:space="preserve"> GIPL-PSE’s request to recouple the ra</w:t>
      </w:r>
      <w:r w:rsidR="00963E4C" w:rsidRPr="00963E4C">
        <w:rPr>
          <w:rFonts w:ascii="Times New Roman" w:eastAsia="Times New Roman" w:hAnsi="Times New Roman" w:cs="Times New Roman"/>
          <w:sz w:val="24"/>
          <w:szCs w:val="24"/>
        </w:rPr>
        <w:t>te treatment of Units 3 and 4 as doing so would mean that</w:t>
      </w:r>
      <w:r w:rsidR="00E54243" w:rsidRPr="00E54243">
        <w:rPr>
          <w:rFonts w:ascii="Times New Roman" w:eastAsia="Times New Roman" w:hAnsi="Times New Roman" w:cs="Times New Roman"/>
          <w:sz w:val="24"/>
          <w:szCs w:val="24"/>
        </w:rPr>
        <w:t xml:space="preserve"> no capital cost enter the rate base until the entirety of the nuclear project has been completed. </w:t>
      </w:r>
      <w:r w:rsidR="00963E4C" w:rsidRPr="00963E4C">
        <w:rPr>
          <w:rFonts w:ascii="Times New Roman" w:eastAsia="Times New Roman" w:hAnsi="Times New Roman" w:cs="Times New Roman"/>
          <w:sz w:val="24"/>
          <w:szCs w:val="24"/>
        </w:rPr>
        <w:t xml:space="preserve">This is clearly at odds with the Commission’s intent to incentivize the commercial operation of Unit 3. For these same reasons, the Commission also denies </w:t>
      </w:r>
      <w:r w:rsidR="00E54243" w:rsidRPr="00E54243">
        <w:rPr>
          <w:rFonts w:ascii="Times New Roman" w:eastAsia="Times New Roman" w:hAnsi="Times New Roman" w:cs="Times New Roman"/>
          <w:sz w:val="24"/>
          <w:szCs w:val="24"/>
        </w:rPr>
        <w:t>GIPL-PSE’s alternative recommendation to defer consideration of the retail rate adjustment until the 2022 rate case</w:t>
      </w:r>
      <w:r w:rsidR="00963E4C" w:rsidRPr="00963E4C">
        <w:rPr>
          <w:rFonts w:ascii="Times New Roman" w:eastAsia="Times New Roman" w:hAnsi="Times New Roman" w:cs="Times New Roman"/>
          <w:sz w:val="24"/>
          <w:szCs w:val="24"/>
        </w:rPr>
        <w:t>.</w:t>
      </w:r>
      <w:r w:rsidR="00E54243" w:rsidRPr="00E54243">
        <w:rPr>
          <w:rFonts w:ascii="Times New Roman" w:eastAsia="Times New Roman" w:hAnsi="Times New Roman" w:cs="Times New Roman"/>
          <w:sz w:val="24"/>
          <w:szCs w:val="24"/>
        </w:rPr>
        <w:t xml:space="preserve">  </w:t>
      </w:r>
    </w:p>
    <w:p w14:paraId="1B6AF3AE" w14:textId="7113115B" w:rsidR="00C13789" w:rsidRDefault="00C13789" w:rsidP="00C13789">
      <w:pPr>
        <w:spacing w:after="0" w:line="240" w:lineRule="auto"/>
        <w:ind w:firstLine="720"/>
        <w:jc w:val="both"/>
        <w:rPr>
          <w:rFonts w:ascii="Times New Roman" w:eastAsia="Times New Roman" w:hAnsi="Times New Roman" w:cs="Times New Roman"/>
          <w:sz w:val="24"/>
          <w:szCs w:val="24"/>
        </w:rPr>
      </w:pPr>
    </w:p>
    <w:p w14:paraId="038DC447" w14:textId="17EC39D9" w:rsidR="00C13789" w:rsidRPr="00853BD7" w:rsidRDefault="00C13789" w:rsidP="00853BD7">
      <w:pPr>
        <w:spacing w:after="0" w:line="240" w:lineRule="auto"/>
        <w:jc w:val="center"/>
        <w:rPr>
          <w:rFonts w:ascii="Times New Roman" w:eastAsia="Times New Roman" w:hAnsi="Times New Roman" w:cs="Times New Roman"/>
          <w:b/>
          <w:bCs/>
          <w:sz w:val="24"/>
          <w:szCs w:val="24"/>
        </w:rPr>
      </w:pPr>
      <w:r w:rsidRPr="00853BD7">
        <w:rPr>
          <w:rFonts w:ascii="Times New Roman" w:eastAsia="Times New Roman" w:hAnsi="Times New Roman" w:cs="Times New Roman"/>
          <w:b/>
          <w:bCs/>
          <w:sz w:val="24"/>
          <w:szCs w:val="24"/>
        </w:rPr>
        <w:t>5.</w:t>
      </w:r>
    </w:p>
    <w:p w14:paraId="477EB7C6" w14:textId="77777777" w:rsidR="00E54243" w:rsidRPr="00E54243" w:rsidRDefault="00E54243" w:rsidP="00171BDD">
      <w:pPr>
        <w:keepNext/>
        <w:spacing w:after="0" w:line="240" w:lineRule="auto"/>
        <w:rPr>
          <w:rFonts w:ascii="Times New Roman" w:eastAsia="Times New Roman" w:hAnsi="Times New Roman" w:cs="Times New Roman"/>
          <w:sz w:val="24"/>
          <w:szCs w:val="24"/>
        </w:rPr>
      </w:pPr>
    </w:p>
    <w:p w14:paraId="635CFD18" w14:textId="77777777" w:rsidR="000D5970" w:rsidRPr="000D5970" w:rsidRDefault="000D5970" w:rsidP="000D5970">
      <w:pPr>
        <w:keepNext/>
        <w:spacing w:after="0" w:line="240" w:lineRule="auto"/>
        <w:rPr>
          <w:rFonts w:ascii="Times New Roman" w:eastAsia="Times New Roman" w:hAnsi="Times New Roman" w:cs="Times New Roman"/>
          <w:b/>
          <w:bCs/>
          <w:sz w:val="24"/>
          <w:szCs w:val="24"/>
        </w:rPr>
      </w:pPr>
      <w:r w:rsidRPr="000D5970">
        <w:rPr>
          <w:rFonts w:ascii="Times New Roman" w:eastAsia="Times New Roman" w:hAnsi="Times New Roman" w:cs="Times New Roman"/>
          <w:b/>
          <w:bCs/>
          <w:sz w:val="24"/>
          <w:szCs w:val="24"/>
        </w:rPr>
        <w:t>Southern Alliance for Clean Energy (SACE)</w:t>
      </w:r>
    </w:p>
    <w:p w14:paraId="01667D94" w14:textId="77777777" w:rsidR="000D5970" w:rsidRPr="000D5970" w:rsidRDefault="000D5970" w:rsidP="000D5970">
      <w:pPr>
        <w:keepNext/>
        <w:spacing w:after="0" w:line="240" w:lineRule="auto"/>
        <w:rPr>
          <w:rFonts w:ascii="Times New Roman" w:eastAsia="Times New Roman" w:hAnsi="Times New Roman" w:cs="Times New Roman"/>
          <w:sz w:val="24"/>
          <w:szCs w:val="24"/>
        </w:rPr>
      </w:pPr>
    </w:p>
    <w:p w14:paraId="53EC53E8" w14:textId="43046C50" w:rsidR="000D5970" w:rsidRPr="000D5970" w:rsidRDefault="000D5970" w:rsidP="00E720A1">
      <w:pPr>
        <w:keepNext/>
        <w:spacing w:after="0" w:line="240" w:lineRule="auto"/>
        <w:ind w:firstLine="720"/>
        <w:jc w:val="both"/>
        <w:rPr>
          <w:rFonts w:ascii="Times New Roman" w:eastAsia="Times New Roman" w:hAnsi="Times New Roman" w:cs="Times New Roman"/>
          <w:bCs/>
          <w:sz w:val="24"/>
          <w:szCs w:val="24"/>
        </w:rPr>
      </w:pPr>
      <w:r w:rsidRPr="000D5970">
        <w:rPr>
          <w:rFonts w:ascii="Times New Roman" w:eastAsia="Times New Roman" w:hAnsi="Times New Roman" w:cs="Times New Roman"/>
          <w:bCs/>
          <w:sz w:val="24"/>
          <w:szCs w:val="24"/>
        </w:rPr>
        <w:t>SACE state</w:t>
      </w:r>
      <w:r w:rsidR="0050551D">
        <w:rPr>
          <w:rFonts w:ascii="Times New Roman" w:eastAsia="Times New Roman" w:hAnsi="Times New Roman" w:cs="Times New Roman"/>
          <w:bCs/>
          <w:sz w:val="24"/>
          <w:szCs w:val="24"/>
        </w:rPr>
        <w:t>d</w:t>
      </w:r>
      <w:r w:rsidRPr="000D5970">
        <w:rPr>
          <w:rFonts w:ascii="Times New Roman" w:eastAsia="Times New Roman" w:hAnsi="Times New Roman" w:cs="Times New Roman"/>
          <w:bCs/>
          <w:sz w:val="24"/>
          <w:szCs w:val="24"/>
        </w:rPr>
        <w:t xml:space="preserve"> that it does not oppose the recommendation by MARTA to exclude the ET Service Schedule from the rate adjustment for Plant Vogtle. Additionally, it state</w:t>
      </w:r>
      <w:r w:rsidR="0050551D">
        <w:rPr>
          <w:rFonts w:ascii="Times New Roman" w:eastAsia="Times New Roman" w:hAnsi="Times New Roman" w:cs="Times New Roman"/>
          <w:bCs/>
          <w:sz w:val="24"/>
          <w:szCs w:val="24"/>
        </w:rPr>
        <w:t>d</w:t>
      </w:r>
      <w:r w:rsidRPr="000D5970">
        <w:rPr>
          <w:rFonts w:ascii="Times New Roman" w:eastAsia="Times New Roman" w:hAnsi="Times New Roman" w:cs="Times New Roman"/>
          <w:bCs/>
          <w:sz w:val="24"/>
          <w:szCs w:val="24"/>
        </w:rPr>
        <w:t xml:space="preserve"> that it does not oppose the recommendation by GAM to defer the rate adjustment for Plant Vogtle Unit 3 until it can be considered with the general rate case in 2022. (SACE Brief pp. 3-4). </w:t>
      </w:r>
    </w:p>
    <w:p w14:paraId="2C5BCD84" w14:textId="77777777" w:rsidR="000D5970" w:rsidRPr="000D5970" w:rsidRDefault="000D5970" w:rsidP="00E720A1">
      <w:pPr>
        <w:keepNext/>
        <w:spacing w:after="0" w:line="240" w:lineRule="auto"/>
        <w:jc w:val="both"/>
        <w:rPr>
          <w:rFonts w:ascii="Times New Roman" w:eastAsia="Times New Roman" w:hAnsi="Times New Roman" w:cs="Times New Roman"/>
          <w:bCs/>
          <w:sz w:val="24"/>
          <w:szCs w:val="24"/>
        </w:rPr>
      </w:pPr>
    </w:p>
    <w:p w14:paraId="58E804E9" w14:textId="4F0BB516" w:rsidR="000D5970" w:rsidRPr="000D5970" w:rsidRDefault="000D5970" w:rsidP="00E720A1">
      <w:pPr>
        <w:keepNext/>
        <w:spacing w:after="0" w:line="240" w:lineRule="auto"/>
        <w:ind w:firstLine="720"/>
        <w:jc w:val="both"/>
        <w:rPr>
          <w:rFonts w:ascii="Times New Roman" w:eastAsia="Times New Roman" w:hAnsi="Times New Roman" w:cs="Times New Roman"/>
          <w:bCs/>
          <w:sz w:val="24"/>
          <w:szCs w:val="24"/>
        </w:rPr>
      </w:pPr>
      <w:r w:rsidRPr="000D5970">
        <w:rPr>
          <w:rFonts w:ascii="Times New Roman" w:eastAsia="Times New Roman" w:hAnsi="Times New Roman" w:cs="Times New Roman"/>
          <w:bCs/>
          <w:sz w:val="24"/>
          <w:szCs w:val="24"/>
        </w:rPr>
        <w:t>SACE further recommend</w:t>
      </w:r>
      <w:r w:rsidR="0050551D">
        <w:rPr>
          <w:rFonts w:ascii="Times New Roman" w:eastAsia="Times New Roman" w:hAnsi="Times New Roman" w:cs="Times New Roman"/>
          <w:bCs/>
          <w:sz w:val="24"/>
          <w:szCs w:val="24"/>
        </w:rPr>
        <w:t>ed</w:t>
      </w:r>
      <w:r w:rsidRPr="000D5970">
        <w:rPr>
          <w:rFonts w:ascii="Times New Roman" w:eastAsia="Times New Roman" w:hAnsi="Times New Roman" w:cs="Times New Roman"/>
          <w:bCs/>
          <w:sz w:val="24"/>
          <w:szCs w:val="24"/>
        </w:rPr>
        <w:t xml:space="preserve"> that the Commission exempt low-income residential customers (at or below 200% of the Federal poverty level) from any rate increase associated with Plant Vogtle, arguing that doing so is within the discretion of the Commission (Tr.223) and consistent with prior decisions (pointing to the provisions for income-qualified customers in the 2019 IRP Orders and 2019 Rate Case). (SACE Brief p. 3).</w:t>
      </w:r>
    </w:p>
    <w:p w14:paraId="5811552E" w14:textId="77777777" w:rsidR="000D5970" w:rsidRPr="000D5970" w:rsidRDefault="000D5970" w:rsidP="00E720A1">
      <w:pPr>
        <w:keepNext/>
        <w:spacing w:after="0" w:line="240" w:lineRule="auto"/>
        <w:jc w:val="both"/>
        <w:rPr>
          <w:rFonts w:ascii="Times New Roman" w:eastAsia="Times New Roman" w:hAnsi="Times New Roman" w:cs="Times New Roman"/>
          <w:bCs/>
          <w:sz w:val="24"/>
          <w:szCs w:val="24"/>
        </w:rPr>
      </w:pPr>
    </w:p>
    <w:p w14:paraId="2BFDAD30" w14:textId="76FC4832" w:rsidR="000D5970" w:rsidRPr="000D5970" w:rsidRDefault="000D5970" w:rsidP="00E720A1">
      <w:pPr>
        <w:keepNext/>
        <w:spacing w:after="0" w:line="240" w:lineRule="auto"/>
        <w:ind w:firstLine="720"/>
        <w:jc w:val="both"/>
        <w:rPr>
          <w:rFonts w:ascii="Times New Roman" w:eastAsia="Times New Roman" w:hAnsi="Times New Roman" w:cs="Times New Roman"/>
          <w:bCs/>
          <w:sz w:val="24"/>
          <w:szCs w:val="24"/>
        </w:rPr>
      </w:pPr>
      <w:r w:rsidRPr="000D5970">
        <w:rPr>
          <w:rFonts w:ascii="Times New Roman" w:eastAsia="Times New Roman" w:hAnsi="Times New Roman" w:cs="Times New Roman"/>
          <w:bCs/>
          <w:sz w:val="24"/>
          <w:szCs w:val="24"/>
        </w:rPr>
        <w:t>SA</w:t>
      </w:r>
      <w:r w:rsidR="0050551D">
        <w:rPr>
          <w:rFonts w:ascii="Times New Roman" w:eastAsia="Times New Roman" w:hAnsi="Times New Roman" w:cs="Times New Roman"/>
          <w:bCs/>
          <w:sz w:val="24"/>
          <w:szCs w:val="24"/>
        </w:rPr>
        <w:t>CE requested</w:t>
      </w:r>
      <w:r w:rsidRPr="000D5970">
        <w:rPr>
          <w:rFonts w:ascii="Times New Roman" w:eastAsia="Times New Roman" w:hAnsi="Times New Roman" w:cs="Times New Roman"/>
          <w:bCs/>
          <w:sz w:val="24"/>
          <w:szCs w:val="24"/>
        </w:rPr>
        <w:t xml:space="preserve"> that the Commission consider the historically disproportionate allocation of the NCCR rider when deciding on the allocation of rate increases, arguing that an equal allocation is not an equitable allocation. SACE point</w:t>
      </w:r>
      <w:r w:rsidR="0050551D">
        <w:rPr>
          <w:rFonts w:ascii="Times New Roman" w:eastAsia="Times New Roman" w:hAnsi="Times New Roman" w:cs="Times New Roman"/>
          <w:bCs/>
          <w:sz w:val="24"/>
          <w:szCs w:val="24"/>
        </w:rPr>
        <w:t>ed</w:t>
      </w:r>
      <w:r w:rsidRPr="000D5970">
        <w:rPr>
          <w:rFonts w:ascii="Times New Roman" w:eastAsia="Times New Roman" w:hAnsi="Times New Roman" w:cs="Times New Roman"/>
          <w:bCs/>
          <w:sz w:val="24"/>
          <w:szCs w:val="24"/>
        </w:rPr>
        <w:t xml:space="preserve"> out that the Company collected $3.5 billion via NCCR from January 2011 through December 2020, with over 47% ($1.66 billion) coming from Residential customers, 40% (1.39 billion) from Commercial customers (Georgia Power’s </w:t>
      </w:r>
      <w:r w:rsidRPr="000D5970">
        <w:rPr>
          <w:rFonts w:ascii="Times New Roman" w:eastAsia="Times New Roman" w:hAnsi="Times New Roman" w:cs="Times New Roman"/>
          <w:bCs/>
          <w:sz w:val="24"/>
          <w:szCs w:val="24"/>
        </w:rPr>
        <w:lastRenderedPageBreak/>
        <w:t xml:space="preserve">response to Staff Data Request STF-198-25-b), and only 11.5% ($401 million) from Industrial customers. (Tr.218-220). </w:t>
      </w:r>
    </w:p>
    <w:p w14:paraId="3DE9DE5C" w14:textId="77777777" w:rsidR="000D5970" w:rsidRPr="000D5970" w:rsidRDefault="000D5970" w:rsidP="00E720A1">
      <w:pPr>
        <w:keepNext/>
        <w:spacing w:after="0" w:line="240" w:lineRule="auto"/>
        <w:jc w:val="both"/>
        <w:rPr>
          <w:rFonts w:ascii="Times New Roman" w:eastAsia="Times New Roman" w:hAnsi="Times New Roman" w:cs="Times New Roman"/>
          <w:bCs/>
          <w:sz w:val="24"/>
          <w:szCs w:val="24"/>
        </w:rPr>
      </w:pPr>
    </w:p>
    <w:p w14:paraId="500433AE" w14:textId="78F460E8" w:rsidR="000D5970" w:rsidRDefault="000D5970" w:rsidP="00E720A1">
      <w:pPr>
        <w:keepNext/>
        <w:spacing w:after="0" w:line="240" w:lineRule="auto"/>
        <w:ind w:firstLine="720"/>
        <w:jc w:val="both"/>
        <w:rPr>
          <w:rFonts w:ascii="Times New Roman" w:eastAsia="Times New Roman" w:hAnsi="Times New Roman" w:cs="Times New Roman"/>
          <w:bCs/>
          <w:sz w:val="24"/>
          <w:szCs w:val="24"/>
        </w:rPr>
      </w:pPr>
      <w:r w:rsidRPr="000D5970">
        <w:rPr>
          <w:rFonts w:ascii="Times New Roman" w:eastAsia="Times New Roman" w:hAnsi="Times New Roman" w:cs="Times New Roman"/>
          <w:bCs/>
          <w:sz w:val="24"/>
          <w:szCs w:val="24"/>
        </w:rPr>
        <w:t>Finally, SACE recommend</w:t>
      </w:r>
      <w:r w:rsidR="00A2482B">
        <w:rPr>
          <w:rFonts w:ascii="Times New Roman" w:eastAsia="Times New Roman" w:hAnsi="Times New Roman" w:cs="Times New Roman"/>
          <w:bCs/>
          <w:sz w:val="24"/>
          <w:szCs w:val="24"/>
        </w:rPr>
        <w:t>ed</w:t>
      </w:r>
      <w:r w:rsidRPr="000D5970">
        <w:rPr>
          <w:rFonts w:ascii="Times New Roman" w:eastAsia="Times New Roman" w:hAnsi="Times New Roman" w:cs="Times New Roman"/>
          <w:bCs/>
          <w:sz w:val="24"/>
          <w:szCs w:val="24"/>
        </w:rPr>
        <w:t xml:space="preserve"> that the Commission validate the relevant calculations involved in adjusting the rates before approving the final tariff and rider adjustments. SACE</w:t>
      </w:r>
      <w:r w:rsidR="00A2482B">
        <w:rPr>
          <w:rFonts w:ascii="Times New Roman" w:eastAsia="Times New Roman" w:hAnsi="Times New Roman" w:cs="Times New Roman"/>
          <w:bCs/>
          <w:sz w:val="24"/>
          <w:szCs w:val="24"/>
        </w:rPr>
        <w:t xml:space="preserve"> claim</w:t>
      </w:r>
      <w:r w:rsidR="00B66E3E">
        <w:rPr>
          <w:rFonts w:ascii="Times New Roman" w:eastAsia="Times New Roman" w:hAnsi="Times New Roman" w:cs="Times New Roman"/>
          <w:bCs/>
          <w:sz w:val="24"/>
          <w:szCs w:val="24"/>
        </w:rPr>
        <w:t>ed</w:t>
      </w:r>
      <w:r w:rsidRPr="000D5970">
        <w:rPr>
          <w:rFonts w:ascii="Times New Roman" w:eastAsia="Times New Roman" w:hAnsi="Times New Roman" w:cs="Times New Roman"/>
          <w:bCs/>
          <w:sz w:val="24"/>
          <w:szCs w:val="24"/>
        </w:rPr>
        <w:t xml:space="preserve"> that neither PIA Staff nor the Company provided a “tariff expert” (Tr.212) nor a “detailed rate expert.” (Tr.215). SACE also point</w:t>
      </w:r>
      <w:r w:rsidR="00A2482B">
        <w:rPr>
          <w:rFonts w:ascii="Times New Roman" w:eastAsia="Times New Roman" w:hAnsi="Times New Roman" w:cs="Times New Roman"/>
          <w:bCs/>
          <w:sz w:val="24"/>
          <w:szCs w:val="24"/>
        </w:rPr>
        <w:t>ed</w:t>
      </w:r>
      <w:r w:rsidRPr="000D5970">
        <w:rPr>
          <w:rFonts w:ascii="Times New Roman" w:eastAsia="Times New Roman" w:hAnsi="Times New Roman" w:cs="Times New Roman"/>
          <w:bCs/>
          <w:sz w:val="24"/>
          <w:szCs w:val="24"/>
        </w:rPr>
        <w:t xml:space="preserve"> out that the Stipulation filed the day prior to the hearing invalidated the amendments in the proposed tariffs and thus it is difficult to confirm the Company’s calculations. SACE also t</w:t>
      </w:r>
      <w:r w:rsidR="00A2482B">
        <w:rPr>
          <w:rFonts w:ascii="Times New Roman" w:eastAsia="Times New Roman" w:hAnsi="Times New Roman" w:cs="Times New Roman"/>
          <w:bCs/>
          <w:sz w:val="24"/>
          <w:szCs w:val="24"/>
        </w:rPr>
        <w:t>ook</w:t>
      </w:r>
      <w:r w:rsidRPr="000D5970">
        <w:rPr>
          <w:rFonts w:ascii="Times New Roman" w:eastAsia="Times New Roman" w:hAnsi="Times New Roman" w:cs="Times New Roman"/>
          <w:bCs/>
          <w:sz w:val="24"/>
          <w:szCs w:val="24"/>
        </w:rPr>
        <w:t xml:space="preserve"> issue with the fact that Provision six of the Stipulation states that “…Georgia Power will update the Minimum Filing Requirements (“MFRs”), proposed rate adjustment, and tariffs…” because SACE believes that there will not be another opportunity for the Commission to review the tariffs. (Tr.212). In other words, SACE argue</w:t>
      </w:r>
      <w:r w:rsidR="00A2482B">
        <w:rPr>
          <w:rFonts w:ascii="Times New Roman" w:eastAsia="Times New Roman" w:hAnsi="Times New Roman" w:cs="Times New Roman"/>
          <w:bCs/>
          <w:sz w:val="24"/>
          <w:szCs w:val="24"/>
        </w:rPr>
        <w:t>d</w:t>
      </w:r>
      <w:r w:rsidRPr="000D5970">
        <w:rPr>
          <w:rFonts w:ascii="Times New Roman" w:eastAsia="Times New Roman" w:hAnsi="Times New Roman" w:cs="Times New Roman"/>
          <w:bCs/>
          <w:sz w:val="24"/>
          <w:szCs w:val="24"/>
        </w:rPr>
        <w:t xml:space="preserve"> that the “decision scheduled for November 2 will approve that math in advance” and is concerned about potential discrepancies. (SACE Brief pp. 4-5).</w:t>
      </w:r>
    </w:p>
    <w:p w14:paraId="4C3F8642" w14:textId="1A3CA775" w:rsidR="00077786" w:rsidRDefault="00077786" w:rsidP="00E720A1">
      <w:pPr>
        <w:keepNext/>
        <w:spacing w:after="0" w:line="240" w:lineRule="auto"/>
        <w:ind w:firstLine="720"/>
        <w:jc w:val="both"/>
        <w:rPr>
          <w:rFonts w:ascii="Times New Roman" w:eastAsia="Times New Roman" w:hAnsi="Times New Roman" w:cs="Times New Roman"/>
          <w:bCs/>
          <w:sz w:val="24"/>
          <w:szCs w:val="24"/>
        </w:rPr>
      </w:pPr>
    </w:p>
    <w:p w14:paraId="0FDDC784" w14:textId="3FCE1446" w:rsidR="00077786" w:rsidRPr="00077786" w:rsidRDefault="00963E4C" w:rsidP="00ED1E6E">
      <w:pPr>
        <w:spacing w:after="0" w:line="240" w:lineRule="auto"/>
        <w:ind w:firstLine="720"/>
        <w:contextualSpacing/>
        <w:jc w:val="both"/>
        <w:rPr>
          <w:rFonts w:ascii="Times New Roman" w:hAnsi="Times New Roman" w:cs="Times New Roman"/>
          <w:bCs/>
          <w:sz w:val="24"/>
          <w:szCs w:val="24"/>
        </w:rPr>
      </w:pPr>
      <w:r w:rsidRPr="005A2748">
        <w:rPr>
          <w:rFonts w:ascii="Times New Roman" w:hAnsi="Times New Roman" w:cs="Times New Roman"/>
          <w:sz w:val="24"/>
          <w:szCs w:val="24"/>
        </w:rPr>
        <w:t xml:space="preserve">The Commission </w:t>
      </w:r>
      <w:r w:rsidR="005A2748" w:rsidRPr="005A2748">
        <w:rPr>
          <w:rFonts w:ascii="Times New Roman" w:hAnsi="Times New Roman" w:cs="Times New Roman"/>
          <w:sz w:val="24"/>
          <w:szCs w:val="24"/>
        </w:rPr>
        <w:t>does not disagree that</w:t>
      </w:r>
      <w:r w:rsidR="00077786" w:rsidRPr="00077786">
        <w:rPr>
          <w:rFonts w:ascii="Times New Roman" w:hAnsi="Times New Roman" w:cs="Times New Roman"/>
          <w:bCs/>
          <w:sz w:val="24"/>
          <w:szCs w:val="24"/>
        </w:rPr>
        <w:t xml:space="preserve"> special provisions for low-income residential customers may be appropriate, </w:t>
      </w:r>
      <w:r w:rsidR="005A2748" w:rsidRPr="005A2748">
        <w:rPr>
          <w:rFonts w:ascii="Times New Roman" w:hAnsi="Times New Roman" w:cs="Times New Roman"/>
          <w:bCs/>
          <w:sz w:val="24"/>
          <w:szCs w:val="24"/>
        </w:rPr>
        <w:t xml:space="preserve">but finds that </w:t>
      </w:r>
      <w:r w:rsidR="00077786" w:rsidRPr="00077786">
        <w:rPr>
          <w:rFonts w:ascii="Times New Roman" w:hAnsi="Times New Roman" w:cs="Times New Roman"/>
          <w:bCs/>
          <w:sz w:val="24"/>
          <w:szCs w:val="24"/>
        </w:rPr>
        <w:t xml:space="preserve">such provisions are better suited for consideration during the upcoming general Rate Case where the Commission will have access to more data and can consider them in a </w:t>
      </w:r>
      <w:r w:rsidR="005A2748" w:rsidRPr="005A2748">
        <w:rPr>
          <w:rFonts w:ascii="Times New Roman" w:hAnsi="Times New Roman" w:cs="Times New Roman"/>
          <w:bCs/>
          <w:sz w:val="24"/>
          <w:szCs w:val="24"/>
        </w:rPr>
        <w:t xml:space="preserve">broader context of </w:t>
      </w:r>
      <w:r w:rsidR="00955E55">
        <w:rPr>
          <w:rFonts w:ascii="Times New Roman" w:hAnsi="Times New Roman" w:cs="Times New Roman"/>
          <w:bCs/>
          <w:sz w:val="24"/>
          <w:szCs w:val="24"/>
        </w:rPr>
        <w:t xml:space="preserve">the </w:t>
      </w:r>
      <w:r w:rsidR="009F5373">
        <w:rPr>
          <w:rFonts w:ascii="Times New Roman" w:hAnsi="Times New Roman" w:cs="Times New Roman"/>
          <w:bCs/>
          <w:sz w:val="24"/>
          <w:szCs w:val="24"/>
        </w:rPr>
        <w:t xml:space="preserve">Company’s </w:t>
      </w:r>
      <w:r w:rsidR="00955E55">
        <w:rPr>
          <w:rFonts w:ascii="Times New Roman" w:hAnsi="Times New Roman" w:cs="Times New Roman"/>
          <w:bCs/>
          <w:sz w:val="24"/>
          <w:szCs w:val="24"/>
        </w:rPr>
        <w:t xml:space="preserve">overall </w:t>
      </w:r>
      <w:r w:rsidR="005A2748" w:rsidRPr="005A2748">
        <w:rPr>
          <w:rFonts w:ascii="Times New Roman" w:hAnsi="Times New Roman" w:cs="Times New Roman"/>
          <w:bCs/>
          <w:sz w:val="24"/>
          <w:szCs w:val="24"/>
        </w:rPr>
        <w:t>rate design. T</w:t>
      </w:r>
      <w:r w:rsidR="005A2748" w:rsidRPr="00077786">
        <w:rPr>
          <w:rFonts w:ascii="Times New Roman" w:hAnsi="Times New Roman" w:cs="Times New Roman"/>
          <w:bCs/>
          <w:sz w:val="24"/>
          <w:szCs w:val="24"/>
        </w:rPr>
        <w:t>he issue</w:t>
      </w:r>
      <w:r w:rsidR="005A2748" w:rsidRPr="00077786">
        <w:rPr>
          <w:rFonts w:ascii="Times New Roman" w:eastAsia="Times New Roman" w:hAnsi="Times New Roman" w:cs="Times New Roman"/>
          <w:sz w:val="24"/>
          <w:szCs w:val="24"/>
        </w:rPr>
        <w:t xml:space="preserve"> regarding the impacts of the allocation of the NCCR rider on rate increase allocation</w:t>
      </w:r>
      <w:r w:rsidR="005A2748" w:rsidRPr="005A2748">
        <w:rPr>
          <w:rFonts w:ascii="Times New Roman" w:eastAsia="Times New Roman" w:hAnsi="Times New Roman" w:cs="Times New Roman"/>
          <w:sz w:val="24"/>
          <w:szCs w:val="24"/>
        </w:rPr>
        <w:t>s s</w:t>
      </w:r>
      <w:r w:rsidR="005A2748" w:rsidRPr="00077786">
        <w:rPr>
          <w:rFonts w:ascii="Times New Roman" w:eastAsia="Times New Roman" w:hAnsi="Times New Roman" w:cs="Times New Roman"/>
          <w:sz w:val="24"/>
          <w:szCs w:val="24"/>
        </w:rPr>
        <w:t>hould</w:t>
      </w:r>
      <w:r w:rsidR="005A2748" w:rsidRPr="005A2748">
        <w:rPr>
          <w:rFonts w:ascii="Times New Roman" w:eastAsia="Times New Roman" w:hAnsi="Times New Roman" w:cs="Times New Roman"/>
          <w:sz w:val="24"/>
          <w:szCs w:val="24"/>
        </w:rPr>
        <w:t xml:space="preserve"> likewise</w:t>
      </w:r>
      <w:r w:rsidR="005A2748" w:rsidRPr="00077786">
        <w:rPr>
          <w:rFonts w:ascii="Times New Roman" w:eastAsia="Times New Roman" w:hAnsi="Times New Roman" w:cs="Times New Roman"/>
          <w:sz w:val="24"/>
          <w:szCs w:val="24"/>
        </w:rPr>
        <w:t xml:space="preserve"> be raised by SACE in the upcoming Rate Case proceeding</w:t>
      </w:r>
      <w:r w:rsidR="005A2748" w:rsidRPr="005A2748">
        <w:rPr>
          <w:rFonts w:ascii="Times New Roman" w:eastAsia="Times New Roman" w:hAnsi="Times New Roman" w:cs="Times New Roman"/>
          <w:sz w:val="24"/>
          <w:szCs w:val="24"/>
        </w:rPr>
        <w:t>.</w:t>
      </w:r>
      <w:r w:rsidR="00077786" w:rsidRPr="00077786">
        <w:rPr>
          <w:rFonts w:ascii="Times New Roman" w:hAnsi="Times New Roman" w:cs="Times New Roman"/>
          <w:bCs/>
          <w:sz w:val="24"/>
          <w:szCs w:val="24"/>
        </w:rPr>
        <w:t xml:space="preserve"> </w:t>
      </w:r>
      <w:r w:rsidR="00313162">
        <w:rPr>
          <w:rFonts w:ascii="Times New Roman" w:hAnsi="Times New Roman" w:cs="Times New Roman"/>
          <w:bCs/>
          <w:sz w:val="24"/>
          <w:szCs w:val="24"/>
        </w:rPr>
        <w:t>T</w:t>
      </w:r>
      <w:r w:rsidR="00D50A3A">
        <w:rPr>
          <w:rFonts w:ascii="Times New Roman" w:hAnsi="Times New Roman" w:cs="Times New Roman"/>
          <w:bCs/>
          <w:sz w:val="24"/>
          <w:szCs w:val="24"/>
        </w:rPr>
        <w:t xml:space="preserve">he Commission finds and concludes that </w:t>
      </w:r>
      <w:r w:rsidR="005A2748" w:rsidRPr="005A2748">
        <w:rPr>
          <w:rFonts w:ascii="Times New Roman" w:hAnsi="Times New Roman" w:cs="Times New Roman"/>
          <w:bCs/>
          <w:sz w:val="24"/>
          <w:szCs w:val="24"/>
        </w:rPr>
        <w:t>SACE’s recommendation</w:t>
      </w:r>
      <w:r w:rsidR="00D50A3A">
        <w:rPr>
          <w:rFonts w:ascii="Times New Roman" w:hAnsi="Times New Roman" w:cs="Times New Roman"/>
          <w:bCs/>
          <w:sz w:val="24"/>
          <w:szCs w:val="24"/>
        </w:rPr>
        <w:t>s</w:t>
      </w:r>
      <w:r w:rsidR="005A2748" w:rsidRPr="005A2748">
        <w:rPr>
          <w:rFonts w:ascii="Times New Roman" w:hAnsi="Times New Roman" w:cs="Times New Roman"/>
          <w:bCs/>
          <w:sz w:val="24"/>
          <w:szCs w:val="24"/>
        </w:rPr>
        <w:t xml:space="preserve"> </w:t>
      </w:r>
      <w:r w:rsidR="00D50A3A">
        <w:rPr>
          <w:rFonts w:ascii="Times New Roman" w:hAnsi="Times New Roman" w:cs="Times New Roman"/>
          <w:bCs/>
          <w:sz w:val="24"/>
          <w:szCs w:val="24"/>
        </w:rPr>
        <w:t>are</w:t>
      </w:r>
      <w:r w:rsidR="005A2748" w:rsidRPr="005A2748">
        <w:rPr>
          <w:rFonts w:ascii="Times New Roman" w:hAnsi="Times New Roman" w:cs="Times New Roman"/>
          <w:bCs/>
          <w:sz w:val="24"/>
          <w:szCs w:val="24"/>
        </w:rPr>
        <w:t xml:space="preserve"> therefore denied.</w:t>
      </w:r>
    </w:p>
    <w:p w14:paraId="28BB99A2" w14:textId="5C73EE81" w:rsidR="005A2748" w:rsidRDefault="005A2748" w:rsidP="00077786">
      <w:pPr>
        <w:spacing w:after="0" w:line="240" w:lineRule="auto"/>
        <w:contextualSpacing/>
        <w:jc w:val="both"/>
        <w:rPr>
          <w:rFonts w:ascii="Times New Roman" w:hAnsi="Times New Roman" w:cs="Times New Roman"/>
          <w:b/>
          <w:bCs/>
          <w:color w:val="FF0000"/>
          <w:sz w:val="24"/>
          <w:szCs w:val="24"/>
        </w:rPr>
      </w:pPr>
    </w:p>
    <w:p w14:paraId="6691BF4D" w14:textId="62E14B19" w:rsidR="00C13789" w:rsidRPr="009F6FD3" w:rsidRDefault="00C13789" w:rsidP="00853BD7">
      <w:pPr>
        <w:spacing w:after="0" w:line="240" w:lineRule="auto"/>
        <w:contextualSpacing/>
        <w:jc w:val="center"/>
        <w:rPr>
          <w:rFonts w:ascii="Times New Roman" w:hAnsi="Times New Roman" w:cs="Times New Roman"/>
          <w:b/>
          <w:bCs/>
          <w:sz w:val="24"/>
          <w:szCs w:val="24"/>
        </w:rPr>
      </w:pPr>
      <w:r w:rsidRPr="009F6FD3">
        <w:rPr>
          <w:rFonts w:ascii="Times New Roman" w:hAnsi="Times New Roman" w:cs="Times New Roman"/>
          <w:b/>
          <w:bCs/>
          <w:sz w:val="24"/>
          <w:szCs w:val="24"/>
        </w:rPr>
        <w:t>6.</w:t>
      </w:r>
    </w:p>
    <w:p w14:paraId="780AE807" w14:textId="77777777" w:rsidR="00C13789" w:rsidRPr="009F6FD3" w:rsidRDefault="00C13789" w:rsidP="00077786">
      <w:pPr>
        <w:spacing w:after="0" w:line="240" w:lineRule="auto"/>
        <w:contextualSpacing/>
        <w:jc w:val="both"/>
        <w:rPr>
          <w:rFonts w:ascii="Times New Roman" w:hAnsi="Times New Roman" w:cs="Times New Roman"/>
          <w:b/>
          <w:bCs/>
          <w:sz w:val="24"/>
          <w:szCs w:val="24"/>
        </w:rPr>
      </w:pPr>
    </w:p>
    <w:p w14:paraId="743B734D" w14:textId="77777777" w:rsidR="00294E6D" w:rsidRPr="00294E6D" w:rsidRDefault="00294E6D" w:rsidP="00294E6D">
      <w:pPr>
        <w:keepNext/>
        <w:spacing w:after="0" w:line="240" w:lineRule="auto"/>
        <w:rPr>
          <w:rFonts w:ascii="Times New Roman" w:eastAsia="Times New Roman" w:hAnsi="Times New Roman" w:cs="Times New Roman"/>
          <w:b/>
          <w:bCs/>
          <w:sz w:val="24"/>
          <w:szCs w:val="24"/>
        </w:rPr>
      </w:pPr>
      <w:r w:rsidRPr="00294E6D">
        <w:rPr>
          <w:rFonts w:ascii="Times New Roman" w:eastAsia="Times New Roman" w:hAnsi="Times New Roman" w:cs="Times New Roman"/>
          <w:b/>
          <w:bCs/>
          <w:sz w:val="24"/>
          <w:szCs w:val="24"/>
        </w:rPr>
        <w:t>Concerned Ratepayers of Georgia (CRG)</w:t>
      </w:r>
    </w:p>
    <w:p w14:paraId="27C35320" w14:textId="77777777" w:rsidR="00294E6D" w:rsidRPr="00294E6D" w:rsidRDefault="00294E6D" w:rsidP="00294E6D">
      <w:pPr>
        <w:keepNext/>
        <w:spacing w:after="0" w:line="240" w:lineRule="auto"/>
        <w:rPr>
          <w:rFonts w:ascii="Times New Roman" w:eastAsia="Times New Roman" w:hAnsi="Times New Roman" w:cs="Times New Roman"/>
          <w:b/>
          <w:bCs/>
          <w:sz w:val="24"/>
          <w:szCs w:val="24"/>
        </w:rPr>
      </w:pPr>
    </w:p>
    <w:p w14:paraId="0B58B9BC" w14:textId="3F92EF2A" w:rsidR="00294E6D" w:rsidRDefault="00294E6D" w:rsidP="00E720A1">
      <w:pPr>
        <w:keepNext/>
        <w:spacing w:after="0" w:line="240" w:lineRule="auto"/>
        <w:ind w:firstLine="720"/>
        <w:jc w:val="both"/>
        <w:rPr>
          <w:rFonts w:ascii="Times New Roman" w:eastAsia="Times New Roman" w:hAnsi="Times New Roman" w:cs="Times New Roman"/>
          <w:sz w:val="24"/>
          <w:szCs w:val="24"/>
        </w:rPr>
      </w:pPr>
      <w:r w:rsidRPr="00294E6D">
        <w:rPr>
          <w:rFonts w:ascii="Times New Roman" w:eastAsia="Times New Roman" w:hAnsi="Times New Roman" w:cs="Times New Roman"/>
          <w:sz w:val="24"/>
          <w:szCs w:val="24"/>
        </w:rPr>
        <w:t>CRG provides the Commission its findings and conclusions but offers no recommendations in its brief. (CRG Brief pp. 6-7).</w:t>
      </w:r>
      <w:r w:rsidRPr="00294E6D">
        <w:rPr>
          <w:rFonts w:ascii="Times New Roman" w:eastAsia="Times New Roman" w:hAnsi="Times New Roman" w:cs="Times New Roman"/>
          <w:b/>
          <w:bCs/>
          <w:sz w:val="24"/>
          <w:szCs w:val="24"/>
        </w:rPr>
        <w:t xml:space="preserve"> </w:t>
      </w:r>
      <w:r w:rsidRPr="00294E6D">
        <w:rPr>
          <w:rFonts w:ascii="Times New Roman" w:eastAsia="Times New Roman" w:hAnsi="Times New Roman" w:cs="Times New Roman"/>
          <w:sz w:val="24"/>
          <w:szCs w:val="24"/>
        </w:rPr>
        <w:t>CRG finds and concludes that the Commission has three alternatives as it relates to this proceeding: (1) maintain the status quo and not prote</w:t>
      </w:r>
      <w:r w:rsidR="00BF033C">
        <w:rPr>
          <w:rFonts w:ascii="Times New Roman" w:eastAsia="Times New Roman" w:hAnsi="Times New Roman" w:cs="Times New Roman"/>
          <w:sz w:val="24"/>
          <w:szCs w:val="24"/>
        </w:rPr>
        <w:t>ct the public from the</w:t>
      </w:r>
      <w:r w:rsidRPr="00294E6D">
        <w:rPr>
          <w:rFonts w:ascii="Times New Roman" w:eastAsia="Times New Roman" w:hAnsi="Times New Roman" w:cs="Times New Roman"/>
          <w:sz w:val="24"/>
          <w:szCs w:val="24"/>
        </w:rPr>
        <w:t xml:space="preserve"> Company’s monopolist pricing policies; (2) discontinue future hearings if the Commission is “…intent upon entering into exclusion arrangements between the Company and its regulators</w:t>
      </w:r>
      <w:r w:rsidR="002E7942">
        <w:rPr>
          <w:rFonts w:ascii="Times New Roman" w:eastAsia="Times New Roman" w:hAnsi="Times New Roman" w:cs="Times New Roman"/>
          <w:sz w:val="24"/>
          <w:szCs w:val="24"/>
        </w:rPr>
        <w:t>”</w:t>
      </w:r>
      <w:r w:rsidRPr="00294E6D">
        <w:rPr>
          <w:rFonts w:ascii="Times New Roman" w:eastAsia="Times New Roman" w:hAnsi="Times New Roman" w:cs="Times New Roman"/>
          <w:sz w:val="24"/>
          <w:szCs w:val="24"/>
        </w:rPr>
        <w:t>; and (3) “The Commission can start to do the right thing and protect the public from these massive and unjustified rate increases.”</w:t>
      </w:r>
      <w:r w:rsidR="008810EA">
        <w:rPr>
          <w:rFonts w:ascii="Times New Roman" w:eastAsia="Times New Roman" w:hAnsi="Times New Roman" w:cs="Times New Roman"/>
          <w:sz w:val="24"/>
          <w:szCs w:val="24"/>
        </w:rPr>
        <w:t xml:space="preserve"> (Id.).</w:t>
      </w:r>
    </w:p>
    <w:p w14:paraId="65DA233B" w14:textId="77777777" w:rsidR="00077786" w:rsidRDefault="00077786" w:rsidP="00E720A1">
      <w:pPr>
        <w:keepNext/>
        <w:spacing w:after="0" w:line="240" w:lineRule="auto"/>
        <w:ind w:firstLine="720"/>
        <w:jc w:val="both"/>
        <w:rPr>
          <w:rFonts w:ascii="Times New Roman" w:eastAsia="Times New Roman" w:hAnsi="Times New Roman" w:cs="Times New Roman"/>
          <w:sz w:val="24"/>
          <w:szCs w:val="24"/>
        </w:rPr>
      </w:pPr>
    </w:p>
    <w:p w14:paraId="5034DF3B" w14:textId="3BE455AF" w:rsidR="00171BDD" w:rsidRDefault="005A2748" w:rsidP="0092696A">
      <w:pPr>
        <w:keepNext/>
        <w:spacing w:after="0" w:line="240" w:lineRule="auto"/>
        <w:ind w:firstLine="720"/>
        <w:jc w:val="both"/>
        <w:rPr>
          <w:rFonts w:ascii="Times New Roman" w:hAnsi="Times New Roman" w:cs="Times New Roman"/>
          <w:bCs/>
          <w:sz w:val="24"/>
          <w:szCs w:val="24"/>
        </w:rPr>
      </w:pPr>
      <w:r w:rsidRPr="00FF6439">
        <w:rPr>
          <w:rFonts w:ascii="Times New Roman" w:hAnsi="Times New Roman" w:cs="Times New Roman"/>
          <w:bCs/>
          <w:sz w:val="24"/>
          <w:szCs w:val="24"/>
        </w:rPr>
        <w:t xml:space="preserve">The Commission </w:t>
      </w:r>
      <w:r w:rsidR="0092696A">
        <w:rPr>
          <w:rFonts w:ascii="Times New Roman" w:hAnsi="Times New Roman" w:cs="Times New Roman"/>
          <w:bCs/>
          <w:sz w:val="24"/>
          <w:szCs w:val="24"/>
        </w:rPr>
        <w:t>finds and concludes</w:t>
      </w:r>
      <w:r w:rsidRPr="00FF6439">
        <w:rPr>
          <w:rFonts w:ascii="Times New Roman" w:hAnsi="Times New Roman" w:cs="Times New Roman"/>
          <w:bCs/>
          <w:sz w:val="24"/>
          <w:szCs w:val="24"/>
        </w:rPr>
        <w:t xml:space="preserve"> that CRG’s </w:t>
      </w:r>
      <w:r w:rsidR="0070790F">
        <w:rPr>
          <w:rFonts w:ascii="Times New Roman" w:hAnsi="Times New Roman" w:cs="Times New Roman"/>
          <w:bCs/>
          <w:sz w:val="24"/>
          <w:szCs w:val="24"/>
        </w:rPr>
        <w:t>opinions</w:t>
      </w:r>
      <w:r w:rsidR="0070790F" w:rsidRPr="00FF6439">
        <w:rPr>
          <w:rFonts w:ascii="Times New Roman" w:hAnsi="Times New Roman" w:cs="Times New Roman"/>
          <w:bCs/>
          <w:sz w:val="24"/>
          <w:szCs w:val="24"/>
        </w:rPr>
        <w:t xml:space="preserve"> </w:t>
      </w:r>
      <w:r w:rsidRPr="00FF6439">
        <w:rPr>
          <w:rFonts w:ascii="Times New Roman" w:hAnsi="Times New Roman" w:cs="Times New Roman"/>
          <w:bCs/>
          <w:sz w:val="24"/>
          <w:szCs w:val="24"/>
        </w:rPr>
        <w:t xml:space="preserve">are based on an inaccurate understanding of the Commission’s </w:t>
      </w:r>
      <w:r w:rsidR="00FF6439" w:rsidRPr="00FF6439">
        <w:rPr>
          <w:rFonts w:ascii="Times New Roman" w:hAnsi="Times New Roman" w:cs="Times New Roman"/>
          <w:bCs/>
          <w:sz w:val="24"/>
          <w:szCs w:val="24"/>
        </w:rPr>
        <w:t>procedures</w:t>
      </w:r>
      <w:r w:rsidRPr="00FF6439">
        <w:rPr>
          <w:rFonts w:ascii="Times New Roman" w:hAnsi="Times New Roman" w:cs="Times New Roman"/>
          <w:bCs/>
          <w:sz w:val="24"/>
          <w:szCs w:val="24"/>
        </w:rPr>
        <w:t xml:space="preserve"> as well as</w:t>
      </w:r>
      <w:r w:rsidR="002965CB">
        <w:rPr>
          <w:rFonts w:ascii="Times New Roman" w:hAnsi="Times New Roman" w:cs="Times New Roman"/>
          <w:bCs/>
          <w:sz w:val="24"/>
          <w:szCs w:val="24"/>
        </w:rPr>
        <w:t xml:space="preserve"> its</w:t>
      </w:r>
      <w:r w:rsidRPr="00FF6439">
        <w:rPr>
          <w:rFonts w:ascii="Times New Roman" w:hAnsi="Times New Roman" w:cs="Times New Roman"/>
          <w:bCs/>
          <w:sz w:val="24"/>
          <w:szCs w:val="24"/>
        </w:rPr>
        <w:t xml:space="preserve"> </w:t>
      </w:r>
      <w:r w:rsidR="0092696A">
        <w:rPr>
          <w:rFonts w:ascii="Times New Roman" w:hAnsi="Times New Roman" w:cs="Times New Roman"/>
          <w:bCs/>
          <w:sz w:val="24"/>
          <w:szCs w:val="24"/>
        </w:rPr>
        <w:t>purpose as a</w:t>
      </w:r>
      <w:r w:rsidR="002965CB">
        <w:rPr>
          <w:rFonts w:ascii="Times New Roman" w:hAnsi="Times New Roman" w:cs="Times New Roman"/>
          <w:bCs/>
          <w:sz w:val="24"/>
          <w:szCs w:val="24"/>
        </w:rPr>
        <w:t xml:space="preserve"> constitutional</w:t>
      </w:r>
      <w:r w:rsidR="0092696A">
        <w:rPr>
          <w:rFonts w:ascii="Times New Roman" w:hAnsi="Times New Roman" w:cs="Times New Roman"/>
          <w:bCs/>
          <w:sz w:val="24"/>
          <w:szCs w:val="24"/>
        </w:rPr>
        <w:t xml:space="preserve"> regulatory </w:t>
      </w:r>
      <w:r w:rsidR="0092696A">
        <w:rPr>
          <w:rFonts w:ascii="Times New Roman" w:hAnsi="Times New Roman" w:cs="Times New Roman"/>
          <w:bCs/>
          <w:sz w:val="24"/>
          <w:szCs w:val="24"/>
        </w:rPr>
        <w:lastRenderedPageBreak/>
        <w:t>body</w:t>
      </w:r>
      <w:r w:rsidR="00FF6439" w:rsidRPr="00FF6439">
        <w:rPr>
          <w:rFonts w:ascii="Times New Roman" w:hAnsi="Times New Roman" w:cs="Times New Roman"/>
          <w:bCs/>
          <w:sz w:val="24"/>
          <w:szCs w:val="24"/>
        </w:rPr>
        <w:t xml:space="preserve">. Having offered no relevant recommendations within the scope of this Docket, the Commission finds no </w:t>
      </w:r>
      <w:r w:rsidR="00CE7823">
        <w:rPr>
          <w:rFonts w:ascii="Times New Roman" w:hAnsi="Times New Roman" w:cs="Times New Roman"/>
          <w:bCs/>
          <w:sz w:val="24"/>
          <w:szCs w:val="24"/>
        </w:rPr>
        <w:t>sound</w:t>
      </w:r>
      <w:r w:rsidR="00FF6439" w:rsidRPr="00FF6439">
        <w:rPr>
          <w:rFonts w:ascii="Times New Roman" w:hAnsi="Times New Roman" w:cs="Times New Roman"/>
          <w:bCs/>
          <w:sz w:val="24"/>
          <w:szCs w:val="24"/>
        </w:rPr>
        <w:t xml:space="preserve"> recommendation in CRG’s brie</w:t>
      </w:r>
      <w:r w:rsidR="002965CB">
        <w:rPr>
          <w:rFonts w:ascii="Times New Roman" w:hAnsi="Times New Roman" w:cs="Times New Roman"/>
          <w:bCs/>
          <w:sz w:val="24"/>
          <w:szCs w:val="24"/>
        </w:rPr>
        <w:t>f upon which to act</w:t>
      </w:r>
      <w:r w:rsidR="00CE7823">
        <w:rPr>
          <w:rFonts w:ascii="Times New Roman" w:hAnsi="Times New Roman" w:cs="Times New Roman"/>
          <w:bCs/>
          <w:sz w:val="24"/>
          <w:szCs w:val="24"/>
        </w:rPr>
        <w:t>.</w:t>
      </w:r>
    </w:p>
    <w:p w14:paraId="3FF60F12" w14:textId="5DACEE5E" w:rsidR="00EA48F0" w:rsidRDefault="00EA48F0" w:rsidP="0092696A">
      <w:pPr>
        <w:keepNext/>
        <w:spacing w:after="0" w:line="240" w:lineRule="auto"/>
        <w:ind w:firstLine="720"/>
        <w:jc w:val="both"/>
        <w:rPr>
          <w:rFonts w:ascii="Times New Roman" w:hAnsi="Times New Roman" w:cs="Times New Roman"/>
          <w:bCs/>
          <w:sz w:val="24"/>
          <w:szCs w:val="24"/>
        </w:rPr>
      </w:pPr>
    </w:p>
    <w:p w14:paraId="4E417B44" w14:textId="6E59E277" w:rsidR="00EA48F0" w:rsidRPr="00853BD7" w:rsidRDefault="00EA48F0" w:rsidP="00853BD7">
      <w:pPr>
        <w:keepNext/>
        <w:spacing w:after="0" w:line="240" w:lineRule="auto"/>
        <w:jc w:val="center"/>
        <w:rPr>
          <w:rFonts w:ascii="Times New Roman" w:hAnsi="Times New Roman" w:cs="Times New Roman"/>
          <w:b/>
          <w:sz w:val="24"/>
          <w:szCs w:val="24"/>
        </w:rPr>
      </w:pPr>
      <w:r w:rsidRPr="00853BD7">
        <w:rPr>
          <w:rFonts w:ascii="Times New Roman" w:hAnsi="Times New Roman" w:cs="Times New Roman"/>
          <w:b/>
          <w:sz w:val="24"/>
          <w:szCs w:val="24"/>
        </w:rPr>
        <w:t>7.</w:t>
      </w:r>
    </w:p>
    <w:p w14:paraId="08C5B0FD" w14:textId="77777777" w:rsidR="00FF6439" w:rsidRDefault="00FF6439" w:rsidP="00171BDD">
      <w:pPr>
        <w:keepNext/>
        <w:spacing w:after="0" w:line="240" w:lineRule="auto"/>
        <w:rPr>
          <w:rFonts w:ascii="Times New Roman" w:eastAsia="Times New Roman" w:hAnsi="Times New Roman" w:cs="Times New Roman"/>
          <w:sz w:val="24"/>
          <w:szCs w:val="24"/>
          <w:lang w:val="en"/>
        </w:rPr>
      </w:pPr>
    </w:p>
    <w:p w14:paraId="1764CAC1" w14:textId="77777777" w:rsidR="009C7130" w:rsidRPr="009C7130" w:rsidRDefault="009C7130" w:rsidP="009C7130">
      <w:pPr>
        <w:keepNext/>
        <w:spacing w:after="0" w:line="240" w:lineRule="auto"/>
        <w:rPr>
          <w:rFonts w:ascii="Times New Roman" w:eastAsia="Times New Roman" w:hAnsi="Times New Roman" w:cs="Times New Roman"/>
          <w:b/>
          <w:bCs/>
          <w:sz w:val="24"/>
          <w:szCs w:val="24"/>
        </w:rPr>
      </w:pPr>
      <w:r w:rsidRPr="009C7130">
        <w:rPr>
          <w:rFonts w:ascii="Times New Roman" w:eastAsia="Times New Roman" w:hAnsi="Times New Roman" w:cs="Times New Roman"/>
          <w:b/>
          <w:bCs/>
          <w:sz w:val="24"/>
          <w:szCs w:val="24"/>
        </w:rPr>
        <w:t>Resource Supply Management (RSM)</w:t>
      </w:r>
    </w:p>
    <w:p w14:paraId="10C30C4F" w14:textId="77777777" w:rsidR="009C7130" w:rsidRPr="009C7130" w:rsidRDefault="009C7130" w:rsidP="009C7130">
      <w:pPr>
        <w:keepNext/>
        <w:spacing w:after="0" w:line="240" w:lineRule="auto"/>
        <w:rPr>
          <w:rFonts w:ascii="Times New Roman" w:eastAsia="Times New Roman" w:hAnsi="Times New Roman" w:cs="Times New Roman"/>
          <w:sz w:val="24"/>
          <w:szCs w:val="24"/>
        </w:rPr>
      </w:pPr>
    </w:p>
    <w:p w14:paraId="331B6DCC" w14:textId="07040648" w:rsidR="009C7130" w:rsidRPr="009C7130" w:rsidRDefault="009C7130" w:rsidP="00124901">
      <w:pPr>
        <w:keepNext/>
        <w:spacing w:after="0" w:line="240" w:lineRule="auto"/>
        <w:ind w:firstLine="720"/>
        <w:jc w:val="both"/>
        <w:rPr>
          <w:rFonts w:ascii="Times New Roman" w:eastAsia="Times New Roman" w:hAnsi="Times New Roman" w:cs="Times New Roman"/>
          <w:sz w:val="24"/>
          <w:szCs w:val="24"/>
        </w:rPr>
      </w:pPr>
      <w:r w:rsidRPr="009C7130">
        <w:rPr>
          <w:rFonts w:ascii="Times New Roman" w:eastAsia="Times New Roman" w:hAnsi="Times New Roman" w:cs="Times New Roman"/>
          <w:sz w:val="24"/>
          <w:szCs w:val="24"/>
        </w:rPr>
        <w:t>RSM present</w:t>
      </w:r>
      <w:r w:rsidR="00124901">
        <w:rPr>
          <w:rFonts w:ascii="Times New Roman" w:eastAsia="Times New Roman" w:hAnsi="Times New Roman" w:cs="Times New Roman"/>
          <w:sz w:val="24"/>
          <w:szCs w:val="24"/>
        </w:rPr>
        <w:t>ed</w:t>
      </w:r>
      <w:r w:rsidRPr="009C7130">
        <w:rPr>
          <w:rFonts w:ascii="Times New Roman" w:eastAsia="Times New Roman" w:hAnsi="Times New Roman" w:cs="Times New Roman"/>
          <w:sz w:val="24"/>
          <w:szCs w:val="24"/>
        </w:rPr>
        <w:t xml:space="preserve"> a </w:t>
      </w:r>
      <w:bookmarkStart w:id="4" w:name="_Hlk86072965"/>
      <w:r w:rsidRPr="009C7130">
        <w:rPr>
          <w:rFonts w:ascii="Times New Roman" w:eastAsia="Times New Roman" w:hAnsi="Times New Roman" w:cs="Times New Roman"/>
          <w:sz w:val="24"/>
          <w:szCs w:val="24"/>
        </w:rPr>
        <w:t>list of ways the Commission c</w:t>
      </w:r>
      <w:r w:rsidR="00124901">
        <w:rPr>
          <w:rFonts w:ascii="Times New Roman" w:eastAsia="Times New Roman" w:hAnsi="Times New Roman" w:cs="Times New Roman"/>
          <w:sz w:val="24"/>
          <w:szCs w:val="24"/>
        </w:rPr>
        <w:t>ould</w:t>
      </w:r>
      <w:r w:rsidRPr="009C7130">
        <w:rPr>
          <w:rFonts w:ascii="Times New Roman" w:eastAsia="Times New Roman" w:hAnsi="Times New Roman" w:cs="Times New Roman"/>
          <w:sz w:val="24"/>
          <w:szCs w:val="24"/>
        </w:rPr>
        <w:t xml:space="preserve"> provide relief to ratepayers </w:t>
      </w:r>
      <w:bookmarkEnd w:id="4"/>
      <w:r w:rsidRPr="009C7130">
        <w:rPr>
          <w:rFonts w:ascii="Times New Roman" w:eastAsia="Times New Roman" w:hAnsi="Times New Roman" w:cs="Times New Roman"/>
          <w:sz w:val="24"/>
          <w:szCs w:val="24"/>
        </w:rPr>
        <w:t xml:space="preserve">which include matters concerning cross-subsidy from small businesses to residential customers, favoritism of renewable generation and electric vehicles, income taxes, natural gas hedging, Demand Side Measures programs, and enhancing customer demand response. (RSM Brief pp. 1-3).  </w:t>
      </w:r>
    </w:p>
    <w:p w14:paraId="3E50088C" w14:textId="1C4A7A7F" w:rsidR="009C7130" w:rsidRDefault="009C7130" w:rsidP="005B704D">
      <w:pPr>
        <w:keepNext/>
        <w:spacing w:after="0" w:line="240" w:lineRule="auto"/>
        <w:ind w:firstLine="720"/>
        <w:jc w:val="both"/>
        <w:rPr>
          <w:rFonts w:ascii="Times New Roman" w:eastAsia="Times New Roman" w:hAnsi="Times New Roman" w:cs="Times New Roman"/>
          <w:sz w:val="24"/>
          <w:szCs w:val="24"/>
        </w:rPr>
      </w:pPr>
      <w:r w:rsidRPr="009C7130">
        <w:rPr>
          <w:rFonts w:ascii="Times New Roman" w:eastAsia="Times New Roman" w:hAnsi="Times New Roman" w:cs="Times New Roman"/>
          <w:sz w:val="24"/>
          <w:szCs w:val="24"/>
        </w:rPr>
        <w:t>As it relates to issues specific to this case, RSM recommend</w:t>
      </w:r>
      <w:r w:rsidR="00124901">
        <w:rPr>
          <w:rFonts w:ascii="Times New Roman" w:eastAsia="Times New Roman" w:hAnsi="Times New Roman" w:cs="Times New Roman"/>
          <w:sz w:val="24"/>
          <w:szCs w:val="24"/>
        </w:rPr>
        <w:t>ed</w:t>
      </w:r>
      <w:r w:rsidRPr="009C7130">
        <w:rPr>
          <w:rFonts w:ascii="Times New Roman" w:eastAsia="Times New Roman" w:hAnsi="Times New Roman" w:cs="Times New Roman"/>
          <w:sz w:val="24"/>
          <w:szCs w:val="24"/>
        </w:rPr>
        <w:t xml:space="preserve"> that the Commission “…defer much of the cost recovery to the next planned rate case when a cost-of-service study can show any overearnings to offset the current revenues needs.” (RSM Brief p. 3). </w:t>
      </w:r>
    </w:p>
    <w:p w14:paraId="1F64A9BE" w14:textId="77777777" w:rsidR="00077786" w:rsidRDefault="00077786" w:rsidP="00E720A1">
      <w:pPr>
        <w:keepNext/>
        <w:spacing w:after="0" w:line="240" w:lineRule="auto"/>
        <w:jc w:val="both"/>
        <w:rPr>
          <w:rFonts w:ascii="Times New Roman" w:eastAsia="Times New Roman" w:hAnsi="Times New Roman" w:cs="Times New Roman"/>
          <w:sz w:val="24"/>
          <w:szCs w:val="24"/>
        </w:rPr>
      </w:pPr>
    </w:p>
    <w:p w14:paraId="4FAE7FCC" w14:textId="1D0317DE" w:rsidR="006637E3" w:rsidRPr="00885FA1" w:rsidRDefault="00FF6439" w:rsidP="00885FA1">
      <w:pPr>
        <w:spacing w:after="0" w:line="240" w:lineRule="auto"/>
        <w:ind w:firstLine="720"/>
        <w:contextualSpacing/>
        <w:rPr>
          <w:rFonts w:ascii="Times New Roman" w:hAnsi="Times New Roman" w:cs="Times New Roman"/>
          <w:sz w:val="24"/>
          <w:szCs w:val="24"/>
        </w:rPr>
      </w:pPr>
      <w:r w:rsidRPr="00FF6439">
        <w:rPr>
          <w:rFonts w:ascii="Times New Roman" w:hAnsi="Times New Roman" w:cs="Times New Roman"/>
          <w:bCs/>
          <w:sz w:val="24"/>
          <w:szCs w:val="24"/>
        </w:rPr>
        <w:t>The Commission finds that</w:t>
      </w:r>
      <w:r w:rsidR="00077786" w:rsidRPr="00077786">
        <w:rPr>
          <w:rFonts w:ascii="Times New Roman" w:eastAsia="Times New Roman" w:hAnsi="Times New Roman" w:cs="Times New Roman"/>
          <w:sz w:val="24"/>
          <w:szCs w:val="24"/>
        </w:rPr>
        <w:t xml:space="preserve"> RSM’s </w:t>
      </w:r>
      <w:r w:rsidRPr="00FF6439">
        <w:rPr>
          <w:rFonts w:ascii="Times New Roman" w:eastAsia="Times New Roman" w:hAnsi="Times New Roman" w:cs="Times New Roman"/>
          <w:sz w:val="24"/>
          <w:szCs w:val="24"/>
        </w:rPr>
        <w:t xml:space="preserve">list of possible methods to </w:t>
      </w:r>
      <w:r w:rsidR="00077786" w:rsidRPr="00077786">
        <w:rPr>
          <w:rFonts w:ascii="Times New Roman" w:eastAsia="Times New Roman" w:hAnsi="Times New Roman" w:cs="Times New Roman"/>
          <w:sz w:val="24"/>
          <w:szCs w:val="24"/>
        </w:rPr>
        <w:t xml:space="preserve">provide relief to ratepayers has implications </w:t>
      </w:r>
      <w:r w:rsidRPr="00FF6439">
        <w:rPr>
          <w:rFonts w:ascii="Times New Roman" w:eastAsia="Times New Roman" w:hAnsi="Times New Roman" w:cs="Times New Roman"/>
          <w:sz w:val="24"/>
          <w:szCs w:val="24"/>
        </w:rPr>
        <w:t>that extend outside the scope of</w:t>
      </w:r>
      <w:bookmarkStart w:id="5" w:name="_Hlk86064985"/>
      <w:r w:rsidRPr="00FF6439">
        <w:rPr>
          <w:rFonts w:ascii="Times New Roman" w:eastAsia="Times New Roman" w:hAnsi="Times New Roman" w:cs="Times New Roman"/>
          <w:sz w:val="24"/>
          <w:szCs w:val="24"/>
        </w:rPr>
        <w:t xml:space="preserve"> this proceeding. It is therefore more appropriate for RSM to raise its concerns during the Company’s upcoming</w:t>
      </w:r>
      <w:r w:rsidR="005B704D">
        <w:rPr>
          <w:rFonts w:ascii="Times New Roman" w:eastAsia="Times New Roman" w:hAnsi="Times New Roman" w:cs="Times New Roman"/>
          <w:sz w:val="24"/>
          <w:szCs w:val="24"/>
        </w:rPr>
        <w:t xml:space="preserve"> Rate</w:t>
      </w:r>
      <w:r w:rsidRPr="00FF6439">
        <w:rPr>
          <w:rFonts w:ascii="Times New Roman" w:eastAsia="Times New Roman" w:hAnsi="Times New Roman" w:cs="Times New Roman"/>
          <w:sz w:val="24"/>
          <w:szCs w:val="24"/>
        </w:rPr>
        <w:t xml:space="preserve"> </w:t>
      </w:r>
      <w:r w:rsidR="005B704D">
        <w:rPr>
          <w:rFonts w:ascii="Times New Roman" w:eastAsia="Times New Roman" w:hAnsi="Times New Roman" w:cs="Times New Roman"/>
          <w:sz w:val="24"/>
          <w:szCs w:val="24"/>
        </w:rPr>
        <w:t>C</w:t>
      </w:r>
      <w:r w:rsidR="00077786" w:rsidRPr="00077786">
        <w:rPr>
          <w:rFonts w:ascii="Times New Roman" w:eastAsia="Times New Roman" w:hAnsi="Times New Roman" w:cs="Times New Roman"/>
          <w:sz w:val="24"/>
          <w:szCs w:val="24"/>
        </w:rPr>
        <w:t xml:space="preserve">ase </w:t>
      </w:r>
      <w:bookmarkEnd w:id="5"/>
      <w:r w:rsidR="00077786" w:rsidRPr="00077786">
        <w:rPr>
          <w:rFonts w:ascii="Times New Roman" w:eastAsia="Times New Roman" w:hAnsi="Times New Roman" w:cs="Times New Roman"/>
          <w:sz w:val="24"/>
          <w:szCs w:val="24"/>
        </w:rPr>
        <w:t xml:space="preserve">or its Integrated Resource Plan proceeding. </w:t>
      </w:r>
      <w:r w:rsidRPr="00FF6439">
        <w:rPr>
          <w:rFonts w:ascii="Times New Roman" w:eastAsia="Times New Roman" w:hAnsi="Times New Roman" w:cs="Times New Roman"/>
          <w:sz w:val="24"/>
          <w:szCs w:val="24"/>
        </w:rPr>
        <w:t xml:space="preserve">Further, the Commission denies </w:t>
      </w:r>
      <w:r w:rsidR="00077786" w:rsidRPr="00077786">
        <w:rPr>
          <w:rFonts w:ascii="Times New Roman" w:eastAsia="Times New Roman" w:hAnsi="Times New Roman" w:cs="Times New Roman"/>
          <w:sz w:val="24"/>
          <w:szCs w:val="24"/>
        </w:rPr>
        <w:t xml:space="preserve">RSM’s recommendation that the cost recovery for Unit 3 be deferred until the next </w:t>
      </w:r>
      <w:r w:rsidR="00EE6E83">
        <w:rPr>
          <w:rFonts w:ascii="Times New Roman" w:eastAsia="Times New Roman" w:hAnsi="Times New Roman" w:cs="Times New Roman"/>
          <w:sz w:val="24"/>
          <w:szCs w:val="24"/>
        </w:rPr>
        <w:t>R</w:t>
      </w:r>
      <w:r w:rsidR="00077786" w:rsidRPr="00077786">
        <w:rPr>
          <w:rFonts w:ascii="Times New Roman" w:eastAsia="Times New Roman" w:hAnsi="Times New Roman" w:cs="Times New Roman"/>
          <w:sz w:val="24"/>
          <w:szCs w:val="24"/>
        </w:rPr>
        <w:t xml:space="preserve">ate </w:t>
      </w:r>
      <w:r w:rsidR="00EE6E83">
        <w:rPr>
          <w:rFonts w:ascii="Times New Roman" w:eastAsia="Times New Roman" w:hAnsi="Times New Roman" w:cs="Times New Roman"/>
          <w:sz w:val="24"/>
          <w:szCs w:val="24"/>
        </w:rPr>
        <w:t>C</w:t>
      </w:r>
      <w:r w:rsidR="00077786" w:rsidRPr="00077786">
        <w:rPr>
          <w:rFonts w:ascii="Times New Roman" w:eastAsia="Times New Roman" w:hAnsi="Times New Roman" w:cs="Times New Roman"/>
          <w:sz w:val="24"/>
          <w:szCs w:val="24"/>
        </w:rPr>
        <w:t xml:space="preserve">ase, </w:t>
      </w:r>
      <w:r w:rsidR="002C391C">
        <w:rPr>
          <w:rFonts w:ascii="Times New Roman" w:hAnsi="Times New Roman" w:cs="Times New Roman"/>
          <w:sz w:val="24"/>
          <w:szCs w:val="24"/>
        </w:rPr>
        <w:t>because, as previously noted, it would run contrary to provisions of the 17</w:t>
      </w:r>
      <w:r w:rsidR="002C391C" w:rsidRPr="002C391C">
        <w:rPr>
          <w:rFonts w:ascii="Times New Roman" w:hAnsi="Times New Roman" w:cs="Times New Roman"/>
          <w:sz w:val="24"/>
          <w:szCs w:val="24"/>
          <w:vertAlign w:val="superscript"/>
        </w:rPr>
        <w:t>th</w:t>
      </w:r>
      <w:r w:rsidR="002C391C">
        <w:rPr>
          <w:rFonts w:ascii="Times New Roman" w:hAnsi="Times New Roman" w:cs="Times New Roman"/>
          <w:sz w:val="24"/>
          <w:szCs w:val="24"/>
        </w:rPr>
        <w:t xml:space="preserve"> </w:t>
      </w:r>
      <w:r w:rsidR="00D171AA">
        <w:rPr>
          <w:rFonts w:ascii="Times New Roman" w:hAnsi="Times New Roman" w:cs="Times New Roman"/>
          <w:sz w:val="24"/>
          <w:szCs w:val="24"/>
        </w:rPr>
        <w:t xml:space="preserve">VCM Order. </w:t>
      </w:r>
    </w:p>
    <w:p w14:paraId="243C7A12" w14:textId="67AAC2E1" w:rsidR="002B64B4" w:rsidRDefault="002B64B4" w:rsidP="00940E36">
      <w:pPr>
        <w:keepNext/>
        <w:spacing w:after="0" w:line="240" w:lineRule="auto"/>
        <w:jc w:val="center"/>
        <w:rPr>
          <w:rFonts w:ascii="Times New Roman" w:eastAsia="Times New Roman" w:hAnsi="Times New Roman" w:cs="Times New Roman"/>
          <w:b/>
          <w:sz w:val="24"/>
          <w:szCs w:val="24"/>
          <w:u w:val="single"/>
        </w:rPr>
      </w:pPr>
      <w:r w:rsidRPr="002B64B4">
        <w:rPr>
          <w:rFonts w:ascii="Times New Roman" w:eastAsia="Times New Roman" w:hAnsi="Times New Roman" w:cs="Times New Roman"/>
          <w:b/>
          <w:sz w:val="24"/>
          <w:szCs w:val="24"/>
          <w:u w:val="single"/>
        </w:rPr>
        <w:lastRenderedPageBreak/>
        <w:t>ORDERING PARAGRAPHS</w:t>
      </w:r>
    </w:p>
    <w:p w14:paraId="3F23D7DC" w14:textId="77777777" w:rsidR="00940E36" w:rsidRPr="002B64B4" w:rsidRDefault="00940E36" w:rsidP="00940E36">
      <w:pPr>
        <w:keepNext/>
        <w:spacing w:after="0" w:line="240" w:lineRule="auto"/>
        <w:jc w:val="center"/>
        <w:rPr>
          <w:rFonts w:ascii="Times New Roman" w:eastAsia="Times New Roman" w:hAnsi="Times New Roman" w:cs="Times New Roman"/>
          <w:b/>
          <w:sz w:val="24"/>
          <w:szCs w:val="24"/>
          <w:u w:val="single"/>
        </w:rPr>
      </w:pPr>
    </w:p>
    <w:p w14:paraId="5D1CEC29" w14:textId="77777777" w:rsidR="002B64B4" w:rsidRPr="002B64B4" w:rsidRDefault="002B64B4" w:rsidP="00940E36">
      <w:pPr>
        <w:keepNext/>
        <w:spacing w:after="0" w:line="240" w:lineRule="auto"/>
        <w:jc w:val="center"/>
        <w:rPr>
          <w:rFonts w:ascii="Times New Roman" w:eastAsia="Times New Roman" w:hAnsi="Times New Roman" w:cs="Times New Roman"/>
          <w:b/>
          <w:sz w:val="24"/>
          <w:szCs w:val="24"/>
        </w:rPr>
      </w:pPr>
    </w:p>
    <w:p w14:paraId="399CC78C" w14:textId="08D89744" w:rsidR="002B64B4" w:rsidRPr="002B64B4" w:rsidRDefault="002B64B4" w:rsidP="002B64B4">
      <w:pPr>
        <w:keepNext/>
        <w:spacing w:after="0" w:line="240" w:lineRule="auto"/>
        <w:rPr>
          <w:rFonts w:ascii="Times New Roman" w:eastAsia="Times New Roman" w:hAnsi="Times New Roman" w:cs="Times New Roman"/>
          <w:sz w:val="24"/>
          <w:szCs w:val="24"/>
        </w:rPr>
      </w:pPr>
      <w:r w:rsidRPr="002B64B4">
        <w:rPr>
          <w:rFonts w:ascii="Times New Roman" w:eastAsia="Times New Roman" w:hAnsi="Times New Roman" w:cs="Times New Roman"/>
          <w:b/>
          <w:sz w:val="24"/>
          <w:szCs w:val="24"/>
        </w:rPr>
        <w:t xml:space="preserve">WHEREFORE IT IS ORDERED, </w:t>
      </w:r>
      <w:r w:rsidR="00E54243" w:rsidRPr="00E54243">
        <w:rPr>
          <w:rFonts w:ascii="Times New Roman" w:eastAsia="Times New Roman" w:hAnsi="Times New Roman" w:cs="Times New Roman"/>
          <w:sz w:val="24"/>
          <w:szCs w:val="24"/>
        </w:rPr>
        <w:t>that the Commission ad</w:t>
      </w:r>
      <w:r w:rsidR="00E54243">
        <w:rPr>
          <w:rFonts w:ascii="Times New Roman" w:eastAsia="Times New Roman" w:hAnsi="Times New Roman" w:cs="Times New Roman"/>
          <w:sz w:val="24"/>
          <w:szCs w:val="24"/>
        </w:rPr>
        <w:t xml:space="preserve">opts </w:t>
      </w:r>
      <w:r w:rsidR="007E3AFC">
        <w:rPr>
          <w:rFonts w:ascii="Times New Roman" w:eastAsia="Times New Roman" w:hAnsi="Times New Roman" w:cs="Times New Roman"/>
          <w:sz w:val="24"/>
          <w:szCs w:val="24"/>
        </w:rPr>
        <w:t>the attached</w:t>
      </w:r>
      <w:r w:rsidR="007D12E5">
        <w:rPr>
          <w:rFonts w:ascii="Times New Roman" w:eastAsia="Times New Roman" w:hAnsi="Times New Roman" w:cs="Times New Roman"/>
          <w:sz w:val="24"/>
          <w:szCs w:val="24"/>
        </w:rPr>
        <w:t xml:space="preserve"> S</w:t>
      </w:r>
      <w:r w:rsidR="00E54243">
        <w:rPr>
          <w:rFonts w:ascii="Times New Roman" w:eastAsia="Times New Roman" w:hAnsi="Times New Roman" w:cs="Times New Roman"/>
          <w:sz w:val="24"/>
          <w:szCs w:val="24"/>
        </w:rPr>
        <w:t>tipulation</w:t>
      </w:r>
      <w:r w:rsidR="00E54243" w:rsidRPr="00E54243">
        <w:rPr>
          <w:rFonts w:ascii="Times New Roman" w:eastAsia="Times New Roman" w:hAnsi="Times New Roman" w:cs="Times New Roman"/>
          <w:sz w:val="24"/>
          <w:szCs w:val="24"/>
        </w:rPr>
        <w:t xml:space="preserve"> as a fair and reasonable resolution of the issues in Do</w:t>
      </w:r>
      <w:r w:rsidR="00E54243">
        <w:rPr>
          <w:rFonts w:ascii="Times New Roman" w:eastAsia="Times New Roman" w:hAnsi="Times New Roman" w:cs="Times New Roman"/>
          <w:sz w:val="24"/>
          <w:szCs w:val="24"/>
        </w:rPr>
        <w:t>cket No. 43838</w:t>
      </w:r>
      <w:r w:rsidR="00E54243" w:rsidRPr="00E54243">
        <w:rPr>
          <w:rFonts w:ascii="Times New Roman" w:eastAsia="Times New Roman" w:hAnsi="Times New Roman" w:cs="Times New Roman"/>
          <w:sz w:val="24"/>
          <w:szCs w:val="24"/>
        </w:rPr>
        <w:t>.</w:t>
      </w:r>
    </w:p>
    <w:p w14:paraId="4EA019DA" w14:textId="77777777" w:rsidR="002B64B4" w:rsidRPr="002B64B4" w:rsidRDefault="002B64B4" w:rsidP="002B64B4">
      <w:pPr>
        <w:keepNext/>
        <w:spacing w:after="0" w:line="240" w:lineRule="auto"/>
        <w:rPr>
          <w:rFonts w:ascii="Times New Roman" w:eastAsia="Times New Roman" w:hAnsi="Times New Roman" w:cs="Times New Roman"/>
          <w:b/>
          <w:sz w:val="24"/>
          <w:szCs w:val="24"/>
        </w:rPr>
      </w:pPr>
    </w:p>
    <w:p w14:paraId="6F0CB1C9" w14:textId="77777777" w:rsidR="002B64B4" w:rsidRPr="002B64B4" w:rsidRDefault="002B64B4" w:rsidP="002B64B4">
      <w:pPr>
        <w:keepNext/>
        <w:spacing w:after="0" w:line="240" w:lineRule="auto"/>
        <w:rPr>
          <w:rFonts w:ascii="Times New Roman" w:eastAsia="Times New Roman" w:hAnsi="Times New Roman" w:cs="Times New Roman"/>
          <w:sz w:val="24"/>
          <w:szCs w:val="24"/>
        </w:rPr>
      </w:pPr>
      <w:r w:rsidRPr="002B64B4">
        <w:rPr>
          <w:rFonts w:ascii="Times New Roman" w:eastAsia="Times New Roman" w:hAnsi="Times New Roman" w:cs="Times New Roman"/>
          <w:b/>
          <w:bCs/>
          <w:sz w:val="24"/>
          <w:szCs w:val="24"/>
        </w:rPr>
        <w:t xml:space="preserve">ORDERED FURTHER, </w:t>
      </w:r>
      <w:r w:rsidRPr="002B64B4">
        <w:rPr>
          <w:rFonts w:ascii="Times New Roman" w:eastAsia="Times New Roman" w:hAnsi="Times New Roman" w:cs="Times New Roman"/>
          <w:sz w:val="24"/>
          <w:szCs w:val="24"/>
        </w:rPr>
        <w:t>that all findings, conclusions, statements, and directives made by the Commission and contained in the foregoing sections of this Order are hereby adopted as findings of fact, conclusions of law, statements of regulatory policy, and Orders of this Commission.</w:t>
      </w:r>
    </w:p>
    <w:p w14:paraId="550D53F2" w14:textId="77777777" w:rsidR="002B64B4" w:rsidRPr="002B64B4" w:rsidRDefault="002B64B4" w:rsidP="002B64B4">
      <w:pPr>
        <w:keepNext/>
        <w:spacing w:after="0" w:line="240" w:lineRule="auto"/>
        <w:rPr>
          <w:rFonts w:ascii="Times New Roman" w:eastAsia="Times New Roman" w:hAnsi="Times New Roman" w:cs="Times New Roman"/>
          <w:b/>
          <w:sz w:val="24"/>
          <w:szCs w:val="24"/>
        </w:rPr>
      </w:pPr>
    </w:p>
    <w:p w14:paraId="7B5A425A" w14:textId="77777777" w:rsidR="002B64B4" w:rsidRPr="002B64B4" w:rsidRDefault="002B64B4" w:rsidP="002B64B4">
      <w:pPr>
        <w:keepNext/>
        <w:spacing w:after="0" w:line="240" w:lineRule="auto"/>
        <w:rPr>
          <w:rFonts w:ascii="Times New Roman" w:eastAsia="Times New Roman" w:hAnsi="Times New Roman" w:cs="Times New Roman"/>
          <w:sz w:val="24"/>
          <w:szCs w:val="24"/>
        </w:rPr>
      </w:pPr>
      <w:r w:rsidRPr="002B64B4">
        <w:rPr>
          <w:rFonts w:ascii="Times New Roman" w:eastAsia="Times New Roman" w:hAnsi="Times New Roman" w:cs="Times New Roman"/>
          <w:b/>
          <w:bCs/>
          <w:sz w:val="24"/>
          <w:szCs w:val="24"/>
        </w:rPr>
        <w:t>ORDERED FURTHER,</w:t>
      </w:r>
      <w:r w:rsidRPr="002B64B4">
        <w:rPr>
          <w:rFonts w:ascii="Times New Roman" w:eastAsia="Times New Roman" w:hAnsi="Times New Roman" w:cs="Times New Roman"/>
          <w:b/>
          <w:sz w:val="24"/>
          <w:szCs w:val="24"/>
        </w:rPr>
        <w:t xml:space="preserve"> </w:t>
      </w:r>
      <w:r w:rsidRPr="002B64B4">
        <w:rPr>
          <w:rFonts w:ascii="Times New Roman" w:eastAsia="Times New Roman" w:hAnsi="Times New Roman" w:cs="Times New Roman"/>
          <w:sz w:val="24"/>
          <w:szCs w:val="24"/>
        </w:rPr>
        <w:t>that a motion for reconsideration, rehearing, or oral argument or any other motion shall not stay the effective date of this Order, unless otherwise ordered by the Commission.</w:t>
      </w:r>
    </w:p>
    <w:p w14:paraId="50B075EC" w14:textId="77777777" w:rsidR="002B64B4" w:rsidRPr="002B64B4" w:rsidRDefault="002B64B4" w:rsidP="002B64B4">
      <w:pPr>
        <w:keepNext/>
        <w:spacing w:after="0" w:line="240" w:lineRule="auto"/>
        <w:rPr>
          <w:rFonts w:ascii="Times New Roman" w:eastAsia="Times New Roman" w:hAnsi="Times New Roman" w:cs="Times New Roman"/>
          <w:b/>
          <w:sz w:val="24"/>
          <w:szCs w:val="24"/>
        </w:rPr>
      </w:pPr>
    </w:p>
    <w:p w14:paraId="1CA8C90F" w14:textId="77777777" w:rsidR="002B64B4" w:rsidRPr="002B64B4" w:rsidRDefault="002B64B4" w:rsidP="002B64B4">
      <w:pPr>
        <w:keepNext/>
        <w:spacing w:after="0" w:line="240" w:lineRule="auto"/>
        <w:rPr>
          <w:rFonts w:ascii="Times New Roman" w:eastAsia="Times New Roman" w:hAnsi="Times New Roman" w:cs="Times New Roman"/>
          <w:sz w:val="24"/>
          <w:szCs w:val="24"/>
        </w:rPr>
      </w:pPr>
      <w:r w:rsidRPr="002B64B4">
        <w:rPr>
          <w:rFonts w:ascii="Times New Roman" w:eastAsia="Times New Roman" w:hAnsi="Times New Roman" w:cs="Times New Roman"/>
          <w:b/>
          <w:bCs/>
          <w:sz w:val="24"/>
          <w:szCs w:val="24"/>
        </w:rPr>
        <w:t>ORDERED FURTHER,</w:t>
      </w:r>
      <w:r w:rsidRPr="002B64B4">
        <w:rPr>
          <w:rFonts w:ascii="Times New Roman" w:eastAsia="Times New Roman" w:hAnsi="Times New Roman" w:cs="Times New Roman"/>
          <w:b/>
          <w:sz w:val="24"/>
          <w:szCs w:val="24"/>
        </w:rPr>
        <w:t xml:space="preserve"> </w:t>
      </w:r>
      <w:r w:rsidRPr="002B64B4">
        <w:rPr>
          <w:rFonts w:ascii="Times New Roman" w:eastAsia="Times New Roman" w:hAnsi="Times New Roman" w:cs="Times New Roman"/>
          <w:sz w:val="24"/>
          <w:szCs w:val="24"/>
        </w:rPr>
        <w:t>that jurisdiction over these matters is expressly retained for the purpose of entering such further Order or Orders as this Commission may deem just and proper.</w:t>
      </w:r>
    </w:p>
    <w:p w14:paraId="123614A0" w14:textId="77777777" w:rsidR="002B64B4" w:rsidRPr="002B64B4" w:rsidRDefault="002B64B4" w:rsidP="002B64B4">
      <w:pPr>
        <w:keepNext/>
        <w:spacing w:after="0" w:line="240" w:lineRule="auto"/>
        <w:rPr>
          <w:rFonts w:ascii="Times New Roman" w:eastAsia="Times New Roman" w:hAnsi="Times New Roman" w:cs="Times New Roman"/>
          <w:sz w:val="24"/>
          <w:szCs w:val="24"/>
        </w:rPr>
      </w:pPr>
    </w:p>
    <w:p w14:paraId="77AC16BD" w14:textId="77777777" w:rsidR="00C2299D" w:rsidRDefault="00C2299D" w:rsidP="002B64B4">
      <w:pPr>
        <w:keepNext/>
        <w:spacing w:after="0" w:line="240" w:lineRule="auto"/>
        <w:rPr>
          <w:rFonts w:ascii="Times New Roman" w:eastAsia="Times New Roman" w:hAnsi="Times New Roman" w:cs="Times New Roman"/>
          <w:sz w:val="24"/>
          <w:szCs w:val="24"/>
        </w:rPr>
      </w:pPr>
    </w:p>
    <w:p w14:paraId="3FC1FF3D" w14:textId="4E24DFD7" w:rsidR="002B64B4" w:rsidRPr="002B64B4" w:rsidRDefault="002B64B4" w:rsidP="00C2299D">
      <w:pPr>
        <w:keepNext/>
        <w:spacing w:after="0" w:line="240" w:lineRule="auto"/>
        <w:ind w:firstLine="720"/>
        <w:rPr>
          <w:rFonts w:ascii="Times New Roman" w:eastAsia="Times New Roman" w:hAnsi="Times New Roman" w:cs="Times New Roman"/>
          <w:sz w:val="24"/>
          <w:szCs w:val="24"/>
        </w:rPr>
      </w:pPr>
      <w:r w:rsidRPr="002B64B4">
        <w:rPr>
          <w:rFonts w:ascii="Times New Roman" w:eastAsia="Times New Roman" w:hAnsi="Times New Roman" w:cs="Times New Roman"/>
          <w:sz w:val="24"/>
          <w:szCs w:val="24"/>
        </w:rPr>
        <w:t xml:space="preserve">The above by action of the Commission in its Administrative Session on the </w:t>
      </w:r>
      <w:r>
        <w:rPr>
          <w:rFonts w:ascii="Times New Roman" w:eastAsia="Times New Roman" w:hAnsi="Times New Roman" w:cs="Times New Roman"/>
          <w:sz w:val="24"/>
          <w:szCs w:val="24"/>
        </w:rPr>
        <w:t>2nd</w:t>
      </w:r>
      <w:r w:rsidRPr="002B64B4">
        <w:rPr>
          <w:rFonts w:ascii="Times New Roman" w:eastAsia="Times New Roman" w:hAnsi="Times New Roman" w:cs="Times New Roman"/>
          <w:sz w:val="24"/>
          <w:szCs w:val="24"/>
        </w:rPr>
        <w:t xml:space="preserve"> day of </w:t>
      </w:r>
      <w:r>
        <w:rPr>
          <w:rFonts w:ascii="Times New Roman" w:eastAsia="Times New Roman" w:hAnsi="Times New Roman" w:cs="Times New Roman"/>
          <w:sz w:val="24"/>
          <w:szCs w:val="24"/>
        </w:rPr>
        <w:t>November,</w:t>
      </w:r>
      <w:r w:rsidRPr="002B64B4">
        <w:rPr>
          <w:rFonts w:ascii="Times New Roman" w:eastAsia="Times New Roman" w:hAnsi="Times New Roman" w:cs="Times New Roman"/>
          <w:sz w:val="24"/>
          <w:szCs w:val="24"/>
        </w:rPr>
        <w:t xml:space="preserve"> 2021.</w:t>
      </w:r>
    </w:p>
    <w:p w14:paraId="10699B15" w14:textId="2FAC421A" w:rsidR="002B64B4" w:rsidRDefault="002B64B4" w:rsidP="002B64B4">
      <w:pPr>
        <w:keepNext/>
        <w:spacing w:after="0" w:line="240" w:lineRule="auto"/>
        <w:rPr>
          <w:rFonts w:ascii="Times New Roman" w:eastAsia="Times New Roman" w:hAnsi="Times New Roman" w:cs="Times New Roman"/>
          <w:sz w:val="24"/>
          <w:szCs w:val="24"/>
        </w:rPr>
      </w:pPr>
    </w:p>
    <w:p w14:paraId="7E70AF8A" w14:textId="101FC189" w:rsidR="00C2299D" w:rsidRDefault="00C2299D" w:rsidP="002B64B4">
      <w:pPr>
        <w:keepNext/>
        <w:spacing w:after="0" w:line="240" w:lineRule="auto"/>
        <w:rPr>
          <w:rFonts w:ascii="Times New Roman" w:eastAsia="Times New Roman" w:hAnsi="Times New Roman" w:cs="Times New Roman"/>
          <w:sz w:val="24"/>
          <w:szCs w:val="24"/>
        </w:rPr>
      </w:pPr>
    </w:p>
    <w:p w14:paraId="1172DE88" w14:textId="77777777" w:rsidR="00C2299D" w:rsidRPr="002B64B4" w:rsidRDefault="00C2299D" w:rsidP="002B64B4">
      <w:pPr>
        <w:keepNext/>
        <w:spacing w:after="0" w:line="240" w:lineRule="auto"/>
        <w:rPr>
          <w:rFonts w:ascii="Times New Roman" w:eastAsia="Times New Roman" w:hAnsi="Times New Roman" w:cs="Times New Roman"/>
          <w:sz w:val="24"/>
          <w:szCs w:val="24"/>
        </w:rPr>
      </w:pPr>
      <w:bookmarkStart w:id="6" w:name="_GoBack"/>
      <w:bookmarkEnd w:id="6"/>
    </w:p>
    <w:p w14:paraId="3E6F38E4" w14:textId="5E6E95F3" w:rsidR="002B64B4" w:rsidRPr="002B64B4" w:rsidRDefault="002B64B4" w:rsidP="002B64B4">
      <w:pPr>
        <w:keepNext/>
        <w:spacing w:after="0" w:line="240" w:lineRule="auto"/>
        <w:rPr>
          <w:rFonts w:ascii="Times New Roman" w:eastAsia="Times New Roman" w:hAnsi="Times New Roman" w:cs="Times New Roman"/>
          <w:sz w:val="24"/>
          <w:szCs w:val="24"/>
        </w:rPr>
      </w:pPr>
      <w:r w:rsidRPr="002B64B4">
        <w:rPr>
          <w:rFonts w:ascii="Times New Roman" w:eastAsia="Times New Roman" w:hAnsi="Times New Roman" w:cs="Times New Roman"/>
          <w:sz w:val="24"/>
          <w:szCs w:val="24"/>
        </w:rPr>
        <w:t>_____________________________                    </w:t>
      </w:r>
      <w:r w:rsidRPr="002B64B4">
        <w:rPr>
          <w:rFonts w:ascii="Times New Roman" w:eastAsia="Times New Roman" w:hAnsi="Times New Roman" w:cs="Times New Roman"/>
          <w:sz w:val="24"/>
          <w:szCs w:val="24"/>
        </w:rPr>
        <w:tab/>
        <w:t>______________________________</w:t>
      </w:r>
    </w:p>
    <w:p w14:paraId="4BE64883" w14:textId="3ABF222F" w:rsidR="002B64B4" w:rsidRPr="002B64B4" w:rsidRDefault="00966607" w:rsidP="002B64B4">
      <w:pPr>
        <w:keepN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Sallie Tanner</w:t>
      </w:r>
      <w:r w:rsidR="002B64B4" w:rsidRPr="002B64B4">
        <w:rPr>
          <w:rFonts w:ascii="Times New Roman" w:eastAsia="Times New Roman" w:hAnsi="Times New Roman" w:cs="Times New Roman"/>
          <w:sz w:val="24"/>
          <w:szCs w:val="24"/>
        </w:rPr>
        <w:t> </w:t>
      </w:r>
      <w:r w:rsidR="002B64B4" w:rsidRPr="002B64B4">
        <w:rPr>
          <w:rFonts w:ascii="Times New Roman" w:eastAsia="Times New Roman" w:hAnsi="Times New Roman" w:cs="Times New Roman"/>
          <w:sz w:val="24"/>
          <w:szCs w:val="24"/>
        </w:rPr>
        <w:tab/>
      </w:r>
      <w:r w:rsidR="002B64B4" w:rsidRPr="002B64B4">
        <w:rPr>
          <w:rFonts w:ascii="Times New Roman" w:eastAsia="Times New Roman" w:hAnsi="Times New Roman" w:cs="Times New Roman"/>
          <w:sz w:val="24"/>
          <w:szCs w:val="24"/>
        </w:rPr>
        <w:tab/>
      </w:r>
      <w:r w:rsidR="002B64B4" w:rsidRPr="002B64B4">
        <w:rPr>
          <w:rFonts w:ascii="Times New Roman" w:eastAsia="Times New Roman" w:hAnsi="Times New Roman" w:cs="Times New Roman"/>
          <w:sz w:val="24"/>
          <w:szCs w:val="24"/>
        </w:rPr>
        <w:tab/>
        <w:t xml:space="preserve">                  </w:t>
      </w:r>
      <w:r w:rsidR="002B64B4" w:rsidRPr="002B64B4">
        <w:rPr>
          <w:rFonts w:ascii="Times New Roman" w:eastAsia="Times New Roman" w:hAnsi="Times New Roman" w:cs="Times New Roman"/>
          <w:sz w:val="24"/>
          <w:szCs w:val="24"/>
        </w:rPr>
        <w:tab/>
      </w:r>
      <w:r w:rsidR="000615D0">
        <w:rPr>
          <w:rFonts w:ascii="Times New Roman" w:eastAsia="Times New Roman" w:hAnsi="Times New Roman" w:cs="Times New Roman"/>
          <w:sz w:val="24"/>
          <w:szCs w:val="24"/>
        </w:rPr>
        <w:tab/>
      </w:r>
      <w:r w:rsidR="00E96B50">
        <w:rPr>
          <w:rFonts w:ascii="Times New Roman" w:eastAsia="Times New Roman" w:hAnsi="Times New Roman" w:cs="Times New Roman"/>
          <w:sz w:val="24"/>
          <w:szCs w:val="24"/>
        </w:rPr>
        <w:t>Tricia</w:t>
      </w:r>
      <w:r w:rsidR="00E96B50" w:rsidRPr="002B64B4">
        <w:rPr>
          <w:rFonts w:ascii="Times New Roman" w:eastAsia="Times New Roman" w:hAnsi="Times New Roman" w:cs="Times New Roman"/>
          <w:sz w:val="24"/>
          <w:szCs w:val="24"/>
        </w:rPr>
        <w:t xml:space="preserve"> </w:t>
      </w:r>
      <w:r w:rsidR="002B64B4" w:rsidRPr="002B64B4">
        <w:rPr>
          <w:rFonts w:ascii="Times New Roman" w:eastAsia="Times New Roman" w:hAnsi="Times New Roman" w:cs="Times New Roman"/>
          <w:sz w:val="24"/>
          <w:szCs w:val="24"/>
        </w:rPr>
        <w:t>Pridemore</w:t>
      </w:r>
    </w:p>
    <w:p w14:paraId="5C78A095" w14:textId="283EC461" w:rsidR="002B64B4" w:rsidRDefault="002B64B4" w:rsidP="002B64B4">
      <w:pPr>
        <w:keepNext/>
        <w:spacing w:after="0" w:line="240" w:lineRule="auto"/>
        <w:rPr>
          <w:rFonts w:ascii="Times New Roman" w:eastAsia="Times New Roman" w:hAnsi="Times New Roman" w:cs="Times New Roman"/>
          <w:sz w:val="24"/>
          <w:szCs w:val="24"/>
        </w:rPr>
      </w:pPr>
      <w:r w:rsidRPr="002B64B4">
        <w:rPr>
          <w:rFonts w:ascii="Times New Roman" w:eastAsia="Times New Roman" w:hAnsi="Times New Roman" w:cs="Times New Roman"/>
          <w:sz w:val="24"/>
          <w:szCs w:val="24"/>
        </w:rPr>
        <w:t xml:space="preserve">Executive </w:t>
      </w:r>
      <w:r w:rsidR="00966607">
        <w:rPr>
          <w:rFonts w:ascii="Times New Roman" w:eastAsia="Times New Roman" w:hAnsi="Times New Roman" w:cs="Times New Roman"/>
          <w:sz w:val="24"/>
          <w:szCs w:val="24"/>
        </w:rPr>
        <w:t>Secretary</w:t>
      </w:r>
      <w:r w:rsidRPr="002B64B4">
        <w:rPr>
          <w:rFonts w:ascii="Times New Roman" w:eastAsia="Times New Roman" w:hAnsi="Times New Roman" w:cs="Times New Roman"/>
          <w:sz w:val="24"/>
          <w:szCs w:val="24"/>
        </w:rPr>
        <w:t>                                                </w:t>
      </w:r>
      <w:r w:rsidRPr="002B64B4">
        <w:rPr>
          <w:rFonts w:ascii="Times New Roman" w:eastAsia="Times New Roman" w:hAnsi="Times New Roman" w:cs="Times New Roman"/>
          <w:sz w:val="24"/>
          <w:szCs w:val="24"/>
        </w:rPr>
        <w:tab/>
        <w:t>Chairman</w:t>
      </w:r>
    </w:p>
    <w:p w14:paraId="0B008267" w14:textId="497CF74C" w:rsidR="00C2299D" w:rsidRDefault="00C2299D" w:rsidP="002B64B4">
      <w:pPr>
        <w:keepNext/>
        <w:spacing w:after="0" w:line="240" w:lineRule="auto"/>
        <w:rPr>
          <w:rFonts w:ascii="Times New Roman" w:eastAsia="Times New Roman" w:hAnsi="Times New Roman" w:cs="Times New Roman"/>
          <w:sz w:val="24"/>
          <w:szCs w:val="24"/>
        </w:rPr>
      </w:pPr>
    </w:p>
    <w:p w14:paraId="5A27F4A0" w14:textId="7AD487B1" w:rsidR="00C2299D" w:rsidRDefault="00C2299D" w:rsidP="002B64B4">
      <w:pPr>
        <w:keepNext/>
        <w:spacing w:after="0" w:line="240" w:lineRule="auto"/>
        <w:rPr>
          <w:rFonts w:ascii="Times New Roman" w:eastAsia="Times New Roman" w:hAnsi="Times New Roman" w:cs="Times New Roman"/>
          <w:sz w:val="24"/>
          <w:szCs w:val="24"/>
        </w:rPr>
      </w:pPr>
    </w:p>
    <w:p w14:paraId="37B41BC5" w14:textId="565B5C56" w:rsidR="00C2299D" w:rsidRDefault="00C2299D" w:rsidP="002B64B4">
      <w:pPr>
        <w:keepNext/>
        <w:spacing w:after="0" w:line="240" w:lineRule="auto"/>
        <w:rPr>
          <w:rFonts w:ascii="Times New Roman" w:eastAsia="Times New Roman" w:hAnsi="Times New Roman" w:cs="Times New Roman"/>
          <w:sz w:val="24"/>
          <w:szCs w:val="24"/>
        </w:rPr>
      </w:pPr>
    </w:p>
    <w:p w14:paraId="658C8BC5" w14:textId="77777777" w:rsidR="00C2299D" w:rsidRPr="002B64B4" w:rsidRDefault="00C2299D" w:rsidP="00C2299D">
      <w:pPr>
        <w:keepNext/>
        <w:spacing w:after="0" w:line="240" w:lineRule="auto"/>
        <w:rPr>
          <w:rFonts w:ascii="Times New Roman" w:eastAsia="Times New Roman" w:hAnsi="Times New Roman" w:cs="Times New Roman"/>
          <w:sz w:val="24"/>
          <w:szCs w:val="24"/>
        </w:rPr>
      </w:pPr>
      <w:r w:rsidRPr="002B64B4">
        <w:rPr>
          <w:rFonts w:ascii="Times New Roman" w:eastAsia="Times New Roman" w:hAnsi="Times New Roman" w:cs="Times New Roman"/>
          <w:sz w:val="24"/>
          <w:szCs w:val="24"/>
        </w:rPr>
        <w:t>_____________________________                    </w:t>
      </w:r>
      <w:r w:rsidRPr="002B64B4">
        <w:rPr>
          <w:rFonts w:ascii="Times New Roman" w:eastAsia="Times New Roman" w:hAnsi="Times New Roman" w:cs="Times New Roman"/>
          <w:sz w:val="24"/>
          <w:szCs w:val="24"/>
        </w:rPr>
        <w:tab/>
        <w:t>______________________________</w:t>
      </w:r>
    </w:p>
    <w:p w14:paraId="5BDADEEE" w14:textId="040527CE" w:rsidR="00C2299D" w:rsidRPr="002B64B4" w:rsidRDefault="00C2299D" w:rsidP="00C2299D">
      <w:pPr>
        <w:keepN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sidRPr="002B64B4">
        <w:rPr>
          <w:rFonts w:ascii="Times New Roman" w:eastAsia="Times New Roman" w:hAnsi="Times New Roman" w:cs="Times New Roman"/>
          <w:sz w:val="24"/>
          <w:szCs w:val="24"/>
        </w:rPr>
        <w:t> </w:t>
      </w:r>
      <w:r w:rsidRPr="002B64B4">
        <w:rPr>
          <w:rFonts w:ascii="Times New Roman" w:eastAsia="Times New Roman" w:hAnsi="Times New Roman" w:cs="Times New Roman"/>
          <w:sz w:val="24"/>
          <w:szCs w:val="24"/>
        </w:rPr>
        <w:tab/>
      </w:r>
      <w:r w:rsidRPr="002B64B4">
        <w:rPr>
          <w:rFonts w:ascii="Times New Roman" w:eastAsia="Times New Roman" w:hAnsi="Times New Roman" w:cs="Times New Roman"/>
          <w:sz w:val="24"/>
          <w:szCs w:val="24"/>
        </w:rPr>
        <w:tab/>
      </w:r>
      <w:r w:rsidRPr="002B64B4">
        <w:rPr>
          <w:rFonts w:ascii="Times New Roman" w:eastAsia="Times New Roman" w:hAnsi="Times New Roman" w:cs="Times New Roman"/>
          <w:sz w:val="24"/>
          <w:szCs w:val="24"/>
        </w:rPr>
        <w:tab/>
        <w:t xml:space="preserve">                  </w:t>
      </w:r>
      <w:r w:rsidRPr="002B64B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w:t>
      </w:r>
    </w:p>
    <w:p w14:paraId="09F22231" w14:textId="77777777" w:rsidR="00C2299D" w:rsidRPr="002B64B4" w:rsidRDefault="00C2299D" w:rsidP="002B64B4">
      <w:pPr>
        <w:keepNext/>
        <w:spacing w:after="0" w:line="240" w:lineRule="auto"/>
        <w:rPr>
          <w:rFonts w:ascii="Times New Roman" w:eastAsia="Times New Roman" w:hAnsi="Times New Roman" w:cs="Times New Roman"/>
          <w:sz w:val="24"/>
          <w:szCs w:val="24"/>
        </w:rPr>
      </w:pPr>
    </w:p>
    <w:p w14:paraId="1AB5498D" w14:textId="77777777" w:rsidR="002B64B4" w:rsidRPr="002B64B4" w:rsidRDefault="002B64B4" w:rsidP="002B64B4">
      <w:pPr>
        <w:keepNext/>
        <w:spacing w:after="0" w:line="240" w:lineRule="auto"/>
        <w:rPr>
          <w:rFonts w:ascii="Times New Roman" w:eastAsia="Times New Roman" w:hAnsi="Times New Roman" w:cs="Times New Roman"/>
          <w:sz w:val="24"/>
          <w:szCs w:val="24"/>
        </w:rPr>
      </w:pPr>
    </w:p>
    <w:p w14:paraId="37D35C66" w14:textId="77777777" w:rsidR="002B64B4" w:rsidRPr="009C7130" w:rsidRDefault="002B64B4" w:rsidP="009C7130">
      <w:pPr>
        <w:keepNext/>
        <w:spacing w:after="0" w:line="240" w:lineRule="auto"/>
        <w:rPr>
          <w:rFonts w:ascii="Times New Roman" w:eastAsia="Times New Roman" w:hAnsi="Times New Roman" w:cs="Times New Roman"/>
          <w:sz w:val="24"/>
          <w:szCs w:val="24"/>
        </w:rPr>
      </w:pPr>
    </w:p>
    <w:p w14:paraId="428C750B" w14:textId="77777777" w:rsidR="003A0B00" w:rsidRPr="00171BDD" w:rsidRDefault="003A0B00" w:rsidP="00171BDD">
      <w:pPr>
        <w:keepNext/>
        <w:spacing w:after="0" w:line="240" w:lineRule="auto"/>
        <w:rPr>
          <w:rFonts w:ascii="Times New Roman" w:eastAsia="Times New Roman" w:hAnsi="Times New Roman" w:cs="Times New Roman"/>
          <w:sz w:val="24"/>
          <w:szCs w:val="24"/>
          <w:lang w:val="en"/>
        </w:rPr>
      </w:pPr>
    </w:p>
    <w:p w14:paraId="2173057C" w14:textId="77777777" w:rsidR="00427282" w:rsidRPr="00AC0AAC" w:rsidRDefault="00427282" w:rsidP="00AC0AAC">
      <w:pPr>
        <w:keepNext/>
        <w:spacing w:after="0" w:line="240" w:lineRule="auto"/>
        <w:rPr>
          <w:rFonts w:ascii="Times New Roman" w:eastAsia="Times New Roman" w:hAnsi="Times New Roman" w:cs="Times New Roman"/>
          <w:sz w:val="24"/>
          <w:szCs w:val="24"/>
        </w:rPr>
      </w:pPr>
    </w:p>
    <w:p w14:paraId="54A61B65" w14:textId="77777777" w:rsidR="00AC0AAC" w:rsidRPr="00AC0AAC" w:rsidRDefault="00AC0AAC" w:rsidP="00AC0AAC">
      <w:pPr>
        <w:keepNext/>
        <w:spacing w:after="0" w:line="240" w:lineRule="auto"/>
        <w:rPr>
          <w:rFonts w:ascii="Times New Roman" w:eastAsia="Times New Roman" w:hAnsi="Times New Roman" w:cs="Times New Roman"/>
          <w:sz w:val="24"/>
          <w:szCs w:val="24"/>
        </w:rPr>
      </w:pPr>
    </w:p>
    <w:p w14:paraId="0375D81F" w14:textId="77777777" w:rsidR="00AC0AAC" w:rsidRPr="00AC0AAC" w:rsidRDefault="00AC0AAC" w:rsidP="00AC0AAC">
      <w:pPr>
        <w:keepNext/>
        <w:spacing w:after="0" w:line="240" w:lineRule="auto"/>
        <w:rPr>
          <w:rFonts w:ascii="Times New Roman" w:eastAsia="Times New Roman" w:hAnsi="Times New Roman" w:cs="Times New Roman"/>
          <w:sz w:val="24"/>
          <w:szCs w:val="24"/>
        </w:rPr>
      </w:pPr>
    </w:p>
    <w:p w14:paraId="5AF0DC5A" w14:textId="77777777" w:rsidR="00A77FF9" w:rsidRPr="00B51DC9" w:rsidRDefault="00A77FF9" w:rsidP="00A77FF9">
      <w:pPr>
        <w:keepNext/>
        <w:spacing w:after="0" w:line="240" w:lineRule="auto"/>
        <w:rPr>
          <w:rFonts w:ascii="Times New Roman" w:eastAsia="Times New Roman" w:hAnsi="Times New Roman" w:cs="Times New Roman"/>
          <w:sz w:val="24"/>
          <w:szCs w:val="24"/>
        </w:rPr>
      </w:pPr>
    </w:p>
    <w:p w14:paraId="65424049" w14:textId="77777777" w:rsidR="00B51DC9" w:rsidRPr="00B51DC9" w:rsidRDefault="00B51DC9" w:rsidP="00B51DC9">
      <w:pPr>
        <w:keepNext/>
        <w:spacing w:after="0" w:line="240" w:lineRule="auto"/>
        <w:rPr>
          <w:rFonts w:ascii="Times New Roman" w:eastAsia="Times New Roman" w:hAnsi="Times New Roman" w:cs="Times New Roman"/>
          <w:sz w:val="24"/>
          <w:szCs w:val="24"/>
        </w:rPr>
      </w:pPr>
    </w:p>
    <w:p w14:paraId="39A91752" w14:textId="77777777" w:rsidR="00BC277B" w:rsidRDefault="00BC277B" w:rsidP="00EB797F">
      <w:pPr>
        <w:keepNext/>
        <w:spacing w:after="0" w:line="240" w:lineRule="auto"/>
        <w:rPr>
          <w:rFonts w:ascii="Times New Roman" w:eastAsia="Times New Roman" w:hAnsi="Times New Roman" w:cs="Times New Roman"/>
          <w:sz w:val="24"/>
          <w:szCs w:val="24"/>
        </w:rPr>
      </w:pPr>
    </w:p>
    <w:p w14:paraId="26F086B9" w14:textId="77777777" w:rsidR="00EB797F" w:rsidRPr="009508F9" w:rsidRDefault="00EB797F" w:rsidP="00EB797F">
      <w:pPr>
        <w:keepNext/>
        <w:spacing w:after="0" w:line="240" w:lineRule="auto"/>
        <w:rPr>
          <w:rFonts w:ascii="Times New Roman" w:eastAsia="Times New Roman" w:hAnsi="Times New Roman" w:cs="Times New Roman"/>
          <w:sz w:val="24"/>
          <w:szCs w:val="24"/>
        </w:rPr>
      </w:pPr>
    </w:p>
    <w:p w14:paraId="746D2A31" w14:textId="77777777" w:rsidR="00ED7DDF" w:rsidRPr="00ED7DDF" w:rsidRDefault="00ED7DDF" w:rsidP="00ED7DDF">
      <w:pPr>
        <w:keepNext/>
        <w:spacing w:after="0" w:line="240" w:lineRule="auto"/>
        <w:rPr>
          <w:rFonts w:ascii="Times New Roman" w:eastAsia="Times New Roman" w:hAnsi="Times New Roman" w:cs="Times New Roman"/>
          <w:i/>
          <w:sz w:val="24"/>
          <w:szCs w:val="24"/>
        </w:rPr>
      </w:pPr>
    </w:p>
    <w:p w14:paraId="1AF8827A" w14:textId="77777777" w:rsidR="00487780" w:rsidRPr="00A26E4F" w:rsidRDefault="00487780" w:rsidP="00487780">
      <w:pPr>
        <w:keepNext/>
        <w:spacing w:after="0" w:line="240" w:lineRule="auto"/>
        <w:rPr>
          <w:rFonts w:ascii="Times New Roman" w:eastAsia="Times New Roman" w:hAnsi="Times New Roman" w:cs="Times New Roman"/>
          <w:sz w:val="24"/>
          <w:szCs w:val="24"/>
        </w:rPr>
      </w:pPr>
    </w:p>
    <w:sectPr w:rsidR="00487780" w:rsidRPr="00A26E4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47833" w14:textId="77777777" w:rsidR="00BF72AF" w:rsidRDefault="00BF72AF" w:rsidP="0020561E">
      <w:pPr>
        <w:spacing w:after="0" w:line="240" w:lineRule="auto"/>
      </w:pPr>
      <w:r>
        <w:separator/>
      </w:r>
    </w:p>
  </w:endnote>
  <w:endnote w:type="continuationSeparator" w:id="0">
    <w:p w14:paraId="460527FB" w14:textId="77777777" w:rsidR="00BF72AF" w:rsidRDefault="00BF72AF" w:rsidP="00205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4886035"/>
      <w:docPartObj>
        <w:docPartGallery w:val="Page Numbers (Bottom of Page)"/>
        <w:docPartUnique/>
      </w:docPartObj>
    </w:sdtPr>
    <w:sdtEndPr>
      <w:rPr>
        <w:rFonts w:ascii="Times New Roman" w:hAnsi="Times New Roman" w:cs="Times New Roman"/>
      </w:rPr>
    </w:sdtEndPr>
    <w:sdtContent>
      <w:sdt>
        <w:sdtPr>
          <w:id w:val="1728636285"/>
          <w:docPartObj>
            <w:docPartGallery w:val="Page Numbers (Top of Page)"/>
            <w:docPartUnique/>
          </w:docPartObj>
        </w:sdtPr>
        <w:sdtEndPr>
          <w:rPr>
            <w:rFonts w:ascii="Times New Roman" w:hAnsi="Times New Roman" w:cs="Times New Roman"/>
          </w:rPr>
        </w:sdtEndPr>
        <w:sdtContent>
          <w:p w14:paraId="74B2EDA2" w14:textId="611D4E9E" w:rsidR="00350968" w:rsidRPr="00350968" w:rsidRDefault="00350968">
            <w:pPr>
              <w:pStyle w:val="Footer"/>
              <w:jc w:val="center"/>
              <w:rPr>
                <w:rFonts w:ascii="Times New Roman" w:hAnsi="Times New Roman" w:cs="Times New Roman"/>
              </w:rPr>
            </w:pPr>
            <w:r w:rsidRPr="00350968">
              <w:rPr>
                <w:rFonts w:ascii="Times New Roman" w:hAnsi="Times New Roman" w:cs="Times New Roman"/>
              </w:rPr>
              <w:t>Docket No. 43838</w:t>
            </w:r>
          </w:p>
          <w:p w14:paraId="7E7F49EA" w14:textId="4E5F6CA9" w:rsidR="00350968" w:rsidRPr="00350968" w:rsidRDefault="00350968">
            <w:pPr>
              <w:pStyle w:val="Footer"/>
              <w:jc w:val="center"/>
              <w:rPr>
                <w:rFonts w:ascii="Times New Roman" w:hAnsi="Times New Roman" w:cs="Times New Roman"/>
              </w:rPr>
            </w:pPr>
            <w:r w:rsidRPr="00350968">
              <w:rPr>
                <w:rFonts w:ascii="Times New Roman" w:hAnsi="Times New Roman" w:cs="Times New Roman"/>
              </w:rPr>
              <w:t>Order</w:t>
            </w:r>
            <w:r w:rsidR="00DF41C7">
              <w:rPr>
                <w:rFonts w:ascii="Times New Roman" w:hAnsi="Times New Roman" w:cs="Times New Roman"/>
              </w:rPr>
              <w:t xml:space="preserve"> Adopting Stipulation</w:t>
            </w:r>
          </w:p>
          <w:p w14:paraId="3CCCD325" w14:textId="1747182E" w:rsidR="00350968" w:rsidRPr="00350968" w:rsidRDefault="00350968">
            <w:pPr>
              <w:pStyle w:val="Footer"/>
              <w:jc w:val="center"/>
              <w:rPr>
                <w:rFonts w:ascii="Times New Roman" w:hAnsi="Times New Roman" w:cs="Times New Roman"/>
              </w:rPr>
            </w:pPr>
            <w:r w:rsidRPr="00350968">
              <w:rPr>
                <w:rFonts w:ascii="Times New Roman" w:hAnsi="Times New Roman" w:cs="Times New Roman"/>
              </w:rPr>
              <w:t xml:space="preserve">Page </w:t>
            </w:r>
            <w:r w:rsidRPr="00647023">
              <w:rPr>
                <w:rFonts w:ascii="Times New Roman" w:hAnsi="Times New Roman" w:cs="Times New Roman"/>
                <w:bCs/>
              </w:rPr>
              <w:fldChar w:fldCharType="begin"/>
            </w:r>
            <w:r w:rsidRPr="00647023">
              <w:rPr>
                <w:rFonts w:ascii="Times New Roman" w:hAnsi="Times New Roman" w:cs="Times New Roman"/>
                <w:bCs/>
              </w:rPr>
              <w:instrText xml:space="preserve"> PAGE </w:instrText>
            </w:r>
            <w:r w:rsidRPr="00647023">
              <w:rPr>
                <w:rFonts w:ascii="Times New Roman" w:hAnsi="Times New Roman" w:cs="Times New Roman"/>
                <w:bCs/>
              </w:rPr>
              <w:fldChar w:fldCharType="separate"/>
            </w:r>
            <w:r w:rsidR="00C2299D">
              <w:rPr>
                <w:rFonts w:ascii="Times New Roman" w:hAnsi="Times New Roman" w:cs="Times New Roman"/>
                <w:bCs/>
                <w:noProof/>
              </w:rPr>
              <w:t>12</w:t>
            </w:r>
            <w:r w:rsidRPr="00647023">
              <w:rPr>
                <w:rFonts w:ascii="Times New Roman" w:hAnsi="Times New Roman" w:cs="Times New Roman"/>
                <w:bCs/>
              </w:rPr>
              <w:fldChar w:fldCharType="end"/>
            </w:r>
            <w:r w:rsidRPr="00350968">
              <w:rPr>
                <w:rFonts w:ascii="Times New Roman" w:hAnsi="Times New Roman" w:cs="Times New Roman"/>
              </w:rPr>
              <w:t xml:space="preserve"> of </w:t>
            </w:r>
            <w:r w:rsidRPr="00647023">
              <w:rPr>
                <w:rFonts w:ascii="Times New Roman" w:hAnsi="Times New Roman" w:cs="Times New Roman"/>
                <w:bCs/>
              </w:rPr>
              <w:fldChar w:fldCharType="begin"/>
            </w:r>
            <w:r w:rsidRPr="00647023">
              <w:rPr>
                <w:rFonts w:ascii="Times New Roman" w:hAnsi="Times New Roman" w:cs="Times New Roman"/>
                <w:bCs/>
              </w:rPr>
              <w:instrText xml:space="preserve"> NUMPAGES  </w:instrText>
            </w:r>
            <w:r w:rsidRPr="00647023">
              <w:rPr>
                <w:rFonts w:ascii="Times New Roman" w:hAnsi="Times New Roman" w:cs="Times New Roman"/>
                <w:bCs/>
              </w:rPr>
              <w:fldChar w:fldCharType="separate"/>
            </w:r>
            <w:r w:rsidR="00C2299D">
              <w:rPr>
                <w:rFonts w:ascii="Times New Roman" w:hAnsi="Times New Roman" w:cs="Times New Roman"/>
                <w:bCs/>
                <w:noProof/>
              </w:rPr>
              <w:t>12</w:t>
            </w:r>
            <w:r w:rsidRPr="00647023">
              <w:rPr>
                <w:rFonts w:ascii="Times New Roman" w:hAnsi="Times New Roman" w:cs="Times New Roman"/>
                <w:bCs/>
              </w:rPr>
              <w:fldChar w:fldCharType="end"/>
            </w:r>
          </w:p>
        </w:sdtContent>
      </w:sdt>
    </w:sdtContent>
  </w:sdt>
  <w:p w14:paraId="126BCDBD" w14:textId="77777777" w:rsidR="00E00876" w:rsidRDefault="00E0087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CC88A" w14:textId="77777777" w:rsidR="00BF72AF" w:rsidRDefault="00BF72AF" w:rsidP="0020561E">
      <w:pPr>
        <w:spacing w:after="0" w:line="240" w:lineRule="auto"/>
      </w:pPr>
      <w:r>
        <w:separator/>
      </w:r>
    </w:p>
  </w:footnote>
  <w:footnote w:type="continuationSeparator" w:id="0">
    <w:p w14:paraId="1152FB45" w14:textId="77777777" w:rsidR="00BF72AF" w:rsidRDefault="00BF72AF" w:rsidP="0020561E">
      <w:pPr>
        <w:spacing w:after="0" w:line="240" w:lineRule="auto"/>
      </w:pPr>
      <w:r>
        <w:continuationSeparator/>
      </w:r>
    </w:p>
  </w:footnote>
  <w:footnote w:id="1">
    <w:p w14:paraId="1F3C5B5D" w14:textId="77777777" w:rsidR="00F6144B" w:rsidRPr="00ED7DDF" w:rsidRDefault="00F6144B" w:rsidP="00F6144B">
      <w:pPr>
        <w:pStyle w:val="FootnoteText"/>
        <w:rPr>
          <w:rFonts w:ascii="Times New Roman" w:hAnsi="Times New Roman" w:cs="Times New Roman"/>
        </w:rPr>
      </w:pPr>
      <w:r w:rsidRPr="00ED7DDF">
        <w:rPr>
          <w:rStyle w:val="FootnoteReference"/>
          <w:rFonts w:ascii="Times New Roman" w:hAnsi="Times New Roman" w:cs="Times New Roman"/>
        </w:rPr>
        <w:footnoteRef/>
      </w:r>
      <w:r w:rsidRPr="00ED7DDF">
        <w:rPr>
          <w:rFonts w:ascii="Times New Roman" w:hAnsi="Times New Roman" w:cs="Times New Roman"/>
        </w:rPr>
        <w:t xml:space="preserve"> See VCM 17 Order at 14, para. 10.</w:t>
      </w:r>
    </w:p>
  </w:footnote>
  <w:footnote w:id="2">
    <w:p w14:paraId="6989B33C" w14:textId="77777777" w:rsidR="003E238C" w:rsidRPr="00ED7DDF" w:rsidRDefault="003E238C" w:rsidP="003E238C">
      <w:pPr>
        <w:pStyle w:val="FootnoteText"/>
        <w:rPr>
          <w:rFonts w:ascii="Times New Roman" w:hAnsi="Times New Roman" w:cs="Times New Roman"/>
          <w:sz w:val="22"/>
          <w:szCs w:val="22"/>
        </w:rPr>
      </w:pPr>
      <w:r w:rsidRPr="00ED7DDF">
        <w:rPr>
          <w:rStyle w:val="FootnoteReference"/>
          <w:rFonts w:ascii="Times New Roman" w:hAnsi="Times New Roman" w:cs="Times New Roman"/>
        </w:rPr>
        <w:footnoteRef/>
      </w:r>
      <w:r w:rsidRPr="00ED7DDF">
        <w:rPr>
          <w:rFonts w:ascii="Times New Roman" w:hAnsi="Times New Roman" w:cs="Times New Roman"/>
        </w:rPr>
        <w:t xml:space="preserve"> SIR Stipulation, para. 1. This paragraph further provides that “</w:t>
      </w:r>
      <w:r w:rsidRPr="00ED7DDF">
        <w:rPr>
          <w:rFonts w:ascii="Times New Roman" w:hAnsi="Times New Roman" w:cs="Times New Roman"/>
          <w:szCs w:val="24"/>
        </w:rPr>
        <w:t>Should any system, structure, or component, or portion thereof, included in such costs not perform as required or specified in the design documents, or not meet any NRC requirement, and subsequently delays commercial operation of the Unit(s) as defined in this stipulation, the Commission expressly reserves its right to review and disallow</w:t>
      </w:r>
      <w:r>
        <w:rPr>
          <w:rFonts w:ascii="Arial" w:hAnsi="Arial" w:cs="Arial"/>
          <w:szCs w:val="24"/>
        </w:rPr>
        <w:t xml:space="preserve"> </w:t>
      </w:r>
      <w:r w:rsidRPr="00ED7DDF">
        <w:rPr>
          <w:rFonts w:ascii="Times New Roman" w:hAnsi="Times New Roman" w:cs="Times New Roman"/>
          <w:szCs w:val="24"/>
        </w:rPr>
        <w:t>any cost and or schedule impacts of such deficiency.</w:t>
      </w:r>
      <w:r w:rsidRPr="00ED7DDF">
        <w:rPr>
          <w:rFonts w:ascii="Times New Roman" w:hAnsi="Times New Roman" w:cs="Times New Roman"/>
        </w:rPr>
        <w:t xml:space="preserve">” Any arguments for disallowance pursuant to this sentence will be addressed as part of the proceeding that will commence upon fuel load of Unit 4. </w:t>
      </w:r>
    </w:p>
  </w:footnote>
  <w:footnote w:id="3">
    <w:p w14:paraId="62ADE454" w14:textId="77777777" w:rsidR="003E238C" w:rsidRPr="00ED7DDF" w:rsidRDefault="003E238C" w:rsidP="003E238C">
      <w:pPr>
        <w:pStyle w:val="FootnoteText"/>
        <w:rPr>
          <w:rFonts w:ascii="Times New Roman" w:hAnsi="Times New Roman" w:cs="Times New Roman"/>
        </w:rPr>
      </w:pPr>
      <w:r w:rsidRPr="00ED7DDF">
        <w:rPr>
          <w:rStyle w:val="FootnoteReference"/>
          <w:rFonts w:ascii="Times New Roman" w:hAnsi="Times New Roman" w:cs="Times New Roman"/>
        </w:rPr>
        <w:footnoteRef/>
      </w:r>
      <w:r w:rsidRPr="00ED7DDF">
        <w:rPr>
          <w:rFonts w:ascii="Times New Roman" w:hAnsi="Times New Roman" w:cs="Times New Roman"/>
        </w:rPr>
        <w:t xml:space="preserve"> SIR Stipulation, para. 8.</w:t>
      </w:r>
    </w:p>
  </w:footnote>
  <w:footnote w:id="4">
    <w:p w14:paraId="441D5B0F" w14:textId="77777777" w:rsidR="001F2FDB" w:rsidRPr="00ED7DDF" w:rsidRDefault="001F2FDB" w:rsidP="001F2FDB">
      <w:pPr>
        <w:pStyle w:val="FootnoteText"/>
        <w:rPr>
          <w:rFonts w:ascii="Times New Roman" w:hAnsi="Times New Roman" w:cs="Times New Roman"/>
          <w:sz w:val="22"/>
          <w:szCs w:val="22"/>
        </w:rPr>
      </w:pPr>
      <w:r w:rsidRPr="00ED7DDF">
        <w:rPr>
          <w:rStyle w:val="FootnoteReference"/>
          <w:rFonts w:ascii="Times New Roman" w:hAnsi="Times New Roman" w:cs="Times New Roman"/>
        </w:rPr>
        <w:footnoteRef/>
      </w:r>
      <w:r w:rsidRPr="00ED7DDF">
        <w:rPr>
          <w:rFonts w:ascii="Times New Roman" w:hAnsi="Times New Roman" w:cs="Times New Roman"/>
        </w:rPr>
        <w:t xml:space="preserve"> SIR Stipulation, para. 12.</w:t>
      </w:r>
    </w:p>
  </w:footnote>
  <w:footnote w:id="5">
    <w:p w14:paraId="353B218C" w14:textId="77777777" w:rsidR="001F2FDB" w:rsidRPr="00ED7DDF" w:rsidRDefault="001F2FDB" w:rsidP="001F2FDB">
      <w:pPr>
        <w:pStyle w:val="FootnoteText"/>
        <w:rPr>
          <w:rFonts w:ascii="Times New Roman" w:hAnsi="Times New Roman" w:cs="Times New Roman"/>
        </w:rPr>
      </w:pPr>
      <w:r w:rsidRPr="00ED7DDF">
        <w:rPr>
          <w:rStyle w:val="FootnoteReference"/>
          <w:rFonts w:ascii="Times New Roman" w:hAnsi="Times New Roman" w:cs="Times New Roman"/>
        </w:rPr>
        <w:footnoteRef/>
      </w:r>
      <w:r w:rsidRPr="00ED7DDF">
        <w:rPr>
          <w:rFonts w:ascii="Times New Roman" w:hAnsi="Times New Roman" w:cs="Times New Roman"/>
        </w:rPr>
        <w:t xml:space="preserve"> SIR Stipulation para. 13.</w:t>
      </w:r>
    </w:p>
  </w:footnote>
  <w:footnote w:id="6">
    <w:p w14:paraId="3882BC32" w14:textId="3462D8CC" w:rsidR="001F2FDB" w:rsidRPr="00ED7DDF" w:rsidRDefault="001F2FDB" w:rsidP="001F2FDB">
      <w:pPr>
        <w:pStyle w:val="FootnoteText"/>
        <w:rPr>
          <w:rFonts w:ascii="Times New Roman" w:hAnsi="Times New Roman" w:cs="Times New Roman"/>
        </w:rPr>
      </w:pPr>
      <w:r w:rsidRPr="00ED7DDF">
        <w:rPr>
          <w:rStyle w:val="FootnoteReference"/>
          <w:rFonts w:ascii="Times New Roman" w:hAnsi="Times New Roman" w:cs="Times New Roman"/>
        </w:rPr>
        <w:footnoteRef/>
      </w:r>
      <w:r w:rsidRPr="00ED7DDF">
        <w:rPr>
          <w:rFonts w:ascii="Times New Roman" w:hAnsi="Times New Roman" w:cs="Times New Roman"/>
        </w:rPr>
        <w:t xml:space="preserve"> </w:t>
      </w:r>
      <w:bookmarkStart w:id="3" w:name="_Hlk69322110"/>
      <w:r w:rsidR="00E00876">
        <w:rPr>
          <w:rFonts w:ascii="Times New Roman" w:hAnsi="Times New Roman" w:cs="Times New Roman"/>
        </w:rPr>
        <w:t>VCM 17 Order at 18 (ordering</w:t>
      </w:r>
      <w:r w:rsidRPr="00ED7DDF">
        <w:rPr>
          <w:rFonts w:ascii="Times New Roman" w:hAnsi="Times New Roman" w:cs="Times New Roman"/>
        </w:rPr>
        <w:t xml:space="preserve"> “no directives or findings in any part of this Order suggest that there is a cost cap”).</w:t>
      </w:r>
      <w:bookmarkEnd w:id="3"/>
    </w:p>
  </w:footnote>
  <w:footnote w:id="7">
    <w:p w14:paraId="0A7A96D2" w14:textId="77777777" w:rsidR="001F2FDB" w:rsidRPr="00ED7DDF" w:rsidRDefault="001F2FDB" w:rsidP="001F2FDB">
      <w:pPr>
        <w:pStyle w:val="FootnoteText"/>
        <w:rPr>
          <w:rFonts w:ascii="Times New Roman" w:hAnsi="Times New Roman" w:cs="Times New Roman"/>
        </w:rPr>
      </w:pPr>
      <w:r w:rsidRPr="00ED7DDF">
        <w:rPr>
          <w:rStyle w:val="FootnoteReference"/>
          <w:rFonts w:ascii="Times New Roman" w:hAnsi="Times New Roman" w:cs="Times New Roman"/>
        </w:rPr>
        <w:footnoteRef/>
      </w:r>
      <w:r w:rsidRPr="00ED7DDF">
        <w:rPr>
          <w:rFonts w:ascii="Times New Roman" w:hAnsi="Times New Roman" w:cs="Times New Roman"/>
        </w:rPr>
        <w:t xml:space="preserve"> VCM 17 Order, page 14, para. 8.</w:t>
      </w:r>
    </w:p>
  </w:footnote>
  <w:footnote w:id="8">
    <w:p w14:paraId="1BF8A2CD" w14:textId="77777777" w:rsidR="001F2FDB" w:rsidRPr="00ED7DDF" w:rsidRDefault="001F2FDB" w:rsidP="001F2FDB">
      <w:pPr>
        <w:pStyle w:val="FootnoteText"/>
        <w:rPr>
          <w:rFonts w:ascii="Times New Roman" w:hAnsi="Times New Roman" w:cs="Times New Roman"/>
        </w:rPr>
      </w:pPr>
      <w:r w:rsidRPr="00ED7DDF">
        <w:rPr>
          <w:rStyle w:val="FootnoteReference"/>
          <w:rFonts w:ascii="Times New Roman" w:hAnsi="Times New Roman" w:cs="Times New Roman"/>
        </w:rPr>
        <w:footnoteRef/>
      </w:r>
      <w:r w:rsidRPr="00ED7DDF">
        <w:rPr>
          <w:rFonts w:ascii="Times New Roman" w:hAnsi="Times New Roman" w:cs="Times New Roman"/>
        </w:rPr>
        <w:t xml:space="preserve"> VCM 17 Order. page 18.</w:t>
      </w:r>
    </w:p>
  </w:footnote>
  <w:footnote w:id="9">
    <w:p w14:paraId="2C8A41E7" w14:textId="77777777" w:rsidR="001F2FDB" w:rsidRPr="00ED7DDF" w:rsidRDefault="001F2FDB" w:rsidP="001F2FDB">
      <w:pPr>
        <w:pStyle w:val="FootnoteText"/>
        <w:rPr>
          <w:rFonts w:ascii="Times New Roman" w:hAnsi="Times New Roman" w:cs="Times New Roman"/>
        </w:rPr>
      </w:pPr>
      <w:r w:rsidRPr="00ED7DDF">
        <w:rPr>
          <w:rStyle w:val="FootnoteReference"/>
          <w:rFonts w:ascii="Times New Roman" w:hAnsi="Times New Roman" w:cs="Times New Roman"/>
        </w:rPr>
        <w:footnoteRef/>
      </w:r>
      <w:r w:rsidRPr="00ED7DDF">
        <w:rPr>
          <w:rFonts w:ascii="Times New Roman" w:hAnsi="Times New Roman" w:cs="Times New Roman"/>
        </w:rPr>
        <w:t xml:space="preserve"> VCM 17 Order, page 15, para. 11.</w:t>
      </w:r>
    </w:p>
  </w:footnote>
  <w:footnote w:id="10">
    <w:p w14:paraId="4F0F13EF" w14:textId="77777777" w:rsidR="00ED7DDF" w:rsidRPr="00ED7DDF" w:rsidRDefault="00ED7DDF" w:rsidP="00ED7DDF">
      <w:pPr>
        <w:pStyle w:val="FootnoteText"/>
        <w:rPr>
          <w:rFonts w:ascii="Times New Roman" w:eastAsia="Calibri" w:hAnsi="Times New Roman" w:cs="Times New Roman"/>
        </w:rPr>
      </w:pPr>
      <w:r w:rsidRPr="00ED7DDF">
        <w:rPr>
          <w:rStyle w:val="FootnoteReference"/>
          <w:rFonts w:ascii="Times New Roman" w:hAnsi="Times New Roman" w:cs="Times New Roman"/>
        </w:rPr>
        <w:footnoteRef/>
      </w:r>
      <w:r w:rsidRPr="00ED7DDF">
        <w:rPr>
          <w:rFonts w:ascii="Times New Roman" w:hAnsi="Times New Roman" w:cs="Times New Roman"/>
        </w:rPr>
        <w:t xml:space="preserve"> VCM 23 Stipulation, para. 4. This date was subsequently extended to April 30, 2021.  See letter dated March 31, 2021 filed in Docket No. 29849.</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B51487"/>
    <w:multiLevelType w:val="hybridMultilevel"/>
    <w:tmpl w:val="753C1E1E"/>
    <w:lvl w:ilvl="0" w:tplc="998C2D4C">
      <w:start w:val="1"/>
      <w:numFmt w:val="lowerLetter"/>
      <w:lvlText w:val="(%1)"/>
      <w:lvlJc w:val="left"/>
      <w:pPr>
        <w:tabs>
          <w:tab w:val="num" w:pos="1080"/>
        </w:tabs>
        <w:ind w:left="1080" w:hanging="360"/>
      </w:pPr>
    </w:lvl>
    <w:lvl w:ilvl="1" w:tplc="04090019">
      <w:start w:val="1"/>
      <w:numFmt w:val="decimal"/>
      <w:lvlText w:val="%2."/>
      <w:lvlJc w:val="left"/>
      <w:pPr>
        <w:tabs>
          <w:tab w:val="num" w:pos="450"/>
        </w:tabs>
        <w:ind w:left="450" w:hanging="360"/>
      </w:pPr>
    </w:lvl>
    <w:lvl w:ilvl="2" w:tplc="0409001B">
      <w:start w:val="1"/>
      <w:numFmt w:val="decimal"/>
      <w:lvlText w:val="%3."/>
      <w:lvlJc w:val="left"/>
      <w:pPr>
        <w:tabs>
          <w:tab w:val="num" w:pos="1170"/>
        </w:tabs>
        <w:ind w:left="1170" w:hanging="360"/>
      </w:pPr>
    </w:lvl>
    <w:lvl w:ilvl="3" w:tplc="0409000F">
      <w:start w:val="1"/>
      <w:numFmt w:val="decimal"/>
      <w:lvlText w:val="%4."/>
      <w:lvlJc w:val="left"/>
      <w:pPr>
        <w:tabs>
          <w:tab w:val="num" w:pos="1890"/>
        </w:tabs>
        <w:ind w:left="1890" w:hanging="360"/>
      </w:pPr>
    </w:lvl>
    <w:lvl w:ilvl="4" w:tplc="04090019">
      <w:start w:val="1"/>
      <w:numFmt w:val="decimal"/>
      <w:lvlText w:val="%5."/>
      <w:lvlJc w:val="left"/>
      <w:pPr>
        <w:tabs>
          <w:tab w:val="num" w:pos="2610"/>
        </w:tabs>
        <w:ind w:left="2610" w:hanging="360"/>
      </w:pPr>
    </w:lvl>
    <w:lvl w:ilvl="5" w:tplc="0409001B">
      <w:start w:val="1"/>
      <w:numFmt w:val="decimal"/>
      <w:lvlText w:val="%6."/>
      <w:lvlJc w:val="left"/>
      <w:pPr>
        <w:tabs>
          <w:tab w:val="num" w:pos="3330"/>
        </w:tabs>
        <w:ind w:left="3330" w:hanging="360"/>
      </w:pPr>
    </w:lvl>
    <w:lvl w:ilvl="6" w:tplc="0409000F">
      <w:start w:val="1"/>
      <w:numFmt w:val="decimal"/>
      <w:lvlText w:val="%7."/>
      <w:lvlJc w:val="left"/>
      <w:pPr>
        <w:tabs>
          <w:tab w:val="num" w:pos="4050"/>
        </w:tabs>
        <w:ind w:left="4050" w:hanging="360"/>
      </w:pPr>
    </w:lvl>
    <w:lvl w:ilvl="7" w:tplc="04090019">
      <w:start w:val="1"/>
      <w:numFmt w:val="decimal"/>
      <w:lvlText w:val="%8."/>
      <w:lvlJc w:val="left"/>
      <w:pPr>
        <w:tabs>
          <w:tab w:val="num" w:pos="4770"/>
        </w:tabs>
        <w:ind w:left="4770" w:hanging="360"/>
      </w:pPr>
    </w:lvl>
    <w:lvl w:ilvl="8" w:tplc="0409001B">
      <w:start w:val="1"/>
      <w:numFmt w:val="decimal"/>
      <w:lvlText w:val="%9."/>
      <w:lvlJc w:val="left"/>
      <w:pPr>
        <w:tabs>
          <w:tab w:val="num" w:pos="5490"/>
        </w:tabs>
        <w:ind w:left="5490" w:hanging="360"/>
      </w:pPr>
    </w:lvl>
  </w:abstractNum>
  <w:abstractNum w:abstractNumId="1" w15:restartNumberingAfterBreak="0">
    <w:nsid w:val="621B75CF"/>
    <w:multiLevelType w:val="hybridMultilevel"/>
    <w:tmpl w:val="326CD6EC"/>
    <w:lvl w:ilvl="0" w:tplc="F4A643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AE10E7"/>
    <w:multiLevelType w:val="hybridMultilevel"/>
    <w:tmpl w:val="4874F78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33"/>
    <w:rsid w:val="00004BB6"/>
    <w:rsid w:val="00013706"/>
    <w:rsid w:val="00025C78"/>
    <w:rsid w:val="000413B2"/>
    <w:rsid w:val="00043C6B"/>
    <w:rsid w:val="000615D0"/>
    <w:rsid w:val="00077786"/>
    <w:rsid w:val="0008019B"/>
    <w:rsid w:val="000A0895"/>
    <w:rsid w:val="000A16AB"/>
    <w:rsid w:val="000A47B1"/>
    <w:rsid w:val="000B6202"/>
    <w:rsid w:val="000C1288"/>
    <w:rsid w:val="000D5970"/>
    <w:rsid w:val="000E781A"/>
    <w:rsid w:val="000F0439"/>
    <w:rsid w:val="000F16F4"/>
    <w:rsid w:val="001049F1"/>
    <w:rsid w:val="0010676D"/>
    <w:rsid w:val="00107B9E"/>
    <w:rsid w:val="00111216"/>
    <w:rsid w:val="001131E7"/>
    <w:rsid w:val="001133B4"/>
    <w:rsid w:val="001218C2"/>
    <w:rsid w:val="00124901"/>
    <w:rsid w:val="0014765C"/>
    <w:rsid w:val="00163305"/>
    <w:rsid w:val="00171BDD"/>
    <w:rsid w:val="00171DB6"/>
    <w:rsid w:val="00180089"/>
    <w:rsid w:val="0018535D"/>
    <w:rsid w:val="00187D1D"/>
    <w:rsid w:val="001A0FA6"/>
    <w:rsid w:val="001A25B4"/>
    <w:rsid w:val="001A51D0"/>
    <w:rsid w:val="001E6DC3"/>
    <w:rsid w:val="001E7851"/>
    <w:rsid w:val="001F2FDB"/>
    <w:rsid w:val="001F4B48"/>
    <w:rsid w:val="0020561E"/>
    <w:rsid w:val="00231E90"/>
    <w:rsid w:val="0023253A"/>
    <w:rsid w:val="00250357"/>
    <w:rsid w:val="00250D82"/>
    <w:rsid w:val="00251694"/>
    <w:rsid w:val="00254260"/>
    <w:rsid w:val="002805FC"/>
    <w:rsid w:val="00280C6A"/>
    <w:rsid w:val="00282D2D"/>
    <w:rsid w:val="00294334"/>
    <w:rsid w:val="00294E6D"/>
    <w:rsid w:val="00296092"/>
    <w:rsid w:val="002965CB"/>
    <w:rsid w:val="002A1BF8"/>
    <w:rsid w:val="002B07E4"/>
    <w:rsid w:val="002B64B4"/>
    <w:rsid w:val="002C391C"/>
    <w:rsid w:val="002E7942"/>
    <w:rsid w:val="002F55D1"/>
    <w:rsid w:val="00307532"/>
    <w:rsid w:val="00313162"/>
    <w:rsid w:val="003503F1"/>
    <w:rsid w:val="00350968"/>
    <w:rsid w:val="00377006"/>
    <w:rsid w:val="00395928"/>
    <w:rsid w:val="003A0B00"/>
    <w:rsid w:val="003B4EA6"/>
    <w:rsid w:val="003B6F96"/>
    <w:rsid w:val="003E238C"/>
    <w:rsid w:val="003F4102"/>
    <w:rsid w:val="00404386"/>
    <w:rsid w:val="004177A7"/>
    <w:rsid w:val="00427282"/>
    <w:rsid w:val="004303D3"/>
    <w:rsid w:val="00471486"/>
    <w:rsid w:val="004763D4"/>
    <w:rsid w:val="00483E93"/>
    <w:rsid w:val="00487780"/>
    <w:rsid w:val="004D16C5"/>
    <w:rsid w:val="004E1F16"/>
    <w:rsid w:val="004F322F"/>
    <w:rsid w:val="005035E6"/>
    <w:rsid w:val="0050551D"/>
    <w:rsid w:val="00540B48"/>
    <w:rsid w:val="005528CE"/>
    <w:rsid w:val="00574E5F"/>
    <w:rsid w:val="00587A91"/>
    <w:rsid w:val="005A2748"/>
    <w:rsid w:val="005A2D35"/>
    <w:rsid w:val="005B704D"/>
    <w:rsid w:val="005C156C"/>
    <w:rsid w:val="005C19AA"/>
    <w:rsid w:val="005D400B"/>
    <w:rsid w:val="00600C87"/>
    <w:rsid w:val="00604A52"/>
    <w:rsid w:val="00623DCC"/>
    <w:rsid w:val="00647023"/>
    <w:rsid w:val="00654D00"/>
    <w:rsid w:val="006637E3"/>
    <w:rsid w:val="006768E2"/>
    <w:rsid w:val="006771A5"/>
    <w:rsid w:val="00685494"/>
    <w:rsid w:val="006935FC"/>
    <w:rsid w:val="006945C7"/>
    <w:rsid w:val="006A0E91"/>
    <w:rsid w:val="006A3995"/>
    <w:rsid w:val="006B43EC"/>
    <w:rsid w:val="006E6212"/>
    <w:rsid w:val="0070790F"/>
    <w:rsid w:val="00726437"/>
    <w:rsid w:val="00731B74"/>
    <w:rsid w:val="00733769"/>
    <w:rsid w:val="007563FF"/>
    <w:rsid w:val="007769EE"/>
    <w:rsid w:val="00783543"/>
    <w:rsid w:val="00783C06"/>
    <w:rsid w:val="007A69C2"/>
    <w:rsid w:val="007B4E47"/>
    <w:rsid w:val="007C3CDA"/>
    <w:rsid w:val="007D12E5"/>
    <w:rsid w:val="007D2346"/>
    <w:rsid w:val="007D49E9"/>
    <w:rsid w:val="007E3AFC"/>
    <w:rsid w:val="00815C59"/>
    <w:rsid w:val="008163BA"/>
    <w:rsid w:val="00853BD7"/>
    <w:rsid w:val="00861797"/>
    <w:rsid w:val="0086259A"/>
    <w:rsid w:val="00877C48"/>
    <w:rsid w:val="008810EA"/>
    <w:rsid w:val="0088554C"/>
    <w:rsid w:val="00885FA1"/>
    <w:rsid w:val="0089480C"/>
    <w:rsid w:val="008B082B"/>
    <w:rsid w:val="008B62C8"/>
    <w:rsid w:val="008C0884"/>
    <w:rsid w:val="008C1690"/>
    <w:rsid w:val="00917EE1"/>
    <w:rsid w:val="00921C64"/>
    <w:rsid w:val="0092696A"/>
    <w:rsid w:val="009308AE"/>
    <w:rsid w:val="00934B0A"/>
    <w:rsid w:val="00940E36"/>
    <w:rsid w:val="009456E6"/>
    <w:rsid w:val="009471A0"/>
    <w:rsid w:val="009508F9"/>
    <w:rsid w:val="00955E55"/>
    <w:rsid w:val="00963E4C"/>
    <w:rsid w:val="00966607"/>
    <w:rsid w:val="00977122"/>
    <w:rsid w:val="009821C9"/>
    <w:rsid w:val="00990DD3"/>
    <w:rsid w:val="009B6A8B"/>
    <w:rsid w:val="009C4424"/>
    <w:rsid w:val="009C7130"/>
    <w:rsid w:val="009D041F"/>
    <w:rsid w:val="009F04FD"/>
    <w:rsid w:val="009F5373"/>
    <w:rsid w:val="009F6FD3"/>
    <w:rsid w:val="00A12EF7"/>
    <w:rsid w:val="00A14370"/>
    <w:rsid w:val="00A2482B"/>
    <w:rsid w:val="00A25C33"/>
    <w:rsid w:val="00A26E4F"/>
    <w:rsid w:val="00A2739F"/>
    <w:rsid w:val="00A51E96"/>
    <w:rsid w:val="00A52CF8"/>
    <w:rsid w:val="00A55070"/>
    <w:rsid w:val="00A55779"/>
    <w:rsid w:val="00A77FF9"/>
    <w:rsid w:val="00AA4565"/>
    <w:rsid w:val="00AA6CE6"/>
    <w:rsid w:val="00AC0AAC"/>
    <w:rsid w:val="00AC0EB4"/>
    <w:rsid w:val="00AD0B81"/>
    <w:rsid w:val="00B10088"/>
    <w:rsid w:val="00B12139"/>
    <w:rsid w:val="00B360DE"/>
    <w:rsid w:val="00B465C7"/>
    <w:rsid w:val="00B51DC9"/>
    <w:rsid w:val="00B6464D"/>
    <w:rsid w:val="00B66E3E"/>
    <w:rsid w:val="00B711B7"/>
    <w:rsid w:val="00BA28C6"/>
    <w:rsid w:val="00BA45E7"/>
    <w:rsid w:val="00BC0914"/>
    <w:rsid w:val="00BC277B"/>
    <w:rsid w:val="00BD74FC"/>
    <w:rsid w:val="00BF033C"/>
    <w:rsid w:val="00BF18AA"/>
    <w:rsid w:val="00BF2646"/>
    <w:rsid w:val="00BF2922"/>
    <w:rsid w:val="00BF72AF"/>
    <w:rsid w:val="00C048C2"/>
    <w:rsid w:val="00C12C28"/>
    <w:rsid w:val="00C13789"/>
    <w:rsid w:val="00C2299D"/>
    <w:rsid w:val="00C55453"/>
    <w:rsid w:val="00C62ADA"/>
    <w:rsid w:val="00C73B7A"/>
    <w:rsid w:val="00C815AA"/>
    <w:rsid w:val="00CB3CEF"/>
    <w:rsid w:val="00CC1079"/>
    <w:rsid w:val="00CC1A11"/>
    <w:rsid w:val="00CD2CCC"/>
    <w:rsid w:val="00CE2E44"/>
    <w:rsid w:val="00CE7823"/>
    <w:rsid w:val="00D00E9E"/>
    <w:rsid w:val="00D1013A"/>
    <w:rsid w:val="00D1426D"/>
    <w:rsid w:val="00D171AA"/>
    <w:rsid w:val="00D31EE0"/>
    <w:rsid w:val="00D3348A"/>
    <w:rsid w:val="00D50A3A"/>
    <w:rsid w:val="00D57EC3"/>
    <w:rsid w:val="00D737E1"/>
    <w:rsid w:val="00D75093"/>
    <w:rsid w:val="00D95606"/>
    <w:rsid w:val="00DC1331"/>
    <w:rsid w:val="00DC5601"/>
    <w:rsid w:val="00DD3C44"/>
    <w:rsid w:val="00DE244B"/>
    <w:rsid w:val="00DE3C82"/>
    <w:rsid w:val="00DF41C7"/>
    <w:rsid w:val="00E00876"/>
    <w:rsid w:val="00E00E8F"/>
    <w:rsid w:val="00E40510"/>
    <w:rsid w:val="00E54243"/>
    <w:rsid w:val="00E54DA1"/>
    <w:rsid w:val="00E612CC"/>
    <w:rsid w:val="00E64225"/>
    <w:rsid w:val="00E67C6B"/>
    <w:rsid w:val="00E70648"/>
    <w:rsid w:val="00E720A1"/>
    <w:rsid w:val="00E81AC5"/>
    <w:rsid w:val="00E82513"/>
    <w:rsid w:val="00E83756"/>
    <w:rsid w:val="00E96B50"/>
    <w:rsid w:val="00EA48F0"/>
    <w:rsid w:val="00EB797F"/>
    <w:rsid w:val="00EB7EB3"/>
    <w:rsid w:val="00ED1E6E"/>
    <w:rsid w:val="00ED7DDF"/>
    <w:rsid w:val="00EE6E83"/>
    <w:rsid w:val="00EF5797"/>
    <w:rsid w:val="00F215A6"/>
    <w:rsid w:val="00F37DA3"/>
    <w:rsid w:val="00F461AC"/>
    <w:rsid w:val="00F54872"/>
    <w:rsid w:val="00F55F2E"/>
    <w:rsid w:val="00F6144B"/>
    <w:rsid w:val="00F64838"/>
    <w:rsid w:val="00F66090"/>
    <w:rsid w:val="00F91027"/>
    <w:rsid w:val="00F97B47"/>
    <w:rsid w:val="00FB267B"/>
    <w:rsid w:val="00FB2B5C"/>
    <w:rsid w:val="00FB3A84"/>
    <w:rsid w:val="00FB5500"/>
    <w:rsid w:val="00FD3657"/>
    <w:rsid w:val="00FE66A3"/>
    <w:rsid w:val="00FF38F8"/>
    <w:rsid w:val="00FF4CD7"/>
    <w:rsid w:val="00FF64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261A3F0D"/>
  <w15:chartTrackingRefBased/>
  <w15:docId w15:val="{4FAFFC38-33EB-4D10-B1F3-3DBA0B2F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056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561E"/>
    <w:rPr>
      <w:sz w:val="20"/>
      <w:szCs w:val="20"/>
    </w:rPr>
  </w:style>
  <w:style w:type="character" w:styleId="FootnoteReference">
    <w:name w:val="footnote reference"/>
    <w:uiPriority w:val="99"/>
    <w:semiHidden/>
    <w:unhideWhenUsed/>
    <w:rsid w:val="0020561E"/>
    <w:rPr>
      <w:vertAlign w:val="superscript"/>
    </w:rPr>
  </w:style>
  <w:style w:type="paragraph" w:styleId="Header">
    <w:name w:val="header"/>
    <w:basedOn w:val="Normal"/>
    <w:link w:val="HeaderChar"/>
    <w:uiPriority w:val="99"/>
    <w:unhideWhenUsed/>
    <w:rsid w:val="00862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59A"/>
  </w:style>
  <w:style w:type="paragraph" w:styleId="Footer">
    <w:name w:val="footer"/>
    <w:basedOn w:val="Normal"/>
    <w:link w:val="FooterChar"/>
    <w:uiPriority w:val="99"/>
    <w:unhideWhenUsed/>
    <w:rsid w:val="008625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59A"/>
  </w:style>
  <w:style w:type="character" w:styleId="CommentReference">
    <w:name w:val="annotation reference"/>
    <w:basedOn w:val="DefaultParagraphFont"/>
    <w:uiPriority w:val="99"/>
    <w:semiHidden/>
    <w:unhideWhenUsed/>
    <w:rsid w:val="005C156C"/>
    <w:rPr>
      <w:sz w:val="16"/>
      <w:szCs w:val="16"/>
    </w:rPr>
  </w:style>
  <w:style w:type="paragraph" w:styleId="CommentText">
    <w:name w:val="annotation text"/>
    <w:basedOn w:val="Normal"/>
    <w:link w:val="CommentTextChar"/>
    <w:uiPriority w:val="99"/>
    <w:semiHidden/>
    <w:unhideWhenUsed/>
    <w:rsid w:val="005C156C"/>
    <w:pPr>
      <w:spacing w:line="240" w:lineRule="auto"/>
    </w:pPr>
    <w:rPr>
      <w:sz w:val="20"/>
      <w:szCs w:val="20"/>
    </w:rPr>
  </w:style>
  <w:style w:type="character" w:customStyle="1" w:styleId="CommentTextChar">
    <w:name w:val="Comment Text Char"/>
    <w:basedOn w:val="DefaultParagraphFont"/>
    <w:link w:val="CommentText"/>
    <w:uiPriority w:val="99"/>
    <w:semiHidden/>
    <w:rsid w:val="005C156C"/>
    <w:rPr>
      <w:sz w:val="20"/>
      <w:szCs w:val="20"/>
    </w:rPr>
  </w:style>
  <w:style w:type="paragraph" w:styleId="CommentSubject">
    <w:name w:val="annotation subject"/>
    <w:basedOn w:val="CommentText"/>
    <w:next w:val="CommentText"/>
    <w:link w:val="CommentSubjectChar"/>
    <w:uiPriority w:val="99"/>
    <w:semiHidden/>
    <w:unhideWhenUsed/>
    <w:rsid w:val="005C156C"/>
    <w:rPr>
      <w:b/>
      <w:bCs/>
    </w:rPr>
  </w:style>
  <w:style w:type="character" w:customStyle="1" w:styleId="CommentSubjectChar">
    <w:name w:val="Comment Subject Char"/>
    <w:basedOn w:val="CommentTextChar"/>
    <w:link w:val="CommentSubject"/>
    <w:uiPriority w:val="99"/>
    <w:semiHidden/>
    <w:rsid w:val="005C156C"/>
    <w:rPr>
      <w:b/>
      <w:bCs/>
      <w:sz w:val="20"/>
      <w:szCs w:val="20"/>
    </w:rPr>
  </w:style>
  <w:style w:type="paragraph" w:styleId="BalloonText">
    <w:name w:val="Balloon Text"/>
    <w:basedOn w:val="Normal"/>
    <w:link w:val="BalloonTextChar"/>
    <w:uiPriority w:val="99"/>
    <w:semiHidden/>
    <w:unhideWhenUsed/>
    <w:rsid w:val="005C15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56C"/>
    <w:rPr>
      <w:rFonts w:ascii="Segoe UI" w:hAnsi="Segoe UI" w:cs="Segoe UI"/>
      <w:sz w:val="18"/>
      <w:szCs w:val="18"/>
    </w:rPr>
  </w:style>
  <w:style w:type="paragraph" w:styleId="ListParagraph">
    <w:name w:val="List Paragraph"/>
    <w:basedOn w:val="Normal"/>
    <w:uiPriority w:val="34"/>
    <w:qFormat/>
    <w:rsid w:val="00E00876"/>
    <w:pPr>
      <w:ind w:left="720"/>
      <w:contextualSpacing/>
    </w:pPr>
  </w:style>
  <w:style w:type="paragraph" w:customStyle="1" w:styleId="Quote2">
    <w:name w:val="Quote 2"/>
    <w:basedOn w:val="Normal"/>
    <w:link w:val="Quote2Char"/>
    <w:qFormat/>
    <w:rsid w:val="00187D1D"/>
    <w:pPr>
      <w:spacing w:after="240" w:line="240" w:lineRule="auto"/>
      <w:ind w:left="1440" w:right="1080" w:firstLine="720"/>
      <w:jc w:val="both"/>
    </w:pPr>
    <w:rPr>
      <w:rFonts w:ascii="Times New Roman" w:hAnsi="Times New Roman"/>
      <w:sz w:val="28"/>
      <w:szCs w:val="24"/>
    </w:rPr>
  </w:style>
  <w:style w:type="character" w:customStyle="1" w:styleId="Quote2Char">
    <w:name w:val="Quote 2 Char"/>
    <w:basedOn w:val="DefaultParagraphFont"/>
    <w:link w:val="Quote2"/>
    <w:rsid w:val="00187D1D"/>
    <w:rPr>
      <w:rFonts w:ascii="Times New Roman" w:hAnsi="Times New Roman"/>
      <w:sz w:val="28"/>
      <w:szCs w:val="24"/>
    </w:rPr>
  </w:style>
  <w:style w:type="paragraph" w:styleId="Revision">
    <w:name w:val="Revision"/>
    <w:hidden/>
    <w:uiPriority w:val="99"/>
    <w:semiHidden/>
    <w:rsid w:val="00853B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9009">
      <w:bodyDiv w:val="1"/>
      <w:marLeft w:val="0"/>
      <w:marRight w:val="0"/>
      <w:marTop w:val="0"/>
      <w:marBottom w:val="0"/>
      <w:divBdr>
        <w:top w:val="none" w:sz="0" w:space="0" w:color="auto"/>
        <w:left w:val="none" w:sz="0" w:space="0" w:color="auto"/>
        <w:bottom w:val="none" w:sz="0" w:space="0" w:color="auto"/>
        <w:right w:val="none" w:sz="0" w:space="0" w:color="auto"/>
      </w:divBdr>
    </w:div>
    <w:div w:id="33426913">
      <w:bodyDiv w:val="1"/>
      <w:marLeft w:val="0"/>
      <w:marRight w:val="0"/>
      <w:marTop w:val="0"/>
      <w:marBottom w:val="0"/>
      <w:divBdr>
        <w:top w:val="none" w:sz="0" w:space="0" w:color="auto"/>
        <w:left w:val="none" w:sz="0" w:space="0" w:color="auto"/>
        <w:bottom w:val="none" w:sz="0" w:space="0" w:color="auto"/>
        <w:right w:val="none" w:sz="0" w:space="0" w:color="auto"/>
      </w:divBdr>
    </w:div>
    <w:div w:id="204485005">
      <w:bodyDiv w:val="1"/>
      <w:marLeft w:val="0"/>
      <w:marRight w:val="0"/>
      <w:marTop w:val="0"/>
      <w:marBottom w:val="0"/>
      <w:divBdr>
        <w:top w:val="none" w:sz="0" w:space="0" w:color="auto"/>
        <w:left w:val="none" w:sz="0" w:space="0" w:color="auto"/>
        <w:bottom w:val="none" w:sz="0" w:space="0" w:color="auto"/>
        <w:right w:val="none" w:sz="0" w:space="0" w:color="auto"/>
      </w:divBdr>
    </w:div>
    <w:div w:id="442189851">
      <w:bodyDiv w:val="1"/>
      <w:marLeft w:val="0"/>
      <w:marRight w:val="0"/>
      <w:marTop w:val="0"/>
      <w:marBottom w:val="0"/>
      <w:divBdr>
        <w:top w:val="none" w:sz="0" w:space="0" w:color="auto"/>
        <w:left w:val="none" w:sz="0" w:space="0" w:color="auto"/>
        <w:bottom w:val="none" w:sz="0" w:space="0" w:color="auto"/>
        <w:right w:val="none" w:sz="0" w:space="0" w:color="auto"/>
      </w:divBdr>
    </w:div>
    <w:div w:id="508368496">
      <w:bodyDiv w:val="1"/>
      <w:marLeft w:val="0"/>
      <w:marRight w:val="0"/>
      <w:marTop w:val="0"/>
      <w:marBottom w:val="0"/>
      <w:divBdr>
        <w:top w:val="none" w:sz="0" w:space="0" w:color="auto"/>
        <w:left w:val="none" w:sz="0" w:space="0" w:color="auto"/>
        <w:bottom w:val="none" w:sz="0" w:space="0" w:color="auto"/>
        <w:right w:val="none" w:sz="0" w:space="0" w:color="auto"/>
      </w:divBdr>
    </w:div>
    <w:div w:id="578560724">
      <w:bodyDiv w:val="1"/>
      <w:marLeft w:val="0"/>
      <w:marRight w:val="0"/>
      <w:marTop w:val="0"/>
      <w:marBottom w:val="0"/>
      <w:divBdr>
        <w:top w:val="none" w:sz="0" w:space="0" w:color="auto"/>
        <w:left w:val="none" w:sz="0" w:space="0" w:color="auto"/>
        <w:bottom w:val="none" w:sz="0" w:space="0" w:color="auto"/>
        <w:right w:val="none" w:sz="0" w:space="0" w:color="auto"/>
      </w:divBdr>
    </w:div>
    <w:div w:id="1080559921">
      <w:bodyDiv w:val="1"/>
      <w:marLeft w:val="0"/>
      <w:marRight w:val="0"/>
      <w:marTop w:val="0"/>
      <w:marBottom w:val="0"/>
      <w:divBdr>
        <w:top w:val="none" w:sz="0" w:space="0" w:color="auto"/>
        <w:left w:val="none" w:sz="0" w:space="0" w:color="auto"/>
        <w:bottom w:val="none" w:sz="0" w:space="0" w:color="auto"/>
        <w:right w:val="none" w:sz="0" w:space="0" w:color="auto"/>
      </w:divBdr>
    </w:div>
    <w:div w:id="1232085716">
      <w:bodyDiv w:val="1"/>
      <w:marLeft w:val="0"/>
      <w:marRight w:val="0"/>
      <w:marTop w:val="0"/>
      <w:marBottom w:val="0"/>
      <w:divBdr>
        <w:top w:val="none" w:sz="0" w:space="0" w:color="auto"/>
        <w:left w:val="none" w:sz="0" w:space="0" w:color="auto"/>
        <w:bottom w:val="none" w:sz="0" w:space="0" w:color="auto"/>
        <w:right w:val="none" w:sz="0" w:space="0" w:color="auto"/>
      </w:divBdr>
    </w:div>
    <w:div w:id="1454595224">
      <w:bodyDiv w:val="1"/>
      <w:marLeft w:val="0"/>
      <w:marRight w:val="0"/>
      <w:marTop w:val="0"/>
      <w:marBottom w:val="0"/>
      <w:divBdr>
        <w:top w:val="none" w:sz="0" w:space="0" w:color="auto"/>
        <w:left w:val="none" w:sz="0" w:space="0" w:color="auto"/>
        <w:bottom w:val="none" w:sz="0" w:space="0" w:color="auto"/>
        <w:right w:val="none" w:sz="0" w:space="0" w:color="auto"/>
      </w:divBdr>
    </w:div>
    <w:div w:id="1635209038">
      <w:bodyDiv w:val="1"/>
      <w:marLeft w:val="0"/>
      <w:marRight w:val="0"/>
      <w:marTop w:val="0"/>
      <w:marBottom w:val="0"/>
      <w:divBdr>
        <w:top w:val="none" w:sz="0" w:space="0" w:color="auto"/>
        <w:left w:val="none" w:sz="0" w:space="0" w:color="auto"/>
        <w:bottom w:val="none" w:sz="0" w:space="0" w:color="auto"/>
        <w:right w:val="none" w:sz="0" w:space="0" w:color="auto"/>
      </w:divBdr>
    </w:div>
    <w:div w:id="183903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sc.ga.gov/search/facts-document/?documentId=166377" TargetMode="External"/><Relationship Id="rId4" Type="http://schemas.openxmlformats.org/officeDocument/2006/relationships/settings" Target="settings.xml"/><Relationship Id="rId9" Type="http://schemas.openxmlformats.org/officeDocument/2006/relationships/hyperlink" Target="https://psc.ga.gov/search/facts-document/?documentId=1707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C7274-93CB-44C9-A265-686D758D2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4047</Words>
  <Characters>23073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Gibson</dc:creator>
  <cp:keywords/>
  <dc:description/>
  <cp:lastModifiedBy>Reece McAlister</cp:lastModifiedBy>
  <cp:revision>2</cp:revision>
  <cp:lastPrinted>2021-11-15T12:24:00Z</cp:lastPrinted>
  <dcterms:created xsi:type="dcterms:W3CDTF">2021-11-15T12:25:00Z</dcterms:created>
  <dcterms:modified xsi:type="dcterms:W3CDTF">2021-11-15T12:25:00Z</dcterms:modified>
</cp:coreProperties>
</file>