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116D8" w14:paraId="3C9B160C" w14:textId="77777777" w:rsidTr="00055A85">
        <w:trPr>
          <w:trHeight w:val="1681"/>
          <w:jc w:val="center"/>
        </w:trPr>
        <w:tc>
          <w:tcPr>
            <w:tcW w:w="4358" w:type="dxa"/>
            <w:hideMark/>
          </w:tcPr>
          <w:p w14:paraId="5AC32AA4" w14:textId="77777777" w:rsidR="003116D8" w:rsidRDefault="003116D8" w:rsidP="00055A85">
            <w:pPr>
              <w:spacing w:line="276" w:lineRule="auto"/>
              <w:rPr>
                <w:rStyle w:val="Strong"/>
                <w:rFonts w:ascii="Arial Black" w:hAnsi="Arial Black"/>
                <w:sz w:val="16"/>
                <w:szCs w:val="16"/>
              </w:rPr>
            </w:pPr>
            <w:r>
              <w:rPr>
                <w:rFonts w:ascii="Arial Black" w:hAnsi="Arial Black"/>
                <w:sz w:val="16"/>
                <w:szCs w:val="16"/>
              </w:rPr>
              <w:fldChar w:fldCharType="begin"/>
            </w:r>
            <w:r>
              <w:rPr>
                <w:rFonts w:ascii="Arial Black" w:hAnsi="Arial Black"/>
                <w:sz w:val="16"/>
                <w:szCs w:val="16"/>
              </w:rPr>
              <w:instrText>PRIVATE</w:instrText>
            </w:r>
            <w:r>
              <w:rPr>
                <w:rFonts w:ascii="Arial Black" w:hAnsi="Arial Black"/>
                <w:sz w:val="16"/>
                <w:szCs w:val="16"/>
              </w:rPr>
              <w:fldChar w:fldCharType="end"/>
            </w:r>
            <w:r>
              <w:rPr>
                <w:rStyle w:val="Strong"/>
                <w:rFonts w:ascii="Arial Black" w:hAnsi="Arial Black"/>
                <w:sz w:val="16"/>
                <w:szCs w:val="16"/>
              </w:rPr>
              <w:t>COMMISSIONERS:</w:t>
            </w:r>
          </w:p>
          <w:p w14:paraId="0C47CB72" w14:textId="77777777" w:rsidR="003116D8" w:rsidRDefault="003116D8" w:rsidP="00055A85">
            <w:pPr>
              <w:spacing w:line="276" w:lineRule="auto"/>
              <w:rPr>
                <w:rStyle w:val="Strong"/>
                <w:rFonts w:ascii="Arial Black" w:hAnsi="Arial Black"/>
                <w:sz w:val="16"/>
                <w:szCs w:val="16"/>
              </w:rPr>
            </w:pPr>
            <w:r>
              <w:rPr>
                <w:rStyle w:val="Strong"/>
                <w:rFonts w:ascii="Arial Black" w:hAnsi="Arial Black"/>
                <w:sz w:val="16"/>
                <w:szCs w:val="16"/>
              </w:rPr>
              <w:t xml:space="preserve">TRICIA PRIDEMORE, Chairman </w:t>
            </w:r>
          </w:p>
          <w:p w14:paraId="39547D2D" w14:textId="77777777" w:rsidR="003116D8" w:rsidRDefault="003116D8" w:rsidP="00055A85">
            <w:pPr>
              <w:spacing w:line="276" w:lineRule="auto"/>
              <w:rPr>
                <w:rStyle w:val="Strong"/>
                <w:rFonts w:ascii="Arial Black" w:hAnsi="Arial Black"/>
                <w:sz w:val="16"/>
                <w:szCs w:val="16"/>
              </w:rPr>
            </w:pPr>
            <w:r>
              <w:rPr>
                <w:rStyle w:val="Strong"/>
                <w:rFonts w:ascii="Arial Black" w:hAnsi="Arial Black"/>
                <w:sz w:val="16"/>
                <w:szCs w:val="16"/>
              </w:rPr>
              <w:t>TIM G. ECHOLS, Vice-Chairman</w:t>
            </w:r>
          </w:p>
          <w:p w14:paraId="7F4D6C85" w14:textId="77777777" w:rsidR="003116D8" w:rsidRDefault="003116D8" w:rsidP="00055A85">
            <w:pPr>
              <w:spacing w:line="276" w:lineRule="auto"/>
            </w:pPr>
            <w:r>
              <w:rPr>
                <w:rStyle w:val="Strong"/>
                <w:rFonts w:ascii="Arial Black" w:hAnsi="Arial Black"/>
                <w:sz w:val="16"/>
                <w:szCs w:val="16"/>
              </w:rPr>
              <w:t xml:space="preserve">LAUREN “BUBBA” </w:t>
            </w:r>
            <w:proofErr w:type="spellStart"/>
            <w:r>
              <w:rPr>
                <w:rStyle w:val="Strong"/>
                <w:rFonts w:ascii="Arial Black" w:hAnsi="Arial Black"/>
                <w:sz w:val="16"/>
                <w:szCs w:val="16"/>
              </w:rPr>
              <w:t>McDONALD</w:t>
            </w:r>
            <w:proofErr w:type="spellEnd"/>
            <w:r>
              <w:rPr>
                <w:rStyle w:val="Strong"/>
                <w:rFonts w:ascii="Arial Black" w:hAnsi="Arial Black"/>
                <w:sz w:val="16"/>
                <w:szCs w:val="16"/>
              </w:rPr>
              <w:t xml:space="preserve">                                  </w:t>
            </w:r>
            <w:r>
              <w:rPr>
                <w:rFonts w:ascii="Arial Black" w:hAnsi="Arial Black"/>
                <w:b/>
                <w:sz w:val="16"/>
                <w:szCs w:val="16"/>
              </w:rPr>
              <w:br/>
            </w:r>
            <w:r>
              <w:rPr>
                <w:rStyle w:val="Strong"/>
                <w:rFonts w:ascii="Arial Black" w:hAnsi="Arial Black"/>
                <w:sz w:val="16"/>
                <w:szCs w:val="16"/>
              </w:rPr>
              <w:t xml:space="preserve">JASON SHAW                          </w:t>
            </w:r>
            <w:r>
              <w:rPr>
                <w:rFonts w:ascii="Arial Black" w:hAnsi="Arial Black"/>
                <w:b/>
                <w:sz w:val="16"/>
                <w:szCs w:val="16"/>
              </w:rPr>
              <w:br/>
            </w:r>
          </w:p>
        </w:tc>
        <w:tc>
          <w:tcPr>
            <w:tcW w:w="2970" w:type="dxa"/>
            <w:hideMark/>
          </w:tcPr>
          <w:p w14:paraId="58493635" w14:textId="77777777" w:rsidR="003116D8" w:rsidRDefault="003116D8" w:rsidP="00055A85">
            <w:pPr>
              <w:spacing w:line="276" w:lineRule="auto"/>
              <w:jc w:val="center"/>
            </w:pPr>
            <w:r>
              <w:rPr>
                <w:noProof/>
              </w:rPr>
              <w:drawing>
                <wp:inline distT="0" distB="0" distL="0" distR="0" wp14:anchorId="1E6EB721" wp14:editId="187439DE">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0BB16DE4" w14:textId="77777777" w:rsidR="003116D8" w:rsidRDefault="003116D8" w:rsidP="00055A85">
            <w:pPr>
              <w:spacing w:line="276" w:lineRule="auto"/>
              <w:jc w:val="right"/>
              <w:rPr>
                <w:rFonts w:ascii="Arial Black" w:hAnsi="Arial Black"/>
                <w:b/>
                <w:sz w:val="16"/>
                <w:szCs w:val="16"/>
              </w:rPr>
            </w:pPr>
            <w:r>
              <w:rPr>
                <w:rFonts w:ascii="Arial Black" w:hAnsi="Arial Black"/>
                <w:b/>
                <w:sz w:val="16"/>
                <w:szCs w:val="16"/>
              </w:rPr>
              <w:t> </w:t>
            </w:r>
          </w:p>
          <w:p w14:paraId="30D1871D" w14:textId="77777777" w:rsidR="003116D8" w:rsidRDefault="003116D8" w:rsidP="00055A85">
            <w:pPr>
              <w:spacing w:line="276" w:lineRule="auto"/>
              <w:jc w:val="right"/>
              <w:rPr>
                <w:rFonts w:ascii="Arial Black" w:hAnsi="Arial Black"/>
                <w:b/>
                <w:sz w:val="16"/>
                <w:szCs w:val="16"/>
              </w:rPr>
            </w:pPr>
          </w:p>
          <w:p w14:paraId="713941B8" w14:textId="77777777" w:rsidR="003116D8" w:rsidRDefault="003116D8" w:rsidP="00055A85">
            <w:pPr>
              <w:spacing w:line="276" w:lineRule="auto"/>
              <w:jc w:val="right"/>
              <w:rPr>
                <w:rFonts w:ascii="Arial Black" w:hAnsi="Arial Black"/>
                <w:sz w:val="16"/>
                <w:szCs w:val="16"/>
              </w:rPr>
            </w:pPr>
            <w:r>
              <w:rPr>
                <w:rFonts w:ascii="Arial Black" w:hAnsi="Arial Black"/>
                <w:b/>
                <w:sz w:val="16"/>
                <w:szCs w:val="16"/>
              </w:rPr>
              <w:br/>
              <w:t xml:space="preserve"> </w:t>
            </w:r>
            <w:r>
              <w:rPr>
                <w:rFonts w:ascii="Arial Black" w:hAnsi="Arial Black"/>
                <w:b/>
                <w:sz w:val="16"/>
                <w:szCs w:val="16"/>
              </w:rPr>
              <w:br/>
              <w:t xml:space="preserve">REECE </w:t>
            </w:r>
            <w:proofErr w:type="spellStart"/>
            <w:r>
              <w:rPr>
                <w:rFonts w:ascii="Arial Black" w:hAnsi="Arial Black"/>
                <w:b/>
                <w:sz w:val="16"/>
                <w:szCs w:val="16"/>
              </w:rPr>
              <w:t>McALISTER</w:t>
            </w:r>
            <w:proofErr w:type="spellEnd"/>
            <w:r>
              <w:rPr>
                <w:rFonts w:ascii="Arial Black" w:hAnsi="Arial Black"/>
                <w:b/>
                <w:sz w:val="16"/>
                <w:szCs w:val="16"/>
              </w:rPr>
              <w:br/>
              <w:t>EXECUTIVE SECRETARY</w:t>
            </w:r>
          </w:p>
        </w:tc>
      </w:tr>
      <w:tr w:rsidR="003116D8" w14:paraId="19A89A3D" w14:textId="77777777" w:rsidTr="00055A85">
        <w:trPr>
          <w:trHeight w:val="772"/>
          <w:jc w:val="center"/>
        </w:trPr>
        <w:tc>
          <w:tcPr>
            <w:tcW w:w="11056" w:type="dxa"/>
            <w:gridSpan w:val="3"/>
            <w:hideMark/>
          </w:tcPr>
          <w:p w14:paraId="24A99AE9" w14:textId="77777777" w:rsidR="003116D8" w:rsidRDefault="003116D8" w:rsidP="003116D8">
            <w:pPr>
              <w:pStyle w:val="Heading1"/>
              <w:spacing w:line="276" w:lineRule="auto"/>
              <w:jc w:val="center"/>
              <w:rPr>
                <w:rFonts w:ascii="Old English Text MT" w:hAnsi="Old English Text MT"/>
                <w:sz w:val="42"/>
              </w:rPr>
            </w:pPr>
            <w:smartTag w:uri="urn:schemas-microsoft-com:office:smarttags" w:element="country-region">
              <w:smartTag w:uri="urn:schemas-microsoft-com:office:smarttags" w:element="place">
                <w:r>
                  <w:rPr>
                    <w:rFonts w:ascii="Old English Text MT" w:hAnsi="Old English Text MT"/>
                    <w:sz w:val="42"/>
                  </w:rPr>
                  <w:t>Georgia</w:t>
                </w:r>
              </w:smartTag>
            </w:smartTag>
            <w:r>
              <w:rPr>
                <w:rFonts w:ascii="Old English Text MT" w:hAnsi="Old English Text MT"/>
                <w:sz w:val="42"/>
              </w:rPr>
              <w:t xml:space="preserve"> Public Service Commission</w:t>
            </w:r>
          </w:p>
        </w:tc>
      </w:tr>
      <w:tr w:rsidR="003116D8" w14:paraId="6A3F6E13" w14:textId="77777777" w:rsidTr="00055A85">
        <w:trPr>
          <w:jc w:val="center"/>
        </w:trPr>
        <w:tc>
          <w:tcPr>
            <w:tcW w:w="4358" w:type="dxa"/>
            <w:hideMark/>
          </w:tcPr>
          <w:p w14:paraId="7431D579" w14:textId="77777777" w:rsidR="003116D8" w:rsidRDefault="003116D8" w:rsidP="00055A85">
            <w:pPr>
              <w:spacing w:line="276" w:lineRule="auto"/>
              <w:rPr>
                <w:rFonts w:cs="Arial"/>
                <w:b/>
                <w:bCs/>
                <w:sz w:val="17"/>
                <w:szCs w:val="17"/>
              </w:rPr>
            </w:pPr>
            <w:r>
              <w:rPr>
                <w:rFonts w:cs="Arial"/>
                <w:b/>
                <w:bCs/>
                <w:sz w:val="17"/>
                <w:szCs w:val="17"/>
              </w:rPr>
              <w:t xml:space="preserve">(404) 656-4501  </w:t>
            </w:r>
          </w:p>
          <w:p w14:paraId="36D76F74" w14:textId="77777777" w:rsidR="003116D8" w:rsidRDefault="003116D8" w:rsidP="00055A85">
            <w:pPr>
              <w:spacing w:line="276" w:lineRule="auto"/>
              <w:rPr>
                <w:rFonts w:cs="Arial"/>
                <w:b/>
                <w:bCs/>
              </w:rPr>
            </w:pPr>
            <w:r>
              <w:rPr>
                <w:rFonts w:cs="Arial"/>
                <w:b/>
                <w:bCs/>
                <w:sz w:val="17"/>
                <w:szCs w:val="17"/>
              </w:rPr>
              <w:t>(800) 282-5813</w:t>
            </w:r>
          </w:p>
        </w:tc>
        <w:tc>
          <w:tcPr>
            <w:tcW w:w="2970" w:type="dxa"/>
            <w:hideMark/>
          </w:tcPr>
          <w:p w14:paraId="01DB8F95" w14:textId="77777777" w:rsidR="003116D8" w:rsidRDefault="003116D8" w:rsidP="00055A85">
            <w:pPr>
              <w:spacing w:line="276" w:lineRule="auto"/>
              <w:jc w:val="center"/>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5F2003D2" w14:textId="77777777" w:rsidR="003116D8" w:rsidRDefault="003116D8" w:rsidP="00055A85">
            <w:pPr>
              <w:spacing w:line="276" w:lineRule="auto"/>
              <w:jc w:val="right"/>
              <w:rPr>
                <w:rFonts w:cs="Arial"/>
                <w:b/>
                <w:bCs/>
              </w:rPr>
            </w:pPr>
            <w:r>
              <w:rPr>
                <w:rFonts w:cs="Arial"/>
                <w:b/>
                <w:bCs/>
                <w:sz w:val="17"/>
                <w:szCs w:val="17"/>
              </w:rPr>
              <w:t>FAX:  (404) 656-2341                   www.psc.state.ga.us</w:t>
            </w:r>
          </w:p>
        </w:tc>
      </w:tr>
    </w:tbl>
    <w:p w14:paraId="157B27AF" w14:textId="553BB535" w:rsidR="00524AB3" w:rsidRDefault="00524AB3" w:rsidP="00D817E0"/>
    <w:p w14:paraId="6EA3A857" w14:textId="177DF5A3" w:rsidR="00E93D27" w:rsidRDefault="00E93D27" w:rsidP="00D817E0"/>
    <w:p w14:paraId="25AED06D" w14:textId="77777777" w:rsidR="00D817E0" w:rsidRDefault="00D817E0" w:rsidP="00D817E0">
      <w:r>
        <w:t>Verification of Expenditures Pursuant to</w:t>
      </w:r>
      <w:r w:rsidR="00902D70">
        <w:tab/>
      </w:r>
      <w:r w:rsidR="00902D70">
        <w:tab/>
        <w:t>)</w:t>
      </w:r>
      <w:r>
        <w:t xml:space="preserve"> </w:t>
      </w:r>
      <w:r w:rsidR="00524AB3">
        <w:t xml:space="preserve">   </w:t>
      </w:r>
    </w:p>
    <w:p w14:paraId="3E7EAAE8" w14:textId="77777777" w:rsidR="00D817E0" w:rsidRPr="00B41116" w:rsidRDefault="00D817E0" w:rsidP="00D817E0">
      <w:r>
        <w:t>Georgia Power Company’s Certificate of Public</w:t>
      </w:r>
      <w:r w:rsidR="00902D70">
        <w:tab/>
        <w:t>)</w:t>
      </w:r>
      <w:r w:rsidR="00902D70">
        <w:tab/>
      </w:r>
      <w:r>
        <w:tab/>
      </w:r>
      <w:r w:rsidRPr="00B41116">
        <w:t xml:space="preserve">Docket No. </w:t>
      </w:r>
      <w:r>
        <w:t>29849</w:t>
      </w:r>
    </w:p>
    <w:p w14:paraId="1C6F60CC" w14:textId="77777777" w:rsidR="00D817E0" w:rsidRDefault="00D817E0" w:rsidP="00D817E0">
      <w:r>
        <w:t xml:space="preserve">Convenience and Necessity for Plant </w:t>
      </w:r>
      <w:proofErr w:type="spellStart"/>
      <w:r>
        <w:t>Vogtle</w:t>
      </w:r>
      <w:proofErr w:type="spellEnd"/>
      <w:r>
        <w:tab/>
        <w:t xml:space="preserve">      </w:t>
      </w:r>
      <w:r w:rsidR="00902D70">
        <w:tab/>
      </w:r>
      <w:r>
        <w:t>)</w:t>
      </w:r>
    </w:p>
    <w:p w14:paraId="77E135C4" w14:textId="1F79739A" w:rsidR="00AC7755" w:rsidRDefault="00D817E0" w:rsidP="00D817E0">
      <w:r>
        <w:t xml:space="preserve">Units 3 and 4, </w:t>
      </w:r>
      <w:r w:rsidR="00AC7755">
        <w:t>Twenty</w:t>
      </w:r>
      <w:r w:rsidR="00722C51">
        <w:t>-</w:t>
      </w:r>
      <w:r w:rsidR="0046724F">
        <w:t>Fourth</w:t>
      </w:r>
      <w:r w:rsidR="00AC7755">
        <w:t xml:space="preserve"> </w:t>
      </w:r>
      <w:r>
        <w:t>Semi-</w:t>
      </w:r>
      <w:r w:rsidR="00595BAC">
        <w:t>annual</w:t>
      </w:r>
      <w:r w:rsidR="00AC7755">
        <w:tab/>
      </w:r>
      <w:r w:rsidR="004F1A66">
        <w:tab/>
      </w:r>
      <w:r w:rsidR="00AC7755">
        <w:t>)</w:t>
      </w:r>
    </w:p>
    <w:p w14:paraId="15D8A13C" w14:textId="77777777" w:rsidR="00D817E0" w:rsidRDefault="00D817E0" w:rsidP="00D817E0">
      <w:r>
        <w:t>Construction</w:t>
      </w:r>
      <w:r w:rsidR="008D47C7">
        <w:t xml:space="preserve"> </w:t>
      </w:r>
      <w:r>
        <w:t xml:space="preserve">Monitoring </w:t>
      </w:r>
      <w:r w:rsidR="00807227">
        <w:t>Report</w:t>
      </w:r>
      <w:r w:rsidR="008D47C7">
        <w:t>.</w:t>
      </w:r>
      <w:r w:rsidR="008D47C7">
        <w:tab/>
      </w:r>
      <w:r w:rsidR="008D47C7">
        <w:tab/>
      </w:r>
      <w:r w:rsidR="008D47C7">
        <w:tab/>
      </w:r>
      <w:r w:rsidR="00AC7755">
        <w:t>)</w:t>
      </w:r>
      <w:r w:rsidR="008D47C7">
        <w:tab/>
      </w:r>
      <w:r w:rsidR="00A618D4">
        <w:t xml:space="preserve">        </w:t>
      </w:r>
    </w:p>
    <w:p w14:paraId="32AE262E" w14:textId="77777777" w:rsidR="00D817E0" w:rsidRDefault="00D817E0" w:rsidP="00D817E0"/>
    <w:p w14:paraId="6F3AFD11" w14:textId="77777777" w:rsidR="00D817E0" w:rsidRDefault="00D817E0" w:rsidP="00D817E0">
      <w:pPr>
        <w:jc w:val="center"/>
        <w:rPr>
          <w:b/>
          <w:bCs/>
          <w:u w:val="single"/>
        </w:rPr>
      </w:pPr>
    </w:p>
    <w:p w14:paraId="0A0E3C46" w14:textId="0B7B4ABC" w:rsidR="00D817E0" w:rsidRDefault="00D817E0" w:rsidP="0046724F">
      <w:pPr>
        <w:jc w:val="center"/>
        <w:rPr>
          <w:b/>
          <w:bCs/>
          <w:u w:val="single"/>
        </w:rPr>
      </w:pPr>
      <w:r>
        <w:rPr>
          <w:b/>
          <w:bCs/>
          <w:u w:val="single"/>
        </w:rPr>
        <w:t xml:space="preserve">ORDER </w:t>
      </w:r>
      <w:r w:rsidR="0046724F">
        <w:rPr>
          <w:b/>
          <w:bCs/>
          <w:u w:val="single"/>
        </w:rPr>
        <w:t>ADOPTING STIPULATION</w:t>
      </w:r>
    </w:p>
    <w:p w14:paraId="5F2B0958" w14:textId="77777777" w:rsidR="006D7757" w:rsidRDefault="006D7757" w:rsidP="00D817E0">
      <w:pPr>
        <w:jc w:val="center"/>
        <w:rPr>
          <w:b/>
          <w:bCs/>
          <w:u w:val="single"/>
        </w:rPr>
      </w:pPr>
    </w:p>
    <w:p w14:paraId="3B79C75C" w14:textId="77777777" w:rsidR="0044524F" w:rsidRDefault="0044524F" w:rsidP="00023E72">
      <w:pPr>
        <w:ind w:left="720" w:hanging="720"/>
        <w:jc w:val="center"/>
        <w:outlineLvl w:val="0"/>
        <w:rPr>
          <w:b/>
          <w:bCs/>
          <w:u w:val="single"/>
        </w:rPr>
      </w:pPr>
      <w:r w:rsidRPr="00F836AA">
        <w:rPr>
          <w:b/>
          <w:bCs/>
          <w:u w:val="single"/>
        </w:rPr>
        <w:t>Background</w:t>
      </w:r>
    </w:p>
    <w:p w14:paraId="49E1DA41" w14:textId="77777777" w:rsidR="0044524F" w:rsidRPr="00F836AA" w:rsidRDefault="0044524F" w:rsidP="00023E72">
      <w:pPr>
        <w:ind w:left="720" w:hanging="720"/>
        <w:jc w:val="center"/>
        <w:outlineLvl w:val="0"/>
        <w:rPr>
          <w:b/>
          <w:bCs/>
          <w:u w:val="single"/>
        </w:rPr>
      </w:pPr>
    </w:p>
    <w:p w14:paraId="787ED48A" w14:textId="530FE381" w:rsidR="00D61849" w:rsidRPr="00D61849" w:rsidRDefault="00D61849" w:rsidP="00595BAC">
      <w:pPr>
        <w:spacing w:line="276" w:lineRule="auto"/>
        <w:ind w:firstLine="720"/>
        <w:jc w:val="both"/>
      </w:pPr>
      <w:r w:rsidRPr="00D61849">
        <w:t xml:space="preserve">In Docket No. 27800, Georgia Power Company (“Georgia Power,” “Company,” or “GPC”) filed an Application on August 1, 2008, for the Certification of Units 3 and 4 at Plant </w:t>
      </w:r>
      <w:proofErr w:type="spellStart"/>
      <w:r w:rsidRPr="00D61849">
        <w:t>Vogtle</w:t>
      </w:r>
      <w:proofErr w:type="spellEnd"/>
      <w:r w:rsidRPr="00D61849">
        <w:t xml:space="preserve"> and Updated Integrated Resource Plan (“Application”).  In its Application, the Company sought Georgia Public Service Commission (“Commission”) approval of its addition of Units 3 and 4 at Plant </w:t>
      </w:r>
      <w:proofErr w:type="spellStart"/>
      <w:r w:rsidRPr="00D61849">
        <w:t>Vogtle</w:t>
      </w:r>
      <w:proofErr w:type="spellEnd"/>
      <w:r w:rsidRPr="00D61849">
        <w:t xml:space="preserve"> (“</w:t>
      </w:r>
      <w:proofErr w:type="spellStart"/>
      <w:r w:rsidRPr="00D61849">
        <w:t>Vogtle</w:t>
      </w:r>
      <w:proofErr w:type="spellEnd"/>
      <w:r w:rsidRPr="00D61849">
        <w:t xml:space="preserve"> Units 3 and 4”). In its Amended Certification Order issued March 30, 2009, the Commission approved the Company’s Application for the Certification of </w:t>
      </w:r>
      <w:proofErr w:type="spellStart"/>
      <w:r w:rsidRPr="00D61849">
        <w:t>Vogtle</w:t>
      </w:r>
      <w:proofErr w:type="spellEnd"/>
      <w:r w:rsidRPr="00D61849">
        <w:t xml:space="preserve"> Units 3 and 4 at an in-service cost of $6.447 billion</w:t>
      </w:r>
      <w:r w:rsidRPr="00D61849">
        <w:rPr>
          <w:vertAlign w:val="superscript"/>
        </w:rPr>
        <w:footnoteReference w:id="1"/>
      </w:r>
      <w:r w:rsidRPr="00D61849">
        <w:t xml:space="preserve"> as modified by a Stipulation between the Commission Public Interest Advocacy Staff (“PIA Staff”) and the Company (“Stipulation”).</w:t>
      </w:r>
    </w:p>
    <w:p w14:paraId="34ACA5AC" w14:textId="77777777" w:rsidR="00D61849" w:rsidRPr="00D61849" w:rsidRDefault="00D61849" w:rsidP="00D61849">
      <w:pPr>
        <w:spacing w:line="276" w:lineRule="auto"/>
        <w:ind w:firstLine="720"/>
        <w:jc w:val="both"/>
      </w:pPr>
    </w:p>
    <w:p w14:paraId="5E5C94EB" w14:textId="77777777" w:rsidR="00D61849" w:rsidRPr="00D61849" w:rsidRDefault="00D61849" w:rsidP="00D61849">
      <w:pPr>
        <w:spacing w:line="276" w:lineRule="auto"/>
        <w:ind w:firstLine="720"/>
        <w:jc w:val="both"/>
      </w:pPr>
      <w:r w:rsidRPr="00D61849">
        <w:t xml:space="preserve">Paragraph 2(c) of the </w:t>
      </w:r>
      <w:r w:rsidR="009707EE">
        <w:t xml:space="preserve">Certification </w:t>
      </w:r>
      <w:r w:rsidRPr="00D61849">
        <w:t xml:space="preserve">Stipulation requires the Company to file Semi-annual Monitoring Reports with the Commission as provided by O.C.G.A. § 46-3A-7(b). The Stipulation requires the Semi-annual Monitoring Reports to include any proposed revisions in the cost estimates, construction schedule, or project configuration, as well as a report of actual costs incurred in the period covered by the report. </w:t>
      </w:r>
    </w:p>
    <w:p w14:paraId="20C9E89E" w14:textId="77777777" w:rsidR="00D61849" w:rsidRPr="00D61849" w:rsidRDefault="00D61849" w:rsidP="00D61849">
      <w:pPr>
        <w:spacing w:line="276" w:lineRule="auto"/>
        <w:ind w:firstLine="720"/>
        <w:jc w:val="both"/>
      </w:pPr>
    </w:p>
    <w:p w14:paraId="7CEDC8CA" w14:textId="758C73D6" w:rsidR="00D61849" w:rsidRPr="00D61849" w:rsidRDefault="00D61849" w:rsidP="00D61849">
      <w:pPr>
        <w:spacing w:line="276" w:lineRule="auto"/>
        <w:ind w:firstLine="720"/>
        <w:jc w:val="both"/>
      </w:pPr>
      <w:r w:rsidRPr="00D61849">
        <w:t xml:space="preserve">Prior to the first </w:t>
      </w:r>
      <w:proofErr w:type="spellStart"/>
      <w:r w:rsidRPr="00D61849">
        <w:t>Vogtle</w:t>
      </w:r>
      <w:proofErr w:type="spellEnd"/>
      <w:r w:rsidRPr="00D61849">
        <w:t xml:space="preserve"> Construction Monitoring (“VCM’) filing, in an agreement with the Company, </w:t>
      </w:r>
      <w:r w:rsidR="000326B0">
        <w:t>PIA</w:t>
      </w:r>
      <w:r w:rsidRPr="00D61849">
        <w:t xml:space="preserve"> Staff established a separate monitoring </w:t>
      </w:r>
      <w:r w:rsidR="00351FBF">
        <w:t>docket in</w:t>
      </w:r>
      <w:r w:rsidRPr="00D61849">
        <w:t xml:space="preserve"> Docket No. 29849.  The Commission Order from the First VCM adopted a Stipulation between PIA Staff and the Company, which in part, revised the certificated project cost downward to reflect Construction Work-In-Progress (“CWIP”).  The Certificated amount for the project as reflected in paragraph 4 of the </w:t>
      </w:r>
      <w:r w:rsidR="00351FBF">
        <w:t>Stipulation</w:t>
      </w:r>
      <w:r w:rsidR="00351FBF" w:rsidRPr="00D61849">
        <w:t xml:space="preserve"> </w:t>
      </w:r>
      <w:r w:rsidRPr="00D61849">
        <w:t>was revised to $6.113 billion.</w:t>
      </w:r>
      <w:r w:rsidRPr="00D61849">
        <w:rPr>
          <w:vertAlign w:val="superscript"/>
        </w:rPr>
        <w:footnoteReference w:id="2"/>
      </w:r>
      <w:r w:rsidRPr="00D61849">
        <w:t xml:space="preserve">  Of that $6.113 billion, $4.418 billion was the forecasted capital and construction costs and $1.695 billion was the forecasted financing costs.</w:t>
      </w:r>
    </w:p>
    <w:p w14:paraId="493CF3F4" w14:textId="77777777" w:rsidR="00D61849" w:rsidRPr="00D61849" w:rsidRDefault="00D61849" w:rsidP="00D61849">
      <w:pPr>
        <w:spacing w:line="276" w:lineRule="auto"/>
        <w:ind w:firstLine="720"/>
        <w:jc w:val="both"/>
      </w:pPr>
    </w:p>
    <w:p w14:paraId="4267BA2C" w14:textId="77777777" w:rsidR="00D61849" w:rsidRDefault="00D61849" w:rsidP="00595BAC">
      <w:pPr>
        <w:spacing w:line="276" w:lineRule="auto"/>
        <w:ind w:firstLine="720"/>
        <w:jc w:val="both"/>
      </w:pPr>
      <w:r w:rsidRPr="00D61849">
        <w:t>The Commission</w:t>
      </w:r>
      <w:r w:rsidR="0049747C">
        <w:t>,</w:t>
      </w:r>
      <w:r w:rsidRPr="00D61849">
        <w:t xml:space="preserve"> in its January 11, 2018 Order in the 17</w:t>
      </w:r>
      <w:r w:rsidRPr="00D61849">
        <w:rPr>
          <w:vertAlign w:val="superscript"/>
        </w:rPr>
        <w:t>th</w:t>
      </w:r>
      <w:r w:rsidRPr="00D61849">
        <w:t xml:space="preserve"> VCM</w:t>
      </w:r>
      <w:r w:rsidR="000B2E42">
        <w:t>,</w:t>
      </w:r>
      <w:r w:rsidRPr="00D61849">
        <w:t xml:space="preserve"> approved a revised capital and construction forecast cost of $7.3 billion and found that any costs spent up to this revised cost forecast will be deemed reasonable</w:t>
      </w:r>
      <w:r w:rsidR="00A12381">
        <w:t>, but will be subject to the findings and presumptions as defined in the Stipulation approved on January 3, 2017</w:t>
      </w:r>
      <w:r w:rsidRPr="00D61849">
        <w:t xml:space="preserve">.  </w:t>
      </w:r>
      <w:r w:rsidR="006910BA">
        <w:t>C</w:t>
      </w:r>
      <w:r w:rsidRPr="00D61849">
        <w:t>osts verified and approved through the 14</w:t>
      </w:r>
      <w:r w:rsidRPr="00D61849">
        <w:rPr>
          <w:vertAlign w:val="superscript"/>
        </w:rPr>
        <w:t>th</w:t>
      </w:r>
      <w:r w:rsidRPr="00D61849">
        <w:t xml:space="preserve"> VCM </w:t>
      </w:r>
      <w:r w:rsidR="006910BA">
        <w:t>were</w:t>
      </w:r>
      <w:r w:rsidR="006910BA" w:rsidRPr="00D61849">
        <w:t xml:space="preserve"> </w:t>
      </w:r>
      <w:r w:rsidRPr="00D61849">
        <w:t>also deemed prudent as set forth in the Commission’s January 3, 2017 Order.  Costs up to $5.68 billion are presumed prudent and the burden of proof to demonstrate imprudence shall be on the party challenging such costs.  Costs above $5.68 billion are not presumed prudent and the Company shall retain the burden to show prudency on such costs.</w:t>
      </w:r>
      <w:r w:rsidRPr="00D61849">
        <w:rPr>
          <w:vertAlign w:val="superscript"/>
        </w:rPr>
        <w:footnoteReference w:id="3"/>
      </w:r>
      <w:r w:rsidRPr="00D61849">
        <w:t xml:space="preserve">  This revised cost of $7.3 billion is net of the Toshiba Parental Guarantee and does not include the Project finance costs.</w:t>
      </w:r>
    </w:p>
    <w:p w14:paraId="205DFE5B" w14:textId="77777777" w:rsidR="000E3BEE" w:rsidRDefault="000E3BEE" w:rsidP="00595BAC">
      <w:pPr>
        <w:spacing w:line="276" w:lineRule="auto"/>
        <w:ind w:firstLine="720"/>
        <w:jc w:val="both"/>
      </w:pPr>
    </w:p>
    <w:p w14:paraId="50F3B0C4" w14:textId="77777777" w:rsidR="000E3BEE" w:rsidRPr="000E3BEE" w:rsidRDefault="000E3BEE" w:rsidP="00C85F07">
      <w:pPr>
        <w:spacing w:line="276" w:lineRule="auto"/>
        <w:ind w:firstLine="720"/>
        <w:jc w:val="both"/>
      </w:pPr>
      <w:r w:rsidRPr="000E3BEE">
        <w:t xml:space="preserve">In its Certification Order dated March 30, 2009, the Commission required Georgia Power Company to provide specific information in each Semi-annual Construction Monitoring Report. The information the Company was required to provide was subsequently revised in the Commission’s Order on the Ninth/Tenth Construction Monitoring Report.  In its Eighteenth VCM Order dated August 24, 2018, the Commission ordered the Company to expand the reporting of project risks in their filings by including up-to-date analysis of contingency, and quantification of each risk, where reasonably estimated.  The Commission also ordered the Company to include any variance(s) to its plan, both cost and schedule, quantified in dollars and days, respectively, and fully explained.  </w:t>
      </w:r>
    </w:p>
    <w:p w14:paraId="2FD12286" w14:textId="77777777" w:rsidR="000E3BEE" w:rsidRPr="000E3BEE" w:rsidRDefault="000E3BEE" w:rsidP="00C85F07">
      <w:pPr>
        <w:spacing w:line="276" w:lineRule="auto"/>
        <w:ind w:firstLine="720"/>
        <w:jc w:val="both"/>
      </w:pPr>
    </w:p>
    <w:p w14:paraId="28A1E906" w14:textId="076ADB5B" w:rsidR="000E3BEE" w:rsidRPr="000E3BEE" w:rsidRDefault="000E3BEE" w:rsidP="00C85F07">
      <w:pPr>
        <w:spacing w:line="276" w:lineRule="auto"/>
        <w:ind w:firstLine="720"/>
        <w:jc w:val="both"/>
      </w:pPr>
      <w:r w:rsidRPr="000E3BEE">
        <w:t xml:space="preserve">For the second quarter of 2018, Georgia Power Company incurred a charge to income of $1.1 billion consisting of an increase in </w:t>
      </w:r>
      <w:proofErr w:type="spellStart"/>
      <w:r w:rsidRPr="000E3BEE">
        <w:t>Vogtle</w:t>
      </w:r>
      <w:proofErr w:type="spellEnd"/>
      <w:r w:rsidRPr="000E3BEE">
        <w:t xml:space="preserve"> forecast construction costs of $700 million and an additional contingency of $400 million.</w:t>
      </w:r>
      <w:r w:rsidRPr="007E4AA8">
        <w:rPr>
          <w:vertAlign w:val="superscript"/>
        </w:rPr>
        <w:footnoteReference w:id="4"/>
      </w:r>
      <w:r w:rsidRPr="000E3BEE">
        <w:t xml:space="preserve">  At the same time, the Company reduced its investment in Construction Work in Progress for the </w:t>
      </w:r>
      <w:proofErr w:type="spellStart"/>
      <w:r w:rsidRPr="000E3BEE">
        <w:t>Vogtle</w:t>
      </w:r>
      <w:proofErr w:type="spellEnd"/>
      <w:r w:rsidRPr="000E3BEE">
        <w:t xml:space="preserve"> Project by $1.1 billion.  The Company has stated that it will not seek approval of a revised cost estimate for the additional construction costs of $700 </w:t>
      </w:r>
      <w:r w:rsidRPr="000E3BEE">
        <w:lastRenderedPageBreak/>
        <w:t xml:space="preserve">million.  In addition, the Company will not seek rate recovery of this $700 million and these construction costs shall be borne by stockholders.  Above the $7.3 billion, the Company will first expend in total the increase in forecast construction costs of $700 million before charging Project expenditures to the additional contingency of $400 million or any other future forecasted cost increase.  The Company </w:t>
      </w:r>
      <w:r w:rsidR="00A469C4">
        <w:t xml:space="preserve">stated that it was </w:t>
      </w:r>
      <w:r w:rsidRPr="000E3BEE">
        <w:t xml:space="preserve">not </w:t>
      </w:r>
      <w:r w:rsidR="00A469C4">
        <w:t>requesting</w:t>
      </w:r>
      <w:r w:rsidRPr="000E3BEE">
        <w:t xml:space="preserve"> approval of a revised cost estimate to include the additional forecasted contingency of $400 million at th</w:t>
      </w:r>
      <w:r w:rsidR="00A469C4">
        <w:t>at</w:t>
      </w:r>
      <w:r w:rsidRPr="000E3BEE">
        <w:t xml:space="preserve"> time; </w:t>
      </w:r>
      <w:r w:rsidR="00F9697F">
        <w:t>but</w:t>
      </w:r>
      <w:r w:rsidR="00F9697F" w:rsidRPr="000E3BEE">
        <w:t>, reserved</w:t>
      </w:r>
      <w:r w:rsidRPr="000E3BEE">
        <w:t xml:space="preserve"> its right to request approval in a future proceeding.  </w:t>
      </w:r>
    </w:p>
    <w:p w14:paraId="66755F2C" w14:textId="77777777" w:rsidR="000E3BEE" w:rsidRPr="000E3BEE" w:rsidRDefault="000E3BEE" w:rsidP="00C85F07">
      <w:pPr>
        <w:spacing w:line="276" w:lineRule="auto"/>
        <w:ind w:firstLine="720"/>
        <w:jc w:val="both"/>
      </w:pPr>
      <w:r w:rsidRPr="000E3BEE">
        <w:t xml:space="preserve"> </w:t>
      </w:r>
    </w:p>
    <w:p w14:paraId="3BAA9A0E" w14:textId="4B541EBB" w:rsidR="00E04076" w:rsidRDefault="000E3BEE" w:rsidP="00C85F07">
      <w:pPr>
        <w:spacing w:line="276" w:lineRule="auto"/>
        <w:ind w:firstLine="720"/>
        <w:jc w:val="both"/>
      </w:pPr>
      <w:r w:rsidRPr="000E3BEE">
        <w:t xml:space="preserve">On </w:t>
      </w:r>
      <w:r w:rsidR="001C56FA">
        <w:t xml:space="preserve">February </w:t>
      </w:r>
      <w:r w:rsidR="00BA4C23">
        <w:t>18, 2021</w:t>
      </w:r>
      <w:r w:rsidR="00DD7C24">
        <w:t>,</w:t>
      </w:r>
      <w:r w:rsidRPr="000E3BEE">
        <w:t xml:space="preserve"> </w:t>
      </w:r>
      <w:r w:rsidR="00DD7C24">
        <w:t>Georgia Power</w:t>
      </w:r>
      <w:r w:rsidRPr="000E3BEE">
        <w:t xml:space="preserve"> filed with the Commission its Twenty-</w:t>
      </w:r>
      <w:r w:rsidR="00BA4C23">
        <w:t>Fourth</w:t>
      </w:r>
      <w:r w:rsidRPr="000E3BEE">
        <w:t xml:space="preserve"> Semi-annual Construction Monitoring Report (“Monitoring Report”).  Paragraph 2(c) of the Stipulation in Docket 27800 requires the Company to file its Report for the </w:t>
      </w:r>
      <w:r w:rsidR="0060072C" w:rsidRPr="000E3BEE">
        <w:t>six-month</w:t>
      </w:r>
      <w:r w:rsidRPr="000E3BEE">
        <w:t xml:space="preserve"> period of </w:t>
      </w:r>
      <w:r w:rsidR="00BA4C23">
        <w:t>July through December on February 28th</w:t>
      </w:r>
      <w:r w:rsidRPr="000E3BEE">
        <w:t xml:space="preserve"> of the </w:t>
      </w:r>
      <w:r w:rsidR="00BA4C23">
        <w:t>subsequent</w:t>
      </w:r>
      <w:r w:rsidRPr="000E3BEE">
        <w:t xml:space="preserve"> year. </w:t>
      </w:r>
      <w:r w:rsidR="009B61A4">
        <w:t>Consequently</w:t>
      </w:r>
      <w:r w:rsidR="005D7095">
        <w:t>, t</w:t>
      </w:r>
      <w:r w:rsidR="005D7095" w:rsidRPr="005D7095">
        <w:t>he Staff and the Company agreed that</w:t>
      </w:r>
      <w:r w:rsidR="005D7095">
        <w:t>,</w:t>
      </w:r>
      <w:r w:rsidR="005D7095" w:rsidRPr="005D7095">
        <w:t xml:space="preserve"> for statutory purposes</w:t>
      </w:r>
      <w:r w:rsidR="005D7095">
        <w:t>,</w:t>
      </w:r>
      <w:r w:rsidR="005D7095" w:rsidRPr="005D7095">
        <w:t xml:space="preserve"> the actual filing date of the Report of February 18, 2021 </w:t>
      </w:r>
      <w:r w:rsidR="00D74CEC">
        <w:t>was</w:t>
      </w:r>
      <w:r w:rsidR="005D7095" w:rsidRPr="005D7095">
        <w:t xml:space="preserve"> early, and therefore the Report </w:t>
      </w:r>
      <w:r w:rsidR="00D74CEC">
        <w:t>was</w:t>
      </w:r>
      <w:r w:rsidR="005D7095" w:rsidRPr="005D7095">
        <w:t xml:space="preserve"> deemed filed as of February 26</w:t>
      </w:r>
      <w:r w:rsidR="005D7095" w:rsidRPr="005D7095">
        <w:rPr>
          <w:vertAlign w:val="superscript"/>
        </w:rPr>
        <w:t>th</w:t>
      </w:r>
      <w:r w:rsidR="005D7095" w:rsidRPr="005D7095">
        <w:t>, 2021, or the last business day in February.</w:t>
      </w:r>
      <w:r w:rsidR="005D7095">
        <w:t xml:space="preserve"> </w:t>
      </w:r>
      <w:r w:rsidR="005D7095" w:rsidRPr="005D7095">
        <w:t>The Monitoring Report includes construction costs from July 1, 2020 up to and including December 31</w:t>
      </w:r>
      <w:r w:rsidR="005D7095" w:rsidRPr="005D7095">
        <w:rPr>
          <w:vertAlign w:val="superscript"/>
        </w:rPr>
        <w:t>st</w:t>
      </w:r>
      <w:r w:rsidR="005D7095" w:rsidRPr="005D7095">
        <w:t xml:space="preserve">, 2020.  In the Report the Company </w:t>
      </w:r>
      <w:r w:rsidR="00F25246" w:rsidRPr="005D7095">
        <w:t>reques</w:t>
      </w:r>
      <w:r w:rsidR="00F25246">
        <w:t>ted</w:t>
      </w:r>
      <w:r w:rsidR="005D7095" w:rsidRPr="005D7095">
        <w:t xml:space="preserve"> verification and approval of $670 million of Project expenditures. </w:t>
      </w:r>
    </w:p>
    <w:p w14:paraId="544F0B45" w14:textId="7A12BB5B" w:rsidR="005D7095" w:rsidRPr="005D7095" w:rsidRDefault="005D7095" w:rsidP="00C85F07">
      <w:pPr>
        <w:spacing w:line="276" w:lineRule="auto"/>
        <w:ind w:firstLine="720"/>
        <w:jc w:val="both"/>
      </w:pPr>
      <w:r w:rsidRPr="005D7095">
        <w:t xml:space="preserve">   </w:t>
      </w:r>
    </w:p>
    <w:p w14:paraId="0B42ACE3" w14:textId="04589F14" w:rsidR="000E3BEE" w:rsidRPr="000E3BEE" w:rsidRDefault="000E3BEE" w:rsidP="00C85F07">
      <w:pPr>
        <w:spacing w:line="276" w:lineRule="auto"/>
        <w:ind w:firstLine="720"/>
        <w:jc w:val="both"/>
      </w:pPr>
      <w:r w:rsidRPr="000E3BEE">
        <w:t>The Company did not propose any revisions in the cost estimates, construction schedule, or project configuration in its Twenty-</w:t>
      </w:r>
      <w:r w:rsidR="00B55A29">
        <w:t>Fourth</w:t>
      </w:r>
      <w:r w:rsidRPr="000E3BEE">
        <w:t xml:space="preserve"> VCM report.</w:t>
      </w:r>
      <w:r w:rsidRPr="007E4AA8">
        <w:rPr>
          <w:vertAlign w:val="superscript"/>
        </w:rPr>
        <w:footnoteReference w:id="5"/>
      </w:r>
      <w:r w:rsidRPr="000E3BEE">
        <w:t xml:space="preserve">   </w:t>
      </w:r>
    </w:p>
    <w:p w14:paraId="17EF2C00" w14:textId="77777777" w:rsidR="001E2FE6" w:rsidRPr="007E4AA8" w:rsidRDefault="001E2FE6" w:rsidP="00C85F07">
      <w:pPr>
        <w:spacing w:line="276" w:lineRule="auto"/>
        <w:ind w:firstLine="720"/>
        <w:jc w:val="both"/>
      </w:pPr>
    </w:p>
    <w:p w14:paraId="4D77C3EE" w14:textId="77777777" w:rsidR="0044524F" w:rsidRDefault="0044524F" w:rsidP="003978EF">
      <w:pPr>
        <w:spacing w:line="276" w:lineRule="auto"/>
        <w:jc w:val="center"/>
        <w:outlineLvl w:val="0"/>
        <w:rPr>
          <w:b/>
          <w:bCs/>
          <w:u w:val="single"/>
        </w:rPr>
      </w:pPr>
      <w:r>
        <w:rPr>
          <w:b/>
          <w:bCs/>
          <w:u w:val="single"/>
        </w:rPr>
        <w:t>Jurisdiction</w:t>
      </w:r>
    </w:p>
    <w:p w14:paraId="06A469B1" w14:textId="77777777" w:rsidR="0044524F" w:rsidRDefault="0044524F" w:rsidP="00C85F07">
      <w:pPr>
        <w:spacing w:line="276" w:lineRule="auto"/>
        <w:ind w:left="720" w:firstLine="720"/>
        <w:jc w:val="both"/>
        <w:outlineLvl w:val="0"/>
        <w:rPr>
          <w:b/>
          <w:bCs/>
          <w:u w:val="single"/>
        </w:rPr>
      </w:pPr>
    </w:p>
    <w:p w14:paraId="6C7751D0" w14:textId="77777777" w:rsidR="0044524F" w:rsidRDefault="0044524F" w:rsidP="00C85F07">
      <w:pPr>
        <w:spacing w:line="276" w:lineRule="auto"/>
        <w:ind w:firstLine="720"/>
        <w:jc w:val="both"/>
      </w:pPr>
      <w:r w:rsidRPr="00064CD2">
        <w:t xml:space="preserve">The </w:t>
      </w:r>
      <w:r>
        <w:t>Commission</w:t>
      </w:r>
      <w:r w:rsidRPr="00064CD2">
        <w:t xml:space="preserve"> has general regulatory authority over electrical utilities in the state pursuant to O.C.G.A. § 46-2-20, 46-2-21 and 46-2-23.  In addition, the </w:t>
      </w:r>
      <w:r>
        <w:t>Commission</w:t>
      </w:r>
      <w:r w:rsidRPr="00064CD2">
        <w:t xml:space="preserve"> administers the Integrated Resource Planning Act. O.C.G.A. § 46-3A-1 through 11.</w:t>
      </w:r>
    </w:p>
    <w:p w14:paraId="388A8057" w14:textId="77777777" w:rsidR="00F01F23" w:rsidRDefault="00F01F23" w:rsidP="00C85F07">
      <w:pPr>
        <w:spacing w:line="276" w:lineRule="auto"/>
        <w:ind w:firstLine="720"/>
        <w:jc w:val="both"/>
      </w:pPr>
    </w:p>
    <w:p w14:paraId="346A531C" w14:textId="77777777" w:rsidR="0044524F" w:rsidRDefault="0044524F" w:rsidP="003978EF">
      <w:pPr>
        <w:jc w:val="center"/>
        <w:rPr>
          <w:b/>
          <w:bCs/>
          <w:u w:val="single"/>
        </w:rPr>
      </w:pPr>
      <w:r w:rsidRPr="00064CD2">
        <w:rPr>
          <w:b/>
          <w:bCs/>
          <w:u w:val="single"/>
        </w:rPr>
        <w:t>Applicable Statutes</w:t>
      </w:r>
    </w:p>
    <w:p w14:paraId="6E033A47" w14:textId="77777777" w:rsidR="0044524F" w:rsidRPr="00064CD2" w:rsidRDefault="0044524F" w:rsidP="00C85F07">
      <w:pPr>
        <w:spacing w:line="276" w:lineRule="auto"/>
        <w:ind w:firstLine="720"/>
        <w:jc w:val="both"/>
        <w:rPr>
          <w:b/>
          <w:bCs/>
          <w:u w:val="single"/>
        </w:rPr>
      </w:pPr>
    </w:p>
    <w:p w14:paraId="0CDF9F38" w14:textId="77777777" w:rsidR="0044524F" w:rsidRDefault="0044524F" w:rsidP="00C85F07">
      <w:pPr>
        <w:spacing w:line="276" w:lineRule="auto"/>
        <w:ind w:firstLine="720"/>
        <w:jc w:val="both"/>
      </w:pPr>
      <w:r>
        <w:tab/>
        <w:t>O.C.G.A. Section 46-3A-7(b) provides:</w:t>
      </w:r>
    </w:p>
    <w:p w14:paraId="79EBF0B2" w14:textId="77777777" w:rsidR="0044524F" w:rsidRPr="00F836AA" w:rsidRDefault="0044524F" w:rsidP="00C85F07">
      <w:pPr>
        <w:spacing w:line="276" w:lineRule="auto"/>
        <w:ind w:firstLine="720"/>
        <w:jc w:val="both"/>
      </w:pPr>
    </w:p>
    <w:p w14:paraId="6B7DD632" w14:textId="77777777" w:rsidR="0044524F" w:rsidRDefault="0044524F" w:rsidP="00BA78F5">
      <w:pPr>
        <w:ind w:left="1440"/>
        <w:jc w:val="both"/>
      </w:pPr>
      <w:r w:rsidRPr="00F836AA">
        <w:t xml:space="preserve">In addition to the review of the continuing need for an electric plant under construction prescribed in Code Section 46-3A-6, the </w:t>
      </w:r>
      <w:r>
        <w:t>Commission</w:t>
      </w:r>
      <w:r w:rsidRPr="00F836AA">
        <w:t xml:space="preserve">, upon its own motion, may conduct or the utility may request that the </w:t>
      </w:r>
      <w:r>
        <w:t>Commission</w:t>
      </w:r>
      <w:r w:rsidRPr="00F836AA">
        <w:t xml:space="preserve"> conduct an ongoing review of such construction as it proceeds. Every one to three years, or at </w:t>
      </w:r>
      <w:r w:rsidRPr="00F836AA">
        <w:lastRenderedPageBreak/>
        <w:t xml:space="preserve">such lesser intervals upon the direction of the </w:t>
      </w:r>
      <w:r>
        <w:t>Commission</w:t>
      </w:r>
      <w:r w:rsidRPr="00F836AA">
        <w:t xml:space="preserve"> or request of the utility, the applicant shall file a progress report and any proposed revisions in the cost estimates, construction schedule, or project configuration. Within 180 days of such filing, the </w:t>
      </w:r>
      <w:r>
        <w:t>Commission</w:t>
      </w:r>
      <w:r w:rsidRPr="00F836AA">
        <w:t xml:space="preserve"> shall verify and approve or disapprove expenditures made pursuant to the </w:t>
      </w:r>
      <w:r>
        <w:t>Certificate</w:t>
      </w:r>
      <w:r w:rsidRPr="00F836AA">
        <w:t xml:space="preserve"> and shall approve, disapprove, or modify any proposed revisions. If the </w:t>
      </w:r>
      <w:r>
        <w:t>Commission</w:t>
      </w:r>
      <w:r w:rsidRPr="00F836AA">
        <w:t xml:space="preserve"> fails to so act within 180 days after such filing, the previous expenditures and any proposed revisions shall be deemed approved by operation of law.</w:t>
      </w:r>
    </w:p>
    <w:p w14:paraId="07A71C8D" w14:textId="77777777" w:rsidR="0040462D" w:rsidRDefault="0040462D" w:rsidP="00C85F07">
      <w:pPr>
        <w:spacing w:line="276" w:lineRule="auto"/>
        <w:ind w:firstLine="720"/>
        <w:jc w:val="both"/>
        <w:outlineLvl w:val="0"/>
        <w:rPr>
          <w:b/>
          <w:bCs/>
          <w:u w:val="single"/>
        </w:rPr>
      </w:pPr>
    </w:p>
    <w:p w14:paraId="30FEF29D" w14:textId="60A496E0" w:rsidR="0044524F" w:rsidRDefault="00327DD0" w:rsidP="003978EF">
      <w:pPr>
        <w:jc w:val="center"/>
        <w:outlineLvl w:val="0"/>
        <w:rPr>
          <w:b/>
          <w:bCs/>
          <w:u w:val="single"/>
        </w:rPr>
      </w:pPr>
      <w:r>
        <w:rPr>
          <w:b/>
          <w:bCs/>
          <w:u w:val="single"/>
        </w:rPr>
        <w:t>Issue</w:t>
      </w:r>
      <w:r w:rsidR="0044524F">
        <w:rPr>
          <w:b/>
          <w:bCs/>
          <w:u w:val="single"/>
        </w:rPr>
        <w:t xml:space="preserve"> Involved</w:t>
      </w:r>
      <w:r w:rsidR="00D26F88">
        <w:rPr>
          <w:b/>
          <w:bCs/>
          <w:u w:val="single"/>
        </w:rPr>
        <w:t xml:space="preserve"> </w:t>
      </w:r>
      <w:r w:rsidR="004D04C6">
        <w:rPr>
          <w:b/>
          <w:bCs/>
          <w:u w:val="single"/>
        </w:rPr>
        <w:t>a</w:t>
      </w:r>
      <w:r w:rsidR="00D26F88">
        <w:rPr>
          <w:b/>
          <w:bCs/>
          <w:u w:val="single"/>
        </w:rPr>
        <w:t>nd Proc</w:t>
      </w:r>
      <w:r w:rsidR="00947045">
        <w:rPr>
          <w:b/>
          <w:bCs/>
          <w:u w:val="single"/>
        </w:rPr>
        <w:t>eedings</w:t>
      </w:r>
    </w:p>
    <w:p w14:paraId="3FAE3D03" w14:textId="77777777" w:rsidR="0044524F" w:rsidRPr="00E265AE" w:rsidRDefault="0044524F" w:rsidP="00C85F07">
      <w:pPr>
        <w:spacing w:line="276" w:lineRule="auto"/>
        <w:ind w:firstLine="720"/>
        <w:jc w:val="both"/>
        <w:rPr>
          <w:b/>
          <w:bCs/>
        </w:rPr>
      </w:pPr>
    </w:p>
    <w:p w14:paraId="138DBC77" w14:textId="1C128788" w:rsidR="00587EF6" w:rsidRDefault="00E03649" w:rsidP="00C85F07">
      <w:pPr>
        <w:spacing w:line="276" w:lineRule="auto"/>
        <w:ind w:firstLine="720"/>
        <w:jc w:val="both"/>
      </w:pPr>
      <w:r w:rsidRPr="000B2B90">
        <w:t>The Commission</w:t>
      </w:r>
      <w:r w:rsidR="005F1495">
        <w:t xml:space="preserve"> issu</w:t>
      </w:r>
      <w:r w:rsidR="00991EBF">
        <w:t xml:space="preserve">ed </w:t>
      </w:r>
      <w:r w:rsidR="00277E41">
        <w:t>a Procedural</w:t>
      </w:r>
      <w:r w:rsidRPr="000B2B90">
        <w:t xml:space="preserve"> and Sc</w:t>
      </w:r>
      <w:r w:rsidR="005C4494">
        <w:t xml:space="preserve">heduling Order </w:t>
      </w:r>
      <w:r w:rsidR="005014C9">
        <w:t>(“PSO”)</w:t>
      </w:r>
      <w:r w:rsidR="00E45C08">
        <w:t xml:space="preserve"> </w:t>
      </w:r>
      <w:r w:rsidR="00BA78F5">
        <w:t xml:space="preserve">on </w:t>
      </w:r>
      <w:r w:rsidR="002E6062">
        <w:t>March</w:t>
      </w:r>
      <w:r w:rsidR="00254225">
        <w:t xml:space="preserve"> 16, 2021, </w:t>
      </w:r>
      <w:r w:rsidR="00EB4128">
        <w:t>but</w:t>
      </w:r>
      <w:r w:rsidR="005B23C4">
        <w:t xml:space="preserve"> was</w:t>
      </w:r>
      <w:r w:rsidR="00254225">
        <w:t xml:space="preserve"> revised March 23, 2021 </w:t>
      </w:r>
      <w:r w:rsidR="00F70B61">
        <w:t>set</w:t>
      </w:r>
      <w:r w:rsidR="00254225">
        <w:t>ting</w:t>
      </w:r>
      <w:r w:rsidR="00F70B61">
        <w:t xml:space="preserve"> out one issue </w:t>
      </w:r>
      <w:r w:rsidR="005C4494">
        <w:t xml:space="preserve">to </w:t>
      </w:r>
      <w:r w:rsidRPr="000B2B90">
        <w:t>be decided during this p</w:t>
      </w:r>
      <w:r w:rsidR="00587EF6">
        <w:t>roceeding:</w:t>
      </w:r>
    </w:p>
    <w:p w14:paraId="3F83EC4F" w14:textId="77777777" w:rsidR="00587EF6" w:rsidRDefault="00587EF6" w:rsidP="00C85F07">
      <w:pPr>
        <w:spacing w:line="276" w:lineRule="auto"/>
        <w:ind w:firstLine="720"/>
        <w:contextualSpacing/>
        <w:jc w:val="both"/>
      </w:pPr>
    </w:p>
    <w:p w14:paraId="430D6CB0" w14:textId="554CC5CA" w:rsidR="00587EF6" w:rsidRDefault="00587EF6" w:rsidP="003978EF">
      <w:pPr>
        <w:spacing w:line="276" w:lineRule="auto"/>
        <w:ind w:left="720"/>
        <w:contextualSpacing/>
        <w:jc w:val="both"/>
      </w:pPr>
      <w:bookmarkStart w:id="0" w:name="_Hlk33084019"/>
      <w:r w:rsidRPr="00587EF6">
        <w:t xml:space="preserve">Whether the Commission should </w:t>
      </w:r>
      <w:bookmarkStart w:id="1" w:name="_Hlk33089614"/>
      <w:r w:rsidRPr="00587EF6">
        <w:t>verify and approve or disapprove the expenditures as</w:t>
      </w:r>
      <w:r w:rsidR="00BA78F5">
        <w:t xml:space="preserve"> </w:t>
      </w:r>
      <w:r w:rsidRPr="00587EF6">
        <w:t>made pursuant to the certificate issued by the Commission</w:t>
      </w:r>
      <w:r w:rsidR="003E420F">
        <w:t>.</w:t>
      </w:r>
    </w:p>
    <w:p w14:paraId="750F7B8B" w14:textId="77777777" w:rsidR="00587EF6" w:rsidRPr="00587EF6" w:rsidRDefault="00587EF6" w:rsidP="00C85F07">
      <w:pPr>
        <w:spacing w:line="276" w:lineRule="auto"/>
        <w:ind w:firstLine="720"/>
        <w:jc w:val="both"/>
      </w:pPr>
    </w:p>
    <w:bookmarkEnd w:id="0"/>
    <w:bookmarkEnd w:id="1"/>
    <w:p w14:paraId="6E037B01" w14:textId="77777777" w:rsidR="009745CC" w:rsidRDefault="006A32D7" w:rsidP="00C85F07">
      <w:pPr>
        <w:spacing w:line="276" w:lineRule="auto"/>
        <w:ind w:firstLine="720"/>
        <w:jc w:val="both"/>
      </w:pPr>
      <w:r>
        <w:t>The statute provides that w</w:t>
      </w:r>
      <w:r w:rsidR="0044524F" w:rsidRPr="001713EB">
        <w:t>ithin</w:t>
      </w:r>
      <w:r w:rsidR="0044524F" w:rsidRPr="00064CD2">
        <w:t xml:space="preserve"> 180 days of </w:t>
      </w:r>
      <w:r w:rsidR="006910BA">
        <w:t>such a</w:t>
      </w:r>
      <w:r w:rsidR="006910BA" w:rsidRPr="00064CD2">
        <w:t xml:space="preserve"> </w:t>
      </w:r>
      <w:r w:rsidR="0044524F" w:rsidRPr="00064CD2">
        <w:t xml:space="preserve">filing, “the </w:t>
      </w:r>
      <w:r w:rsidR="0044524F">
        <w:t>Commission</w:t>
      </w:r>
      <w:r w:rsidR="0044524F" w:rsidRPr="00064CD2">
        <w:t xml:space="preserve"> shall verify and approve or disapprove expenditures made pursuant to the </w:t>
      </w:r>
      <w:r w:rsidR="0044524F">
        <w:t>Certificate</w:t>
      </w:r>
      <w:r w:rsidR="0044524F" w:rsidRPr="00064CD2">
        <w:t xml:space="preserve">.  If the </w:t>
      </w:r>
      <w:r w:rsidR="0044524F">
        <w:t>Commission</w:t>
      </w:r>
      <w:r w:rsidR="0044524F" w:rsidRPr="00064CD2">
        <w:t xml:space="preserve"> fails to so act within 180 days after such filing, the previous expenditures shall be deeme</w:t>
      </w:r>
      <w:r w:rsidR="0044524F">
        <w:t>d approved by operation of law.”</w:t>
      </w:r>
      <w:r w:rsidR="0044524F" w:rsidRPr="00064CD2">
        <w:t xml:space="preserve"> O.C.G.A. § 46-3A-7(b)</w:t>
      </w:r>
      <w:r w:rsidR="00842AFF">
        <w:t>.</w:t>
      </w:r>
    </w:p>
    <w:p w14:paraId="1692CAC7" w14:textId="77777777" w:rsidR="00F343ED" w:rsidRDefault="0044524F" w:rsidP="00C85F07">
      <w:pPr>
        <w:spacing w:line="276" w:lineRule="auto"/>
        <w:ind w:firstLine="720"/>
        <w:jc w:val="both"/>
      </w:pPr>
      <w:r w:rsidRPr="00064CD2">
        <w:tab/>
      </w:r>
    </w:p>
    <w:p w14:paraId="1B609857" w14:textId="43C1CE93" w:rsidR="0044524F" w:rsidRDefault="0044524F" w:rsidP="00C85F07">
      <w:pPr>
        <w:spacing w:line="276" w:lineRule="auto"/>
        <w:ind w:firstLine="720"/>
        <w:jc w:val="both"/>
      </w:pPr>
      <w:r w:rsidRPr="00064CD2">
        <w:t xml:space="preserve">If the </w:t>
      </w:r>
      <w:r>
        <w:t>Commission</w:t>
      </w:r>
      <w:r w:rsidRPr="00064CD2">
        <w:t xml:space="preserve"> verifies expenditures as made pursuant to a </w:t>
      </w:r>
      <w:r>
        <w:t>certificated</w:t>
      </w:r>
      <w:r w:rsidRPr="00064CD2">
        <w:t xml:space="preserve"> capacity resource, that verification forecloses subsequent exclusion of those costs from the utility’s rate base, absent fraud, concealment, failure to disclose a material fact, imprudence, or criminal misconduct.  O.C.G.A. § 46-3A-7(c).</w:t>
      </w:r>
    </w:p>
    <w:p w14:paraId="7D1EAD6C" w14:textId="1CF00824" w:rsidR="00373415" w:rsidRDefault="00373415" w:rsidP="00C85F07">
      <w:pPr>
        <w:spacing w:line="276" w:lineRule="auto"/>
        <w:ind w:firstLine="720"/>
        <w:jc w:val="both"/>
        <w:rPr>
          <w:b/>
          <w:bCs/>
          <w:u w:val="single"/>
        </w:rPr>
      </w:pPr>
    </w:p>
    <w:p w14:paraId="7C60139D" w14:textId="2F18CBD9" w:rsidR="001B1A07" w:rsidRDefault="00ED44AD" w:rsidP="00C85F07">
      <w:pPr>
        <w:spacing w:line="276" w:lineRule="auto"/>
        <w:ind w:firstLine="720"/>
        <w:jc w:val="both"/>
        <w:rPr>
          <w:bCs/>
        </w:rPr>
      </w:pPr>
      <w:r>
        <w:rPr>
          <w:bCs/>
        </w:rPr>
        <w:t xml:space="preserve">Following </w:t>
      </w:r>
      <w:r w:rsidR="00F67123">
        <w:rPr>
          <w:bCs/>
        </w:rPr>
        <w:t xml:space="preserve">Georgia </w:t>
      </w:r>
      <w:r w:rsidR="00F96CA5">
        <w:rPr>
          <w:bCs/>
        </w:rPr>
        <w:t>Power’s February</w:t>
      </w:r>
      <w:r w:rsidR="00F67123">
        <w:rPr>
          <w:bCs/>
        </w:rPr>
        <w:t xml:space="preserve"> 18</w:t>
      </w:r>
      <w:r w:rsidR="00F96CA5" w:rsidRPr="00F67123">
        <w:rPr>
          <w:bCs/>
          <w:vertAlign w:val="superscript"/>
        </w:rPr>
        <w:t>th</w:t>
      </w:r>
      <w:r w:rsidR="00F96CA5">
        <w:rPr>
          <w:bCs/>
        </w:rPr>
        <w:t xml:space="preserve"> submission</w:t>
      </w:r>
      <w:r w:rsidR="00F67123">
        <w:rPr>
          <w:bCs/>
        </w:rPr>
        <w:t>,</w:t>
      </w:r>
      <w:r w:rsidR="00633623">
        <w:rPr>
          <w:bCs/>
        </w:rPr>
        <w:t xml:space="preserve"> seven parties filed for intervention: </w:t>
      </w:r>
      <w:r w:rsidR="00D76EBE" w:rsidRPr="00D76EBE">
        <w:rPr>
          <w:bCs/>
        </w:rPr>
        <w:t>Concerned Ratepayers of Georgia</w:t>
      </w:r>
      <w:r w:rsidR="00023571">
        <w:rPr>
          <w:bCs/>
        </w:rPr>
        <w:t xml:space="preserve"> (“CRG”)</w:t>
      </w:r>
      <w:r w:rsidR="00D76EBE" w:rsidRPr="00D76EBE">
        <w:rPr>
          <w:bCs/>
        </w:rPr>
        <w:t>; Georgia Association of Manufacturers</w:t>
      </w:r>
      <w:r w:rsidR="00023571">
        <w:rPr>
          <w:bCs/>
        </w:rPr>
        <w:t xml:space="preserve"> (“GAM”)</w:t>
      </w:r>
      <w:r w:rsidR="00D76EBE" w:rsidRPr="00D76EBE">
        <w:rPr>
          <w:bCs/>
        </w:rPr>
        <w:t>; Georgia Interfaith Power &amp; Light and Partnership for Southern Equity</w:t>
      </w:r>
      <w:r w:rsidR="00023571">
        <w:rPr>
          <w:bCs/>
        </w:rPr>
        <w:t xml:space="preserve"> (“GIPL</w:t>
      </w:r>
      <w:r w:rsidR="0015316E">
        <w:rPr>
          <w:bCs/>
        </w:rPr>
        <w:t>-PSE</w:t>
      </w:r>
      <w:r w:rsidR="0062513A">
        <w:rPr>
          <w:bCs/>
        </w:rPr>
        <w:t>”)</w:t>
      </w:r>
      <w:r w:rsidR="00D76EBE" w:rsidRPr="00D76EBE">
        <w:rPr>
          <w:bCs/>
        </w:rPr>
        <w:t>; Georgia Watch; Resource Supply Management</w:t>
      </w:r>
      <w:r w:rsidR="0062513A">
        <w:rPr>
          <w:bCs/>
        </w:rPr>
        <w:t xml:space="preserve"> (“RSM”)</w:t>
      </w:r>
      <w:r w:rsidR="00D76EBE" w:rsidRPr="00D76EBE">
        <w:rPr>
          <w:bCs/>
        </w:rPr>
        <w:t>; and Southern Alliance for Clean Energy</w:t>
      </w:r>
      <w:r w:rsidR="0062513A">
        <w:rPr>
          <w:bCs/>
        </w:rPr>
        <w:t xml:space="preserve"> (“</w:t>
      </w:r>
      <w:r w:rsidR="0015316E">
        <w:rPr>
          <w:bCs/>
        </w:rPr>
        <w:t>SACE</w:t>
      </w:r>
      <w:r w:rsidR="0062513A">
        <w:rPr>
          <w:bCs/>
        </w:rPr>
        <w:t>”)</w:t>
      </w:r>
      <w:r w:rsidR="001B1A07">
        <w:rPr>
          <w:bCs/>
        </w:rPr>
        <w:t>.</w:t>
      </w:r>
    </w:p>
    <w:p w14:paraId="747B4C6D" w14:textId="392FDCAC" w:rsidR="00674723" w:rsidRDefault="00674723" w:rsidP="00C85F07">
      <w:pPr>
        <w:spacing w:line="276" w:lineRule="auto"/>
        <w:ind w:firstLine="720"/>
        <w:jc w:val="both"/>
        <w:rPr>
          <w:bCs/>
        </w:rPr>
      </w:pPr>
    </w:p>
    <w:p w14:paraId="10FF12A2" w14:textId="368A9AAB" w:rsidR="00B923EA" w:rsidRDefault="00B923EA" w:rsidP="00C85F07">
      <w:pPr>
        <w:spacing w:line="276" w:lineRule="auto"/>
        <w:ind w:firstLine="720"/>
        <w:jc w:val="both"/>
      </w:pPr>
      <w:r>
        <w:t xml:space="preserve">On April 20, 2021, Georgia Power filed the Direct Testimony of David L. McKinney and Jeremiah C. Haswell and the Direct Testimony of Stephen E. </w:t>
      </w:r>
      <w:proofErr w:type="spellStart"/>
      <w:r>
        <w:t>Kuczynski</w:t>
      </w:r>
      <w:proofErr w:type="spellEnd"/>
      <w:r>
        <w:t xml:space="preserve"> and Aaron P. </w:t>
      </w:r>
      <w:proofErr w:type="spellStart"/>
      <w:r>
        <w:t>Abramovitz</w:t>
      </w:r>
      <w:proofErr w:type="spellEnd"/>
      <w:r>
        <w:t xml:space="preserve"> in support of the VCM 24 Report. The Commission held a hearing on Georgia Power’s direct </w:t>
      </w:r>
      <w:r w:rsidR="00EB4128">
        <w:t>case</w:t>
      </w:r>
      <w:r>
        <w:t xml:space="preserve"> on May 18, 2021. </w:t>
      </w:r>
    </w:p>
    <w:p w14:paraId="4774AD01" w14:textId="77777777" w:rsidR="00DF1F8A" w:rsidRDefault="00DF1F8A" w:rsidP="00C85F07">
      <w:pPr>
        <w:spacing w:line="276" w:lineRule="auto"/>
        <w:ind w:firstLine="720"/>
        <w:jc w:val="both"/>
      </w:pPr>
    </w:p>
    <w:p w14:paraId="247A884D" w14:textId="39927A53" w:rsidR="00B923EA" w:rsidRDefault="00B923EA" w:rsidP="00C85F07">
      <w:pPr>
        <w:spacing w:line="276" w:lineRule="auto"/>
        <w:ind w:firstLine="720"/>
        <w:jc w:val="both"/>
      </w:pPr>
      <w:r>
        <w:lastRenderedPageBreak/>
        <w:t xml:space="preserve">On June 7, 2021, PIA Staff filed the Direct Testimony of Steven D. Roetger and William R. Jacobs, Jr., </w:t>
      </w:r>
      <w:r w:rsidR="00F25246">
        <w:t>Ph.D.</w:t>
      </w:r>
      <w:r>
        <w:t xml:space="preserve">; Donald Grace; Tom Newsome, Philip </w:t>
      </w:r>
      <w:proofErr w:type="spellStart"/>
      <w:r>
        <w:t>Hayet</w:t>
      </w:r>
      <w:proofErr w:type="spellEnd"/>
      <w:r>
        <w:t xml:space="preserve">, and Lane </w:t>
      </w:r>
      <w:proofErr w:type="spellStart"/>
      <w:r w:rsidR="00395E7F">
        <w:t>Kollen</w:t>
      </w:r>
      <w:proofErr w:type="spellEnd"/>
      <w:r w:rsidR="00773B09">
        <w:t>,</w:t>
      </w:r>
      <w:r w:rsidR="00395E7F">
        <w:t xml:space="preserve"> and</w:t>
      </w:r>
      <w:r>
        <w:t xml:space="preserve"> Shemetha Q. Jones. No </w:t>
      </w:r>
      <w:proofErr w:type="spellStart"/>
      <w:r>
        <w:t>intervenor</w:t>
      </w:r>
      <w:proofErr w:type="spellEnd"/>
      <w:r>
        <w:t xml:space="preserve"> filed testimony in this proceeding. The Commission </w:t>
      </w:r>
      <w:r w:rsidR="00DF1F8A">
        <w:t xml:space="preserve">heard testimony and cross examination </w:t>
      </w:r>
      <w:r w:rsidR="00773B09">
        <w:t xml:space="preserve">of </w:t>
      </w:r>
      <w:r>
        <w:t xml:space="preserve">PIA Staff on June 24, 2021. </w:t>
      </w:r>
    </w:p>
    <w:p w14:paraId="2E534F5E" w14:textId="77777777" w:rsidR="00DF1F8A" w:rsidRDefault="00DF1F8A" w:rsidP="00C85F07">
      <w:pPr>
        <w:spacing w:line="276" w:lineRule="auto"/>
        <w:ind w:firstLine="720"/>
        <w:jc w:val="both"/>
      </w:pPr>
    </w:p>
    <w:p w14:paraId="5854FDAC" w14:textId="6DC6D2EE" w:rsidR="00E93D27" w:rsidRDefault="00B923EA" w:rsidP="00C85F07">
      <w:pPr>
        <w:spacing w:line="276" w:lineRule="auto"/>
        <w:ind w:firstLine="720"/>
        <w:jc w:val="both"/>
      </w:pPr>
      <w:r>
        <w:t>On July 12, 2021, Georgia Power notified the Commission that it would not file rebuttal testimony in this proceeding</w:t>
      </w:r>
      <w:r w:rsidR="00A64C67">
        <w:t>.</w:t>
      </w:r>
    </w:p>
    <w:p w14:paraId="79F388A5" w14:textId="65E0D5C1" w:rsidR="00886A04" w:rsidRDefault="00886A04" w:rsidP="003978EF">
      <w:pPr>
        <w:jc w:val="center"/>
        <w:rPr>
          <w:b/>
          <w:u w:val="single"/>
        </w:rPr>
      </w:pPr>
      <w:r>
        <w:rPr>
          <w:b/>
          <w:u w:val="single"/>
        </w:rPr>
        <w:t>Statement of the Case</w:t>
      </w:r>
    </w:p>
    <w:p w14:paraId="0E6F547E" w14:textId="7A608CCD" w:rsidR="007237FB" w:rsidRPr="001E1558" w:rsidRDefault="007237FB" w:rsidP="00C85F07">
      <w:pPr>
        <w:spacing w:line="276" w:lineRule="auto"/>
        <w:ind w:firstLine="720"/>
        <w:jc w:val="both"/>
      </w:pPr>
    </w:p>
    <w:p w14:paraId="228D09A4" w14:textId="71C890F9" w:rsidR="00F946BB" w:rsidRDefault="001E1558" w:rsidP="00C85F07">
      <w:pPr>
        <w:spacing w:line="276" w:lineRule="auto"/>
        <w:ind w:firstLine="720"/>
        <w:jc w:val="both"/>
      </w:pPr>
      <w:r w:rsidRPr="001E1558">
        <w:t>On July 29, 2021, PIA Staf</w:t>
      </w:r>
      <w:r>
        <w:t>f</w:t>
      </w:r>
      <w:r w:rsidR="00C445BB">
        <w:t xml:space="preserve"> </w:t>
      </w:r>
      <w:r w:rsidR="002962CB">
        <w:t xml:space="preserve">and </w:t>
      </w:r>
      <w:r w:rsidR="002962CB" w:rsidRPr="001E1558">
        <w:t>the</w:t>
      </w:r>
      <w:r w:rsidRPr="001E1558">
        <w:t xml:space="preserve"> Company filed a Stipulation (Attached</w:t>
      </w:r>
      <w:r w:rsidR="00142EE0">
        <w:t xml:space="preserve"> as Exhibit “A”)</w:t>
      </w:r>
      <w:r w:rsidRPr="001E1558">
        <w:t xml:space="preserve"> designed to resolve the one issue identified in the PSO and to address the issue of how the Commission should review costs in excess of the $7.3 billion previously “deemed reasonable” in the Commission’s Order on the Company’s Seventeenth VCM Report which was raised by PIA Staff testimony.</w:t>
      </w:r>
    </w:p>
    <w:p w14:paraId="788081AE" w14:textId="74FBDC2E" w:rsidR="00CF2DB5" w:rsidRDefault="00CF2DB5" w:rsidP="00C85F07">
      <w:pPr>
        <w:spacing w:line="276" w:lineRule="auto"/>
        <w:ind w:firstLine="720"/>
        <w:jc w:val="both"/>
      </w:pPr>
    </w:p>
    <w:p w14:paraId="54C1C52E" w14:textId="1E4821CB" w:rsidR="005E25CF" w:rsidRDefault="005E25CF" w:rsidP="00C85F07">
      <w:pPr>
        <w:spacing w:line="276" w:lineRule="auto"/>
        <w:ind w:firstLine="720"/>
        <w:jc w:val="both"/>
      </w:pPr>
      <w:r w:rsidRPr="005E25CF">
        <w:t>A brief in support of the Stipulation was filed by Georgia Power.  Briefs were also filed by Concerned Ratepayers of Georgia</w:t>
      </w:r>
      <w:r>
        <w:t>,</w:t>
      </w:r>
      <w:r w:rsidRPr="005E25CF">
        <w:t xml:space="preserve"> Resource Supply Management, </w:t>
      </w:r>
      <w:bookmarkStart w:id="2" w:name="_Hlk78870308"/>
      <w:r w:rsidRPr="005E25CF">
        <w:t xml:space="preserve">Georgia Interfaith Power &amp; Light and the Partnership for Southern Equity </w:t>
      </w:r>
      <w:bookmarkEnd w:id="2"/>
      <w:r w:rsidRPr="005E25CF">
        <w:t>and Southern Alliance for Clean Energy. Georgia Association of Manufacturers and Georgia Watch intervened in this proceeding but did not file briefs.</w:t>
      </w:r>
    </w:p>
    <w:p w14:paraId="50451B2C" w14:textId="06304A31" w:rsidR="008156FB" w:rsidRDefault="008156FB" w:rsidP="00C85F07">
      <w:pPr>
        <w:spacing w:line="276" w:lineRule="auto"/>
        <w:ind w:firstLine="720"/>
        <w:jc w:val="both"/>
      </w:pPr>
    </w:p>
    <w:p w14:paraId="6B7512FE" w14:textId="1FB59677" w:rsidR="000F0B63" w:rsidRDefault="000F0B63" w:rsidP="00C85F07">
      <w:pPr>
        <w:spacing w:line="276" w:lineRule="auto"/>
        <w:ind w:firstLine="720"/>
        <w:jc w:val="both"/>
      </w:pPr>
      <w:r w:rsidRPr="000F0B63">
        <w:t>The Company requested verification and approval of actual expenditures incurred during this reporting period of $670 million. (24</w:t>
      </w:r>
      <w:r w:rsidRPr="000F0B63">
        <w:rPr>
          <w:vertAlign w:val="superscript"/>
        </w:rPr>
        <w:t>th</w:t>
      </w:r>
      <w:r w:rsidRPr="000F0B63">
        <w:t xml:space="preserve"> VCM Report at p. 5). (McKinney-</w:t>
      </w:r>
      <w:proofErr w:type="spellStart"/>
      <w:r w:rsidRPr="000F0B63">
        <w:t>Haswell’s</w:t>
      </w:r>
      <w:proofErr w:type="spellEnd"/>
      <w:r w:rsidRPr="000F0B63">
        <w:t xml:space="preserve"> Testimony at p. 12).  (Company’s Brief at p. 2). PIA Staff recommended “that the expenditures of $670 million incurred during the Twenty-Fourth VCM period be verified and approved.” (Roetger-Jacobs’ Testimony at p. 75). Provision one (1) of the Stipulation calls for the Commission to verify and approve the $670 million in expenditures made by Georgia Power pursuant to the Certificate of Public Convenience and Necessity and O.C.G.A. § 46-3A-7(b) for Plant </w:t>
      </w:r>
      <w:proofErr w:type="spellStart"/>
      <w:r w:rsidRPr="000F0B63">
        <w:t>Vogtle</w:t>
      </w:r>
      <w:proofErr w:type="spellEnd"/>
      <w:r w:rsidRPr="000F0B63">
        <w:t xml:space="preserve"> Units 3 and 4 for the period July 1, 2020 through December 31, 2020. (Stipulation p. 1).</w:t>
      </w:r>
    </w:p>
    <w:p w14:paraId="145A12D9" w14:textId="77777777" w:rsidR="00773B09" w:rsidRPr="000F0B63" w:rsidRDefault="00773B09" w:rsidP="00C85F07">
      <w:pPr>
        <w:spacing w:line="276" w:lineRule="auto"/>
        <w:ind w:firstLine="720"/>
        <w:jc w:val="both"/>
      </w:pPr>
    </w:p>
    <w:p w14:paraId="48027CF4" w14:textId="6CC2B44E" w:rsidR="000F0B63" w:rsidRDefault="000F0B63" w:rsidP="00C85F07">
      <w:pPr>
        <w:spacing w:line="276" w:lineRule="auto"/>
        <w:ind w:firstLine="720"/>
        <w:jc w:val="both"/>
      </w:pPr>
      <w:r w:rsidRPr="000F0B63">
        <w:t xml:space="preserve">Provision two (2) of the Stipulation includes language which has appeared in previous VCM orders: “‘Verification and approval’ of costs means a determination that such costs have been spent on the Project and does not preclude subsequent exclusion from the Company’s rate base by the Commission on the basis of fraud, concealment, failure to disclose a material fact, imprudence, or criminal misconduct.” Provision two also states “All Commission decisions regarding the prudence of investments not already deemed prudent in paragraph 1 of the Stipulation approved by the January 3, 2017 Order Adopting Stipulation shall be made after a prudence review as contemplated in the VCM 17 Order dated January 11, 2018. The Company </w:t>
      </w:r>
      <w:r w:rsidRPr="000F0B63">
        <w:lastRenderedPageBreak/>
        <w:t>retains the burden of proof on prudency on all capital costs above $5.680 billion.” (Stipulation at p. 1)</w:t>
      </w:r>
    </w:p>
    <w:p w14:paraId="548C81F0" w14:textId="77777777" w:rsidR="004E28E6" w:rsidRPr="004E28E6" w:rsidRDefault="004E28E6" w:rsidP="00C85F07">
      <w:pPr>
        <w:spacing w:line="276" w:lineRule="auto"/>
        <w:ind w:firstLine="720"/>
        <w:jc w:val="both"/>
      </w:pPr>
      <w:r w:rsidRPr="004E28E6">
        <w:t>Provision three (3) of the Stipulation acknowledges that “Beginning with the VCM 25 reporting period (January 1, 2021 through June 30, 2021), the Project has exceeded the $7.3 billion capital costs forecast previously ‘deemed reasonable’ by its VCM 17 Order.” (Stipulation at p. 1).</w:t>
      </w:r>
    </w:p>
    <w:p w14:paraId="2D61B020" w14:textId="77777777" w:rsidR="004E28E6" w:rsidRPr="004E28E6" w:rsidRDefault="004E28E6" w:rsidP="00C85F07">
      <w:pPr>
        <w:spacing w:line="276" w:lineRule="auto"/>
        <w:ind w:firstLine="720"/>
        <w:jc w:val="both"/>
      </w:pPr>
    </w:p>
    <w:p w14:paraId="17AE9099" w14:textId="72CD3E40" w:rsidR="004E28E6" w:rsidRPr="004E28E6" w:rsidRDefault="004E28E6" w:rsidP="00C85F07">
      <w:pPr>
        <w:spacing w:line="276" w:lineRule="auto"/>
        <w:ind w:firstLine="720"/>
        <w:jc w:val="both"/>
      </w:pPr>
      <w:r w:rsidRPr="004E28E6">
        <w:t>Provision four (4)</w:t>
      </w:r>
      <w:r w:rsidR="001D30A7">
        <w:t xml:space="preserve"> </w:t>
      </w:r>
      <w:r w:rsidRPr="004E28E6">
        <w:t xml:space="preserve">restates language provided in the VCM 17 Order regarding the continuation of semi-annual VCM reviews and the understanding that the VCM 17 Order provides that all issues pertaining to prudence not already decided by the Commission in the January 3, 2017 Order Adopting Stipulation will be determined in a later proceeding. Provision five (5) speaks to the agreement between PIA Staff and the Company regarding the VCM 19 PSO as it relates to the treatment of a charge to income by the Company of $1.1 billion consisting of an increase in </w:t>
      </w:r>
      <w:proofErr w:type="spellStart"/>
      <w:r w:rsidRPr="004E28E6">
        <w:t>Vogtle</w:t>
      </w:r>
      <w:proofErr w:type="spellEnd"/>
      <w:r w:rsidRPr="004E28E6">
        <w:t xml:space="preserve"> forecast constructions costs of $694 million and an additional contingency of $366 million. (Stipulation at p. 1).</w:t>
      </w:r>
    </w:p>
    <w:p w14:paraId="1EEDF050" w14:textId="77777777" w:rsidR="004E28E6" w:rsidRPr="004E28E6" w:rsidRDefault="004E28E6" w:rsidP="00C85F07">
      <w:pPr>
        <w:spacing w:line="276" w:lineRule="auto"/>
        <w:ind w:firstLine="720"/>
        <w:jc w:val="both"/>
      </w:pPr>
    </w:p>
    <w:p w14:paraId="2928DF6B" w14:textId="2996E399" w:rsidR="004E28E6" w:rsidRPr="004E28E6" w:rsidRDefault="004E28E6" w:rsidP="00C85F07">
      <w:pPr>
        <w:spacing w:line="276" w:lineRule="auto"/>
        <w:ind w:firstLine="720"/>
        <w:jc w:val="both"/>
      </w:pPr>
      <w:r w:rsidRPr="004E28E6">
        <w:t xml:space="preserve">Provision six (6) sets out agreement between PIA Staff and the Company that for VCM proceedings starting with VCM 25, while it is appropriate for the Company to continue reporting on the progress and cost of Plant </w:t>
      </w:r>
      <w:proofErr w:type="spellStart"/>
      <w:r w:rsidRPr="004E28E6">
        <w:t>Vogtle</w:t>
      </w:r>
      <w:proofErr w:type="spellEnd"/>
      <w:r w:rsidRPr="004E28E6">
        <w:t xml:space="preserve"> Units 3 and 4 (the “Project”) and for the semi-annual construction monitoring process to continue through completion of the Project, it is no longer appropriate for the Commission to verify and approve the dollars invested in the Project prior to the conclusion of the prudence review contemplated by the VCM 17 Order since the Company has exceeded the approved revised capital cost of $7.3 billion. (Stipulation at p. 2). As stated in the Company’s brief, Georgia Power will continue to file construction monitoring reports on a semi-annual basis through completion of </w:t>
      </w:r>
      <w:bookmarkStart w:id="3" w:name="_Hlk78880674"/>
      <w:r w:rsidRPr="004E28E6">
        <w:t>the Project</w:t>
      </w:r>
      <w:bookmarkEnd w:id="3"/>
      <w:r w:rsidRPr="004E28E6">
        <w:t xml:space="preserve"> and the Commission will continue holding the VCM proceedings. However, beginning with VCM 25 and in each subsequent VCM proceeding thereafter, the Commission will only review costs incurred on the Project above $7.3 billion without making determinations as to reasonableness or prudence. Further, the Company will not seek verification and approval of such costs prior to the prudence review contemplated by the VCM 17 Order. (Georgia Power Brief p. 4)</w:t>
      </w:r>
      <w:r w:rsidR="00AC5FC1">
        <w:t>.</w:t>
      </w:r>
    </w:p>
    <w:p w14:paraId="65B464D1" w14:textId="32AFBBB9" w:rsidR="004E28E6" w:rsidRDefault="004E28E6" w:rsidP="00C85F07">
      <w:pPr>
        <w:spacing w:line="276" w:lineRule="auto"/>
        <w:ind w:firstLine="720"/>
        <w:jc w:val="both"/>
      </w:pPr>
    </w:p>
    <w:p w14:paraId="175FE864" w14:textId="663D6258" w:rsidR="0052583F" w:rsidRPr="0052583F" w:rsidRDefault="0052583F" w:rsidP="00C85F07">
      <w:pPr>
        <w:spacing w:line="276" w:lineRule="auto"/>
        <w:ind w:firstLine="720"/>
        <w:jc w:val="both"/>
      </w:pPr>
      <w:r w:rsidRPr="0052583F">
        <w:t>Finally, provision seven (7)</w:t>
      </w:r>
      <w:r w:rsidR="00E10854" w:rsidRPr="00E10854">
        <w:rPr>
          <w:color w:val="5B9BD5" w:themeColor="accent5"/>
        </w:rPr>
        <w:t xml:space="preserve"> </w:t>
      </w:r>
      <w:r w:rsidRPr="0052583F">
        <w:t xml:space="preserve">states that PIA Staff and Georgia Power agree that the process as described in the Stipulation (starting with VCM 25) is allowed by Georgia statute and the VCM 17 Order. In its brief, the Company states that the Parties to the Stipulation agree that the Commission is not obligated to verify and approve costs if the Company does not seek such verification and approval during a Reporting Period, but the Company may later seek verification and approval of the expenditures over $7.3 billion. This provision also states that “…subject to the Company's agreement that it will not seek to recover in rates $694 million addressed in VCM 19, all determinations of the reasonableness of Project expenditures above the $7.3 billion approved </w:t>
      </w:r>
      <w:r w:rsidRPr="0052583F">
        <w:lastRenderedPageBreak/>
        <w:t>in VCM 17 shall be reserved until the prudence review contemplated by the VCM 17 Order and the Company shall continue to bear the burden of proof on the reasonableness of' such costs.” (Stipulation p. 2)</w:t>
      </w:r>
    </w:p>
    <w:p w14:paraId="1AC17C81" w14:textId="5D5372AB" w:rsidR="0052583F" w:rsidRDefault="0052583F" w:rsidP="00C85F07">
      <w:pPr>
        <w:spacing w:line="276" w:lineRule="auto"/>
        <w:ind w:firstLine="720"/>
        <w:jc w:val="both"/>
      </w:pPr>
    </w:p>
    <w:p w14:paraId="7EC57DB4" w14:textId="3F8E3F20" w:rsidR="008A2D6A" w:rsidRPr="008A2D6A" w:rsidRDefault="008A2D6A" w:rsidP="00C85F07">
      <w:pPr>
        <w:spacing w:line="276" w:lineRule="auto"/>
        <w:ind w:firstLine="720"/>
        <w:jc w:val="both"/>
        <w:rPr>
          <w:b/>
          <w:bCs/>
        </w:rPr>
      </w:pPr>
      <w:r w:rsidRPr="008A2D6A">
        <w:t>CRG recommend</w:t>
      </w:r>
      <w:r w:rsidR="00724E4E">
        <w:t>ed</w:t>
      </w:r>
      <w:r w:rsidRPr="008A2D6A">
        <w:t xml:space="preserve"> that the Commission enact cost caps for the construction costs of Plant </w:t>
      </w:r>
      <w:proofErr w:type="spellStart"/>
      <w:r w:rsidRPr="008A2D6A">
        <w:t>Vogtle</w:t>
      </w:r>
      <w:proofErr w:type="spellEnd"/>
      <w:r w:rsidRPr="008A2D6A">
        <w:t xml:space="preserve"> Units 3 and 4 whereby it </w:t>
      </w:r>
      <w:r w:rsidR="00C20FE6">
        <w:t>claimed</w:t>
      </w:r>
      <w:r w:rsidRPr="008A2D6A">
        <w:t xml:space="preserve"> “</w:t>
      </w:r>
      <w:r w:rsidR="00E33F0D">
        <w:t>…</w:t>
      </w:r>
      <w:r w:rsidRPr="008A2D6A">
        <w:t xml:space="preserve"> that any cost over X amount of dollars, regardless of cause/reason, is the financial responsibility of GA Power.” CRG state</w:t>
      </w:r>
      <w:r w:rsidR="00724E4E">
        <w:t>d</w:t>
      </w:r>
      <w:r w:rsidRPr="008A2D6A">
        <w:t xml:space="preserve"> that it has been advocating this position for years through testimony, briefs, cross of Georgia Power and PIA Staff witnesses and even as public witnesses. (CRG Brief pp. 45-46).</w:t>
      </w:r>
      <w:r w:rsidR="00A212D0">
        <w:t xml:space="preserve"> By </w:t>
      </w:r>
      <w:r w:rsidR="00E31ED9">
        <w:t>its</w:t>
      </w:r>
      <w:r w:rsidR="00D5002A">
        <w:t xml:space="preserve"> own</w:t>
      </w:r>
      <w:r w:rsidR="00A212D0">
        <w:t xml:space="preserve"> admission</w:t>
      </w:r>
      <w:r w:rsidR="00E31ED9">
        <w:t>,</w:t>
      </w:r>
      <w:r w:rsidR="00A212D0">
        <w:t xml:space="preserve"> CRG has acknowledged </w:t>
      </w:r>
      <w:r w:rsidR="00DD6F2E">
        <w:t xml:space="preserve">that the Commission has </w:t>
      </w:r>
      <w:r w:rsidR="00952150">
        <w:t>been pre</w:t>
      </w:r>
      <w:r w:rsidR="00112196">
        <w:t xml:space="preserve">viously presented with this issue, </w:t>
      </w:r>
      <w:r w:rsidR="00DD6F2E">
        <w:t xml:space="preserve">considered and </w:t>
      </w:r>
      <w:r w:rsidR="00E93D27">
        <w:t>rejected the</w:t>
      </w:r>
      <w:r w:rsidR="00112196">
        <w:t xml:space="preserve"> notion of cost caps</w:t>
      </w:r>
      <w:r w:rsidR="00C868D9">
        <w:t>.</w:t>
      </w:r>
      <w:r w:rsidR="00724E4E">
        <w:t xml:space="preserve"> </w:t>
      </w:r>
    </w:p>
    <w:p w14:paraId="4DAE5BCA" w14:textId="77777777" w:rsidR="004B4AA9" w:rsidRPr="004B4AA9" w:rsidRDefault="004B4AA9" w:rsidP="00C85F07">
      <w:pPr>
        <w:spacing w:line="276" w:lineRule="auto"/>
        <w:ind w:firstLine="720"/>
        <w:jc w:val="both"/>
      </w:pPr>
    </w:p>
    <w:p w14:paraId="3504393D" w14:textId="7523D92F" w:rsidR="004B4AA9" w:rsidRPr="004B4AA9" w:rsidRDefault="004B4AA9" w:rsidP="00C85F07">
      <w:pPr>
        <w:spacing w:line="276" w:lineRule="auto"/>
        <w:ind w:firstLine="720"/>
        <w:jc w:val="both"/>
      </w:pPr>
      <w:r w:rsidRPr="004B4AA9">
        <w:t>GIPL-PSE recommend</w:t>
      </w:r>
      <w:r w:rsidR="00971E96">
        <w:t>ed</w:t>
      </w:r>
      <w:r w:rsidRPr="004B4AA9">
        <w:t xml:space="preserve"> that the Commission take no action to verify or approve sums presented after this VCM but instead hold any such requests in abeyance pending the final prudency review. (GIPL-PSE Brief p. 3). GIPL-PSE </w:t>
      </w:r>
      <w:r w:rsidR="005F5F88" w:rsidRPr="004B4AA9">
        <w:t>state</w:t>
      </w:r>
      <w:r w:rsidR="005F5F88">
        <w:t>d</w:t>
      </w:r>
      <w:r w:rsidRPr="004B4AA9">
        <w:t xml:space="preserve"> specifically that “</w:t>
      </w:r>
      <w:r w:rsidRPr="004B4AA9">
        <w:rPr>
          <w:iCs/>
        </w:rPr>
        <w:t>If Georgia Power does not seek to amend its certificate, the Commission should hold all future request for approval of project costs in abeyance until the final prudency review.</w:t>
      </w:r>
      <w:r w:rsidRPr="004B4AA9">
        <w:t>” (GIPL-PSE p. 14).</w:t>
      </w:r>
      <w:r w:rsidR="00266955">
        <w:t xml:space="preserve"> The Commission </w:t>
      </w:r>
      <w:r w:rsidR="007E0828">
        <w:t>notes p</w:t>
      </w:r>
      <w:r w:rsidRPr="004B4AA9">
        <w:t>rovisions six and seven of the Stipulation provide a process for the treatment of costs above $7.3 billion including agreement that Georgia Power will not seek verification and approval of costs above $7.3 billion prior to the prudence review contemplated by the VCM 17 Order</w:t>
      </w:r>
      <w:r w:rsidR="007E0828">
        <w:t>.</w:t>
      </w:r>
      <w:r w:rsidRPr="004B4AA9">
        <w:t xml:space="preserve"> </w:t>
      </w:r>
    </w:p>
    <w:p w14:paraId="7832BA8D" w14:textId="77777777" w:rsidR="004B4AA9" w:rsidRPr="004B4AA9" w:rsidRDefault="004B4AA9" w:rsidP="00C85F07">
      <w:pPr>
        <w:spacing w:line="276" w:lineRule="auto"/>
        <w:ind w:firstLine="720"/>
        <w:jc w:val="both"/>
      </w:pPr>
    </w:p>
    <w:p w14:paraId="497899CB" w14:textId="573F5D8C" w:rsidR="004B4AA9" w:rsidRDefault="004B4AA9" w:rsidP="00C85F07">
      <w:pPr>
        <w:spacing w:line="276" w:lineRule="auto"/>
        <w:ind w:firstLine="720"/>
        <w:jc w:val="both"/>
      </w:pPr>
      <w:r w:rsidRPr="004B4AA9">
        <w:t>In its brief, RSM state</w:t>
      </w:r>
      <w:r w:rsidR="005F5F88">
        <w:t>d</w:t>
      </w:r>
      <w:r w:rsidRPr="004B4AA9">
        <w:t xml:space="preserve"> that the proper action for this Commission is to deny any recovery of </w:t>
      </w:r>
      <w:proofErr w:type="spellStart"/>
      <w:r w:rsidRPr="004B4AA9">
        <w:t>Vogtle</w:t>
      </w:r>
      <w:proofErr w:type="spellEnd"/>
      <w:r w:rsidRPr="004B4AA9">
        <w:t xml:space="preserve"> cost and profits from being imposed on ratepayers and that if the Commission approves the Company’s requests, it will result in significant rate increases for customers. Therefore, future Commission actions should explore ways to cut other costs that are imposed on electricity customers. RSM presents a list of customer costs that can be reduced or eliminated to mitigate to some extent what it believes to be the growing, unchecked </w:t>
      </w:r>
      <w:proofErr w:type="spellStart"/>
      <w:r w:rsidRPr="004B4AA9">
        <w:t>Vogtle</w:t>
      </w:r>
      <w:proofErr w:type="spellEnd"/>
      <w:r w:rsidRPr="004B4AA9">
        <w:t xml:space="preserve"> costs to customers.</w:t>
      </w:r>
      <w:r w:rsidR="00F00A65">
        <w:t xml:space="preserve"> Specifically, RSM recommended that</w:t>
      </w:r>
      <w:r w:rsidR="00F10BAD">
        <w:t xml:space="preserve"> the Commission: </w:t>
      </w:r>
      <w:r w:rsidR="00E157F0">
        <w:t>(</w:t>
      </w:r>
      <w:r w:rsidR="00F10BAD">
        <w:t>1) E</w:t>
      </w:r>
      <w:r w:rsidR="00FB52A1" w:rsidRPr="00FB52A1">
        <w:t>nd the cross-class subsidy from small businesses to residential customers</w:t>
      </w:r>
      <w:r w:rsidR="00F10BAD">
        <w:t>;</w:t>
      </w:r>
      <w:r w:rsidR="00E157F0">
        <w:t>(</w:t>
      </w:r>
      <w:r w:rsidR="00F10BAD">
        <w:t>2</w:t>
      </w:r>
      <w:r w:rsidR="00124EDB">
        <w:t>)</w:t>
      </w:r>
      <w:r w:rsidR="00124EDB" w:rsidRPr="004B4AA9">
        <w:t xml:space="preserve"> Stop</w:t>
      </w:r>
      <w:r w:rsidR="00F10BAD" w:rsidRPr="00F10BAD">
        <w:t xml:space="preserve"> the favoritism of renewable generation and electric vehicles</w:t>
      </w:r>
      <w:r w:rsidR="00F10BAD">
        <w:t xml:space="preserve">; </w:t>
      </w:r>
      <w:r w:rsidR="00E157F0">
        <w:t>(</w:t>
      </w:r>
      <w:r w:rsidR="00F10BAD">
        <w:t>3</w:t>
      </w:r>
      <w:r w:rsidR="00124EDB">
        <w:t>) Eliminate</w:t>
      </w:r>
      <w:r w:rsidR="003518AE" w:rsidRPr="003518AE">
        <w:t xml:space="preserve"> phantom taxes</w:t>
      </w:r>
      <w:r w:rsidR="003518AE">
        <w:t xml:space="preserve">; </w:t>
      </w:r>
      <w:r w:rsidR="00E157F0">
        <w:t>(</w:t>
      </w:r>
      <w:r w:rsidR="003518AE">
        <w:t>4)</w:t>
      </w:r>
      <w:r w:rsidR="00F10BAD">
        <w:t xml:space="preserve"> </w:t>
      </w:r>
      <w:r w:rsidR="003518AE" w:rsidRPr="003518AE">
        <w:t>Stop natural gas hedging with ratepayer money</w:t>
      </w:r>
      <w:r w:rsidR="003518AE">
        <w:t>;</w:t>
      </w:r>
      <w:r w:rsidR="00737B00">
        <w:t xml:space="preserve"> </w:t>
      </w:r>
      <w:r w:rsidR="00E157F0">
        <w:t>(</w:t>
      </w:r>
      <w:r w:rsidR="00737B00">
        <w:t xml:space="preserve">5) </w:t>
      </w:r>
      <w:r w:rsidR="00737B00" w:rsidRPr="00737B00">
        <w:t>The Company’s and the Commission’s Demand Side Measures programs should ceas</w:t>
      </w:r>
      <w:r w:rsidR="00737B00">
        <w:t xml:space="preserve">e; and </w:t>
      </w:r>
      <w:r w:rsidR="00E157F0">
        <w:t>(</w:t>
      </w:r>
      <w:r w:rsidR="00737B00">
        <w:t xml:space="preserve">6) </w:t>
      </w:r>
      <w:r w:rsidR="00737B00" w:rsidRPr="00737B00">
        <w:t>Enhance customer demand response</w:t>
      </w:r>
      <w:r w:rsidR="00124EDB">
        <w:t xml:space="preserve">. </w:t>
      </w:r>
      <w:r w:rsidR="0054035D" w:rsidRPr="0054035D">
        <w:t>(RSM Brief pp. 1-3).</w:t>
      </w:r>
      <w:r w:rsidR="0054035D">
        <w:t xml:space="preserve"> </w:t>
      </w:r>
      <w:r w:rsidR="00124EDB">
        <w:t xml:space="preserve">While the Commission appreciates and welcomes </w:t>
      </w:r>
      <w:proofErr w:type="spellStart"/>
      <w:r w:rsidR="00124EDB">
        <w:t>intervenor</w:t>
      </w:r>
      <w:proofErr w:type="spellEnd"/>
      <w:r w:rsidR="00124EDB">
        <w:t xml:space="preserve"> input in all </w:t>
      </w:r>
      <w:r w:rsidR="0054035D">
        <w:t>matters</w:t>
      </w:r>
      <w:r w:rsidR="005D4EFD">
        <w:t>,</w:t>
      </w:r>
      <w:r w:rsidR="00124EDB">
        <w:t xml:space="preserve"> these recommendations</w:t>
      </w:r>
      <w:r w:rsidR="008B3174">
        <w:t xml:space="preserve">, as RSM puts it, </w:t>
      </w:r>
      <w:r w:rsidR="00865962">
        <w:t xml:space="preserve">are requests </w:t>
      </w:r>
      <w:r w:rsidR="008B3174">
        <w:t>“for future Commission action”</w:t>
      </w:r>
      <w:r w:rsidR="00865962">
        <w:t xml:space="preserve"> and therefore,</w:t>
      </w:r>
      <w:r w:rsidR="00124EDB">
        <w:t xml:space="preserve"> are </w:t>
      </w:r>
      <w:r w:rsidR="000B49F8">
        <w:t>not appropriate for</w:t>
      </w:r>
      <w:r w:rsidR="0054035D">
        <w:t xml:space="preserve"> a</w:t>
      </w:r>
      <w:r w:rsidR="000B49F8">
        <w:t xml:space="preserve"> ruling in </w:t>
      </w:r>
      <w:r w:rsidR="00FC6F81">
        <w:t>this Proceeding</w:t>
      </w:r>
      <w:r w:rsidR="005D4EFD">
        <w:t>, but</w:t>
      </w:r>
      <w:r w:rsidR="000B49F8">
        <w:t xml:space="preserve"> will be considered</w:t>
      </w:r>
      <w:r w:rsidR="0054035D">
        <w:t>, if brought</w:t>
      </w:r>
      <w:r w:rsidR="005D4EFD">
        <w:t xml:space="preserve"> back to the Commission</w:t>
      </w:r>
      <w:r w:rsidR="000B49F8">
        <w:t xml:space="preserve"> in the upcoming Georgia Power rate case and Integrated Resource Planning </w:t>
      </w:r>
      <w:r w:rsidR="0054035D">
        <w:t>proceedings.</w:t>
      </w:r>
    </w:p>
    <w:p w14:paraId="34F4A558" w14:textId="77777777" w:rsidR="000E5EE4" w:rsidRDefault="000E5EE4" w:rsidP="00C85F07">
      <w:pPr>
        <w:spacing w:line="276" w:lineRule="auto"/>
        <w:ind w:firstLine="720"/>
        <w:jc w:val="both"/>
      </w:pPr>
    </w:p>
    <w:p w14:paraId="0ACFFC58" w14:textId="77777777" w:rsidR="001D30A7" w:rsidRPr="004B4AA9" w:rsidRDefault="001D30A7" w:rsidP="00C85F07">
      <w:pPr>
        <w:spacing w:line="276" w:lineRule="auto"/>
        <w:ind w:firstLine="720"/>
        <w:jc w:val="both"/>
      </w:pPr>
    </w:p>
    <w:p w14:paraId="15EA6955" w14:textId="429221EE" w:rsidR="00F60401" w:rsidRDefault="00F60401" w:rsidP="00C85F07">
      <w:pPr>
        <w:spacing w:line="276" w:lineRule="auto"/>
        <w:ind w:firstLine="720"/>
        <w:jc w:val="both"/>
      </w:pPr>
    </w:p>
    <w:p w14:paraId="04C2074E" w14:textId="7B810A70" w:rsidR="006B46A9" w:rsidRDefault="004B4AA9" w:rsidP="00C85F07">
      <w:pPr>
        <w:spacing w:line="276" w:lineRule="auto"/>
        <w:ind w:firstLine="720"/>
        <w:jc w:val="both"/>
      </w:pPr>
      <w:r w:rsidRPr="004B4AA9">
        <w:t>SACE offered four (4) recommendations in this proceeding:</w:t>
      </w:r>
    </w:p>
    <w:p w14:paraId="207A5F34" w14:textId="77777777" w:rsidR="009F4DCD" w:rsidRDefault="009F4DCD" w:rsidP="00C85F07">
      <w:pPr>
        <w:spacing w:line="276" w:lineRule="auto"/>
        <w:ind w:firstLine="720"/>
        <w:jc w:val="both"/>
      </w:pPr>
    </w:p>
    <w:p w14:paraId="02680983" w14:textId="4260D9BA" w:rsidR="006C6583" w:rsidRDefault="00722E3F" w:rsidP="003978EF">
      <w:pPr>
        <w:pStyle w:val="ListParagraph"/>
        <w:numPr>
          <w:ilvl w:val="0"/>
          <w:numId w:val="38"/>
        </w:numPr>
        <w:spacing w:line="276" w:lineRule="auto"/>
        <w:ind w:left="1440" w:hanging="720"/>
        <w:jc w:val="both"/>
      </w:pPr>
      <w:r>
        <w:t>T</w:t>
      </w:r>
      <w:r w:rsidR="004B4AA9" w:rsidRPr="004B4AA9">
        <w:t>he Commission should disallow the cost of the various “</w:t>
      </w:r>
      <w:proofErr w:type="spellStart"/>
      <w:r w:rsidR="004B4AA9" w:rsidRPr="004B4AA9">
        <w:t>rebaselining</w:t>
      </w:r>
      <w:proofErr w:type="spellEnd"/>
      <w:r w:rsidR="004B4AA9" w:rsidRPr="004B4AA9">
        <w:t>” or “schedule refinement” efforts that do not provide value to this process and disallow costs associated with the March 2021 site-wide stand-down to address quality issues and costs associated with the uncommonly high level of rewor</w:t>
      </w:r>
      <w:r w:rsidR="00625FEA">
        <w:t>k</w:t>
      </w:r>
      <w:r w:rsidR="00D66AC1">
        <w:t xml:space="preserve"> </w:t>
      </w:r>
      <w:r w:rsidR="00E72B11" w:rsidRPr="00E72B11">
        <w:t>The Commission notes that the Stipulation provides that it is no longer appropriate for the Company seek verification and approval of dollars invested in the Project during the 25</w:t>
      </w:r>
      <w:r w:rsidR="00E72B11" w:rsidRPr="002B646D">
        <w:rPr>
          <w:vertAlign w:val="superscript"/>
        </w:rPr>
        <w:t>th</w:t>
      </w:r>
      <w:r w:rsidR="00E72B11" w:rsidRPr="00E72B11">
        <w:t xml:space="preserve"> VCM so the additional $649 million that was a result of the March delay </w:t>
      </w:r>
      <w:r w:rsidR="0064774D">
        <w:t>is</w:t>
      </w:r>
      <w:r w:rsidR="00E72B11" w:rsidRPr="00E72B11">
        <w:t xml:space="preserve"> </w:t>
      </w:r>
      <w:r w:rsidR="0013415C">
        <w:t xml:space="preserve">not </w:t>
      </w:r>
      <w:r w:rsidR="00E72B11" w:rsidRPr="00E72B11">
        <w:t>an issue</w:t>
      </w:r>
      <w:r>
        <w:t xml:space="preserve"> in this proceeding</w:t>
      </w:r>
      <w:r w:rsidR="00864BA0">
        <w:t>;</w:t>
      </w:r>
    </w:p>
    <w:p w14:paraId="7C5E1EED" w14:textId="77777777" w:rsidR="00210BF5" w:rsidRDefault="00210BF5" w:rsidP="00C85F07">
      <w:pPr>
        <w:spacing w:line="276" w:lineRule="auto"/>
        <w:ind w:firstLine="720"/>
        <w:jc w:val="both"/>
      </w:pPr>
    </w:p>
    <w:p w14:paraId="26FE542A" w14:textId="5BFA4D13" w:rsidR="00A74626" w:rsidRDefault="007B3178" w:rsidP="003978EF">
      <w:pPr>
        <w:spacing w:line="276" w:lineRule="auto"/>
        <w:ind w:left="1440" w:hanging="720"/>
        <w:jc w:val="both"/>
      </w:pPr>
      <w:r>
        <w:t xml:space="preserve">2) </w:t>
      </w:r>
      <w:r>
        <w:tab/>
      </w:r>
      <w:r w:rsidR="00722E3F">
        <w:t>T</w:t>
      </w:r>
      <w:r w:rsidR="004B4AA9" w:rsidRPr="004B4AA9">
        <w:t>he Commission should prospectively order that responses to the five questions that relate to Peak Rate Impacts by Customer Class in STF-5 (docket 43838) not be redacted</w:t>
      </w:r>
      <w:r w:rsidR="004315C3">
        <w:t>;</w:t>
      </w:r>
      <w:r w:rsidR="006B46A9">
        <w:t xml:space="preserve"> </w:t>
      </w:r>
      <w:r w:rsidR="005E58C3">
        <w:t xml:space="preserve">The </w:t>
      </w:r>
      <w:r w:rsidR="006B46A9">
        <w:t xml:space="preserve">Commission finds </w:t>
      </w:r>
      <w:r w:rsidR="003C0B2E">
        <w:t xml:space="preserve">that </w:t>
      </w:r>
      <w:r w:rsidR="006B46A9">
        <w:t>SACE</w:t>
      </w:r>
      <w:r w:rsidR="003C0B2E">
        <w:t xml:space="preserve"> should be </w:t>
      </w:r>
      <w:r w:rsidR="006B46A9">
        <w:t>s aware</w:t>
      </w:r>
      <w:r w:rsidR="00761FE6">
        <w:t>,</w:t>
      </w:r>
      <w:r w:rsidR="006B46A9">
        <w:t xml:space="preserve"> that as a party to the proceeding,</w:t>
      </w:r>
      <w:r w:rsidR="003C0B2E">
        <w:t xml:space="preserve"> </w:t>
      </w:r>
      <w:r w:rsidR="006B46A9">
        <w:t>has the ability to sign a confidentiality agreement or challenge the trade designation before the Commission</w:t>
      </w:r>
      <w:r w:rsidR="00761FE6">
        <w:t xml:space="preserve"> and have full access to the information.</w:t>
      </w:r>
    </w:p>
    <w:p w14:paraId="511270FC" w14:textId="77777777" w:rsidR="00A74626" w:rsidRDefault="00A74626" w:rsidP="00C85F07">
      <w:pPr>
        <w:spacing w:line="276" w:lineRule="auto"/>
        <w:ind w:firstLine="720"/>
        <w:jc w:val="both"/>
      </w:pPr>
    </w:p>
    <w:p w14:paraId="6CFEB812" w14:textId="1ED67DD6" w:rsidR="008A29D2" w:rsidRDefault="004B4AA9" w:rsidP="003978EF">
      <w:pPr>
        <w:spacing w:line="276" w:lineRule="auto"/>
        <w:ind w:left="1440" w:hanging="720"/>
        <w:jc w:val="both"/>
      </w:pPr>
      <w:r w:rsidRPr="004B4AA9">
        <w:t>(3)</w:t>
      </w:r>
      <w:r w:rsidR="006B46A9">
        <w:t xml:space="preserve"> </w:t>
      </w:r>
      <w:r w:rsidR="007B3178">
        <w:tab/>
      </w:r>
      <w:r w:rsidR="006B46A9">
        <w:t>F</w:t>
      </w:r>
      <w:r w:rsidRPr="004B4AA9">
        <w:t>uture PSOs should be amended to reflect actual practices of the Commission. Changes should include, but not be limited to removing the following provision: “Summations should be limited to testimony and exhibits in the pre-filed testimony</w:t>
      </w:r>
      <w:r w:rsidR="004315C3">
        <w:t>;</w:t>
      </w:r>
      <w:r w:rsidRPr="004B4AA9">
        <w:t>”</w:t>
      </w:r>
      <w:r w:rsidR="008A29D2">
        <w:t xml:space="preserve"> </w:t>
      </w:r>
      <w:r w:rsidR="00D23DF6">
        <w:t xml:space="preserve">Proposed </w:t>
      </w:r>
      <w:r w:rsidR="008A29D2">
        <w:t xml:space="preserve">Procedural and Scheduling Orders are presented by PIA </w:t>
      </w:r>
      <w:r w:rsidR="006B6F43">
        <w:t>Staff to</w:t>
      </w:r>
      <w:r w:rsidR="00E31844">
        <w:t xml:space="preserve"> the</w:t>
      </w:r>
      <w:r w:rsidR="008A29D2">
        <w:t xml:space="preserve"> Commission</w:t>
      </w:r>
      <w:r w:rsidR="00D23DF6">
        <w:t xml:space="preserve"> during its regularly scheduled</w:t>
      </w:r>
      <w:r w:rsidR="008A29D2">
        <w:t xml:space="preserve"> Energy Committee</w:t>
      </w:r>
      <w:r w:rsidR="00D23DF6">
        <w:t xml:space="preserve">. The Commission invites SACE to address any issues that it may have with that document during deliberation at that time. </w:t>
      </w:r>
    </w:p>
    <w:p w14:paraId="1D742A00" w14:textId="77777777" w:rsidR="00A74626" w:rsidRDefault="00A74626" w:rsidP="00C85F07">
      <w:pPr>
        <w:spacing w:line="276" w:lineRule="auto"/>
        <w:ind w:firstLine="720"/>
        <w:jc w:val="both"/>
      </w:pPr>
    </w:p>
    <w:p w14:paraId="205833F0" w14:textId="64CC85AD" w:rsidR="001D30A7" w:rsidRDefault="004B4AA9" w:rsidP="003978EF">
      <w:pPr>
        <w:spacing w:line="276" w:lineRule="auto"/>
        <w:ind w:left="1440" w:hanging="720"/>
        <w:jc w:val="both"/>
      </w:pPr>
      <w:r w:rsidRPr="004B4AA9">
        <w:t>(4)</w:t>
      </w:r>
      <w:r w:rsidR="00554ACC">
        <w:t xml:space="preserve"> </w:t>
      </w:r>
      <w:r w:rsidR="007B3178">
        <w:tab/>
      </w:r>
      <w:r w:rsidR="00554ACC">
        <w:t>T</w:t>
      </w:r>
      <w:r w:rsidRPr="004B4AA9">
        <w:t>he Commission should order that any costs above $8 billion ($7.3 billion deemed reasonable plus $700 million the Company agreed to absorb) need not be verified but could be brought forward by the Company in a subsequent prudency hearing. (SACE Brief pp. 6-7).</w:t>
      </w:r>
      <w:r w:rsidR="00505883">
        <w:t xml:space="preserve"> </w:t>
      </w:r>
      <w:r w:rsidR="000C2AE9">
        <w:t xml:space="preserve"> </w:t>
      </w:r>
      <w:r w:rsidR="005D0A53">
        <w:t xml:space="preserve">The Commission’s adoption of the Stipulation, and specifically </w:t>
      </w:r>
      <w:r w:rsidR="00505883" w:rsidRPr="00505883">
        <w:t>provisions six and seven</w:t>
      </w:r>
      <w:r w:rsidR="005D0A53">
        <w:t>,</w:t>
      </w:r>
      <w:r w:rsidR="00505883" w:rsidRPr="00505883">
        <w:t xml:space="preserve"> provide a process for the treatment of costs above $7.3 billion including agreement that Georgia Power will not seek verification and approval of costs above $7.3 billion prior to the prudence review contemplated by the VCM 17 Order. </w:t>
      </w:r>
    </w:p>
    <w:p w14:paraId="24AA3D40" w14:textId="7F96E2E7" w:rsidR="0080214A" w:rsidRDefault="003217C1" w:rsidP="00C85F07">
      <w:pPr>
        <w:spacing w:line="276" w:lineRule="auto"/>
        <w:ind w:firstLine="720"/>
        <w:jc w:val="both"/>
        <w:rPr>
          <w:b/>
          <w:bCs/>
          <w:u w:val="single"/>
        </w:rPr>
      </w:pPr>
      <w:r>
        <w:t xml:space="preserve"> </w:t>
      </w:r>
    </w:p>
    <w:p w14:paraId="5203478B" w14:textId="77777777" w:rsidR="003116D8" w:rsidRDefault="003116D8" w:rsidP="003978EF">
      <w:pPr>
        <w:jc w:val="center"/>
        <w:rPr>
          <w:b/>
          <w:bCs/>
          <w:u w:val="single"/>
        </w:rPr>
      </w:pPr>
    </w:p>
    <w:p w14:paraId="1AFCCC8B" w14:textId="77777777" w:rsidR="003116D8" w:rsidRDefault="003116D8" w:rsidP="003978EF">
      <w:pPr>
        <w:jc w:val="center"/>
        <w:rPr>
          <w:b/>
          <w:bCs/>
          <w:u w:val="single"/>
        </w:rPr>
      </w:pPr>
    </w:p>
    <w:p w14:paraId="1DEF88A9" w14:textId="77777777" w:rsidR="003116D8" w:rsidRDefault="003116D8" w:rsidP="003978EF">
      <w:pPr>
        <w:jc w:val="center"/>
        <w:rPr>
          <w:b/>
          <w:bCs/>
          <w:u w:val="single"/>
        </w:rPr>
      </w:pPr>
    </w:p>
    <w:p w14:paraId="18873195" w14:textId="73F52092" w:rsidR="00E9475E" w:rsidRPr="00E9475E" w:rsidRDefault="00E9475E" w:rsidP="003978EF">
      <w:pPr>
        <w:jc w:val="center"/>
        <w:rPr>
          <w:b/>
          <w:bCs/>
          <w:u w:val="single"/>
        </w:rPr>
      </w:pPr>
      <w:r w:rsidRPr="00E9475E">
        <w:rPr>
          <w:b/>
          <w:bCs/>
          <w:u w:val="single"/>
        </w:rPr>
        <w:lastRenderedPageBreak/>
        <w:t xml:space="preserve">FINDINGS </w:t>
      </w:r>
      <w:r w:rsidR="00D45424">
        <w:rPr>
          <w:b/>
          <w:bCs/>
          <w:u w:val="single"/>
        </w:rPr>
        <w:t xml:space="preserve">OF FACTS </w:t>
      </w:r>
      <w:r w:rsidRPr="00E9475E">
        <w:rPr>
          <w:b/>
          <w:bCs/>
          <w:u w:val="single"/>
        </w:rPr>
        <w:t>AND CONCLUSIONS</w:t>
      </w:r>
      <w:r w:rsidR="00D45424">
        <w:rPr>
          <w:b/>
          <w:bCs/>
          <w:u w:val="single"/>
        </w:rPr>
        <w:t xml:space="preserve"> OF LAW</w:t>
      </w:r>
    </w:p>
    <w:p w14:paraId="1585ED7C" w14:textId="77777777" w:rsidR="00E9475E" w:rsidRPr="00E9475E" w:rsidRDefault="00E9475E" w:rsidP="00C85F07">
      <w:pPr>
        <w:spacing w:line="276" w:lineRule="auto"/>
        <w:ind w:firstLine="720"/>
        <w:jc w:val="both"/>
        <w:rPr>
          <w:b/>
          <w:bCs/>
          <w:u w:val="single"/>
        </w:rPr>
      </w:pPr>
    </w:p>
    <w:p w14:paraId="169C7DF3" w14:textId="51682080" w:rsidR="00332D6F" w:rsidRDefault="00E9475E" w:rsidP="00C85F07">
      <w:pPr>
        <w:spacing w:line="276" w:lineRule="auto"/>
        <w:ind w:firstLine="720"/>
        <w:jc w:val="both"/>
        <w:rPr>
          <w:bCs/>
        </w:rPr>
      </w:pPr>
      <w:r w:rsidRPr="00E9475E">
        <w:rPr>
          <w:bCs/>
        </w:rPr>
        <w:t>After thorough consideration of the attached Stipulation, the Commission finds as a matter of fact and concludes as a matter of law that the terms and conditions of the Stipulation are reasonable and in the public interest.  The Commission further finds and concludes that adoption of the Stipulation constitutes a</w:t>
      </w:r>
      <w:r w:rsidR="003D4232">
        <w:rPr>
          <w:bCs/>
        </w:rPr>
        <w:t xml:space="preserve"> fair,</w:t>
      </w:r>
      <w:r w:rsidRPr="00E9475E">
        <w:rPr>
          <w:bCs/>
        </w:rPr>
        <w:t xml:space="preserve"> efficient, effective and responsible discharge of the Commission’s duties in accordance with Georgia law. </w:t>
      </w:r>
      <w:r w:rsidR="00646B86">
        <w:rPr>
          <w:bCs/>
        </w:rPr>
        <w:t xml:space="preserve">All other recommendations </w:t>
      </w:r>
      <w:r w:rsidR="00F04BB3" w:rsidRPr="00E9475E">
        <w:rPr>
          <w:bCs/>
        </w:rPr>
        <w:t xml:space="preserve">and/or requests </w:t>
      </w:r>
      <w:r w:rsidR="00646B86">
        <w:rPr>
          <w:bCs/>
        </w:rPr>
        <w:t>are denied</w:t>
      </w:r>
      <w:r w:rsidR="00BE1978">
        <w:rPr>
          <w:bCs/>
        </w:rPr>
        <w:t>.</w:t>
      </w:r>
    </w:p>
    <w:p w14:paraId="348F184A" w14:textId="77777777" w:rsidR="00505883" w:rsidRDefault="00505883" w:rsidP="00C85F07">
      <w:pPr>
        <w:spacing w:line="276" w:lineRule="auto"/>
        <w:ind w:firstLine="720"/>
        <w:jc w:val="both"/>
        <w:rPr>
          <w:bCs/>
        </w:rPr>
      </w:pPr>
    </w:p>
    <w:p w14:paraId="15C88C74" w14:textId="38AD9574" w:rsidR="00D11D5C" w:rsidRDefault="00D11D5C" w:rsidP="00C85F07">
      <w:pPr>
        <w:spacing w:line="276" w:lineRule="auto"/>
        <w:ind w:firstLine="720"/>
        <w:jc w:val="both"/>
        <w:rPr>
          <w:bCs/>
        </w:rPr>
      </w:pPr>
    </w:p>
    <w:p w14:paraId="764B42AD" w14:textId="77777777" w:rsidR="003116D8" w:rsidRDefault="003116D8" w:rsidP="00C85F07">
      <w:pPr>
        <w:spacing w:line="276" w:lineRule="auto"/>
        <w:ind w:firstLine="720"/>
        <w:jc w:val="both"/>
        <w:rPr>
          <w:bCs/>
        </w:rPr>
      </w:pPr>
    </w:p>
    <w:p w14:paraId="1A12EEAA" w14:textId="77777777" w:rsidR="006554C5" w:rsidRDefault="002D1431" w:rsidP="007B3178">
      <w:pPr>
        <w:jc w:val="center"/>
        <w:rPr>
          <w:b/>
          <w:u w:val="single"/>
        </w:rPr>
      </w:pPr>
      <w:r>
        <w:rPr>
          <w:b/>
          <w:u w:val="single"/>
        </w:rPr>
        <w:t>ORDERING PARAGRAPHS</w:t>
      </w:r>
    </w:p>
    <w:p w14:paraId="635AB597" w14:textId="77777777" w:rsidR="00E32AD9" w:rsidRDefault="00E32AD9" w:rsidP="00C85F07">
      <w:pPr>
        <w:spacing w:line="276" w:lineRule="auto"/>
        <w:ind w:firstLine="720"/>
        <w:jc w:val="both"/>
        <w:rPr>
          <w:b/>
        </w:rPr>
      </w:pPr>
    </w:p>
    <w:p w14:paraId="29F546C9" w14:textId="3F4A734E" w:rsidR="00E32AD9" w:rsidRPr="00E32AD9" w:rsidRDefault="007B33D9" w:rsidP="00C85F07">
      <w:pPr>
        <w:tabs>
          <w:tab w:val="num" w:pos="360"/>
        </w:tabs>
        <w:spacing w:line="276" w:lineRule="auto"/>
        <w:ind w:firstLine="720"/>
        <w:jc w:val="both"/>
      </w:pPr>
      <w:r w:rsidRPr="00E8717F">
        <w:rPr>
          <w:b/>
        </w:rPr>
        <w:t xml:space="preserve">WHEREFORE IT IS ORDERED, </w:t>
      </w:r>
      <w:r w:rsidR="00E32AD9" w:rsidRPr="00E32AD9">
        <w:t>that the Commission hereby adopts as an Order of this Commission, the</w:t>
      </w:r>
      <w:r w:rsidR="00E32AD9">
        <w:t xml:space="preserve"> Stipulation attached as Exhibit “A”</w:t>
      </w:r>
      <w:r w:rsidR="002345D1">
        <w:t xml:space="preserve"> </w:t>
      </w:r>
      <w:r w:rsidR="00E32AD9" w:rsidRPr="00E32AD9">
        <w:t xml:space="preserve">executed on behalf of </w:t>
      </w:r>
      <w:r w:rsidR="002345D1">
        <w:t>PIA</w:t>
      </w:r>
      <w:r w:rsidR="00E32AD9" w:rsidRPr="00E32AD9">
        <w:t xml:space="preserve"> Staff and Georgia Power, and incorporated herein by reference</w:t>
      </w:r>
      <w:r w:rsidR="006E431B">
        <w:t xml:space="preserve"> and thereby </w:t>
      </w:r>
      <w:r w:rsidR="006E431B" w:rsidRPr="00E8717F">
        <w:t xml:space="preserve">verifies and approves the expenditures made by Georgia Power </w:t>
      </w:r>
      <w:r w:rsidR="006E431B">
        <w:t xml:space="preserve">Company </w:t>
      </w:r>
      <w:r w:rsidR="006E431B" w:rsidRPr="00E8717F">
        <w:t xml:space="preserve">pursuant to the Certificate of Public Convenience and Necessity and O.C.G.A Section 46-3A-7(b) for Plant </w:t>
      </w:r>
      <w:proofErr w:type="spellStart"/>
      <w:r w:rsidR="006E431B" w:rsidRPr="00E8717F">
        <w:t>Vogtle</w:t>
      </w:r>
      <w:proofErr w:type="spellEnd"/>
      <w:r w:rsidR="006E431B" w:rsidRPr="00E8717F">
        <w:t xml:space="preserve"> Units 3 and 4 for the period beginning </w:t>
      </w:r>
      <w:r w:rsidR="00AF4F78">
        <w:t>July 1, 2020 through December 31, 2020.</w:t>
      </w:r>
      <w:r w:rsidR="006E431B">
        <w:t xml:space="preserve"> </w:t>
      </w:r>
    </w:p>
    <w:p w14:paraId="41A95A32" w14:textId="77777777" w:rsidR="00434B67" w:rsidRPr="00E8717F" w:rsidRDefault="00434B67" w:rsidP="00C85F07">
      <w:pPr>
        <w:tabs>
          <w:tab w:val="num" w:pos="360"/>
        </w:tabs>
        <w:spacing w:line="276" w:lineRule="auto"/>
        <w:ind w:firstLine="720"/>
        <w:jc w:val="both"/>
        <w:rPr>
          <w:b/>
        </w:rPr>
      </w:pPr>
    </w:p>
    <w:p w14:paraId="18F60D74" w14:textId="77777777" w:rsidR="00E8717F" w:rsidRDefault="00E8717F" w:rsidP="007B3178">
      <w:pPr>
        <w:spacing w:line="276" w:lineRule="auto"/>
        <w:ind w:firstLine="720"/>
        <w:jc w:val="both"/>
      </w:pPr>
      <w:r w:rsidRPr="00E8717F">
        <w:rPr>
          <w:b/>
          <w:bCs/>
        </w:rPr>
        <w:t xml:space="preserve">ORDERED FURTHER, </w:t>
      </w:r>
      <w:r w:rsidRPr="00E8717F">
        <w:t>that all findings, conclusions, statements, and directives made by the Commission and contained in the foregoing sections of this Order are hereby adopted as findings of fact, conclusions of law, statements of regulatory policy, and Orders of this Commission.</w:t>
      </w:r>
    </w:p>
    <w:p w14:paraId="326ED416" w14:textId="77777777" w:rsidR="00E8717F" w:rsidRPr="00E8717F" w:rsidRDefault="00E8717F" w:rsidP="00C85F07">
      <w:pPr>
        <w:spacing w:line="276" w:lineRule="auto"/>
        <w:ind w:firstLine="720"/>
        <w:jc w:val="both"/>
        <w:rPr>
          <w:b/>
        </w:rPr>
      </w:pPr>
    </w:p>
    <w:p w14:paraId="60CB2BA1" w14:textId="77777777" w:rsidR="00E8717F" w:rsidRDefault="00E8717F" w:rsidP="00C85F07">
      <w:pPr>
        <w:spacing w:line="276" w:lineRule="auto"/>
        <w:ind w:firstLine="720"/>
        <w:jc w:val="both"/>
      </w:pPr>
      <w:r w:rsidRPr="00E8717F">
        <w:rPr>
          <w:b/>
          <w:bCs/>
        </w:rPr>
        <w:t>ORDERED FURTHER,</w:t>
      </w:r>
      <w:r w:rsidRPr="00E8717F">
        <w:rPr>
          <w:b/>
        </w:rPr>
        <w:t xml:space="preserve"> </w:t>
      </w:r>
      <w:r w:rsidRPr="00E8717F">
        <w:t>that a motion for reconsideration, rehearing, or oral argument or any other motion shall not stay the effective date of this Order, unless otherwise ordered by the Commission.</w:t>
      </w:r>
    </w:p>
    <w:p w14:paraId="6D559EF2" w14:textId="77777777" w:rsidR="00E8717F" w:rsidRPr="00E8717F" w:rsidRDefault="00E8717F" w:rsidP="00C85F07">
      <w:pPr>
        <w:spacing w:line="276" w:lineRule="auto"/>
        <w:ind w:firstLine="720"/>
        <w:jc w:val="both"/>
        <w:rPr>
          <w:b/>
        </w:rPr>
      </w:pPr>
    </w:p>
    <w:p w14:paraId="08BF937E" w14:textId="77777777" w:rsidR="00E8717F" w:rsidRPr="00E8717F" w:rsidRDefault="00E8717F" w:rsidP="00C85F07">
      <w:pPr>
        <w:spacing w:line="276" w:lineRule="auto"/>
        <w:ind w:firstLine="720"/>
        <w:jc w:val="both"/>
      </w:pPr>
      <w:r w:rsidRPr="00E8717F">
        <w:rPr>
          <w:b/>
          <w:bCs/>
        </w:rPr>
        <w:t>ORDERED FURTHER,</w:t>
      </w:r>
      <w:r w:rsidRPr="00E8717F">
        <w:rPr>
          <w:b/>
        </w:rPr>
        <w:t xml:space="preserve"> </w:t>
      </w:r>
      <w:r w:rsidRPr="00E8717F">
        <w:t>that jurisdiction over these matters is expressly retained for the purpose of entering such further Order or Orders as this Commission may deem just and proper.</w:t>
      </w:r>
    </w:p>
    <w:p w14:paraId="3889F9B4" w14:textId="77777777" w:rsidR="007B33D9" w:rsidRDefault="007B33D9" w:rsidP="00C85F07">
      <w:pPr>
        <w:spacing w:line="276" w:lineRule="auto"/>
        <w:ind w:firstLine="720"/>
        <w:jc w:val="both"/>
      </w:pPr>
    </w:p>
    <w:p w14:paraId="09E886F6" w14:textId="77777777" w:rsidR="003116D8" w:rsidRDefault="003116D8" w:rsidP="00C85F07">
      <w:pPr>
        <w:spacing w:line="276" w:lineRule="auto"/>
        <w:ind w:firstLine="720"/>
        <w:jc w:val="both"/>
      </w:pPr>
    </w:p>
    <w:p w14:paraId="301DB6D7" w14:textId="77777777" w:rsidR="003116D8" w:rsidRDefault="003116D8" w:rsidP="00C85F07">
      <w:pPr>
        <w:spacing w:line="276" w:lineRule="auto"/>
        <w:ind w:firstLine="720"/>
        <w:jc w:val="both"/>
      </w:pPr>
    </w:p>
    <w:p w14:paraId="66DB19DD" w14:textId="77777777" w:rsidR="003116D8" w:rsidRDefault="003116D8" w:rsidP="00C85F07">
      <w:pPr>
        <w:spacing w:line="276" w:lineRule="auto"/>
        <w:ind w:firstLine="720"/>
        <w:jc w:val="both"/>
      </w:pPr>
    </w:p>
    <w:p w14:paraId="22FB7AC3" w14:textId="77777777" w:rsidR="003116D8" w:rsidRDefault="003116D8" w:rsidP="00C85F07">
      <w:pPr>
        <w:spacing w:line="276" w:lineRule="auto"/>
        <w:ind w:firstLine="720"/>
        <w:jc w:val="both"/>
      </w:pPr>
    </w:p>
    <w:p w14:paraId="3A074ED4" w14:textId="77777777" w:rsidR="003116D8" w:rsidRDefault="003116D8" w:rsidP="00C85F07">
      <w:pPr>
        <w:spacing w:line="276" w:lineRule="auto"/>
        <w:ind w:firstLine="720"/>
        <w:jc w:val="both"/>
      </w:pPr>
    </w:p>
    <w:p w14:paraId="5A8B4B1C" w14:textId="77777777" w:rsidR="003116D8" w:rsidRDefault="003116D8" w:rsidP="00C85F07">
      <w:pPr>
        <w:spacing w:line="276" w:lineRule="auto"/>
        <w:ind w:firstLine="720"/>
        <w:jc w:val="both"/>
      </w:pPr>
    </w:p>
    <w:p w14:paraId="203D3952" w14:textId="0F2005CD" w:rsidR="0044524F" w:rsidRPr="00F836AA" w:rsidRDefault="007B33D9" w:rsidP="00C85F07">
      <w:pPr>
        <w:spacing w:line="276" w:lineRule="auto"/>
        <w:ind w:firstLine="720"/>
        <w:jc w:val="both"/>
      </w:pPr>
      <w:r>
        <w:lastRenderedPageBreak/>
        <w:t>T</w:t>
      </w:r>
      <w:r w:rsidRPr="00F836AA">
        <w:t xml:space="preserve">he above by action of the </w:t>
      </w:r>
      <w:r>
        <w:t>Commission</w:t>
      </w:r>
      <w:r w:rsidRPr="00F836AA">
        <w:t xml:space="preserve"> in</w:t>
      </w:r>
      <w:r>
        <w:t xml:space="preserve"> its</w:t>
      </w:r>
      <w:r w:rsidRPr="00F836AA">
        <w:t xml:space="preserve"> Administrative Session on the</w:t>
      </w:r>
      <w:r w:rsidR="0049240A">
        <w:t xml:space="preserve"> 17</w:t>
      </w:r>
      <w:r w:rsidR="00087897">
        <w:t>th</w:t>
      </w:r>
      <w:r w:rsidR="00883FF8">
        <w:t xml:space="preserve"> </w:t>
      </w:r>
      <w:r w:rsidR="001D6EF9">
        <w:t>day of</w:t>
      </w:r>
      <w:r w:rsidR="0049240A">
        <w:t xml:space="preserve"> August </w:t>
      </w:r>
      <w:r w:rsidR="00E8717F">
        <w:t>202</w:t>
      </w:r>
      <w:r w:rsidR="000A0F0F">
        <w:t>1</w:t>
      </w:r>
      <w:r>
        <w:t>.</w:t>
      </w:r>
    </w:p>
    <w:p w14:paraId="67CCCAD7" w14:textId="262E1E76" w:rsidR="0044524F" w:rsidRDefault="0044524F" w:rsidP="00C85F07">
      <w:pPr>
        <w:spacing w:line="276" w:lineRule="auto"/>
        <w:ind w:firstLine="720"/>
        <w:jc w:val="both"/>
      </w:pPr>
    </w:p>
    <w:p w14:paraId="52535E72" w14:textId="77777777" w:rsidR="003116D8" w:rsidRPr="00F836AA" w:rsidRDefault="003116D8" w:rsidP="00C85F07">
      <w:pPr>
        <w:spacing w:line="276" w:lineRule="auto"/>
        <w:ind w:firstLine="720"/>
        <w:jc w:val="both"/>
      </w:pPr>
    </w:p>
    <w:p w14:paraId="368E81F5" w14:textId="77777777" w:rsidR="0044524F" w:rsidRPr="00F836AA" w:rsidRDefault="0044524F" w:rsidP="007B3178">
      <w:pPr>
        <w:jc w:val="both"/>
      </w:pPr>
      <w:r w:rsidRPr="00F836AA">
        <w:t>_____________________________                    </w:t>
      </w:r>
      <w:r>
        <w:tab/>
      </w:r>
      <w:r w:rsidRPr="00F836AA">
        <w:t>______________________________</w:t>
      </w:r>
    </w:p>
    <w:p w14:paraId="141C6468" w14:textId="4748E19D" w:rsidR="00BC3941" w:rsidRDefault="0044524F" w:rsidP="007B3178">
      <w:pPr>
        <w:jc w:val="both"/>
      </w:pPr>
      <w:r w:rsidRPr="00F836AA">
        <w:t xml:space="preserve">Reece </w:t>
      </w:r>
      <w:r w:rsidR="0072305C" w:rsidRPr="00F836AA">
        <w:t>McAlister </w:t>
      </w:r>
      <w:r w:rsidR="0072305C" w:rsidRPr="00F836AA">
        <w:tab/>
      </w:r>
      <w:r>
        <w:tab/>
      </w:r>
      <w:r>
        <w:tab/>
        <w:t xml:space="preserve">                  </w:t>
      </w:r>
      <w:r>
        <w:tab/>
      </w:r>
      <w:r w:rsidR="006E73BE">
        <w:t>Tri</w:t>
      </w:r>
      <w:r w:rsidR="006F65C7">
        <w:t>ci</w:t>
      </w:r>
      <w:bookmarkStart w:id="4" w:name="_GoBack"/>
      <w:bookmarkEnd w:id="4"/>
      <w:r w:rsidR="00C06019">
        <w:t>a</w:t>
      </w:r>
      <w:r w:rsidR="00BB5C6E">
        <w:t xml:space="preserve"> Pridemore</w:t>
      </w:r>
    </w:p>
    <w:p w14:paraId="20449970" w14:textId="77777777" w:rsidR="0044524F" w:rsidRPr="00F836AA" w:rsidRDefault="0044524F" w:rsidP="003978EF">
      <w:pPr>
        <w:jc w:val="both"/>
      </w:pPr>
      <w:r>
        <w:t xml:space="preserve">Executive </w:t>
      </w:r>
      <w:r w:rsidRPr="00F836AA">
        <w:t>Secretary                      </w:t>
      </w:r>
      <w:r>
        <w:t>                           </w:t>
      </w:r>
      <w:r>
        <w:tab/>
      </w:r>
      <w:r w:rsidRPr="00F836AA">
        <w:t>Chairman</w:t>
      </w:r>
    </w:p>
    <w:p w14:paraId="02BF2540" w14:textId="77777777" w:rsidR="0044524F" w:rsidRPr="00F836AA" w:rsidRDefault="0044524F" w:rsidP="00C85F07">
      <w:pPr>
        <w:spacing w:line="276" w:lineRule="auto"/>
        <w:ind w:firstLine="720"/>
        <w:jc w:val="both"/>
      </w:pPr>
    </w:p>
    <w:p w14:paraId="7A04A744" w14:textId="77777777" w:rsidR="0044524F" w:rsidRPr="00F836AA" w:rsidRDefault="0044524F" w:rsidP="00C85F07">
      <w:pPr>
        <w:spacing w:line="276" w:lineRule="auto"/>
        <w:ind w:firstLine="720"/>
        <w:jc w:val="both"/>
      </w:pPr>
    </w:p>
    <w:p w14:paraId="1F91E38E" w14:textId="77777777" w:rsidR="0044524F" w:rsidRPr="00F836AA" w:rsidRDefault="0044524F" w:rsidP="003978EF">
      <w:pPr>
        <w:jc w:val="both"/>
      </w:pPr>
      <w:r w:rsidRPr="00F836AA">
        <w:t>______________________________                        ______________________________</w:t>
      </w:r>
    </w:p>
    <w:p w14:paraId="3AD36EC4" w14:textId="77777777" w:rsidR="0044524F" w:rsidRDefault="0044524F" w:rsidP="003978EF">
      <w:pPr>
        <w:jc w:val="both"/>
      </w:pPr>
      <w:r w:rsidRPr="00F836AA">
        <w:t>Date                                                                     </w:t>
      </w:r>
      <w:r>
        <w:tab/>
      </w:r>
      <w:r w:rsidRPr="00F836AA">
        <w:t>Dat</w:t>
      </w:r>
      <w:r>
        <w:t>e</w:t>
      </w:r>
    </w:p>
    <w:sectPr w:rsidR="0044524F" w:rsidSect="00913E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B9F7A" w14:textId="77777777" w:rsidR="00E259D1" w:rsidRDefault="00E259D1">
      <w:r>
        <w:separator/>
      </w:r>
    </w:p>
  </w:endnote>
  <w:endnote w:type="continuationSeparator" w:id="0">
    <w:p w14:paraId="31A9829E" w14:textId="77777777" w:rsidR="00E259D1" w:rsidRDefault="00E2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26A1" w14:textId="77777777" w:rsidR="004F2DEF" w:rsidRDefault="004F2DEF" w:rsidP="005007B6">
    <w:pPr>
      <w:pStyle w:val="Footer"/>
      <w:jc w:val="center"/>
      <w:rPr>
        <w:sz w:val="20"/>
        <w:szCs w:val="20"/>
      </w:rPr>
    </w:pPr>
  </w:p>
  <w:p w14:paraId="5DD7B8F7" w14:textId="77777777" w:rsidR="004F2DEF" w:rsidRDefault="004F2DEF" w:rsidP="005007B6">
    <w:pPr>
      <w:pStyle w:val="Footer"/>
      <w:jc w:val="center"/>
      <w:rPr>
        <w:sz w:val="20"/>
        <w:szCs w:val="20"/>
      </w:rPr>
    </w:pPr>
  </w:p>
  <w:p w14:paraId="37DFCAB3" w14:textId="77777777" w:rsidR="00410170" w:rsidRPr="00AB0E03" w:rsidRDefault="00410170" w:rsidP="005007B6">
    <w:pPr>
      <w:pStyle w:val="Footer"/>
      <w:jc w:val="center"/>
      <w:rPr>
        <w:sz w:val="20"/>
        <w:szCs w:val="20"/>
      </w:rPr>
    </w:pPr>
    <w:r w:rsidRPr="00AB0E03">
      <w:rPr>
        <w:sz w:val="20"/>
        <w:szCs w:val="20"/>
      </w:rPr>
      <w:t>Docket No. 29849</w:t>
    </w:r>
  </w:p>
  <w:p w14:paraId="1F700F3E" w14:textId="02C78ECD" w:rsidR="00E558E1" w:rsidRDefault="009858D2" w:rsidP="000156CF">
    <w:pPr>
      <w:pStyle w:val="Footer"/>
      <w:jc w:val="center"/>
      <w:rPr>
        <w:sz w:val="20"/>
        <w:szCs w:val="20"/>
      </w:rPr>
    </w:pPr>
    <w:r>
      <w:rPr>
        <w:sz w:val="20"/>
        <w:szCs w:val="20"/>
      </w:rPr>
      <w:t>Order on</w:t>
    </w:r>
    <w:r w:rsidR="00B70B78">
      <w:rPr>
        <w:sz w:val="20"/>
        <w:szCs w:val="20"/>
      </w:rPr>
      <w:t xml:space="preserve"> the</w:t>
    </w:r>
    <w:r>
      <w:rPr>
        <w:sz w:val="20"/>
        <w:szCs w:val="20"/>
      </w:rPr>
      <w:t xml:space="preserve"> </w:t>
    </w:r>
    <w:r w:rsidR="00542B93">
      <w:rPr>
        <w:sz w:val="20"/>
        <w:szCs w:val="20"/>
      </w:rPr>
      <w:t>Twenty</w:t>
    </w:r>
    <w:r w:rsidR="00722C51">
      <w:rPr>
        <w:sz w:val="20"/>
        <w:szCs w:val="20"/>
      </w:rPr>
      <w:t>-</w:t>
    </w:r>
    <w:r w:rsidR="00E8163A">
      <w:rPr>
        <w:sz w:val="20"/>
        <w:szCs w:val="20"/>
      </w:rPr>
      <w:t>Fou</w:t>
    </w:r>
    <w:r w:rsidR="006E73BE">
      <w:rPr>
        <w:sz w:val="20"/>
        <w:szCs w:val="20"/>
      </w:rPr>
      <w:t>r</w:t>
    </w:r>
    <w:r w:rsidR="00E8163A">
      <w:rPr>
        <w:sz w:val="20"/>
        <w:szCs w:val="20"/>
      </w:rPr>
      <w:t>th</w:t>
    </w:r>
    <w:r>
      <w:rPr>
        <w:sz w:val="20"/>
        <w:szCs w:val="20"/>
      </w:rPr>
      <w:t xml:space="preserve"> </w:t>
    </w:r>
    <w:proofErr w:type="spellStart"/>
    <w:r>
      <w:rPr>
        <w:sz w:val="20"/>
        <w:szCs w:val="20"/>
      </w:rPr>
      <w:t>Vogtle</w:t>
    </w:r>
    <w:proofErr w:type="spellEnd"/>
  </w:p>
  <w:p w14:paraId="29058BAD" w14:textId="77777777" w:rsidR="00410170" w:rsidRDefault="00E558E1" w:rsidP="000156CF">
    <w:pPr>
      <w:pStyle w:val="Footer"/>
      <w:jc w:val="center"/>
      <w:rPr>
        <w:sz w:val="20"/>
        <w:szCs w:val="20"/>
      </w:rPr>
    </w:pPr>
    <w:r>
      <w:rPr>
        <w:sz w:val="20"/>
        <w:szCs w:val="20"/>
      </w:rPr>
      <w:t xml:space="preserve"> Construction</w:t>
    </w:r>
    <w:r w:rsidR="009858D2">
      <w:rPr>
        <w:sz w:val="20"/>
        <w:szCs w:val="20"/>
      </w:rPr>
      <w:t xml:space="preserve"> Monitoring</w:t>
    </w:r>
    <w:r>
      <w:rPr>
        <w:sz w:val="20"/>
        <w:szCs w:val="20"/>
      </w:rPr>
      <w:t xml:space="preserve"> Report</w:t>
    </w:r>
  </w:p>
  <w:p w14:paraId="54CC30A2" w14:textId="3FF189E3" w:rsidR="00410170" w:rsidRDefault="00410170" w:rsidP="000156CF">
    <w:pPr>
      <w:pStyle w:val="Footer"/>
      <w:jc w:val="center"/>
      <w:rPr>
        <w:sz w:val="20"/>
        <w:szCs w:val="20"/>
      </w:rPr>
    </w:pPr>
    <w:r w:rsidRPr="00AB0E03">
      <w:rPr>
        <w:sz w:val="20"/>
        <w:szCs w:val="20"/>
      </w:rPr>
      <w:t xml:space="preserve">Page </w:t>
    </w:r>
    <w:r w:rsidRPr="00AB0E03">
      <w:rPr>
        <w:sz w:val="20"/>
        <w:szCs w:val="20"/>
      </w:rPr>
      <w:fldChar w:fldCharType="begin"/>
    </w:r>
    <w:r w:rsidRPr="00AB0E03">
      <w:rPr>
        <w:sz w:val="20"/>
        <w:szCs w:val="20"/>
      </w:rPr>
      <w:instrText xml:space="preserve"> PAGE </w:instrText>
    </w:r>
    <w:r w:rsidRPr="00AB0E03">
      <w:rPr>
        <w:sz w:val="20"/>
        <w:szCs w:val="20"/>
      </w:rPr>
      <w:fldChar w:fldCharType="separate"/>
    </w:r>
    <w:r w:rsidR="006F65C7">
      <w:rPr>
        <w:noProof/>
        <w:sz w:val="20"/>
        <w:szCs w:val="20"/>
      </w:rPr>
      <w:t>10</w:t>
    </w:r>
    <w:r w:rsidRPr="00AB0E03">
      <w:rPr>
        <w:sz w:val="20"/>
        <w:szCs w:val="20"/>
      </w:rPr>
      <w:fldChar w:fldCharType="end"/>
    </w:r>
    <w:r w:rsidRPr="00AB0E03">
      <w:rPr>
        <w:sz w:val="20"/>
        <w:szCs w:val="20"/>
      </w:rPr>
      <w:t xml:space="preserve"> of </w:t>
    </w:r>
    <w:r w:rsidRPr="00AB0E03">
      <w:rPr>
        <w:sz w:val="20"/>
        <w:szCs w:val="20"/>
      </w:rPr>
      <w:fldChar w:fldCharType="begin"/>
    </w:r>
    <w:r w:rsidRPr="00AB0E03">
      <w:rPr>
        <w:sz w:val="20"/>
        <w:szCs w:val="20"/>
      </w:rPr>
      <w:instrText xml:space="preserve"> NUMPAGES </w:instrText>
    </w:r>
    <w:r w:rsidRPr="00AB0E03">
      <w:rPr>
        <w:sz w:val="20"/>
        <w:szCs w:val="20"/>
      </w:rPr>
      <w:fldChar w:fldCharType="separate"/>
    </w:r>
    <w:r w:rsidR="006F65C7">
      <w:rPr>
        <w:noProof/>
        <w:sz w:val="20"/>
        <w:szCs w:val="20"/>
      </w:rPr>
      <w:t>10</w:t>
    </w:r>
    <w:r w:rsidRPr="00AB0E03">
      <w:rPr>
        <w:sz w:val="20"/>
        <w:szCs w:val="20"/>
      </w:rPr>
      <w:fldChar w:fldCharType="end"/>
    </w:r>
  </w:p>
  <w:p w14:paraId="387286F3" w14:textId="77777777" w:rsidR="00410170" w:rsidRPr="00AB0E03" w:rsidRDefault="00410170" w:rsidP="000156C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1DB1" w14:textId="77777777" w:rsidR="00E259D1" w:rsidRDefault="00E259D1">
      <w:r>
        <w:separator/>
      </w:r>
    </w:p>
  </w:footnote>
  <w:footnote w:type="continuationSeparator" w:id="0">
    <w:p w14:paraId="318FD6C4" w14:textId="77777777" w:rsidR="00E259D1" w:rsidRDefault="00E259D1">
      <w:r>
        <w:continuationSeparator/>
      </w:r>
    </w:p>
  </w:footnote>
  <w:footnote w:id="1">
    <w:p w14:paraId="52969CB2" w14:textId="77777777" w:rsidR="00D61849" w:rsidRDefault="00D61849" w:rsidP="00D61849">
      <w:pPr>
        <w:pStyle w:val="FootnoteText"/>
      </w:pPr>
      <w:r>
        <w:rPr>
          <w:rStyle w:val="FootnoteReference"/>
        </w:rPr>
        <w:footnoteRef/>
      </w:r>
      <w:r>
        <w:t xml:space="preserve"> The assumption at certification </w:t>
      </w:r>
      <w:r w:rsidR="00436BAD">
        <w:t>w</w:t>
      </w:r>
      <w:r>
        <w:t>as that financing costs were capitalized during construction and recovered after the Units were placed in service.</w:t>
      </w:r>
    </w:p>
  </w:footnote>
  <w:footnote w:id="2">
    <w:p w14:paraId="7706483B" w14:textId="77777777" w:rsidR="00D61849" w:rsidRDefault="00D61849" w:rsidP="00D61849">
      <w:pPr>
        <w:pStyle w:val="FootnoteText"/>
      </w:pPr>
      <w:r>
        <w:rPr>
          <w:rStyle w:val="FootnoteReference"/>
        </w:rPr>
        <w:footnoteRef/>
      </w:r>
      <w:r>
        <w:t xml:space="preserve"> A change in Georgia law allowing the Company to collect financing costs as incurred during construction resulted in a decrease in financing cost and certified cost.</w:t>
      </w:r>
    </w:p>
  </w:footnote>
  <w:footnote w:id="3">
    <w:p w14:paraId="470DEB08" w14:textId="77777777" w:rsidR="00D61849" w:rsidRDefault="00D61849" w:rsidP="00D61849">
      <w:pPr>
        <w:pStyle w:val="FootnoteText"/>
      </w:pPr>
      <w:r>
        <w:rPr>
          <w:rStyle w:val="FootnoteReference"/>
        </w:rPr>
        <w:footnoteRef/>
      </w:r>
      <w:r>
        <w:t xml:space="preserve"> These prudence and imprudence determinations will be made after reaching fuel load of Unit 4.  </w:t>
      </w:r>
    </w:p>
  </w:footnote>
  <w:footnote w:id="4">
    <w:p w14:paraId="7BFE6573" w14:textId="77777777" w:rsidR="000E3BEE" w:rsidRPr="00A804D8" w:rsidRDefault="000E3BEE" w:rsidP="000E3BEE">
      <w:pPr>
        <w:pStyle w:val="FootnoteText"/>
      </w:pPr>
      <w:r w:rsidRPr="00A804D8">
        <w:rPr>
          <w:rStyle w:val="FootnoteReference"/>
        </w:rPr>
        <w:footnoteRef/>
      </w:r>
      <w:r w:rsidRPr="00A804D8">
        <w:t xml:space="preserve"> Georgia Power Company 10-Q 6/30/2018 P.78.</w:t>
      </w:r>
    </w:p>
  </w:footnote>
  <w:footnote w:id="5">
    <w:p w14:paraId="6986DAEB" w14:textId="77777777" w:rsidR="000E3BEE" w:rsidRPr="003729C3" w:rsidRDefault="000E3BEE" w:rsidP="000E3BEE">
      <w:pPr>
        <w:pStyle w:val="FootnoteText"/>
      </w:pPr>
      <w:r w:rsidRPr="003729C3">
        <w:rPr>
          <w:rStyle w:val="FootnoteReference"/>
        </w:rPr>
        <w:footnoteRef/>
      </w:r>
      <w:r w:rsidRPr="003729C3">
        <w:t xml:space="preserve"> While the VCM 8 stipulation does not prohibit the Company from requesting amendments to the certificate prior to completion of Unit 3, the stipulation provides that the proceeding to consider any such requests to amend the certificate shall be held in abeyance until the completion of </w:t>
      </w:r>
      <w:proofErr w:type="spellStart"/>
      <w:r w:rsidRPr="003729C3">
        <w:t>Vogtle</w:t>
      </w:r>
      <w:proofErr w:type="spellEnd"/>
      <w:r w:rsidRPr="003729C3">
        <w:t xml:space="preserve"> Unit 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88"/>
    <w:multiLevelType w:val="hybridMultilevel"/>
    <w:tmpl w:val="5002F5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311363A"/>
    <w:multiLevelType w:val="hybridMultilevel"/>
    <w:tmpl w:val="033EBA12"/>
    <w:lvl w:ilvl="0" w:tplc="15CC939C">
      <w:start w:val="1"/>
      <w:numFmt w:val="decimal"/>
      <w:lvlText w:val="%1."/>
      <w:lvlJc w:val="left"/>
      <w:pPr>
        <w:tabs>
          <w:tab w:val="num" w:pos="495"/>
        </w:tabs>
        <w:ind w:left="495" w:hanging="49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840A5A"/>
    <w:multiLevelType w:val="hybridMultilevel"/>
    <w:tmpl w:val="B428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0D86"/>
    <w:multiLevelType w:val="hybridMultilevel"/>
    <w:tmpl w:val="4D54E0C0"/>
    <w:lvl w:ilvl="0" w:tplc="C0D2E4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AB55482"/>
    <w:multiLevelType w:val="hybridMultilevel"/>
    <w:tmpl w:val="F67C9424"/>
    <w:lvl w:ilvl="0" w:tplc="0409000F">
      <w:start w:val="1"/>
      <w:numFmt w:val="decimal"/>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abstractNum w:abstractNumId="5" w15:restartNumberingAfterBreak="0">
    <w:nsid w:val="1BD97E18"/>
    <w:multiLevelType w:val="hybridMultilevel"/>
    <w:tmpl w:val="21340868"/>
    <w:lvl w:ilvl="0" w:tplc="10725032">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EC103FD"/>
    <w:multiLevelType w:val="hybridMultilevel"/>
    <w:tmpl w:val="B79C7718"/>
    <w:lvl w:ilvl="0" w:tplc="FAF0644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F913453"/>
    <w:multiLevelType w:val="hybridMultilevel"/>
    <w:tmpl w:val="3A8454FC"/>
    <w:lvl w:ilvl="0" w:tplc="6FBCDF62">
      <w:start w:val="1"/>
      <w:numFmt w:val="decimal"/>
      <w:lvlText w:val="%1."/>
      <w:lvlJc w:val="left"/>
      <w:pPr>
        <w:ind w:left="720" w:hanging="360"/>
      </w:pPr>
      <w:rPr>
        <w:rFonts w:ascii="Times New Roman" w:hAnsi="Times New Roman" w:cs="Times New Roman" w:hint="default"/>
        <w:b/>
        <w:bCs/>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0F7D60"/>
    <w:multiLevelType w:val="hybridMultilevel"/>
    <w:tmpl w:val="76C4D834"/>
    <w:lvl w:ilvl="0" w:tplc="BE101180">
      <w:start w:val="2"/>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F713FB"/>
    <w:multiLevelType w:val="hybridMultilevel"/>
    <w:tmpl w:val="CAD84038"/>
    <w:lvl w:ilvl="0" w:tplc="0409000F">
      <w:start w:val="1"/>
      <w:numFmt w:val="decimal"/>
      <w:lvlText w:val="%1."/>
      <w:lvlJc w:val="left"/>
      <w:pPr>
        <w:ind w:left="720" w:hanging="360"/>
      </w:pPr>
      <w:rPr>
        <w:rFonts w:hint="default"/>
        <w:b w:val="0"/>
        <w:bCs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59400C"/>
    <w:multiLevelType w:val="hybridMultilevel"/>
    <w:tmpl w:val="17649A2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15:restartNumberingAfterBreak="0">
    <w:nsid w:val="31F30200"/>
    <w:multiLevelType w:val="hybridMultilevel"/>
    <w:tmpl w:val="E90ABC8E"/>
    <w:lvl w:ilvl="0" w:tplc="0409000F">
      <w:start w:val="1"/>
      <w:numFmt w:val="decimal"/>
      <w:lvlText w:val="%1."/>
      <w:lvlJc w:val="left"/>
      <w:pPr>
        <w:ind w:left="984" w:hanging="360"/>
      </w:p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2" w15:restartNumberingAfterBreak="0">
    <w:nsid w:val="37B00EE1"/>
    <w:multiLevelType w:val="hybridMultilevel"/>
    <w:tmpl w:val="48D808AE"/>
    <w:lvl w:ilvl="0" w:tplc="6C50D16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A6E4C5E"/>
    <w:multiLevelType w:val="hybridMultilevel"/>
    <w:tmpl w:val="FC249648"/>
    <w:lvl w:ilvl="0" w:tplc="779AC95A">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F37BA"/>
    <w:multiLevelType w:val="hybridMultilevel"/>
    <w:tmpl w:val="8B607308"/>
    <w:lvl w:ilvl="0" w:tplc="85BCF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4F613A"/>
    <w:multiLevelType w:val="hybridMultilevel"/>
    <w:tmpl w:val="2EA2889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0D5C20"/>
    <w:multiLevelType w:val="hybridMultilevel"/>
    <w:tmpl w:val="48D805B4"/>
    <w:lvl w:ilvl="0" w:tplc="5DF2AB7A">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64181"/>
    <w:multiLevelType w:val="hybridMultilevel"/>
    <w:tmpl w:val="5C12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B3C49"/>
    <w:multiLevelType w:val="hybridMultilevel"/>
    <w:tmpl w:val="E888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85D63"/>
    <w:multiLevelType w:val="hybridMultilevel"/>
    <w:tmpl w:val="BF887038"/>
    <w:lvl w:ilvl="0" w:tplc="685056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06D3E"/>
    <w:multiLevelType w:val="hybridMultilevel"/>
    <w:tmpl w:val="3052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B492F"/>
    <w:multiLevelType w:val="hybridMultilevel"/>
    <w:tmpl w:val="A01C0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1D80741"/>
    <w:multiLevelType w:val="hybridMultilevel"/>
    <w:tmpl w:val="249CDF6C"/>
    <w:lvl w:ilvl="0" w:tplc="4C884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54175"/>
    <w:multiLevelType w:val="hybridMultilevel"/>
    <w:tmpl w:val="5D6A2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7C7DC9"/>
    <w:multiLevelType w:val="hybridMultilevel"/>
    <w:tmpl w:val="D2D250CC"/>
    <w:lvl w:ilvl="0" w:tplc="2DA8FBA0">
      <w:start w:val="3"/>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E604BCD"/>
    <w:multiLevelType w:val="hybridMultilevel"/>
    <w:tmpl w:val="7A5A6454"/>
    <w:lvl w:ilvl="0" w:tplc="10169726">
      <w:start w:val="1"/>
      <w:numFmt w:val="decimal"/>
      <w:lvlText w:val="%1."/>
      <w:lvlJc w:val="left"/>
      <w:pPr>
        <w:tabs>
          <w:tab w:val="num" w:pos="1710"/>
        </w:tabs>
        <w:ind w:left="1710" w:hanging="720"/>
      </w:pPr>
      <w:rPr>
        <w:rFonts w:hint="default"/>
        <w:color w:val="auto"/>
      </w:rPr>
    </w:lvl>
    <w:lvl w:ilvl="1" w:tplc="376A33C8">
      <w:start w:val="17"/>
      <w:numFmt w:val="upperLetter"/>
      <w:lvlText w:val="%2."/>
      <w:lvlJc w:val="left"/>
      <w:pPr>
        <w:tabs>
          <w:tab w:val="num" w:pos="2160"/>
        </w:tabs>
        <w:ind w:left="2160" w:hanging="720"/>
      </w:pPr>
      <w:rPr>
        <w:rFonts w:hint="default"/>
      </w:rPr>
    </w:lvl>
    <w:lvl w:ilvl="2" w:tplc="C8A014CE">
      <w:start w:val="17"/>
      <w:numFmt w:val="lowerLetter"/>
      <w:lvlText w:val="%3."/>
      <w:lvlJc w:val="left"/>
      <w:pPr>
        <w:tabs>
          <w:tab w:val="num" w:pos="2700"/>
        </w:tabs>
        <w:ind w:left="2700" w:hanging="360"/>
      </w:pPr>
      <w:rPr>
        <w:rFonts w:hint="default"/>
      </w:rPr>
    </w:lvl>
    <w:lvl w:ilvl="3" w:tplc="99DE4BEE">
      <w:start w:val="6"/>
      <w:numFmt w:val="upperRoman"/>
      <w:lvlText w:val="%4."/>
      <w:lvlJc w:val="left"/>
      <w:pPr>
        <w:tabs>
          <w:tab w:val="num" w:pos="3600"/>
        </w:tabs>
        <w:ind w:left="3600" w:hanging="720"/>
      </w:pPr>
      <w:rPr>
        <w:rFonts w:hint="default"/>
      </w:rPr>
    </w:lvl>
    <w:lvl w:ilvl="4" w:tplc="76C85DFC">
      <w:start w:val="1"/>
      <w:numFmt w:val="lowerLetter"/>
      <w:lvlText w:val="%5."/>
      <w:lvlJc w:val="left"/>
      <w:pPr>
        <w:tabs>
          <w:tab w:val="num" w:pos="3960"/>
        </w:tabs>
        <w:ind w:left="3960" w:hanging="360"/>
      </w:pPr>
    </w:lvl>
    <w:lvl w:ilvl="5" w:tplc="1AC8EA2A">
      <w:start w:val="1"/>
      <w:numFmt w:val="lowerRoman"/>
      <w:lvlText w:val="%6."/>
      <w:lvlJc w:val="right"/>
      <w:pPr>
        <w:tabs>
          <w:tab w:val="num" w:pos="4680"/>
        </w:tabs>
        <w:ind w:left="4680" w:hanging="180"/>
      </w:pPr>
    </w:lvl>
    <w:lvl w:ilvl="6" w:tplc="DA4C3B56">
      <w:start w:val="1"/>
      <w:numFmt w:val="decimal"/>
      <w:lvlText w:val="%7."/>
      <w:lvlJc w:val="left"/>
      <w:pPr>
        <w:tabs>
          <w:tab w:val="num" w:pos="5400"/>
        </w:tabs>
        <w:ind w:left="5400" w:hanging="360"/>
      </w:pPr>
    </w:lvl>
    <w:lvl w:ilvl="7" w:tplc="DCCAE94E">
      <w:start w:val="1"/>
      <w:numFmt w:val="lowerLetter"/>
      <w:lvlText w:val="%8."/>
      <w:lvlJc w:val="left"/>
      <w:pPr>
        <w:tabs>
          <w:tab w:val="num" w:pos="6120"/>
        </w:tabs>
        <w:ind w:left="6120" w:hanging="360"/>
      </w:pPr>
    </w:lvl>
    <w:lvl w:ilvl="8" w:tplc="1DE41668">
      <w:start w:val="1"/>
      <w:numFmt w:val="lowerRoman"/>
      <w:lvlText w:val="%9."/>
      <w:lvlJc w:val="right"/>
      <w:pPr>
        <w:tabs>
          <w:tab w:val="num" w:pos="6840"/>
        </w:tabs>
        <w:ind w:left="6840" w:hanging="180"/>
      </w:pPr>
    </w:lvl>
  </w:abstractNum>
  <w:abstractNum w:abstractNumId="26" w15:restartNumberingAfterBreak="0">
    <w:nsid w:val="6853043F"/>
    <w:multiLevelType w:val="hybridMultilevel"/>
    <w:tmpl w:val="A18284AC"/>
    <w:lvl w:ilvl="0" w:tplc="1C58A9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C06042"/>
    <w:multiLevelType w:val="hybridMultilevel"/>
    <w:tmpl w:val="238027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C62009"/>
    <w:multiLevelType w:val="hybridMultilevel"/>
    <w:tmpl w:val="62B42A42"/>
    <w:lvl w:ilvl="0" w:tplc="1C66E8D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12F7B"/>
    <w:multiLevelType w:val="hybridMultilevel"/>
    <w:tmpl w:val="A6324202"/>
    <w:lvl w:ilvl="0" w:tplc="A7CA7CD4">
      <w:start w:val="1"/>
      <w:numFmt w:val="decimal"/>
      <w:lvlText w:val="%1."/>
      <w:lvlJc w:val="left"/>
      <w:pPr>
        <w:tabs>
          <w:tab w:val="num" w:pos="990"/>
        </w:tabs>
        <w:ind w:left="990" w:hanging="720"/>
      </w:pPr>
      <w:rPr>
        <w:rFonts w:hint="default"/>
        <w:b/>
        <w:bCs/>
      </w:rPr>
    </w:lvl>
    <w:lvl w:ilvl="1" w:tplc="69925C02">
      <w:start w:val="2"/>
      <w:numFmt w:val="decimal"/>
      <w:lvlText w:val="%2."/>
      <w:lvlJc w:val="left"/>
      <w:pPr>
        <w:tabs>
          <w:tab w:val="num" w:pos="1710"/>
        </w:tabs>
        <w:ind w:left="1710" w:hanging="720"/>
      </w:pPr>
      <w:rPr>
        <w:rFonts w:hint="default"/>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30" w15:restartNumberingAfterBreak="0">
    <w:nsid w:val="71970C30"/>
    <w:multiLevelType w:val="hybridMultilevel"/>
    <w:tmpl w:val="60A4128A"/>
    <w:lvl w:ilvl="0" w:tplc="0409000F">
      <w:start w:val="1"/>
      <w:numFmt w:val="decimal"/>
      <w:lvlText w:val="%1."/>
      <w:lvlJc w:val="left"/>
      <w:pPr>
        <w:ind w:left="720" w:hanging="360"/>
      </w:pPr>
      <w:rPr>
        <w:rFonts w:hint="default"/>
        <w:b w:val="0"/>
        <w:bCs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5D34A2"/>
    <w:multiLevelType w:val="hybridMultilevel"/>
    <w:tmpl w:val="F5068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12560"/>
    <w:multiLevelType w:val="hybridMultilevel"/>
    <w:tmpl w:val="36EC4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50AE4"/>
    <w:multiLevelType w:val="hybridMultilevel"/>
    <w:tmpl w:val="7422C93A"/>
    <w:lvl w:ilvl="0" w:tplc="CE1C99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21"/>
  </w:num>
  <w:num w:numId="5">
    <w:abstractNumId w:val="29"/>
  </w:num>
  <w:num w:numId="6">
    <w:abstractNumId w:val="24"/>
  </w:num>
  <w:num w:numId="7">
    <w:abstractNumId w:val="5"/>
  </w:num>
  <w:num w:numId="8">
    <w:abstractNumId w:val="25"/>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0"/>
  </w:num>
  <w:num w:numId="14">
    <w:abstractNumId w:val="15"/>
  </w:num>
  <w:num w:numId="15">
    <w:abstractNumId w:val="7"/>
  </w:num>
  <w:num w:numId="16">
    <w:abstractNumId w:val="25"/>
    <w:lvlOverride w:ilvl="0">
      <w:startOverride w:val="1"/>
    </w:lvlOverride>
    <w:lvlOverride w:ilvl="1">
      <w:startOverride w:val="17"/>
    </w:lvlOverride>
    <w:lvlOverride w:ilvl="2">
      <w:startOverride w:val="17"/>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8"/>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6"/>
  </w:num>
  <w:num w:numId="30">
    <w:abstractNumId w:val="33"/>
  </w:num>
  <w:num w:numId="31">
    <w:abstractNumId w:val="14"/>
  </w:num>
  <w:num w:numId="32">
    <w:abstractNumId w:val="17"/>
  </w:num>
  <w:num w:numId="33">
    <w:abstractNumId w:val="11"/>
  </w:num>
  <w:num w:numId="34">
    <w:abstractNumId w:val="27"/>
  </w:num>
  <w:num w:numId="35">
    <w:abstractNumId w:val="20"/>
  </w:num>
  <w:num w:numId="36">
    <w:abstractNumId w:val="12"/>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0A"/>
    <w:rsid w:val="0000005F"/>
    <w:rsid w:val="0000081C"/>
    <w:rsid w:val="0000090C"/>
    <w:rsid w:val="00000943"/>
    <w:rsid w:val="000009A6"/>
    <w:rsid w:val="00000A56"/>
    <w:rsid w:val="00002E5B"/>
    <w:rsid w:val="00003700"/>
    <w:rsid w:val="00003AE6"/>
    <w:rsid w:val="00003B35"/>
    <w:rsid w:val="0000494E"/>
    <w:rsid w:val="00004B36"/>
    <w:rsid w:val="00005068"/>
    <w:rsid w:val="0000547C"/>
    <w:rsid w:val="0000560E"/>
    <w:rsid w:val="00005DC3"/>
    <w:rsid w:val="00007591"/>
    <w:rsid w:val="00007A68"/>
    <w:rsid w:val="00010D39"/>
    <w:rsid w:val="00010DD8"/>
    <w:rsid w:val="00012ABA"/>
    <w:rsid w:val="00013129"/>
    <w:rsid w:val="000135EA"/>
    <w:rsid w:val="0001387F"/>
    <w:rsid w:val="00013AA1"/>
    <w:rsid w:val="000143DA"/>
    <w:rsid w:val="00014E90"/>
    <w:rsid w:val="000154DF"/>
    <w:rsid w:val="000156CF"/>
    <w:rsid w:val="000161B4"/>
    <w:rsid w:val="00016322"/>
    <w:rsid w:val="000168BC"/>
    <w:rsid w:val="0001699C"/>
    <w:rsid w:val="00017D06"/>
    <w:rsid w:val="00020825"/>
    <w:rsid w:val="00022C6C"/>
    <w:rsid w:val="0002314B"/>
    <w:rsid w:val="00023195"/>
    <w:rsid w:val="00023324"/>
    <w:rsid w:val="0002343E"/>
    <w:rsid w:val="00023571"/>
    <w:rsid w:val="00023C20"/>
    <w:rsid w:val="00023E72"/>
    <w:rsid w:val="00024959"/>
    <w:rsid w:val="00025CA4"/>
    <w:rsid w:val="0002671F"/>
    <w:rsid w:val="00026E73"/>
    <w:rsid w:val="0002724F"/>
    <w:rsid w:val="00027600"/>
    <w:rsid w:val="0002783C"/>
    <w:rsid w:val="0002797C"/>
    <w:rsid w:val="000279F3"/>
    <w:rsid w:val="00030062"/>
    <w:rsid w:val="00030204"/>
    <w:rsid w:val="0003122D"/>
    <w:rsid w:val="000315C6"/>
    <w:rsid w:val="00031687"/>
    <w:rsid w:val="00031DC1"/>
    <w:rsid w:val="000326B0"/>
    <w:rsid w:val="00033080"/>
    <w:rsid w:val="00033337"/>
    <w:rsid w:val="0003357C"/>
    <w:rsid w:val="00033591"/>
    <w:rsid w:val="000340FF"/>
    <w:rsid w:val="0003656A"/>
    <w:rsid w:val="00037461"/>
    <w:rsid w:val="00037DC7"/>
    <w:rsid w:val="00040A8B"/>
    <w:rsid w:val="00040C93"/>
    <w:rsid w:val="00040E16"/>
    <w:rsid w:val="000412D0"/>
    <w:rsid w:val="000415F5"/>
    <w:rsid w:val="0004190F"/>
    <w:rsid w:val="00042313"/>
    <w:rsid w:val="000429B2"/>
    <w:rsid w:val="0004304D"/>
    <w:rsid w:val="0004339C"/>
    <w:rsid w:val="00043B81"/>
    <w:rsid w:val="000444D4"/>
    <w:rsid w:val="00045520"/>
    <w:rsid w:val="00046380"/>
    <w:rsid w:val="000471BB"/>
    <w:rsid w:val="00047224"/>
    <w:rsid w:val="00047B62"/>
    <w:rsid w:val="00051360"/>
    <w:rsid w:val="00051A0B"/>
    <w:rsid w:val="0005300C"/>
    <w:rsid w:val="000535F3"/>
    <w:rsid w:val="0005501E"/>
    <w:rsid w:val="000561A2"/>
    <w:rsid w:val="00056435"/>
    <w:rsid w:val="00057720"/>
    <w:rsid w:val="00057DB2"/>
    <w:rsid w:val="00061BD2"/>
    <w:rsid w:val="0006223B"/>
    <w:rsid w:val="00063275"/>
    <w:rsid w:val="00063B0F"/>
    <w:rsid w:val="00064CD2"/>
    <w:rsid w:val="00065795"/>
    <w:rsid w:val="00065B05"/>
    <w:rsid w:val="00065DDB"/>
    <w:rsid w:val="000667A7"/>
    <w:rsid w:val="000674B8"/>
    <w:rsid w:val="00070428"/>
    <w:rsid w:val="00070B2F"/>
    <w:rsid w:val="0007153E"/>
    <w:rsid w:val="0007220E"/>
    <w:rsid w:val="00072906"/>
    <w:rsid w:val="000749FA"/>
    <w:rsid w:val="00076DBD"/>
    <w:rsid w:val="000771B5"/>
    <w:rsid w:val="00077FBA"/>
    <w:rsid w:val="00081315"/>
    <w:rsid w:val="0008188A"/>
    <w:rsid w:val="000820F1"/>
    <w:rsid w:val="00082A0D"/>
    <w:rsid w:val="00082BF3"/>
    <w:rsid w:val="00082CF6"/>
    <w:rsid w:val="00083068"/>
    <w:rsid w:val="0008457D"/>
    <w:rsid w:val="00084E3C"/>
    <w:rsid w:val="0008504D"/>
    <w:rsid w:val="000851A2"/>
    <w:rsid w:val="00087479"/>
    <w:rsid w:val="00087897"/>
    <w:rsid w:val="00087A2B"/>
    <w:rsid w:val="00087DC9"/>
    <w:rsid w:val="00090022"/>
    <w:rsid w:val="000904C9"/>
    <w:rsid w:val="000906A1"/>
    <w:rsid w:val="00091046"/>
    <w:rsid w:val="000910B8"/>
    <w:rsid w:val="000920CB"/>
    <w:rsid w:val="000922CD"/>
    <w:rsid w:val="00092481"/>
    <w:rsid w:val="0009293E"/>
    <w:rsid w:val="000931ED"/>
    <w:rsid w:val="00093330"/>
    <w:rsid w:val="00095C98"/>
    <w:rsid w:val="000969CF"/>
    <w:rsid w:val="000979E2"/>
    <w:rsid w:val="000A0952"/>
    <w:rsid w:val="000A0DE7"/>
    <w:rsid w:val="000A0F0F"/>
    <w:rsid w:val="000A13E4"/>
    <w:rsid w:val="000A1441"/>
    <w:rsid w:val="000A1572"/>
    <w:rsid w:val="000A35DB"/>
    <w:rsid w:val="000A3AB7"/>
    <w:rsid w:val="000A404A"/>
    <w:rsid w:val="000A40C9"/>
    <w:rsid w:val="000A4AD5"/>
    <w:rsid w:val="000A56CA"/>
    <w:rsid w:val="000A5841"/>
    <w:rsid w:val="000A5F89"/>
    <w:rsid w:val="000A65C8"/>
    <w:rsid w:val="000A7883"/>
    <w:rsid w:val="000B00A0"/>
    <w:rsid w:val="000B045B"/>
    <w:rsid w:val="000B06F2"/>
    <w:rsid w:val="000B095C"/>
    <w:rsid w:val="000B0A2C"/>
    <w:rsid w:val="000B1BF0"/>
    <w:rsid w:val="000B2B90"/>
    <w:rsid w:val="000B2E42"/>
    <w:rsid w:val="000B373D"/>
    <w:rsid w:val="000B3CC3"/>
    <w:rsid w:val="000B4088"/>
    <w:rsid w:val="000B43CD"/>
    <w:rsid w:val="000B49F8"/>
    <w:rsid w:val="000B50D0"/>
    <w:rsid w:val="000B6748"/>
    <w:rsid w:val="000B75CE"/>
    <w:rsid w:val="000C05A8"/>
    <w:rsid w:val="000C05D6"/>
    <w:rsid w:val="000C0A4A"/>
    <w:rsid w:val="000C0FFD"/>
    <w:rsid w:val="000C126B"/>
    <w:rsid w:val="000C16BD"/>
    <w:rsid w:val="000C1F0F"/>
    <w:rsid w:val="000C21D3"/>
    <w:rsid w:val="000C2AE9"/>
    <w:rsid w:val="000C2C66"/>
    <w:rsid w:val="000C3A69"/>
    <w:rsid w:val="000C3E0F"/>
    <w:rsid w:val="000C4826"/>
    <w:rsid w:val="000C6475"/>
    <w:rsid w:val="000C6863"/>
    <w:rsid w:val="000C6B68"/>
    <w:rsid w:val="000C6D30"/>
    <w:rsid w:val="000C6EB8"/>
    <w:rsid w:val="000C7801"/>
    <w:rsid w:val="000D0A02"/>
    <w:rsid w:val="000D2D63"/>
    <w:rsid w:val="000D2D9A"/>
    <w:rsid w:val="000D3693"/>
    <w:rsid w:val="000D3987"/>
    <w:rsid w:val="000D605F"/>
    <w:rsid w:val="000D662A"/>
    <w:rsid w:val="000D7F7F"/>
    <w:rsid w:val="000E00D8"/>
    <w:rsid w:val="000E0754"/>
    <w:rsid w:val="000E0C72"/>
    <w:rsid w:val="000E181A"/>
    <w:rsid w:val="000E2551"/>
    <w:rsid w:val="000E3BEE"/>
    <w:rsid w:val="000E42CE"/>
    <w:rsid w:val="000E4405"/>
    <w:rsid w:val="000E4709"/>
    <w:rsid w:val="000E4C89"/>
    <w:rsid w:val="000E4EF0"/>
    <w:rsid w:val="000E52AE"/>
    <w:rsid w:val="000E5322"/>
    <w:rsid w:val="000E5EE4"/>
    <w:rsid w:val="000E6094"/>
    <w:rsid w:val="000E6B07"/>
    <w:rsid w:val="000E6C9F"/>
    <w:rsid w:val="000F0082"/>
    <w:rsid w:val="000F0419"/>
    <w:rsid w:val="000F0788"/>
    <w:rsid w:val="000F0B63"/>
    <w:rsid w:val="000F0D78"/>
    <w:rsid w:val="000F116D"/>
    <w:rsid w:val="000F1577"/>
    <w:rsid w:val="000F2A06"/>
    <w:rsid w:val="000F34F2"/>
    <w:rsid w:val="000F3941"/>
    <w:rsid w:val="000F3B03"/>
    <w:rsid w:val="000F4375"/>
    <w:rsid w:val="000F4566"/>
    <w:rsid w:val="000F553D"/>
    <w:rsid w:val="000F5D59"/>
    <w:rsid w:val="000F5F0C"/>
    <w:rsid w:val="000F6A25"/>
    <w:rsid w:val="001003D5"/>
    <w:rsid w:val="00100A9E"/>
    <w:rsid w:val="00100D6E"/>
    <w:rsid w:val="001017D6"/>
    <w:rsid w:val="00101D26"/>
    <w:rsid w:val="0010248D"/>
    <w:rsid w:val="00102711"/>
    <w:rsid w:val="00102D6E"/>
    <w:rsid w:val="00102DBB"/>
    <w:rsid w:val="00103F4C"/>
    <w:rsid w:val="0010420A"/>
    <w:rsid w:val="00104309"/>
    <w:rsid w:val="00104431"/>
    <w:rsid w:val="00104598"/>
    <w:rsid w:val="0010494D"/>
    <w:rsid w:val="00105EAE"/>
    <w:rsid w:val="00106145"/>
    <w:rsid w:val="00106CC3"/>
    <w:rsid w:val="001104F3"/>
    <w:rsid w:val="001106ED"/>
    <w:rsid w:val="00110E48"/>
    <w:rsid w:val="00111550"/>
    <w:rsid w:val="00112196"/>
    <w:rsid w:val="00112566"/>
    <w:rsid w:val="001129B2"/>
    <w:rsid w:val="001134F1"/>
    <w:rsid w:val="0011409D"/>
    <w:rsid w:val="0011452C"/>
    <w:rsid w:val="00117684"/>
    <w:rsid w:val="001206FC"/>
    <w:rsid w:val="00120D0D"/>
    <w:rsid w:val="001215E8"/>
    <w:rsid w:val="00121AA4"/>
    <w:rsid w:val="0012270E"/>
    <w:rsid w:val="001231E0"/>
    <w:rsid w:val="00124015"/>
    <w:rsid w:val="00124241"/>
    <w:rsid w:val="0012460B"/>
    <w:rsid w:val="00124BF7"/>
    <w:rsid w:val="00124EDB"/>
    <w:rsid w:val="0012555D"/>
    <w:rsid w:val="00126737"/>
    <w:rsid w:val="00126F10"/>
    <w:rsid w:val="00127538"/>
    <w:rsid w:val="00130C1A"/>
    <w:rsid w:val="00131DAC"/>
    <w:rsid w:val="00133507"/>
    <w:rsid w:val="00133862"/>
    <w:rsid w:val="0013415C"/>
    <w:rsid w:val="00134B3C"/>
    <w:rsid w:val="00135508"/>
    <w:rsid w:val="00135CDB"/>
    <w:rsid w:val="00136C91"/>
    <w:rsid w:val="00137917"/>
    <w:rsid w:val="00137BF6"/>
    <w:rsid w:val="00137E65"/>
    <w:rsid w:val="00137F63"/>
    <w:rsid w:val="00140864"/>
    <w:rsid w:val="00140BED"/>
    <w:rsid w:val="00141181"/>
    <w:rsid w:val="00141CF7"/>
    <w:rsid w:val="00141EC8"/>
    <w:rsid w:val="00142B57"/>
    <w:rsid w:val="00142EE0"/>
    <w:rsid w:val="0014353B"/>
    <w:rsid w:val="00143BC9"/>
    <w:rsid w:val="001444B0"/>
    <w:rsid w:val="0014594C"/>
    <w:rsid w:val="00145AC5"/>
    <w:rsid w:val="0014640B"/>
    <w:rsid w:val="00146691"/>
    <w:rsid w:val="00146B12"/>
    <w:rsid w:val="00146C5A"/>
    <w:rsid w:val="00146E63"/>
    <w:rsid w:val="00147516"/>
    <w:rsid w:val="0015053E"/>
    <w:rsid w:val="001515D8"/>
    <w:rsid w:val="00152CC8"/>
    <w:rsid w:val="00152E35"/>
    <w:rsid w:val="0015316E"/>
    <w:rsid w:val="00153B2B"/>
    <w:rsid w:val="00153BE0"/>
    <w:rsid w:val="00153DF7"/>
    <w:rsid w:val="001540CD"/>
    <w:rsid w:val="0015459B"/>
    <w:rsid w:val="0015460D"/>
    <w:rsid w:val="001549EA"/>
    <w:rsid w:val="00155219"/>
    <w:rsid w:val="0015551E"/>
    <w:rsid w:val="00156936"/>
    <w:rsid w:val="00156F1B"/>
    <w:rsid w:val="0015705C"/>
    <w:rsid w:val="001600E2"/>
    <w:rsid w:val="001611F9"/>
    <w:rsid w:val="00162404"/>
    <w:rsid w:val="001625D8"/>
    <w:rsid w:val="001626E1"/>
    <w:rsid w:val="00162E5B"/>
    <w:rsid w:val="00163743"/>
    <w:rsid w:val="001638B2"/>
    <w:rsid w:val="00163F74"/>
    <w:rsid w:val="001640FC"/>
    <w:rsid w:val="00164332"/>
    <w:rsid w:val="00164931"/>
    <w:rsid w:val="0016521A"/>
    <w:rsid w:val="0016587A"/>
    <w:rsid w:val="00165D71"/>
    <w:rsid w:val="00166151"/>
    <w:rsid w:val="001667EA"/>
    <w:rsid w:val="00167B0F"/>
    <w:rsid w:val="00170198"/>
    <w:rsid w:val="0017052F"/>
    <w:rsid w:val="00170E11"/>
    <w:rsid w:val="001713EB"/>
    <w:rsid w:val="00172D9A"/>
    <w:rsid w:val="00174422"/>
    <w:rsid w:val="00175235"/>
    <w:rsid w:val="001753F2"/>
    <w:rsid w:val="001758C3"/>
    <w:rsid w:val="00175D7F"/>
    <w:rsid w:val="0017693E"/>
    <w:rsid w:val="001773EF"/>
    <w:rsid w:val="00177692"/>
    <w:rsid w:val="00180162"/>
    <w:rsid w:val="00180313"/>
    <w:rsid w:val="00180337"/>
    <w:rsid w:val="00180432"/>
    <w:rsid w:val="00180A9B"/>
    <w:rsid w:val="00181A1F"/>
    <w:rsid w:val="00181C57"/>
    <w:rsid w:val="0018311E"/>
    <w:rsid w:val="00183322"/>
    <w:rsid w:val="00184C04"/>
    <w:rsid w:val="00185A7E"/>
    <w:rsid w:val="0018618A"/>
    <w:rsid w:val="00187AB3"/>
    <w:rsid w:val="00190481"/>
    <w:rsid w:val="0019064A"/>
    <w:rsid w:val="00192083"/>
    <w:rsid w:val="00193022"/>
    <w:rsid w:val="00193694"/>
    <w:rsid w:val="00193800"/>
    <w:rsid w:val="00193C0E"/>
    <w:rsid w:val="001967C9"/>
    <w:rsid w:val="00197276"/>
    <w:rsid w:val="0019794D"/>
    <w:rsid w:val="00197C7E"/>
    <w:rsid w:val="001A0352"/>
    <w:rsid w:val="001A1452"/>
    <w:rsid w:val="001A1849"/>
    <w:rsid w:val="001A2E74"/>
    <w:rsid w:val="001A320E"/>
    <w:rsid w:val="001A366D"/>
    <w:rsid w:val="001A4156"/>
    <w:rsid w:val="001A4185"/>
    <w:rsid w:val="001A5212"/>
    <w:rsid w:val="001A55F1"/>
    <w:rsid w:val="001A611C"/>
    <w:rsid w:val="001A7471"/>
    <w:rsid w:val="001A76D3"/>
    <w:rsid w:val="001A77F5"/>
    <w:rsid w:val="001A78E9"/>
    <w:rsid w:val="001A7CD7"/>
    <w:rsid w:val="001B008D"/>
    <w:rsid w:val="001B1A07"/>
    <w:rsid w:val="001B2A30"/>
    <w:rsid w:val="001B346B"/>
    <w:rsid w:val="001B3F98"/>
    <w:rsid w:val="001B6EDC"/>
    <w:rsid w:val="001C01FE"/>
    <w:rsid w:val="001C054B"/>
    <w:rsid w:val="001C138E"/>
    <w:rsid w:val="001C206A"/>
    <w:rsid w:val="001C2A54"/>
    <w:rsid w:val="001C30D5"/>
    <w:rsid w:val="001C3A41"/>
    <w:rsid w:val="001C4E11"/>
    <w:rsid w:val="001C4FBF"/>
    <w:rsid w:val="001C540B"/>
    <w:rsid w:val="001C56FA"/>
    <w:rsid w:val="001C5954"/>
    <w:rsid w:val="001C59B0"/>
    <w:rsid w:val="001C7ABA"/>
    <w:rsid w:val="001C7DDF"/>
    <w:rsid w:val="001D1369"/>
    <w:rsid w:val="001D2DE4"/>
    <w:rsid w:val="001D30A7"/>
    <w:rsid w:val="001D321B"/>
    <w:rsid w:val="001D36E6"/>
    <w:rsid w:val="001D422F"/>
    <w:rsid w:val="001D5091"/>
    <w:rsid w:val="001D5355"/>
    <w:rsid w:val="001D5725"/>
    <w:rsid w:val="001D5D35"/>
    <w:rsid w:val="001D66E4"/>
    <w:rsid w:val="001D6D2A"/>
    <w:rsid w:val="001D6EF9"/>
    <w:rsid w:val="001D770E"/>
    <w:rsid w:val="001D77A9"/>
    <w:rsid w:val="001D7ECC"/>
    <w:rsid w:val="001E0D3F"/>
    <w:rsid w:val="001E1558"/>
    <w:rsid w:val="001E19A6"/>
    <w:rsid w:val="001E2FE6"/>
    <w:rsid w:val="001E3548"/>
    <w:rsid w:val="001E35F1"/>
    <w:rsid w:val="001E3B82"/>
    <w:rsid w:val="001E3D88"/>
    <w:rsid w:val="001E4DC5"/>
    <w:rsid w:val="001E55BE"/>
    <w:rsid w:val="001E5810"/>
    <w:rsid w:val="001E6FED"/>
    <w:rsid w:val="001E7520"/>
    <w:rsid w:val="001F0B6E"/>
    <w:rsid w:val="001F1948"/>
    <w:rsid w:val="001F1F47"/>
    <w:rsid w:val="001F24BC"/>
    <w:rsid w:val="001F2951"/>
    <w:rsid w:val="001F2CBE"/>
    <w:rsid w:val="001F2FB9"/>
    <w:rsid w:val="001F3483"/>
    <w:rsid w:val="001F4CA6"/>
    <w:rsid w:val="001F52D2"/>
    <w:rsid w:val="001F5334"/>
    <w:rsid w:val="001F6050"/>
    <w:rsid w:val="00200266"/>
    <w:rsid w:val="00200855"/>
    <w:rsid w:val="00202B8A"/>
    <w:rsid w:val="00202B95"/>
    <w:rsid w:val="002030DB"/>
    <w:rsid w:val="00203900"/>
    <w:rsid w:val="0020550B"/>
    <w:rsid w:val="002059EE"/>
    <w:rsid w:val="00205E50"/>
    <w:rsid w:val="00206135"/>
    <w:rsid w:val="00206282"/>
    <w:rsid w:val="00206340"/>
    <w:rsid w:val="00206CC7"/>
    <w:rsid w:val="002079F0"/>
    <w:rsid w:val="0021052D"/>
    <w:rsid w:val="00210BF5"/>
    <w:rsid w:val="00211B8D"/>
    <w:rsid w:val="00212751"/>
    <w:rsid w:val="002128A2"/>
    <w:rsid w:val="00213683"/>
    <w:rsid w:val="0021381F"/>
    <w:rsid w:val="00213D12"/>
    <w:rsid w:val="0021602E"/>
    <w:rsid w:val="002178F2"/>
    <w:rsid w:val="002179FD"/>
    <w:rsid w:val="00217CB2"/>
    <w:rsid w:val="00217ED6"/>
    <w:rsid w:val="00220BA5"/>
    <w:rsid w:val="0022112A"/>
    <w:rsid w:val="0022184C"/>
    <w:rsid w:val="00221F82"/>
    <w:rsid w:val="00223DB0"/>
    <w:rsid w:val="00223E35"/>
    <w:rsid w:val="0022471D"/>
    <w:rsid w:val="00224A62"/>
    <w:rsid w:val="00225F29"/>
    <w:rsid w:val="00225F97"/>
    <w:rsid w:val="00226672"/>
    <w:rsid w:val="0022700A"/>
    <w:rsid w:val="00227B20"/>
    <w:rsid w:val="00231D64"/>
    <w:rsid w:val="002325B4"/>
    <w:rsid w:val="00232B91"/>
    <w:rsid w:val="00233839"/>
    <w:rsid w:val="002345D1"/>
    <w:rsid w:val="00234633"/>
    <w:rsid w:val="002349E8"/>
    <w:rsid w:val="0023517B"/>
    <w:rsid w:val="002369ED"/>
    <w:rsid w:val="002373EC"/>
    <w:rsid w:val="00237CDC"/>
    <w:rsid w:val="002406EF"/>
    <w:rsid w:val="0024120D"/>
    <w:rsid w:val="00242A10"/>
    <w:rsid w:val="002436FB"/>
    <w:rsid w:val="0024392A"/>
    <w:rsid w:val="00243E4E"/>
    <w:rsid w:val="0024496E"/>
    <w:rsid w:val="002449D9"/>
    <w:rsid w:val="00244D6D"/>
    <w:rsid w:val="002459E8"/>
    <w:rsid w:val="00245A76"/>
    <w:rsid w:val="00245C12"/>
    <w:rsid w:val="00245EBC"/>
    <w:rsid w:val="0024753F"/>
    <w:rsid w:val="00247760"/>
    <w:rsid w:val="00247E40"/>
    <w:rsid w:val="00247EBB"/>
    <w:rsid w:val="00247FDE"/>
    <w:rsid w:val="00250350"/>
    <w:rsid w:val="002517EC"/>
    <w:rsid w:val="00251A02"/>
    <w:rsid w:val="00251CCE"/>
    <w:rsid w:val="00254225"/>
    <w:rsid w:val="0025483C"/>
    <w:rsid w:val="002557FE"/>
    <w:rsid w:val="00255880"/>
    <w:rsid w:val="002560D1"/>
    <w:rsid w:val="00257197"/>
    <w:rsid w:val="0026016C"/>
    <w:rsid w:val="00260707"/>
    <w:rsid w:val="0026157A"/>
    <w:rsid w:val="002624B5"/>
    <w:rsid w:val="002628E4"/>
    <w:rsid w:val="00262CFF"/>
    <w:rsid w:val="00263E13"/>
    <w:rsid w:val="002646DA"/>
    <w:rsid w:val="00264782"/>
    <w:rsid w:val="00265694"/>
    <w:rsid w:val="0026632E"/>
    <w:rsid w:val="00266955"/>
    <w:rsid w:val="00267959"/>
    <w:rsid w:val="00270E1C"/>
    <w:rsid w:val="00271F85"/>
    <w:rsid w:val="00272AB0"/>
    <w:rsid w:val="00272C4C"/>
    <w:rsid w:val="002732A5"/>
    <w:rsid w:val="002736B9"/>
    <w:rsid w:val="0027427C"/>
    <w:rsid w:val="00275B18"/>
    <w:rsid w:val="00275F20"/>
    <w:rsid w:val="00276530"/>
    <w:rsid w:val="002773F7"/>
    <w:rsid w:val="0027757C"/>
    <w:rsid w:val="00277E41"/>
    <w:rsid w:val="0028022C"/>
    <w:rsid w:val="0028038B"/>
    <w:rsid w:val="00281014"/>
    <w:rsid w:val="002815A0"/>
    <w:rsid w:val="00281760"/>
    <w:rsid w:val="0028229E"/>
    <w:rsid w:val="002829C5"/>
    <w:rsid w:val="00283745"/>
    <w:rsid w:val="002838C0"/>
    <w:rsid w:val="0028466D"/>
    <w:rsid w:val="002865DD"/>
    <w:rsid w:val="00286859"/>
    <w:rsid w:val="00286D01"/>
    <w:rsid w:val="00286ECC"/>
    <w:rsid w:val="00287E86"/>
    <w:rsid w:val="00287F80"/>
    <w:rsid w:val="002901C9"/>
    <w:rsid w:val="00290673"/>
    <w:rsid w:val="00290EBD"/>
    <w:rsid w:val="00291A14"/>
    <w:rsid w:val="00291F96"/>
    <w:rsid w:val="00292E1C"/>
    <w:rsid w:val="002946D1"/>
    <w:rsid w:val="00294FAC"/>
    <w:rsid w:val="002962CB"/>
    <w:rsid w:val="00296659"/>
    <w:rsid w:val="002969AB"/>
    <w:rsid w:val="00296B90"/>
    <w:rsid w:val="00297073"/>
    <w:rsid w:val="002977B6"/>
    <w:rsid w:val="0029785E"/>
    <w:rsid w:val="00297B1D"/>
    <w:rsid w:val="002A0A4E"/>
    <w:rsid w:val="002A1C12"/>
    <w:rsid w:val="002A243E"/>
    <w:rsid w:val="002A2E46"/>
    <w:rsid w:val="002A341A"/>
    <w:rsid w:val="002A345C"/>
    <w:rsid w:val="002A3BF6"/>
    <w:rsid w:val="002A44C6"/>
    <w:rsid w:val="002A450E"/>
    <w:rsid w:val="002A4680"/>
    <w:rsid w:val="002A54A6"/>
    <w:rsid w:val="002A5668"/>
    <w:rsid w:val="002A5896"/>
    <w:rsid w:val="002A5C20"/>
    <w:rsid w:val="002A5E5B"/>
    <w:rsid w:val="002A5E6A"/>
    <w:rsid w:val="002A616C"/>
    <w:rsid w:val="002A6B7A"/>
    <w:rsid w:val="002A7038"/>
    <w:rsid w:val="002B0870"/>
    <w:rsid w:val="002B11EC"/>
    <w:rsid w:val="002B1BE2"/>
    <w:rsid w:val="002B366F"/>
    <w:rsid w:val="002B38EA"/>
    <w:rsid w:val="002B3B9E"/>
    <w:rsid w:val="002B46CD"/>
    <w:rsid w:val="002B4943"/>
    <w:rsid w:val="002B498A"/>
    <w:rsid w:val="002B49F8"/>
    <w:rsid w:val="002B4B8E"/>
    <w:rsid w:val="002B4D55"/>
    <w:rsid w:val="002B4F7B"/>
    <w:rsid w:val="002B646D"/>
    <w:rsid w:val="002B6D5B"/>
    <w:rsid w:val="002B72E3"/>
    <w:rsid w:val="002B7E86"/>
    <w:rsid w:val="002C0285"/>
    <w:rsid w:val="002C073A"/>
    <w:rsid w:val="002C18AE"/>
    <w:rsid w:val="002C195A"/>
    <w:rsid w:val="002C196C"/>
    <w:rsid w:val="002C1997"/>
    <w:rsid w:val="002C1C6F"/>
    <w:rsid w:val="002C1ECA"/>
    <w:rsid w:val="002C26B5"/>
    <w:rsid w:val="002C2D21"/>
    <w:rsid w:val="002C2F86"/>
    <w:rsid w:val="002C3737"/>
    <w:rsid w:val="002C3C30"/>
    <w:rsid w:val="002C3E5B"/>
    <w:rsid w:val="002C4309"/>
    <w:rsid w:val="002C478B"/>
    <w:rsid w:val="002C4A95"/>
    <w:rsid w:val="002C5A7A"/>
    <w:rsid w:val="002C78B2"/>
    <w:rsid w:val="002C7DDE"/>
    <w:rsid w:val="002D00D8"/>
    <w:rsid w:val="002D06B2"/>
    <w:rsid w:val="002D11B0"/>
    <w:rsid w:val="002D1431"/>
    <w:rsid w:val="002D15EB"/>
    <w:rsid w:val="002D1839"/>
    <w:rsid w:val="002D1D6D"/>
    <w:rsid w:val="002D2487"/>
    <w:rsid w:val="002D25C5"/>
    <w:rsid w:val="002D37DF"/>
    <w:rsid w:val="002D41C3"/>
    <w:rsid w:val="002D642C"/>
    <w:rsid w:val="002D67DE"/>
    <w:rsid w:val="002D6F76"/>
    <w:rsid w:val="002D7382"/>
    <w:rsid w:val="002E001B"/>
    <w:rsid w:val="002E03EF"/>
    <w:rsid w:val="002E0B96"/>
    <w:rsid w:val="002E0CFD"/>
    <w:rsid w:val="002E1B76"/>
    <w:rsid w:val="002E2341"/>
    <w:rsid w:val="002E3043"/>
    <w:rsid w:val="002E30CD"/>
    <w:rsid w:val="002E50FD"/>
    <w:rsid w:val="002E56BC"/>
    <w:rsid w:val="002E5743"/>
    <w:rsid w:val="002E5847"/>
    <w:rsid w:val="002E5F1C"/>
    <w:rsid w:val="002E6062"/>
    <w:rsid w:val="002E67A3"/>
    <w:rsid w:val="002E689F"/>
    <w:rsid w:val="002E78A2"/>
    <w:rsid w:val="002E796E"/>
    <w:rsid w:val="002E7BBD"/>
    <w:rsid w:val="002E7C42"/>
    <w:rsid w:val="002E7FF1"/>
    <w:rsid w:val="002F0CFC"/>
    <w:rsid w:val="002F0E73"/>
    <w:rsid w:val="002F11C7"/>
    <w:rsid w:val="002F14DD"/>
    <w:rsid w:val="002F2FB6"/>
    <w:rsid w:val="002F3A83"/>
    <w:rsid w:val="002F433D"/>
    <w:rsid w:val="002F569B"/>
    <w:rsid w:val="002F6000"/>
    <w:rsid w:val="002F629C"/>
    <w:rsid w:val="002F71BB"/>
    <w:rsid w:val="003003AC"/>
    <w:rsid w:val="003009D7"/>
    <w:rsid w:val="00300B71"/>
    <w:rsid w:val="00302263"/>
    <w:rsid w:val="00303053"/>
    <w:rsid w:val="003038F7"/>
    <w:rsid w:val="00305750"/>
    <w:rsid w:val="0030687D"/>
    <w:rsid w:val="00307B5C"/>
    <w:rsid w:val="00311143"/>
    <w:rsid w:val="003116D8"/>
    <w:rsid w:val="0031194B"/>
    <w:rsid w:val="00311BD9"/>
    <w:rsid w:val="00312A59"/>
    <w:rsid w:val="00312D6B"/>
    <w:rsid w:val="00312DA6"/>
    <w:rsid w:val="00314D38"/>
    <w:rsid w:val="00314FED"/>
    <w:rsid w:val="00315524"/>
    <w:rsid w:val="00315BAE"/>
    <w:rsid w:val="00315C35"/>
    <w:rsid w:val="003161F3"/>
    <w:rsid w:val="00316A95"/>
    <w:rsid w:val="00317B7B"/>
    <w:rsid w:val="00320829"/>
    <w:rsid w:val="003217C1"/>
    <w:rsid w:val="00322EB5"/>
    <w:rsid w:val="00323120"/>
    <w:rsid w:val="003235A1"/>
    <w:rsid w:val="00323901"/>
    <w:rsid w:val="00324121"/>
    <w:rsid w:val="00324A9C"/>
    <w:rsid w:val="003253E7"/>
    <w:rsid w:val="0032555A"/>
    <w:rsid w:val="00326C61"/>
    <w:rsid w:val="0032720E"/>
    <w:rsid w:val="00327DD0"/>
    <w:rsid w:val="00327E9D"/>
    <w:rsid w:val="003301FC"/>
    <w:rsid w:val="00330E13"/>
    <w:rsid w:val="00330E23"/>
    <w:rsid w:val="00331317"/>
    <w:rsid w:val="003315D0"/>
    <w:rsid w:val="003322FD"/>
    <w:rsid w:val="0033249A"/>
    <w:rsid w:val="00332638"/>
    <w:rsid w:val="00332D6F"/>
    <w:rsid w:val="0033366E"/>
    <w:rsid w:val="00333DEB"/>
    <w:rsid w:val="00334A19"/>
    <w:rsid w:val="003355FE"/>
    <w:rsid w:val="00335786"/>
    <w:rsid w:val="003367D4"/>
    <w:rsid w:val="0033688E"/>
    <w:rsid w:val="00336F15"/>
    <w:rsid w:val="00337AEB"/>
    <w:rsid w:val="0034018C"/>
    <w:rsid w:val="00340535"/>
    <w:rsid w:val="00340BBB"/>
    <w:rsid w:val="003410A9"/>
    <w:rsid w:val="0034209C"/>
    <w:rsid w:val="003423E6"/>
    <w:rsid w:val="003428CB"/>
    <w:rsid w:val="00342CD9"/>
    <w:rsid w:val="0034328D"/>
    <w:rsid w:val="003436E1"/>
    <w:rsid w:val="003443C6"/>
    <w:rsid w:val="00345C9E"/>
    <w:rsid w:val="003461CE"/>
    <w:rsid w:val="00346DC0"/>
    <w:rsid w:val="003471DA"/>
    <w:rsid w:val="00347BDB"/>
    <w:rsid w:val="00350DB5"/>
    <w:rsid w:val="003513DF"/>
    <w:rsid w:val="0035155E"/>
    <w:rsid w:val="00351771"/>
    <w:rsid w:val="003518AE"/>
    <w:rsid w:val="00351BFC"/>
    <w:rsid w:val="00351FBF"/>
    <w:rsid w:val="003534A2"/>
    <w:rsid w:val="00353832"/>
    <w:rsid w:val="00353961"/>
    <w:rsid w:val="00354378"/>
    <w:rsid w:val="00354969"/>
    <w:rsid w:val="003550D0"/>
    <w:rsid w:val="0035553F"/>
    <w:rsid w:val="00355B20"/>
    <w:rsid w:val="00355CA4"/>
    <w:rsid w:val="003579CD"/>
    <w:rsid w:val="00357CC3"/>
    <w:rsid w:val="00357EEA"/>
    <w:rsid w:val="00360435"/>
    <w:rsid w:val="003609A7"/>
    <w:rsid w:val="00361ED6"/>
    <w:rsid w:val="00362BF9"/>
    <w:rsid w:val="00363205"/>
    <w:rsid w:val="00365303"/>
    <w:rsid w:val="00365C15"/>
    <w:rsid w:val="00365DA7"/>
    <w:rsid w:val="003668E9"/>
    <w:rsid w:val="00367405"/>
    <w:rsid w:val="0037199D"/>
    <w:rsid w:val="00371EEC"/>
    <w:rsid w:val="00372247"/>
    <w:rsid w:val="003729C3"/>
    <w:rsid w:val="00372FF7"/>
    <w:rsid w:val="00373415"/>
    <w:rsid w:val="003754D1"/>
    <w:rsid w:val="00375844"/>
    <w:rsid w:val="00375C1C"/>
    <w:rsid w:val="00375F5B"/>
    <w:rsid w:val="00376F7B"/>
    <w:rsid w:val="00377060"/>
    <w:rsid w:val="0037738D"/>
    <w:rsid w:val="00377F01"/>
    <w:rsid w:val="00380E03"/>
    <w:rsid w:val="003810F1"/>
    <w:rsid w:val="0038228B"/>
    <w:rsid w:val="00383237"/>
    <w:rsid w:val="003838BB"/>
    <w:rsid w:val="00384BDE"/>
    <w:rsid w:val="0038547B"/>
    <w:rsid w:val="00385B11"/>
    <w:rsid w:val="00386D2F"/>
    <w:rsid w:val="00387143"/>
    <w:rsid w:val="00387F04"/>
    <w:rsid w:val="003917C5"/>
    <w:rsid w:val="00391EDE"/>
    <w:rsid w:val="00392815"/>
    <w:rsid w:val="00394AAE"/>
    <w:rsid w:val="00394F8D"/>
    <w:rsid w:val="0039500E"/>
    <w:rsid w:val="00395E7F"/>
    <w:rsid w:val="00396649"/>
    <w:rsid w:val="00396740"/>
    <w:rsid w:val="00396BE2"/>
    <w:rsid w:val="003978EF"/>
    <w:rsid w:val="003A014F"/>
    <w:rsid w:val="003A06F4"/>
    <w:rsid w:val="003A1102"/>
    <w:rsid w:val="003A398E"/>
    <w:rsid w:val="003A3E60"/>
    <w:rsid w:val="003A5ECF"/>
    <w:rsid w:val="003A60D7"/>
    <w:rsid w:val="003A62B0"/>
    <w:rsid w:val="003A653D"/>
    <w:rsid w:val="003A66A5"/>
    <w:rsid w:val="003A6771"/>
    <w:rsid w:val="003A6773"/>
    <w:rsid w:val="003A7F79"/>
    <w:rsid w:val="003B0187"/>
    <w:rsid w:val="003B0BEE"/>
    <w:rsid w:val="003B1A21"/>
    <w:rsid w:val="003B1BA8"/>
    <w:rsid w:val="003B2384"/>
    <w:rsid w:val="003B349F"/>
    <w:rsid w:val="003B4494"/>
    <w:rsid w:val="003B49F1"/>
    <w:rsid w:val="003B546A"/>
    <w:rsid w:val="003B5D91"/>
    <w:rsid w:val="003B654D"/>
    <w:rsid w:val="003B692F"/>
    <w:rsid w:val="003C0294"/>
    <w:rsid w:val="003C0307"/>
    <w:rsid w:val="003C0B2E"/>
    <w:rsid w:val="003C1263"/>
    <w:rsid w:val="003C328B"/>
    <w:rsid w:val="003C3E99"/>
    <w:rsid w:val="003C4154"/>
    <w:rsid w:val="003C43C7"/>
    <w:rsid w:val="003C46D6"/>
    <w:rsid w:val="003C5242"/>
    <w:rsid w:val="003C5D99"/>
    <w:rsid w:val="003C5EC4"/>
    <w:rsid w:val="003C643C"/>
    <w:rsid w:val="003C64CF"/>
    <w:rsid w:val="003D0D79"/>
    <w:rsid w:val="003D1079"/>
    <w:rsid w:val="003D32B8"/>
    <w:rsid w:val="003D32FF"/>
    <w:rsid w:val="003D3337"/>
    <w:rsid w:val="003D39EE"/>
    <w:rsid w:val="003D3AED"/>
    <w:rsid w:val="003D3B1C"/>
    <w:rsid w:val="003D4232"/>
    <w:rsid w:val="003D5484"/>
    <w:rsid w:val="003D5CEF"/>
    <w:rsid w:val="003D6179"/>
    <w:rsid w:val="003D6858"/>
    <w:rsid w:val="003D6BBE"/>
    <w:rsid w:val="003D751D"/>
    <w:rsid w:val="003E1AA4"/>
    <w:rsid w:val="003E278B"/>
    <w:rsid w:val="003E302D"/>
    <w:rsid w:val="003E3A87"/>
    <w:rsid w:val="003E420F"/>
    <w:rsid w:val="003E4840"/>
    <w:rsid w:val="003E5217"/>
    <w:rsid w:val="003E587A"/>
    <w:rsid w:val="003E595D"/>
    <w:rsid w:val="003E61A6"/>
    <w:rsid w:val="003E67F7"/>
    <w:rsid w:val="003E772D"/>
    <w:rsid w:val="003F131E"/>
    <w:rsid w:val="003F1B15"/>
    <w:rsid w:val="003F22ED"/>
    <w:rsid w:val="003F26FD"/>
    <w:rsid w:val="003F2BF6"/>
    <w:rsid w:val="003F2C22"/>
    <w:rsid w:val="003F36E7"/>
    <w:rsid w:val="003F370E"/>
    <w:rsid w:val="003F3875"/>
    <w:rsid w:val="003F3B69"/>
    <w:rsid w:val="003F52E1"/>
    <w:rsid w:val="003F52F1"/>
    <w:rsid w:val="003F5631"/>
    <w:rsid w:val="003F5970"/>
    <w:rsid w:val="003F617C"/>
    <w:rsid w:val="003F6A07"/>
    <w:rsid w:val="003F73A0"/>
    <w:rsid w:val="003F7F6A"/>
    <w:rsid w:val="003F7F8A"/>
    <w:rsid w:val="00400D2F"/>
    <w:rsid w:val="0040106E"/>
    <w:rsid w:val="004017F4"/>
    <w:rsid w:val="00401A24"/>
    <w:rsid w:val="00402061"/>
    <w:rsid w:val="00402D61"/>
    <w:rsid w:val="0040382E"/>
    <w:rsid w:val="00403DF4"/>
    <w:rsid w:val="0040414A"/>
    <w:rsid w:val="0040462D"/>
    <w:rsid w:val="00404A96"/>
    <w:rsid w:val="00405190"/>
    <w:rsid w:val="004057B3"/>
    <w:rsid w:val="004068BD"/>
    <w:rsid w:val="0040741A"/>
    <w:rsid w:val="00407881"/>
    <w:rsid w:val="00410170"/>
    <w:rsid w:val="004101B4"/>
    <w:rsid w:val="00410AF2"/>
    <w:rsid w:val="00410C7F"/>
    <w:rsid w:val="00411C7C"/>
    <w:rsid w:val="004121D7"/>
    <w:rsid w:val="004129E4"/>
    <w:rsid w:val="00413712"/>
    <w:rsid w:val="0041415C"/>
    <w:rsid w:val="00414D5A"/>
    <w:rsid w:val="00415D2F"/>
    <w:rsid w:val="00416B7B"/>
    <w:rsid w:val="00417009"/>
    <w:rsid w:val="00417DE4"/>
    <w:rsid w:val="00420559"/>
    <w:rsid w:val="00420B4C"/>
    <w:rsid w:val="00421354"/>
    <w:rsid w:val="004217D6"/>
    <w:rsid w:val="00421AA1"/>
    <w:rsid w:val="00421E32"/>
    <w:rsid w:val="00421EC3"/>
    <w:rsid w:val="00421F06"/>
    <w:rsid w:val="00422444"/>
    <w:rsid w:val="004224A1"/>
    <w:rsid w:val="004224BB"/>
    <w:rsid w:val="00423184"/>
    <w:rsid w:val="00423192"/>
    <w:rsid w:val="00423196"/>
    <w:rsid w:val="00424056"/>
    <w:rsid w:val="00424853"/>
    <w:rsid w:val="0042542D"/>
    <w:rsid w:val="004275A1"/>
    <w:rsid w:val="00427B2F"/>
    <w:rsid w:val="00430CE1"/>
    <w:rsid w:val="00431250"/>
    <w:rsid w:val="004315C3"/>
    <w:rsid w:val="0043180D"/>
    <w:rsid w:val="00431F01"/>
    <w:rsid w:val="00432BBC"/>
    <w:rsid w:val="00432CB8"/>
    <w:rsid w:val="004339EE"/>
    <w:rsid w:val="004340A7"/>
    <w:rsid w:val="00434B67"/>
    <w:rsid w:val="00435266"/>
    <w:rsid w:val="00435FDB"/>
    <w:rsid w:val="00436810"/>
    <w:rsid w:val="00436828"/>
    <w:rsid w:val="00436884"/>
    <w:rsid w:val="00436BAD"/>
    <w:rsid w:val="00436C17"/>
    <w:rsid w:val="00437279"/>
    <w:rsid w:val="004373A6"/>
    <w:rsid w:val="00437C2E"/>
    <w:rsid w:val="00437E37"/>
    <w:rsid w:val="004409F3"/>
    <w:rsid w:val="004421F1"/>
    <w:rsid w:val="004422EB"/>
    <w:rsid w:val="00444B1C"/>
    <w:rsid w:val="00444EEF"/>
    <w:rsid w:val="0044524F"/>
    <w:rsid w:val="004456E5"/>
    <w:rsid w:val="004459EA"/>
    <w:rsid w:val="0044649D"/>
    <w:rsid w:val="004464B8"/>
    <w:rsid w:val="00446B3F"/>
    <w:rsid w:val="00446E25"/>
    <w:rsid w:val="00446E85"/>
    <w:rsid w:val="00447240"/>
    <w:rsid w:val="00450269"/>
    <w:rsid w:val="00450593"/>
    <w:rsid w:val="00450A11"/>
    <w:rsid w:val="00451B7F"/>
    <w:rsid w:val="00453EA4"/>
    <w:rsid w:val="0045418E"/>
    <w:rsid w:val="0045440D"/>
    <w:rsid w:val="00454565"/>
    <w:rsid w:val="0045507E"/>
    <w:rsid w:val="004564B0"/>
    <w:rsid w:val="004565C6"/>
    <w:rsid w:val="00456F4B"/>
    <w:rsid w:val="0045712C"/>
    <w:rsid w:val="0046085E"/>
    <w:rsid w:val="00460A81"/>
    <w:rsid w:val="00460D27"/>
    <w:rsid w:val="00461BD5"/>
    <w:rsid w:val="004623C9"/>
    <w:rsid w:val="00463610"/>
    <w:rsid w:val="00464434"/>
    <w:rsid w:val="0046580F"/>
    <w:rsid w:val="00465E8A"/>
    <w:rsid w:val="004661B7"/>
    <w:rsid w:val="00466FA6"/>
    <w:rsid w:val="0046724F"/>
    <w:rsid w:val="00467441"/>
    <w:rsid w:val="00467CCA"/>
    <w:rsid w:val="004700A4"/>
    <w:rsid w:val="0047061E"/>
    <w:rsid w:val="004706B7"/>
    <w:rsid w:val="0047091C"/>
    <w:rsid w:val="00470B03"/>
    <w:rsid w:val="00470F31"/>
    <w:rsid w:val="0047119E"/>
    <w:rsid w:val="004729F3"/>
    <w:rsid w:val="00473DB0"/>
    <w:rsid w:val="00474034"/>
    <w:rsid w:val="004747E2"/>
    <w:rsid w:val="00474A40"/>
    <w:rsid w:val="004751D8"/>
    <w:rsid w:val="00475686"/>
    <w:rsid w:val="00476335"/>
    <w:rsid w:val="00476390"/>
    <w:rsid w:val="00477018"/>
    <w:rsid w:val="004777CD"/>
    <w:rsid w:val="00477C25"/>
    <w:rsid w:val="00477C26"/>
    <w:rsid w:val="00477E39"/>
    <w:rsid w:val="00482696"/>
    <w:rsid w:val="00483030"/>
    <w:rsid w:val="0048346A"/>
    <w:rsid w:val="00483CFA"/>
    <w:rsid w:val="00483D58"/>
    <w:rsid w:val="00484059"/>
    <w:rsid w:val="004840A7"/>
    <w:rsid w:val="0048499B"/>
    <w:rsid w:val="00484B5E"/>
    <w:rsid w:val="004851F6"/>
    <w:rsid w:val="00485E56"/>
    <w:rsid w:val="004872FC"/>
    <w:rsid w:val="00487532"/>
    <w:rsid w:val="00487639"/>
    <w:rsid w:val="0048775F"/>
    <w:rsid w:val="00487818"/>
    <w:rsid w:val="00487E98"/>
    <w:rsid w:val="00490B68"/>
    <w:rsid w:val="00490FB8"/>
    <w:rsid w:val="0049162B"/>
    <w:rsid w:val="0049240A"/>
    <w:rsid w:val="00492693"/>
    <w:rsid w:val="00492FFD"/>
    <w:rsid w:val="00494C12"/>
    <w:rsid w:val="00495051"/>
    <w:rsid w:val="00495091"/>
    <w:rsid w:val="004971CF"/>
    <w:rsid w:val="0049742F"/>
    <w:rsid w:val="0049747C"/>
    <w:rsid w:val="00497749"/>
    <w:rsid w:val="004A0B97"/>
    <w:rsid w:val="004A11EC"/>
    <w:rsid w:val="004A12AF"/>
    <w:rsid w:val="004A16C8"/>
    <w:rsid w:val="004A1A10"/>
    <w:rsid w:val="004A1DAA"/>
    <w:rsid w:val="004A205F"/>
    <w:rsid w:val="004A30F9"/>
    <w:rsid w:val="004A34BB"/>
    <w:rsid w:val="004A5B39"/>
    <w:rsid w:val="004A5D18"/>
    <w:rsid w:val="004A67F4"/>
    <w:rsid w:val="004A6C28"/>
    <w:rsid w:val="004B0013"/>
    <w:rsid w:val="004B0287"/>
    <w:rsid w:val="004B030D"/>
    <w:rsid w:val="004B181F"/>
    <w:rsid w:val="004B1888"/>
    <w:rsid w:val="004B2505"/>
    <w:rsid w:val="004B4376"/>
    <w:rsid w:val="004B440D"/>
    <w:rsid w:val="004B48B2"/>
    <w:rsid w:val="004B4AA9"/>
    <w:rsid w:val="004B5799"/>
    <w:rsid w:val="004B57F9"/>
    <w:rsid w:val="004B5AB8"/>
    <w:rsid w:val="004B5B6F"/>
    <w:rsid w:val="004B5C1B"/>
    <w:rsid w:val="004B771D"/>
    <w:rsid w:val="004B7746"/>
    <w:rsid w:val="004B79A9"/>
    <w:rsid w:val="004B7A73"/>
    <w:rsid w:val="004C1458"/>
    <w:rsid w:val="004C17EB"/>
    <w:rsid w:val="004C21B4"/>
    <w:rsid w:val="004C223E"/>
    <w:rsid w:val="004C3119"/>
    <w:rsid w:val="004C48BD"/>
    <w:rsid w:val="004C4A0F"/>
    <w:rsid w:val="004C4EDC"/>
    <w:rsid w:val="004C5D79"/>
    <w:rsid w:val="004C69D3"/>
    <w:rsid w:val="004D04C6"/>
    <w:rsid w:val="004D2243"/>
    <w:rsid w:val="004D2D90"/>
    <w:rsid w:val="004D5EE3"/>
    <w:rsid w:val="004D6272"/>
    <w:rsid w:val="004D77CD"/>
    <w:rsid w:val="004D7E40"/>
    <w:rsid w:val="004E02B1"/>
    <w:rsid w:val="004E0A3F"/>
    <w:rsid w:val="004E0B1E"/>
    <w:rsid w:val="004E0E5F"/>
    <w:rsid w:val="004E1B67"/>
    <w:rsid w:val="004E28E6"/>
    <w:rsid w:val="004E2EAB"/>
    <w:rsid w:val="004E32FD"/>
    <w:rsid w:val="004E38D5"/>
    <w:rsid w:val="004E42FF"/>
    <w:rsid w:val="004E4869"/>
    <w:rsid w:val="004E4A64"/>
    <w:rsid w:val="004E5228"/>
    <w:rsid w:val="004E5686"/>
    <w:rsid w:val="004E6693"/>
    <w:rsid w:val="004E7804"/>
    <w:rsid w:val="004E7BA7"/>
    <w:rsid w:val="004E7FB6"/>
    <w:rsid w:val="004F0419"/>
    <w:rsid w:val="004F0822"/>
    <w:rsid w:val="004F11D1"/>
    <w:rsid w:val="004F1A66"/>
    <w:rsid w:val="004F2DEF"/>
    <w:rsid w:val="004F2FEF"/>
    <w:rsid w:val="004F33A6"/>
    <w:rsid w:val="004F50A7"/>
    <w:rsid w:val="004F5BA1"/>
    <w:rsid w:val="004F5BE9"/>
    <w:rsid w:val="004F5D2F"/>
    <w:rsid w:val="004F60E1"/>
    <w:rsid w:val="004F69C7"/>
    <w:rsid w:val="004F6ABD"/>
    <w:rsid w:val="005007B6"/>
    <w:rsid w:val="005014C9"/>
    <w:rsid w:val="005029B0"/>
    <w:rsid w:val="00502AA1"/>
    <w:rsid w:val="00502B07"/>
    <w:rsid w:val="00502FBE"/>
    <w:rsid w:val="0050360E"/>
    <w:rsid w:val="00503DCC"/>
    <w:rsid w:val="00503F47"/>
    <w:rsid w:val="00504B9E"/>
    <w:rsid w:val="00505883"/>
    <w:rsid w:val="00506D9C"/>
    <w:rsid w:val="0050750F"/>
    <w:rsid w:val="005076F5"/>
    <w:rsid w:val="005077F4"/>
    <w:rsid w:val="00510024"/>
    <w:rsid w:val="0051016F"/>
    <w:rsid w:val="005102C4"/>
    <w:rsid w:val="00510D3B"/>
    <w:rsid w:val="0051103E"/>
    <w:rsid w:val="00511E35"/>
    <w:rsid w:val="00511EEE"/>
    <w:rsid w:val="005123DC"/>
    <w:rsid w:val="00512D4D"/>
    <w:rsid w:val="00513FF1"/>
    <w:rsid w:val="005148D6"/>
    <w:rsid w:val="00514EF9"/>
    <w:rsid w:val="00515859"/>
    <w:rsid w:val="00515DC2"/>
    <w:rsid w:val="00516FD5"/>
    <w:rsid w:val="005176FE"/>
    <w:rsid w:val="00520C4C"/>
    <w:rsid w:val="00522D7A"/>
    <w:rsid w:val="00523198"/>
    <w:rsid w:val="005236A2"/>
    <w:rsid w:val="0052410A"/>
    <w:rsid w:val="00524AB3"/>
    <w:rsid w:val="00524B86"/>
    <w:rsid w:val="00524C65"/>
    <w:rsid w:val="00525172"/>
    <w:rsid w:val="0052583F"/>
    <w:rsid w:val="00525AE7"/>
    <w:rsid w:val="00526676"/>
    <w:rsid w:val="005266FF"/>
    <w:rsid w:val="0052690D"/>
    <w:rsid w:val="005272F7"/>
    <w:rsid w:val="00531E4F"/>
    <w:rsid w:val="00532FDA"/>
    <w:rsid w:val="00533787"/>
    <w:rsid w:val="00533D55"/>
    <w:rsid w:val="005342DD"/>
    <w:rsid w:val="0053472C"/>
    <w:rsid w:val="005349C8"/>
    <w:rsid w:val="00534AB6"/>
    <w:rsid w:val="005351CF"/>
    <w:rsid w:val="00535592"/>
    <w:rsid w:val="00536DCB"/>
    <w:rsid w:val="0053716D"/>
    <w:rsid w:val="00537279"/>
    <w:rsid w:val="00537FD4"/>
    <w:rsid w:val="0054035D"/>
    <w:rsid w:val="00541557"/>
    <w:rsid w:val="00542B93"/>
    <w:rsid w:val="00542D6D"/>
    <w:rsid w:val="00542FAF"/>
    <w:rsid w:val="005430EF"/>
    <w:rsid w:val="00543266"/>
    <w:rsid w:val="00543860"/>
    <w:rsid w:val="00543DB6"/>
    <w:rsid w:val="0054448B"/>
    <w:rsid w:val="005453A5"/>
    <w:rsid w:val="005453B7"/>
    <w:rsid w:val="00545902"/>
    <w:rsid w:val="00546439"/>
    <w:rsid w:val="00547375"/>
    <w:rsid w:val="00547709"/>
    <w:rsid w:val="00547CA4"/>
    <w:rsid w:val="00550372"/>
    <w:rsid w:val="00550BAC"/>
    <w:rsid w:val="00550F7C"/>
    <w:rsid w:val="0055174E"/>
    <w:rsid w:val="00551DF2"/>
    <w:rsid w:val="0055279C"/>
    <w:rsid w:val="005537AB"/>
    <w:rsid w:val="0055496F"/>
    <w:rsid w:val="00554971"/>
    <w:rsid w:val="00554ACC"/>
    <w:rsid w:val="00554ED8"/>
    <w:rsid w:val="00555302"/>
    <w:rsid w:val="00555A8F"/>
    <w:rsid w:val="00555ABD"/>
    <w:rsid w:val="00556E63"/>
    <w:rsid w:val="005571F6"/>
    <w:rsid w:val="005606FA"/>
    <w:rsid w:val="005618C2"/>
    <w:rsid w:val="0056215D"/>
    <w:rsid w:val="00563531"/>
    <w:rsid w:val="00563838"/>
    <w:rsid w:val="005639B5"/>
    <w:rsid w:val="00563DAA"/>
    <w:rsid w:val="00564955"/>
    <w:rsid w:val="00564F51"/>
    <w:rsid w:val="00566150"/>
    <w:rsid w:val="005664FA"/>
    <w:rsid w:val="00566979"/>
    <w:rsid w:val="00566EB9"/>
    <w:rsid w:val="0057058B"/>
    <w:rsid w:val="00570633"/>
    <w:rsid w:val="00570757"/>
    <w:rsid w:val="00571226"/>
    <w:rsid w:val="0057125C"/>
    <w:rsid w:val="00571E2F"/>
    <w:rsid w:val="00572416"/>
    <w:rsid w:val="005725B0"/>
    <w:rsid w:val="0057285B"/>
    <w:rsid w:val="00572C7A"/>
    <w:rsid w:val="00572D93"/>
    <w:rsid w:val="00574666"/>
    <w:rsid w:val="005746FE"/>
    <w:rsid w:val="00574713"/>
    <w:rsid w:val="00575865"/>
    <w:rsid w:val="00575F78"/>
    <w:rsid w:val="0057616C"/>
    <w:rsid w:val="00576249"/>
    <w:rsid w:val="005775F7"/>
    <w:rsid w:val="0058063C"/>
    <w:rsid w:val="0058064C"/>
    <w:rsid w:val="005808C0"/>
    <w:rsid w:val="00580ADE"/>
    <w:rsid w:val="00580F7C"/>
    <w:rsid w:val="00581982"/>
    <w:rsid w:val="00582754"/>
    <w:rsid w:val="00583B2A"/>
    <w:rsid w:val="005846B3"/>
    <w:rsid w:val="00585B5D"/>
    <w:rsid w:val="00585BF7"/>
    <w:rsid w:val="00585C87"/>
    <w:rsid w:val="00585F77"/>
    <w:rsid w:val="00586057"/>
    <w:rsid w:val="005865E6"/>
    <w:rsid w:val="00586EE1"/>
    <w:rsid w:val="00587751"/>
    <w:rsid w:val="00587A60"/>
    <w:rsid w:val="00587EF6"/>
    <w:rsid w:val="005901EE"/>
    <w:rsid w:val="00590382"/>
    <w:rsid w:val="00590C50"/>
    <w:rsid w:val="00590F87"/>
    <w:rsid w:val="005917D6"/>
    <w:rsid w:val="005920BC"/>
    <w:rsid w:val="005920CF"/>
    <w:rsid w:val="00592361"/>
    <w:rsid w:val="00592399"/>
    <w:rsid w:val="00592578"/>
    <w:rsid w:val="005930B3"/>
    <w:rsid w:val="0059540B"/>
    <w:rsid w:val="00595B13"/>
    <w:rsid w:val="00595BAC"/>
    <w:rsid w:val="00595F5F"/>
    <w:rsid w:val="0059635E"/>
    <w:rsid w:val="00596959"/>
    <w:rsid w:val="00597E46"/>
    <w:rsid w:val="00597F09"/>
    <w:rsid w:val="00597FB3"/>
    <w:rsid w:val="005A0213"/>
    <w:rsid w:val="005A042A"/>
    <w:rsid w:val="005A1EE1"/>
    <w:rsid w:val="005A22C0"/>
    <w:rsid w:val="005A2CA7"/>
    <w:rsid w:val="005A33BE"/>
    <w:rsid w:val="005A3B9C"/>
    <w:rsid w:val="005A3F15"/>
    <w:rsid w:val="005A4C4C"/>
    <w:rsid w:val="005A6334"/>
    <w:rsid w:val="005B1BC5"/>
    <w:rsid w:val="005B23C4"/>
    <w:rsid w:val="005B2723"/>
    <w:rsid w:val="005B2D6D"/>
    <w:rsid w:val="005B2E45"/>
    <w:rsid w:val="005B3021"/>
    <w:rsid w:val="005B3175"/>
    <w:rsid w:val="005B3DB9"/>
    <w:rsid w:val="005B4592"/>
    <w:rsid w:val="005B4E4F"/>
    <w:rsid w:val="005B5F24"/>
    <w:rsid w:val="005B6A4B"/>
    <w:rsid w:val="005B6FDA"/>
    <w:rsid w:val="005B78DE"/>
    <w:rsid w:val="005B7ACA"/>
    <w:rsid w:val="005C00A7"/>
    <w:rsid w:val="005C0125"/>
    <w:rsid w:val="005C0476"/>
    <w:rsid w:val="005C05DE"/>
    <w:rsid w:val="005C0E94"/>
    <w:rsid w:val="005C0F9F"/>
    <w:rsid w:val="005C2021"/>
    <w:rsid w:val="005C336C"/>
    <w:rsid w:val="005C3645"/>
    <w:rsid w:val="005C3F57"/>
    <w:rsid w:val="005C3FA5"/>
    <w:rsid w:val="005C400E"/>
    <w:rsid w:val="005C42AE"/>
    <w:rsid w:val="005C4494"/>
    <w:rsid w:val="005C557E"/>
    <w:rsid w:val="005C56D9"/>
    <w:rsid w:val="005C5B0F"/>
    <w:rsid w:val="005C5DD7"/>
    <w:rsid w:val="005C6FB6"/>
    <w:rsid w:val="005C7A29"/>
    <w:rsid w:val="005C7E9E"/>
    <w:rsid w:val="005D0A53"/>
    <w:rsid w:val="005D0E87"/>
    <w:rsid w:val="005D1478"/>
    <w:rsid w:val="005D17FA"/>
    <w:rsid w:val="005D184F"/>
    <w:rsid w:val="005D24FA"/>
    <w:rsid w:val="005D3EDD"/>
    <w:rsid w:val="005D40E4"/>
    <w:rsid w:val="005D4566"/>
    <w:rsid w:val="005D45CD"/>
    <w:rsid w:val="005D4EFD"/>
    <w:rsid w:val="005D521D"/>
    <w:rsid w:val="005D7095"/>
    <w:rsid w:val="005D7709"/>
    <w:rsid w:val="005D7DEA"/>
    <w:rsid w:val="005E1ECA"/>
    <w:rsid w:val="005E2372"/>
    <w:rsid w:val="005E25CF"/>
    <w:rsid w:val="005E275B"/>
    <w:rsid w:val="005E28CC"/>
    <w:rsid w:val="005E30FC"/>
    <w:rsid w:val="005E373A"/>
    <w:rsid w:val="005E383E"/>
    <w:rsid w:val="005E569D"/>
    <w:rsid w:val="005E58C3"/>
    <w:rsid w:val="005F0708"/>
    <w:rsid w:val="005F0FB9"/>
    <w:rsid w:val="005F13CE"/>
    <w:rsid w:val="005F1495"/>
    <w:rsid w:val="005F1705"/>
    <w:rsid w:val="005F22B7"/>
    <w:rsid w:val="005F2C35"/>
    <w:rsid w:val="005F3CF7"/>
    <w:rsid w:val="005F4E60"/>
    <w:rsid w:val="005F5972"/>
    <w:rsid w:val="005F5F88"/>
    <w:rsid w:val="005F6063"/>
    <w:rsid w:val="005F6A15"/>
    <w:rsid w:val="005F6B0C"/>
    <w:rsid w:val="005F7CC4"/>
    <w:rsid w:val="00600140"/>
    <w:rsid w:val="0060072C"/>
    <w:rsid w:val="0060153B"/>
    <w:rsid w:val="00601A84"/>
    <w:rsid w:val="0060214F"/>
    <w:rsid w:val="006028F5"/>
    <w:rsid w:val="00602D77"/>
    <w:rsid w:val="0060523A"/>
    <w:rsid w:val="00607337"/>
    <w:rsid w:val="0060734B"/>
    <w:rsid w:val="00607A6D"/>
    <w:rsid w:val="00607E60"/>
    <w:rsid w:val="0061051C"/>
    <w:rsid w:val="006109B9"/>
    <w:rsid w:val="0061127C"/>
    <w:rsid w:val="006114C6"/>
    <w:rsid w:val="006116B8"/>
    <w:rsid w:val="0061183A"/>
    <w:rsid w:val="00612370"/>
    <w:rsid w:val="00612FD2"/>
    <w:rsid w:val="00613748"/>
    <w:rsid w:val="00613F92"/>
    <w:rsid w:val="00614210"/>
    <w:rsid w:val="006145F0"/>
    <w:rsid w:val="0061506A"/>
    <w:rsid w:val="00615669"/>
    <w:rsid w:val="0061605C"/>
    <w:rsid w:val="006160E8"/>
    <w:rsid w:val="006170CA"/>
    <w:rsid w:val="006171A0"/>
    <w:rsid w:val="006171D4"/>
    <w:rsid w:val="006175BB"/>
    <w:rsid w:val="006176CA"/>
    <w:rsid w:val="00620B71"/>
    <w:rsid w:val="0062166A"/>
    <w:rsid w:val="006220B1"/>
    <w:rsid w:val="00624505"/>
    <w:rsid w:val="0062513A"/>
    <w:rsid w:val="006255D1"/>
    <w:rsid w:val="00625786"/>
    <w:rsid w:val="00625FEA"/>
    <w:rsid w:val="006275C9"/>
    <w:rsid w:val="00627F1B"/>
    <w:rsid w:val="00630393"/>
    <w:rsid w:val="006303D2"/>
    <w:rsid w:val="00631D34"/>
    <w:rsid w:val="00632FCD"/>
    <w:rsid w:val="00633623"/>
    <w:rsid w:val="00633B05"/>
    <w:rsid w:val="00633CC8"/>
    <w:rsid w:val="00633F95"/>
    <w:rsid w:val="0063408B"/>
    <w:rsid w:val="00634813"/>
    <w:rsid w:val="00636305"/>
    <w:rsid w:val="00636887"/>
    <w:rsid w:val="00636D89"/>
    <w:rsid w:val="00637084"/>
    <w:rsid w:val="006370E2"/>
    <w:rsid w:val="006372FF"/>
    <w:rsid w:val="00637D74"/>
    <w:rsid w:val="00637DB0"/>
    <w:rsid w:val="00637DE6"/>
    <w:rsid w:val="00637EDB"/>
    <w:rsid w:val="006408D9"/>
    <w:rsid w:val="00641036"/>
    <w:rsid w:val="00641E3C"/>
    <w:rsid w:val="00642355"/>
    <w:rsid w:val="00642505"/>
    <w:rsid w:val="0064291F"/>
    <w:rsid w:val="00643DC1"/>
    <w:rsid w:val="00644A85"/>
    <w:rsid w:val="00644D53"/>
    <w:rsid w:val="00644E52"/>
    <w:rsid w:val="006456AF"/>
    <w:rsid w:val="00645B9E"/>
    <w:rsid w:val="00645D89"/>
    <w:rsid w:val="00646693"/>
    <w:rsid w:val="00646747"/>
    <w:rsid w:val="00646B86"/>
    <w:rsid w:val="00646BFE"/>
    <w:rsid w:val="0064774D"/>
    <w:rsid w:val="006502DA"/>
    <w:rsid w:val="00650336"/>
    <w:rsid w:val="00650553"/>
    <w:rsid w:val="006506C2"/>
    <w:rsid w:val="006507DD"/>
    <w:rsid w:val="00650E64"/>
    <w:rsid w:val="00650E7F"/>
    <w:rsid w:val="00650F89"/>
    <w:rsid w:val="006510AB"/>
    <w:rsid w:val="0065121B"/>
    <w:rsid w:val="006512B3"/>
    <w:rsid w:val="006529AB"/>
    <w:rsid w:val="006538DF"/>
    <w:rsid w:val="006547A5"/>
    <w:rsid w:val="00654CEF"/>
    <w:rsid w:val="006554C5"/>
    <w:rsid w:val="006575D5"/>
    <w:rsid w:val="0066066C"/>
    <w:rsid w:val="0066147A"/>
    <w:rsid w:val="006614BC"/>
    <w:rsid w:val="00661931"/>
    <w:rsid w:val="00662C24"/>
    <w:rsid w:val="0066356C"/>
    <w:rsid w:val="00663D74"/>
    <w:rsid w:val="006667DF"/>
    <w:rsid w:val="00666C94"/>
    <w:rsid w:val="006670B8"/>
    <w:rsid w:val="0067014C"/>
    <w:rsid w:val="00670172"/>
    <w:rsid w:val="006706F0"/>
    <w:rsid w:val="00671AEE"/>
    <w:rsid w:val="00671F85"/>
    <w:rsid w:val="006728E6"/>
    <w:rsid w:val="006733C6"/>
    <w:rsid w:val="0067409A"/>
    <w:rsid w:val="00674723"/>
    <w:rsid w:val="006762D8"/>
    <w:rsid w:val="00676B49"/>
    <w:rsid w:val="00676F27"/>
    <w:rsid w:val="00677494"/>
    <w:rsid w:val="006778D9"/>
    <w:rsid w:val="006803BB"/>
    <w:rsid w:val="00682C4F"/>
    <w:rsid w:val="00683560"/>
    <w:rsid w:val="006839BC"/>
    <w:rsid w:val="00684054"/>
    <w:rsid w:val="00684E11"/>
    <w:rsid w:val="0068503B"/>
    <w:rsid w:val="00685D0F"/>
    <w:rsid w:val="00685DFC"/>
    <w:rsid w:val="00686781"/>
    <w:rsid w:val="00686F85"/>
    <w:rsid w:val="006904F3"/>
    <w:rsid w:val="006908FB"/>
    <w:rsid w:val="006910BA"/>
    <w:rsid w:val="006912AA"/>
    <w:rsid w:val="006914B3"/>
    <w:rsid w:val="006924DC"/>
    <w:rsid w:val="006925A7"/>
    <w:rsid w:val="006926AA"/>
    <w:rsid w:val="00692CA4"/>
    <w:rsid w:val="0069317F"/>
    <w:rsid w:val="00693CBD"/>
    <w:rsid w:val="00693D5E"/>
    <w:rsid w:val="006953EA"/>
    <w:rsid w:val="0069583C"/>
    <w:rsid w:val="00695B40"/>
    <w:rsid w:val="0069702F"/>
    <w:rsid w:val="006970EC"/>
    <w:rsid w:val="006971A2"/>
    <w:rsid w:val="006A07DD"/>
    <w:rsid w:val="006A1692"/>
    <w:rsid w:val="006A18AA"/>
    <w:rsid w:val="006A28E1"/>
    <w:rsid w:val="006A2BC1"/>
    <w:rsid w:val="006A32D7"/>
    <w:rsid w:val="006A35E0"/>
    <w:rsid w:val="006A3D3A"/>
    <w:rsid w:val="006A3D54"/>
    <w:rsid w:val="006A3E30"/>
    <w:rsid w:val="006A4178"/>
    <w:rsid w:val="006A44D4"/>
    <w:rsid w:val="006A4DC3"/>
    <w:rsid w:val="006A5168"/>
    <w:rsid w:val="006A5606"/>
    <w:rsid w:val="006A56AE"/>
    <w:rsid w:val="006A67E0"/>
    <w:rsid w:val="006A71A0"/>
    <w:rsid w:val="006A7FC0"/>
    <w:rsid w:val="006B0312"/>
    <w:rsid w:val="006B1900"/>
    <w:rsid w:val="006B1B93"/>
    <w:rsid w:val="006B263B"/>
    <w:rsid w:val="006B41B2"/>
    <w:rsid w:val="006B459D"/>
    <w:rsid w:val="006B46A9"/>
    <w:rsid w:val="006B4CDA"/>
    <w:rsid w:val="006B515B"/>
    <w:rsid w:val="006B538D"/>
    <w:rsid w:val="006B6D15"/>
    <w:rsid w:val="006B6F43"/>
    <w:rsid w:val="006B7659"/>
    <w:rsid w:val="006B76E7"/>
    <w:rsid w:val="006B7A5C"/>
    <w:rsid w:val="006B7BCD"/>
    <w:rsid w:val="006C06E6"/>
    <w:rsid w:val="006C0DEF"/>
    <w:rsid w:val="006C156F"/>
    <w:rsid w:val="006C18DC"/>
    <w:rsid w:val="006C1DBE"/>
    <w:rsid w:val="006C1F8B"/>
    <w:rsid w:val="006C20DE"/>
    <w:rsid w:val="006C2236"/>
    <w:rsid w:val="006C26DC"/>
    <w:rsid w:val="006C2B0E"/>
    <w:rsid w:val="006C3B47"/>
    <w:rsid w:val="006C45CC"/>
    <w:rsid w:val="006C54BD"/>
    <w:rsid w:val="006C54D7"/>
    <w:rsid w:val="006C5672"/>
    <w:rsid w:val="006C5AF6"/>
    <w:rsid w:val="006C5B6E"/>
    <w:rsid w:val="006C6583"/>
    <w:rsid w:val="006C66F5"/>
    <w:rsid w:val="006C6E34"/>
    <w:rsid w:val="006C781A"/>
    <w:rsid w:val="006C7DC6"/>
    <w:rsid w:val="006D0179"/>
    <w:rsid w:val="006D0C37"/>
    <w:rsid w:val="006D0F04"/>
    <w:rsid w:val="006D1BA4"/>
    <w:rsid w:val="006D2740"/>
    <w:rsid w:val="006D2F50"/>
    <w:rsid w:val="006D33DE"/>
    <w:rsid w:val="006D4669"/>
    <w:rsid w:val="006D6887"/>
    <w:rsid w:val="006D6C30"/>
    <w:rsid w:val="006D7675"/>
    <w:rsid w:val="006D7757"/>
    <w:rsid w:val="006D7832"/>
    <w:rsid w:val="006D7AB7"/>
    <w:rsid w:val="006D7B2F"/>
    <w:rsid w:val="006E0109"/>
    <w:rsid w:val="006E0608"/>
    <w:rsid w:val="006E074B"/>
    <w:rsid w:val="006E2311"/>
    <w:rsid w:val="006E2973"/>
    <w:rsid w:val="006E29E7"/>
    <w:rsid w:val="006E2AE9"/>
    <w:rsid w:val="006E2D9A"/>
    <w:rsid w:val="006E2EE2"/>
    <w:rsid w:val="006E2FA0"/>
    <w:rsid w:val="006E3DBD"/>
    <w:rsid w:val="006E41B4"/>
    <w:rsid w:val="006E431B"/>
    <w:rsid w:val="006E4348"/>
    <w:rsid w:val="006E5739"/>
    <w:rsid w:val="006E582B"/>
    <w:rsid w:val="006E6697"/>
    <w:rsid w:val="006E6EFB"/>
    <w:rsid w:val="006E73BE"/>
    <w:rsid w:val="006E7E77"/>
    <w:rsid w:val="006F0DE1"/>
    <w:rsid w:val="006F30EA"/>
    <w:rsid w:val="006F314D"/>
    <w:rsid w:val="006F3263"/>
    <w:rsid w:val="006F3875"/>
    <w:rsid w:val="006F3A1F"/>
    <w:rsid w:val="006F4461"/>
    <w:rsid w:val="006F4C46"/>
    <w:rsid w:val="006F507D"/>
    <w:rsid w:val="006F513D"/>
    <w:rsid w:val="006F573B"/>
    <w:rsid w:val="006F5829"/>
    <w:rsid w:val="006F5F14"/>
    <w:rsid w:val="006F60D6"/>
    <w:rsid w:val="006F6446"/>
    <w:rsid w:val="006F64F7"/>
    <w:rsid w:val="006F65C7"/>
    <w:rsid w:val="006F7853"/>
    <w:rsid w:val="00700366"/>
    <w:rsid w:val="00700665"/>
    <w:rsid w:val="00700C91"/>
    <w:rsid w:val="007015C8"/>
    <w:rsid w:val="00701A49"/>
    <w:rsid w:val="00702189"/>
    <w:rsid w:val="00702474"/>
    <w:rsid w:val="00702CA4"/>
    <w:rsid w:val="00703F6D"/>
    <w:rsid w:val="00704AD2"/>
    <w:rsid w:val="00705704"/>
    <w:rsid w:val="00705980"/>
    <w:rsid w:val="00706606"/>
    <w:rsid w:val="007066F9"/>
    <w:rsid w:val="00706A50"/>
    <w:rsid w:val="00707668"/>
    <w:rsid w:val="00707AF1"/>
    <w:rsid w:val="0071097E"/>
    <w:rsid w:val="00710A86"/>
    <w:rsid w:val="00710C9C"/>
    <w:rsid w:val="0071281E"/>
    <w:rsid w:val="00712FE2"/>
    <w:rsid w:val="007136F6"/>
    <w:rsid w:val="007152CC"/>
    <w:rsid w:val="00715E8C"/>
    <w:rsid w:val="00716541"/>
    <w:rsid w:val="00720950"/>
    <w:rsid w:val="00720ABE"/>
    <w:rsid w:val="00721086"/>
    <w:rsid w:val="0072142F"/>
    <w:rsid w:val="0072214D"/>
    <w:rsid w:val="0072266B"/>
    <w:rsid w:val="00722837"/>
    <w:rsid w:val="00722C51"/>
    <w:rsid w:val="00722E3F"/>
    <w:rsid w:val="00723024"/>
    <w:rsid w:val="0072305C"/>
    <w:rsid w:val="007237FB"/>
    <w:rsid w:val="00723AA5"/>
    <w:rsid w:val="00723E72"/>
    <w:rsid w:val="007242BE"/>
    <w:rsid w:val="007248F6"/>
    <w:rsid w:val="00724C79"/>
    <w:rsid w:val="00724E4E"/>
    <w:rsid w:val="00725676"/>
    <w:rsid w:val="0072658A"/>
    <w:rsid w:val="007267F3"/>
    <w:rsid w:val="007306C5"/>
    <w:rsid w:val="00730A10"/>
    <w:rsid w:val="00730A1F"/>
    <w:rsid w:val="00731417"/>
    <w:rsid w:val="00731C4E"/>
    <w:rsid w:val="007320C6"/>
    <w:rsid w:val="0073246A"/>
    <w:rsid w:val="007328EE"/>
    <w:rsid w:val="00732D11"/>
    <w:rsid w:val="0073311B"/>
    <w:rsid w:val="0073430A"/>
    <w:rsid w:val="007345CD"/>
    <w:rsid w:val="00734964"/>
    <w:rsid w:val="00734BA6"/>
    <w:rsid w:val="00734CB5"/>
    <w:rsid w:val="00735592"/>
    <w:rsid w:val="007359DE"/>
    <w:rsid w:val="00735C2D"/>
    <w:rsid w:val="007369B0"/>
    <w:rsid w:val="00737B00"/>
    <w:rsid w:val="007411DA"/>
    <w:rsid w:val="00741376"/>
    <w:rsid w:val="00741E4F"/>
    <w:rsid w:val="00743692"/>
    <w:rsid w:val="00743EAA"/>
    <w:rsid w:val="007441F8"/>
    <w:rsid w:val="00744A6E"/>
    <w:rsid w:val="00745576"/>
    <w:rsid w:val="00745BEA"/>
    <w:rsid w:val="00745F97"/>
    <w:rsid w:val="007461FE"/>
    <w:rsid w:val="0074656E"/>
    <w:rsid w:val="00747D14"/>
    <w:rsid w:val="00750190"/>
    <w:rsid w:val="00750BC8"/>
    <w:rsid w:val="00751BF4"/>
    <w:rsid w:val="00752730"/>
    <w:rsid w:val="00752A98"/>
    <w:rsid w:val="00753145"/>
    <w:rsid w:val="00753158"/>
    <w:rsid w:val="00753230"/>
    <w:rsid w:val="007536DB"/>
    <w:rsid w:val="007537D4"/>
    <w:rsid w:val="00753F7E"/>
    <w:rsid w:val="0075421D"/>
    <w:rsid w:val="007573BD"/>
    <w:rsid w:val="007573EC"/>
    <w:rsid w:val="0075754D"/>
    <w:rsid w:val="00760178"/>
    <w:rsid w:val="00761FE6"/>
    <w:rsid w:val="00762916"/>
    <w:rsid w:val="00762DFA"/>
    <w:rsid w:val="00764136"/>
    <w:rsid w:val="007644FB"/>
    <w:rsid w:val="0076471D"/>
    <w:rsid w:val="00765491"/>
    <w:rsid w:val="007658E7"/>
    <w:rsid w:val="007666BC"/>
    <w:rsid w:val="00766CB8"/>
    <w:rsid w:val="00766FFC"/>
    <w:rsid w:val="00770058"/>
    <w:rsid w:val="007703D5"/>
    <w:rsid w:val="0077123B"/>
    <w:rsid w:val="00771FEF"/>
    <w:rsid w:val="00772EA5"/>
    <w:rsid w:val="007730AE"/>
    <w:rsid w:val="007738E0"/>
    <w:rsid w:val="00773B09"/>
    <w:rsid w:val="00773D9F"/>
    <w:rsid w:val="00776BBE"/>
    <w:rsid w:val="00777D93"/>
    <w:rsid w:val="00777FCD"/>
    <w:rsid w:val="0078108B"/>
    <w:rsid w:val="00785D11"/>
    <w:rsid w:val="0078614B"/>
    <w:rsid w:val="00786835"/>
    <w:rsid w:val="0078689C"/>
    <w:rsid w:val="00786D02"/>
    <w:rsid w:val="0078789E"/>
    <w:rsid w:val="007878B3"/>
    <w:rsid w:val="0079025F"/>
    <w:rsid w:val="007902F8"/>
    <w:rsid w:val="00790CE7"/>
    <w:rsid w:val="0079173B"/>
    <w:rsid w:val="00791A1A"/>
    <w:rsid w:val="00791C50"/>
    <w:rsid w:val="00791DB3"/>
    <w:rsid w:val="00794C64"/>
    <w:rsid w:val="00795075"/>
    <w:rsid w:val="00795307"/>
    <w:rsid w:val="00795E5C"/>
    <w:rsid w:val="00796B8C"/>
    <w:rsid w:val="00797EB2"/>
    <w:rsid w:val="007A1161"/>
    <w:rsid w:val="007A279E"/>
    <w:rsid w:val="007A37CE"/>
    <w:rsid w:val="007A4018"/>
    <w:rsid w:val="007A419A"/>
    <w:rsid w:val="007A4638"/>
    <w:rsid w:val="007A4662"/>
    <w:rsid w:val="007A4C07"/>
    <w:rsid w:val="007A5000"/>
    <w:rsid w:val="007A53F5"/>
    <w:rsid w:val="007A5547"/>
    <w:rsid w:val="007A59B6"/>
    <w:rsid w:val="007A5A1F"/>
    <w:rsid w:val="007A5F87"/>
    <w:rsid w:val="007A6AB0"/>
    <w:rsid w:val="007A6D3C"/>
    <w:rsid w:val="007A7F54"/>
    <w:rsid w:val="007B01B4"/>
    <w:rsid w:val="007B05B0"/>
    <w:rsid w:val="007B0F23"/>
    <w:rsid w:val="007B2D8A"/>
    <w:rsid w:val="007B3178"/>
    <w:rsid w:val="007B33D9"/>
    <w:rsid w:val="007B42A3"/>
    <w:rsid w:val="007B44FA"/>
    <w:rsid w:val="007B4F55"/>
    <w:rsid w:val="007B5023"/>
    <w:rsid w:val="007B5096"/>
    <w:rsid w:val="007B5277"/>
    <w:rsid w:val="007B5DDA"/>
    <w:rsid w:val="007B5F26"/>
    <w:rsid w:val="007B6AE7"/>
    <w:rsid w:val="007B73FA"/>
    <w:rsid w:val="007B7EBC"/>
    <w:rsid w:val="007C0D3A"/>
    <w:rsid w:val="007C2AD4"/>
    <w:rsid w:val="007C2D04"/>
    <w:rsid w:val="007C2EEB"/>
    <w:rsid w:val="007C322D"/>
    <w:rsid w:val="007C34BF"/>
    <w:rsid w:val="007C3589"/>
    <w:rsid w:val="007C4FE3"/>
    <w:rsid w:val="007C50E4"/>
    <w:rsid w:val="007C6304"/>
    <w:rsid w:val="007C72DD"/>
    <w:rsid w:val="007D0450"/>
    <w:rsid w:val="007D0B6E"/>
    <w:rsid w:val="007D0BD6"/>
    <w:rsid w:val="007D3036"/>
    <w:rsid w:val="007D3669"/>
    <w:rsid w:val="007D3AF2"/>
    <w:rsid w:val="007D3E2D"/>
    <w:rsid w:val="007D4185"/>
    <w:rsid w:val="007D4DF4"/>
    <w:rsid w:val="007D5833"/>
    <w:rsid w:val="007D6471"/>
    <w:rsid w:val="007D6D25"/>
    <w:rsid w:val="007D745A"/>
    <w:rsid w:val="007D7BC5"/>
    <w:rsid w:val="007E078A"/>
    <w:rsid w:val="007E0808"/>
    <w:rsid w:val="007E0828"/>
    <w:rsid w:val="007E0A80"/>
    <w:rsid w:val="007E1020"/>
    <w:rsid w:val="007E1634"/>
    <w:rsid w:val="007E1E8C"/>
    <w:rsid w:val="007E30F8"/>
    <w:rsid w:val="007E3339"/>
    <w:rsid w:val="007E376E"/>
    <w:rsid w:val="007E388A"/>
    <w:rsid w:val="007E4AA8"/>
    <w:rsid w:val="007E4DC4"/>
    <w:rsid w:val="007E50C3"/>
    <w:rsid w:val="007E51C6"/>
    <w:rsid w:val="007E55FF"/>
    <w:rsid w:val="007E5746"/>
    <w:rsid w:val="007E6FEB"/>
    <w:rsid w:val="007E7A58"/>
    <w:rsid w:val="007F066D"/>
    <w:rsid w:val="007F092B"/>
    <w:rsid w:val="007F0EA2"/>
    <w:rsid w:val="007F1518"/>
    <w:rsid w:val="007F194A"/>
    <w:rsid w:val="007F19BE"/>
    <w:rsid w:val="007F1B21"/>
    <w:rsid w:val="007F1E34"/>
    <w:rsid w:val="007F24E1"/>
    <w:rsid w:val="007F24FB"/>
    <w:rsid w:val="007F251C"/>
    <w:rsid w:val="007F2740"/>
    <w:rsid w:val="007F40EE"/>
    <w:rsid w:val="007F49B1"/>
    <w:rsid w:val="007F49DD"/>
    <w:rsid w:val="007F5C7E"/>
    <w:rsid w:val="007F5D1F"/>
    <w:rsid w:val="007F5E03"/>
    <w:rsid w:val="007F6B9F"/>
    <w:rsid w:val="007F70A0"/>
    <w:rsid w:val="007F71E3"/>
    <w:rsid w:val="007F7F2B"/>
    <w:rsid w:val="00800655"/>
    <w:rsid w:val="00800AD4"/>
    <w:rsid w:val="00800E2F"/>
    <w:rsid w:val="008012BA"/>
    <w:rsid w:val="00801771"/>
    <w:rsid w:val="00801B05"/>
    <w:rsid w:val="0080214A"/>
    <w:rsid w:val="008023AC"/>
    <w:rsid w:val="008039A6"/>
    <w:rsid w:val="008044E8"/>
    <w:rsid w:val="00805D89"/>
    <w:rsid w:val="00806344"/>
    <w:rsid w:val="008065BB"/>
    <w:rsid w:val="00806820"/>
    <w:rsid w:val="00806EFE"/>
    <w:rsid w:val="00807227"/>
    <w:rsid w:val="00807395"/>
    <w:rsid w:val="008074EF"/>
    <w:rsid w:val="0080765F"/>
    <w:rsid w:val="008105C9"/>
    <w:rsid w:val="008108B5"/>
    <w:rsid w:val="008109FD"/>
    <w:rsid w:val="008119CD"/>
    <w:rsid w:val="00811F1C"/>
    <w:rsid w:val="00812BA1"/>
    <w:rsid w:val="00812C01"/>
    <w:rsid w:val="00812C0B"/>
    <w:rsid w:val="00812E6D"/>
    <w:rsid w:val="008136BD"/>
    <w:rsid w:val="00814497"/>
    <w:rsid w:val="00814F81"/>
    <w:rsid w:val="00814FB5"/>
    <w:rsid w:val="008156FB"/>
    <w:rsid w:val="008157D9"/>
    <w:rsid w:val="00815A80"/>
    <w:rsid w:val="008163BB"/>
    <w:rsid w:val="008172EB"/>
    <w:rsid w:val="008179D6"/>
    <w:rsid w:val="00817FB1"/>
    <w:rsid w:val="0082060B"/>
    <w:rsid w:val="00820637"/>
    <w:rsid w:val="008208D1"/>
    <w:rsid w:val="00820CEB"/>
    <w:rsid w:val="008216ED"/>
    <w:rsid w:val="00821936"/>
    <w:rsid w:val="00821DDA"/>
    <w:rsid w:val="00822506"/>
    <w:rsid w:val="0082301C"/>
    <w:rsid w:val="0082335E"/>
    <w:rsid w:val="0082366B"/>
    <w:rsid w:val="008236CF"/>
    <w:rsid w:val="00823FE3"/>
    <w:rsid w:val="00824ECD"/>
    <w:rsid w:val="008258DC"/>
    <w:rsid w:val="00825CEC"/>
    <w:rsid w:val="008260F8"/>
    <w:rsid w:val="008261DC"/>
    <w:rsid w:val="008268DC"/>
    <w:rsid w:val="00826EA4"/>
    <w:rsid w:val="0083099B"/>
    <w:rsid w:val="008309F5"/>
    <w:rsid w:val="00831125"/>
    <w:rsid w:val="008315FE"/>
    <w:rsid w:val="008326A2"/>
    <w:rsid w:val="008343C2"/>
    <w:rsid w:val="0083513B"/>
    <w:rsid w:val="008352AA"/>
    <w:rsid w:val="0083546D"/>
    <w:rsid w:val="00835963"/>
    <w:rsid w:val="00835984"/>
    <w:rsid w:val="00835A68"/>
    <w:rsid w:val="00836245"/>
    <w:rsid w:val="00836DF1"/>
    <w:rsid w:val="008371F8"/>
    <w:rsid w:val="0084029F"/>
    <w:rsid w:val="008402C2"/>
    <w:rsid w:val="008418BC"/>
    <w:rsid w:val="00841C59"/>
    <w:rsid w:val="00841F17"/>
    <w:rsid w:val="0084223B"/>
    <w:rsid w:val="00842668"/>
    <w:rsid w:val="00842AFF"/>
    <w:rsid w:val="00842B1E"/>
    <w:rsid w:val="00842FFB"/>
    <w:rsid w:val="00843AAA"/>
    <w:rsid w:val="00843B5B"/>
    <w:rsid w:val="0084435D"/>
    <w:rsid w:val="00844695"/>
    <w:rsid w:val="008446A2"/>
    <w:rsid w:val="0084487D"/>
    <w:rsid w:val="00844CB9"/>
    <w:rsid w:val="00845B1D"/>
    <w:rsid w:val="00845D13"/>
    <w:rsid w:val="008463AE"/>
    <w:rsid w:val="008501FA"/>
    <w:rsid w:val="0085050B"/>
    <w:rsid w:val="00850685"/>
    <w:rsid w:val="00851529"/>
    <w:rsid w:val="00851AEB"/>
    <w:rsid w:val="00853BD8"/>
    <w:rsid w:val="00853E22"/>
    <w:rsid w:val="00854CCE"/>
    <w:rsid w:val="00855017"/>
    <w:rsid w:val="0085539F"/>
    <w:rsid w:val="00855760"/>
    <w:rsid w:val="00855C02"/>
    <w:rsid w:val="0085693E"/>
    <w:rsid w:val="00856C88"/>
    <w:rsid w:val="0085787D"/>
    <w:rsid w:val="00857C35"/>
    <w:rsid w:val="00857D20"/>
    <w:rsid w:val="00857FAD"/>
    <w:rsid w:val="008611B5"/>
    <w:rsid w:val="0086221E"/>
    <w:rsid w:val="00863787"/>
    <w:rsid w:val="00863DAB"/>
    <w:rsid w:val="00864577"/>
    <w:rsid w:val="00864BA0"/>
    <w:rsid w:val="00864F05"/>
    <w:rsid w:val="0086553F"/>
    <w:rsid w:val="00865962"/>
    <w:rsid w:val="00865AB1"/>
    <w:rsid w:val="0086664C"/>
    <w:rsid w:val="00866C30"/>
    <w:rsid w:val="00866C80"/>
    <w:rsid w:val="00866E4B"/>
    <w:rsid w:val="008705CE"/>
    <w:rsid w:val="00870C02"/>
    <w:rsid w:val="00870F83"/>
    <w:rsid w:val="00871022"/>
    <w:rsid w:val="00871257"/>
    <w:rsid w:val="00873528"/>
    <w:rsid w:val="0087427F"/>
    <w:rsid w:val="00875014"/>
    <w:rsid w:val="00875321"/>
    <w:rsid w:val="0087575D"/>
    <w:rsid w:val="008761A4"/>
    <w:rsid w:val="00876460"/>
    <w:rsid w:val="008770BE"/>
    <w:rsid w:val="008804B0"/>
    <w:rsid w:val="008805D4"/>
    <w:rsid w:val="00880F2A"/>
    <w:rsid w:val="00882E26"/>
    <w:rsid w:val="008835B7"/>
    <w:rsid w:val="00883FF8"/>
    <w:rsid w:val="0088430F"/>
    <w:rsid w:val="00884D4E"/>
    <w:rsid w:val="00884FBC"/>
    <w:rsid w:val="008850C4"/>
    <w:rsid w:val="0088583D"/>
    <w:rsid w:val="00886A04"/>
    <w:rsid w:val="0088732C"/>
    <w:rsid w:val="00887797"/>
    <w:rsid w:val="00887F8E"/>
    <w:rsid w:val="008900DA"/>
    <w:rsid w:val="00890219"/>
    <w:rsid w:val="008903EC"/>
    <w:rsid w:val="00890BB8"/>
    <w:rsid w:val="00891D1B"/>
    <w:rsid w:val="00891FC4"/>
    <w:rsid w:val="008924EA"/>
    <w:rsid w:val="00892DCF"/>
    <w:rsid w:val="00892FBE"/>
    <w:rsid w:val="008953DE"/>
    <w:rsid w:val="00895460"/>
    <w:rsid w:val="008959FB"/>
    <w:rsid w:val="00896016"/>
    <w:rsid w:val="00896459"/>
    <w:rsid w:val="00896C06"/>
    <w:rsid w:val="00896C17"/>
    <w:rsid w:val="00897CF1"/>
    <w:rsid w:val="008A014E"/>
    <w:rsid w:val="008A0958"/>
    <w:rsid w:val="008A1874"/>
    <w:rsid w:val="008A202F"/>
    <w:rsid w:val="008A29D2"/>
    <w:rsid w:val="008A2BA2"/>
    <w:rsid w:val="008A2D6A"/>
    <w:rsid w:val="008A3AD1"/>
    <w:rsid w:val="008A3BA7"/>
    <w:rsid w:val="008A3CCD"/>
    <w:rsid w:val="008A4090"/>
    <w:rsid w:val="008A441C"/>
    <w:rsid w:val="008A5F46"/>
    <w:rsid w:val="008A66AC"/>
    <w:rsid w:val="008A6DAB"/>
    <w:rsid w:val="008A7FCE"/>
    <w:rsid w:val="008B076C"/>
    <w:rsid w:val="008B1CB5"/>
    <w:rsid w:val="008B3033"/>
    <w:rsid w:val="008B312B"/>
    <w:rsid w:val="008B3174"/>
    <w:rsid w:val="008B38F5"/>
    <w:rsid w:val="008B4187"/>
    <w:rsid w:val="008B7343"/>
    <w:rsid w:val="008B79B5"/>
    <w:rsid w:val="008C01BA"/>
    <w:rsid w:val="008C06C1"/>
    <w:rsid w:val="008C07D2"/>
    <w:rsid w:val="008C0EDD"/>
    <w:rsid w:val="008C11CE"/>
    <w:rsid w:val="008C16E8"/>
    <w:rsid w:val="008C1ABE"/>
    <w:rsid w:val="008C1B8D"/>
    <w:rsid w:val="008C1E92"/>
    <w:rsid w:val="008C297A"/>
    <w:rsid w:val="008C398E"/>
    <w:rsid w:val="008C40F3"/>
    <w:rsid w:val="008C4214"/>
    <w:rsid w:val="008C49D1"/>
    <w:rsid w:val="008C4A31"/>
    <w:rsid w:val="008C4E1C"/>
    <w:rsid w:val="008C502C"/>
    <w:rsid w:val="008C5420"/>
    <w:rsid w:val="008C7719"/>
    <w:rsid w:val="008D062B"/>
    <w:rsid w:val="008D09D1"/>
    <w:rsid w:val="008D107C"/>
    <w:rsid w:val="008D1ADD"/>
    <w:rsid w:val="008D1BF6"/>
    <w:rsid w:val="008D1D67"/>
    <w:rsid w:val="008D2053"/>
    <w:rsid w:val="008D2ED8"/>
    <w:rsid w:val="008D3D24"/>
    <w:rsid w:val="008D47C7"/>
    <w:rsid w:val="008D4A79"/>
    <w:rsid w:val="008D52F3"/>
    <w:rsid w:val="008D551F"/>
    <w:rsid w:val="008D5706"/>
    <w:rsid w:val="008D5C5D"/>
    <w:rsid w:val="008D5DD5"/>
    <w:rsid w:val="008D6B4A"/>
    <w:rsid w:val="008D6DE9"/>
    <w:rsid w:val="008D70AF"/>
    <w:rsid w:val="008D71F4"/>
    <w:rsid w:val="008D7D03"/>
    <w:rsid w:val="008D7D65"/>
    <w:rsid w:val="008E079F"/>
    <w:rsid w:val="008E1C48"/>
    <w:rsid w:val="008E2EE7"/>
    <w:rsid w:val="008E3A98"/>
    <w:rsid w:val="008E3F53"/>
    <w:rsid w:val="008E5BA4"/>
    <w:rsid w:val="008E62BD"/>
    <w:rsid w:val="008F2B40"/>
    <w:rsid w:val="008F372B"/>
    <w:rsid w:val="008F3872"/>
    <w:rsid w:val="008F393F"/>
    <w:rsid w:val="008F46A9"/>
    <w:rsid w:val="008F50C1"/>
    <w:rsid w:val="008F6394"/>
    <w:rsid w:val="008F6B70"/>
    <w:rsid w:val="008F7189"/>
    <w:rsid w:val="008F7CAC"/>
    <w:rsid w:val="0090000C"/>
    <w:rsid w:val="009002F5"/>
    <w:rsid w:val="0090064B"/>
    <w:rsid w:val="00900CA5"/>
    <w:rsid w:val="00901439"/>
    <w:rsid w:val="00901494"/>
    <w:rsid w:val="009020CE"/>
    <w:rsid w:val="00902754"/>
    <w:rsid w:val="009029FB"/>
    <w:rsid w:val="00902D70"/>
    <w:rsid w:val="00902E6A"/>
    <w:rsid w:val="009038C6"/>
    <w:rsid w:val="00903EF4"/>
    <w:rsid w:val="00904108"/>
    <w:rsid w:val="0090480B"/>
    <w:rsid w:val="00904BF6"/>
    <w:rsid w:val="00905127"/>
    <w:rsid w:val="009058D3"/>
    <w:rsid w:val="00906378"/>
    <w:rsid w:val="00906488"/>
    <w:rsid w:val="00906F5C"/>
    <w:rsid w:val="00907746"/>
    <w:rsid w:val="00910EEE"/>
    <w:rsid w:val="0091118B"/>
    <w:rsid w:val="00911612"/>
    <w:rsid w:val="00911632"/>
    <w:rsid w:val="00911E9D"/>
    <w:rsid w:val="00912946"/>
    <w:rsid w:val="00912D53"/>
    <w:rsid w:val="00913EFB"/>
    <w:rsid w:val="009146E1"/>
    <w:rsid w:val="009149CB"/>
    <w:rsid w:val="00915E7C"/>
    <w:rsid w:val="00917807"/>
    <w:rsid w:val="00920B88"/>
    <w:rsid w:val="00920CC7"/>
    <w:rsid w:val="0092211A"/>
    <w:rsid w:val="009225C5"/>
    <w:rsid w:val="00922A23"/>
    <w:rsid w:val="00924019"/>
    <w:rsid w:val="009240CB"/>
    <w:rsid w:val="0092479F"/>
    <w:rsid w:val="00924EB9"/>
    <w:rsid w:val="0092763A"/>
    <w:rsid w:val="009300A9"/>
    <w:rsid w:val="00930515"/>
    <w:rsid w:val="0093057E"/>
    <w:rsid w:val="00930E19"/>
    <w:rsid w:val="009317A0"/>
    <w:rsid w:val="00931863"/>
    <w:rsid w:val="00932BEF"/>
    <w:rsid w:val="00932C31"/>
    <w:rsid w:val="00932C86"/>
    <w:rsid w:val="00933717"/>
    <w:rsid w:val="00933A5C"/>
    <w:rsid w:val="0093407F"/>
    <w:rsid w:val="009341EF"/>
    <w:rsid w:val="00935342"/>
    <w:rsid w:val="00935796"/>
    <w:rsid w:val="009359DC"/>
    <w:rsid w:val="00936385"/>
    <w:rsid w:val="009363C9"/>
    <w:rsid w:val="00937B22"/>
    <w:rsid w:val="0094044E"/>
    <w:rsid w:val="0094110F"/>
    <w:rsid w:val="0094178E"/>
    <w:rsid w:val="00941EE4"/>
    <w:rsid w:val="00942E71"/>
    <w:rsid w:val="00942ECB"/>
    <w:rsid w:val="00943367"/>
    <w:rsid w:val="00943F0A"/>
    <w:rsid w:val="0094442C"/>
    <w:rsid w:val="009446E3"/>
    <w:rsid w:val="00944BE1"/>
    <w:rsid w:val="00946327"/>
    <w:rsid w:val="00947045"/>
    <w:rsid w:val="009471C2"/>
    <w:rsid w:val="00947AA3"/>
    <w:rsid w:val="0095113C"/>
    <w:rsid w:val="009514E7"/>
    <w:rsid w:val="00952150"/>
    <w:rsid w:val="00952432"/>
    <w:rsid w:val="009529A0"/>
    <w:rsid w:val="009550DA"/>
    <w:rsid w:val="00955558"/>
    <w:rsid w:val="00956956"/>
    <w:rsid w:val="00956BEA"/>
    <w:rsid w:val="009615D0"/>
    <w:rsid w:val="009623DF"/>
    <w:rsid w:val="00962AD2"/>
    <w:rsid w:val="00962C3E"/>
    <w:rsid w:val="009633B1"/>
    <w:rsid w:val="00963514"/>
    <w:rsid w:val="0096368C"/>
    <w:rsid w:val="00964296"/>
    <w:rsid w:val="00964549"/>
    <w:rsid w:val="009654CC"/>
    <w:rsid w:val="00965765"/>
    <w:rsid w:val="009662BE"/>
    <w:rsid w:val="009676CD"/>
    <w:rsid w:val="009707EE"/>
    <w:rsid w:val="0097144B"/>
    <w:rsid w:val="0097158C"/>
    <w:rsid w:val="009719A5"/>
    <w:rsid w:val="00971B53"/>
    <w:rsid w:val="00971DDF"/>
    <w:rsid w:val="00971E96"/>
    <w:rsid w:val="00971EF4"/>
    <w:rsid w:val="009745CC"/>
    <w:rsid w:val="009746CF"/>
    <w:rsid w:val="009750E4"/>
    <w:rsid w:val="00975A10"/>
    <w:rsid w:val="0097626F"/>
    <w:rsid w:val="009765DA"/>
    <w:rsid w:val="00976828"/>
    <w:rsid w:val="009814D3"/>
    <w:rsid w:val="0098245F"/>
    <w:rsid w:val="009828EA"/>
    <w:rsid w:val="00982C06"/>
    <w:rsid w:val="00983302"/>
    <w:rsid w:val="009837B1"/>
    <w:rsid w:val="00983C01"/>
    <w:rsid w:val="00983EED"/>
    <w:rsid w:val="00984101"/>
    <w:rsid w:val="00984454"/>
    <w:rsid w:val="0098451F"/>
    <w:rsid w:val="0098506F"/>
    <w:rsid w:val="009858D2"/>
    <w:rsid w:val="009859AB"/>
    <w:rsid w:val="00985A93"/>
    <w:rsid w:val="00986C6A"/>
    <w:rsid w:val="00986D18"/>
    <w:rsid w:val="00986D22"/>
    <w:rsid w:val="00987C16"/>
    <w:rsid w:val="00987DB5"/>
    <w:rsid w:val="0099017D"/>
    <w:rsid w:val="00990576"/>
    <w:rsid w:val="00990DA1"/>
    <w:rsid w:val="00991175"/>
    <w:rsid w:val="00991815"/>
    <w:rsid w:val="00991A37"/>
    <w:rsid w:val="00991EBF"/>
    <w:rsid w:val="0099359A"/>
    <w:rsid w:val="00994589"/>
    <w:rsid w:val="00994F0C"/>
    <w:rsid w:val="00994F31"/>
    <w:rsid w:val="0099585B"/>
    <w:rsid w:val="00995ED1"/>
    <w:rsid w:val="00996053"/>
    <w:rsid w:val="00996707"/>
    <w:rsid w:val="0099705B"/>
    <w:rsid w:val="009A057F"/>
    <w:rsid w:val="009A0A90"/>
    <w:rsid w:val="009A0D9C"/>
    <w:rsid w:val="009A0E1E"/>
    <w:rsid w:val="009A186B"/>
    <w:rsid w:val="009A19F1"/>
    <w:rsid w:val="009A3181"/>
    <w:rsid w:val="009A32C3"/>
    <w:rsid w:val="009A34B2"/>
    <w:rsid w:val="009A3FE3"/>
    <w:rsid w:val="009A45FC"/>
    <w:rsid w:val="009A4A5F"/>
    <w:rsid w:val="009A4A8D"/>
    <w:rsid w:val="009A501F"/>
    <w:rsid w:val="009A50FF"/>
    <w:rsid w:val="009A536F"/>
    <w:rsid w:val="009A612F"/>
    <w:rsid w:val="009A6345"/>
    <w:rsid w:val="009A6AEB"/>
    <w:rsid w:val="009A76D8"/>
    <w:rsid w:val="009B03D0"/>
    <w:rsid w:val="009B0CBF"/>
    <w:rsid w:val="009B1D84"/>
    <w:rsid w:val="009B24EC"/>
    <w:rsid w:val="009B2A7F"/>
    <w:rsid w:val="009B2FAE"/>
    <w:rsid w:val="009B35A0"/>
    <w:rsid w:val="009B3672"/>
    <w:rsid w:val="009B36AF"/>
    <w:rsid w:val="009B3836"/>
    <w:rsid w:val="009B4153"/>
    <w:rsid w:val="009B46C5"/>
    <w:rsid w:val="009B492F"/>
    <w:rsid w:val="009B60B6"/>
    <w:rsid w:val="009B61A4"/>
    <w:rsid w:val="009B7EB3"/>
    <w:rsid w:val="009C0335"/>
    <w:rsid w:val="009C2CB0"/>
    <w:rsid w:val="009C4475"/>
    <w:rsid w:val="009C5398"/>
    <w:rsid w:val="009C6618"/>
    <w:rsid w:val="009C69EC"/>
    <w:rsid w:val="009C6E20"/>
    <w:rsid w:val="009C704E"/>
    <w:rsid w:val="009D01CA"/>
    <w:rsid w:val="009D069F"/>
    <w:rsid w:val="009D1BAD"/>
    <w:rsid w:val="009D1EE3"/>
    <w:rsid w:val="009D2312"/>
    <w:rsid w:val="009D231B"/>
    <w:rsid w:val="009D4925"/>
    <w:rsid w:val="009D4BBE"/>
    <w:rsid w:val="009D520C"/>
    <w:rsid w:val="009D5E93"/>
    <w:rsid w:val="009D6E48"/>
    <w:rsid w:val="009D6F21"/>
    <w:rsid w:val="009D74CE"/>
    <w:rsid w:val="009E01EC"/>
    <w:rsid w:val="009E0BDD"/>
    <w:rsid w:val="009E159E"/>
    <w:rsid w:val="009E1FFD"/>
    <w:rsid w:val="009E2665"/>
    <w:rsid w:val="009E29DA"/>
    <w:rsid w:val="009E31D1"/>
    <w:rsid w:val="009E3E45"/>
    <w:rsid w:val="009E41FC"/>
    <w:rsid w:val="009E429B"/>
    <w:rsid w:val="009E519C"/>
    <w:rsid w:val="009E57FF"/>
    <w:rsid w:val="009E651E"/>
    <w:rsid w:val="009E6A78"/>
    <w:rsid w:val="009E7234"/>
    <w:rsid w:val="009F089A"/>
    <w:rsid w:val="009F0B06"/>
    <w:rsid w:val="009F1310"/>
    <w:rsid w:val="009F18C6"/>
    <w:rsid w:val="009F1A7C"/>
    <w:rsid w:val="009F48D6"/>
    <w:rsid w:val="009F4BFA"/>
    <w:rsid w:val="009F4DCD"/>
    <w:rsid w:val="009F55EF"/>
    <w:rsid w:val="009F5DFB"/>
    <w:rsid w:val="009F60AD"/>
    <w:rsid w:val="009F61D9"/>
    <w:rsid w:val="009F6554"/>
    <w:rsid w:val="009F6ECF"/>
    <w:rsid w:val="009F7EB0"/>
    <w:rsid w:val="00A029CA"/>
    <w:rsid w:val="00A03836"/>
    <w:rsid w:val="00A05DF1"/>
    <w:rsid w:val="00A06E1D"/>
    <w:rsid w:val="00A06F8B"/>
    <w:rsid w:val="00A0742D"/>
    <w:rsid w:val="00A074DC"/>
    <w:rsid w:val="00A077DA"/>
    <w:rsid w:val="00A07FF4"/>
    <w:rsid w:val="00A105A3"/>
    <w:rsid w:val="00A10D3D"/>
    <w:rsid w:val="00A1139E"/>
    <w:rsid w:val="00A12381"/>
    <w:rsid w:val="00A14068"/>
    <w:rsid w:val="00A14898"/>
    <w:rsid w:val="00A14982"/>
    <w:rsid w:val="00A149B2"/>
    <w:rsid w:val="00A1558D"/>
    <w:rsid w:val="00A15B9B"/>
    <w:rsid w:val="00A17D98"/>
    <w:rsid w:val="00A17F02"/>
    <w:rsid w:val="00A17F26"/>
    <w:rsid w:val="00A2001B"/>
    <w:rsid w:val="00A212D0"/>
    <w:rsid w:val="00A21E8B"/>
    <w:rsid w:val="00A2257F"/>
    <w:rsid w:val="00A22827"/>
    <w:rsid w:val="00A22B12"/>
    <w:rsid w:val="00A234E2"/>
    <w:rsid w:val="00A23D34"/>
    <w:rsid w:val="00A25DF9"/>
    <w:rsid w:val="00A26F83"/>
    <w:rsid w:val="00A2764C"/>
    <w:rsid w:val="00A30904"/>
    <w:rsid w:val="00A31B95"/>
    <w:rsid w:val="00A322FB"/>
    <w:rsid w:val="00A33243"/>
    <w:rsid w:val="00A33FAB"/>
    <w:rsid w:val="00A34378"/>
    <w:rsid w:val="00A35B1B"/>
    <w:rsid w:val="00A35D6D"/>
    <w:rsid w:val="00A36DC3"/>
    <w:rsid w:val="00A406B2"/>
    <w:rsid w:val="00A40B18"/>
    <w:rsid w:val="00A41781"/>
    <w:rsid w:val="00A424BD"/>
    <w:rsid w:val="00A435A1"/>
    <w:rsid w:val="00A4476E"/>
    <w:rsid w:val="00A44803"/>
    <w:rsid w:val="00A44941"/>
    <w:rsid w:val="00A45392"/>
    <w:rsid w:val="00A46178"/>
    <w:rsid w:val="00A469C4"/>
    <w:rsid w:val="00A46CBF"/>
    <w:rsid w:val="00A47C09"/>
    <w:rsid w:val="00A47D33"/>
    <w:rsid w:val="00A47F5D"/>
    <w:rsid w:val="00A50014"/>
    <w:rsid w:val="00A5081C"/>
    <w:rsid w:val="00A52794"/>
    <w:rsid w:val="00A52E40"/>
    <w:rsid w:val="00A53691"/>
    <w:rsid w:val="00A53CF8"/>
    <w:rsid w:val="00A545EB"/>
    <w:rsid w:val="00A548B2"/>
    <w:rsid w:val="00A54AC4"/>
    <w:rsid w:val="00A601FE"/>
    <w:rsid w:val="00A606DD"/>
    <w:rsid w:val="00A60835"/>
    <w:rsid w:val="00A613DA"/>
    <w:rsid w:val="00A61851"/>
    <w:rsid w:val="00A618D4"/>
    <w:rsid w:val="00A62359"/>
    <w:rsid w:val="00A627CD"/>
    <w:rsid w:val="00A62C86"/>
    <w:rsid w:val="00A6328E"/>
    <w:rsid w:val="00A63700"/>
    <w:rsid w:val="00A63AD6"/>
    <w:rsid w:val="00A63B43"/>
    <w:rsid w:val="00A64C67"/>
    <w:rsid w:val="00A64DE0"/>
    <w:rsid w:val="00A662D6"/>
    <w:rsid w:val="00A668DB"/>
    <w:rsid w:val="00A7016B"/>
    <w:rsid w:val="00A711C8"/>
    <w:rsid w:val="00A71A02"/>
    <w:rsid w:val="00A72060"/>
    <w:rsid w:val="00A7251B"/>
    <w:rsid w:val="00A72D33"/>
    <w:rsid w:val="00A73B55"/>
    <w:rsid w:val="00A73FE6"/>
    <w:rsid w:val="00A74529"/>
    <w:rsid w:val="00A74626"/>
    <w:rsid w:val="00A749D9"/>
    <w:rsid w:val="00A74A06"/>
    <w:rsid w:val="00A74A07"/>
    <w:rsid w:val="00A75A43"/>
    <w:rsid w:val="00A7626A"/>
    <w:rsid w:val="00A76A9D"/>
    <w:rsid w:val="00A779AC"/>
    <w:rsid w:val="00A77CBC"/>
    <w:rsid w:val="00A77EA0"/>
    <w:rsid w:val="00A804D8"/>
    <w:rsid w:val="00A806C2"/>
    <w:rsid w:val="00A80B14"/>
    <w:rsid w:val="00A80BD9"/>
    <w:rsid w:val="00A811B5"/>
    <w:rsid w:val="00A826E6"/>
    <w:rsid w:val="00A8294E"/>
    <w:rsid w:val="00A829B0"/>
    <w:rsid w:val="00A82BFA"/>
    <w:rsid w:val="00A83A8D"/>
    <w:rsid w:val="00A841B4"/>
    <w:rsid w:val="00A843FB"/>
    <w:rsid w:val="00A8520B"/>
    <w:rsid w:val="00A86590"/>
    <w:rsid w:val="00A8699B"/>
    <w:rsid w:val="00A869E5"/>
    <w:rsid w:val="00A87195"/>
    <w:rsid w:val="00A87321"/>
    <w:rsid w:val="00A8751C"/>
    <w:rsid w:val="00A90585"/>
    <w:rsid w:val="00A90596"/>
    <w:rsid w:val="00A914A1"/>
    <w:rsid w:val="00A91ECD"/>
    <w:rsid w:val="00A91FA6"/>
    <w:rsid w:val="00A923DE"/>
    <w:rsid w:val="00A940C1"/>
    <w:rsid w:val="00A9413D"/>
    <w:rsid w:val="00A9547B"/>
    <w:rsid w:val="00A95662"/>
    <w:rsid w:val="00A9638D"/>
    <w:rsid w:val="00AA0BA8"/>
    <w:rsid w:val="00AA0E76"/>
    <w:rsid w:val="00AA2203"/>
    <w:rsid w:val="00AA231E"/>
    <w:rsid w:val="00AA2D79"/>
    <w:rsid w:val="00AA445B"/>
    <w:rsid w:val="00AA48BC"/>
    <w:rsid w:val="00AA4C40"/>
    <w:rsid w:val="00AA546B"/>
    <w:rsid w:val="00AB0E03"/>
    <w:rsid w:val="00AB169F"/>
    <w:rsid w:val="00AB2C66"/>
    <w:rsid w:val="00AB45C5"/>
    <w:rsid w:val="00AB47B9"/>
    <w:rsid w:val="00AB47D5"/>
    <w:rsid w:val="00AB47D7"/>
    <w:rsid w:val="00AB4908"/>
    <w:rsid w:val="00AB54F4"/>
    <w:rsid w:val="00AB581C"/>
    <w:rsid w:val="00AB6D33"/>
    <w:rsid w:val="00AB7E24"/>
    <w:rsid w:val="00AC0C2B"/>
    <w:rsid w:val="00AC1692"/>
    <w:rsid w:val="00AC2246"/>
    <w:rsid w:val="00AC24A5"/>
    <w:rsid w:val="00AC2A3A"/>
    <w:rsid w:val="00AC2EBB"/>
    <w:rsid w:val="00AC3850"/>
    <w:rsid w:val="00AC44DB"/>
    <w:rsid w:val="00AC5020"/>
    <w:rsid w:val="00AC5FC1"/>
    <w:rsid w:val="00AC7755"/>
    <w:rsid w:val="00AD0C21"/>
    <w:rsid w:val="00AD1A6F"/>
    <w:rsid w:val="00AD28C5"/>
    <w:rsid w:val="00AD32FF"/>
    <w:rsid w:val="00AD3632"/>
    <w:rsid w:val="00AD3DB3"/>
    <w:rsid w:val="00AD3E61"/>
    <w:rsid w:val="00AD4024"/>
    <w:rsid w:val="00AD464C"/>
    <w:rsid w:val="00AD4CDD"/>
    <w:rsid w:val="00AD5511"/>
    <w:rsid w:val="00AD5BE2"/>
    <w:rsid w:val="00AD5F55"/>
    <w:rsid w:val="00AD66A7"/>
    <w:rsid w:val="00AD6CB7"/>
    <w:rsid w:val="00AE0359"/>
    <w:rsid w:val="00AE06F5"/>
    <w:rsid w:val="00AE2100"/>
    <w:rsid w:val="00AE2111"/>
    <w:rsid w:val="00AE26B1"/>
    <w:rsid w:val="00AE2C1D"/>
    <w:rsid w:val="00AE2C66"/>
    <w:rsid w:val="00AE4311"/>
    <w:rsid w:val="00AE44AC"/>
    <w:rsid w:val="00AE4BFA"/>
    <w:rsid w:val="00AE4CCF"/>
    <w:rsid w:val="00AE4DF6"/>
    <w:rsid w:val="00AE6131"/>
    <w:rsid w:val="00AE66FA"/>
    <w:rsid w:val="00AE77C3"/>
    <w:rsid w:val="00AE7B8A"/>
    <w:rsid w:val="00AE7E0D"/>
    <w:rsid w:val="00AF0253"/>
    <w:rsid w:val="00AF0756"/>
    <w:rsid w:val="00AF1AA0"/>
    <w:rsid w:val="00AF1BA3"/>
    <w:rsid w:val="00AF27EC"/>
    <w:rsid w:val="00AF2D45"/>
    <w:rsid w:val="00AF2E08"/>
    <w:rsid w:val="00AF3993"/>
    <w:rsid w:val="00AF3A11"/>
    <w:rsid w:val="00AF3A45"/>
    <w:rsid w:val="00AF495C"/>
    <w:rsid w:val="00AF4D7C"/>
    <w:rsid w:val="00AF4F78"/>
    <w:rsid w:val="00AF50E4"/>
    <w:rsid w:val="00AF55DE"/>
    <w:rsid w:val="00AF5970"/>
    <w:rsid w:val="00AF5B68"/>
    <w:rsid w:val="00AF6224"/>
    <w:rsid w:val="00AF6BC1"/>
    <w:rsid w:val="00AF7187"/>
    <w:rsid w:val="00AF7A6E"/>
    <w:rsid w:val="00AF7D31"/>
    <w:rsid w:val="00B00090"/>
    <w:rsid w:val="00B002D8"/>
    <w:rsid w:val="00B01395"/>
    <w:rsid w:val="00B021D6"/>
    <w:rsid w:val="00B072A6"/>
    <w:rsid w:val="00B07381"/>
    <w:rsid w:val="00B077EB"/>
    <w:rsid w:val="00B10683"/>
    <w:rsid w:val="00B12432"/>
    <w:rsid w:val="00B134D5"/>
    <w:rsid w:val="00B138DD"/>
    <w:rsid w:val="00B14114"/>
    <w:rsid w:val="00B14368"/>
    <w:rsid w:val="00B149C7"/>
    <w:rsid w:val="00B15B68"/>
    <w:rsid w:val="00B15C17"/>
    <w:rsid w:val="00B16522"/>
    <w:rsid w:val="00B1656F"/>
    <w:rsid w:val="00B1673D"/>
    <w:rsid w:val="00B16848"/>
    <w:rsid w:val="00B17308"/>
    <w:rsid w:val="00B17D8F"/>
    <w:rsid w:val="00B21B65"/>
    <w:rsid w:val="00B21C78"/>
    <w:rsid w:val="00B223B7"/>
    <w:rsid w:val="00B243AA"/>
    <w:rsid w:val="00B24697"/>
    <w:rsid w:val="00B2490A"/>
    <w:rsid w:val="00B24D53"/>
    <w:rsid w:val="00B25830"/>
    <w:rsid w:val="00B26C92"/>
    <w:rsid w:val="00B2740D"/>
    <w:rsid w:val="00B30642"/>
    <w:rsid w:val="00B31092"/>
    <w:rsid w:val="00B3280D"/>
    <w:rsid w:val="00B32A79"/>
    <w:rsid w:val="00B33A77"/>
    <w:rsid w:val="00B34E21"/>
    <w:rsid w:val="00B36CD9"/>
    <w:rsid w:val="00B36F00"/>
    <w:rsid w:val="00B37695"/>
    <w:rsid w:val="00B37F53"/>
    <w:rsid w:val="00B4045B"/>
    <w:rsid w:val="00B41116"/>
    <w:rsid w:val="00B413C0"/>
    <w:rsid w:val="00B413D6"/>
    <w:rsid w:val="00B41682"/>
    <w:rsid w:val="00B417E8"/>
    <w:rsid w:val="00B421C8"/>
    <w:rsid w:val="00B4222A"/>
    <w:rsid w:val="00B42B7F"/>
    <w:rsid w:val="00B43133"/>
    <w:rsid w:val="00B4383B"/>
    <w:rsid w:val="00B43CAA"/>
    <w:rsid w:val="00B4400F"/>
    <w:rsid w:val="00B44655"/>
    <w:rsid w:val="00B448CC"/>
    <w:rsid w:val="00B45ADF"/>
    <w:rsid w:val="00B45BB3"/>
    <w:rsid w:val="00B45CA0"/>
    <w:rsid w:val="00B45D5F"/>
    <w:rsid w:val="00B460ED"/>
    <w:rsid w:val="00B46F34"/>
    <w:rsid w:val="00B4781E"/>
    <w:rsid w:val="00B478CB"/>
    <w:rsid w:val="00B47D4B"/>
    <w:rsid w:val="00B47E48"/>
    <w:rsid w:val="00B51300"/>
    <w:rsid w:val="00B51F85"/>
    <w:rsid w:val="00B51FE6"/>
    <w:rsid w:val="00B52067"/>
    <w:rsid w:val="00B5278A"/>
    <w:rsid w:val="00B52909"/>
    <w:rsid w:val="00B529B0"/>
    <w:rsid w:val="00B53FCE"/>
    <w:rsid w:val="00B556D6"/>
    <w:rsid w:val="00B55A29"/>
    <w:rsid w:val="00B55C8F"/>
    <w:rsid w:val="00B55DC9"/>
    <w:rsid w:val="00B55FB5"/>
    <w:rsid w:val="00B56997"/>
    <w:rsid w:val="00B56D7F"/>
    <w:rsid w:val="00B570A5"/>
    <w:rsid w:val="00B60382"/>
    <w:rsid w:val="00B60A70"/>
    <w:rsid w:val="00B60D53"/>
    <w:rsid w:val="00B615F2"/>
    <w:rsid w:val="00B61CF1"/>
    <w:rsid w:val="00B6384C"/>
    <w:rsid w:val="00B6552A"/>
    <w:rsid w:val="00B656E4"/>
    <w:rsid w:val="00B65F9F"/>
    <w:rsid w:val="00B672DA"/>
    <w:rsid w:val="00B67913"/>
    <w:rsid w:val="00B67C65"/>
    <w:rsid w:val="00B67F85"/>
    <w:rsid w:val="00B7051D"/>
    <w:rsid w:val="00B70B78"/>
    <w:rsid w:val="00B717CB"/>
    <w:rsid w:val="00B72C28"/>
    <w:rsid w:val="00B72E5E"/>
    <w:rsid w:val="00B73245"/>
    <w:rsid w:val="00B740F8"/>
    <w:rsid w:val="00B7410F"/>
    <w:rsid w:val="00B7497F"/>
    <w:rsid w:val="00B75114"/>
    <w:rsid w:val="00B7638F"/>
    <w:rsid w:val="00B76925"/>
    <w:rsid w:val="00B770F5"/>
    <w:rsid w:val="00B779AB"/>
    <w:rsid w:val="00B77EE4"/>
    <w:rsid w:val="00B80E1F"/>
    <w:rsid w:val="00B813C7"/>
    <w:rsid w:val="00B81C92"/>
    <w:rsid w:val="00B835C5"/>
    <w:rsid w:val="00B83B60"/>
    <w:rsid w:val="00B83F69"/>
    <w:rsid w:val="00B8491C"/>
    <w:rsid w:val="00B84B35"/>
    <w:rsid w:val="00B84C41"/>
    <w:rsid w:val="00B853F6"/>
    <w:rsid w:val="00B85916"/>
    <w:rsid w:val="00B868EB"/>
    <w:rsid w:val="00B8699E"/>
    <w:rsid w:val="00B86CA7"/>
    <w:rsid w:val="00B86EC7"/>
    <w:rsid w:val="00B873F8"/>
    <w:rsid w:val="00B87A37"/>
    <w:rsid w:val="00B87B79"/>
    <w:rsid w:val="00B87E37"/>
    <w:rsid w:val="00B902B8"/>
    <w:rsid w:val="00B905A7"/>
    <w:rsid w:val="00B90CEF"/>
    <w:rsid w:val="00B90E5B"/>
    <w:rsid w:val="00B91132"/>
    <w:rsid w:val="00B91247"/>
    <w:rsid w:val="00B91BF2"/>
    <w:rsid w:val="00B923EA"/>
    <w:rsid w:val="00B92480"/>
    <w:rsid w:val="00B92D39"/>
    <w:rsid w:val="00B9433E"/>
    <w:rsid w:val="00B94AE9"/>
    <w:rsid w:val="00B951ED"/>
    <w:rsid w:val="00B95390"/>
    <w:rsid w:val="00B95BA1"/>
    <w:rsid w:val="00B96B2B"/>
    <w:rsid w:val="00BA012D"/>
    <w:rsid w:val="00BA04EC"/>
    <w:rsid w:val="00BA1A64"/>
    <w:rsid w:val="00BA2544"/>
    <w:rsid w:val="00BA2AB8"/>
    <w:rsid w:val="00BA2D0C"/>
    <w:rsid w:val="00BA30DC"/>
    <w:rsid w:val="00BA3277"/>
    <w:rsid w:val="00BA370E"/>
    <w:rsid w:val="00BA4712"/>
    <w:rsid w:val="00BA4763"/>
    <w:rsid w:val="00BA4A9F"/>
    <w:rsid w:val="00BA4C23"/>
    <w:rsid w:val="00BA5384"/>
    <w:rsid w:val="00BA569A"/>
    <w:rsid w:val="00BA5962"/>
    <w:rsid w:val="00BA5ADF"/>
    <w:rsid w:val="00BA5BC0"/>
    <w:rsid w:val="00BA6126"/>
    <w:rsid w:val="00BA6F35"/>
    <w:rsid w:val="00BA71E1"/>
    <w:rsid w:val="00BA7410"/>
    <w:rsid w:val="00BA78F5"/>
    <w:rsid w:val="00BB01DF"/>
    <w:rsid w:val="00BB06B2"/>
    <w:rsid w:val="00BB06B6"/>
    <w:rsid w:val="00BB2C31"/>
    <w:rsid w:val="00BB2C5C"/>
    <w:rsid w:val="00BB3D22"/>
    <w:rsid w:val="00BB4769"/>
    <w:rsid w:val="00BB4826"/>
    <w:rsid w:val="00BB5C6E"/>
    <w:rsid w:val="00BB6CF8"/>
    <w:rsid w:val="00BB778B"/>
    <w:rsid w:val="00BC1A4B"/>
    <w:rsid w:val="00BC29C5"/>
    <w:rsid w:val="00BC3941"/>
    <w:rsid w:val="00BC4165"/>
    <w:rsid w:val="00BC42D3"/>
    <w:rsid w:val="00BC5D0A"/>
    <w:rsid w:val="00BC7BBB"/>
    <w:rsid w:val="00BD018E"/>
    <w:rsid w:val="00BD167D"/>
    <w:rsid w:val="00BD179E"/>
    <w:rsid w:val="00BD1EC5"/>
    <w:rsid w:val="00BD25DA"/>
    <w:rsid w:val="00BD28B1"/>
    <w:rsid w:val="00BD3509"/>
    <w:rsid w:val="00BD3E16"/>
    <w:rsid w:val="00BD4363"/>
    <w:rsid w:val="00BD5015"/>
    <w:rsid w:val="00BD54ED"/>
    <w:rsid w:val="00BD6992"/>
    <w:rsid w:val="00BD7171"/>
    <w:rsid w:val="00BD7D0A"/>
    <w:rsid w:val="00BE053C"/>
    <w:rsid w:val="00BE0E66"/>
    <w:rsid w:val="00BE1978"/>
    <w:rsid w:val="00BE2179"/>
    <w:rsid w:val="00BE256E"/>
    <w:rsid w:val="00BE2AF8"/>
    <w:rsid w:val="00BE2E26"/>
    <w:rsid w:val="00BE3357"/>
    <w:rsid w:val="00BE36F4"/>
    <w:rsid w:val="00BE4304"/>
    <w:rsid w:val="00BE494F"/>
    <w:rsid w:val="00BE49F0"/>
    <w:rsid w:val="00BE550A"/>
    <w:rsid w:val="00BE5822"/>
    <w:rsid w:val="00BE58DA"/>
    <w:rsid w:val="00BE5A90"/>
    <w:rsid w:val="00BE6D84"/>
    <w:rsid w:val="00BE74D9"/>
    <w:rsid w:val="00BE7DF4"/>
    <w:rsid w:val="00BE7E5B"/>
    <w:rsid w:val="00BF0669"/>
    <w:rsid w:val="00BF06C1"/>
    <w:rsid w:val="00BF08A3"/>
    <w:rsid w:val="00BF0EB1"/>
    <w:rsid w:val="00BF109A"/>
    <w:rsid w:val="00BF119C"/>
    <w:rsid w:val="00BF2999"/>
    <w:rsid w:val="00BF3BBD"/>
    <w:rsid w:val="00BF47B7"/>
    <w:rsid w:val="00BF48C3"/>
    <w:rsid w:val="00BF6059"/>
    <w:rsid w:val="00BF60E8"/>
    <w:rsid w:val="00BF68EB"/>
    <w:rsid w:val="00BF7958"/>
    <w:rsid w:val="00C00188"/>
    <w:rsid w:val="00C007EF"/>
    <w:rsid w:val="00C0087D"/>
    <w:rsid w:val="00C0488C"/>
    <w:rsid w:val="00C05C77"/>
    <w:rsid w:val="00C06019"/>
    <w:rsid w:val="00C1125C"/>
    <w:rsid w:val="00C112AF"/>
    <w:rsid w:val="00C12F6F"/>
    <w:rsid w:val="00C1302C"/>
    <w:rsid w:val="00C1468E"/>
    <w:rsid w:val="00C14BF8"/>
    <w:rsid w:val="00C1605D"/>
    <w:rsid w:val="00C160F8"/>
    <w:rsid w:val="00C16C7D"/>
    <w:rsid w:val="00C1780F"/>
    <w:rsid w:val="00C207BB"/>
    <w:rsid w:val="00C2093C"/>
    <w:rsid w:val="00C20FE6"/>
    <w:rsid w:val="00C21776"/>
    <w:rsid w:val="00C21EE9"/>
    <w:rsid w:val="00C22BFD"/>
    <w:rsid w:val="00C22EE8"/>
    <w:rsid w:val="00C23055"/>
    <w:rsid w:val="00C23247"/>
    <w:rsid w:val="00C23664"/>
    <w:rsid w:val="00C24973"/>
    <w:rsid w:val="00C25394"/>
    <w:rsid w:val="00C25BE5"/>
    <w:rsid w:val="00C26327"/>
    <w:rsid w:val="00C26C9E"/>
    <w:rsid w:val="00C27453"/>
    <w:rsid w:val="00C27FE0"/>
    <w:rsid w:val="00C30001"/>
    <w:rsid w:val="00C30D65"/>
    <w:rsid w:val="00C31323"/>
    <w:rsid w:val="00C316F3"/>
    <w:rsid w:val="00C31892"/>
    <w:rsid w:val="00C31AA6"/>
    <w:rsid w:val="00C32337"/>
    <w:rsid w:val="00C3249A"/>
    <w:rsid w:val="00C32A1D"/>
    <w:rsid w:val="00C32AB5"/>
    <w:rsid w:val="00C33254"/>
    <w:rsid w:val="00C332BA"/>
    <w:rsid w:val="00C33D62"/>
    <w:rsid w:val="00C3412A"/>
    <w:rsid w:val="00C341D8"/>
    <w:rsid w:val="00C3420B"/>
    <w:rsid w:val="00C346B3"/>
    <w:rsid w:val="00C3477D"/>
    <w:rsid w:val="00C35FCB"/>
    <w:rsid w:val="00C36483"/>
    <w:rsid w:val="00C37716"/>
    <w:rsid w:val="00C377A9"/>
    <w:rsid w:val="00C37FB6"/>
    <w:rsid w:val="00C415F3"/>
    <w:rsid w:val="00C420EB"/>
    <w:rsid w:val="00C42515"/>
    <w:rsid w:val="00C42998"/>
    <w:rsid w:val="00C437C3"/>
    <w:rsid w:val="00C445BB"/>
    <w:rsid w:val="00C44722"/>
    <w:rsid w:val="00C44C72"/>
    <w:rsid w:val="00C4533B"/>
    <w:rsid w:val="00C4551C"/>
    <w:rsid w:val="00C45B80"/>
    <w:rsid w:val="00C46BC1"/>
    <w:rsid w:val="00C47C54"/>
    <w:rsid w:val="00C500AD"/>
    <w:rsid w:val="00C5032A"/>
    <w:rsid w:val="00C50770"/>
    <w:rsid w:val="00C50B9D"/>
    <w:rsid w:val="00C50D07"/>
    <w:rsid w:val="00C531FE"/>
    <w:rsid w:val="00C53221"/>
    <w:rsid w:val="00C53A07"/>
    <w:rsid w:val="00C53AF1"/>
    <w:rsid w:val="00C53B69"/>
    <w:rsid w:val="00C54B34"/>
    <w:rsid w:val="00C55092"/>
    <w:rsid w:val="00C558FC"/>
    <w:rsid w:val="00C566AD"/>
    <w:rsid w:val="00C56E6A"/>
    <w:rsid w:val="00C57123"/>
    <w:rsid w:val="00C57653"/>
    <w:rsid w:val="00C578DA"/>
    <w:rsid w:val="00C57DC5"/>
    <w:rsid w:val="00C60159"/>
    <w:rsid w:val="00C60A2A"/>
    <w:rsid w:val="00C60DEE"/>
    <w:rsid w:val="00C619AC"/>
    <w:rsid w:val="00C61EBA"/>
    <w:rsid w:val="00C6242D"/>
    <w:rsid w:val="00C62A7C"/>
    <w:rsid w:val="00C633D6"/>
    <w:rsid w:val="00C63AF0"/>
    <w:rsid w:val="00C640B0"/>
    <w:rsid w:val="00C647AC"/>
    <w:rsid w:val="00C64B73"/>
    <w:rsid w:val="00C64D07"/>
    <w:rsid w:val="00C64F00"/>
    <w:rsid w:val="00C661A3"/>
    <w:rsid w:val="00C667BA"/>
    <w:rsid w:val="00C669B0"/>
    <w:rsid w:val="00C66FED"/>
    <w:rsid w:val="00C671C5"/>
    <w:rsid w:val="00C674B0"/>
    <w:rsid w:val="00C70179"/>
    <w:rsid w:val="00C70297"/>
    <w:rsid w:val="00C705A6"/>
    <w:rsid w:val="00C71197"/>
    <w:rsid w:val="00C724B6"/>
    <w:rsid w:val="00C72E01"/>
    <w:rsid w:val="00C7324F"/>
    <w:rsid w:val="00C7325C"/>
    <w:rsid w:val="00C73485"/>
    <w:rsid w:val="00C7475A"/>
    <w:rsid w:val="00C75150"/>
    <w:rsid w:val="00C751D8"/>
    <w:rsid w:val="00C75315"/>
    <w:rsid w:val="00C75F0E"/>
    <w:rsid w:val="00C75F3A"/>
    <w:rsid w:val="00C76675"/>
    <w:rsid w:val="00C76F0B"/>
    <w:rsid w:val="00C76F52"/>
    <w:rsid w:val="00C7710E"/>
    <w:rsid w:val="00C77B6F"/>
    <w:rsid w:val="00C80165"/>
    <w:rsid w:val="00C8090D"/>
    <w:rsid w:val="00C81F95"/>
    <w:rsid w:val="00C82EBC"/>
    <w:rsid w:val="00C83461"/>
    <w:rsid w:val="00C83F36"/>
    <w:rsid w:val="00C8440D"/>
    <w:rsid w:val="00C85355"/>
    <w:rsid w:val="00C85590"/>
    <w:rsid w:val="00C85F07"/>
    <w:rsid w:val="00C861F5"/>
    <w:rsid w:val="00C868D9"/>
    <w:rsid w:val="00C86C03"/>
    <w:rsid w:val="00C86E1B"/>
    <w:rsid w:val="00C87066"/>
    <w:rsid w:val="00C87F48"/>
    <w:rsid w:val="00C90B7A"/>
    <w:rsid w:val="00C90CFA"/>
    <w:rsid w:val="00C91884"/>
    <w:rsid w:val="00C949AE"/>
    <w:rsid w:val="00C959B6"/>
    <w:rsid w:val="00C96F94"/>
    <w:rsid w:val="00C97142"/>
    <w:rsid w:val="00C974F1"/>
    <w:rsid w:val="00C97BCD"/>
    <w:rsid w:val="00CA0A4D"/>
    <w:rsid w:val="00CA11DF"/>
    <w:rsid w:val="00CA1283"/>
    <w:rsid w:val="00CA18A1"/>
    <w:rsid w:val="00CA191E"/>
    <w:rsid w:val="00CA245D"/>
    <w:rsid w:val="00CA27AB"/>
    <w:rsid w:val="00CA2FD6"/>
    <w:rsid w:val="00CA3A38"/>
    <w:rsid w:val="00CA4E5E"/>
    <w:rsid w:val="00CA562E"/>
    <w:rsid w:val="00CA62D1"/>
    <w:rsid w:val="00CA62FB"/>
    <w:rsid w:val="00CA644C"/>
    <w:rsid w:val="00CA742D"/>
    <w:rsid w:val="00CB2759"/>
    <w:rsid w:val="00CB2845"/>
    <w:rsid w:val="00CB292C"/>
    <w:rsid w:val="00CB3E8E"/>
    <w:rsid w:val="00CB431D"/>
    <w:rsid w:val="00CB4CB3"/>
    <w:rsid w:val="00CB5612"/>
    <w:rsid w:val="00CB5B0F"/>
    <w:rsid w:val="00CB65E2"/>
    <w:rsid w:val="00CB6CCA"/>
    <w:rsid w:val="00CB6CEE"/>
    <w:rsid w:val="00CB7078"/>
    <w:rsid w:val="00CB71DD"/>
    <w:rsid w:val="00CB7343"/>
    <w:rsid w:val="00CB7558"/>
    <w:rsid w:val="00CB7C3C"/>
    <w:rsid w:val="00CC0C12"/>
    <w:rsid w:val="00CC0E6E"/>
    <w:rsid w:val="00CC0FDE"/>
    <w:rsid w:val="00CC16A6"/>
    <w:rsid w:val="00CC1EBE"/>
    <w:rsid w:val="00CC21B4"/>
    <w:rsid w:val="00CC21C0"/>
    <w:rsid w:val="00CC3AF4"/>
    <w:rsid w:val="00CC4AA3"/>
    <w:rsid w:val="00CC5635"/>
    <w:rsid w:val="00CC6C9C"/>
    <w:rsid w:val="00CC7057"/>
    <w:rsid w:val="00CD0103"/>
    <w:rsid w:val="00CD02D0"/>
    <w:rsid w:val="00CD0A0F"/>
    <w:rsid w:val="00CD0B32"/>
    <w:rsid w:val="00CD0C1B"/>
    <w:rsid w:val="00CD116A"/>
    <w:rsid w:val="00CD12D1"/>
    <w:rsid w:val="00CD1368"/>
    <w:rsid w:val="00CD2081"/>
    <w:rsid w:val="00CD226F"/>
    <w:rsid w:val="00CD289B"/>
    <w:rsid w:val="00CD4250"/>
    <w:rsid w:val="00CD4DEE"/>
    <w:rsid w:val="00CD5617"/>
    <w:rsid w:val="00CD5EB7"/>
    <w:rsid w:val="00CD609E"/>
    <w:rsid w:val="00CD7460"/>
    <w:rsid w:val="00CD77CE"/>
    <w:rsid w:val="00CE0F6F"/>
    <w:rsid w:val="00CE192D"/>
    <w:rsid w:val="00CE1D47"/>
    <w:rsid w:val="00CE253D"/>
    <w:rsid w:val="00CE3B50"/>
    <w:rsid w:val="00CE407B"/>
    <w:rsid w:val="00CE4324"/>
    <w:rsid w:val="00CE481F"/>
    <w:rsid w:val="00CE4A8E"/>
    <w:rsid w:val="00CE4B66"/>
    <w:rsid w:val="00CE52CE"/>
    <w:rsid w:val="00CE53FD"/>
    <w:rsid w:val="00CE5417"/>
    <w:rsid w:val="00CE5FD9"/>
    <w:rsid w:val="00CE6BE6"/>
    <w:rsid w:val="00CE7864"/>
    <w:rsid w:val="00CF0A6F"/>
    <w:rsid w:val="00CF2DB5"/>
    <w:rsid w:val="00CF4184"/>
    <w:rsid w:val="00CF4204"/>
    <w:rsid w:val="00CF4534"/>
    <w:rsid w:val="00CF571F"/>
    <w:rsid w:val="00CF6614"/>
    <w:rsid w:val="00CF664E"/>
    <w:rsid w:val="00CF765B"/>
    <w:rsid w:val="00CF7ED1"/>
    <w:rsid w:val="00CF7EDC"/>
    <w:rsid w:val="00D00D91"/>
    <w:rsid w:val="00D00E1C"/>
    <w:rsid w:val="00D0127A"/>
    <w:rsid w:val="00D01584"/>
    <w:rsid w:val="00D01FEA"/>
    <w:rsid w:val="00D02021"/>
    <w:rsid w:val="00D02DFF"/>
    <w:rsid w:val="00D03144"/>
    <w:rsid w:val="00D0405E"/>
    <w:rsid w:val="00D0469A"/>
    <w:rsid w:val="00D05245"/>
    <w:rsid w:val="00D06211"/>
    <w:rsid w:val="00D06B91"/>
    <w:rsid w:val="00D07F05"/>
    <w:rsid w:val="00D07FDE"/>
    <w:rsid w:val="00D10E6A"/>
    <w:rsid w:val="00D1106B"/>
    <w:rsid w:val="00D11D5C"/>
    <w:rsid w:val="00D12508"/>
    <w:rsid w:val="00D1296C"/>
    <w:rsid w:val="00D12B52"/>
    <w:rsid w:val="00D12F1C"/>
    <w:rsid w:val="00D13202"/>
    <w:rsid w:val="00D135E8"/>
    <w:rsid w:val="00D14F54"/>
    <w:rsid w:val="00D160EE"/>
    <w:rsid w:val="00D1656C"/>
    <w:rsid w:val="00D16EF7"/>
    <w:rsid w:val="00D200AE"/>
    <w:rsid w:val="00D20253"/>
    <w:rsid w:val="00D20556"/>
    <w:rsid w:val="00D2057F"/>
    <w:rsid w:val="00D20680"/>
    <w:rsid w:val="00D20E70"/>
    <w:rsid w:val="00D211D7"/>
    <w:rsid w:val="00D21ABF"/>
    <w:rsid w:val="00D21E15"/>
    <w:rsid w:val="00D22008"/>
    <w:rsid w:val="00D22793"/>
    <w:rsid w:val="00D229EA"/>
    <w:rsid w:val="00D23DF6"/>
    <w:rsid w:val="00D24161"/>
    <w:rsid w:val="00D2496D"/>
    <w:rsid w:val="00D25152"/>
    <w:rsid w:val="00D25787"/>
    <w:rsid w:val="00D259EE"/>
    <w:rsid w:val="00D25B01"/>
    <w:rsid w:val="00D25D32"/>
    <w:rsid w:val="00D26F15"/>
    <w:rsid w:val="00D26F88"/>
    <w:rsid w:val="00D27295"/>
    <w:rsid w:val="00D27575"/>
    <w:rsid w:val="00D30106"/>
    <w:rsid w:val="00D30CB3"/>
    <w:rsid w:val="00D3139B"/>
    <w:rsid w:val="00D31F5D"/>
    <w:rsid w:val="00D332DF"/>
    <w:rsid w:val="00D33E1C"/>
    <w:rsid w:val="00D356E9"/>
    <w:rsid w:val="00D36155"/>
    <w:rsid w:val="00D3658B"/>
    <w:rsid w:val="00D36C4A"/>
    <w:rsid w:val="00D36EC0"/>
    <w:rsid w:val="00D372D9"/>
    <w:rsid w:val="00D3772B"/>
    <w:rsid w:val="00D37CEE"/>
    <w:rsid w:val="00D414E6"/>
    <w:rsid w:val="00D41F49"/>
    <w:rsid w:val="00D42215"/>
    <w:rsid w:val="00D43151"/>
    <w:rsid w:val="00D43202"/>
    <w:rsid w:val="00D43F50"/>
    <w:rsid w:val="00D44279"/>
    <w:rsid w:val="00D4528D"/>
    <w:rsid w:val="00D45358"/>
    <w:rsid w:val="00D45424"/>
    <w:rsid w:val="00D45A55"/>
    <w:rsid w:val="00D45D4E"/>
    <w:rsid w:val="00D46329"/>
    <w:rsid w:val="00D478D0"/>
    <w:rsid w:val="00D47DDB"/>
    <w:rsid w:val="00D47E38"/>
    <w:rsid w:val="00D5002A"/>
    <w:rsid w:val="00D50754"/>
    <w:rsid w:val="00D50C59"/>
    <w:rsid w:val="00D51ABE"/>
    <w:rsid w:val="00D51CBC"/>
    <w:rsid w:val="00D521AC"/>
    <w:rsid w:val="00D52349"/>
    <w:rsid w:val="00D53370"/>
    <w:rsid w:val="00D53BCD"/>
    <w:rsid w:val="00D541D3"/>
    <w:rsid w:val="00D5697C"/>
    <w:rsid w:val="00D56D4D"/>
    <w:rsid w:val="00D57542"/>
    <w:rsid w:val="00D5757F"/>
    <w:rsid w:val="00D577B3"/>
    <w:rsid w:val="00D57A7E"/>
    <w:rsid w:val="00D6052D"/>
    <w:rsid w:val="00D60CD8"/>
    <w:rsid w:val="00D61849"/>
    <w:rsid w:val="00D632A1"/>
    <w:rsid w:val="00D6341D"/>
    <w:rsid w:val="00D63615"/>
    <w:rsid w:val="00D6397C"/>
    <w:rsid w:val="00D6434B"/>
    <w:rsid w:val="00D648E2"/>
    <w:rsid w:val="00D665A5"/>
    <w:rsid w:val="00D66AC1"/>
    <w:rsid w:val="00D66C25"/>
    <w:rsid w:val="00D67894"/>
    <w:rsid w:val="00D7046F"/>
    <w:rsid w:val="00D70949"/>
    <w:rsid w:val="00D70BD4"/>
    <w:rsid w:val="00D71A2E"/>
    <w:rsid w:val="00D71C07"/>
    <w:rsid w:val="00D71E3A"/>
    <w:rsid w:val="00D720A8"/>
    <w:rsid w:val="00D73657"/>
    <w:rsid w:val="00D74041"/>
    <w:rsid w:val="00D74CEC"/>
    <w:rsid w:val="00D75303"/>
    <w:rsid w:val="00D75C67"/>
    <w:rsid w:val="00D76818"/>
    <w:rsid w:val="00D76EBE"/>
    <w:rsid w:val="00D76FC6"/>
    <w:rsid w:val="00D77C0A"/>
    <w:rsid w:val="00D80575"/>
    <w:rsid w:val="00D80667"/>
    <w:rsid w:val="00D80B8C"/>
    <w:rsid w:val="00D817E0"/>
    <w:rsid w:val="00D81847"/>
    <w:rsid w:val="00D81A1F"/>
    <w:rsid w:val="00D81E9A"/>
    <w:rsid w:val="00D82014"/>
    <w:rsid w:val="00D823EE"/>
    <w:rsid w:val="00D83B5A"/>
    <w:rsid w:val="00D8418B"/>
    <w:rsid w:val="00D864E0"/>
    <w:rsid w:val="00D86A78"/>
    <w:rsid w:val="00D86D16"/>
    <w:rsid w:val="00D87B37"/>
    <w:rsid w:val="00D9092C"/>
    <w:rsid w:val="00D91140"/>
    <w:rsid w:val="00D914FE"/>
    <w:rsid w:val="00D93631"/>
    <w:rsid w:val="00D936D2"/>
    <w:rsid w:val="00D946CA"/>
    <w:rsid w:val="00D948D5"/>
    <w:rsid w:val="00D95681"/>
    <w:rsid w:val="00D964B8"/>
    <w:rsid w:val="00D96DF8"/>
    <w:rsid w:val="00D973B3"/>
    <w:rsid w:val="00DA000F"/>
    <w:rsid w:val="00DA011A"/>
    <w:rsid w:val="00DA01FF"/>
    <w:rsid w:val="00DA2673"/>
    <w:rsid w:val="00DA2724"/>
    <w:rsid w:val="00DA2894"/>
    <w:rsid w:val="00DA3952"/>
    <w:rsid w:val="00DA47AD"/>
    <w:rsid w:val="00DA4D15"/>
    <w:rsid w:val="00DA5740"/>
    <w:rsid w:val="00DA5D41"/>
    <w:rsid w:val="00DA657C"/>
    <w:rsid w:val="00DA66F0"/>
    <w:rsid w:val="00DA6AFD"/>
    <w:rsid w:val="00DA6DF2"/>
    <w:rsid w:val="00DA7598"/>
    <w:rsid w:val="00DA7B9C"/>
    <w:rsid w:val="00DB0312"/>
    <w:rsid w:val="00DB0605"/>
    <w:rsid w:val="00DB1DFD"/>
    <w:rsid w:val="00DB2CEB"/>
    <w:rsid w:val="00DB2F33"/>
    <w:rsid w:val="00DB6829"/>
    <w:rsid w:val="00DB6A8E"/>
    <w:rsid w:val="00DB6F7E"/>
    <w:rsid w:val="00DB7669"/>
    <w:rsid w:val="00DB76CE"/>
    <w:rsid w:val="00DB7F10"/>
    <w:rsid w:val="00DC0182"/>
    <w:rsid w:val="00DC03FF"/>
    <w:rsid w:val="00DC0411"/>
    <w:rsid w:val="00DC0567"/>
    <w:rsid w:val="00DC05CF"/>
    <w:rsid w:val="00DC1EFB"/>
    <w:rsid w:val="00DC21FA"/>
    <w:rsid w:val="00DC22A9"/>
    <w:rsid w:val="00DC245A"/>
    <w:rsid w:val="00DC2DCF"/>
    <w:rsid w:val="00DC2E4F"/>
    <w:rsid w:val="00DC3A24"/>
    <w:rsid w:val="00DC3C9E"/>
    <w:rsid w:val="00DC44E1"/>
    <w:rsid w:val="00DC4E05"/>
    <w:rsid w:val="00DC54D4"/>
    <w:rsid w:val="00DC5547"/>
    <w:rsid w:val="00DC5A48"/>
    <w:rsid w:val="00DC5C4E"/>
    <w:rsid w:val="00DC5CE4"/>
    <w:rsid w:val="00DC6E0E"/>
    <w:rsid w:val="00DC727B"/>
    <w:rsid w:val="00DD031D"/>
    <w:rsid w:val="00DD25C1"/>
    <w:rsid w:val="00DD2686"/>
    <w:rsid w:val="00DD2CAB"/>
    <w:rsid w:val="00DD392B"/>
    <w:rsid w:val="00DD3B3C"/>
    <w:rsid w:val="00DD46F0"/>
    <w:rsid w:val="00DD49B1"/>
    <w:rsid w:val="00DD49D0"/>
    <w:rsid w:val="00DD4CB5"/>
    <w:rsid w:val="00DD5177"/>
    <w:rsid w:val="00DD60E1"/>
    <w:rsid w:val="00DD655C"/>
    <w:rsid w:val="00DD6E80"/>
    <w:rsid w:val="00DD6F2E"/>
    <w:rsid w:val="00DD753B"/>
    <w:rsid w:val="00DD7731"/>
    <w:rsid w:val="00DD7C24"/>
    <w:rsid w:val="00DE034A"/>
    <w:rsid w:val="00DE089F"/>
    <w:rsid w:val="00DE0D1E"/>
    <w:rsid w:val="00DE26F3"/>
    <w:rsid w:val="00DE2C76"/>
    <w:rsid w:val="00DE3E9C"/>
    <w:rsid w:val="00DE47C7"/>
    <w:rsid w:val="00DE4954"/>
    <w:rsid w:val="00DE57B4"/>
    <w:rsid w:val="00DE7471"/>
    <w:rsid w:val="00DE7F88"/>
    <w:rsid w:val="00DF065D"/>
    <w:rsid w:val="00DF0D1A"/>
    <w:rsid w:val="00DF1E80"/>
    <w:rsid w:val="00DF1F8A"/>
    <w:rsid w:val="00DF209F"/>
    <w:rsid w:val="00DF2542"/>
    <w:rsid w:val="00DF27DF"/>
    <w:rsid w:val="00DF341C"/>
    <w:rsid w:val="00DF41A5"/>
    <w:rsid w:val="00DF4FDD"/>
    <w:rsid w:val="00DF55F3"/>
    <w:rsid w:val="00DF648C"/>
    <w:rsid w:val="00DF6DF3"/>
    <w:rsid w:val="00DF7046"/>
    <w:rsid w:val="00DF7D58"/>
    <w:rsid w:val="00E02A6F"/>
    <w:rsid w:val="00E02ADD"/>
    <w:rsid w:val="00E02FBA"/>
    <w:rsid w:val="00E033FA"/>
    <w:rsid w:val="00E03649"/>
    <w:rsid w:val="00E036CB"/>
    <w:rsid w:val="00E04076"/>
    <w:rsid w:val="00E04AE6"/>
    <w:rsid w:val="00E0530B"/>
    <w:rsid w:val="00E055F9"/>
    <w:rsid w:val="00E058A2"/>
    <w:rsid w:val="00E0599E"/>
    <w:rsid w:val="00E06233"/>
    <w:rsid w:val="00E06EE1"/>
    <w:rsid w:val="00E07046"/>
    <w:rsid w:val="00E07289"/>
    <w:rsid w:val="00E07D09"/>
    <w:rsid w:val="00E1071C"/>
    <w:rsid w:val="00E10854"/>
    <w:rsid w:val="00E10C5D"/>
    <w:rsid w:val="00E10CA7"/>
    <w:rsid w:val="00E10D0C"/>
    <w:rsid w:val="00E117F8"/>
    <w:rsid w:val="00E12390"/>
    <w:rsid w:val="00E125CC"/>
    <w:rsid w:val="00E141A2"/>
    <w:rsid w:val="00E14B6C"/>
    <w:rsid w:val="00E14FFB"/>
    <w:rsid w:val="00E15501"/>
    <w:rsid w:val="00E15697"/>
    <w:rsid w:val="00E157F0"/>
    <w:rsid w:val="00E15FFC"/>
    <w:rsid w:val="00E16DF8"/>
    <w:rsid w:val="00E179C1"/>
    <w:rsid w:val="00E213EF"/>
    <w:rsid w:val="00E21593"/>
    <w:rsid w:val="00E21DE8"/>
    <w:rsid w:val="00E235C7"/>
    <w:rsid w:val="00E24A20"/>
    <w:rsid w:val="00E25925"/>
    <w:rsid w:val="00E259D1"/>
    <w:rsid w:val="00E265AE"/>
    <w:rsid w:val="00E3055C"/>
    <w:rsid w:val="00E31844"/>
    <w:rsid w:val="00E31ED9"/>
    <w:rsid w:val="00E322E5"/>
    <w:rsid w:val="00E325B4"/>
    <w:rsid w:val="00E3298B"/>
    <w:rsid w:val="00E32AD9"/>
    <w:rsid w:val="00E3359F"/>
    <w:rsid w:val="00E33867"/>
    <w:rsid w:val="00E338E0"/>
    <w:rsid w:val="00E33F0D"/>
    <w:rsid w:val="00E34F91"/>
    <w:rsid w:val="00E35211"/>
    <w:rsid w:val="00E361C2"/>
    <w:rsid w:val="00E36234"/>
    <w:rsid w:val="00E41386"/>
    <w:rsid w:val="00E41792"/>
    <w:rsid w:val="00E41C11"/>
    <w:rsid w:val="00E43680"/>
    <w:rsid w:val="00E45C08"/>
    <w:rsid w:val="00E4614C"/>
    <w:rsid w:val="00E46C43"/>
    <w:rsid w:val="00E50372"/>
    <w:rsid w:val="00E50481"/>
    <w:rsid w:val="00E507A5"/>
    <w:rsid w:val="00E508FC"/>
    <w:rsid w:val="00E51390"/>
    <w:rsid w:val="00E51A6E"/>
    <w:rsid w:val="00E51BA4"/>
    <w:rsid w:val="00E5345E"/>
    <w:rsid w:val="00E53802"/>
    <w:rsid w:val="00E542F0"/>
    <w:rsid w:val="00E545C1"/>
    <w:rsid w:val="00E54E77"/>
    <w:rsid w:val="00E5553A"/>
    <w:rsid w:val="00E558E1"/>
    <w:rsid w:val="00E5625A"/>
    <w:rsid w:val="00E56ECA"/>
    <w:rsid w:val="00E57F58"/>
    <w:rsid w:val="00E60142"/>
    <w:rsid w:val="00E607C7"/>
    <w:rsid w:val="00E607DE"/>
    <w:rsid w:val="00E60841"/>
    <w:rsid w:val="00E613A7"/>
    <w:rsid w:val="00E615B6"/>
    <w:rsid w:val="00E6193F"/>
    <w:rsid w:val="00E64344"/>
    <w:rsid w:val="00E64369"/>
    <w:rsid w:val="00E64E1A"/>
    <w:rsid w:val="00E669CA"/>
    <w:rsid w:val="00E67FD9"/>
    <w:rsid w:val="00E700A3"/>
    <w:rsid w:val="00E7057D"/>
    <w:rsid w:val="00E70628"/>
    <w:rsid w:val="00E720CB"/>
    <w:rsid w:val="00E72352"/>
    <w:rsid w:val="00E72538"/>
    <w:rsid w:val="00E72A96"/>
    <w:rsid w:val="00E72B11"/>
    <w:rsid w:val="00E72D76"/>
    <w:rsid w:val="00E72EEB"/>
    <w:rsid w:val="00E73965"/>
    <w:rsid w:val="00E74831"/>
    <w:rsid w:val="00E74FCD"/>
    <w:rsid w:val="00E74FD1"/>
    <w:rsid w:val="00E75E4E"/>
    <w:rsid w:val="00E76171"/>
    <w:rsid w:val="00E76A8B"/>
    <w:rsid w:val="00E76F86"/>
    <w:rsid w:val="00E77EF6"/>
    <w:rsid w:val="00E80BEF"/>
    <w:rsid w:val="00E8100F"/>
    <w:rsid w:val="00E81221"/>
    <w:rsid w:val="00E8163A"/>
    <w:rsid w:val="00E81855"/>
    <w:rsid w:val="00E826B9"/>
    <w:rsid w:val="00E82F2A"/>
    <w:rsid w:val="00E8301E"/>
    <w:rsid w:val="00E83357"/>
    <w:rsid w:val="00E84C0A"/>
    <w:rsid w:val="00E84CEF"/>
    <w:rsid w:val="00E85356"/>
    <w:rsid w:val="00E85429"/>
    <w:rsid w:val="00E8717F"/>
    <w:rsid w:val="00E87EF0"/>
    <w:rsid w:val="00E90259"/>
    <w:rsid w:val="00E90D44"/>
    <w:rsid w:val="00E91B01"/>
    <w:rsid w:val="00E92869"/>
    <w:rsid w:val="00E9293E"/>
    <w:rsid w:val="00E92EF7"/>
    <w:rsid w:val="00E9362B"/>
    <w:rsid w:val="00E93D27"/>
    <w:rsid w:val="00E9475E"/>
    <w:rsid w:val="00E959EC"/>
    <w:rsid w:val="00E96BCD"/>
    <w:rsid w:val="00E96D18"/>
    <w:rsid w:val="00E9739B"/>
    <w:rsid w:val="00E975F0"/>
    <w:rsid w:val="00E9772F"/>
    <w:rsid w:val="00E9774B"/>
    <w:rsid w:val="00E978C3"/>
    <w:rsid w:val="00EA018F"/>
    <w:rsid w:val="00EA0FE9"/>
    <w:rsid w:val="00EA1660"/>
    <w:rsid w:val="00EA1826"/>
    <w:rsid w:val="00EA23A7"/>
    <w:rsid w:val="00EA247D"/>
    <w:rsid w:val="00EA3FBB"/>
    <w:rsid w:val="00EA411C"/>
    <w:rsid w:val="00EA6C3C"/>
    <w:rsid w:val="00EA6CBF"/>
    <w:rsid w:val="00EB1964"/>
    <w:rsid w:val="00EB24DC"/>
    <w:rsid w:val="00EB2B91"/>
    <w:rsid w:val="00EB3A0D"/>
    <w:rsid w:val="00EB3B0E"/>
    <w:rsid w:val="00EB3C26"/>
    <w:rsid w:val="00EB4128"/>
    <w:rsid w:val="00EB449A"/>
    <w:rsid w:val="00EB7C0A"/>
    <w:rsid w:val="00EC08C0"/>
    <w:rsid w:val="00EC184E"/>
    <w:rsid w:val="00EC2380"/>
    <w:rsid w:val="00EC23EA"/>
    <w:rsid w:val="00EC3BB7"/>
    <w:rsid w:val="00EC4495"/>
    <w:rsid w:val="00EC51FB"/>
    <w:rsid w:val="00EC5C28"/>
    <w:rsid w:val="00EC78D9"/>
    <w:rsid w:val="00EC7EC3"/>
    <w:rsid w:val="00ED064D"/>
    <w:rsid w:val="00ED06C1"/>
    <w:rsid w:val="00ED112E"/>
    <w:rsid w:val="00ED1835"/>
    <w:rsid w:val="00ED18BF"/>
    <w:rsid w:val="00ED1EBB"/>
    <w:rsid w:val="00ED2775"/>
    <w:rsid w:val="00ED3016"/>
    <w:rsid w:val="00ED381E"/>
    <w:rsid w:val="00ED3EFD"/>
    <w:rsid w:val="00ED44AD"/>
    <w:rsid w:val="00ED5173"/>
    <w:rsid w:val="00ED5A4A"/>
    <w:rsid w:val="00ED5ADC"/>
    <w:rsid w:val="00ED5C83"/>
    <w:rsid w:val="00ED651F"/>
    <w:rsid w:val="00ED65EF"/>
    <w:rsid w:val="00ED7C70"/>
    <w:rsid w:val="00EE02EC"/>
    <w:rsid w:val="00EE07E2"/>
    <w:rsid w:val="00EE0F43"/>
    <w:rsid w:val="00EE15B9"/>
    <w:rsid w:val="00EE1ACF"/>
    <w:rsid w:val="00EE20EB"/>
    <w:rsid w:val="00EE2E37"/>
    <w:rsid w:val="00EE34DF"/>
    <w:rsid w:val="00EE396D"/>
    <w:rsid w:val="00EE46D2"/>
    <w:rsid w:val="00EE4DDC"/>
    <w:rsid w:val="00EE5D8D"/>
    <w:rsid w:val="00EE6E82"/>
    <w:rsid w:val="00EF04E3"/>
    <w:rsid w:val="00EF04EC"/>
    <w:rsid w:val="00EF0503"/>
    <w:rsid w:val="00EF0874"/>
    <w:rsid w:val="00EF0F2D"/>
    <w:rsid w:val="00EF1231"/>
    <w:rsid w:val="00EF1390"/>
    <w:rsid w:val="00EF27B9"/>
    <w:rsid w:val="00EF3066"/>
    <w:rsid w:val="00EF47A3"/>
    <w:rsid w:val="00EF4FD6"/>
    <w:rsid w:val="00EF507F"/>
    <w:rsid w:val="00EF5787"/>
    <w:rsid w:val="00EF7F38"/>
    <w:rsid w:val="00F00758"/>
    <w:rsid w:val="00F00A65"/>
    <w:rsid w:val="00F016BC"/>
    <w:rsid w:val="00F01CC3"/>
    <w:rsid w:val="00F01EF0"/>
    <w:rsid w:val="00F01F23"/>
    <w:rsid w:val="00F026DD"/>
    <w:rsid w:val="00F0294B"/>
    <w:rsid w:val="00F02F73"/>
    <w:rsid w:val="00F03005"/>
    <w:rsid w:val="00F03453"/>
    <w:rsid w:val="00F037FD"/>
    <w:rsid w:val="00F03B72"/>
    <w:rsid w:val="00F043C3"/>
    <w:rsid w:val="00F04BB3"/>
    <w:rsid w:val="00F05111"/>
    <w:rsid w:val="00F0511B"/>
    <w:rsid w:val="00F05C50"/>
    <w:rsid w:val="00F06C9F"/>
    <w:rsid w:val="00F0709D"/>
    <w:rsid w:val="00F10BAD"/>
    <w:rsid w:val="00F11DA2"/>
    <w:rsid w:val="00F120D9"/>
    <w:rsid w:val="00F12117"/>
    <w:rsid w:val="00F128BD"/>
    <w:rsid w:val="00F145BC"/>
    <w:rsid w:val="00F15409"/>
    <w:rsid w:val="00F15ED1"/>
    <w:rsid w:val="00F17982"/>
    <w:rsid w:val="00F2037B"/>
    <w:rsid w:val="00F2108B"/>
    <w:rsid w:val="00F219D9"/>
    <w:rsid w:val="00F226C1"/>
    <w:rsid w:val="00F2344C"/>
    <w:rsid w:val="00F2400C"/>
    <w:rsid w:val="00F248B1"/>
    <w:rsid w:val="00F24AEB"/>
    <w:rsid w:val="00F25246"/>
    <w:rsid w:val="00F256ED"/>
    <w:rsid w:val="00F259A9"/>
    <w:rsid w:val="00F25BDB"/>
    <w:rsid w:val="00F260D5"/>
    <w:rsid w:val="00F2654F"/>
    <w:rsid w:val="00F26672"/>
    <w:rsid w:val="00F274DA"/>
    <w:rsid w:val="00F275B5"/>
    <w:rsid w:val="00F27BC1"/>
    <w:rsid w:val="00F27F9E"/>
    <w:rsid w:val="00F301AA"/>
    <w:rsid w:val="00F304FF"/>
    <w:rsid w:val="00F30F4B"/>
    <w:rsid w:val="00F310D7"/>
    <w:rsid w:val="00F312F7"/>
    <w:rsid w:val="00F31EE8"/>
    <w:rsid w:val="00F31FAB"/>
    <w:rsid w:val="00F32E8B"/>
    <w:rsid w:val="00F33FD1"/>
    <w:rsid w:val="00F343ED"/>
    <w:rsid w:val="00F348B8"/>
    <w:rsid w:val="00F34DA8"/>
    <w:rsid w:val="00F357F1"/>
    <w:rsid w:val="00F35C64"/>
    <w:rsid w:val="00F362A5"/>
    <w:rsid w:val="00F3664A"/>
    <w:rsid w:val="00F37A1A"/>
    <w:rsid w:val="00F37C64"/>
    <w:rsid w:val="00F400AD"/>
    <w:rsid w:val="00F401A4"/>
    <w:rsid w:val="00F41391"/>
    <w:rsid w:val="00F41778"/>
    <w:rsid w:val="00F422F1"/>
    <w:rsid w:val="00F426AB"/>
    <w:rsid w:val="00F42E8E"/>
    <w:rsid w:val="00F43476"/>
    <w:rsid w:val="00F437CE"/>
    <w:rsid w:val="00F43B3E"/>
    <w:rsid w:val="00F45BD5"/>
    <w:rsid w:val="00F466C4"/>
    <w:rsid w:val="00F47D30"/>
    <w:rsid w:val="00F47E18"/>
    <w:rsid w:val="00F500F6"/>
    <w:rsid w:val="00F50273"/>
    <w:rsid w:val="00F5096A"/>
    <w:rsid w:val="00F53290"/>
    <w:rsid w:val="00F535DC"/>
    <w:rsid w:val="00F54B42"/>
    <w:rsid w:val="00F552AC"/>
    <w:rsid w:val="00F560BF"/>
    <w:rsid w:val="00F565A9"/>
    <w:rsid w:val="00F56B4F"/>
    <w:rsid w:val="00F56DB3"/>
    <w:rsid w:val="00F57753"/>
    <w:rsid w:val="00F60401"/>
    <w:rsid w:val="00F6101D"/>
    <w:rsid w:val="00F624DC"/>
    <w:rsid w:val="00F6566F"/>
    <w:rsid w:val="00F6634B"/>
    <w:rsid w:val="00F66722"/>
    <w:rsid w:val="00F669A5"/>
    <w:rsid w:val="00F67123"/>
    <w:rsid w:val="00F67170"/>
    <w:rsid w:val="00F674C7"/>
    <w:rsid w:val="00F7020E"/>
    <w:rsid w:val="00F706DF"/>
    <w:rsid w:val="00F70B61"/>
    <w:rsid w:val="00F71400"/>
    <w:rsid w:val="00F71644"/>
    <w:rsid w:val="00F718EA"/>
    <w:rsid w:val="00F71BBF"/>
    <w:rsid w:val="00F72141"/>
    <w:rsid w:val="00F72625"/>
    <w:rsid w:val="00F72E84"/>
    <w:rsid w:val="00F73B7B"/>
    <w:rsid w:val="00F740AA"/>
    <w:rsid w:val="00F74AE4"/>
    <w:rsid w:val="00F74E3A"/>
    <w:rsid w:val="00F758F5"/>
    <w:rsid w:val="00F76B0B"/>
    <w:rsid w:val="00F76B31"/>
    <w:rsid w:val="00F77DA1"/>
    <w:rsid w:val="00F77EBB"/>
    <w:rsid w:val="00F807E0"/>
    <w:rsid w:val="00F80EF4"/>
    <w:rsid w:val="00F82BA4"/>
    <w:rsid w:val="00F836AA"/>
    <w:rsid w:val="00F8374D"/>
    <w:rsid w:val="00F83B2E"/>
    <w:rsid w:val="00F847FE"/>
    <w:rsid w:val="00F84895"/>
    <w:rsid w:val="00F85A6F"/>
    <w:rsid w:val="00F861A3"/>
    <w:rsid w:val="00F864C2"/>
    <w:rsid w:val="00F90EB7"/>
    <w:rsid w:val="00F916FD"/>
    <w:rsid w:val="00F91C14"/>
    <w:rsid w:val="00F93803"/>
    <w:rsid w:val="00F946BB"/>
    <w:rsid w:val="00F94AEF"/>
    <w:rsid w:val="00F95073"/>
    <w:rsid w:val="00F9616E"/>
    <w:rsid w:val="00F967F7"/>
    <w:rsid w:val="00F9697F"/>
    <w:rsid w:val="00F96CA5"/>
    <w:rsid w:val="00F97E56"/>
    <w:rsid w:val="00FA0846"/>
    <w:rsid w:val="00FA1863"/>
    <w:rsid w:val="00FA25E1"/>
    <w:rsid w:val="00FA2F0A"/>
    <w:rsid w:val="00FA4993"/>
    <w:rsid w:val="00FA551E"/>
    <w:rsid w:val="00FA62CF"/>
    <w:rsid w:val="00FA6B85"/>
    <w:rsid w:val="00FA6D92"/>
    <w:rsid w:val="00FA6F5B"/>
    <w:rsid w:val="00FA7B52"/>
    <w:rsid w:val="00FB00CF"/>
    <w:rsid w:val="00FB07A2"/>
    <w:rsid w:val="00FB0A49"/>
    <w:rsid w:val="00FB1A80"/>
    <w:rsid w:val="00FB1F87"/>
    <w:rsid w:val="00FB1FD2"/>
    <w:rsid w:val="00FB3800"/>
    <w:rsid w:val="00FB3931"/>
    <w:rsid w:val="00FB497B"/>
    <w:rsid w:val="00FB52A1"/>
    <w:rsid w:val="00FB5A1B"/>
    <w:rsid w:val="00FB5F58"/>
    <w:rsid w:val="00FB686D"/>
    <w:rsid w:val="00FB7457"/>
    <w:rsid w:val="00FB78EA"/>
    <w:rsid w:val="00FC10C6"/>
    <w:rsid w:val="00FC1D60"/>
    <w:rsid w:val="00FC2C56"/>
    <w:rsid w:val="00FC3C39"/>
    <w:rsid w:val="00FC3DD0"/>
    <w:rsid w:val="00FC4698"/>
    <w:rsid w:val="00FC4CD9"/>
    <w:rsid w:val="00FC5557"/>
    <w:rsid w:val="00FC6515"/>
    <w:rsid w:val="00FC6991"/>
    <w:rsid w:val="00FC6F81"/>
    <w:rsid w:val="00FC7776"/>
    <w:rsid w:val="00FC7A6F"/>
    <w:rsid w:val="00FD27E1"/>
    <w:rsid w:val="00FD2817"/>
    <w:rsid w:val="00FD28B5"/>
    <w:rsid w:val="00FD2A64"/>
    <w:rsid w:val="00FD4062"/>
    <w:rsid w:val="00FD6AA2"/>
    <w:rsid w:val="00FD6AFE"/>
    <w:rsid w:val="00FD6FA5"/>
    <w:rsid w:val="00FE04D5"/>
    <w:rsid w:val="00FE0D49"/>
    <w:rsid w:val="00FE1FE3"/>
    <w:rsid w:val="00FE27F2"/>
    <w:rsid w:val="00FE30A7"/>
    <w:rsid w:val="00FE3DF2"/>
    <w:rsid w:val="00FE49FF"/>
    <w:rsid w:val="00FE4CC4"/>
    <w:rsid w:val="00FE5F18"/>
    <w:rsid w:val="00FE6217"/>
    <w:rsid w:val="00FE70CB"/>
    <w:rsid w:val="00FE7769"/>
    <w:rsid w:val="00FF0EDC"/>
    <w:rsid w:val="00FF1233"/>
    <w:rsid w:val="00FF13E6"/>
    <w:rsid w:val="00FF16C7"/>
    <w:rsid w:val="00FF17FF"/>
    <w:rsid w:val="00FF1969"/>
    <w:rsid w:val="00FF2888"/>
    <w:rsid w:val="00FF4143"/>
    <w:rsid w:val="00FF4720"/>
    <w:rsid w:val="00FF541C"/>
    <w:rsid w:val="00FF5A22"/>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78A4792"/>
  <w15:docId w15:val="{98994394-70FC-4BF5-94C5-DFA2D093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5DB"/>
    <w:rPr>
      <w:sz w:val="24"/>
      <w:szCs w:val="24"/>
    </w:rPr>
  </w:style>
  <w:style w:type="paragraph" w:styleId="Heading1">
    <w:name w:val="heading 1"/>
    <w:basedOn w:val="Normal"/>
    <w:next w:val="Normal"/>
    <w:link w:val="Heading1Char"/>
    <w:uiPriority w:val="99"/>
    <w:qFormat/>
    <w:rsid w:val="00A725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D25C1"/>
    <w:pPr>
      <w:keepNext/>
      <w:outlineLvl w:val="1"/>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2432"/>
    <w:rPr>
      <w:rFonts w:ascii="Cambria" w:hAnsi="Cambria" w:cs="Cambria"/>
      <w:b/>
      <w:bCs/>
      <w:kern w:val="32"/>
      <w:sz w:val="32"/>
      <w:szCs w:val="32"/>
    </w:rPr>
  </w:style>
  <w:style w:type="character" w:customStyle="1" w:styleId="Heading2Char">
    <w:name w:val="Heading 2 Char"/>
    <w:link w:val="Heading2"/>
    <w:uiPriority w:val="99"/>
    <w:semiHidden/>
    <w:locked/>
    <w:rsid w:val="00B12432"/>
    <w:rPr>
      <w:rFonts w:ascii="Cambria" w:hAnsi="Cambria" w:cs="Cambria"/>
      <w:b/>
      <w:bCs/>
      <w:i/>
      <w:iCs/>
      <w:sz w:val="28"/>
      <w:szCs w:val="28"/>
    </w:rPr>
  </w:style>
  <w:style w:type="paragraph" w:styleId="BodyTextIndent2">
    <w:name w:val="Body Text Indent 2"/>
    <w:basedOn w:val="Normal"/>
    <w:link w:val="BodyTextIndent2Char"/>
    <w:uiPriority w:val="99"/>
    <w:rsid w:val="00DD25C1"/>
    <w:pPr>
      <w:spacing w:after="120" w:line="480" w:lineRule="auto"/>
      <w:ind w:left="360"/>
    </w:pPr>
  </w:style>
  <w:style w:type="character" w:customStyle="1" w:styleId="BodyTextIndent2Char">
    <w:name w:val="Body Text Indent 2 Char"/>
    <w:link w:val="BodyTextIndent2"/>
    <w:uiPriority w:val="99"/>
    <w:locked/>
    <w:rsid w:val="00B12432"/>
    <w:rPr>
      <w:sz w:val="24"/>
      <w:szCs w:val="24"/>
    </w:rPr>
  </w:style>
  <w:style w:type="paragraph" w:styleId="BlockText">
    <w:name w:val="Block Text"/>
    <w:aliases w:val="Block Indent"/>
    <w:basedOn w:val="Normal"/>
    <w:uiPriority w:val="99"/>
    <w:rsid w:val="002B4943"/>
    <w:pPr>
      <w:spacing w:before="120" w:after="120"/>
      <w:ind w:left="1440" w:right="1440"/>
    </w:pPr>
    <w:rPr>
      <w:rFonts w:eastAsia="PMingLiU"/>
      <w:lang w:eastAsia="zh-TW"/>
    </w:rPr>
  </w:style>
  <w:style w:type="paragraph" w:styleId="Footer">
    <w:name w:val="footer"/>
    <w:basedOn w:val="Normal"/>
    <w:link w:val="FooterChar"/>
    <w:uiPriority w:val="99"/>
    <w:rsid w:val="000E00D8"/>
    <w:pPr>
      <w:tabs>
        <w:tab w:val="center" w:pos="4320"/>
        <w:tab w:val="right" w:pos="8640"/>
      </w:tabs>
    </w:pPr>
  </w:style>
  <w:style w:type="character" w:customStyle="1" w:styleId="FooterChar">
    <w:name w:val="Footer Char"/>
    <w:link w:val="Footer"/>
    <w:uiPriority w:val="99"/>
    <w:locked/>
    <w:rsid w:val="00A7251B"/>
    <w:rPr>
      <w:sz w:val="24"/>
      <w:szCs w:val="24"/>
      <w:lang w:val="en-US" w:eastAsia="en-US"/>
    </w:rPr>
  </w:style>
  <w:style w:type="character" w:styleId="PageNumber">
    <w:name w:val="page number"/>
    <w:basedOn w:val="DefaultParagraphFont"/>
    <w:uiPriority w:val="99"/>
    <w:rsid w:val="000E00D8"/>
  </w:style>
  <w:style w:type="paragraph" w:styleId="Header">
    <w:name w:val="header"/>
    <w:basedOn w:val="Normal"/>
    <w:link w:val="HeaderChar"/>
    <w:rsid w:val="000156CF"/>
    <w:pPr>
      <w:tabs>
        <w:tab w:val="center" w:pos="4320"/>
        <w:tab w:val="right" w:pos="8640"/>
      </w:tabs>
    </w:pPr>
  </w:style>
  <w:style w:type="character" w:customStyle="1" w:styleId="HeaderChar">
    <w:name w:val="Header Char"/>
    <w:link w:val="Header"/>
    <w:semiHidden/>
    <w:locked/>
    <w:rsid w:val="00B12432"/>
    <w:rPr>
      <w:sz w:val="24"/>
      <w:szCs w:val="24"/>
    </w:rPr>
  </w:style>
  <w:style w:type="paragraph" w:styleId="BalloonText">
    <w:name w:val="Balloon Text"/>
    <w:basedOn w:val="Normal"/>
    <w:link w:val="BalloonTextChar"/>
    <w:uiPriority w:val="99"/>
    <w:semiHidden/>
    <w:rsid w:val="006C66F5"/>
    <w:rPr>
      <w:rFonts w:ascii="Tahoma" w:hAnsi="Tahoma" w:cs="Tahoma"/>
      <w:sz w:val="16"/>
      <w:szCs w:val="16"/>
    </w:rPr>
  </w:style>
  <w:style w:type="character" w:customStyle="1" w:styleId="BalloonTextChar">
    <w:name w:val="Balloon Text Char"/>
    <w:link w:val="BalloonText"/>
    <w:uiPriority w:val="99"/>
    <w:semiHidden/>
    <w:locked/>
    <w:rsid w:val="00B12432"/>
    <w:rPr>
      <w:sz w:val="2"/>
      <w:szCs w:val="2"/>
    </w:rPr>
  </w:style>
  <w:style w:type="character" w:styleId="CommentReference">
    <w:name w:val="annotation reference"/>
    <w:uiPriority w:val="99"/>
    <w:semiHidden/>
    <w:rsid w:val="00C85355"/>
    <w:rPr>
      <w:sz w:val="16"/>
      <w:szCs w:val="16"/>
    </w:rPr>
  </w:style>
  <w:style w:type="paragraph" w:styleId="CommentText">
    <w:name w:val="annotation text"/>
    <w:basedOn w:val="Normal"/>
    <w:link w:val="CommentTextChar"/>
    <w:uiPriority w:val="99"/>
    <w:semiHidden/>
    <w:rsid w:val="00C85355"/>
    <w:rPr>
      <w:sz w:val="20"/>
      <w:szCs w:val="20"/>
    </w:rPr>
  </w:style>
  <w:style w:type="character" w:customStyle="1" w:styleId="CommentTextChar">
    <w:name w:val="Comment Text Char"/>
    <w:link w:val="CommentText"/>
    <w:uiPriority w:val="99"/>
    <w:semiHidden/>
    <w:locked/>
    <w:rsid w:val="00B12432"/>
    <w:rPr>
      <w:sz w:val="20"/>
      <w:szCs w:val="20"/>
    </w:rPr>
  </w:style>
  <w:style w:type="paragraph" w:styleId="CommentSubject">
    <w:name w:val="annotation subject"/>
    <w:basedOn w:val="CommentText"/>
    <w:next w:val="CommentText"/>
    <w:link w:val="CommentSubjectChar"/>
    <w:uiPriority w:val="99"/>
    <w:semiHidden/>
    <w:rsid w:val="00C85355"/>
    <w:rPr>
      <w:b/>
      <w:bCs/>
    </w:rPr>
  </w:style>
  <w:style w:type="character" w:customStyle="1" w:styleId="CommentSubjectChar">
    <w:name w:val="Comment Subject Char"/>
    <w:link w:val="CommentSubject"/>
    <w:uiPriority w:val="99"/>
    <w:semiHidden/>
    <w:locked/>
    <w:rsid w:val="00B12432"/>
    <w:rPr>
      <w:b/>
      <w:bCs/>
      <w:sz w:val="20"/>
      <w:szCs w:val="20"/>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semiHidden/>
    <w:rsid w:val="00CB7343"/>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locked/>
    <w:rsid w:val="008761A4"/>
    <w:rPr>
      <w:lang w:val="en-US" w:eastAsia="en-US"/>
    </w:rPr>
  </w:style>
  <w:style w:type="character" w:styleId="FootnoteReference">
    <w:name w:val="footnote reference"/>
    <w:uiPriority w:val="99"/>
    <w:rsid w:val="00CB7343"/>
    <w:rPr>
      <w:vertAlign w:val="superscript"/>
    </w:rPr>
  </w:style>
  <w:style w:type="paragraph" w:styleId="Revision">
    <w:name w:val="Revision"/>
    <w:hidden/>
    <w:uiPriority w:val="99"/>
    <w:semiHidden/>
    <w:rsid w:val="00187AB3"/>
    <w:rPr>
      <w:sz w:val="24"/>
      <w:szCs w:val="24"/>
    </w:rPr>
  </w:style>
  <w:style w:type="paragraph" w:customStyle="1" w:styleId="BodyTextDSFirstLine5Justified">
    <w:name w:val="Body Text DS First Line (.5) Justified"/>
    <w:basedOn w:val="Normal"/>
    <w:uiPriority w:val="99"/>
    <w:rsid w:val="00B8699E"/>
    <w:pPr>
      <w:spacing w:line="480" w:lineRule="auto"/>
      <w:ind w:firstLine="720"/>
      <w:jc w:val="both"/>
    </w:pPr>
    <w:rPr>
      <w:rFonts w:eastAsia="PMingLiU"/>
      <w:lang w:eastAsia="zh-TW"/>
    </w:rPr>
  </w:style>
  <w:style w:type="paragraph" w:styleId="ListParagraph">
    <w:name w:val="List Paragraph"/>
    <w:basedOn w:val="Normal"/>
    <w:uiPriority w:val="34"/>
    <w:qFormat/>
    <w:rsid w:val="00D53BCD"/>
    <w:pPr>
      <w:ind w:left="720"/>
    </w:pPr>
  </w:style>
  <w:style w:type="paragraph" w:styleId="BodyText">
    <w:name w:val="Body Text"/>
    <w:basedOn w:val="Normal"/>
    <w:link w:val="BodyTextChar"/>
    <w:uiPriority w:val="99"/>
    <w:rsid w:val="00C3249A"/>
    <w:pPr>
      <w:spacing w:after="120"/>
    </w:pPr>
  </w:style>
  <w:style w:type="character" w:customStyle="1" w:styleId="BodyTextChar">
    <w:name w:val="Body Text Char"/>
    <w:link w:val="BodyText"/>
    <w:uiPriority w:val="99"/>
    <w:semiHidden/>
    <w:locked/>
    <w:rsid w:val="00B12432"/>
    <w:rPr>
      <w:sz w:val="24"/>
      <w:szCs w:val="24"/>
    </w:rPr>
  </w:style>
  <w:style w:type="character" w:styleId="LineNumber">
    <w:name w:val="line number"/>
    <w:basedOn w:val="DefaultParagraphFont"/>
    <w:uiPriority w:val="99"/>
    <w:rsid w:val="00A7251B"/>
  </w:style>
  <w:style w:type="paragraph" w:styleId="DocumentMap">
    <w:name w:val="Document Map"/>
    <w:basedOn w:val="Normal"/>
    <w:link w:val="DocumentMapChar"/>
    <w:uiPriority w:val="99"/>
    <w:semiHidden/>
    <w:rsid w:val="000E470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B12432"/>
    <w:rPr>
      <w:sz w:val="2"/>
      <w:szCs w:val="2"/>
    </w:rPr>
  </w:style>
  <w:style w:type="paragraph" w:styleId="PlainText">
    <w:name w:val="Plain Text"/>
    <w:basedOn w:val="Normal"/>
    <w:link w:val="PlainTextChar"/>
    <w:uiPriority w:val="99"/>
    <w:rsid w:val="00522D7A"/>
    <w:rPr>
      <w:rFonts w:ascii="Consolas" w:hAnsi="Consolas" w:cs="Consolas"/>
      <w:sz w:val="21"/>
      <w:szCs w:val="21"/>
    </w:rPr>
  </w:style>
  <w:style w:type="character" w:customStyle="1" w:styleId="PlainTextChar">
    <w:name w:val="Plain Text Char"/>
    <w:link w:val="PlainText"/>
    <w:uiPriority w:val="99"/>
    <w:locked/>
    <w:rsid w:val="00522D7A"/>
    <w:rPr>
      <w:rFonts w:ascii="Consolas" w:hAnsi="Consolas" w:cs="Consolas"/>
      <w:sz w:val="21"/>
      <w:szCs w:val="21"/>
    </w:rPr>
  </w:style>
  <w:style w:type="paragraph" w:customStyle="1" w:styleId="Body">
    <w:name w:val="Body"/>
    <w:uiPriority w:val="99"/>
    <w:rsid w:val="00522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rPr>
  </w:style>
  <w:style w:type="paragraph" w:styleId="BodyTextIndent3">
    <w:name w:val="Body Text Indent 3"/>
    <w:basedOn w:val="Normal"/>
    <w:link w:val="BodyTextIndent3Char"/>
    <w:uiPriority w:val="99"/>
    <w:rsid w:val="00A7626A"/>
    <w:pPr>
      <w:spacing w:after="120"/>
      <w:ind w:left="360"/>
    </w:pPr>
    <w:rPr>
      <w:sz w:val="16"/>
      <w:szCs w:val="16"/>
    </w:rPr>
  </w:style>
  <w:style w:type="character" w:customStyle="1" w:styleId="BodyTextIndent3Char">
    <w:name w:val="Body Text Indent 3 Char"/>
    <w:link w:val="BodyTextIndent3"/>
    <w:uiPriority w:val="99"/>
    <w:locked/>
    <w:rsid w:val="00A7626A"/>
    <w:rPr>
      <w:sz w:val="16"/>
      <w:szCs w:val="16"/>
    </w:rPr>
  </w:style>
  <w:style w:type="paragraph" w:styleId="EndnoteText">
    <w:name w:val="endnote text"/>
    <w:basedOn w:val="Normal"/>
    <w:link w:val="EndnoteTextChar"/>
    <w:uiPriority w:val="99"/>
    <w:semiHidden/>
    <w:unhideWhenUsed/>
    <w:rsid w:val="002D1839"/>
    <w:rPr>
      <w:sz w:val="20"/>
      <w:szCs w:val="20"/>
    </w:rPr>
  </w:style>
  <w:style w:type="character" w:customStyle="1" w:styleId="EndnoteTextChar">
    <w:name w:val="Endnote Text Char"/>
    <w:link w:val="EndnoteText"/>
    <w:uiPriority w:val="99"/>
    <w:semiHidden/>
    <w:rsid w:val="002D1839"/>
    <w:rPr>
      <w:sz w:val="20"/>
      <w:szCs w:val="20"/>
    </w:rPr>
  </w:style>
  <w:style w:type="character" w:styleId="EndnoteReference">
    <w:name w:val="endnote reference"/>
    <w:uiPriority w:val="99"/>
    <w:semiHidden/>
    <w:unhideWhenUsed/>
    <w:rsid w:val="002D1839"/>
    <w:rPr>
      <w:vertAlign w:val="superscript"/>
    </w:rPr>
  </w:style>
  <w:style w:type="paragraph" w:styleId="NoSpacing">
    <w:name w:val="No Spacing"/>
    <w:uiPriority w:val="1"/>
    <w:qFormat/>
    <w:rsid w:val="00B56997"/>
    <w:rPr>
      <w:sz w:val="24"/>
      <w:szCs w:val="24"/>
    </w:rPr>
  </w:style>
  <w:style w:type="paragraph" w:customStyle="1" w:styleId="yiv3272586507msonormal">
    <w:name w:val="yiv3272586507msonormal"/>
    <w:basedOn w:val="Normal"/>
    <w:rsid w:val="005B4E4F"/>
    <w:pPr>
      <w:spacing w:before="100" w:beforeAutospacing="1" w:after="100" w:afterAutospacing="1"/>
    </w:pPr>
    <w:rPr>
      <w:rFonts w:eastAsia="Calibri"/>
    </w:rPr>
  </w:style>
  <w:style w:type="character" w:customStyle="1" w:styleId="yiv3272586507bumpedfont15">
    <w:name w:val="yiv3272586507bumpedfont15"/>
    <w:basedOn w:val="DefaultParagraphFont"/>
    <w:rsid w:val="005B4E4F"/>
  </w:style>
  <w:style w:type="character" w:styleId="Strong">
    <w:name w:val="Strong"/>
    <w:qFormat/>
    <w:locked/>
    <w:rsid w:val="003116D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389">
      <w:bodyDiv w:val="1"/>
      <w:marLeft w:val="0"/>
      <w:marRight w:val="0"/>
      <w:marTop w:val="0"/>
      <w:marBottom w:val="0"/>
      <w:divBdr>
        <w:top w:val="none" w:sz="0" w:space="0" w:color="auto"/>
        <w:left w:val="none" w:sz="0" w:space="0" w:color="auto"/>
        <w:bottom w:val="none" w:sz="0" w:space="0" w:color="auto"/>
        <w:right w:val="none" w:sz="0" w:space="0" w:color="auto"/>
      </w:divBdr>
    </w:div>
    <w:div w:id="30960941">
      <w:bodyDiv w:val="1"/>
      <w:marLeft w:val="0"/>
      <w:marRight w:val="0"/>
      <w:marTop w:val="0"/>
      <w:marBottom w:val="0"/>
      <w:divBdr>
        <w:top w:val="none" w:sz="0" w:space="0" w:color="auto"/>
        <w:left w:val="none" w:sz="0" w:space="0" w:color="auto"/>
        <w:bottom w:val="none" w:sz="0" w:space="0" w:color="auto"/>
        <w:right w:val="none" w:sz="0" w:space="0" w:color="auto"/>
      </w:divBdr>
    </w:div>
    <w:div w:id="74330517">
      <w:marLeft w:val="0"/>
      <w:marRight w:val="0"/>
      <w:marTop w:val="0"/>
      <w:marBottom w:val="0"/>
      <w:divBdr>
        <w:top w:val="none" w:sz="0" w:space="0" w:color="auto"/>
        <w:left w:val="none" w:sz="0" w:space="0" w:color="auto"/>
        <w:bottom w:val="none" w:sz="0" w:space="0" w:color="auto"/>
        <w:right w:val="none" w:sz="0" w:space="0" w:color="auto"/>
      </w:divBdr>
    </w:div>
    <w:div w:id="74330518">
      <w:marLeft w:val="0"/>
      <w:marRight w:val="0"/>
      <w:marTop w:val="0"/>
      <w:marBottom w:val="0"/>
      <w:divBdr>
        <w:top w:val="none" w:sz="0" w:space="0" w:color="auto"/>
        <w:left w:val="none" w:sz="0" w:space="0" w:color="auto"/>
        <w:bottom w:val="none" w:sz="0" w:space="0" w:color="auto"/>
        <w:right w:val="none" w:sz="0" w:space="0" w:color="auto"/>
      </w:divBdr>
    </w:div>
    <w:div w:id="74330519">
      <w:marLeft w:val="0"/>
      <w:marRight w:val="0"/>
      <w:marTop w:val="0"/>
      <w:marBottom w:val="0"/>
      <w:divBdr>
        <w:top w:val="none" w:sz="0" w:space="0" w:color="auto"/>
        <w:left w:val="none" w:sz="0" w:space="0" w:color="auto"/>
        <w:bottom w:val="none" w:sz="0" w:space="0" w:color="auto"/>
        <w:right w:val="none" w:sz="0" w:space="0" w:color="auto"/>
      </w:divBdr>
    </w:div>
    <w:div w:id="74330520">
      <w:marLeft w:val="0"/>
      <w:marRight w:val="0"/>
      <w:marTop w:val="0"/>
      <w:marBottom w:val="0"/>
      <w:divBdr>
        <w:top w:val="none" w:sz="0" w:space="0" w:color="auto"/>
        <w:left w:val="none" w:sz="0" w:space="0" w:color="auto"/>
        <w:bottom w:val="none" w:sz="0" w:space="0" w:color="auto"/>
        <w:right w:val="none" w:sz="0" w:space="0" w:color="auto"/>
      </w:divBdr>
    </w:div>
    <w:div w:id="74330521">
      <w:marLeft w:val="0"/>
      <w:marRight w:val="0"/>
      <w:marTop w:val="0"/>
      <w:marBottom w:val="0"/>
      <w:divBdr>
        <w:top w:val="none" w:sz="0" w:space="0" w:color="auto"/>
        <w:left w:val="none" w:sz="0" w:space="0" w:color="auto"/>
        <w:bottom w:val="none" w:sz="0" w:space="0" w:color="auto"/>
        <w:right w:val="none" w:sz="0" w:space="0" w:color="auto"/>
      </w:divBdr>
    </w:div>
    <w:div w:id="74330522">
      <w:marLeft w:val="0"/>
      <w:marRight w:val="0"/>
      <w:marTop w:val="0"/>
      <w:marBottom w:val="0"/>
      <w:divBdr>
        <w:top w:val="none" w:sz="0" w:space="0" w:color="auto"/>
        <w:left w:val="none" w:sz="0" w:space="0" w:color="auto"/>
        <w:bottom w:val="none" w:sz="0" w:space="0" w:color="auto"/>
        <w:right w:val="none" w:sz="0" w:space="0" w:color="auto"/>
      </w:divBdr>
    </w:div>
    <w:div w:id="74330523">
      <w:marLeft w:val="0"/>
      <w:marRight w:val="0"/>
      <w:marTop w:val="0"/>
      <w:marBottom w:val="0"/>
      <w:divBdr>
        <w:top w:val="none" w:sz="0" w:space="0" w:color="auto"/>
        <w:left w:val="none" w:sz="0" w:space="0" w:color="auto"/>
        <w:bottom w:val="none" w:sz="0" w:space="0" w:color="auto"/>
        <w:right w:val="none" w:sz="0" w:space="0" w:color="auto"/>
      </w:divBdr>
    </w:div>
    <w:div w:id="74330524">
      <w:marLeft w:val="0"/>
      <w:marRight w:val="0"/>
      <w:marTop w:val="0"/>
      <w:marBottom w:val="0"/>
      <w:divBdr>
        <w:top w:val="none" w:sz="0" w:space="0" w:color="auto"/>
        <w:left w:val="none" w:sz="0" w:space="0" w:color="auto"/>
        <w:bottom w:val="none" w:sz="0" w:space="0" w:color="auto"/>
        <w:right w:val="none" w:sz="0" w:space="0" w:color="auto"/>
      </w:divBdr>
    </w:div>
    <w:div w:id="157579970">
      <w:bodyDiv w:val="1"/>
      <w:marLeft w:val="0"/>
      <w:marRight w:val="0"/>
      <w:marTop w:val="0"/>
      <w:marBottom w:val="0"/>
      <w:divBdr>
        <w:top w:val="none" w:sz="0" w:space="0" w:color="auto"/>
        <w:left w:val="none" w:sz="0" w:space="0" w:color="auto"/>
        <w:bottom w:val="none" w:sz="0" w:space="0" w:color="auto"/>
        <w:right w:val="none" w:sz="0" w:space="0" w:color="auto"/>
      </w:divBdr>
    </w:div>
    <w:div w:id="165949350">
      <w:bodyDiv w:val="1"/>
      <w:marLeft w:val="0"/>
      <w:marRight w:val="0"/>
      <w:marTop w:val="0"/>
      <w:marBottom w:val="0"/>
      <w:divBdr>
        <w:top w:val="none" w:sz="0" w:space="0" w:color="auto"/>
        <w:left w:val="none" w:sz="0" w:space="0" w:color="auto"/>
        <w:bottom w:val="none" w:sz="0" w:space="0" w:color="auto"/>
        <w:right w:val="none" w:sz="0" w:space="0" w:color="auto"/>
      </w:divBdr>
    </w:div>
    <w:div w:id="248151125">
      <w:bodyDiv w:val="1"/>
      <w:marLeft w:val="0"/>
      <w:marRight w:val="0"/>
      <w:marTop w:val="0"/>
      <w:marBottom w:val="0"/>
      <w:divBdr>
        <w:top w:val="none" w:sz="0" w:space="0" w:color="auto"/>
        <w:left w:val="none" w:sz="0" w:space="0" w:color="auto"/>
        <w:bottom w:val="none" w:sz="0" w:space="0" w:color="auto"/>
        <w:right w:val="none" w:sz="0" w:space="0" w:color="auto"/>
      </w:divBdr>
    </w:div>
    <w:div w:id="356540226">
      <w:bodyDiv w:val="1"/>
      <w:marLeft w:val="0"/>
      <w:marRight w:val="0"/>
      <w:marTop w:val="0"/>
      <w:marBottom w:val="0"/>
      <w:divBdr>
        <w:top w:val="none" w:sz="0" w:space="0" w:color="auto"/>
        <w:left w:val="none" w:sz="0" w:space="0" w:color="auto"/>
        <w:bottom w:val="none" w:sz="0" w:space="0" w:color="auto"/>
        <w:right w:val="none" w:sz="0" w:space="0" w:color="auto"/>
      </w:divBdr>
    </w:div>
    <w:div w:id="471139345">
      <w:bodyDiv w:val="1"/>
      <w:marLeft w:val="0"/>
      <w:marRight w:val="0"/>
      <w:marTop w:val="0"/>
      <w:marBottom w:val="0"/>
      <w:divBdr>
        <w:top w:val="none" w:sz="0" w:space="0" w:color="auto"/>
        <w:left w:val="none" w:sz="0" w:space="0" w:color="auto"/>
        <w:bottom w:val="none" w:sz="0" w:space="0" w:color="auto"/>
        <w:right w:val="none" w:sz="0" w:space="0" w:color="auto"/>
      </w:divBdr>
    </w:div>
    <w:div w:id="491454664">
      <w:bodyDiv w:val="1"/>
      <w:marLeft w:val="0"/>
      <w:marRight w:val="0"/>
      <w:marTop w:val="0"/>
      <w:marBottom w:val="0"/>
      <w:divBdr>
        <w:top w:val="none" w:sz="0" w:space="0" w:color="auto"/>
        <w:left w:val="none" w:sz="0" w:space="0" w:color="auto"/>
        <w:bottom w:val="none" w:sz="0" w:space="0" w:color="auto"/>
        <w:right w:val="none" w:sz="0" w:space="0" w:color="auto"/>
      </w:divBdr>
    </w:div>
    <w:div w:id="550508078">
      <w:bodyDiv w:val="1"/>
      <w:marLeft w:val="0"/>
      <w:marRight w:val="0"/>
      <w:marTop w:val="0"/>
      <w:marBottom w:val="0"/>
      <w:divBdr>
        <w:top w:val="none" w:sz="0" w:space="0" w:color="auto"/>
        <w:left w:val="none" w:sz="0" w:space="0" w:color="auto"/>
        <w:bottom w:val="none" w:sz="0" w:space="0" w:color="auto"/>
        <w:right w:val="none" w:sz="0" w:space="0" w:color="auto"/>
      </w:divBdr>
    </w:div>
    <w:div w:id="611985436">
      <w:bodyDiv w:val="1"/>
      <w:marLeft w:val="0"/>
      <w:marRight w:val="0"/>
      <w:marTop w:val="0"/>
      <w:marBottom w:val="0"/>
      <w:divBdr>
        <w:top w:val="none" w:sz="0" w:space="0" w:color="auto"/>
        <w:left w:val="none" w:sz="0" w:space="0" w:color="auto"/>
        <w:bottom w:val="none" w:sz="0" w:space="0" w:color="auto"/>
        <w:right w:val="none" w:sz="0" w:space="0" w:color="auto"/>
      </w:divBdr>
    </w:div>
    <w:div w:id="680164776">
      <w:bodyDiv w:val="1"/>
      <w:marLeft w:val="0"/>
      <w:marRight w:val="0"/>
      <w:marTop w:val="0"/>
      <w:marBottom w:val="0"/>
      <w:divBdr>
        <w:top w:val="none" w:sz="0" w:space="0" w:color="auto"/>
        <w:left w:val="none" w:sz="0" w:space="0" w:color="auto"/>
        <w:bottom w:val="none" w:sz="0" w:space="0" w:color="auto"/>
        <w:right w:val="none" w:sz="0" w:space="0" w:color="auto"/>
      </w:divBdr>
    </w:div>
    <w:div w:id="769662254">
      <w:bodyDiv w:val="1"/>
      <w:marLeft w:val="0"/>
      <w:marRight w:val="0"/>
      <w:marTop w:val="0"/>
      <w:marBottom w:val="0"/>
      <w:divBdr>
        <w:top w:val="none" w:sz="0" w:space="0" w:color="auto"/>
        <w:left w:val="none" w:sz="0" w:space="0" w:color="auto"/>
        <w:bottom w:val="none" w:sz="0" w:space="0" w:color="auto"/>
        <w:right w:val="none" w:sz="0" w:space="0" w:color="auto"/>
      </w:divBdr>
    </w:div>
    <w:div w:id="788277641">
      <w:bodyDiv w:val="1"/>
      <w:marLeft w:val="0"/>
      <w:marRight w:val="0"/>
      <w:marTop w:val="0"/>
      <w:marBottom w:val="0"/>
      <w:divBdr>
        <w:top w:val="none" w:sz="0" w:space="0" w:color="auto"/>
        <w:left w:val="none" w:sz="0" w:space="0" w:color="auto"/>
        <w:bottom w:val="none" w:sz="0" w:space="0" w:color="auto"/>
        <w:right w:val="none" w:sz="0" w:space="0" w:color="auto"/>
      </w:divBdr>
    </w:div>
    <w:div w:id="844591458">
      <w:bodyDiv w:val="1"/>
      <w:marLeft w:val="0"/>
      <w:marRight w:val="0"/>
      <w:marTop w:val="0"/>
      <w:marBottom w:val="0"/>
      <w:divBdr>
        <w:top w:val="none" w:sz="0" w:space="0" w:color="auto"/>
        <w:left w:val="none" w:sz="0" w:space="0" w:color="auto"/>
        <w:bottom w:val="none" w:sz="0" w:space="0" w:color="auto"/>
        <w:right w:val="none" w:sz="0" w:space="0" w:color="auto"/>
      </w:divBdr>
    </w:div>
    <w:div w:id="888685052">
      <w:bodyDiv w:val="1"/>
      <w:marLeft w:val="0"/>
      <w:marRight w:val="0"/>
      <w:marTop w:val="0"/>
      <w:marBottom w:val="0"/>
      <w:divBdr>
        <w:top w:val="none" w:sz="0" w:space="0" w:color="auto"/>
        <w:left w:val="none" w:sz="0" w:space="0" w:color="auto"/>
        <w:bottom w:val="none" w:sz="0" w:space="0" w:color="auto"/>
        <w:right w:val="none" w:sz="0" w:space="0" w:color="auto"/>
      </w:divBdr>
    </w:div>
    <w:div w:id="902521474">
      <w:bodyDiv w:val="1"/>
      <w:marLeft w:val="0"/>
      <w:marRight w:val="0"/>
      <w:marTop w:val="0"/>
      <w:marBottom w:val="0"/>
      <w:divBdr>
        <w:top w:val="none" w:sz="0" w:space="0" w:color="auto"/>
        <w:left w:val="none" w:sz="0" w:space="0" w:color="auto"/>
        <w:bottom w:val="none" w:sz="0" w:space="0" w:color="auto"/>
        <w:right w:val="none" w:sz="0" w:space="0" w:color="auto"/>
      </w:divBdr>
    </w:div>
    <w:div w:id="962538415">
      <w:bodyDiv w:val="1"/>
      <w:marLeft w:val="0"/>
      <w:marRight w:val="0"/>
      <w:marTop w:val="0"/>
      <w:marBottom w:val="0"/>
      <w:divBdr>
        <w:top w:val="none" w:sz="0" w:space="0" w:color="auto"/>
        <w:left w:val="none" w:sz="0" w:space="0" w:color="auto"/>
        <w:bottom w:val="none" w:sz="0" w:space="0" w:color="auto"/>
        <w:right w:val="none" w:sz="0" w:space="0" w:color="auto"/>
      </w:divBdr>
    </w:div>
    <w:div w:id="980697605">
      <w:bodyDiv w:val="1"/>
      <w:marLeft w:val="0"/>
      <w:marRight w:val="0"/>
      <w:marTop w:val="0"/>
      <w:marBottom w:val="0"/>
      <w:divBdr>
        <w:top w:val="none" w:sz="0" w:space="0" w:color="auto"/>
        <w:left w:val="none" w:sz="0" w:space="0" w:color="auto"/>
        <w:bottom w:val="none" w:sz="0" w:space="0" w:color="auto"/>
        <w:right w:val="none" w:sz="0" w:space="0" w:color="auto"/>
      </w:divBdr>
    </w:div>
    <w:div w:id="987519406">
      <w:bodyDiv w:val="1"/>
      <w:marLeft w:val="0"/>
      <w:marRight w:val="0"/>
      <w:marTop w:val="0"/>
      <w:marBottom w:val="0"/>
      <w:divBdr>
        <w:top w:val="none" w:sz="0" w:space="0" w:color="auto"/>
        <w:left w:val="none" w:sz="0" w:space="0" w:color="auto"/>
        <w:bottom w:val="none" w:sz="0" w:space="0" w:color="auto"/>
        <w:right w:val="none" w:sz="0" w:space="0" w:color="auto"/>
      </w:divBdr>
    </w:div>
    <w:div w:id="1022828802">
      <w:bodyDiv w:val="1"/>
      <w:marLeft w:val="0"/>
      <w:marRight w:val="0"/>
      <w:marTop w:val="0"/>
      <w:marBottom w:val="0"/>
      <w:divBdr>
        <w:top w:val="none" w:sz="0" w:space="0" w:color="auto"/>
        <w:left w:val="none" w:sz="0" w:space="0" w:color="auto"/>
        <w:bottom w:val="none" w:sz="0" w:space="0" w:color="auto"/>
        <w:right w:val="none" w:sz="0" w:space="0" w:color="auto"/>
      </w:divBdr>
    </w:div>
    <w:div w:id="1064644244">
      <w:bodyDiv w:val="1"/>
      <w:marLeft w:val="0"/>
      <w:marRight w:val="0"/>
      <w:marTop w:val="0"/>
      <w:marBottom w:val="0"/>
      <w:divBdr>
        <w:top w:val="none" w:sz="0" w:space="0" w:color="auto"/>
        <w:left w:val="none" w:sz="0" w:space="0" w:color="auto"/>
        <w:bottom w:val="none" w:sz="0" w:space="0" w:color="auto"/>
        <w:right w:val="none" w:sz="0" w:space="0" w:color="auto"/>
      </w:divBdr>
    </w:div>
    <w:div w:id="1074623217">
      <w:bodyDiv w:val="1"/>
      <w:marLeft w:val="0"/>
      <w:marRight w:val="0"/>
      <w:marTop w:val="0"/>
      <w:marBottom w:val="0"/>
      <w:divBdr>
        <w:top w:val="none" w:sz="0" w:space="0" w:color="auto"/>
        <w:left w:val="none" w:sz="0" w:space="0" w:color="auto"/>
        <w:bottom w:val="none" w:sz="0" w:space="0" w:color="auto"/>
        <w:right w:val="none" w:sz="0" w:space="0" w:color="auto"/>
      </w:divBdr>
    </w:div>
    <w:div w:id="1218974709">
      <w:bodyDiv w:val="1"/>
      <w:marLeft w:val="0"/>
      <w:marRight w:val="0"/>
      <w:marTop w:val="0"/>
      <w:marBottom w:val="0"/>
      <w:divBdr>
        <w:top w:val="none" w:sz="0" w:space="0" w:color="auto"/>
        <w:left w:val="none" w:sz="0" w:space="0" w:color="auto"/>
        <w:bottom w:val="none" w:sz="0" w:space="0" w:color="auto"/>
        <w:right w:val="none" w:sz="0" w:space="0" w:color="auto"/>
      </w:divBdr>
    </w:div>
    <w:div w:id="1300040718">
      <w:bodyDiv w:val="1"/>
      <w:marLeft w:val="0"/>
      <w:marRight w:val="0"/>
      <w:marTop w:val="0"/>
      <w:marBottom w:val="0"/>
      <w:divBdr>
        <w:top w:val="none" w:sz="0" w:space="0" w:color="auto"/>
        <w:left w:val="none" w:sz="0" w:space="0" w:color="auto"/>
        <w:bottom w:val="none" w:sz="0" w:space="0" w:color="auto"/>
        <w:right w:val="none" w:sz="0" w:space="0" w:color="auto"/>
      </w:divBdr>
    </w:div>
    <w:div w:id="1326546725">
      <w:bodyDiv w:val="1"/>
      <w:marLeft w:val="0"/>
      <w:marRight w:val="0"/>
      <w:marTop w:val="0"/>
      <w:marBottom w:val="0"/>
      <w:divBdr>
        <w:top w:val="none" w:sz="0" w:space="0" w:color="auto"/>
        <w:left w:val="none" w:sz="0" w:space="0" w:color="auto"/>
        <w:bottom w:val="none" w:sz="0" w:space="0" w:color="auto"/>
        <w:right w:val="none" w:sz="0" w:space="0" w:color="auto"/>
      </w:divBdr>
    </w:div>
    <w:div w:id="1620606666">
      <w:bodyDiv w:val="1"/>
      <w:marLeft w:val="0"/>
      <w:marRight w:val="0"/>
      <w:marTop w:val="0"/>
      <w:marBottom w:val="0"/>
      <w:divBdr>
        <w:top w:val="none" w:sz="0" w:space="0" w:color="auto"/>
        <w:left w:val="none" w:sz="0" w:space="0" w:color="auto"/>
        <w:bottom w:val="none" w:sz="0" w:space="0" w:color="auto"/>
        <w:right w:val="none" w:sz="0" w:space="0" w:color="auto"/>
      </w:divBdr>
    </w:div>
    <w:div w:id="1693528037">
      <w:bodyDiv w:val="1"/>
      <w:marLeft w:val="0"/>
      <w:marRight w:val="0"/>
      <w:marTop w:val="0"/>
      <w:marBottom w:val="0"/>
      <w:divBdr>
        <w:top w:val="none" w:sz="0" w:space="0" w:color="auto"/>
        <w:left w:val="none" w:sz="0" w:space="0" w:color="auto"/>
        <w:bottom w:val="none" w:sz="0" w:space="0" w:color="auto"/>
        <w:right w:val="none" w:sz="0" w:space="0" w:color="auto"/>
      </w:divBdr>
    </w:div>
    <w:div w:id="1698503805">
      <w:bodyDiv w:val="1"/>
      <w:marLeft w:val="0"/>
      <w:marRight w:val="0"/>
      <w:marTop w:val="0"/>
      <w:marBottom w:val="0"/>
      <w:divBdr>
        <w:top w:val="none" w:sz="0" w:space="0" w:color="auto"/>
        <w:left w:val="none" w:sz="0" w:space="0" w:color="auto"/>
        <w:bottom w:val="none" w:sz="0" w:space="0" w:color="auto"/>
        <w:right w:val="none" w:sz="0" w:space="0" w:color="auto"/>
      </w:divBdr>
    </w:div>
    <w:div w:id="1854371448">
      <w:bodyDiv w:val="1"/>
      <w:marLeft w:val="0"/>
      <w:marRight w:val="0"/>
      <w:marTop w:val="0"/>
      <w:marBottom w:val="0"/>
      <w:divBdr>
        <w:top w:val="none" w:sz="0" w:space="0" w:color="auto"/>
        <w:left w:val="none" w:sz="0" w:space="0" w:color="auto"/>
        <w:bottom w:val="none" w:sz="0" w:space="0" w:color="auto"/>
        <w:right w:val="none" w:sz="0" w:space="0" w:color="auto"/>
      </w:divBdr>
    </w:div>
    <w:div w:id="1938050451">
      <w:bodyDiv w:val="1"/>
      <w:marLeft w:val="0"/>
      <w:marRight w:val="0"/>
      <w:marTop w:val="0"/>
      <w:marBottom w:val="0"/>
      <w:divBdr>
        <w:top w:val="none" w:sz="0" w:space="0" w:color="auto"/>
        <w:left w:val="none" w:sz="0" w:space="0" w:color="auto"/>
        <w:bottom w:val="none" w:sz="0" w:space="0" w:color="auto"/>
        <w:right w:val="none" w:sz="0" w:space="0" w:color="auto"/>
      </w:divBdr>
    </w:div>
    <w:div w:id="1945527452">
      <w:bodyDiv w:val="1"/>
      <w:marLeft w:val="0"/>
      <w:marRight w:val="0"/>
      <w:marTop w:val="0"/>
      <w:marBottom w:val="0"/>
      <w:divBdr>
        <w:top w:val="none" w:sz="0" w:space="0" w:color="auto"/>
        <w:left w:val="none" w:sz="0" w:space="0" w:color="auto"/>
        <w:bottom w:val="none" w:sz="0" w:space="0" w:color="auto"/>
        <w:right w:val="none" w:sz="0" w:space="0" w:color="auto"/>
      </w:divBdr>
    </w:div>
    <w:div w:id="2074086224">
      <w:bodyDiv w:val="1"/>
      <w:marLeft w:val="0"/>
      <w:marRight w:val="0"/>
      <w:marTop w:val="0"/>
      <w:marBottom w:val="0"/>
      <w:divBdr>
        <w:top w:val="none" w:sz="0" w:space="0" w:color="auto"/>
        <w:left w:val="none" w:sz="0" w:space="0" w:color="auto"/>
        <w:bottom w:val="none" w:sz="0" w:space="0" w:color="auto"/>
        <w:right w:val="none" w:sz="0" w:space="0" w:color="auto"/>
      </w:divBdr>
    </w:div>
    <w:div w:id="2076201698">
      <w:bodyDiv w:val="1"/>
      <w:marLeft w:val="0"/>
      <w:marRight w:val="0"/>
      <w:marTop w:val="0"/>
      <w:marBottom w:val="0"/>
      <w:divBdr>
        <w:top w:val="none" w:sz="0" w:space="0" w:color="auto"/>
        <w:left w:val="none" w:sz="0" w:space="0" w:color="auto"/>
        <w:bottom w:val="none" w:sz="0" w:space="0" w:color="auto"/>
        <w:right w:val="none" w:sz="0" w:space="0" w:color="auto"/>
      </w:divBdr>
    </w:div>
    <w:div w:id="21159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69B3-AD3A-4C89-A26A-8C3F9AEF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The Georgia Public Service Commission (the "Commission") hereby issues this Procedural and Scheduling order for the purpose of initiating a proceeding to hear evidence regarding whether to verify expenditures as made pursuant to a certificated capacity r</vt:lpstr>
    </vt:vector>
  </TitlesOfParts>
  <Company>Microsoft</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Georgia Public Service Commission (the "Commission") hereby issues this Procedural and Scheduling order for the purpose of initiating a proceeding to hear evidence regarding whether to verify expenditures as made pursuant to a certificated capacity r</dc:title>
  <dc:subject/>
  <dc:creator>Semolina Pilchard</dc:creator>
  <cp:keywords/>
  <cp:lastModifiedBy>Reece McAlister</cp:lastModifiedBy>
  <cp:revision>3</cp:revision>
  <cp:lastPrinted>2021-08-24T15:52:00Z</cp:lastPrinted>
  <dcterms:created xsi:type="dcterms:W3CDTF">2021-08-24T15:54:00Z</dcterms:created>
  <dcterms:modified xsi:type="dcterms:W3CDTF">2021-08-24T20:11:00Z</dcterms:modified>
</cp:coreProperties>
</file>