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0D6A" w14:textId="77777777" w:rsidR="007703FE" w:rsidRPr="007703FE" w:rsidRDefault="007703FE" w:rsidP="007703FE">
      <w:pPr>
        <w:jc w:val="center"/>
        <w:rPr>
          <w:b/>
        </w:rPr>
      </w:pPr>
      <w:r w:rsidRPr="007703FE">
        <w:rPr>
          <w:b/>
        </w:rPr>
        <w:t>STATE OF GEORGIA</w:t>
      </w:r>
    </w:p>
    <w:p w14:paraId="481D73FF" w14:textId="77777777" w:rsidR="007703FE" w:rsidRPr="007703FE" w:rsidRDefault="007703FE" w:rsidP="007703FE">
      <w:pPr>
        <w:jc w:val="center"/>
        <w:rPr>
          <w:b/>
        </w:rPr>
      </w:pPr>
    </w:p>
    <w:p w14:paraId="2CF7EB55" w14:textId="77777777" w:rsidR="007703FE" w:rsidRPr="007703FE" w:rsidRDefault="007703FE" w:rsidP="007703FE">
      <w:pPr>
        <w:jc w:val="center"/>
        <w:rPr>
          <w:b/>
        </w:rPr>
      </w:pPr>
      <w:r w:rsidRPr="007703FE">
        <w:rPr>
          <w:b/>
        </w:rPr>
        <w:t>BEFORE THE</w:t>
      </w:r>
    </w:p>
    <w:p w14:paraId="3E0BF2B9" w14:textId="77777777" w:rsidR="007703FE" w:rsidRPr="007703FE" w:rsidRDefault="007703FE" w:rsidP="007703FE">
      <w:pPr>
        <w:jc w:val="center"/>
        <w:rPr>
          <w:b/>
        </w:rPr>
      </w:pPr>
      <w:r w:rsidRPr="007703FE">
        <w:rPr>
          <w:b/>
        </w:rPr>
        <w:t>GEORGIA PUBLIC SERVICE COMMISSION</w:t>
      </w:r>
    </w:p>
    <w:p w14:paraId="6B6B6AB0" w14:textId="5B6CA503" w:rsidR="007703FE" w:rsidRDefault="007703FE" w:rsidP="007703FE"/>
    <w:p w14:paraId="72033A68" w14:textId="77777777" w:rsidR="007703FE" w:rsidRPr="007703FE" w:rsidRDefault="007703FE" w:rsidP="007703F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584"/>
      </w:tblGrid>
      <w:tr w:rsidR="007703FE" w14:paraId="1D3B274B" w14:textId="77777777" w:rsidTr="007703FE">
        <w:tc>
          <w:tcPr>
            <w:tcW w:w="4675" w:type="dxa"/>
          </w:tcPr>
          <w:p w14:paraId="5ABD71F4" w14:textId="77777777" w:rsidR="007703FE" w:rsidRDefault="007703FE" w:rsidP="007703FE">
            <w:r w:rsidRPr="007703FE">
              <w:t>In Re</w:t>
            </w:r>
            <w:r>
              <w:t>: Georgia Power Company’s Application to Adjust Rates to Include Certain Plant Vogtle Unit 3 and Common Costs</w:t>
            </w:r>
          </w:p>
          <w:p w14:paraId="2F389017" w14:textId="70540DAA" w:rsidR="007703FE" w:rsidRDefault="007703FE" w:rsidP="007703FE">
            <w:r>
              <w:t>______________________________________</w:t>
            </w:r>
          </w:p>
        </w:tc>
        <w:tc>
          <w:tcPr>
            <w:tcW w:w="4675" w:type="dxa"/>
            <w:vAlign w:val="center"/>
          </w:tcPr>
          <w:p w14:paraId="27FC8305" w14:textId="1D599474" w:rsidR="007703FE" w:rsidRDefault="007703FE" w:rsidP="007703FE">
            <w:pPr>
              <w:jc w:val="right"/>
            </w:pPr>
            <w:r w:rsidRPr="007703FE">
              <w:t xml:space="preserve">Docket No. </w:t>
            </w:r>
            <w:r w:rsidR="00BB739F">
              <w:t>43838</w:t>
            </w:r>
          </w:p>
        </w:tc>
      </w:tr>
    </w:tbl>
    <w:p w14:paraId="4BF377E4" w14:textId="77777777" w:rsidR="007703FE" w:rsidRPr="007703FE" w:rsidRDefault="007703FE" w:rsidP="007703FE"/>
    <w:p w14:paraId="6AD448B1" w14:textId="77777777" w:rsidR="005F5938" w:rsidRDefault="007703FE" w:rsidP="005F5938">
      <w:pPr>
        <w:jc w:val="center"/>
        <w:rPr>
          <w:b/>
          <w:u w:val="single"/>
        </w:rPr>
      </w:pPr>
      <w:r w:rsidRPr="007703FE">
        <w:rPr>
          <w:b/>
          <w:u w:val="single"/>
        </w:rPr>
        <w:t>GEORGIA POWER COMPANY</w:t>
      </w:r>
      <w:r w:rsidR="005F5938">
        <w:rPr>
          <w:b/>
          <w:u w:val="single"/>
        </w:rPr>
        <w:t>’S APPLICATION</w:t>
      </w:r>
      <w:r w:rsidRPr="007703FE">
        <w:rPr>
          <w:b/>
          <w:u w:val="single"/>
        </w:rPr>
        <w:t xml:space="preserve"> TO</w:t>
      </w:r>
      <w:r w:rsidR="005F5938">
        <w:rPr>
          <w:b/>
          <w:u w:val="single"/>
        </w:rPr>
        <w:t xml:space="preserve"> ADJUST RATES </w:t>
      </w:r>
    </w:p>
    <w:p w14:paraId="21B09F75" w14:textId="72A9B03C" w:rsidR="007703FE" w:rsidRPr="007703FE" w:rsidRDefault="005F5938" w:rsidP="005F5938">
      <w:pPr>
        <w:jc w:val="center"/>
        <w:rPr>
          <w:b/>
          <w:u w:val="single"/>
        </w:rPr>
      </w:pPr>
      <w:r>
        <w:rPr>
          <w:b/>
          <w:u w:val="single"/>
        </w:rPr>
        <w:t>TO INCLUDE CERTAIN PLANT VOGTLE UNIT 3 AND COMMON COSTS</w:t>
      </w:r>
    </w:p>
    <w:p w14:paraId="0FE20919" w14:textId="77777777" w:rsidR="007703FE" w:rsidRPr="007703FE" w:rsidRDefault="007703FE" w:rsidP="007703FE"/>
    <w:p w14:paraId="40B425ED" w14:textId="727F061F" w:rsidR="00840D8B" w:rsidRDefault="007703FE" w:rsidP="0073720A">
      <w:pPr>
        <w:ind w:firstLine="720"/>
        <w:jc w:val="both"/>
      </w:pPr>
      <w:r w:rsidRPr="007703FE">
        <w:t xml:space="preserve">Georgia Power Company (“Georgia Power” or the “Company”) hereby files its </w:t>
      </w:r>
      <w:r w:rsidR="005F5938">
        <w:t>Application to Adjust Rates to Include Certain Plant Vogtle Unit 3 and Common Costs</w:t>
      </w:r>
      <w:r w:rsidR="00725077">
        <w:t xml:space="preserve"> (“Application”)</w:t>
      </w:r>
      <w:r w:rsidR="005F5938">
        <w:t>.</w:t>
      </w:r>
      <w:r w:rsidR="0068593C">
        <w:t xml:space="preserve"> </w:t>
      </w:r>
      <w:r w:rsidR="0058051F">
        <w:t xml:space="preserve">As </w:t>
      </w:r>
      <w:r w:rsidR="00234EE5">
        <w:t>provided</w:t>
      </w:r>
      <w:r w:rsidR="0058051F">
        <w:t xml:space="preserve"> in the</w:t>
      </w:r>
      <w:r w:rsidR="00234EE5">
        <w:t xml:space="preserve"> Georgia Public Service Commission’s</w:t>
      </w:r>
      <w:r w:rsidR="0058051F">
        <w:t xml:space="preserve"> </w:t>
      </w:r>
      <w:r w:rsidR="00234EE5">
        <w:t>(“</w:t>
      </w:r>
      <w:r w:rsidR="0058051F">
        <w:t>Commission</w:t>
      </w:r>
      <w:r w:rsidR="00234EE5">
        <w:t>”)</w:t>
      </w:r>
      <w:r w:rsidR="0058051F">
        <w:t xml:space="preserve"> January 11, 2018 Order on the 17</w:t>
      </w:r>
      <w:r w:rsidR="0058051F" w:rsidRPr="00EB0F54">
        <w:rPr>
          <w:vertAlign w:val="superscript"/>
        </w:rPr>
        <w:t>th</w:t>
      </w:r>
      <w:r w:rsidR="0058051F">
        <w:t xml:space="preserve"> Vogtle Construction Monitoring (“VCM”) Report in Docket No. 29849 (“VCM 17 Order”), </w:t>
      </w:r>
      <w:r w:rsidR="002F0729">
        <w:t>“</w:t>
      </w:r>
      <w:r w:rsidR="0058051F">
        <w:t>retail base rates shall be adjusted to include the costs related to Unit 3 and common facilities deemed prudent in the January 3, 2017 Stipulation</w:t>
      </w:r>
      <w:r w:rsidR="00234EE5">
        <w:t>,</w:t>
      </w:r>
      <w:r w:rsidR="002F0729">
        <w:t>”</w:t>
      </w:r>
      <w:r w:rsidR="0058051F">
        <w:t xml:space="preserve"> effective the first month after Unit</w:t>
      </w:r>
      <w:r w:rsidR="009609CB">
        <w:t> </w:t>
      </w:r>
      <w:r w:rsidR="0058051F">
        <w:t xml:space="preserve">3 is in Commercial Operation. </w:t>
      </w:r>
      <w:r w:rsidR="00A33226">
        <w:t xml:space="preserve">(VCM 17 Order at 18.) </w:t>
      </w:r>
      <w:r w:rsidR="0058051F">
        <w:t xml:space="preserve">The Company’s </w:t>
      </w:r>
      <w:r w:rsidR="00234EE5">
        <w:t>Application</w:t>
      </w:r>
      <w:r w:rsidR="0058051F">
        <w:t xml:space="preserve"> is consistent with the Commission’s intent and directive</w:t>
      </w:r>
      <w:r w:rsidR="00234EE5">
        <w:t>s</w:t>
      </w:r>
      <w:r w:rsidR="00895AA9">
        <w:t xml:space="preserve"> as stated in the</w:t>
      </w:r>
      <w:r w:rsidR="0058051F">
        <w:t xml:space="preserve"> VCM 17 Order, the Commission’s January 3, 2017 Supplemental Information Review (</w:t>
      </w:r>
      <w:r w:rsidR="00895AA9">
        <w:t>“</w:t>
      </w:r>
      <w:r w:rsidR="0058051F">
        <w:t>SIR</w:t>
      </w:r>
      <w:r w:rsidR="00895AA9">
        <w:t>”</w:t>
      </w:r>
      <w:r w:rsidR="0058051F">
        <w:t>) Order Adopting Stipulation</w:t>
      </w:r>
      <w:r w:rsidR="00895AA9">
        <w:t xml:space="preserve"> in Docket No. 29849</w:t>
      </w:r>
      <w:r w:rsidR="00234EE5">
        <w:t xml:space="preserve"> (“SIR Order”)</w:t>
      </w:r>
      <w:r w:rsidR="0058051F">
        <w:t>, and the</w:t>
      </w:r>
      <w:r w:rsidR="00895AA9">
        <w:t xml:space="preserve"> Procedural and Scheduling Order</w:t>
      </w:r>
      <w:r w:rsidR="00534946">
        <w:t xml:space="preserve"> dated May 20, 2021</w:t>
      </w:r>
      <w:r w:rsidR="00895AA9">
        <w:t xml:space="preserve"> (“PSO”) in this docket.</w:t>
      </w:r>
      <w:r w:rsidR="0058051F">
        <w:t xml:space="preserve"> </w:t>
      </w:r>
    </w:p>
    <w:p w14:paraId="0EBA9CBD" w14:textId="77777777" w:rsidR="00840D8B" w:rsidRDefault="00840D8B" w:rsidP="0073720A">
      <w:pPr>
        <w:jc w:val="both"/>
      </w:pPr>
    </w:p>
    <w:p w14:paraId="19017144" w14:textId="07DBC7B6" w:rsidR="005F5938" w:rsidRDefault="00234EE5" w:rsidP="0073720A">
      <w:pPr>
        <w:ind w:firstLine="720"/>
        <w:jc w:val="both"/>
      </w:pPr>
      <w:r>
        <w:t>This</w:t>
      </w:r>
      <w:r w:rsidR="0068593C">
        <w:t xml:space="preserve"> Application responds to each of the six issues identified by the </w:t>
      </w:r>
      <w:r w:rsidR="00896633">
        <w:t xml:space="preserve">Commission </w:t>
      </w:r>
      <w:r w:rsidR="0068593C">
        <w:t>in the</w:t>
      </w:r>
      <w:r w:rsidR="005F5938">
        <w:t xml:space="preserve"> </w:t>
      </w:r>
      <w:r w:rsidR="00A0655D">
        <w:t xml:space="preserve">PSO. </w:t>
      </w:r>
      <w:r w:rsidR="00725077">
        <w:t>In addition</w:t>
      </w:r>
      <w:r w:rsidR="00A0655D">
        <w:t>,</w:t>
      </w:r>
      <w:r w:rsidR="00725077">
        <w:t xml:space="preserve"> Georgia Power </w:t>
      </w:r>
      <w:r w:rsidR="000F19C8">
        <w:t>is filing</w:t>
      </w:r>
      <w:r w:rsidR="00725077">
        <w:t xml:space="preserve"> the Minimum Filing Requirements (“MFRs”)</w:t>
      </w:r>
      <w:r w:rsidR="000F19C8">
        <w:t xml:space="preserve"> as set forth in</w:t>
      </w:r>
      <w:r w:rsidR="00D9550B">
        <w:t xml:space="preserve"> </w:t>
      </w:r>
      <w:r w:rsidR="00823660">
        <w:t xml:space="preserve">Attachment </w:t>
      </w:r>
      <w:r w:rsidR="00D9550B">
        <w:t>A to the PSO</w:t>
      </w:r>
      <w:r w:rsidR="00A0655D">
        <w:t xml:space="preserve">. </w:t>
      </w:r>
      <w:r w:rsidR="00C07636">
        <w:t xml:space="preserve">The purpose of this Application, along with the MFRs, is to </w:t>
      </w:r>
      <w:r w:rsidR="00AB6DB6">
        <w:t>present</w:t>
      </w:r>
      <w:r w:rsidR="00C07636">
        <w:t xml:space="preserve"> </w:t>
      </w:r>
      <w:r w:rsidR="008051AA">
        <w:t xml:space="preserve">the </w:t>
      </w:r>
      <w:r w:rsidR="00AB3A9C">
        <w:t>costs related to</w:t>
      </w:r>
      <w:r w:rsidR="00E77592">
        <w:t xml:space="preserve"> the</w:t>
      </w:r>
      <w:r w:rsidR="00AB3A9C">
        <w:t xml:space="preserve"> </w:t>
      </w:r>
      <w:r w:rsidR="008051AA">
        <w:t xml:space="preserve">Unit 3 and </w:t>
      </w:r>
      <w:r w:rsidR="00B26A3B">
        <w:t xml:space="preserve">Common </w:t>
      </w:r>
      <w:r w:rsidR="008051AA">
        <w:t>facilities</w:t>
      </w:r>
      <w:r w:rsidR="001206AE">
        <w:t xml:space="preserve"> </w:t>
      </w:r>
      <w:r w:rsidR="008051AA">
        <w:t xml:space="preserve">deemed prudent in the January 3, 2017 SIR Stipulation </w:t>
      </w:r>
      <w:r w:rsidR="00BF74CA">
        <w:t xml:space="preserve">(“Unit 3 and Common Costs”) </w:t>
      </w:r>
      <w:r w:rsidR="008051AA">
        <w:t>that</w:t>
      </w:r>
      <w:r w:rsidR="00C07636">
        <w:t xml:space="preserve"> will go into rates the month after Unit 3 achieves </w:t>
      </w:r>
      <w:r w:rsidR="0011009C">
        <w:t xml:space="preserve">Commercial Operation </w:t>
      </w:r>
      <w:r w:rsidR="00C07636">
        <w:t xml:space="preserve">and the mechanics of how rates will be adjusted to account for </w:t>
      </w:r>
      <w:r w:rsidR="007E59C1">
        <w:t>the already deemed prudent</w:t>
      </w:r>
      <w:r w:rsidR="00BF6144">
        <w:t xml:space="preserve"> costs</w:t>
      </w:r>
      <w:r w:rsidR="00C07636">
        <w:t>.</w:t>
      </w:r>
    </w:p>
    <w:p w14:paraId="5A14425F" w14:textId="6AA80F99" w:rsidR="00725077" w:rsidRDefault="0076247F" w:rsidP="0073720A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6247F">
        <w:rPr>
          <w:rFonts w:ascii="Times New Roman" w:hAnsi="Times New Roman" w:cs="Times New Roman"/>
          <w:b/>
          <w:bCs/>
          <w:color w:val="auto"/>
          <w:sz w:val="24"/>
          <w:szCs w:val="24"/>
        </w:rPr>
        <w:t>BACKGROUND</w:t>
      </w:r>
    </w:p>
    <w:p w14:paraId="4C6B56AB" w14:textId="5BF0FAC6" w:rsidR="0068593C" w:rsidRDefault="0068593C" w:rsidP="0073720A">
      <w:pPr>
        <w:jc w:val="both"/>
      </w:pPr>
    </w:p>
    <w:p w14:paraId="7568056B" w14:textId="0E37DCC7" w:rsidR="00AD14DA" w:rsidRDefault="002C7D32" w:rsidP="0073720A">
      <w:pPr>
        <w:ind w:firstLine="720"/>
        <w:jc w:val="both"/>
      </w:pPr>
      <w:r w:rsidRPr="00BF6144">
        <w:t xml:space="preserve">The </w:t>
      </w:r>
      <w:r w:rsidR="00792946">
        <w:t>SIR</w:t>
      </w:r>
      <w:r w:rsidR="003451C4" w:rsidRPr="00BF6144">
        <w:t xml:space="preserve"> Stipulation, adopted by the </w:t>
      </w:r>
      <w:r w:rsidRPr="00BF6144">
        <w:t>Commission</w:t>
      </w:r>
      <w:r w:rsidR="00BF6144" w:rsidRPr="00BF6144">
        <w:t xml:space="preserve"> in </w:t>
      </w:r>
      <w:r w:rsidR="00792946">
        <w:t>the</w:t>
      </w:r>
      <w:r w:rsidR="003451C4" w:rsidRPr="00BF6144">
        <w:t xml:space="preserve"> SIR</w:t>
      </w:r>
      <w:r w:rsidRPr="00BF6144">
        <w:t xml:space="preserve"> Order</w:t>
      </w:r>
      <w:r w:rsidR="00BF6144">
        <w:t xml:space="preserve">, </w:t>
      </w:r>
      <w:r w:rsidR="000C3EA8">
        <w:t xml:space="preserve">provided that </w:t>
      </w:r>
      <w:r w:rsidR="00916BD5">
        <w:t xml:space="preserve">none of the costs that were incurred, </w:t>
      </w:r>
      <w:r w:rsidR="00872ACC">
        <w:t>verified</w:t>
      </w:r>
      <w:r w:rsidR="00916BD5">
        <w:t>, and approved through the 14</w:t>
      </w:r>
      <w:r w:rsidR="00916BD5" w:rsidRPr="00916BD5">
        <w:rPr>
          <w:vertAlign w:val="superscript"/>
        </w:rPr>
        <w:t>th</w:t>
      </w:r>
      <w:r w:rsidR="00916BD5">
        <w:t xml:space="preserve"> VCM</w:t>
      </w:r>
      <w:r w:rsidR="00F94C1E">
        <w:t xml:space="preserve">, </w:t>
      </w:r>
      <w:r w:rsidR="00DC593E">
        <w:t>and none of the</w:t>
      </w:r>
      <w:r w:rsidR="00F94C1E">
        <w:t xml:space="preserve"> amounts paid, or to be paid, pursuant to the </w:t>
      </w:r>
      <w:r w:rsidR="00020BB5">
        <w:t>s</w:t>
      </w:r>
      <w:r w:rsidR="00F94C1E">
        <w:t xml:space="preserve">ettlement between the Owners and </w:t>
      </w:r>
      <w:r w:rsidR="00D1088C">
        <w:t xml:space="preserve">Westinghouse and </w:t>
      </w:r>
      <w:r w:rsidR="00F94C1E">
        <w:t xml:space="preserve">CB&amp;I </w:t>
      </w:r>
      <w:r w:rsidR="00020BB5">
        <w:t>/</w:t>
      </w:r>
      <w:r w:rsidR="00F94C1E">
        <w:t xml:space="preserve"> Stone </w:t>
      </w:r>
      <w:r w:rsidR="002C312E">
        <w:t xml:space="preserve">&amp; </w:t>
      </w:r>
      <w:r w:rsidR="00F94C1E">
        <w:t>Webster</w:t>
      </w:r>
      <w:r w:rsidR="002C312E">
        <w:t xml:space="preserve"> (collectively, “Westinghouse”)</w:t>
      </w:r>
      <w:r w:rsidR="00F94C1E">
        <w:t>,</w:t>
      </w:r>
      <w:r w:rsidR="0030640C">
        <w:t xml:space="preserve"> </w:t>
      </w:r>
      <w:r w:rsidR="001B34BF">
        <w:t xml:space="preserve">should be disallowed from rate base on the basis of imprudence as specified in O.C.G.A. § 46-3A-7. </w:t>
      </w:r>
      <w:r w:rsidR="00AB472F">
        <w:t xml:space="preserve">(SIR Stipulation at ¶¶ 1-2.) </w:t>
      </w:r>
      <w:r w:rsidR="009A0888">
        <w:t>The</w:t>
      </w:r>
      <w:r w:rsidR="001B34BF">
        <w:t xml:space="preserve"> SIR Stipulation</w:t>
      </w:r>
      <w:r w:rsidR="009A0888">
        <w:t xml:space="preserve"> also</w:t>
      </w:r>
      <w:r w:rsidR="001B34BF">
        <w:t xml:space="preserve"> provided that financing costs on capital dollars that have been verified and approved will be deemed prudent provided they are incurred pursuant to O.C.G.A. §</w:t>
      </w:r>
      <w:r w:rsidR="002F0729">
        <w:t> </w:t>
      </w:r>
      <w:r w:rsidR="001B34BF">
        <w:t xml:space="preserve">46-2-25 and </w:t>
      </w:r>
      <w:r w:rsidR="00AB472F">
        <w:t>the SIR Stipulation,</w:t>
      </w:r>
      <w:r w:rsidR="001B34BF">
        <w:t xml:space="preserve"> and </w:t>
      </w:r>
      <w:r w:rsidR="001B34BF" w:rsidRPr="00E229D2">
        <w:t>provided that they are incurred prior to December 31, 2019 for Unit 3</w:t>
      </w:r>
      <w:r w:rsidR="001B34BF">
        <w:t xml:space="preserve">. </w:t>
      </w:r>
      <w:r w:rsidR="00AB472F">
        <w:t>(SIR Stipulation at ¶ 8.)</w:t>
      </w:r>
      <w:r w:rsidR="00DC593E">
        <w:t xml:space="preserve"> </w:t>
      </w:r>
    </w:p>
    <w:p w14:paraId="7A34D24D" w14:textId="77777777" w:rsidR="00AD14DA" w:rsidRDefault="00AD14DA" w:rsidP="0073720A">
      <w:pPr>
        <w:jc w:val="both"/>
      </w:pPr>
    </w:p>
    <w:p w14:paraId="49AF07B0" w14:textId="7B241E39" w:rsidR="00AD14DA" w:rsidRDefault="009A0888" w:rsidP="0073720A">
      <w:pPr>
        <w:ind w:firstLine="720"/>
        <w:jc w:val="both"/>
        <w:rPr>
          <w:szCs w:val="22"/>
        </w:rPr>
      </w:pPr>
      <w:r>
        <w:t xml:space="preserve">At the time the SIR Stipulation was adopted, the Commission assumed that Units 3 and 4 would go into rates together at the later of </w:t>
      </w:r>
      <w:r w:rsidR="0011009C">
        <w:t xml:space="preserve">Commercial Operation </w:t>
      </w:r>
      <w:r>
        <w:t xml:space="preserve">or December 31, 2020. </w:t>
      </w:r>
      <w:r w:rsidR="002B4463">
        <w:t xml:space="preserve">(SIR Stipulation at ¶ 12.) </w:t>
      </w:r>
      <w:r w:rsidR="00C816BB">
        <w:t>T</w:t>
      </w:r>
      <w:r w:rsidR="00816897">
        <w:t>he SIR Stipulation also defined “Commercial Operation” to mean “the unit being fully dispatchable on demand at the stated Net Electrical output of 1,102 MWe.”</w:t>
      </w:r>
      <w:r w:rsidR="002B4463">
        <w:t xml:space="preserve"> (SIR Stipulation at ¶ 13.)</w:t>
      </w:r>
      <w:r w:rsidR="0030640C">
        <w:t xml:space="preserve"> </w:t>
      </w:r>
      <w:r w:rsidR="002F0729">
        <w:rPr>
          <w:szCs w:val="22"/>
        </w:rPr>
        <w:t>The SIR</w:t>
      </w:r>
      <w:r w:rsidR="00AD14DA">
        <w:rPr>
          <w:szCs w:val="22"/>
        </w:rPr>
        <w:t xml:space="preserve"> Stipulation </w:t>
      </w:r>
      <w:r w:rsidR="00584FA3">
        <w:rPr>
          <w:szCs w:val="22"/>
        </w:rPr>
        <w:t xml:space="preserve">specified </w:t>
      </w:r>
      <w:r w:rsidR="00AD14DA">
        <w:rPr>
          <w:szCs w:val="22"/>
        </w:rPr>
        <w:t xml:space="preserve">that the original Certificate </w:t>
      </w:r>
      <w:r w:rsidR="00584FA3">
        <w:rPr>
          <w:szCs w:val="22"/>
        </w:rPr>
        <w:t xml:space="preserve">of Convenience and Necessity for Vogtle Units 3 and 4 </w:t>
      </w:r>
      <w:r w:rsidR="002B4463">
        <w:rPr>
          <w:szCs w:val="22"/>
        </w:rPr>
        <w:t xml:space="preserve">(“Certificate”) </w:t>
      </w:r>
      <w:r w:rsidR="00AD14DA">
        <w:rPr>
          <w:szCs w:val="22"/>
        </w:rPr>
        <w:t>would not be amended</w:t>
      </w:r>
      <w:r w:rsidR="002B4463">
        <w:rPr>
          <w:szCs w:val="22"/>
        </w:rPr>
        <w:t>,</w:t>
      </w:r>
      <w:r w:rsidR="00AD14DA">
        <w:rPr>
          <w:szCs w:val="22"/>
        </w:rPr>
        <w:t xml:space="preserve"> that the </w:t>
      </w:r>
      <w:r w:rsidR="00D9647A">
        <w:rPr>
          <w:szCs w:val="22"/>
        </w:rPr>
        <w:t>Nuclear Construction Cost Recovery (“</w:t>
      </w:r>
      <w:r w:rsidR="00AD14DA">
        <w:rPr>
          <w:szCs w:val="22"/>
        </w:rPr>
        <w:t>NCCR</w:t>
      </w:r>
      <w:r w:rsidR="00D9647A">
        <w:rPr>
          <w:szCs w:val="22"/>
        </w:rPr>
        <w:t>”) tariff</w:t>
      </w:r>
      <w:r w:rsidR="00AD14DA">
        <w:rPr>
          <w:szCs w:val="22"/>
        </w:rPr>
        <w:t xml:space="preserve"> would be applied only to collect the financing costs on the $4.418 billion originally certified, </w:t>
      </w:r>
      <w:r w:rsidR="00584FA3">
        <w:rPr>
          <w:szCs w:val="22"/>
        </w:rPr>
        <w:t xml:space="preserve">and that </w:t>
      </w:r>
      <w:r w:rsidR="00B26A3B">
        <w:rPr>
          <w:szCs w:val="22"/>
        </w:rPr>
        <w:t xml:space="preserve">Allowance </w:t>
      </w:r>
      <w:r w:rsidR="00217028">
        <w:rPr>
          <w:szCs w:val="22"/>
        </w:rPr>
        <w:t xml:space="preserve">for </w:t>
      </w:r>
      <w:r w:rsidR="00B26A3B">
        <w:rPr>
          <w:szCs w:val="22"/>
        </w:rPr>
        <w:t xml:space="preserve">Funds Used During Construction </w:t>
      </w:r>
      <w:r w:rsidR="00217028">
        <w:rPr>
          <w:szCs w:val="22"/>
        </w:rPr>
        <w:t>(“</w:t>
      </w:r>
      <w:r w:rsidR="00AD14DA">
        <w:rPr>
          <w:szCs w:val="22"/>
        </w:rPr>
        <w:t>AFUDC</w:t>
      </w:r>
      <w:r w:rsidR="00217028">
        <w:rPr>
          <w:szCs w:val="22"/>
        </w:rPr>
        <w:t>”)</w:t>
      </w:r>
      <w:r w:rsidR="00AD14DA">
        <w:rPr>
          <w:szCs w:val="22"/>
        </w:rPr>
        <w:t xml:space="preserve"> </w:t>
      </w:r>
      <w:r w:rsidR="00584FA3">
        <w:rPr>
          <w:szCs w:val="22"/>
        </w:rPr>
        <w:t xml:space="preserve">accounting treatment </w:t>
      </w:r>
      <w:r w:rsidR="00AD14DA">
        <w:rPr>
          <w:szCs w:val="22"/>
        </w:rPr>
        <w:t xml:space="preserve">would be used for financing costs on capital investment </w:t>
      </w:r>
      <w:r w:rsidR="00584FA3">
        <w:rPr>
          <w:szCs w:val="22"/>
        </w:rPr>
        <w:t xml:space="preserve">above </w:t>
      </w:r>
      <w:r w:rsidR="00AD14DA">
        <w:rPr>
          <w:szCs w:val="22"/>
        </w:rPr>
        <w:t xml:space="preserve">$4.418 billion. </w:t>
      </w:r>
      <w:r w:rsidR="00584FA3">
        <w:t>(SIR Stipulation at ¶¶ 6-7.)</w:t>
      </w:r>
    </w:p>
    <w:p w14:paraId="345C9FC8" w14:textId="5774C3EA" w:rsidR="0068593C" w:rsidRDefault="0068593C" w:rsidP="0073720A">
      <w:pPr>
        <w:jc w:val="both"/>
      </w:pPr>
    </w:p>
    <w:p w14:paraId="358CD03C" w14:textId="44F846E4" w:rsidR="00AD14DA" w:rsidRDefault="00AD14DA" w:rsidP="0073720A">
      <w:pPr>
        <w:ind w:firstLine="720"/>
        <w:jc w:val="both"/>
      </w:pPr>
      <w:r>
        <w:t>In the VCM 17 Order, the Commission approved a revised capital and construction cost forecast</w:t>
      </w:r>
      <w:r w:rsidR="00ED7271">
        <w:t xml:space="preserve"> of $7.3 billion</w:t>
      </w:r>
      <w:r w:rsidR="00792946">
        <w:t>,</w:t>
      </w:r>
      <w:r>
        <w:t xml:space="preserve"> </w:t>
      </w:r>
      <w:r w:rsidR="00910135">
        <w:t>net of the Toshiba Parent Guaranty</w:t>
      </w:r>
      <w:r w:rsidR="00ED7271">
        <w:t xml:space="preserve"> payments</w:t>
      </w:r>
      <w:r w:rsidR="00792946">
        <w:t>,</w:t>
      </w:r>
      <w:r w:rsidR="00910135">
        <w:t xml:space="preserve"> </w:t>
      </w:r>
      <w:r>
        <w:t xml:space="preserve">and </w:t>
      </w:r>
      <w:r w:rsidR="00910135">
        <w:t>a</w:t>
      </w:r>
      <w:r>
        <w:t xml:space="preserve"> revised schedule </w:t>
      </w:r>
      <w:r w:rsidR="0072705C">
        <w:t>that</w:t>
      </w:r>
      <w:r>
        <w:t xml:space="preserve"> established the regulatory</w:t>
      </w:r>
      <w:r w:rsidR="00FA2221">
        <w:t>-</w:t>
      </w:r>
      <w:r>
        <w:t>approved in</w:t>
      </w:r>
      <w:r w:rsidR="00FA2221">
        <w:t>-</w:t>
      </w:r>
      <w:r>
        <w:t xml:space="preserve">service dates as November 2021 and November 2022 for Units 3 and 4, respectively. </w:t>
      </w:r>
      <w:r w:rsidR="00ED7271">
        <w:t xml:space="preserve">(VCM 17 Order at 17.) </w:t>
      </w:r>
      <w:r w:rsidR="00910135">
        <w:t xml:space="preserve">The VCM 17 Order also </w:t>
      </w:r>
      <w:r w:rsidR="00A33226">
        <w:t xml:space="preserve">provided that effective the first month after Unit 3 is in Commercial Operation, retail base rates shall be </w:t>
      </w:r>
      <w:r w:rsidR="00CC65FD">
        <w:t xml:space="preserve">adjusted to include the costs related to Unit 3 and </w:t>
      </w:r>
      <w:r w:rsidR="00B26A3B">
        <w:t xml:space="preserve">Common </w:t>
      </w:r>
      <w:r w:rsidR="00CC65FD">
        <w:t xml:space="preserve">facilities deemed prudent in the SIR Stipulation. (VCM </w:t>
      </w:r>
      <w:r w:rsidR="00FA2221">
        <w:t xml:space="preserve">17 </w:t>
      </w:r>
      <w:r w:rsidR="00CC65FD">
        <w:t>Order at 18.) With Unit 3 anticipated to achieve Commercial Operation in the first quarter of 2022, Georgia Power files this Application to adjust rates as directed by the VCM 17 Order.</w:t>
      </w:r>
      <w:r w:rsidR="0030640C">
        <w:t xml:space="preserve"> </w:t>
      </w:r>
    </w:p>
    <w:p w14:paraId="6F33D690" w14:textId="70EF1FB2" w:rsidR="0076247F" w:rsidRDefault="0076247F" w:rsidP="0073720A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6247F">
        <w:rPr>
          <w:rFonts w:ascii="Times New Roman" w:hAnsi="Times New Roman" w:cs="Times New Roman"/>
          <w:b/>
          <w:bCs/>
          <w:color w:val="auto"/>
          <w:sz w:val="24"/>
          <w:szCs w:val="24"/>
        </w:rPr>
        <w:t>ISSUES</w:t>
      </w:r>
      <w:r w:rsidR="00876D9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TO BE RESOLVED</w:t>
      </w:r>
    </w:p>
    <w:p w14:paraId="209FD8DE" w14:textId="2F4F7106" w:rsidR="00D9647A" w:rsidRDefault="00D9647A" w:rsidP="00D9647A"/>
    <w:p w14:paraId="7D722923" w14:textId="47BDFDD8" w:rsidR="00C816BB" w:rsidRDefault="0076247F" w:rsidP="0073720A">
      <w:pPr>
        <w:pStyle w:val="Heading2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C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osts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elated to Unit 3 and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C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ommon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F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acilities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D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eemed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P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rudent in the SIR Stipulation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5EC02607" w14:textId="0C7FBD3A" w:rsidR="00C816BB" w:rsidRDefault="00C816BB" w:rsidP="0073720A">
      <w:pPr>
        <w:jc w:val="both"/>
      </w:pPr>
    </w:p>
    <w:p w14:paraId="07FB9B28" w14:textId="77777777" w:rsidR="00F31A80" w:rsidRDefault="00C66934" w:rsidP="009621E6">
      <w:pPr>
        <w:ind w:left="720"/>
        <w:jc w:val="both"/>
      </w:pPr>
      <w:r>
        <w:t>In adopting the SIR Stipulation, the Commission deemed prudent</w:t>
      </w:r>
      <w:r w:rsidR="00980A57">
        <w:t xml:space="preserve"> three categories of costs: </w:t>
      </w:r>
    </w:p>
    <w:p w14:paraId="604E31C5" w14:textId="77777777" w:rsidR="00F31A80" w:rsidRDefault="00F31A80" w:rsidP="009621E6">
      <w:pPr>
        <w:ind w:left="720" w:right="720"/>
        <w:jc w:val="both"/>
      </w:pPr>
    </w:p>
    <w:p w14:paraId="37C69E99" w14:textId="526C9289" w:rsidR="00F31A80" w:rsidRPr="001206AE" w:rsidRDefault="00980A57" w:rsidP="009621E6">
      <w:pPr>
        <w:pStyle w:val="Heading5"/>
        <w:ind w:left="1800" w:hanging="720"/>
        <w:jc w:val="both"/>
        <w:rPr>
          <w:rFonts w:ascii="Times New Roman" w:hAnsi="Times New Roman" w:cs="Times New Roman"/>
          <w:color w:val="auto"/>
        </w:rPr>
      </w:pPr>
      <w:r w:rsidRPr="001206AE">
        <w:rPr>
          <w:rFonts w:ascii="Times New Roman" w:hAnsi="Times New Roman" w:cs="Times New Roman"/>
          <w:color w:val="auto"/>
        </w:rPr>
        <w:t>the capital construction costs incurred, verified, and approved through the 14</w:t>
      </w:r>
      <w:r w:rsidRPr="001206AE">
        <w:rPr>
          <w:rFonts w:ascii="Times New Roman" w:hAnsi="Times New Roman" w:cs="Times New Roman"/>
          <w:color w:val="auto"/>
          <w:vertAlign w:val="superscript"/>
        </w:rPr>
        <w:t>th</w:t>
      </w:r>
      <w:r w:rsidRPr="001206AE">
        <w:rPr>
          <w:rFonts w:ascii="Times New Roman" w:hAnsi="Times New Roman" w:cs="Times New Roman"/>
          <w:color w:val="auto"/>
        </w:rPr>
        <w:t xml:space="preserve"> VCM</w:t>
      </w:r>
      <w:r w:rsidR="00F31A80" w:rsidRPr="001206AE">
        <w:rPr>
          <w:rFonts w:ascii="Times New Roman" w:hAnsi="Times New Roman" w:cs="Times New Roman"/>
          <w:color w:val="auto"/>
        </w:rPr>
        <w:t xml:space="preserve"> (SIR Stipulation at ¶ 1);</w:t>
      </w:r>
      <w:r w:rsidRPr="001206AE">
        <w:rPr>
          <w:rFonts w:ascii="Times New Roman" w:hAnsi="Times New Roman" w:cs="Times New Roman"/>
          <w:color w:val="auto"/>
        </w:rPr>
        <w:t xml:space="preserve"> </w:t>
      </w:r>
    </w:p>
    <w:p w14:paraId="0D4D6843" w14:textId="77777777" w:rsidR="00F31A80" w:rsidRPr="001206AE" w:rsidRDefault="00F31A80" w:rsidP="009621E6">
      <w:pPr>
        <w:ind w:left="1800" w:right="720"/>
        <w:jc w:val="both"/>
      </w:pPr>
    </w:p>
    <w:p w14:paraId="5DC71C33" w14:textId="338CE933" w:rsidR="0059631A" w:rsidRDefault="0059631A" w:rsidP="009621E6">
      <w:pPr>
        <w:pStyle w:val="Heading5"/>
        <w:ind w:left="1800" w:hanging="720"/>
        <w:jc w:val="both"/>
        <w:rPr>
          <w:rFonts w:ascii="Times New Roman" w:hAnsi="Times New Roman" w:cs="Times New Roman"/>
          <w:color w:val="auto"/>
        </w:rPr>
      </w:pPr>
      <w:r w:rsidRPr="001206AE">
        <w:rPr>
          <w:rFonts w:ascii="Times New Roman" w:hAnsi="Times New Roman" w:cs="Times New Roman"/>
          <w:color w:val="auto"/>
        </w:rPr>
        <w:t>the amounts paid, or to be paid, pursuant to the Westinghouse settlement (SIR Stipulation at ¶ 2)</w:t>
      </w:r>
      <w:r>
        <w:rPr>
          <w:rFonts w:ascii="Times New Roman" w:hAnsi="Times New Roman" w:cs="Times New Roman"/>
          <w:color w:val="auto"/>
        </w:rPr>
        <w:t>;</w:t>
      </w:r>
      <w:r w:rsidR="001A474D">
        <w:rPr>
          <w:rFonts w:ascii="Times New Roman" w:hAnsi="Times New Roman" w:cs="Times New Roman"/>
          <w:color w:val="auto"/>
        </w:rPr>
        <w:t xml:space="preserve"> and</w:t>
      </w:r>
    </w:p>
    <w:p w14:paraId="01026CAB" w14:textId="77777777" w:rsidR="0059631A" w:rsidRPr="00926077" w:rsidRDefault="0059631A" w:rsidP="009621E6">
      <w:pPr>
        <w:jc w:val="both"/>
      </w:pPr>
    </w:p>
    <w:p w14:paraId="6CAB58F5" w14:textId="479AF248" w:rsidR="0059631A" w:rsidRPr="001206AE" w:rsidRDefault="0059631A" w:rsidP="009621E6">
      <w:pPr>
        <w:pStyle w:val="Heading5"/>
        <w:ind w:left="1800" w:hanging="720"/>
        <w:jc w:val="both"/>
        <w:rPr>
          <w:rFonts w:ascii="Times New Roman" w:hAnsi="Times New Roman" w:cs="Times New Roman"/>
          <w:color w:val="auto"/>
        </w:rPr>
      </w:pPr>
      <w:r w:rsidRPr="001206AE">
        <w:rPr>
          <w:rFonts w:ascii="Times New Roman" w:hAnsi="Times New Roman" w:cs="Times New Roman"/>
          <w:color w:val="auto"/>
        </w:rPr>
        <w:t>the financing costs on the capital dollars verified and approved that were incurred pursuant to O.C.G.A. §</w:t>
      </w:r>
      <w:r w:rsidR="006C1F1F">
        <w:rPr>
          <w:rFonts w:ascii="Times New Roman" w:hAnsi="Times New Roman" w:cs="Times New Roman"/>
          <w:color w:val="auto"/>
        </w:rPr>
        <w:t xml:space="preserve"> </w:t>
      </w:r>
      <w:r w:rsidRPr="001206AE">
        <w:rPr>
          <w:rFonts w:ascii="Times New Roman" w:hAnsi="Times New Roman" w:cs="Times New Roman"/>
          <w:color w:val="auto"/>
        </w:rPr>
        <w:t>46-2-25 and the SIR Stipulation</w:t>
      </w:r>
      <w:r>
        <w:rPr>
          <w:rFonts w:ascii="Times New Roman" w:hAnsi="Times New Roman" w:cs="Times New Roman"/>
          <w:color w:val="auto"/>
        </w:rPr>
        <w:t>, and incurred prior to December 31, 2019</w:t>
      </w:r>
      <w:r w:rsidRPr="001206AE">
        <w:rPr>
          <w:rFonts w:ascii="Times New Roman" w:hAnsi="Times New Roman" w:cs="Times New Roman"/>
          <w:color w:val="auto"/>
        </w:rPr>
        <w:t xml:space="preserve"> (SIR Stipulation at ¶ 8)</w:t>
      </w:r>
      <w:r>
        <w:rPr>
          <w:rFonts w:ascii="Times New Roman" w:hAnsi="Times New Roman" w:cs="Times New Roman"/>
          <w:color w:val="auto"/>
        </w:rPr>
        <w:t>.</w:t>
      </w:r>
      <w:r w:rsidRPr="001206AE">
        <w:rPr>
          <w:rFonts w:ascii="Times New Roman" w:hAnsi="Times New Roman" w:cs="Times New Roman"/>
          <w:color w:val="auto"/>
        </w:rPr>
        <w:t xml:space="preserve"> </w:t>
      </w:r>
    </w:p>
    <w:p w14:paraId="0244382B" w14:textId="77777777" w:rsidR="00F31A80" w:rsidRDefault="00F31A80" w:rsidP="00F31A80">
      <w:pPr>
        <w:ind w:firstLine="720"/>
        <w:jc w:val="both"/>
      </w:pPr>
    </w:p>
    <w:p w14:paraId="2727F626" w14:textId="4255350E" w:rsidR="00FA2221" w:rsidRDefault="006D2206" w:rsidP="00F31A80">
      <w:pPr>
        <w:ind w:firstLine="720"/>
        <w:jc w:val="both"/>
      </w:pPr>
      <w:r>
        <w:t>These deemed prudent costs were incurred for the Project as a whole</w:t>
      </w:r>
      <w:r w:rsidR="00F31A80">
        <w:t xml:space="preserve">—Unit 3, Unit 4, and </w:t>
      </w:r>
      <w:r w:rsidR="00B26A3B">
        <w:t xml:space="preserve">Common </w:t>
      </w:r>
      <w:r w:rsidR="00F31A80">
        <w:t>facilities</w:t>
      </w:r>
      <w:r>
        <w:t xml:space="preserve">. In addition, </w:t>
      </w:r>
      <w:r w:rsidR="00F31A80">
        <w:t>the construction costs verified and approved through the 14</w:t>
      </w:r>
      <w:r w:rsidR="00F31A80" w:rsidRPr="00F31A80">
        <w:rPr>
          <w:vertAlign w:val="superscript"/>
        </w:rPr>
        <w:t>th</w:t>
      </w:r>
      <w:r w:rsidR="00F31A80">
        <w:t xml:space="preserve"> VCM included construction monitoring costs. As a result, t</w:t>
      </w:r>
      <w:r w:rsidR="00DA19DB">
        <w:t xml:space="preserve">he total </w:t>
      </w:r>
      <w:r w:rsidR="00AB3A9C">
        <w:t xml:space="preserve">construction </w:t>
      </w:r>
      <w:r w:rsidR="0059631A">
        <w:t xml:space="preserve">capital </w:t>
      </w:r>
      <w:r w:rsidR="00F31A80">
        <w:t xml:space="preserve">costs deemed prudent in the SIR Stipulation </w:t>
      </w:r>
      <w:r w:rsidR="00DA19DB">
        <w:t>is $3.5</w:t>
      </w:r>
      <w:r w:rsidR="00D1088C">
        <w:t>6</w:t>
      </w:r>
      <w:r w:rsidR="00DA19DB">
        <w:t xml:space="preserve">9 billion. </w:t>
      </w:r>
      <w:r w:rsidR="00FA2221">
        <w:t xml:space="preserve">Figure 1 below demonstrates the category of </w:t>
      </w:r>
      <w:r w:rsidR="00CE5674">
        <w:t xml:space="preserve">non-financing </w:t>
      </w:r>
      <w:r w:rsidR="00FA2221" w:rsidRPr="00926077">
        <w:t>costs, and the corresponding amounts, deemed prudent in the SIR Stipulation</w:t>
      </w:r>
      <w:r w:rsidR="00FA2221">
        <w:t>:</w:t>
      </w:r>
    </w:p>
    <w:p w14:paraId="04DBE0EF" w14:textId="77777777" w:rsidR="00E66B49" w:rsidRDefault="00E66B49" w:rsidP="00926077">
      <w:pPr>
        <w:jc w:val="center"/>
      </w:pPr>
    </w:p>
    <w:p w14:paraId="0C392629" w14:textId="229BF192" w:rsidR="00FA2221" w:rsidRPr="00926077" w:rsidRDefault="00E66B49" w:rsidP="004E0A50">
      <w:pPr>
        <w:keepNext/>
        <w:jc w:val="center"/>
        <w:rPr>
          <w:b/>
          <w:bCs/>
        </w:rPr>
      </w:pPr>
      <w:r w:rsidRPr="00926077">
        <w:rPr>
          <w:b/>
          <w:bCs/>
        </w:rPr>
        <w:t xml:space="preserve">Figure 1. </w:t>
      </w:r>
      <w:r w:rsidR="007E3B69">
        <w:rPr>
          <w:b/>
          <w:bCs/>
        </w:rPr>
        <w:t>Non-Financing</w:t>
      </w:r>
      <w:r w:rsidR="001D0612">
        <w:rPr>
          <w:b/>
          <w:bCs/>
        </w:rPr>
        <w:t xml:space="preserve"> Costs </w:t>
      </w:r>
      <w:r w:rsidRPr="00926077">
        <w:rPr>
          <w:b/>
          <w:bCs/>
        </w:rPr>
        <w:t>Deemed Prudent</w:t>
      </w:r>
      <w:r w:rsidR="001D0612">
        <w:rPr>
          <w:b/>
          <w:bCs/>
        </w:rPr>
        <w:t xml:space="preserve"> in the SIR Stipulation</w:t>
      </w:r>
    </w:p>
    <w:p w14:paraId="18E842AF" w14:textId="77777777" w:rsidR="00E66B49" w:rsidRDefault="00E66B49" w:rsidP="004E0A50">
      <w:pPr>
        <w:keepNext/>
        <w:jc w:val="center"/>
      </w:pPr>
    </w:p>
    <w:tbl>
      <w:tblPr>
        <w:tblW w:w="791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389"/>
        <w:gridCol w:w="1529"/>
      </w:tblGrid>
      <w:tr w:rsidR="00C26E13" w:rsidRPr="00926077" w14:paraId="4AC779C6" w14:textId="77777777" w:rsidTr="00C26E13">
        <w:trPr>
          <w:trHeight w:val="250"/>
          <w:jc w:val="center"/>
        </w:trPr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4AFA51" w14:textId="1A58DEC2" w:rsidR="00C26E13" w:rsidRPr="00926077" w:rsidRDefault="00C26E13" w:rsidP="004E0A50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>Cost Category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71CCB9" w14:textId="77777777" w:rsidR="00C26E13" w:rsidRPr="00926077" w:rsidRDefault="00C26E13" w:rsidP="004E0A50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>Amount</w:t>
            </w:r>
          </w:p>
        </w:tc>
      </w:tr>
      <w:tr w:rsidR="00C26E13" w:rsidRPr="00926077" w14:paraId="2391E424" w14:textId="77777777" w:rsidTr="00C26E13">
        <w:trPr>
          <w:trHeight w:val="556"/>
          <w:jc w:val="center"/>
        </w:trPr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3CC10A" w14:textId="77777777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Capital construction costs incurred, verified, and approved through VCM 14 (12/31/15)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C646AA" w14:textId="526F3384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$3,</w:t>
            </w:r>
            <w:r w:rsidR="004A36CE" w:rsidRPr="00926077">
              <w:rPr>
                <w:color w:val="000000" w:themeColor="text1"/>
                <w:kern w:val="24"/>
                <w:sz w:val="22"/>
                <w:szCs w:val="22"/>
              </w:rPr>
              <w:t>509</w:t>
            </w:r>
            <w:r w:rsidR="00077768">
              <w:rPr>
                <w:color w:val="000000" w:themeColor="text1"/>
                <w:kern w:val="24"/>
                <w:sz w:val="22"/>
                <w:szCs w:val="22"/>
              </w:rPr>
              <w:t>M</w:t>
            </w:r>
            <w:r w:rsidRPr="00926077">
              <w:rPr>
                <w:color w:val="000000" w:themeColor="text1"/>
                <w:kern w:val="24"/>
                <w:sz w:val="22"/>
                <w:szCs w:val="22"/>
              </w:rPr>
              <w:t>*</w:t>
            </w:r>
          </w:p>
        </w:tc>
      </w:tr>
      <w:tr w:rsidR="00C26E13" w:rsidRPr="00926077" w14:paraId="167BC0B8" w14:textId="77777777" w:rsidTr="00C26E13">
        <w:trPr>
          <w:trHeight w:val="196"/>
          <w:jc w:val="center"/>
        </w:trPr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273299" w14:textId="77777777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Construction Monitoring Costs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CCF911" w14:textId="4B1C0BC5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$5.8M</w:t>
            </w:r>
          </w:p>
        </w:tc>
      </w:tr>
      <w:tr w:rsidR="00C26E13" w:rsidRPr="00926077" w14:paraId="7C896E71" w14:textId="77777777" w:rsidTr="00C26E13">
        <w:trPr>
          <w:trHeight w:val="493"/>
          <w:jc w:val="center"/>
        </w:trPr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364764" w14:textId="77777777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Westinghouse Settlement Costs paid after 12/31/15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DAB82" w14:textId="77777777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color w:val="000000" w:themeColor="text1"/>
                <w:kern w:val="24"/>
                <w:sz w:val="22"/>
                <w:szCs w:val="22"/>
              </w:rPr>
              <w:t>$54.4M</w:t>
            </w:r>
          </w:p>
        </w:tc>
      </w:tr>
      <w:tr w:rsidR="00C26E13" w:rsidRPr="00926077" w14:paraId="3A0638CB" w14:textId="77777777" w:rsidTr="00C26E13">
        <w:trPr>
          <w:trHeight w:val="187"/>
          <w:jc w:val="center"/>
        </w:trPr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7F357F" w14:textId="7D1E0370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>TOTAL CAPITAL</w:t>
            </w:r>
            <w:r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DEEMED PRUDENT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42899" w14:textId="0F1826D9" w:rsidR="00C26E13" w:rsidRPr="00926077" w:rsidRDefault="00C26E13" w:rsidP="00CE5674">
            <w:pPr>
              <w:rPr>
                <w:rFonts w:ascii="Arial" w:hAnsi="Arial" w:cs="Arial"/>
                <w:sz w:val="22"/>
                <w:szCs w:val="22"/>
              </w:rPr>
            </w:pPr>
            <w:r w:rsidRPr="00926077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>$3,569</w:t>
            </w:r>
            <w:r w:rsidR="00077768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>M</w:t>
            </w:r>
          </w:p>
        </w:tc>
      </w:tr>
    </w:tbl>
    <w:p w14:paraId="51627634" w14:textId="77777777" w:rsidR="00CE5674" w:rsidRPr="00926077" w:rsidRDefault="00CE5674" w:rsidP="00926077">
      <w:pPr>
        <w:ind w:left="720" w:right="1620"/>
        <w:jc w:val="both"/>
        <w:rPr>
          <w:sz w:val="20"/>
          <w:szCs w:val="20"/>
        </w:rPr>
      </w:pPr>
      <w:r w:rsidRPr="00926077">
        <w:rPr>
          <w:sz w:val="20"/>
          <w:szCs w:val="20"/>
        </w:rPr>
        <w:t>*Includes Westinghouse Settlement costs paid through 12/31/15</w:t>
      </w:r>
    </w:p>
    <w:p w14:paraId="46956DD1" w14:textId="4631335C" w:rsidR="00FA2221" w:rsidRDefault="00FA2221" w:rsidP="00CE5674">
      <w:pPr>
        <w:jc w:val="both"/>
      </w:pPr>
    </w:p>
    <w:p w14:paraId="1DD56E71" w14:textId="0210843C" w:rsidR="00E97371" w:rsidRDefault="00DA19DB" w:rsidP="00FB78D3">
      <w:pPr>
        <w:ind w:firstLine="720"/>
        <w:jc w:val="both"/>
      </w:pPr>
      <w:r>
        <w:t xml:space="preserve">As approved in </w:t>
      </w:r>
      <w:r w:rsidR="004F5EBD">
        <w:t>the VCM 17 Order</w:t>
      </w:r>
      <w:r w:rsidR="004F5EBD" w:rsidRPr="0004082F">
        <w:t xml:space="preserve">, </w:t>
      </w:r>
      <w:r w:rsidR="0004082F" w:rsidRPr="0004082F">
        <w:t xml:space="preserve">retail base rates will be adjusted to include </w:t>
      </w:r>
      <w:r w:rsidR="001206AE">
        <w:t xml:space="preserve">the Unit 3 and Common </w:t>
      </w:r>
      <w:r w:rsidR="00BF74CA">
        <w:t>C</w:t>
      </w:r>
      <w:r w:rsidR="001206AE">
        <w:t>osts</w:t>
      </w:r>
      <w:r w:rsidR="0004082F" w:rsidRPr="0004082F">
        <w:t xml:space="preserve"> </w:t>
      </w:r>
      <w:r w:rsidR="004F5EBD">
        <w:t xml:space="preserve">when Unit 3 achieves Commercial Operation. </w:t>
      </w:r>
      <w:r w:rsidR="001206AE">
        <w:t xml:space="preserve">Therefore, the portion of the deemed prudent costs from the SIR Stipulation that are related to Unit 3 and Common are to be included in rates when Unit 3 achieves Commercial Operation. </w:t>
      </w:r>
      <w:r>
        <w:t xml:space="preserve">Approximately two-thirds of the </w:t>
      </w:r>
      <w:r w:rsidR="00AB3A9C">
        <w:t xml:space="preserve">construction capital costs of </w:t>
      </w:r>
      <w:r>
        <w:t>$3.5</w:t>
      </w:r>
      <w:r w:rsidR="00D1088C">
        <w:t>6</w:t>
      </w:r>
      <w:r>
        <w:t>9 billion</w:t>
      </w:r>
      <w:r w:rsidR="00FF1780">
        <w:t>,</w:t>
      </w:r>
      <w:r w:rsidR="004F5EBD">
        <w:t xml:space="preserve"> or $</w:t>
      </w:r>
      <w:r w:rsidR="004F5EBD" w:rsidRPr="00E229D2">
        <w:t>2.</w:t>
      </w:r>
      <w:r w:rsidR="00E83E1A">
        <w:t>380</w:t>
      </w:r>
      <w:r w:rsidR="004F5EBD">
        <w:t xml:space="preserve"> billion</w:t>
      </w:r>
      <w:r w:rsidR="00FF1780">
        <w:t>,</w:t>
      </w:r>
      <w:r w:rsidR="004F5EBD">
        <w:t xml:space="preserve"> </w:t>
      </w:r>
      <w:r>
        <w:t xml:space="preserve">is attributable to </w:t>
      </w:r>
      <w:r w:rsidR="004F5EBD">
        <w:t xml:space="preserve">Unit 3 and </w:t>
      </w:r>
      <w:r w:rsidR="00B26A3B">
        <w:t xml:space="preserve">Common </w:t>
      </w:r>
      <w:r w:rsidR="004F5EBD">
        <w:t>facilities.</w:t>
      </w:r>
      <w:r w:rsidR="002F0729">
        <w:t xml:space="preserve"> </w:t>
      </w:r>
    </w:p>
    <w:p w14:paraId="6FFBB3B3" w14:textId="77777777" w:rsidR="00E97371" w:rsidRDefault="00E97371" w:rsidP="00AD4AA5">
      <w:pPr>
        <w:ind w:firstLine="720"/>
      </w:pPr>
    </w:p>
    <w:p w14:paraId="46B31646" w14:textId="1D6C5F46" w:rsidR="004F5EBD" w:rsidRDefault="00FB78D3" w:rsidP="00E97371">
      <w:pPr>
        <w:ind w:firstLine="720"/>
        <w:jc w:val="both"/>
      </w:pPr>
      <w:r>
        <w:t xml:space="preserve">The </w:t>
      </w:r>
      <w:r w:rsidR="00E97371" w:rsidRPr="00D23A23">
        <w:t>$2.</w:t>
      </w:r>
      <w:r w:rsidR="00E83E1A" w:rsidRPr="00D23A23">
        <w:t>380</w:t>
      </w:r>
      <w:r w:rsidR="00E97371" w:rsidRPr="00D23A23">
        <w:t xml:space="preserve"> billion portion of the Construction Work In Progress (</w:t>
      </w:r>
      <w:r w:rsidR="001D0612" w:rsidRPr="00D23A23">
        <w:t>“</w:t>
      </w:r>
      <w:r w:rsidR="00E97371" w:rsidRPr="00D23A23">
        <w:t>CWIP</w:t>
      </w:r>
      <w:r w:rsidR="001D0612" w:rsidRPr="00D23A23">
        <w:t>”</w:t>
      </w:r>
      <w:r w:rsidR="00E97371" w:rsidRPr="00D23A23">
        <w:t xml:space="preserve">) balance that will be </w:t>
      </w:r>
      <w:r w:rsidR="00E97371" w:rsidRPr="00713079">
        <w:t xml:space="preserve">closed into service when Unit 3 achieves Commercial Operation will be moved out of the NCCR balance and placed into base rates. </w:t>
      </w:r>
      <w:r w:rsidR="00713079" w:rsidRPr="00713079">
        <w:t xml:space="preserve">Because </w:t>
      </w:r>
      <w:r w:rsidR="00D23A23" w:rsidRPr="00713079">
        <w:t xml:space="preserve">the </w:t>
      </w:r>
      <w:r w:rsidRPr="00713079">
        <w:t>financing costs</w:t>
      </w:r>
      <w:r w:rsidR="00E97371" w:rsidRPr="00713079">
        <w:t xml:space="preserve"> on these capital dollars</w:t>
      </w:r>
      <w:r w:rsidRPr="00713079">
        <w:t xml:space="preserve"> </w:t>
      </w:r>
      <w:r w:rsidR="00E77592">
        <w:t xml:space="preserve">prior to in-service </w:t>
      </w:r>
      <w:r w:rsidR="00713079" w:rsidRPr="00713079">
        <w:t xml:space="preserve">are </w:t>
      </w:r>
      <w:r w:rsidRPr="00713079">
        <w:t>recovered through the NCCR tariff</w:t>
      </w:r>
      <w:r w:rsidR="00E97371" w:rsidRPr="00713079">
        <w:t xml:space="preserve">, </w:t>
      </w:r>
      <w:r w:rsidR="00E77592">
        <w:t>there are no</w:t>
      </w:r>
      <w:r w:rsidRPr="00713079">
        <w:t xml:space="preserve"> </w:t>
      </w:r>
      <w:r w:rsidR="00713079" w:rsidRPr="00713079">
        <w:t xml:space="preserve">AFUDC </w:t>
      </w:r>
      <w:r w:rsidRPr="00713079">
        <w:t>financing</w:t>
      </w:r>
      <w:r w:rsidR="00E97371" w:rsidRPr="00713079">
        <w:t xml:space="preserve"> costs</w:t>
      </w:r>
      <w:r w:rsidR="00E77592">
        <w:t xml:space="preserve"> incurred</w:t>
      </w:r>
      <w:r w:rsidR="00AB3A9C">
        <w:t xml:space="preserve"> on this amount</w:t>
      </w:r>
      <w:r w:rsidR="00E77592">
        <w:t xml:space="preserve"> to be recovered</w:t>
      </w:r>
      <w:r w:rsidR="00C41715" w:rsidRPr="00713079">
        <w:t xml:space="preserve"> through this </w:t>
      </w:r>
      <w:r w:rsidR="00134E94" w:rsidRPr="00713079">
        <w:t xml:space="preserve">rate adjustment </w:t>
      </w:r>
      <w:r w:rsidR="00C41715" w:rsidRPr="00713079">
        <w:t>filing</w:t>
      </w:r>
      <w:r w:rsidRPr="00713079">
        <w:t xml:space="preserve">. </w:t>
      </w:r>
      <w:r w:rsidR="00A42DAA" w:rsidRPr="00713079">
        <w:t>Therefore</w:t>
      </w:r>
      <w:r w:rsidR="00A42DAA" w:rsidRPr="00D23A23">
        <w:t xml:space="preserve">, when Unit 3 achieves Commercial Operation, the Company seeks to </w:t>
      </w:r>
      <w:r w:rsidR="00FF1780" w:rsidRPr="00D23A23">
        <w:t xml:space="preserve">place </w:t>
      </w:r>
      <w:r w:rsidR="00367D81" w:rsidRPr="00D23A23">
        <w:t>$2.</w:t>
      </w:r>
      <w:r w:rsidR="00E83E1A" w:rsidRPr="00D23A23">
        <w:t xml:space="preserve">380 </w:t>
      </w:r>
      <w:r w:rsidR="00367D81" w:rsidRPr="00D23A23">
        <w:t>billion in capital construction costs in retail rate base.</w:t>
      </w:r>
      <w:r w:rsidR="00AB3A9C">
        <w:t xml:space="preserve"> See below for discussion of other financing costs. </w:t>
      </w:r>
    </w:p>
    <w:p w14:paraId="326031A8" w14:textId="77777777" w:rsidR="002F0729" w:rsidRDefault="002F0729" w:rsidP="0073720A">
      <w:pPr>
        <w:ind w:firstLine="720"/>
        <w:jc w:val="both"/>
      </w:pPr>
    </w:p>
    <w:p w14:paraId="08BCD304" w14:textId="67F8A135" w:rsidR="007C259A" w:rsidRDefault="0076247F" w:rsidP="00E229D2">
      <w:pPr>
        <w:pStyle w:val="Heading2"/>
        <w:keepNext w:val="0"/>
        <w:keepLines w:val="0"/>
        <w:widowControl w:val="0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etail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B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ase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ate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A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djustment to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ecover the </w:t>
      </w:r>
      <w:r w:rsidR="00AD05B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Costs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Related to Unit 3 and Common Facilities Deemed Prudent in the SIR Stipulation.</w:t>
      </w:r>
    </w:p>
    <w:p w14:paraId="077C384F" w14:textId="77777777" w:rsidR="00910135" w:rsidRPr="00910135" w:rsidRDefault="00910135" w:rsidP="00E229D2">
      <w:pPr>
        <w:widowControl w:val="0"/>
        <w:jc w:val="both"/>
      </w:pPr>
    </w:p>
    <w:p w14:paraId="50E7E69F" w14:textId="5EA25063" w:rsidR="00AD05BD" w:rsidRDefault="007C259A" w:rsidP="00E229D2">
      <w:pPr>
        <w:pStyle w:val="Heading3"/>
        <w:keepNext w:val="0"/>
        <w:keepLines w:val="0"/>
        <w:widowControl w:val="0"/>
        <w:jc w:val="both"/>
        <w:rPr>
          <w:rFonts w:ascii="Times New Roman" w:hAnsi="Times New Roman" w:cs="Times New Roman"/>
          <w:color w:val="auto"/>
        </w:rPr>
      </w:pPr>
      <w:r w:rsidRPr="007C259A">
        <w:rPr>
          <w:rFonts w:ascii="Times New Roman" w:hAnsi="Times New Roman" w:cs="Times New Roman"/>
          <w:i/>
          <w:iCs/>
          <w:color w:val="auto"/>
        </w:rPr>
        <w:t>R</w:t>
      </w:r>
      <w:r w:rsidR="00725077" w:rsidRPr="007C259A">
        <w:rPr>
          <w:rFonts w:ascii="Times New Roman" w:hAnsi="Times New Roman" w:cs="Times New Roman"/>
          <w:i/>
          <w:iCs/>
          <w:color w:val="auto"/>
        </w:rPr>
        <w:t xml:space="preserve">evenue </w:t>
      </w:r>
      <w:r w:rsidRPr="007C259A">
        <w:rPr>
          <w:rFonts w:ascii="Times New Roman" w:hAnsi="Times New Roman" w:cs="Times New Roman"/>
          <w:i/>
          <w:iCs/>
          <w:color w:val="auto"/>
        </w:rPr>
        <w:t>R</w:t>
      </w:r>
      <w:r w:rsidR="00725077" w:rsidRPr="007C259A">
        <w:rPr>
          <w:rFonts w:ascii="Times New Roman" w:hAnsi="Times New Roman" w:cs="Times New Roman"/>
          <w:i/>
          <w:iCs/>
          <w:color w:val="auto"/>
        </w:rPr>
        <w:t xml:space="preserve">equirement to be </w:t>
      </w:r>
      <w:r w:rsidRPr="007C259A">
        <w:rPr>
          <w:rFonts w:ascii="Times New Roman" w:hAnsi="Times New Roman" w:cs="Times New Roman"/>
          <w:i/>
          <w:iCs/>
          <w:color w:val="auto"/>
        </w:rPr>
        <w:t>R</w:t>
      </w:r>
      <w:r w:rsidR="00725077" w:rsidRPr="007C259A">
        <w:rPr>
          <w:rFonts w:ascii="Times New Roman" w:hAnsi="Times New Roman" w:cs="Times New Roman"/>
          <w:i/>
          <w:iCs/>
          <w:color w:val="auto"/>
        </w:rPr>
        <w:t xml:space="preserve">ecovered from </w:t>
      </w:r>
      <w:r w:rsidR="006146D8">
        <w:rPr>
          <w:rFonts w:ascii="Times New Roman" w:hAnsi="Times New Roman" w:cs="Times New Roman"/>
          <w:i/>
          <w:iCs/>
          <w:color w:val="auto"/>
        </w:rPr>
        <w:t>Customers.</w:t>
      </w:r>
      <w:r w:rsidR="00725077" w:rsidRPr="00A122DB">
        <w:rPr>
          <w:rFonts w:ascii="Times New Roman" w:hAnsi="Times New Roman" w:cs="Times New Roman"/>
          <w:color w:val="auto"/>
        </w:rPr>
        <w:t xml:space="preserve"> </w:t>
      </w:r>
    </w:p>
    <w:p w14:paraId="625D0BC9" w14:textId="77777777" w:rsidR="00AD05BD" w:rsidRDefault="00AD05BD" w:rsidP="00E229D2">
      <w:pPr>
        <w:pStyle w:val="Heading3"/>
        <w:keepNext w:val="0"/>
        <w:keepLines w:val="0"/>
        <w:widowControl w:val="0"/>
        <w:numPr>
          <w:ilvl w:val="0"/>
          <w:numId w:val="0"/>
        </w:numPr>
        <w:jc w:val="both"/>
        <w:rPr>
          <w:rFonts w:ascii="Times New Roman" w:hAnsi="Times New Roman" w:cs="Times New Roman"/>
          <w:color w:val="auto"/>
        </w:rPr>
      </w:pPr>
    </w:p>
    <w:p w14:paraId="29B0F8D2" w14:textId="40A1F081" w:rsidR="0030640C" w:rsidRDefault="001D3584" w:rsidP="00E229D2">
      <w:pPr>
        <w:pStyle w:val="Heading3"/>
        <w:keepNext w:val="0"/>
        <w:keepLines w:val="0"/>
        <w:numPr>
          <w:ilvl w:val="0"/>
          <w:numId w:val="0"/>
        </w:numPr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 order to recover the capital construction costs as well as the costs of operating Unit 3 when it achieves Commercial Operation, </w:t>
      </w:r>
      <w:r w:rsidR="00576C32">
        <w:rPr>
          <w:rFonts w:ascii="Times New Roman" w:hAnsi="Times New Roman" w:cs="Times New Roman"/>
          <w:color w:val="auto"/>
        </w:rPr>
        <w:t>t</w:t>
      </w:r>
      <w:r w:rsidR="00A122DB">
        <w:rPr>
          <w:rFonts w:ascii="Times New Roman" w:hAnsi="Times New Roman" w:cs="Times New Roman"/>
          <w:color w:val="auto"/>
        </w:rPr>
        <w:t xml:space="preserve">he Company proposes to increase base rates </w:t>
      </w:r>
      <w:r w:rsidR="00A122DB" w:rsidRPr="00B05050">
        <w:rPr>
          <w:rFonts w:ascii="Times New Roman" w:hAnsi="Times New Roman" w:cs="Times New Roman"/>
          <w:color w:val="auto"/>
        </w:rPr>
        <w:t>$</w:t>
      </w:r>
      <w:r w:rsidR="003E4CBD">
        <w:rPr>
          <w:rFonts w:ascii="Times New Roman" w:hAnsi="Times New Roman" w:cs="Times New Roman"/>
          <w:color w:val="auto"/>
        </w:rPr>
        <w:t>369.058</w:t>
      </w:r>
      <w:r w:rsidR="00A122DB">
        <w:rPr>
          <w:rFonts w:ascii="Times New Roman" w:hAnsi="Times New Roman" w:cs="Times New Roman"/>
          <w:color w:val="auto"/>
        </w:rPr>
        <w:t xml:space="preserve"> million on an annual basis</w:t>
      </w:r>
      <w:r w:rsidR="00F2739F">
        <w:rPr>
          <w:rFonts w:ascii="Times New Roman" w:hAnsi="Times New Roman" w:cs="Times New Roman"/>
          <w:color w:val="auto"/>
        </w:rPr>
        <w:t>.</w:t>
      </w:r>
      <w:r w:rsidR="00A122DB">
        <w:rPr>
          <w:rFonts w:ascii="Times New Roman" w:hAnsi="Times New Roman" w:cs="Times New Roman"/>
          <w:color w:val="auto"/>
        </w:rPr>
        <w:t xml:space="preserve"> </w:t>
      </w:r>
      <w:r w:rsidR="00823660">
        <w:rPr>
          <w:rFonts w:ascii="Times New Roman" w:hAnsi="Times New Roman" w:cs="Times New Roman"/>
          <w:color w:val="auto"/>
        </w:rPr>
        <w:t xml:space="preserve">This increase would be partially offset by a corresponding decrease in the NCCR tariff </w:t>
      </w:r>
      <w:r w:rsidR="005635F8">
        <w:rPr>
          <w:rFonts w:ascii="Times New Roman" w:hAnsi="Times New Roman" w:cs="Times New Roman"/>
          <w:color w:val="auto"/>
        </w:rPr>
        <w:t xml:space="preserve">of </w:t>
      </w:r>
      <w:r w:rsidR="00823660">
        <w:rPr>
          <w:rFonts w:ascii="Times New Roman" w:hAnsi="Times New Roman" w:cs="Times New Roman"/>
          <w:color w:val="auto"/>
        </w:rPr>
        <w:t xml:space="preserve">approximately $134 million yielding a net increase of approximately $235 million. In addition, this increase does not include </w:t>
      </w:r>
      <w:r w:rsidR="005635F8">
        <w:rPr>
          <w:rFonts w:ascii="Times New Roman" w:hAnsi="Times New Roman" w:cs="Times New Roman"/>
          <w:color w:val="auto"/>
        </w:rPr>
        <w:t xml:space="preserve">an </w:t>
      </w:r>
      <w:r w:rsidR="00823660">
        <w:rPr>
          <w:rFonts w:ascii="Times New Roman" w:hAnsi="Times New Roman" w:cs="Times New Roman"/>
          <w:color w:val="auto"/>
        </w:rPr>
        <w:t>estimated $44 million</w:t>
      </w:r>
      <w:r w:rsidR="005635F8">
        <w:rPr>
          <w:rFonts w:ascii="Times New Roman" w:hAnsi="Times New Roman" w:cs="Times New Roman"/>
          <w:color w:val="auto"/>
        </w:rPr>
        <w:t xml:space="preserve"> of</w:t>
      </w:r>
      <w:r w:rsidR="00823660">
        <w:rPr>
          <w:rFonts w:ascii="Times New Roman" w:hAnsi="Times New Roman" w:cs="Times New Roman"/>
          <w:color w:val="auto"/>
        </w:rPr>
        <w:t xml:space="preserve"> fuel cost savings attributed to Vogtle Unit 3 already incorporated in the current Fuel Cost Recovery (FCR-25) rates</w:t>
      </w:r>
      <w:r w:rsidR="005635F8">
        <w:rPr>
          <w:rFonts w:ascii="Times New Roman" w:hAnsi="Times New Roman" w:cs="Times New Roman"/>
          <w:color w:val="auto"/>
        </w:rPr>
        <w:t xml:space="preserve"> effective in June 2020</w:t>
      </w:r>
      <w:r w:rsidR="00823660">
        <w:rPr>
          <w:rFonts w:ascii="Times New Roman" w:hAnsi="Times New Roman" w:cs="Times New Roman"/>
          <w:color w:val="auto"/>
        </w:rPr>
        <w:t xml:space="preserve">. </w:t>
      </w:r>
      <w:r w:rsidR="00A122DB">
        <w:rPr>
          <w:rFonts w:ascii="Times New Roman" w:hAnsi="Times New Roman" w:cs="Times New Roman"/>
          <w:color w:val="auto"/>
        </w:rPr>
        <w:t>(</w:t>
      </w:r>
      <w:r w:rsidR="00F2739F">
        <w:rPr>
          <w:rFonts w:ascii="Times New Roman" w:hAnsi="Times New Roman" w:cs="Times New Roman"/>
          <w:color w:val="auto"/>
        </w:rPr>
        <w:t xml:space="preserve">See </w:t>
      </w:r>
      <w:r w:rsidR="00815B2E">
        <w:rPr>
          <w:rFonts w:ascii="Times New Roman" w:hAnsi="Times New Roman" w:cs="Times New Roman"/>
          <w:color w:val="auto"/>
        </w:rPr>
        <w:t xml:space="preserve">Schedule </w:t>
      </w:r>
      <w:r w:rsidR="00A122DB">
        <w:rPr>
          <w:rFonts w:ascii="Times New Roman" w:hAnsi="Times New Roman" w:cs="Times New Roman"/>
          <w:color w:val="auto"/>
        </w:rPr>
        <w:t>1 of Exhibit</w:t>
      </w:r>
      <w:r w:rsidR="00E02A56">
        <w:rPr>
          <w:rFonts w:ascii="Times New Roman" w:hAnsi="Times New Roman" w:cs="Times New Roman"/>
          <w:color w:val="auto"/>
        </w:rPr>
        <w:t xml:space="preserve"> 1</w:t>
      </w:r>
      <w:r w:rsidR="00F2739F">
        <w:rPr>
          <w:rFonts w:ascii="Times New Roman" w:hAnsi="Times New Roman" w:cs="Times New Roman"/>
          <w:color w:val="auto"/>
        </w:rPr>
        <w:t>.</w:t>
      </w:r>
      <w:r w:rsidR="00A122DB">
        <w:rPr>
          <w:rFonts w:ascii="Times New Roman" w:hAnsi="Times New Roman" w:cs="Times New Roman"/>
          <w:color w:val="auto"/>
        </w:rPr>
        <w:t>) The components of the 13-month average rate base amount are presented on</w:t>
      </w:r>
      <w:r w:rsidR="00815B2E">
        <w:rPr>
          <w:rFonts w:ascii="Times New Roman" w:hAnsi="Times New Roman" w:cs="Times New Roman"/>
          <w:color w:val="auto"/>
        </w:rPr>
        <w:t xml:space="preserve"> Schedule 2,</w:t>
      </w:r>
      <w:r w:rsidR="00A122DB">
        <w:rPr>
          <w:rFonts w:ascii="Times New Roman" w:hAnsi="Times New Roman" w:cs="Times New Roman"/>
          <w:color w:val="auto"/>
        </w:rPr>
        <w:t xml:space="preserve"> page</w:t>
      </w:r>
      <w:r w:rsidR="00793EEB">
        <w:rPr>
          <w:rFonts w:ascii="Times New Roman" w:hAnsi="Times New Roman" w:cs="Times New Roman"/>
          <w:color w:val="auto"/>
        </w:rPr>
        <w:t>s 2 and</w:t>
      </w:r>
      <w:r w:rsidR="008B2132">
        <w:rPr>
          <w:rFonts w:ascii="Times New Roman" w:hAnsi="Times New Roman" w:cs="Times New Roman"/>
          <w:color w:val="auto"/>
        </w:rPr>
        <w:t> </w:t>
      </w:r>
      <w:r w:rsidR="00793EEB">
        <w:rPr>
          <w:rFonts w:ascii="Times New Roman" w:hAnsi="Times New Roman" w:cs="Times New Roman"/>
          <w:color w:val="auto"/>
        </w:rPr>
        <w:t>4 of Exhibit</w:t>
      </w:r>
      <w:r w:rsidR="00E02A56">
        <w:rPr>
          <w:rFonts w:ascii="Times New Roman" w:hAnsi="Times New Roman" w:cs="Times New Roman"/>
          <w:color w:val="auto"/>
        </w:rPr>
        <w:t xml:space="preserve"> 1</w:t>
      </w:r>
      <w:r w:rsidR="00793EEB">
        <w:rPr>
          <w:rFonts w:ascii="Times New Roman" w:hAnsi="Times New Roman" w:cs="Times New Roman"/>
          <w:color w:val="auto"/>
        </w:rPr>
        <w:t xml:space="preserve">. </w:t>
      </w:r>
      <w:r w:rsidR="000922F6">
        <w:rPr>
          <w:rFonts w:ascii="Times New Roman" w:hAnsi="Times New Roman" w:cs="Times New Roman"/>
          <w:color w:val="auto"/>
        </w:rPr>
        <w:t xml:space="preserve">The Company’s projected weighted-average cost of capital applied to this </w:t>
      </w:r>
      <w:r w:rsidR="009303C2">
        <w:rPr>
          <w:rFonts w:ascii="Times New Roman" w:hAnsi="Times New Roman" w:cs="Times New Roman"/>
          <w:color w:val="auto"/>
        </w:rPr>
        <w:t xml:space="preserve">13-month average </w:t>
      </w:r>
      <w:r w:rsidR="000922F6">
        <w:rPr>
          <w:rFonts w:ascii="Times New Roman" w:hAnsi="Times New Roman" w:cs="Times New Roman"/>
          <w:color w:val="auto"/>
        </w:rPr>
        <w:t xml:space="preserve">rate base amount is calculated on </w:t>
      </w:r>
      <w:r w:rsidR="00815B2E">
        <w:rPr>
          <w:rFonts w:ascii="Times New Roman" w:hAnsi="Times New Roman" w:cs="Times New Roman"/>
          <w:color w:val="auto"/>
        </w:rPr>
        <w:t xml:space="preserve">Schedule 2, </w:t>
      </w:r>
      <w:r w:rsidR="000922F6">
        <w:rPr>
          <w:rFonts w:ascii="Times New Roman" w:hAnsi="Times New Roman" w:cs="Times New Roman"/>
          <w:color w:val="auto"/>
        </w:rPr>
        <w:t>page 5</w:t>
      </w:r>
      <w:r w:rsidR="00AE24EB">
        <w:rPr>
          <w:rFonts w:ascii="Times New Roman" w:hAnsi="Times New Roman" w:cs="Times New Roman"/>
          <w:color w:val="auto"/>
        </w:rPr>
        <w:t xml:space="preserve"> </w:t>
      </w:r>
      <w:r w:rsidR="000922F6">
        <w:rPr>
          <w:rFonts w:ascii="Times New Roman" w:hAnsi="Times New Roman" w:cs="Times New Roman"/>
          <w:color w:val="auto"/>
        </w:rPr>
        <w:t>of Exhibit</w:t>
      </w:r>
      <w:r w:rsidR="00E02A56">
        <w:rPr>
          <w:rFonts w:ascii="Times New Roman" w:hAnsi="Times New Roman" w:cs="Times New Roman"/>
          <w:color w:val="auto"/>
        </w:rPr>
        <w:t xml:space="preserve"> 1</w:t>
      </w:r>
      <w:r w:rsidR="000922F6">
        <w:rPr>
          <w:rFonts w:ascii="Times New Roman" w:hAnsi="Times New Roman" w:cs="Times New Roman"/>
          <w:color w:val="auto"/>
        </w:rPr>
        <w:t xml:space="preserve">. </w:t>
      </w:r>
    </w:p>
    <w:p w14:paraId="760F6BF0" w14:textId="77777777" w:rsidR="0030640C" w:rsidRDefault="0030640C" w:rsidP="00E229D2">
      <w:pPr>
        <w:pStyle w:val="Heading3"/>
        <w:keepNext w:val="0"/>
        <w:keepLines w:val="0"/>
        <w:numPr>
          <w:ilvl w:val="0"/>
          <w:numId w:val="0"/>
        </w:numPr>
        <w:ind w:firstLine="720"/>
        <w:jc w:val="both"/>
        <w:rPr>
          <w:rFonts w:ascii="Times New Roman" w:hAnsi="Times New Roman" w:cs="Times New Roman"/>
          <w:color w:val="auto"/>
        </w:rPr>
      </w:pPr>
    </w:p>
    <w:p w14:paraId="1833B84A" w14:textId="36E92232" w:rsidR="007C259A" w:rsidRPr="00A122DB" w:rsidRDefault="00F2739F" w:rsidP="00E229D2">
      <w:pPr>
        <w:pStyle w:val="Heading3"/>
        <w:keepNext w:val="0"/>
        <w:keepLines w:val="0"/>
        <w:numPr>
          <w:ilvl w:val="0"/>
          <w:numId w:val="0"/>
        </w:numPr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When Unit 3 achieves </w:t>
      </w:r>
      <w:r w:rsidR="00C26E13">
        <w:rPr>
          <w:rFonts w:ascii="Times New Roman" w:hAnsi="Times New Roman" w:cs="Times New Roman"/>
          <w:color w:val="auto"/>
        </w:rPr>
        <w:t>C</w:t>
      </w:r>
      <w:r>
        <w:rPr>
          <w:rFonts w:ascii="Times New Roman" w:hAnsi="Times New Roman" w:cs="Times New Roman"/>
          <w:color w:val="auto"/>
        </w:rPr>
        <w:t xml:space="preserve">ommercial </w:t>
      </w:r>
      <w:r w:rsidR="00C26E13">
        <w:rPr>
          <w:rFonts w:ascii="Times New Roman" w:hAnsi="Times New Roman" w:cs="Times New Roman"/>
          <w:color w:val="auto"/>
        </w:rPr>
        <w:t>O</w:t>
      </w:r>
      <w:r>
        <w:rPr>
          <w:rFonts w:ascii="Times New Roman" w:hAnsi="Times New Roman" w:cs="Times New Roman"/>
          <w:color w:val="auto"/>
        </w:rPr>
        <w:t>peration, it will be an operating facility producing baseload, carbon</w:t>
      </w:r>
      <w:r w:rsidR="001D0612">
        <w:rPr>
          <w:rFonts w:ascii="Times New Roman" w:hAnsi="Times New Roman" w:cs="Times New Roman"/>
          <w:color w:val="auto"/>
        </w:rPr>
        <w:t>-</w:t>
      </w:r>
      <w:r>
        <w:rPr>
          <w:rFonts w:ascii="Times New Roman" w:hAnsi="Times New Roman" w:cs="Times New Roman"/>
          <w:color w:val="auto"/>
        </w:rPr>
        <w:t xml:space="preserve">free </w:t>
      </w:r>
      <w:r w:rsidR="00732A40">
        <w:rPr>
          <w:rFonts w:ascii="Times New Roman" w:hAnsi="Times New Roman" w:cs="Times New Roman"/>
          <w:color w:val="auto"/>
        </w:rPr>
        <w:t>electricity to Georgia Power’s customers. C</w:t>
      </w:r>
      <w:r w:rsidR="006D291F">
        <w:rPr>
          <w:rFonts w:ascii="Times New Roman" w:hAnsi="Times New Roman" w:cs="Times New Roman"/>
          <w:color w:val="auto"/>
        </w:rPr>
        <w:t xml:space="preserve">ustomers will </w:t>
      </w:r>
      <w:r w:rsidR="00732A40">
        <w:rPr>
          <w:rFonts w:ascii="Times New Roman" w:hAnsi="Times New Roman" w:cs="Times New Roman"/>
          <w:color w:val="auto"/>
        </w:rPr>
        <w:t xml:space="preserve">be receiving </w:t>
      </w:r>
      <w:r w:rsidR="006D291F">
        <w:rPr>
          <w:rFonts w:ascii="Times New Roman" w:hAnsi="Times New Roman" w:cs="Times New Roman"/>
          <w:color w:val="auto"/>
        </w:rPr>
        <w:t xml:space="preserve">the benefits of </w:t>
      </w:r>
      <w:r w:rsidR="00732A40">
        <w:rPr>
          <w:rFonts w:ascii="Times New Roman" w:hAnsi="Times New Roman" w:cs="Times New Roman"/>
          <w:color w:val="auto"/>
        </w:rPr>
        <w:t xml:space="preserve">such </w:t>
      </w:r>
      <w:r w:rsidR="006D291F">
        <w:rPr>
          <w:rFonts w:ascii="Times New Roman" w:hAnsi="Times New Roman" w:cs="Times New Roman"/>
          <w:color w:val="auto"/>
        </w:rPr>
        <w:t xml:space="preserve">generation from the Company’s </w:t>
      </w:r>
      <w:r w:rsidR="00732A40">
        <w:rPr>
          <w:rFonts w:ascii="Times New Roman" w:hAnsi="Times New Roman" w:cs="Times New Roman"/>
          <w:color w:val="auto"/>
        </w:rPr>
        <w:t xml:space="preserve">entire </w:t>
      </w:r>
      <w:r w:rsidR="006D291F">
        <w:rPr>
          <w:rFonts w:ascii="Times New Roman" w:hAnsi="Times New Roman" w:cs="Times New Roman"/>
          <w:color w:val="auto"/>
        </w:rPr>
        <w:t xml:space="preserve">share of </w:t>
      </w:r>
      <w:r w:rsidR="00E204BB">
        <w:rPr>
          <w:rFonts w:ascii="Times New Roman" w:hAnsi="Times New Roman" w:cs="Times New Roman"/>
          <w:color w:val="auto"/>
        </w:rPr>
        <w:t>U</w:t>
      </w:r>
      <w:r w:rsidR="006D291F">
        <w:rPr>
          <w:rFonts w:ascii="Times New Roman" w:hAnsi="Times New Roman" w:cs="Times New Roman"/>
          <w:color w:val="auto"/>
        </w:rPr>
        <w:t xml:space="preserve">nit 3 and </w:t>
      </w:r>
      <w:r w:rsidR="00E02A56">
        <w:rPr>
          <w:rFonts w:ascii="Times New Roman" w:hAnsi="Times New Roman" w:cs="Times New Roman"/>
          <w:color w:val="auto"/>
        </w:rPr>
        <w:t>C</w:t>
      </w:r>
      <w:r w:rsidR="006D291F">
        <w:rPr>
          <w:rFonts w:ascii="Times New Roman" w:hAnsi="Times New Roman" w:cs="Times New Roman"/>
          <w:color w:val="auto"/>
        </w:rPr>
        <w:t xml:space="preserve">ommon </w:t>
      </w:r>
      <w:r w:rsidR="00311606">
        <w:rPr>
          <w:rFonts w:ascii="Times New Roman" w:hAnsi="Times New Roman" w:cs="Times New Roman"/>
          <w:color w:val="auto"/>
        </w:rPr>
        <w:t xml:space="preserve">facilities </w:t>
      </w:r>
      <w:r w:rsidR="006D291F">
        <w:rPr>
          <w:rFonts w:ascii="Times New Roman" w:hAnsi="Times New Roman" w:cs="Times New Roman"/>
          <w:color w:val="auto"/>
        </w:rPr>
        <w:t xml:space="preserve">placed into </w:t>
      </w:r>
      <w:r w:rsidR="0011009C">
        <w:rPr>
          <w:rFonts w:ascii="Times New Roman" w:hAnsi="Times New Roman" w:cs="Times New Roman"/>
          <w:color w:val="auto"/>
        </w:rPr>
        <w:t>Commercial Operation</w:t>
      </w:r>
      <w:r w:rsidR="006D291F">
        <w:rPr>
          <w:rFonts w:ascii="Times New Roman" w:hAnsi="Times New Roman" w:cs="Times New Roman"/>
          <w:color w:val="auto"/>
        </w:rPr>
        <w:t>, not just the portion of the capital investment recovered in base rates</w:t>
      </w:r>
      <w:r w:rsidR="00732A40">
        <w:rPr>
          <w:rFonts w:ascii="Times New Roman" w:hAnsi="Times New Roman" w:cs="Times New Roman"/>
          <w:color w:val="auto"/>
        </w:rPr>
        <w:t>. Therefore</w:t>
      </w:r>
      <w:r w:rsidR="006D291F">
        <w:rPr>
          <w:rFonts w:ascii="Times New Roman" w:hAnsi="Times New Roman" w:cs="Times New Roman"/>
          <w:color w:val="auto"/>
        </w:rPr>
        <w:t xml:space="preserve">, </w:t>
      </w:r>
      <w:r w:rsidR="00E204BB">
        <w:rPr>
          <w:rFonts w:ascii="Times New Roman" w:hAnsi="Times New Roman" w:cs="Times New Roman"/>
          <w:color w:val="auto"/>
        </w:rPr>
        <w:t>the Company</w:t>
      </w:r>
      <w:r w:rsidR="006D291F">
        <w:rPr>
          <w:rFonts w:ascii="Times New Roman" w:hAnsi="Times New Roman" w:cs="Times New Roman"/>
          <w:color w:val="auto"/>
        </w:rPr>
        <w:t xml:space="preserve"> </w:t>
      </w:r>
      <w:r w:rsidR="00E02A56">
        <w:rPr>
          <w:rFonts w:ascii="Times New Roman" w:hAnsi="Times New Roman" w:cs="Times New Roman"/>
          <w:color w:val="auto"/>
        </w:rPr>
        <w:t xml:space="preserve">also proposes </w:t>
      </w:r>
      <w:r w:rsidR="00793EEB">
        <w:rPr>
          <w:rFonts w:ascii="Times New Roman" w:hAnsi="Times New Roman" w:cs="Times New Roman"/>
          <w:color w:val="auto"/>
        </w:rPr>
        <w:t xml:space="preserve">to recover </w:t>
      </w:r>
      <w:r w:rsidR="000922F6">
        <w:rPr>
          <w:rFonts w:ascii="Times New Roman" w:hAnsi="Times New Roman" w:cs="Times New Roman"/>
          <w:color w:val="auto"/>
        </w:rPr>
        <w:t xml:space="preserve">the following costs related to its full </w:t>
      </w:r>
      <w:r w:rsidR="006146D8">
        <w:rPr>
          <w:rFonts w:ascii="Times New Roman" w:hAnsi="Times New Roman" w:cs="Times New Roman"/>
          <w:color w:val="auto"/>
        </w:rPr>
        <w:t xml:space="preserve">operation and commensurate output of </w:t>
      </w:r>
      <w:r w:rsidR="00E204BB">
        <w:rPr>
          <w:rFonts w:ascii="Times New Roman" w:hAnsi="Times New Roman" w:cs="Times New Roman"/>
          <w:color w:val="auto"/>
        </w:rPr>
        <w:t>U</w:t>
      </w:r>
      <w:r w:rsidR="006D291F">
        <w:rPr>
          <w:rFonts w:ascii="Times New Roman" w:hAnsi="Times New Roman" w:cs="Times New Roman"/>
          <w:color w:val="auto"/>
        </w:rPr>
        <w:t xml:space="preserve">nit 3 and </w:t>
      </w:r>
      <w:r w:rsidR="00E02A56">
        <w:rPr>
          <w:rFonts w:ascii="Times New Roman" w:hAnsi="Times New Roman" w:cs="Times New Roman"/>
          <w:color w:val="auto"/>
        </w:rPr>
        <w:t>C</w:t>
      </w:r>
      <w:r w:rsidR="006D291F">
        <w:rPr>
          <w:rFonts w:ascii="Times New Roman" w:hAnsi="Times New Roman" w:cs="Times New Roman"/>
          <w:color w:val="auto"/>
        </w:rPr>
        <w:t>ommon facilities</w:t>
      </w:r>
      <w:r w:rsidR="001D3584">
        <w:rPr>
          <w:rFonts w:ascii="Times New Roman" w:hAnsi="Times New Roman" w:cs="Times New Roman"/>
          <w:color w:val="auto"/>
        </w:rPr>
        <w:t xml:space="preserve"> upon Commercial Operation</w:t>
      </w:r>
      <w:r w:rsidR="00E204BB">
        <w:rPr>
          <w:rFonts w:ascii="Times New Roman" w:hAnsi="Times New Roman" w:cs="Times New Roman"/>
          <w:color w:val="auto"/>
        </w:rPr>
        <w:t>:</w:t>
      </w:r>
      <w:r w:rsidR="006D291F">
        <w:rPr>
          <w:rFonts w:ascii="Times New Roman" w:hAnsi="Times New Roman" w:cs="Times New Roman"/>
          <w:color w:val="auto"/>
        </w:rPr>
        <w:t xml:space="preserve"> </w:t>
      </w:r>
      <w:r w:rsidR="00E204BB">
        <w:rPr>
          <w:rFonts w:ascii="Times New Roman" w:hAnsi="Times New Roman" w:cs="Times New Roman"/>
          <w:color w:val="auto"/>
        </w:rPr>
        <w:t>(</w:t>
      </w:r>
      <w:r w:rsidR="00793EEB">
        <w:rPr>
          <w:rFonts w:ascii="Times New Roman" w:hAnsi="Times New Roman" w:cs="Times New Roman"/>
          <w:color w:val="auto"/>
        </w:rPr>
        <w:t xml:space="preserve">1) </w:t>
      </w:r>
      <w:r w:rsidR="00E83E1A">
        <w:rPr>
          <w:rFonts w:ascii="Times New Roman" w:hAnsi="Times New Roman" w:cs="Times New Roman"/>
          <w:color w:val="auto"/>
        </w:rPr>
        <w:t>depreciation expense</w:t>
      </w:r>
      <w:r w:rsidR="00E204BB">
        <w:rPr>
          <w:rFonts w:ascii="Times New Roman" w:hAnsi="Times New Roman" w:cs="Times New Roman"/>
          <w:color w:val="auto"/>
        </w:rPr>
        <w:t>;</w:t>
      </w:r>
      <w:r w:rsidR="00793EEB">
        <w:rPr>
          <w:rFonts w:ascii="Times New Roman" w:hAnsi="Times New Roman" w:cs="Times New Roman"/>
          <w:color w:val="auto"/>
        </w:rPr>
        <w:t xml:space="preserve"> </w:t>
      </w:r>
      <w:r w:rsidR="00E204BB">
        <w:rPr>
          <w:rFonts w:ascii="Times New Roman" w:hAnsi="Times New Roman" w:cs="Times New Roman"/>
          <w:color w:val="auto"/>
        </w:rPr>
        <w:t>(</w:t>
      </w:r>
      <w:r w:rsidR="006D291F">
        <w:rPr>
          <w:rFonts w:ascii="Times New Roman" w:hAnsi="Times New Roman" w:cs="Times New Roman"/>
          <w:color w:val="auto"/>
        </w:rPr>
        <w:t xml:space="preserve">2) </w:t>
      </w:r>
      <w:r w:rsidR="00E83E1A">
        <w:rPr>
          <w:rFonts w:ascii="Times New Roman" w:hAnsi="Times New Roman" w:cs="Times New Roman"/>
          <w:color w:val="auto"/>
        </w:rPr>
        <w:t>O&amp;M expenses</w:t>
      </w:r>
      <w:r w:rsidR="00E204BB">
        <w:rPr>
          <w:rFonts w:ascii="Times New Roman" w:hAnsi="Times New Roman" w:cs="Times New Roman"/>
          <w:color w:val="auto"/>
        </w:rPr>
        <w:t>;</w:t>
      </w:r>
      <w:r w:rsidR="006D291F">
        <w:rPr>
          <w:rFonts w:ascii="Times New Roman" w:hAnsi="Times New Roman" w:cs="Times New Roman"/>
          <w:color w:val="auto"/>
        </w:rPr>
        <w:t xml:space="preserve"> </w:t>
      </w:r>
      <w:r w:rsidR="00E204BB">
        <w:rPr>
          <w:rFonts w:ascii="Times New Roman" w:hAnsi="Times New Roman" w:cs="Times New Roman"/>
          <w:color w:val="auto"/>
        </w:rPr>
        <w:t>(</w:t>
      </w:r>
      <w:r w:rsidR="006D291F">
        <w:rPr>
          <w:rFonts w:ascii="Times New Roman" w:hAnsi="Times New Roman" w:cs="Times New Roman"/>
          <w:color w:val="auto"/>
        </w:rPr>
        <w:t>3) property taxes</w:t>
      </w:r>
      <w:r w:rsidR="00E204BB">
        <w:rPr>
          <w:rFonts w:ascii="Times New Roman" w:hAnsi="Times New Roman" w:cs="Times New Roman"/>
          <w:color w:val="auto"/>
        </w:rPr>
        <w:t>;</w:t>
      </w:r>
      <w:r w:rsidR="006D291F">
        <w:rPr>
          <w:rFonts w:ascii="Times New Roman" w:hAnsi="Times New Roman" w:cs="Times New Roman"/>
          <w:color w:val="auto"/>
        </w:rPr>
        <w:t xml:space="preserve"> </w:t>
      </w:r>
      <w:r w:rsidR="00E204BB">
        <w:rPr>
          <w:rFonts w:ascii="Times New Roman" w:hAnsi="Times New Roman" w:cs="Times New Roman"/>
          <w:color w:val="auto"/>
        </w:rPr>
        <w:t>(</w:t>
      </w:r>
      <w:r w:rsidR="006D291F">
        <w:rPr>
          <w:rFonts w:ascii="Times New Roman" w:hAnsi="Times New Roman" w:cs="Times New Roman"/>
          <w:color w:val="auto"/>
        </w:rPr>
        <w:t>4) nuclear decommissioning costs</w:t>
      </w:r>
      <w:r w:rsidR="001D3584">
        <w:rPr>
          <w:rFonts w:ascii="Times New Roman" w:hAnsi="Times New Roman" w:cs="Times New Roman"/>
          <w:color w:val="auto"/>
        </w:rPr>
        <w:t>; (5)</w:t>
      </w:r>
      <w:r w:rsidR="003D5181">
        <w:rPr>
          <w:rFonts w:ascii="Times New Roman" w:hAnsi="Times New Roman" w:cs="Times New Roman"/>
          <w:color w:val="auto"/>
        </w:rPr>
        <w:t xml:space="preserve"> nuclear fuel; (6) spare parts inventory; and (7) related deferred taxes</w:t>
      </w:r>
      <w:r w:rsidR="006D291F">
        <w:rPr>
          <w:rFonts w:ascii="Times New Roman" w:hAnsi="Times New Roman" w:cs="Times New Roman"/>
          <w:color w:val="auto"/>
        </w:rPr>
        <w:t xml:space="preserve">. Likewise, </w:t>
      </w:r>
      <w:r w:rsidR="00E204BB">
        <w:rPr>
          <w:rFonts w:ascii="Times New Roman" w:hAnsi="Times New Roman" w:cs="Times New Roman"/>
          <w:color w:val="auto"/>
        </w:rPr>
        <w:t xml:space="preserve">because Unit 3 will be generating electricity, it will be awarded </w:t>
      </w:r>
      <w:r w:rsidR="00CA67FB">
        <w:rPr>
          <w:rFonts w:ascii="Times New Roman" w:hAnsi="Times New Roman" w:cs="Times New Roman"/>
          <w:color w:val="auto"/>
        </w:rPr>
        <w:t xml:space="preserve">federal </w:t>
      </w:r>
      <w:r w:rsidR="00E204BB">
        <w:rPr>
          <w:rFonts w:ascii="Times New Roman" w:hAnsi="Times New Roman" w:cs="Times New Roman"/>
          <w:color w:val="auto"/>
        </w:rPr>
        <w:t>production tax credits</w:t>
      </w:r>
      <w:r w:rsidR="00CA67FB">
        <w:rPr>
          <w:rFonts w:ascii="Times New Roman" w:hAnsi="Times New Roman" w:cs="Times New Roman"/>
          <w:color w:val="auto"/>
        </w:rPr>
        <w:t xml:space="preserve"> (“PTCs”)</w:t>
      </w:r>
      <w:r w:rsidR="00E204BB">
        <w:rPr>
          <w:rFonts w:ascii="Times New Roman" w:hAnsi="Times New Roman" w:cs="Times New Roman"/>
          <w:color w:val="auto"/>
        </w:rPr>
        <w:t>. T</w:t>
      </w:r>
      <w:r w:rsidR="006D291F">
        <w:rPr>
          <w:rFonts w:ascii="Times New Roman" w:hAnsi="Times New Roman" w:cs="Times New Roman"/>
          <w:color w:val="auto"/>
        </w:rPr>
        <w:t xml:space="preserve">he Company will significantly reduce these </w:t>
      </w:r>
      <w:r w:rsidR="00D82096">
        <w:rPr>
          <w:rFonts w:ascii="Times New Roman" w:hAnsi="Times New Roman" w:cs="Times New Roman"/>
          <w:color w:val="auto"/>
        </w:rPr>
        <w:t xml:space="preserve">operating </w:t>
      </w:r>
      <w:r w:rsidR="006D291F">
        <w:rPr>
          <w:rFonts w:ascii="Times New Roman" w:hAnsi="Times New Roman" w:cs="Times New Roman"/>
          <w:color w:val="auto"/>
        </w:rPr>
        <w:t xml:space="preserve">costs by providing customers </w:t>
      </w:r>
      <w:r w:rsidR="00C929D1">
        <w:rPr>
          <w:rFonts w:ascii="Times New Roman" w:hAnsi="Times New Roman" w:cs="Times New Roman"/>
          <w:color w:val="auto"/>
        </w:rPr>
        <w:t xml:space="preserve">the benefit of the </w:t>
      </w:r>
      <w:r w:rsidR="00CA67FB">
        <w:rPr>
          <w:rFonts w:ascii="Times New Roman" w:hAnsi="Times New Roman" w:cs="Times New Roman"/>
          <w:color w:val="auto"/>
        </w:rPr>
        <w:t>PTCs</w:t>
      </w:r>
      <w:r w:rsidR="00C929D1">
        <w:rPr>
          <w:rFonts w:ascii="Times New Roman" w:hAnsi="Times New Roman" w:cs="Times New Roman"/>
          <w:color w:val="auto"/>
        </w:rPr>
        <w:t xml:space="preserve"> for </w:t>
      </w:r>
      <w:r w:rsidR="006D291F">
        <w:rPr>
          <w:rFonts w:ascii="Times New Roman" w:hAnsi="Times New Roman" w:cs="Times New Roman"/>
          <w:color w:val="auto"/>
        </w:rPr>
        <w:t xml:space="preserve">all of its share of </w:t>
      </w:r>
      <w:r w:rsidR="00C929D1">
        <w:rPr>
          <w:rFonts w:ascii="Times New Roman" w:hAnsi="Times New Roman" w:cs="Times New Roman"/>
          <w:color w:val="auto"/>
        </w:rPr>
        <w:t xml:space="preserve">Vogtle </w:t>
      </w:r>
      <w:r w:rsidR="00E204BB">
        <w:rPr>
          <w:rFonts w:ascii="Times New Roman" w:hAnsi="Times New Roman" w:cs="Times New Roman"/>
          <w:color w:val="auto"/>
        </w:rPr>
        <w:t>U</w:t>
      </w:r>
      <w:r w:rsidR="00C929D1">
        <w:rPr>
          <w:rFonts w:ascii="Times New Roman" w:hAnsi="Times New Roman" w:cs="Times New Roman"/>
          <w:color w:val="auto"/>
        </w:rPr>
        <w:t>nit 3’s generation output. These projected operating costs and production tax credit amounts are presented on</w:t>
      </w:r>
      <w:r w:rsidR="00815B2E">
        <w:rPr>
          <w:rFonts w:ascii="Times New Roman" w:hAnsi="Times New Roman" w:cs="Times New Roman"/>
          <w:color w:val="auto"/>
        </w:rPr>
        <w:t xml:space="preserve"> Schedule 2,</w:t>
      </w:r>
      <w:r w:rsidR="00C929D1">
        <w:rPr>
          <w:rFonts w:ascii="Times New Roman" w:hAnsi="Times New Roman" w:cs="Times New Roman"/>
          <w:color w:val="auto"/>
        </w:rPr>
        <w:t xml:space="preserve"> page 4</w:t>
      </w:r>
      <w:r w:rsidR="00AE24EB">
        <w:rPr>
          <w:rFonts w:ascii="Times New Roman" w:hAnsi="Times New Roman" w:cs="Times New Roman"/>
          <w:color w:val="auto"/>
        </w:rPr>
        <w:t xml:space="preserve"> </w:t>
      </w:r>
      <w:r w:rsidR="00C929D1">
        <w:rPr>
          <w:rFonts w:ascii="Times New Roman" w:hAnsi="Times New Roman" w:cs="Times New Roman"/>
          <w:color w:val="auto"/>
        </w:rPr>
        <w:t>of Exhibit</w:t>
      </w:r>
      <w:r w:rsidR="0030640C">
        <w:rPr>
          <w:rFonts w:ascii="Times New Roman" w:hAnsi="Times New Roman" w:cs="Times New Roman"/>
          <w:color w:val="auto"/>
        </w:rPr>
        <w:t xml:space="preserve"> 1</w:t>
      </w:r>
      <w:r w:rsidR="00C929D1">
        <w:rPr>
          <w:rFonts w:ascii="Times New Roman" w:hAnsi="Times New Roman" w:cs="Times New Roman"/>
          <w:color w:val="auto"/>
        </w:rPr>
        <w:t>.</w:t>
      </w:r>
    </w:p>
    <w:p w14:paraId="7DFA756B" w14:textId="77777777" w:rsidR="00910135" w:rsidRPr="00910135" w:rsidRDefault="00910135" w:rsidP="0073720A">
      <w:pPr>
        <w:ind w:left="1440"/>
        <w:jc w:val="both"/>
      </w:pPr>
    </w:p>
    <w:p w14:paraId="7AB5E706" w14:textId="13F2BBE9" w:rsidR="0076247F" w:rsidRDefault="007C259A" w:rsidP="00E02A56">
      <w:pPr>
        <w:pStyle w:val="Heading3"/>
        <w:keepLines w:val="0"/>
        <w:jc w:val="both"/>
        <w:rPr>
          <w:rFonts w:ascii="Times New Roman" w:hAnsi="Times New Roman" w:cs="Times New Roman"/>
          <w:i/>
          <w:iCs/>
          <w:color w:val="auto"/>
        </w:rPr>
      </w:pPr>
      <w:r w:rsidRPr="007C259A">
        <w:rPr>
          <w:rFonts w:ascii="Times New Roman" w:hAnsi="Times New Roman" w:cs="Times New Roman"/>
          <w:i/>
          <w:iCs/>
          <w:color w:val="auto"/>
        </w:rPr>
        <w:t>R</w:t>
      </w:r>
      <w:r w:rsidR="00725077" w:rsidRPr="007C259A">
        <w:rPr>
          <w:rFonts w:ascii="Times New Roman" w:hAnsi="Times New Roman" w:cs="Times New Roman"/>
          <w:i/>
          <w:iCs/>
          <w:color w:val="auto"/>
        </w:rPr>
        <w:t xml:space="preserve">ate </w:t>
      </w:r>
      <w:r w:rsidRPr="007C259A">
        <w:rPr>
          <w:rFonts w:ascii="Times New Roman" w:hAnsi="Times New Roman" w:cs="Times New Roman"/>
          <w:i/>
          <w:iCs/>
          <w:color w:val="auto"/>
        </w:rPr>
        <w:t>D</w:t>
      </w:r>
      <w:r w:rsidR="00725077" w:rsidRPr="007C259A">
        <w:rPr>
          <w:rFonts w:ascii="Times New Roman" w:hAnsi="Times New Roman" w:cs="Times New Roman"/>
          <w:i/>
          <w:iCs/>
          <w:color w:val="auto"/>
        </w:rPr>
        <w:t>esign</w:t>
      </w:r>
      <w:r w:rsidR="006146D8">
        <w:rPr>
          <w:rFonts w:ascii="Times New Roman" w:hAnsi="Times New Roman" w:cs="Times New Roman"/>
          <w:i/>
          <w:iCs/>
          <w:color w:val="auto"/>
        </w:rPr>
        <w:t>.</w:t>
      </w:r>
    </w:p>
    <w:p w14:paraId="6296BA06" w14:textId="4B6B6CEB" w:rsidR="00910135" w:rsidRDefault="00910135" w:rsidP="00E02A56">
      <w:pPr>
        <w:keepNext/>
        <w:jc w:val="both"/>
      </w:pPr>
    </w:p>
    <w:p w14:paraId="09D38099" w14:textId="4B0B36C2" w:rsidR="00D82389" w:rsidRPr="00D82389" w:rsidRDefault="00D82389" w:rsidP="00E02A56">
      <w:pPr>
        <w:keepNext/>
        <w:ind w:firstLine="720"/>
        <w:jc w:val="both"/>
      </w:pPr>
      <w:r w:rsidRPr="00D82389">
        <w:t xml:space="preserve">The Company will adjust base rates to recover the Unit 3 and </w:t>
      </w:r>
      <w:r w:rsidR="009E1BF4">
        <w:t>C</w:t>
      </w:r>
      <w:r w:rsidRPr="00D82389">
        <w:t xml:space="preserve">ommon revenue requirements beginning in the month after </w:t>
      </w:r>
      <w:r w:rsidR="00E204BB">
        <w:t>U</w:t>
      </w:r>
      <w:r w:rsidRPr="00D82389">
        <w:t>nit</w:t>
      </w:r>
      <w:r w:rsidR="00E204BB">
        <w:t xml:space="preserve"> 3</w:t>
      </w:r>
      <w:r w:rsidRPr="00D82389">
        <w:t xml:space="preserve"> achieves </w:t>
      </w:r>
      <w:r w:rsidR="00E204BB">
        <w:t>C</w:t>
      </w:r>
      <w:r w:rsidRPr="00D82389">
        <w:t xml:space="preserve">ommercial </w:t>
      </w:r>
      <w:r w:rsidR="00E204BB">
        <w:t>O</w:t>
      </w:r>
      <w:r w:rsidRPr="00D82389">
        <w:t xml:space="preserve">peration. The proposed increase will be allocated equally across all base tariffs. The Company will design the Unit 3 price changes after completing the rate design for the </w:t>
      </w:r>
      <w:r w:rsidR="004B2AA4">
        <w:t>October 1, 2021</w:t>
      </w:r>
      <w:r w:rsidRPr="00D82389">
        <w:t xml:space="preserve"> rate case compliance filing as specified in the Commission’s Order in Docket </w:t>
      </w:r>
      <w:r w:rsidR="00E204BB">
        <w:t xml:space="preserve">No. </w:t>
      </w:r>
      <w:r w:rsidRPr="00D82389">
        <w:t xml:space="preserve">42516. </w:t>
      </w:r>
    </w:p>
    <w:p w14:paraId="11F92D0D" w14:textId="77777777" w:rsidR="00D82389" w:rsidRPr="00D82389" w:rsidRDefault="00D82389" w:rsidP="00D82389">
      <w:pPr>
        <w:ind w:left="1440"/>
        <w:jc w:val="both"/>
      </w:pPr>
    </w:p>
    <w:p w14:paraId="16AEF067" w14:textId="1AEED53F" w:rsidR="00D82389" w:rsidRPr="00910135" w:rsidRDefault="00BA672C" w:rsidP="00E02A56">
      <w:pPr>
        <w:ind w:firstLine="720"/>
        <w:jc w:val="both"/>
      </w:pPr>
      <w:r w:rsidRPr="00BA672C">
        <w:t xml:space="preserve">In conjunction with the </w:t>
      </w:r>
      <w:r w:rsidR="004B2AA4">
        <w:t xml:space="preserve">upcoming </w:t>
      </w:r>
      <w:r w:rsidRPr="00BA672C">
        <w:t xml:space="preserve">rate case compliance filing, the Company will provide two separate groups of tariffs – </w:t>
      </w:r>
      <w:r w:rsidR="004B2AA4">
        <w:t xml:space="preserve">(1) </w:t>
      </w:r>
      <w:r w:rsidRPr="00BA672C">
        <w:t>one set specifically to account for the adjustments to base rates and recovery riders for the compliance filing, and</w:t>
      </w:r>
      <w:r w:rsidR="004B2AA4">
        <w:t xml:space="preserve"> (2)</w:t>
      </w:r>
      <w:r w:rsidRPr="00BA672C">
        <w:t xml:space="preserve"> a second set of tariffs that includes the combined effect of the compliance filing and the Unit 3 and </w:t>
      </w:r>
      <w:r w:rsidR="004B2AA4">
        <w:t>C</w:t>
      </w:r>
      <w:r w:rsidRPr="00BA672C">
        <w:t xml:space="preserve">ommon revenue requirements. The tariffs reflecting only the revenue requirements for the compliance filing will take effect January 1, 2022. If Unit 3 achieves </w:t>
      </w:r>
      <w:r w:rsidR="004B2AA4">
        <w:t>C</w:t>
      </w:r>
      <w:r w:rsidRPr="00BA672C">
        <w:t xml:space="preserve">ommercial </w:t>
      </w:r>
      <w:r w:rsidR="004B2AA4">
        <w:t>O</w:t>
      </w:r>
      <w:r w:rsidRPr="00BA672C">
        <w:t xml:space="preserve">peration in January 2022, the tariffs reflecting the combined effects of the compliance filing and Unit 3 </w:t>
      </w:r>
      <w:r w:rsidR="004B2AA4">
        <w:t xml:space="preserve">and Common </w:t>
      </w:r>
      <w:r w:rsidRPr="00BA672C">
        <w:t xml:space="preserve">revenue requirements will go into effect on February 1, 2022. However, if Unit 3 achieves </w:t>
      </w:r>
      <w:r w:rsidR="004B2AA4">
        <w:t>C</w:t>
      </w:r>
      <w:r w:rsidRPr="00BA672C">
        <w:t xml:space="preserve">ommercial </w:t>
      </w:r>
      <w:r w:rsidR="004B2AA4">
        <w:t>O</w:t>
      </w:r>
      <w:r w:rsidRPr="00BA672C">
        <w:t xml:space="preserve">peration sometime after January 2022, the Company will provide a revised set of tariffs to account for any necessary changes to the Unit 3 and </w:t>
      </w:r>
      <w:r w:rsidR="004B2AA4">
        <w:t>C</w:t>
      </w:r>
      <w:r w:rsidRPr="00BA672C">
        <w:t xml:space="preserve">ommon revenue requirements and schedule, and these tariffs will go into effect the month following </w:t>
      </w:r>
      <w:r w:rsidR="00904E6F">
        <w:t>C</w:t>
      </w:r>
      <w:r w:rsidRPr="00BA672C">
        <w:t xml:space="preserve">ommercial </w:t>
      </w:r>
      <w:r w:rsidR="00904E6F">
        <w:t>O</w:t>
      </w:r>
      <w:r w:rsidRPr="00BA672C">
        <w:t>peration. All noted changes to the Company’s revenue requirements and tariffs are subject to Commission review and approval.</w:t>
      </w:r>
    </w:p>
    <w:p w14:paraId="649B23F5" w14:textId="77777777" w:rsidR="004A4AB6" w:rsidRPr="004A4AB6" w:rsidRDefault="004A4AB6" w:rsidP="0073720A">
      <w:pPr>
        <w:jc w:val="both"/>
      </w:pPr>
    </w:p>
    <w:p w14:paraId="4067D8A7" w14:textId="2EBF6464" w:rsidR="0076247F" w:rsidRDefault="007C259A" w:rsidP="0059631A">
      <w:pPr>
        <w:pStyle w:val="Heading2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Remaining Costs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E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ligible for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ecovery through the Nuclear Construction Cost Recovery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T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ariff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7F7B29DD" w14:textId="1294124D" w:rsidR="004A4AB6" w:rsidRDefault="004A4AB6" w:rsidP="00E229D2">
      <w:pPr>
        <w:keepNext/>
        <w:jc w:val="both"/>
      </w:pPr>
    </w:p>
    <w:p w14:paraId="20810287" w14:textId="4B7E9231" w:rsidR="00367D81" w:rsidRDefault="0023131A" w:rsidP="00E229D2">
      <w:pPr>
        <w:keepNext/>
        <w:ind w:firstLine="720"/>
        <w:jc w:val="both"/>
      </w:pPr>
      <w:r>
        <w:t xml:space="preserve">Pursuant to O.C.G.A. § 46-2-25, Georgia Power recovers the cost of financing the construction </w:t>
      </w:r>
      <w:r w:rsidR="00732A40">
        <w:t>of</w:t>
      </w:r>
      <w:r>
        <w:t xml:space="preserve"> Units 3 and 4 during construction through a separate rider on customer bills, the NCCR tariff. </w:t>
      </w:r>
      <w:r w:rsidR="00D9647A">
        <w:t xml:space="preserve">The </w:t>
      </w:r>
      <w:r w:rsidR="004A4AB6">
        <w:t xml:space="preserve">SIR Stipulation </w:t>
      </w:r>
      <w:r w:rsidR="00D9647A">
        <w:t>provided</w:t>
      </w:r>
      <w:r w:rsidR="004A4AB6">
        <w:t xml:space="preserve"> that</w:t>
      </w:r>
      <w:r w:rsidR="001830BD">
        <w:t>,</w:t>
      </w:r>
      <w:r w:rsidR="004A4AB6">
        <w:t xml:space="preserve"> </w:t>
      </w:r>
      <w:r w:rsidR="00D9647A">
        <w:t xml:space="preserve">consistent with </w:t>
      </w:r>
      <w:r w:rsidR="004A4AB6">
        <w:t>O.C.G.A. § 46-2-25</w:t>
      </w:r>
      <w:r w:rsidR="009A0888">
        <w:t>, the NCCR tariff will continue until the units are in base rates</w:t>
      </w:r>
      <w:r w:rsidR="00B71087">
        <w:t>,</w:t>
      </w:r>
      <w:r w:rsidR="009A0888">
        <w:t xml:space="preserve"> but the N</w:t>
      </w:r>
      <w:r w:rsidR="00D9647A">
        <w:t>C</w:t>
      </w:r>
      <w:r w:rsidR="009A0888">
        <w:t xml:space="preserve">CR will only be collected on the certified capital cost of $4.418 billion. </w:t>
      </w:r>
      <w:r w:rsidR="00A42DAA">
        <w:t xml:space="preserve">The SIR Stipulation also </w:t>
      </w:r>
      <w:r w:rsidR="009A0888">
        <w:t>directed</w:t>
      </w:r>
      <w:r w:rsidR="00A42DAA">
        <w:t xml:space="preserve"> the Company</w:t>
      </w:r>
      <w:r w:rsidR="009A0888">
        <w:t xml:space="preserve"> to use AFUDC accounting treatment on the CWIP balance above </w:t>
      </w:r>
      <w:r w:rsidR="00B71087">
        <w:t xml:space="preserve">the </w:t>
      </w:r>
      <w:r w:rsidR="009A0888">
        <w:t xml:space="preserve">$4.418 billion certified capital cost amount. </w:t>
      </w:r>
      <w:r w:rsidR="00367D81" w:rsidRPr="00367D81">
        <w:t>As provided by law, the NCCR will remain in effect until new rates are set</w:t>
      </w:r>
      <w:r w:rsidR="009E1BF4">
        <w:t xml:space="preserve">. </w:t>
      </w:r>
      <w:r w:rsidR="00AB3A9C">
        <w:t>Therefore</w:t>
      </w:r>
      <w:r w:rsidR="009E1BF4">
        <w:t xml:space="preserve">, </w:t>
      </w:r>
      <w:r w:rsidR="00367D81" w:rsidRPr="00367D81">
        <w:t xml:space="preserve">once Unit 3 capital costs are in base rates, the </w:t>
      </w:r>
      <w:r w:rsidR="00815B2E">
        <w:t>Company will file adjustments to the NCCR tariff consistent with</w:t>
      </w:r>
      <w:r w:rsidR="001E64FA">
        <w:t>,</w:t>
      </w:r>
      <w:r w:rsidR="00815B2E">
        <w:t xml:space="preserve"> and subsequent to, </w:t>
      </w:r>
      <w:r w:rsidR="00116B1E">
        <w:t xml:space="preserve">the final order in this proceeding to reflect the </w:t>
      </w:r>
      <w:r w:rsidR="00367D81" w:rsidRPr="00367D81">
        <w:t xml:space="preserve">portion of the NCCR related to Unit 3 and </w:t>
      </w:r>
      <w:r w:rsidR="00B26A3B">
        <w:t>C</w:t>
      </w:r>
      <w:r w:rsidR="00B26A3B" w:rsidRPr="00367D81">
        <w:t xml:space="preserve">ommon </w:t>
      </w:r>
      <w:r w:rsidR="00367D81" w:rsidRPr="00367D81">
        <w:t xml:space="preserve">facilities </w:t>
      </w:r>
      <w:r w:rsidR="00116B1E">
        <w:t>removed from the NCCR rate base</w:t>
      </w:r>
      <w:r w:rsidR="00367D81" w:rsidRPr="00367D81">
        <w:t xml:space="preserve">. </w:t>
      </w:r>
    </w:p>
    <w:p w14:paraId="1936A0A1" w14:textId="5FBCF563" w:rsidR="007B5A36" w:rsidRDefault="007B5A36" w:rsidP="00367D81">
      <w:pPr>
        <w:ind w:firstLine="720"/>
        <w:jc w:val="both"/>
      </w:pPr>
    </w:p>
    <w:p w14:paraId="453C06FC" w14:textId="1020BBF2" w:rsidR="007B5A36" w:rsidRPr="007B5A36" w:rsidRDefault="007B5A36" w:rsidP="007B5A36">
      <w:pPr>
        <w:ind w:firstLine="720"/>
        <w:jc w:val="both"/>
      </w:pPr>
      <w:r>
        <w:t xml:space="preserve">For </w:t>
      </w:r>
      <w:r w:rsidRPr="007B5A36">
        <w:t>the</w:t>
      </w:r>
      <w:r w:rsidR="006146D8">
        <w:t xml:space="preserve"> portion of</w:t>
      </w:r>
      <w:r w:rsidRPr="007B5A36">
        <w:t xml:space="preserve"> Unit 3 and </w:t>
      </w:r>
      <w:r w:rsidR="00B26A3B">
        <w:t>C</w:t>
      </w:r>
      <w:r w:rsidR="00B26A3B" w:rsidRPr="007B5A36">
        <w:t xml:space="preserve">ommon </w:t>
      </w:r>
      <w:r w:rsidR="00B71087">
        <w:t xml:space="preserve">facilities </w:t>
      </w:r>
      <w:r w:rsidRPr="007B5A36">
        <w:t>cost</w:t>
      </w:r>
      <w:r w:rsidR="00B71087">
        <w:t>s</w:t>
      </w:r>
      <w:r>
        <w:t xml:space="preserve"> not </w:t>
      </w:r>
      <w:r w:rsidR="00B71087">
        <w:t>placed in</w:t>
      </w:r>
      <w:r w:rsidR="00E83E1A">
        <w:t xml:space="preserve"> base</w:t>
      </w:r>
      <w:r w:rsidR="00B71087">
        <w:t xml:space="preserve"> rates </w:t>
      </w:r>
      <w:r>
        <w:t>at Unit 3 Commercial Operation</w:t>
      </w:r>
      <w:r w:rsidR="00E83E1A">
        <w:t xml:space="preserve"> that remain in NCCR</w:t>
      </w:r>
      <w:r w:rsidRPr="007B5A36">
        <w:t>, the financing cost</w:t>
      </w:r>
      <w:r w:rsidR="00B71087">
        <w:t>s</w:t>
      </w:r>
      <w:r w:rsidRPr="007B5A36">
        <w:t xml:space="preserve"> </w:t>
      </w:r>
      <w:r>
        <w:t>will</w:t>
      </w:r>
      <w:r w:rsidRPr="007B5A36">
        <w:t xml:space="preserve"> continue to be collected through </w:t>
      </w:r>
      <w:r w:rsidR="009E1BF4">
        <w:t>the NCCR</w:t>
      </w:r>
      <w:r w:rsidR="00B71087" w:rsidRPr="007B5A36">
        <w:t xml:space="preserve"> </w:t>
      </w:r>
      <w:r w:rsidRPr="007B5A36">
        <w:t>tariff</w:t>
      </w:r>
      <w:r w:rsidR="005546C5">
        <w:t xml:space="preserve">. </w:t>
      </w:r>
      <w:bookmarkStart w:id="0" w:name="_Hlk73484333"/>
      <w:r w:rsidR="00E83E1A" w:rsidRPr="00E83E1A">
        <w:t xml:space="preserve">For the </w:t>
      </w:r>
      <w:r w:rsidR="006146D8">
        <w:t xml:space="preserve">portion of </w:t>
      </w:r>
      <w:r w:rsidR="00E83E1A" w:rsidRPr="00E83E1A">
        <w:t xml:space="preserve">Unit 3 and Common facilities costs placed in service but </w:t>
      </w:r>
      <w:r w:rsidR="00E83E1A">
        <w:t>neither</w:t>
      </w:r>
      <w:r w:rsidR="00E83E1A" w:rsidRPr="00E83E1A">
        <w:t xml:space="preserve"> included in base rates nor the NCCR tariff, the Company is not allowed under GAAP and FERC Electric Plant Instruction 3 (17) to capitalize AFUDC on the incurred costs of</w:t>
      </w:r>
      <w:r w:rsidR="00613EFA">
        <w:t xml:space="preserve"> the</w:t>
      </w:r>
      <w:r w:rsidR="00E83E1A" w:rsidRPr="00E83E1A">
        <w:t xml:space="preserve"> plant once construction of that plant is complete and it is placed in operation or ready for service. </w:t>
      </w:r>
      <w:bookmarkEnd w:id="0"/>
      <w:r w:rsidR="006146D8" w:rsidRPr="006146D8">
        <w:t>However, GAAP does allow for deferr</w:t>
      </w:r>
      <w:r w:rsidR="003E4CBD">
        <w:t>ed recovery of</w:t>
      </w:r>
      <w:r w:rsidR="006146D8" w:rsidRPr="006146D8">
        <w:t xml:space="preserve"> financing costs </w:t>
      </w:r>
      <w:r w:rsidR="003E4CBD">
        <w:t>between</w:t>
      </w:r>
      <w:r w:rsidR="006146D8" w:rsidRPr="006146D8">
        <w:t xml:space="preserve"> Commercial Operation</w:t>
      </w:r>
      <w:r w:rsidR="003E4CBD">
        <w:t xml:space="preserve"> and</w:t>
      </w:r>
      <w:r w:rsidR="006146D8" w:rsidRPr="006146D8">
        <w:t xml:space="preserve"> completion of the Commission’s prudency review. Therefore</w:t>
      </w:r>
      <w:r w:rsidR="00E83E1A">
        <w:t>, the Company proposes</w:t>
      </w:r>
      <w:r w:rsidR="00683213">
        <w:t xml:space="preserve"> financing costs</w:t>
      </w:r>
      <w:r w:rsidR="00FD0E42">
        <w:t>, of approximately $51 million,</w:t>
      </w:r>
      <w:r w:rsidR="00683213">
        <w:t xml:space="preserve"> </w:t>
      </w:r>
      <w:r w:rsidR="001830BD">
        <w:t xml:space="preserve">related to </w:t>
      </w:r>
      <w:r w:rsidR="009E1BF4">
        <w:t xml:space="preserve">Unit 3 and </w:t>
      </w:r>
      <w:r w:rsidR="00B26A3B">
        <w:t xml:space="preserve">Common </w:t>
      </w:r>
      <w:r w:rsidR="009E1BF4">
        <w:t xml:space="preserve">facilities </w:t>
      </w:r>
      <w:r w:rsidR="00E83E1A">
        <w:t xml:space="preserve">neither </w:t>
      </w:r>
      <w:r w:rsidR="00683213">
        <w:t xml:space="preserve">collected through base rates </w:t>
      </w:r>
      <w:r w:rsidR="00E83E1A">
        <w:t>n</w:t>
      </w:r>
      <w:r w:rsidR="00683213">
        <w:t>or the NCCR tariff</w:t>
      </w:r>
      <w:r w:rsidRPr="007B5A36">
        <w:t xml:space="preserve"> be deferred </w:t>
      </w:r>
      <w:r w:rsidR="00E83E1A">
        <w:t xml:space="preserve">at the Company’s long-term debt rate </w:t>
      </w:r>
      <w:r w:rsidRPr="007B5A36">
        <w:t xml:space="preserve">until </w:t>
      </w:r>
      <w:r w:rsidR="00B71087">
        <w:t xml:space="preserve">Unit 4 Commercial Operation and collected </w:t>
      </w:r>
      <w:r w:rsidRPr="007B5A36">
        <w:t>over a 5-year period</w:t>
      </w:r>
      <w:r w:rsidR="006146D8">
        <w:t xml:space="preserve"> to begin</w:t>
      </w:r>
      <w:r w:rsidRPr="007B5A36">
        <w:t xml:space="preserve"> </w:t>
      </w:r>
      <w:r w:rsidR="00683213">
        <w:t xml:space="preserve">when </w:t>
      </w:r>
      <w:r w:rsidR="006739CA">
        <w:t xml:space="preserve">the remainder of Unit 3 and </w:t>
      </w:r>
      <w:r w:rsidR="00B26A3B">
        <w:t xml:space="preserve">Common </w:t>
      </w:r>
      <w:r w:rsidR="00E83E1A">
        <w:t xml:space="preserve">facilities </w:t>
      </w:r>
      <w:r w:rsidR="00683213">
        <w:t xml:space="preserve">costs </w:t>
      </w:r>
      <w:r w:rsidR="006739CA">
        <w:t xml:space="preserve">and Unit 4 </w:t>
      </w:r>
      <w:r w:rsidR="00683213">
        <w:t xml:space="preserve">costs </w:t>
      </w:r>
      <w:r w:rsidR="006739CA">
        <w:t>are placed in base rates</w:t>
      </w:r>
      <w:r w:rsidRPr="007B5A36">
        <w:t xml:space="preserve">. </w:t>
      </w:r>
    </w:p>
    <w:p w14:paraId="6FA5C038" w14:textId="77777777" w:rsidR="004A4AB6" w:rsidRPr="004A4AB6" w:rsidRDefault="004A4AB6" w:rsidP="0073720A">
      <w:pPr>
        <w:jc w:val="both"/>
      </w:pPr>
    </w:p>
    <w:p w14:paraId="7C0B929A" w14:textId="3E48C12D" w:rsidR="0076247F" w:rsidRDefault="007C259A" w:rsidP="00B66ACA">
      <w:pPr>
        <w:pStyle w:val="Heading2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C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osts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eflected in Fuel Cost Recovery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Tariff</w:t>
      </w:r>
      <w:r w:rsidRPr="007D0B6C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0827BA36" w14:textId="208012DA" w:rsidR="009A0888" w:rsidRDefault="009A0888" w:rsidP="00B66ACA">
      <w:pPr>
        <w:keepNext/>
        <w:jc w:val="both"/>
      </w:pPr>
    </w:p>
    <w:p w14:paraId="58EAA364" w14:textId="3BEE2DFC" w:rsidR="005546C5" w:rsidRPr="005546C5" w:rsidRDefault="00C63677" w:rsidP="00B66ACA">
      <w:pPr>
        <w:keepNext/>
        <w:ind w:firstLine="720"/>
        <w:jc w:val="both"/>
      </w:pPr>
      <w:r>
        <w:t>The Company’s current Fuel Cost Recovery tariff (FCR-25) rates</w:t>
      </w:r>
      <w:r w:rsidR="005635F8">
        <w:t>, effective beginning June 2020,</w:t>
      </w:r>
      <w:r>
        <w:t xml:space="preserve"> contemplate</w:t>
      </w:r>
      <w:r w:rsidR="005635F8">
        <w:t>d</w:t>
      </w:r>
      <w:r>
        <w:t xml:space="preserve"> Vogtle Unit</w:t>
      </w:r>
      <w:r w:rsidR="00F40552">
        <w:t> </w:t>
      </w:r>
      <w:r>
        <w:t xml:space="preserve">3 </w:t>
      </w:r>
      <w:r w:rsidR="00683213">
        <w:t>achieving C</w:t>
      </w:r>
      <w:r>
        <w:t xml:space="preserve">ommercial </w:t>
      </w:r>
      <w:r w:rsidR="00683213">
        <w:t>O</w:t>
      </w:r>
      <w:r>
        <w:t>peration in November 2021</w:t>
      </w:r>
      <w:r w:rsidR="00EA013C">
        <w:t>.</w:t>
      </w:r>
      <w:r w:rsidR="005635F8">
        <w:t xml:space="preserve"> This means that customers are already receiving the benefit of an estimated $44 million of fuel cost savings attributed to Unit 3.</w:t>
      </w:r>
      <w:r w:rsidR="00AB3A9C">
        <w:t xml:space="preserve"> Per the FCR-25 Order, the Company is required to file its next fuel case </w:t>
      </w:r>
      <w:r w:rsidR="00CE163C">
        <w:t>on or before</w:t>
      </w:r>
      <w:r w:rsidR="00AB3A9C">
        <w:t xml:space="preserve"> February 28, 2023</w:t>
      </w:r>
      <w:r w:rsidR="00F2375D">
        <w:t xml:space="preserve">—unless </w:t>
      </w:r>
      <w:r w:rsidR="00AB3A9C">
        <w:t xml:space="preserve">the Company’s </w:t>
      </w:r>
      <w:r w:rsidR="00F2375D">
        <w:t xml:space="preserve">2022 Integrated Resource Plan or </w:t>
      </w:r>
      <w:r w:rsidR="00AB3A9C">
        <w:t>next base rate case is not filed in 2022</w:t>
      </w:r>
      <w:r w:rsidR="00F2375D">
        <w:t>, in which case the fuel case would be filed in 2022</w:t>
      </w:r>
      <w:r w:rsidR="00AB3A9C">
        <w:t>.</w:t>
      </w:r>
      <w:r w:rsidR="00EA013C">
        <w:t xml:space="preserve"> T</w:t>
      </w:r>
      <w:r w:rsidR="00C075C2">
        <w:t>herefore</w:t>
      </w:r>
      <w:r w:rsidR="00EA013C">
        <w:t>,</w:t>
      </w:r>
      <w:r w:rsidR="00C075C2">
        <w:t xml:space="preserve"> no adjustment</w:t>
      </w:r>
      <w:r w:rsidR="009E1BF4">
        <w:t xml:space="preserve"> to the FCR </w:t>
      </w:r>
      <w:r w:rsidR="0011009C">
        <w:t xml:space="preserve">tariff </w:t>
      </w:r>
      <w:r w:rsidR="00C075C2">
        <w:t xml:space="preserve">will be necessary once Unit 3 is placed in service. Any impact on fuel cost resulting from a change in Unit 3’s actual </w:t>
      </w:r>
      <w:r w:rsidR="00EA013C">
        <w:t>C</w:t>
      </w:r>
      <w:r w:rsidR="00C075C2">
        <w:t xml:space="preserve">ommercial </w:t>
      </w:r>
      <w:r w:rsidR="00EA013C">
        <w:t>O</w:t>
      </w:r>
      <w:r w:rsidR="00C075C2">
        <w:t xml:space="preserve">peration date will be captured in the fuel cost over/under-recovery balance. </w:t>
      </w:r>
      <w:r>
        <w:t xml:space="preserve">Prior to the </w:t>
      </w:r>
      <w:r w:rsidR="00EA013C">
        <w:t>C</w:t>
      </w:r>
      <w:r>
        <w:t xml:space="preserve">ommercial </w:t>
      </w:r>
      <w:r w:rsidR="00EA013C">
        <w:t>O</w:t>
      </w:r>
      <w:r>
        <w:t xml:space="preserve">peration date, the FCR-25 tariff reflects all of the Vogtle Unit 3 test energy generation </w:t>
      </w:r>
      <w:r w:rsidR="00FA2221">
        <w:t>kilowatt-hours</w:t>
      </w:r>
      <w:r>
        <w:t>, but the test energy generation fuel cost</w:t>
      </w:r>
      <w:r w:rsidR="00EA013C">
        <w:t>s</w:t>
      </w:r>
      <w:r w:rsidR="00B51E33">
        <w:t>, net of sales,</w:t>
      </w:r>
      <w:r>
        <w:t xml:space="preserve"> are capitalized as part of the construction cost and </w:t>
      </w:r>
      <w:r w:rsidR="00EA013C">
        <w:t xml:space="preserve">will be </w:t>
      </w:r>
      <w:r>
        <w:t xml:space="preserve">recovered in base rates. </w:t>
      </w:r>
    </w:p>
    <w:p w14:paraId="6C5FF017" w14:textId="3C8B2778" w:rsidR="005546C5" w:rsidRDefault="005546C5" w:rsidP="0073720A">
      <w:pPr>
        <w:jc w:val="both"/>
      </w:pPr>
    </w:p>
    <w:p w14:paraId="4E7B79F7" w14:textId="02D939BF" w:rsidR="0076247F" w:rsidRDefault="007C259A" w:rsidP="0073720A">
      <w:pPr>
        <w:pStyle w:val="Heading2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Costs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E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ligible for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D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eferral and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C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onsideration for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ecovery in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F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uture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atemaking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P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roceedings</w:t>
      </w:r>
      <w:r w:rsidR="00EA013C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  <w:bookmarkStart w:id="1" w:name="_Hlk70505425"/>
    </w:p>
    <w:p w14:paraId="3B8576D9" w14:textId="607BCA21" w:rsidR="00910135" w:rsidRDefault="00910135" w:rsidP="0073720A">
      <w:pPr>
        <w:jc w:val="both"/>
      </w:pPr>
    </w:p>
    <w:p w14:paraId="51AC4DFA" w14:textId="7CA2BE4C" w:rsidR="00745DBD" w:rsidRDefault="00A60DEB" w:rsidP="005546C5">
      <w:pPr>
        <w:ind w:firstLine="720"/>
        <w:jc w:val="both"/>
      </w:pPr>
      <w:r>
        <w:t xml:space="preserve">Pursuant to the VCM 17 Order, any Unit 3 and </w:t>
      </w:r>
      <w:r w:rsidR="00B26A3B">
        <w:t xml:space="preserve">Common </w:t>
      </w:r>
      <w:r>
        <w:t xml:space="preserve">facilities costs not addressed in this proceeding, together with the Unit 4 costs, will be addressed </w:t>
      </w:r>
      <w:r w:rsidR="00745DBD">
        <w:t xml:space="preserve">in a rate adjustment proceeding to be filed </w:t>
      </w:r>
      <w:r w:rsidR="009E1BF4">
        <w:t xml:space="preserve">by the Company </w:t>
      </w:r>
      <w:r w:rsidR="00745DBD">
        <w:t xml:space="preserve">once Unit 4 reaches fuel load. </w:t>
      </w:r>
    </w:p>
    <w:p w14:paraId="1DD2E3A5" w14:textId="77777777" w:rsidR="007C6C9E" w:rsidRDefault="007C6C9E" w:rsidP="005546C5">
      <w:pPr>
        <w:ind w:firstLine="720"/>
        <w:jc w:val="both"/>
      </w:pPr>
    </w:p>
    <w:p w14:paraId="25D8526C" w14:textId="499D2279" w:rsidR="005546C5" w:rsidRDefault="0029783A" w:rsidP="005546C5">
      <w:pPr>
        <w:ind w:firstLine="720"/>
        <w:jc w:val="both"/>
      </w:pPr>
      <w:r>
        <w:t xml:space="preserve">As </w:t>
      </w:r>
      <w:r w:rsidR="007C6C9E">
        <w:t>stated</w:t>
      </w:r>
      <w:r>
        <w:t xml:space="preserve"> in </w:t>
      </w:r>
      <w:r w:rsidR="00745DBD">
        <w:t xml:space="preserve">Section B above, </w:t>
      </w:r>
      <w:r w:rsidR="007C6C9E">
        <w:t xml:space="preserve">the Company proposes </w:t>
      </w:r>
      <w:r w:rsidR="00745DBD">
        <w:t>to recover all of the</w:t>
      </w:r>
      <w:r w:rsidR="00B51E33">
        <w:t xml:space="preserve"> prudently incurred capital and</w:t>
      </w:r>
      <w:r w:rsidR="00745DBD">
        <w:t xml:space="preserve"> operating costs (net of </w:t>
      </w:r>
      <w:r w:rsidR="005A76ED">
        <w:t>PTCs</w:t>
      </w:r>
      <w:r w:rsidR="00745DBD">
        <w:t xml:space="preserve">) related to all of the Unit 3 and </w:t>
      </w:r>
      <w:r w:rsidR="00B26A3B">
        <w:t xml:space="preserve">Common </w:t>
      </w:r>
      <w:r w:rsidR="00745DBD">
        <w:t>facilities beginning when these investments are placed into service</w:t>
      </w:r>
      <w:r w:rsidR="00B51E33">
        <w:t xml:space="preserve"> and providing 100% of their generation to the benefit of all customers</w:t>
      </w:r>
      <w:r w:rsidR="00745DBD">
        <w:t xml:space="preserve">. </w:t>
      </w:r>
      <w:r w:rsidR="008C3393">
        <w:t>Should the Commission not accept the Company’s proposal</w:t>
      </w:r>
      <w:r w:rsidR="00173510">
        <w:t xml:space="preserve"> for current recovery of any of these cost components</w:t>
      </w:r>
      <w:r w:rsidR="00FB4525">
        <w:t>,</w:t>
      </w:r>
      <w:r w:rsidR="008C3393">
        <w:t xml:space="preserve"> </w:t>
      </w:r>
      <w:r w:rsidR="006146D8" w:rsidRPr="006146D8">
        <w:t xml:space="preserve">such costs are eligible for deferral and consideration for recovery in a future ratemaking proceeding consistent with prior Commission practice and in accordance with GAAP. </w:t>
      </w:r>
      <w:r w:rsidR="002946D0">
        <w:t>If the Commission determines deferred recovery of any Unit 3 and Common facilities costs to be in the best interest</w:t>
      </w:r>
      <w:r w:rsidR="004C1938">
        <w:t xml:space="preserve"> </w:t>
      </w:r>
      <w:r w:rsidR="002946D0">
        <w:t>of customers</w:t>
      </w:r>
      <w:r w:rsidR="000E6C31" w:rsidRPr="000E6C31">
        <w:t xml:space="preserve">, the Company </w:t>
      </w:r>
      <w:r w:rsidR="002F0729">
        <w:t xml:space="preserve">requests that the Commission </w:t>
      </w:r>
      <w:r w:rsidR="003F38E1">
        <w:t>issue an</w:t>
      </w:r>
      <w:r w:rsidR="000E6C31" w:rsidRPr="000E6C31">
        <w:t xml:space="preserve"> order allowing defer</w:t>
      </w:r>
      <w:r w:rsidR="00745DBD">
        <w:t>red</w:t>
      </w:r>
      <w:r w:rsidR="000E6C31" w:rsidRPr="000E6C31">
        <w:t xml:space="preserve"> recovery of </w:t>
      </w:r>
      <w:r w:rsidR="00173510">
        <w:t>such</w:t>
      </w:r>
      <w:r w:rsidR="00311606">
        <w:t xml:space="preserve"> </w:t>
      </w:r>
      <w:r w:rsidR="000E6C31" w:rsidRPr="000E6C31">
        <w:t xml:space="preserve">costs until the </w:t>
      </w:r>
      <w:r w:rsidR="00F40552">
        <w:t>rate adjustment proceeding to be filed once Unit 4 reaches fuel load</w:t>
      </w:r>
      <w:r w:rsidR="00F05630">
        <w:t xml:space="preserve">. </w:t>
      </w:r>
      <w:r w:rsidR="00DD4D66">
        <w:t xml:space="preserve">Further, </w:t>
      </w:r>
      <w:r w:rsidR="005546C5">
        <w:t>in Section C above, the Company proposes that</w:t>
      </w:r>
      <w:r w:rsidR="005546C5" w:rsidRPr="007B5A36">
        <w:t xml:space="preserve"> the </w:t>
      </w:r>
      <w:r w:rsidR="00987006">
        <w:t xml:space="preserve">debt and equity </w:t>
      </w:r>
      <w:r w:rsidR="005546C5" w:rsidRPr="007B5A36">
        <w:t xml:space="preserve">financing cost on the amount </w:t>
      </w:r>
      <w:r w:rsidR="00F05630">
        <w:t xml:space="preserve">of capital investment </w:t>
      </w:r>
      <w:r w:rsidR="005546C5" w:rsidRPr="007B5A36">
        <w:t>not collected through base rates or the NCCR tariff be</w:t>
      </w:r>
      <w:r w:rsidR="00BD5160">
        <w:t xml:space="preserve"> </w:t>
      </w:r>
      <w:r w:rsidR="005546C5" w:rsidRPr="007B5A36">
        <w:t xml:space="preserve">deferred </w:t>
      </w:r>
      <w:r w:rsidR="00DD4D66" w:rsidRPr="007B5A36">
        <w:t xml:space="preserve">until </w:t>
      </w:r>
      <w:r w:rsidR="00DD4D66">
        <w:t>Unit 4 Commercial Operation</w:t>
      </w:r>
      <w:r w:rsidR="00BD5160">
        <w:t>.</w:t>
      </w:r>
      <w:r w:rsidR="00DD4D66">
        <w:t xml:space="preserve"> </w:t>
      </w:r>
      <w:r w:rsidR="00162F54">
        <w:t xml:space="preserve">The Company would propose that </w:t>
      </w:r>
      <w:r w:rsidR="00BD5160">
        <w:t xml:space="preserve">these financing costs </w:t>
      </w:r>
      <w:r w:rsidR="001C3E53">
        <w:t xml:space="preserve">and </w:t>
      </w:r>
      <w:r w:rsidR="00162F54">
        <w:t>any</w:t>
      </w:r>
      <w:r w:rsidR="00B51E33">
        <w:t xml:space="preserve"> capital and</w:t>
      </w:r>
      <w:r w:rsidR="00162F54">
        <w:t xml:space="preserve"> </w:t>
      </w:r>
      <w:r w:rsidR="00BD5160">
        <w:t xml:space="preserve">operating </w:t>
      </w:r>
      <w:r w:rsidR="00162F54">
        <w:t xml:space="preserve">costs </w:t>
      </w:r>
      <w:r w:rsidR="00BD5160">
        <w:t xml:space="preserve">stated in Section B </w:t>
      </w:r>
      <w:r w:rsidR="00162F54">
        <w:t>not approved for current recovery be</w:t>
      </w:r>
      <w:r w:rsidR="00B51E33">
        <w:t xml:space="preserve"> deferred and then</w:t>
      </w:r>
      <w:r w:rsidR="00162F54" w:rsidRPr="007B5A36">
        <w:t xml:space="preserve"> </w:t>
      </w:r>
      <w:r w:rsidR="00DD4D66">
        <w:t xml:space="preserve">collected </w:t>
      </w:r>
      <w:r w:rsidR="00DD4D66" w:rsidRPr="007B5A36">
        <w:t xml:space="preserve">over a 5-year period </w:t>
      </w:r>
      <w:r w:rsidR="00B51E33">
        <w:t xml:space="preserve">to begin </w:t>
      </w:r>
      <w:r w:rsidR="00DD4D66">
        <w:t xml:space="preserve">when the remainder of Unit 3 and </w:t>
      </w:r>
      <w:r w:rsidR="00B26A3B">
        <w:t xml:space="preserve">Common </w:t>
      </w:r>
      <w:r w:rsidR="00DD4D66">
        <w:t>costs and Unit 4 costs are placed in base rates</w:t>
      </w:r>
      <w:r w:rsidR="005546C5" w:rsidRPr="007B5A36">
        <w:t xml:space="preserve">. </w:t>
      </w:r>
    </w:p>
    <w:p w14:paraId="5A12B714" w14:textId="77777777" w:rsidR="005546C5" w:rsidRDefault="005546C5" w:rsidP="005546C5">
      <w:pPr>
        <w:ind w:firstLine="720"/>
        <w:jc w:val="both"/>
      </w:pPr>
    </w:p>
    <w:p w14:paraId="362F1B25" w14:textId="2ECD8916" w:rsidR="00725077" w:rsidRDefault="007C259A" w:rsidP="009D1478">
      <w:pPr>
        <w:pStyle w:val="Heading2"/>
        <w:ind w:left="1440" w:hanging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P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rocess to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D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etermine that Unit 3 is “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F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ully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D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ispatchable at the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S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tated Net Electrical Output of 1,102 MWe” as that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T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erm is </w:t>
      </w:r>
      <w:r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U</w:t>
      </w:r>
      <w:r w:rsidR="00725077" w:rsidRPr="007C259A">
        <w:rPr>
          <w:rFonts w:ascii="Times New Roman" w:hAnsi="Times New Roman" w:cs="Times New Roman"/>
          <w:color w:val="auto"/>
          <w:sz w:val="24"/>
          <w:szCs w:val="24"/>
          <w:u w:val="single"/>
        </w:rPr>
        <w:t>sed in the SIR Stipulation</w:t>
      </w:r>
      <w:r w:rsidR="0062147D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  <w:bookmarkEnd w:id="1"/>
    </w:p>
    <w:p w14:paraId="5EE8D1D7" w14:textId="256CEC01" w:rsidR="0073720A" w:rsidRDefault="0073720A" w:rsidP="009D1478">
      <w:pPr>
        <w:keepNext/>
        <w:jc w:val="both"/>
      </w:pPr>
    </w:p>
    <w:p w14:paraId="5EA6996F" w14:textId="2ADD4FCE" w:rsidR="0073720A" w:rsidRDefault="0042175D" w:rsidP="009D1478">
      <w:pPr>
        <w:keepNext/>
        <w:ind w:firstLine="720"/>
        <w:jc w:val="both"/>
      </w:pPr>
      <w:r>
        <w:t xml:space="preserve">A simple notification process should be </w:t>
      </w:r>
      <w:r w:rsidR="004C1714">
        <w:t>all that is necessary for the Commission to determine that Unit 3 has achieved Commercial Operation</w:t>
      </w:r>
      <w:r w:rsidR="0083419E">
        <w:t xml:space="preserve">. </w:t>
      </w:r>
      <w:r w:rsidR="008C2A32">
        <w:t>At</w:t>
      </w:r>
      <w:r w:rsidR="0073720A" w:rsidRPr="0073720A">
        <w:t xml:space="preserve"> the conclusion of its testing and start-up procedure</w:t>
      </w:r>
      <w:r w:rsidR="0083419E">
        <w:t>s</w:t>
      </w:r>
      <w:r w:rsidR="0073720A" w:rsidRPr="0073720A">
        <w:t xml:space="preserve">, Southern Nuclear will determine when Unit 3 is </w:t>
      </w:r>
      <w:r w:rsidR="0073720A">
        <w:t>“</w:t>
      </w:r>
      <w:r w:rsidR="0073720A" w:rsidRPr="0073720A">
        <w:t>fully dispatchable on demand at the stated Net Electrical Output</w:t>
      </w:r>
      <w:r w:rsidR="0073720A">
        <w:t xml:space="preserve"> of 1,102 MWe” as that phrase is used in the SIR Stipulation. Once this determination is made, the Company</w:t>
      </w:r>
      <w:r w:rsidR="0062147D">
        <w:t xml:space="preserve">, along with the other </w:t>
      </w:r>
      <w:r w:rsidR="004A36CE">
        <w:t>Vogtle C</w:t>
      </w:r>
      <w:r w:rsidR="00003CC1">
        <w:t>o-o</w:t>
      </w:r>
      <w:r w:rsidR="0062147D">
        <w:t>wners,</w:t>
      </w:r>
      <w:r w:rsidR="0073720A" w:rsidRPr="0073720A">
        <w:t xml:space="preserve"> will declare </w:t>
      </w:r>
      <w:r w:rsidR="0083419E">
        <w:t xml:space="preserve">that </w:t>
      </w:r>
      <w:r w:rsidR="0073720A">
        <w:t>Unit 3</w:t>
      </w:r>
      <w:r w:rsidR="0083419E">
        <w:t xml:space="preserve"> has achieved</w:t>
      </w:r>
      <w:r w:rsidR="0073720A">
        <w:t xml:space="preserve"> </w:t>
      </w:r>
      <w:r w:rsidR="0073720A" w:rsidRPr="0073720A">
        <w:t>Commercial Operation</w:t>
      </w:r>
      <w:r w:rsidR="00003CC1">
        <w:t>, will turn over Unit 3 to Fleet Operations, Transmission, and Bulk Power Operations,</w:t>
      </w:r>
      <w:r w:rsidR="0073720A" w:rsidRPr="0073720A">
        <w:t xml:space="preserve"> and notify the Commission of that declaration. At that time, the Commission then has sole discretion to determine whether the Company’s declaration meets the Commission’s criteria for the purpose of </w:t>
      </w:r>
      <w:r w:rsidR="0083419E">
        <w:t xml:space="preserve">placing </w:t>
      </w:r>
      <w:r w:rsidR="0073720A" w:rsidRPr="0073720A">
        <w:t>Unit 3 and</w:t>
      </w:r>
      <w:r w:rsidR="00003CC1">
        <w:t xml:space="preserve"> Common </w:t>
      </w:r>
      <w:r w:rsidR="006E1382">
        <w:t>facilities</w:t>
      </w:r>
      <w:r w:rsidR="0073720A" w:rsidRPr="0073720A">
        <w:t xml:space="preserve"> in rates.</w:t>
      </w:r>
    </w:p>
    <w:p w14:paraId="34EE1843" w14:textId="06B4E78F" w:rsidR="00534DA9" w:rsidRPr="0030640C" w:rsidRDefault="0030640C" w:rsidP="0030640C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EXHIBIT 1</w:t>
      </w:r>
      <w:r w:rsidR="001E64F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AND THE MFRs</w:t>
      </w:r>
    </w:p>
    <w:p w14:paraId="605F0519" w14:textId="38537576" w:rsidR="00534DA9" w:rsidRDefault="00534DA9" w:rsidP="00003CC1">
      <w:pPr>
        <w:jc w:val="both"/>
      </w:pPr>
    </w:p>
    <w:p w14:paraId="6DC721D1" w14:textId="08BCC4AA" w:rsidR="00003CC1" w:rsidRDefault="00003CC1" w:rsidP="00B11C82">
      <w:pPr>
        <w:ind w:firstLine="720"/>
        <w:jc w:val="both"/>
      </w:pPr>
      <w:r>
        <w:t>Exhibit 1 to this Application includes the</w:t>
      </w:r>
      <w:r w:rsidR="001E64FA">
        <w:t xml:space="preserve"> </w:t>
      </w:r>
      <w:r w:rsidR="002946D0">
        <w:t>MFR S</w:t>
      </w:r>
      <w:r w:rsidR="001E64FA">
        <w:t>chedules</w:t>
      </w:r>
      <w:r w:rsidR="002946D0">
        <w:t>, as identified in Attachment A to the PSO,</w:t>
      </w:r>
      <w:r w:rsidR="001E64FA">
        <w:t xml:space="preserve"> </w:t>
      </w:r>
      <w:r w:rsidR="004E1A37">
        <w:t>detailing</w:t>
      </w:r>
      <w:r w:rsidR="001E64FA">
        <w:t xml:space="preserve"> the Company’s revenue requirements </w:t>
      </w:r>
      <w:r>
        <w:t xml:space="preserve">to support its request to adjust rates for </w:t>
      </w:r>
      <w:r w:rsidR="00DC1813">
        <w:t xml:space="preserve">costs related to </w:t>
      </w:r>
      <w:r>
        <w:t xml:space="preserve">Unit 3 and Common </w:t>
      </w:r>
      <w:r w:rsidR="00DC1813">
        <w:t>facilities</w:t>
      </w:r>
      <w:r>
        <w:t>.</w:t>
      </w:r>
      <w:r w:rsidR="009B1AF8">
        <w:t xml:space="preserve"> </w:t>
      </w:r>
      <w:r w:rsidR="001E64FA">
        <w:t>The MFRs</w:t>
      </w:r>
      <w:r w:rsidR="00AD4AA5">
        <w:t>,</w:t>
      </w:r>
      <w:r w:rsidR="001E64FA">
        <w:t xml:space="preserve"> as filed</w:t>
      </w:r>
      <w:r w:rsidR="00AD4AA5">
        <w:t>,</w:t>
      </w:r>
      <w:r w:rsidR="001E64FA">
        <w:t xml:space="preserve"> </w:t>
      </w:r>
      <w:r w:rsidR="009B1AF8" w:rsidRPr="009B1AF8">
        <w:t xml:space="preserve">assume a </w:t>
      </w:r>
      <w:r w:rsidR="009B1AF8">
        <w:t xml:space="preserve">Unit 3 </w:t>
      </w:r>
      <w:r w:rsidR="009B1AF8" w:rsidRPr="009B1AF8">
        <w:t>Commercial Operation date</w:t>
      </w:r>
      <w:r w:rsidR="009B1AF8">
        <w:t xml:space="preserve"> in January 2022. </w:t>
      </w:r>
      <w:r w:rsidR="00B11C82">
        <w:t>If</w:t>
      </w:r>
      <w:r w:rsidR="009B1AF8">
        <w:t xml:space="preserve"> </w:t>
      </w:r>
      <w:r w:rsidR="00B11C82">
        <w:t xml:space="preserve">Unit 3 </w:t>
      </w:r>
      <w:r w:rsidR="004E1A37">
        <w:t xml:space="preserve">does not </w:t>
      </w:r>
      <w:r w:rsidR="00B11C82">
        <w:t xml:space="preserve">achieve </w:t>
      </w:r>
      <w:r w:rsidR="0011009C">
        <w:t xml:space="preserve">Commercial Operation </w:t>
      </w:r>
      <w:r w:rsidR="004E1A37">
        <w:t>in</w:t>
      </w:r>
      <w:r w:rsidR="00B11C82">
        <w:t xml:space="preserve"> January 2022 or should there be changes to the tax code that impact the </w:t>
      </w:r>
      <w:r w:rsidR="00743006">
        <w:t xml:space="preserve">federal </w:t>
      </w:r>
      <w:r w:rsidR="00B11C82">
        <w:t xml:space="preserve">income tax </w:t>
      </w:r>
      <w:r w:rsidR="00743006">
        <w:t>rate</w:t>
      </w:r>
      <w:r w:rsidR="00B11C82">
        <w:t xml:space="preserve"> or availability of </w:t>
      </w:r>
      <w:r w:rsidR="005A76ED">
        <w:t>PTCs</w:t>
      </w:r>
      <w:r w:rsidR="00B11C82">
        <w:t xml:space="preserve">, the Company will revise the MFRs </w:t>
      </w:r>
      <w:r w:rsidR="00AD4AA5">
        <w:t xml:space="preserve">and schedules in </w:t>
      </w:r>
      <w:r w:rsidR="00B11C82">
        <w:t xml:space="preserve">Exhibit 1 to reflect such changes. </w:t>
      </w:r>
    </w:p>
    <w:p w14:paraId="3CA9D1C0" w14:textId="2F9443AC" w:rsidR="00876D99" w:rsidRDefault="00876D99" w:rsidP="00876D99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76D99">
        <w:rPr>
          <w:rFonts w:ascii="Times New Roman" w:hAnsi="Times New Roman" w:cs="Times New Roman"/>
          <w:b/>
          <w:bCs/>
          <w:color w:val="auto"/>
          <w:sz w:val="24"/>
          <w:szCs w:val="24"/>
        </w:rPr>
        <w:t>CONCLUSION</w:t>
      </w:r>
    </w:p>
    <w:p w14:paraId="65F4F4B3" w14:textId="3FBD2E88" w:rsidR="00534DA9" w:rsidRDefault="00534DA9" w:rsidP="00534DA9"/>
    <w:p w14:paraId="710397A3" w14:textId="4B5A7E49" w:rsidR="00B55D63" w:rsidRDefault="00C43EED" w:rsidP="00A21D5A">
      <w:pPr>
        <w:ind w:firstLine="720"/>
        <w:jc w:val="both"/>
      </w:pPr>
      <w:r>
        <w:t>The Company’s Application is consistent with the Commission’s intent and directives as stated in the VCM 17 Order, the SIR Order, and the PSO.</w:t>
      </w:r>
      <w:r w:rsidR="00A21D5A">
        <w:t xml:space="preserve"> The Company proposes to </w:t>
      </w:r>
      <w:r w:rsidR="00B55D63">
        <w:t xml:space="preserve">recover the Unit 3 and </w:t>
      </w:r>
      <w:r w:rsidR="00B26A3B">
        <w:t xml:space="preserve">Common </w:t>
      </w:r>
      <w:r w:rsidR="00B55D63">
        <w:t>facilities portion of costs deemed prudent by the Commission in its SIR Order, which include the capital construction costs incurred, verified, and approved through the 14</w:t>
      </w:r>
      <w:r w:rsidR="00B55D63" w:rsidRPr="00B55D63">
        <w:rPr>
          <w:vertAlign w:val="superscript"/>
        </w:rPr>
        <w:t>th</w:t>
      </w:r>
      <w:r w:rsidR="00B55D63">
        <w:t xml:space="preserve"> VCM, the corresponding financing costs, and the amounts paid pursuant to the Westinghouse Settlement. In addition, </w:t>
      </w:r>
      <w:r w:rsidR="00187039">
        <w:t>the Company proposes to recover the following costs related to its full ownership in the Unit 3 and Common facilities upon Commercial Operation: (1) depreciation expense; (2) O&amp;M expenses; (3) property taxes; (4) nuclear decommissioning costs; (5) nuclear fuel; (6) spare parts inventory; and (7) related deferred taxes</w:t>
      </w:r>
      <w:r w:rsidR="00116B1E">
        <w:t xml:space="preserve">, as well as </w:t>
      </w:r>
      <w:r w:rsidR="004E1A37">
        <w:t xml:space="preserve">to </w:t>
      </w:r>
      <w:r w:rsidR="00116B1E">
        <w:t>provide customers with the full benefit of the PTCs</w:t>
      </w:r>
      <w:r w:rsidR="00B55D63">
        <w:t>.</w:t>
      </w:r>
      <w:r w:rsidR="00162F54">
        <w:t xml:space="preserve">  </w:t>
      </w:r>
    </w:p>
    <w:p w14:paraId="113B821B" w14:textId="77777777" w:rsidR="00B55D63" w:rsidRDefault="00B55D63" w:rsidP="00A21D5A">
      <w:pPr>
        <w:ind w:firstLine="720"/>
        <w:jc w:val="both"/>
      </w:pPr>
    </w:p>
    <w:p w14:paraId="788C5D53" w14:textId="14D241A3" w:rsidR="00C43EED" w:rsidRPr="00910135" w:rsidRDefault="00A21D5A" w:rsidP="00B55D63">
      <w:pPr>
        <w:ind w:firstLine="720"/>
        <w:jc w:val="both"/>
      </w:pPr>
      <w:r>
        <w:t>The Company’s</w:t>
      </w:r>
      <w:r w:rsidR="00C43EED">
        <w:t xml:space="preserve"> Application </w:t>
      </w:r>
      <w:r>
        <w:t>presents</w:t>
      </w:r>
      <w:r w:rsidR="00C43EED">
        <w:t xml:space="preserve"> how the Company plans to recover </w:t>
      </w:r>
      <w:r w:rsidR="00C43EED" w:rsidRPr="00E229D2">
        <w:t>$2.</w:t>
      </w:r>
      <w:r w:rsidR="002946D0">
        <w:t xml:space="preserve">380 </w:t>
      </w:r>
      <w:r w:rsidR="00C43EED">
        <w:t>billion in Unit 3 and Common Costs previously deemed prudent by the Commission in the SIR Stipulation</w:t>
      </w:r>
      <w:r w:rsidR="00187039">
        <w:t xml:space="preserve"> as well as the </w:t>
      </w:r>
      <w:r w:rsidR="00B51E33">
        <w:t xml:space="preserve">related and prudently incurred capital and operating </w:t>
      </w:r>
      <w:r w:rsidR="00187039">
        <w:t>costs</w:t>
      </w:r>
      <w:r w:rsidR="00C43EED">
        <w:t xml:space="preserve">. </w:t>
      </w:r>
      <w:r>
        <w:t xml:space="preserve">Beginning in the month after Unit 3 achieves Commercial Operation, the Company proposes to increase base rates </w:t>
      </w:r>
      <w:r w:rsidR="004E1A37">
        <w:t xml:space="preserve">by </w:t>
      </w:r>
      <w:r w:rsidR="00B05050" w:rsidRPr="00B05050">
        <w:t>$</w:t>
      </w:r>
      <w:r w:rsidR="003E4CBD">
        <w:t>369.058</w:t>
      </w:r>
      <w:r w:rsidR="00B05050">
        <w:t xml:space="preserve"> </w:t>
      </w:r>
      <w:r>
        <w:t>million on an annual basis.</w:t>
      </w:r>
      <w:r w:rsidRPr="00A21D5A">
        <w:t xml:space="preserve"> </w:t>
      </w:r>
      <w:r w:rsidRPr="00D82389">
        <w:t>The proposed increase will be allocated equally across all base tariffs.</w:t>
      </w:r>
      <w:r>
        <w:t xml:space="preserve"> Georgia Power will prepare revised tariffs as described above and </w:t>
      </w:r>
      <w:r w:rsidR="004E1A37">
        <w:t xml:space="preserve">will </w:t>
      </w:r>
      <w:r>
        <w:t xml:space="preserve">provide those to the Commission alongside the Company’s planned rate case compliance filing as specified in Docket No. 42516. </w:t>
      </w:r>
      <w:r w:rsidR="00B55D63">
        <w:t>The Company’s request</w:t>
      </w:r>
      <w:r w:rsidR="0071298D">
        <w:t>s</w:t>
      </w:r>
      <w:r w:rsidR="00B55D63">
        <w:t xml:space="preserve"> </w:t>
      </w:r>
      <w:r w:rsidR="0071298D">
        <w:t>are reasonable</w:t>
      </w:r>
      <w:r w:rsidR="00FE6CC3">
        <w:t xml:space="preserve"> and consistent with the Commission’s VCM 17 Order and SIR Order. As such, </w:t>
      </w:r>
      <w:r w:rsidR="0071298D">
        <w:t>the Commission should approve Georgia Power’s plan for the Unit 3 and Common Cost</w:t>
      </w:r>
      <w:r w:rsidR="00B26A3B">
        <w:t>s</w:t>
      </w:r>
      <w:r w:rsidR="0071298D">
        <w:t xml:space="preserve"> rate adjustment</w:t>
      </w:r>
      <w:r w:rsidR="00FE6CC3">
        <w:t xml:space="preserve"> as presented herein</w:t>
      </w:r>
      <w:r w:rsidR="0071298D">
        <w:t xml:space="preserve">. </w:t>
      </w:r>
    </w:p>
    <w:p w14:paraId="01C9CA89" w14:textId="0C3D5161" w:rsidR="00C43EED" w:rsidRDefault="00C43EED" w:rsidP="00187039">
      <w:pPr>
        <w:ind w:firstLine="720"/>
        <w:jc w:val="both"/>
      </w:pPr>
    </w:p>
    <w:sectPr w:rsidR="00C43E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3364C" w14:textId="77777777" w:rsidR="002E78F9" w:rsidRDefault="002E78F9" w:rsidP="007C259A">
      <w:r>
        <w:separator/>
      </w:r>
    </w:p>
  </w:endnote>
  <w:endnote w:type="continuationSeparator" w:id="0">
    <w:p w14:paraId="1A3E6FDA" w14:textId="77777777" w:rsidR="002E78F9" w:rsidRDefault="002E78F9" w:rsidP="007C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52845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C80AEF" w14:textId="77777777" w:rsidR="003F38E1" w:rsidRDefault="003F38E1">
            <w:pPr>
              <w:pStyle w:val="Footer"/>
              <w:jc w:val="center"/>
            </w:pPr>
          </w:p>
          <w:p w14:paraId="77E755D2" w14:textId="6F0CDEB0" w:rsidR="003F38E1" w:rsidRPr="003F38E1" w:rsidRDefault="003F38E1">
            <w:pPr>
              <w:pStyle w:val="Footer"/>
              <w:jc w:val="center"/>
              <w:rPr>
                <w:sz w:val="20"/>
                <w:szCs w:val="20"/>
              </w:rPr>
            </w:pPr>
            <w:r w:rsidRPr="003F38E1">
              <w:rPr>
                <w:sz w:val="20"/>
                <w:szCs w:val="20"/>
              </w:rPr>
              <w:t>Georgia Power Company’s Application to Adjust Rates for Unit 3 and Common Costs</w:t>
            </w:r>
          </w:p>
          <w:p w14:paraId="76781A7E" w14:textId="401B71BE" w:rsidR="003F38E1" w:rsidRDefault="003F38E1">
            <w:pPr>
              <w:pStyle w:val="Footer"/>
              <w:jc w:val="center"/>
            </w:pPr>
            <w:r w:rsidRPr="003F38E1">
              <w:rPr>
                <w:sz w:val="20"/>
                <w:szCs w:val="20"/>
              </w:rPr>
              <w:t xml:space="preserve">Page </w:t>
            </w:r>
            <w:r w:rsidRPr="003F38E1">
              <w:rPr>
                <w:sz w:val="20"/>
                <w:szCs w:val="20"/>
              </w:rPr>
              <w:fldChar w:fldCharType="begin"/>
            </w:r>
            <w:r w:rsidRPr="003F38E1">
              <w:rPr>
                <w:sz w:val="20"/>
                <w:szCs w:val="20"/>
              </w:rPr>
              <w:instrText xml:space="preserve"> PAGE </w:instrText>
            </w:r>
            <w:r w:rsidRPr="003F38E1">
              <w:rPr>
                <w:sz w:val="20"/>
                <w:szCs w:val="20"/>
              </w:rPr>
              <w:fldChar w:fldCharType="separate"/>
            </w:r>
            <w:r w:rsidRPr="003F38E1">
              <w:rPr>
                <w:noProof/>
                <w:sz w:val="20"/>
                <w:szCs w:val="20"/>
              </w:rPr>
              <w:t>2</w:t>
            </w:r>
            <w:r w:rsidRPr="003F38E1">
              <w:rPr>
                <w:sz w:val="20"/>
                <w:szCs w:val="20"/>
              </w:rPr>
              <w:fldChar w:fldCharType="end"/>
            </w:r>
            <w:r w:rsidRPr="003F38E1">
              <w:rPr>
                <w:sz w:val="20"/>
                <w:szCs w:val="20"/>
              </w:rPr>
              <w:t xml:space="preserve"> of </w:t>
            </w:r>
            <w:r w:rsidRPr="003F38E1">
              <w:rPr>
                <w:sz w:val="20"/>
                <w:szCs w:val="20"/>
              </w:rPr>
              <w:fldChar w:fldCharType="begin"/>
            </w:r>
            <w:r w:rsidRPr="003F38E1">
              <w:rPr>
                <w:sz w:val="20"/>
                <w:szCs w:val="20"/>
              </w:rPr>
              <w:instrText xml:space="preserve"> NUMPAGES  </w:instrText>
            </w:r>
            <w:r w:rsidRPr="003F38E1">
              <w:rPr>
                <w:sz w:val="20"/>
                <w:szCs w:val="20"/>
              </w:rPr>
              <w:fldChar w:fldCharType="separate"/>
            </w:r>
            <w:r w:rsidRPr="003F38E1">
              <w:rPr>
                <w:noProof/>
                <w:sz w:val="20"/>
                <w:szCs w:val="20"/>
              </w:rPr>
              <w:t>2</w:t>
            </w:r>
            <w:r w:rsidRPr="003F38E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02418E9" w14:textId="77777777" w:rsidR="003F38E1" w:rsidRDefault="003F3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E7756" w14:textId="77777777" w:rsidR="002E78F9" w:rsidRDefault="002E78F9" w:rsidP="007C259A">
      <w:r>
        <w:separator/>
      </w:r>
    </w:p>
  </w:footnote>
  <w:footnote w:type="continuationSeparator" w:id="0">
    <w:p w14:paraId="66B7675A" w14:textId="77777777" w:rsidR="002E78F9" w:rsidRDefault="002E78F9" w:rsidP="007C2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F233D"/>
    <w:multiLevelType w:val="hybridMultilevel"/>
    <w:tmpl w:val="1B2259E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0FE4D77"/>
    <w:multiLevelType w:val="hybridMultilevel"/>
    <w:tmpl w:val="22963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51487"/>
    <w:multiLevelType w:val="hybridMultilevel"/>
    <w:tmpl w:val="753C1E1E"/>
    <w:lvl w:ilvl="0" w:tplc="998C2D4C">
      <w:start w:val="1"/>
      <w:numFmt w:val="lowerLetter"/>
      <w:lvlText w:val="(%1)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D301EF"/>
    <w:multiLevelType w:val="hybridMultilevel"/>
    <w:tmpl w:val="9DFA2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80214"/>
    <w:multiLevelType w:val="hybridMultilevel"/>
    <w:tmpl w:val="ADF8B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E24EC"/>
    <w:multiLevelType w:val="hybridMultilevel"/>
    <w:tmpl w:val="6BC29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9757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 w15:restartNumberingAfterBreak="0">
    <w:nsid w:val="7E403C0C"/>
    <w:multiLevelType w:val="hybridMultilevel"/>
    <w:tmpl w:val="127201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6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115721729"/>
    <w:docVar w:name="MPDocIDTemplate" w:val="%l| %n|v%v| %c|.%m"/>
    <w:docVar w:name="MPDocIDTemplateDefault" w:val="%l| %n|v%v| %c|.%m"/>
    <w:docVar w:name="NewDocStampType" w:val="7"/>
    <w:docVar w:name="zzmpLegacyTrailerRemovedNew" w:val="True"/>
    <w:docVar w:name="zzmpTrailerDateFormat" w:val="0"/>
  </w:docVars>
  <w:rsids>
    <w:rsidRoot w:val="007703FE"/>
    <w:rsid w:val="00003CC1"/>
    <w:rsid w:val="00011004"/>
    <w:rsid w:val="00020BB5"/>
    <w:rsid w:val="00020C4A"/>
    <w:rsid w:val="00032CB2"/>
    <w:rsid w:val="0004082F"/>
    <w:rsid w:val="000511C4"/>
    <w:rsid w:val="00071ED2"/>
    <w:rsid w:val="00077768"/>
    <w:rsid w:val="000867D9"/>
    <w:rsid w:val="000922F6"/>
    <w:rsid w:val="000A3B8A"/>
    <w:rsid w:val="000B1412"/>
    <w:rsid w:val="000C3EA8"/>
    <w:rsid w:val="000E6C31"/>
    <w:rsid w:val="000F19C8"/>
    <w:rsid w:val="0011009C"/>
    <w:rsid w:val="00116B1E"/>
    <w:rsid w:val="001206AE"/>
    <w:rsid w:val="00121A42"/>
    <w:rsid w:val="00124D03"/>
    <w:rsid w:val="00134E94"/>
    <w:rsid w:val="001505C7"/>
    <w:rsid w:val="00153A62"/>
    <w:rsid w:val="001560DE"/>
    <w:rsid w:val="00162F54"/>
    <w:rsid w:val="001712DB"/>
    <w:rsid w:val="00173510"/>
    <w:rsid w:val="001830BD"/>
    <w:rsid w:val="00187039"/>
    <w:rsid w:val="001A474D"/>
    <w:rsid w:val="001A483C"/>
    <w:rsid w:val="001B34BF"/>
    <w:rsid w:val="001C3E53"/>
    <w:rsid w:val="001C5606"/>
    <w:rsid w:val="001C73E9"/>
    <w:rsid w:val="001D0612"/>
    <w:rsid w:val="001D3427"/>
    <w:rsid w:val="001D3584"/>
    <w:rsid w:val="001E64FA"/>
    <w:rsid w:val="001F05A6"/>
    <w:rsid w:val="00217028"/>
    <w:rsid w:val="00221500"/>
    <w:rsid w:val="0023131A"/>
    <w:rsid w:val="00234EE5"/>
    <w:rsid w:val="00237C51"/>
    <w:rsid w:val="002946D0"/>
    <w:rsid w:val="00296D86"/>
    <w:rsid w:val="0029783A"/>
    <w:rsid w:val="002B4463"/>
    <w:rsid w:val="002C312E"/>
    <w:rsid w:val="002C7D32"/>
    <w:rsid w:val="002E78F9"/>
    <w:rsid w:val="002F0729"/>
    <w:rsid w:val="00305ABA"/>
    <w:rsid w:val="0030640C"/>
    <w:rsid w:val="00311606"/>
    <w:rsid w:val="003451C4"/>
    <w:rsid w:val="00356F12"/>
    <w:rsid w:val="003652DB"/>
    <w:rsid w:val="00367D81"/>
    <w:rsid w:val="00375306"/>
    <w:rsid w:val="00375B62"/>
    <w:rsid w:val="003C5B07"/>
    <w:rsid w:val="003C6CA3"/>
    <w:rsid w:val="003D5181"/>
    <w:rsid w:val="003E4CBD"/>
    <w:rsid w:val="003F38E1"/>
    <w:rsid w:val="00402BB2"/>
    <w:rsid w:val="0042175D"/>
    <w:rsid w:val="00454566"/>
    <w:rsid w:val="00466D79"/>
    <w:rsid w:val="00476EE1"/>
    <w:rsid w:val="004A280B"/>
    <w:rsid w:val="004A36CE"/>
    <w:rsid w:val="004A4AB6"/>
    <w:rsid w:val="004B2AA4"/>
    <w:rsid w:val="004B658C"/>
    <w:rsid w:val="004C1714"/>
    <w:rsid w:val="004C1938"/>
    <w:rsid w:val="004E0A50"/>
    <w:rsid w:val="004E1A37"/>
    <w:rsid w:val="004E6D91"/>
    <w:rsid w:val="004F241A"/>
    <w:rsid w:val="004F5EBD"/>
    <w:rsid w:val="005149A1"/>
    <w:rsid w:val="00534946"/>
    <w:rsid w:val="00534DA9"/>
    <w:rsid w:val="005546C5"/>
    <w:rsid w:val="00561EFD"/>
    <w:rsid w:val="005635F8"/>
    <w:rsid w:val="00575FB0"/>
    <w:rsid w:val="00576C32"/>
    <w:rsid w:val="0058051F"/>
    <w:rsid w:val="00584FA3"/>
    <w:rsid w:val="00594FB0"/>
    <w:rsid w:val="0059631A"/>
    <w:rsid w:val="00597BA3"/>
    <w:rsid w:val="005A76ED"/>
    <w:rsid w:val="005B172F"/>
    <w:rsid w:val="005D29B0"/>
    <w:rsid w:val="005E5D17"/>
    <w:rsid w:val="005F5938"/>
    <w:rsid w:val="00613EFA"/>
    <w:rsid w:val="006146D8"/>
    <w:rsid w:val="0062147D"/>
    <w:rsid w:val="006504E1"/>
    <w:rsid w:val="00664EDB"/>
    <w:rsid w:val="00670807"/>
    <w:rsid w:val="006739CA"/>
    <w:rsid w:val="00683213"/>
    <w:rsid w:val="0068593C"/>
    <w:rsid w:val="00686736"/>
    <w:rsid w:val="006C1F1F"/>
    <w:rsid w:val="006D2206"/>
    <w:rsid w:val="006D291F"/>
    <w:rsid w:val="006E1382"/>
    <w:rsid w:val="006E4790"/>
    <w:rsid w:val="006F4926"/>
    <w:rsid w:val="0071298D"/>
    <w:rsid w:val="00713079"/>
    <w:rsid w:val="00725077"/>
    <w:rsid w:val="0072705C"/>
    <w:rsid w:val="00727EA4"/>
    <w:rsid w:val="00727FAD"/>
    <w:rsid w:val="00732A40"/>
    <w:rsid w:val="0073720A"/>
    <w:rsid w:val="00743006"/>
    <w:rsid w:val="00745DBD"/>
    <w:rsid w:val="0076247F"/>
    <w:rsid w:val="007703FE"/>
    <w:rsid w:val="007721CB"/>
    <w:rsid w:val="00792946"/>
    <w:rsid w:val="00793EEB"/>
    <w:rsid w:val="007B0522"/>
    <w:rsid w:val="007B0ECB"/>
    <w:rsid w:val="007B5A36"/>
    <w:rsid w:val="007C259A"/>
    <w:rsid w:val="007C6C9E"/>
    <w:rsid w:val="007D0B6C"/>
    <w:rsid w:val="007D7157"/>
    <w:rsid w:val="007E3B69"/>
    <w:rsid w:val="007E59C1"/>
    <w:rsid w:val="007F12C7"/>
    <w:rsid w:val="008051AA"/>
    <w:rsid w:val="008069C2"/>
    <w:rsid w:val="00815B2E"/>
    <w:rsid w:val="00815DB8"/>
    <w:rsid w:val="00816897"/>
    <w:rsid w:val="00823660"/>
    <w:rsid w:val="0083419E"/>
    <w:rsid w:val="00840D8B"/>
    <w:rsid w:val="008427E2"/>
    <w:rsid w:val="008460E5"/>
    <w:rsid w:val="00872ACC"/>
    <w:rsid w:val="00876D99"/>
    <w:rsid w:val="00895AA9"/>
    <w:rsid w:val="00896633"/>
    <w:rsid w:val="008A62DC"/>
    <w:rsid w:val="008B2132"/>
    <w:rsid w:val="008C2A32"/>
    <w:rsid w:val="008C3393"/>
    <w:rsid w:val="008C42D5"/>
    <w:rsid w:val="008D2136"/>
    <w:rsid w:val="008D65B4"/>
    <w:rsid w:val="008E4A37"/>
    <w:rsid w:val="008F1401"/>
    <w:rsid w:val="00904B88"/>
    <w:rsid w:val="00904E6F"/>
    <w:rsid w:val="00910135"/>
    <w:rsid w:val="00911D72"/>
    <w:rsid w:val="00916BD5"/>
    <w:rsid w:val="00926077"/>
    <w:rsid w:val="009303C2"/>
    <w:rsid w:val="009609CB"/>
    <w:rsid w:val="009621E6"/>
    <w:rsid w:val="00975F67"/>
    <w:rsid w:val="00980A57"/>
    <w:rsid w:val="00987006"/>
    <w:rsid w:val="009A0888"/>
    <w:rsid w:val="009A450A"/>
    <w:rsid w:val="009B1AF8"/>
    <w:rsid w:val="009C782C"/>
    <w:rsid w:val="009D1478"/>
    <w:rsid w:val="009D2C9D"/>
    <w:rsid w:val="009E1BF4"/>
    <w:rsid w:val="009F0928"/>
    <w:rsid w:val="009F20D7"/>
    <w:rsid w:val="009F72CA"/>
    <w:rsid w:val="00A0655D"/>
    <w:rsid w:val="00A122DB"/>
    <w:rsid w:val="00A15029"/>
    <w:rsid w:val="00A21D5A"/>
    <w:rsid w:val="00A33226"/>
    <w:rsid w:val="00A42DAA"/>
    <w:rsid w:val="00A43C5E"/>
    <w:rsid w:val="00A60DEB"/>
    <w:rsid w:val="00A63E14"/>
    <w:rsid w:val="00A67BF1"/>
    <w:rsid w:val="00A75012"/>
    <w:rsid w:val="00A84F4C"/>
    <w:rsid w:val="00AB3A9C"/>
    <w:rsid w:val="00AB472F"/>
    <w:rsid w:val="00AB6DB6"/>
    <w:rsid w:val="00AC6A10"/>
    <w:rsid w:val="00AD05BD"/>
    <w:rsid w:val="00AD14DA"/>
    <w:rsid w:val="00AD4AA5"/>
    <w:rsid w:val="00AE24EB"/>
    <w:rsid w:val="00AE6F4A"/>
    <w:rsid w:val="00AF5CC8"/>
    <w:rsid w:val="00AF7B35"/>
    <w:rsid w:val="00B05050"/>
    <w:rsid w:val="00B06F67"/>
    <w:rsid w:val="00B11C82"/>
    <w:rsid w:val="00B26A3B"/>
    <w:rsid w:val="00B517BC"/>
    <w:rsid w:val="00B51E33"/>
    <w:rsid w:val="00B55D63"/>
    <w:rsid w:val="00B66ACA"/>
    <w:rsid w:val="00B702D5"/>
    <w:rsid w:val="00B71087"/>
    <w:rsid w:val="00B865F0"/>
    <w:rsid w:val="00BA672C"/>
    <w:rsid w:val="00BB739F"/>
    <w:rsid w:val="00BC6023"/>
    <w:rsid w:val="00BC6C97"/>
    <w:rsid w:val="00BD3C23"/>
    <w:rsid w:val="00BD5160"/>
    <w:rsid w:val="00BE6BB3"/>
    <w:rsid w:val="00BF6144"/>
    <w:rsid w:val="00BF74CA"/>
    <w:rsid w:val="00C05F78"/>
    <w:rsid w:val="00C075C2"/>
    <w:rsid w:val="00C07636"/>
    <w:rsid w:val="00C16C79"/>
    <w:rsid w:val="00C26E13"/>
    <w:rsid w:val="00C41715"/>
    <w:rsid w:val="00C43EED"/>
    <w:rsid w:val="00C56C44"/>
    <w:rsid w:val="00C63677"/>
    <w:rsid w:val="00C66934"/>
    <w:rsid w:val="00C816BB"/>
    <w:rsid w:val="00C929D1"/>
    <w:rsid w:val="00CA67FB"/>
    <w:rsid w:val="00CB3A1C"/>
    <w:rsid w:val="00CC65FD"/>
    <w:rsid w:val="00CE163C"/>
    <w:rsid w:val="00CE5674"/>
    <w:rsid w:val="00CE7E2F"/>
    <w:rsid w:val="00D04ECA"/>
    <w:rsid w:val="00D1088C"/>
    <w:rsid w:val="00D145EF"/>
    <w:rsid w:val="00D20128"/>
    <w:rsid w:val="00D23A23"/>
    <w:rsid w:val="00D634D2"/>
    <w:rsid w:val="00D72FF5"/>
    <w:rsid w:val="00D82096"/>
    <w:rsid w:val="00D82389"/>
    <w:rsid w:val="00D9550B"/>
    <w:rsid w:val="00D9647A"/>
    <w:rsid w:val="00DA17DE"/>
    <w:rsid w:val="00DA19DB"/>
    <w:rsid w:val="00DC1813"/>
    <w:rsid w:val="00DC593E"/>
    <w:rsid w:val="00DD250C"/>
    <w:rsid w:val="00DD4D66"/>
    <w:rsid w:val="00E02A56"/>
    <w:rsid w:val="00E06728"/>
    <w:rsid w:val="00E14591"/>
    <w:rsid w:val="00E155A6"/>
    <w:rsid w:val="00E204BB"/>
    <w:rsid w:val="00E229D2"/>
    <w:rsid w:val="00E47B9C"/>
    <w:rsid w:val="00E66B49"/>
    <w:rsid w:val="00E77592"/>
    <w:rsid w:val="00E82DC2"/>
    <w:rsid w:val="00E83E1A"/>
    <w:rsid w:val="00E84C42"/>
    <w:rsid w:val="00E97371"/>
    <w:rsid w:val="00EA013C"/>
    <w:rsid w:val="00EB0F54"/>
    <w:rsid w:val="00ED2EB1"/>
    <w:rsid w:val="00ED4CEA"/>
    <w:rsid w:val="00ED7271"/>
    <w:rsid w:val="00EE3E99"/>
    <w:rsid w:val="00EE5AC8"/>
    <w:rsid w:val="00F05630"/>
    <w:rsid w:val="00F2375D"/>
    <w:rsid w:val="00F2739F"/>
    <w:rsid w:val="00F31A80"/>
    <w:rsid w:val="00F40552"/>
    <w:rsid w:val="00F50D02"/>
    <w:rsid w:val="00F62364"/>
    <w:rsid w:val="00F91598"/>
    <w:rsid w:val="00F94C1E"/>
    <w:rsid w:val="00FA2221"/>
    <w:rsid w:val="00FA2223"/>
    <w:rsid w:val="00FB4525"/>
    <w:rsid w:val="00FB78D3"/>
    <w:rsid w:val="00FC6CD7"/>
    <w:rsid w:val="00FD0E42"/>
    <w:rsid w:val="00FE6CC3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1F5DC8FB"/>
  <w15:chartTrackingRefBased/>
  <w15:docId w15:val="{58CF9E69-B68B-4EAB-946B-3A44D091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79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077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077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5077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07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2507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2507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07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07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07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E4790"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C6CA3"/>
    <w:rPr>
      <w:rFonts w:ascii="Times New Roman" w:hAnsi="Times New Roman" w:cs="Times New Roman"/>
      <w:sz w:val="24"/>
      <w:szCs w:val="24"/>
    </w:rPr>
  </w:style>
  <w:style w:type="paragraph" w:customStyle="1" w:styleId="BodyTextContinued">
    <w:name w:val="Body Text Continued"/>
    <w:basedOn w:val="BodyText"/>
    <w:next w:val="BodyText"/>
    <w:rsid w:val="006E4790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E4790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sid w:val="003C6CA3"/>
    <w:rPr>
      <w:rFonts w:ascii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6E4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6CA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E4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CA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4790"/>
  </w:style>
  <w:style w:type="table" w:styleId="TableGrid">
    <w:name w:val="Table Grid"/>
    <w:basedOn w:val="TableNormal"/>
    <w:uiPriority w:val="39"/>
    <w:rsid w:val="00770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25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50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507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07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25077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2507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077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0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0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zmpTrailerItem">
    <w:name w:val="zzmpTrailerItem"/>
    <w:basedOn w:val="DefaultParagraphFont"/>
    <w:rsid w:val="00613EFA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C66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A4A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1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13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07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7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72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7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729"/>
    <w:rPr>
      <w:rFonts w:ascii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50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502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502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E5674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92607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DA1DB-70D0-46D3-AF11-0899BB68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2855</Words>
  <Characters>16277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Pryor</dc:creator>
  <cp:keywords/>
  <dc:description/>
  <cp:lastModifiedBy>Allison Pryor</cp:lastModifiedBy>
  <cp:revision>6</cp:revision>
  <dcterms:created xsi:type="dcterms:W3CDTF">2021-06-15T01:23:00Z</dcterms:created>
  <dcterms:modified xsi:type="dcterms:W3CDTF">2021-06-15T15:04:00Z</dcterms:modified>
</cp:coreProperties>
</file>