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7.0.0 -->
  <w:body>
    <w:p w:rsidR="00B46048" w:rsidRPr="00B46048" w:rsidP="00B46048">
      <w:pPr>
        <w:jc w:val="center"/>
        <w:rPr>
          <w:b/>
        </w:rPr>
      </w:pPr>
      <w:r w:rsidRPr="00B46048">
        <w:rPr>
          <w:b/>
        </w:rPr>
        <w:t>STATE OF GEORGIA</w:t>
      </w:r>
    </w:p>
    <w:p w:rsidR="00B46048" w:rsidRPr="00B46048" w:rsidP="00B46048">
      <w:pPr>
        <w:jc w:val="center"/>
        <w:rPr>
          <w:b/>
        </w:rPr>
      </w:pPr>
    </w:p>
    <w:p w:rsidR="00B46048" w:rsidRPr="00B46048" w:rsidP="00B46048">
      <w:pPr>
        <w:jc w:val="center"/>
        <w:rPr>
          <w:b/>
        </w:rPr>
      </w:pPr>
      <w:r w:rsidRPr="00B46048">
        <w:rPr>
          <w:b/>
        </w:rPr>
        <w:t>BEFORE THE</w:t>
      </w:r>
    </w:p>
    <w:p w:rsidR="00B46048" w:rsidRPr="00B46048" w:rsidP="00B46048">
      <w:pPr>
        <w:jc w:val="center"/>
        <w:rPr>
          <w:b/>
        </w:rPr>
      </w:pPr>
      <w:r w:rsidRPr="00B46048">
        <w:rPr>
          <w:b/>
        </w:rPr>
        <w:t>GEORGIA PUBLIC SERVICE COMMISSION</w:t>
      </w:r>
    </w:p>
    <w:p w:rsidR="00B46048" w:rsidRPr="00B46048" w:rsidP="00B46048"/>
    <w:p w:rsidR="00B46048" w:rsidRPr="00B46048" w:rsidP="00B46048"/>
    <w:p w:rsidR="00B46048" w:rsidRPr="00B46048" w:rsidP="00B46048">
      <w:r w:rsidRPr="00B46048">
        <w:t>In Re:</w:t>
      </w:r>
    </w:p>
    <w:p w:rsidR="00B46048" w:rsidRPr="00B46048" w:rsidP="00B46048"/>
    <w:p w:rsidR="00B46048" w:rsidRPr="00B46048" w:rsidP="00B46048">
      <w:r w:rsidRPr="00B46048">
        <w:t>Verification of Expenditures Pursuant</w:t>
      </w:r>
      <w:r w:rsidRPr="00B46048">
        <w:tab/>
      </w:r>
      <w:r w:rsidRPr="00273C57">
        <w:tab/>
      </w:r>
      <w:r w:rsidRPr="00B46048">
        <w:t>)</w:t>
      </w:r>
    </w:p>
    <w:p w:rsidR="00B46048" w:rsidRPr="00B46048" w:rsidP="00B46048">
      <w:r w:rsidRPr="00B46048">
        <w:t>to Georgia Power Company’s Certificate</w:t>
      </w:r>
      <w:r w:rsidRPr="00B46048">
        <w:tab/>
      </w:r>
      <w:r w:rsidRPr="00273C57">
        <w:tab/>
      </w:r>
      <w:r w:rsidRPr="00B46048">
        <w:t>)</w:t>
      </w:r>
    </w:p>
    <w:p w:rsidR="00B46048" w:rsidRPr="00B46048" w:rsidP="00B46048">
      <w:r w:rsidRPr="00B46048">
        <w:t>of Public Convenience and Necessity for</w:t>
      </w:r>
      <w:r w:rsidRPr="00B46048">
        <w:tab/>
      </w:r>
      <w:r w:rsidRPr="00273C57">
        <w:tab/>
      </w:r>
      <w:r w:rsidRPr="00B46048">
        <w:t>)</w:t>
      </w:r>
    </w:p>
    <w:p w:rsidR="00B46048" w:rsidRPr="00B46048" w:rsidP="00B46048">
      <w:r w:rsidRPr="00B46048">
        <w:t>Plant Vogtle Units 3 and 4, Twenty-</w:t>
      </w:r>
      <w:r w:rsidRPr="00273C57" w:rsidR="003B5905">
        <w:t>fourth</w:t>
      </w:r>
      <w:r w:rsidRPr="00B46048">
        <w:tab/>
      </w:r>
      <w:r w:rsidRPr="00273C57">
        <w:tab/>
      </w:r>
      <w:r w:rsidRPr="00B46048">
        <w:t xml:space="preserve">) </w:t>
      </w:r>
      <w:r w:rsidRPr="00B46048">
        <w:tab/>
      </w:r>
      <w:r w:rsidRPr="00B46048">
        <w:tab/>
      </w:r>
      <w:r w:rsidRPr="00B46048">
        <w:tab/>
        <w:t>Docket No. 29849</w:t>
      </w:r>
    </w:p>
    <w:p w:rsidR="00B46048" w:rsidRPr="00B46048" w:rsidP="00B46048">
      <w:r w:rsidRPr="00B46048">
        <w:t>Semi-annual Construction Monitoring</w:t>
      </w:r>
      <w:r w:rsidRPr="00273C57">
        <w:t xml:space="preserve"> </w:t>
      </w:r>
      <w:r w:rsidRPr="00B46048">
        <w:t>Report</w:t>
      </w:r>
      <w:r w:rsidRPr="00B46048">
        <w:tab/>
        <w:t>)</w:t>
      </w:r>
    </w:p>
    <w:p w:rsidR="00B46048" w:rsidRPr="00B46048" w:rsidP="00B46048">
      <w:r w:rsidRPr="00273C57">
        <w:t>__________________________________________</w:t>
      </w:r>
      <w:r w:rsidRPr="00B46048">
        <w:t>)</w:t>
      </w:r>
    </w:p>
    <w:p w:rsidR="00B46048" w:rsidRPr="00B46048" w:rsidP="00B46048"/>
    <w:p w:rsidR="00B46048" w:rsidRPr="00273C57" w:rsidP="00B46048">
      <w:pPr>
        <w:jc w:val="center"/>
      </w:pPr>
    </w:p>
    <w:p w:rsidR="003B5905" w:rsidRPr="00273C57" w:rsidP="003B5905">
      <w:pPr>
        <w:jc w:val="center"/>
        <w:rPr>
          <w:b/>
          <w:u w:val="single"/>
        </w:rPr>
      </w:pPr>
      <w:r w:rsidRPr="00273C57">
        <w:rPr>
          <w:b/>
          <w:u w:val="single"/>
        </w:rPr>
        <w:t xml:space="preserve">RESPONSE OF GEORGIA POWER COMPANY TO </w:t>
      </w:r>
    </w:p>
    <w:p w:rsidR="00B46048" w:rsidRPr="00273C57" w:rsidP="00273C57">
      <w:pPr>
        <w:spacing w:after="240"/>
        <w:jc w:val="center"/>
        <w:rPr>
          <w:b/>
          <w:u w:val="single"/>
        </w:rPr>
      </w:pPr>
      <w:r w:rsidRPr="00273C57">
        <w:rPr>
          <w:b/>
          <w:u w:val="single"/>
        </w:rPr>
        <w:t>CONCERNED RATEPAYERS OF GEORGIA’S</w:t>
      </w:r>
      <w:r w:rsidRPr="00273C57">
        <w:rPr>
          <w:b/>
          <w:u w:val="single"/>
        </w:rPr>
        <w:t xml:space="preserve"> MOTION TO COMPEL</w:t>
      </w:r>
      <w:r w:rsidRPr="00273C57">
        <w:rPr>
          <w:b/>
          <w:u w:val="single"/>
        </w:rPr>
        <w:t xml:space="preserve"> </w:t>
      </w:r>
    </w:p>
    <w:p w:rsidR="00B46048" w:rsidRPr="00273C57" w:rsidP="00B46048"/>
    <w:p w:rsidR="00273C57" w:rsidRPr="00273C57" w:rsidP="00273C57">
      <w:pPr>
        <w:spacing w:line="480" w:lineRule="auto"/>
        <w:ind w:firstLine="720"/>
        <w:jc w:val="both"/>
        <w:rPr>
          <w:b/>
        </w:rPr>
      </w:pPr>
      <w:r w:rsidRPr="00273C57">
        <w:t>Georgia Power Company (“Georgia Power” or the “Company”) hereby files its Response in opposition to the Motion to Compel filed by Concerned Ratepayers of Georgia (“</w:t>
      </w:r>
      <w:r w:rsidRPr="00273C57">
        <w:t>CRG</w:t>
      </w:r>
      <w:r w:rsidRPr="00273C57">
        <w:t>”) on April 26, 2021 (“Motion to Compel”).</w:t>
      </w:r>
      <w:r w:rsidR="001A6763">
        <w:t xml:space="preserve"> The Commission should deny the Motion to Compel for the reasons stated below.</w:t>
      </w:r>
    </w:p>
    <w:p w:rsidR="00B46048" w:rsidRPr="00273C57" w:rsidP="00F7378E">
      <w:pPr>
        <w:spacing w:line="480" w:lineRule="auto"/>
        <w:jc w:val="both"/>
        <w:rPr>
          <w:b/>
        </w:rPr>
      </w:pPr>
      <w:r w:rsidRPr="00273C57">
        <w:rPr>
          <w:b/>
        </w:rPr>
        <w:t>I.</w:t>
      </w:r>
      <w:r w:rsidRPr="00273C57">
        <w:rPr>
          <w:b/>
        </w:rPr>
        <w:tab/>
      </w:r>
      <w:r w:rsidRPr="00273C57" w:rsidR="00F7378E">
        <w:rPr>
          <w:b/>
        </w:rPr>
        <w:t>BACKGROUND</w:t>
      </w:r>
    </w:p>
    <w:p w:rsidR="00A42E80" w:rsidP="00F7378E">
      <w:pPr>
        <w:spacing w:line="480" w:lineRule="auto"/>
        <w:jc w:val="both"/>
      </w:pPr>
      <w:r w:rsidRPr="00273C57">
        <w:tab/>
      </w:r>
      <w:r w:rsidR="00273C57">
        <w:t xml:space="preserve">On March 25, 2021, </w:t>
      </w:r>
      <w:r w:rsidR="00273C57">
        <w:t>CRG</w:t>
      </w:r>
      <w:r w:rsidR="00273C57">
        <w:t xml:space="preserve"> filed a data request in Docket No. 29849. On April 23, 2021, the Company filed a </w:t>
      </w:r>
      <w:r w:rsidR="00C126C1">
        <w:t xml:space="preserve">response </w:t>
      </w:r>
      <w:r w:rsidR="00273C57">
        <w:t xml:space="preserve">letter explaining that </w:t>
      </w:r>
      <w:r w:rsidR="00C126C1">
        <w:t>CRG</w:t>
      </w:r>
      <w:r w:rsidR="00C126C1">
        <w:t xml:space="preserve"> does not have discovery rights in this proceeding and, therefore, </w:t>
      </w:r>
      <w:r>
        <w:t>Georgia Power</w:t>
      </w:r>
      <w:r w:rsidR="00C126C1">
        <w:t xml:space="preserve"> is not obligated to</w:t>
      </w:r>
      <w:r>
        <w:t xml:space="preserve"> respond to </w:t>
      </w:r>
      <w:r>
        <w:t>CRG</w:t>
      </w:r>
      <w:r w:rsidR="00C126C1">
        <w:t>’s</w:t>
      </w:r>
      <w:r>
        <w:t xml:space="preserve"> </w:t>
      </w:r>
      <w:r w:rsidR="00C126C1">
        <w:t xml:space="preserve">discovery request. As explained by Georgia Power in that letter, </w:t>
      </w:r>
      <w:r>
        <w:t xml:space="preserve">only the Georgia Public Service Commission (“Commission”), through its Staff, has discovery rights </w:t>
      </w:r>
      <w:r w:rsidR="00C126C1">
        <w:t xml:space="preserve">in this proceeding pursuant to </w:t>
      </w:r>
      <w:r>
        <w:t>O.C.G.A. § 46-2-57.</w:t>
      </w:r>
      <w:r w:rsidR="00273C57">
        <w:t xml:space="preserve"> </w:t>
      </w:r>
      <w:r>
        <w:t xml:space="preserve">On April 26, 2021, </w:t>
      </w:r>
      <w:r>
        <w:t>CRG</w:t>
      </w:r>
      <w:r>
        <w:t xml:space="preserve"> filed the Motion to Compel disagreeing that only the Commission’s Staff has discovery rights, claiming that the Commission’s </w:t>
      </w:r>
      <w:r w:rsidR="00744022">
        <w:t xml:space="preserve">March 23, 2021 Amended </w:t>
      </w:r>
      <w:r>
        <w:t>Procedural and Scheduling Order</w:t>
      </w:r>
      <w:r w:rsidR="00273C57">
        <w:t xml:space="preserve"> </w:t>
      </w:r>
      <w:r>
        <w:t xml:space="preserve">(“PSO”) did not exclude intervenors from conducting </w:t>
      </w:r>
      <w:r>
        <w:t xml:space="preserve">discovery, and declaring </w:t>
      </w:r>
      <w:r w:rsidR="007560CD">
        <w:t xml:space="preserve">an entitlement to discovery as a long-term participant in these proceedings. </w:t>
      </w:r>
    </w:p>
    <w:p w:rsidR="00F7378E" w:rsidP="00F7378E">
      <w:pPr>
        <w:spacing w:line="480" w:lineRule="auto"/>
        <w:jc w:val="both"/>
        <w:rPr>
          <w:b/>
        </w:rPr>
      </w:pPr>
      <w:r w:rsidRPr="00273C57">
        <w:rPr>
          <w:b/>
        </w:rPr>
        <w:t>II.</w:t>
      </w:r>
      <w:r w:rsidRPr="00273C57">
        <w:rPr>
          <w:b/>
        </w:rPr>
        <w:tab/>
        <w:t>ARGUMENT</w:t>
      </w:r>
    </w:p>
    <w:p w:rsidR="00273C57" w:rsidP="00F7378E">
      <w:pPr>
        <w:spacing w:line="480" w:lineRule="auto"/>
        <w:jc w:val="both"/>
        <w:rPr>
          <w:b/>
        </w:rPr>
      </w:pPr>
      <w:r>
        <w:rPr>
          <w:b/>
        </w:rPr>
        <w:tab/>
        <w:t>A.</w:t>
      </w:r>
      <w:r>
        <w:rPr>
          <w:b/>
        </w:rPr>
        <w:tab/>
      </w:r>
      <w:r w:rsidR="007D2119">
        <w:rPr>
          <w:b/>
        </w:rPr>
        <w:t xml:space="preserve">The Commission, not Intervenors, has Responsibility for Discovery. </w:t>
      </w:r>
      <w:r>
        <w:rPr>
          <w:b/>
        </w:rPr>
        <w:t xml:space="preserve"> </w:t>
      </w:r>
    </w:p>
    <w:p w:rsidR="00817CDC" w:rsidP="002F0F17">
      <w:pPr>
        <w:spacing w:line="480" w:lineRule="auto"/>
        <w:ind w:firstLine="720"/>
        <w:jc w:val="both"/>
      </w:pPr>
      <w:r>
        <w:t>T</w:t>
      </w:r>
      <w:r w:rsidRPr="00817CDC">
        <w:t xml:space="preserve">he </w:t>
      </w:r>
      <w:r w:rsidR="007D2119">
        <w:t xml:space="preserve">Georgia </w:t>
      </w:r>
      <w:r>
        <w:t>Administrative Procedures Act (“</w:t>
      </w:r>
      <w:r w:rsidRPr="00817CDC">
        <w:t>APA</w:t>
      </w:r>
      <w:r>
        <w:t>”)</w:t>
      </w:r>
      <w:r>
        <w:rPr>
          <w:rStyle w:val="FootnoteReference"/>
        </w:rPr>
        <w:footnoteReference w:id="2"/>
      </w:r>
      <w:r w:rsidRPr="00817CDC">
        <w:t xml:space="preserve"> d</w:t>
      </w:r>
      <w:r>
        <w:t>oes</w:t>
      </w:r>
      <w:r w:rsidRPr="00817CDC">
        <w:t xml:space="preserve"> not provide a basis for discovery for intervenors such as </w:t>
      </w:r>
      <w:r>
        <w:t>CRG</w:t>
      </w:r>
      <w:r w:rsidRPr="00817CDC">
        <w:t xml:space="preserve">. The APA does not deprive </w:t>
      </w:r>
      <w:r w:rsidR="00EB26FB">
        <w:t>participants</w:t>
      </w:r>
      <w:r w:rsidRPr="00817CDC">
        <w:t xml:space="preserve"> of discovery; rather,</w:t>
      </w:r>
      <w:r w:rsidR="00EB26FB">
        <w:t xml:space="preserve"> through the APA,</w:t>
      </w:r>
      <w:r w:rsidRPr="00817CDC">
        <w:t xml:space="preserve"> the Georgia legislature has vested the responsibility for </w:t>
      </w:r>
      <w:r w:rsidR="00EB26FB">
        <w:t xml:space="preserve">conducting </w:t>
      </w:r>
      <w:r w:rsidRPr="00817CDC">
        <w:t>discovery</w:t>
      </w:r>
      <w:r w:rsidR="00EB26FB">
        <w:t xml:space="preserve"> </w:t>
      </w:r>
      <w:r w:rsidRPr="00817CDC">
        <w:t xml:space="preserve">in the hands of the administrative agency. </w:t>
      </w:r>
      <w:r w:rsidR="007D2119">
        <w:t xml:space="preserve">Therefore, in a proceeding before the Commission, the Commission itself is vested with the responsibility for discovery. </w:t>
      </w:r>
      <w:r w:rsidRPr="00817CDC">
        <w:t xml:space="preserve">Georgia courts have recognized that discovery rights in administrative proceedings are outlined by the APA, and differ from the discovery rights found in Georgia’s Civil Practice Act. </w:t>
      </w:r>
      <w:r w:rsidRPr="00817CDC">
        <w:rPr>
          <w:u w:val="single"/>
        </w:rPr>
        <w:t>See</w:t>
      </w:r>
      <w:r w:rsidRPr="00817CDC">
        <w:t xml:space="preserve"> </w:t>
      </w:r>
      <w:r w:rsidRPr="00817CDC">
        <w:rPr>
          <w:u w:val="single"/>
        </w:rPr>
        <w:t>Georgia State Bd. of Dental Exam’rs et al. v. Daniels</w:t>
      </w:r>
      <w:r w:rsidRPr="00817CDC">
        <w:t xml:space="preserve">, 137 Ga. App. 706 (Feb. 18, 1976) and </w:t>
      </w:r>
      <w:r w:rsidRPr="00817CDC">
        <w:rPr>
          <w:u w:val="single"/>
        </w:rPr>
        <w:t>Georgia Bd. of Dentistry v. Pence</w:t>
      </w:r>
      <w:r w:rsidRPr="00817CDC">
        <w:t>, 223 Ga. App. 603 (Nov. 19, 1996).</w:t>
      </w:r>
    </w:p>
    <w:p w:rsidR="00817CDC" w:rsidRPr="00817CDC" w:rsidP="002F0F17">
      <w:pPr>
        <w:spacing w:line="480" w:lineRule="auto"/>
        <w:ind w:firstLine="720"/>
        <w:jc w:val="both"/>
        <w:rPr>
          <w:b/>
          <w:bCs/>
        </w:rPr>
      </w:pPr>
      <w:r w:rsidRPr="00817CDC">
        <w:rPr>
          <w:b/>
          <w:bCs/>
        </w:rPr>
        <w:t>B.</w:t>
      </w:r>
      <w:r w:rsidRPr="00817CDC">
        <w:rPr>
          <w:b/>
          <w:bCs/>
        </w:rPr>
        <w:tab/>
        <w:t>Discovery before the Commission is limited by the Georgia legislature.</w:t>
      </w:r>
    </w:p>
    <w:p w:rsidR="006D4AC3" w:rsidP="002F0F17">
      <w:pPr>
        <w:spacing w:line="480" w:lineRule="auto"/>
        <w:ind w:firstLine="720"/>
        <w:jc w:val="both"/>
      </w:pPr>
      <w:r>
        <w:t>While the Commission has been vested with the responsibility for discovery, this authority is not without limit.</w:t>
      </w:r>
      <w:r w:rsidR="00817CDC">
        <w:t xml:space="preserve"> </w:t>
      </w:r>
      <w:r w:rsidR="009F6751">
        <w:t>Except for the two limitations described in Section C below, t</w:t>
      </w:r>
      <w:r w:rsidRPr="00BD2849" w:rsidR="00BD2849">
        <w:t xml:space="preserve">he Georgia legislature </w:t>
      </w:r>
      <w:r w:rsidR="00BD2849">
        <w:t xml:space="preserve">has </w:t>
      </w:r>
      <w:r w:rsidRPr="00BD2849" w:rsidR="00BD2849">
        <w:t>limited discovery before the Commission</w:t>
      </w:r>
      <w:r>
        <w:t xml:space="preserve"> to the Commission Staff and its agents</w:t>
      </w:r>
      <w:r w:rsidRPr="00BD2849" w:rsidR="00BD2849">
        <w:t xml:space="preserve">. </w:t>
      </w:r>
      <w:r w:rsidR="002F0F17">
        <w:t>In relevant part</w:t>
      </w:r>
      <w:r w:rsidR="001A6763">
        <w:t>,</w:t>
      </w:r>
      <w:r w:rsidR="002F0F17">
        <w:t xml:space="preserve"> O.C.G.A. § 46-2-57(a) provides as follows:</w:t>
      </w:r>
    </w:p>
    <w:p w:rsidR="002F0F17" w:rsidP="00BB7825">
      <w:pPr>
        <w:spacing w:after="240"/>
        <w:ind w:left="720" w:right="720"/>
        <w:jc w:val="both"/>
      </w:pPr>
      <w:r w:rsidRPr="002F0F17">
        <w:t>(a) In any case pending before it, the commission, in addition to its now existing authority to do so, is authorized to issue an order permitting its employees and agents to take depositions and otherwise obtain discovery of any matter, not privileged, which is relevant to the subject matter involved in the investigation, proceeding, or petition before the commission, in the same manner prescribed in Chapter 11 of Title 9 for discovery in civil actions. </w:t>
      </w:r>
    </w:p>
    <w:p w:rsidR="006D4AC3" w:rsidRPr="002F0F17" w:rsidP="006D4AC3">
      <w:pPr>
        <w:spacing w:line="480" w:lineRule="auto"/>
        <w:jc w:val="both"/>
      </w:pPr>
      <w:r>
        <w:t xml:space="preserve">O.C.G.A. § 46-2-57(a) authorizes the </w:t>
      </w:r>
      <w:r>
        <w:rPr>
          <w:i/>
          <w:iCs/>
        </w:rPr>
        <w:t>Commission</w:t>
      </w:r>
      <w:r>
        <w:t xml:space="preserve"> through its </w:t>
      </w:r>
      <w:r>
        <w:rPr>
          <w:i/>
          <w:iCs/>
        </w:rPr>
        <w:t>employees and agents</w:t>
      </w:r>
      <w:r>
        <w:t xml:space="preserve"> (i.e. Staff) to obtain discovery of any non-privileged matter </w:t>
      </w:r>
      <w:r w:rsidR="001A6763">
        <w:t>that</w:t>
      </w:r>
      <w:r>
        <w:t xml:space="preserve"> is relevant to the subject matter of an investigation, proceeding, or petition before the Commission. </w:t>
      </w:r>
      <w:r w:rsidR="00D708EF">
        <w:rPr>
          <w:bCs/>
        </w:rPr>
        <w:t xml:space="preserve">Consistent with its statutory rights, the Commission authorized its Staff, and no other party, to issue discovery in this case as clearly stated in the PSO. </w:t>
      </w:r>
      <w:r w:rsidR="002D030C">
        <w:t>CRG</w:t>
      </w:r>
      <w:r w:rsidR="002D030C">
        <w:t xml:space="preserve"> is neither an employee nor agent of the Commission and is not a member of Commission Staff. Therefore, </w:t>
      </w:r>
      <w:r w:rsidR="002D030C">
        <w:t>CRG</w:t>
      </w:r>
      <w:r w:rsidR="002D030C">
        <w:t xml:space="preserve"> is not entitled to discovery in this proceeding. </w:t>
      </w:r>
      <w:r w:rsidR="00D708EF">
        <w:rPr>
          <w:bCs/>
        </w:rPr>
        <w:t>CRG’s</w:t>
      </w:r>
      <w:r w:rsidR="00D708EF">
        <w:rPr>
          <w:bCs/>
        </w:rPr>
        <w:t xml:space="preserve"> disagreement that only the Commission Staff has discovery rights is nothing more than a statement of opinion that blatantly ignores the plain reading of O.C.G.A. § 46-2-57(a).</w:t>
      </w:r>
      <w:r w:rsidR="002D030C">
        <w:rPr>
          <w:bCs/>
        </w:rPr>
        <w:t xml:space="preserve"> </w:t>
      </w:r>
      <w:r w:rsidRPr="00273C57">
        <w:t xml:space="preserve">Accordingly, Georgia Power has no </w:t>
      </w:r>
      <w:r w:rsidR="002906AB">
        <w:t xml:space="preserve">legal </w:t>
      </w:r>
      <w:r w:rsidRPr="00273C57">
        <w:t xml:space="preserve">obligation to provide a substantive response to </w:t>
      </w:r>
      <w:r>
        <w:t>CRG’s</w:t>
      </w:r>
      <w:r w:rsidRPr="00273C57">
        <w:t xml:space="preserve"> request for information and </w:t>
      </w:r>
      <w:r w:rsidR="00C126C1">
        <w:t>the</w:t>
      </w:r>
      <w:r w:rsidRPr="00273C57">
        <w:t xml:space="preserve"> Company declines to do so voluntarily.  </w:t>
      </w:r>
    </w:p>
    <w:p w:rsidR="007D2119" w:rsidP="004F3B09">
      <w:pPr>
        <w:tabs>
          <w:tab w:val="left" w:pos="720"/>
          <w:tab w:val="left" w:pos="1440"/>
        </w:tabs>
        <w:ind w:left="1440" w:hanging="1440"/>
        <w:jc w:val="both"/>
        <w:rPr>
          <w:b/>
        </w:rPr>
      </w:pPr>
      <w:r>
        <w:rPr>
          <w:b/>
        </w:rPr>
        <w:tab/>
      </w:r>
      <w:r w:rsidR="00817CDC">
        <w:rPr>
          <w:b/>
        </w:rPr>
        <w:t>C</w:t>
      </w:r>
      <w:r w:rsidR="00D60EEB">
        <w:rPr>
          <w:b/>
        </w:rPr>
        <w:t>.</w:t>
      </w:r>
      <w:r w:rsidR="00D60EEB">
        <w:rPr>
          <w:b/>
        </w:rPr>
        <w:tab/>
      </w:r>
      <w:r>
        <w:rPr>
          <w:b/>
        </w:rPr>
        <w:t xml:space="preserve">The current proceeding does not fall into the </w:t>
      </w:r>
      <w:r w:rsidR="00195EAE">
        <w:rPr>
          <w:b/>
        </w:rPr>
        <w:t xml:space="preserve">limited </w:t>
      </w:r>
      <w:r>
        <w:rPr>
          <w:b/>
        </w:rPr>
        <w:t>class of cases where the Georgia legislature or Commission have granted intervenors discovery rights</w:t>
      </w:r>
      <w:r>
        <w:rPr>
          <w:b/>
        </w:rPr>
        <w:t xml:space="preserve">. </w:t>
      </w:r>
    </w:p>
    <w:p w:rsidR="00195EAE" w:rsidP="004F3B09">
      <w:pPr>
        <w:tabs>
          <w:tab w:val="left" w:pos="720"/>
          <w:tab w:val="left" w:pos="1440"/>
        </w:tabs>
        <w:ind w:left="1440" w:hanging="1440"/>
        <w:jc w:val="both"/>
        <w:rPr>
          <w:b/>
        </w:rPr>
      </w:pPr>
    </w:p>
    <w:p w:rsidR="00195EAE" w:rsidP="00D708EF">
      <w:pPr>
        <w:tabs>
          <w:tab w:val="left" w:pos="720"/>
        </w:tabs>
        <w:spacing w:line="480" w:lineRule="auto"/>
        <w:jc w:val="both"/>
        <w:rPr>
          <w:bCs/>
        </w:rPr>
      </w:pPr>
      <w:r>
        <w:rPr>
          <w:b/>
        </w:rPr>
        <w:tab/>
      </w:r>
      <w:r w:rsidR="00D708EF">
        <w:rPr>
          <w:bCs/>
        </w:rPr>
        <w:t xml:space="preserve">Except in two limited scenarios, intervenors do not have general discovery rights in proceedings before the Commission. </w:t>
      </w:r>
      <w:r w:rsidR="00F30C82">
        <w:rPr>
          <w:bCs/>
        </w:rPr>
        <w:t xml:space="preserve">Pursuant to </w:t>
      </w:r>
      <w:r w:rsidR="00EB26FB">
        <w:rPr>
          <w:bCs/>
        </w:rPr>
        <w:t xml:space="preserve">O.C.G.A. </w:t>
      </w:r>
      <w:r w:rsidR="00F30C82">
        <w:rPr>
          <w:bCs/>
        </w:rPr>
        <w:t>§ 46-2-57(a), intervenors granted party status in gas company rate case</w:t>
      </w:r>
      <w:r w:rsidR="00F663BE">
        <w:rPr>
          <w:bCs/>
        </w:rPr>
        <w:t>s</w:t>
      </w:r>
      <w:r w:rsidR="00F30C82">
        <w:rPr>
          <w:bCs/>
        </w:rPr>
        <w:t xml:space="preserve"> are granted discovery rights. Similarly, pursuant to O.C.G.A. §46-2-26(d), formal intervenors </w:t>
      </w:r>
      <w:r w:rsidR="00EB26FB">
        <w:rPr>
          <w:bCs/>
        </w:rPr>
        <w:t xml:space="preserve">in utility fuel cases </w:t>
      </w:r>
      <w:r w:rsidR="00F30C82">
        <w:rPr>
          <w:bCs/>
        </w:rPr>
        <w:t xml:space="preserve">have the right to examine all records used in </w:t>
      </w:r>
      <w:r w:rsidR="00EB26FB">
        <w:rPr>
          <w:bCs/>
        </w:rPr>
        <w:t>preparing the</w:t>
      </w:r>
      <w:r w:rsidR="00F30C82">
        <w:rPr>
          <w:bCs/>
        </w:rPr>
        <w:t xml:space="preserve"> testimony and exhibits of the utility, which is a form of limited discovery rights. Outside of these two limited, enumerated </w:t>
      </w:r>
      <w:r w:rsidR="00D708EF">
        <w:rPr>
          <w:bCs/>
        </w:rPr>
        <w:t>situations</w:t>
      </w:r>
      <w:r w:rsidR="00F30C82">
        <w:rPr>
          <w:bCs/>
        </w:rPr>
        <w:t xml:space="preserve">, intervenors do not have general discovery rights in proceedings before the Commission. </w:t>
      </w:r>
      <w:r w:rsidR="00DF7244">
        <w:rPr>
          <w:bCs/>
        </w:rPr>
        <w:t xml:space="preserve">The Vogtle Construction Monitoring </w:t>
      </w:r>
      <w:r w:rsidR="00EB26FB">
        <w:rPr>
          <w:bCs/>
        </w:rPr>
        <w:t>p</w:t>
      </w:r>
      <w:r w:rsidR="00DF7244">
        <w:rPr>
          <w:bCs/>
        </w:rPr>
        <w:t xml:space="preserve">roceeding is neither a gas company rate case nor a fuel cost recovery proceeding. Therefore, </w:t>
      </w:r>
      <w:r w:rsidR="00DF7244">
        <w:rPr>
          <w:bCs/>
        </w:rPr>
        <w:t>CRG</w:t>
      </w:r>
      <w:r w:rsidR="00DF7244">
        <w:rPr>
          <w:bCs/>
        </w:rPr>
        <w:t xml:space="preserve"> is not entitled to discovery rights in this proceeding. </w:t>
      </w:r>
    </w:p>
    <w:p w:rsidR="00D60EEB" w:rsidP="002F51F5">
      <w:pPr>
        <w:keepNext/>
        <w:spacing w:line="480" w:lineRule="auto"/>
        <w:ind w:firstLine="720"/>
        <w:jc w:val="both"/>
        <w:rPr>
          <w:bCs/>
        </w:rPr>
      </w:pPr>
      <w:r>
        <w:rPr>
          <w:b/>
        </w:rPr>
        <w:t>D.</w:t>
      </w:r>
      <w:r>
        <w:rPr>
          <w:b/>
        </w:rPr>
        <w:tab/>
      </w:r>
      <w:r w:rsidRPr="00DF7244" w:rsidR="00DF7244">
        <w:rPr>
          <w:b/>
        </w:rPr>
        <w:t xml:space="preserve">The Commission does not have the authority to grant </w:t>
      </w:r>
      <w:r w:rsidR="002F51F5">
        <w:rPr>
          <w:b/>
        </w:rPr>
        <w:t>the Motion to Compel</w:t>
      </w:r>
      <w:r w:rsidRPr="00DF7244" w:rsidR="00DF7244">
        <w:rPr>
          <w:b/>
        </w:rPr>
        <w:t>.</w:t>
      </w:r>
      <w:r w:rsidR="00DF7244">
        <w:rPr>
          <w:bCs/>
        </w:rPr>
        <w:t xml:space="preserve">  </w:t>
      </w:r>
    </w:p>
    <w:p w:rsidR="00BB7825" w:rsidRPr="002906AB" w:rsidP="002F51F5">
      <w:pPr>
        <w:keepNext/>
        <w:spacing w:line="480" w:lineRule="auto"/>
        <w:ind w:firstLine="720"/>
        <w:jc w:val="both"/>
        <w:rPr>
          <w:bCs/>
        </w:rPr>
      </w:pPr>
      <w:r>
        <w:rPr>
          <w:bCs/>
        </w:rPr>
        <w:t>Except as authorized in O.C.G.A. § 46-2-57(a) as described herein, the Commission does not have the authority to grant discovery rights in this proceeding. The</w:t>
      </w:r>
      <w:r w:rsidRPr="002F51F5">
        <w:rPr>
          <w:bCs/>
        </w:rPr>
        <w:t xml:space="preserve"> Commission has only such powers as </w:t>
      </w:r>
      <w:r>
        <w:rPr>
          <w:bCs/>
        </w:rPr>
        <w:t>the Georgia l</w:t>
      </w:r>
      <w:r w:rsidRPr="002F51F5">
        <w:rPr>
          <w:bCs/>
        </w:rPr>
        <w:t>egislature has expressly, or by fair implication, conferred upon it. </w:t>
      </w:r>
      <w:r>
        <w:fldChar w:fldCharType="begin"/>
      </w:r>
      <w:r>
        <w:instrText xml:space="preserve"> HYPERLINK "https://1.next.westlaw.com/Link/Document/FullText?findType=Y&amp;serNum=1955105394&amp;pubNum=0000711&amp;originatingDoc=NEFFFAF40B62211E19C66EA17DA687673&amp;refType=RP&amp;originationContext=document&amp;transitionType=DocumentItem&amp;contextData=(sc.Search)" </w:instrText>
      </w:r>
      <w:r>
        <w:fldChar w:fldCharType="separate"/>
      </w:r>
      <w:r w:rsidRPr="002F51F5">
        <w:rPr>
          <w:u w:val="single"/>
        </w:rPr>
        <w:t>Georgia Power Co. v. Georgia Public Service Commission</w:t>
      </w:r>
      <w:r w:rsidRPr="002F51F5">
        <w:t>, 85 S.E.2d 14, 211 Ga. 223</w:t>
      </w:r>
      <w:r>
        <w:fldChar w:fldCharType="end"/>
      </w:r>
      <w:r>
        <w:rPr>
          <w:bCs/>
        </w:rPr>
        <w:t xml:space="preserve"> (1954)</w:t>
      </w:r>
      <w:r w:rsidRPr="002F51F5">
        <w:rPr>
          <w:bCs/>
        </w:rPr>
        <w:t>.</w:t>
      </w:r>
      <w:r>
        <w:rPr>
          <w:bCs/>
        </w:rPr>
        <w:t xml:space="preserve"> The Georgia legislature has not conferred upon the Commission the authority to grant discovery to parties or persons </w:t>
      </w:r>
      <w:r w:rsidR="00F663BE">
        <w:rPr>
          <w:bCs/>
        </w:rPr>
        <w:t>other than its employees or agents</w:t>
      </w:r>
      <w:r>
        <w:rPr>
          <w:bCs/>
        </w:rPr>
        <w:t xml:space="preserve">. Therefore, absent such legislative authorization, the Commission does not have the general or specific authority to grant </w:t>
      </w:r>
      <w:r>
        <w:rPr>
          <w:bCs/>
        </w:rPr>
        <w:t>CRG’s</w:t>
      </w:r>
      <w:r>
        <w:rPr>
          <w:bCs/>
        </w:rPr>
        <w:t xml:space="preserve"> Motion to Compel. </w:t>
      </w:r>
    </w:p>
    <w:p w:rsidR="00F7378E" w:rsidRPr="00273C57" w:rsidP="00F7378E">
      <w:pPr>
        <w:spacing w:line="480" w:lineRule="auto"/>
        <w:jc w:val="both"/>
        <w:rPr>
          <w:b/>
        </w:rPr>
      </w:pPr>
      <w:r w:rsidRPr="00273C57">
        <w:rPr>
          <w:b/>
        </w:rPr>
        <w:t>III.</w:t>
      </w:r>
      <w:r w:rsidRPr="00273C57">
        <w:rPr>
          <w:b/>
        </w:rPr>
        <w:tab/>
        <w:t>CONCLUSION</w:t>
      </w:r>
    </w:p>
    <w:p w:rsidR="00F7378E" w:rsidRPr="00273C57" w:rsidP="00F7378E">
      <w:pPr>
        <w:spacing w:line="480" w:lineRule="auto"/>
        <w:jc w:val="both"/>
      </w:pPr>
      <w:r w:rsidRPr="00273C57">
        <w:tab/>
      </w:r>
      <w:r w:rsidR="00F32F8D">
        <w:t>Except in</w:t>
      </w:r>
      <w:r w:rsidR="00EB26FB">
        <w:t xml:space="preserve"> the</w:t>
      </w:r>
      <w:r w:rsidR="00F32F8D">
        <w:t xml:space="preserve"> limited circumstances</w:t>
      </w:r>
      <w:r w:rsidR="00EB26FB">
        <w:t xml:space="preserve"> noted above, neither of which applies here</w:t>
      </w:r>
      <w:r w:rsidR="00F32F8D">
        <w:t xml:space="preserve">, Georgia law does not grant intervenors discovery rights in proceedings before the Commission and the Commission </w:t>
      </w:r>
      <w:r w:rsidR="00E15BE1">
        <w:t>cannot</w:t>
      </w:r>
      <w:r w:rsidR="00F32F8D">
        <w:t xml:space="preserve"> grant such a right</w:t>
      </w:r>
      <w:r w:rsidR="00E15BE1">
        <w:t xml:space="preserve"> or compel discovery without </w:t>
      </w:r>
      <w:r w:rsidR="0009792D">
        <w:t>legislative authorization</w:t>
      </w:r>
      <w:r w:rsidR="00E15BE1">
        <w:t xml:space="preserve"> to do so</w:t>
      </w:r>
      <w:r w:rsidR="00F32F8D">
        <w:t xml:space="preserve">. </w:t>
      </w:r>
      <w:r w:rsidRPr="00273C57">
        <w:t xml:space="preserve">Georgia Power respectfully requests that the Commission deny </w:t>
      </w:r>
      <w:r w:rsidRPr="00273C57">
        <w:t>CRG’s</w:t>
      </w:r>
      <w:r w:rsidRPr="00273C57">
        <w:t xml:space="preserve"> Motion to Compel in this proceeding. </w:t>
      </w:r>
    </w:p>
    <w:p w:rsidR="00273C57" w:rsidRPr="00273C57" w:rsidP="002F51F5">
      <w:pPr>
        <w:pStyle w:val="BodyTextDSFirstLine5Justified"/>
        <w:keepNext/>
        <w:keepLines/>
        <w:ind w:firstLine="0"/>
      </w:pPr>
      <w:r w:rsidRPr="00273C57">
        <w:t xml:space="preserve">Respectfully submitted, this </w:t>
      </w:r>
      <w:r w:rsidR="00C126C1">
        <w:t>6th</w:t>
      </w:r>
      <w:r w:rsidRPr="00273C57" w:rsidR="00C126C1">
        <w:t xml:space="preserve"> </w:t>
      </w:r>
      <w:r w:rsidRPr="00273C57">
        <w:t xml:space="preserve">day of </w:t>
      </w:r>
      <w:r w:rsidR="00C126C1">
        <w:t>May</w:t>
      </w:r>
      <w:r w:rsidRPr="00273C57" w:rsidR="00C126C1">
        <w:t xml:space="preserve"> </w:t>
      </w:r>
      <w:r w:rsidRPr="00273C57">
        <w:t>2021.</w:t>
      </w:r>
    </w:p>
    <w:p w:rsidR="00273C57" w:rsidRPr="00273C57" w:rsidP="00273C57">
      <w:pPr>
        <w:pStyle w:val="BodyTextIndent3"/>
        <w:keepNext/>
        <w:keepLines/>
        <w:ind w:left="5040"/>
        <w:jc w:val="both"/>
      </w:pPr>
    </w:p>
    <w:p w:rsidR="00273C57" w:rsidRPr="00273C57" w:rsidP="00273C57">
      <w:pPr>
        <w:pStyle w:val="BodyTextIndent3"/>
        <w:keepNext/>
        <w:keepLines/>
        <w:spacing w:after="0"/>
        <w:ind w:left="5040"/>
        <w:jc w:val="both"/>
        <w:rPr>
          <w:sz w:val="24"/>
          <w:szCs w:val="24"/>
        </w:rPr>
      </w:pPr>
    </w:p>
    <w:p w:rsidR="00273C57" w:rsidRPr="00273C57" w:rsidP="00273C57">
      <w:pPr>
        <w:pStyle w:val="BodyTextIndent3"/>
        <w:keepNext/>
        <w:keepLines/>
        <w:spacing w:after="0"/>
        <w:ind w:left="5040"/>
        <w:jc w:val="both"/>
        <w:rPr>
          <w:sz w:val="24"/>
          <w:szCs w:val="24"/>
        </w:rPr>
      </w:pPr>
    </w:p>
    <w:p w:rsidR="00273C57" w:rsidRPr="00273C57" w:rsidP="00273C57">
      <w:pPr>
        <w:pStyle w:val="BodyTextIndent3"/>
        <w:keepNext/>
        <w:keepLines/>
        <w:spacing w:after="0"/>
        <w:ind w:left="5040"/>
        <w:jc w:val="both"/>
        <w:rPr>
          <w:sz w:val="24"/>
          <w:szCs w:val="24"/>
        </w:rPr>
      </w:pPr>
      <w:r w:rsidRPr="00273C57">
        <w:rPr>
          <w:sz w:val="24"/>
          <w:szCs w:val="24"/>
        </w:rPr>
        <w:t>______________________________</w:t>
      </w:r>
    </w:p>
    <w:p w:rsidR="00273C57" w:rsidRPr="00273C57" w:rsidP="00273C57">
      <w:pPr>
        <w:pStyle w:val="BodyTextIndent3"/>
        <w:keepNext/>
        <w:keepLines/>
        <w:spacing w:after="0"/>
        <w:ind w:left="5040"/>
        <w:jc w:val="both"/>
        <w:rPr>
          <w:sz w:val="24"/>
          <w:szCs w:val="24"/>
        </w:rPr>
      </w:pPr>
      <w:r w:rsidRPr="00273C57">
        <w:rPr>
          <w:sz w:val="24"/>
          <w:szCs w:val="24"/>
        </w:rPr>
        <w:t>Kevin C. Greene</w:t>
      </w:r>
    </w:p>
    <w:p w:rsidR="00273C57" w:rsidRPr="00273C57" w:rsidP="00273C57">
      <w:pPr>
        <w:pStyle w:val="BodyTextIndent3"/>
        <w:keepNext/>
        <w:keepLines/>
        <w:spacing w:after="0"/>
        <w:ind w:left="5040"/>
        <w:jc w:val="both"/>
        <w:rPr>
          <w:sz w:val="24"/>
          <w:szCs w:val="24"/>
        </w:rPr>
      </w:pPr>
      <w:r w:rsidRPr="00273C57">
        <w:rPr>
          <w:sz w:val="24"/>
          <w:szCs w:val="24"/>
        </w:rPr>
        <w:t>Steven J. Hewitson</w:t>
      </w:r>
    </w:p>
    <w:p w:rsidR="00273C57" w:rsidRPr="00273C57" w:rsidP="00273C57">
      <w:pPr>
        <w:pStyle w:val="BodyTextIndent3"/>
        <w:keepNext/>
        <w:keepLines/>
        <w:spacing w:after="0"/>
        <w:ind w:left="5040"/>
        <w:jc w:val="both"/>
        <w:rPr>
          <w:sz w:val="24"/>
          <w:szCs w:val="24"/>
        </w:rPr>
      </w:pPr>
      <w:r w:rsidRPr="00273C57">
        <w:rPr>
          <w:sz w:val="24"/>
          <w:szCs w:val="24"/>
        </w:rPr>
        <w:t>Allison W. Pryor</w:t>
      </w:r>
    </w:p>
    <w:p w:rsidR="00273C57" w:rsidRPr="00273C57" w:rsidP="00273C57">
      <w:pPr>
        <w:pStyle w:val="BodyTextIndent3"/>
        <w:keepNext/>
        <w:keepLines/>
        <w:spacing w:after="0"/>
        <w:ind w:left="5040"/>
        <w:jc w:val="both"/>
        <w:rPr>
          <w:sz w:val="24"/>
          <w:szCs w:val="24"/>
        </w:rPr>
      </w:pPr>
      <w:r w:rsidRPr="00273C57">
        <w:rPr>
          <w:sz w:val="24"/>
          <w:szCs w:val="24"/>
        </w:rPr>
        <w:t>Attorneys for Georgia Power Company</w:t>
      </w:r>
    </w:p>
    <w:p w:rsidR="00273C57" w:rsidRPr="00273C57" w:rsidP="00273C57">
      <w:pPr>
        <w:pStyle w:val="BodyTextIndent3"/>
        <w:keepNext/>
        <w:keepLines/>
        <w:spacing w:after="0"/>
        <w:jc w:val="both"/>
        <w:rPr>
          <w:sz w:val="24"/>
          <w:szCs w:val="24"/>
        </w:rPr>
      </w:pPr>
    </w:p>
    <w:p w:rsidR="00273C57" w:rsidRPr="00273C57" w:rsidP="00273C57">
      <w:pPr>
        <w:pStyle w:val="BodyTextIndent3"/>
        <w:keepNext/>
        <w:keepLines/>
        <w:spacing w:after="0"/>
        <w:jc w:val="both"/>
        <w:rPr>
          <w:sz w:val="24"/>
          <w:szCs w:val="24"/>
        </w:rPr>
      </w:pPr>
    </w:p>
    <w:p w:rsidR="00273C57" w:rsidRPr="00273C57" w:rsidP="00273C57">
      <w:pPr>
        <w:pStyle w:val="BodyTextIndent3"/>
        <w:keepNext/>
        <w:keepLines/>
        <w:spacing w:after="0"/>
        <w:jc w:val="both"/>
        <w:rPr>
          <w:sz w:val="24"/>
          <w:szCs w:val="24"/>
        </w:rPr>
      </w:pPr>
      <w:r w:rsidRPr="00273C57">
        <w:rPr>
          <w:sz w:val="24"/>
          <w:szCs w:val="24"/>
        </w:rPr>
        <w:t>TROUTMAN PEPPER HAMILTON SANDERS LLP</w:t>
      </w:r>
    </w:p>
    <w:p w:rsidR="00273C57" w:rsidRPr="00273C57" w:rsidP="00273C57">
      <w:pPr>
        <w:pStyle w:val="BodyTextIndent3"/>
        <w:keepNext/>
        <w:keepLines/>
        <w:spacing w:after="0"/>
        <w:jc w:val="both"/>
        <w:rPr>
          <w:sz w:val="24"/>
          <w:szCs w:val="24"/>
        </w:rPr>
      </w:pPr>
      <w:r w:rsidRPr="00273C57">
        <w:rPr>
          <w:sz w:val="24"/>
          <w:szCs w:val="24"/>
        </w:rPr>
        <w:t>Bank of America Plaza</w:t>
      </w:r>
    </w:p>
    <w:p w:rsidR="00273C57" w:rsidRPr="00273C57" w:rsidP="00273C57">
      <w:pPr>
        <w:pStyle w:val="BodyTextIndent3"/>
        <w:keepNext/>
        <w:keepLines/>
        <w:spacing w:after="0"/>
        <w:jc w:val="both"/>
        <w:rPr>
          <w:sz w:val="24"/>
          <w:szCs w:val="24"/>
        </w:rPr>
      </w:pPr>
      <w:r w:rsidRPr="00273C57">
        <w:rPr>
          <w:sz w:val="24"/>
          <w:szCs w:val="24"/>
        </w:rPr>
        <w:t>Suite 3000</w:t>
      </w:r>
    </w:p>
    <w:p w:rsidR="00273C57" w:rsidRPr="00273C57" w:rsidP="00273C57">
      <w:pPr>
        <w:pStyle w:val="BodyTextIndent3"/>
        <w:keepNext/>
        <w:keepLines/>
        <w:spacing w:after="0"/>
        <w:jc w:val="both"/>
        <w:rPr>
          <w:sz w:val="24"/>
          <w:szCs w:val="24"/>
        </w:rPr>
      </w:pPr>
      <w:r w:rsidRPr="00273C57">
        <w:rPr>
          <w:sz w:val="24"/>
          <w:szCs w:val="24"/>
        </w:rPr>
        <w:t>600 Peachtree Street N.E.</w:t>
      </w:r>
    </w:p>
    <w:p w:rsidR="00273C57" w:rsidRPr="00273C57" w:rsidP="00273C57">
      <w:pPr>
        <w:pStyle w:val="BodyTextIndent3"/>
        <w:keepNext/>
        <w:keepLines/>
        <w:spacing w:after="0"/>
        <w:jc w:val="both"/>
        <w:rPr>
          <w:sz w:val="24"/>
          <w:szCs w:val="24"/>
        </w:rPr>
      </w:pPr>
      <w:r w:rsidRPr="00273C57">
        <w:rPr>
          <w:sz w:val="24"/>
          <w:szCs w:val="24"/>
        </w:rPr>
        <w:t>Atlanta, GA 30308-2216</w:t>
      </w:r>
    </w:p>
    <w:p w:rsidR="00273C57" w:rsidRPr="00273C57" w:rsidP="00273C57">
      <w:pPr>
        <w:pStyle w:val="BodyTextIndent3"/>
        <w:keepNext/>
        <w:keepLines/>
        <w:spacing w:after="0"/>
        <w:jc w:val="both"/>
        <w:rPr>
          <w:sz w:val="24"/>
          <w:szCs w:val="24"/>
        </w:rPr>
      </w:pPr>
      <w:r w:rsidRPr="00273C57">
        <w:rPr>
          <w:sz w:val="24"/>
          <w:szCs w:val="24"/>
        </w:rPr>
        <w:t>(404) 885-3000</w:t>
      </w:r>
    </w:p>
    <w:p w:rsidR="00273C57" w:rsidRPr="00273C57" w:rsidP="00F7378E">
      <w:pPr>
        <w:spacing w:line="480" w:lineRule="auto"/>
        <w:jc w:val="both"/>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88770717"/>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Content>
          <w:p w:rsidR="00BB7825" w:rsidP="003B5905">
            <w:pPr>
              <w:pStyle w:val="Footer"/>
              <w:jc w:val="center"/>
              <w:rPr>
                <w:sz w:val="20"/>
                <w:szCs w:val="20"/>
              </w:rPr>
            </w:pPr>
          </w:p>
          <w:p w:rsidR="003B5905" w:rsidRPr="003B5905" w:rsidP="003B5905">
            <w:pPr>
              <w:pStyle w:val="Footer"/>
              <w:jc w:val="center"/>
              <w:rPr>
                <w:sz w:val="20"/>
                <w:szCs w:val="20"/>
              </w:rPr>
            </w:pPr>
            <w:r>
              <w:rPr>
                <w:sz w:val="20"/>
                <w:szCs w:val="20"/>
              </w:rPr>
              <w:t>Response of</w:t>
            </w:r>
            <w:r w:rsidRPr="003B5905">
              <w:rPr>
                <w:sz w:val="20"/>
                <w:szCs w:val="20"/>
              </w:rPr>
              <w:t xml:space="preserve"> Georgia Power Company </w:t>
            </w:r>
            <w:r>
              <w:rPr>
                <w:sz w:val="20"/>
                <w:szCs w:val="20"/>
              </w:rPr>
              <w:t>to Concerned Ratepayers of Georgia Motion to Compel</w:t>
            </w:r>
          </w:p>
          <w:p w:rsidR="003B5905" w:rsidRPr="003B5905" w:rsidP="003B5905">
            <w:pPr>
              <w:pStyle w:val="Footer"/>
              <w:jc w:val="center"/>
              <w:rPr>
                <w:sz w:val="20"/>
                <w:szCs w:val="20"/>
              </w:rPr>
            </w:pPr>
            <w:r w:rsidRPr="003B5905">
              <w:rPr>
                <w:sz w:val="20"/>
                <w:szCs w:val="20"/>
              </w:rPr>
              <w:t>GPSC Docket No. 29849</w:t>
            </w:r>
          </w:p>
          <w:p w:rsidR="003B5905" w:rsidRPr="003B5905">
            <w:pPr>
              <w:pStyle w:val="Footer"/>
              <w:jc w:val="center"/>
              <w:rPr>
                <w:sz w:val="20"/>
                <w:szCs w:val="20"/>
              </w:rPr>
            </w:pPr>
            <w:r w:rsidRPr="003B5905">
              <w:rPr>
                <w:sz w:val="20"/>
                <w:szCs w:val="20"/>
              </w:rPr>
              <w:t xml:space="preserve">Page </w:t>
            </w:r>
            <w:r w:rsidRPr="003B5905">
              <w:rPr>
                <w:sz w:val="20"/>
                <w:szCs w:val="20"/>
              </w:rPr>
              <w:fldChar w:fldCharType="begin"/>
            </w:r>
            <w:r w:rsidRPr="003B5905">
              <w:rPr>
                <w:sz w:val="20"/>
                <w:szCs w:val="20"/>
              </w:rPr>
              <w:instrText xml:space="preserve"> PAGE </w:instrText>
            </w:r>
            <w:r w:rsidRPr="003B5905">
              <w:rPr>
                <w:sz w:val="20"/>
                <w:szCs w:val="20"/>
              </w:rPr>
              <w:fldChar w:fldCharType="separate"/>
            </w:r>
            <w:r w:rsidRPr="003B5905">
              <w:rPr>
                <w:noProof/>
                <w:sz w:val="20"/>
                <w:szCs w:val="20"/>
              </w:rPr>
              <w:t>2</w:t>
            </w:r>
            <w:r w:rsidRPr="003B5905">
              <w:rPr>
                <w:sz w:val="20"/>
                <w:szCs w:val="20"/>
              </w:rPr>
              <w:fldChar w:fldCharType="end"/>
            </w:r>
            <w:r w:rsidRPr="003B5905">
              <w:rPr>
                <w:sz w:val="20"/>
                <w:szCs w:val="20"/>
              </w:rPr>
              <w:t xml:space="preserve"> of </w:t>
            </w:r>
            <w:r w:rsidRPr="003B5905">
              <w:rPr>
                <w:sz w:val="20"/>
                <w:szCs w:val="20"/>
              </w:rPr>
              <w:fldChar w:fldCharType="begin"/>
            </w:r>
            <w:r w:rsidRPr="003B5905">
              <w:rPr>
                <w:sz w:val="20"/>
                <w:szCs w:val="20"/>
              </w:rPr>
              <w:instrText xml:space="preserve"> NUMPAGES  </w:instrText>
            </w:r>
            <w:r w:rsidRPr="003B5905">
              <w:rPr>
                <w:sz w:val="20"/>
                <w:szCs w:val="20"/>
              </w:rPr>
              <w:fldChar w:fldCharType="separate"/>
            </w:r>
            <w:r w:rsidRPr="003B5905">
              <w:rPr>
                <w:noProof/>
                <w:sz w:val="20"/>
                <w:szCs w:val="20"/>
              </w:rPr>
              <w:t>2</w:t>
            </w:r>
            <w:r w:rsidRPr="003B5905">
              <w:rPr>
                <w:sz w:val="20"/>
                <w:szCs w:val="20"/>
              </w:rPr>
              <w:fldChar w:fldCharType="end"/>
            </w:r>
          </w:p>
        </w:sdtContent>
      </w:sdt>
    </w:sdtContent>
  </w:sdt>
  <w:p w:rsidR="003B5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62B5C" w:rsidP="00262B5C">
      <w:r>
        <w:separator/>
      </w:r>
    </w:p>
  </w:footnote>
  <w:footnote w:type="continuationSeparator" w:id="1">
    <w:p w:rsidR="00262B5C" w:rsidP="00262B5C">
      <w:r>
        <w:continuationSeparator/>
      </w:r>
    </w:p>
  </w:footnote>
  <w:footnote w:id="2">
    <w:p w:rsidR="0061356A">
      <w:pPr>
        <w:pStyle w:val="FootnoteText"/>
      </w:pPr>
      <w:r>
        <w:rPr>
          <w:rStyle w:val="FootnoteReference"/>
        </w:rPr>
        <w:footnoteRef/>
      </w:r>
      <w:r>
        <w:t xml:space="preserve"> O.C.G.A. § § 50-13-1 et. 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479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E4790"/>
    <w:pPr>
      <w:widowControl w:val="0"/>
      <w:spacing w:after="240"/>
      <w:ind w:firstLine="720"/>
    </w:pPr>
  </w:style>
  <w:style w:type="character" w:customStyle="1" w:styleId="BodyTextChar">
    <w:name w:val="Body Text Char"/>
    <w:basedOn w:val="DefaultParagraphFont"/>
    <w:link w:val="BodyText"/>
    <w:rsid w:val="003C6CA3"/>
    <w:rPr>
      <w:rFonts w:ascii="Times New Roman" w:hAnsi="Times New Roman" w:cs="Times New Roman"/>
      <w:sz w:val="24"/>
      <w:szCs w:val="24"/>
    </w:rPr>
  </w:style>
  <w:style w:type="paragraph" w:customStyle="1" w:styleId="BodyTextContinued">
    <w:name w:val="Body Text Continued"/>
    <w:basedOn w:val="BodyText"/>
    <w:next w:val="BodyText"/>
    <w:rsid w:val="006E4790"/>
    <w:pPr>
      <w:ind w:firstLine="0"/>
    </w:pPr>
    <w:rPr>
      <w:szCs w:val="20"/>
    </w:rPr>
  </w:style>
  <w:style w:type="paragraph" w:styleId="Quote">
    <w:name w:val="Quote"/>
    <w:basedOn w:val="Normal"/>
    <w:next w:val="BodyTextContinued"/>
    <w:link w:val="QuoteChar"/>
    <w:qFormat/>
    <w:rsid w:val="006E4790"/>
    <w:pPr>
      <w:spacing w:after="240"/>
      <w:ind w:left="1440" w:right="1440"/>
    </w:pPr>
    <w:rPr>
      <w:szCs w:val="20"/>
    </w:rPr>
  </w:style>
  <w:style w:type="character" w:customStyle="1" w:styleId="QuoteChar">
    <w:name w:val="Quote Char"/>
    <w:basedOn w:val="DefaultParagraphFont"/>
    <w:link w:val="Quote"/>
    <w:rsid w:val="003C6CA3"/>
    <w:rPr>
      <w:rFonts w:ascii="Times New Roman" w:hAnsi="Times New Roman" w:cs="Times New Roman"/>
      <w:sz w:val="24"/>
      <w:szCs w:val="20"/>
    </w:rPr>
  </w:style>
  <w:style w:type="paragraph" w:styleId="Header">
    <w:name w:val="header"/>
    <w:basedOn w:val="Normal"/>
    <w:link w:val="HeaderChar"/>
    <w:rsid w:val="006E4790"/>
    <w:pPr>
      <w:tabs>
        <w:tab w:val="center" w:pos="4680"/>
        <w:tab w:val="right" w:pos="9360"/>
      </w:tabs>
    </w:pPr>
  </w:style>
  <w:style w:type="character" w:customStyle="1" w:styleId="HeaderChar">
    <w:name w:val="Header Char"/>
    <w:basedOn w:val="DefaultParagraphFont"/>
    <w:link w:val="Header"/>
    <w:rsid w:val="003C6CA3"/>
    <w:rPr>
      <w:rFonts w:ascii="Times New Roman" w:hAnsi="Times New Roman" w:cs="Times New Roman"/>
      <w:sz w:val="24"/>
      <w:szCs w:val="24"/>
    </w:rPr>
  </w:style>
  <w:style w:type="paragraph" w:styleId="Footer">
    <w:name w:val="footer"/>
    <w:basedOn w:val="Normal"/>
    <w:link w:val="FooterChar"/>
    <w:uiPriority w:val="99"/>
    <w:rsid w:val="006E4790"/>
    <w:pPr>
      <w:tabs>
        <w:tab w:val="center" w:pos="4680"/>
        <w:tab w:val="right" w:pos="9360"/>
      </w:tabs>
    </w:pPr>
  </w:style>
  <w:style w:type="character" w:customStyle="1" w:styleId="FooterChar">
    <w:name w:val="Footer Char"/>
    <w:basedOn w:val="DefaultParagraphFont"/>
    <w:link w:val="Footer"/>
    <w:uiPriority w:val="99"/>
    <w:rsid w:val="003C6CA3"/>
    <w:rPr>
      <w:rFonts w:ascii="Times New Roman" w:hAnsi="Times New Roman" w:cs="Times New Roman"/>
      <w:sz w:val="24"/>
      <w:szCs w:val="24"/>
    </w:rPr>
  </w:style>
  <w:style w:type="character" w:styleId="PageNumber">
    <w:name w:val="page number"/>
    <w:basedOn w:val="DefaultParagraphFont"/>
    <w:rsid w:val="006E4790"/>
  </w:style>
  <w:style w:type="character" w:customStyle="1" w:styleId="zzmpTrailerItem">
    <w:name w:val="zzmpTrailerItem"/>
    <w:basedOn w:val="DefaultParagraphFont"/>
    <w:rsid w:val="002D030C"/>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semiHidden/>
    <w:rsid w:val="00B46048"/>
    <w:rPr>
      <w:sz w:val="20"/>
      <w:szCs w:val="20"/>
    </w:rPr>
  </w:style>
  <w:style w:type="character" w:customStyle="1" w:styleId="FootnoteTextChar">
    <w:name w:val="Footnote Text Char"/>
    <w:basedOn w:val="DefaultParagraphFont"/>
    <w:link w:val="FootnoteText"/>
    <w:semiHidden/>
    <w:rsid w:val="00B46048"/>
    <w:rPr>
      <w:rFonts w:ascii="Times New Roman" w:hAnsi="Times New Roman" w:cs="Times New Roman"/>
      <w:sz w:val="20"/>
      <w:szCs w:val="20"/>
    </w:rPr>
  </w:style>
  <w:style w:type="character" w:styleId="FootnoteReference">
    <w:name w:val="footnote reference"/>
    <w:basedOn w:val="DefaultParagraphFont"/>
    <w:semiHidden/>
    <w:rsid w:val="00B46048"/>
    <w:rPr>
      <w:vertAlign w:val="superscript"/>
    </w:rPr>
  </w:style>
  <w:style w:type="character" w:styleId="CommentReference">
    <w:name w:val="annotation reference"/>
    <w:basedOn w:val="DefaultParagraphFont"/>
    <w:uiPriority w:val="99"/>
    <w:semiHidden/>
    <w:unhideWhenUsed/>
    <w:rsid w:val="00F7378E"/>
    <w:rPr>
      <w:sz w:val="16"/>
      <w:szCs w:val="16"/>
    </w:rPr>
  </w:style>
  <w:style w:type="paragraph" w:styleId="CommentText">
    <w:name w:val="annotation text"/>
    <w:basedOn w:val="Normal"/>
    <w:link w:val="CommentTextChar"/>
    <w:uiPriority w:val="99"/>
    <w:semiHidden/>
    <w:unhideWhenUsed/>
    <w:rsid w:val="00F7378E"/>
    <w:rPr>
      <w:sz w:val="20"/>
      <w:szCs w:val="20"/>
    </w:rPr>
  </w:style>
  <w:style w:type="character" w:customStyle="1" w:styleId="CommentTextChar">
    <w:name w:val="Comment Text Char"/>
    <w:basedOn w:val="DefaultParagraphFont"/>
    <w:link w:val="CommentText"/>
    <w:uiPriority w:val="99"/>
    <w:semiHidden/>
    <w:rsid w:val="00F7378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378E"/>
    <w:rPr>
      <w:b/>
      <w:bCs/>
    </w:rPr>
  </w:style>
  <w:style w:type="character" w:customStyle="1" w:styleId="CommentSubjectChar">
    <w:name w:val="Comment Subject Char"/>
    <w:basedOn w:val="CommentTextChar"/>
    <w:link w:val="CommentSubject"/>
    <w:uiPriority w:val="99"/>
    <w:semiHidden/>
    <w:rsid w:val="00F7378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737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78E"/>
    <w:rPr>
      <w:rFonts w:ascii="Segoe UI" w:hAnsi="Segoe UI" w:cs="Segoe UI"/>
      <w:sz w:val="18"/>
      <w:szCs w:val="18"/>
    </w:rPr>
  </w:style>
  <w:style w:type="paragraph" w:styleId="BodyTextIndent3">
    <w:name w:val="Body Text Indent 3"/>
    <w:basedOn w:val="Normal"/>
    <w:link w:val="BodyTextIndent3Char"/>
    <w:uiPriority w:val="99"/>
    <w:semiHidden/>
    <w:unhideWhenUsed/>
    <w:rsid w:val="00273C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73C57"/>
    <w:rPr>
      <w:rFonts w:ascii="Times New Roman" w:hAnsi="Times New Roman" w:cs="Times New Roman"/>
      <w:sz w:val="16"/>
      <w:szCs w:val="16"/>
    </w:rPr>
  </w:style>
  <w:style w:type="paragraph" w:customStyle="1" w:styleId="BodyTextDSFirstLine5Justified">
    <w:name w:val="Body Text DS First Line (.5) Justified"/>
    <w:basedOn w:val="Normal"/>
    <w:uiPriority w:val="99"/>
    <w:rsid w:val="00273C57"/>
    <w:pPr>
      <w:spacing w:line="480" w:lineRule="auto"/>
      <w:ind w:firstLine="720"/>
      <w:jc w:val="both"/>
    </w:pPr>
    <w:rPr>
      <w:rFonts w:eastAsia="PMingLiU"/>
      <w:lang w:eastAsia="zh-TW"/>
    </w:rPr>
  </w:style>
  <w:style w:type="character" w:styleId="Hyperlink">
    <w:name w:val="Hyperlink"/>
    <w:basedOn w:val="DefaultParagraphFont"/>
    <w:uiPriority w:val="99"/>
    <w:unhideWhenUsed/>
    <w:rsid w:val="00195EAE"/>
    <w:rPr>
      <w:color w:val="0563C1" w:themeColor="hyperlink"/>
      <w:u w:val="single"/>
    </w:rPr>
  </w:style>
  <w:style w:type="character" w:customStyle="1" w:styleId="UnresolvedMention">
    <w:name w:val="Unresolved Mention"/>
    <w:basedOn w:val="DefaultParagraphFont"/>
    <w:uiPriority w:val="99"/>
    <w:semiHidden/>
    <w:unhideWhenUsed/>
    <w:rsid w:val="00195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1018</Words>
  <Characters>5643</Characters>
  <Application>Microsoft Office Word</Application>
  <DocSecurity>0</DocSecurity>
  <Lines>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