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5967928D"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2C6A3A">
        <w:rPr>
          <w:rFonts w:ascii="Arial" w:hAnsi="Arial" w:cs="Arial"/>
          <w:b/>
          <w:bCs/>
          <w:szCs w:val="24"/>
        </w:rPr>
        <w:t>9</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5C7FF385" w14:textId="77777777" w:rsidR="002C6A3A" w:rsidRPr="002C6A3A" w:rsidRDefault="002C6A3A" w:rsidP="002C6A3A">
      <w:pPr>
        <w:tabs>
          <w:tab w:val="left" w:pos="0"/>
        </w:tabs>
        <w:autoSpaceDE w:val="0"/>
        <w:autoSpaceDN w:val="0"/>
        <w:adjustRightInd w:val="0"/>
        <w:rPr>
          <w:rFonts w:ascii="Arial" w:hAnsi="Arial" w:cs="Arial"/>
          <w:color w:val="000000"/>
          <w:szCs w:val="24"/>
        </w:rPr>
      </w:pPr>
      <w:r w:rsidRPr="002C6A3A">
        <w:rPr>
          <w:rFonts w:ascii="Arial" w:hAnsi="Arial" w:cs="Arial"/>
          <w:color w:val="000000"/>
          <w:szCs w:val="24"/>
        </w:rPr>
        <w:t>In regard to the 24th VCM current forecast spend curve:</w:t>
      </w:r>
    </w:p>
    <w:p w14:paraId="33AE2E54" w14:textId="77777777" w:rsidR="002C6A3A" w:rsidRPr="002C6A3A" w:rsidRDefault="002C6A3A" w:rsidP="002C6A3A">
      <w:pPr>
        <w:pStyle w:val="ListParagraph"/>
        <w:numPr>
          <w:ilvl w:val="0"/>
          <w:numId w:val="29"/>
        </w:numPr>
        <w:tabs>
          <w:tab w:val="left" w:pos="0"/>
        </w:tabs>
        <w:autoSpaceDE w:val="0"/>
        <w:autoSpaceDN w:val="0"/>
        <w:adjustRightInd w:val="0"/>
        <w:rPr>
          <w:rFonts w:ascii="Arial" w:hAnsi="Arial" w:cs="Arial"/>
          <w:color w:val="000000"/>
          <w:sz w:val="24"/>
          <w:szCs w:val="28"/>
        </w:rPr>
      </w:pPr>
      <w:r w:rsidRPr="002C6A3A">
        <w:rPr>
          <w:rFonts w:ascii="Arial" w:hAnsi="Arial" w:cs="Arial"/>
          <w:color w:val="000000"/>
          <w:sz w:val="24"/>
          <w:szCs w:val="28"/>
        </w:rPr>
        <w:t>Please provide a narrative explanation describing the steps the Company performed to create the 24th VCM spending curve(s).  Also, explain the main drivers that led to the changes to the spending curve since the 23rd VCM.</w:t>
      </w:r>
    </w:p>
    <w:p w14:paraId="3C340D67" w14:textId="77777777" w:rsidR="002C6A3A" w:rsidRPr="002C6A3A" w:rsidRDefault="002C6A3A" w:rsidP="002C6A3A">
      <w:pPr>
        <w:tabs>
          <w:tab w:val="left" w:pos="0"/>
        </w:tabs>
        <w:autoSpaceDE w:val="0"/>
        <w:autoSpaceDN w:val="0"/>
        <w:adjustRightInd w:val="0"/>
        <w:rPr>
          <w:rFonts w:ascii="Arial" w:hAnsi="Arial" w:cs="Arial"/>
          <w:color w:val="000000"/>
          <w:sz w:val="28"/>
          <w:szCs w:val="28"/>
        </w:rPr>
      </w:pPr>
    </w:p>
    <w:p w14:paraId="33F30DCC" w14:textId="77777777" w:rsidR="002C6A3A" w:rsidRPr="002C6A3A" w:rsidRDefault="002C6A3A" w:rsidP="002C6A3A">
      <w:pPr>
        <w:pStyle w:val="ListParagraph"/>
        <w:numPr>
          <w:ilvl w:val="0"/>
          <w:numId w:val="29"/>
        </w:numPr>
        <w:tabs>
          <w:tab w:val="left" w:pos="0"/>
        </w:tabs>
        <w:autoSpaceDE w:val="0"/>
        <w:autoSpaceDN w:val="0"/>
        <w:adjustRightInd w:val="0"/>
        <w:rPr>
          <w:rFonts w:ascii="Arial" w:hAnsi="Arial" w:cs="Arial"/>
          <w:color w:val="000000"/>
          <w:sz w:val="24"/>
          <w:szCs w:val="28"/>
        </w:rPr>
      </w:pPr>
      <w:r w:rsidRPr="002C6A3A">
        <w:rPr>
          <w:rFonts w:ascii="Arial" w:hAnsi="Arial" w:cs="Arial"/>
          <w:color w:val="000000"/>
          <w:sz w:val="24"/>
          <w:szCs w:val="28"/>
        </w:rPr>
        <w:t>Please provide electronically all workpapers used to develop the spending curves with all formulas intact and identify all assumptions that were made in creating the 24th VCM spending curves. Please provide the monthly spend amounts, Parental Guarantee Credits, contingency amounts, company write-downs, and any other build-up of components used to derive the CWIP balance and associated spend curve.</w:t>
      </w:r>
    </w:p>
    <w:p w14:paraId="4974714F" w14:textId="77777777" w:rsidR="00AD3CF5" w:rsidRPr="00E30089" w:rsidRDefault="00AD3CF5" w:rsidP="00AD3CF5">
      <w:pPr>
        <w:tabs>
          <w:tab w:val="left" w:pos="0"/>
        </w:tabs>
        <w:autoSpaceDE w:val="0"/>
        <w:autoSpaceDN w:val="0"/>
        <w:adjustRightInd w:val="0"/>
        <w:rPr>
          <w:rFonts w:ascii="Arial" w:hAnsi="Arial" w:cs="Arial"/>
          <w:color w:val="000000"/>
          <w:szCs w:val="24"/>
          <w:u w:val="single"/>
        </w:rPr>
      </w:pPr>
    </w:p>
    <w:p w14:paraId="00DC0289" w14:textId="77777777" w:rsidR="00431988" w:rsidRPr="00E30089" w:rsidRDefault="00431988" w:rsidP="00176D14">
      <w:pPr>
        <w:tabs>
          <w:tab w:val="left" w:pos="0"/>
        </w:tabs>
        <w:autoSpaceDE w:val="0"/>
        <w:autoSpaceDN w:val="0"/>
        <w:adjustRightInd w:val="0"/>
        <w:rPr>
          <w:rFonts w:ascii="Arial" w:hAnsi="Arial" w:cs="Arial"/>
          <w:color w:val="000000"/>
          <w:szCs w:val="24"/>
          <w:u w:val="single"/>
        </w:rPr>
      </w:pPr>
      <w:r w:rsidRPr="00E30089">
        <w:rPr>
          <w:rFonts w:ascii="Arial" w:hAnsi="Arial" w:cs="Arial"/>
          <w:color w:val="000000"/>
          <w:szCs w:val="24"/>
          <w:u w:val="single"/>
        </w:rPr>
        <w:t>Response:</w:t>
      </w:r>
    </w:p>
    <w:p w14:paraId="1359F8D8" w14:textId="77777777" w:rsidR="00431988" w:rsidRDefault="00431988">
      <w:pPr>
        <w:rPr>
          <w:rFonts w:ascii="Arial" w:hAnsi="Arial" w:cs="Arial"/>
        </w:rPr>
      </w:pPr>
    </w:p>
    <w:p w14:paraId="1989B477" w14:textId="1FD2B860" w:rsidR="001E078F" w:rsidRPr="001E078F" w:rsidRDefault="001E078F" w:rsidP="001E078F">
      <w:pPr>
        <w:rPr>
          <w:rFonts w:ascii="Arial" w:hAnsi="Arial" w:cs="Arial"/>
        </w:rPr>
      </w:pPr>
      <w:r w:rsidRPr="001E078F">
        <w:rPr>
          <w:rFonts w:ascii="Arial" w:hAnsi="Arial" w:cs="Arial"/>
        </w:rPr>
        <w:t xml:space="preserve">Please see electronic Attachment STF-198-9-a for a table that details the steps the Company performed to create the 24th VCM Report cash basis spending curve, which reflects the remaining forecasted spend by unit and by month in GPC dollars. Please see the Company’s response to STF-198-1, particularly Trade Secret (“TS”) Attachment </w:t>
      </w:r>
      <w:r w:rsidR="00600C8C">
        <w:rPr>
          <w:rFonts w:ascii="Arial" w:hAnsi="Arial" w:cs="Arial"/>
        </w:rPr>
        <w:t>“</w:t>
      </w:r>
      <w:r w:rsidRPr="001E078F">
        <w:rPr>
          <w:rFonts w:ascii="Arial" w:hAnsi="Arial" w:cs="Arial"/>
        </w:rPr>
        <w:t>TS - Cash Spend Curve VCM 24,</w:t>
      </w:r>
      <w:r w:rsidR="00600C8C">
        <w:rPr>
          <w:rFonts w:ascii="Arial" w:hAnsi="Arial" w:cs="Arial"/>
        </w:rPr>
        <w:t>”</w:t>
      </w:r>
      <w:r w:rsidRPr="001E078F">
        <w:rPr>
          <w:rFonts w:ascii="Arial" w:hAnsi="Arial" w:cs="Arial"/>
        </w:rPr>
        <w:t xml:space="preserve"> electronic TS Attachment STF-198-3-a, and electronic TS Attachment STF-198-9-b for supporting workpapers.</w:t>
      </w:r>
    </w:p>
    <w:p w14:paraId="52DCF300" w14:textId="77777777" w:rsidR="001E078F" w:rsidRPr="001E078F" w:rsidRDefault="001E078F" w:rsidP="001E078F">
      <w:pPr>
        <w:rPr>
          <w:rFonts w:ascii="Arial" w:hAnsi="Arial" w:cs="Arial"/>
        </w:rPr>
      </w:pPr>
    </w:p>
    <w:p w14:paraId="01632291" w14:textId="77777777" w:rsidR="001E078F" w:rsidRPr="001E078F" w:rsidRDefault="001E078F" w:rsidP="001E078F">
      <w:pPr>
        <w:rPr>
          <w:rFonts w:ascii="Arial" w:hAnsi="Arial" w:cs="Arial"/>
        </w:rPr>
      </w:pPr>
      <w:r w:rsidRPr="001E078F">
        <w:rPr>
          <w:rFonts w:ascii="Arial" w:hAnsi="Arial" w:cs="Arial"/>
        </w:rPr>
        <w:t xml:space="preserve">The spend curve presents forecasted spend in the major spend categories, including the Parent Guarantee credits. </w:t>
      </w:r>
    </w:p>
    <w:p w14:paraId="5331C6CD" w14:textId="77777777" w:rsidR="001E078F" w:rsidRPr="001E078F" w:rsidRDefault="001E078F" w:rsidP="001E078F">
      <w:pPr>
        <w:rPr>
          <w:rFonts w:ascii="Arial" w:hAnsi="Arial" w:cs="Arial"/>
        </w:rPr>
      </w:pPr>
    </w:p>
    <w:p w14:paraId="19C41DBF" w14:textId="77777777" w:rsidR="001E078F" w:rsidRPr="001E078F" w:rsidRDefault="001E078F" w:rsidP="001E078F">
      <w:pPr>
        <w:rPr>
          <w:rFonts w:ascii="Arial" w:hAnsi="Arial" w:cs="Arial"/>
        </w:rPr>
      </w:pPr>
      <w:r w:rsidRPr="001E078F">
        <w:rPr>
          <w:rFonts w:ascii="Arial" w:hAnsi="Arial" w:cs="Arial"/>
        </w:rPr>
        <w:t>The $171M unallocated contingency absorbed by the Company is spread from July 2021 to December 2022 in the EPC category of the spending curve. This contingency was excluded from the 24th VCM Table 1.1. The $519M allocated contingency absorbed by the Company is spread thought the spend curve and is included in 24th VCM Table 1.1.</w:t>
      </w:r>
    </w:p>
    <w:p w14:paraId="13B5E202" w14:textId="77777777" w:rsidR="001E078F" w:rsidRPr="001E078F" w:rsidRDefault="001E078F" w:rsidP="001E078F">
      <w:pPr>
        <w:rPr>
          <w:rFonts w:ascii="Arial" w:hAnsi="Arial" w:cs="Arial"/>
        </w:rPr>
      </w:pPr>
    </w:p>
    <w:p w14:paraId="2534C0A9" w14:textId="43B50DBD" w:rsidR="00E87B96" w:rsidRDefault="001E078F" w:rsidP="001E078F">
      <w:pPr>
        <w:rPr>
          <w:rFonts w:ascii="Arial" w:hAnsi="Arial" w:cs="Arial"/>
        </w:rPr>
      </w:pPr>
      <w:r w:rsidRPr="001E078F">
        <w:rPr>
          <w:rFonts w:ascii="Arial" w:hAnsi="Arial" w:cs="Arial"/>
        </w:rPr>
        <w:t>The $694M base cost increase to be absorbed by the Company is represented by the monthly spend after $7.3B of cumulative spend is reached.</w:t>
      </w:r>
    </w:p>
    <w:p w14:paraId="38BDCC66" w14:textId="77777777" w:rsidR="001314CA" w:rsidRDefault="001314CA" w:rsidP="001E078F">
      <w:pPr>
        <w:rPr>
          <w:rFonts w:ascii="Arial" w:hAnsi="Arial" w:cs="Arial"/>
        </w:rPr>
      </w:pPr>
    </w:p>
    <w:p w14:paraId="26487040" w14:textId="77777777" w:rsidR="00536290" w:rsidRDefault="00536290">
      <w:pPr>
        <w:rPr>
          <w:rFonts w:ascii="Arial" w:hAnsi="Arial" w:cs="Arial"/>
        </w:rPr>
      </w:pPr>
    </w:p>
    <w:p w14:paraId="2B370FDE" w14:textId="5AD130C2"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7"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3"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11"/>
  </w:num>
  <w:num w:numId="11">
    <w:abstractNumId w:val="15"/>
  </w:num>
  <w:num w:numId="12">
    <w:abstractNumId w:val="13"/>
  </w:num>
  <w:num w:numId="13">
    <w:abstractNumId w:val="19"/>
  </w:num>
  <w:num w:numId="14">
    <w:abstractNumId w:val="6"/>
  </w:num>
  <w:num w:numId="15">
    <w:abstractNumId w:val="12"/>
  </w:num>
  <w:num w:numId="16">
    <w:abstractNumId w:val="18"/>
  </w:num>
  <w:num w:numId="17">
    <w:abstractNumId w:val="9"/>
  </w:num>
  <w:num w:numId="18">
    <w:abstractNumId w:val="5"/>
  </w:num>
  <w:num w:numId="19">
    <w:abstractNumId w:val="1"/>
  </w:num>
  <w:num w:numId="20">
    <w:abstractNumId w:val="8"/>
  </w:num>
  <w:num w:numId="21">
    <w:abstractNumId w:val="20"/>
  </w:num>
  <w:num w:numId="22">
    <w:abstractNumId w:val="17"/>
  </w:num>
  <w:num w:numId="23">
    <w:abstractNumId w:val="3"/>
  </w:num>
  <w:num w:numId="24">
    <w:abstractNumId w:val="14"/>
  </w:num>
  <w:num w:numId="25">
    <w:abstractNumId w:val="24"/>
  </w:num>
  <w:num w:numId="26">
    <w:abstractNumId w:val="4"/>
  </w:num>
  <w:num w:numId="27">
    <w:abstractNumId w:val="21"/>
  </w:num>
  <w:num w:numId="28">
    <w:abstractNumId w:val="7"/>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314CA"/>
    <w:rsid w:val="001465E2"/>
    <w:rsid w:val="001468DC"/>
    <w:rsid w:val="00157DC9"/>
    <w:rsid w:val="0016065E"/>
    <w:rsid w:val="00164901"/>
    <w:rsid w:val="0017226E"/>
    <w:rsid w:val="001761E4"/>
    <w:rsid w:val="00176D14"/>
    <w:rsid w:val="0018439C"/>
    <w:rsid w:val="001A1D1D"/>
    <w:rsid w:val="001E078F"/>
    <w:rsid w:val="001E5DA0"/>
    <w:rsid w:val="002303B9"/>
    <w:rsid w:val="00247C79"/>
    <w:rsid w:val="00270FA5"/>
    <w:rsid w:val="00274366"/>
    <w:rsid w:val="00275B6A"/>
    <w:rsid w:val="0027726E"/>
    <w:rsid w:val="00297B01"/>
    <w:rsid w:val="002A0E5A"/>
    <w:rsid w:val="002B40B1"/>
    <w:rsid w:val="002C6A3A"/>
    <w:rsid w:val="002C7DA5"/>
    <w:rsid w:val="002E1A6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36290"/>
    <w:rsid w:val="00536EC6"/>
    <w:rsid w:val="0054000B"/>
    <w:rsid w:val="0057479C"/>
    <w:rsid w:val="0057533E"/>
    <w:rsid w:val="00590FC8"/>
    <w:rsid w:val="005C003E"/>
    <w:rsid w:val="005C4EBA"/>
    <w:rsid w:val="005F22E0"/>
    <w:rsid w:val="005F7E58"/>
    <w:rsid w:val="00600C8C"/>
    <w:rsid w:val="006464D1"/>
    <w:rsid w:val="006507AC"/>
    <w:rsid w:val="00654FA0"/>
    <w:rsid w:val="00655F98"/>
    <w:rsid w:val="006710FB"/>
    <w:rsid w:val="00684CFD"/>
    <w:rsid w:val="006A0EC9"/>
    <w:rsid w:val="006C263A"/>
    <w:rsid w:val="006D711E"/>
    <w:rsid w:val="006E7936"/>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4E22"/>
    <w:rsid w:val="007D41C6"/>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2467A"/>
    <w:rsid w:val="00B41C43"/>
    <w:rsid w:val="00B46E45"/>
    <w:rsid w:val="00B82057"/>
    <w:rsid w:val="00B90593"/>
    <w:rsid w:val="00B908B0"/>
    <w:rsid w:val="00B90ACE"/>
    <w:rsid w:val="00BA6D6F"/>
    <w:rsid w:val="00BB0674"/>
    <w:rsid w:val="00BB2456"/>
    <w:rsid w:val="00BB7DBE"/>
    <w:rsid w:val="00BC6A09"/>
    <w:rsid w:val="00BD579D"/>
    <w:rsid w:val="00BD5E57"/>
    <w:rsid w:val="00BF2D59"/>
    <w:rsid w:val="00C10668"/>
    <w:rsid w:val="00C156A6"/>
    <w:rsid w:val="00C177A9"/>
    <w:rsid w:val="00C21B7E"/>
    <w:rsid w:val="00C367A2"/>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2224"/>
    <w:rsid w:val="00E3732F"/>
    <w:rsid w:val="00E43ADD"/>
    <w:rsid w:val="00E474B8"/>
    <w:rsid w:val="00E50776"/>
    <w:rsid w:val="00E50E59"/>
    <w:rsid w:val="00E52935"/>
    <w:rsid w:val="00E62D76"/>
    <w:rsid w:val="00E650F7"/>
    <w:rsid w:val="00E728C7"/>
    <w:rsid w:val="00E812FD"/>
    <w:rsid w:val="00E87B96"/>
    <w:rsid w:val="00EC659B"/>
    <w:rsid w:val="00F01154"/>
    <w:rsid w:val="00F10747"/>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C7A3CD84ADA41B7AEDDAF6E8A81F6" ma:contentTypeVersion="4" ma:contentTypeDescription="Create a new document." ma:contentTypeScope="" ma:versionID="a5a921ee93e0f59821c343f152194402">
  <xsd:schema xmlns:xsd="http://www.w3.org/2001/XMLSchema" xmlns:xs="http://www.w3.org/2001/XMLSchema" xmlns:p="http://schemas.microsoft.com/office/2006/metadata/properties" xmlns:ns2="08d9776d-9671-469e-8590-53841b015ffe" targetNamespace="http://schemas.microsoft.com/office/2006/metadata/properties" ma:root="true" ma:fieldsID="82c8a9c1a84112dac8f063fa6ddb14b8" ns2:_="">
    <xsd:import namespace="08d9776d-9671-469e-8590-53841b015f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9776d-9671-469e-8590-53841b015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890AB8-1DE8-4A7C-9F0C-0BB1975CB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9776d-9671-469e-8590-53841b015f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0DE51AB-33BF-447C-B604-6AF4580D45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2021-03-26T10:05:00Z</dcterms:created>
  <dcterms:modified xsi:type="dcterms:W3CDTF">2021-04-07T10:19:00Z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0x010100BCDC7A3CD84ADA41B7AEDDAF6E8A81F6</vt:lpwstr>
  </property>
</Properties>
</file>