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9FEB1" w14:textId="77777777" w:rsidR="0054723E" w:rsidRPr="005D6F7B" w:rsidRDefault="0054723E" w:rsidP="00431988">
      <w:pPr>
        <w:pStyle w:val="Title"/>
        <w:rPr>
          <w:rFonts w:cs="Arial"/>
          <w:caps/>
          <w:sz w:val="24"/>
          <w:szCs w:val="24"/>
        </w:rPr>
      </w:pPr>
      <w:r w:rsidRPr="005D6F7B">
        <w:rPr>
          <w:rFonts w:cs="Arial"/>
          <w:caps/>
          <w:sz w:val="24"/>
          <w:szCs w:val="24"/>
        </w:rPr>
        <w:t>Georgia Power Comp</w:t>
      </w:r>
      <w:r>
        <w:rPr>
          <w:rFonts w:cs="Arial"/>
          <w:caps/>
          <w:sz w:val="24"/>
          <w:szCs w:val="24"/>
        </w:rPr>
        <w:t>A</w:t>
      </w:r>
      <w:r w:rsidRPr="005D6F7B">
        <w:rPr>
          <w:rFonts w:cs="Arial"/>
          <w:caps/>
          <w:sz w:val="24"/>
          <w:szCs w:val="24"/>
        </w:rPr>
        <w:t>ny</w:t>
      </w:r>
    </w:p>
    <w:p w14:paraId="247C8A6B" w14:textId="77777777" w:rsidR="0054723E" w:rsidRPr="005D6F7B" w:rsidRDefault="0054723E" w:rsidP="00431988">
      <w:pPr>
        <w:jc w:val="center"/>
        <w:rPr>
          <w:rFonts w:ascii="Arial" w:hAnsi="Arial" w:cs="Arial"/>
          <w:b/>
          <w:szCs w:val="24"/>
        </w:rPr>
      </w:pPr>
      <w:r w:rsidRPr="005D6F7B">
        <w:rPr>
          <w:rFonts w:ascii="Arial" w:hAnsi="Arial" w:cs="Arial"/>
          <w:b/>
          <w:szCs w:val="24"/>
        </w:rPr>
        <w:t>Docket No. 29849</w:t>
      </w:r>
    </w:p>
    <w:p w14:paraId="58D6F499" w14:textId="2551745E" w:rsidR="0054723E" w:rsidRPr="005D6F7B" w:rsidRDefault="0054723E" w:rsidP="00807EC6">
      <w:pPr>
        <w:jc w:val="center"/>
        <w:rPr>
          <w:rFonts w:ascii="Arial" w:hAnsi="Arial" w:cs="Arial"/>
          <w:b/>
          <w:szCs w:val="24"/>
        </w:rPr>
      </w:pPr>
      <w:r w:rsidRPr="005D6F7B">
        <w:rPr>
          <w:rFonts w:ascii="Arial" w:hAnsi="Arial" w:cs="Arial"/>
          <w:b/>
          <w:szCs w:val="24"/>
        </w:rPr>
        <w:t>Staff Data Request No</w:t>
      </w:r>
      <w:r w:rsidR="008C2D00">
        <w:rPr>
          <w:rFonts w:ascii="Arial" w:hAnsi="Arial" w:cs="Arial"/>
          <w:b/>
          <w:szCs w:val="24"/>
        </w:rPr>
        <w:t>.</w:t>
      </w:r>
      <w:r w:rsidRPr="005D6F7B">
        <w:rPr>
          <w:rFonts w:ascii="Arial" w:hAnsi="Arial" w:cs="Arial"/>
          <w:b/>
          <w:szCs w:val="24"/>
        </w:rPr>
        <w:t xml:space="preserve"> STF-1</w:t>
      </w:r>
      <w:r w:rsidR="007C7261">
        <w:rPr>
          <w:rFonts w:ascii="Arial" w:hAnsi="Arial" w:cs="Arial"/>
          <w:b/>
          <w:szCs w:val="24"/>
        </w:rPr>
        <w:t>98</w:t>
      </w:r>
    </w:p>
    <w:p w14:paraId="49728798" w14:textId="77777777" w:rsidR="0054723E" w:rsidRPr="005D6F7B" w:rsidRDefault="0054723E" w:rsidP="00431988">
      <w:pPr>
        <w:autoSpaceDE w:val="0"/>
        <w:autoSpaceDN w:val="0"/>
        <w:adjustRightInd w:val="0"/>
        <w:ind w:left="2232" w:hanging="2232"/>
        <w:rPr>
          <w:rFonts w:ascii="Arial" w:hAnsi="Arial" w:cs="Arial"/>
          <w:b/>
          <w:bCs/>
          <w:szCs w:val="24"/>
        </w:rPr>
      </w:pPr>
    </w:p>
    <w:p w14:paraId="49C8AF48" w14:textId="3D968BBA" w:rsidR="0054723E" w:rsidRPr="005D6F7B" w:rsidRDefault="0054723E" w:rsidP="00164901">
      <w:pPr>
        <w:autoSpaceDE w:val="0"/>
        <w:autoSpaceDN w:val="0"/>
        <w:adjustRightInd w:val="0"/>
        <w:ind w:left="2232" w:hanging="2232"/>
        <w:rPr>
          <w:rFonts w:ascii="Arial" w:hAnsi="Arial" w:cs="Arial"/>
          <w:b/>
          <w:bCs/>
          <w:szCs w:val="24"/>
        </w:rPr>
      </w:pPr>
      <w:r w:rsidRPr="005D6F7B">
        <w:rPr>
          <w:rFonts w:ascii="Arial" w:hAnsi="Arial" w:cs="Arial"/>
          <w:b/>
          <w:bCs/>
          <w:szCs w:val="24"/>
        </w:rPr>
        <w:t>STF-1</w:t>
      </w:r>
      <w:r w:rsidR="007C7261">
        <w:rPr>
          <w:rFonts w:ascii="Arial" w:hAnsi="Arial" w:cs="Arial"/>
          <w:b/>
          <w:bCs/>
          <w:szCs w:val="24"/>
        </w:rPr>
        <w:t>98-</w:t>
      </w:r>
      <w:r w:rsidR="00B7523A">
        <w:rPr>
          <w:rFonts w:ascii="Arial" w:hAnsi="Arial" w:cs="Arial"/>
          <w:b/>
          <w:bCs/>
          <w:szCs w:val="24"/>
        </w:rPr>
        <w:t>3</w:t>
      </w:r>
      <w:r w:rsidR="00CC3924">
        <w:rPr>
          <w:rFonts w:ascii="Arial" w:hAnsi="Arial" w:cs="Arial"/>
          <w:b/>
          <w:bCs/>
          <w:szCs w:val="24"/>
        </w:rPr>
        <w:t>4</w:t>
      </w:r>
    </w:p>
    <w:p w14:paraId="32F92790" w14:textId="77777777" w:rsidR="0054723E" w:rsidRPr="005D6F7B" w:rsidRDefault="0054723E" w:rsidP="00431988">
      <w:pPr>
        <w:autoSpaceDE w:val="0"/>
        <w:autoSpaceDN w:val="0"/>
        <w:adjustRightInd w:val="0"/>
        <w:ind w:left="2232" w:hanging="2232"/>
        <w:rPr>
          <w:rFonts w:ascii="Arial" w:hAnsi="Arial" w:cs="Arial"/>
          <w:b/>
          <w:bCs/>
          <w:szCs w:val="24"/>
        </w:rPr>
      </w:pPr>
    </w:p>
    <w:p w14:paraId="1B6F80F4" w14:textId="77777777" w:rsidR="0054723E" w:rsidRDefault="0054723E" w:rsidP="00431988">
      <w:pPr>
        <w:autoSpaceDE w:val="0"/>
        <w:autoSpaceDN w:val="0"/>
        <w:adjustRightInd w:val="0"/>
        <w:ind w:left="2232" w:hanging="2232"/>
        <w:rPr>
          <w:rFonts w:ascii="Arial" w:hAnsi="Arial" w:cs="Arial"/>
          <w:szCs w:val="24"/>
          <w:u w:val="single"/>
        </w:rPr>
      </w:pPr>
      <w:r w:rsidRPr="005D6F7B">
        <w:rPr>
          <w:rFonts w:ascii="Arial" w:hAnsi="Arial" w:cs="Arial"/>
          <w:szCs w:val="24"/>
          <w:u w:val="single"/>
        </w:rPr>
        <w:t>Question:</w:t>
      </w:r>
    </w:p>
    <w:p w14:paraId="1FB2C89D" w14:textId="77777777" w:rsidR="0054723E" w:rsidRPr="005D6F7B" w:rsidRDefault="0054723E" w:rsidP="00431988">
      <w:pPr>
        <w:autoSpaceDE w:val="0"/>
        <w:autoSpaceDN w:val="0"/>
        <w:adjustRightInd w:val="0"/>
        <w:ind w:left="2232" w:hanging="2232"/>
        <w:rPr>
          <w:rFonts w:ascii="Arial" w:hAnsi="Arial" w:cs="Arial"/>
          <w:szCs w:val="24"/>
          <w:u w:val="single"/>
        </w:rPr>
      </w:pPr>
    </w:p>
    <w:p w14:paraId="191BDE17" w14:textId="77777777" w:rsidR="00CC3924" w:rsidRPr="00CC3924" w:rsidRDefault="00CC3924" w:rsidP="00CC3924">
      <w:pPr>
        <w:jc w:val="both"/>
        <w:rPr>
          <w:rFonts w:ascii="Arial" w:hAnsi="Arial" w:cs="Arial"/>
          <w:szCs w:val="24"/>
        </w:rPr>
      </w:pPr>
      <w:r w:rsidRPr="00CC3924">
        <w:rPr>
          <w:rFonts w:ascii="Arial" w:hAnsi="Arial" w:cs="Arial"/>
          <w:szCs w:val="24"/>
        </w:rPr>
        <w:t>Provide the most recent annual decommissioning expense estimates for each of the four Vogtle units in live Excel format with all formulas intact.  To the extent that the annual amounts are not the same throughout the lives of each unit, provide a detailed explanation as to why they are not and a description of the changes in assumptions or methodology relied on for each year in which a change is made and provide all support relied on for each such change.  For example, in response to STF 178-1(c), the Company stated: “In the calculation, the Company assumed a 20-year life extension awarded at 20 years into the commercial operating life of each unit.  In consideration of the absence of the potential 20-year license extension prior to the 20th year, the Company assumed a higher funding amount in the first 20 years compared to the last 40 years.”  If the Company made a similar assumption in the calculation of the annual decommissioning expense in this VCM, then provide a detailed explanation as to why the decommissioning expense should not be calculated using the same 60 year service lives otherwise assumed in the cost to complete studies and the rate impact studies.</w:t>
      </w:r>
    </w:p>
    <w:p w14:paraId="5EA0F754" w14:textId="77777777" w:rsidR="0054723E" w:rsidRPr="005D6F7B" w:rsidRDefault="0054723E" w:rsidP="00176D14">
      <w:pPr>
        <w:tabs>
          <w:tab w:val="left" w:pos="0"/>
        </w:tabs>
        <w:autoSpaceDE w:val="0"/>
        <w:autoSpaceDN w:val="0"/>
        <w:adjustRightInd w:val="0"/>
        <w:rPr>
          <w:rFonts w:ascii="Arial" w:hAnsi="Arial" w:cs="Arial"/>
          <w:szCs w:val="24"/>
          <w:u w:val="single"/>
        </w:rPr>
      </w:pPr>
    </w:p>
    <w:p w14:paraId="603D3B3D" w14:textId="77777777" w:rsidR="0054723E" w:rsidRPr="005D6F7B" w:rsidRDefault="0054723E" w:rsidP="00176D14">
      <w:pPr>
        <w:tabs>
          <w:tab w:val="left" w:pos="0"/>
        </w:tabs>
        <w:autoSpaceDE w:val="0"/>
        <w:autoSpaceDN w:val="0"/>
        <w:adjustRightInd w:val="0"/>
        <w:rPr>
          <w:rFonts w:ascii="Arial" w:hAnsi="Arial" w:cs="Arial"/>
          <w:szCs w:val="24"/>
          <w:u w:val="single"/>
        </w:rPr>
      </w:pPr>
      <w:r w:rsidRPr="005D6F7B">
        <w:rPr>
          <w:rFonts w:ascii="Arial" w:hAnsi="Arial" w:cs="Arial"/>
          <w:szCs w:val="24"/>
          <w:u w:val="single"/>
        </w:rPr>
        <w:t>Response:</w:t>
      </w:r>
    </w:p>
    <w:p w14:paraId="28167851" w14:textId="77777777" w:rsidR="0054723E" w:rsidRPr="005D6F7B" w:rsidRDefault="0054723E" w:rsidP="00176D14">
      <w:pPr>
        <w:tabs>
          <w:tab w:val="left" w:pos="0"/>
        </w:tabs>
        <w:autoSpaceDE w:val="0"/>
        <w:autoSpaceDN w:val="0"/>
        <w:adjustRightInd w:val="0"/>
        <w:rPr>
          <w:rFonts w:ascii="Arial" w:hAnsi="Arial" w:cs="Arial"/>
          <w:szCs w:val="24"/>
          <w:u w:val="single"/>
        </w:rPr>
      </w:pPr>
    </w:p>
    <w:p w14:paraId="47F5E699" w14:textId="1A597B41" w:rsidR="00CC3924" w:rsidRDefault="00CC3924" w:rsidP="00CC3924">
      <w:pPr>
        <w:autoSpaceDE w:val="0"/>
        <w:autoSpaceDN w:val="0"/>
        <w:adjustRightInd w:val="0"/>
        <w:rPr>
          <w:rFonts w:ascii="Arial" w:hAnsi="Arial" w:cs="Arial"/>
          <w:szCs w:val="24"/>
        </w:rPr>
      </w:pPr>
      <w:r>
        <w:rPr>
          <w:rFonts w:ascii="Arial" w:hAnsi="Arial" w:cs="Arial"/>
          <w:szCs w:val="24"/>
        </w:rPr>
        <w:t>Please see electronic Attachment STF-174-35 for the calculation of annual decommissioning estimates for Vogtle Units 1 and 2, which was filed in the Company’s 2019 base rate case filing and subsequently approved by the Commission. The annual decommissioning expenses are assumed to be the same throughout the lives of each unit until decommissioning.</w:t>
      </w:r>
    </w:p>
    <w:p w14:paraId="3F9C44A3" w14:textId="77777777" w:rsidR="00CC3924" w:rsidRDefault="00CC3924" w:rsidP="00CC3924">
      <w:pPr>
        <w:autoSpaceDE w:val="0"/>
        <w:autoSpaceDN w:val="0"/>
        <w:adjustRightInd w:val="0"/>
        <w:rPr>
          <w:rFonts w:ascii="Arial" w:hAnsi="Arial" w:cs="Arial"/>
          <w:szCs w:val="24"/>
        </w:rPr>
      </w:pPr>
    </w:p>
    <w:p w14:paraId="08078D97" w14:textId="78E12FC7" w:rsidR="00311988" w:rsidRDefault="00420371" w:rsidP="00CC3924">
      <w:pPr>
        <w:rPr>
          <w:rFonts w:ascii="Arial" w:hAnsi="Arial" w:cs="Arial"/>
          <w:szCs w:val="24"/>
        </w:rPr>
      </w:pPr>
      <w:r w:rsidRPr="00420371">
        <w:rPr>
          <w:rFonts w:ascii="Arial" w:hAnsi="Arial" w:cs="Arial"/>
        </w:rPr>
        <w:t xml:space="preserve">Please see “TS - 2020 Nuclear Decommissioning - Vogtle 3&amp;4 (NRC &amp; 40 </w:t>
      </w:r>
      <w:proofErr w:type="spellStart"/>
      <w:r w:rsidRPr="00420371">
        <w:rPr>
          <w:rFonts w:ascii="Arial" w:hAnsi="Arial" w:cs="Arial"/>
        </w:rPr>
        <w:t>Yr</w:t>
      </w:r>
      <w:proofErr w:type="spellEnd"/>
      <w:r w:rsidRPr="00420371">
        <w:rPr>
          <w:rFonts w:ascii="Arial" w:hAnsi="Arial" w:cs="Arial"/>
        </w:rPr>
        <w:t>)” from STF 198-1, “Expenses” tab, row 8</w:t>
      </w:r>
      <w:r w:rsidR="008C2D00">
        <w:rPr>
          <w:rFonts w:ascii="Arial" w:hAnsi="Arial" w:cs="Arial"/>
        </w:rPr>
        <w:t>,</w:t>
      </w:r>
      <w:r w:rsidRPr="00420371">
        <w:rPr>
          <w:rFonts w:ascii="Arial" w:hAnsi="Arial" w:cs="Arial"/>
        </w:rPr>
        <w:t xml:space="preserve"> for the annual decommissioning expense estimates for Vogtle 3 and 4 included in the 24th VCM. </w:t>
      </w:r>
      <w:r w:rsidRPr="00420371">
        <w:t> </w:t>
      </w:r>
      <w:r w:rsidR="00CC3924" w:rsidRPr="00420371">
        <w:rPr>
          <w:rFonts w:ascii="Arial" w:hAnsi="Arial" w:cs="Arial"/>
          <w:szCs w:val="24"/>
        </w:rPr>
        <w:t xml:space="preserve">Please see electronic </w:t>
      </w:r>
      <w:r w:rsidR="008C2D00">
        <w:rPr>
          <w:rFonts w:ascii="Arial" w:hAnsi="Arial" w:cs="Arial"/>
          <w:szCs w:val="24"/>
        </w:rPr>
        <w:t>Trade Secret (“</w:t>
      </w:r>
      <w:r w:rsidR="00CC3924" w:rsidRPr="00420371">
        <w:rPr>
          <w:rFonts w:ascii="Arial" w:hAnsi="Arial" w:cs="Arial"/>
          <w:szCs w:val="24"/>
        </w:rPr>
        <w:t>TS</w:t>
      </w:r>
      <w:r w:rsidR="008C2D00">
        <w:rPr>
          <w:rFonts w:ascii="Arial" w:hAnsi="Arial" w:cs="Arial"/>
          <w:szCs w:val="24"/>
        </w:rPr>
        <w:t>”)</w:t>
      </w:r>
      <w:r w:rsidR="00CC3924" w:rsidRPr="00420371">
        <w:rPr>
          <w:rFonts w:ascii="Arial" w:hAnsi="Arial" w:cs="Arial"/>
          <w:szCs w:val="24"/>
        </w:rPr>
        <w:t xml:space="preserve"> Attachment STF-1</w:t>
      </w:r>
      <w:r w:rsidR="00311988" w:rsidRPr="00420371">
        <w:rPr>
          <w:rFonts w:ascii="Arial" w:hAnsi="Arial" w:cs="Arial"/>
          <w:szCs w:val="24"/>
        </w:rPr>
        <w:t>9</w:t>
      </w:r>
      <w:r w:rsidR="00CC3924" w:rsidRPr="00420371">
        <w:rPr>
          <w:rFonts w:ascii="Arial" w:hAnsi="Arial" w:cs="Arial"/>
          <w:szCs w:val="24"/>
        </w:rPr>
        <w:t>8-</w:t>
      </w:r>
      <w:r w:rsidR="00311988" w:rsidRPr="00420371">
        <w:rPr>
          <w:rFonts w:ascii="Arial" w:hAnsi="Arial" w:cs="Arial"/>
          <w:szCs w:val="24"/>
        </w:rPr>
        <w:t>34</w:t>
      </w:r>
      <w:r w:rsidR="00CC3924" w:rsidRPr="00420371">
        <w:rPr>
          <w:rFonts w:ascii="Arial" w:hAnsi="Arial" w:cs="Arial"/>
          <w:szCs w:val="24"/>
        </w:rPr>
        <w:t xml:space="preserve"> for the supporting calculations,</w:t>
      </w:r>
      <w:r w:rsidR="00CC3924" w:rsidRPr="000C42D4">
        <w:rPr>
          <w:rFonts w:ascii="Arial" w:hAnsi="Arial" w:cs="Arial"/>
          <w:szCs w:val="24"/>
        </w:rPr>
        <w:t xml:space="preserve"> which </w:t>
      </w:r>
      <w:r w:rsidR="00CC3924" w:rsidRPr="000C42D4">
        <w:rPr>
          <w:rFonts w:ascii="Arial" w:hAnsi="Arial" w:cs="Arial"/>
          <w:noProof/>
          <w:szCs w:val="24"/>
        </w:rPr>
        <w:t xml:space="preserve">reflect the annual accrual based on the study of estimated decommissioning costs </w:t>
      </w:r>
      <w:r w:rsidR="00311988">
        <w:rPr>
          <w:rFonts w:ascii="Arial" w:hAnsi="Arial" w:cs="Arial"/>
          <w:noProof/>
          <w:szCs w:val="24"/>
        </w:rPr>
        <w:t xml:space="preserve">based on a 60-year operating life, as </w:t>
      </w:r>
      <w:r w:rsidR="00311988">
        <w:rPr>
          <w:rFonts w:ascii="Arial" w:hAnsi="Arial" w:cs="Arial"/>
        </w:rPr>
        <w:t xml:space="preserve">previously filed in electronic TS Attachment STF-186-5, but adjusted to an operating life of 40 years </w:t>
      </w:r>
      <w:r w:rsidR="0085306D">
        <w:rPr>
          <w:rFonts w:ascii="Arial" w:hAnsi="Arial" w:cs="Arial"/>
        </w:rPr>
        <w:t xml:space="preserve">consistent with </w:t>
      </w:r>
      <w:r w:rsidR="00311988">
        <w:rPr>
          <w:rFonts w:ascii="Arial" w:hAnsi="Arial" w:cs="Arial"/>
        </w:rPr>
        <w:t xml:space="preserve">the current </w:t>
      </w:r>
      <w:r w:rsidR="008B0F28">
        <w:rPr>
          <w:rFonts w:ascii="Arial" w:hAnsi="Arial" w:cs="Arial"/>
        </w:rPr>
        <w:t xml:space="preserve">approved </w:t>
      </w:r>
      <w:r w:rsidR="00311988">
        <w:rPr>
          <w:rFonts w:ascii="Arial" w:hAnsi="Arial" w:cs="Arial"/>
        </w:rPr>
        <w:t>operating license</w:t>
      </w:r>
      <w:r w:rsidR="0085306D">
        <w:rPr>
          <w:rFonts w:ascii="Arial" w:hAnsi="Arial" w:cs="Arial"/>
        </w:rPr>
        <w:t>s for</w:t>
      </w:r>
      <w:r w:rsidR="00311988">
        <w:rPr>
          <w:rFonts w:ascii="Arial" w:hAnsi="Arial" w:cs="Arial"/>
        </w:rPr>
        <w:t xml:space="preserve"> </w:t>
      </w:r>
      <w:r w:rsidR="00AC35B6">
        <w:rPr>
          <w:rFonts w:ascii="Arial" w:hAnsi="Arial" w:cs="Arial"/>
        </w:rPr>
        <w:t xml:space="preserve">Vogtle 3 and 4 </w:t>
      </w:r>
      <w:r w:rsidR="00311988">
        <w:rPr>
          <w:rFonts w:ascii="Arial" w:hAnsi="Arial" w:cs="Arial"/>
        </w:rPr>
        <w:t>units</w:t>
      </w:r>
      <w:r w:rsidR="00CC3924">
        <w:rPr>
          <w:rFonts w:ascii="Arial" w:hAnsi="Arial" w:cs="Arial"/>
          <w:noProof/>
          <w:szCs w:val="24"/>
        </w:rPr>
        <w:t>.</w:t>
      </w:r>
      <w:r w:rsidR="00CC3924" w:rsidRPr="000C42D4">
        <w:rPr>
          <w:rFonts w:ascii="Arial" w:hAnsi="Arial" w:cs="Arial"/>
          <w:noProof/>
          <w:szCs w:val="24"/>
        </w:rPr>
        <w:t xml:space="preserve"> The </w:t>
      </w:r>
      <w:r w:rsidR="00311988">
        <w:rPr>
          <w:rFonts w:ascii="Arial" w:hAnsi="Arial" w:cs="Arial"/>
          <w:noProof/>
          <w:szCs w:val="24"/>
        </w:rPr>
        <w:t xml:space="preserve">estimated </w:t>
      </w:r>
      <w:r w:rsidR="00CC3924" w:rsidRPr="000C42D4">
        <w:rPr>
          <w:rFonts w:ascii="Arial" w:hAnsi="Arial" w:cs="Arial"/>
          <w:noProof/>
          <w:szCs w:val="24"/>
        </w:rPr>
        <w:t xml:space="preserve">nuclear decommissioning </w:t>
      </w:r>
      <w:r w:rsidR="00311988">
        <w:rPr>
          <w:rFonts w:ascii="Arial" w:hAnsi="Arial" w:cs="Arial"/>
          <w:noProof/>
          <w:szCs w:val="24"/>
        </w:rPr>
        <w:t>accrual</w:t>
      </w:r>
      <w:r w:rsidR="00CC3924" w:rsidRPr="000C42D4">
        <w:rPr>
          <w:rFonts w:ascii="Arial" w:hAnsi="Arial" w:cs="Arial"/>
          <w:noProof/>
          <w:szCs w:val="24"/>
        </w:rPr>
        <w:t xml:space="preserve"> </w:t>
      </w:r>
      <w:r w:rsidR="00311988">
        <w:rPr>
          <w:rFonts w:ascii="Arial" w:hAnsi="Arial" w:cs="Arial"/>
          <w:noProof/>
          <w:szCs w:val="24"/>
        </w:rPr>
        <w:t>includes</w:t>
      </w:r>
      <w:r w:rsidR="00CC3924" w:rsidRPr="000C42D4">
        <w:rPr>
          <w:rFonts w:ascii="Arial" w:hAnsi="Arial" w:cs="Arial"/>
          <w:noProof/>
          <w:szCs w:val="24"/>
        </w:rPr>
        <w:t xml:space="preserve"> the </w:t>
      </w:r>
      <w:r w:rsidR="00311988">
        <w:rPr>
          <w:rFonts w:ascii="Arial" w:hAnsi="Arial" w:cs="Arial"/>
          <w:noProof/>
          <w:szCs w:val="24"/>
        </w:rPr>
        <w:t>l</w:t>
      </w:r>
      <w:r w:rsidR="00CC3924" w:rsidRPr="000C42D4">
        <w:rPr>
          <w:rFonts w:ascii="Arial" w:hAnsi="Arial" w:cs="Arial"/>
          <w:noProof/>
          <w:szCs w:val="24"/>
        </w:rPr>
        <w:t xml:space="preserve">icense </w:t>
      </w:r>
      <w:r w:rsidR="00311988">
        <w:rPr>
          <w:rFonts w:ascii="Arial" w:hAnsi="Arial" w:cs="Arial"/>
          <w:noProof/>
          <w:szCs w:val="24"/>
        </w:rPr>
        <w:t>t</w:t>
      </w:r>
      <w:r w:rsidR="00CC3924" w:rsidRPr="000C42D4">
        <w:rPr>
          <w:rFonts w:ascii="Arial" w:hAnsi="Arial" w:cs="Arial"/>
          <w:noProof/>
          <w:szCs w:val="24"/>
        </w:rPr>
        <w:t xml:space="preserve">ermination </w:t>
      </w:r>
      <w:r w:rsidR="00311988">
        <w:rPr>
          <w:rFonts w:ascii="Arial" w:hAnsi="Arial" w:cs="Arial"/>
          <w:noProof/>
          <w:szCs w:val="24"/>
        </w:rPr>
        <w:t xml:space="preserve">and spent nuclear fuel </w:t>
      </w:r>
      <w:r w:rsidR="00CC3924" w:rsidRPr="000C42D4">
        <w:rPr>
          <w:rFonts w:ascii="Arial" w:hAnsi="Arial" w:cs="Arial"/>
          <w:noProof/>
          <w:szCs w:val="24"/>
        </w:rPr>
        <w:t>component</w:t>
      </w:r>
      <w:r w:rsidR="00311988">
        <w:rPr>
          <w:rFonts w:ascii="Arial" w:hAnsi="Arial" w:cs="Arial"/>
          <w:noProof/>
          <w:szCs w:val="24"/>
        </w:rPr>
        <w:t>s</w:t>
      </w:r>
      <w:r w:rsidR="00CC3924" w:rsidRPr="000C42D4">
        <w:rPr>
          <w:rFonts w:ascii="Arial" w:hAnsi="Arial" w:cs="Arial"/>
          <w:noProof/>
          <w:szCs w:val="24"/>
        </w:rPr>
        <w:t xml:space="preserve"> of nuclear decommissioning and do not include site restoration costs. </w:t>
      </w:r>
    </w:p>
    <w:p w14:paraId="4B2593C3" w14:textId="77777777" w:rsidR="00311988" w:rsidRPr="00A42BAA" w:rsidRDefault="00311988" w:rsidP="00CC3924">
      <w:pPr>
        <w:rPr>
          <w:rFonts w:ascii="Arial" w:hAnsi="Arial" w:cs="Arial"/>
          <w:szCs w:val="24"/>
        </w:rPr>
      </w:pPr>
    </w:p>
    <w:p w14:paraId="5BEDE6B9" w14:textId="0D9D536C" w:rsidR="0054723E" w:rsidRPr="005D6F7B" w:rsidRDefault="00CC3924" w:rsidP="001843F9">
      <w:pPr>
        <w:rPr>
          <w:rFonts w:ascii="Arial" w:hAnsi="Arial" w:cs="Arial"/>
          <w:szCs w:val="24"/>
        </w:rPr>
      </w:pPr>
      <w:r w:rsidRPr="00A42BAA">
        <w:rPr>
          <w:rFonts w:ascii="Arial" w:hAnsi="Arial" w:cs="Arial"/>
          <w:szCs w:val="24"/>
        </w:rPr>
        <w:t>Contact: Jeremiah Haswell</w:t>
      </w:r>
    </w:p>
    <w:sectPr w:rsidR="0054723E" w:rsidRPr="005D6F7B" w:rsidSect="0054723E">
      <w:headerReference w:type="default" r:id="rId8"/>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3501D" w14:textId="77777777" w:rsidR="0054723E" w:rsidRDefault="0054723E" w:rsidP="00781B5E">
      <w:r>
        <w:separator/>
      </w:r>
    </w:p>
  </w:endnote>
  <w:endnote w:type="continuationSeparator" w:id="0">
    <w:p w14:paraId="7DC38CB1" w14:textId="77777777" w:rsidR="0054723E" w:rsidRDefault="0054723E"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B93D38" w14:textId="77777777" w:rsidR="0054723E" w:rsidRDefault="0054723E" w:rsidP="00781B5E">
      <w:r>
        <w:separator/>
      </w:r>
    </w:p>
  </w:footnote>
  <w:footnote w:type="continuationSeparator" w:id="0">
    <w:p w14:paraId="3FF4E22F" w14:textId="77777777" w:rsidR="0054723E" w:rsidRDefault="0054723E"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E73EF" w14:textId="271439BA" w:rsidR="00592D8B" w:rsidRPr="0077677F" w:rsidRDefault="007C7261" w:rsidP="003F33AC">
    <w:pPr>
      <w:pStyle w:val="Footer"/>
      <w:tabs>
        <w:tab w:val="clear" w:pos="4680"/>
        <w:tab w:val="center" w:pos="4320"/>
      </w:tabs>
      <w:ind w:left="-720"/>
      <w:rPr>
        <w:rFonts w:ascii="Arial" w:hAnsi="Arial" w:cs="Arial"/>
      </w:rPr>
    </w:pPr>
    <w:r>
      <w:rPr>
        <w:rFonts w:ascii="Arial" w:hAnsi="Arial" w:cs="Arial"/>
      </w:rPr>
      <w:t>April 9</w:t>
    </w:r>
    <w:r w:rsidR="00592D8B">
      <w:rPr>
        <w:rFonts w:ascii="Arial" w:hAnsi="Arial" w:cs="Arial"/>
      </w:rPr>
      <w:t>, 202</w:t>
    </w:r>
    <w:r>
      <w:rPr>
        <w:rFonts w:ascii="Arial" w:hAnsi="Arial" w:cs="Arial"/>
      </w:rPr>
      <w:t>1</w:t>
    </w:r>
    <w:r w:rsidR="00592D8B">
      <w:rPr>
        <w:rFonts w:ascii="Arial" w:hAnsi="Arial" w:cs="Arial"/>
        <w:b/>
      </w:rPr>
      <w:tab/>
    </w:r>
    <w:r w:rsidR="00592D8B">
      <w:rPr>
        <w:rFonts w:ascii="Arial" w:hAnsi="Arial" w:cs="Arial"/>
        <w:b/>
      </w:rPr>
      <w:tab/>
    </w:r>
    <w:r w:rsidR="00592D8B" w:rsidRPr="0077677F">
      <w:rPr>
        <w:rFonts w:ascii="Arial" w:hAnsi="Arial" w:cs="Arial"/>
      </w:rPr>
      <w:t xml:space="preserve">Page </w:t>
    </w:r>
    <w:r w:rsidR="00592D8B" w:rsidRPr="0077677F">
      <w:rPr>
        <w:rFonts w:ascii="Arial" w:hAnsi="Arial" w:cs="Arial"/>
      </w:rPr>
      <w:fldChar w:fldCharType="begin"/>
    </w:r>
    <w:r w:rsidR="00592D8B" w:rsidRPr="0077677F">
      <w:rPr>
        <w:rFonts w:ascii="Arial" w:hAnsi="Arial" w:cs="Arial"/>
      </w:rPr>
      <w:instrText xml:space="preserve"> PAGE </w:instrText>
    </w:r>
    <w:r w:rsidR="00592D8B" w:rsidRPr="0077677F">
      <w:rPr>
        <w:rFonts w:ascii="Arial" w:hAnsi="Arial" w:cs="Arial"/>
      </w:rPr>
      <w:fldChar w:fldCharType="separate"/>
    </w:r>
    <w:r w:rsidR="00592D8B">
      <w:rPr>
        <w:rFonts w:ascii="Arial" w:hAnsi="Arial" w:cs="Arial"/>
        <w:noProof/>
      </w:rPr>
      <w:t>1</w:t>
    </w:r>
    <w:r w:rsidR="00592D8B" w:rsidRPr="0077677F">
      <w:rPr>
        <w:rFonts w:ascii="Arial" w:hAnsi="Arial" w:cs="Arial"/>
      </w:rPr>
      <w:fldChar w:fldCharType="end"/>
    </w:r>
    <w:r w:rsidR="00592D8B" w:rsidRPr="0077677F">
      <w:rPr>
        <w:rFonts w:ascii="Arial" w:hAnsi="Arial" w:cs="Arial"/>
      </w:rPr>
      <w:t xml:space="preserve"> of </w:t>
    </w:r>
    <w:r w:rsidR="00592D8B" w:rsidRPr="0077677F">
      <w:rPr>
        <w:rFonts w:ascii="Arial" w:hAnsi="Arial" w:cs="Arial"/>
      </w:rPr>
      <w:fldChar w:fldCharType="begin"/>
    </w:r>
    <w:r w:rsidR="00592D8B" w:rsidRPr="0077677F">
      <w:rPr>
        <w:rFonts w:ascii="Arial" w:hAnsi="Arial" w:cs="Arial"/>
      </w:rPr>
      <w:instrText xml:space="preserve"> NUMPAGES </w:instrText>
    </w:r>
    <w:r w:rsidR="00592D8B" w:rsidRPr="0077677F">
      <w:rPr>
        <w:rFonts w:ascii="Arial" w:hAnsi="Arial" w:cs="Arial"/>
      </w:rPr>
      <w:fldChar w:fldCharType="separate"/>
    </w:r>
    <w:r w:rsidR="00592D8B">
      <w:rPr>
        <w:rFonts w:ascii="Arial" w:hAnsi="Arial" w:cs="Arial"/>
        <w:noProof/>
      </w:rPr>
      <w:t>1</w:t>
    </w:r>
    <w:r w:rsidR="00592D8B" w:rsidRPr="0077677F">
      <w:rPr>
        <w:rFonts w:ascii="Arial" w:hAnsi="Arial" w:cs="Arial"/>
      </w:rPr>
      <w:fldChar w:fldCharType="end"/>
    </w:r>
  </w:p>
  <w:p w14:paraId="0A928A51" w14:textId="77777777" w:rsidR="00592D8B" w:rsidRPr="0077677F" w:rsidRDefault="00592D8B" w:rsidP="00E474B8">
    <w:pPr>
      <w:pStyle w:val="Header"/>
      <w:rPr>
        <w:rFonts w:ascii="Arial" w:hAnsi="Arial" w:cs="Arial"/>
      </w:rPr>
    </w:pPr>
  </w:p>
  <w:p w14:paraId="32D10DE2" w14:textId="77777777" w:rsidR="00592D8B" w:rsidRDefault="00592D8B"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1">
    <w:nsid w:val="070D344B"/>
    <w:multiLevelType w:val="hybridMultilevel"/>
    <w:tmpl w:val="6D1C3BE4"/>
    <w:lvl w:ilvl="0" w:tplc="6E98487C">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1">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1">
    <w:nsid w:val="0DC57F8F"/>
    <w:multiLevelType w:val="hybridMultilevel"/>
    <w:tmpl w:val="1A126B7C"/>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198D68EB"/>
    <w:multiLevelType w:val="hybridMultilevel"/>
    <w:tmpl w:val="9064B0BE"/>
    <w:lvl w:ilvl="0" w:tplc="8176E992">
      <w:start w:val="2"/>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BE607C"/>
    <w:multiLevelType w:val="hybridMultilevel"/>
    <w:tmpl w:val="867A7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1">
    <w:nsid w:val="31C46A8D"/>
    <w:multiLevelType w:val="hybridMultilevel"/>
    <w:tmpl w:val="6D1C3BE4"/>
    <w:lvl w:ilvl="0" w:tplc="6E98487C">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1">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0" w15:restartNumberingAfterBreak="1">
    <w:nsid w:val="3DC20F1E"/>
    <w:multiLevelType w:val="hybridMultilevel"/>
    <w:tmpl w:val="2CAE5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421B480F"/>
    <w:multiLevelType w:val="hybridMultilevel"/>
    <w:tmpl w:val="7AF46D38"/>
    <w:lvl w:ilvl="0" w:tplc="06EE36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6FC7E22"/>
    <w:multiLevelType w:val="hybridMultilevel"/>
    <w:tmpl w:val="5844C1E0"/>
    <w:lvl w:ilvl="0" w:tplc="FD1A58DC">
      <w:start w:val="1"/>
      <w:numFmt w:val="decimal"/>
      <w:lvlText w:val="STF-198-%1"/>
      <w:lvlJc w:val="left"/>
      <w:pPr>
        <w:ind w:left="1080" w:hanging="360"/>
      </w:pPr>
      <w:rPr>
        <w:rFonts w:ascii="Times New Roman" w:hAnsi="Times New Roman" w:cs="Times New Roman" w:hint="default"/>
        <w:b/>
        <w:caps w:val="0"/>
        <w:smallCaps w:val="0"/>
        <w:strike w:val="0"/>
        <w:dstrike w:val="0"/>
        <w:outline w:val="0"/>
        <w:emboss w:val="0"/>
        <w:imprint w:val="0"/>
        <w:color w:val="auto"/>
        <w:spacing w:val="0"/>
        <w:w w:val="100"/>
        <w:kern w:val="0"/>
        <w:position w:val="4"/>
        <w:sz w:val="24"/>
        <w:szCs w:val="24"/>
        <w:vertAlign w:val="base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81C62BD"/>
    <w:multiLevelType w:val="hybridMultilevel"/>
    <w:tmpl w:val="3FFE6F64"/>
    <w:lvl w:ilvl="0" w:tplc="1848EDA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5BA762E9"/>
    <w:multiLevelType w:val="hybridMultilevel"/>
    <w:tmpl w:val="E0CC7E02"/>
    <w:lvl w:ilvl="0" w:tplc="E82EB49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1">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16" w15:restartNumberingAfterBreak="0">
    <w:nsid w:val="67B545A6"/>
    <w:multiLevelType w:val="hybridMultilevel"/>
    <w:tmpl w:val="1B2E3E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1">
    <w:nsid w:val="6E5D2B80"/>
    <w:multiLevelType w:val="hybridMultilevel"/>
    <w:tmpl w:val="6D1C3BE4"/>
    <w:lvl w:ilvl="0" w:tplc="6E98487C">
      <w:start w:val="1"/>
      <w:numFmt w:val="lowerRoman"/>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1">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
  </w:num>
  <w:num w:numId="10">
    <w:abstractNumId w:val="7"/>
  </w:num>
  <w:num w:numId="11">
    <w:abstractNumId w:val="10"/>
  </w:num>
  <w:num w:numId="12">
    <w:abstractNumId w:val="14"/>
  </w:num>
  <w:num w:numId="13">
    <w:abstractNumId w:val="8"/>
  </w:num>
  <w:num w:numId="14">
    <w:abstractNumId w:val="11"/>
  </w:num>
  <w:num w:numId="15">
    <w:abstractNumId w:val="1"/>
  </w:num>
  <w:num w:numId="16">
    <w:abstractNumId w:val="18"/>
  </w:num>
  <w:num w:numId="17">
    <w:abstractNumId w:val="4"/>
  </w:num>
  <w:num w:numId="18">
    <w:abstractNumId w:val="3"/>
  </w:num>
  <w:num w:numId="19">
    <w:abstractNumId w:val="6"/>
  </w:num>
  <w:num w:numId="20">
    <w:abstractNumId w:val="13"/>
  </w:num>
  <w:num w:numId="21">
    <w:abstractNumId w:val="16"/>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0"/>
    <w:docVar w:name="MPDocID" w:val="114968517"/>
    <w:docVar w:name="MPDocIDTemplate" w:val="%l| %n|v%v| %c|.%m"/>
    <w:docVar w:name="MPDocIDTemplateDefault" w:val="%l| %n|v%v| %c|.%m"/>
    <w:docVar w:name="NewDocStampType" w:val="7"/>
    <w:docVar w:name="zzmpLegacyTrailerRemovedNew" w:val="True"/>
    <w:docVar w:name="zzmpTrailerDateFormat" w:val="0"/>
  </w:docVars>
  <w:rsids>
    <w:rsidRoot w:val="00781B5E"/>
    <w:rsid w:val="000043A7"/>
    <w:rsid w:val="000214BA"/>
    <w:rsid w:val="000403C8"/>
    <w:rsid w:val="000445B0"/>
    <w:rsid w:val="000449C3"/>
    <w:rsid w:val="00060549"/>
    <w:rsid w:val="000667D2"/>
    <w:rsid w:val="0006704B"/>
    <w:rsid w:val="00081574"/>
    <w:rsid w:val="000A0CCC"/>
    <w:rsid w:val="000D7FFD"/>
    <w:rsid w:val="000E039A"/>
    <w:rsid w:val="000E68DF"/>
    <w:rsid w:val="000E6ABA"/>
    <w:rsid w:val="000F71A4"/>
    <w:rsid w:val="001008FE"/>
    <w:rsid w:val="00124D83"/>
    <w:rsid w:val="001465E2"/>
    <w:rsid w:val="001468DC"/>
    <w:rsid w:val="00152FC8"/>
    <w:rsid w:val="00157B2F"/>
    <w:rsid w:val="00157DC9"/>
    <w:rsid w:val="0016065E"/>
    <w:rsid w:val="00164901"/>
    <w:rsid w:val="00176D14"/>
    <w:rsid w:val="0018439C"/>
    <w:rsid w:val="001843F9"/>
    <w:rsid w:val="001A1D1D"/>
    <w:rsid w:val="00204F86"/>
    <w:rsid w:val="0022303D"/>
    <w:rsid w:val="002303B9"/>
    <w:rsid w:val="0024579C"/>
    <w:rsid w:val="00247C79"/>
    <w:rsid w:val="0025122C"/>
    <w:rsid w:val="00253E9B"/>
    <w:rsid w:val="002723B4"/>
    <w:rsid w:val="00272CA5"/>
    <w:rsid w:val="00274366"/>
    <w:rsid w:val="00274AE2"/>
    <w:rsid w:val="00275B6A"/>
    <w:rsid w:val="00297B01"/>
    <w:rsid w:val="002B40B1"/>
    <w:rsid w:val="002C7DA5"/>
    <w:rsid w:val="002D4EC3"/>
    <w:rsid w:val="002E1A6A"/>
    <w:rsid w:val="002F2512"/>
    <w:rsid w:val="002F6728"/>
    <w:rsid w:val="00302EEF"/>
    <w:rsid w:val="00303450"/>
    <w:rsid w:val="00311988"/>
    <w:rsid w:val="00321E8A"/>
    <w:rsid w:val="00323CD1"/>
    <w:rsid w:val="003250DD"/>
    <w:rsid w:val="00356247"/>
    <w:rsid w:val="0038296D"/>
    <w:rsid w:val="00384D74"/>
    <w:rsid w:val="0039342D"/>
    <w:rsid w:val="003942CA"/>
    <w:rsid w:val="003962E1"/>
    <w:rsid w:val="003B5DBA"/>
    <w:rsid w:val="003B77C9"/>
    <w:rsid w:val="003B7A23"/>
    <w:rsid w:val="003D7EB2"/>
    <w:rsid w:val="003F33AC"/>
    <w:rsid w:val="00401F1A"/>
    <w:rsid w:val="00405F6C"/>
    <w:rsid w:val="00411382"/>
    <w:rsid w:val="00420371"/>
    <w:rsid w:val="004244B1"/>
    <w:rsid w:val="00431988"/>
    <w:rsid w:val="00440182"/>
    <w:rsid w:val="0044730E"/>
    <w:rsid w:val="00460392"/>
    <w:rsid w:val="0046041A"/>
    <w:rsid w:val="00461570"/>
    <w:rsid w:val="00464163"/>
    <w:rsid w:val="0047011D"/>
    <w:rsid w:val="00471255"/>
    <w:rsid w:val="0048179B"/>
    <w:rsid w:val="004A6CD4"/>
    <w:rsid w:val="004C6A8A"/>
    <w:rsid w:val="004D0481"/>
    <w:rsid w:val="004E6E7C"/>
    <w:rsid w:val="00514FAE"/>
    <w:rsid w:val="00515C39"/>
    <w:rsid w:val="00522E43"/>
    <w:rsid w:val="00536EC6"/>
    <w:rsid w:val="0054000B"/>
    <w:rsid w:val="0054723E"/>
    <w:rsid w:val="00557CDC"/>
    <w:rsid w:val="0057533E"/>
    <w:rsid w:val="00590FC8"/>
    <w:rsid w:val="00592D8B"/>
    <w:rsid w:val="00594765"/>
    <w:rsid w:val="005B28CB"/>
    <w:rsid w:val="005C003E"/>
    <w:rsid w:val="005C4EBA"/>
    <w:rsid w:val="005D6F7B"/>
    <w:rsid w:val="005F22E0"/>
    <w:rsid w:val="005F7E58"/>
    <w:rsid w:val="0060349F"/>
    <w:rsid w:val="00633AB6"/>
    <w:rsid w:val="006464D1"/>
    <w:rsid w:val="006507AC"/>
    <w:rsid w:val="00651D61"/>
    <w:rsid w:val="00655F98"/>
    <w:rsid w:val="00684CFD"/>
    <w:rsid w:val="006A0EC9"/>
    <w:rsid w:val="006C263A"/>
    <w:rsid w:val="006D711E"/>
    <w:rsid w:val="006F67F3"/>
    <w:rsid w:val="0070496B"/>
    <w:rsid w:val="007109AE"/>
    <w:rsid w:val="00713AAC"/>
    <w:rsid w:val="00714F50"/>
    <w:rsid w:val="00724496"/>
    <w:rsid w:val="0073556D"/>
    <w:rsid w:val="007554FA"/>
    <w:rsid w:val="00770E02"/>
    <w:rsid w:val="007802B7"/>
    <w:rsid w:val="00780490"/>
    <w:rsid w:val="00781B5E"/>
    <w:rsid w:val="00784372"/>
    <w:rsid w:val="007860CA"/>
    <w:rsid w:val="007A6670"/>
    <w:rsid w:val="007B2D3D"/>
    <w:rsid w:val="007C4E22"/>
    <w:rsid w:val="007C7261"/>
    <w:rsid w:val="007F4F34"/>
    <w:rsid w:val="00807EC6"/>
    <w:rsid w:val="008269DC"/>
    <w:rsid w:val="008272A5"/>
    <w:rsid w:val="00840589"/>
    <w:rsid w:val="00842F00"/>
    <w:rsid w:val="008431C4"/>
    <w:rsid w:val="0085306D"/>
    <w:rsid w:val="00856A5B"/>
    <w:rsid w:val="00862B6D"/>
    <w:rsid w:val="0088112D"/>
    <w:rsid w:val="008822C9"/>
    <w:rsid w:val="00885D2E"/>
    <w:rsid w:val="008A0151"/>
    <w:rsid w:val="008A1FFF"/>
    <w:rsid w:val="008B0F28"/>
    <w:rsid w:val="008C2D00"/>
    <w:rsid w:val="008C60C2"/>
    <w:rsid w:val="008D0A5C"/>
    <w:rsid w:val="008D4366"/>
    <w:rsid w:val="008F6C54"/>
    <w:rsid w:val="008F7CAF"/>
    <w:rsid w:val="00920D14"/>
    <w:rsid w:val="00923700"/>
    <w:rsid w:val="00925D4B"/>
    <w:rsid w:val="0094704C"/>
    <w:rsid w:val="009500E3"/>
    <w:rsid w:val="00954728"/>
    <w:rsid w:val="00970288"/>
    <w:rsid w:val="00973D0D"/>
    <w:rsid w:val="00993EF8"/>
    <w:rsid w:val="00997F98"/>
    <w:rsid w:val="009A65E6"/>
    <w:rsid w:val="009C2997"/>
    <w:rsid w:val="009C58E7"/>
    <w:rsid w:val="009D5A9B"/>
    <w:rsid w:val="009E3089"/>
    <w:rsid w:val="009E7B6A"/>
    <w:rsid w:val="009F60F9"/>
    <w:rsid w:val="00A00EA8"/>
    <w:rsid w:val="00A0484D"/>
    <w:rsid w:val="00A100C9"/>
    <w:rsid w:val="00A1265F"/>
    <w:rsid w:val="00A165A5"/>
    <w:rsid w:val="00A37235"/>
    <w:rsid w:val="00A614DA"/>
    <w:rsid w:val="00A72D04"/>
    <w:rsid w:val="00A747C3"/>
    <w:rsid w:val="00A912EE"/>
    <w:rsid w:val="00AA6862"/>
    <w:rsid w:val="00AB271A"/>
    <w:rsid w:val="00AB61AA"/>
    <w:rsid w:val="00AC35B6"/>
    <w:rsid w:val="00AD417B"/>
    <w:rsid w:val="00AE5DF6"/>
    <w:rsid w:val="00AF7971"/>
    <w:rsid w:val="00B00A19"/>
    <w:rsid w:val="00B1708B"/>
    <w:rsid w:val="00B2467A"/>
    <w:rsid w:val="00B46E45"/>
    <w:rsid w:val="00B52C34"/>
    <w:rsid w:val="00B6638D"/>
    <w:rsid w:val="00B7523A"/>
    <w:rsid w:val="00B81297"/>
    <w:rsid w:val="00B82057"/>
    <w:rsid w:val="00B90593"/>
    <w:rsid w:val="00B908B0"/>
    <w:rsid w:val="00BA3FB8"/>
    <w:rsid w:val="00BB0674"/>
    <w:rsid w:val="00BB1C15"/>
    <w:rsid w:val="00BB2456"/>
    <w:rsid w:val="00BB7DBE"/>
    <w:rsid w:val="00BC6A09"/>
    <w:rsid w:val="00BF4563"/>
    <w:rsid w:val="00C10668"/>
    <w:rsid w:val="00C156A6"/>
    <w:rsid w:val="00C177A9"/>
    <w:rsid w:val="00C21B7E"/>
    <w:rsid w:val="00C26C70"/>
    <w:rsid w:val="00C357BA"/>
    <w:rsid w:val="00C44A14"/>
    <w:rsid w:val="00C57DC7"/>
    <w:rsid w:val="00C6749F"/>
    <w:rsid w:val="00C67817"/>
    <w:rsid w:val="00C73685"/>
    <w:rsid w:val="00C80B75"/>
    <w:rsid w:val="00CC3924"/>
    <w:rsid w:val="00CC663E"/>
    <w:rsid w:val="00CC7AEE"/>
    <w:rsid w:val="00CD20EB"/>
    <w:rsid w:val="00CD5D65"/>
    <w:rsid w:val="00CF0C74"/>
    <w:rsid w:val="00CF0F15"/>
    <w:rsid w:val="00CF4C82"/>
    <w:rsid w:val="00D06C33"/>
    <w:rsid w:val="00D228F6"/>
    <w:rsid w:val="00D35201"/>
    <w:rsid w:val="00D758F3"/>
    <w:rsid w:val="00D84FBF"/>
    <w:rsid w:val="00D933BB"/>
    <w:rsid w:val="00D950E2"/>
    <w:rsid w:val="00DB56CF"/>
    <w:rsid w:val="00DC793E"/>
    <w:rsid w:val="00DD4F94"/>
    <w:rsid w:val="00DD5CF1"/>
    <w:rsid w:val="00DD63DD"/>
    <w:rsid w:val="00DF69EC"/>
    <w:rsid w:val="00E03F19"/>
    <w:rsid w:val="00E2315B"/>
    <w:rsid w:val="00E275ED"/>
    <w:rsid w:val="00E30089"/>
    <w:rsid w:val="00E3029F"/>
    <w:rsid w:val="00E3732F"/>
    <w:rsid w:val="00E43ADD"/>
    <w:rsid w:val="00E474B8"/>
    <w:rsid w:val="00E50776"/>
    <w:rsid w:val="00E52935"/>
    <w:rsid w:val="00E55445"/>
    <w:rsid w:val="00E62D76"/>
    <w:rsid w:val="00E650F7"/>
    <w:rsid w:val="00E812FD"/>
    <w:rsid w:val="00E8218C"/>
    <w:rsid w:val="00E84AE8"/>
    <w:rsid w:val="00F01154"/>
    <w:rsid w:val="00F10747"/>
    <w:rsid w:val="00F65111"/>
    <w:rsid w:val="00F66F01"/>
    <w:rsid w:val="00F72342"/>
    <w:rsid w:val="00F9046E"/>
    <w:rsid w:val="00F94336"/>
    <w:rsid w:val="00F95C9A"/>
    <w:rsid w:val="00FB271B"/>
    <w:rsid w:val="00FB32D6"/>
    <w:rsid w:val="00FC463E"/>
    <w:rsid w:val="00FC5EAE"/>
    <w:rsid w:val="00FC725B"/>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9600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 w:type="character" w:styleId="CommentReference">
    <w:name w:val="annotation reference"/>
    <w:basedOn w:val="DefaultParagraphFont"/>
    <w:uiPriority w:val="99"/>
    <w:semiHidden/>
    <w:unhideWhenUsed/>
    <w:rsid w:val="00AB271A"/>
    <w:rPr>
      <w:sz w:val="16"/>
      <w:szCs w:val="16"/>
    </w:rPr>
  </w:style>
  <w:style w:type="paragraph" w:styleId="CommentText">
    <w:name w:val="annotation text"/>
    <w:basedOn w:val="Normal"/>
    <w:link w:val="CommentTextChar"/>
    <w:uiPriority w:val="99"/>
    <w:semiHidden/>
    <w:unhideWhenUsed/>
    <w:rsid w:val="00AB271A"/>
    <w:rPr>
      <w:sz w:val="20"/>
    </w:rPr>
  </w:style>
  <w:style w:type="character" w:customStyle="1" w:styleId="CommentTextChar">
    <w:name w:val="Comment Text Char"/>
    <w:basedOn w:val="DefaultParagraphFont"/>
    <w:link w:val="CommentText"/>
    <w:uiPriority w:val="99"/>
    <w:semiHidden/>
    <w:rsid w:val="00AB271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B271A"/>
    <w:rPr>
      <w:b/>
      <w:bCs/>
    </w:rPr>
  </w:style>
  <w:style w:type="character" w:customStyle="1" w:styleId="CommentSubjectChar">
    <w:name w:val="Comment Subject Char"/>
    <w:basedOn w:val="CommentTextChar"/>
    <w:link w:val="CommentSubject"/>
    <w:uiPriority w:val="99"/>
    <w:semiHidden/>
    <w:rsid w:val="00AB271A"/>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24579C"/>
    <w:rPr>
      <w:color w:val="0563C1"/>
      <w:u w:val="single"/>
    </w:rPr>
  </w:style>
  <w:style w:type="character" w:styleId="FollowedHyperlink">
    <w:name w:val="FollowedHyperlink"/>
    <w:basedOn w:val="DefaultParagraphFont"/>
    <w:uiPriority w:val="99"/>
    <w:semiHidden/>
    <w:unhideWhenUsed/>
    <w:rsid w:val="0024579C"/>
    <w:rPr>
      <w:color w:val="954F72"/>
      <w:u w:val="single"/>
    </w:rPr>
  </w:style>
  <w:style w:type="paragraph" w:customStyle="1" w:styleId="msonormal0">
    <w:name w:val="msonormal"/>
    <w:basedOn w:val="Normal"/>
    <w:rsid w:val="0024579C"/>
    <w:pPr>
      <w:spacing w:before="100" w:beforeAutospacing="1" w:after="100" w:afterAutospacing="1"/>
    </w:pPr>
    <w:rPr>
      <w:szCs w:val="24"/>
    </w:rPr>
  </w:style>
  <w:style w:type="paragraph" w:customStyle="1" w:styleId="xl66">
    <w:name w:val="xl66"/>
    <w:basedOn w:val="Normal"/>
    <w:rsid w:val="00245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7">
    <w:name w:val="xl67"/>
    <w:basedOn w:val="Normal"/>
    <w:rsid w:val="002457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8">
    <w:name w:val="xl68"/>
    <w:basedOn w:val="Normal"/>
    <w:rsid w:val="0024579C"/>
    <w:pPr>
      <w:spacing w:before="100" w:beforeAutospacing="1" w:after="100" w:afterAutospacing="1"/>
      <w:jc w:val="center"/>
      <w:textAlignment w:val="center"/>
    </w:pPr>
    <w:rPr>
      <w:szCs w:val="24"/>
    </w:rPr>
  </w:style>
  <w:style w:type="paragraph" w:customStyle="1" w:styleId="xl65">
    <w:name w:val="xl65"/>
    <w:basedOn w:val="Normal"/>
    <w:rsid w:val="00253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69">
    <w:name w:val="xl69"/>
    <w:basedOn w:val="Normal"/>
    <w:rsid w:val="00253E9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Cs w:val="24"/>
    </w:rPr>
  </w:style>
  <w:style w:type="paragraph" w:customStyle="1" w:styleId="xl70">
    <w:name w:val="xl70"/>
    <w:basedOn w:val="Normal"/>
    <w:rsid w:val="00253E9B"/>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Cs w:val="24"/>
    </w:rPr>
  </w:style>
  <w:style w:type="paragraph" w:customStyle="1" w:styleId="xl71">
    <w:name w:val="xl71"/>
    <w:basedOn w:val="Normal"/>
    <w:rsid w:val="00253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character" w:customStyle="1" w:styleId="zzmpTrailerItem">
    <w:name w:val="zzmpTrailerItem"/>
    <w:basedOn w:val="DefaultParagraphFont"/>
    <w:rsid w:val="00157B2F"/>
    <w:rPr>
      <w:rFonts w:ascii="Times New Roman" w:hAnsi="Times New Roman"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979707">
      <w:bodyDiv w:val="1"/>
      <w:marLeft w:val="0"/>
      <w:marRight w:val="0"/>
      <w:marTop w:val="0"/>
      <w:marBottom w:val="0"/>
      <w:divBdr>
        <w:top w:val="none" w:sz="0" w:space="0" w:color="auto"/>
        <w:left w:val="none" w:sz="0" w:space="0" w:color="auto"/>
        <w:bottom w:val="none" w:sz="0" w:space="0" w:color="auto"/>
        <w:right w:val="none" w:sz="0" w:space="0" w:color="auto"/>
      </w:divBdr>
    </w:div>
    <w:div w:id="132872240">
      <w:bodyDiv w:val="1"/>
      <w:marLeft w:val="0"/>
      <w:marRight w:val="0"/>
      <w:marTop w:val="0"/>
      <w:marBottom w:val="0"/>
      <w:divBdr>
        <w:top w:val="none" w:sz="0" w:space="0" w:color="auto"/>
        <w:left w:val="none" w:sz="0" w:space="0" w:color="auto"/>
        <w:bottom w:val="none" w:sz="0" w:space="0" w:color="auto"/>
        <w:right w:val="none" w:sz="0" w:space="0" w:color="auto"/>
      </w:divBdr>
    </w:div>
    <w:div w:id="266232230">
      <w:bodyDiv w:val="1"/>
      <w:marLeft w:val="0"/>
      <w:marRight w:val="0"/>
      <w:marTop w:val="0"/>
      <w:marBottom w:val="0"/>
      <w:divBdr>
        <w:top w:val="none" w:sz="0" w:space="0" w:color="auto"/>
        <w:left w:val="none" w:sz="0" w:space="0" w:color="auto"/>
        <w:bottom w:val="none" w:sz="0" w:space="0" w:color="auto"/>
        <w:right w:val="none" w:sz="0" w:space="0" w:color="auto"/>
      </w:divBdr>
    </w:div>
    <w:div w:id="277882879">
      <w:bodyDiv w:val="1"/>
      <w:marLeft w:val="0"/>
      <w:marRight w:val="0"/>
      <w:marTop w:val="0"/>
      <w:marBottom w:val="0"/>
      <w:divBdr>
        <w:top w:val="none" w:sz="0" w:space="0" w:color="auto"/>
        <w:left w:val="none" w:sz="0" w:space="0" w:color="auto"/>
        <w:bottom w:val="none" w:sz="0" w:space="0" w:color="auto"/>
        <w:right w:val="none" w:sz="0" w:space="0" w:color="auto"/>
      </w:divBdr>
    </w:div>
    <w:div w:id="281151491">
      <w:bodyDiv w:val="1"/>
      <w:marLeft w:val="0"/>
      <w:marRight w:val="0"/>
      <w:marTop w:val="0"/>
      <w:marBottom w:val="0"/>
      <w:divBdr>
        <w:top w:val="none" w:sz="0" w:space="0" w:color="auto"/>
        <w:left w:val="none" w:sz="0" w:space="0" w:color="auto"/>
        <w:bottom w:val="none" w:sz="0" w:space="0" w:color="auto"/>
        <w:right w:val="none" w:sz="0" w:space="0" w:color="auto"/>
      </w:divBdr>
    </w:div>
    <w:div w:id="304286208">
      <w:bodyDiv w:val="1"/>
      <w:marLeft w:val="0"/>
      <w:marRight w:val="0"/>
      <w:marTop w:val="0"/>
      <w:marBottom w:val="0"/>
      <w:divBdr>
        <w:top w:val="none" w:sz="0" w:space="0" w:color="auto"/>
        <w:left w:val="none" w:sz="0" w:space="0" w:color="auto"/>
        <w:bottom w:val="none" w:sz="0" w:space="0" w:color="auto"/>
        <w:right w:val="none" w:sz="0" w:space="0" w:color="auto"/>
      </w:divBdr>
    </w:div>
    <w:div w:id="373970803">
      <w:bodyDiv w:val="1"/>
      <w:marLeft w:val="0"/>
      <w:marRight w:val="0"/>
      <w:marTop w:val="0"/>
      <w:marBottom w:val="0"/>
      <w:divBdr>
        <w:top w:val="none" w:sz="0" w:space="0" w:color="auto"/>
        <w:left w:val="none" w:sz="0" w:space="0" w:color="auto"/>
        <w:bottom w:val="none" w:sz="0" w:space="0" w:color="auto"/>
        <w:right w:val="none" w:sz="0" w:space="0" w:color="auto"/>
      </w:divBdr>
    </w:div>
    <w:div w:id="392461238">
      <w:bodyDiv w:val="1"/>
      <w:marLeft w:val="0"/>
      <w:marRight w:val="0"/>
      <w:marTop w:val="0"/>
      <w:marBottom w:val="0"/>
      <w:divBdr>
        <w:top w:val="none" w:sz="0" w:space="0" w:color="auto"/>
        <w:left w:val="none" w:sz="0" w:space="0" w:color="auto"/>
        <w:bottom w:val="none" w:sz="0" w:space="0" w:color="auto"/>
        <w:right w:val="none" w:sz="0" w:space="0" w:color="auto"/>
      </w:divBdr>
    </w:div>
    <w:div w:id="410202607">
      <w:bodyDiv w:val="1"/>
      <w:marLeft w:val="0"/>
      <w:marRight w:val="0"/>
      <w:marTop w:val="0"/>
      <w:marBottom w:val="0"/>
      <w:divBdr>
        <w:top w:val="none" w:sz="0" w:space="0" w:color="auto"/>
        <w:left w:val="none" w:sz="0" w:space="0" w:color="auto"/>
        <w:bottom w:val="none" w:sz="0" w:space="0" w:color="auto"/>
        <w:right w:val="none" w:sz="0" w:space="0" w:color="auto"/>
      </w:divBdr>
    </w:div>
    <w:div w:id="503127949">
      <w:bodyDiv w:val="1"/>
      <w:marLeft w:val="0"/>
      <w:marRight w:val="0"/>
      <w:marTop w:val="0"/>
      <w:marBottom w:val="0"/>
      <w:divBdr>
        <w:top w:val="none" w:sz="0" w:space="0" w:color="auto"/>
        <w:left w:val="none" w:sz="0" w:space="0" w:color="auto"/>
        <w:bottom w:val="none" w:sz="0" w:space="0" w:color="auto"/>
        <w:right w:val="none" w:sz="0" w:space="0" w:color="auto"/>
      </w:divBdr>
    </w:div>
    <w:div w:id="521868962">
      <w:bodyDiv w:val="1"/>
      <w:marLeft w:val="0"/>
      <w:marRight w:val="0"/>
      <w:marTop w:val="0"/>
      <w:marBottom w:val="0"/>
      <w:divBdr>
        <w:top w:val="none" w:sz="0" w:space="0" w:color="auto"/>
        <w:left w:val="none" w:sz="0" w:space="0" w:color="auto"/>
        <w:bottom w:val="none" w:sz="0" w:space="0" w:color="auto"/>
        <w:right w:val="none" w:sz="0" w:space="0" w:color="auto"/>
      </w:divBdr>
    </w:div>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15914466">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080559521">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225726669">
      <w:bodyDiv w:val="1"/>
      <w:marLeft w:val="0"/>
      <w:marRight w:val="0"/>
      <w:marTop w:val="0"/>
      <w:marBottom w:val="0"/>
      <w:divBdr>
        <w:top w:val="none" w:sz="0" w:space="0" w:color="auto"/>
        <w:left w:val="none" w:sz="0" w:space="0" w:color="auto"/>
        <w:bottom w:val="none" w:sz="0" w:space="0" w:color="auto"/>
        <w:right w:val="none" w:sz="0" w:space="0" w:color="auto"/>
      </w:divBdr>
    </w:div>
    <w:div w:id="1338734225">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4174023">
      <w:bodyDiv w:val="1"/>
      <w:marLeft w:val="0"/>
      <w:marRight w:val="0"/>
      <w:marTop w:val="0"/>
      <w:marBottom w:val="0"/>
      <w:divBdr>
        <w:top w:val="none" w:sz="0" w:space="0" w:color="auto"/>
        <w:left w:val="none" w:sz="0" w:space="0" w:color="auto"/>
        <w:bottom w:val="none" w:sz="0" w:space="0" w:color="auto"/>
        <w:right w:val="none" w:sz="0" w:space="0" w:color="auto"/>
      </w:divBdr>
    </w:div>
    <w:div w:id="1548836381">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1553465541">
      <w:bodyDiv w:val="1"/>
      <w:marLeft w:val="0"/>
      <w:marRight w:val="0"/>
      <w:marTop w:val="0"/>
      <w:marBottom w:val="0"/>
      <w:divBdr>
        <w:top w:val="none" w:sz="0" w:space="0" w:color="auto"/>
        <w:left w:val="none" w:sz="0" w:space="0" w:color="auto"/>
        <w:bottom w:val="none" w:sz="0" w:space="0" w:color="auto"/>
        <w:right w:val="none" w:sz="0" w:space="0" w:color="auto"/>
      </w:divBdr>
    </w:div>
    <w:div w:id="1651667511">
      <w:bodyDiv w:val="1"/>
      <w:marLeft w:val="0"/>
      <w:marRight w:val="0"/>
      <w:marTop w:val="0"/>
      <w:marBottom w:val="0"/>
      <w:divBdr>
        <w:top w:val="none" w:sz="0" w:space="0" w:color="auto"/>
        <w:left w:val="none" w:sz="0" w:space="0" w:color="auto"/>
        <w:bottom w:val="none" w:sz="0" w:space="0" w:color="auto"/>
        <w:right w:val="none" w:sz="0" w:space="0" w:color="auto"/>
      </w:divBdr>
    </w:div>
    <w:div w:id="1674138050">
      <w:bodyDiv w:val="1"/>
      <w:marLeft w:val="0"/>
      <w:marRight w:val="0"/>
      <w:marTop w:val="0"/>
      <w:marBottom w:val="0"/>
      <w:divBdr>
        <w:top w:val="none" w:sz="0" w:space="0" w:color="auto"/>
        <w:left w:val="none" w:sz="0" w:space="0" w:color="auto"/>
        <w:bottom w:val="none" w:sz="0" w:space="0" w:color="auto"/>
        <w:right w:val="none" w:sz="0" w:space="0" w:color="auto"/>
      </w:divBdr>
    </w:div>
    <w:div w:id="1800225046">
      <w:bodyDiv w:val="1"/>
      <w:marLeft w:val="0"/>
      <w:marRight w:val="0"/>
      <w:marTop w:val="0"/>
      <w:marBottom w:val="0"/>
      <w:divBdr>
        <w:top w:val="none" w:sz="0" w:space="0" w:color="auto"/>
        <w:left w:val="none" w:sz="0" w:space="0" w:color="auto"/>
        <w:bottom w:val="none" w:sz="0" w:space="0" w:color="auto"/>
        <w:right w:val="none" w:sz="0" w:space="0" w:color="auto"/>
      </w:divBdr>
    </w:div>
    <w:div w:id="1800418110">
      <w:bodyDiv w:val="1"/>
      <w:marLeft w:val="0"/>
      <w:marRight w:val="0"/>
      <w:marTop w:val="0"/>
      <w:marBottom w:val="0"/>
      <w:divBdr>
        <w:top w:val="none" w:sz="0" w:space="0" w:color="auto"/>
        <w:left w:val="none" w:sz="0" w:space="0" w:color="auto"/>
        <w:bottom w:val="none" w:sz="0" w:space="0" w:color="auto"/>
        <w:right w:val="none" w:sz="0" w:space="0" w:color="auto"/>
      </w:divBdr>
    </w:div>
    <w:div w:id="1807624638">
      <w:bodyDiv w:val="1"/>
      <w:marLeft w:val="0"/>
      <w:marRight w:val="0"/>
      <w:marTop w:val="0"/>
      <w:marBottom w:val="0"/>
      <w:divBdr>
        <w:top w:val="none" w:sz="0" w:space="0" w:color="auto"/>
        <w:left w:val="none" w:sz="0" w:space="0" w:color="auto"/>
        <w:bottom w:val="none" w:sz="0" w:space="0" w:color="auto"/>
        <w:right w:val="none" w:sz="0" w:space="0" w:color="auto"/>
      </w:divBdr>
    </w:div>
    <w:div w:id="1950432452">
      <w:bodyDiv w:val="1"/>
      <w:marLeft w:val="0"/>
      <w:marRight w:val="0"/>
      <w:marTop w:val="0"/>
      <w:marBottom w:val="0"/>
      <w:divBdr>
        <w:top w:val="none" w:sz="0" w:space="0" w:color="auto"/>
        <w:left w:val="none" w:sz="0" w:space="0" w:color="auto"/>
        <w:bottom w:val="none" w:sz="0" w:space="0" w:color="auto"/>
        <w:right w:val="none" w:sz="0" w:space="0" w:color="auto"/>
      </w:divBdr>
    </w:div>
    <w:div w:id="2025745491">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 w:id="2077313949">
      <w:bodyDiv w:val="1"/>
      <w:marLeft w:val="0"/>
      <w:marRight w:val="0"/>
      <w:marTop w:val="0"/>
      <w:marBottom w:val="0"/>
      <w:divBdr>
        <w:top w:val="none" w:sz="0" w:space="0" w:color="auto"/>
        <w:left w:val="none" w:sz="0" w:space="0" w:color="auto"/>
        <w:bottom w:val="none" w:sz="0" w:space="0" w:color="auto"/>
        <w:right w:val="none" w:sz="0" w:space="0" w:color="auto"/>
      </w:divBdr>
    </w:div>
    <w:div w:id="2126269717">
      <w:bodyDiv w:val="1"/>
      <w:marLeft w:val="0"/>
      <w:marRight w:val="0"/>
      <w:marTop w:val="0"/>
      <w:marBottom w:val="0"/>
      <w:divBdr>
        <w:top w:val="none" w:sz="0" w:space="0" w:color="auto"/>
        <w:left w:val="none" w:sz="0" w:space="0" w:color="auto"/>
        <w:bottom w:val="none" w:sz="0" w:space="0" w:color="auto"/>
        <w:right w:val="none" w:sz="0" w:space="0" w:color="auto"/>
      </w:divBdr>
    </w:div>
    <w:div w:id="21334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2B115-82AD-42BF-93DC-BB0B1CEB0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2021-04-09T15:17:00Z</dcterms:created>
  <dcterms:modified xsi:type="dcterms:W3CDTF">2021-04-09T15:17:00Z</dcterms:modified>
  <cp:contentStatus/>
</cp:coreProperties>
</file>