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5DB445D7"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6777A4">
        <w:rPr>
          <w:rFonts w:ascii="Arial" w:hAnsi="Arial" w:cs="Arial"/>
          <w:b/>
          <w:bCs/>
          <w:szCs w:val="24"/>
        </w:rPr>
        <w:t>3</w:t>
      </w:r>
      <w:r w:rsidR="00473939">
        <w:rPr>
          <w:rFonts w:ascii="Arial" w:hAnsi="Arial" w:cs="Arial"/>
          <w:b/>
          <w:bCs/>
          <w:szCs w:val="24"/>
        </w:rPr>
        <w:t>1</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C4EF4" w:rsidRDefault="00431988" w:rsidP="00431988">
      <w:pPr>
        <w:autoSpaceDE w:val="0"/>
        <w:autoSpaceDN w:val="0"/>
        <w:adjustRightInd w:val="0"/>
        <w:ind w:left="2232" w:hanging="2232"/>
        <w:rPr>
          <w:rFonts w:ascii="Arial" w:hAnsi="Arial" w:cs="Arial"/>
          <w:color w:val="000000"/>
          <w:szCs w:val="24"/>
          <w:u w:val="single"/>
        </w:rPr>
      </w:pPr>
      <w:r w:rsidRPr="00EC4EF4">
        <w:rPr>
          <w:rFonts w:ascii="Arial" w:hAnsi="Arial" w:cs="Arial"/>
          <w:color w:val="000000"/>
          <w:szCs w:val="24"/>
          <w:u w:val="single"/>
        </w:rPr>
        <w:t>Question:</w:t>
      </w:r>
    </w:p>
    <w:p w14:paraId="2037D54D" w14:textId="77777777" w:rsidR="00A100C9" w:rsidRPr="00EC4EF4" w:rsidRDefault="00A100C9" w:rsidP="00176D14">
      <w:pPr>
        <w:tabs>
          <w:tab w:val="left" w:pos="0"/>
        </w:tabs>
        <w:autoSpaceDE w:val="0"/>
        <w:autoSpaceDN w:val="0"/>
        <w:adjustRightInd w:val="0"/>
        <w:rPr>
          <w:rFonts w:ascii="Arial" w:hAnsi="Arial" w:cs="Arial"/>
        </w:rPr>
      </w:pPr>
    </w:p>
    <w:p w14:paraId="4A1DAF70" w14:textId="4B9A511D" w:rsidR="00473939" w:rsidRPr="00EC4EF4" w:rsidRDefault="00473939" w:rsidP="00473939">
      <w:pPr>
        <w:tabs>
          <w:tab w:val="left" w:pos="0"/>
        </w:tabs>
        <w:autoSpaceDE w:val="0"/>
        <w:autoSpaceDN w:val="0"/>
        <w:adjustRightInd w:val="0"/>
        <w:rPr>
          <w:rFonts w:ascii="Arial" w:hAnsi="Arial" w:cs="Arial"/>
          <w:color w:val="000000"/>
          <w:szCs w:val="24"/>
        </w:rPr>
      </w:pPr>
      <w:r w:rsidRPr="00EC4EF4">
        <w:rPr>
          <w:rFonts w:ascii="Arial" w:hAnsi="Arial" w:cs="Arial"/>
          <w:color w:val="000000"/>
          <w:szCs w:val="24"/>
        </w:rPr>
        <w:t>Refer to the “V3 Expense &amp; Avg. Core Value” tab in the Excel workbook “TS – 2020 Budget NF Inventory Update Nov 21 Nov 22 – VCM 23.”  However, provide data updated for VCM 24.</w:t>
      </w:r>
    </w:p>
    <w:p w14:paraId="6FE0263D" w14:textId="1A3EA2CE" w:rsidR="00473939" w:rsidRPr="00EC4EF4" w:rsidRDefault="00473939" w:rsidP="00473939">
      <w:pPr>
        <w:pStyle w:val="ListParagraph"/>
        <w:numPr>
          <w:ilvl w:val="0"/>
          <w:numId w:val="44"/>
        </w:numPr>
        <w:tabs>
          <w:tab w:val="left" w:pos="0"/>
        </w:tabs>
        <w:autoSpaceDE w:val="0"/>
        <w:autoSpaceDN w:val="0"/>
        <w:adjustRightInd w:val="0"/>
        <w:rPr>
          <w:rFonts w:ascii="Arial" w:hAnsi="Arial" w:cs="Arial"/>
          <w:color w:val="000000"/>
          <w:sz w:val="24"/>
          <w:szCs w:val="28"/>
        </w:rPr>
      </w:pPr>
      <w:r w:rsidRPr="00EC4EF4">
        <w:rPr>
          <w:rFonts w:ascii="Arial" w:hAnsi="Arial" w:cs="Arial"/>
          <w:color w:val="000000"/>
          <w:sz w:val="24"/>
          <w:szCs w:val="28"/>
        </w:rPr>
        <w:t xml:space="preserve">Provide all calculations and other support for the amounts in the column “Total Capital Expense Without Spent Fuel” by component, month, and refueling cycle (initial core, retirement of initial core assemblies and rods in first refueling cycle, addition of new assemblies and rods in first refueling cycle, etc.) in live Excel format with all formulas intact.  In the same Excel workbook, provide by component, month, and refueling cycle the beginning balance capitalized nuclear fuel separated into directs and AFUDC, retirements and additions separated into directs and AFUDC, amortization of directs and AFUDC, test generation offsets, and ending balance starting with the month V3 first generates using nuclear fuel through the completion of the fourth refueling cycle.  </w:t>
      </w:r>
    </w:p>
    <w:p w14:paraId="0527E81A" w14:textId="77777777" w:rsidR="00473939" w:rsidRPr="00EC4EF4" w:rsidRDefault="00473939" w:rsidP="00473939">
      <w:pPr>
        <w:tabs>
          <w:tab w:val="left" w:pos="0"/>
        </w:tabs>
        <w:autoSpaceDE w:val="0"/>
        <w:autoSpaceDN w:val="0"/>
        <w:adjustRightInd w:val="0"/>
        <w:rPr>
          <w:rFonts w:ascii="Arial" w:hAnsi="Arial" w:cs="Arial"/>
          <w:color w:val="000000"/>
          <w:sz w:val="28"/>
          <w:szCs w:val="28"/>
        </w:rPr>
      </w:pPr>
    </w:p>
    <w:p w14:paraId="05F70F1C" w14:textId="39843697" w:rsidR="00C057F1" w:rsidRPr="00EC4EF4" w:rsidRDefault="00473939" w:rsidP="00473939">
      <w:pPr>
        <w:pStyle w:val="ListParagraph"/>
        <w:numPr>
          <w:ilvl w:val="0"/>
          <w:numId w:val="44"/>
        </w:numPr>
        <w:tabs>
          <w:tab w:val="left" w:pos="0"/>
        </w:tabs>
        <w:autoSpaceDE w:val="0"/>
        <w:autoSpaceDN w:val="0"/>
        <w:adjustRightInd w:val="0"/>
        <w:rPr>
          <w:rFonts w:ascii="Arial" w:hAnsi="Arial" w:cs="Arial"/>
          <w:color w:val="000000"/>
          <w:sz w:val="24"/>
          <w:szCs w:val="28"/>
        </w:rPr>
      </w:pPr>
      <w:r w:rsidRPr="00EC4EF4">
        <w:rPr>
          <w:rFonts w:ascii="Arial" w:hAnsi="Arial" w:cs="Arial"/>
          <w:color w:val="000000"/>
          <w:sz w:val="24"/>
          <w:szCs w:val="28"/>
        </w:rPr>
        <w:t>Explain why the nuclear fuel expense is disproportionately greater on a monthly basis in the 2021 and 2022 compared to subsequent years.  Quantify the effects of each reason cited and provide all support for those quantifications in live Excel format with all formulas intact.</w:t>
      </w:r>
      <w:r w:rsidR="006777A4" w:rsidRPr="00EC4EF4">
        <w:rPr>
          <w:rFonts w:ascii="Arial" w:hAnsi="Arial" w:cs="Arial"/>
          <w:color w:val="000000"/>
          <w:sz w:val="24"/>
          <w:szCs w:val="28"/>
        </w:rPr>
        <w:t xml:space="preserve"> </w:t>
      </w:r>
    </w:p>
    <w:p w14:paraId="5239CD85" w14:textId="77777777" w:rsidR="006777A4" w:rsidRPr="00EC4EF4" w:rsidRDefault="006777A4" w:rsidP="007034F0">
      <w:pPr>
        <w:tabs>
          <w:tab w:val="left" w:pos="0"/>
        </w:tabs>
        <w:autoSpaceDE w:val="0"/>
        <w:autoSpaceDN w:val="0"/>
        <w:adjustRightInd w:val="0"/>
        <w:rPr>
          <w:rFonts w:ascii="Arial" w:hAnsi="Arial" w:cs="Arial"/>
          <w:color w:val="000000"/>
          <w:szCs w:val="24"/>
          <w:u w:val="single"/>
        </w:rPr>
      </w:pPr>
    </w:p>
    <w:p w14:paraId="00DC0289" w14:textId="7E4E2E5A" w:rsidR="00431988" w:rsidRPr="00EC4EF4" w:rsidRDefault="00431988" w:rsidP="00176D14">
      <w:pPr>
        <w:tabs>
          <w:tab w:val="left" w:pos="0"/>
        </w:tabs>
        <w:autoSpaceDE w:val="0"/>
        <w:autoSpaceDN w:val="0"/>
        <w:adjustRightInd w:val="0"/>
        <w:rPr>
          <w:rFonts w:ascii="Arial" w:hAnsi="Arial" w:cs="Arial"/>
          <w:color w:val="000000"/>
          <w:szCs w:val="24"/>
          <w:u w:val="single"/>
        </w:rPr>
      </w:pPr>
      <w:r w:rsidRPr="00EC4EF4">
        <w:rPr>
          <w:rFonts w:ascii="Arial" w:hAnsi="Arial" w:cs="Arial"/>
          <w:color w:val="000000"/>
          <w:szCs w:val="24"/>
          <w:u w:val="single"/>
        </w:rPr>
        <w:t>Response:</w:t>
      </w:r>
    </w:p>
    <w:p w14:paraId="1359F8D8" w14:textId="77777777" w:rsidR="00431988" w:rsidRPr="00EC4EF4" w:rsidRDefault="00431988">
      <w:pPr>
        <w:rPr>
          <w:rFonts w:ascii="Arial" w:hAnsi="Arial" w:cs="Arial"/>
        </w:rPr>
      </w:pPr>
    </w:p>
    <w:p w14:paraId="02F5FAA1" w14:textId="7D7F97A5" w:rsidR="0062782A" w:rsidRPr="00EC4EF4" w:rsidRDefault="00A84369" w:rsidP="0062782A">
      <w:pPr>
        <w:pStyle w:val="ListParagraph"/>
        <w:numPr>
          <w:ilvl w:val="0"/>
          <w:numId w:val="46"/>
        </w:numPr>
        <w:tabs>
          <w:tab w:val="left" w:pos="0"/>
        </w:tabs>
        <w:autoSpaceDE w:val="0"/>
        <w:autoSpaceDN w:val="0"/>
        <w:adjustRightInd w:val="0"/>
        <w:rPr>
          <w:rFonts w:ascii="Arial" w:hAnsi="Arial" w:cs="Arial"/>
          <w:sz w:val="24"/>
          <w:szCs w:val="24"/>
        </w:rPr>
      </w:pPr>
      <w:r>
        <w:rPr>
          <w:rFonts w:ascii="Arial" w:hAnsi="Arial" w:cs="Arial"/>
          <w:sz w:val="24"/>
          <w:szCs w:val="24"/>
        </w:rPr>
        <w:t>Please see electronic Trade Secret (“TS”) Attachment STF-198-31</w:t>
      </w:r>
      <w:r w:rsidR="0062782A" w:rsidRPr="00EC4EF4">
        <w:rPr>
          <w:rFonts w:ascii="Arial" w:hAnsi="Arial" w:cs="Arial"/>
          <w:sz w:val="24"/>
          <w:szCs w:val="24"/>
        </w:rPr>
        <w:t xml:space="preserve">, </w:t>
      </w:r>
      <w:r>
        <w:rPr>
          <w:rFonts w:ascii="Arial" w:hAnsi="Arial" w:cs="Arial"/>
          <w:sz w:val="24"/>
          <w:szCs w:val="24"/>
        </w:rPr>
        <w:t xml:space="preserve">which </w:t>
      </w:r>
      <w:r w:rsidR="0062782A" w:rsidRPr="00EC4EF4">
        <w:rPr>
          <w:rFonts w:ascii="Arial" w:hAnsi="Arial" w:cs="Arial"/>
          <w:sz w:val="24"/>
          <w:szCs w:val="24"/>
        </w:rPr>
        <w:t xml:space="preserve">reflects the capital costs and AFUDC for the initial cores and the subsequent reloads and calculates the expected amortized amounts per cycle. The capital costs and AFUDC are hereby referred to as Total Costs. </w:t>
      </w:r>
    </w:p>
    <w:p w14:paraId="319CB6F9" w14:textId="77777777" w:rsidR="0062782A" w:rsidRPr="00EC4EF4" w:rsidRDefault="0062782A" w:rsidP="0062782A">
      <w:pPr>
        <w:rPr>
          <w:rFonts w:ascii="Arial" w:hAnsi="Arial" w:cs="Arial"/>
          <w:szCs w:val="24"/>
        </w:rPr>
      </w:pPr>
    </w:p>
    <w:p w14:paraId="6424490C" w14:textId="77777777" w:rsidR="0062782A" w:rsidRPr="00EC4EF4" w:rsidRDefault="0062782A" w:rsidP="0062782A">
      <w:pPr>
        <w:ind w:left="720"/>
        <w:rPr>
          <w:rFonts w:ascii="Arial" w:hAnsi="Arial" w:cs="Arial"/>
          <w:szCs w:val="24"/>
        </w:rPr>
      </w:pPr>
      <w:r w:rsidRPr="00EC4EF4">
        <w:rPr>
          <w:rFonts w:ascii="Arial" w:hAnsi="Arial" w:cs="Arial"/>
          <w:szCs w:val="24"/>
        </w:rPr>
        <w:t>On the tab labeled Vogtle 3 Calculation, the Total Costs section reflects all costs associated with the initial core or a reload. The Fractional Exposure section contains the expected energy extraction in a cycle for an assembly or group of assemblies divided by the expected energy extraction for the entire life of the assembly or assemblies. The Amortization section calculates the recovery of the Total costs by using the following amortization formula:</w:t>
      </w:r>
    </w:p>
    <w:p w14:paraId="5F1332FD" w14:textId="77777777" w:rsidR="0062782A" w:rsidRPr="00EC4EF4" w:rsidRDefault="0062782A" w:rsidP="0062782A">
      <w:pPr>
        <w:ind w:left="720"/>
        <w:rPr>
          <w:rFonts w:ascii="Arial" w:hAnsi="Arial" w:cs="Arial"/>
          <w:szCs w:val="24"/>
        </w:rPr>
      </w:pPr>
    </w:p>
    <w:p w14:paraId="7E9807BF" w14:textId="77777777" w:rsidR="0062782A" w:rsidRPr="00EC4EF4" w:rsidRDefault="0062782A" w:rsidP="0062782A">
      <w:pPr>
        <w:tabs>
          <w:tab w:val="left" w:pos="0"/>
        </w:tabs>
        <w:autoSpaceDE w:val="0"/>
        <w:autoSpaceDN w:val="0"/>
        <w:adjustRightInd w:val="0"/>
        <w:ind w:left="720"/>
        <w:rPr>
          <w:rFonts w:ascii="Arial" w:hAnsi="Arial" w:cs="Arial"/>
          <w:color w:val="000000"/>
          <w:szCs w:val="24"/>
        </w:rPr>
      </w:pPr>
      <w:r w:rsidRPr="00EC4EF4">
        <w:rPr>
          <w:rFonts w:ascii="Arial" w:hAnsi="Arial" w:cs="Arial"/>
          <w:color w:val="000000"/>
          <w:szCs w:val="24"/>
        </w:rPr>
        <w:t>[Total Capital Costs and AFUDC amounts for reload] * [% of fuel reload] * {[Energy extraction in Cycle] / [Life of Fuel, Total, Energy Extraction]}</w:t>
      </w:r>
    </w:p>
    <w:p w14:paraId="296E238C" w14:textId="77777777" w:rsidR="0062782A" w:rsidRPr="00EC4EF4" w:rsidRDefault="0062782A" w:rsidP="0062782A">
      <w:pPr>
        <w:ind w:left="720"/>
        <w:rPr>
          <w:rFonts w:ascii="Arial" w:hAnsi="Arial" w:cs="Arial"/>
          <w:szCs w:val="24"/>
        </w:rPr>
      </w:pPr>
    </w:p>
    <w:p w14:paraId="015680C3" w14:textId="2A843391" w:rsidR="0062782A" w:rsidRPr="00EC4EF4" w:rsidRDefault="0062782A" w:rsidP="0062782A">
      <w:pPr>
        <w:ind w:left="720"/>
        <w:rPr>
          <w:rFonts w:ascii="Arial" w:eastAsia="Calibri" w:hAnsi="Arial" w:cs="Arial"/>
          <w:szCs w:val="24"/>
        </w:rPr>
      </w:pPr>
      <w:r w:rsidRPr="00EC4EF4">
        <w:rPr>
          <w:rFonts w:ascii="Arial" w:hAnsi="Arial" w:cs="Arial"/>
          <w:szCs w:val="24"/>
        </w:rPr>
        <w:t xml:space="preserve">In the Amortization section, the Cycle Total line is the result of the above formula and this value is annualized as seen in the final section, Annualizing. The annualized value is column C in the </w:t>
      </w:r>
      <w:r w:rsidRPr="00EC4EF4">
        <w:rPr>
          <w:rFonts w:ascii="Arial" w:eastAsia="Calibri" w:hAnsi="Arial" w:cs="Arial"/>
          <w:szCs w:val="24"/>
        </w:rPr>
        <w:t>V3 Expense &amp; Avg. Core Value” tab in the Excel workbook “TS – 20</w:t>
      </w:r>
      <w:r w:rsidR="007621C1" w:rsidRPr="00EC4EF4">
        <w:rPr>
          <w:rFonts w:ascii="Arial" w:eastAsia="Calibri" w:hAnsi="Arial" w:cs="Arial"/>
          <w:szCs w:val="24"/>
        </w:rPr>
        <w:t>21</w:t>
      </w:r>
      <w:r w:rsidRPr="00EC4EF4">
        <w:rPr>
          <w:rFonts w:ascii="Arial" w:eastAsia="Calibri" w:hAnsi="Arial" w:cs="Arial"/>
          <w:szCs w:val="24"/>
        </w:rPr>
        <w:t xml:space="preserve"> Budget NF Inventory Update Nov 21 Nov 22 – VCM 2</w:t>
      </w:r>
      <w:r w:rsidR="007621C1" w:rsidRPr="00EC4EF4">
        <w:rPr>
          <w:rFonts w:ascii="Arial" w:eastAsia="Calibri" w:hAnsi="Arial" w:cs="Arial"/>
          <w:szCs w:val="24"/>
        </w:rPr>
        <w:t>4</w:t>
      </w:r>
      <w:r w:rsidR="00323455">
        <w:rPr>
          <w:rFonts w:ascii="Arial" w:eastAsia="Calibri" w:hAnsi="Arial" w:cs="Arial"/>
          <w:szCs w:val="24"/>
        </w:rPr>
        <w:t>” from STF-198-1</w:t>
      </w:r>
      <w:r w:rsidRPr="00EC4EF4">
        <w:rPr>
          <w:rFonts w:ascii="Arial" w:eastAsia="Calibri" w:hAnsi="Arial" w:cs="Arial"/>
          <w:szCs w:val="24"/>
        </w:rPr>
        <w:t>.</w:t>
      </w:r>
    </w:p>
    <w:p w14:paraId="6E967694" w14:textId="77777777" w:rsidR="0062782A" w:rsidRPr="00EC4EF4" w:rsidRDefault="0062782A" w:rsidP="0062782A">
      <w:pPr>
        <w:ind w:left="720"/>
        <w:rPr>
          <w:rFonts w:ascii="Arial" w:eastAsia="Calibri" w:hAnsi="Arial" w:cs="Arial"/>
          <w:szCs w:val="24"/>
        </w:rPr>
      </w:pPr>
    </w:p>
    <w:p w14:paraId="1D4FFF62" w14:textId="73157AE8" w:rsidR="0062782A" w:rsidRPr="00EC4EF4" w:rsidRDefault="0062782A" w:rsidP="0062782A">
      <w:pPr>
        <w:ind w:left="720"/>
        <w:rPr>
          <w:rFonts w:ascii="Arial" w:hAnsi="Arial" w:cs="Arial"/>
          <w:szCs w:val="24"/>
        </w:rPr>
      </w:pPr>
      <w:r w:rsidRPr="00EC4EF4">
        <w:rPr>
          <w:rFonts w:ascii="Arial" w:eastAsia="Calibri" w:hAnsi="Arial" w:cs="Arial"/>
          <w:szCs w:val="24"/>
        </w:rPr>
        <w:t>In reference to the test generation offset and its associated calculation refer to the previously submitted response to STF-</w:t>
      </w:r>
      <w:r w:rsidR="00970333" w:rsidRPr="00EC4EF4">
        <w:rPr>
          <w:rFonts w:ascii="Arial" w:eastAsia="Calibri" w:hAnsi="Arial" w:cs="Arial"/>
          <w:szCs w:val="24"/>
        </w:rPr>
        <w:t>198-20</w:t>
      </w:r>
      <w:r w:rsidRPr="00EC4EF4">
        <w:rPr>
          <w:rFonts w:ascii="Arial" w:eastAsia="Calibri" w:hAnsi="Arial" w:cs="Arial"/>
          <w:szCs w:val="24"/>
        </w:rPr>
        <w:t>.</w:t>
      </w:r>
    </w:p>
    <w:p w14:paraId="21051C1C" w14:textId="77777777" w:rsidR="0062782A" w:rsidRPr="00EC4EF4" w:rsidRDefault="0062782A" w:rsidP="0062782A">
      <w:pPr>
        <w:rPr>
          <w:rFonts w:ascii="Arial" w:hAnsi="Arial" w:cs="Arial"/>
          <w:szCs w:val="24"/>
        </w:rPr>
      </w:pPr>
    </w:p>
    <w:p w14:paraId="5C1418EA" w14:textId="45C1F747" w:rsidR="0062782A" w:rsidRPr="00EC4EF4" w:rsidRDefault="0062782A" w:rsidP="0062782A">
      <w:pPr>
        <w:pStyle w:val="ListParagraph"/>
        <w:numPr>
          <w:ilvl w:val="0"/>
          <w:numId w:val="46"/>
        </w:numPr>
        <w:rPr>
          <w:rFonts w:ascii="Arial" w:hAnsi="Arial" w:cs="Arial"/>
          <w:sz w:val="24"/>
          <w:szCs w:val="24"/>
        </w:rPr>
      </w:pPr>
      <w:r w:rsidRPr="00EC4EF4">
        <w:rPr>
          <w:rFonts w:ascii="Arial" w:hAnsi="Arial" w:cs="Arial"/>
          <w:sz w:val="24"/>
          <w:szCs w:val="24"/>
        </w:rPr>
        <w:t>During 2021 and 2022, the nuclear fuel expense is greater on a monthly basis because of how the fuel that is loaded in the initial core is operated.  This planned operation differs from that of a typical reload due to the fact that some of the fuel will only operate for one cycle.  Below is our response to STF-</w:t>
      </w:r>
      <w:r w:rsidR="007621C1" w:rsidRPr="00EC4EF4">
        <w:rPr>
          <w:rFonts w:ascii="Arial" w:hAnsi="Arial" w:cs="Arial"/>
          <w:sz w:val="24"/>
          <w:szCs w:val="24"/>
        </w:rPr>
        <w:t>186-3</w:t>
      </w:r>
      <w:r w:rsidRPr="00EC4EF4">
        <w:rPr>
          <w:rFonts w:ascii="Arial" w:hAnsi="Arial" w:cs="Arial"/>
          <w:sz w:val="24"/>
          <w:szCs w:val="24"/>
        </w:rPr>
        <w:t xml:space="preserve"> which explains how the fuel loading for the initial cores at Vogtle 3 and 4 differs from that of a reload at an operating unit and for subsequent reloads at Vogtle 3 and 4:</w:t>
      </w:r>
    </w:p>
    <w:p w14:paraId="0A0CB26F" w14:textId="77777777" w:rsidR="0062782A" w:rsidRPr="00EC4EF4" w:rsidRDefault="0062782A" w:rsidP="0062782A">
      <w:pPr>
        <w:ind w:left="360"/>
        <w:rPr>
          <w:rFonts w:ascii="Arial" w:hAnsi="Arial" w:cs="Arial"/>
          <w:szCs w:val="24"/>
        </w:rPr>
      </w:pPr>
    </w:p>
    <w:p w14:paraId="2426159B" w14:textId="77777777" w:rsidR="0062782A" w:rsidRPr="00EC4EF4" w:rsidRDefault="0062782A" w:rsidP="0062782A">
      <w:pPr>
        <w:tabs>
          <w:tab w:val="left" w:pos="1800"/>
        </w:tabs>
        <w:spacing w:line="256" w:lineRule="auto"/>
        <w:ind w:left="1080"/>
        <w:contextualSpacing/>
        <w:rPr>
          <w:rFonts w:ascii="Arial" w:hAnsi="Arial" w:cs="Arial"/>
          <w:i/>
          <w:iCs/>
          <w:szCs w:val="24"/>
        </w:rPr>
      </w:pPr>
      <w:r w:rsidRPr="00EC4EF4">
        <w:rPr>
          <w:rFonts w:ascii="Arial" w:hAnsi="Arial" w:cs="Arial"/>
          <w:i/>
          <w:iCs/>
          <w:szCs w:val="24"/>
        </w:rPr>
        <w:t xml:space="preserve">During a reload at an operating unit, approximately 40% of the core is replaced during a refueling outage. The remaining 60% comes from previous cycles and can be used for one to two additional cycles. For the initial cycles, Vogtle Units 3 and 4 were required to purchase 100% of the fuel for a full core. The assemblies purchased are specially configured for an initial cycle of operation and replicate the behavior of a reactor containing a mix of new and partially used fuel. After the first cycle, approximately 40% of that fuel will be removed from the core and replaced with new fuel assemblies. With the discharge of the single use fuel after the first cycle, 100% of that fuel cost must be recovered during the first cycle. Future cycles have a lower cost since they will only require the portion of fuel which is being replaced in that cycle. </w:t>
      </w:r>
    </w:p>
    <w:p w14:paraId="6417A782" w14:textId="77777777" w:rsidR="0062782A" w:rsidRPr="00EC4EF4" w:rsidRDefault="0062782A" w:rsidP="0062782A">
      <w:pPr>
        <w:tabs>
          <w:tab w:val="left" w:pos="1800"/>
        </w:tabs>
        <w:spacing w:line="256" w:lineRule="auto"/>
        <w:ind w:left="360"/>
        <w:contextualSpacing/>
        <w:rPr>
          <w:rFonts w:ascii="Arial" w:hAnsi="Arial" w:cs="Arial"/>
          <w:szCs w:val="24"/>
        </w:rPr>
      </w:pPr>
    </w:p>
    <w:p w14:paraId="7A821C03" w14:textId="77777777" w:rsidR="0062782A" w:rsidRPr="00EC4EF4" w:rsidRDefault="0062782A" w:rsidP="0062782A">
      <w:pPr>
        <w:ind w:left="720"/>
        <w:rPr>
          <w:rFonts w:ascii="Arial" w:hAnsi="Arial" w:cs="Arial"/>
          <w:szCs w:val="24"/>
        </w:rPr>
      </w:pPr>
      <w:r w:rsidRPr="00EC4EF4">
        <w:rPr>
          <w:rFonts w:ascii="Arial" w:eastAsia="Calibri" w:hAnsi="Arial" w:cs="Arial"/>
          <w:szCs w:val="24"/>
        </w:rPr>
        <w:t>As additional explanation for why some fuel assemblies in the initial core will only operate for one cycle, it is important to recognize that nuclear units have a fixed number of fuel assemblies in the reactor at all times during operation (in this case 157 fuel assemblies).  To be able refuel the unit for the next operating cycle, fuel assemblies must be removed from the reactor to make space for new fuel and that number must match the number being added to provide fuel to generate the planned energy for the next operating cycle. As an example, if Cycle 2 requires 62 fuel assemblies to operate for the planned duration then 62 must be removed from the population in the reactor at the end of Cycle 1</w:t>
      </w:r>
      <w:r w:rsidRPr="00EC4EF4">
        <w:rPr>
          <w:rFonts w:ascii="Arial" w:hAnsi="Arial" w:cs="Arial"/>
          <w:szCs w:val="24"/>
        </w:rPr>
        <w:t xml:space="preserve">.  </w:t>
      </w:r>
    </w:p>
    <w:p w14:paraId="6C798D9B" w14:textId="77777777" w:rsidR="0062782A" w:rsidRPr="00EC4EF4" w:rsidRDefault="0062782A" w:rsidP="0062782A">
      <w:pPr>
        <w:tabs>
          <w:tab w:val="left" w:pos="1800"/>
        </w:tabs>
        <w:spacing w:line="256" w:lineRule="auto"/>
        <w:ind w:left="360"/>
        <w:contextualSpacing/>
        <w:rPr>
          <w:rFonts w:ascii="Arial" w:hAnsi="Arial" w:cs="Arial"/>
          <w:szCs w:val="24"/>
        </w:rPr>
      </w:pPr>
    </w:p>
    <w:p w14:paraId="0E3A7084" w14:textId="14C19D87" w:rsidR="0062782A" w:rsidRPr="00EC4EF4" w:rsidRDefault="0062782A" w:rsidP="0062782A">
      <w:pPr>
        <w:ind w:left="720"/>
        <w:rPr>
          <w:rFonts w:ascii="Arial" w:eastAsia="Calibri" w:hAnsi="Arial" w:cs="Arial"/>
          <w:szCs w:val="24"/>
        </w:rPr>
      </w:pPr>
      <w:r w:rsidRPr="00EC4EF4">
        <w:rPr>
          <w:rFonts w:ascii="Arial" w:eastAsia="Calibri" w:hAnsi="Arial" w:cs="Arial"/>
          <w:szCs w:val="24"/>
        </w:rPr>
        <w:t>As demonstrated in our response to STF-1</w:t>
      </w:r>
      <w:r w:rsidR="007621C1" w:rsidRPr="00EC4EF4">
        <w:rPr>
          <w:rFonts w:ascii="Arial" w:eastAsia="Calibri" w:hAnsi="Arial" w:cs="Arial"/>
          <w:szCs w:val="24"/>
        </w:rPr>
        <w:t>98-31</w:t>
      </w:r>
      <w:r w:rsidRPr="00EC4EF4">
        <w:rPr>
          <w:rFonts w:ascii="Arial" w:eastAsia="Calibri" w:hAnsi="Arial" w:cs="Arial"/>
          <w:szCs w:val="24"/>
        </w:rPr>
        <w:t xml:space="preserve">(a) above, the first cycle (which occurs in 2021 and 2022) also contains amortization of AFUDC </w:t>
      </w:r>
      <w:r w:rsidRPr="00EC4EF4">
        <w:rPr>
          <w:rFonts w:ascii="Arial" w:eastAsia="Calibri" w:hAnsi="Arial" w:cs="Arial"/>
          <w:szCs w:val="24"/>
        </w:rPr>
        <w:lastRenderedPageBreak/>
        <w:t>that has accrued through the construction period.  As explained in STF-</w:t>
      </w:r>
      <w:r w:rsidR="007621C1" w:rsidRPr="00EC4EF4">
        <w:rPr>
          <w:rFonts w:ascii="Arial" w:eastAsia="Calibri" w:hAnsi="Arial" w:cs="Arial"/>
          <w:szCs w:val="24"/>
        </w:rPr>
        <w:t>186-3</w:t>
      </w:r>
      <w:r w:rsidRPr="00EC4EF4">
        <w:rPr>
          <w:rFonts w:ascii="Arial" w:eastAsia="Calibri" w:hAnsi="Arial" w:cs="Arial"/>
          <w:szCs w:val="24"/>
        </w:rPr>
        <w:t xml:space="preserve">: </w:t>
      </w:r>
    </w:p>
    <w:p w14:paraId="72FB3F82" w14:textId="77777777" w:rsidR="0062782A" w:rsidRPr="00EC4EF4" w:rsidRDefault="0062782A" w:rsidP="0062782A">
      <w:pPr>
        <w:tabs>
          <w:tab w:val="left" w:pos="1800"/>
        </w:tabs>
        <w:spacing w:line="256" w:lineRule="auto"/>
        <w:ind w:left="360"/>
        <w:contextualSpacing/>
        <w:rPr>
          <w:rFonts w:ascii="Arial" w:hAnsi="Arial" w:cs="Arial"/>
          <w:szCs w:val="24"/>
        </w:rPr>
      </w:pPr>
      <w:r w:rsidRPr="00EC4EF4">
        <w:rPr>
          <w:rFonts w:ascii="Arial" w:hAnsi="Arial" w:cs="Arial"/>
          <w:szCs w:val="24"/>
        </w:rPr>
        <w:t xml:space="preserve"> </w:t>
      </w:r>
    </w:p>
    <w:p w14:paraId="2BC049FA" w14:textId="77777777" w:rsidR="0062782A" w:rsidRPr="00EC4EF4" w:rsidRDefault="0062782A" w:rsidP="0062782A">
      <w:pPr>
        <w:tabs>
          <w:tab w:val="left" w:pos="1800"/>
        </w:tabs>
        <w:spacing w:line="256" w:lineRule="auto"/>
        <w:ind w:left="1080"/>
        <w:contextualSpacing/>
        <w:rPr>
          <w:rFonts w:ascii="Arial" w:hAnsi="Arial" w:cs="Arial"/>
          <w:i/>
          <w:iCs/>
          <w:szCs w:val="24"/>
        </w:rPr>
      </w:pPr>
      <w:r w:rsidRPr="00EC4EF4">
        <w:rPr>
          <w:rFonts w:ascii="Arial" w:hAnsi="Arial" w:cs="Arial"/>
          <w:i/>
          <w:iCs/>
          <w:szCs w:val="24"/>
        </w:rPr>
        <w:t>The first cycle also contains amortization of AFUDC that has accrued through construction to COD. This is in addition to any AFUDC that is collected during the construction period of a normal reload and contributes to the higher value seen for the initial cores.</w:t>
      </w:r>
    </w:p>
    <w:p w14:paraId="0AE2B718" w14:textId="77777777" w:rsidR="0062782A" w:rsidRPr="00EC4EF4" w:rsidRDefault="0062782A" w:rsidP="0062782A">
      <w:pPr>
        <w:tabs>
          <w:tab w:val="left" w:pos="1800"/>
        </w:tabs>
        <w:spacing w:line="256" w:lineRule="auto"/>
        <w:ind w:left="360"/>
        <w:contextualSpacing/>
        <w:rPr>
          <w:rFonts w:ascii="Arial" w:hAnsi="Arial" w:cs="Arial"/>
          <w:szCs w:val="24"/>
        </w:rPr>
      </w:pPr>
    </w:p>
    <w:p w14:paraId="3696BAD5" w14:textId="63226BAA" w:rsidR="0062782A" w:rsidRPr="00EC4EF4" w:rsidRDefault="0062782A" w:rsidP="00720829">
      <w:pPr>
        <w:tabs>
          <w:tab w:val="left" w:pos="7200"/>
        </w:tabs>
        <w:ind w:left="720"/>
        <w:rPr>
          <w:rFonts w:ascii="Arial" w:eastAsia="Calibri" w:hAnsi="Arial" w:cs="Arial"/>
          <w:szCs w:val="24"/>
        </w:rPr>
      </w:pPr>
      <w:r w:rsidRPr="00EC4EF4">
        <w:rPr>
          <w:rFonts w:ascii="Arial" w:eastAsia="Calibri" w:hAnsi="Arial" w:cs="Arial"/>
          <w:szCs w:val="24"/>
        </w:rPr>
        <w:t>Lastly, the fuel being used for the initial core at Vogtle</w:t>
      </w:r>
      <w:r w:rsidR="00720829">
        <w:rPr>
          <w:rFonts w:ascii="Arial" w:eastAsia="Calibri" w:hAnsi="Arial" w:cs="Arial"/>
          <w:szCs w:val="24"/>
        </w:rPr>
        <w:t xml:space="preserve"> Unit </w:t>
      </w:r>
      <w:r w:rsidRPr="00EC4EF4">
        <w:rPr>
          <w:rFonts w:ascii="Arial" w:eastAsia="Calibri" w:hAnsi="Arial" w:cs="Arial"/>
          <w:szCs w:val="24"/>
        </w:rPr>
        <w:t xml:space="preserve">3 was procured at a time when market prices for these commodities (uranium, </w:t>
      </w:r>
      <w:proofErr w:type="gramStart"/>
      <w:r w:rsidRPr="00EC4EF4">
        <w:rPr>
          <w:rFonts w:ascii="Arial" w:eastAsia="Calibri" w:hAnsi="Arial" w:cs="Arial"/>
          <w:szCs w:val="24"/>
        </w:rPr>
        <w:t>conversion</w:t>
      </w:r>
      <w:proofErr w:type="gramEnd"/>
      <w:r w:rsidRPr="00EC4EF4">
        <w:rPr>
          <w:rFonts w:ascii="Arial" w:eastAsia="Calibri" w:hAnsi="Arial" w:cs="Arial"/>
          <w:szCs w:val="24"/>
        </w:rPr>
        <w:t xml:space="preserve"> and enrichment) were much higher than conditions experienced in recent years.  As such, the fuel for the initial core has a higher unit cost than that projected for the reloads for subsequent cycles.  Since these costs are recovered over the period of usage for this fuel, this contributes to the significant decline that is seen between monthly amortization expenses in the period of 2021-2022 and future periods.  </w:t>
      </w:r>
    </w:p>
    <w:p w14:paraId="1DF8EBD7" w14:textId="77777777" w:rsidR="00455CE4" w:rsidRPr="00EC4EF4" w:rsidRDefault="00455CE4">
      <w:pPr>
        <w:rPr>
          <w:rFonts w:ascii="Arial" w:hAnsi="Arial" w:cs="Arial"/>
        </w:rPr>
      </w:pPr>
    </w:p>
    <w:p w14:paraId="22DA7B5C" w14:textId="77777777" w:rsidR="000C2AA7" w:rsidRPr="00EC4EF4" w:rsidRDefault="000C2AA7">
      <w:pPr>
        <w:rPr>
          <w:rFonts w:ascii="Arial" w:hAnsi="Arial" w:cs="Arial"/>
        </w:rPr>
      </w:pPr>
    </w:p>
    <w:p w14:paraId="2B370FDE" w14:textId="2FF65B45" w:rsidR="00431988" w:rsidRPr="00E30089" w:rsidRDefault="00431988">
      <w:pPr>
        <w:rPr>
          <w:rFonts w:ascii="Arial" w:hAnsi="Arial" w:cs="Arial"/>
        </w:rPr>
      </w:pPr>
      <w:r w:rsidRPr="00EC4EF4">
        <w:rPr>
          <w:rFonts w:ascii="Arial" w:hAnsi="Arial" w:cs="Arial"/>
        </w:rPr>
        <w:t xml:space="preserve">Contact: </w:t>
      </w:r>
      <w:r w:rsidR="00DD5CF1" w:rsidRPr="00EC4EF4">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60C74"/>
    <w:multiLevelType w:val="hybridMultilevel"/>
    <w:tmpl w:val="BC20A4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C67AB"/>
    <w:multiLevelType w:val="hybridMultilevel"/>
    <w:tmpl w:val="D19CFE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9200E"/>
    <w:multiLevelType w:val="hybridMultilevel"/>
    <w:tmpl w:val="83E8CB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B72209"/>
    <w:multiLevelType w:val="hybridMultilevel"/>
    <w:tmpl w:val="C3FE7C26"/>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4B0556"/>
    <w:multiLevelType w:val="hybridMultilevel"/>
    <w:tmpl w:val="9DA42082"/>
    <w:lvl w:ilvl="0" w:tplc="91F61EE6">
      <w:start w:val="1"/>
      <w:numFmt w:val="lowerLetter"/>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5"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A71E5"/>
    <w:multiLevelType w:val="hybridMultilevel"/>
    <w:tmpl w:val="6652B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5"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F729AD"/>
    <w:multiLevelType w:val="hybridMultilevel"/>
    <w:tmpl w:val="1A4E72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E6BA2"/>
    <w:multiLevelType w:val="hybridMultilevel"/>
    <w:tmpl w:val="C32887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
  </w:num>
  <w:num w:numId="10">
    <w:abstractNumId w:val="16"/>
  </w:num>
  <w:num w:numId="11">
    <w:abstractNumId w:val="23"/>
  </w:num>
  <w:num w:numId="12">
    <w:abstractNumId w:val="20"/>
  </w:num>
  <w:num w:numId="13">
    <w:abstractNumId w:val="27"/>
  </w:num>
  <w:num w:numId="14">
    <w:abstractNumId w:val="8"/>
  </w:num>
  <w:num w:numId="15">
    <w:abstractNumId w:val="17"/>
  </w:num>
  <w:num w:numId="16">
    <w:abstractNumId w:val="26"/>
  </w:num>
  <w:num w:numId="17">
    <w:abstractNumId w:val="12"/>
  </w:num>
  <w:num w:numId="18">
    <w:abstractNumId w:val="7"/>
  </w:num>
  <w:num w:numId="19">
    <w:abstractNumId w:val="1"/>
  </w:num>
  <w:num w:numId="20">
    <w:abstractNumId w:val="11"/>
  </w:num>
  <w:num w:numId="21">
    <w:abstractNumId w:val="29"/>
  </w:num>
  <w:num w:numId="22">
    <w:abstractNumId w:val="25"/>
  </w:num>
  <w:num w:numId="23">
    <w:abstractNumId w:val="4"/>
  </w:num>
  <w:num w:numId="24">
    <w:abstractNumId w:val="21"/>
  </w:num>
  <w:num w:numId="25">
    <w:abstractNumId w:val="37"/>
  </w:num>
  <w:num w:numId="26">
    <w:abstractNumId w:val="5"/>
  </w:num>
  <w:num w:numId="27">
    <w:abstractNumId w:val="30"/>
  </w:num>
  <w:num w:numId="28">
    <w:abstractNumId w:val="9"/>
  </w:num>
  <w:num w:numId="29">
    <w:abstractNumId w:val="42"/>
  </w:num>
  <w:num w:numId="30">
    <w:abstractNumId w:val="13"/>
  </w:num>
  <w:num w:numId="31">
    <w:abstractNumId w:val="39"/>
  </w:num>
  <w:num w:numId="32">
    <w:abstractNumId w:val="32"/>
  </w:num>
  <w:num w:numId="33">
    <w:abstractNumId w:val="35"/>
  </w:num>
  <w:num w:numId="34">
    <w:abstractNumId w:val="31"/>
  </w:num>
  <w:num w:numId="35">
    <w:abstractNumId w:val="6"/>
  </w:num>
  <w:num w:numId="36">
    <w:abstractNumId w:val="43"/>
  </w:num>
  <w:num w:numId="37">
    <w:abstractNumId w:val="2"/>
  </w:num>
  <w:num w:numId="38">
    <w:abstractNumId w:val="28"/>
  </w:num>
  <w:num w:numId="39">
    <w:abstractNumId w:val="33"/>
  </w:num>
  <w:num w:numId="40">
    <w:abstractNumId w:val="18"/>
  </w:num>
  <w:num w:numId="41">
    <w:abstractNumId w:val="10"/>
  </w:num>
  <w:num w:numId="42">
    <w:abstractNumId w:val="19"/>
  </w:num>
  <w:num w:numId="43">
    <w:abstractNumId w:val="41"/>
  </w:num>
  <w:num w:numId="44">
    <w:abstractNumId w:val="14"/>
  </w:num>
  <w:num w:numId="45">
    <w:abstractNumId w:val="40"/>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218"/>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B5DE0"/>
    <w:rsid w:val="002C6A3A"/>
    <w:rsid w:val="002C7DA5"/>
    <w:rsid w:val="002E1A6A"/>
    <w:rsid w:val="002F2512"/>
    <w:rsid w:val="002F6728"/>
    <w:rsid w:val="00302EEF"/>
    <w:rsid w:val="00303450"/>
    <w:rsid w:val="00321E8A"/>
    <w:rsid w:val="00323455"/>
    <w:rsid w:val="0038296D"/>
    <w:rsid w:val="003962E1"/>
    <w:rsid w:val="003A1DE5"/>
    <w:rsid w:val="003B0352"/>
    <w:rsid w:val="003B77C9"/>
    <w:rsid w:val="003D7EB2"/>
    <w:rsid w:val="003F33AC"/>
    <w:rsid w:val="00401F1A"/>
    <w:rsid w:val="00405F6C"/>
    <w:rsid w:val="004303EC"/>
    <w:rsid w:val="00431988"/>
    <w:rsid w:val="00440182"/>
    <w:rsid w:val="00455CE4"/>
    <w:rsid w:val="00460392"/>
    <w:rsid w:val="0046041A"/>
    <w:rsid w:val="00461570"/>
    <w:rsid w:val="00464163"/>
    <w:rsid w:val="00471255"/>
    <w:rsid w:val="00473939"/>
    <w:rsid w:val="00486073"/>
    <w:rsid w:val="004967F1"/>
    <w:rsid w:val="00496C5A"/>
    <w:rsid w:val="004A6CD4"/>
    <w:rsid w:val="004C4447"/>
    <w:rsid w:val="004C6A8A"/>
    <w:rsid w:val="004D0481"/>
    <w:rsid w:val="00510DC3"/>
    <w:rsid w:val="00515C39"/>
    <w:rsid w:val="005243F4"/>
    <w:rsid w:val="00536EC6"/>
    <w:rsid w:val="0054000B"/>
    <w:rsid w:val="0057479C"/>
    <w:rsid w:val="0057533E"/>
    <w:rsid w:val="00590FC8"/>
    <w:rsid w:val="005A0822"/>
    <w:rsid w:val="005C003E"/>
    <w:rsid w:val="005C4EBA"/>
    <w:rsid w:val="005F22E0"/>
    <w:rsid w:val="005F7E58"/>
    <w:rsid w:val="0062782A"/>
    <w:rsid w:val="006464D1"/>
    <w:rsid w:val="006507AC"/>
    <w:rsid w:val="00655F98"/>
    <w:rsid w:val="006710FB"/>
    <w:rsid w:val="006777A4"/>
    <w:rsid w:val="00684CFD"/>
    <w:rsid w:val="00690827"/>
    <w:rsid w:val="006915A8"/>
    <w:rsid w:val="006A0EC9"/>
    <w:rsid w:val="006C263A"/>
    <w:rsid w:val="006D711E"/>
    <w:rsid w:val="006E4AAC"/>
    <w:rsid w:val="006E7936"/>
    <w:rsid w:val="007034F0"/>
    <w:rsid w:val="0070496B"/>
    <w:rsid w:val="007109AE"/>
    <w:rsid w:val="00713AAC"/>
    <w:rsid w:val="00720829"/>
    <w:rsid w:val="00724496"/>
    <w:rsid w:val="0073556D"/>
    <w:rsid w:val="007407E8"/>
    <w:rsid w:val="00745AAD"/>
    <w:rsid w:val="00755B28"/>
    <w:rsid w:val="007621C1"/>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35E7B"/>
    <w:rsid w:val="009500E3"/>
    <w:rsid w:val="0096507E"/>
    <w:rsid w:val="00970288"/>
    <w:rsid w:val="00970333"/>
    <w:rsid w:val="00973D0D"/>
    <w:rsid w:val="00997F98"/>
    <w:rsid w:val="009C2997"/>
    <w:rsid w:val="009C58E7"/>
    <w:rsid w:val="009E3C9F"/>
    <w:rsid w:val="009E6C9D"/>
    <w:rsid w:val="009E7B6A"/>
    <w:rsid w:val="009F11F7"/>
    <w:rsid w:val="00A00EA8"/>
    <w:rsid w:val="00A100C9"/>
    <w:rsid w:val="00A128D7"/>
    <w:rsid w:val="00A165A5"/>
    <w:rsid w:val="00A2707B"/>
    <w:rsid w:val="00A37235"/>
    <w:rsid w:val="00A45928"/>
    <w:rsid w:val="00A614DA"/>
    <w:rsid w:val="00A61DF0"/>
    <w:rsid w:val="00A7112E"/>
    <w:rsid w:val="00A72D04"/>
    <w:rsid w:val="00A84369"/>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057F1"/>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60E45"/>
    <w:rsid w:val="00E62D76"/>
    <w:rsid w:val="00E650F7"/>
    <w:rsid w:val="00E728C7"/>
    <w:rsid w:val="00E812FD"/>
    <w:rsid w:val="00EC4EF4"/>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08439675">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456E04-FF50-4324-A825-58BE440BB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2021-03-17T18:30:00Z</dcterms:created>
  <dcterms:modified xsi:type="dcterms:W3CDTF">2021-04-07T10:34:00Z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