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F97CC" w14:textId="77777777" w:rsidR="004858A2" w:rsidRPr="00E30089" w:rsidRDefault="004858A2" w:rsidP="004858A2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700F4E97" w14:textId="77777777" w:rsidR="004858A2" w:rsidRPr="00E30089" w:rsidRDefault="004858A2" w:rsidP="004858A2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1646DCD6" w14:textId="64651C0F" w:rsidR="004858A2" w:rsidRDefault="004858A2" w:rsidP="004858A2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22441B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198</w:t>
      </w:r>
    </w:p>
    <w:p w14:paraId="375FCA76" w14:textId="70E6E456" w:rsidR="004858A2" w:rsidRDefault="004858A2" w:rsidP="004858A2">
      <w:pPr>
        <w:jc w:val="center"/>
        <w:rPr>
          <w:rFonts w:ascii="Arial" w:hAnsi="Arial" w:cs="Arial"/>
          <w:b/>
        </w:rPr>
      </w:pPr>
    </w:p>
    <w:p w14:paraId="64D29E6B" w14:textId="0B603770" w:rsidR="004858A2" w:rsidRDefault="004858A2" w:rsidP="004858A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STF-198-30</w:t>
      </w:r>
    </w:p>
    <w:p w14:paraId="053B6CC1" w14:textId="53C7C9E8" w:rsidR="004858A2" w:rsidRDefault="004858A2" w:rsidP="004858A2">
      <w:pPr>
        <w:rPr>
          <w:rFonts w:ascii="Arial" w:hAnsi="Arial" w:cs="Arial"/>
          <w:b/>
        </w:rPr>
      </w:pPr>
    </w:p>
    <w:p w14:paraId="3D49EA4D" w14:textId="77777777" w:rsidR="004858A2" w:rsidRDefault="004858A2" w:rsidP="004858A2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59F77D8D" w14:textId="77777777" w:rsidR="004858A2" w:rsidRDefault="004858A2" w:rsidP="004858A2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</w:p>
    <w:p w14:paraId="1947A6FF" w14:textId="57AE6F7A" w:rsidR="004858A2" w:rsidRPr="004858A2" w:rsidRDefault="004858A2" w:rsidP="004858A2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4858A2">
        <w:rPr>
          <w:rFonts w:ascii="Arial" w:eastAsia="Calibri" w:hAnsi="Arial" w:cs="Arial"/>
        </w:rPr>
        <w:t xml:space="preserve">Provide a detailed description of the Company’s ratemaking proposal(s) that are reflected in the current VCM modeling, including, but not limited to, the rate impact modeling (Figure A of the VCM 24 Report) and the cost-to-complete analysis (reflected in the SAM Model), for the in-service costs of Vogtle 3 and 4 (separately); the timing and form of current recovery the Company will seek; the costs that will be included in the request for current recovery, including whether the NCCR will be maintained or “rolled-in” to the base revenue requirement or a new rider; and each cost that the Company will seek to  defer and subsequently amortize.  </w:t>
      </w:r>
    </w:p>
    <w:p w14:paraId="48E877C5" w14:textId="67DABE27" w:rsidR="004858A2" w:rsidRDefault="004858A2" w:rsidP="004858A2">
      <w:pPr>
        <w:jc w:val="center"/>
        <w:rPr>
          <w:rFonts w:ascii="Arial" w:hAnsi="Arial" w:cs="Arial"/>
          <w:b/>
        </w:rPr>
      </w:pPr>
    </w:p>
    <w:p w14:paraId="03402B48" w14:textId="77777777" w:rsidR="004858A2" w:rsidRPr="00E30089" w:rsidRDefault="004858A2" w:rsidP="004858A2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Response:</w:t>
      </w:r>
    </w:p>
    <w:p w14:paraId="4FC9130A" w14:textId="77777777" w:rsidR="004858A2" w:rsidRDefault="004858A2" w:rsidP="004858A2">
      <w:pPr>
        <w:rPr>
          <w:rFonts w:ascii="Arial" w:hAnsi="Arial" w:cs="Arial"/>
        </w:rPr>
      </w:pPr>
    </w:p>
    <w:p w14:paraId="6FEC5514" w14:textId="3920CE4A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  <w:r w:rsidRPr="006C26CB">
        <w:rPr>
          <w:rFonts w:ascii="Arial" w:hAnsi="Arial" w:cs="Arial"/>
          <w:szCs w:val="24"/>
        </w:rPr>
        <w:t>Please see the Company’s response to STF-1</w:t>
      </w:r>
      <w:r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>-</w:t>
      </w:r>
      <w:r>
        <w:rPr>
          <w:rFonts w:ascii="Arial" w:hAnsi="Arial" w:cs="Arial"/>
          <w:szCs w:val="24"/>
        </w:rPr>
        <w:t>29</w:t>
      </w:r>
      <w:r w:rsidRPr="006C26CB">
        <w:rPr>
          <w:rFonts w:ascii="Arial" w:hAnsi="Arial" w:cs="Arial"/>
          <w:szCs w:val="24"/>
        </w:rPr>
        <w:t xml:space="preserve"> for additional details regarding plans for its Vogtle Units 3</w:t>
      </w:r>
      <w:r>
        <w:rPr>
          <w:rFonts w:ascii="Arial" w:hAnsi="Arial" w:cs="Arial"/>
          <w:szCs w:val="24"/>
        </w:rPr>
        <w:t xml:space="preserve"> and </w:t>
      </w:r>
      <w:r w:rsidRPr="006C26CB">
        <w:rPr>
          <w:rFonts w:ascii="Arial" w:hAnsi="Arial" w:cs="Arial"/>
          <w:szCs w:val="24"/>
        </w:rPr>
        <w:t xml:space="preserve">4 ratemaking proposals. For this response, the Company is providing the assumptions used for modeling purposes and included in the rate impact </w:t>
      </w:r>
      <w:r>
        <w:rPr>
          <w:rFonts w:ascii="Arial" w:hAnsi="Arial" w:cs="Arial"/>
          <w:szCs w:val="24"/>
        </w:rPr>
        <w:t xml:space="preserve">analysis </w:t>
      </w:r>
      <w:r w:rsidRPr="006C26CB">
        <w:rPr>
          <w:rFonts w:ascii="Arial" w:hAnsi="Arial" w:cs="Arial"/>
          <w:szCs w:val="24"/>
        </w:rPr>
        <w:t xml:space="preserve">filed in the </w:t>
      </w:r>
      <w:r w:rsidR="0022441B">
        <w:rPr>
          <w:rFonts w:ascii="Arial" w:hAnsi="Arial" w:cs="Arial"/>
          <w:szCs w:val="24"/>
        </w:rPr>
        <w:t>24</w:t>
      </w:r>
      <w:r w:rsidR="0022441B" w:rsidRPr="0022441B">
        <w:rPr>
          <w:rFonts w:ascii="Arial" w:hAnsi="Arial" w:cs="Arial"/>
          <w:szCs w:val="24"/>
          <w:vertAlign w:val="superscript"/>
        </w:rPr>
        <w:t>th</w:t>
      </w:r>
      <w:r w:rsidR="0022441B">
        <w:rPr>
          <w:rFonts w:ascii="Arial" w:hAnsi="Arial" w:cs="Arial"/>
          <w:szCs w:val="24"/>
        </w:rPr>
        <w:t xml:space="preserve"> </w:t>
      </w:r>
      <w:r w:rsidRPr="006C26CB">
        <w:rPr>
          <w:rFonts w:ascii="Arial" w:hAnsi="Arial" w:cs="Arial"/>
          <w:szCs w:val="24"/>
        </w:rPr>
        <w:t>VCM</w:t>
      </w:r>
      <w:r w:rsidR="006010A0">
        <w:rPr>
          <w:rFonts w:ascii="Arial" w:hAnsi="Arial" w:cs="Arial"/>
          <w:szCs w:val="24"/>
        </w:rPr>
        <w:t xml:space="preserve"> Report</w:t>
      </w:r>
      <w:r w:rsidRPr="006C26CB">
        <w:rPr>
          <w:rFonts w:ascii="Arial" w:hAnsi="Arial" w:cs="Arial"/>
          <w:szCs w:val="24"/>
        </w:rPr>
        <w:t xml:space="preserve">. Please note that the cost-to-complete analysis only addresses marginal revenue requirements from </w:t>
      </w:r>
      <w:r>
        <w:rPr>
          <w:rFonts w:ascii="Arial" w:hAnsi="Arial" w:cs="Arial"/>
          <w:szCs w:val="24"/>
        </w:rPr>
        <w:t>August 2021</w:t>
      </w:r>
      <w:r w:rsidRPr="006C26CB">
        <w:rPr>
          <w:rFonts w:ascii="Arial" w:hAnsi="Arial" w:cs="Arial"/>
          <w:szCs w:val="24"/>
        </w:rPr>
        <w:t xml:space="preserve"> forward to evaluate economic benefit</w:t>
      </w:r>
      <w:r w:rsidR="006010A0">
        <w:rPr>
          <w:rFonts w:ascii="Arial" w:hAnsi="Arial" w:cs="Arial"/>
          <w:szCs w:val="24"/>
        </w:rPr>
        <w:t>.</w:t>
      </w:r>
      <w:r w:rsidRPr="006C26CB">
        <w:rPr>
          <w:rFonts w:ascii="Arial" w:hAnsi="Arial" w:cs="Arial"/>
          <w:szCs w:val="24"/>
        </w:rPr>
        <w:t xml:space="preserve"> </w:t>
      </w:r>
      <w:r w:rsidR="006010A0">
        <w:rPr>
          <w:rFonts w:ascii="Arial" w:hAnsi="Arial" w:cs="Arial"/>
          <w:szCs w:val="24"/>
        </w:rPr>
        <w:t>A</w:t>
      </w:r>
      <w:r w:rsidRPr="006C26CB">
        <w:rPr>
          <w:rFonts w:ascii="Arial" w:hAnsi="Arial" w:cs="Arial"/>
          <w:szCs w:val="24"/>
        </w:rPr>
        <w:t xml:space="preserve">s such, </w:t>
      </w:r>
      <w:r w:rsidR="006010A0">
        <w:rPr>
          <w:rFonts w:ascii="Arial" w:hAnsi="Arial" w:cs="Arial"/>
          <w:szCs w:val="24"/>
        </w:rPr>
        <w:t xml:space="preserve">it </w:t>
      </w:r>
      <w:r w:rsidRPr="006C26CB">
        <w:rPr>
          <w:rFonts w:ascii="Arial" w:hAnsi="Arial" w:cs="Arial"/>
          <w:szCs w:val="24"/>
        </w:rPr>
        <w:t>is not intended to reflect recovery of total costs from a ratemaking perspective</w:t>
      </w:r>
      <w:r w:rsidR="006010A0">
        <w:rPr>
          <w:rFonts w:ascii="Arial" w:hAnsi="Arial" w:cs="Arial"/>
          <w:szCs w:val="24"/>
        </w:rPr>
        <w:t>,</w:t>
      </w:r>
      <w:r w:rsidR="00447146">
        <w:rPr>
          <w:rFonts w:ascii="Arial" w:hAnsi="Arial" w:cs="Arial"/>
          <w:szCs w:val="24"/>
        </w:rPr>
        <w:t xml:space="preserve"> which will be addressed in the base rate filings respective to each unit prior to </w:t>
      </w:r>
      <w:r w:rsidR="006010A0">
        <w:rPr>
          <w:rFonts w:ascii="Arial" w:hAnsi="Arial" w:cs="Arial"/>
          <w:szCs w:val="24"/>
        </w:rPr>
        <w:t xml:space="preserve">its </w:t>
      </w:r>
      <w:r w:rsidR="00447146">
        <w:rPr>
          <w:rFonts w:ascii="Arial" w:hAnsi="Arial" w:cs="Arial"/>
          <w:szCs w:val="24"/>
        </w:rPr>
        <w:t>in-service date</w:t>
      </w:r>
      <w:r w:rsidRPr="006C26CB">
        <w:rPr>
          <w:rFonts w:ascii="Arial" w:hAnsi="Arial" w:cs="Arial"/>
          <w:szCs w:val="24"/>
        </w:rPr>
        <w:t xml:space="preserve">.  </w:t>
      </w:r>
    </w:p>
    <w:p w14:paraId="5888C711" w14:textId="77777777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</w:p>
    <w:p w14:paraId="1249B91C" w14:textId="5DF03D1B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  <w:r w:rsidRPr="006C26CB">
        <w:rPr>
          <w:rFonts w:ascii="Arial" w:hAnsi="Arial" w:cs="Arial"/>
          <w:szCs w:val="24"/>
        </w:rPr>
        <w:t xml:space="preserve">The current VCM modeling of rate impacts </w:t>
      </w:r>
      <w:r>
        <w:rPr>
          <w:rFonts w:ascii="Arial" w:hAnsi="Arial" w:cs="Arial"/>
          <w:szCs w:val="24"/>
        </w:rPr>
        <w:t>is</w:t>
      </w:r>
      <w:r w:rsidRPr="006C26CB">
        <w:rPr>
          <w:rFonts w:ascii="Arial" w:hAnsi="Arial" w:cs="Arial"/>
          <w:szCs w:val="24"/>
        </w:rPr>
        <w:t xml:space="preserve"> summarized in the “Rate Impacts Calculation” (see </w:t>
      </w:r>
      <w:r w:rsidR="0022441B">
        <w:rPr>
          <w:rFonts w:ascii="Arial" w:hAnsi="Arial" w:cs="Arial"/>
          <w:szCs w:val="24"/>
        </w:rPr>
        <w:t xml:space="preserve">electronic </w:t>
      </w:r>
      <w:r w:rsidRPr="006C26CB">
        <w:rPr>
          <w:rFonts w:ascii="Arial" w:hAnsi="Arial" w:cs="Arial"/>
          <w:szCs w:val="24"/>
        </w:rPr>
        <w:t>Trade Secret (“TS”) Attachment STF-1</w:t>
      </w:r>
      <w:r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>-2-a,</w:t>
      </w:r>
      <w:r w:rsidRPr="006C26CB">
        <w:rPr>
          <w:szCs w:val="24"/>
        </w:rPr>
        <w:t xml:space="preserve"> “</w:t>
      </w:r>
      <w:r w:rsidRPr="006C26CB">
        <w:rPr>
          <w:rFonts w:ascii="Arial" w:hAnsi="Arial" w:cs="Arial"/>
          <w:szCs w:val="24"/>
        </w:rPr>
        <w:t>Rate Impact Sum- 2</w:t>
      </w:r>
      <w:r w:rsidR="008D2955">
        <w:rPr>
          <w:rFonts w:ascii="Arial" w:hAnsi="Arial" w:cs="Arial"/>
          <w:szCs w:val="24"/>
        </w:rPr>
        <w:t>4th</w:t>
      </w:r>
      <w:r w:rsidRPr="006C26CB">
        <w:rPr>
          <w:rFonts w:ascii="Arial" w:hAnsi="Arial" w:cs="Arial"/>
          <w:szCs w:val="24"/>
        </w:rPr>
        <w:t xml:space="preserve"> VCM” tab) with relevant references in Column S</w:t>
      </w:r>
      <w:r>
        <w:rPr>
          <w:rFonts w:ascii="Arial" w:hAnsi="Arial" w:cs="Arial"/>
          <w:szCs w:val="24"/>
        </w:rPr>
        <w:t>,</w:t>
      </w:r>
      <w:r w:rsidRPr="006C26CB">
        <w:rPr>
          <w:rFonts w:ascii="Arial" w:hAnsi="Arial" w:cs="Arial"/>
          <w:szCs w:val="24"/>
        </w:rPr>
        <w:t xml:space="preserve"> which refers mainly to the “Embedded SAM Model” (TS Attachment STF-1</w:t>
      </w:r>
      <w:r w:rsidR="008D2955"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>-2-b) and other source info</w:t>
      </w:r>
      <w:r>
        <w:rPr>
          <w:rFonts w:ascii="Arial" w:hAnsi="Arial" w:cs="Arial"/>
          <w:szCs w:val="24"/>
        </w:rPr>
        <w:t>rmation</w:t>
      </w:r>
      <w:r w:rsidRPr="006C26CB">
        <w:rPr>
          <w:rFonts w:ascii="Arial" w:hAnsi="Arial" w:cs="Arial"/>
          <w:szCs w:val="24"/>
        </w:rPr>
        <w:t xml:space="preserve"> listed in Column S.  </w:t>
      </w:r>
    </w:p>
    <w:p w14:paraId="314F2A29" w14:textId="77777777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</w:p>
    <w:p w14:paraId="45112935" w14:textId="6ADF0ADD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  <w:r w:rsidRPr="006C26CB">
        <w:rPr>
          <w:rFonts w:ascii="Arial" w:hAnsi="Arial" w:cs="Arial"/>
          <w:szCs w:val="24"/>
        </w:rPr>
        <w:t>The rate impacts model contains assumptions regarding certain Vogtle Unit 3</w:t>
      </w:r>
      <w:r>
        <w:rPr>
          <w:rFonts w:ascii="Arial" w:hAnsi="Arial" w:cs="Arial"/>
          <w:szCs w:val="24"/>
        </w:rPr>
        <w:t xml:space="preserve"> and </w:t>
      </w:r>
      <w:r w:rsidRPr="006C26CB">
        <w:rPr>
          <w:rFonts w:ascii="Arial" w:hAnsi="Arial" w:cs="Arial"/>
          <w:szCs w:val="24"/>
        </w:rPr>
        <w:t>4 costs to be recovered in the future through base and fuel rates and also includes customer benefits that are partially reflected in current rates (</w:t>
      </w:r>
      <w:r w:rsidR="002F1638" w:rsidRPr="006C26CB">
        <w:rPr>
          <w:rFonts w:ascii="Arial" w:hAnsi="Arial" w:cs="Arial"/>
          <w:szCs w:val="24"/>
        </w:rPr>
        <w:t xml:space="preserve">e.g., the DOE debt issuances that through </w:t>
      </w:r>
      <w:r w:rsidR="002F1638">
        <w:rPr>
          <w:rFonts w:ascii="Arial" w:hAnsi="Arial" w:cs="Arial"/>
          <w:szCs w:val="24"/>
        </w:rPr>
        <w:t>June 30</w:t>
      </w:r>
      <w:r w:rsidR="002F1638" w:rsidRPr="00DD201A">
        <w:rPr>
          <w:rFonts w:ascii="Arial" w:hAnsi="Arial" w:cs="Arial"/>
          <w:szCs w:val="24"/>
          <w:vertAlign w:val="superscript"/>
        </w:rPr>
        <w:t>th</w:t>
      </w:r>
      <w:r w:rsidR="002F1638">
        <w:rPr>
          <w:rFonts w:ascii="Arial" w:hAnsi="Arial" w:cs="Arial"/>
          <w:szCs w:val="24"/>
        </w:rPr>
        <w:t xml:space="preserve">, </w:t>
      </w:r>
      <w:r w:rsidR="002F1638" w:rsidRPr="006C26CB">
        <w:rPr>
          <w:rFonts w:ascii="Arial" w:hAnsi="Arial" w:cs="Arial"/>
          <w:szCs w:val="24"/>
        </w:rPr>
        <w:t>20</w:t>
      </w:r>
      <w:r w:rsidR="002F1638">
        <w:rPr>
          <w:rFonts w:ascii="Arial" w:hAnsi="Arial" w:cs="Arial"/>
          <w:szCs w:val="24"/>
        </w:rPr>
        <w:t>20</w:t>
      </w:r>
      <w:r w:rsidRPr="006C26CB">
        <w:rPr>
          <w:rFonts w:ascii="Arial" w:hAnsi="Arial" w:cs="Arial"/>
          <w:szCs w:val="24"/>
        </w:rPr>
        <w:t xml:space="preserve">).   </w:t>
      </w:r>
    </w:p>
    <w:p w14:paraId="3E66A694" w14:textId="77777777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</w:p>
    <w:p w14:paraId="03114AD2" w14:textId="0C4097B7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  <w:r w:rsidRPr="006C26CB">
        <w:rPr>
          <w:rFonts w:ascii="Arial" w:hAnsi="Arial" w:cs="Arial"/>
          <w:szCs w:val="24"/>
        </w:rPr>
        <w:t>The rate impact models recovery of the financing cost and depreciation expenses for the portion deemed prudent for Unit 3 and Common, through base rates, upon Unit 3</w:t>
      </w:r>
      <w:r>
        <w:rPr>
          <w:rFonts w:ascii="Arial" w:hAnsi="Arial" w:cs="Arial"/>
          <w:szCs w:val="24"/>
        </w:rPr>
        <w:t>’s</w:t>
      </w:r>
      <w:r w:rsidRPr="006C26CB">
        <w:rPr>
          <w:rFonts w:ascii="Arial" w:hAnsi="Arial" w:cs="Arial"/>
          <w:szCs w:val="24"/>
        </w:rPr>
        <w:t xml:space="preserve"> projected in-service date of November 2021, as approved by the Commission in the 17</w:t>
      </w:r>
      <w:r w:rsidRPr="006C26CB">
        <w:rPr>
          <w:rFonts w:ascii="Arial" w:hAnsi="Arial" w:cs="Arial"/>
          <w:szCs w:val="24"/>
          <w:vertAlign w:val="superscript"/>
        </w:rPr>
        <w:t>th</w:t>
      </w:r>
      <w:r w:rsidRPr="006C26CB">
        <w:rPr>
          <w:rFonts w:ascii="Arial" w:hAnsi="Arial" w:cs="Arial"/>
          <w:szCs w:val="24"/>
        </w:rPr>
        <w:t xml:space="preserve"> VCM order (see TS Attachment STF-1</w:t>
      </w:r>
      <w:r w:rsidR="008D2955"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 xml:space="preserve">-2-b, the “Embedded SAM model”, Vogtle 3 NCCR 1.425 and Vogtle 3 – AFUDC .915 tabs).  </w:t>
      </w:r>
    </w:p>
    <w:p w14:paraId="496FFF9A" w14:textId="77777777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</w:p>
    <w:p w14:paraId="68ADA251" w14:textId="27EB6D5B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  <w:r w:rsidRPr="006C26CB">
        <w:rPr>
          <w:rFonts w:ascii="Arial" w:hAnsi="Arial" w:cs="Arial"/>
          <w:szCs w:val="24"/>
        </w:rPr>
        <w:lastRenderedPageBreak/>
        <w:t xml:space="preserve">Of the remaining Unit 3 and Common project cost, the financing cost on the amount previously collected through the NCCR tariff </w:t>
      </w:r>
      <w:r>
        <w:rPr>
          <w:rFonts w:ascii="Arial" w:hAnsi="Arial" w:cs="Arial"/>
          <w:szCs w:val="24"/>
        </w:rPr>
        <w:t>is modeled to</w:t>
      </w:r>
      <w:r w:rsidRPr="006C26CB">
        <w:rPr>
          <w:rFonts w:ascii="Arial" w:hAnsi="Arial" w:cs="Arial"/>
          <w:szCs w:val="24"/>
        </w:rPr>
        <w:t xml:space="preserve"> continue to be collected through the tariff (see TS Attachment STF-1</w:t>
      </w:r>
      <w:r w:rsidR="008D2955"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>-2-b, the “Embedded SAM model”, Vogtle 3 Above NCCR</w:t>
      </w:r>
      <w:r>
        <w:rPr>
          <w:rFonts w:ascii="Arial" w:hAnsi="Arial" w:cs="Arial"/>
          <w:szCs w:val="24"/>
        </w:rPr>
        <w:t>,</w:t>
      </w:r>
      <w:r w:rsidRPr="006C26CB">
        <w:rPr>
          <w:rFonts w:ascii="Arial" w:hAnsi="Arial" w:cs="Arial"/>
          <w:szCs w:val="24"/>
        </w:rPr>
        <w:t xml:space="preserve"> and Vogtle 3 NCCR Closures tabs) and the financing cost on the amount not collected through base rates or the NCCR tariff is modeled to be deferred from the Unit 3 projected in-service date until the projected in-service date of Unit 4 and amortized over a 5-year period from December 2022 through November 2027 (see TS Attachment STF-1</w:t>
      </w:r>
      <w:r w:rsidR="008D2955"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>-2-b, the “Embedded Sam Model”, Vogtle 3 - 4.4B AFUDC Above tab</w:t>
      </w:r>
      <w:r>
        <w:rPr>
          <w:rFonts w:ascii="Arial" w:hAnsi="Arial" w:cs="Arial"/>
          <w:szCs w:val="24"/>
        </w:rPr>
        <w:t>,</w:t>
      </w:r>
      <w:r w:rsidRPr="006C26CB">
        <w:rPr>
          <w:rFonts w:ascii="Arial" w:hAnsi="Arial" w:cs="Arial"/>
          <w:szCs w:val="24"/>
        </w:rPr>
        <w:t xml:space="preserve"> and TS Attachment STF-1</w:t>
      </w:r>
      <w:r w:rsidR="008D2955"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 xml:space="preserve">-2-a, the “Rate Impacts Calculation”, Deferral tab). </w:t>
      </w:r>
    </w:p>
    <w:p w14:paraId="6838F96E" w14:textId="77777777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</w:p>
    <w:p w14:paraId="6CC5E266" w14:textId="051454AE" w:rsidR="004858A2" w:rsidRPr="006C26CB" w:rsidRDefault="004858A2" w:rsidP="004858A2">
      <w:pPr>
        <w:jc w:val="both"/>
        <w:rPr>
          <w:rFonts w:ascii="Arial" w:hAnsi="Arial" w:cs="Arial"/>
          <w:szCs w:val="24"/>
        </w:rPr>
      </w:pPr>
      <w:r w:rsidRPr="006C26CB">
        <w:rPr>
          <w:rFonts w:ascii="Arial" w:hAnsi="Arial" w:cs="Arial"/>
          <w:szCs w:val="24"/>
        </w:rPr>
        <w:t>The depreciation on the remaining Unit 3 and Common project cost above the deemed prudent amount in the Commission’s January 3, 2017 Order Adopting Stipulation is modeled as deferred from the Unit 3 projected in-service date until the projected in-service date of Unit 4 and amortized over a 5-year period from December 2022 through November 2027 (</w:t>
      </w:r>
      <w:r>
        <w:rPr>
          <w:rFonts w:ascii="Arial" w:hAnsi="Arial" w:cs="Arial"/>
          <w:szCs w:val="24"/>
        </w:rPr>
        <w:t>s</w:t>
      </w:r>
      <w:r w:rsidRPr="006C26CB">
        <w:rPr>
          <w:rFonts w:ascii="Arial" w:hAnsi="Arial" w:cs="Arial"/>
          <w:szCs w:val="24"/>
        </w:rPr>
        <w:t>ee TS Attachment STF-1</w:t>
      </w:r>
      <w:r w:rsidR="00B60F4C"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 xml:space="preserve">-2-a, the “Rate Impacts Calculation”, Deferral Tab). All other Vogtle Unit 3 and Common direct costs and benefits including O&amp;M, decommissioning, PTCs, fuel savings, property taxes, inventory carrying costs, and fuel costs are modeled for recovery through base or fuel rates upon </w:t>
      </w:r>
      <w:r>
        <w:rPr>
          <w:rFonts w:ascii="Arial" w:hAnsi="Arial" w:cs="Arial"/>
          <w:szCs w:val="24"/>
        </w:rPr>
        <w:t xml:space="preserve">the </w:t>
      </w:r>
      <w:r w:rsidRPr="006C26CB">
        <w:rPr>
          <w:rFonts w:ascii="Arial" w:hAnsi="Arial" w:cs="Arial"/>
          <w:szCs w:val="24"/>
        </w:rPr>
        <w:t>in-service date of Unit 3 and all of Unit 4 direct costs and benefits are modeled for recovery through base or fuel rates upon</w:t>
      </w:r>
      <w:r>
        <w:rPr>
          <w:rFonts w:ascii="Arial" w:hAnsi="Arial" w:cs="Arial"/>
          <w:szCs w:val="24"/>
        </w:rPr>
        <w:t xml:space="preserve"> the</w:t>
      </w:r>
      <w:r w:rsidRPr="006C26CB">
        <w:rPr>
          <w:rFonts w:ascii="Arial" w:hAnsi="Arial" w:cs="Arial"/>
          <w:szCs w:val="24"/>
        </w:rPr>
        <w:t xml:space="preserve"> in-service date of Unit 4 (see the TS Attachment STF-1</w:t>
      </w:r>
      <w:r w:rsidR="000B2BA0">
        <w:rPr>
          <w:rFonts w:ascii="Arial" w:hAnsi="Arial" w:cs="Arial"/>
          <w:szCs w:val="24"/>
        </w:rPr>
        <w:t>98</w:t>
      </w:r>
      <w:r w:rsidRPr="006C26CB">
        <w:rPr>
          <w:rFonts w:ascii="Arial" w:hAnsi="Arial" w:cs="Arial"/>
          <w:szCs w:val="24"/>
        </w:rPr>
        <w:t xml:space="preserve">-2-b, “Embedded SAM Model” Vogtle 4 NCCR and Vogtle 3 - 4.4B AFUDC Above tabs).  </w:t>
      </w:r>
    </w:p>
    <w:p w14:paraId="7E8B6367" w14:textId="77777777" w:rsidR="004858A2" w:rsidRPr="006C26CB" w:rsidRDefault="004858A2" w:rsidP="004858A2">
      <w:pPr>
        <w:rPr>
          <w:rFonts w:ascii="Arial" w:hAnsi="Arial" w:cs="Arial"/>
          <w:szCs w:val="24"/>
        </w:rPr>
      </w:pPr>
    </w:p>
    <w:p w14:paraId="44716C77" w14:textId="77777777" w:rsidR="004858A2" w:rsidRPr="00E30089" w:rsidRDefault="004858A2" w:rsidP="004858A2">
      <w:pPr>
        <w:rPr>
          <w:rFonts w:ascii="Arial" w:hAnsi="Arial" w:cs="Arial"/>
        </w:rPr>
      </w:pPr>
    </w:p>
    <w:p w14:paraId="4E5AE96C" w14:textId="77777777" w:rsidR="004858A2" w:rsidRPr="00E30089" w:rsidRDefault="004858A2" w:rsidP="004858A2">
      <w:pPr>
        <w:rPr>
          <w:rFonts w:ascii="Arial" w:hAnsi="Arial" w:cs="Arial"/>
        </w:rPr>
      </w:pPr>
    </w:p>
    <w:p w14:paraId="10B9A60F" w14:textId="77777777" w:rsidR="004858A2" w:rsidRPr="00E30089" w:rsidRDefault="004858A2" w:rsidP="004858A2">
      <w:pPr>
        <w:rPr>
          <w:rFonts w:ascii="Arial" w:hAnsi="Arial" w:cs="Arial"/>
        </w:rPr>
      </w:pPr>
      <w:r w:rsidRPr="00E30089">
        <w:rPr>
          <w:rFonts w:ascii="Arial" w:hAnsi="Arial" w:cs="Arial"/>
        </w:rPr>
        <w:t xml:space="preserve">Contact: </w:t>
      </w:r>
      <w:r>
        <w:rPr>
          <w:rFonts w:ascii="Arial" w:hAnsi="Arial" w:cs="Arial"/>
        </w:rPr>
        <w:t>Jeremiah Haswell</w:t>
      </w:r>
    </w:p>
    <w:p w14:paraId="4DBDBE73" w14:textId="77777777" w:rsidR="004858A2" w:rsidRPr="00E30089" w:rsidRDefault="004858A2" w:rsidP="004858A2">
      <w:pPr>
        <w:jc w:val="center"/>
        <w:rPr>
          <w:rFonts w:ascii="Arial" w:hAnsi="Arial" w:cs="Arial"/>
          <w:b/>
        </w:rPr>
      </w:pPr>
    </w:p>
    <w:p w14:paraId="2C3E4BE3" w14:textId="77777777" w:rsidR="006B4AAC" w:rsidRDefault="006B4AAC"/>
    <w:sectPr w:rsidR="006B4AAC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08E6A" w14:textId="77777777" w:rsidR="00F6292D" w:rsidRDefault="00F6292D" w:rsidP="004858A2">
      <w:r>
        <w:separator/>
      </w:r>
    </w:p>
  </w:endnote>
  <w:endnote w:type="continuationSeparator" w:id="0">
    <w:p w14:paraId="4F69F413" w14:textId="77777777" w:rsidR="00F6292D" w:rsidRDefault="00F6292D" w:rsidP="0048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49EB5" w14:textId="2DFFE021" w:rsidR="00565B4A" w:rsidRDefault="00565B4A" w:rsidP="00575EB7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13EBB" w14:textId="77777777" w:rsidR="00F6292D" w:rsidRDefault="00F6292D" w:rsidP="004858A2">
      <w:r>
        <w:separator/>
      </w:r>
    </w:p>
  </w:footnote>
  <w:footnote w:type="continuationSeparator" w:id="0">
    <w:p w14:paraId="69C633F6" w14:textId="77777777" w:rsidR="00F6292D" w:rsidRDefault="00F6292D" w:rsidP="00485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1F3CB3" w14:textId="7BCD3EF3" w:rsidR="004858A2" w:rsidRDefault="004858A2" w:rsidP="004858A2">
    <w:pPr>
      <w:pStyle w:val="Header"/>
      <w:tabs>
        <w:tab w:val="clear" w:pos="4680"/>
        <w:tab w:val="clear" w:pos="9360"/>
        <w:tab w:val="left" w:pos="7800"/>
      </w:tabs>
    </w:pPr>
    <w:r>
      <w:rPr>
        <w:rFonts w:ascii="Arial" w:hAnsi="Arial" w:cs="Arial"/>
      </w:rPr>
      <w:t>April 9, 2021</w:t>
    </w:r>
    <w:r>
      <w:tab/>
    </w:r>
    <w:r w:rsidRPr="0077677F">
      <w:rPr>
        <w:rFonts w:ascii="Arial" w:hAnsi="Arial" w:cs="Arial"/>
      </w:rPr>
      <w:t xml:space="preserve">Page </w:t>
    </w:r>
    <w:r w:rsidRPr="0077677F">
      <w:rPr>
        <w:rFonts w:ascii="Arial" w:hAnsi="Arial" w:cs="Arial"/>
      </w:rPr>
      <w:fldChar w:fldCharType="begin"/>
    </w:r>
    <w:r w:rsidRPr="0077677F">
      <w:rPr>
        <w:rFonts w:ascii="Arial" w:hAnsi="Arial" w:cs="Arial"/>
      </w:rPr>
      <w:instrText xml:space="preserve"> PAGE </w:instrText>
    </w:r>
    <w:r w:rsidRPr="0077677F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77677F">
      <w:rPr>
        <w:rFonts w:ascii="Arial" w:hAnsi="Arial" w:cs="Arial"/>
      </w:rPr>
      <w:fldChar w:fldCharType="end"/>
    </w:r>
    <w:r w:rsidRPr="0077677F">
      <w:rPr>
        <w:rFonts w:ascii="Arial" w:hAnsi="Arial" w:cs="Arial"/>
      </w:rPr>
      <w:t xml:space="preserve"> of </w:t>
    </w:r>
    <w:r w:rsidRPr="0077677F">
      <w:rPr>
        <w:rFonts w:ascii="Arial" w:hAnsi="Arial" w:cs="Arial"/>
      </w:rPr>
      <w:fldChar w:fldCharType="begin"/>
    </w:r>
    <w:r w:rsidRPr="0077677F">
      <w:rPr>
        <w:rFonts w:ascii="Arial" w:hAnsi="Arial" w:cs="Arial"/>
      </w:rPr>
      <w:instrText xml:space="preserve"> NUMPAGES </w:instrText>
    </w:r>
    <w:r w:rsidRPr="0077677F">
      <w:rPr>
        <w:rFonts w:ascii="Arial" w:hAnsi="Arial" w:cs="Arial"/>
      </w:rPr>
      <w:fldChar w:fldCharType="separate"/>
    </w:r>
    <w:r>
      <w:rPr>
        <w:rFonts w:ascii="Arial" w:hAnsi="Arial" w:cs="Arial"/>
      </w:rPr>
      <w:t>2</w:t>
    </w:r>
    <w:r w:rsidRPr="0077677F">
      <w:rPr>
        <w:rFonts w:ascii="Arial" w:hAnsi="Arial" w:cs="Aria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FC7E22"/>
    <w:multiLevelType w:val="hybridMultilevel"/>
    <w:tmpl w:val="5844C1E0"/>
    <w:lvl w:ilvl="0" w:tplc="FD1A58DC">
      <w:start w:val="1"/>
      <w:numFmt w:val="decimal"/>
      <w:lvlText w:val="STF-198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114518348"/>
    <w:docVar w:name="MPDocIDTemplate" w:val=" %n"/>
    <w:docVar w:name="MPDocIDTemplateDefault" w:val="%l| %n|v%v| %c|.%m"/>
    <w:docVar w:name="NewDocStampType" w:val="1"/>
    <w:docVar w:name="zzmpLegacyTrailerRemovedNew" w:val="True"/>
  </w:docVars>
  <w:rsids>
    <w:rsidRoot w:val="004858A2"/>
    <w:rsid w:val="000B2BA0"/>
    <w:rsid w:val="000E5109"/>
    <w:rsid w:val="0022441B"/>
    <w:rsid w:val="002F1638"/>
    <w:rsid w:val="003B145E"/>
    <w:rsid w:val="003E5C5B"/>
    <w:rsid w:val="00447146"/>
    <w:rsid w:val="004858A2"/>
    <w:rsid w:val="00565B4A"/>
    <w:rsid w:val="00575EB7"/>
    <w:rsid w:val="006010A0"/>
    <w:rsid w:val="006B4AAC"/>
    <w:rsid w:val="008109B3"/>
    <w:rsid w:val="008D2955"/>
    <w:rsid w:val="00A976E7"/>
    <w:rsid w:val="00B60F4C"/>
    <w:rsid w:val="00B72EC6"/>
    <w:rsid w:val="00F07528"/>
    <w:rsid w:val="00F62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F6F2A1B"/>
  <w15:chartTrackingRefBased/>
  <w15:docId w15:val="{B66B53B4-577C-41E0-B3D9-FA488DC6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858A2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4858A2"/>
    <w:rPr>
      <w:rFonts w:ascii="Arial" w:eastAsia="Times New Roman" w:hAnsi="Arial" w:cs="Times New Roman"/>
      <w:b/>
      <w:kern w:val="28"/>
      <w:sz w:val="32"/>
      <w:szCs w:val="20"/>
    </w:rPr>
  </w:style>
  <w:style w:type="paragraph" w:styleId="Header">
    <w:name w:val="header"/>
    <w:basedOn w:val="Normal"/>
    <w:link w:val="HeaderChar"/>
    <w:uiPriority w:val="99"/>
    <w:unhideWhenUsed/>
    <w:rsid w:val="004858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58A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858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58A2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4858A2"/>
    <w:pPr>
      <w:ind w:left="720" w:hanging="360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8109B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9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9B3"/>
    <w:rPr>
      <w:rFonts w:ascii="Segoe UI" w:eastAsia="Times New Roman" w:hAnsi="Segoe UI" w:cs="Segoe UI"/>
      <w:sz w:val="18"/>
      <w:szCs w:val="18"/>
    </w:rPr>
  </w:style>
  <w:style w:type="character" w:customStyle="1" w:styleId="zzmpTrailerItem">
    <w:name w:val="zzmpTrailerItem"/>
    <w:basedOn w:val="DefaultParagraphFont"/>
    <w:rsid w:val="00565B4A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A06132F5636545A777A0F863740F4C" ma:contentTypeVersion="4" ma:contentTypeDescription="Create a new document." ma:contentTypeScope="" ma:versionID="2afd042711f6e9209bdd02beb42d8777">
  <xsd:schema xmlns:xsd="http://www.w3.org/2001/XMLSchema" xmlns:xs="http://www.w3.org/2001/XMLSchema" xmlns:p="http://schemas.microsoft.com/office/2006/metadata/properties" xmlns:ns2="294195a1-bff6-4244-9a31-2032c359016a" targetNamespace="http://schemas.microsoft.com/office/2006/metadata/properties" ma:root="true" ma:fieldsID="fa0b942d8703b6e8ae8acd768a9c4e16" ns2:_="">
    <xsd:import namespace="294195a1-bff6-4244-9a31-2032c3590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195a1-bff6-4244-9a31-2032c35901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D6A3A-0822-4FC2-93A8-6E9AD5EC11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901E4-01C5-40D0-B057-59CF95501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46EF9-E77F-456C-8ED2-228DDA7CF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195a1-bff6-4244-9a31-2032c3590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Weaver, Todd D.</dc:creator>
  <cp:keywords/>
  <dc:description/>
  <cp:lastModifiedBy>Blair, Win</cp:lastModifiedBy>
  <cp:revision>3</cp:revision>
  <dcterms:created xsi:type="dcterms:W3CDTF">2021-03-25T18:11:00Z</dcterms:created>
  <dcterms:modified xsi:type="dcterms:W3CDTF">2021-03-31T11:26:00Z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0x010100C4A06132F5636545A777A0F863740F4C</vt:lpwstr>
  </property>
</Properties>
</file>