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513C510C"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A2707B">
        <w:rPr>
          <w:rFonts w:ascii="Arial" w:hAnsi="Arial" w:cs="Arial"/>
          <w:b/>
          <w:bCs/>
          <w:szCs w:val="24"/>
        </w:rPr>
        <w:t>2</w:t>
      </w:r>
      <w:r w:rsidR="005A0822">
        <w:rPr>
          <w:rFonts w:ascii="Arial" w:hAnsi="Arial" w:cs="Arial"/>
          <w:b/>
          <w:bCs/>
          <w:szCs w:val="24"/>
        </w:rPr>
        <w:t>2</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1855373F" w14:textId="70A8141A" w:rsidR="00E60E45" w:rsidRDefault="005A0822" w:rsidP="00176D14">
      <w:pPr>
        <w:tabs>
          <w:tab w:val="left" w:pos="0"/>
        </w:tabs>
        <w:autoSpaceDE w:val="0"/>
        <w:autoSpaceDN w:val="0"/>
        <w:adjustRightInd w:val="0"/>
        <w:rPr>
          <w:rFonts w:ascii="Arial" w:hAnsi="Arial" w:cs="Arial"/>
          <w:color w:val="000000"/>
          <w:szCs w:val="24"/>
          <w:u w:val="single"/>
        </w:rPr>
      </w:pPr>
      <w:r w:rsidRPr="005A0822">
        <w:rPr>
          <w:rFonts w:ascii="Arial" w:hAnsi="Arial" w:cs="Arial"/>
          <w:color w:val="000000"/>
          <w:szCs w:val="24"/>
        </w:rPr>
        <w:t>Please provide a copy of all reports prepared by equity security analysts that describe Southern Co. for the period October 1, 2018 to the present. Please refer to the Company’s response to Docket 36989 STF-3-3.</w:t>
      </w:r>
    </w:p>
    <w:p w14:paraId="7B9FF1EE" w14:textId="77777777" w:rsidR="006E4AAC" w:rsidRDefault="006E4AAC" w:rsidP="00176D14">
      <w:pPr>
        <w:tabs>
          <w:tab w:val="left" w:pos="0"/>
        </w:tabs>
        <w:autoSpaceDE w:val="0"/>
        <w:autoSpaceDN w:val="0"/>
        <w:adjustRightInd w:val="0"/>
        <w:rPr>
          <w:rFonts w:ascii="Arial" w:hAnsi="Arial" w:cs="Arial"/>
          <w:color w:val="000000"/>
          <w:szCs w:val="24"/>
          <w:u w:val="single"/>
        </w:rPr>
      </w:pPr>
    </w:p>
    <w:p w14:paraId="00DC0289" w14:textId="7E4E2E5A"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68688727" w14:textId="67C0780E" w:rsidR="003F6CF1" w:rsidRDefault="003F6CF1" w:rsidP="003F6CF1">
      <w:pPr>
        <w:rPr>
          <w:rFonts w:ascii="Arial" w:hAnsi="Arial" w:cs="Arial"/>
          <w:szCs w:val="24"/>
        </w:rPr>
      </w:pPr>
      <w:r>
        <w:rPr>
          <w:rFonts w:ascii="Arial" w:hAnsi="Arial" w:cs="Arial"/>
          <w:szCs w:val="24"/>
        </w:rPr>
        <w:t>Please see the electronic Trade Secret (“TS”) Attachments STF-1</w:t>
      </w:r>
      <w:r>
        <w:rPr>
          <w:rFonts w:ascii="Arial" w:hAnsi="Arial" w:cs="Arial"/>
          <w:szCs w:val="24"/>
        </w:rPr>
        <w:t>98</w:t>
      </w:r>
      <w:r>
        <w:rPr>
          <w:rFonts w:ascii="Arial" w:hAnsi="Arial" w:cs="Arial"/>
          <w:szCs w:val="24"/>
        </w:rPr>
        <w:t>-2</w:t>
      </w:r>
      <w:r>
        <w:rPr>
          <w:rFonts w:ascii="Arial" w:hAnsi="Arial" w:cs="Arial"/>
          <w:szCs w:val="24"/>
        </w:rPr>
        <w:t>2</w:t>
      </w:r>
      <w:r>
        <w:rPr>
          <w:rFonts w:ascii="Arial" w:hAnsi="Arial" w:cs="Arial"/>
          <w:szCs w:val="24"/>
        </w:rPr>
        <w:t xml:space="preserve"> folder for reports published </w:t>
      </w:r>
      <w:r>
        <w:rPr>
          <w:rFonts w:ascii="Arial" w:hAnsi="Arial" w:cs="Arial"/>
          <w:szCs w:val="24"/>
        </w:rPr>
        <w:t>October</w:t>
      </w:r>
      <w:r>
        <w:rPr>
          <w:rFonts w:ascii="Arial" w:hAnsi="Arial" w:cs="Arial"/>
          <w:szCs w:val="24"/>
        </w:rPr>
        <w:t xml:space="preserve"> 1, 2020 to present. For equity analyst reports published between October 1, 2018 and September 30, 2019, please see the Company’s response to STF-170-22 from the 20</w:t>
      </w:r>
      <w:r w:rsidRPr="005E357E">
        <w:rPr>
          <w:rFonts w:ascii="Arial" w:hAnsi="Arial" w:cs="Arial"/>
          <w:szCs w:val="24"/>
          <w:vertAlign w:val="superscript"/>
        </w:rPr>
        <w:t>th</w:t>
      </w:r>
      <w:r>
        <w:rPr>
          <w:rFonts w:ascii="Arial" w:hAnsi="Arial" w:cs="Arial"/>
          <w:szCs w:val="24"/>
        </w:rPr>
        <w:t>/21</w:t>
      </w:r>
      <w:r w:rsidRPr="005E357E">
        <w:rPr>
          <w:rFonts w:ascii="Arial" w:hAnsi="Arial" w:cs="Arial"/>
          <w:szCs w:val="24"/>
          <w:vertAlign w:val="superscript"/>
        </w:rPr>
        <w:t>st</w:t>
      </w:r>
      <w:r>
        <w:rPr>
          <w:rFonts w:ascii="Arial" w:hAnsi="Arial" w:cs="Arial"/>
          <w:szCs w:val="24"/>
        </w:rPr>
        <w:t xml:space="preserve"> VCM. For equity analyst reports published between October 1, 2019 and January 31, 2020, please see the Company’s response to STF-174-23 from the 22</w:t>
      </w:r>
      <w:r>
        <w:rPr>
          <w:rFonts w:ascii="Arial" w:hAnsi="Arial" w:cs="Arial"/>
          <w:szCs w:val="24"/>
          <w:vertAlign w:val="superscript"/>
        </w:rPr>
        <w:t>nd</w:t>
      </w:r>
      <w:r>
        <w:rPr>
          <w:rFonts w:ascii="Arial" w:hAnsi="Arial" w:cs="Arial"/>
          <w:szCs w:val="24"/>
        </w:rPr>
        <w:t xml:space="preserve"> VCM.</w:t>
      </w:r>
      <w:r>
        <w:rPr>
          <w:rFonts w:ascii="Arial" w:hAnsi="Arial" w:cs="Arial"/>
          <w:szCs w:val="24"/>
        </w:rPr>
        <w:t xml:space="preserve">  For equity analyst reports published between February 1, 2020 and September 30, 2020, please see the Company’s response to STF-181-23 from the 23</w:t>
      </w:r>
      <w:r w:rsidRPr="003F6CF1">
        <w:rPr>
          <w:rFonts w:ascii="Arial" w:hAnsi="Arial" w:cs="Arial"/>
          <w:szCs w:val="24"/>
          <w:vertAlign w:val="superscript"/>
        </w:rPr>
        <w:t>rd</w:t>
      </w:r>
      <w:r>
        <w:rPr>
          <w:rFonts w:ascii="Arial" w:hAnsi="Arial" w:cs="Arial"/>
          <w:szCs w:val="24"/>
        </w:rPr>
        <w:t xml:space="preserve"> VCM. </w:t>
      </w:r>
    </w:p>
    <w:p w14:paraId="1DF8EBD7" w14:textId="77777777" w:rsidR="00455CE4" w:rsidRDefault="00455CE4">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9200E"/>
    <w:multiLevelType w:val="hybridMultilevel"/>
    <w:tmpl w:val="83E8CB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1"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A71E5"/>
    <w:multiLevelType w:val="hybridMultilevel"/>
    <w:tmpl w:val="6652B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1"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
  </w:num>
  <w:num w:numId="10">
    <w:abstractNumId w:val="14"/>
  </w:num>
  <w:num w:numId="11">
    <w:abstractNumId w:val="19"/>
  </w:num>
  <w:num w:numId="12">
    <w:abstractNumId w:val="17"/>
  </w:num>
  <w:num w:numId="13">
    <w:abstractNumId w:val="23"/>
  </w:num>
  <w:num w:numId="14">
    <w:abstractNumId w:val="8"/>
  </w:num>
  <w:num w:numId="15">
    <w:abstractNumId w:val="15"/>
  </w:num>
  <w:num w:numId="16">
    <w:abstractNumId w:val="22"/>
  </w:num>
  <w:num w:numId="17">
    <w:abstractNumId w:val="11"/>
  </w:num>
  <w:num w:numId="18">
    <w:abstractNumId w:val="7"/>
  </w:num>
  <w:num w:numId="19">
    <w:abstractNumId w:val="1"/>
  </w:num>
  <w:num w:numId="20">
    <w:abstractNumId w:val="10"/>
  </w:num>
  <w:num w:numId="21">
    <w:abstractNumId w:val="25"/>
  </w:num>
  <w:num w:numId="22">
    <w:abstractNumId w:val="21"/>
  </w:num>
  <w:num w:numId="23">
    <w:abstractNumId w:val="4"/>
  </w:num>
  <w:num w:numId="24">
    <w:abstractNumId w:val="18"/>
  </w:num>
  <w:num w:numId="25">
    <w:abstractNumId w:val="33"/>
  </w:num>
  <w:num w:numId="26">
    <w:abstractNumId w:val="5"/>
  </w:num>
  <w:num w:numId="27">
    <w:abstractNumId w:val="26"/>
  </w:num>
  <w:num w:numId="28">
    <w:abstractNumId w:val="9"/>
  </w:num>
  <w:num w:numId="29">
    <w:abstractNumId w:val="36"/>
  </w:num>
  <w:num w:numId="30">
    <w:abstractNumId w:val="12"/>
  </w:num>
  <w:num w:numId="31">
    <w:abstractNumId w:val="35"/>
  </w:num>
  <w:num w:numId="32">
    <w:abstractNumId w:val="28"/>
  </w:num>
  <w:num w:numId="33">
    <w:abstractNumId w:val="31"/>
  </w:num>
  <w:num w:numId="34">
    <w:abstractNumId w:val="27"/>
  </w:num>
  <w:num w:numId="35">
    <w:abstractNumId w:val="6"/>
  </w:num>
  <w:num w:numId="36">
    <w:abstractNumId w:val="37"/>
  </w:num>
  <w:num w:numId="37">
    <w:abstractNumId w:val="2"/>
  </w:num>
  <w:num w:numId="38">
    <w:abstractNumId w:val="24"/>
  </w:num>
  <w:num w:numId="39">
    <w:abstractNumId w:val="29"/>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A1DE5"/>
    <w:rsid w:val="003B0352"/>
    <w:rsid w:val="003B77C9"/>
    <w:rsid w:val="003D7EB2"/>
    <w:rsid w:val="003F33AC"/>
    <w:rsid w:val="003F6CF1"/>
    <w:rsid w:val="00401F1A"/>
    <w:rsid w:val="00405F6C"/>
    <w:rsid w:val="004303E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A0822"/>
    <w:rsid w:val="005C003E"/>
    <w:rsid w:val="005C4EBA"/>
    <w:rsid w:val="005F22E0"/>
    <w:rsid w:val="005F7E58"/>
    <w:rsid w:val="006464D1"/>
    <w:rsid w:val="006507AC"/>
    <w:rsid w:val="00655F98"/>
    <w:rsid w:val="006710FB"/>
    <w:rsid w:val="00684CFD"/>
    <w:rsid w:val="006915A8"/>
    <w:rsid w:val="006A0EC9"/>
    <w:rsid w:val="006C263A"/>
    <w:rsid w:val="006D711E"/>
    <w:rsid w:val="006E4AAC"/>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28D7"/>
    <w:rsid w:val="00A165A5"/>
    <w:rsid w:val="00A2707B"/>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60E4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C898C1-2ED5-4910-B934-270C000B37BF}"/>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2021-03-10T16:12:00Z</dcterms:created>
  <dcterms:modified xsi:type="dcterms:W3CDTF">2021-03-23T15:33:00Z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