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160CDE82"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A45928">
        <w:rPr>
          <w:rFonts w:ascii="Arial" w:hAnsi="Arial" w:cs="Arial"/>
          <w:b/>
          <w:bCs/>
          <w:szCs w:val="24"/>
        </w:rPr>
        <w:t>2</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1A1B6C2A" w14:textId="12C2FEEE" w:rsidR="00A45928" w:rsidRPr="00A45928" w:rsidRDefault="00A45928" w:rsidP="00A45928">
      <w:pPr>
        <w:tabs>
          <w:tab w:val="left" w:pos="0"/>
        </w:tabs>
        <w:autoSpaceDE w:val="0"/>
        <w:autoSpaceDN w:val="0"/>
        <w:adjustRightInd w:val="0"/>
        <w:rPr>
          <w:rFonts w:ascii="Arial" w:hAnsi="Arial" w:cs="Arial"/>
          <w:color w:val="000000"/>
          <w:szCs w:val="24"/>
        </w:rPr>
      </w:pPr>
      <w:r w:rsidRPr="00A45928">
        <w:rPr>
          <w:rFonts w:ascii="Arial" w:hAnsi="Arial" w:cs="Arial"/>
          <w:color w:val="000000"/>
          <w:szCs w:val="24"/>
        </w:rPr>
        <w:t xml:space="preserve">Refer to Pages 7 and 8 of the 24th VCM report describing the Company’s rate impact analysis.  </w:t>
      </w:r>
    </w:p>
    <w:p w14:paraId="29114DEB" w14:textId="2E5EFEC1" w:rsidR="00A45928" w:rsidRPr="00A45928" w:rsidRDefault="00A45928" w:rsidP="00A45928">
      <w:pPr>
        <w:pStyle w:val="ListParagraph"/>
        <w:numPr>
          <w:ilvl w:val="0"/>
          <w:numId w:val="23"/>
        </w:numPr>
        <w:tabs>
          <w:tab w:val="left" w:pos="0"/>
        </w:tabs>
        <w:autoSpaceDE w:val="0"/>
        <w:autoSpaceDN w:val="0"/>
        <w:adjustRightInd w:val="0"/>
        <w:rPr>
          <w:rFonts w:ascii="Arial" w:hAnsi="Arial" w:cs="Arial"/>
          <w:color w:val="000000"/>
          <w:sz w:val="24"/>
          <w:szCs w:val="28"/>
        </w:rPr>
      </w:pPr>
      <w:r w:rsidRPr="00A45928">
        <w:rPr>
          <w:rFonts w:ascii="Arial" w:hAnsi="Arial" w:cs="Arial"/>
          <w:color w:val="000000"/>
          <w:sz w:val="24"/>
          <w:szCs w:val="28"/>
        </w:rPr>
        <w:t>Please supply all supporting workpapers, electronically, that were created for “Figure A – Projected Cumulative Rate Impacts.”</w:t>
      </w:r>
    </w:p>
    <w:p w14:paraId="17E6FD3B" w14:textId="77777777" w:rsidR="00A45928" w:rsidRPr="00A45928" w:rsidRDefault="00A45928" w:rsidP="00A45928">
      <w:pPr>
        <w:tabs>
          <w:tab w:val="left" w:pos="0"/>
        </w:tabs>
        <w:autoSpaceDE w:val="0"/>
        <w:autoSpaceDN w:val="0"/>
        <w:adjustRightInd w:val="0"/>
        <w:rPr>
          <w:rFonts w:ascii="Arial" w:hAnsi="Arial" w:cs="Arial"/>
          <w:color w:val="000000"/>
          <w:sz w:val="28"/>
          <w:szCs w:val="28"/>
        </w:rPr>
      </w:pPr>
    </w:p>
    <w:p w14:paraId="138D89B7" w14:textId="18EB14A1" w:rsidR="00A45928" w:rsidRPr="00A45928" w:rsidRDefault="00A45928" w:rsidP="00A45928">
      <w:pPr>
        <w:pStyle w:val="ListParagraph"/>
        <w:numPr>
          <w:ilvl w:val="0"/>
          <w:numId w:val="23"/>
        </w:numPr>
        <w:tabs>
          <w:tab w:val="left" w:pos="0"/>
        </w:tabs>
        <w:autoSpaceDE w:val="0"/>
        <w:autoSpaceDN w:val="0"/>
        <w:adjustRightInd w:val="0"/>
        <w:rPr>
          <w:rFonts w:ascii="Arial" w:hAnsi="Arial" w:cs="Arial"/>
          <w:color w:val="000000"/>
          <w:sz w:val="24"/>
          <w:szCs w:val="28"/>
        </w:rPr>
      </w:pPr>
      <w:r w:rsidRPr="00A45928">
        <w:rPr>
          <w:rFonts w:ascii="Arial" w:hAnsi="Arial" w:cs="Arial"/>
          <w:color w:val="000000"/>
          <w:sz w:val="24"/>
          <w:szCs w:val="28"/>
        </w:rPr>
        <w:t>Please describe the assumptions included in Figure A.  Please describe and provide, electronically with all calculations intact and no pasted-in values, the spend curve assumed, tax rates, fuel scenario assumed, and all other relevant assumptions.</w:t>
      </w:r>
    </w:p>
    <w:p w14:paraId="37E8FDAF" w14:textId="77777777" w:rsidR="00A45928" w:rsidRPr="00A45928" w:rsidRDefault="00A45928" w:rsidP="00A45928">
      <w:pPr>
        <w:tabs>
          <w:tab w:val="left" w:pos="0"/>
        </w:tabs>
        <w:autoSpaceDE w:val="0"/>
        <w:autoSpaceDN w:val="0"/>
        <w:adjustRightInd w:val="0"/>
        <w:rPr>
          <w:rFonts w:ascii="Arial" w:hAnsi="Arial" w:cs="Arial"/>
          <w:color w:val="000000"/>
          <w:sz w:val="28"/>
          <w:szCs w:val="28"/>
        </w:rPr>
      </w:pPr>
    </w:p>
    <w:p w14:paraId="0058F201" w14:textId="3FD70787" w:rsidR="00A45928" w:rsidRPr="00A45928" w:rsidRDefault="00A45928" w:rsidP="00A45928">
      <w:pPr>
        <w:pStyle w:val="ListParagraph"/>
        <w:numPr>
          <w:ilvl w:val="0"/>
          <w:numId w:val="23"/>
        </w:numPr>
        <w:tabs>
          <w:tab w:val="left" w:pos="0"/>
        </w:tabs>
        <w:autoSpaceDE w:val="0"/>
        <w:autoSpaceDN w:val="0"/>
        <w:adjustRightInd w:val="0"/>
        <w:rPr>
          <w:rFonts w:ascii="Arial" w:hAnsi="Arial" w:cs="Arial"/>
          <w:color w:val="000000"/>
          <w:sz w:val="24"/>
          <w:szCs w:val="28"/>
        </w:rPr>
      </w:pPr>
      <w:r w:rsidRPr="00A45928">
        <w:rPr>
          <w:rFonts w:ascii="Arial" w:hAnsi="Arial" w:cs="Arial"/>
          <w:color w:val="000000"/>
          <w:sz w:val="24"/>
          <w:szCs w:val="28"/>
        </w:rPr>
        <w:t xml:space="preserve">Please provide the same rate impact analysis the Company provided in STF-71-10 but based on the 24th VCM assumptions.  Please include the specific rate impact analysis table(s), workpaper(s), and supporting documents in the same formats as was provided in EPC TS attachments 71-10-a, 71-10-b, and 71-10-c.  Please provide this electronically, with all formulas intact.  </w:t>
      </w:r>
    </w:p>
    <w:p w14:paraId="6F48B227" w14:textId="77777777" w:rsidR="00A45928" w:rsidRPr="00A45928" w:rsidRDefault="00A45928" w:rsidP="00A45928">
      <w:pPr>
        <w:tabs>
          <w:tab w:val="left" w:pos="0"/>
        </w:tabs>
        <w:autoSpaceDE w:val="0"/>
        <w:autoSpaceDN w:val="0"/>
        <w:adjustRightInd w:val="0"/>
        <w:rPr>
          <w:rFonts w:ascii="Arial" w:hAnsi="Arial" w:cs="Arial"/>
          <w:color w:val="000000"/>
          <w:sz w:val="28"/>
          <w:szCs w:val="28"/>
        </w:rPr>
      </w:pPr>
    </w:p>
    <w:p w14:paraId="52E77F4D" w14:textId="6213B701" w:rsidR="00A45928" w:rsidRPr="00A45928" w:rsidRDefault="00A45928" w:rsidP="00A45928">
      <w:pPr>
        <w:pStyle w:val="ListParagraph"/>
        <w:numPr>
          <w:ilvl w:val="0"/>
          <w:numId w:val="23"/>
        </w:numPr>
        <w:tabs>
          <w:tab w:val="left" w:pos="0"/>
        </w:tabs>
        <w:autoSpaceDE w:val="0"/>
        <w:autoSpaceDN w:val="0"/>
        <w:adjustRightInd w:val="0"/>
        <w:rPr>
          <w:rFonts w:ascii="Arial" w:hAnsi="Arial" w:cs="Arial"/>
          <w:color w:val="000000"/>
          <w:sz w:val="24"/>
          <w:szCs w:val="28"/>
        </w:rPr>
      </w:pPr>
      <w:r w:rsidRPr="00A45928">
        <w:rPr>
          <w:rFonts w:ascii="Arial" w:hAnsi="Arial" w:cs="Arial"/>
          <w:color w:val="000000"/>
          <w:sz w:val="24"/>
          <w:szCs w:val="28"/>
        </w:rPr>
        <w:t>Please provide a narrative explanation of all assumption changes that were made from the 23rd VCM rate-impact study to this study.</w:t>
      </w:r>
    </w:p>
    <w:p w14:paraId="160B7BE0" w14:textId="77777777" w:rsidR="00A45928" w:rsidRPr="00A45928" w:rsidRDefault="00A45928" w:rsidP="00A45928">
      <w:pPr>
        <w:tabs>
          <w:tab w:val="left" w:pos="0"/>
        </w:tabs>
        <w:autoSpaceDE w:val="0"/>
        <w:autoSpaceDN w:val="0"/>
        <w:adjustRightInd w:val="0"/>
        <w:rPr>
          <w:rFonts w:ascii="Arial" w:hAnsi="Arial" w:cs="Arial"/>
          <w:color w:val="000000"/>
          <w:sz w:val="28"/>
          <w:szCs w:val="28"/>
        </w:rPr>
      </w:pPr>
    </w:p>
    <w:p w14:paraId="4572FBC8" w14:textId="7791F922" w:rsidR="00F83ED9" w:rsidRPr="00A45928" w:rsidRDefault="00A45928" w:rsidP="00A45928">
      <w:pPr>
        <w:pStyle w:val="ListParagraph"/>
        <w:numPr>
          <w:ilvl w:val="0"/>
          <w:numId w:val="23"/>
        </w:numPr>
        <w:tabs>
          <w:tab w:val="left" w:pos="0"/>
        </w:tabs>
        <w:autoSpaceDE w:val="0"/>
        <w:autoSpaceDN w:val="0"/>
        <w:adjustRightInd w:val="0"/>
        <w:rPr>
          <w:rFonts w:ascii="Arial" w:hAnsi="Arial" w:cs="Arial"/>
          <w:color w:val="000000"/>
          <w:sz w:val="24"/>
          <w:szCs w:val="28"/>
        </w:rPr>
      </w:pPr>
      <w:r w:rsidRPr="00A45928">
        <w:rPr>
          <w:rFonts w:ascii="Arial" w:hAnsi="Arial" w:cs="Arial"/>
          <w:color w:val="000000"/>
          <w:sz w:val="24"/>
          <w:szCs w:val="28"/>
        </w:rPr>
        <w:t>Please provide the spreadsheet calculations for any deferrals and amortized cost recovery resulting from the Company’s assumed modeling of the SIR stipulation and the 17th VCM Order for depreciation, financing, or other costs as described in response to Staff 137-9 and 137-10 if applicable to the 24th VCM analysis.</w:t>
      </w:r>
    </w:p>
    <w:p w14:paraId="41A3A00F" w14:textId="77777777" w:rsidR="00A45928" w:rsidRPr="00E30089" w:rsidRDefault="00A45928" w:rsidP="00A45928">
      <w:pPr>
        <w:tabs>
          <w:tab w:val="left" w:pos="0"/>
        </w:tabs>
        <w:autoSpaceDE w:val="0"/>
        <w:autoSpaceDN w:val="0"/>
        <w:adjustRightInd w:val="0"/>
        <w:rPr>
          <w:rFonts w:ascii="Arial" w:hAnsi="Arial" w:cs="Arial"/>
          <w:color w:val="000000"/>
          <w:szCs w:val="24"/>
          <w:u w:val="single"/>
        </w:rPr>
      </w:pPr>
    </w:p>
    <w:p w14:paraId="00DC0289" w14:textId="77777777"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3AC21520" w14:textId="77777777" w:rsidR="007D1366" w:rsidRDefault="007D1366" w:rsidP="007D1366">
      <w:pPr>
        <w:tabs>
          <w:tab w:val="left" w:pos="0"/>
        </w:tabs>
        <w:autoSpaceDE w:val="0"/>
        <w:autoSpaceDN w:val="0"/>
        <w:adjustRightInd w:val="0"/>
        <w:rPr>
          <w:rFonts w:ascii="Arial" w:hAnsi="Arial" w:cs="Arial"/>
          <w:szCs w:val="24"/>
          <w:u w:val="single"/>
        </w:rPr>
      </w:pPr>
    </w:p>
    <w:p w14:paraId="3B0E7916" w14:textId="6239B25E" w:rsidR="00AE3EF4" w:rsidRPr="00AE3EF4" w:rsidRDefault="00AE3EF4" w:rsidP="00816C69">
      <w:pPr>
        <w:pStyle w:val="ListParagraph"/>
        <w:numPr>
          <w:ilvl w:val="0"/>
          <w:numId w:val="25"/>
        </w:numPr>
        <w:tabs>
          <w:tab w:val="left" w:pos="1530"/>
        </w:tabs>
        <w:spacing w:after="160" w:line="160" w:lineRule="atLeast"/>
        <w:ind w:left="1080" w:hanging="720"/>
        <w:jc w:val="both"/>
        <w:rPr>
          <w:rFonts w:ascii="Arial" w:hAnsi="Arial" w:cs="Arial"/>
          <w:sz w:val="24"/>
          <w:szCs w:val="24"/>
        </w:rPr>
      </w:pPr>
      <w:r w:rsidRPr="00AE3EF4">
        <w:rPr>
          <w:rFonts w:ascii="Arial" w:hAnsi="Arial" w:cs="Arial"/>
          <w:sz w:val="24"/>
          <w:szCs w:val="24"/>
        </w:rPr>
        <w:t xml:space="preserve">Please reference electronic Trade Secret (“TS”) Attachment STF-198-2-a, line 47 </w:t>
      </w:r>
      <w:r w:rsidR="002D7F15">
        <w:rPr>
          <w:rFonts w:ascii="Arial" w:hAnsi="Arial" w:cs="Arial"/>
          <w:sz w:val="24"/>
          <w:szCs w:val="24"/>
        </w:rPr>
        <w:t>to</w:t>
      </w:r>
      <w:r w:rsidRPr="00AE3EF4">
        <w:rPr>
          <w:rFonts w:ascii="Arial" w:hAnsi="Arial" w:cs="Arial"/>
          <w:sz w:val="24"/>
          <w:szCs w:val="24"/>
        </w:rPr>
        <w:t xml:space="preserve"> support the values in Figure A. </w:t>
      </w:r>
    </w:p>
    <w:p w14:paraId="0573CB4F" w14:textId="79321052" w:rsidR="0027725F" w:rsidRPr="0027725F" w:rsidRDefault="002C2C12" w:rsidP="00AE3EF4">
      <w:pPr>
        <w:pStyle w:val="ListParagraph"/>
        <w:tabs>
          <w:tab w:val="left" w:pos="1530"/>
        </w:tabs>
        <w:spacing w:after="160" w:line="160" w:lineRule="atLeast"/>
        <w:ind w:left="1080" w:firstLine="0"/>
        <w:jc w:val="both"/>
        <w:rPr>
          <w:rFonts w:ascii="Arial" w:hAnsi="Arial" w:cs="Arial"/>
        </w:rPr>
      </w:pPr>
      <w:r>
        <w:rPr>
          <w:rFonts w:ascii="Arial" w:hAnsi="Arial" w:cs="Arial"/>
          <w:sz w:val="24"/>
          <w:szCs w:val="24"/>
        </w:rPr>
        <w:t>Please note that</w:t>
      </w:r>
      <w:r w:rsidR="00E31176">
        <w:rPr>
          <w:rFonts w:ascii="Arial" w:hAnsi="Arial" w:cs="Arial"/>
          <w:sz w:val="24"/>
          <w:szCs w:val="24"/>
        </w:rPr>
        <w:t xml:space="preserve"> the fuel savings for the LG0 case listed on Trade Secret (“TS”) Attachment STF-198-2-a, </w:t>
      </w:r>
      <w:r w:rsidR="00E31176" w:rsidRPr="003053BF">
        <w:rPr>
          <w:rFonts w:ascii="Arial" w:hAnsi="Arial" w:cs="Arial"/>
          <w:sz w:val="24"/>
          <w:szCs w:val="24"/>
        </w:rPr>
        <w:t>line</w:t>
      </w:r>
      <w:r w:rsidR="00E31176">
        <w:rPr>
          <w:rFonts w:ascii="Arial" w:hAnsi="Arial" w:cs="Arial"/>
          <w:sz w:val="24"/>
          <w:szCs w:val="24"/>
        </w:rPr>
        <w:t xml:space="preserve"> 25, has been updated from a preliminary </w:t>
      </w:r>
      <w:r w:rsidR="00416044">
        <w:rPr>
          <w:rFonts w:ascii="Arial" w:hAnsi="Arial" w:cs="Arial"/>
          <w:sz w:val="24"/>
          <w:szCs w:val="24"/>
        </w:rPr>
        <w:t xml:space="preserve">LG0 fuel </w:t>
      </w:r>
      <w:r w:rsidR="00E31176">
        <w:rPr>
          <w:rFonts w:ascii="Arial" w:hAnsi="Arial" w:cs="Arial"/>
          <w:sz w:val="24"/>
          <w:szCs w:val="24"/>
        </w:rPr>
        <w:t xml:space="preserve">case to the final </w:t>
      </w:r>
      <w:r w:rsidR="00416044">
        <w:rPr>
          <w:rFonts w:ascii="Arial" w:hAnsi="Arial" w:cs="Arial"/>
          <w:sz w:val="24"/>
          <w:szCs w:val="24"/>
        </w:rPr>
        <w:t xml:space="preserve">LG0 fuel </w:t>
      </w:r>
      <w:r w:rsidR="00E31176">
        <w:rPr>
          <w:rFonts w:ascii="Arial" w:hAnsi="Arial" w:cs="Arial"/>
          <w:sz w:val="24"/>
          <w:szCs w:val="24"/>
        </w:rPr>
        <w:t xml:space="preserve">case </w:t>
      </w:r>
      <w:r w:rsidR="00416044">
        <w:rPr>
          <w:rFonts w:ascii="Arial" w:hAnsi="Arial" w:cs="Arial"/>
          <w:sz w:val="24"/>
          <w:szCs w:val="24"/>
        </w:rPr>
        <w:t>consistent with the</w:t>
      </w:r>
      <w:r w:rsidR="00E31176">
        <w:rPr>
          <w:rFonts w:ascii="Arial" w:hAnsi="Arial" w:cs="Arial"/>
          <w:sz w:val="24"/>
          <w:szCs w:val="24"/>
        </w:rPr>
        <w:t xml:space="preserve"> </w:t>
      </w:r>
      <w:r w:rsidR="00B064B5">
        <w:rPr>
          <w:rFonts w:ascii="Arial" w:hAnsi="Arial" w:cs="Arial"/>
          <w:sz w:val="24"/>
          <w:szCs w:val="24"/>
        </w:rPr>
        <w:t xml:space="preserve">final </w:t>
      </w:r>
      <w:r w:rsidR="00E31176">
        <w:rPr>
          <w:rFonts w:ascii="Arial" w:hAnsi="Arial" w:cs="Arial"/>
          <w:sz w:val="24"/>
          <w:szCs w:val="24"/>
        </w:rPr>
        <w:t>economic analysis</w:t>
      </w:r>
      <w:r w:rsidR="00B064B5">
        <w:rPr>
          <w:rFonts w:ascii="Arial" w:hAnsi="Arial" w:cs="Arial"/>
          <w:sz w:val="24"/>
          <w:szCs w:val="24"/>
        </w:rPr>
        <w:t xml:space="preserve"> results</w:t>
      </w:r>
      <w:r w:rsidR="002D7F15">
        <w:rPr>
          <w:rFonts w:ascii="Arial" w:hAnsi="Arial" w:cs="Arial"/>
          <w:sz w:val="24"/>
          <w:szCs w:val="24"/>
        </w:rPr>
        <w:t xml:space="preserve">. This update adjusts the </w:t>
      </w:r>
      <w:r>
        <w:rPr>
          <w:rFonts w:ascii="Arial" w:hAnsi="Arial" w:cs="Arial"/>
          <w:sz w:val="24"/>
          <w:szCs w:val="24"/>
        </w:rPr>
        <w:t>percentage currently in rates to 3.2%</w:t>
      </w:r>
      <w:r w:rsidR="00E31176">
        <w:rPr>
          <w:rFonts w:ascii="Arial" w:hAnsi="Arial" w:cs="Arial"/>
          <w:sz w:val="24"/>
          <w:szCs w:val="24"/>
        </w:rPr>
        <w:t xml:space="preserve">. </w:t>
      </w:r>
    </w:p>
    <w:p w14:paraId="5CCFE9EC" w14:textId="41098606" w:rsidR="007D1366" w:rsidRPr="00816C69" w:rsidRDefault="007D1366" w:rsidP="00E36339">
      <w:pPr>
        <w:pStyle w:val="ListParagraph"/>
        <w:numPr>
          <w:ilvl w:val="0"/>
          <w:numId w:val="25"/>
        </w:numPr>
        <w:tabs>
          <w:tab w:val="left" w:pos="1530"/>
        </w:tabs>
        <w:spacing w:after="160" w:line="160" w:lineRule="atLeast"/>
        <w:ind w:left="1080" w:hanging="720"/>
        <w:jc w:val="both"/>
        <w:rPr>
          <w:rFonts w:ascii="Arial" w:hAnsi="Arial" w:cs="Arial"/>
          <w:sz w:val="24"/>
          <w:szCs w:val="24"/>
        </w:rPr>
      </w:pPr>
      <w:r w:rsidRPr="00816C69">
        <w:rPr>
          <w:rFonts w:ascii="Arial" w:hAnsi="Arial" w:cs="Arial"/>
          <w:sz w:val="24"/>
          <w:szCs w:val="24"/>
        </w:rPr>
        <w:lastRenderedPageBreak/>
        <w:t>The spend curve assumed can be found in the Company’s response to STF-1</w:t>
      </w:r>
      <w:r w:rsidR="00AE4C15" w:rsidRPr="00816C69">
        <w:rPr>
          <w:rFonts w:ascii="Arial" w:hAnsi="Arial" w:cs="Arial"/>
          <w:sz w:val="24"/>
          <w:szCs w:val="24"/>
        </w:rPr>
        <w:t>98</w:t>
      </w:r>
      <w:r w:rsidRPr="00816C69">
        <w:rPr>
          <w:rFonts w:ascii="Arial" w:hAnsi="Arial" w:cs="Arial"/>
          <w:sz w:val="24"/>
          <w:szCs w:val="24"/>
        </w:rPr>
        <w:t>-1, electronic “TS - Cash Spend Curve - VCM 2</w:t>
      </w:r>
      <w:r w:rsidR="00AE4C15" w:rsidRPr="00816C69">
        <w:rPr>
          <w:rFonts w:ascii="Arial" w:hAnsi="Arial" w:cs="Arial"/>
          <w:sz w:val="24"/>
          <w:szCs w:val="24"/>
        </w:rPr>
        <w:t>4</w:t>
      </w:r>
      <w:r w:rsidRPr="00816C69">
        <w:rPr>
          <w:rFonts w:ascii="Arial" w:hAnsi="Arial" w:cs="Arial"/>
          <w:sz w:val="24"/>
          <w:szCs w:val="24"/>
        </w:rPr>
        <w:t>”.  The tax rates assumed can be found in electronic TS Attachment STF-1</w:t>
      </w:r>
      <w:r w:rsidR="00AE4C15" w:rsidRPr="00816C69">
        <w:rPr>
          <w:rFonts w:ascii="Arial" w:hAnsi="Arial" w:cs="Arial"/>
          <w:sz w:val="24"/>
          <w:szCs w:val="24"/>
        </w:rPr>
        <w:t>98</w:t>
      </w:r>
      <w:r w:rsidRPr="00816C69">
        <w:rPr>
          <w:rFonts w:ascii="Arial" w:hAnsi="Arial" w:cs="Arial"/>
          <w:sz w:val="24"/>
          <w:szCs w:val="24"/>
        </w:rPr>
        <w:t xml:space="preserve">-2-b, Annual Inputs tab, line 15 (federal rates), line 18 (state rates – Georgia), and line 30 (composite rate) with a change made to federal and composite rates in January 2018.  The fuel scenario assumed for the fuel savings was LG00 from electronic </w:t>
      </w:r>
      <w:r w:rsidR="00C70990">
        <w:rPr>
          <w:rFonts w:ascii="Arial" w:hAnsi="Arial" w:cs="Arial"/>
          <w:sz w:val="24"/>
          <w:szCs w:val="24"/>
        </w:rPr>
        <w:t>“</w:t>
      </w:r>
      <w:r w:rsidRPr="00816C69">
        <w:rPr>
          <w:rFonts w:ascii="Arial" w:hAnsi="Arial" w:cs="Arial"/>
          <w:sz w:val="24"/>
          <w:szCs w:val="24"/>
        </w:rPr>
        <w:t>TS - Case_Matrix_VCM2</w:t>
      </w:r>
      <w:r w:rsidR="00AE4C15" w:rsidRPr="00816C69">
        <w:rPr>
          <w:rFonts w:ascii="Arial" w:hAnsi="Arial" w:cs="Arial"/>
          <w:sz w:val="24"/>
          <w:szCs w:val="24"/>
        </w:rPr>
        <w:t>4</w:t>
      </w:r>
      <w:r w:rsidRPr="00816C69">
        <w:rPr>
          <w:rFonts w:ascii="Arial" w:hAnsi="Arial" w:cs="Arial"/>
          <w:sz w:val="24"/>
          <w:szCs w:val="24"/>
        </w:rPr>
        <w:t>” in STF-1</w:t>
      </w:r>
      <w:r w:rsidR="000B0391" w:rsidRPr="00816C69">
        <w:rPr>
          <w:rFonts w:ascii="Arial" w:hAnsi="Arial" w:cs="Arial"/>
          <w:sz w:val="24"/>
          <w:szCs w:val="24"/>
        </w:rPr>
        <w:t>98</w:t>
      </w:r>
      <w:r w:rsidRPr="00816C69">
        <w:rPr>
          <w:rFonts w:ascii="Arial" w:hAnsi="Arial" w:cs="Arial"/>
          <w:sz w:val="24"/>
          <w:szCs w:val="24"/>
        </w:rPr>
        <w:t xml:space="preserve">-1, electronic </w:t>
      </w:r>
      <w:r w:rsidR="00C70990">
        <w:rPr>
          <w:rFonts w:ascii="Arial" w:hAnsi="Arial" w:cs="Arial"/>
          <w:sz w:val="24"/>
          <w:szCs w:val="24"/>
        </w:rPr>
        <w:t>“</w:t>
      </w:r>
      <w:r w:rsidR="00AE4C15" w:rsidRPr="00816C69">
        <w:rPr>
          <w:rFonts w:ascii="Arial" w:hAnsi="Arial" w:cs="Arial"/>
          <w:sz w:val="24"/>
          <w:szCs w:val="24"/>
        </w:rPr>
        <w:t>FuelCost_Feb2021_BC</w:t>
      </w:r>
      <w:r w:rsidRPr="00816C69">
        <w:rPr>
          <w:rFonts w:ascii="Arial" w:hAnsi="Arial" w:cs="Arial"/>
          <w:sz w:val="24"/>
          <w:szCs w:val="24"/>
        </w:rPr>
        <w:t>, Column B</w:t>
      </w:r>
      <w:r w:rsidR="000B0391" w:rsidRPr="00816C69">
        <w:rPr>
          <w:rFonts w:ascii="Arial" w:hAnsi="Arial" w:cs="Arial"/>
          <w:sz w:val="24"/>
          <w:szCs w:val="24"/>
        </w:rPr>
        <w:t>”</w:t>
      </w:r>
      <w:r w:rsidRPr="00816C69">
        <w:rPr>
          <w:rFonts w:ascii="Arial" w:hAnsi="Arial" w:cs="Arial"/>
          <w:sz w:val="24"/>
          <w:szCs w:val="24"/>
        </w:rPr>
        <w:t>.  All other relevant assumptions for the revenue requirements can be found in electronic TS Attachment STF-1</w:t>
      </w:r>
      <w:r w:rsidR="00AE4C15" w:rsidRPr="00816C69">
        <w:rPr>
          <w:rFonts w:ascii="Arial" w:hAnsi="Arial" w:cs="Arial"/>
          <w:sz w:val="24"/>
          <w:szCs w:val="24"/>
        </w:rPr>
        <w:t>98</w:t>
      </w:r>
      <w:r w:rsidRPr="00816C69">
        <w:rPr>
          <w:rFonts w:ascii="Arial" w:hAnsi="Arial" w:cs="Arial"/>
          <w:sz w:val="24"/>
          <w:szCs w:val="24"/>
        </w:rPr>
        <w:t xml:space="preserve">-2-b in </w:t>
      </w:r>
      <w:r w:rsidR="002D7F15">
        <w:rPr>
          <w:rFonts w:ascii="Arial" w:hAnsi="Arial" w:cs="Arial"/>
          <w:sz w:val="24"/>
          <w:szCs w:val="24"/>
        </w:rPr>
        <w:t xml:space="preserve">the </w:t>
      </w:r>
      <w:r w:rsidRPr="00816C69">
        <w:rPr>
          <w:rFonts w:ascii="Arial" w:hAnsi="Arial" w:cs="Arial"/>
          <w:sz w:val="24"/>
          <w:szCs w:val="24"/>
        </w:rPr>
        <w:t>Annual Inputs, Project Inputs, and individual Vogtle 3&amp;4 NCCR and AFUDC tabs or in the source files referenced in Column S</w:t>
      </w:r>
      <w:r w:rsidR="004A031D">
        <w:rPr>
          <w:rFonts w:ascii="Arial" w:hAnsi="Arial" w:cs="Arial"/>
          <w:sz w:val="24"/>
          <w:szCs w:val="24"/>
        </w:rPr>
        <w:t xml:space="preserve"> of the Rate Impact Sum- 24</w:t>
      </w:r>
      <w:r w:rsidR="004A031D" w:rsidRPr="00D25D56">
        <w:rPr>
          <w:rFonts w:ascii="Arial" w:hAnsi="Arial" w:cs="Arial"/>
          <w:sz w:val="24"/>
          <w:szCs w:val="24"/>
        </w:rPr>
        <w:t>th</w:t>
      </w:r>
      <w:r w:rsidR="004A031D">
        <w:rPr>
          <w:rFonts w:ascii="Arial" w:hAnsi="Arial" w:cs="Arial"/>
          <w:sz w:val="24"/>
          <w:szCs w:val="24"/>
        </w:rPr>
        <w:t xml:space="preserve"> VCM tab</w:t>
      </w:r>
      <w:r w:rsidRPr="00816C69">
        <w:rPr>
          <w:rFonts w:ascii="Arial" w:hAnsi="Arial" w:cs="Arial"/>
          <w:sz w:val="24"/>
          <w:szCs w:val="24"/>
        </w:rPr>
        <w:t xml:space="preserve"> in electronic TS Attachment STF-1</w:t>
      </w:r>
      <w:r w:rsidR="00AE4C15" w:rsidRPr="00816C69">
        <w:rPr>
          <w:rFonts w:ascii="Arial" w:hAnsi="Arial" w:cs="Arial"/>
          <w:sz w:val="24"/>
          <w:szCs w:val="24"/>
        </w:rPr>
        <w:t>98</w:t>
      </w:r>
      <w:r w:rsidRPr="00816C69">
        <w:rPr>
          <w:rFonts w:ascii="Arial" w:hAnsi="Arial" w:cs="Arial"/>
          <w:sz w:val="24"/>
          <w:szCs w:val="24"/>
        </w:rPr>
        <w:t xml:space="preserve">-2-a. </w:t>
      </w:r>
    </w:p>
    <w:p w14:paraId="2F4DDB27" w14:textId="55027277" w:rsidR="007D1366" w:rsidRPr="00816C69" w:rsidRDefault="007D1366" w:rsidP="001B11C0">
      <w:pPr>
        <w:pStyle w:val="ListParagraph"/>
        <w:numPr>
          <w:ilvl w:val="0"/>
          <w:numId w:val="25"/>
        </w:numPr>
        <w:tabs>
          <w:tab w:val="left" w:pos="1530"/>
        </w:tabs>
        <w:spacing w:after="160" w:line="160" w:lineRule="atLeast"/>
        <w:ind w:left="1080" w:hanging="720"/>
        <w:jc w:val="both"/>
        <w:rPr>
          <w:rFonts w:ascii="Arial" w:hAnsi="Arial" w:cs="Arial"/>
          <w:sz w:val="24"/>
          <w:szCs w:val="24"/>
        </w:rPr>
      </w:pPr>
      <w:r w:rsidRPr="00816C69">
        <w:rPr>
          <w:rFonts w:ascii="Arial" w:hAnsi="Arial" w:cs="Arial"/>
          <w:sz w:val="24"/>
          <w:szCs w:val="24"/>
        </w:rPr>
        <w:t>Please see electronic TS Attachment STF-1</w:t>
      </w:r>
      <w:r w:rsidR="00AE4C15" w:rsidRPr="00816C69">
        <w:rPr>
          <w:rFonts w:ascii="Arial" w:hAnsi="Arial" w:cs="Arial"/>
          <w:sz w:val="24"/>
          <w:szCs w:val="24"/>
        </w:rPr>
        <w:t>98</w:t>
      </w:r>
      <w:r w:rsidRPr="00816C69">
        <w:rPr>
          <w:rFonts w:ascii="Arial" w:hAnsi="Arial" w:cs="Arial"/>
          <w:sz w:val="24"/>
          <w:szCs w:val="24"/>
        </w:rPr>
        <w:t>-2-a for the rate impacts calculation. Please see electronic TS Attachments STF-1</w:t>
      </w:r>
      <w:r w:rsidR="00AE4C15" w:rsidRPr="00816C69">
        <w:rPr>
          <w:rFonts w:ascii="Arial" w:hAnsi="Arial" w:cs="Arial"/>
          <w:sz w:val="24"/>
          <w:szCs w:val="24"/>
        </w:rPr>
        <w:t>98</w:t>
      </w:r>
      <w:r w:rsidRPr="00816C69">
        <w:rPr>
          <w:rFonts w:ascii="Arial" w:hAnsi="Arial" w:cs="Arial"/>
          <w:sz w:val="24"/>
          <w:szCs w:val="24"/>
        </w:rPr>
        <w:t>-2-b, and STF-1</w:t>
      </w:r>
      <w:r w:rsidR="000B0391" w:rsidRPr="00816C69">
        <w:rPr>
          <w:rFonts w:ascii="Arial" w:hAnsi="Arial" w:cs="Arial"/>
          <w:sz w:val="24"/>
          <w:szCs w:val="24"/>
        </w:rPr>
        <w:t>98</w:t>
      </w:r>
      <w:r w:rsidRPr="00816C69">
        <w:rPr>
          <w:rFonts w:ascii="Arial" w:hAnsi="Arial" w:cs="Arial"/>
          <w:sz w:val="24"/>
          <w:szCs w:val="24"/>
        </w:rPr>
        <w:t xml:space="preserve">-2-c for supporting information relevant to the Rate Impacts calculation (also, referenced in </w:t>
      </w:r>
      <w:r w:rsidR="00C70990">
        <w:rPr>
          <w:rFonts w:ascii="Arial" w:hAnsi="Arial" w:cs="Arial"/>
          <w:sz w:val="24"/>
          <w:szCs w:val="24"/>
        </w:rPr>
        <w:t>C</w:t>
      </w:r>
      <w:r w:rsidR="00C70990" w:rsidRPr="00816C69">
        <w:rPr>
          <w:rFonts w:ascii="Arial" w:hAnsi="Arial" w:cs="Arial"/>
          <w:sz w:val="24"/>
          <w:szCs w:val="24"/>
        </w:rPr>
        <w:t xml:space="preserve">olumn </w:t>
      </w:r>
      <w:r w:rsidRPr="00816C69">
        <w:rPr>
          <w:rFonts w:ascii="Arial" w:hAnsi="Arial" w:cs="Arial"/>
          <w:sz w:val="24"/>
          <w:szCs w:val="24"/>
        </w:rPr>
        <w:t xml:space="preserve">S </w:t>
      </w:r>
      <w:r w:rsidR="00C70990">
        <w:rPr>
          <w:rFonts w:ascii="Arial" w:hAnsi="Arial" w:cs="Arial"/>
          <w:sz w:val="24"/>
          <w:szCs w:val="24"/>
        </w:rPr>
        <w:t>of the Rate Impact Sum- 24</w:t>
      </w:r>
      <w:r w:rsidR="00C70990" w:rsidRPr="00D25D56">
        <w:rPr>
          <w:rFonts w:ascii="Arial" w:hAnsi="Arial" w:cs="Arial"/>
          <w:sz w:val="24"/>
          <w:szCs w:val="24"/>
        </w:rPr>
        <w:t xml:space="preserve">th </w:t>
      </w:r>
      <w:r w:rsidR="00C70990">
        <w:rPr>
          <w:rFonts w:ascii="Arial" w:hAnsi="Arial" w:cs="Arial"/>
          <w:sz w:val="24"/>
          <w:szCs w:val="24"/>
        </w:rPr>
        <w:t>VCM tab i</w:t>
      </w:r>
      <w:r w:rsidRPr="00816C69">
        <w:rPr>
          <w:rFonts w:ascii="Arial" w:hAnsi="Arial" w:cs="Arial"/>
          <w:sz w:val="24"/>
          <w:szCs w:val="24"/>
        </w:rPr>
        <w:t>n</w:t>
      </w:r>
      <w:r w:rsidR="00C70990">
        <w:rPr>
          <w:rFonts w:ascii="Arial" w:hAnsi="Arial" w:cs="Arial"/>
          <w:sz w:val="24"/>
          <w:szCs w:val="24"/>
        </w:rPr>
        <w:t xml:space="preserve"> TS Attachment STF-</w:t>
      </w:r>
      <w:r w:rsidRPr="00816C69">
        <w:rPr>
          <w:rFonts w:ascii="Arial" w:hAnsi="Arial" w:cs="Arial"/>
          <w:sz w:val="24"/>
          <w:szCs w:val="24"/>
        </w:rPr>
        <w:t>1</w:t>
      </w:r>
      <w:r w:rsidR="00AE4C15" w:rsidRPr="00816C69">
        <w:rPr>
          <w:rFonts w:ascii="Arial" w:hAnsi="Arial" w:cs="Arial"/>
          <w:sz w:val="24"/>
          <w:szCs w:val="24"/>
        </w:rPr>
        <w:t>9</w:t>
      </w:r>
      <w:r w:rsidRPr="00816C69">
        <w:rPr>
          <w:rFonts w:ascii="Arial" w:hAnsi="Arial" w:cs="Arial"/>
          <w:sz w:val="24"/>
          <w:szCs w:val="24"/>
        </w:rPr>
        <w:t xml:space="preserve">8-2-a). </w:t>
      </w:r>
    </w:p>
    <w:p w14:paraId="58DD2788" w14:textId="0BCF1652" w:rsidR="007D1366" w:rsidRPr="00816C69" w:rsidRDefault="007D1366" w:rsidP="001B11C0">
      <w:pPr>
        <w:pStyle w:val="ListParagraph"/>
        <w:numPr>
          <w:ilvl w:val="0"/>
          <w:numId w:val="25"/>
        </w:numPr>
        <w:tabs>
          <w:tab w:val="left" w:pos="1530"/>
        </w:tabs>
        <w:spacing w:after="160" w:line="160" w:lineRule="atLeast"/>
        <w:ind w:left="1080" w:hanging="720"/>
        <w:jc w:val="both"/>
        <w:rPr>
          <w:rFonts w:ascii="Arial" w:hAnsi="Arial" w:cs="Arial"/>
          <w:sz w:val="24"/>
          <w:szCs w:val="24"/>
        </w:rPr>
      </w:pPr>
      <w:r w:rsidRPr="00816C69">
        <w:rPr>
          <w:rFonts w:ascii="Arial" w:hAnsi="Arial" w:cs="Arial"/>
          <w:sz w:val="24"/>
          <w:szCs w:val="24"/>
        </w:rPr>
        <w:t>Assumption changes from the 2</w:t>
      </w:r>
      <w:r w:rsidR="00AE4C15" w:rsidRPr="00816C69">
        <w:rPr>
          <w:rFonts w:ascii="Arial" w:hAnsi="Arial" w:cs="Arial"/>
          <w:sz w:val="24"/>
          <w:szCs w:val="24"/>
        </w:rPr>
        <w:t>4th</w:t>
      </w:r>
      <w:r w:rsidRPr="00816C69">
        <w:rPr>
          <w:rFonts w:ascii="Arial" w:hAnsi="Arial" w:cs="Arial"/>
          <w:sz w:val="24"/>
          <w:szCs w:val="24"/>
        </w:rPr>
        <w:t xml:space="preserve"> VCM include </w:t>
      </w:r>
      <w:r w:rsidR="000246D1" w:rsidRPr="00816C69">
        <w:rPr>
          <w:rFonts w:ascii="Arial" w:hAnsi="Arial" w:cs="Arial"/>
          <w:sz w:val="24"/>
          <w:szCs w:val="24"/>
        </w:rPr>
        <w:t xml:space="preserve">the addition of </w:t>
      </w:r>
      <w:r w:rsidR="00627E91" w:rsidRPr="00816C69">
        <w:rPr>
          <w:rFonts w:ascii="Arial" w:hAnsi="Arial" w:cs="Arial"/>
          <w:sz w:val="24"/>
          <w:szCs w:val="24"/>
        </w:rPr>
        <w:t xml:space="preserve">a </w:t>
      </w:r>
      <w:r w:rsidR="00FC7C43" w:rsidRPr="00816C69">
        <w:rPr>
          <w:rFonts w:ascii="Arial" w:hAnsi="Arial" w:cs="Arial"/>
          <w:sz w:val="24"/>
          <w:szCs w:val="24"/>
        </w:rPr>
        <w:t>5</w:t>
      </w:r>
      <w:r w:rsidR="00AA320D" w:rsidRPr="00816C69">
        <w:rPr>
          <w:rFonts w:ascii="Arial" w:hAnsi="Arial" w:cs="Arial"/>
          <w:sz w:val="24"/>
          <w:szCs w:val="24"/>
        </w:rPr>
        <w:t>-</w:t>
      </w:r>
      <w:r w:rsidR="00FC7C43" w:rsidRPr="00816C69">
        <w:rPr>
          <w:rFonts w:ascii="Arial" w:hAnsi="Arial" w:cs="Arial"/>
          <w:sz w:val="24"/>
          <w:szCs w:val="24"/>
        </w:rPr>
        <w:t xml:space="preserve">year </w:t>
      </w:r>
      <w:r w:rsidR="000246D1" w:rsidRPr="00816C69">
        <w:rPr>
          <w:rFonts w:ascii="Arial" w:hAnsi="Arial" w:cs="Arial"/>
          <w:sz w:val="24"/>
          <w:szCs w:val="24"/>
        </w:rPr>
        <w:t xml:space="preserve">amortization of unprotected ADITS resulting from the 2018 tax change, </w:t>
      </w:r>
      <w:r w:rsidRPr="00816C69">
        <w:rPr>
          <w:rFonts w:ascii="Arial" w:hAnsi="Arial" w:cs="Arial"/>
          <w:sz w:val="24"/>
          <w:szCs w:val="24"/>
        </w:rPr>
        <w:t>an updated Vogtle 3&amp;4 spending curve, updated DOE Loan savings, updated post COD O&amp;M,</w:t>
      </w:r>
      <w:r w:rsidR="000246D1" w:rsidRPr="00816C69">
        <w:rPr>
          <w:rFonts w:ascii="Arial" w:hAnsi="Arial" w:cs="Arial"/>
          <w:sz w:val="24"/>
          <w:szCs w:val="24"/>
        </w:rPr>
        <w:t xml:space="preserve"> updated decommissioning</w:t>
      </w:r>
      <w:r w:rsidR="00C70990">
        <w:rPr>
          <w:rFonts w:ascii="Arial" w:hAnsi="Arial" w:cs="Arial"/>
          <w:sz w:val="24"/>
          <w:szCs w:val="24"/>
        </w:rPr>
        <w:t xml:space="preserve"> </w:t>
      </w:r>
      <w:r w:rsidR="00C70990" w:rsidRPr="00377041">
        <w:rPr>
          <w:rFonts w:ascii="Arial" w:hAnsi="Arial" w:cs="Arial"/>
          <w:sz w:val="24"/>
          <w:szCs w:val="24"/>
        </w:rPr>
        <w:t>costs</w:t>
      </w:r>
      <w:r w:rsidR="000246D1" w:rsidRPr="00377041">
        <w:rPr>
          <w:rFonts w:ascii="Arial" w:hAnsi="Arial" w:cs="Arial"/>
          <w:sz w:val="24"/>
          <w:szCs w:val="24"/>
        </w:rPr>
        <w:t>,</w:t>
      </w:r>
      <w:r w:rsidRPr="00377041">
        <w:rPr>
          <w:rFonts w:ascii="Arial" w:hAnsi="Arial" w:cs="Arial"/>
          <w:sz w:val="24"/>
          <w:szCs w:val="24"/>
        </w:rPr>
        <w:t xml:space="preserve"> </w:t>
      </w:r>
      <w:r w:rsidR="000246D1" w:rsidRPr="00377041">
        <w:rPr>
          <w:rFonts w:ascii="Arial" w:hAnsi="Arial" w:cs="Arial"/>
          <w:sz w:val="24"/>
          <w:szCs w:val="24"/>
        </w:rPr>
        <w:t>up</w:t>
      </w:r>
      <w:r w:rsidR="000246D1" w:rsidRPr="00816C69">
        <w:rPr>
          <w:rFonts w:ascii="Arial" w:hAnsi="Arial" w:cs="Arial"/>
          <w:sz w:val="24"/>
          <w:szCs w:val="24"/>
        </w:rPr>
        <w:t xml:space="preserve">dated inventory carrying costs, </w:t>
      </w:r>
      <w:r w:rsidR="00AA320D" w:rsidRPr="00816C69">
        <w:rPr>
          <w:rFonts w:ascii="Arial" w:hAnsi="Arial" w:cs="Arial"/>
          <w:sz w:val="24"/>
          <w:szCs w:val="24"/>
        </w:rPr>
        <w:t xml:space="preserve">update property taxes, </w:t>
      </w:r>
      <w:r w:rsidRPr="00816C69">
        <w:rPr>
          <w:rFonts w:ascii="Arial" w:hAnsi="Arial" w:cs="Arial"/>
          <w:sz w:val="24"/>
          <w:szCs w:val="24"/>
        </w:rPr>
        <w:t xml:space="preserve">update fuel costs and savings, updated PTCs, and updated embedded interest rates. </w:t>
      </w:r>
    </w:p>
    <w:p w14:paraId="3742675F" w14:textId="51EC84D7" w:rsidR="007D1366" w:rsidRPr="00816C69" w:rsidRDefault="007D1366" w:rsidP="001B11C0">
      <w:pPr>
        <w:pStyle w:val="ListParagraph"/>
        <w:numPr>
          <w:ilvl w:val="0"/>
          <w:numId w:val="25"/>
        </w:numPr>
        <w:tabs>
          <w:tab w:val="left" w:pos="1530"/>
        </w:tabs>
        <w:spacing w:after="160" w:line="160" w:lineRule="atLeast"/>
        <w:ind w:left="1080" w:hanging="720"/>
        <w:jc w:val="both"/>
        <w:rPr>
          <w:rFonts w:ascii="Arial" w:hAnsi="Arial" w:cs="Arial"/>
          <w:sz w:val="24"/>
          <w:szCs w:val="24"/>
        </w:rPr>
      </w:pPr>
      <w:r w:rsidRPr="00816C69">
        <w:rPr>
          <w:rFonts w:ascii="Arial" w:hAnsi="Arial" w:cs="Arial"/>
          <w:sz w:val="24"/>
          <w:szCs w:val="24"/>
        </w:rPr>
        <w:t>Please see TS attachment STF 1</w:t>
      </w:r>
      <w:r w:rsidR="00AE4C15" w:rsidRPr="00816C69">
        <w:rPr>
          <w:rFonts w:ascii="Arial" w:hAnsi="Arial" w:cs="Arial"/>
          <w:sz w:val="24"/>
          <w:szCs w:val="24"/>
        </w:rPr>
        <w:t>98</w:t>
      </w:r>
      <w:r w:rsidRPr="00816C69">
        <w:rPr>
          <w:rFonts w:ascii="Arial" w:hAnsi="Arial" w:cs="Arial"/>
          <w:sz w:val="24"/>
          <w:szCs w:val="24"/>
        </w:rPr>
        <w:t xml:space="preserve">-2-a </w:t>
      </w:r>
      <w:r w:rsidR="00C70990">
        <w:rPr>
          <w:rFonts w:ascii="Arial" w:hAnsi="Arial" w:cs="Arial"/>
          <w:sz w:val="24"/>
          <w:szCs w:val="24"/>
        </w:rPr>
        <w:t>D</w:t>
      </w:r>
      <w:r w:rsidRPr="00816C69">
        <w:rPr>
          <w:rFonts w:ascii="Arial" w:hAnsi="Arial" w:cs="Arial"/>
          <w:sz w:val="24"/>
          <w:szCs w:val="24"/>
        </w:rPr>
        <w:t xml:space="preserve">eferrals tab for the financing and depreciation deferrals. </w:t>
      </w:r>
    </w:p>
    <w:p w14:paraId="09846E9F" w14:textId="77777777" w:rsidR="007D1366" w:rsidRDefault="007D1366" w:rsidP="007D1366">
      <w:pPr>
        <w:rPr>
          <w:rFonts w:ascii="Arial" w:hAnsi="Arial" w:cs="Arial"/>
          <w:szCs w:val="24"/>
        </w:rPr>
      </w:pPr>
    </w:p>
    <w:p w14:paraId="38948BB3" w14:textId="77777777" w:rsidR="007D1366" w:rsidRDefault="007D1366" w:rsidP="007D1366">
      <w:pPr>
        <w:rPr>
          <w:rFonts w:ascii="Arial" w:hAnsi="Arial" w:cs="Arial"/>
          <w:szCs w:val="24"/>
        </w:rPr>
      </w:pPr>
    </w:p>
    <w:p w14:paraId="2B370FDE" w14:textId="1E0AB169" w:rsidR="00431988" w:rsidRPr="00E30089" w:rsidRDefault="007D1366">
      <w:pPr>
        <w:rPr>
          <w:rFonts w:ascii="Arial" w:hAnsi="Arial" w:cs="Arial"/>
        </w:rPr>
      </w:pPr>
      <w:r>
        <w:rPr>
          <w:rFonts w:ascii="Arial" w:hAnsi="Arial" w:cs="Arial"/>
          <w:szCs w:val="24"/>
        </w:rPr>
        <w:t>Contact: Jeremiah Haswell</w:t>
      </w:r>
    </w:p>
    <w:sectPr w:rsidR="00431988" w:rsidRPr="00E30089" w:rsidSect="00D950E2">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49D07" w14:textId="77777777" w:rsidR="00D25D56" w:rsidRDefault="00D25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C4086" w14:textId="4B0C63A6" w:rsidR="004A031D" w:rsidRDefault="004A031D" w:rsidP="00D25D56">
    <w:pPr>
      <w:pStyle w:val="Footer"/>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373AF" w14:textId="77777777" w:rsidR="00D25D56" w:rsidRDefault="00D25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1AAF6" w14:textId="77777777" w:rsidR="00D25D56" w:rsidRDefault="00D25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92BCF" w14:textId="77777777" w:rsidR="00D25D56" w:rsidRDefault="00D25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75026"/>
    <w:multiLevelType w:val="hybridMultilevel"/>
    <w:tmpl w:val="E698F122"/>
    <w:lvl w:ilvl="0" w:tplc="4B403BD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D1312"/>
    <w:multiLevelType w:val="hybridMultilevel"/>
    <w:tmpl w:val="A7E480DA"/>
    <w:lvl w:ilvl="0" w:tplc="4B403BD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FC66952"/>
    <w:multiLevelType w:val="hybridMultilevel"/>
    <w:tmpl w:val="89888AC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7"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2"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
  </w:num>
  <w:num w:numId="10">
    <w:abstractNumId w:val="10"/>
  </w:num>
  <w:num w:numId="11">
    <w:abstractNumId w:val="15"/>
  </w:num>
  <w:num w:numId="12">
    <w:abstractNumId w:val="14"/>
  </w:num>
  <w:num w:numId="13">
    <w:abstractNumId w:val="19"/>
  </w:num>
  <w:num w:numId="14">
    <w:abstractNumId w:val="5"/>
  </w:num>
  <w:num w:numId="15">
    <w:abstractNumId w:val="11"/>
  </w:num>
  <w:num w:numId="16">
    <w:abstractNumId w:val="18"/>
  </w:num>
  <w:num w:numId="17">
    <w:abstractNumId w:val="8"/>
  </w:num>
  <w:num w:numId="18">
    <w:abstractNumId w:val="4"/>
  </w:num>
  <w:num w:numId="19">
    <w:abstractNumId w:val="1"/>
  </w:num>
  <w:num w:numId="20">
    <w:abstractNumId w:val="7"/>
  </w:num>
  <w:num w:numId="21">
    <w:abstractNumId w:val="20"/>
  </w:num>
  <w:num w:numId="22">
    <w:abstractNumId w:val="17"/>
  </w:num>
  <w:num w:numId="23">
    <w:abstractNumId w:val="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14899195"/>
    <w:docVar w:name="MPDocIDTemplate" w:val="%l| %n|v%v| %c|.%m"/>
    <w:docVar w:name="MPDocIDTemplateDefault" w:val="%l| %n|v%v| %c|.%m"/>
    <w:docVar w:name="NewDocStampType" w:val="7"/>
    <w:docVar w:name="zzmpLegacyTrailerRemovedNew" w:val="True"/>
    <w:docVar w:name="zzmpTrailerDateFormat" w:val="0"/>
  </w:docVars>
  <w:rsids>
    <w:rsidRoot w:val="00781B5E"/>
    <w:rsid w:val="000043A7"/>
    <w:rsid w:val="00016973"/>
    <w:rsid w:val="000214BA"/>
    <w:rsid w:val="000246D1"/>
    <w:rsid w:val="000374F8"/>
    <w:rsid w:val="000403C8"/>
    <w:rsid w:val="000445B0"/>
    <w:rsid w:val="00060549"/>
    <w:rsid w:val="000667D2"/>
    <w:rsid w:val="0006704B"/>
    <w:rsid w:val="00081574"/>
    <w:rsid w:val="000B0391"/>
    <w:rsid w:val="000C2AA7"/>
    <w:rsid w:val="000D7FFD"/>
    <w:rsid w:val="000E039A"/>
    <w:rsid w:val="000E68DF"/>
    <w:rsid w:val="000E6ABA"/>
    <w:rsid w:val="000F71A4"/>
    <w:rsid w:val="001008FE"/>
    <w:rsid w:val="001076B3"/>
    <w:rsid w:val="001465E2"/>
    <w:rsid w:val="001468DC"/>
    <w:rsid w:val="00157DC9"/>
    <w:rsid w:val="0016065E"/>
    <w:rsid w:val="00164901"/>
    <w:rsid w:val="0017226E"/>
    <w:rsid w:val="00176D14"/>
    <w:rsid w:val="0018439C"/>
    <w:rsid w:val="001A1D1D"/>
    <w:rsid w:val="001B11C0"/>
    <w:rsid w:val="001D42B9"/>
    <w:rsid w:val="001E5DA0"/>
    <w:rsid w:val="002303B9"/>
    <w:rsid w:val="00247C79"/>
    <w:rsid w:val="00270FA5"/>
    <w:rsid w:val="00274366"/>
    <w:rsid w:val="00275B6A"/>
    <w:rsid w:val="0027725F"/>
    <w:rsid w:val="00297B01"/>
    <w:rsid w:val="002A090C"/>
    <w:rsid w:val="002A0E5A"/>
    <w:rsid w:val="002B40B1"/>
    <w:rsid w:val="002C2C12"/>
    <w:rsid w:val="002C7DA5"/>
    <w:rsid w:val="002D7F15"/>
    <w:rsid w:val="002E1A6A"/>
    <w:rsid w:val="002F2512"/>
    <w:rsid w:val="002F6728"/>
    <w:rsid w:val="00302EEF"/>
    <w:rsid w:val="00303450"/>
    <w:rsid w:val="003053BF"/>
    <w:rsid w:val="00321E8A"/>
    <w:rsid w:val="00377041"/>
    <w:rsid w:val="0038296D"/>
    <w:rsid w:val="003962E1"/>
    <w:rsid w:val="003B0352"/>
    <w:rsid w:val="003B77C9"/>
    <w:rsid w:val="003D7EB2"/>
    <w:rsid w:val="003F33AC"/>
    <w:rsid w:val="00401F1A"/>
    <w:rsid w:val="00405F6C"/>
    <w:rsid w:val="00416044"/>
    <w:rsid w:val="00431988"/>
    <w:rsid w:val="00440182"/>
    <w:rsid w:val="00455CE4"/>
    <w:rsid w:val="00460392"/>
    <w:rsid w:val="0046041A"/>
    <w:rsid w:val="00461570"/>
    <w:rsid w:val="00464163"/>
    <w:rsid w:val="00471255"/>
    <w:rsid w:val="00486073"/>
    <w:rsid w:val="00496C5A"/>
    <w:rsid w:val="004A031D"/>
    <w:rsid w:val="004A6CD4"/>
    <w:rsid w:val="004C6A8A"/>
    <w:rsid w:val="004D0481"/>
    <w:rsid w:val="00510DC3"/>
    <w:rsid w:val="00515C39"/>
    <w:rsid w:val="00536EC6"/>
    <w:rsid w:val="0054000B"/>
    <w:rsid w:val="0057479C"/>
    <w:rsid w:val="0057533E"/>
    <w:rsid w:val="00590FC8"/>
    <w:rsid w:val="005C003E"/>
    <w:rsid w:val="005C4EBA"/>
    <w:rsid w:val="005F22E0"/>
    <w:rsid w:val="005F7E58"/>
    <w:rsid w:val="00627E91"/>
    <w:rsid w:val="006464D1"/>
    <w:rsid w:val="006507AC"/>
    <w:rsid w:val="00655F98"/>
    <w:rsid w:val="006710FB"/>
    <w:rsid w:val="00684CFD"/>
    <w:rsid w:val="006A0EC9"/>
    <w:rsid w:val="006A1CBC"/>
    <w:rsid w:val="006C263A"/>
    <w:rsid w:val="006D711E"/>
    <w:rsid w:val="006E7936"/>
    <w:rsid w:val="0070496B"/>
    <w:rsid w:val="007109AE"/>
    <w:rsid w:val="00713AAC"/>
    <w:rsid w:val="00724496"/>
    <w:rsid w:val="0073556D"/>
    <w:rsid w:val="00745AAD"/>
    <w:rsid w:val="00755B28"/>
    <w:rsid w:val="007802B7"/>
    <w:rsid w:val="00780490"/>
    <w:rsid w:val="00781B5E"/>
    <w:rsid w:val="007860CA"/>
    <w:rsid w:val="007A6670"/>
    <w:rsid w:val="007B2D3D"/>
    <w:rsid w:val="007C4E22"/>
    <w:rsid w:val="007D1366"/>
    <w:rsid w:val="007D41C6"/>
    <w:rsid w:val="008012B2"/>
    <w:rsid w:val="00807EC6"/>
    <w:rsid w:val="00816C69"/>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65F17"/>
    <w:rsid w:val="00970288"/>
    <w:rsid w:val="00973D0D"/>
    <w:rsid w:val="00997F98"/>
    <w:rsid w:val="009C2997"/>
    <w:rsid w:val="009C58E7"/>
    <w:rsid w:val="009E3C9F"/>
    <w:rsid w:val="009E7B6A"/>
    <w:rsid w:val="009F11F7"/>
    <w:rsid w:val="00A00EA8"/>
    <w:rsid w:val="00A100C9"/>
    <w:rsid w:val="00A165A5"/>
    <w:rsid w:val="00A37235"/>
    <w:rsid w:val="00A45928"/>
    <w:rsid w:val="00A614DA"/>
    <w:rsid w:val="00A61DF0"/>
    <w:rsid w:val="00A7112E"/>
    <w:rsid w:val="00A72D04"/>
    <w:rsid w:val="00A912EE"/>
    <w:rsid w:val="00AA320D"/>
    <w:rsid w:val="00AA67C2"/>
    <w:rsid w:val="00AA75B4"/>
    <w:rsid w:val="00AB61AA"/>
    <w:rsid w:val="00AD417B"/>
    <w:rsid w:val="00AE10D3"/>
    <w:rsid w:val="00AE3EF4"/>
    <w:rsid w:val="00AE4C15"/>
    <w:rsid w:val="00AF7971"/>
    <w:rsid w:val="00B00A19"/>
    <w:rsid w:val="00B064B5"/>
    <w:rsid w:val="00B1708B"/>
    <w:rsid w:val="00B2467A"/>
    <w:rsid w:val="00B46E45"/>
    <w:rsid w:val="00B82057"/>
    <w:rsid w:val="00B90593"/>
    <w:rsid w:val="00B908B0"/>
    <w:rsid w:val="00B90ACE"/>
    <w:rsid w:val="00BB0674"/>
    <w:rsid w:val="00BB2456"/>
    <w:rsid w:val="00BB7DBE"/>
    <w:rsid w:val="00BC6A09"/>
    <w:rsid w:val="00BD579D"/>
    <w:rsid w:val="00BD5E57"/>
    <w:rsid w:val="00BF2D59"/>
    <w:rsid w:val="00C10668"/>
    <w:rsid w:val="00C156A6"/>
    <w:rsid w:val="00C177A9"/>
    <w:rsid w:val="00C21B7E"/>
    <w:rsid w:val="00C42ED4"/>
    <w:rsid w:val="00C57DC7"/>
    <w:rsid w:val="00C6749F"/>
    <w:rsid w:val="00C70990"/>
    <w:rsid w:val="00C73685"/>
    <w:rsid w:val="00C80B75"/>
    <w:rsid w:val="00CD5D65"/>
    <w:rsid w:val="00CF0C74"/>
    <w:rsid w:val="00CF0F15"/>
    <w:rsid w:val="00CF4BE5"/>
    <w:rsid w:val="00D228F6"/>
    <w:rsid w:val="00D25D56"/>
    <w:rsid w:val="00D35201"/>
    <w:rsid w:val="00D373E7"/>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1176"/>
    <w:rsid w:val="00E36339"/>
    <w:rsid w:val="00E3732F"/>
    <w:rsid w:val="00E43ADD"/>
    <w:rsid w:val="00E474B8"/>
    <w:rsid w:val="00E50776"/>
    <w:rsid w:val="00E52935"/>
    <w:rsid w:val="00E62D76"/>
    <w:rsid w:val="00E650F7"/>
    <w:rsid w:val="00E728C7"/>
    <w:rsid w:val="00E812FD"/>
    <w:rsid w:val="00F01154"/>
    <w:rsid w:val="00F10747"/>
    <w:rsid w:val="00F65111"/>
    <w:rsid w:val="00F66F01"/>
    <w:rsid w:val="00F72342"/>
    <w:rsid w:val="00F83ED9"/>
    <w:rsid w:val="00F9046E"/>
    <w:rsid w:val="00F94336"/>
    <w:rsid w:val="00F95C9A"/>
    <w:rsid w:val="00FA2C7E"/>
    <w:rsid w:val="00FB271B"/>
    <w:rsid w:val="00FB32D6"/>
    <w:rsid w:val="00FC463E"/>
    <w:rsid w:val="00FC5EAE"/>
    <w:rsid w:val="00FC7C43"/>
    <w:rsid w:val="00FE627C"/>
    <w:rsid w:val="00FF25B2"/>
    <w:rsid w:val="00FF5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character" w:customStyle="1" w:styleId="zzmpTrailerItem">
    <w:name w:val="zzmpTrailerItem"/>
    <w:basedOn w:val="DefaultParagraphFont"/>
    <w:rsid w:val="00D25D56"/>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171311309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2.xml><?xml version="1.0" encoding="utf-8"?>
<ds:datastoreItem xmlns:ds="http://schemas.openxmlformats.org/officeDocument/2006/customXml" ds:itemID="{3D2F8985-4713-4F72-95D1-161950027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2021-04-07T10:15:00Z</dcterms:created>
  <dcterms:modified xsi:type="dcterms:W3CDTF">2021-04-07T10:15:00Z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