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0C67EB" w:rsidRDefault="00431988" w:rsidP="00431988">
      <w:pPr>
        <w:pStyle w:val="Title"/>
        <w:rPr>
          <w:rFonts w:cs="Arial"/>
          <w:caps/>
          <w:sz w:val="24"/>
        </w:rPr>
      </w:pPr>
      <w:r w:rsidRPr="000C67EB">
        <w:rPr>
          <w:rFonts w:cs="Arial"/>
          <w:caps/>
          <w:sz w:val="24"/>
        </w:rPr>
        <w:t>Georgia Power Company</w:t>
      </w:r>
    </w:p>
    <w:p w14:paraId="2EBAF9AA" w14:textId="77777777" w:rsidR="00431988" w:rsidRPr="000C67EB" w:rsidRDefault="00431988" w:rsidP="00431988">
      <w:pPr>
        <w:jc w:val="center"/>
        <w:rPr>
          <w:rFonts w:ascii="Arial" w:hAnsi="Arial" w:cs="Arial"/>
          <w:b/>
        </w:rPr>
      </w:pPr>
      <w:r w:rsidRPr="000C67EB">
        <w:rPr>
          <w:rFonts w:ascii="Arial" w:hAnsi="Arial" w:cs="Arial"/>
          <w:b/>
        </w:rPr>
        <w:t>Docket No. 29849</w:t>
      </w:r>
    </w:p>
    <w:p w14:paraId="5608C5AC" w14:textId="52BE13AA" w:rsidR="00807EC6" w:rsidRPr="000C67EB" w:rsidRDefault="00431988" w:rsidP="00807EC6">
      <w:pPr>
        <w:jc w:val="center"/>
        <w:rPr>
          <w:rFonts w:ascii="Arial" w:hAnsi="Arial" w:cs="Arial"/>
          <w:b/>
        </w:rPr>
      </w:pPr>
      <w:r w:rsidRPr="000C67EB">
        <w:rPr>
          <w:rFonts w:ascii="Arial" w:hAnsi="Arial" w:cs="Arial"/>
          <w:b/>
        </w:rPr>
        <w:t>Staff Data Request No</w:t>
      </w:r>
      <w:r w:rsidR="00F83ED9" w:rsidRPr="000C67EB">
        <w:rPr>
          <w:rFonts w:ascii="Arial" w:hAnsi="Arial" w:cs="Arial"/>
          <w:b/>
        </w:rPr>
        <w:t>.</w:t>
      </w:r>
      <w:r w:rsidRPr="000C67EB">
        <w:rPr>
          <w:rFonts w:ascii="Arial" w:hAnsi="Arial" w:cs="Arial"/>
          <w:b/>
        </w:rPr>
        <w:t xml:space="preserve"> STF-</w:t>
      </w:r>
      <w:r w:rsidR="009E3C9F" w:rsidRPr="000C67EB">
        <w:rPr>
          <w:rFonts w:ascii="Arial" w:hAnsi="Arial" w:cs="Arial"/>
          <w:b/>
        </w:rPr>
        <w:t>1</w:t>
      </w:r>
      <w:r w:rsidR="001E5DA0" w:rsidRPr="000C67EB">
        <w:rPr>
          <w:rFonts w:ascii="Arial" w:hAnsi="Arial" w:cs="Arial"/>
          <w:b/>
        </w:rPr>
        <w:t>9</w:t>
      </w:r>
      <w:r w:rsidR="00F83ED9" w:rsidRPr="000C67EB">
        <w:rPr>
          <w:rFonts w:ascii="Arial" w:hAnsi="Arial" w:cs="Arial"/>
          <w:b/>
        </w:rPr>
        <w:t>8</w:t>
      </w:r>
    </w:p>
    <w:p w14:paraId="29944C4D" w14:textId="77777777" w:rsidR="00431988" w:rsidRPr="000C67EB" w:rsidRDefault="00431988" w:rsidP="00431988">
      <w:pPr>
        <w:autoSpaceDE w:val="0"/>
        <w:autoSpaceDN w:val="0"/>
        <w:adjustRightInd w:val="0"/>
        <w:ind w:left="2232" w:hanging="2232"/>
        <w:rPr>
          <w:rFonts w:ascii="Arial" w:hAnsi="Arial" w:cs="Arial"/>
          <w:b/>
          <w:bCs/>
          <w:szCs w:val="24"/>
        </w:rPr>
      </w:pPr>
    </w:p>
    <w:p w14:paraId="393FE045" w14:textId="2448D3B2" w:rsidR="00164901" w:rsidRPr="000C67EB" w:rsidRDefault="00431988" w:rsidP="00164901">
      <w:pPr>
        <w:autoSpaceDE w:val="0"/>
        <w:autoSpaceDN w:val="0"/>
        <w:adjustRightInd w:val="0"/>
        <w:ind w:left="2232" w:hanging="2232"/>
        <w:rPr>
          <w:rFonts w:ascii="Arial" w:hAnsi="Arial" w:cs="Arial"/>
          <w:b/>
          <w:bCs/>
          <w:szCs w:val="24"/>
        </w:rPr>
      </w:pPr>
      <w:r w:rsidRPr="000C67EB">
        <w:rPr>
          <w:rFonts w:ascii="Arial" w:hAnsi="Arial" w:cs="Arial"/>
          <w:b/>
          <w:bCs/>
          <w:szCs w:val="24"/>
        </w:rPr>
        <w:t>STF-</w:t>
      </w:r>
      <w:r w:rsidR="00F66F01" w:rsidRPr="000C67EB">
        <w:rPr>
          <w:rFonts w:ascii="Arial" w:hAnsi="Arial" w:cs="Arial"/>
          <w:b/>
          <w:bCs/>
          <w:szCs w:val="24"/>
        </w:rPr>
        <w:t>1</w:t>
      </w:r>
      <w:r w:rsidR="001E5DA0" w:rsidRPr="000C67EB">
        <w:rPr>
          <w:rFonts w:ascii="Arial" w:hAnsi="Arial" w:cs="Arial"/>
          <w:b/>
          <w:bCs/>
          <w:szCs w:val="24"/>
        </w:rPr>
        <w:t>9</w:t>
      </w:r>
      <w:r w:rsidR="00F83ED9" w:rsidRPr="000C67EB">
        <w:rPr>
          <w:rFonts w:ascii="Arial" w:hAnsi="Arial" w:cs="Arial"/>
          <w:b/>
          <w:bCs/>
          <w:szCs w:val="24"/>
        </w:rPr>
        <w:t>8</w:t>
      </w:r>
      <w:r w:rsidR="009E3C9F" w:rsidRPr="000C67EB">
        <w:rPr>
          <w:rFonts w:ascii="Arial" w:hAnsi="Arial" w:cs="Arial"/>
          <w:b/>
          <w:bCs/>
          <w:szCs w:val="24"/>
        </w:rPr>
        <w:t>-</w:t>
      </w:r>
      <w:r w:rsidR="005243F4" w:rsidRPr="000C67EB">
        <w:rPr>
          <w:rFonts w:ascii="Arial" w:hAnsi="Arial" w:cs="Arial"/>
          <w:b/>
          <w:bCs/>
          <w:szCs w:val="24"/>
        </w:rPr>
        <w:t>1</w:t>
      </w:r>
      <w:r w:rsidR="00A128D7" w:rsidRPr="000C67EB">
        <w:rPr>
          <w:rFonts w:ascii="Arial" w:hAnsi="Arial" w:cs="Arial"/>
          <w:b/>
          <w:bCs/>
          <w:szCs w:val="24"/>
        </w:rPr>
        <w:t>8</w:t>
      </w:r>
    </w:p>
    <w:p w14:paraId="628B76AE" w14:textId="77777777" w:rsidR="00431988" w:rsidRPr="000C67EB" w:rsidRDefault="00431988" w:rsidP="00431988">
      <w:pPr>
        <w:autoSpaceDE w:val="0"/>
        <w:autoSpaceDN w:val="0"/>
        <w:adjustRightInd w:val="0"/>
        <w:ind w:left="2232" w:hanging="2232"/>
        <w:rPr>
          <w:rFonts w:ascii="Arial" w:hAnsi="Arial" w:cs="Arial"/>
          <w:b/>
          <w:bCs/>
          <w:szCs w:val="24"/>
        </w:rPr>
      </w:pPr>
    </w:p>
    <w:p w14:paraId="1B54D338" w14:textId="77777777" w:rsidR="00431988" w:rsidRPr="000C67EB" w:rsidRDefault="00431988" w:rsidP="00431988">
      <w:pPr>
        <w:autoSpaceDE w:val="0"/>
        <w:autoSpaceDN w:val="0"/>
        <w:adjustRightInd w:val="0"/>
        <w:ind w:left="2232" w:hanging="2232"/>
        <w:rPr>
          <w:rFonts w:ascii="Arial" w:hAnsi="Arial" w:cs="Arial"/>
          <w:color w:val="000000"/>
          <w:szCs w:val="24"/>
          <w:u w:val="single"/>
        </w:rPr>
      </w:pPr>
      <w:r w:rsidRPr="000C67EB">
        <w:rPr>
          <w:rFonts w:ascii="Arial" w:hAnsi="Arial" w:cs="Arial"/>
          <w:color w:val="000000"/>
          <w:szCs w:val="24"/>
          <w:u w:val="single"/>
        </w:rPr>
        <w:t>Question:</w:t>
      </w:r>
    </w:p>
    <w:p w14:paraId="2037D54D" w14:textId="77777777" w:rsidR="00A100C9" w:rsidRPr="000C67EB" w:rsidRDefault="00A100C9" w:rsidP="00176D14">
      <w:pPr>
        <w:tabs>
          <w:tab w:val="left" w:pos="0"/>
        </w:tabs>
        <w:autoSpaceDE w:val="0"/>
        <w:autoSpaceDN w:val="0"/>
        <w:adjustRightInd w:val="0"/>
        <w:rPr>
          <w:rFonts w:ascii="Arial" w:hAnsi="Arial" w:cs="Arial"/>
        </w:rPr>
      </w:pPr>
    </w:p>
    <w:p w14:paraId="59B04FB0" w14:textId="77777777" w:rsidR="00A128D7" w:rsidRPr="000C67EB" w:rsidRDefault="00A128D7" w:rsidP="00A128D7">
      <w:pPr>
        <w:tabs>
          <w:tab w:val="left" w:pos="0"/>
        </w:tabs>
        <w:autoSpaceDE w:val="0"/>
        <w:autoSpaceDN w:val="0"/>
        <w:adjustRightInd w:val="0"/>
        <w:rPr>
          <w:rFonts w:ascii="Arial" w:hAnsi="Arial" w:cs="Arial"/>
          <w:color w:val="000000"/>
          <w:szCs w:val="24"/>
        </w:rPr>
      </w:pPr>
      <w:r w:rsidRPr="000C67EB">
        <w:rPr>
          <w:rFonts w:ascii="Arial" w:hAnsi="Arial" w:cs="Arial"/>
          <w:color w:val="000000"/>
          <w:szCs w:val="24"/>
        </w:rPr>
        <w:t>Please provide an update to STF 148-17 to include 24</w:t>
      </w:r>
      <w:r w:rsidRPr="00B20702">
        <w:rPr>
          <w:rFonts w:ascii="Arial" w:hAnsi="Arial" w:cs="Arial"/>
          <w:color w:val="000000"/>
          <w:szCs w:val="24"/>
          <w:vertAlign w:val="superscript"/>
        </w:rPr>
        <w:t>th</w:t>
      </w:r>
      <w:r w:rsidRPr="000C67EB">
        <w:rPr>
          <w:rFonts w:ascii="Arial" w:hAnsi="Arial" w:cs="Arial"/>
          <w:color w:val="000000"/>
          <w:szCs w:val="24"/>
        </w:rPr>
        <w:t xml:space="preserve"> VCM forecasts in comparison to Certification forecasts.  Please include:</w:t>
      </w:r>
    </w:p>
    <w:p w14:paraId="5BEE06A0" w14:textId="77777777" w:rsidR="00A128D7" w:rsidRPr="000C67EB" w:rsidRDefault="00A128D7" w:rsidP="00A128D7">
      <w:pPr>
        <w:pStyle w:val="ListParagraph"/>
        <w:numPr>
          <w:ilvl w:val="0"/>
          <w:numId w:val="38"/>
        </w:numPr>
        <w:tabs>
          <w:tab w:val="left" w:pos="0"/>
        </w:tabs>
        <w:autoSpaceDE w:val="0"/>
        <w:autoSpaceDN w:val="0"/>
        <w:adjustRightInd w:val="0"/>
        <w:rPr>
          <w:rFonts w:ascii="Arial" w:hAnsi="Arial" w:cs="Arial"/>
          <w:color w:val="000000"/>
          <w:sz w:val="24"/>
          <w:szCs w:val="28"/>
        </w:rPr>
      </w:pPr>
      <w:r w:rsidRPr="000C67EB">
        <w:rPr>
          <w:rFonts w:ascii="Arial" w:hAnsi="Arial" w:cs="Arial"/>
          <w:color w:val="000000"/>
          <w:sz w:val="24"/>
          <w:szCs w:val="28"/>
        </w:rPr>
        <w:t>Vogtle Pre-COD O&amp;M and Post-COD O&amp;M estimates. Please provide an updated workpaper and revised description regarding the drivers for any changes that occurred since certification and the current VCM filing.</w:t>
      </w:r>
    </w:p>
    <w:p w14:paraId="55811359" w14:textId="77777777" w:rsidR="00A128D7" w:rsidRPr="000C67EB" w:rsidRDefault="00A128D7" w:rsidP="00A128D7">
      <w:pPr>
        <w:tabs>
          <w:tab w:val="left" w:pos="0"/>
        </w:tabs>
        <w:autoSpaceDE w:val="0"/>
        <w:autoSpaceDN w:val="0"/>
        <w:adjustRightInd w:val="0"/>
        <w:rPr>
          <w:rFonts w:ascii="Arial" w:hAnsi="Arial" w:cs="Arial"/>
          <w:color w:val="000000"/>
          <w:sz w:val="28"/>
          <w:szCs w:val="28"/>
        </w:rPr>
      </w:pPr>
    </w:p>
    <w:p w14:paraId="53D01466" w14:textId="77777777" w:rsidR="00A128D7" w:rsidRPr="000C67EB" w:rsidRDefault="00A128D7" w:rsidP="00A128D7">
      <w:pPr>
        <w:pStyle w:val="ListParagraph"/>
        <w:numPr>
          <w:ilvl w:val="0"/>
          <w:numId w:val="38"/>
        </w:numPr>
        <w:tabs>
          <w:tab w:val="left" w:pos="0"/>
        </w:tabs>
        <w:autoSpaceDE w:val="0"/>
        <w:autoSpaceDN w:val="0"/>
        <w:adjustRightInd w:val="0"/>
        <w:rPr>
          <w:rFonts w:ascii="Arial" w:hAnsi="Arial" w:cs="Arial"/>
          <w:color w:val="000000"/>
          <w:sz w:val="24"/>
          <w:szCs w:val="28"/>
        </w:rPr>
      </w:pPr>
      <w:r w:rsidRPr="000C67EB">
        <w:rPr>
          <w:rFonts w:ascii="Arial" w:hAnsi="Arial" w:cs="Arial"/>
          <w:color w:val="000000"/>
          <w:sz w:val="24"/>
          <w:szCs w:val="28"/>
        </w:rPr>
        <w:t>The Vogtle Nuclear Fuel estimates. Please provide an updated workpaper and revised description regarding the drivers for any changes since certification and the current VCM filing.</w:t>
      </w:r>
    </w:p>
    <w:p w14:paraId="70AB6970" w14:textId="77777777" w:rsidR="00A128D7" w:rsidRPr="000C67EB" w:rsidRDefault="00A128D7" w:rsidP="00A128D7">
      <w:pPr>
        <w:tabs>
          <w:tab w:val="left" w:pos="0"/>
        </w:tabs>
        <w:autoSpaceDE w:val="0"/>
        <w:autoSpaceDN w:val="0"/>
        <w:adjustRightInd w:val="0"/>
        <w:rPr>
          <w:rFonts w:ascii="Arial" w:hAnsi="Arial" w:cs="Arial"/>
          <w:color w:val="000000"/>
          <w:sz w:val="28"/>
          <w:szCs w:val="28"/>
        </w:rPr>
      </w:pPr>
    </w:p>
    <w:p w14:paraId="7AF8EC77" w14:textId="77777777" w:rsidR="00A128D7" w:rsidRPr="000C67EB" w:rsidRDefault="00A128D7" w:rsidP="00A128D7">
      <w:pPr>
        <w:pStyle w:val="ListParagraph"/>
        <w:numPr>
          <w:ilvl w:val="0"/>
          <w:numId w:val="38"/>
        </w:numPr>
        <w:tabs>
          <w:tab w:val="left" w:pos="0"/>
        </w:tabs>
        <w:autoSpaceDE w:val="0"/>
        <w:autoSpaceDN w:val="0"/>
        <w:adjustRightInd w:val="0"/>
        <w:rPr>
          <w:rFonts w:ascii="Arial" w:hAnsi="Arial" w:cs="Arial"/>
          <w:color w:val="000000"/>
          <w:sz w:val="24"/>
          <w:szCs w:val="28"/>
        </w:rPr>
      </w:pPr>
      <w:r w:rsidRPr="000C67EB">
        <w:rPr>
          <w:rFonts w:ascii="Arial" w:hAnsi="Arial" w:cs="Arial"/>
          <w:color w:val="000000"/>
          <w:sz w:val="24"/>
          <w:szCs w:val="28"/>
        </w:rPr>
        <w:t>The Vogtle Recurring Capital estimates. Please provide an updated workpaper and revised description regarding drivers for any changes since certification and the current VCM filing.</w:t>
      </w:r>
    </w:p>
    <w:p w14:paraId="3A9477F5" w14:textId="77777777" w:rsidR="00A128D7" w:rsidRPr="000C67EB" w:rsidRDefault="00A128D7" w:rsidP="00A128D7">
      <w:pPr>
        <w:tabs>
          <w:tab w:val="left" w:pos="0"/>
        </w:tabs>
        <w:autoSpaceDE w:val="0"/>
        <w:autoSpaceDN w:val="0"/>
        <w:adjustRightInd w:val="0"/>
        <w:rPr>
          <w:rFonts w:ascii="Arial" w:hAnsi="Arial" w:cs="Arial"/>
          <w:color w:val="000000"/>
          <w:sz w:val="28"/>
          <w:szCs w:val="28"/>
        </w:rPr>
      </w:pPr>
    </w:p>
    <w:p w14:paraId="6CCACD0A" w14:textId="77777777" w:rsidR="00A128D7" w:rsidRPr="000C67EB" w:rsidRDefault="00A128D7" w:rsidP="00A128D7">
      <w:pPr>
        <w:pStyle w:val="ListParagraph"/>
        <w:numPr>
          <w:ilvl w:val="0"/>
          <w:numId w:val="38"/>
        </w:numPr>
        <w:tabs>
          <w:tab w:val="left" w:pos="0"/>
        </w:tabs>
        <w:autoSpaceDE w:val="0"/>
        <w:autoSpaceDN w:val="0"/>
        <w:adjustRightInd w:val="0"/>
        <w:rPr>
          <w:rFonts w:ascii="Arial" w:hAnsi="Arial" w:cs="Arial"/>
          <w:color w:val="000000"/>
          <w:sz w:val="24"/>
          <w:szCs w:val="28"/>
        </w:rPr>
      </w:pPr>
      <w:r w:rsidRPr="000C67EB">
        <w:rPr>
          <w:rFonts w:ascii="Arial" w:hAnsi="Arial" w:cs="Arial"/>
          <w:color w:val="000000"/>
          <w:sz w:val="24"/>
          <w:szCs w:val="28"/>
        </w:rPr>
        <w:t>Provide a comparison of the certification forecasted spending curve and the current VCM spending curve.</w:t>
      </w:r>
    </w:p>
    <w:p w14:paraId="3B28ED12" w14:textId="77777777" w:rsidR="00A128D7" w:rsidRPr="000C67EB" w:rsidRDefault="00A128D7" w:rsidP="00A128D7">
      <w:pPr>
        <w:tabs>
          <w:tab w:val="left" w:pos="0"/>
        </w:tabs>
        <w:autoSpaceDE w:val="0"/>
        <w:autoSpaceDN w:val="0"/>
        <w:adjustRightInd w:val="0"/>
        <w:rPr>
          <w:rFonts w:ascii="Arial" w:hAnsi="Arial" w:cs="Arial"/>
          <w:color w:val="000000"/>
          <w:sz w:val="28"/>
          <w:szCs w:val="28"/>
        </w:rPr>
      </w:pPr>
    </w:p>
    <w:p w14:paraId="2C1BAFDF" w14:textId="77777777" w:rsidR="00A128D7" w:rsidRPr="000C67EB" w:rsidRDefault="00A128D7" w:rsidP="00A128D7">
      <w:pPr>
        <w:pStyle w:val="ListParagraph"/>
        <w:numPr>
          <w:ilvl w:val="0"/>
          <w:numId w:val="38"/>
        </w:numPr>
        <w:tabs>
          <w:tab w:val="left" w:pos="0"/>
        </w:tabs>
        <w:autoSpaceDE w:val="0"/>
        <w:autoSpaceDN w:val="0"/>
        <w:adjustRightInd w:val="0"/>
        <w:rPr>
          <w:rFonts w:ascii="Arial" w:hAnsi="Arial" w:cs="Arial"/>
          <w:color w:val="000000"/>
          <w:sz w:val="24"/>
          <w:szCs w:val="28"/>
        </w:rPr>
      </w:pPr>
      <w:r w:rsidRPr="000C67EB">
        <w:rPr>
          <w:rFonts w:ascii="Arial" w:hAnsi="Arial" w:cs="Arial"/>
          <w:color w:val="000000"/>
          <w:sz w:val="24"/>
          <w:szCs w:val="28"/>
        </w:rPr>
        <w:t>Provide a comparison of the certification PTC estimate and the current VCM PTC estimate.</w:t>
      </w:r>
    </w:p>
    <w:p w14:paraId="3D36B9CE" w14:textId="77777777" w:rsidR="00A128D7" w:rsidRPr="000C67EB" w:rsidRDefault="00A128D7" w:rsidP="00A128D7">
      <w:pPr>
        <w:tabs>
          <w:tab w:val="left" w:pos="0"/>
        </w:tabs>
        <w:autoSpaceDE w:val="0"/>
        <w:autoSpaceDN w:val="0"/>
        <w:adjustRightInd w:val="0"/>
        <w:rPr>
          <w:rFonts w:ascii="Arial" w:hAnsi="Arial" w:cs="Arial"/>
          <w:color w:val="000000"/>
          <w:sz w:val="28"/>
          <w:szCs w:val="28"/>
        </w:rPr>
      </w:pPr>
    </w:p>
    <w:p w14:paraId="7782EBB9" w14:textId="77777777" w:rsidR="00A128D7" w:rsidRPr="000C67EB" w:rsidRDefault="00A128D7" w:rsidP="00A128D7">
      <w:pPr>
        <w:pStyle w:val="ListParagraph"/>
        <w:numPr>
          <w:ilvl w:val="0"/>
          <w:numId w:val="38"/>
        </w:numPr>
        <w:tabs>
          <w:tab w:val="left" w:pos="0"/>
        </w:tabs>
        <w:autoSpaceDE w:val="0"/>
        <w:autoSpaceDN w:val="0"/>
        <w:adjustRightInd w:val="0"/>
        <w:rPr>
          <w:rFonts w:ascii="Arial" w:hAnsi="Arial" w:cs="Arial"/>
          <w:color w:val="000000"/>
          <w:sz w:val="24"/>
          <w:szCs w:val="28"/>
        </w:rPr>
      </w:pPr>
      <w:r w:rsidRPr="000C67EB">
        <w:rPr>
          <w:rFonts w:ascii="Arial" w:hAnsi="Arial" w:cs="Arial"/>
          <w:color w:val="000000"/>
          <w:sz w:val="24"/>
          <w:szCs w:val="28"/>
        </w:rPr>
        <w:t>Provide a comparison of the certification DOE Loan Guarantee Impact and the current DOE Loan Guarantee Impact.</w:t>
      </w:r>
    </w:p>
    <w:p w14:paraId="5D481D27" w14:textId="77777777" w:rsidR="004303EC" w:rsidRPr="000C67EB" w:rsidRDefault="004303EC" w:rsidP="00E13E5D">
      <w:pPr>
        <w:tabs>
          <w:tab w:val="left" w:pos="0"/>
        </w:tabs>
        <w:autoSpaceDE w:val="0"/>
        <w:autoSpaceDN w:val="0"/>
        <w:adjustRightInd w:val="0"/>
        <w:rPr>
          <w:rFonts w:ascii="Arial" w:hAnsi="Arial" w:cs="Arial"/>
          <w:color w:val="000000"/>
          <w:szCs w:val="24"/>
          <w:u w:val="single"/>
        </w:rPr>
      </w:pPr>
    </w:p>
    <w:p w14:paraId="00DC0289" w14:textId="14D97434" w:rsidR="00431988" w:rsidRPr="000C67EB" w:rsidRDefault="00431988" w:rsidP="00176D14">
      <w:pPr>
        <w:tabs>
          <w:tab w:val="left" w:pos="0"/>
        </w:tabs>
        <w:autoSpaceDE w:val="0"/>
        <w:autoSpaceDN w:val="0"/>
        <w:adjustRightInd w:val="0"/>
        <w:rPr>
          <w:rFonts w:ascii="Arial" w:hAnsi="Arial" w:cs="Arial"/>
          <w:color w:val="000000"/>
          <w:szCs w:val="24"/>
          <w:u w:val="single"/>
        </w:rPr>
      </w:pPr>
      <w:r w:rsidRPr="000C67EB">
        <w:rPr>
          <w:rFonts w:ascii="Arial" w:hAnsi="Arial" w:cs="Arial"/>
          <w:color w:val="000000"/>
          <w:szCs w:val="24"/>
          <w:u w:val="single"/>
        </w:rPr>
        <w:t>Response:</w:t>
      </w:r>
    </w:p>
    <w:p w14:paraId="754BBB2A" w14:textId="77777777" w:rsidR="001B05FE" w:rsidRPr="000C67EB" w:rsidRDefault="001B05FE" w:rsidP="00176D14">
      <w:pPr>
        <w:tabs>
          <w:tab w:val="left" w:pos="0"/>
        </w:tabs>
        <w:autoSpaceDE w:val="0"/>
        <w:autoSpaceDN w:val="0"/>
        <w:adjustRightInd w:val="0"/>
        <w:rPr>
          <w:rFonts w:ascii="Arial" w:hAnsi="Arial" w:cs="Arial"/>
          <w:color w:val="000000"/>
          <w:szCs w:val="24"/>
          <w:u w:val="single"/>
        </w:rPr>
      </w:pPr>
    </w:p>
    <w:p w14:paraId="132407A5" w14:textId="05E8C8B0" w:rsidR="001B05FE" w:rsidRPr="000C67EB" w:rsidRDefault="001B05FE" w:rsidP="001B05FE">
      <w:pPr>
        <w:pStyle w:val="ListParagraph"/>
        <w:numPr>
          <w:ilvl w:val="0"/>
          <w:numId w:val="39"/>
        </w:numPr>
        <w:autoSpaceDE w:val="0"/>
        <w:autoSpaceDN w:val="0"/>
        <w:adjustRightInd w:val="0"/>
        <w:ind w:left="1080" w:hanging="720"/>
        <w:rPr>
          <w:rFonts w:ascii="Arial" w:hAnsi="Arial" w:cs="Arial"/>
          <w:sz w:val="24"/>
          <w:szCs w:val="24"/>
        </w:rPr>
      </w:pPr>
      <w:r w:rsidRPr="000C67EB">
        <w:rPr>
          <w:rFonts w:ascii="Arial" w:hAnsi="Arial" w:cs="Arial"/>
          <w:sz w:val="24"/>
          <w:szCs w:val="24"/>
        </w:rPr>
        <w:t>Please see electronic Trade Secret (“TS”) Attachment STF-198-18-a for comparisons of certification O&amp;M to 24</w:t>
      </w:r>
      <w:r w:rsidRPr="00B20702">
        <w:rPr>
          <w:rFonts w:ascii="Arial" w:hAnsi="Arial" w:cs="Arial"/>
          <w:sz w:val="24"/>
          <w:szCs w:val="24"/>
          <w:vertAlign w:val="superscript"/>
        </w:rPr>
        <w:t>th</w:t>
      </w:r>
      <w:r w:rsidRPr="000C67EB">
        <w:rPr>
          <w:rFonts w:ascii="Arial" w:hAnsi="Arial" w:cs="Arial"/>
          <w:sz w:val="24"/>
          <w:szCs w:val="24"/>
        </w:rPr>
        <w:t xml:space="preserve"> VCM O&amp;M and the 23</w:t>
      </w:r>
      <w:r w:rsidRPr="00B20702">
        <w:rPr>
          <w:rFonts w:ascii="Arial" w:hAnsi="Arial" w:cs="Arial"/>
          <w:sz w:val="24"/>
          <w:szCs w:val="24"/>
          <w:vertAlign w:val="superscript"/>
        </w:rPr>
        <w:t>rd</w:t>
      </w:r>
      <w:r w:rsidRPr="000C67EB">
        <w:rPr>
          <w:rFonts w:ascii="Arial" w:hAnsi="Arial" w:cs="Arial"/>
          <w:sz w:val="24"/>
          <w:szCs w:val="24"/>
        </w:rPr>
        <w:t xml:space="preserve"> VCM O&amp;M to 24th VCM O&amp;M.</w:t>
      </w:r>
    </w:p>
    <w:p w14:paraId="6846108B" w14:textId="77777777" w:rsidR="001B05FE" w:rsidRPr="000C67EB" w:rsidRDefault="001B05FE" w:rsidP="001B05FE">
      <w:pPr>
        <w:autoSpaceDE w:val="0"/>
        <w:autoSpaceDN w:val="0"/>
        <w:adjustRightInd w:val="0"/>
        <w:ind w:left="1080" w:hanging="720"/>
        <w:rPr>
          <w:rFonts w:ascii="Arial" w:eastAsia="Calibri" w:hAnsi="Arial" w:cs="Arial"/>
          <w:szCs w:val="24"/>
        </w:rPr>
      </w:pPr>
    </w:p>
    <w:p w14:paraId="62F588E6" w14:textId="4CCF91B9" w:rsidR="001B05FE" w:rsidRPr="000C67EB" w:rsidRDefault="00103254" w:rsidP="001B05FE">
      <w:pPr>
        <w:autoSpaceDE w:val="0"/>
        <w:autoSpaceDN w:val="0"/>
        <w:adjustRightInd w:val="0"/>
        <w:ind w:left="1080"/>
        <w:rPr>
          <w:rFonts w:ascii="Arial" w:eastAsia="Calibri" w:hAnsi="Arial" w:cs="Arial"/>
          <w:szCs w:val="24"/>
        </w:rPr>
      </w:pPr>
      <w:r w:rsidRPr="000C67EB">
        <w:rPr>
          <w:rFonts w:ascii="Arial" w:eastAsia="Calibri" w:hAnsi="Arial" w:cs="Arial"/>
          <w:szCs w:val="24"/>
        </w:rPr>
        <w:t>Compared to certification, t</w:t>
      </w:r>
      <w:r w:rsidR="001B05FE" w:rsidRPr="000C67EB">
        <w:rPr>
          <w:rFonts w:ascii="Arial" w:eastAsia="Calibri" w:hAnsi="Arial" w:cs="Arial"/>
          <w:szCs w:val="24"/>
        </w:rPr>
        <w:t>he total estimate has increased as a result of the revised CODs. The forecast has been redistributed to align with the changes in the schedule.</w:t>
      </w:r>
    </w:p>
    <w:p w14:paraId="0091C8AF" w14:textId="77777777" w:rsidR="001B05FE" w:rsidRPr="000C67EB" w:rsidRDefault="001B05FE" w:rsidP="001B05FE">
      <w:pPr>
        <w:autoSpaceDE w:val="0"/>
        <w:autoSpaceDN w:val="0"/>
        <w:adjustRightInd w:val="0"/>
        <w:ind w:left="1080" w:hanging="720"/>
        <w:rPr>
          <w:rFonts w:ascii="Arial" w:eastAsia="Calibri" w:hAnsi="Arial" w:cs="Arial"/>
          <w:szCs w:val="24"/>
        </w:rPr>
      </w:pPr>
    </w:p>
    <w:p w14:paraId="73CC8EFA" w14:textId="06DBED9F" w:rsidR="001B05FE" w:rsidRPr="000C67EB" w:rsidRDefault="001B05FE" w:rsidP="001B05FE">
      <w:pPr>
        <w:autoSpaceDE w:val="0"/>
        <w:autoSpaceDN w:val="0"/>
        <w:adjustRightInd w:val="0"/>
        <w:ind w:left="1080"/>
        <w:rPr>
          <w:rFonts w:ascii="Arial" w:eastAsia="Calibri" w:hAnsi="Arial" w:cs="Arial"/>
          <w:szCs w:val="24"/>
        </w:rPr>
      </w:pPr>
      <w:r w:rsidRPr="000C67EB">
        <w:rPr>
          <w:rFonts w:ascii="Arial" w:eastAsia="Calibri" w:hAnsi="Arial" w:cs="Arial"/>
          <w:szCs w:val="24"/>
        </w:rPr>
        <w:t xml:space="preserve">Estimated costs for pre-COD O&amp;M </w:t>
      </w:r>
      <w:r w:rsidRPr="000C67EB">
        <w:rPr>
          <w:rFonts w:ascii="Arial" w:hAnsi="Arial" w:cs="Arial"/>
          <w:szCs w:val="24"/>
        </w:rPr>
        <w:t>utilized in the Company’s economic analysis for the 24</w:t>
      </w:r>
      <w:r w:rsidRPr="00B20702">
        <w:rPr>
          <w:rFonts w:ascii="Arial" w:hAnsi="Arial" w:cs="Arial"/>
          <w:szCs w:val="24"/>
          <w:vertAlign w:val="superscript"/>
        </w:rPr>
        <w:t>th</w:t>
      </w:r>
      <w:r w:rsidRPr="000C67EB">
        <w:rPr>
          <w:rFonts w:ascii="Arial" w:hAnsi="Arial" w:cs="Arial"/>
          <w:szCs w:val="24"/>
        </w:rPr>
        <w:t xml:space="preserve"> VCM decreased </w:t>
      </w:r>
      <w:r w:rsidRPr="000C67EB">
        <w:rPr>
          <w:rFonts w:ascii="Arial" w:eastAsia="Calibri" w:hAnsi="Arial" w:cs="Arial"/>
          <w:szCs w:val="24"/>
        </w:rPr>
        <w:t>from the 23rd VCM based on updated projections of future O&amp;M spend.</w:t>
      </w:r>
    </w:p>
    <w:p w14:paraId="09960FE0" w14:textId="77777777" w:rsidR="001B05FE" w:rsidRPr="000C67EB" w:rsidRDefault="001B05FE" w:rsidP="001B05FE">
      <w:pPr>
        <w:autoSpaceDE w:val="0"/>
        <w:autoSpaceDN w:val="0"/>
        <w:adjustRightInd w:val="0"/>
        <w:ind w:left="1080" w:hanging="720"/>
        <w:rPr>
          <w:rFonts w:ascii="Arial" w:eastAsia="Calibri" w:hAnsi="Arial" w:cs="Arial"/>
          <w:szCs w:val="24"/>
        </w:rPr>
      </w:pPr>
    </w:p>
    <w:p w14:paraId="5CEBB78D" w14:textId="5D97A3E1" w:rsidR="001B05FE" w:rsidRPr="000C67EB" w:rsidRDefault="001B05FE" w:rsidP="001B05FE">
      <w:pPr>
        <w:autoSpaceDE w:val="0"/>
        <w:autoSpaceDN w:val="0"/>
        <w:adjustRightInd w:val="0"/>
        <w:ind w:left="1080"/>
        <w:rPr>
          <w:szCs w:val="24"/>
        </w:rPr>
      </w:pPr>
      <w:r w:rsidRPr="000C67EB">
        <w:rPr>
          <w:rFonts w:ascii="Arial" w:eastAsia="Calibri" w:hAnsi="Arial" w:cs="Arial"/>
          <w:szCs w:val="24"/>
        </w:rPr>
        <w:t>Post-In-Service O&amp;M in the 24</w:t>
      </w:r>
      <w:r w:rsidRPr="00B20702">
        <w:rPr>
          <w:rFonts w:ascii="Arial" w:eastAsia="Calibri" w:hAnsi="Arial" w:cs="Arial"/>
          <w:szCs w:val="24"/>
          <w:vertAlign w:val="superscript"/>
        </w:rPr>
        <w:t>th</w:t>
      </w:r>
      <w:r w:rsidRPr="000C67EB">
        <w:rPr>
          <w:rFonts w:ascii="Arial" w:eastAsia="Calibri" w:hAnsi="Arial" w:cs="Arial"/>
          <w:szCs w:val="24"/>
        </w:rPr>
        <w:t xml:space="preserve"> VCM decreased from the 23</w:t>
      </w:r>
      <w:r w:rsidRPr="00B20702">
        <w:rPr>
          <w:rFonts w:ascii="Arial" w:eastAsia="Calibri" w:hAnsi="Arial" w:cs="Arial"/>
          <w:szCs w:val="24"/>
          <w:vertAlign w:val="superscript"/>
        </w:rPr>
        <w:t>rd</w:t>
      </w:r>
      <w:r w:rsidRPr="000C67EB">
        <w:rPr>
          <w:rFonts w:ascii="Arial" w:eastAsia="Calibri" w:hAnsi="Arial" w:cs="Arial"/>
          <w:szCs w:val="24"/>
        </w:rPr>
        <w:t xml:space="preserve"> VCM forecast based on updated projections of future O&amp;M spend.</w:t>
      </w:r>
      <w:r w:rsidRPr="000C67EB">
        <w:rPr>
          <w:szCs w:val="24"/>
        </w:rPr>
        <w:t xml:space="preserve"> </w:t>
      </w:r>
    </w:p>
    <w:p w14:paraId="59ED7862" w14:textId="77777777" w:rsidR="001B05FE" w:rsidRPr="000C67EB" w:rsidRDefault="001B05FE" w:rsidP="001B05FE">
      <w:pPr>
        <w:autoSpaceDE w:val="0"/>
        <w:autoSpaceDN w:val="0"/>
        <w:adjustRightInd w:val="0"/>
        <w:ind w:left="1080" w:hanging="720"/>
        <w:rPr>
          <w:rFonts w:ascii="Arial" w:hAnsi="Arial" w:cs="Arial"/>
          <w:szCs w:val="24"/>
        </w:rPr>
      </w:pPr>
    </w:p>
    <w:p w14:paraId="0630317B" w14:textId="40F59C29" w:rsidR="001B05FE" w:rsidRPr="000C67EB" w:rsidRDefault="001B05FE" w:rsidP="001B05FE">
      <w:pPr>
        <w:pStyle w:val="ListParagraph"/>
        <w:numPr>
          <w:ilvl w:val="0"/>
          <w:numId w:val="39"/>
        </w:numPr>
        <w:autoSpaceDE w:val="0"/>
        <w:autoSpaceDN w:val="0"/>
        <w:adjustRightInd w:val="0"/>
        <w:ind w:left="1080" w:hanging="720"/>
        <w:rPr>
          <w:rFonts w:ascii="Arial" w:hAnsi="Arial" w:cs="Arial"/>
          <w:sz w:val="24"/>
          <w:szCs w:val="24"/>
        </w:rPr>
      </w:pPr>
      <w:bookmarkStart w:id="0" w:name="_Hlk67298324"/>
      <w:bookmarkStart w:id="1" w:name="_Hlk19794374"/>
      <w:r w:rsidRPr="000C67EB">
        <w:rPr>
          <w:rFonts w:ascii="Arial" w:hAnsi="Arial" w:cs="Arial"/>
          <w:sz w:val="24"/>
          <w:szCs w:val="24"/>
        </w:rPr>
        <w:t>Please see electronic TS Attachment STF-198-18-b for a comparison of Vogtle Nuclear Fuel in the 24</w:t>
      </w:r>
      <w:r w:rsidRPr="00B20702">
        <w:rPr>
          <w:rFonts w:ascii="Arial" w:hAnsi="Arial" w:cs="Arial"/>
          <w:sz w:val="24"/>
          <w:szCs w:val="24"/>
          <w:vertAlign w:val="superscript"/>
        </w:rPr>
        <w:t>th</w:t>
      </w:r>
      <w:r w:rsidRPr="00B20702">
        <w:rPr>
          <w:rFonts w:ascii="Arial" w:hAnsi="Arial" w:cs="Arial"/>
          <w:sz w:val="24"/>
          <w:szCs w:val="24"/>
        </w:rPr>
        <w:t xml:space="preserve"> </w:t>
      </w:r>
      <w:r w:rsidRPr="000C67EB">
        <w:rPr>
          <w:rFonts w:ascii="Arial" w:hAnsi="Arial" w:cs="Arial"/>
          <w:sz w:val="24"/>
          <w:szCs w:val="24"/>
        </w:rPr>
        <w:t>VCM vs. Certification and the 23</w:t>
      </w:r>
      <w:r w:rsidRPr="00B20702">
        <w:rPr>
          <w:rFonts w:ascii="Arial" w:hAnsi="Arial" w:cs="Arial"/>
          <w:sz w:val="24"/>
          <w:szCs w:val="24"/>
          <w:vertAlign w:val="superscript"/>
        </w:rPr>
        <w:t>rd</w:t>
      </w:r>
      <w:r w:rsidRPr="000C67EB">
        <w:rPr>
          <w:rFonts w:ascii="Arial" w:hAnsi="Arial" w:cs="Arial"/>
          <w:sz w:val="24"/>
          <w:szCs w:val="24"/>
        </w:rPr>
        <w:t xml:space="preserve"> VCM. Estimated costs for uranium, conversion, </w:t>
      </w:r>
      <w:proofErr w:type="gramStart"/>
      <w:r w:rsidRPr="000C67EB">
        <w:rPr>
          <w:rFonts w:ascii="Arial" w:hAnsi="Arial" w:cs="Arial"/>
          <w:sz w:val="24"/>
          <w:szCs w:val="24"/>
        </w:rPr>
        <w:t>enrichment</w:t>
      </w:r>
      <w:proofErr w:type="gramEnd"/>
      <w:r w:rsidRPr="000C67EB">
        <w:rPr>
          <w:rFonts w:ascii="Arial" w:hAnsi="Arial" w:cs="Arial"/>
          <w:sz w:val="24"/>
          <w:szCs w:val="24"/>
        </w:rPr>
        <w:t xml:space="preserve"> and fabrication used in the Certification submittal were primarily based on long range projections in industry reports for such component costs.  At that time, the cost of uranium was at an all-time high and projected to remain high for a number of years. Since Certification, the price of raw uranium has dropped due to an over-supply in the market resulting from the Fukushima incident in Japan, the shutdown of European reactors, and slower than expected growth of nuclear power world-wide.  </w:t>
      </w:r>
      <w:r w:rsidR="001676C4" w:rsidRPr="000C67EB">
        <w:rPr>
          <w:rFonts w:ascii="Arial" w:hAnsi="Arial" w:cs="Arial"/>
          <w:sz w:val="24"/>
          <w:szCs w:val="24"/>
        </w:rPr>
        <w:t xml:space="preserve">The decrease from </w:t>
      </w:r>
      <w:r w:rsidR="00B20702">
        <w:rPr>
          <w:rFonts w:ascii="Arial" w:hAnsi="Arial" w:cs="Arial"/>
          <w:sz w:val="24"/>
          <w:szCs w:val="24"/>
        </w:rPr>
        <w:t>23</w:t>
      </w:r>
      <w:r w:rsidR="00B20702" w:rsidRPr="00B20702">
        <w:rPr>
          <w:rFonts w:ascii="Arial" w:hAnsi="Arial" w:cs="Arial"/>
          <w:sz w:val="24"/>
          <w:szCs w:val="24"/>
          <w:vertAlign w:val="superscript"/>
        </w:rPr>
        <w:t>rd</w:t>
      </w:r>
      <w:r w:rsidR="00B20702">
        <w:rPr>
          <w:rFonts w:ascii="Arial" w:hAnsi="Arial" w:cs="Arial"/>
          <w:sz w:val="24"/>
          <w:szCs w:val="24"/>
        </w:rPr>
        <w:t xml:space="preserve"> </w:t>
      </w:r>
      <w:r w:rsidR="001676C4" w:rsidRPr="000C67EB">
        <w:rPr>
          <w:rFonts w:ascii="Arial" w:hAnsi="Arial" w:cs="Arial"/>
          <w:sz w:val="24"/>
          <w:szCs w:val="24"/>
        </w:rPr>
        <w:t xml:space="preserve">VCM to </w:t>
      </w:r>
      <w:r w:rsidR="00B20702">
        <w:rPr>
          <w:rFonts w:ascii="Arial" w:hAnsi="Arial" w:cs="Arial"/>
          <w:sz w:val="24"/>
          <w:szCs w:val="24"/>
        </w:rPr>
        <w:t>the 24</w:t>
      </w:r>
      <w:r w:rsidR="00B20702" w:rsidRPr="00B20702">
        <w:rPr>
          <w:rFonts w:ascii="Arial" w:hAnsi="Arial" w:cs="Arial"/>
          <w:sz w:val="24"/>
          <w:szCs w:val="24"/>
          <w:vertAlign w:val="superscript"/>
        </w:rPr>
        <w:t>th</w:t>
      </w:r>
      <w:r w:rsidR="00B20702">
        <w:rPr>
          <w:rFonts w:ascii="Arial" w:hAnsi="Arial" w:cs="Arial"/>
          <w:sz w:val="24"/>
          <w:szCs w:val="24"/>
        </w:rPr>
        <w:t xml:space="preserve"> </w:t>
      </w:r>
      <w:r w:rsidR="001676C4" w:rsidRPr="000C67EB">
        <w:rPr>
          <w:rFonts w:ascii="Arial" w:hAnsi="Arial" w:cs="Arial"/>
          <w:sz w:val="24"/>
          <w:szCs w:val="24"/>
        </w:rPr>
        <w:t xml:space="preserve">VCM is driven by improved pricing in the uranium market being realized as planned purchases for Vogtle </w:t>
      </w:r>
      <w:r w:rsidR="00B20702">
        <w:rPr>
          <w:rFonts w:ascii="Arial" w:hAnsi="Arial" w:cs="Arial"/>
          <w:sz w:val="24"/>
          <w:szCs w:val="24"/>
        </w:rPr>
        <w:t xml:space="preserve">Units </w:t>
      </w:r>
      <w:r w:rsidR="001676C4" w:rsidRPr="000C67EB">
        <w:rPr>
          <w:rFonts w:ascii="Arial" w:hAnsi="Arial" w:cs="Arial"/>
          <w:sz w:val="24"/>
          <w:szCs w:val="24"/>
        </w:rPr>
        <w:t>3 and 4 are completed</w:t>
      </w:r>
      <w:bookmarkEnd w:id="0"/>
      <w:r w:rsidR="00586956" w:rsidRPr="000C67EB">
        <w:rPr>
          <w:rFonts w:ascii="Arial" w:hAnsi="Arial" w:cs="Arial"/>
          <w:sz w:val="24"/>
          <w:szCs w:val="24"/>
        </w:rPr>
        <w:t>.</w:t>
      </w:r>
    </w:p>
    <w:bookmarkEnd w:id="1"/>
    <w:p w14:paraId="01E6E20D" w14:textId="77777777" w:rsidR="001B05FE" w:rsidRPr="000C67EB" w:rsidRDefault="001B05FE" w:rsidP="001B05FE">
      <w:pPr>
        <w:pStyle w:val="ListParagraph"/>
        <w:ind w:left="1080" w:hanging="720"/>
        <w:rPr>
          <w:rFonts w:ascii="Arial" w:hAnsi="Arial" w:cs="Arial"/>
          <w:sz w:val="24"/>
          <w:szCs w:val="24"/>
        </w:rPr>
      </w:pPr>
    </w:p>
    <w:p w14:paraId="117AC034" w14:textId="49A634E5" w:rsidR="001B05FE" w:rsidRPr="000C67EB" w:rsidRDefault="001B05FE" w:rsidP="001B05FE">
      <w:pPr>
        <w:pStyle w:val="ListParagraph"/>
        <w:numPr>
          <w:ilvl w:val="0"/>
          <w:numId w:val="39"/>
        </w:numPr>
        <w:ind w:left="1080" w:hanging="720"/>
        <w:rPr>
          <w:rFonts w:ascii="Arial" w:hAnsi="Arial" w:cs="Arial"/>
          <w:sz w:val="24"/>
          <w:szCs w:val="24"/>
        </w:rPr>
      </w:pPr>
      <w:r w:rsidRPr="000C67EB">
        <w:rPr>
          <w:rFonts w:ascii="Arial" w:hAnsi="Arial" w:cs="Arial"/>
          <w:sz w:val="24"/>
          <w:szCs w:val="24"/>
        </w:rPr>
        <w:t>Please see electronic TS Attachment STF-198-18-c for a comparison between Certification Recurring Capital and the 24</w:t>
      </w:r>
      <w:r w:rsidRPr="00B20702">
        <w:rPr>
          <w:rFonts w:ascii="Arial" w:hAnsi="Arial" w:cs="Arial"/>
          <w:sz w:val="24"/>
          <w:szCs w:val="24"/>
          <w:vertAlign w:val="superscript"/>
        </w:rPr>
        <w:t>th</w:t>
      </w:r>
      <w:r w:rsidRPr="000C67EB">
        <w:rPr>
          <w:rFonts w:ascii="Arial" w:hAnsi="Arial" w:cs="Arial"/>
          <w:sz w:val="24"/>
          <w:szCs w:val="24"/>
        </w:rPr>
        <w:t xml:space="preserve"> VCM Recurring Capital, as well as a comparison between the 23</w:t>
      </w:r>
      <w:r w:rsidRPr="00B20702">
        <w:rPr>
          <w:rFonts w:ascii="Arial" w:hAnsi="Arial" w:cs="Arial"/>
          <w:sz w:val="24"/>
          <w:szCs w:val="24"/>
          <w:vertAlign w:val="superscript"/>
        </w:rPr>
        <w:t>rd</w:t>
      </w:r>
      <w:r w:rsidRPr="000C67EB">
        <w:rPr>
          <w:rFonts w:ascii="Arial" w:hAnsi="Arial" w:cs="Arial"/>
          <w:sz w:val="24"/>
          <w:szCs w:val="24"/>
        </w:rPr>
        <w:t xml:space="preserve"> VCM Recurring Capital and the 24</w:t>
      </w:r>
      <w:r w:rsidRPr="00B20702">
        <w:rPr>
          <w:rFonts w:ascii="Arial" w:hAnsi="Arial" w:cs="Arial"/>
          <w:sz w:val="24"/>
          <w:szCs w:val="24"/>
          <w:vertAlign w:val="superscript"/>
        </w:rPr>
        <w:t>th</w:t>
      </w:r>
      <w:r w:rsidRPr="000C67EB">
        <w:rPr>
          <w:rFonts w:ascii="Arial" w:hAnsi="Arial" w:cs="Arial"/>
          <w:sz w:val="24"/>
          <w:szCs w:val="24"/>
        </w:rPr>
        <w:t xml:space="preserve"> VCM Recurring Capital.  </w:t>
      </w:r>
      <w:r w:rsidR="009F6B53" w:rsidRPr="000C67EB">
        <w:rPr>
          <w:rFonts w:ascii="Arial" w:hAnsi="Arial" w:cs="Arial"/>
          <w:sz w:val="24"/>
          <w:szCs w:val="24"/>
        </w:rPr>
        <w:t xml:space="preserve">There were no changes from </w:t>
      </w:r>
      <w:r w:rsidR="00B20702">
        <w:rPr>
          <w:rFonts w:ascii="Arial" w:hAnsi="Arial" w:cs="Arial"/>
          <w:sz w:val="24"/>
          <w:szCs w:val="24"/>
        </w:rPr>
        <w:t>23</w:t>
      </w:r>
      <w:r w:rsidR="00B20702" w:rsidRPr="00B20702">
        <w:rPr>
          <w:rFonts w:ascii="Arial" w:hAnsi="Arial" w:cs="Arial"/>
          <w:sz w:val="24"/>
          <w:szCs w:val="24"/>
          <w:vertAlign w:val="superscript"/>
        </w:rPr>
        <w:t>rd</w:t>
      </w:r>
      <w:r w:rsidR="00B20702">
        <w:rPr>
          <w:rFonts w:ascii="Arial" w:hAnsi="Arial" w:cs="Arial"/>
          <w:sz w:val="24"/>
          <w:szCs w:val="24"/>
        </w:rPr>
        <w:t xml:space="preserve"> </w:t>
      </w:r>
      <w:r w:rsidR="009F6B53" w:rsidRPr="000C67EB">
        <w:rPr>
          <w:rFonts w:ascii="Arial" w:hAnsi="Arial" w:cs="Arial"/>
          <w:sz w:val="24"/>
          <w:szCs w:val="24"/>
        </w:rPr>
        <w:t xml:space="preserve">VCM to </w:t>
      </w:r>
      <w:r w:rsidR="00B20702">
        <w:rPr>
          <w:rFonts w:ascii="Arial" w:hAnsi="Arial" w:cs="Arial"/>
          <w:sz w:val="24"/>
          <w:szCs w:val="24"/>
        </w:rPr>
        <w:t>24</w:t>
      </w:r>
      <w:r w:rsidR="00B20702" w:rsidRPr="00B20702">
        <w:rPr>
          <w:rFonts w:ascii="Arial" w:hAnsi="Arial" w:cs="Arial"/>
          <w:sz w:val="24"/>
          <w:szCs w:val="24"/>
          <w:vertAlign w:val="superscript"/>
        </w:rPr>
        <w:t>th</w:t>
      </w:r>
      <w:r w:rsidR="00B20702">
        <w:rPr>
          <w:rFonts w:ascii="Arial" w:hAnsi="Arial" w:cs="Arial"/>
          <w:sz w:val="24"/>
          <w:szCs w:val="24"/>
        </w:rPr>
        <w:t xml:space="preserve"> </w:t>
      </w:r>
      <w:r w:rsidR="009F6B53" w:rsidRPr="000C67EB">
        <w:rPr>
          <w:rFonts w:ascii="Arial" w:hAnsi="Arial" w:cs="Arial"/>
          <w:sz w:val="24"/>
          <w:szCs w:val="24"/>
        </w:rPr>
        <w:t>VCM.</w:t>
      </w:r>
    </w:p>
    <w:p w14:paraId="2D2C3634" w14:textId="77777777" w:rsidR="001B05FE" w:rsidRPr="000C67EB" w:rsidRDefault="001B05FE" w:rsidP="001B05FE">
      <w:pPr>
        <w:ind w:left="1080" w:hanging="720"/>
        <w:rPr>
          <w:rFonts w:ascii="Arial" w:hAnsi="Arial" w:cs="Arial"/>
          <w:szCs w:val="24"/>
        </w:rPr>
      </w:pPr>
    </w:p>
    <w:p w14:paraId="142832EC" w14:textId="78CE6207" w:rsidR="001B05FE" w:rsidRPr="000C67EB" w:rsidRDefault="001B05FE" w:rsidP="001B05FE">
      <w:pPr>
        <w:pStyle w:val="ListParagraph"/>
        <w:numPr>
          <w:ilvl w:val="0"/>
          <w:numId w:val="39"/>
        </w:numPr>
        <w:ind w:left="1080" w:hanging="720"/>
        <w:rPr>
          <w:rFonts w:ascii="Arial" w:hAnsi="Arial" w:cs="Arial"/>
          <w:sz w:val="24"/>
          <w:szCs w:val="24"/>
        </w:rPr>
      </w:pPr>
      <w:r w:rsidRPr="000C67EB">
        <w:rPr>
          <w:rFonts w:ascii="Arial" w:hAnsi="Arial" w:cs="Arial"/>
          <w:sz w:val="24"/>
          <w:szCs w:val="24"/>
        </w:rPr>
        <w:t xml:space="preserve">Please see electronic TS Attachment STF-198-18-d for a comparison of the Certification forecasted spending curve to the </w:t>
      </w:r>
      <w:r w:rsidRPr="000C67EB">
        <w:rPr>
          <w:rFonts w:ascii="Arial" w:hAnsi="Arial" w:cs="Arial"/>
          <w:noProof/>
          <w:sz w:val="24"/>
          <w:szCs w:val="24"/>
        </w:rPr>
        <w:t>24</w:t>
      </w:r>
      <w:r w:rsidRPr="00B20702">
        <w:rPr>
          <w:rFonts w:ascii="Arial" w:hAnsi="Arial" w:cs="Arial"/>
          <w:noProof/>
          <w:sz w:val="24"/>
          <w:szCs w:val="24"/>
          <w:vertAlign w:val="superscript"/>
        </w:rPr>
        <w:t>th</w:t>
      </w:r>
      <w:r w:rsidRPr="000C67EB">
        <w:rPr>
          <w:rFonts w:ascii="Arial" w:hAnsi="Arial" w:cs="Arial"/>
          <w:noProof/>
          <w:sz w:val="24"/>
          <w:szCs w:val="24"/>
        </w:rPr>
        <w:t xml:space="preserve"> </w:t>
      </w:r>
      <w:r w:rsidRPr="000C67EB">
        <w:rPr>
          <w:rFonts w:ascii="Arial" w:hAnsi="Arial" w:cs="Arial"/>
          <w:sz w:val="24"/>
          <w:szCs w:val="24"/>
        </w:rPr>
        <w:t>VCM spending curve.</w:t>
      </w:r>
    </w:p>
    <w:p w14:paraId="65364CE4" w14:textId="77777777" w:rsidR="001B05FE" w:rsidRPr="000C67EB" w:rsidRDefault="001B05FE" w:rsidP="001B05FE">
      <w:pPr>
        <w:pStyle w:val="ListParagraph"/>
        <w:ind w:left="1080" w:hanging="720"/>
        <w:rPr>
          <w:rFonts w:ascii="Arial" w:hAnsi="Arial" w:cs="Arial"/>
          <w:sz w:val="24"/>
          <w:szCs w:val="24"/>
        </w:rPr>
      </w:pPr>
    </w:p>
    <w:p w14:paraId="6F30B9C4" w14:textId="59AA9391" w:rsidR="001B05FE" w:rsidRPr="000C67EB" w:rsidRDefault="001B05FE" w:rsidP="001B05FE">
      <w:pPr>
        <w:pStyle w:val="ListParagraph"/>
        <w:numPr>
          <w:ilvl w:val="0"/>
          <w:numId w:val="39"/>
        </w:numPr>
        <w:ind w:left="1080" w:hanging="720"/>
        <w:rPr>
          <w:rFonts w:ascii="Arial" w:hAnsi="Arial" w:cs="Arial"/>
          <w:sz w:val="24"/>
          <w:szCs w:val="24"/>
        </w:rPr>
      </w:pPr>
      <w:r w:rsidRPr="000C67EB">
        <w:rPr>
          <w:rFonts w:ascii="Arial" w:hAnsi="Arial" w:cs="Arial"/>
          <w:sz w:val="24"/>
          <w:szCs w:val="24"/>
        </w:rPr>
        <w:t xml:space="preserve">Please see electronic TS Attachment STF-198-18-e for </w:t>
      </w:r>
      <w:r w:rsidRPr="000C67EB">
        <w:rPr>
          <w:rFonts w:ascii="Arial" w:hAnsi="Arial" w:cs="Arial"/>
          <w:noProof/>
          <w:sz w:val="24"/>
          <w:szCs w:val="24"/>
        </w:rPr>
        <w:t>a comparison of the Certification PTC estimate to the 24</w:t>
      </w:r>
      <w:r w:rsidRPr="00B20702">
        <w:rPr>
          <w:rFonts w:ascii="Arial" w:hAnsi="Arial" w:cs="Arial"/>
          <w:noProof/>
          <w:sz w:val="24"/>
          <w:szCs w:val="24"/>
          <w:vertAlign w:val="superscript"/>
        </w:rPr>
        <w:t>th</w:t>
      </w:r>
      <w:r w:rsidRPr="000C67EB">
        <w:rPr>
          <w:rFonts w:ascii="Arial" w:hAnsi="Arial" w:cs="Arial"/>
          <w:noProof/>
          <w:sz w:val="24"/>
          <w:szCs w:val="24"/>
        </w:rPr>
        <w:t xml:space="preserve"> VCM PTC estimate.</w:t>
      </w:r>
    </w:p>
    <w:p w14:paraId="3B538678" w14:textId="77777777" w:rsidR="001B05FE" w:rsidRPr="000C67EB" w:rsidRDefault="001B05FE" w:rsidP="001B05FE">
      <w:pPr>
        <w:pStyle w:val="ListParagraph"/>
        <w:ind w:left="1080" w:hanging="720"/>
        <w:rPr>
          <w:rFonts w:ascii="Arial" w:hAnsi="Arial" w:cs="Arial"/>
          <w:sz w:val="24"/>
          <w:szCs w:val="24"/>
        </w:rPr>
      </w:pPr>
    </w:p>
    <w:p w14:paraId="0E5A8396" w14:textId="1BEE9F30" w:rsidR="001B05FE" w:rsidRPr="000C67EB" w:rsidRDefault="001B05FE" w:rsidP="001B05FE">
      <w:pPr>
        <w:pStyle w:val="ListParagraph"/>
        <w:numPr>
          <w:ilvl w:val="0"/>
          <w:numId w:val="39"/>
        </w:numPr>
        <w:ind w:left="1080" w:hanging="720"/>
        <w:rPr>
          <w:rFonts w:ascii="Arial" w:hAnsi="Arial" w:cs="Arial"/>
          <w:sz w:val="24"/>
          <w:szCs w:val="24"/>
        </w:rPr>
      </w:pPr>
      <w:r w:rsidRPr="000C67EB">
        <w:rPr>
          <w:rFonts w:ascii="Arial" w:hAnsi="Arial" w:cs="Arial"/>
          <w:noProof/>
          <w:sz w:val="24"/>
          <w:szCs w:val="24"/>
        </w:rPr>
        <w:t>The certification did not include the DOE Loan Guarantee impact. Please see the Company’s response to STF-198-7-b for the 24</w:t>
      </w:r>
      <w:r w:rsidRPr="00B20702">
        <w:rPr>
          <w:rFonts w:ascii="Arial" w:hAnsi="Arial" w:cs="Arial"/>
          <w:noProof/>
          <w:sz w:val="24"/>
          <w:szCs w:val="24"/>
          <w:vertAlign w:val="superscript"/>
        </w:rPr>
        <w:t>th</w:t>
      </w:r>
      <w:r w:rsidRPr="000C67EB">
        <w:rPr>
          <w:rFonts w:ascii="Arial" w:hAnsi="Arial" w:cs="Arial"/>
          <w:noProof/>
          <w:sz w:val="24"/>
          <w:szCs w:val="24"/>
        </w:rPr>
        <w:t xml:space="preserve"> VCM DOE Loan Guarantee Impact.</w:t>
      </w:r>
    </w:p>
    <w:p w14:paraId="1359F8D8" w14:textId="77777777" w:rsidR="00431988" w:rsidRPr="000C67EB" w:rsidRDefault="00431988">
      <w:pPr>
        <w:rPr>
          <w:rFonts w:ascii="Arial" w:hAnsi="Arial" w:cs="Arial"/>
        </w:rPr>
      </w:pPr>
    </w:p>
    <w:p w14:paraId="1DF8EBD7" w14:textId="77777777" w:rsidR="00455CE4" w:rsidRPr="000C67EB" w:rsidRDefault="00455CE4">
      <w:pPr>
        <w:rPr>
          <w:rFonts w:ascii="Arial" w:hAnsi="Arial" w:cs="Arial"/>
        </w:rPr>
      </w:pPr>
    </w:p>
    <w:p w14:paraId="22DA7B5C" w14:textId="77777777" w:rsidR="000C2AA7" w:rsidRPr="000C67EB" w:rsidRDefault="000C2AA7">
      <w:pPr>
        <w:rPr>
          <w:rFonts w:ascii="Arial" w:hAnsi="Arial" w:cs="Arial"/>
        </w:rPr>
      </w:pPr>
    </w:p>
    <w:p w14:paraId="2B370FDE" w14:textId="2FF65B45" w:rsidR="00431988" w:rsidRPr="00E30089" w:rsidRDefault="00431988">
      <w:pPr>
        <w:rPr>
          <w:rFonts w:ascii="Arial" w:hAnsi="Arial" w:cs="Arial"/>
        </w:rPr>
      </w:pPr>
      <w:r w:rsidRPr="000C67EB">
        <w:rPr>
          <w:rFonts w:ascii="Arial" w:hAnsi="Arial" w:cs="Arial"/>
        </w:rPr>
        <w:t xml:space="preserve">Contact: </w:t>
      </w:r>
      <w:r w:rsidR="00DD5CF1" w:rsidRPr="000C67EB">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E286B"/>
    <w:multiLevelType w:val="hybridMultilevel"/>
    <w:tmpl w:val="9B0492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D46F0"/>
    <w:multiLevelType w:val="hybridMultilevel"/>
    <w:tmpl w:val="745A22D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A758E"/>
    <w:multiLevelType w:val="hybridMultilevel"/>
    <w:tmpl w:val="4DD0A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1"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8D67678"/>
    <w:multiLevelType w:val="hybridMultilevel"/>
    <w:tmpl w:val="61A8C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37247"/>
    <w:multiLevelType w:val="hybridMultilevel"/>
    <w:tmpl w:val="30F45F52"/>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30" w15:restartNumberingAfterBreak="0">
    <w:nsid w:val="68E61AD0"/>
    <w:multiLevelType w:val="hybridMultilevel"/>
    <w:tmpl w:val="9126D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C20340"/>
    <w:multiLevelType w:val="hybridMultilevel"/>
    <w:tmpl w:val="40E4E21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
  </w:num>
  <w:num w:numId="10">
    <w:abstractNumId w:val="14"/>
  </w:num>
  <w:num w:numId="11">
    <w:abstractNumId w:val="19"/>
  </w:num>
  <w:num w:numId="12">
    <w:abstractNumId w:val="16"/>
  </w:num>
  <w:num w:numId="13">
    <w:abstractNumId w:val="23"/>
  </w:num>
  <w:num w:numId="14">
    <w:abstractNumId w:val="8"/>
  </w:num>
  <w:num w:numId="15">
    <w:abstractNumId w:val="15"/>
  </w:num>
  <w:num w:numId="16">
    <w:abstractNumId w:val="22"/>
  </w:num>
  <w:num w:numId="17">
    <w:abstractNumId w:val="11"/>
  </w:num>
  <w:num w:numId="18">
    <w:abstractNumId w:val="7"/>
  </w:num>
  <w:num w:numId="19">
    <w:abstractNumId w:val="1"/>
  </w:num>
  <w:num w:numId="20">
    <w:abstractNumId w:val="10"/>
  </w:num>
  <w:num w:numId="21">
    <w:abstractNumId w:val="25"/>
  </w:num>
  <w:num w:numId="22">
    <w:abstractNumId w:val="21"/>
  </w:num>
  <w:num w:numId="23">
    <w:abstractNumId w:val="4"/>
  </w:num>
  <w:num w:numId="24">
    <w:abstractNumId w:val="17"/>
  </w:num>
  <w:num w:numId="25">
    <w:abstractNumId w:val="32"/>
  </w:num>
  <w:num w:numId="26">
    <w:abstractNumId w:val="5"/>
  </w:num>
  <w:num w:numId="27">
    <w:abstractNumId w:val="26"/>
  </w:num>
  <w:num w:numId="28">
    <w:abstractNumId w:val="9"/>
  </w:num>
  <w:num w:numId="29">
    <w:abstractNumId w:val="35"/>
  </w:num>
  <w:num w:numId="30">
    <w:abstractNumId w:val="12"/>
  </w:num>
  <w:num w:numId="31">
    <w:abstractNumId w:val="34"/>
  </w:num>
  <w:num w:numId="32">
    <w:abstractNumId w:val="28"/>
  </w:num>
  <w:num w:numId="33">
    <w:abstractNumId w:val="30"/>
  </w:num>
  <w:num w:numId="34">
    <w:abstractNumId w:val="27"/>
  </w:num>
  <w:num w:numId="35">
    <w:abstractNumId w:val="6"/>
  </w:num>
  <w:num w:numId="36">
    <w:abstractNumId w:val="36"/>
  </w:num>
  <w:num w:numId="37">
    <w:abstractNumId w:val="2"/>
  </w:num>
  <w:num w:numId="38">
    <w:abstractNumId w:val="24"/>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B02CE"/>
    <w:rsid w:val="000C2AA7"/>
    <w:rsid w:val="000C67EB"/>
    <w:rsid w:val="000D7FFD"/>
    <w:rsid w:val="000E039A"/>
    <w:rsid w:val="000E68DF"/>
    <w:rsid w:val="000E6ABA"/>
    <w:rsid w:val="000F71A4"/>
    <w:rsid w:val="001008FE"/>
    <w:rsid w:val="00103254"/>
    <w:rsid w:val="001465E2"/>
    <w:rsid w:val="001468DC"/>
    <w:rsid w:val="00157DC9"/>
    <w:rsid w:val="0016065E"/>
    <w:rsid w:val="00164901"/>
    <w:rsid w:val="001676C4"/>
    <w:rsid w:val="0017226E"/>
    <w:rsid w:val="001761E4"/>
    <w:rsid w:val="00176D14"/>
    <w:rsid w:val="0018439C"/>
    <w:rsid w:val="001A1D1D"/>
    <w:rsid w:val="001B05FE"/>
    <w:rsid w:val="001E5DA0"/>
    <w:rsid w:val="002303B9"/>
    <w:rsid w:val="00247C79"/>
    <w:rsid w:val="00270FA5"/>
    <w:rsid w:val="00274366"/>
    <w:rsid w:val="00275B6A"/>
    <w:rsid w:val="0027726E"/>
    <w:rsid w:val="00296F07"/>
    <w:rsid w:val="00297B01"/>
    <w:rsid w:val="002A0E5A"/>
    <w:rsid w:val="002A4DA4"/>
    <w:rsid w:val="002B40B1"/>
    <w:rsid w:val="002C6A3A"/>
    <w:rsid w:val="002C7DA5"/>
    <w:rsid w:val="002E1A6A"/>
    <w:rsid w:val="002F2512"/>
    <w:rsid w:val="002F6728"/>
    <w:rsid w:val="00301121"/>
    <w:rsid w:val="00302EEF"/>
    <w:rsid w:val="00303450"/>
    <w:rsid w:val="00321E8A"/>
    <w:rsid w:val="0038296D"/>
    <w:rsid w:val="003962E1"/>
    <w:rsid w:val="003A1DE5"/>
    <w:rsid w:val="003B0352"/>
    <w:rsid w:val="003B77C9"/>
    <w:rsid w:val="003D7EB2"/>
    <w:rsid w:val="003F33AC"/>
    <w:rsid w:val="00401F1A"/>
    <w:rsid w:val="00405F6C"/>
    <w:rsid w:val="004303E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243F4"/>
    <w:rsid w:val="00536EC6"/>
    <w:rsid w:val="0054000B"/>
    <w:rsid w:val="0057479C"/>
    <w:rsid w:val="0057533E"/>
    <w:rsid w:val="00586956"/>
    <w:rsid w:val="00590FC8"/>
    <w:rsid w:val="005C003E"/>
    <w:rsid w:val="005C4EBA"/>
    <w:rsid w:val="005F22E0"/>
    <w:rsid w:val="005F7E58"/>
    <w:rsid w:val="006464D1"/>
    <w:rsid w:val="006507AC"/>
    <w:rsid w:val="00655F98"/>
    <w:rsid w:val="006710FB"/>
    <w:rsid w:val="00684CFD"/>
    <w:rsid w:val="006915A8"/>
    <w:rsid w:val="006A0EC9"/>
    <w:rsid w:val="006C263A"/>
    <w:rsid w:val="006D711E"/>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603C"/>
    <w:rsid w:val="00997F98"/>
    <w:rsid w:val="009C2997"/>
    <w:rsid w:val="009C58E7"/>
    <w:rsid w:val="009E3C9F"/>
    <w:rsid w:val="009E7B6A"/>
    <w:rsid w:val="009F11F7"/>
    <w:rsid w:val="009F6B53"/>
    <w:rsid w:val="00A00EA8"/>
    <w:rsid w:val="00A100C9"/>
    <w:rsid w:val="00A128D7"/>
    <w:rsid w:val="00A165A5"/>
    <w:rsid w:val="00A37235"/>
    <w:rsid w:val="00A45928"/>
    <w:rsid w:val="00A614DA"/>
    <w:rsid w:val="00A61DF0"/>
    <w:rsid w:val="00A7112E"/>
    <w:rsid w:val="00A72D04"/>
    <w:rsid w:val="00A912EE"/>
    <w:rsid w:val="00AA32F9"/>
    <w:rsid w:val="00AA67C2"/>
    <w:rsid w:val="00AA75B4"/>
    <w:rsid w:val="00AB61AA"/>
    <w:rsid w:val="00AD3CF5"/>
    <w:rsid w:val="00AD417B"/>
    <w:rsid w:val="00AE10D3"/>
    <w:rsid w:val="00AF7971"/>
    <w:rsid w:val="00B00A19"/>
    <w:rsid w:val="00B1708B"/>
    <w:rsid w:val="00B17AEA"/>
    <w:rsid w:val="00B20702"/>
    <w:rsid w:val="00B2467A"/>
    <w:rsid w:val="00B46E45"/>
    <w:rsid w:val="00B82057"/>
    <w:rsid w:val="00B90593"/>
    <w:rsid w:val="00B908B0"/>
    <w:rsid w:val="00B90ACE"/>
    <w:rsid w:val="00BB0674"/>
    <w:rsid w:val="00BB2456"/>
    <w:rsid w:val="00BB7DBE"/>
    <w:rsid w:val="00BC6A09"/>
    <w:rsid w:val="00BD579D"/>
    <w:rsid w:val="00BD5E57"/>
    <w:rsid w:val="00BF2D59"/>
    <w:rsid w:val="00C10668"/>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13E5D"/>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659B"/>
    <w:rsid w:val="00F01154"/>
    <w:rsid w:val="00F10747"/>
    <w:rsid w:val="00F65111"/>
    <w:rsid w:val="00F66F01"/>
    <w:rsid w:val="00F72342"/>
    <w:rsid w:val="00F83ED9"/>
    <w:rsid w:val="00F85985"/>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4C36ADD-2124-432F-AB78-BB3DFE2B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DE51AB-33BF-447C-B604-6AF4580D45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2021-03-10T16:07:00Z</dcterms:created>
  <dcterms:modified xsi:type="dcterms:W3CDTF">2021-03-31T10:06:00Z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