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7CF11C17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5243F4">
        <w:rPr>
          <w:rFonts w:ascii="Arial" w:hAnsi="Arial" w:cs="Arial"/>
          <w:b/>
          <w:bCs/>
          <w:szCs w:val="24"/>
        </w:rPr>
        <w:t>1</w:t>
      </w:r>
      <w:r w:rsidR="006915A8">
        <w:rPr>
          <w:rFonts w:ascii="Arial" w:hAnsi="Arial" w:cs="Arial"/>
          <w:b/>
          <w:bCs/>
          <w:szCs w:val="24"/>
        </w:rPr>
        <w:t>3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457A1D01" w14:textId="77777777" w:rsidR="006915A8" w:rsidRPr="006915A8" w:rsidRDefault="006915A8" w:rsidP="006915A8">
      <w:pPr>
        <w:rPr>
          <w:rFonts w:ascii="Arial" w:hAnsi="Arial" w:cs="Arial"/>
          <w:color w:val="000000"/>
          <w:szCs w:val="24"/>
        </w:rPr>
      </w:pPr>
      <w:r w:rsidRPr="006915A8">
        <w:rPr>
          <w:rFonts w:ascii="Arial" w:hAnsi="Arial" w:cs="Arial"/>
          <w:color w:val="000000"/>
          <w:szCs w:val="24"/>
        </w:rPr>
        <w:t xml:space="preserve">Regarding the revised contingency, please confirm that none of the contingency, neither the previously assumed amounts of $366 million, $34 million and $114 million, or the new $5 million and $171 million discussed on page 4 of the 24th Report, are included in any of the Company’s current modeling assumptions. </w:t>
      </w:r>
    </w:p>
    <w:p w14:paraId="4974714F" w14:textId="77777777" w:rsidR="00AD3CF5" w:rsidRPr="00E30089" w:rsidRDefault="00AD3CF5" w:rsidP="00AD3CF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7777777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00538130" w14:textId="77777777" w:rsidR="00ED6249" w:rsidRDefault="00ED6249">
      <w:pPr>
        <w:rPr>
          <w:rFonts w:ascii="Arial" w:hAnsi="Arial" w:cs="Arial"/>
        </w:rPr>
      </w:pPr>
    </w:p>
    <w:p w14:paraId="1359F8D8" w14:textId="4FFD909A" w:rsidR="00431988" w:rsidRDefault="00ED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B74B7">
        <w:rPr>
          <w:rFonts w:ascii="Arial" w:hAnsi="Arial" w:cs="Arial"/>
        </w:rPr>
        <w:t xml:space="preserve">Company’s current modeling assumptions </w:t>
      </w:r>
      <w:r>
        <w:rPr>
          <w:rFonts w:ascii="Arial" w:hAnsi="Arial" w:cs="Arial"/>
        </w:rPr>
        <w:t>reflect recovery of $7.3 billion, which is the current forecast approved by the Commission, and excludes the Toshiba Parent Guarantee receipts, amounts to be absorbed by Georgia Power, and</w:t>
      </w:r>
      <w:r w:rsidR="00053F4C">
        <w:rPr>
          <w:rFonts w:ascii="Arial" w:hAnsi="Arial" w:cs="Arial"/>
        </w:rPr>
        <w:t xml:space="preserve"> both</w:t>
      </w:r>
      <w:r>
        <w:rPr>
          <w:rFonts w:ascii="Arial" w:hAnsi="Arial" w:cs="Arial"/>
        </w:rPr>
        <w:t xml:space="preserve"> allocated and unallocated contingency </w:t>
      </w:r>
      <w:r w:rsidR="00053F4C">
        <w:rPr>
          <w:rFonts w:ascii="Arial" w:hAnsi="Arial" w:cs="Arial"/>
        </w:rPr>
        <w:t xml:space="preserve">amounts </w:t>
      </w:r>
      <w:r>
        <w:rPr>
          <w:rFonts w:ascii="Arial" w:hAnsi="Arial" w:cs="Arial"/>
        </w:rPr>
        <w:t>not yet submitted for approval.</w:t>
      </w:r>
    </w:p>
    <w:p w14:paraId="1DF8EBD7" w14:textId="77777777" w:rsidR="00455CE4" w:rsidRDefault="00455CE4">
      <w:pPr>
        <w:rPr>
          <w:rFonts w:ascii="Arial" w:hAnsi="Arial" w:cs="Arial"/>
        </w:rPr>
      </w:pPr>
    </w:p>
    <w:p w14:paraId="22DA7B5C" w14:textId="77777777" w:rsidR="000C2AA7" w:rsidRDefault="000C2AA7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C619C"/>
    <w:multiLevelType w:val="hybridMultilevel"/>
    <w:tmpl w:val="BD3C50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A2DCA"/>
    <w:multiLevelType w:val="hybridMultilevel"/>
    <w:tmpl w:val="9DE01B14"/>
    <w:lvl w:ilvl="0" w:tplc="3384A9C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71D8A"/>
    <w:multiLevelType w:val="hybridMultilevel"/>
    <w:tmpl w:val="E1F621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D3F13"/>
    <w:multiLevelType w:val="hybridMultilevel"/>
    <w:tmpl w:val="E13A1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6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C414F"/>
    <w:multiLevelType w:val="hybridMultilevel"/>
    <w:tmpl w:val="889E7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A792A"/>
    <w:multiLevelType w:val="hybridMultilevel"/>
    <w:tmpl w:val="2A16E0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"/>
  </w:num>
  <w:num w:numId="10">
    <w:abstractNumId w:val="13"/>
  </w:num>
  <w:num w:numId="11">
    <w:abstractNumId w:val="17"/>
  </w:num>
  <w:num w:numId="12">
    <w:abstractNumId w:val="15"/>
  </w:num>
  <w:num w:numId="13">
    <w:abstractNumId w:val="21"/>
  </w:num>
  <w:num w:numId="14">
    <w:abstractNumId w:val="6"/>
  </w:num>
  <w:num w:numId="15">
    <w:abstractNumId w:val="14"/>
  </w:num>
  <w:num w:numId="16">
    <w:abstractNumId w:val="20"/>
  </w:num>
  <w:num w:numId="17">
    <w:abstractNumId w:val="10"/>
  </w:num>
  <w:num w:numId="18">
    <w:abstractNumId w:val="5"/>
  </w:num>
  <w:num w:numId="19">
    <w:abstractNumId w:val="1"/>
  </w:num>
  <w:num w:numId="20">
    <w:abstractNumId w:val="8"/>
  </w:num>
  <w:num w:numId="21">
    <w:abstractNumId w:val="22"/>
  </w:num>
  <w:num w:numId="22">
    <w:abstractNumId w:val="19"/>
  </w:num>
  <w:num w:numId="23">
    <w:abstractNumId w:val="3"/>
  </w:num>
  <w:num w:numId="24">
    <w:abstractNumId w:val="16"/>
  </w:num>
  <w:num w:numId="25">
    <w:abstractNumId w:val="27"/>
  </w:num>
  <w:num w:numId="26">
    <w:abstractNumId w:val="4"/>
  </w:num>
  <w:num w:numId="27">
    <w:abstractNumId w:val="23"/>
  </w:num>
  <w:num w:numId="28">
    <w:abstractNumId w:val="7"/>
  </w:num>
  <w:num w:numId="29">
    <w:abstractNumId w:val="30"/>
  </w:num>
  <w:num w:numId="30">
    <w:abstractNumId w:val="11"/>
  </w:num>
  <w:num w:numId="31">
    <w:abstractNumId w:val="29"/>
  </w:num>
  <w:num w:numId="32">
    <w:abstractNumId w:val="24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214BA"/>
    <w:rsid w:val="000374F8"/>
    <w:rsid w:val="000403C8"/>
    <w:rsid w:val="000445B0"/>
    <w:rsid w:val="00053F4C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1E4"/>
    <w:rsid w:val="00176D14"/>
    <w:rsid w:val="0018439C"/>
    <w:rsid w:val="001A1D1D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6A3A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B0352"/>
    <w:rsid w:val="003B77C9"/>
    <w:rsid w:val="003D7EB2"/>
    <w:rsid w:val="003F33AC"/>
    <w:rsid w:val="00401F1A"/>
    <w:rsid w:val="00405F6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7F1"/>
    <w:rsid w:val="00496C5A"/>
    <w:rsid w:val="004A6CD4"/>
    <w:rsid w:val="004C6A8A"/>
    <w:rsid w:val="004D0481"/>
    <w:rsid w:val="00510DC3"/>
    <w:rsid w:val="00515C39"/>
    <w:rsid w:val="005243F4"/>
    <w:rsid w:val="00536EC6"/>
    <w:rsid w:val="0054000B"/>
    <w:rsid w:val="0057479C"/>
    <w:rsid w:val="0057533E"/>
    <w:rsid w:val="00590FC8"/>
    <w:rsid w:val="005B74B7"/>
    <w:rsid w:val="005C003E"/>
    <w:rsid w:val="005C4EBA"/>
    <w:rsid w:val="005F22E0"/>
    <w:rsid w:val="005F7E58"/>
    <w:rsid w:val="006464D1"/>
    <w:rsid w:val="006507AC"/>
    <w:rsid w:val="00655F98"/>
    <w:rsid w:val="006710FB"/>
    <w:rsid w:val="00684CFD"/>
    <w:rsid w:val="006915A8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643C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37235"/>
    <w:rsid w:val="00A45928"/>
    <w:rsid w:val="00A614DA"/>
    <w:rsid w:val="00A61DF0"/>
    <w:rsid w:val="00A7112E"/>
    <w:rsid w:val="00A72D04"/>
    <w:rsid w:val="00A912EE"/>
    <w:rsid w:val="00AA67C2"/>
    <w:rsid w:val="00AA75B4"/>
    <w:rsid w:val="00AB61AA"/>
    <w:rsid w:val="00AD3CF5"/>
    <w:rsid w:val="00AD417B"/>
    <w:rsid w:val="00AE10D3"/>
    <w:rsid w:val="00AF7971"/>
    <w:rsid w:val="00B00A19"/>
    <w:rsid w:val="00B1708B"/>
    <w:rsid w:val="00B17AEA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367A2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06C78"/>
    <w:rsid w:val="00D228F6"/>
    <w:rsid w:val="00D35201"/>
    <w:rsid w:val="00D373E7"/>
    <w:rsid w:val="00D758F3"/>
    <w:rsid w:val="00D84FBF"/>
    <w:rsid w:val="00D933BB"/>
    <w:rsid w:val="00D950E2"/>
    <w:rsid w:val="00DA3021"/>
    <w:rsid w:val="00DC793E"/>
    <w:rsid w:val="00DD4F94"/>
    <w:rsid w:val="00DD5CF1"/>
    <w:rsid w:val="00DD63DD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C659B"/>
    <w:rsid w:val="00ED6249"/>
    <w:rsid w:val="00F01154"/>
    <w:rsid w:val="00F10747"/>
    <w:rsid w:val="00F65111"/>
    <w:rsid w:val="00F66F01"/>
    <w:rsid w:val="00F72342"/>
    <w:rsid w:val="00F83ED9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D6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4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4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2021-03-10T16:05:00Z</dcterms:created>
  <dcterms:modified xsi:type="dcterms:W3CDTF">2021-03-30T14:56:00Z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