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47B4F1E2"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5243F4">
        <w:rPr>
          <w:rFonts w:ascii="Arial" w:hAnsi="Arial" w:cs="Arial"/>
          <w:b/>
          <w:bCs/>
          <w:szCs w:val="24"/>
        </w:rPr>
        <w:t>1</w:t>
      </w:r>
      <w:r w:rsidR="00B17AEA">
        <w:rPr>
          <w:rFonts w:ascii="Arial" w:hAnsi="Arial" w:cs="Arial"/>
          <w:b/>
          <w:bCs/>
          <w:szCs w:val="24"/>
        </w:rPr>
        <w:t>1</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425A8565" w14:textId="156B825D" w:rsidR="00B17AEA" w:rsidRDefault="00B17AEA" w:rsidP="00B17AEA">
      <w:pPr>
        <w:tabs>
          <w:tab w:val="left" w:pos="0"/>
        </w:tabs>
        <w:autoSpaceDE w:val="0"/>
        <w:autoSpaceDN w:val="0"/>
        <w:adjustRightInd w:val="0"/>
        <w:rPr>
          <w:rFonts w:ascii="Arial" w:hAnsi="Arial" w:cs="Arial"/>
          <w:color w:val="000000"/>
          <w:szCs w:val="24"/>
        </w:rPr>
      </w:pPr>
      <w:r w:rsidRPr="00B17AEA">
        <w:rPr>
          <w:rFonts w:ascii="Arial" w:hAnsi="Arial" w:cs="Arial"/>
          <w:color w:val="000000"/>
          <w:szCs w:val="24"/>
        </w:rPr>
        <w:t>In regard to the Company’s updated VCM CO2 and natural gas price forecasts in this VCM filing:</w:t>
      </w:r>
    </w:p>
    <w:p w14:paraId="5874F6F6" w14:textId="77777777" w:rsidR="00A96AE5" w:rsidRPr="00B17AEA" w:rsidRDefault="00A96AE5" w:rsidP="00B17AEA">
      <w:pPr>
        <w:tabs>
          <w:tab w:val="left" w:pos="0"/>
        </w:tabs>
        <w:autoSpaceDE w:val="0"/>
        <w:autoSpaceDN w:val="0"/>
        <w:adjustRightInd w:val="0"/>
        <w:rPr>
          <w:rFonts w:ascii="Arial" w:hAnsi="Arial" w:cs="Arial"/>
          <w:color w:val="000000"/>
          <w:szCs w:val="24"/>
        </w:rPr>
      </w:pPr>
    </w:p>
    <w:p w14:paraId="25BC4C8F" w14:textId="77777777" w:rsidR="00B17AEA" w:rsidRPr="00B17AEA" w:rsidRDefault="00B17AEA" w:rsidP="00B17AEA">
      <w:pPr>
        <w:pStyle w:val="ListParagraph"/>
        <w:numPr>
          <w:ilvl w:val="0"/>
          <w:numId w:val="31"/>
        </w:numPr>
        <w:tabs>
          <w:tab w:val="left" w:pos="0"/>
        </w:tabs>
        <w:autoSpaceDE w:val="0"/>
        <w:autoSpaceDN w:val="0"/>
        <w:adjustRightInd w:val="0"/>
        <w:rPr>
          <w:rFonts w:ascii="Arial" w:hAnsi="Arial" w:cs="Arial"/>
          <w:color w:val="000000"/>
          <w:sz w:val="24"/>
          <w:szCs w:val="28"/>
        </w:rPr>
      </w:pPr>
      <w:r w:rsidRPr="00B17AEA">
        <w:rPr>
          <w:rFonts w:ascii="Arial" w:hAnsi="Arial" w:cs="Arial"/>
          <w:color w:val="000000"/>
          <w:sz w:val="24"/>
          <w:szCs w:val="28"/>
        </w:rPr>
        <w:t xml:space="preserve">Please provide all analyses and workpapers electronically that the Company prepared in developing the CO2 and natural gas forecasts.  Please supply this information even if it is the same as in the last filing.  Also, please supply all forecast associated deflators used to convert between nominal and real dollar forecasts.  </w:t>
      </w:r>
    </w:p>
    <w:p w14:paraId="43D1CDC2" w14:textId="77777777" w:rsidR="00B17AEA" w:rsidRPr="00B17AEA" w:rsidRDefault="00B17AEA" w:rsidP="00B17AEA">
      <w:pPr>
        <w:tabs>
          <w:tab w:val="left" w:pos="0"/>
        </w:tabs>
        <w:autoSpaceDE w:val="0"/>
        <w:autoSpaceDN w:val="0"/>
        <w:adjustRightInd w:val="0"/>
        <w:rPr>
          <w:rFonts w:ascii="Arial" w:hAnsi="Arial" w:cs="Arial"/>
          <w:color w:val="000000"/>
          <w:sz w:val="28"/>
          <w:szCs w:val="28"/>
        </w:rPr>
      </w:pPr>
    </w:p>
    <w:p w14:paraId="62CF7413" w14:textId="77777777" w:rsidR="00B17AEA" w:rsidRPr="00B17AEA" w:rsidRDefault="00B17AEA" w:rsidP="00B17AEA">
      <w:pPr>
        <w:pStyle w:val="ListParagraph"/>
        <w:numPr>
          <w:ilvl w:val="0"/>
          <w:numId w:val="31"/>
        </w:numPr>
        <w:tabs>
          <w:tab w:val="left" w:pos="0"/>
        </w:tabs>
        <w:autoSpaceDE w:val="0"/>
        <w:autoSpaceDN w:val="0"/>
        <w:adjustRightInd w:val="0"/>
        <w:rPr>
          <w:rFonts w:ascii="Arial" w:hAnsi="Arial" w:cs="Arial"/>
          <w:color w:val="000000"/>
          <w:sz w:val="24"/>
          <w:szCs w:val="28"/>
        </w:rPr>
      </w:pPr>
      <w:r w:rsidRPr="00B17AEA">
        <w:rPr>
          <w:rFonts w:ascii="Arial" w:hAnsi="Arial" w:cs="Arial"/>
          <w:color w:val="000000"/>
          <w:sz w:val="24"/>
          <w:szCs w:val="28"/>
        </w:rPr>
        <w:t>Please provide all other recent alternative CO2 and natural gas forecasts in the Company’s possession. Please supply all forecast associated deflators used to convert between nominal and real dollar forecasts.</w:t>
      </w:r>
    </w:p>
    <w:p w14:paraId="4974714F" w14:textId="77777777" w:rsidR="00AD3CF5" w:rsidRPr="00E30089" w:rsidRDefault="00AD3CF5" w:rsidP="00AD3CF5">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7CDF69D5" w14:textId="21EC0C8A" w:rsidR="004D1D9F" w:rsidRDefault="004D1D9F">
      <w:pPr>
        <w:rPr>
          <w:rFonts w:ascii="Arial" w:hAnsi="Arial" w:cs="Arial"/>
        </w:rPr>
      </w:pPr>
    </w:p>
    <w:p w14:paraId="45BF1CA3" w14:textId="0CDF06B7" w:rsidR="004D1D9F" w:rsidRDefault="004D1D9F" w:rsidP="004D1D9F">
      <w:pPr>
        <w:rPr>
          <w:rFonts w:ascii="Arial" w:hAnsi="Arial" w:cs="Arial"/>
        </w:rPr>
      </w:pPr>
      <w:r>
        <w:rPr>
          <w:rFonts w:ascii="Arial" w:hAnsi="Arial" w:cs="Arial"/>
        </w:rPr>
        <w:t>The Company</w:t>
      </w:r>
      <w:r w:rsidR="00273C33">
        <w:rPr>
          <w:rFonts w:ascii="Arial" w:hAnsi="Arial" w:cs="Arial"/>
        </w:rPr>
        <w:t>,</w:t>
      </w:r>
      <w:r>
        <w:rPr>
          <w:rFonts w:ascii="Arial" w:hAnsi="Arial" w:cs="Arial"/>
        </w:rPr>
        <w:t xml:space="preserve"> with data produced</w:t>
      </w:r>
      <w:r w:rsidRPr="004D1D9F">
        <w:rPr>
          <w:rFonts w:ascii="Arial" w:hAnsi="Arial" w:cs="Arial"/>
        </w:rPr>
        <w:t xml:space="preserve"> by the US Energy Information Administration (EIA) for its Annual Energy Outlook (AEO)</w:t>
      </w:r>
      <w:r>
        <w:rPr>
          <w:rFonts w:ascii="Arial" w:hAnsi="Arial" w:cs="Arial"/>
        </w:rPr>
        <w:t>,</w:t>
      </w:r>
      <w:r w:rsidRPr="004D1D9F">
        <w:rPr>
          <w:rFonts w:ascii="Arial" w:hAnsi="Arial" w:cs="Arial"/>
        </w:rPr>
        <w:t xml:space="preserve"> </w:t>
      </w:r>
      <w:r>
        <w:rPr>
          <w:rFonts w:ascii="Arial" w:hAnsi="Arial" w:cs="Arial"/>
        </w:rPr>
        <w:t xml:space="preserve">develops and analyzes several scenarios in the future evolution of the United States energy economy. </w:t>
      </w:r>
      <w:r w:rsidRPr="006F3CEC">
        <w:rPr>
          <w:rFonts w:ascii="Arial" w:hAnsi="Arial" w:cs="Arial"/>
        </w:rPr>
        <w:t>This process is de</w:t>
      </w:r>
      <w:r>
        <w:rPr>
          <w:rFonts w:ascii="Arial" w:hAnsi="Arial" w:cs="Arial"/>
        </w:rPr>
        <w:t>scribed in Attachment STF-</w:t>
      </w:r>
      <w:r w:rsidRPr="006D497E">
        <w:rPr>
          <w:rFonts w:ascii="Arial" w:hAnsi="Arial" w:cs="Arial"/>
          <w:bCs/>
          <w:szCs w:val="24"/>
        </w:rPr>
        <w:t>1</w:t>
      </w:r>
      <w:r>
        <w:rPr>
          <w:rFonts w:ascii="Arial" w:hAnsi="Arial" w:cs="Arial"/>
          <w:bCs/>
          <w:szCs w:val="24"/>
        </w:rPr>
        <w:t>98</w:t>
      </w:r>
      <w:r w:rsidRPr="006D497E">
        <w:rPr>
          <w:rFonts w:ascii="Arial" w:hAnsi="Arial" w:cs="Arial"/>
          <w:bCs/>
          <w:szCs w:val="24"/>
        </w:rPr>
        <w:t>-</w:t>
      </w:r>
      <w:r>
        <w:rPr>
          <w:rFonts w:ascii="Arial" w:hAnsi="Arial" w:cs="Arial"/>
          <w:bCs/>
          <w:noProof/>
          <w:szCs w:val="24"/>
        </w:rPr>
        <w:t>11-a</w:t>
      </w:r>
      <w:r w:rsidR="00493A8B">
        <w:rPr>
          <w:rFonts w:ascii="Arial" w:hAnsi="Arial" w:cs="Arial"/>
          <w:bCs/>
          <w:noProof/>
          <w:szCs w:val="24"/>
        </w:rPr>
        <w:t>,</w:t>
      </w:r>
      <w:r>
        <w:rPr>
          <w:rFonts w:ascii="Arial" w:hAnsi="Arial" w:cs="Arial"/>
          <w:bCs/>
          <w:noProof/>
          <w:szCs w:val="24"/>
        </w:rPr>
        <w:t xml:space="preserve"> </w:t>
      </w:r>
      <w:r w:rsidRPr="008F14D7">
        <w:rPr>
          <w:rFonts w:ascii="Arial" w:hAnsi="Arial" w:cs="Arial"/>
        </w:rPr>
        <w:t>and</w:t>
      </w:r>
      <w:r>
        <w:rPr>
          <w:rFonts w:ascii="Arial" w:hAnsi="Arial" w:cs="Arial"/>
        </w:rPr>
        <w:t xml:space="preserve"> the values for CO</w:t>
      </w:r>
      <w:r w:rsidRPr="009B6E0E">
        <w:rPr>
          <w:rFonts w:ascii="Arial" w:hAnsi="Arial" w:cs="Arial"/>
          <w:vertAlign w:val="subscript"/>
        </w:rPr>
        <w:t>2</w:t>
      </w:r>
      <w:r>
        <w:rPr>
          <w:rFonts w:ascii="Arial" w:hAnsi="Arial" w:cs="Arial"/>
        </w:rPr>
        <w:t xml:space="preserve"> pr</w:t>
      </w:r>
      <w:r w:rsidR="00F949BF">
        <w:rPr>
          <w:rFonts w:ascii="Arial" w:hAnsi="Arial" w:cs="Arial"/>
        </w:rPr>
        <w:t>essures</w:t>
      </w:r>
      <w:r>
        <w:rPr>
          <w:rFonts w:ascii="Arial" w:hAnsi="Arial" w:cs="Arial"/>
        </w:rPr>
        <w:t xml:space="preserve"> are contained in Attachment STF-</w:t>
      </w:r>
      <w:r w:rsidRPr="006D497E">
        <w:rPr>
          <w:rFonts w:ascii="Arial" w:hAnsi="Arial" w:cs="Arial"/>
          <w:bCs/>
          <w:szCs w:val="24"/>
        </w:rPr>
        <w:t>1</w:t>
      </w:r>
      <w:r>
        <w:rPr>
          <w:rFonts w:ascii="Arial" w:hAnsi="Arial" w:cs="Arial"/>
          <w:bCs/>
          <w:szCs w:val="24"/>
        </w:rPr>
        <w:t>98</w:t>
      </w:r>
      <w:r w:rsidRPr="006D497E">
        <w:rPr>
          <w:rFonts w:ascii="Arial" w:hAnsi="Arial" w:cs="Arial"/>
          <w:bCs/>
          <w:szCs w:val="24"/>
        </w:rPr>
        <w:t>-</w:t>
      </w:r>
      <w:r>
        <w:rPr>
          <w:rFonts w:ascii="Arial" w:hAnsi="Arial" w:cs="Arial"/>
          <w:bCs/>
          <w:noProof/>
          <w:szCs w:val="24"/>
        </w:rPr>
        <w:t>11-b</w:t>
      </w:r>
      <w:r w:rsidRPr="006F3CEC">
        <w:rPr>
          <w:rFonts w:ascii="Arial" w:hAnsi="Arial" w:cs="Arial"/>
        </w:rPr>
        <w:t>.</w:t>
      </w:r>
      <w:r>
        <w:rPr>
          <w:rFonts w:ascii="Arial" w:hAnsi="Arial" w:cs="Arial"/>
        </w:rPr>
        <w:t xml:space="preserve"> The deflators used to convert between nominal and real dollar forecasts are contained in </w:t>
      </w:r>
      <w:r w:rsidR="00493A8B">
        <w:rPr>
          <w:rFonts w:ascii="Arial" w:hAnsi="Arial" w:cs="Arial"/>
        </w:rPr>
        <w:t xml:space="preserve">Trade Secret (“TS”) </w:t>
      </w:r>
      <w:r>
        <w:rPr>
          <w:rFonts w:ascii="Arial" w:hAnsi="Arial" w:cs="Arial"/>
        </w:rPr>
        <w:t>TS Attachment STF-</w:t>
      </w:r>
      <w:r w:rsidRPr="006D497E">
        <w:rPr>
          <w:rFonts w:ascii="Arial" w:hAnsi="Arial" w:cs="Arial"/>
          <w:bCs/>
          <w:szCs w:val="24"/>
        </w:rPr>
        <w:t>1</w:t>
      </w:r>
      <w:r>
        <w:rPr>
          <w:rFonts w:ascii="Arial" w:hAnsi="Arial" w:cs="Arial"/>
          <w:bCs/>
          <w:szCs w:val="24"/>
        </w:rPr>
        <w:t>98</w:t>
      </w:r>
      <w:r w:rsidRPr="006D497E">
        <w:rPr>
          <w:rFonts w:ascii="Arial" w:hAnsi="Arial" w:cs="Arial"/>
          <w:bCs/>
          <w:szCs w:val="24"/>
        </w:rPr>
        <w:t>-</w:t>
      </w:r>
      <w:r>
        <w:rPr>
          <w:rFonts w:ascii="Arial" w:hAnsi="Arial" w:cs="Arial"/>
          <w:bCs/>
          <w:noProof/>
          <w:szCs w:val="24"/>
        </w:rPr>
        <w:t>11-c</w:t>
      </w:r>
      <w:r>
        <w:rPr>
          <w:rFonts w:ascii="Arial" w:hAnsi="Arial" w:cs="Arial"/>
        </w:rPr>
        <w:t>.</w:t>
      </w:r>
    </w:p>
    <w:p w14:paraId="0913562C" w14:textId="45DD961F" w:rsidR="00BD72DD" w:rsidRDefault="00BD72DD" w:rsidP="004D1D9F">
      <w:pPr>
        <w:rPr>
          <w:rFonts w:ascii="Arial" w:hAnsi="Arial" w:cs="Arial"/>
        </w:rPr>
      </w:pPr>
    </w:p>
    <w:p w14:paraId="68C7800B" w14:textId="4676F013" w:rsidR="00BD72DD" w:rsidRDefault="00BD72DD" w:rsidP="00BD72DD">
      <w:pPr>
        <w:rPr>
          <w:rFonts w:ascii="Arial" w:hAnsi="Arial" w:cs="Arial"/>
        </w:rPr>
      </w:pPr>
      <w:r>
        <w:rPr>
          <w:rFonts w:ascii="Arial" w:hAnsi="Arial" w:cs="Arial"/>
        </w:rPr>
        <w:t xml:space="preserve">Gas prices developed by this process as well as other recent alternative natural gas forecasts in the Company’s possession are included </w:t>
      </w:r>
      <w:r w:rsidR="00493A8B">
        <w:rPr>
          <w:rFonts w:ascii="Arial" w:hAnsi="Arial" w:cs="Arial"/>
        </w:rPr>
        <w:t>in TS</w:t>
      </w:r>
      <w:r>
        <w:rPr>
          <w:rFonts w:ascii="Arial" w:hAnsi="Arial" w:cs="Arial"/>
        </w:rPr>
        <w:t xml:space="preserve"> Attachment STF-</w:t>
      </w:r>
      <w:r w:rsidR="00A96AE5">
        <w:rPr>
          <w:rFonts w:ascii="Arial" w:hAnsi="Arial" w:cs="Arial"/>
          <w:bCs/>
          <w:szCs w:val="24"/>
        </w:rPr>
        <w:t>198</w:t>
      </w:r>
      <w:r w:rsidRPr="006D497E">
        <w:rPr>
          <w:rFonts w:ascii="Arial" w:hAnsi="Arial" w:cs="Arial"/>
          <w:bCs/>
          <w:szCs w:val="24"/>
        </w:rPr>
        <w:t>-</w:t>
      </w:r>
      <w:r>
        <w:rPr>
          <w:rFonts w:ascii="Arial" w:hAnsi="Arial" w:cs="Arial"/>
          <w:bCs/>
          <w:noProof/>
          <w:szCs w:val="24"/>
        </w:rPr>
        <w:t>11-d.</w:t>
      </w:r>
      <w:r>
        <w:rPr>
          <w:rFonts w:ascii="Arial" w:hAnsi="Arial" w:cs="Arial"/>
        </w:rPr>
        <w:t xml:space="preserve"> Other</w:t>
      </w:r>
      <w:r w:rsidRPr="00134BA5">
        <w:rPr>
          <w:rFonts w:ascii="Arial" w:hAnsi="Arial" w:cs="Arial"/>
        </w:rPr>
        <w:t xml:space="preserve"> alternative CO</w:t>
      </w:r>
      <w:r w:rsidRPr="009B6E0E">
        <w:rPr>
          <w:rFonts w:ascii="Arial" w:hAnsi="Arial" w:cs="Arial"/>
          <w:vertAlign w:val="subscript"/>
        </w:rPr>
        <w:t>2</w:t>
      </w:r>
      <w:r w:rsidRPr="00134BA5">
        <w:rPr>
          <w:rFonts w:ascii="Arial" w:hAnsi="Arial" w:cs="Arial"/>
        </w:rPr>
        <w:t xml:space="preserve"> forecasts in the Company’s possession </w:t>
      </w:r>
      <w:r w:rsidR="00493A8B">
        <w:rPr>
          <w:rFonts w:ascii="Arial" w:hAnsi="Arial" w:cs="Arial"/>
        </w:rPr>
        <w:t xml:space="preserve">are </w:t>
      </w:r>
      <w:r w:rsidRPr="00134BA5">
        <w:rPr>
          <w:rFonts w:ascii="Arial" w:hAnsi="Arial" w:cs="Arial"/>
        </w:rPr>
        <w:t xml:space="preserve">provided in </w:t>
      </w:r>
      <w:r>
        <w:rPr>
          <w:rFonts w:ascii="Arial" w:hAnsi="Arial" w:cs="Arial"/>
        </w:rPr>
        <w:t>Attachment STF-</w:t>
      </w:r>
      <w:r w:rsidRPr="006D497E">
        <w:rPr>
          <w:rFonts w:ascii="Arial" w:hAnsi="Arial" w:cs="Arial"/>
          <w:bCs/>
          <w:szCs w:val="24"/>
        </w:rPr>
        <w:t>1</w:t>
      </w:r>
      <w:r w:rsidR="00A96AE5">
        <w:rPr>
          <w:rFonts w:ascii="Arial" w:hAnsi="Arial" w:cs="Arial"/>
          <w:bCs/>
          <w:szCs w:val="24"/>
        </w:rPr>
        <w:t>98</w:t>
      </w:r>
      <w:r w:rsidRPr="006D497E">
        <w:rPr>
          <w:rFonts w:ascii="Arial" w:hAnsi="Arial" w:cs="Arial"/>
          <w:bCs/>
          <w:szCs w:val="24"/>
        </w:rPr>
        <w:t>-</w:t>
      </w:r>
      <w:r>
        <w:rPr>
          <w:rFonts w:ascii="Arial" w:hAnsi="Arial" w:cs="Arial"/>
          <w:bCs/>
          <w:noProof/>
          <w:szCs w:val="24"/>
        </w:rPr>
        <w:t>11-</w:t>
      </w:r>
      <w:r w:rsidR="00A96AE5">
        <w:rPr>
          <w:rFonts w:ascii="Arial" w:hAnsi="Arial" w:cs="Arial"/>
          <w:bCs/>
          <w:noProof/>
          <w:szCs w:val="24"/>
        </w:rPr>
        <w:t>e</w:t>
      </w:r>
      <w:r>
        <w:rPr>
          <w:rFonts w:ascii="Arial" w:hAnsi="Arial" w:cs="Arial"/>
        </w:rPr>
        <w:t>. The following table provides descriptions of all the attachments.</w:t>
      </w:r>
    </w:p>
    <w:p w14:paraId="60D50FAE" w14:textId="77777777" w:rsidR="00BD72DD" w:rsidRDefault="00BD72DD" w:rsidP="004D1D9F">
      <w:pPr>
        <w:rPr>
          <w:rFonts w:ascii="Arial" w:hAnsi="Arial" w:cs="Arial"/>
        </w:rPr>
      </w:pPr>
    </w:p>
    <w:tbl>
      <w:tblPr>
        <w:tblStyle w:val="TableGrid"/>
        <w:tblW w:w="0" w:type="auto"/>
        <w:tblLook w:val="04A0" w:firstRow="1" w:lastRow="0" w:firstColumn="1" w:lastColumn="0" w:noHBand="0" w:noVBand="1"/>
      </w:tblPr>
      <w:tblGrid>
        <w:gridCol w:w="3505"/>
        <w:gridCol w:w="3350"/>
        <w:gridCol w:w="1775"/>
      </w:tblGrid>
      <w:tr w:rsidR="00A96AE5" w:rsidRPr="009467CA" w14:paraId="11DB4716" w14:textId="77777777" w:rsidTr="00233DF3">
        <w:tc>
          <w:tcPr>
            <w:tcW w:w="3505" w:type="dxa"/>
          </w:tcPr>
          <w:p w14:paraId="7B52A6BF" w14:textId="77777777" w:rsidR="00A96AE5" w:rsidRPr="008E199B" w:rsidRDefault="00A96AE5" w:rsidP="00233DF3">
            <w:pPr>
              <w:rPr>
                <w:rFonts w:ascii="Arial" w:hAnsi="Arial" w:cs="Arial"/>
                <w:b/>
                <w:bCs/>
              </w:rPr>
            </w:pPr>
            <w:r w:rsidRPr="008E199B">
              <w:rPr>
                <w:rFonts w:ascii="Arial" w:hAnsi="Arial" w:cs="Arial"/>
                <w:b/>
                <w:bCs/>
              </w:rPr>
              <w:t>Attachment Number</w:t>
            </w:r>
          </w:p>
        </w:tc>
        <w:tc>
          <w:tcPr>
            <w:tcW w:w="3350" w:type="dxa"/>
          </w:tcPr>
          <w:p w14:paraId="2CD3EDBE" w14:textId="77777777" w:rsidR="00A96AE5" w:rsidRPr="008E199B" w:rsidRDefault="00A96AE5" w:rsidP="00233DF3">
            <w:pPr>
              <w:rPr>
                <w:rFonts w:ascii="Arial" w:hAnsi="Arial" w:cs="Arial"/>
                <w:b/>
                <w:bCs/>
              </w:rPr>
            </w:pPr>
            <w:r w:rsidRPr="008E199B">
              <w:rPr>
                <w:rFonts w:ascii="Arial" w:hAnsi="Arial" w:cs="Arial"/>
                <w:b/>
                <w:bCs/>
              </w:rPr>
              <w:t>Content</w:t>
            </w:r>
          </w:p>
        </w:tc>
        <w:tc>
          <w:tcPr>
            <w:tcW w:w="1775" w:type="dxa"/>
          </w:tcPr>
          <w:p w14:paraId="59544B58" w14:textId="77777777" w:rsidR="00A96AE5" w:rsidRPr="008E199B" w:rsidRDefault="00A96AE5" w:rsidP="00233DF3">
            <w:pPr>
              <w:rPr>
                <w:rFonts w:ascii="Arial" w:hAnsi="Arial" w:cs="Arial"/>
                <w:b/>
                <w:bCs/>
              </w:rPr>
            </w:pPr>
            <w:r w:rsidRPr="008E199B">
              <w:rPr>
                <w:rFonts w:ascii="Arial" w:hAnsi="Arial" w:cs="Arial"/>
                <w:b/>
                <w:bCs/>
              </w:rPr>
              <w:t>Trade Secret</w:t>
            </w:r>
          </w:p>
        </w:tc>
      </w:tr>
      <w:tr w:rsidR="00A96AE5" w:rsidRPr="009467CA" w14:paraId="3F92AF35" w14:textId="77777777" w:rsidTr="00233DF3">
        <w:trPr>
          <w:trHeight w:val="611"/>
        </w:trPr>
        <w:tc>
          <w:tcPr>
            <w:tcW w:w="3505" w:type="dxa"/>
          </w:tcPr>
          <w:p w14:paraId="2442E1D9" w14:textId="5AD2D9F8" w:rsidR="00A96AE5" w:rsidRPr="0006587F" w:rsidRDefault="00A96AE5" w:rsidP="00233DF3">
            <w:pPr>
              <w:rPr>
                <w:rFonts w:ascii="Arial" w:hAnsi="Arial" w:cs="Arial"/>
              </w:rPr>
            </w:pPr>
            <w:r>
              <w:rPr>
                <w:rFonts w:ascii="Arial" w:hAnsi="Arial" w:cs="Arial"/>
              </w:rPr>
              <w:t>Attachment STF-</w:t>
            </w:r>
            <w:r w:rsidRPr="006D497E">
              <w:rPr>
                <w:rFonts w:ascii="Arial" w:hAnsi="Arial" w:cs="Arial"/>
                <w:bCs/>
                <w:szCs w:val="24"/>
              </w:rPr>
              <w:t>1</w:t>
            </w:r>
            <w:r>
              <w:rPr>
                <w:rFonts w:ascii="Arial" w:hAnsi="Arial" w:cs="Arial"/>
                <w:bCs/>
                <w:szCs w:val="24"/>
              </w:rPr>
              <w:t>98</w:t>
            </w:r>
            <w:r w:rsidRPr="006D497E">
              <w:rPr>
                <w:rFonts w:ascii="Arial" w:hAnsi="Arial" w:cs="Arial"/>
                <w:bCs/>
                <w:szCs w:val="24"/>
              </w:rPr>
              <w:t>-</w:t>
            </w:r>
            <w:r>
              <w:rPr>
                <w:rFonts w:ascii="Arial" w:hAnsi="Arial" w:cs="Arial"/>
                <w:bCs/>
                <w:szCs w:val="24"/>
              </w:rPr>
              <w:t>11</w:t>
            </w:r>
            <w:r>
              <w:rPr>
                <w:rFonts w:ascii="Arial" w:hAnsi="Arial" w:cs="Arial"/>
                <w:bCs/>
                <w:noProof/>
                <w:szCs w:val="24"/>
              </w:rPr>
              <w:t>-a</w:t>
            </w:r>
          </w:p>
        </w:tc>
        <w:tc>
          <w:tcPr>
            <w:tcW w:w="3350" w:type="dxa"/>
          </w:tcPr>
          <w:p w14:paraId="34DF06EB" w14:textId="17EAAEC2" w:rsidR="00A96AE5" w:rsidRPr="0006587F" w:rsidRDefault="00A96AE5" w:rsidP="00233DF3">
            <w:pPr>
              <w:rPr>
                <w:rFonts w:ascii="Arial" w:hAnsi="Arial" w:cs="Arial"/>
              </w:rPr>
            </w:pPr>
            <w:r>
              <w:rPr>
                <w:rFonts w:ascii="Arial" w:hAnsi="Arial" w:cs="Arial"/>
              </w:rPr>
              <w:t xml:space="preserve">Southern Company </w:t>
            </w:r>
            <w:r w:rsidRPr="00A96AE5">
              <w:rPr>
                <w:rFonts w:ascii="Arial" w:hAnsi="Arial" w:cs="Arial"/>
              </w:rPr>
              <w:t>B2021 Scenario Design &amp; Fuel Forecast Report</w:t>
            </w:r>
          </w:p>
        </w:tc>
        <w:tc>
          <w:tcPr>
            <w:tcW w:w="1775" w:type="dxa"/>
          </w:tcPr>
          <w:p w14:paraId="6B192AFA" w14:textId="3C8F299F" w:rsidR="00A96AE5" w:rsidRPr="0006587F" w:rsidRDefault="00FC0C39" w:rsidP="00233DF3">
            <w:pPr>
              <w:rPr>
                <w:rFonts w:ascii="Arial" w:hAnsi="Arial" w:cs="Arial"/>
              </w:rPr>
            </w:pPr>
            <w:r>
              <w:rPr>
                <w:rFonts w:ascii="Arial" w:hAnsi="Arial" w:cs="Arial"/>
              </w:rPr>
              <w:t>No</w:t>
            </w:r>
          </w:p>
        </w:tc>
      </w:tr>
      <w:tr w:rsidR="00A96AE5" w:rsidRPr="009467CA" w14:paraId="5F0650FF" w14:textId="77777777" w:rsidTr="00233DF3">
        <w:tc>
          <w:tcPr>
            <w:tcW w:w="3505" w:type="dxa"/>
          </w:tcPr>
          <w:p w14:paraId="79585DCA" w14:textId="7E0B07EF" w:rsidR="00A96AE5" w:rsidRPr="00AB6FF7" w:rsidRDefault="00A96AE5" w:rsidP="00233DF3">
            <w:pPr>
              <w:rPr>
                <w:rFonts w:ascii="Arial" w:hAnsi="Arial" w:cs="Arial"/>
              </w:rPr>
            </w:pPr>
            <w:r>
              <w:rPr>
                <w:rFonts w:ascii="Arial" w:hAnsi="Arial" w:cs="Arial"/>
              </w:rPr>
              <w:t>Attachment STF-</w:t>
            </w:r>
            <w:r w:rsidRPr="006D497E">
              <w:rPr>
                <w:rFonts w:ascii="Arial" w:hAnsi="Arial" w:cs="Arial"/>
                <w:bCs/>
                <w:szCs w:val="24"/>
              </w:rPr>
              <w:t>1</w:t>
            </w:r>
            <w:r>
              <w:rPr>
                <w:rFonts w:ascii="Arial" w:hAnsi="Arial" w:cs="Arial"/>
                <w:bCs/>
                <w:szCs w:val="24"/>
              </w:rPr>
              <w:t>98</w:t>
            </w:r>
            <w:r w:rsidRPr="006D497E">
              <w:rPr>
                <w:rFonts w:ascii="Arial" w:hAnsi="Arial" w:cs="Arial"/>
                <w:bCs/>
                <w:szCs w:val="24"/>
              </w:rPr>
              <w:t>-</w:t>
            </w:r>
            <w:r>
              <w:rPr>
                <w:rFonts w:ascii="Arial" w:hAnsi="Arial" w:cs="Arial"/>
                <w:bCs/>
                <w:szCs w:val="24"/>
              </w:rPr>
              <w:t>11</w:t>
            </w:r>
            <w:r>
              <w:rPr>
                <w:rFonts w:ascii="Arial" w:hAnsi="Arial" w:cs="Arial"/>
                <w:bCs/>
                <w:noProof/>
                <w:szCs w:val="24"/>
              </w:rPr>
              <w:t>-b</w:t>
            </w:r>
          </w:p>
        </w:tc>
        <w:tc>
          <w:tcPr>
            <w:tcW w:w="3350" w:type="dxa"/>
          </w:tcPr>
          <w:p w14:paraId="4E1310E8" w14:textId="0B9CA549" w:rsidR="00A96AE5" w:rsidRPr="00AB6FF7" w:rsidRDefault="00A96AE5" w:rsidP="00233DF3">
            <w:pPr>
              <w:rPr>
                <w:rFonts w:ascii="Arial" w:hAnsi="Arial" w:cs="Arial"/>
              </w:rPr>
            </w:pPr>
            <w:r>
              <w:rPr>
                <w:rFonts w:ascii="Arial" w:hAnsi="Arial" w:cs="Arial"/>
              </w:rPr>
              <w:t>B2021</w:t>
            </w:r>
            <w:r w:rsidRPr="00AB6FF7">
              <w:rPr>
                <w:rFonts w:ascii="Arial" w:hAnsi="Arial" w:cs="Arial"/>
              </w:rPr>
              <w:t xml:space="preserve"> CO</w:t>
            </w:r>
            <w:r w:rsidRPr="00AB6FF7">
              <w:rPr>
                <w:rFonts w:ascii="Arial" w:hAnsi="Arial" w:cs="Arial"/>
                <w:vertAlign w:val="subscript"/>
              </w:rPr>
              <w:t>2</w:t>
            </w:r>
            <w:r w:rsidRPr="00AB6FF7">
              <w:rPr>
                <w:rFonts w:ascii="Arial" w:hAnsi="Arial" w:cs="Arial"/>
              </w:rPr>
              <w:t xml:space="preserve"> Prices</w:t>
            </w:r>
            <w:r>
              <w:rPr>
                <w:rFonts w:ascii="Arial" w:hAnsi="Arial" w:cs="Arial"/>
              </w:rPr>
              <w:t xml:space="preserve"> &amp; Limits</w:t>
            </w:r>
          </w:p>
        </w:tc>
        <w:tc>
          <w:tcPr>
            <w:tcW w:w="1775" w:type="dxa"/>
          </w:tcPr>
          <w:p w14:paraId="4C7C7E4E" w14:textId="44FF3AFD" w:rsidR="00A96AE5" w:rsidRPr="00AB6FF7" w:rsidRDefault="008002BF" w:rsidP="00233DF3">
            <w:pPr>
              <w:rPr>
                <w:rFonts w:ascii="Arial" w:hAnsi="Arial" w:cs="Arial"/>
              </w:rPr>
            </w:pPr>
            <w:r>
              <w:rPr>
                <w:rFonts w:ascii="Arial" w:hAnsi="Arial" w:cs="Arial"/>
              </w:rPr>
              <w:t>No</w:t>
            </w:r>
          </w:p>
        </w:tc>
      </w:tr>
      <w:tr w:rsidR="00A96AE5" w:rsidRPr="009467CA" w14:paraId="5BC71F7E" w14:textId="77777777" w:rsidTr="00233DF3">
        <w:tc>
          <w:tcPr>
            <w:tcW w:w="3505" w:type="dxa"/>
          </w:tcPr>
          <w:p w14:paraId="105E3E9A" w14:textId="2248FD6F" w:rsidR="00A96AE5" w:rsidRPr="00AB6FF7" w:rsidRDefault="00A96AE5" w:rsidP="00233DF3">
            <w:pPr>
              <w:rPr>
                <w:rFonts w:ascii="Arial" w:hAnsi="Arial" w:cs="Arial"/>
              </w:rPr>
            </w:pPr>
            <w:r>
              <w:rPr>
                <w:rFonts w:ascii="Arial" w:hAnsi="Arial" w:cs="Arial"/>
              </w:rPr>
              <w:t>TS Attachment STF-</w:t>
            </w:r>
            <w:r w:rsidRPr="006D497E">
              <w:rPr>
                <w:rFonts w:ascii="Arial" w:hAnsi="Arial" w:cs="Arial"/>
                <w:bCs/>
                <w:szCs w:val="24"/>
              </w:rPr>
              <w:t>1</w:t>
            </w:r>
            <w:r>
              <w:rPr>
                <w:rFonts w:ascii="Arial" w:hAnsi="Arial" w:cs="Arial"/>
                <w:bCs/>
                <w:szCs w:val="24"/>
              </w:rPr>
              <w:t>98</w:t>
            </w:r>
            <w:r w:rsidRPr="006D497E">
              <w:rPr>
                <w:rFonts w:ascii="Arial" w:hAnsi="Arial" w:cs="Arial"/>
                <w:bCs/>
                <w:szCs w:val="24"/>
              </w:rPr>
              <w:t>-</w:t>
            </w:r>
            <w:r>
              <w:rPr>
                <w:rFonts w:ascii="Arial" w:hAnsi="Arial" w:cs="Arial"/>
                <w:bCs/>
                <w:szCs w:val="24"/>
              </w:rPr>
              <w:t>11</w:t>
            </w:r>
            <w:r>
              <w:rPr>
                <w:rFonts w:ascii="Arial" w:hAnsi="Arial" w:cs="Arial"/>
                <w:bCs/>
                <w:noProof/>
                <w:szCs w:val="24"/>
              </w:rPr>
              <w:t>-c</w:t>
            </w:r>
          </w:p>
        </w:tc>
        <w:tc>
          <w:tcPr>
            <w:tcW w:w="3350" w:type="dxa"/>
          </w:tcPr>
          <w:p w14:paraId="0A944602" w14:textId="2DB24719" w:rsidR="00A96AE5" w:rsidRPr="007F4B5E" w:rsidRDefault="00A96AE5" w:rsidP="00233DF3">
            <w:pPr>
              <w:rPr>
                <w:rFonts w:ascii="Arial" w:hAnsi="Arial" w:cs="Arial"/>
              </w:rPr>
            </w:pPr>
            <w:r w:rsidRPr="007F4B5E">
              <w:rPr>
                <w:rFonts w:ascii="Arial" w:hAnsi="Arial" w:cs="Arial"/>
              </w:rPr>
              <w:t>B20</w:t>
            </w:r>
            <w:r>
              <w:rPr>
                <w:rFonts w:ascii="Arial" w:hAnsi="Arial" w:cs="Arial"/>
              </w:rPr>
              <w:t>21</w:t>
            </w:r>
            <w:r w:rsidRPr="007F4B5E">
              <w:rPr>
                <w:rFonts w:ascii="Arial" w:hAnsi="Arial" w:cs="Arial"/>
              </w:rPr>
              <w:t xml:space="preserve"> Deflators</w:t>
            </w:r>
          </w:p>
        </w:tc>
        <w:tc>
          <w:tcPr>
            <w:tcW w:w="1775" w:type="dxa"/>
          </w:tcPr>
          <w:p w14:paraId="754E66B5" w14:textId="77777777" w:rsidR="00A96AE5" w:rsidRPr="007F4B5E" w:rsidRDefault="00A96AE5" w:rsidP="00233DF3">
            <w:pPr>
              <w:rPr>
                <w:rFonts w:ascii="Arial" w:hAnsi="Arial" w:cs="Arial"/>
              </w:rPr>
            </w:pPr>
            <w:r w:rsidRPr="007F4B5E">
              <w:rPr>
                <w:rFonts w:ascii="Arial" w:hAnsi="Arial" w:cs="Arial"/>
              </w:rPr>
              <w:t>Yes</w:t>
            </w:r>
          </w:p>
        </w:tc>
      </w:tr>
      <w:tr w:rsidR="00A96AE5" w:rsidRPr="009467CA" w14:paraId="69E4B45E" w14:textId="77777777" w:rsidTr="00233DF3">
        <w:tc>
          <w:tcPr>
            <w:tcW w:w="3505" w:type="dxa"/>
          </w:tcPr>
          <w:p w14:paraId="01101ACA" w14:textId="58AB392E" w:rsidR="00A96AE5" w:rsidRPr="0006587F" w:rsidRDefault="00A96AE5" w:rsidP="00233DF3">
            <w:pPr>
              <w:rPr>
                <w:rFonts w:ascii="Arial" w:hAnsi="Arial" w:cs="Arial"/>
              </w:rPr>
            </w:pPr>
            <w:r>
              <w:rPr>
                <w:rFonts w:ascii="Arial" w:hAnsi="Arial" w:cs="Arial"/>
              </w:rPr>
              <w:t>TS Attachment STF-</w:t>
            </w:r>
            <w:r w:rsidRPr="006D497E">
              <w:rPr>
                <w:rFonts w:ascii="Arial" w:hAnsi="Arial" w:cs="Arial"/>
                <w:bCs/>
                <w:szCs w:val="24"/>
              </w:rPr>
              <w:t>1</w:t>
            </w:r>
            <w:r>
              <w:rPr>
                <w:rFonts w:ascii="Arial" w:hAnsi="Arial" w:cs="Arial"/>
                <w:bCs/>
                <w:szCs w:val="24"/>
              </w:rPr>
              <w:t>98</w:t>
            </w:r>
            <w:r w:rsidRPr="006D497E">
              <w:rPr>
                <w:rFonts w:ascii="Arial" w:hAnsi="Arial" w:cs="Arial"/>
                <w:bCs/>
                <w:szCs w:val="24"/>
              </w:rPr>
              <w:t>-</w:t>
            </w:r>
            <w:r>
              <w:rPr>
                <w:rFonts w:ascii="Arial" w:hAnsi="Arial" w:cs="Arial"/>
                <w:bCs/>
                <w:szCs w:val="24"/>
              </w:rPr>
              <w:t>11</w:t>
            </w:r>
            <w:r>
              <w:rPr>
                <w:rFonts w:ascii="Arial" w:hAnsi="Arial" w:cs="Arial"/>
                <w:bCs/>
                <w:noProof/>
                <w:szCs w:val="24"/>
              </w:rPr>
              <w:t>-d</w:t>
            </w:r>
          </w:p>
        </w:tc>
        <w:tc>
          <w:tcPr>
            <w:tcW w:w="3350" w:type="dxa"/>
          </w:tcPr>
          <w:p w14:paraId="61E06E14" w14:textId="77777777" w:rsidR="00A96AE5" w:rsidRPr="0006587F" w:rsidRDefault="00A96AE5" w:rsidP="00233DF3">
            <w:pPr>
              <w:rPr>
                <w:rFonts w:ascii="Arial" w:hAnsi="Arial" w:cs="Arial"/>
              </w:rPr>
            </w:pPr>
            <w:r w:rsidRPr="0006587F">
              <w:rPr>
                <w:rFonts w:ascii="Arial" w:hAnsi="Arial" w:cs="Arial"/>
              </w:rPr>
              <w:t>Natural Gas Price Forecast</w:t>
            </w:r>
            <w:r>
              <w:rPr>
                <w:rFonts w:ascii="Arial" w:hAnsi="Arial" w:cs="Arial"/>
              </w:rPr>
              <w:t>s</w:t>
            </w:r>
            <w:r w:rsidRPr="0006587F">
              <w:rPr>
                <w:rFonts w:ascii="Arial" w:hAnsi="Arial" w:cs="Arial"/>
              </w:rPr>
              <w:t xml:space="preserve"> </w:t>
            </w:r>
          </w:p>
        </w:tc>
        <w:tc>
          <w:tcPr>
            <w:tcW w:w="1775" w:type="dxa"/>
          </w:tcPr>
          <w:p w14:paraId="79EBE608" w14:textId="77777777" w:rsidR="00A96AE5" w:rsidRPr="0006587F" w:rsidRDefault="00A96AE5" w:rsidP="00233DF3">
            <w:pPr>
              <w:rPr>
                <w:rFonts w:ascii="Arial" w:hAnsi="Arial" w:cs="Arial"/>
              </w:rPr>
            </w:pPr>
            <w:r w:rsidRPr="0006587F">
              <w:rPr>
                <w:rFonts w:ascii="Arial" w:hAnsi="Arial" w:cs="Arial"/>
              </w:rPr>
              <w:t>Yes</w:t>
            </w:r>
          </w:p>
        </w:tc>
      </w:tr>
      <w:tr w:rsidR="00A96AE5" w:rsidRPr="009467CA" w14:paraId="33B3B534" w14:textId="77777777" w:rsidTr="00233DF3">
        <w:tc>
          <w:tcPr>
            <w:tcW w:w="3505" w:type="dxa"/>
          </w:tcPr>
          <w:p w14:paraId="05E876E8" w14:textId="24D0F45A" w:rsidR="00A96AE5" w:rsidRPr="0006587F" w:rsidRDefault="00A96AE5" w:rsidP="00233DF3">
            <w:r>
              <w:rPr>
                <w:rFonts w:ascii="Arial" w:hAnsi="Arial" w:cs="Arial"/>
              </w:rPr>
              <w:lastRenderedPageBreak/>
              <w:t>Attachment STF-</w:t>
            </w:r>
            <w:r w:rsidRPr="006D497E">
              <w:rPr>
                <w:rFonts w:ascii="Arial" w:hAnsi="Arial" w:cs="Arial"/>
                <w:bCs/>
                <w:szCs w:val="24"/>
              </w:rPr>
              <w:t>1</w:t>
            </w:r>
            <w:r>
              <w:rPr>
                <w:rFonts w:ascii="Arial" w:hAnsi="Arial" w:cs="Arial"/>
                <w:bCs/>
                <w:szCs w:val="24"/>
              </w:rPr>
              <w:t>98</w:t>
            </w:r>
            <w:r w:rsidRPr="006D497E">
              <w:rPr>
                <w:rFonts w:ascii="Arial" w:hAnsi="Arial" w:cs="Arial"/>
                <w:bCs/>
                <w:szCs w:val="24"/>
              </w:rPr>
              <w:t>-</w:t>
            </w:r>
            <w:r>
              <w:rPr>
                <w:rFonts w:ascii="Arial" w:hAnsi="Arial" w:cs="Arial"/>
                <w:bCs/>
                <w:szCs w:val="24"/>
              </w:rPr>
              <w:t>11</w:t>
            </w:r>
            <w:r>
              <w:rPr>
                <w:rFonts w:ascii="Arial" w:hAnsi="Arial" w:cs="Arial"/>
                <w:bCs/>
                <w:noProof/>
                <w:szCs w:val="24"/>
              </w:rPr>
              <w:t>-e</w:t>
            </w:r>
          </w:p>
        </w:tc>
        <w:tc>
          <w:tcPr>
            <w:tcW w:w="3350" w:type="dxa"/>
          </w:tcPr>
          <w:p w14:paraId="56300891" w14:textId="570574D7" w:rsidR="00A96AE5" w:rsidRPr="0006587F" w:rsidRDefault="00A96AE5" w:rsidP="00233DF3">
            <w:pPr>
              <w:rPr>
                <w:rFonts w:ascii="Arial" w:hAnsi="Arial" w:cs="Arial"/>
              </w:rPr>
            </w:pPr>
            <w:r w:rsidRPr="00AB6FF7">
              <w:rPr>
                <w:rFonts w:ascii="Arial" w:hAnsi="Arial" w:cs="Arial"/>
              </w:rPr>
              <w:t>Carbon Price Studies</w:t>
            </w:r>
            <w:r>
              <w:rPr>
                <w:rFonts w:ascii="Arial" w:hAnsi="Arial" w:cs="Arial"/>
              </w:rPr>
              <w:t xml:space="preserve"> - F</w:t>
            </w:r>
            <w:r w:rsidRPr="00AB6FF7">
              <w:rPr>
                <w:rFonts w:ascii="Arial" w:hAnsi="Arial" w:cs="Arial"/>
              </w:rPr>
              <w:t xml:space="preserve">orecasts </w:t>
            </w:r>
            <w:r>
              <w:rPr>
                <w:rFonts w:ascii="Arial" w:hAnsi="Arial" w:cs="Arial"/>
              </w:rPr>
              <w:t xml:space="preserve">and </w:t>
            </w:r>
            <w:r w:rsidRPr="00AB6FF7">
              <w:rPr>
                <w:rFonts w:ascii="Arial" w:hAnsi="Arial" w:cs="Arial"/>
              </w:rPr>
              <w:t>Assumptions</w:t>
            </w:r>
          </w:p>
        </w:tc>
        <w:tc>
          <w:tcPr>
            <w:tcW w:w="1775" w:type="dxa"/>
          </w:tcPr>
          <w:p w14:paraId="0BC58609" w14:textId="60EC3CF4" w:rsidR="00A96AE5" w:rsidRPr="0006587F" w:rsidRDefault="00A96AE5" w:rsidP="00233DF3">
            <w:r>
              <w:rPr>
                <w:rFonts w:ascii="Arial" w:hAnsi="Arial" w:cs="Arial"/>
              </w:rPr>
              <w:t>No</w:t>
            </w:r>
          </w:p>
        </w:tc>
      </w:tr>
    </w:tbl>
    <w:p w14:paraId="77A9BCDB" w14:textId="77777777" w:rsidR="004D1D9F" w:rsidRDefault="004D1D9F">
      <w:pPr>
        <w:rPr>
          <w:rFonts w:ascii="Arial" w:hAnsi="Arial" w:cs="Arial"/>
        </w:rPr>
      </w:pPr>
    </w:p>
    <w:p w14:paraId="69363FD3" w14:textId="73EFEC92" w:rsidR="007E4D89" w:rsidRPr="00A71353" w:rsidRDefault="007E4D89" w:rsidP="007E4D89">
      <w:pPr>
        <w:rPr>
          <w:rFonts w:ascii="Arial" w:hAnsi="Arial" w:cs="Arial"/>
        </w:rPr>
      </w:pPr>
      <w:r w:rsidRPr="00A71353">
        <w:rPr>
          <w:rFonts w:ascii="Arial" w:hAnsi="Arial" w:cs="Arial"/>
        </w:rPr>
        <w:t>For its B202</w:t>
      </w:r>
      <w:r>
        <w:rPr>
          <w:rFonts w:ascii="Arial" w:hAnsi="Arial" w:cs="Arial"/>
        </w:rPr>
        <w:t>1</w:t>
      </w:r>
      <w:r w:rsidRPr="00A71353">
        <w:rPr>
          <w:rFonts w:ascii="Arial" w:hAnsi="Arial" w:cs="Arial"/>
        </w:rPr>
        <w:t xml:space="preserve"> planning scenarios (designed during 20</w:t>
      </w:r>
      <w:r>
        <w:rPr>
          <w:rFonts w:ascii="Arial" w:hAnsi="Arial" w:cs="Arial"/>
        </w:rPr>
        <w:t>20</w:t>
      </w:r>
      <w:r w:rsidRPr="00A71353">
        <w:rPr>
          <w:rFonts w:ascii="Arial" w:hAnsi="Arial" w:cs="Arial"/>
        </w:rPr>
        <w:t xml:space="preserve">), the Company </w:t>
      </w:r>
      <w:r>
        <w:rPr>
          <w:rFonts w:ascii="Arial" w:hAnsi="Arial" w:cs="Arial"/>
        </w:rPr>
        <w:t>used</w:t>
      </w:r>
      <w:r w:rsidRPr="00A71353">
        <w:rPr>
          <w:rFonts w:ascii="Arial" w:hAnsi="Arial" w:cs="Arial"/>
        </w:rPr>
        <w:t xml:space="preserve"> the </w:t>
      </w:r>
      <w:r>
        <w:rPr>
          <w:rFonts w:ascii="Arial" w:hAnsi="Arial" w:cs="Arial"/>
        </w:rPr>
        <w:t xml:space="preserve">same </w:t>
      </w:r>
      <w:r w:rsidRPr="00A71353">
        <w:rPr>
          <w:rFonts w:ascii="Arial" w:hAnsi="Arial" w:cs="Arial"/>
        </w:rPr>
        <w:t xml:space="preserve">number of future natural gas price paths </w:t>
      </w:r>
      <w:r>
        <w:rPr>
          <w:rFonts w:ascii="Arial" w:hAnsi="Arial" w:cs="Arial"/>
        </w:rPr>
        <w:t>as it did for B2020</w:t>
      </w:r>
      <w:r w:rsidRPr="00A71353">
        <w:rPr>
          <w:rFonts w:ascii="Arial" w:hAnsi="Arial" w:cs="Arial"/>
        </w:rPr>
        <w:t xml:space="preserve">. </w:t>
      </w:r>
      <w:r>
        <w:rPr>
          <w:rFonts w:ascii="Arial" w:hAnsi="Arial" w:cs="Arial"/>
        </w:rPr>
        <w:t>F</w:t>
      </w:r>
      <w:r w:rsidRPr="00A71353">
        <w:rPr>
          <w:rFonts w:ascii="Arial" w:hAnsi="Arial" w:cs="Arial"/>
        </w:rPr>
        <w:t>or B202</w:t>
      </w:r>
      <w:r>
        <w:rPr>
          <w:rFonts w:ascii="Arial" w:hAnsi="Arial" w:cs="Arial"/>
        </w:rPr>
        <w:t>1</w:t>
      </w:r>
      <w:r w:rsidRPr="00A71353">
        <w:rPr>
          <w:rFonts w:ascii="Arial" w:hAnsi="Arial" w:cs="Arial"/>
        </w:rPr>
        <w:t>, the Company created four future natural gas price paths. The four are:</w:t>
      </w:r>
    </w:p>
    <w:p w14:paraId="613B81A1" w14:textId="77777777" w:rsidR="007E4D89" w:rsidRPr="00A71353" w:rsidRDefault="007E4D89" w:rsidP="007E4D89">
      <w:pPr>
        <w:rPr>
          <w:rFonts w:ascii="Arial" w:hAnsi="Arial" w:cs="Arial"/>
        </w:rPr>
      </w:pPr>
    </w:p>
    <w:p w14:paraId="42E8E09E" w14:textId="088E1B5E" w:rsidR="007E4D89" w:rsidRPr="00D57A64" w:rsidRDefault="007E4D89" w:rsidP="007E4D89">
      <w:pPr>
        <w:pStyle w:val="ListParagraph"/>
        <w:numPr>
          <w:ilvl w:val="0"/>
          <w:numId w:val="32"/>
        </w:numPr>
        <w:rPr>
          <w:rFonts w:ascii="Arial" w:hAnsi="Arial" w:cs="Arial"/>
          <w:sz w:val="24"/>
          <w:szCs w:val="24"/>
        </w:rPr>
      </w:pPr>
      <w:r w:rsidRPr="00D57A64">
        <w:rPr>
          <w:rFonts w:ascii="Arial" w:hAnsi="Arial" w:cs="Arial"/>
          <w:sz w:val="24"/>
          <w:szCs w:val="24"/>
        </w:rPr>
        <w:t>Low. This path was used in its LG0 and LG20 scenarios;</w:t>
      </w:r>
    </w:p>
    <w:p w14:paraId="7AFDF326" w14:textId="1DA9722E" w:rsidR="007E4D89" w:rsidRPr="00D57A64" w:rsidRDefault="007E4D89" w:rsidP="007E4D89">
      <w:pPr>
        <w:pStyle w:val="ListParagraph"/>
        <w:numPr>
          <w:ilvl w:val="0"/>
          <w:numId w:val="32"/>
        </w:numPr>
        <w:rPr>
          <w:rFonts w:ascii="Arial" w:hAnsi="Arial" w:cs="Arial"/>
          <w:sz w:val="24"/>
          <w:szCs w:val="24"/>
        </w:rPr>
      </w:pPr>
      <w:r w:rsidRPr="00D57A64">
        <w:rPr>
          <w:rFonts w:ascii="Arial" w:hAnsi="Arial" w:cs="Arial"/>
          <w:sz w:val="24"/>
          <w:szCs w:val="24"/>
        </w:rPr>
        <w:t>Moderate. This path was used in its MG0, MG20</w:t>
      </w:r>
      <w:r>
        <w:rPr>
          <w:rFonts w:ascii="Arial" w:hAnsi="Arial" w:cs="Arial"/>
          <w:sz w:val="24"/>
          <w:szCs w:val="24"/>
        </w:rPr>
        <w:t>, and Carbon Intensity</w:t>
      </w:r>
      <w:r w:rsidRPr="00D57A64">
        <w:rPr>
          <w:rFonts w:ascii="Arial" w:hAnsi="Arial" w:cs="Arial"/>
          <w:sz w:val="24"/>
          <w:szCs w:val="24"/>
        </w:rPr>
        <w:t xml:space="preserve"> scenarios;</w:t>
      </w:r>
    </w:p>
    <w:p w14:paraId="7B65EC44" w14:textId="4EBC91A8" w:rsidR="007E4D89" w:rsidRPr="00D57A64" w:rsidRDefault="007E4D89" w:rsidP="007E4D89">
      <w:pPr>
        <w:pStyle w:val="ListParagraph"/>
        <w:numPr>
          <w:ilvl w:val="0"/>
          <w:numId w:val="32"/>
        </w:numPr>
        <w:rPr>
          <w:rFonts w:ascii="Arial" w:hAnsi="Arial" w:cs="Arial"/>
          <w:sz w:val="24"/>
          <w:szCs w:val="24"/>
        </w:rPr>
      </w:pPr>
      <w:r w:rsidRPr="00D57A64">
        <w:rPr>
          <w:rFonts w:ascii="Arial" w:hAnsi="Arial" w:cs="Arial"/>
          <w:sz w:val="24"/>
          <w:szCs w:val="24"/>
        </w:rPr>
        <w:t>High. This path was used in its HG0 and HG20 scenarios;</w:t>
      </w:r>
    </w:p>
    <w:p w14:paraId="1025E976" w14:textId="54620AAB" w:rsidR="007E4D89" w:rsidRPr="00D57A64" w:rsidRDefault="007E4D89" w:rsidP="007E4D89">
      <w:pPr>
        <w:pStyle w:val="ListParagraph"/>
        <w:numPr>
          <w:ilvl w:val="0"/>
          <w:numId w:val="32"/>
        </w:numPr>
        <w:rPr>
          <w:rFonts w:ascii="Arial" w:hAnsi="Arial" w:cs="Arial"/>
          <w:sz w:val="24"/>
          <w:szCs w:val="24"/>
        </w:rPr>
      </w:pPr>
      <w:r w:rsidRPr="00D57A64">
        <w:rPr>
          <w:rFonts w:ascii="Arial" w:hAnsi="Arial" w:cs="Arial"/>
          <w:sz w:val="24"/>
          <w:szCs w:val="24"/>
        </w:rPr>
        <w:t>MG50. This path was used in its $50 CO</w:t>
      </w:r>
      <w:r w:rsidRPr="00D57A64">
        <w:rPr>
          <w:rFonts w:ascii="Arial" w:hAnsi="Arial" w:cs="Arial"/>
          <w:sz w:val="24"/>
          <w:szCs w:val="24"/>
          <w:vertAlign w:val="subscript"/>
        </w:rPr>
        <w:t>2</w:t>
      </w:r>
      <w:r w:rsidRPr="00D57A64">
        <w:rPr>
          <w:rFonts w:ascii="Arial" w:hAnsi="Arial" w:cs="Arial"/>
          <w:sz w:val="24"/>
          <w:szCs w:val="24"/>
        </w:rPr>
        <w:t xml:space="preserve"> scenario</w:t>
      </w:r>
    </w:p>
    <w:p w14:paraId="197A17FB" w14:textId="77777777" w:rsidR="007E4D89" w:rsidRDefault="007E4D89" w:rsidP="007E4D89">
      <w:pPr>
        <w:rPr>
          <w:rFonts w:ascii="Arial" w:hAnsi="Arial" w:cs="Arial"/>
        </w:rPr>
      </w:pPr>
    </w:p>
    <w:p w14:paraId="45470C02" w14:textId="10A20180" w:rsidR="007E4D89" w:rsidRPr="00A71353" w:rsidRDefault="000935AD" w:rsidP="007E4D89">
      <w:pPr>
        <w:rPr>
          <w:rFonts w:ascii="Arial" w:hAnsi="Arial" w:cs="Arial"/>
        </w:rPr>
      </w:pPr>
      <w:r>
        <w:rPr>
          <w:rFonts w:ascii="Arial" w:hAnsi="Arial" w:cs="Arial"/>
        </w:rPr>
        <w:t>No</w:t>
      </w:r>
      <w:r w:rsidR="009B1B9E">
        <w:rPr>
          <w:rFonts w:ascii="Arial" w:hAnsi="Arial" w:cs="Arial"/>
        </w:rPr>
        <w:t>t</w:t>
      </w:r>
      <w:r>
        <w:rPr>
          <w:rFonts w:ascii="Arial" w:hAnsi="Arial" w:cs="Arial"/>
        </w:rPr>
        <w:t xml:space="preserve">e </w:t>
      </w:r>
      <w:r w:rsidR="009B1B9E">
        <w:rPr>
          <w:rFonts w:ascii="Arial" w:hAnsi="Arial" w:cs="Arial"/>
        </w:rPr>
        <w:t xml:space="preserve">that </w:t>
      </w:r>
      <w:r>
        <w:rPr>
          <w:rFonts w:ascii="Arial" w:hAnsi="Arial" w:cs="Arial"/>
        </w:rPr>
        <w:t>the</w:t>
      </w:r>
      <w:r w:rsidR="007E4D89" w:rsidRPr="00A71353">
        <w:rPr>
          <w:rFonts w:ascii="Arial" w:hAnsi="Arial" w:cs="Arial"/>
        </w:rPr>
        <w:t xml:space="preserve"> Company changed </w:t>
      </w:r>
      <w:r w:rsidR="00FE52F7">
        <w:rPr>
          <w:rFonts w:ascii="Arial" w:hAnsi="Arial" w:cs="Arial"/>
        </w:rPr>
        <w:t xml:space="preserve">the </w:t>
      </w:r>
      <w:r w:rsidRPr="00D57A64">
        <w:rPr>
          <w:rFonts w:ascii="Arial" w:hAnsi="Arial" w:cs="Arial"/>
          <w:szCs w:val="24"/>
        </w:rPr>
        <w:t>CO</w:t>
      </w:r>
      <w:r w:rsidRPr="00D57A64">
        <w:rPr>
          <w:rFonts w:ascii="Arial" w:hAnsi="Arial" w:cs="Arial"/>
          <w:szCs w:val="24"/>
          <w:vertAlign w:val="subscript"/>
        </w:rPr>
        <w:t>2</w:t>
      </w:r>
      <w:r>
        <w:rPr>
          <w:rFonts w:ascii="Arial" w:hAnsi="Arial" w:cs="Arial"/>
        </w:rPr>
        <w:t xml:space="preserve"> forecasts</w:t>
      </w:r>
      <w:r w:rsidR="007E4D89" w:rsidRPr="00A71353">
        <w:rPr>
          <w:rFonts w:ascii="Arial" w:hAnsi="Arial" w:cs="Arial"/>
        </w:rPr>
        <w:t xml:space="preserve"> it used for these analyses. </w:t>
      </w:r>
      <w:r w:rsidR="00FE52F7">
        <w:rPr>
          <w:rFonts w:ascii="Arial" w:hAnsi="Arial" w:cs="Arial"/>
        </w:rPr>
        <w:t>F</w:t>
      </w:r>
      <w:r w:rsidR="007E4D89" w:rsidRPr="00A71353">
        <w:rPr>
          <w:rFonts w:ascii="Arial" w:hAnsi="Arial" w:cs="Arial"/>
        </w:rPr>
        <w:t>or B202</w:t>
      </w:r>
      <w:r>
        <w:rPr>
          <w:rFonts w:ascii="Arial" w:hAnsi="Arial" w:cs="Arial"/>
        </w:rPr>
        <w:t>1</w:t>
      </w:r>
      <w:r w:rsidR="007E4D89" w:rsidRPr="00A71353">
        <w:rPr>
          <w:rFonts w:ascii="Arial" w:hAnsi="Arial" w:cs="Arial"/>
        </w:rPr>
        <w:t xml:space="preserve">, the Company created four future </w:t>
      </w:r>
      <w:r w:rsidR="009B1B9E" w:rsidRPr="00D57A64">
        <w:rPr>
          <w:rFonts w:ascii="Arial" w:hAnsi="Arial" w:cs="Arial"/>
          <w:szCs w:val="24"/>
        </w:rPr>
        <w:t>CO</w:t>
      </w:r>
      <w:r w:rsidR="009B1B9E" w:rsidRPr="00D57A64">
        <w:rPr>
          <w:rFonts w:ascii="Arial" w:hAnsi="Arial" w:cs="Arial"/>
          <w:szCs w:val="24"/>
          <w:vertAlign w:val="subscript"/>
        </w:rPr>
        <w:t>2</w:t>
      </w:r>
      <w:r w:rsidR="007E4D89" w:rsidRPr="00A71353">
        <w:rPr>
          <w:rFonts w:ascii="Arial" w:hAnsi="Arial" w:cs="Arial"/>
        </w:rPr>
        <w:t xml:space="preserve"> paths. The four are:</w:t>
      </w:r>
    </w:p>
    <w:p w14:paraId="41C81CB2" w14:textId="1336CD03" w:rsidR="007E4D89" w:rsidRDefault="007E4D89" w:rsidP="007E4D89">
      <w:pPr>
        <w:rPr>
          <w:rFonts w:ascii="Arial" w:hAnsi="Arial" w:cs="Arial"/>
        </w:rPr>
      </w:pPr>
    </w:p>
    <w:p w14:paraId="62A51B8F" w14:textId="0D9CC4AD" w:rsidR="000935AD" w:rsidRPr="00D57A64" w:rsidRDefault="000935AD" w:rsidP="000935AD">
      <w:pPr>
        <w:pStyle w:val="ListParagraph"/>
        <w:numPr>
          <w:ilvl w:val="0"/>
          <w:numId w:val="32"/>
        </w:numPr>
        <w:rPr>
          <w:rFonts w:ascii="Arial" w:hAnsi="Arial" w:cs="Arial"/>
          <w:sz w:val="24"/>
          <w:szCs w:val="24"/>
        </w:rPr>
      </w:pPr>
      <w:r>
        <w:rPr>
          <w:rFonts w:ascii="Arial" w:hAnsi="Arial" w:cs="Arial"/>
          <w:sz w:val="24"/>
          <w:szCs w:val="24"/>
        </w:rPr>
        <w:t xml:space="preserve">$0 </w:t>
      </w:r>
      <w:r w:rsidRPr="00D57A64">
        <w:rPr>
          <w:rFonts w:ascii="Arial" w:hAnsi="Arial" w:cs="Arial"/>
          <w:sz w:val="24"/>
          <w:szCs w:val="24"/>
        </w:rPr>
        <w:t>CO</w:t>
      </w:r>
      <w:r w:rsidRPr="00D57A64">
        <w:rPr>
          <w:rFonts w:ascii="Arial" w:hAnsi="Arial" w:cs="Arial"/>
          <w:sz w:val="24"/>
          <w:szCs w:val="24"/>
          <w:vertAlign w:val="subscript"/>
        </w:rPr>
        <w:t>2</w:t>
      </w:r>
      <w:r>
        <w:rPr>
          <w:rFonts w:ascii="Arial" w:hAnsi="Arial" w:cs="Arial"/>
          <w:sz w:val="24"/>
          <w:szCs w:val="24"/>
        </w:rPr>
        <w:t xml:space="preserve"> price</w:t>
      </w:r>
      <w:r w:rsidR="009B1B9E">
        <w:rPr>
          <w:rFonts w:ascii="Arial" w:hAnsi="Arial" w:cs="Arial"/>
          <w:sz w:val="24"/>
          <w:szCs w:val="24"/>
        </w:rPr>
        <w:t xml:space="preserve"> path</w:t>
      </w:r>
      <w:r w:rsidRPr="00D57A64">
        <w:rPr>
          <w:rFonts w:ascii="Arial" w:hAnsi="Arial" w:cs="Arial"/>
          <w:sz w:val="24"/>
          <w:szCs w:val="24"/>
        </w:rPr>
        <w:t>;</w:t>
      </w:r>
    </w:p>
    <w:p w14:paraId="731F2BFD" w14:textId="1FCEFC3F" w:rsidR="000935AD" w:rsidRPr="00D57A64" w:rsidRDefault="000935AD" w:rsidP="000935AD">
      <w:pPr>
        <w:pStyle w:val="ListParagraph"/>
        <w:numPr>
          <w:ilvl w:val="0"/>
          <w:numId w:val="32"/>
        </w:numPr>
        <w:rPr>
          <w:rFonts w:ascii="Arial" w:hAnsi="Arial" w:cs="Arial"/>
          <w:sz w:val="24"/>
          <w:szCs w:val="24"/>
        </w:rPr>
      </w:pPr>
      <w:r>
        <w:rPr>
          <w:rFonts w:ascii="Arial" w:hAnsi="Arial" w:cs="Arial"/>
          <w:sz w:val="24"/>
          <w:szCs w:val="24"/>
        </w:rPr>
        <w:t xml:space="preserve">$20 </w:t>
      </w:r>
      <w:r w:rsidRPr="00D57A64">
        <w:rPr>
          <w:rFonts w:ascii="Arial" w:hAnsi="Arial" w:cs="Arial"/>
          <w:sz w:val="24"/>
          <w:szCs w:val="24"/>
        </w:rPr>
        <w:t>CO</w:t>
      </w:r>
      <w:r w:rsidRPr="00D57A64">
        <w:rPr>
          <w:rFonts w:ascii="Arial" w:hAnsi="Arial" w:cs="Arial"/>
          <w:sz w:val="24"/>
          <w:szCs w:val="24"/>
          <w:vertAlign w:val="subscript"/>
        </w:rPr>
        <w:t>2</w:t>
      </w:r>
      <w:r>
        <w:rPr>
          <w:rFonts w:ascii="Arial" w:hAnsi="Arial" w:cs="Arial"/>
          <w:sz w:val="24"/>
          <w:szCs w:val="24"/>
        </w:rPr>
        <w:t xml:space="preserve"> price</w:t>
      </w:r>
      <w:r w:rsidR="009B1B9E">
        <w:rPr>
          <w:rFonts w:ascii="Arial" w:hAnsi="Arial" w:cs="Arial"/>
          <w:sz w:val="24"/>
          <w:szCs w:val="24"/>
        </w:rPr>
        <w:t xml:space="preserve"> path</w:t>
      </w:r>
      <w:r w:rsidRPr="00D57A64">
        <w:rPr>
          <w:rFonts w:ascii="Arial" w:hAnsi="Arial" w:cs="Arial"/>
          <w:sz w:val="24"/>
          <w:szCs w:val="24"/>
        </w:rPr>
        <w:t>;</w:t>
      </w:r>
    </w:p>
    <w:p w14:paraId="0DE79075" w14:textId="5DDBF32F" w:rsidR="000935AD" w:rsidRPr="00D57A64" w:rsidRDefault="000935AD" w:rsidP="000935AD">
      <w:pPr>
        <w:pStyle w:val="ListParagraph"/>
        <w:numPr>
          <w:ilvl w:val="0"/>
          <w:numId w:val="32"/>
        </w:numPr>
        <w:rPr>
          <w:rFonts w:ascii="Arial" w:hAnsi="Arial" w:cs="Arial"/>
          <w:sz w:val="24"/>
          <w:szCs w:val="24"/>
        </w:rPr>
      </w:pPr>
      <w:r>
        <w:rPr>
          <w:rFonts w:ascii="Arial" w:hAnsi="Arial" w:cs="Arial"/>
          <w:sz w:val="24"/>
          <w:szCs w:val="24"/>
        </w:rPr>
        <w:t xml:space="preserve">$50 </w:t>
      </w:r>
      <w:r w:rsidRPr="00D57A64">
        <w:rPr>
          <w:rFonts w:ascii="Arial" w:hAnsi="Arial" w:cs="Arial"/>
          <w:sz w:val="24"/>
          <w:szCs w:val="24"/>
        </w:rPr>
        <w:t>CO</w:t>
      </w:r>
      <w:r w:rsidRPr="00D57A64">
        <w:rPr>
          <w:rFonts w:ascii="Arial" w:hAnsi="Arial" w:cs="Arial"/>
          <w:sz w:val="24"/>
          <w:szCs w:val="24"/>
          <w:vertAlign w:val="subscript"/>
        </w:rPr>
        <w:t>2</w:t>
      </w:r>
      <w:r>
        <w:rPr>
          <w:rFonts w:ascii="Arial" w:hAnsi="Arial" w:cs="Arial"/>
          <w:sz w:val="24"/>
          <w:szCs w:val="24"/>
        </w:rPr>
        <w:t xml:space="preserve"> price</w:t>
      </w:r>
      <w:r w:rsidR="009B1B9E">
        <w:rPr>
          <w:rFonts w:ascii="Arial" w:hAnsi="Arial" w:cs="Arial"/>
          <w:sz w:val="24"/>
          <w:szCs w:val="24"/>
        </w:rPr>
        <w:t xml:space="preserve"> path</w:t>
      </w:r>
      <w:r w:rsidRPr="00D57A64">
        <w:rPr>
          <w:rFonts w:ascii="Arial" w:hAnsi="Arial" w:cs="Arial"/>
          <w:sz w:val="24"/>
          <w:szCs w:val="24"/>
        </w:rPr>
        <w:t>;</w:t>
      </w:r>
    </w:p>
    <w:p w14:paraId="3863AB08" w14:textId="5E0B27C3" w:rsidR="000935AD" w:rsidRPr="000935AD" w:rsidRDefault="000935AD" w:rsidP="00D25B38">
      <w:pPr>
        <w:pStyle w:val="ListParagraph"/>
        <w:numPr>
          <w:ilvl w:val="0"/>
          <w:numId w:val="32"/>
        </w:numPr>
        <w:rPr>
          <w:rFonts w:ascii="Arial" w:hAnsi="Arial" w:cs="Arial"/>
        </w:rPr>
      </w:pPr>
      <w:r w:rsidRPr="00D57A64">
        <w:rPr>
          <w:rFonts w:ascii="Arial" w:hAnsi="Arial" w:cs="Arial"/>
          <w:sz w:val="24"/>
          <w:szCs w:val="24"/>
        </w:rPr>
        <w:t>CO</w:t>
      </w:r>
      <w:r w:rsidRPr="00D57A64">
        <w:rPr>
          <w:rFonts w:ascii="Arial" w:hAnsi="Arial" w:cs="Arial"/>
          <w:sz w:val="24"/>
          <w:szCs w:val="24"/>
          <w:vertAlign w:val="subscript"/>
        </w:rPr>
        <w:t>2</w:t>
      </w:r>
      <w:r>
        <w:rPr>
          <w:rFonts w:ascii="Arial" w:hAnsi="Arial" w:cs="Arial"/>
          <w:sz w:val="24"/>
          <w:szCs w:val="24"/>
        </w:rPr>
        <w:t xml:space="preserve"> </w:t>
      </w:r>
      <w:r w:rsidR="009B1B9E">
        <w:rPr>
          <w:rFonts w:ascii="Arial" w:hAnsi="Arial" w:cs="Arial"/>
          <w:sz w:val="24"/>
          <w:szCs w:val="24"/>
        </w:rPr>
        <w:t>Intensity path</w:t>
      </w:r>
    </w:p>
    <w:p w14:paraId="68AE804E" w14:textId="77777777" w:rsidR="000935AD" w:rsidRDefault="000935AD" w:rsidP="007E4D89">
      <w:pPr>
        <w:rPr>
          <w:rFonts w:ascii="Arial" w:hAnsi="Arial" w:cs="Arial"/>
        </w:rPr>
      </w:pPr>
    </w:p>
    <w:p w14:paraId="3501AD69" w14:textId="78A5FB74" w:rsidR="007E4D89" w:rsidRPr="00CE7196" w:rsidRDefault="007E4D89" w:rsidP="007E4D89">
      <w:pPr>
        <w:rPr>
          <w:rFonts w:ascii="Arial" w:hAnsi="Arial" w:cs="Arial"/>
        </w:rPr>
      </w:pPr>
      <w:r w:rsidRPr="00CE7196">
        <w:rPr>
          <w:rFonts w:ascii="Arial" w:hAnsi="Arial" w:cs="Arial"/>
        </w:rPr>
        <w:t>Due to t</w:t>
      </w:r>
      <w:r w:rsidRPr="009B6E0E">
        <w:rPr>
          <w:rFonts w:ascii="Arial" w:hAnsi="Arial" w:cs="Arial"/>
        </w:rPr>
        <w:t xml:space="preserve">heir voluminous nature, </w:t>
      </w:r>
      <w:r>
        <w:rPr>
          <w:rFonts w:ascii="Arial" w:hAnsi="Arial" w:cs="Arial"/>
        </w:rPr>
        <w:t>all attachments</w:t>
      </w:r>
      <w:r w:rsidRPr="00CE7196">
        <w:rPr>
          <w:rFonts w:ascii="Arial" w:hAnsi="Arial" w:cs="Arial"/>
        </w:rPr>
        <w:t xml:space="preserve"> are being provided in electronic format only</w:t>
      </w:r>
      <w:r>
        <w:rPr>
          <w:rFonts w:ascii="Arial" w:hAnsi="Arial" w:cs="Arial"/>
        </w:rPr>
        <w:t xml:space="preserve">.  </w:t>
      </w:r>
    </w:p>
    <w:p w14:paraId="22DA7B5C" w14:textId="0E0A8389" w:rsidR="000C2AA7" w:rsidRDefault="000C2AA7">
      <w:pPr>
        <w:rPr>
          <w:rFonts w:ascii="Arial" w:hAnsi="Arial" w:cs="Arial"/>
        </w:rPr>
      </w:pPr>
    </w:p>
    <w:p w14:paraId="4464C715" w14:textId="77777777" w:rsidR="007E4D89" w:rsidRDefault="007E4D89">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8"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4"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223056"/>
    <w:multiLevelType w:val="hybridMultilevel"/>
    <w:tmpl w:val="187A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
  </w:num>
  <w:num w:numId="10">
    <w:abstractNumId w:val="12"/>
  </w:num>
  <w:num w:numId="11">
    <w:abstractNumId w:val="16"/>
  </w:num>
  <w:num w:numId="12">
    <w:abstractNumId w:val="14"/>
  </w:num>
  <w:num w:numId="13">
    <w:abstractNumId w:val="20"/>
  </w:num>
  <w:num w:numId="14">
    <w:abstractNumId w:val="6"/>
  </w:num>
  <w:num w:numId="15">
    <w:abstractNumId w:val="13"/>
  </w:num>
  <w:num w:numId="16">
    <w:abstractNumId w:val="19"/>
  </w:num>
  <w:num w:numId="17">
    <w:abstractNumId w:val="9"/>
  </w:num>
  <w:num w:numId="18">
    <w:abstractNumId w:val="5"/>
  </w:num>
  <w:num w:numId="19">
    <w:abstractNumId w:val="1"/>
  </w:num>
  <w:num w:numId="20">
    <w:abstractNumId w:val="8"/>
  </w:num>
  <w:num w:numId="21">
    <w:abstractNumId w:val="21"/>
  </w:num>
  <w:num w:numId="22">
    <w:abstractNumId w:val="18"/>
  </w:num>
  <w:num w:numId="23">
    <w:abstractNumId w:val="3"/>
  </w:num>
  <w:num w:numId="24">
    <w:abstractNumId w:val="15"/>
  </w:num>
  <w:num w:numId="25">
    <w:abstractNumId w:val="25"/>
  </w:num>
  <w:num w:numId="26">
    <w:abstractNumId w:val="4"/>
  </w:num>
  <w:num w:numId="27">
    <w:abstractNumId w:val="22"/>
  </w:num>
  <w:num w:numId="28">
    <w:abstractNumId w:val="7"/>
  </w:num>
  <w:num w:numId="29">
    <w:abstractNumId w:val="29"/>
  </w:num>
  <w:num w:numId="30">
    <w:abstractNumId w:val="10"/>
  </w:num>
  <w:num w:numId="31">
    <w:abstractNumId w:val="2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935AD"/>
    <w:rsid w:val="000C2AA7"/>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E5DA0"/>
    <w:rsid w:val="002303B9"/>
    <w:rsid w:val="00247C79"/>
    <w:rsid w:val="00270FA5"/>
    <w:rsid w:val="00273C33"/>
    <w:rsid w:val="00274366"/>
    <w:rsid w:val="00275B6A"/>
    <w:rsid w:val="0027726E"/>
    <w:rsid w:val="00297B01"/>
    <w:rsid w:val="002A0E5A"/>
    <w:rsid w:val="002B40B1"/>
    <w:rsid w:val="002C6A3A"/>
    <w:rsid w:val="002C7DA5"/>
    <w:rsid w:val="002E1A6A"/>
    <w:rsid w:val="002F2512"/>
    <w:rsid w:val="002F6728"/>
    <w:rsid w:val="00302EEF"/>
    <w:rsid w:val="00303450"/>
    <w:rsid w:val="00321E8A"/>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3A8B"/>
    <w:rsid w:val="004967F1"/>
    <w:rsid w:val="00496C5A"/>
    <w:rsid w:val="004A6CD4"/>
    <w:rsid w:val="004C6A8A"/>
    <w:rsid w:val="004D0481"/>
    <w:rsid w:val="004D1D9F"/>
    <w:rsid w:val="00510DC3"/>
    <w:rsid w:val="00515C39"/>
    <w:rsid w:val="005243F4"/>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A0EC9"/>
    <w:rsid w:val="006C263A"/>
    <w:rsid w:val="006D711E"/>
    <w:rsid w:val="006E246D"/>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7E4D89"/>
    <w:rsid w:val="008002BF"/>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A5861"/>
    <w:rsid w:val="009B1B9E"/>
    <w:rsid w:val="009C2997"/>
    <w:rsid w:val="009C58E7"/>
    <w:rsid w:val="009E3C9F"/>
    <w:rsid w:val="009E7B6A"/>
    <w:rsid w:val="009F11F7"/>
    <w:rsid w:val="00A00EA8"/>
    <w:rsid w:val="00A100C9"/>
    <w:rsid w:val="00A15B87"/>
    <w:rsid w:val="00A165A5"/>
    <w:rsid w:val="00A37235"/>
    <w:rsid w:val="00A45928"/>
    <w:rsid w:val="00A614DA"/>
    <w:rsid w:val="00A61DF0"/>
    <w:rsid w:val="00A7112E"/>
    <w:rsid w:val="00A72D04"/>
    <w:rsid w:val="00A912EE"/>
    <w:rsid w:val="00A96AE5"/>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B0674"/>
    <w:rsid w:val="00BB2456"/>
    <w:rsid w:val="00BB7DBE"/>
    <w:rsid w:val="00BC6A09"/>
    <w:rsid w:val="00BD579D"/>
    <w:rsid w:val="00BD5E57"/>
    <w:rsid w:val="00BD72DD"/>
    <w:rsid w:val="00BF2D59"/>
    <w:rsid w:val="00C10668"/>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659B"/>
    <w:rsid w:val="00F01154"/>
    <w:rsid w:val="00F10747"/>
    <w:rsid w:val="00F65111"/>
    <w:rsid w:val="00F66F01"/>
    <w:rsid w:val="00F72342"/>
    <w:rsid w:val="00F83ED9"/>
    <w:rsid w:val="00F9046E"/>
    <w:rsid w:val="00F94336"/>
    <w:rsid w:val="00F949BF"/>
    <w:rsid w:val="00F95BB4"/>
    <w:rsid w:val="00F95C9A"/>
    <w:rsid w:val="00FA2C7E"/>
    <w:rsid w:val="00FB271B"/>
    <w:rsid w:val="00FB32D6"/>
    <w:rsid w:val="00FC0C39"/>
    <w:rsid w:val="00FC463E"/>
    <w:rsid w:val="00FC5EAE"/>
    <w:rsid w:val="00FE52F7"/>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table" w:styleId="TableGrid">
    <w:name w:val="Table Grid"/>
    <w:basedOn w:val="TableNormal"/>
    <w:uiPriority w:val="59"/>
    <w:rsid w:val="00A96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E52F7"/>
    <w:rPr>
      <w:sz w:val="16"/>
      <w:szCs w:val="16"/>
    </w:rPr>
  </w:style>
  <w:style w:type="paragraph" w:styleId="CommentText">
    <w:name w:val="annotation text"/>
    <w:basedOn w:val="Normal"/>
    <w:link w:val="CommentTextChar"/>
    <w:uiPriority w:val="99"/>
    <w:semiHidden/>
    <w:unhideWhenUsed/>
    <w:rsid w:val="00FE52F7"/>
    <w:rPr>
      <w:sz w:val="20"/>
    </w:rPr>
  </w:style>
  <w:style w:type="character" w:customStyle="1" w:styleId="CommentTextChar">
    <w:name w:val="Comment Text Char"/>
    <w:basedOn w:val="DefaultParagraphFont"/>
    <w:link w:val="CommentText"/>
    <w:uiPriority w:val="99"/>
    <w:semiHidden/>
    <w:rsid w:val="00FE52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E52F7"/>
    <w:rPr>
      <w:b/>
      <w:bCs/>
    </w:rPr>
  </w:style>
  <w:style w:type="character" w:customStyle="1" w:styleId="CommentSubjectChar">
    <w:name w:val="Comment Subject Char"/>
    <w:basedOn w:val="CommentTextChar"/>
    <w:link w:val="CommentSubject"/>
    <w:uiPriority w:val="99"/>
    <w:semiHidden/>
    <w:rsid w:val="00FE52F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DC7A3CD84ADA41B7AEDDAF6E8A81F6" ma:contentTypeVersion="4" ma:contentTypeDescription="Create a new document." ma:contentTypeScope="" ma:versionID="a5a921ee93e0f59821c343f152194402">
  <xsd:schema xmlns:xsd="http://www.w3.org/2001/XMLSchema" xmlns:xs="http://www.w3.org/2001/XMLSchema" xmlns:p="http://schemas.microsoft.com/office/2006/metadata/properties" xmlns:ns2="08d9776d-9671-469e-8590-53841b015ffe" targetNamespace="http://schemas.microsoft.com/office/2006/metadata/properties" ma:root="true" ma:fieldsID="82c8a9c1a84112dac8f063fa6ddb14b8" ns2:_="">
    <xsd:import namespace="08d9776d-9671-469e-8590-53841b015f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9776d-9671-469e-8590-53841b015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5E890AB8-1DE8-4A7C-9F0C-0BB1975CB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9776d-9671-469e-8590-53841b015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2021-03-10T16:04:00Z</dcterms:created>
  <dcterms:modified xsi:type="dcterms:W3CDTF">2021-04-01T19:26:00Z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0x010100BCDC7A3CD84ADA41B7AEDDAF6E8A81F6</vt:lpwstr>
  </property>
</Properties>
</file>