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87D48" w14:textId="77777777" w:rsidR="00431988" w:rsidRPr="00E30089" w:rsidRDefault="00431988" w:rsidP="00431988">
      <w:pPr>
        <w:pStyle w:val="Title"/>
        <w:rPr>
          <w:rFonts w:cs="Arial"/>
          <w:caps/>
          <w:sz w:val="24"/>
        </w:rPr>
      </w:pPr>
      <w:r w:rsidRPr="00E30089">
        <w:rPr>
          <w:rFonts w:cs="Arial"/>
          <w:caps/>
          <w:sz w:val="24"/>
        </w:rPr>
        <w:t>Georgia Power Company</w:t>
      </w:r>
    </w:p>
    <w:p w14:paraId="2EBAF9AA" w14:textId="77777777" w:rsidR="00431988" w:rsidRPr="00E30089" w:rsidRDefault="00431988" w:rsidP="00431988">
      <w:pPr>
        <w:jc w:val="center"/>
        <w:rPr>
          <w:rFonts w:ascii="Arial" w:hAnsi="Arial" w:cs="Arial"/>
          <w:b/>
        </w:rPr>
      </w:pPr>
      <w:r w:rsidRPr="00E30089">
        <w:rPr>
          <w:rFonts w:ascii="Arial" w:hAnsi="Arial" w:cs="Arial"/>
          <w:b/>
        </w:rPr>
        <w:t>Docket No. 29849</w:t>
      </w:r>
    </w:p>
    <w:p w14:paraId="5608C5AC" w14:textId="52BE13AA" w:rsidR="00807EC6" w:rsidRPr="00E30089" w:rsidRDefault="00431988" w:rsidP="00807EC6">
      <w:pPr>
        <w:jc w:val="center"/>
        <w:rPr>
          <w:rFonts w:ascii="Arial" w:hAnsi="Arial" w:cs="Arial"/>
          <w:b/>
        </w:rPr>
      </w:pPr>
      <w:r w:rsidRPr="00E30089">
        <w:rPr>
          <w:rFonts w:ascii="Arial" w:hAnsi="Arial" w:cs="Arial"/>
          <w:b/>
        </w:rPr>
        <w:t>Staff Data Request No</w:t>
      </w:r>
      <w:r w:rsidR="00F83ED9">
        <w:rPr>
          <w:rFonts w:ascii="Arial" w:hAnsi="Arial" w:cs="Arial"/>
          <w:b/>
        </w:rPr>
        <w:t>.</w:t>
      </w:r>
      <w:r w:rsidRPr="00E30089">
        <w:rPr>
          <w:rFonts w:ascii="Arial" w:hAnsi="Arial" w:cs="Arial"/>
          <w:b/>
        </w:rPr>
        <w:t xml:space="preserve"> STF-</w:t>
      </w:r>
      <w:r w:rsidR="009E3C9F">
        <w:rPr>
          <w:rFonts w:ascii="Arial" w:hAnsi="Arial" w:cs="Arial"/>
          <w:b/>
        </w:rPr>
        <w:t>1</w:t>
      </w:r>
      <w:r w:rsidR="001E5DA0">
        <w:rPr>
          <w:rFonts w:ascii="Arial" w:hAnsi="Arial" w:cs="Arial"/>
          <w:b/>
        </w:rPr>
        <w:t>9</w:t>
      </w:r>
      <w:r w:rsidR="00F83ED9">
        <w:rPr>
          <w:rFonts w:ascii="Arial" w:hAnsi="Arial" w:cs="Arial"/>
          <w:b/>
        </w:rPr>
        <w:t>8</w:t>
      </w:r>
    </w:p>
    <w:p w14:paraId="29944C4D" w14:textId="77777777" w:rsidR="00431988" w:rsidRPr="00E30089" w:rsidRDefault="00431988" w:rsidP="00431988">
      <w:pPr>
        <w:autoSpaceDE w:val="0"/>
        <w:autoSpaceDN w:val="0"/>
        <w:adjustRightInd w:val="0"/>
        <w:ind w:left="2232" w:hanging="2232"/>
        <w:rPr>
          <w:rFonts w:ascii="Arial" w:hAnsi="Arial" w:cs="Arial"/>
          <w:b/>
          <w:bCs/>
          <w:szCs w:val="24"/>
        </w:rPr>
      </w:pPr>
    </w:p>
    <w:p w14:paraId="393FE045" w14:textId="3E1728B1" w:rsidR="00164901" w:rsidRPr="00E30089" w:rsidRDefault="00431988" w:rsidP="00164901">
      <w:pPr>
        <w:autoSpaceDE w:val="0"/>
        <w:autoSpaceDN w:val="0"/>
        <w:adjustRightInd w:val="0"/>
        <w:ind w:left="2232" w:hanging="2232"/>
        <w:rPr>
          <w:rFonts w:ascii="Arial" w:hAnsi="Arial" w:cs="Arial"/>
          <w:b/>
          <w:bCs/>
          <w:szCs w:val="24"/>
        </w:rPr>
      </w:pPr>
      <w:r w:rsidRPr="00E30089">
        <w:rPr>
          <w:rFonts w:ascii="Arial" w:hAnsi="Arial" w:cs="Arial"/>
          <w:b/>
          <w:bCs/>
          <w:szCs w:val="24"/>
        </w:rPr>
        <w:t>STF-</w:t>
      </w:r>
      <w:r w:rsidR="00F66F01">
        <w:rPr>
          <w:rFonts w:ascii="Arial" w:hAnsi="Arial" w:cs="Arial"/>
          <w:b/>
          <w:bCs/>
          <w:szCs w:val="24"/>
        </w:rPr>
        <w:t>1</w:t>
      </w:r>
      <w:r w:rsidR="001E5DA0">
        <w:rPr>
          <w:rFonts w:ascii="Arial" w:hAnsi="Arial" w:cs="Arial"/>
          <w:b/>
          <w:bCs/>
          <w:szCs w:val="24"/>
        </w:rPr>
        <w:t>9</w:t>
      </w:r>
      <w:r w:rsidR="00F83ED9">
        <w:rPr>
          <w:rFonts w:ascii="Arial" w:hAnsi="Arial" w:cs="Arial"/>
          <w:b/>
          <w:bCs/>
          <w:szCs w:val="24"/>
        </w:rPr>
        <w:t>8</w:t>
      </w:r>
      <w:r w:rsidR="009E3C9F">
        <w:rPr>
          <w:rFonts w:ascii="Arial" w:hAnsi="Arial" w:cs="Arial"/>
          <w:b/>
          <w:bCs/>
          <w:szCs w:val="24"/>
        </w:rPr>
        <w:t>-</w:t>
      </w:r>
      <w:r w:rsidR="005243F4">
        <w:rPr>
          <w:rFonts w:ascii="Arial" w:hAnsi="Arial" w:cs="Arial"/>
          <w:b/>
          <w:bCs/>
          <w:szCs w:val="24"/>
        </w:rPr>
        <w:t>10</w:t>
      </w:r>
    </w:p>
    <w:p w14:paraId="628B76AE" w14:textId="77777777" w:rsidR="00431988" w:rsidRPr="00E30089" w:rsidRDefault="00431988" w:rsidP="00431988">
      <w:pPr>
        <w:autoSpaceDE w:val="0"/>
        <w:autoSpaceDN w:val="0"/>
        <w:adjustRightInd w:val="0"/>
        <w:ind w:left="2232" w:hanging="2232"/>
        <w:rPr>
          <w:rFonts w:ascii="Arial" w:hAnsi="Arial" w:cs="Arial"/>
          <w:b/>
          <w:bCs/>
          <w:szCs w:val="24"/>
        </w:rPr>
      </w:pPr>
    </w:p>
    <w:p w14:paraId="1B54D338" w14:textId="77777777" w:rsidR="00431988" w:rsidRPr="00E30089" w:rsidRDefault="00431988" w:rsidP="00431988">
      <w:pPr>
        <w:autoSpaceDE w:val="0"/>
        <w:autoSpaceDN w:val="0"/>
        <w:adjustRightInd w:val="0"/>
        <w:ind w:left="2232" w:hanging="2232"/>
        <w:rPr>
          <w:rFonts w:ascii="Arial" w:hAnsi="Arial" w:cs="Arial"/>
          <w:color w:val="000000"/>
          <w:szCs w:val="24"/>
          <w:u w:val="single"/>
        </w:rPr>
      </w:pPr>
      <w:r w:rsidRPr="00E30089">
        <w:rPr>
          <w:rFonts w:ascii="Arial" w:hAnsi="Arial" w:cs="Arial"/>
          <w:color w:val="000000"/>
          <w:szCs w:val="24"/>
          <w:u w:val="single"/>
        </w:rPr>
        <w:t>Question:</w:t>
      </w:r>
    </w:p>
    <w:p w14:paraId="2037D54D" w14:textId="77777777" w:rsidR="00A100C9" w:rsidRPr="00E30089" w:rsidRDefault="00A100C9" w:rsidP="00176D14">
      <w:pPr>
        <w:tabs>
          <w:tab w:val="left" w:pos="0"/>
        </w:tabs>
        <w:autoSpaceDE w:val="0"/>
        <w:autoSpaceDN w:val="0"/>
        <w:adjustRightInd w:val="0"/>
        <w:rPr>
          <w:rFonts w:ascii="Arial" w:hAnsi="Arial" w:cs="Arial"/>
        </w:rPr>
      </w:pPr>
    </w:p>
    <w:p w14:paraId="28BF9286" w14:textId="77777777" w:rsidR="005243F4" w:rsidRPr="005243F4" w:rsidRDefault="005243F4" w:rsidP="005243F4">
      <w:pPr>
        <w:tabs>
          <w:tab w:val="left" w:pos="0"/>
        </w:tabs>
        <w:autoSpaceDE w:val="0"/>
        <w:autoSpaceDN w:val="0"/>
        <w:adjustRightInd w:val="0"/>
        <w:rPr>
          <w:rFonts w:ascii="Arial" w:hAnsi="Arial" w:cs="Arial"/>
          <w:color w:val="000000"/>
          <w:szCs w:val="24"/>
        </w:rPr>
      </w:pPr>
      <w:r w:rsidRPr="005243F4">
        <w:rPr>
          <w:rFonts w:ascii="Arial" w:hAnsi="Arial" w:cs="Arial"/>
          <w:color w:val="000000"/>
          <w:szCs w:val="24"/>
        </w:rPr>
        <w:t>In regard to the Company’s 24</w:t>
      </w:r>
      <w:r w:rsidRPr="00657890">
        <w:rPr>
          <w:rFonts w:ascii="Arial" w:hAnsi="Arial" w:cs="Arial"/>
          <w:color w:val="000000"/>
          <w:szCs w:val="24"/>
          <w:vertAlign w:val="superscript"/>
        </w:rPr>
        <w:t>th</w:t>
      </w:r>
      <w:r w:rsidRPr="005243F4">
        <w:rPr>
          <w:rFonts w:ascii="Arial" w:hAnsi="Arial" w:cs="Arial"/>
          <w:color w:val="000000"/>
          <w:szCs w:val="24"/>
        </w:rPr>
        <w:t xml:space="preserve"> VCM Load Forecasts,</w:t>
      </w:r>
    </w:p>
    <w:p w14:paraId="5864F55F" w14:textId="77777777" w:rsidR="005243F4" w:rsidRPr="005243F4" w:rsidRDefault="005243F4" w:rsidP="005243F4">
      <w:pPr>
        <w:pStyle w:val="ListParagraph"/>
        <w:numPr>
          <w:ilvl w:val="0"/>
          <w:numId w:val="30"/>
        </w:numPr>
        <w:tabs>
          <w:tab w:val="left" w:pos="0"/>
        </w:tabs>
        <w:autoSpaceDE w:val="0"/>
        <w:autoSpaceDN w:val="0"/>
        <w:adjustRightInd w:val="0"/>
        <w:rPr>
          <w:rFonts w:ascii="Arial" w:hAnsi="Arial" w:cs="Arial"/>
          <w:color w:val="000000"/>
          <w:sz w:val="24"/>
          <w:szCs w:val="28"/>
        </w:rPr>
      </w:pPr>
      <w:r w:rsidRPr="005243F4">
        <w:rPr>
          <w:rFonts w:ascii="Arial" w:hAnsi="Arial" w:cs="Arial"/>
          <w:color w:val="000000"/>
          <w:sz w:val="24"/>
          <w:szCs w:val="28"/>
        </w:rPr>
        <w:t xml:space="preserve">Please provide a comparison of the current load forecast to the load forecast that was used in the last VCM proceeding.  Please quantify and explain the differences.  This includes all load forecasts used in all of the standard cases.  </w:t>
      </w:r>
    </w:p>
    <w:p w14:paraId="34261D6C" w14:textId="77777777" w:rsidR="005243F4" w:rsidRPr="005243F4" w:rsidRDefault="005243F4" w:rsidP="005243F4">
      <w:pPr>
        <w:pStyle w:val="ListParagraph"/>
        <w:numPr>
          <w:ilvl w:val="0"/>
          <w:numId w:val="30"/>
        </w:numPr>
        <w:tabs>
          <w:tab w:val="left" w:pos="0"/>
        </w:tabs>
        <w:autoSpaceDE w:val="0"/>
        <w:autoSpaceDN w:val="0"/>
        <w:adjustRightInd w:val="0"/>
        <w:rPr>
          <w:rFonts w:ascii="Arial" w:hAnsi="Arial" w:cs="Arial"/>
          <w:color w:val="000000"/>
          <w:sz w:val="24"/>
          <w:szCs w:val="28"/>
        </w:rPr>
      </w:pPr>
      <w:r w:rsidRPr="005243F4">
        <w:rPr>
          <w:rFonts w:ascii="Arial" w:hAnsi="Arial" w:cs="Arial"/>
          <w:color w:val="000000"/>
          <w:sz w:val="24"/>
          <w:szCs w:val="28"/>
        </w:rPr>
        <w:t>Please provide all workpapers, electronically used to develop the different Southern Company System load forecasts based on different natural gas and CO2 assumptions, and provide a narrative explanation of the process used to develop one from the next.  Also, please supply the Georgia Power load forecasts (peak demand and energy), electronically, under each of the scenarios that the Company has developed, and provide all workpapers, electronically used to develop the Georgia Power load forecasts.</w:t>
      </w:r>
    </w:p>
    <w:p w14:paraId="4974714F" w14:textId="77777777" w:rsidR="00AD3CF5" w:rsidRPr="00E30089" w:rsidRDefault="00AD3CF5" w:rsidP="00AD3CF5">
      <w:pPr>
        <w:tabs>
          <w:tab w:val="left" w:pos="0"/>
        </w:tabs>
        <w:autoSpaceDE w:val="0"/>
        <w:autoSpaceDN w:val="0"/>
        <w:adjustRightInd w:val="0"/>
        <w:rPr>
          <w:rFonts w:ascii="Arial" w:hAnsi="Arial" w:cs="Arial"/>
          <w:color w:val="000000"/>
          <w:szCs w:val="24"/>
          <w:u w:val="single"/>
        </w:rPr>
      </w:pPr>
    </w:p>
    <w:p w14:paraId="00DC0289" w14:textId="77777777" w:rsidR="00431988" w:rsidRPr="00E30089" w:rsidRDefault="00431988" w:rsidP="00176D14">
      <w:pPr>
        <w:tabs>
          <w:tab w:val="left" w:pos="0"/>
        </w:tabs>
        <w:autoSpaceDE w:val="0"/>
        <w:autoSpaceDN w:val="0"/>
        <w:adjustRightInd w:val="0"/>
        <w:rPr>
          <w:rFonts w:ascii="Arial" w:hAnsi="Arial" w:cs="Arial"/>
          <w:color w:val="000000"/>
          <w:szCs w:val="24"/>
          <w:u w:val="single"/>
        </w:rPr>
      </w:pPr>
      <w:r w:rsidRPr="00E30089">
        <w:rPr>
          <w:rFonts w:ascii="Arial" w:hAnsi="Arial" w:cs="Arial"/>
          <w:color w:val="000000"/>
          <w:szCs w:val="24"/>
          <w:u w:val="single"/>
        </w:rPr>
        <w:t>Response:</w:t>
      </w:r>
    </w:p>
    <w:p w14:paraId="1359F8D8" w14:textId="77777777" w:rsidR="00431988" w:rsidRDefault="00431988">
      <w:pPr>
        <w:rPr>
          <w:rFonts w:ascii="Arial" w:hAnsi="Arial" w:cs="Arial"/>
        </w:rPr>
      </w:pPr>
    </w:p>
    <w:p w14:paraId="1CC78815" w14:textId="18431EEB" w:rsidR="00F82FAD" w:rsidRPr="00903ABA" w:rsidRDefault="00F82FAD" w:rsidP="00F82FAD">
      <w:pPr>
        <w:pStyle w:val="ListParagraph"/>
        <w:numPr>
          <w:ilvl w:val="0"/>
          <w:numId w:val="31"/>
        </w:numPr>
        <w:jc w:val="both"/>
        <w:rPr>
          <w:rFonts w:ascii="Arial" w:hAnsi="Arial" w:cs="Arial"/>
          <w:sz w:val="24"/>
          <w:szCs w:val="28"/>
        </w:rPr>
      </w:pPr>
      <w:r w:rsidRPr="00903ABA">
        <w:rPr>
          <w:rFonts w:ascii="Arial" w:hAnsi="Arial" w:cs="Arial"/>
          <w:sz w:val="24"/>
          <w:szCs w:val="28"/>
        </w:rPr>
        <w:t>The Budget 202</w:t>
      </w:r>
      <w:r w:rsidR="00D97684" w:rsidRPr="00903ABA">
        <w:rPr>
          <w:rFonts w:ascii="Arial" w:hAnsi="Arial" w:cs="Arial"/>
          <w:sz w:val="24"/>
          <w:szCs w:val="28"/>
        </w:rPr>
        <w:t>1</w:t>
      </w:r>
      <w:r w:rsidRPr="00903ABA">
        <w:rPr>
          <w:rFonts w:ascii="Arial" w:hAnsi="Arial" w:cs="Arial"/>
          <w:sz w:val="24"/>
          <w:szCs w:val="28"/>
        </w:rPr>
        <w:t xml:space="preserve"> forecast used in the 24</w:t>
      </w:r>
      <w:r w:rsidRPr="00903ABA">
        <w:rPr>
          <w:rFonts w:ascii="Arial" w:hAnsi="Arial" w:cs="Arial"/>
          <w:sz w:val="24"/>
          <w:szCs w:val="28"/>
          <w:vertAlign w:val="superscript"/>
        </w:rPr>
        <w:t>th</w:t>
      </w:r>
      <w:r w:rsidRPr="00903ABA">
        <w:rPr>
          <w:rFonts w:ascii="Arial" w:hAnsi="Arial" w:cs="Arial"/>
          <w:sz w:val="24"/>
          <w:szCs w:val="28"/>
        </w:rPr>
        <w:t xml:space="preserve"> Vogtle Construction Monitoring (“VCM”) Report has been updated from the forecast used in the Company’s 22</w:t>
      </w:r>
      <w:r w:rsidRPr="00903ABA">
        <w:rPr>
          <w:rFonts w:ascii="Arial" w:hAnsi="Arial" w:cs="Arial"/>
          <w:sz w:val="24"/>
          <w:szCs w:val="28"/>
          <w:vertAlign w:val="superscript"/>
        </w:rPr>
        <w:t>nd</w:t>
      </w:r>
      <w:r w:rsidRPr="00903ABA">
        <w:rPr>
          <w:rFonts w:ascii="Arial" w:hAnsi="Arial" w:cs="Arial"/>
          <w:sz w:val="24"/>
          <w:szCs w:val="28"/>
        </w:rPr>
        <w:t xml:space="preserve"> </w:t>
      </w:r>
      <w:r w:rsidR="00E066C2" w:rsidRPr="00903ABA">
        <w:rPr>
          <w:rFonts w:ascii="Arial" w:hAnsi="Arial" w:cs="Arial"/>
          <w:sz w:val="24"/>
          <w:szCs w:val="28"/>
        </w:rPr>
        <w:t>and 23</w:t>
      </w:r>
      <w:r w:rsidR="00E066C2" w:rsidRPr="00903ABA">
        <w:rPr>
          <w:rFonts w:ascii="Arial" w:hAnsi="Arial" w:cs="Arial"/>
          <w:sz w:val="24"/>
          <w:szCs w:val="28"/>
          <w:vertAlign w:val="superscript"/>
        </w:rPr>
        <w:t>rd</w:t>
      </w:r>
      <w:r w:rsidR="00E066C2" w:rsidRPr="00903ABA">
        <w:rPr>
          <w:rFonts w:ascii="Arial" w:hAnsi="Arial" w:cs="Arial"/>
          <w:sz w:val="24"/>
          <w:szCs w:val="28"/>
        </w:rPr>
        <w:t xml:space="preserve"> </w:t>
      </w:r>
      <w:r w:rsidRPr="00903ABA">
        <w:rPr>
          <w:rFonts w:ascii="Arial" w:hAnsi="Arial" w:cs="Arial"/>
          <w:sz w:val="24"/>
          <w:szCs w:val="28"/>
        </w:rPr>
        <w:t>VCM Report</w:t>
      </w:r>
      <w:r w:rsidR="00E066C2" w:rsidRPr="00903ABA">
        <w:rPr>
          <w:rFonts w:ascii="Arial" w:hAnsi="Arial" w:cs="Arial"/>
          <w:sz w:val="24"/>
          <w:szCs w:val="28"/>
        </w:rPr>
        <w:t>s</w:t>
      </w:r>
      <w:r w:rsidRPr="00903ABA">
        <w:rPr>
          <w:rFonts w:ascii="Arial" w:hAnsi="Arial" w:cs="Arial"/>
          <w:sz w:val="24"/>
          <w:szCs w:val="28"/>
        </w:rPr>
        <w:t>. The Budget 2021 forecast incorporates the most recent historical data through May 2020 and the latest economic outlook available at the time (May 2020 U.S. and Georgia forecast data from IHS Markit), which reflects the expected impacts of the Covid-19 pandemic, includ</w:t>
      </w:r>
      <w:r w:rsidR="00035EF0" w:rsidRPr="00903ABA">
        <w:rPr>
          <w:rFonts w:ascii="Arial" w:hAnsi="Arial" w:cs="Arial"/>
          <w:sz w:val="24"/>
          <w:szCs w:val="28"/>
        </w:rPr>
        <w:t>ing</w:t>
      </w:r>
      <w:r w:rsidRPr="00903ABA">
        <w:rPr>
          <w:rFonts w:ascii="Arial" w:hAnsi="Arial" w:cs="Arial"/>
          <w:sz w:val="24"/>
          <w:szCs w:val="28"/>
        </w:rPr>
        <w:t xml:space="preserve"> a brief recession in 2020 and a recovery into 2021. </w:t>
      </w:r>
    </w:p>
    <w:p w14:paraId="2DBC4E71" w14:textId="77777777" w:rsidR="00F82FAD" w:rsidRPr="00903ABA" w:rsidRDefault="00F82FAD" w:rsidP="00F82FAD">
      <w:pPr>
        <w:pStyle w:val="ListParagraph"/>
        <w:ind w:firstLine="0"/>
        <w:jc w:val="both"/>
        <w:rPr>
          <w:rFonts w:ascii="Arial" w:hAnsi="Arial" w:cs="Arial"/>
          <w:sz w:val="24"/>
          <w:szCs w:val="28"/>
        </w:rPr>
      </w:pPr>
    </w:p>
    <w:p w14:paraId="2C1A2376" w14:textId="31433D42" w:rsidR="00F82FAD" w:rsidRPr="00903ABA" w:rsidRDefault="00F82FAD" w:rsidP="00F82FAD">
      <w:pPr>
        <w:pStyle w:val="ListParagraph"/>
        <w:ind w:firstLine="0"/>
        <w:jc w:val="both"/>
        <w:rPr>
          <w:rFonts w:ascii="Arial" w:hAnsi="Arial" w:cs="Arial"/>
          <w:sz w:val="24"/>
          <w:szCs w:val="28"/>
        </w:rPr>
      </w:pPr>
      <w:r w:rsidRPr="00903ABA">
        <w:rPr>
          <w:rFonts w:ascii="Arial" w:hAnsi="Arial" w:cs="Arial"/>
          <w:sz w:val="24"/>
          <w:szCs w:val="28"/>
        </w:rPr>
        <w:t>Overall, the Budget 202</w:t>
      </w:r>
      <w:r w:rsidR="00D97684" w:rsidRPr="00903ABA">
        <w:rPr>
          <w:rFonts w:ascii="Arial" w:hAnsi="Arial" w:cs="Arial"/>
          <w:sz w:val="24"/>
          <w:szCs w:val="28"/>
        </w:rPr>
        <w:t>1</w:t>
      </w:r>
      <w:r w:rsidRPr="00903ABA">
        <w:rPr>
          <w:rFonts w:ascii="Arial" w:hAnsi="Arial" w:cs="Arial"/>
          <w:sz w:val="24"/>
          <w:szCs w:val="28"/>
        </w:rPr>
        <w:t xml:space="preserve"> </w:t>
      </w:r>
      <w:r w:rsidR="003C59E7" w:rsidRPr="00903ABA">
        <w:rPr>
          <w:rFonts w:ascii="Arial" w:hAnsi="Arial" w:cs="Arial"/>
          <w:sz w:val="24"/>
          <w:szCs w:val="28"/>
        </w:rPr>
        <w:t xml:space="preserve">energy and peak </w:t>
      </w:r>
      <w:r w:rsidRPr="00903ABA">
        <w:rPr>
          <w:rFonts w:ascii="Arial" w:hAnsi="Arial" w:cs="Arial"/>
          <w:sz w:val="24"/>
          <w:szCs w:val="28"/>
        </w:rPr>
        <w:t>forecast</w:t>
      </w:r>
      <w:r w:rsidR="003C59E7" w:rsidRPr="00903ABA">
        <w:rPr>
          <w:rFonts w:ascii="Arial" w:hAnsi="Arial" w:cs="Arial"/>
          <w:sz w:val="24"/>
          <w:szCs w:val="28"/>
        </w:rPr>
        <w:t>s</w:t>
      </w:r>
      <w:r w:rsidRPr="00903ABA">
        <w:rPr>
          <w:rFonts w:ascii="Arial" w:hAnsi="Arial" w:cs="Arial"/>
          <w:sz w:val="24"/>
          <w:szCs w:val="28"/>
        </w:rPr>
        <w:t xml:space="preserve"> </w:t>
      </w:r>
      <w:r w:rsidR="003C59E7" w:rsidRPr="00903ABA">
        <w:rPr>
          <w:rFonts w:ascii="Arial" w:hAnsi="Arial" w:cs="Arial"/>
          <w:sz w:val="24"/>
          <w:szCs w:val="28"/>
        </w:rPr>
        <w:t>are</w:t>
      </w:r>
      <w:r w:rsidRPr="00903ABA">
        <w:rPr>
          <w:rFonts w:ascii="Arial" w:hAnsi="Arial" w:cs="Arial"/>
          <w:sz w:val="24"/>
          <w:szCs w:val="28"/>
        </w:rPr>
        <w:t xml:space="preserve"> </w:t>
      </w:r>
      <w:r w:rsidR="008C0D6E" w:rsidRPr="00903ABA">
        <w:rPr>
          <w:rFonts w:ascii="Arial" w:hAnsi="Arial" w:cs="Arial"/>
          <w:sz w:val="24"/>
          <w:szCs w:val="28"/>
        </w:rPr>
        <w:t>lower than</w:t>
      </w:r>
      <w:r w:rsidRPr="00903ABA">
        <w:rPr>
          <w:rFonts w:ascii="Arial" w:hAnsi="Arial" w:cs="Arial"/>
          <w:sz w:val="24"/>
          <w:szCs w:val="28"/>
        </w:rPr>
        <w:t xml:space="preserve"> </w:t>
      </w:r>
      <w:r w:rsidR="008C0D6E" w:rsidRPr="00903ABA">
        <w:rPr>
          <w:rFonts w:ascii="Arial" w:hAnsi="Arial" w:cs="Arial"/>
          <w:sz w:val="24"/>
          <w:szCs w:val="28"/>
        </w:rPr>
        <w:t xml:space="preserve">the </w:t>
      </w:r>
      <w:r w:rsidRPr="00903ABA">
        <w:rPr>
          <w:rFonts w:ascii="Arial" w:hAnsi="Arial" w:cs="Arial"/>
          <w:sz w:val="24"/>
          <w:szCs w:val="28"/>
        </w:rPr>
        <w:t>Budget 20</w:t>
      </w:r>
      <w:r w:rsidR="008C0D6E" w:rsidRPr="00903ABA">
        <w:rPr>
          <w:rFonts w:ascii="Arial" w:hAnsi="Arial" w:cs="Arial"/>
          <w:sz w:val="24"/>
          <w:szCs w:val="28"/>
        </w:rPr>
        <w:t>20</w:t>
      </w:r>
      <w:r w:rsidRPr="00903ABA">
        <w:rPr>
          <w:rFonts w:ascii="Arial" w:hAnsi="Arial" w:cs="Arial"/>
          <w:sz w:val="24"/>
          <w:szCs w:val="28"/>
        </w:rPr>
        <w:t xml:space="preserve"> forecast over the forecast horizon. In the short term, Budget 202</w:t>
      </w:r>
      <w:r w:rsidR="008C0D6E" w:rsidRPr="00903ABA">
        <w:rPr>
          <w:rFonts w:ascii="Arial" w:hAnsi="Arial" w:cs="Arial"/>
          <w:sz w:val="24"/>
          <w:szCs w:val="28"/>
        </w:rPr>
        <w:t>1</w:t>
      </w:r>
      <w:r w:rsidRPr="00903ABA">
        <w:rPr>
          <w:rFonts w:ascii="Arial" w:hAnsi="Arial" w:cs="Arial"/>
          <w:sz w:val="24"/>
          <w:szCs w:val="28"/>
        </w:rPr>
        <w:t xml:space="preserve"> reflects the impacts of </w:t>
      </w:r>
      <w:r w:rsidR="001C5585" w:rsidRPr="00903ABA">
        <w:rPr>
          <w:rFonts w:ascii="Arial" w:hAnsi="Arial" w:cs="Arial"/>
          <w:sz w:val="24"/>
          <w:szCs w:val="28"/>
        </w:rPr>
        <w:t xml:space="preserve">Covid-19 and </w:t>
      </w:r>
      <w:r w:rsidRPr="00903ABA">
        <w:rPr>
          <w:rFonts w:ascii="Arial" w:hAnsi="Arial" w:cs="Arial"/>
          <w:sz w:val="24"/>
          <w:szCs w:val="28"/>
        </w:rPr>
        <w:t>another year of relatively flat growth in electricity sales</w:t>
      </w:r>
      <w:r w:rsidR="001C5585" w:rsidRPr="00903ABA">
        <w:rPr>
          <w:rFonts w:ascii="Arial" w:hAnsi="Arial" w:cs="Arial"/>
          <w:sz w:val="24"/>
          <w:szCs w:val="28"/>
        </w:rPr>
        <w:t>.</w:t>
      </w:r>
      <w:r w:rsidRPr="00903ABA">
        <w:rPr>
          <w:rFonts w:ascii="Arial" w:hAnsi="Arial" w:cs="Arial"/>
          <w:sz w:val="24"/>
          <w:szCs w:val="28"/>
        </w:rPr>
        <w:t xml:space="preserve"> </w:t>
      </w:r>
      <w:r w:rsidR="001C5585" w:rsidRPr="00903ABA">
        <w:rPr>
          <w:rFonts w:ascii="Arial" w:hAnsi="Arial" w:cs="Arial"/>
          <w:sz w:val="24"/>
          <w:szCs w:val="28"/>
        </w:rPr>
        <w:t>S</w:t>
      </w:r>
      <w:r w:rsidRPr="00903ABA">
        <w:rPr>
          <w:rFonts w:ascii="Arial" w:hAnsi="Arial" w:cs="Arial"/>
          <w:sz w:val="24"/>
          <w:szCs w:val="28"/>
        </w:rPr>
        <w:t xml:space="preserve">ince </w:t>
      </w:r>
      <w:r w:rsidR="001C5585" w:rsidRPr="00903ABA">
        <w:rPr>
          <w:rFonts w:ascii="Arial" w:hAnsi="Arial" w:cs="Arial"/>
          <w:sz w:val="24"/>
          <w:szCs w:val="28"/>
        </w:rPr>
        <w:t xml:space="preserve">2010, </w:t>
      </w:r>
      <w:r w:rsidRPr="00903ABA">
        <w:rPr>
          <w:rFonts w:ascii="Arial" w:hAnsi="Arial" w:cs="Arial"/>
          <w:sz w:val="24"/>
          <w:szCs w:val="28"/>
        </w:rPr>
        <w:t xml:space="preserve">total weather adjusted sales </w:t>
      </w:r>
      <w:r w:rsidR="00C13460" w:rsidRPr="00903ABA">
        <w:rPr>
          <w:rFonts w:ascii="Arial" w:hAnsi="Arial" w:cs="Arial"/>
          <w:sz w:val="24"/>
          <w:szCs w:val="28"/>
        </w:rPr>
        <w:t xml:space="preserve">declined by an average of </w:t>
      </w:r>
      <w:r w:rsidR="001C5585" w:rsidRPr="00903ABA">
        <w:rPr>
          <w:rFonts w:ascii="Arial" w:hAnsi="Arial" w:cs="Arial"/>
          <w:sz w:val="24"/>
          <w:szCs w:val="28"/>
        </w:rPr>
        <w:t>-0.1%</w:t>
      </w:r>
      <w:r w:rsidR="00C13460" w:rsidRPr="00903ABA">
        <w:rPr>
          <w:rFonts w:ascii="Arial" w:hAnsi="Arial" w:cs="Arial"/>
          <w:sz w:val="24"/>
          <w:szCs w:val="28"/>
        </w:rPr>
        <w:t xml:space="preserve"> </w:t>
      </w:r>
      <w:r w:rsidRPr="00903ABA">
        <w:rPr>
          <w:rFonts w:ascii="Arial" w:hAnsi="Arial" w:cs="Arial"/>
          <w:sz w:val="24"/>
          <w:szCs w:val="28"/>
        </w:rPr>
        <w:t xml:space="preserve">per year. In the longer term, additional customer energy efficiency investments; </w:t>
      </w:r>
      <w:r w:rsidR="00C13460" w:rsidRPr="00903ABA">
        <w:rPr>
          <w:rFonts w:ascii="Arial" w:hAnsi="Arial" w:cs="Arial"/>
          <w:sz w:val="24"/>
          <w:szCs w:val="28"/>
        </w:rPr>
        <w:t xml:space="preserve">new residential building codes; </w:t>
      </w:r>
      <w:r w:rsidRPr="00903ABA">
        <w:rPr>
          <w:rFonts w:ascii="Arial" w:hAnsi="Arial" w:cs="Arial"/>
          <w:sz w:val="24"/>
          <w:szCs w:val="28"/>
        </w:rPr>
        <w:t xml:space="preserve">continued improvements in the efficiency of Heating, Ventilation &amp; Air Conditioning equipment, appliances and lighting; higher efficiency standards; and lower natural gas prices are expected to lead to slower growth in energy use and peak demand over the forecast horizon. This slower growth will be partially offset by growth in the number of customers and increased usage by electric vehicles. </w:t>
      </w:r>
    </w:p>
    <w:p w14:paraId="01CF3A9D" w14:textId="77777777" w:rsidR="00F82FAD" w:rsidRPr="00903ABA" w:rsidRDefault="00F82FAD" w:rsidP="00F82FAD">
      <w:pPr>
        <w:pStyle w:val="ListParagraph"/>
        <w:ind w:firstLine="0"/>
        <w:jc w:val="both"/>
        <w:rPr>
          <w:rFonts w:ascii="Arial" w:hAnsi="Arial" w:cs="Arial"/>
          <w:sz w:val="24"/>
          <w:szCs w:val="28"/>
        </w:rPr>
      </w:pPr>
    </w:p>
    <w:p w14:paraId="06085D39" w14:textId="4263454D" w:rsidR="00F82FAD" w:rsidRPr="00903ABA" w:rsidRDefault="00657890" w:rsidP="00F82FAD">
      <w:pPr>
        <w:pStyle w:val="ListParagraph"/>
        <w:ind w:firstLine="0"/>
        <w:jc w:val="both"/>
        <w:rPr>
          <w:rFonts w:ascii="Arial" w:hAnsi="Arial" w:cs="Arial"/>
          <w:sz w:val="24"/>
          <w:szCs w:val="28"/>
        </w:rPr>
      </w:pPr>
      <w:r>
        <w:rPr>
          <w:rFonts w:ascii="Arial" w:hAnsi="Arial" w:cs="Arial"/>
          <w:sz w:val="24"/>
          <w:szCs w:val="28"/>
        </w:rPr>
        <w:lastRenderedPageBreak/>
        <w:t>Please s</w:t>
      </w:r>
      <w:r w:rsidR="00F82FAD" w:rsidRPr="00903ABA">
        <w:rPr>
          <w:rFonts w:ascii="Arial" w:hAnsi="Arial" w:cs="Arial"/>
          <w:sz w:val="24"/>
          <w:szCs w:val="28"/>
        </w:rPr>
        <w:t>ee electronic Trade Secret (“TS”) Attachment STF-1</w:t>
      </w:r>
      <w:r w:rsidR="006B6B18" w:rsidRPr="00903ABA">
        <w:rPr>
          <w:rFonts w:ascii="Arial" w:hAnsi="Arial" w:cs="Arial"/>
          <w:sz w:val="24"/>
          <w:szCs w:val="28"/>
        </w:rPr>
        <w:t>98</w:t>
      </w:r>
      <w:r w:rsidR="00F82FAD" w:rsidRPr="00903ABA">
        <w:rPr>
          <w:rFonts w:ascii="Arial" w:hAnsi="Arial" w:cs="Arial"/>
          <w:sz w:val="24"/>
          <w:szCs w:val="28"/>
        </w:rPr>
        <w:t>-10-a for a comparison of the current load forecast, Budget 202</w:t>
      </w:r>
      <w:r w:rsidR="006B6B18" w:rsidRPr="00903ABA">
        <w:rPr>
          <w:rFonts w:ascii="Arial" w:hAnsi="Arial" w:cs="Arial"/>
          <w:sz w:val="24"/>
          <w:szCs w:val="28"/>
        </w:rPr>
        <w:t>1</w:t>
      </w:r>
      <w:r w:rsidR="00F82FAD" w:rsidRPr="00903ABA">
        <w:rPr>
          <w:rFonts w:ascii="Arial" w:hAnsi="Arial" w:cs="Arial"/>
          <w:sz w:val="24"/>
          <w:szCs w:val="28"/>
        </w:rPr>
        <w:t>, to Budget 20</w:t>
      </w:r>
      <w:r w:rsidR="006B6B18" w:rsidRPr="00903ABA">
        <w:rPr>
          <w:rFonts w:ascii="Arial" w:hAnsi="Arial" w:cs="Arial"/>
          <w:sz w:val="24"/>
          <w:szCs w:val="28"/>
        </w:rPr>
        <w:t>20</w:t>
      </w:r>
      <w:r w:rsidR="00F82FAD" w:rsidRPr="00903ABA">
        <w:rPr>
          <w:rFonts w:ascii="Arial" w:hAnsi="Arial" w:cs="Arial"/>
          <w:sz w:val="24"/>
          <w:szCs w:val="28"/>
        </w:rPr>
        <w:t xml:space="preserve">. Based on the </w:t>
      </w:r>
      <w:r w:rsidR="00E066C2" w:rsidRPr="00903ABA">
        <w:rPr>
          <w:rFonts w:ascii="Arial" w:hAnsi="Arial" w:cs="Arial"/>
          <w:sz w:val="24"/>
          <w:szCs w:val="28"/>
        </w:rPr>
        <w:t>B</w:t>
      </w:r>
      <w:r w:rsidR="00F82FAD" w:rsidRPr="00903ABA">
        <w:rPr>
          <w:rFonts w:ascii="Arial" w:hAnsi="Arial" w:cs="Arial"/>
          <w:sz w:val="24"/>
          <w:szCs w:val="28"/>
        </w:rPr>
        <w:t>udget 202</w:t>
      </w:r>
      <w:r w:rsidR="00E066C2" w:rsidRPr="00903ABA">
        <w:rPr>
          <w:rFonts w:ascii="Arial" w:hAnsi="Arial" w:cs="Arial"/>
          <w:sz w:val="24"/>
          <w:szCs w:val="28"/>
        </w:rPr>
        <w:t>1</w:t>
      </w:r>
      <w:r w:rsidR="00F82FAD" w:rsidRPr="00903ABA">
        <w:rPr>
          <w:rFonts w:ascii="Arial" w:hAnsi="Arial" w:cs="Arial"/>
          <w:sz w:val="24"/>
          <w:szCs w:val="28"/>
        </w:rPr>
        <w:t xml:space="preserve"> forecast, Georgia Power is expected to remain a summer peaking utility over the forecast horizon.</w:t>
      </w:r>
    </w:p>
    <w:p w14:paraId="09ED126E" w14:textId="77777777" w:rsidR="00F82FAD" w:rsidRPr="00903ABA" w:rsidRDefault="00F82FAD" w:rsidP="00F82FAD">
      <w:pPr>
        <w:pStyle w:val="ListParagraph"/>
        <w:ind w:firstLine="0"/>
        <w:jc w:val="both"/>
        <w:rPr>
          <w:rFonts w:ascii="Arial" w:hAnsi="Arial" w:cs="Arial"/>
          <w:sz w:val="24"/>
          <w:szCs w:val="28"/>
        </w:rPr>
      </w:pPr>
      <w:r w:rsidRPr="00903ABA">
        <w:rPr>
          <w:rFonts w:ascii="Arial" w:hAnsi="Arial" w:cs="Arial"/>
          <w:sz w:val="24"/>
          <w:szCs w:val="28"/>
        </w:rPr>
        <w:t xml:space="preserve"> </w:t>
      </w:r>
    </w:p>
    <w:p w14:paraId="66E8AB57" w14:textId="112F0666" w:rsidR="00F82FAD" w:rsidRPr="00903ABA" w:rsidRDefault="00F82FAD" w:rsidP="00F82FAD">
      <w:pPr>
        <w:pStyle w:val="ListParagraph"/>
        <w:ind w:firstLine="0"/>
        <w:jc w:val="both"/>
        <w:rPr>
          <w:rFonts w:ascii="Arial" w:hAnsi="Arial" w:cs="Arial"/>
          <w:sz w:val="24"/>
          <w:szCs w:val="28"/>
        </w:rPr>
      </w:pPr>
      <w:r w:rsidRPr="00903ABA">
        <w:rPr>
          <w:rFonts w:ascii="Arial" w:hAnsi="Arial" w:cs="Arial"/>
          <w:sz w:val="24"/>
          <w:szCs w:val="28"/>
        </w:rPr>
        <w:t>Budget 202</w:t>
      </w:r>
      <w:r w:rsidR="006B6B18" w:rsidRPr="00903ABA">
        <w:rPr>
          <w:rFonts w:ascii="Arial" w:hAnsi="Arial" w:cs="Arial"/>
          <w:sz w:val="24"/>
          <w:szCs w:val="28"/>
        </w:rPr>
        <w:t>1</w:t>
      </w:r>
      <w:r w:rsidRPr="00903ABA">
        <w:rPr>
          <w:rFonts w:ascii="Arial" w:hAnsi="Arial" w:cs="Arial"/>
          <w:sz w:val="24"/>
          <w:szCs w:val="28"/>
        </w:rPr>
        <w:t xml:space="preserve"> is </w:t>
      </w:r>
      <w:r w:rsidR="003C59E7" w:rsidRPr="00903ABA">
        <w:rPr>
          <w:rFonts w:ascii="Arial" w:hAnsi="Arial" w:cs="Arial"/>
          <w:sz w:val="24"/>
          <w:szCs w:val="28"/>
        </w:rPr>
        <w:t>lower than</w:t>
      </w:r>
      <w:r w:rsidRPr="00903ABA">
        <w:rPr>
          <w:rFonts w:ascii="Arial" w:hAnsi="Arial" w:cs="Arial"/>
          <w:sz w:val="24"/>
          <w:szCs w:val="28"/>
        </w:rPr>
        <w:t xml:space="preserve"> Budget 20</w:t>
      </w:r>
      <w:r w:rsidR="006B6B18" w:rsidRPr="00903ABA">
        <w:rPr>
          <w:rFonts w:ascii="Arial" w:hAnsi="Arial" w:cs="Arial"/>
          <w:sz w:val="24"/>
          <w:szCs w:val="28"/>
        </w:rPr>
        <w:t>20</w:t>
      </w:r>
      <w:r w:rsidRPr="00903ABA">
        <w:rPr>
          <w:rFonts w:ascii="Arial" w:hAnsi="Arial" w:cs="Arial"/>
          <w:sz w:val="24"/>
          <w:szCs w:val="28"/>
        </w:rPr>
        <w:t xml:space="preserve"> with respect to growth in energy and peak demand. Over the next twenty years, average annual growth in energy is expected to be </w:t>
      </w:r>
      <w:r w:rsidR="004016CF" w:rsidRPr="00903ABA">
        <w:rPr>
          <w:rFonts w:ascii="Arial" w:hAnsi="Arial" w:cs="Arial"/>
          <w:sz w:val="24"/>
          <w:szCs w:val="28"/>
        </w:rPr>
        <w:t>1.1%</w:t>
      </w:r>
      <w:r w:rsidRPr="00903ABA">
        <w:rPr>
          <w:rFonts w:ascii="Arial" w:hAnsi="Arial" w:cs="Arial"/>
          <w:sz w:val="24"/>
          <w:szCs w:val="28"/>
        </w:rPr>
        <w:t xml:space="preserve"> per year in Budget 202</w:t>
      </w:r>
      <w:r w:rsidR="006B6B18" w:rsidRPr="00903ABA">
        <w:rPr>
          <w:rFonts w:ascii="Arial" w:hAnsi="Arial" w:cs="Arial"/>
          <w:sz w:val="24"/>
          <w:szCs w:val="28"/>
        </w:rPr>
        <w:t>1</w:t>
      </w:r>
      <w:r w:rsidRPr="00903ABA">
        <w:rPr>
          <w:rFonts w:ascii="Arial" w:hAnsi="Arial" w:cs="Arial"/>
          <w:sz w:val="24"/>
          <w:szCs w:val="28"/>
        </w:rPr>
        <w:t>, compared to growth of</w:t>
      </w:r>
      <w:r w:rsidR="004016CF" w:rsidRPr="00903ABA">
        <w:rPr>
          <w:rFonts w:ascii="Arial" w:hAnsi="Arial" w:cs="Arial"/>
          <w:sz w:val="24"/>
          <w:szCs w:val="28"/>
        </w:rPr>
        <w:t xml:space="preserve"> 1.2</w:t>
      </w:r>
      <w:r w:rsidRPr="00903ABA">
        <w:rPr>
          <w:rFonts w:ascii="Arial" w:hAnsi="Arial" w:cs="Arial"/>
          <w:sz w:val="24"/>
          <w:szCs w:val="28"/>
        </w:rPr>
        <w:t xml:space="preserve">% per year in the previous forecast.  </w:t>
      </w:r>
      <w:r w:rsidR="004016CF" w:rsidRPr="00903ABA">
        <w:rPr>
          <w:rFonts w:ascii="Arial" w:hAnsi="Arial" w:cs="Arial"/>
          <w:sz w:val="24"/>
          <w:szCs w:val="28"/>
        </w:rPr>
        <w:t xml:space="preserve">Summer peak demand in Budget 2021 grows by an average of 1% per year over the forecast horizon, compared to 1.3% in Budget 2020, while winter peak demand grows by 0.9% per year in Budget 2021 compared to 1.3% growth in Budget 2020. </w:t>
      </w:r>
      <w:r w:rsidRPr="00903ABA">
        <w:rPr>
          <w:rFonts w:ascii="Arial" w:hAnsi="Arial" w:cs="Arial"/>
          <w:sz w:val="24"/>
          <w:szCs w:val="28"/>
        </w:rPr>
        <w:t>By 20</w:t>
      </w:r>
      <w:r w:rsidR="006B6B18" w:rsidRPr="00903ABA">
        <w:rPr>
          <w:rFonts w:ascii="Arial" w:hAnsi="Arial" w:cs="Arial"/>
          <w:sz w:val="24"/>
          <w:szCs w:val="28"/>
        </w:rPr>
        <w:t>40</w:t>
      </w:r>
      <w:r w:rsidRPr="00903ABA">
        <w:rPr>
          <w:rFonts w:ascii="Arial" w:hAnsi="Arial" w:cs="Arial"/>
          <w:sz w:val="24"/>
          <w:szCs w:val="28"/>
        </w:rPr>
        <w:t>, the Budget 202</w:t>
      </w:r>
      <w:r w:rsidR="006B6B18" w:rsidRPr="00903ABA">
        <w:rPr>
          <w:rFonts w:ascii="Arial" w:hAnsi="Arial" w:cs="Arial"/>
          <w:sz w:val="24"/>
          <w:szCs w:val="28"/>
        </w:rPr>
        <w:t>1</w:t>
      </w:r>
      <w:r w:rsidRPr="00903ABA">
        <w:rPr>
          <w:rFonts w:ascii="Arial" w:hAnsi="Arial" w:cs="Arial"/>
          <w:sz w:val="24"/>
          <w:szCs w:val="28"/>
        </w:rPr>
        <w:t xml:space="preserve"> energy forecast is </w:t>
      </w:r>
      <w:r w:rsidR="0048430D" w:rsidRPr="00903ABA">
        <w:rPr>
          <w:rFonts w:ascii="Arial" w:hAnsi="Arial" w:cs="Arial"/>
          <w:sz w:val="24"/>
          <w:szCs w:val="28"/>
        </w:rPr>
        <w:t>about</w:t>
      </w:r>
      <w:r w:rsidR="004016CF" w:rsidRPr="00903ABA">
        <w:rPr>
          <w:rFonts w:ascii="Arial" w:hAnsi="Arial" w:cs="Arial"/>
          <w:sz w:val="24"/>
          <w:szCs w:val="28"/>
        </w:rPr>
        <w:t xml:space="preserve"> 8% </w:t>
      </w:r>
      <w:r w:rsidR="0048430D" w:rsidRPr="00903ABA">
        <w:rPr>
          <w:rFonts w:ascii="Arial" w:hAnsi="Arial" w:cs="Arial"/>
          <w:sz w:val="24"/>
          <w:szCs w:val="28"/>
        </w:rPr>
        <w:t>low</w:t>
      </w:r>
      <w:r w:rsidRPr="00903ABA">
        <w:rPr>
          <w:rFonts w:ascii="Arial" w:hAnsi="Arial" w:cs="Arial"/>
          <w:sz w:val="24"/>
          <w:szCs w:val="28"/>
        </w:rPr>
        <w:t>er</w:t>
      </w:r>
      <w:r w:rsidR="004016CF" w:rsidRPr="00903ABA">
        <w:rPr>
          <w:rFonts w:ascii="Arial" w:hAnsi="Arial" w:cs="Arial"/>
          <w:sz w:val="24"/>
          <w:szCs w:val="28"/>
        </w:rPr>
        <w:t xml:space="preserve">, while the summer and winter peak demand forecasts </w:t>
      </w:r>
      <w:r w:rsidR="0048430D" w:rsidRPr="00903ABA">
        <w:rPr>
          <w:rFonts w:ascii="Arial" w:hAnsi="Arial" w:cs="Arial"/>
          <w:sz w:val="24"/>
          <w:szCs w:val="28"/>
        </w:rPr>
        <w:t>a</w:t>
      </w:r>
      <w:r w:rsidR="004016CF" w:rsidRPr="00903ABA">
        <w:rPr>
          <w:rFonts w:ascii="Arial" w:hAnsi="Arial" w:cs="Arial"/>
          <w:sz w:val="24"/>
          <w:szCs w:val="28"/>
        </w:rPr>
        <w:t>re over 12% low</w:t>
      </w:r>
      <w:r w:rsidRPr="00903ABA">
        <w:rPr>
          <w:rFonts w:ascii="Arial" w:hAnsi="Arial" w:cs="Arial"/>
          <w:sz w:val="24"/>
          <w:szCs w:val="28"/>
        </w:rPr>
        <w:t>er than in the previous forecast.</w:t>
      </w:r>
    </w:p>
    <w:p w14:paraId="07020BB1" w14:textId="77777777" w:rsidR="00F82FAD" w:rsidRPr="00903ABA" w:rsidRDefault="00F82FAD" w:rsidP="00F82FAD">
      <w:pPr>
        <w:jc w:val="both"/>
        <w:rPr>
          <w:rFonts w:ascii="Arial" w:hAnsi="Arial" w:cs="Arial"/>
          <w:sz w:val="28"/>
          <w:szCs w:val="28"/>
        </w:rPr>
      </w:pPr>
    </w:p>
    <w:p w14:paraId="74874523" w14:textId="7E836757" w:rsidR="00F82FAD" w:rsidRPr="00903ABA" w:rsidRDefault="00F82FAD" w:rsidP="00F82FAD">
      <w:pPr>
        <w:pStyle w:val="ListParagraph"/>
        <w:ind w:firstLine="0"/>
        <w:rPr>
          <w:rFonts w:ascii="Arial" w:hAnsi="Arial" w:cs="Arial"/>
          <w:sz w:val="24"/>
          <w:szCs w:val="28"/>
        </w:rPr>
      </w:pPr>
      <w:r w:rsidRPr="00903ABA">
        <w:rPr>
          <w:rFonts w:ascii="Arial" w:hAnsi="Arial" w:cs="Arial"/>
          <w:sz w:val="24"/>
          <w:szCs w:val="28"/>
        </w:rPr>
        <w:t xml:space="preserve">Please see </w:t>
      </w:r>
      <w:r w:rsidR="00BB46CE">
        <w:rPr>
          <w:rFonts w:ascii="Arial" w:hAnsi="Arial" w:cs="Arial"/>
          <w:sz w:val="24"/>
          <w:szCs w:val="28"/>
        </w:rPr>
        <w:t>p</w:t>
      </w:r>
      <w:r w:rsidRPr="00903ABA">
        <w:rPr>
          <w:rFonts w:ascii="Arial" w:hAnsi="Arial" w:cs="Arial"/>
          <w:sz w:val="24"/>
          <w:szCs w:val="28"/>
        </w:rPr>
        <w:t xml:space="preserve">art </w:t>
      </w:r>
      <w:r w:rsidR="00BB46CE">
        <w:rPr>
          <w:rFonts w:ascii="Arial" w:hAnsi="Arial" w:cs="Arial"/>
          <w:sz w:val="24"/>
          <w:szCs w:val="28"/>
        </w:rPr>
        <w:t>(</w:t>
      </w:r>
      <w:r w:rsidRPr="00903ABA">
        <w:rPr>
          <w:rFonts w:ascii="Arial" w:hAnsi="Arial" w:cs="Arial"/>
          <w:sz w:val="24"/>
          <w:szCs w:val="28"/>
        </w:rPr>
        <w:t>b</w:t>
      </w:r>
      <w:r w:rsidR="00BB46CE">
        <w:rPr>
          <w:rFonts w:ascii="Arial" w:hAnsi="Arial" w:cs="Arial"/>
          <w:sz w:val="24"/>
          <w:szCs w:val="28"/>
        </w:rPr>
        <w:t>)</w:t>
      </w:r>
      <w:r w:rsidRPr="00903ABA">
        <w:rPr>
          <w:rFonts w:ascii="Arial" w:hAnsi="Arial" w:cs="Arial"/>
          <w:sz w:val="24"/>
          <w:szCs w:val="28"/>
        </w:rPr>
        <w:t xml:space="preserve"> below for a comparison of the differences in the forecasts used in the </w:t>
      </w:r>
      <w:r w:rsidR="00E066C2" w:rsidRPr="00903ABA">
        <w:rPr>
          <w:rFonts w:ascii="Arial" w:hAnsi="Arial" w:cs="Arial"/>
          <w:sz w:val="24"/>
          <w:szCs w:val="28"/>
        </w:rPr>
        <w:t>Aurora</w:t>
      </w:r>
      <w:r w:rsidRPr="00903ABA">
        <w:rPr>
          <w:rFonts w:ascii="Arial" w:hAnsi="Arial" w:cs="Arial"/>
          <w:sz w:val="24"/>
          <w:szCs w:val="28"/>
        </w:rPr>
        <w:t xml:space="preserve"> cases.</w:t>
      </w:r>
    </w:p>
    <w:p w14:paraId="4EC30227" w14:textId="756685D1" w:rsidR="00FD7142" w:rsidRDefault="00FD7142" w:rsidP="00FD7142">
      <w:pPr>
        <w:pStyle w:val="ListParagraph"/>
        <w:ind w:firstLine="0"/>
        <w:rPr>
          <w:rFonts w:ascii="Arial" w:hAnsi="Arial" w:cs="Arial"/>
          <w:sz w:val="24"/>
          <w:szCs w:val="28"/>
        </w:rPr>
      </w:pPr>
    </w:p>
    <w:p w14:paraId="7928A3E0" w14:textId="77777777" w:rsidR="00657890" w:rsidRPr="00903ABA" w:rsidRDefault="00657890" w:rsidP="00FD7142">
      <w:pPr>
        <w:pStyle w:val="ListParagraph"/>
        <w:ind w:firstLine="0"/>
        <w:rPr>
          <w:rFonts w:ascii="Arial" w:hAnsi="Arial" w:cs="Arial"/>
          <w:sz w:val="24"/>
          <w:szCs w:val="28"/>
        </w:rPr>
      </w:pPr>
    </w:p>
    <w:p w14:paraId="553A2DFF" w14:textId="77777777" w:rsidR="00FD7142" w:rsidRPr="00903ABA" w:rsidRDefault="00FD7142" w:rsidP="00FD7142">
      <w:pPr>
        <w:pStyle w:val="ListParagraph"/>
        <w:numPr>
          <w:ilvl w:val="0"/>
          <w:numId w:val="31"/>
        </w:numPr>
        <w:jc w:val="both"/>
        <w:rPr>
          <w:rFonts w:ascii="Arial" w:hAnsi="Arial" w:cs="Arial"/>
          <w:sz w:val="24"/>
          <w:szCs w:val="28"/>
        </w:rPr>
      </w:pPr>
      <w:r w:rsidRPr="00903ABA">
        <w:rPr>
          <w:rFonts w:ascii="Arial" w:hAnsi="Arial" w:cs="Arial"/>
          <w:sz w:val="24"/>
          <w:szCs w:val="28"/>
        </w:rPr>
        <w:t xml:space="preserve">The Company develops and analyzes several scenarios of the future evolution of the United States energy economy. This process is described in the Company’s response to data request STF-198-11. Among the results of the analysis of each scenario for each class (residential, commercial, and industrial) is a Southern Company region estimated percentage delta that represents the difference in energy of that scenario from the base scenario (using the Moderate Gas - $0 CO2 scenario as a base). The percentage deltas are converted to factors. Each scenario is a unique, plausible, internally consistent view of the future in which electricity consumption—among many other things—reflects myriad feedbacks across sectors, regions, and time. Future electricity consumption varies across the scenarios. The factors, by class, are applied to a class-specific Georgia Power Company initial base energy forecast to get energies for each scenario. These scenarios are based on the Georgia Power Company Budget 2021 Forecast.  </w:t>
      </w:r>
    </w:p>
    <w:p w14:paraId="34037D8F" w14:textId="77777777" w:rsidR="00FD7142" w:rsidRPr="00903ABA" w:rsidRDefault="00FD7142" w:rsidP="00FD7142">
      <w:pPr>
        <w:pStyle w:val="ListParagraph"/>
        <w:ind w:firstLine="0"/>
        <w:rPr>
          <w:rFonts w:ascii="Arial" w:hAnsi="Arial" w:cs="Arial"/>
          <w:sz w:val="24"/>
          <w:szCs w:val="28"/>
        </w:rPr>
      </w:pPr>
    </w:p>
    <w:p w14:paraId="04F49C56" w14:textId="77777777" w:rsidR="00FD7142" w:rsidRPr="00903ABA" w:rsidRDefault="00FD7142" w:rsidP="00FD7142">
      <w:pPr>
        <w:pStyle w:val="ListParagraph"/>
        <w:ind w:firstLine="0"/>
        <w:rPr>
          <w:rFonts w:ascii="Arial" w:hAnsi="Arial" w:cs="Arial"/>
          <w:sz w:val="24"/>
          <w:szCs w:val="28"/>
        </w:rPr>
      </w:pPr>
      <w:r w:rsidRPr="00903ABA">
        <w:rPr>
          <w:rFonts w:ascii="Arial" w:hAnsi="Arial" w:cs="Arial"/>
          <w:sz w:val="24"/>
          <w:szCs w:val="28"/>
        </w:rPr>
        <w:t xml:space="preserve">The results of class-specific energy for the residential, commercial, and industrial sectors of the scenarios (with Moderate Gas – $0 CO2 scenario as the base) are shown in various tabs along with the Company’s estimated annual energy supply and peak demand for each scenario in electronic TS Attachment STF-198-10-b.  </w:t>
      </w:r>
    </w:p>
    <w:p w14:paraId="371E4A5D" w14:textId="77777777" w:rsidR="00FD7142" w:rsidRPr="00903ABA" w:rsidRDefault="00FD7142" w:rsidP="00FD7142">
      <w:pPr>
        <w:pStyle w:val="ListParagraph"/>
        <w:ind w:firstLine="0"/>
        <w:rPr>
          <w:rFonts w:ascii="Arial" w:hAnsi="Arial" w:cs="Arial"/>
          <w:sz w:val="24"/>
          <w:szCs w:val="28"/>
        </w:rPr>
      </w:pPr>
    </w:p>
    <w:p w14:paraId="20179154" w14:textId="77777777" w:rsidR="00FD7142" w:rsidRPr="00903ABA" w:rsidRDefault="00FD7142" w:rsidP="00FD7142">
      <w:pPr>
        <w:pStyle w:val="ListParagraph"/>
        <w:ind w:firstLine="0"/>
        <w:jc w:val="both"/>
        <w:rPr>
          <w:rFonts w:ascii="Arial" w:hAnsi="Arial" w:cs="Arial"/>
          <w:sz w:val="24"/>
          <w:szCs w:val="28"/>
        </w:rPr>
      </w:pPr>
      <w:r w:rsidRPr="00903ABA">
        <w:rPr>
          <w:rFonts w:ascii="Arial" w:hAnsi="Arial" w:cs="Arial"/>
          <w:sz w:val="24"/>
          <w:szCs w:val="28"/>
        </w:rPr>
        <w:t xml:space="preserve">This same approach is taken for the other operating companies and the resulting operating-company-specific estimated load forecasts, by class, are aggregated for each scenario into a Southern Company estimated load forecast. The Georgia Power Company and Southern Company estimated </w:t>
      </w:r>
      <w:r w:rsidRPr="00903ABA">
        <w:rPr>
          <w:rFonts w:ascii="Arial" w:hAnsi="Arial" w:cs="Arial"/>
          <w:sz w:val="24"/>
          <w:szCs w:val="28"/>
        </w:rPr>
        <w:lastRenderedPageBreak/>
        <w:t>monthly supply and peak demand forecasts are provided in TS Attachment STF-198-10-b. The Budget 2021 Southern Company System Forecast does not have Gulf included in it.</w:t>
      </w:r>
    </w:p>
    <w:p w14:paraId="432EF831" w14:textId="77777777" w:rsidR="00FD7142" w:rsidRPr="00903ABA" w:rsidRDefault="00FD7142" w:rsidP="00FD7142">
      <w:pPr>
        <w:pStyle w:val="ListParagraph"/>
        <w:ind w:firstLine="0"/>
        <w:jc w:val="both"/>
        <w:rPr>
          <w:rFonts w:ascii="Arial" w:hAnsi="Arial" w:cs="Arial"/>
          <w:sz w:val="24"/>
          <w:szCs w:val="28"/>
        </w:rPr>
      </w:pPr>
    </w:p>
    <w:p w14:paraId="7BF43DDF" w14:textId="77777777" w:rsidR="00FD7142" w:rsidRPr="00903ABA" w:rsidRDefault="00FD7142" w:rsidP="00FD7142">
      <w:pPr>
        <w:pStyle w:val="ListParagraph"/>
        <w:ind w:firstLine="0"/>
        <w:jc w:val="both"/>
        <w:rPr>
          <w:rFonts w:ascii="Arial" w:hAnsi="Arial" w:cs="Arial"/>
          <w:sz w:val="24"/>
          <w:szCs w:val="28"/>
        </w:rPr>
      </w:pPr>
      <w:r w:rsidRPr="00903ABA">
        <w:rPr>
          <w:rFonts w:ascii="Arial" w:hAnsi="Arial" w:cs="Arial"/>
          <w:sz w:val="24"/>
          <w:szCs w:val="28"/>
        </w:rPr>
        <w:t>For additional information on the development of the Company’s 24</w:t>
      </w:r>
      <w:r w:rsidRPr="00657890">
        <w:rPr>
          <w:rFonts w:ascii="Arial" w:hAnsi="Arial" w:cs="Arial"/>
          <w:sz w:val="24"/>
          <w:szCs w:val="28"/>
          <w:vertAlign w:val="superscript"/>
        </w:rPr>
        <w:t xml:space="preserve">th </w:t>
      </w:r>
      <w:r w:rsidRPr="00903ABA">
        <w:rPr>
          <w:rFonts w:ascii="Arial" w:hAnsi="Arial" w:cs="Arial"/>
          <w:sz w:val="24"/>
          <w:szCs w:val="28"/>
        </w:rPr>
        <w:t xml:space="preserve">VCM Natural Gas and CO2 forecasts, please refer to the Company’s response to STF-198-11. </w:t>
      </w:r>
    </w:p>
    <w:p w14:paraId="63F69E8D" w14:textId="77777777" w:rsidR="00FD7142" w:rsidRPr="00903ABA" w:rsidRDefault="00FD7142" w:rsidP="00FD7142">
      <w:pPr>
        <w:pStyle w:val="ListParagraph"/>
        <w:ind w:firstLine="0"/>
        <w:rPr>
          <w:rFonts w:ascii="Arial" w:hAnsi="Arial" w:cs="Arial"/>
          <w:sz w:val="24"/>
          <w:szCs w:val="28"/>
        </w:rPr>
      </w:pPr>
    </w:p>
    <w:p w14:paraId="072D81E2" w14:textId="77777777" w:rsidR="00FD7142" w:rsidRPr="00903ABA" w:rsidRDefault="00FD7142" w:rsidP="00FD7142">
      <w:pPr>
        <w:pStyle w:val="ListParagraph"/>
        <w:ind w:firstLine="0"/>
        <w:rPr>
          <w:rFonts w:ascii="Arial" w:hAnsi="Arial" w:cs="Arial"/>
          <w:sz w:val="24"/>
          <w:szCs w:val="28"/>
        </w:rPr>
      </w:pPr>
    </w:p>
    <w:p w14:paraId="1DF8EBD7" w14:textId="77777777" w:rsidR="00455CE4" w:rsidRPr="00903ABA" w:rsidRDefault="00455CE4">
      <w:pPr>
        <w:rPr>
          <w:rFonts w:ascii="Arial" w:hAnsi="Arial" w:cs="Arial"/>
          <w:sz w:val="28"/>
          <w:szCs w:val="22"/>
        </w:rPr>
      </w:pPr>
    </w:p>
    <w:p w14:paraId="22DA7B5C" w14:textId="77777777" w:rsidR="000C2AA7" w:rsidRPr="00903ABA" w:rsidRDefault="000C2AA7">
      <w:pPr>
        <w:rPr>
          <w:rFonts w:ascii="Arial" w:hAnsi="Arial" w:cs="Arial"/>
          <w:sz w:val="28"/>
          <w:szCs w:val="22"/>
        </w:rPr>
      </w:pPr>
    </w:p>
    <w:p w14:paraId="2B370FDE" w14:textId="2FF65B45" w:rsidR="00431988" w:rsidRPr="00E30089" w:rsidRDefault="00431988">
      <w:pPr>
        <w:rPr>
          <w:rFonts w:ascii="Arial" w:hAnsi="Arial" w:cs="Arial"/>
        </w:rPr>
      </w:pPr>
      <w:r w:rsidRPr="00E30089">
        <w:rPr>
          <w:rFonts w:ascii="Arial" w:hAnsi="Arial" w:cs="Arial"/>
        </w:rPr>
        <w:t xml:space="preserve">Contact: </w:t>
      </w:r>
      <w:r w:rsidR="00DD5CF1">
        <w:rPr>
          <w:rFonts w:ascii="Arial" w:hAnsi="Arial" w:cs="Arial"/>
        </w:rPr>
        <w:t>Jeremiah Haswell</w:t>
      </w:r>
    </w:p>
    <w:sectPr w:rsidR="00431988" w:rsidRPr="00E30089" w:rsidSect="00D950E2">
      <w:head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5F71E" w14:textId="77777777" w:rsidR="00464163" w:rsidRDefault="00464163" w:rsidP="00781B5E">
      <w:r>
        <w:separator/>
      </w:r>
    </w:p>
  </w:endnote>
  <w:endnote w:type="continuationSeparator" w:id="0">
    <w:p w14:paraId="315937E1" w14:textId="77777777" w:rsidR="00464163" w:rsidRDefault="00464163" w:rsidP="0078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885CC" w14:textId="77777777" w:rsidR="00464163" w:rsidRDefault="00464163" w:rsidP="00781B5E">
      <w:r>
        <w:separator/>
      </w:r>
    </w:p>
  </w:footnote>
  <w:footnote w:type="continuationSeparator" w:id="0">
    <w:p w14:paraId="6FB28A39" w14:textId="77777777" w:rsidR="00464163" w:rsidRDefault="00464163" w:rsidP="0078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3F9A1" w14:textId="1CF94F2D" w:rsidR="003F33AC" w:rsidRPr="0077677F" w:rsidRDefault="00F83ED9" w:rsidP="003F33AC">
    <w:pPr>
      <w:pStyle w:val="Footer"/>
      <w:tabs>
        <w:tab w:val="clear" w:pos="4680"/>
        <w:tab w:val="center" w:pos="4320"/>
      </w:tabs>
      <w:ind w:left="-720"/>
      <w:rPr>
        <w:rFonts w:ascii="Arial" w:hAnsi="Arial" w:cs="Arial"/>
      </w:rPr>
    </w:pPr>
    <w:r>
      <w:rPr>
        <w:rFonts w:ascii="Arial" w:hAnsi="Arial" w:cs="Arial"/>
      </w:rPr>
      <w:t>April 9</w:t>
    </w:r>
    <w:r w:rsidR="003B0352">
      <w:rPr>
        <w:rFonts w:ascii="Arial" w:hAnsi="Arial" w:cs="Arial"/>
      </w:rPr>
      <w:t>, 2021</w:t>
    </w:r>
    <w:r w:rsidR="003F33AC">
      <w:rPr>
        <w:rFonts w:ascii="Arial" w:hAnsi="Arial" w:cs="Arial"/>
        <w:b/>
      </w:rPr>
      <w:tab/>
    </w:r>
    <w:r w:rsidR="003F33AC">
      <w:rPr>
        <w:rFonts w:ascii="Arial" w:hAnsi="Arial" w:cs="Arial"/>
        <w:b/>
      </w:rPr>
      <w:tab/>
    </w:r>
    <w:r w:rsidR="003F33AC" w:rsidRPr="0077677F">
      <w:rPr>
        <w:rFonts w:ascii="Arial" w:hAnsi="Arial" w:cs="Arial"/>
      </w:rPr>
      <w:t xml:space="preserve">Page </w:t>
    </w:r>
    <w:r w:rsidR="003F33AC" w:rsidRPr="0077677F">
      <w:rPr>
        <w:rFonts w:ascii="Arial" w:hAnsi="Arial" w:cs="Arial"/>
      </w:rPr>
      <w:fldChar w:fldCharType="begin"/>
    </w:r>
    <w:r w:rsidR="003F33AC" w:rsidRPr="0077677F">
      <w:rPr>
        <w:rFonts w:ascii="Arial" w:hAnsi="Arial" w:cs="Arial"/>
      </w:rPr>
      <w:instrText xml:space="preserve"> PAGE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r w:rsidR="003F33AC" w:rsidRPr="0077677F">
      <w:rPr>
        <w:rFonts w:ascii="Arial" w:hAnsi="Arial" w:cs="Arial"/>
      </w:rPr>
      <w:t xml:space="preserve"> of </w:t>
    </w:r>
    <w:r w:rsidR="003F33AC" w:rsidRPr="0077677F">
      <w:rPr>
        <w:rFonts w:ascii="Arial" w:hAnsi="Arial" w:cs="Arial"/>
      </w:rPr>
      <w:fldChar w:fldCharType="begin"/>
    </w:r>
    <w:r w:rsidR="003F33AC" w:rsidRPr="0077677F">
      <w:rPr>
        <w:rFonts w:ascii="Arial" w:hAnsi="Arial" w:cs="Arial"/>
      </w:rPr>
      <w:instrText xml:space="preserve"> NUMPAGES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p>
  <w:p w14:paraId="0D1C5482" w14:textId="77777777" w:rsidR="00464163" w:rsidRPr="0077677F" w:rsidRDefault="00464163" w:rsidP="00E474B8">
    <w:pPr>
      <w:pStyle w:val="Header"/>
      <w:rPr>
        <w:rFonts w:ascii="Arial" w:hAnsi="Arial" w:cs="Arial"/>
      </w:rPr>
    </w:pPr>
  </w:p>
  <w:p w14:paraId="12E2A97D" w14:textId="77777777" w:rsidR="00464163" w:rsidRDefault="00464163" w:rsidP="003F33AC">
    <w:pPr>
      <w:pStyle w:val="Header"/>
      <w:tabs>
        <w:tab w:val="clear" w:pos="4680"/>
        <w:tab w:val="center" w:pos="4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7AA5"/>
    <w:multiLevelType w:val="multilevel"/>
    <w:tmpl w:val="1DEEB806"/>
    <w:lvl w:ilvl="0">
      <w:start w:val="1"/>
      <w:numFmt w:val="decimal"/>
      <w:lvlText w:val="STF-56-%1"/>
      <w:lvlJc w:val="left"/>
      <w:pPr>
        <w:ind w:left="2880" w:hanging="360"/>
      </w:pPr>
      <w:rPr>
        <w:rFonts w:hint="default"/>
        <w:b/>
        <w:sz w:val="24"/>
        <w:szCs w:val="24"/>
      </w:rPr>
    </w:lvl>
    <w:lvl w:ilvl="1">
      <w:start w:val="1"/>
      <w:numFmt w:val="lowerLetter"/>
      <w:lvlText w:val="%2)"/>
      <w:lvlJc w:val="left"/>
      <w:pPr>
        <w:ind w:left="3240" w:hanging="360"/>
      </w:pPr>
      <w:rPr>
        <w:rFonts w:hint="default"/>
      </w:rPr>
    </w:lvl>
    <w:lvl w:ilvl="2">
      <w:start w:val="1"/>
      <w:numFmt w:val="lowerRoman"/>
      <w:lvlText w:val="%3)"/>
      <w:lvlJc w:val="left"/>
      <w:pPr>
        <w:ind w:left="3600" w:hanging="36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 w15:restartNumberingAfterBreak="0">
    <w:nsid w:val="08097127"/>
    <w:multiLevelType w:val="hybridMultilevel"/>
    <w:tmpl w:val="669035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41559"/>
    <w:multiLevelType w:val="multilevel"/>
    <w:tmpl w:val="5E4028A6"/>
    <w:lvl w:ilvl="0">
      <w:start w:val="1"/>
      <w:numFmt w:val="decimal"/>
      <w:lvlText w:val="STF-77-%1"/>
      <w:lvlJc w:val="left"/>
      <w:pPr>
        <w:ind w:left="1440" w:hanging="1440"/>
      </w:pPr>
      <w:rPr>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5F388B"/>
    <w:multiLevelType w:val="hybridMultilevel"/>
    <w:tmpl w:val="C37883C4"/>
    <w:lvl w:ilvl="0" w:tplc="4B403BD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B1066"/>
    <w:multiLevelType w:val="hybridMultilevel"/>
    <w:tmpl w:val="9014E4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0222D"/>
    <w:multiLevelType w:val="hybridMultilevel"/>
    <w:tmpl w:val="776A9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79517E"/>
    <w:multiLevelType w:val="hybridMultilevel"/>
    <w:tmpl w:val="1DB03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DC619C"/>
    <w:multiLevelType w:val="hybridMultilevel"/>
    <w:tmpl w:val="BD3C50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DB5CC0"/>
    <w:multiLevelType w:val="hybridMultilevel"/>
    <w:tmpl w:val="079E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D175C6"/>
    <w:multiLevelType w:val="hybridMultilevel"/>
    <w:tmpl w:val="F2DCA474"/>
    <w:lvl w:ilvl="0" w:tplc="F33CE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E71D8A"/>
    <w:multiLevelType w:val="hybridMultilevel"/>
    <w:tmpl w:val="E1F621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D8364F"/>
    <w:multiLevelType w:val="hybridMultilevel"/>
    <w:tmpl w:val="12B62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707A92"/>
    <w:multiLevelType w:val="hybridMultilevel"/>
    <w:tmpl w:val="FED0FFBC"/>
    <w:lvl w:ilvl="0" w:tplc="68BED2A0">
      <w:start w:val="1"/>
      <w:numFmt w:val="decimal"/>
      <w:lvlText w:val="STF-108-%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CBF5375"/>
    <w:multiLevelType w:val="hybridMultilevel"/>
    <w:tmpl w:val="2C3A10FA"/>
    <w:lvl w:ilvl="0" w:tplc="602E3CB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D3510E"/>
    <w:multiLevelType w:val="hybridMultilevel"/>
    <w:tmpl w:val="F9FA9D2E"/>
    <w:lvl w:ilvl="0" w:tplc="FE746F0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ED2C81"/>
    <w:multiLevelType w:val="hybridMultilevel"/>
    <w:tmpl w:val="1A7444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F74625"/>
    <w:multiLevelType w:val="hybridMultilevel"/>
    <w:tmpl w:val="8AA0B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6F3943"/>
    <w:multiLevelType w:val="hybridMultilevel"/>
    <w:tmpl w:val="F378F384"/>
    <w:lvl w:ilvl="0" w:tplc="04090017">
      <w:start w:val="1"/>
      <w:numFmt w:val="lowerLetter"/>
      <w:lvlText w:val="%1)"/>
      <w:lvlJc w:val="left"/>
      <w:pPr>
        <w:ind w:left="2610" w:hanging="360"/>
      </w:pPr>
    </w:lvl>
    <w:lvl w:ilvl="1" w:tplc="04090019">
      <w:start w:val="1"/>
      <w:numFmt w:val="lowerLetter"/>
      <w:lvlText w:val="%2."/>
      <w:lvlJc w:val="left"/>
      <w:pPr>
        <w:ind w:left="3330" w:hanging="360"/>
      </w:pPr>
    </w:lvl>
    <w:lvl w:ilvl="2" w:tplc="0409001B">
      <w:start w:val="1"/>
      <w:numFmt w:val="lowerRoman"/>
      <w:lvlText w:val="%3."/>
      <w:lvlJc w:val="right"/>
      <w:pPr>
        <w:ind w:left="4050" w:hanging="180"/>
      </w:pPr>
    </w:lvl>
    <w:lvl w:ilvl="3" w:tplc="0409000F">
      <w:start w:val="1"/>
      <w:numFmt w:val="decimal"/>
      <w:lvlText w:val="%4."/>
      <w:lvlJc w:val="left"/>
      <w:pPr>
        <w:ind w:left="4770" w:hanging="360"/>
      </w:pPr>
    </w:lvl>
    <w:lvl w:ilvl="4" w:tplc="04090019">
      <w:start w:val="1"/>
      <w:numFmt w:val="lowerLetter"/>
      <w:lvlText w:val="%5."/>
      <w:lvlJc w:val="left"/>
      <w:pPr>
        <w:ind w:left="5490" w:hanging="360"/>
      </w:pPr>
    </w:lvl>
    <w:lvl w:ilvl="5" w:tplc="0409001B">
      <w:start w:val="1"/>
      <w:numFmt w:val="lowerRoman"/>
      <w:lvlText w:val="%6."/>
      <w:lvlJc w:val="right"/>
      <w:pPr>
        <w:ind w:left="6210" w:hanging="180"/>
      </w:pPr>
    </w:lvl>
    <w:lvl w:ilvl="6" w:tplc="0409000F">
      <w:start w:val="1"/>
      <w:numFmt w:val="decimal"/>
      <w:lvlText w:val="%7."/>
      <w:lvlJc w:val="left"/>
      <w:pPr>
        <w:ind w:left="6930" w:hanging="360"/>
      </w:pPr>
    </w:lvl>
    <w:lvl w:ilvl="7" w:tplc="04090019">
      <w:start w:val="1"/>
      <w:numFmt w:val="lowerLetter"/>
      <w:lvlText w:val="%8."/>
      <w:lvlJc w:val="left"/>
      <w:pPr>
        <w:ind w:left="7650" w:hanging="360"/>
      </w:pPr>
    </w:lvl>
    <w:lvl w:ilvl="8" w:tplc="0409001B">
      <w:start w:val="1"/>
      <w:numFmt w:val="lowerRoman"/>
      <w:lvlText w:val="%9."/>
      <w:lvlJc w:val="right"/>
      <w:pPr>
        <w:ind w:left="8370" w:hanging="180"/>
      </w:pPr>
    </w:lvl>
  </w:abstractNum>
  <w:abstractNum w:abstractNumId="18" w15:restartNumberingAfterBreak="0">
    <w:nsid w:val="3D3F6415"/>
    <w:multiLevelType w:val="hybridMultilevel"/>
    <w:tmpl w:val="916C4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EB1248"/>
    <w:multiLevelType w:val="hybridMultilevel"/>
    <w:tmpl w:val="1F4053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FC7E22"/>
    <w:multiLevelType w:val="hybridMultilevel"/>
    <w:tmpl w:val="E9760E14"/>
    <w:lvl w:ilvl="0" w:tplc="271EF6F0">
      <w:start w:val="1"/>
      <w:numFmt w:val="decimal"/>
      <w:lvlText w:val="STF-187-%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A4A2D67"/>
    <w:multiLevelType w:val="hybridMultilevel"/>
    <w:tmpl w:val="76CAA214"/>
    <w:lvl w:ilvl="0" w:tplc="1D80213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6C7723"/>
    <w:multiLevelType w:val="hybridMultilevel"/>
    <w:tmpl w:val="2CBEDA14"/>
    <w:lvl w:ilvl="0" w:tplc="32B49B08">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E711E4"/>
    <w:multiLevelType w:val="hybridMultilevel"/>
    <w:tmpl w:val="E66E889C"/>
    <w:lvl w:ilvl="0" w:tplc="58CCDC9A">
      <w:start w:val="1"/>
      <w:numFmt w:val="lowerLetter"/>
      <w:lvlText w:val="%1."/>
      <w:lvlJc w:val="left"/>
      <w:pPr>
        <w:ind w:left="720" w:hanging="360"/>
      </w:pPr>
      <w:rPr>
        <w:rFonts w:hint="default"/>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973C5C"/>
    <w:multiLevelType w:val="multilevel"/>
    <w:tmpl w:val="7DCA1F08"/>
    <w:lvl w:ilvl="0">
      <w:start w:val="1"/>
      <w:numFmt w:val="decimal"/>
      <w:lvlText w:val="STF-76-%1"/>
      <w:lvlJc w:val="left"/>
      <w:pPr>
        <w:ind w:left="720" w:hanging="360"/>
      </w:pPr>
      <w:rPr>
        <w:rFonts w:hint="default"/>
        <w:b/>
        <w:i w:val="0"/>
        <w:sz w:val="24"/>
      </w:rPr>
    </w:lvl>
    <w:lvl w:ilvl="1">
      <w:start w:val="1"/>
      <w:numFmt w:val="lowerLetter"/>
      <w:lvlText w:val="%2."/>
      <w:lvlJc w:val="left"/>
      <w:pPr>
        <w:ind w:left="965" w:hanging="418"/>
      </w:pPr>
      <w:rPr>
        <w:rFonts w:hint="default"/>
      </w:rPr>
    </w:lvl>
    <w:lvl w:ilvl="2">
      <w:start w:val="1"/>
      <w:numFmt w:val="lowerRoman"/>
      <w:lvlText w:val="%3."/>
      <w:lvlJc w:val="right"/>
      <w:pPr>
        <w:ind w:left="1094" w:hanging="360"/>
      </w:pPr>
      <w:rPr>
        <w:rFonts w:hint="default"/>
      </w:rPr>
    </w:lvl>
    <w:lvl w:ilvl="3">
      <w:start w:val="1"/>
      <w:numFmt w:val="decimal"/>
      <w:lvlText w:val="%4."/>
      <w:lvlJc w:val="left"/>
      <w:pPr>
        <w:ind w:left="1281" w:hanging="360"/>
      </w:pPr>
      <w:rPr>
        <w:rFonts w:hint="default"/>
      </w:rPr>
    </w:lvl>
    <w:lvl w:ilvl="4">
      <w:start w:val="1"/>
      <w:numFmt w:val="lowerLetter"/>
      <w:lvlText w:val="%5."/>
      <w:lvlJc w:val="left"/>
      <w:pPr>
        <w:ind w:left="1468" w:hanging="360"/>
      </w:pPr>
      <w:rPr>
        <w:rFonts w:hint="default"/>
      </w:rPr>
    </w:lvl>
    <w:lvl w:ilvl="5">
      <w:start w:val="1"/>
      <w:numFmt w:val="lowerRoman"/>
      <w:lvlText w:val="%6."/>
      <w:lvlJc w:val="right"/>
      <w:pPr>
        <w:ind w:left="1655" w:hanging="360"/>
      </w:pPr>
      <w:rPr>
        <w:rFonts w:hint="default"/>
      </w:rPr>
    </w:lvl>
    <w:lvl w:ilvl="6">
      <w:start w:val="1"/>
      <w:numFmt w:val="decimal"/>
      <w:lvlText w:val="%7."/>
      <w:lvlJc w:val="left"/>
      <w:pPr>
        <w:ind w:left="1842"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right"/>
      <w:pPr>
        <w:ind w:left="2216" w:hanging="360"/>
      </w:pPr>
      <w:rPr>
        <w:rFonts w:hint="default"/>
      </w:rPr>
    </w:lvl>
  </w:abstractNum>
  <w:abstractNum w:abstractNumId="25" w15:restartNumberingAfterBreak="0">
    <w:nsid w:val="69041071"/>
    <w:multiLevelType w:val="multilevel"/>
    <w:tmpl w:val="2FC4E09E"/>
    <w:lvl w:ilvl="0">
      <w:start w:val="1"/>
      <w:numFmt w:val="decimal"/>
      <w:lvlText w:val="STF-34-%1"/>
      <w:lvlJc w:val="left"/>
      <w:pPr>
        <w:tabs>
          <w:tab w:val="num" w:pos="1440"/>
        </w:tabs>
        <w:ind w:left="1440" w:hanging="1440"/>
      </w:pPr>
      <w:rPr>
        <w:b/>
        <w:sz w:val="24"/>
        <w:szCs w:val="24"/>
      </w:rPr>
    </w:lvl>
    <w:lvl w:ilvl="1">
      <w:start w:val="1"/>
      <w:numFmt w:val="lowerLetter"/>
      <w:lvlText w:val="%2."/>
      <w:lvlJc w:val="left"/>
      <w:pPr>
        <w:tabs>
          <w:tab w:val="num" w:pos="2232"/>
        </w:tabs>
        <w:ind w:left="2232" w:hanging="144"/>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697C7687"/>
    <w:multiLevelType w:val="hybridMultilevel"/>
    <w:tmpl w:val="B40E2D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712BFF"/>
    <w:multiLevelType w:val="hybridMultilevel"/>
    <w:tmpl w:val="F378F3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ABA792A"/>
    <w:multiLevelType w:val="hybridMultilevel"/>
    <w:tmpl w:val="2A16E0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2"/>
  </w:num>
  <w:num w:numId="10">
    <w:abstractNumId w:val="12"/>
  </w:num>
  <w:num w:numId="11">
    <w:abstractNumId w:val="16"/>
  </w:num>
  <w:num w:numId="12">
    <w:abstractNumId w:val="14"/>
  </w:num>
  <w:num w:numId="13">
    <w:abstractNumId w:val="20"/>
  </w:num>
  <w:num w:numId="14">
    <w:abstractNumId w:val="6"/>
  </w:num>
  <w:num w:numId="15">
    <w:abstractNumId w:val="13"/>
  </w:num>
  <w:num w:numId="16">
    <w:abstractNumId w:val="19"/>
  </w:num>
  <w:num w:numId="17">
    <w:abstractNumId w:val="9"/>
  </w:num>
  <w:num w:numId="18">
    <w:abstractNumId w:val="5"/>
  </w:num>
  <w:num w:numId="19">
    <w:abstractNumId w:val="1"/>
  </w:num>
  <w:num w:numId="20">
    <w:abstractNumId w:val="8"/>
  </w:num>
  <w:num w:numId="21">
    <w:abstractNumId w:val="21"/>
  </w:num>
  <w:num w:numId="22">
    <w:abstractNumId w:val="18"/>
  </w:num>
  <w:num w:numId="23">
    <w:abstractNumId w:val="3"/>
  </w:num>
  <w:num w:numId="24">
    <w:abstractNumId w:val="15"/>
  </w:num>
  <w:num w:numId="25">
    <w:abstractNumId w:val="26"/>
  </w:num>
  <w:num w:numId="26">
    <w:abstractNumId w:val="4"/>
  </w:num>
  <w:num w:numId="27">
    <w:abstractNumId w:val="22"/>
  </w:num>
  <w:num w:numId="28">
    <w:abstractNumId w:val="7"/>
  </w:num>
  <w:num w:numId="29">
    <w:abstractNumId w:val="28"/>
  </w:num>
  <w:num w:numId="30">
    <w:abstractNumId w:val="10"/>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B5E"/>
    <w:rsid w:val="000043A7"/>
    <w:rsid w:val="000214BA"/>
    <w:rsid w:val="00035EF0"/>
    <w:rsid w:val="000374F8"/>
    <w:rsid w:val="000403C8"/>
    <w:rsid w:val="000445B0"/>
    <w:rsid w:val="00060549"/>
    <w:rsid w:val="000667D2"/>
    <w:rsid w:val="0006704B"/>
    <w:rsid w:val="00081574"/>
    <w:rsid w:val="000C2AA7"/>
    <w:rsid w:val="000D7FFD"/>
    <w:rsid w:val="000E039A"/>
    <w:rsid w:val="000E68DF"/>
    <w:rsid w:val="000E6ABA"/>
    <w:rsid w:val="000F71A4"/>
    <w:rsid w:val="001008FE"/>
    <w:rsid w:val="001465E2"/>
    <w:rsid w:val="001468DC"/>
    <w:rsid w:val="00157DC9"/>
    <w:rsid w:val="0016065E"/>
    <w:rsid w:val="00164901"/>
    <w:rsid w:val="0017226E"/>
    <w:rsid w:val="001761E4"/>
    <w:rsid w:val="00176D14"/>
    <w:rsid w:val="0018439C"/>
    <w:rsid w:val="001A1D1D"/>
    <w:rsid w:val="001C5585"/>
    <w:rsid w:val="001E5DA0"/>
    <w:rsid w:val="002303B9"/>
    <w:rsid w:val="00247C79"/>
    <w:rsid w:val="00270FA5"/>
    <w:rsid w:val="00274366"/>
    <w:rsid w:val="00275B6A"/>
    <w:rsid w:val="0027726E"/>
    <w:rsid w:val="00297B01"/>
    <w:rsid w:val="002A0E5A"/>
    <w:rsid w:val="002B40B1"/>
    <w:rsid w:val="002C6A3A"/>
    <w:rsid w:val="002C7DA5"/>
    <w:rsid w:val="002E1A6A"/>
    <w:rsid w:val="002F2512"/>
    <w:rsid w:val="002F6728"/>
    <w:rsid w:val="00302EEF"/>
    <w:rsid w:val="00303450"/>
    <w:rsid w:val="00321E8A"/>
    <w:rsid w:val="0038296D"/>
    <w:rsid w:val="003962E1"/>
    <w:rsid w:val="003B0352"/>
    <w:rsid w:val="003B77C9"/>
    <w:rsid w:val="003C59E7"/>
    <w:rsid w:val="003D7EB2"/>
    <w:rsid w:val="003F33AC"/>
    <w:rsid w:val="003F5B3C"/>
    <w:rsid w:val="004016CF"/>
    <w:rsid w:val="00401F1A"/>
    <w:rsid w:val="00405F6C"/>
    <w:rsid w:val="00431988"/>
    <w:rsid w:val="00440182"/>
    <w:rsid w:val="00455CE4"/>
    <w:rsid w:val="00460392"/>
    <w:rsid w:val="0046041A"/>
    <w:rsid w:val="00461570"/>
    <w:rsid w:val="00464163"/>
    <w:rsid w:val="00471255"/>
    <w:rsid w:val="0048430D"/>
    <w:rsid w:val="00486073"/>
    <w:rsid w:val="004967F1"/>
    <w:rsid w:val="00496C5A"/>
    <w:rsid w:val="004A6CD4"/>
    <w:rsid w:val="004C6A8A"/>
    <w:rsid w:val="004D0481"/>
    <w:rsid w:val="00510DC3"/>
    <w:rsid w:val="00515C39"/>
    <w:rsid w:val="005243F4"/>
    <w:rsid w:val="00536EC6"/>
    <w:rsid w:val="0054000B"/>
    <w:rsid w:val="0057479C"/>
    <w:rsid w:val="0057533E"/>
    <w:rsid w:val="00590FC8"/>
    <w:rsid w:val="005C003E"/>
    <w:rsid w:val="005C4EBA"/>
    <w:rsid w:val="005F22E0"/>
    <w:rsid w:val="005F7E58"/>
    <w:rsid w:val="006464D1"/>
    <w:rsid w:val="006507AC"/>
    <w:rsid w:val="00655F98"/>
    <w:rsid w:val="00657890"/>
    <w:rsid w:val="006710FB"/>
    <w:rsid w:val="00684CFD"/>
    <w:rsid w:val="006A0EC9"/>
    <w:rsid w:val="006B6B18"/>
    <w:rsid w:val="006C263A"/>
    <w:rsid w:val="006D711E"/>
    <w:rsid w:val="006E7936"/>
    <w:rsid w:val="0070496B"/>
    <w:rsid w:val="007109AE"/>
    <w:rsid w:val="00713AAC"/>
    <w:rsid w:val="00724496"/>
    <w:rsid w:val="0073556D"/>
    <w:rsid w:val="007407E8"/>
    <w:rsid w:val="00745AAD"/>
    <w:rsid w:val="00755B28"/>
    <w:rsid w:val="007802B7"/>
    <w:rsid w:val="00780490"/>
    <w:rsid w:val="00781B5E"/>
    <w:rsid w:val="007860CA"/>
    <w:rsid w:val="007A6670"/>
    <w:rsid w:val="007B2D3D"/>
    <w:rsid w:val="007C4E22"/>
    <w:rsid w:val="007D41C6"/>
    <w:rsid w:val="008012B2"/>
    <w:rsid w:val="00807EC6"/>
    <w:rsid w:val="008269DC"/>
    <w:rsid w:val="008272A5"/>
    <w:rsid w:val="00840589"/>
    <w:rsid w:val="008431C4"/>
    <w:rsid w:val="00856A5B"/>
    <w:rsid w:val="00862B6D"/>
    <w:rsid w:val="0088112D"/>
    <w:rsid w:val="008822C9"/>
    <w:rsid w:val="00885D2E"/>
    <w:rsid w:val="00886CAB"/>
    <w:rsid w:val="008A0151"/>
    <w:rsid w:val="008A1FFF"/>
    <w:rsid w:val="008C0D6E"/>
    <w:rsid w:val="008D0A5C"/>
    <w:rsid w:val="008F7CAF"/>
    <w:rsid w:val="00903ABA"/>
    <w:rsid w:val="00923700"/>
    <w:rsid w:val="009500E3"/>
    <w:rsid w:val="0096507E"/>
    <w:rsid w:val="00970288"/>
    <w:rsid w:val="00973D0D"/>
    <w:rsid w:val="00997F98"/>
    <w:rsid w:val="009A34C1"/>
    <w:rsid w:val="009C2997"/>
    <w:rsid w:val="009C58E7"/>
    <w:rsid w:val="009E3C9F"/>
    <w:rsid w:val="009E7B6A"/>
    <w:rsid w:val="009F11F7"/>
    <w:rsid w:val="00A00EA8"/>
    <w:rsid w:val="00A100C9"/>
    <w:rsid w:val="00A165A5"/>
    <w:rsid w:val="00A37235"/>
    <w:rsid w:val="00A45928"/>
    <w:rsid w:val="00A614DA"/>
    <w:rsid w:val="00A61DF0"/>
    <w:rsid w:val="00A7112E"/>
    <w:rsid w:val="00A72D04"/>
    <w:rsid w:val="00A912EE"/>
    <w:rsid w:val="00AA67C2"/>
    <w:rsid w:val="00AA75B4"/>
    <w:rsid w:val="00AB61AA"/>
    <w:rsid w:val="00AD3CF5"/>
    <w:rsid w:val="00AD417B"/>
    <w:rsid w:val="00AE10D3"/>
    <w:rsid w:val="00AF7971"/>
    <w:rsid w:val="00B00A19"/>
    <w:rsid w:val="00B1708B"/>
    <w:rsid w:val="00B2467A"/>
    <w:rsid w:val="00B46E45"/>
    <w:rsid w:val="00B82057"/>
    <w:rsid w:val="00B90593"/>
    <w:rsid w:val="00B908B0"/>
    <w:rsid w:val="00B90ACE"/>
    <w:rsid w:val="00BB0674"/>
    <w:rsid w:val="00BB2456"/>
    <w:rsid w:val="00BB46CE"/>
    <w:rsid w:val="00BB7DBE"/>
    <w:rsid w:val="00BC6A09"/>
    <w:rsid w:val="00BD579D"/>
    <w:rsid w:val="00BD5E57"/>
    <w:rsid w:val="00BF2D59"/>
    <w:rsid w:val="00C10668"/>
    <w:rsid w:val="00C13460"/>
    <w:rsid w:val="00C156A6"/>
    <w:rsid w:val="00C177A9"/>
    <w:rsid w:val="00C21B7E"/>
    <w:rsid w:val="00C367A2"/>
    <w:rsid w:val="00C42ED4"/>
    <w:rsid w:val="00C57DC7"/>
    <w:rsid w:val="00C6749F"/>
    <w:rsid w:val="00C73685"/>
    <w:rsid w:val="00C80B75"/>
    <w:rsid w:val="00CD5D65"/>
    <w:rsid w:val="00CF0C74"/>
    <w:rsid w:val="00CF0F15"/>
    <w:rsid w:val="00CF4BE5"/>
    <w:rsid w:val="00D228F6"/>
    <w:rsid w:val="00D35201"/>
    <w:rsid w:val="00D373E7"/>
    <w:rsid w:val="00D758F3"/>
    <w:rsid w:val="00D84FBF"/>
    <w:rsid w:val="00D933BB"/>
    <w:rsid w:val="00D950E2"/>
    <w:rsid w:val="00D97684"/>
    <w:rsid w:val="00DC793E"/>
    <w:rsid w:val="00DD4F94"/>
    <w:rsid w:val="00DD5CF1"/>
    <w:rsid w:val="00DD63DD"/>
    <w:rsid w:val="00DF69EC"/>
    <w:rsid w:val="00E03F19"/>
    <w:rsid w:val="00E066C2"/>
    <w:rsid w:val="00E2315B"/>
    <w:rsid w:val="00E27436"/>
    <w:rsid w:val="00E275ED"/>
    <w:rsid w:val="00E30089"/>
    <w:rsid w:val="00E3029F"/>
    <w:rsid w:val="00E3732F"/>
    <w:rsid w:val="00E43ADD"/>
    <w:rsid w:val="00E474B8"/>
    <w:rsid w:val="00E50776"/>
    <w:rsid w:val="00E52935"/>
    <w:rsid w:val="00E62D76"/>
    <w:rsid w:val="00E650F7"/>
    <w:rsid w:val="00E728C7"/>
    <w:rsid w:val="00E812FD"/>
    <w:rsid w:val="00EC659B"/>
    <w:rsid w:val="00F01154"/>
    <w:rsid w:val="00F10747"/>
    <w:rsid w:val="00F65111"/>
    <w:rsid w:val="00F66F01"/>
    <w:rsid w:val="00F72342"/>
    <w:rsid w:val="00F82FAD"/>
    <w:rsid w:val="00F83ED9"/>
    <w:rsid w:val="00F9046E"/>
    <w:rsid w:val="00F94336"/>
    <w:rsid w:val="00F95C9A"/>
    <w:rsid w:val="00FA2C7E"/>
    <w:rsid w:val="00FB271B"/>
    <w:rsid w:val="00FB32D6"/>
    <w:rsid w:val="00FC463E"/>
    <w:rsid w:val="00FC5EAE"/>
    <w:rsid w:val="00FD7142"/>
    <w:rsid w:val="00FE627C"/>
    <w:rsid w:val="00FF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14:docId w14:val="2287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B5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B5E"/>
    <w:pPr>
      <w:tabs>
        <w:tab w:val="center" w:pos="4680"/>
        <w:tab w:val="right" w:pos="9360"/>
      </w:tabs>
    </w:pPr>
  </w:style>
  <w:style w:type="character" w:customStyle="1" w:styleId="HeaderChar">
    <w:name w:val="Header Char"/>
    <w:basedOn w:val="DefaultParagraphFont"/>
    <w:link w:val="Header"/>
    <w:rsid w:val="00781B5E"/>
  </w:style>
  <w:style w:type="paragraph" w:styleId="Footer">
    <w:name w:val="footer"/>
    <w:basedOn w:val="Normal"/>
    <w:link w:val="FooterChar"/>
    <w:unhideWhenUsed/>
    <w:rsid w:val="00781B5E"/>
    <w:pPr>
      <w:tabs>
        <w:tab w:val="center" w:pos="4680"/>
        <w:tab w:val="right" w:pos="9360"/>
      </w:tabs>
    </w:pPr>
  </w:style>
  <w:style w:type="character" w:customStyle="1" w:styleId="FooterChar">
    <w:name w:val="Footer Char"/>
    <w:basedOn w:val="DefaultParagraphFont"/>
    <w:link w:val="Footer"/>
    <w:rsid w:val="00781B5E"/>
  </w:style>
  <w:style w:type="paragraph" w:styleId="Title">
    <w:name w:val="Title"/>
    <w:basedOn w:val="Normal"/>
    <w:link w:val="TitleChar"/>
    <w:qFormat/>
    <w:rsid w:val="00781B5E"/>
    <w:pPr>
      <w:spacing w:before="240" w:after="60"/>
      <w:jc w:val="center"/>
      <w:outlineLvl w:val="0"/>
    </w:pPr>
    <w:rPr>
      <w:rFonts w:ascii="Arial" w:hAnsi="Arial"/>
      <w:b/>
      <w:kern w:val="28"/>
      <w:sz w:val="32"/>
    </w:rPr>
  </w:style>
  <w:style w:type="character" w:customStyle="1" w:styleId="TitleChar">
    <w:name w:val="Title Char"/>
    <w:basedOn w:val="DefaultParagraphFont"/>
    <w:link w:val="Title"/>
    <w:rsid w:val="00781B5E"/>
    <w:rPr>
      <w:rFonts w:ascii="Arial" w:eastAsia="Times New Roman" w:hAnsi="Arial" w:cs="Times New Roman"/>
      <w:b/>
      <w:kern w:val="28"/>
      <w:sz w:val="32"/>
      <w:szCs w:val="20"/>
    </w:rPr>
  </w:style>
  <w:style w:type="paragraph" w:styleId="ListParagraph">
    <w:name w:val="List Paragraph"/>
    <w:basedOn w:val="Normal"/>
    <w:uiPriority w:val="34"/>
    <w:qFormat/>
    <w:rsid w:val="00781B5E"/>
    <w:pPr>
      <w:ind w:left="720" w:hanging="360"/>
    </w:pPr>
    <w:rPr>
      <w:rFonts w:ascii="Calibri" w:eastAsia="Calibri" w:hAnsi="Calibri"/>
      <w:sz w:val="22"/>
      <w:szCs w:val="22"/>
    </w:rPr>
  </w:style>
  <w:style w:type="paragraph" w:styleId="BalloonText">
    <w:name w:val="Balloon Text"/>
    <w:basedOn w:val="Normal"/>
    <w:link w:val="BalloonTextChar"/>
    <w:uiPriority w:val="99"/>
    <w:semiHidden/>
    <w:unhideWhenUsed/>
    <w:rsid w:val="00431988"/>
    <w:rPr>
      <w:rFonts w:ascii="Tahoma" w:hAnsi="Tahoma" w:cs="Tahoma"/>
      <w:sz w:val="16"/>
      <w:szCs w:val="16"/>
    </w:rPr>
  </w:style>
  <w:style w:type="character" w:customStyle="1" w:styleId="BalloonTextChar">
    <w:name w:val="Balloon Text Char"/>
    <w:basedOn w:val="DefaultParagraphFont"/>
    <w:link w:val="BalloonText"/>
    <w:uiPriority w:val="99"/>
    <w:semiHidden/>
    <w:rsid w:val="00431988"/>
    <w:rPr>
      <w:rFonts w:ascii="Tahoma" w:eastAsia="Times New Roman" w:hAnsi="Tahoma" w:cs="Tahoma"/>
      <w:sz w:val="16"/>
      <w:szCs w:val="16"/>
    </w:rPr>
  </w:style>
  <w:style w:type="paragraph" w:styleId="FootnoteText">
    <w:name w:val="footnote text"/>
    <w:basedOn w:val="Normal"/>
    <w:link w:val="FootnoteTextChar"/>
    <w:uiPriority w:val="99"/>
    <w:unhideWhenUsed/>
    <w:rsid w:val="00DD63DD"/>
    <w:rPr>
      <w:rFonts w:ascii="Calibri" w:eastAsia="Calibri" w:hAnsi="Calibri"/>
      <w:sz w:val="20"/>
      <w:lang w:val="x-none" w:eastAsia="x-none"/>
    </w:rPr>
  </w:style>
  <w:style w:type="character" w:customStyle="1" w:styleId="FootnoteTextChar">
    <w:name w:val="Footnote Text Char"/>
    <w:basedOn w:val="DefaultParagraphFont"/>
    <w:link w:val="FootnoteText"/>
    <w:uiPriority w:val="99"/>
    <w:rsid w:val="00DD63DD"/>
    <w:rPr>
      <w:rFonts w:ascii="Calibri" w:eastAsia="Calibri" w:hAnsi="Calibri" w:cs="Times New Roman"/>
      <w:sz w:val="20"/>
      <w:szCs w:val="20"/>
      <w:lang w:val="x-none" w:eastAsia="x-none"/>
    </w:rPr>
  </w:style>
  <w:style w:type="character" w:styleId="FootnoteReference">
    <w:name w:val="footnote reference"/>
    <w:uiPriority w:val="99"/>
    <w:unhideWhenUsed/>
    <w:rsid w:val="00DD63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973958">
      <w:bodyDiv w:val="1"/>
      <w:marLeft w:val="0"/>
      <w:marRight w:val="0"/>
      <w:marTop w:val="0"/>
      <w:marBottom w:val="0"/>
      <w:divBdr>
        <w:top w:val="none" w:sz="0" w:space="0" w:color="auto"/>
        <w:left w:val="none" w:sz="0" w:space="0" w:color="auto"/>
        <w:bottom w:val="none" w:sz="0" w:space="0" w:color="auto"/>
        <w:right w:val="none" w:sz="0" w:space="0" w:color="auto"/>
      </w:divBdr>
    </w:div>
    <w:div w:id="593786086">
      <w:bodyDiv w:val="1"/>
      <w:marLeft w:val="0"/>
      <w:marRight w:val="0"/>
      <w:marTop w:val="0"/>
      <w:marBottom w:val="0"/>
      <w:divBdr>
        <w:top w:val="none" w:sz="0" w:space="0" w:color="auto"/>
        <w:left w:val="none" w:sz="0" w:space="0" w:color="auto"/>
        <w:bottom w:val="none" w:sz="0" w:space="0" w:color="auto"/>
        <w:right w:val="none" w:sz="0" w:space="0" w:color="auto"/>
      </w:divBdr>
    </w:div>
    <w:div w:id="607544673">
      <w:bodyDiv w:val="1"/>
      <w:marLeft w:val="0"/>
      <w:marRight w:val="0"/>
      <w:marTop w:val="0"/>
      <w:marBottom w:val="0"/>
      <w:divBdr>
        <w:top w:val="none" w:sz="0" w:space="0" w:color="auto"/>
        <w:left w:val="none" w:sz="0" w:space="0" w:color="auto"/>
        <w:bottom w:val="none" w:sz="0" w:space="0" w:color="auto"/>
        <w:right w:val="none" w:sz="0" w:space="0" w:color="auto"/>
      </w:divBdr>
    </w:div>
    <w:div w:id="628126208">
      <w:bodyDiv w:val="1"/>
      <w:marLeft w:val="0"/>
      <w:marRight w:val="0"/>
      <w:marTop w:val="0"/>
      <w:marBottom w:val="0"/>
      <w:divBdr>
        <w:top w:val="none" w:sz="0" w:space="0" w:color="auto"/>
        <w:left w:val="none" w:sz="0" w:space="0" w:color="auto"/>
        <w:bottom w:val="none" w:sz="0" w:space="0" w:color="auto"/>
        <w:right w:val="none" w:sz="0" w:space="0" w:color="auto"/>
      </w:divBdr>
    </w:div>
    <w:div w:id="695035228">
      <w:bodyDiv w:val="1"/>
      <w:marLeft w:val="0"/>
      <w:marRight w:val="0"/>
      <w:marTop w:val="0"/>
      <w:marBottom w:val="0"/>
      <w:divBdr>
        <w:top w:val="none" w:sz="0" w:space="0" w:color="auto"/>
        <w:left w:val="none" w:sz="0" w:space="0" w:color="auto"/>
        <w:bottom w:val="none" w:sz="0" w:space="0" w:color="auto"/>
        <w:right w:val="none" w:sz="0" w:space="0" w:color="auto"/>
      </w:divBdr>
    </w:div>
    <w:div w:id="699166411">
      <w:bodyDiv w:val="1"/>
      <w:marLeft w:val="0"/>
      <w:marRight w:val="0"/>
      <w:marTop w:val="0"/>
      <w:marBottom w:val="0"/>
      <w:divBdr>
        <w:top w:val="none" w:sz="0" w:space="0" w:color="auto"/>
        <w:left w:val="none" w:sz="0" w:space="0" w:color="auto"/>
        <w:bottom w:val="none" w:sz="0" w:space="0" w:color="auto"/>
        <w:right w:val="none" w:sz="0" w:space="0" w:color="auto"/>
      </w:divBdr>
    </w:div>
    <w:div w:id="733894874">
      <w:bodyDiv w:val="1"/>
      <w:marLeft w:val="0"/>
      <w:marRight w:val="0"/>
      <w:marTop w:val="0"/>
      <w:marBottom w:val="0"/>
      <w:divBdr>
        <w:top w:val="none" w:sz="0" w:space="0" w:color="auto"/>
        <w:left w:val="none" w:sz="0" w:space="0" w:color="auto"/>
        <w:bottom w:val="none" w:sz="0" w:space="0" w:color="auto"/>
        <w:right w:val="none" w:sz="0" w:space="0" w:color="auto"/>
      </w:divBdr>
    </w:div>
    <w:div w:id="760028996">
      <w:bodyDiv w:val="1"/>
      <w:marLeft w:val="0"/>
      <w:marRight w:val="0"/>
      <w:marTop w:val="0"/>
      <w:marBottom w:val="0"/>
      <w:divBdr>
        <w:top w:val="none" w:sz="0" w:space="0" w:color="auto"/>
        <w:left w:val="none" w:sz="0" w:space="0" w:color="auto"/>
        <w:bottom w:val="none" w:sz="0" w:space="0" w:color="auto"/>
        <w:right w:val="none" w:sz="0" w:space="0" w:color="auto"/>
      </w:divBdr>
    </w:div>
    <w:div w:id="874582546">
      <w:bodyDiv w:val="1"/>
      <w:marLeft w:val="0"/>
      <w:marRight w:val="0"/>
      <w:marTop w:val="0"/>
      <w:marBottom w:val="0"/>
      <w:divBdr>
        <w:top w:val="none" w:sz="0" w:space="0" w:color="auto"/>
        <w:left w:val="none" w:sz="0" w:space="0" w:color="auto"/>
        <w:bottom w:val="none" w:sz="0" w:space="0" w:color="auto"/>
        <w:right w:val="none" w:sz="0" w:space="0" w:color="auto"/>
      </w:divBdr>
    </w:div>
    <w:div w:id="937063188">
      <w:bodyDiv w:val="1"/>
      <w:marLeft w:val="0"/>
      <w:marRight w:val="0"/>
      <w:marTop w:val="0"/>
      <w:marBottom w:val="0"/>
      <w:divBdr>
        <w:top w:val="none" w:sz="0" w:space="0" w:color="auto"/>
        <w:left w:val="none" w:sz="0" w:space="0" w:color="auto"/>
        <w:bottom w:val="none" w:sz="0" w:space="0" w:color="auto"/>
        <w:right w:val="none" w:sz="0" w:space="0" w:color="auto"/>
      </w:divBdr>
    </w:div>
    <w:div w:id="1062601315">
      <w:bodyDiv w:val="1"/>
      <w:marLeft w:val="0"/>
      <w:marRight w:val="0"/>
      <w:marTop w:val="0"/>
      <w:marBottom w:val="0"/>
      <w:divBdr>
        <w:top w:val="none" w:sz="0" w:space="0" w:color="auto"/>
        <w:left w:val="none" w:sz="0" w:space="0" w:color="auto"/>
        <w:bottom w:val="none" w:sz="0" w:space="0" w:color="auto"/>
        <w:right w:val="none" w:sz="0" w:space="0" w:color="auto"/>
      </w:divBdr>
    </w:div>
    <w:div w:id="1105810712">
      <w:bodyDiv w:val="1"/>
      <w:marLeft w:val="0"/>
      <w:marRight w:val="0"/>
      <w:marTop w:val="0"/>
      <w:marBottom w:val="0"/>
      <w:divBdr>
        <w:top w:val="none" w:sz="0" w:space="0" w:color="auto"/>
        <w:left w:val="none" w:sz="0" w:space="0" w:color="auto"/>
        <w:bottom w:val="none" w:sz="0" w:space="0" w:color="auto"/>
        <w:right w:val="none" w:sz="0" w:space="0" w:color="auto"/>
      </w:divBdr>
    </w:div>
    <w:div w:id="1366246452">
      <w:bodyDiv w:val="1"/>
      <w:marLeft w:val="0"/>
      <w:marRight w:val="0"/>
      <w:marTop w:val="0"/>
      <w:marBottom w:val="0"/>
      <w:divBdr>
        <w:top w:val="none" w:sz="0" w:space="0" w:color="auto"/>
        <w:left w:val="none" w:sz="0" w:space="0" w:color="auto"/>
        <w:bottom w:val="none" w:sz="0" w:space="0" w:color="auto"/>
        <w:right w:val="none" w:sz="0" w:space="0" w:color="auto"/>
      </w:divBdr>
    </w:div>
    <w:div w:id="1428111917">
      <w:bodyDiv w:val="1"/>
      <w:marLeft w:val="0"/>
      <w:marRight w:val="0"/>
      <w:marTop w:val="0"/>
      <w:marBottom w:val="0"/>
      <w:divBdr>
        <w:top w:val="none" w:sz="0" w:space="0" w:color="auto"/>
        <w:left w:val="none" w:sz="0" w:space="0" w:color="auto"/>
        <w:bottom w:val="none" w:sz="0" w:space="0" w:color="auto"/>
        <w:right w:val="none" w:sz="0" w:space="0" w:color="auto"/>
      </w:divBdr>
    </w:div>
    <w:div w:id="1549222188">
      <w:bodyDiv w:val="1"/>
      <w:marLeft w:val="0"/>
      <w:marRight w:val="0"/>
      <w:marTop w:val="0"/>
      <w:marBottom w:val="0"/>
      <w:divBdr>
        <w:top w:val="none" w:sz="0" w:space="0" w:color="auto"/>
        <w:left w:val="none" w:sz="0" w:space="0" w:color="auto"/>
        <w:bottom w:val="none" w:sz="0" w:space="0" w:color="auto"/>
        <w:right w:val="none" w:sz="0" w:space="0" w:color="auto"/>
      </w:divBdr>
    </w:div>
    <w:div w:id="202593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DC7A3CD84ADA41B7AEDDAF6E8A81F6" ma:contentTypeVersion="4" ma:contentTypeDescription="Create a new document." ma:contentTypeScope="" ma:versionID="a5a921ee93e0f59821c343f152194402">
  <xsd:schema xmlns:xsd="http://www.w3.org/2001/XMLSchema" xmlns:xs="http://www.w3.org/2001/XMLSchema" xmlns:p="http://schemas.microsoft.com/office/2006/metadata/properties" xmlns:ns2="08d9776d-9671-469e-8590-53841b015ffe" targetNamespace="http://schemas.microsoft.com/office/2006/metadata/properties" ma:root="true" ma:fieldsID="82c8a9c1a84112dac8f063fa6ddb14b8" ns2:_="">
    <xsd:import namespace="08d9776d-9671-469e-8590-53841b015f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d9776d-9671-469e-8590-53841b015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890AB8-1DE8-4A7C-9F0C-0BB1975CB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d9776d-9671-469e-8590-53841b015f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DE51AB-33BF-447C-B604-6AF4580D45E8}">
  <ds:schemaRefs>
    <ds:schemaRef ds:uri="http://schemas.microsoft.com/sharepoint/v3/contenttype/forms"/>
  </ds:schemaRefs>
</ds:datastoreItem>
</file>

<file path=customXml/itemProps3.xml><?xml version="1.0" encoding="utf-8"?>
<ds:datastoreItem xmlns:ds="http://schemas.openxmlformats.org/officeDocument/2006/customXml" ds:itemID="{0E8811D9-EEDC-45F5-B74A-5DE41BF3872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780</Words>
  <Characters>4451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2021-03-24T15:44:00Z</dcterms:created>
  <dcterms:modified xsi:type="dcterms:W3CDTF">2021-03-30T14:49:00Z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0x010100BCDC7A3CD84ADA41B7AEDDAF6E8A81F6</vt:lpwstr>
  </property>
</Properties>
</file>