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20" w:rsidRPr="00B42C6F" w:rsidRDefault="00290920" w:rsidP="0029092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11EE1" w:rsidRDefault="00911EE1" w:rsidP="007731A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EF1FD2" w:rsidRPr="008A37AB" w:rsidRDefault="00EF1FD2" w:rsidP="00EF1FD2">
      <w:pPr>
        <w:suppressLineNumber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7AB">
        <w:rPr>
          <w:rFonts w:ascii="Times New Roman" w:hAnsi="Times New Roman" w:cs="Times New Roman"/>
          <w:b/>
          <w:bCs/>
          <w:sz w:val="24"/>
          <w:szCs w:val="24"/>
        </w:rPr>
        <w:t>BEFORE THE GEORGIA PUBLIC SERVICE COMMISSION</w:t>
      </w:r>
    </w:p>
    <w:p w:rsidR="00EF1FD2" w:rsidRPr="008A37AB" w:rsidRDefault="00EF1FD2" w:rsidP="00EF1FD2">
      <w:pPr>
        <w:suppressLineNumber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7AB">
        <w:rPr>
          <w:rFonts w:ascii="Times New Roman" w:hAnsi="Times New Roman" w:cs="Times New Roman"/>
          <w:b/>
          <w:bCs/>
          <w:sz w:val="24"/>
          <w:szCs w:val="24"/>
        </w:rPr>
        <w:t>STATE OF GEORGIA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4518"/>
      </w:tblGrid>
      <w:tr w:rsidR="00EF1FD2" w:rsidRPr="00F65D45" w:rsidTr="008A37AB">
        <w:tc>
          <w:tcPr>
            <w:tcW w:w="4860" w:type="dxa"/>
          </w:tcPr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>IN RE:</w:t>
            </w:r>
          </w:p>
          <w:p w:rsidR="00EF1FD2" w:rsidRDefault="00EF1FD2" w:rsidP="008A37AB">
            <w:pPr>
              <w:ind w:hanging="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NORTH AMERICAN POWER AND GAS, LLC, APPLICATION FOR A NATURAL GAS CERTIFICATE OF AUTHORITY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</w:p>
        </w:tc>
        <w:tc>
          <w:tcPr>
            <w:tcW w:w="4518" w:type="dxa"/>
            <w:hideMark/>
          </w:tcPr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  <w:proofErr w:type="gramEnd"/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DOCKET NO.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36550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7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F1FD2" w:rsidRPr="008A37AB" w:rsidRDefault="00EF1FD2" w:rsidP="008A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3A61" w:rsidRDefault="004010F8" w:rsidP="0040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010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ORDER APPROVING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CERTIFICATE </w:t>
      </w:r>
      <w:r w:rsidRPr="004010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WITHDRAWAL AND CANCEL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</w:t>
      </w:r>
      <w:r w:rsidRPr="004010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ATION</w:t>
      </w:r>
    </w:p>
    <w:p w:rsidR="004010F8" w:rsidRPr="004010F8" w:rsidRDefault="004010F8" w:rsidP="0040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F4005" w:rsidRDefault="000F4005" w:rsidP="000F4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63412745"/>
    </w:p>
    <w:p w:rsidR="00083A61" w:rsidRPr="002A3C61" w:rsidRDefault="00083A61" w:rsidP="00083A61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C61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2A3C61">
        <w:rPr>
          <w:rFonts w:ascii="Times New Roman" w:eastAsia="Times New Roman" w:hAnsi="Times New Roman" w:cs="Times New Roman"/>
          <w:b/>
          <w:bCs/>
          <w:sz w:val="24"/>
          <w:szCs w:val="24"/>
        </w:rPr>
        <w:t>kground</w:t>
      </w:r>
    </w:p>
    <w:p w:rsidR="00083A61" w:rsidRDefault="00083A61" w:rsidP="00083A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A61" w:rsidRDefault="00083A61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April 23, 2013, the Commission approved North American Power and Gas, LLC (“NAPG” or “Company”) for a Natural Gas Certificate of Authority, GM-40.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At the request of the Company,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October 8, 2020 </w:t>
      </w:r>
      <w:r w:rsidR="00457EDE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Docket No. 36550, the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Georgia Public Service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Commission </w:t>
      </w:r>
      <w:r w:rsidR="00EF1FD2">
        <w:rPr>
          <w:rFonts w:ascii="Times New Roman" w:eastAsia="Times New Roman" w:hAnsi="Times New Roman" w:cs="Times New Roman"/>
          <w:bCs/>
          <w:sz w:val="24"/>
          <w:szCs w:val="24"/>
        </w:rPr>
        <w:t xml:space="preserve">(“Commission”)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approved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random assignment of its customers.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On </w:t>
      </w:r>
      <w:r w:rsidR="00EF1FD2">
        <w:rPr>
          <w:rFonts w:ascii="Times New Roman" w:eastAsia="Times New Roman" w:hAnsi="Times New Roman" w:cs="Times New Roman"/>
          <w:bCs/>
          <w:sz w:val="24"/>
          <w:szCs w:val="24"/>
        </w:rPr>
        <w:t>November 24, 2020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AGL randomly assigned NAPG’s remaining customers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>. Therefore, by the end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of December 2020, the Company had no customers in Georgia.</w:t>
      </w:r>
    </w:p>
    <w:p w:rsidR="00083A61" w:rsidRDefault="00083A61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A61" w:rsidRDefault="00083A61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January 27, 2021, NAPG filed a petition to withdraw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and cancel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its Natural Gas Certificate of Authority pursuant to Commission Rule 515-7-3-.04(10).</w:t>
      </w:r>
    </w:p>
    <w:p w:rsidR="00083A61" w:rsidRDefault="00083A61" w:rsidP="00083A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A61" w:rsidRPr="00263176" w:rsidRDefault="00083A61" w:rsidP="00083A61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  <w:r w:rsidRPr="00263176">
        <w:rPr>
          <w:rFonts w:ascii="Times New Roman" w:hAnsi="Times New Roman" w:cs="Times New Roman"/>
          <w:sz w:val="24"/>
          <w:szCs w:val="24"/>
        </w:rPr>
        <w:t>Commission Rule 515-7-3-.04(10) states the follow:</w:t>
      </w:r>
    </w:p>
    <w:p w:rsidR="00083A61" w:rsidRPr="00263176" w:rsidRDefault="00083A61" w:rsidP="00083A61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516" w:type="pct"/>
        <w:tblCellSpacing w:w="30" w:type="dxa"/>
        <w:tblInd w:w="9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7"/>
        <w:gridCol w:w="7737"/>
      </w:tblGrid>
      <w:tr w:rsidR="00083A61" w:rsidRPr="00263176" w:rsidTr="00806F5F">
        <w:trPr>
          <w:tblCellSpacing w:w="30" w:type="dxa"/>
        </w:trPr>
        <w:tc>
          <w:tcPr>
            <w:tcW w:w="300" w:type="pct"/>
            <w:noWrap/>
            <w:hideMark/>
          </w:tcPr>
          <w:p w:rsidR="00083A61" w:rsidRPr="00263176" w:rsidRDefault="00EF1FD2" w:rsidP="00806F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515-7-3-.04(10)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 w:rsidR="00083A61" w:rsidRPr="00263176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  <w:bookmarkEnd w:id="2"/>
          </w:p>
        </w:tc>
        <w:tc>
          <w:tcPr>
            <w:tcW w:w="4596" w:type="pct"/>
            <w:hideMark/>
          </w:tcPr>
          <w:p w:rsidR="00083A61" w:rsidRPr="00263176" w:rsidRDefault="00083A61" w:rsidP="00806F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176">
              <w:rPr>
                <w:rFonts w:ascii="Times New Roman" w:hAnsi="Times New Roman" w:cs="Times New Roman"/>
                <w:sz w:val="24"/>
                <w:szCs w:val="24"/>
              </w:rPr>
              <w:t xml:space="preserve">Marketers must apply to the Commission to receive authorization prior to any </w:t>
            </w:r>
            <w:r w:rsidRPr="00775B99">
              <w:rPr>
                <w:rFonts w:ascii="Times New Roman" w:hAnsi="Times New Roman" w:cs="Times New Roman"/>
                <w:sz w:val="24"/>
                <w:szCs w:val="24"/>
              </w:rPr>
              <w:t>change in ownership</w:t>
            </w:r>
            <w:r w:rsidRPr="00263176">
              <w:rPr>
                <w:rFonts w:ascii="Times New Roman" w:hAnsi="Times New Roman" w:cs="Times New Roman"/>
                <w:sz w:val="24"/>
                <w:szCs w:val="24"/>
              </w:rPr>
              <w:t xml:space="preserve">, name change (including doing-business-as (d/b/a) name change), adding or dropping a delivery pool group from service, owning </w:t>
            </w:r>
            <w:r w:rsidRPr="00083A61">
              <w:rPr>
                <w:rFonts w:ascii="Times New Roman" w:hAnsi="Times New Roman" w:cs="Times New Roman"/>
                <w:sz w:val="24"/>
                <w:szCs w:val="24"/>
              </w:rPr>
              <w:t xml:space="preserve">meters, or any other substantial change that would affect their </w:t>
            </w:r>
            <w:r w:rsidRPr="000F4005">
              <w:rPr>
                <w:rFonts w:ascii="Times New Roman" w:hAnsi="Times New Roman" w:cs="Times New Roman"/>
                <w:sz w:val="24"/>
                <w:szCs w:val="24"/>
              </w:rPr>
              <w:t>certification.</w:t>
            </w:r>
            <w:r w:rsidR="00EF1F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083A61" w:rsidRDefault="00083A61" w:rsidP="00083A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58D4" w:rsidRDefault="000858D4" w:rsidP="00083A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A61" w:rsidRPr="00837F6C" w:rsidRDefault="00083A61" w:rsidP="00083A61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Staff </w:t>
      </w:r>
      <w:r w:rsidR="00EF1FD2">
        <w:rPr>
          <w:rFonts w:ascii="Times New Roman" w:eastAsia="Times New Roman" w:hAnsi="Times New Roman" w:cs="Times New Roman"/>
          <w:b/>
          <w:bCs/>
          <w:sz w:val="24"/>
          <w:szCs w:val="24"/>
        </w:rPr>
        <w:t>Analysis</w:t>
      </w:r>
    </w:p>
    <w:p w:rsidR="00083A61" w:rsidRPr="00837F6C" w:rsidRDefault="00083A61" w:rsidP="00083A6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5816" w:rsidRDefault="00083A61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Staff reviewed the NAPG 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>Application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>, and found no issues. The Staff</w:t>
      </w:r>
      <w:r w:rsidR="00457EDE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consulted </w:t>
      </w:r>
      <w:r w:rsidR="00FF3355"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Commission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Consumer Affairs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to determine if there were any outstanding 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customer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>issues, and Consumer Affairs stated that NAPG ha</w:t>
      </w:r>
      <w:r w:rsidR="00457EDE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no outstanding issues. The Staff </w:t>
      </w:r>
      <w:r w:rsidR="00457EDE">
        <w:rPr>
          <w:rFonts w:ascii="Times New Roman" w:eastAsia="Times New Roman" w:hAnsi="Times New Roman" w:cs="Times New Roman"/>
          <w:bCs/>
          <w:sz w:val="24"/>
          <w:szCs w:val="24"/>
        </w:rPr>
        <w:t xml:space="preserve">also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contacted Atlanta Gas Light Company (“AGL”) to determine if </w:t>
      </w:r>
      <w:r w:rsidR="00457EDE">
        <w:rPr>
          <w:rFonts w:ascii="Times New Roman" w:eastAsia="Times New Roman" w:hAnsi="Times New Roman" w:cs="Times New Roman"/>
          <w:bCs/>
          <w:sz w:val="24"/>
          <w:szCs w:val="24"/>
        </w:rPr>
        <w:t>NAPG</w:t>
      </w:r>
      <w:r w:rsidR="00457EDE"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had any outstanding issues, and AGL reported </w:t>
      </w:r>
      <w:r w:rsidR="00FF3355"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were no outstanding issues. </w:t>
      </w:r>
    </w:p>
    <w:p w:rsidR="00CA5816" w:rsidRDefault="00CA5816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A61" w:rsidRPr="00837F6C" w:rsidRDefault="00083A61" w:rsidP="00083A6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>On December 22, 2020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Docket No. 15326</w:t>
      </w:r>
      <w:r w:rsidRP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, NAPG 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>filed its 2020 Universal Service Fund (“USF”) Unclaimed Customer Deposit Report with the Commission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>. The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dollar amount for unclaimed customer deposits that were over two </w:t>
      </w:r>
      <w:proofErr w:type="gramStart"/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>years</w:t>
      </w:r>
      <w:proofErr w:type="gramEnd"/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old that would be wired to AGL for USF deposit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provided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 xml:space="preserve">On January 20, 2021, the 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Staff verified that the funds were deposited into the </w:t>
      </w:r>
      <w:r w:rsidR="00CA5816">
        <w:rPr>
          <w:rFonts w:ascii="Times New Roman" w:eastAsia="Times New Roman" w:hAnsi="Times New Roman" w:cs="Times New Roman"/>
          <w:bCs/>
          <w:sz w:val="24"/>
          <w:szCs w:val="24"/>
        </w:rPr>
        <w:t>USF.</w:t>
      </w:r>
      <w:r w:rsidR="00837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1"/>
    <w:p w:rsidR="002707DC" w:rsidRDefault="002707DC" w:rsidP="002707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113DA" w:rsidRPr="002707DC" w:rsidRDefault="009113DA" w:rsidP="002707DC">
      <w:pPr>
        <w:pStyle w:val="ListParagraph"/>
        <w:keepNext/>
        <w:numPr>
          <w:ilvl w:val="0"/>
          <w:numId w:val="2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7DC">
        <w:rPr>
          <w:rFonts w:ascii="Times New Roman" w:eastAsia="Times New Roman" w:hAnsi="Times New Roman" w:cs="Times New Roman"/>
          <w:b/>
          <w:sz w:val="24"/>
          <w:szCs w:val="24"/>
        </w:rPr>
        <w:t>Commission Decision</w:t>
      </w:r>
    </w:p>
    <w:p w:rsidR="009113DA" w:rsidRPr="00837F6C" w:rsidRDefault="009113DA" w:rsidP="009113DA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13DA" w:rsidRPr="00837F6C" w:rsidRDefault="009113DA" w:rsidP="009113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During the 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FF3355" w:rsidRPr="00837F6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, 2021 Administrative Session, the Commission approved the 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>petition</w:t>
      </w: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>North America</w:t>
      </w:r>
      <w:r w:rsidR="00457E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Power and </w:t>
      </w:r>
      <w:r w:rsidR="004010F8" w:rsidRPr="00837F6C">
        <w:rPr>
          <w:rFonts w:ascii="Times New Roman" w:eastAsia="Times New Roman" w:hAnsi="Times New Roman" w:cs="Times New Roman"/>
          <w:sz w:val="24"/>
          <w:szCs w:val="24"/>
        </w:rPr>
        <w:t>Gas,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LLC</w:t>
      </w:r>
      <w:r w:rsidR="000F4005" w:rsidRPr="00837F6C">
        <w:rPr>
          <w:rFonts w:ascii="Times New Roman" w:eastAsia="Times New Roman" w:hAnsi="Times New Roman" w:cs="Times New Roman"/>
          <w:sz w:val="24"/>
          <w:szCs w:val="24"/>
        </w:rPr>
        <w:t>, GM-40,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E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0305">
        <w:rPr>
          <w:rFonts w:ascii="Times New Roman" w:eastAsia="Times New Roman" w:hAnsi="Times New Roman" w:cs="Times New Roman"/>
          <w:sz w:val="24"/>
          <w:szCs w:val="24"/>
        </w:rPr>
        <w:t xml:space="preserve">pplication </w:t>
      </w:r>
      <w:r w:rsidRPr="00837F6C">
        <w:rPr>
          <w:rFonts w:ascii="Times New Roman" w:hAnsi="Times New Roman" w:cs="Times New Roman"/>
          <w:sz w:val="24"/>
          <w:szCs w:val="24"/>
        </w:rPr>
        <w:t xml:space="preserve">to </w:t>
      </w:r>
      <w:r w:rsidR="00083A61" w:rsidRPr="00837F6C">
        <w:rPr>
          <w:rFonts w:ascii="Times New Roman" w:hAnsi="Times New Roman" w:cs="Times New Roman"/>
          <w:sz w:val="24"/>
          <w:szCs w:val="24"/>
        </w:rPr>
        <w:t>withdraw and cancel</w:t>
      </w:r>
      <w:r w:rsidRPr="00837F6C">
        <w:rPr>
          <w:rFonts w:ascii="Times New Roman" w:hAnsi="Times New Roman" w:cs="Times New Roman"/>
          <w:sz w:val="24"/>
          <w:szCs w:val="24"/>
        </w:rPr>
        <w:t xml:space="preserve"> its </w:t>
      </w:r>
      <w:r w:rsidR="00083A61" w:rsidRPr="00837F6C">
        <w:rPr>
          <w:rFonts w:ascii="Times New Roman" w:hAnsi="Times New Roman" w:cs="Times New Roman"/>
          <w:sz w:val="24"/>
          <w:szCs w:val="24"/>
        </w:rPr>
        <w:t>Natural Gas Certificate of Authority</w:t>
      </w:r>
      <w:r w:rsidRPr="00837F6C">
        <w:rPr>
          <w:rFonts w:ascii="Times New Roman" w:hAnsi="Times New Roman" w:cs="Times New Roman"/>
          <w:sz w:val="24"/>
          <w:szCs w:val="24"/>
        </w:rPr>
        <w:t>.</w:t>
      </w:r>
      <w:r w:rsidR="000F4005" w:rsidRPr="00837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303" w:rsidRPr="00837F6C" w:rsidRDefault="005A6303" w:rsidP="0040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837F6C" w:rsidRDefault="00CD0A96" w:rsidP="00CD0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*      *      *      *      *   </w:t>
      </w:r>
    </w:p>
    <w:p w:rsidR="00CD0A96" w:rsidRPr="00837F6C" w:rsidRDefault="00CD0A96" w:rsidP="00CD0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837F6C" w:rsidRDefault="00CD0A96" w:rsidP="00CD0A96">
      <w:pPr>
        <w:keepNext/>
        <w:numPr>
          <w:ilvl w:val="0"/>
          <w:numId w:val="2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b/>
          <w:sz w:val="24"/>
          <w:szCs w:val="24"/>
        </w:rPr>
        <w:t>Ordering Paragraphs</w:t>
      </w:r>
    </w:p>
    <w:p w:rsidR="00CD0A96" w:rsidRPr="00837F6C" w:rsidRDefault="00CD0A96" w:rsidP="005A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837F6C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F6C">
        <w:rPr>
          <w:rFonts w:ascii="Times New Roman" w:eastAsia="Times New Roman" w:hAnsi="Times New Roman" w:cs="Times New Roman"/>
          <w:sz w:val="24"/>
          <w:szCs w:val="24"/>
        </w:rPr>
        <w:tab/>
      </w:r>
      <w:r w:rsidRPr="00837F6C">
        <w:rPr>
          <w:rFonts w:ascii="Times New Roman" w:eastAsia="Times New Roman" w:hAnsi="Times New Roman" w:cs="Times New Roman"/>
          <w:b/>
          <w:sz w:val="24"/>
          <w:szCs w:val="24"/>
        </w:rPr>
        <w:t>WHEREFORE, IT IS ORDERED</w:t>
      </w: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, that the Commission </w:t>
      </w:r>
      <w:r w:rsidR="00457EDE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837F6C">
        <w:rPr>
          <w:rFonts w:ascii="Times New Roman" w:eastAsia="Times New Roman" w:hAnsi="Times New Roman" w:cs="Times New Roman"/>
          <w:sz w:val="24"/>
          <w:szCs w:val="24"/>
        </w:rPr>
        <w:t>approves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95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North America</w:t>
      </w:r>
      <w:r w:rsidR="00457E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Power and </w:t>
      </w:r>
      <w:r w:rsidR="004010F8" w:rsidRPr="00837F6C">
        <w:rPr>
          <w:rFonts w:ascii="Times New Roman" w:eastAsia="Times New Roman" w:hAnsi="Times New Roman" w:cs="Times New Roman"/>
          <w:sz w:val="24"/>
          <w:szCs w:val="24"/>
        </w:rPr>
        <w:t>Gas,</w:t>
      </w:r>
      <w:r w:rsidR="00083A61" w:rsidRPr="00837F6C">
        <w:rPr>
          <w:rFonts w:ascii="Times New Roman" w:eastAsia="Times New Roman" w:hAnsi="Times New Roman" w:cs="Times New Roman"/>
          <w:sz w:val="24"/>
          <w:szCs w:val="24"/>
        </w:rPr>
        <w:t xml:space="preserve"> LLC </w:t>
      </w:r>
      <w:r w:rsidR="00457E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793957">
        <w:rPr>
          <w:rFonts w:ascii="Times New Roman" w:eastAsia="Times New Roman" w:hAnsi="Times New Roman" w:cs="Times New Roman"/>
          <w:sz w:val="24"/>
          <w:szCs w:val="24"/>
        </w:rPr>
        <w:t xml:space="preserve">pplication </w:t>
      </w:r>
      <w:r w:rsidR="00083A61" w:rsidRPr="00837F6C">
        <w:rPr>
          <w:rFonts w:ascii="Times New Roman" w:hAnsi="Times New Roman" w:cs="Times New Roman"/>
          <w:sz w:val="24"/>
          <w:szCs w:val="24"/>
        </w:rPr>
        <w:t>to withdraw and cancel its Natural Gas Certificate of Authority.</w:t>
      </w:r>
    </w:p>
    <w:p w:rsidR="004078A8" w:rsidRPr="00837F6C" w:rsidRDefault="004078A8" w:rsidP="004078A8">
      <w:pPr>
        <w:widowControl w:val="0"/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>ORDERED FURTHER,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 xml:space="preserve"> that any motion for reconsideration, rehearing or oral argument, or any other motion, shall not stay the effectiveness of this Order, unless otherwise ordered by the Commission.</w:t>
      </w:r>
    </w:p>
    <w:p w:rsidR="00CD0A96" w:rsidRP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>ORDERED FURTHER,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 xml:space="preserve"> that jurisdiction over this matter is expressly retained for the purpose of entering such further Order or Orders as the Commission may deem just and proper.</w:t>
      </w:r>
    </w:p>
    <w:p w:rsidR="003E18F8" w:rsidRDefault="003E18F8" w:rsidP="00CD0A9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0F8" w:rsidRDefault="004010F8" w:rsidP="00CD0A9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0F8" w:rsidRDefault="004010F8" w:rsidP="00CD0A9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0F8" w:rsidRDefault="004010F8" w:rsidP="00CD0A96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above by action of the Commission in Administrative Session </w:t>
      </w:r>
      <w:r w:rsidRPr="00837F6C"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 w:rsidR="00D60909" w:rsidRPr="00837F6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37F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 xml:space="preserve"> day of</w:t>
      </w:r>
      <w:r w:rsidR="005A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909" w:rsidRPr="00D60909">
        <w:rPr>
          <w:rFonts w:ascii="Times New Roman" w:eastAsia="Times New Roman" w:hAnsi="Times New Roman" w:cs="Times New Roman"/>
          <w:sz w:val="24"/>
          <w:szCs w:val="24"/>
        </w:rPr>
        <w:t>February, 2021.</w:t>
      </w:r>
    </w:p>
    <w:p w:rsid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7DC" w:rsidRPr="00CD0A96" w:rsidRDefault="002707DC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_____________________________</w:t>
      </w:r>
    </w:p>
    <w:p w:rsidR="00CD0A96" w:rsidRPr="00CD0A96" w:rsidRDefault="00CD0A96" w:rsidP="00CD0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t>Reece McAlister</w:t>
      </w: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CD0A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>Chuck Eaton</w:t>
      </w:r>
    </w:p>
    <w:p w:rsidR="00CD0A96" w:rsidRP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t>Executive Secretary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CD0A96" w:rsidRPr="00CD0A96" w:rsidRDefault="00CD0A96" w:rsidP="00CD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A96" w:rsidRPr="00CD0A96" w:rsidRDefault="00CD0A96" w:rsidP="00CD0A96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:rsidR="00DA4495" w:rsidRPr="002707DC" w:rsidRDefault="00CD0A96" w:rsidP="0027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96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CD0A9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D0A96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</w:p>
    <w:sectPr w:rsidR="00DA4495" w:rsidRPr="002707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662992" w16cid:durableId="23DA054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01" w:rsidRDefault="00925901" w:rsidP="00E476D6">
      <w:pPr>
        <w:spacing w:after="0" w:line="240" w:lineRule="auto"/>
      </w:pPr>
      <w:r>
        <w:separator/>
      </w:r>
    </w:p>
  </w:endnote>
  <w:endnote w:type="continuationSeparator" w:id="0">
    <w:p w:rsidR="00925901" w:rsidRDefault="00925901" w:rsidP="00E4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49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76D6" w:rsidRPr="00E476D6" w:rsidRDefault="00E476D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76D6">
          <w:rPr>
            <w:rFonts w:ascii="Times New Roman" w:hAnsi="Times New Roman" w:cs="Times New Roman"/>
            <w:sz w:val="20"/>
            <w:szCs w:val="20"/>
          </w:rPr>
          <w:t xml:space="preserve">Docket No. </w:t>
        </w:r>
        <w:r w:rsidR="00837F6C">
          <w:rPr>
            <w:rFonts w:ascii="Times New Roman" w:hAnsi="Times New Roman" w:cs="Times New Roman"/>
            <w:sz w:val="20"/>
            <w:szCs w:val="20"/>
          </w:rPr>
          <w:t>36550</w:t>
        </w:r>
        <w:r w:rsidR="005A6303">
          <w:rPr>
            <w:rFonts w:ascii="Times New Roman" w:hAnsi="Times New Roman" w:cs="Times New Roman"/>
            <w:sz w:val="20"/>
            <w:szCs w:val="20"/>
          </w:rPr>
          <w:t>:</w:t>
        </w:r>
        <w:r w:rsidR="000858D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5A6303">
          <w:rPr>
            <w:rFonts w:ascii="Times New Roman" w:hAnsi="Times New Roman" w:cs="Times New Roman"/>
            <w:sz w:val="20"/>
            <w:szCs w:val="20"/>
          </w:rPr>
          <w:t xml:space="preserve">Order Approving </w:t>
        </w:r>
        <w:r w:rsidR="000858D4">
          <w:rPr>
            <w:rFonts w:ascii="Times New Roman" w:hAnsi="Times New Roman" w:cs="Times New Roman"/>
            <w:sz w:val="20"/>
            <w:szCs w:val="20"/>
          </w:rPr>
          <w:t>Certificate Withdrawal</w:t>
        </w:r>
        <w:r w:rsidR="004010F8">
          <w:rPr>
            <w:rFonts w:ascii="Times New Roman" w:hAnsi="Times New Roman" w:cs="Times New Roman"/>
            <w:sz w:val="20"/>
            <w:szCs w:val="20"/>
          </w:rPr>
          <w:t xml:space="preserve"> and Cancellation</w:t>
        </w:r>
      </w:p>
      <w:p w:rsidR="00E476D6" w:rsidRDefault="00E476D6">
        <w:pPr>
          <w:pStyle w:val="Footer"/>
          <w:jc w:val="center"/>
        </w:pPr>
        <w:r w:rsidRPr="00E476D6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E476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76D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76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3AC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476D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E476D6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="000B3ACE">
          <w:rPr>
            <w:rFonts w:ascii="Times New Roman" w:hAnsi="Times New Roman" w:cs="Times New Roman"/>
            <w:noProof/>
            <w:sz w:val="20"/>
            <w:szCs w:val="20"/>
          </w:rPr>
          <w:t>3</w:t>
        </w:r>
      </w:p>
    </w:sdtContent>
  </w:sdt>
  <w:p w:rsidR="00E476D6" w:rsidRDefault="00E47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01" w:rsidRDefault="00925901" w:rsidP="00E476D6">
      <w:pPr>
        <w:spacing w:after="0" w:line="240" w:lineRule="auto"/>
      </w:pPr>
      <w:r>
        <w:separator/>
      </w:r>
    </w:p>
  </w:footnote>
  <w:footnote w:type="continuationSeparator" w:id="0">
    <w:p w:rsidR="00925901" w:rsidRDefault="00925901" w:rsidP="00E4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755"/>
    <w:multiLevelType w:val="hybridMultilevel"/>
    <w:tmpl w:val="B3E28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5E6"/>
    <w:multiLevelType w:val="hybridMultilevel"/>
    <w:tmpl w:val="D38C356E"/>
    <w:lvl w:ilvl="0" w:tplc="9DBCAB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81E"/>
    <w:multiLevelType w:val="hybridMultilevel"/>
    <w:tmpl w:val="D03C3362"/>
    <w:lvl w:ilvl="0" w:tplc="A55075A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D52CA"/>
    <w:multiLevelType w:val="hybridMultilevel"/>
    <w:tmpl w:val="9E083CD6"/>
    <w:lvl w:ilvl="0" w:tplc="A0B48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26A26"/>
    <w:multiLevelType w:val="hybridMultilevel"/>
    <w:tmpl w:val="D03C3362"/>
    <w:lvl w:ilvl="0" w:tplc="A55075A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272B7"/>
    <w:multiLevelType w:val="hybridMultilevel"/>
    <w:tmpl w:val="C98808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47738"/>
    <w:multiLevelType w:val="hybridMultilevel"/>
    <w:tmpl w:val="9698E2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B2E7C20">
      <w:start w:val="1"/>
      <w:numFmt w:val="lowerRoman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AD38AE"/>
    <w:multiLevelType w:val="hybridMultilevel"/>
    <w:tmpl w:val="68EEC94E"/>
    <w:lvl w:ilvl="0" w:tplc="2EF62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1EEE"/>
    <w:multiLevelType w:val="hybridMultilevel"/>
    <w:tmpl w:val="1160E1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B2E7C20">
      <w:start w:val="1"/>
      <w:numFmt w:val="lowerRoman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85D63C1"/>
    <w:multiLevelType w:val="hybridMultilevel"/>
    <w:tmpl w:val="D69CD7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B2E7C20">
      <w:start w:val="1"/>
      <w:numFmt w:val="lowerRoman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9527FFC"/>
    <w:multiLevelType w:val="hybridMultilevel"/>
    <w:tmpl w:val="7E82C47C"/>
    <w:lvl w:ilvl="0" w:tplc="AF9C860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0C76"/>
    <w:multiLevelType w:val="hybridMultilevel"/>
    <w:tmpl w:val="56068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907745"/>
    <w:multiLevelType w:val="hybridMultilevel"/>
    <w:tmpl w:val="29868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B06FA0"/>
    <w:multiLevelType w:val="hybridMultilevel"/>
    <w:tmpl w:val="1D547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B65A0"/>
    <w:multiLevelType w:val="hybridMultilevel"/>
    <w:tmpl w:val="07CA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A50BE"/>
    <w:multiLevelType w:val="hybridMultilevel"/>
    <w:tmpl w:val="CBF61E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B2E7C20">
      <w:start w:val="1"/>
      <w:numFmt w:val="lowerRoman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FDB0F58"/>
    <w:multiLevelType w:val="hybridMultilevel"/>
    <w:tmpl w:val="C5AC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213EC"/>
    <w:multiLevelType w:val="hybridMultilevel"/>
    <w:tmpl w:val="684A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150D"/>
    <w:multiLevelType w:val="hybridMultilevel"/>
    <w:tmpl w:val="838030BC"/>
    <w:lvl w:ilvl="0" w:tplc="3EF00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D1600C"/>
    <w:multiLevelType w:val="hybridMultilevel"/>
    <w:tmpl w:val="CACA5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FE1FDA"/>
    <w:multiLevelType w:val="hybridMultilevel"/>
    <w:tmpl w:val="6EB0CD50"/>
    <w:lvl w:ilvl="0" w:tplc="AF283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32D79"/>
    <w:multiLevelType w:val="hybridMultilevel"/>
    <w:tmpl w:val="2C481472"/>
    <w:lvl w:ilvl="0" w:tplc="54189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5"/>
  </w:num>
  <w:num w:numId="5">
    <w:abstractNumId w:val="13"/>
  </w:num>
  <w:num w:numId="6">
    <w:abstractNumId w:val="16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55"/>
    <w:rsid w:val="000301FC"/>
    <w:rsid w:val="0005342E"/>
    <w:rsid w:val="000678D5"/>
    <w:rsid w:val="00072C21"/>
    <w:rsid w:val="00083A61"/>
    <w:rsid w:val="000858D4"/>
    <w:rsid w:val="0008755E"/>
    <w:rsid w:val="00094BBF"/>
    <w:rsid w:val="000A47BF"/>
    <w:rsid w:val="000B3ACE"/>
    <w:rsid w:val="000C0305"/>
    <w:rsid w:val="000D0183"/>
    <w:rsid w:val="000F4005"/>
    <w:rsid w:val="00110926"/>
    <w:rsid w:val="001325D7"/>
    <w:rsid w:val="0014660D"/>
    <w:rsid w:val="0018387E"/>
    <w:rsid w:val="001B4948"/>
    <w:rsid w:val="001C20EB"/>
    <w:rsid w:val="001D3929"/>
    <w:rsid w:val="001E20BB"/>
    <w:rsid w:val="002443EF"/>
    <w:rsid w:val="0025391D"/>
    <w:rsid w:val="00257B88"/>
    <w:rsid w:val="00262F66"/>
    <w:rsid w:val="00263176"/>
    <w:rsid w:val="00266903"/>
    <w:rsid w:val="002707DC"/>
    <w:rsid w:val="00285E81"/>
    <w:rsid w:val="00290920"/>
    <w:rsid w:val="002C09C0"/>
    <w:rsid w:val="002D19DD"/>
    <w:rsid w:val="002D3F80"/>
    <w:rsid w:val="002E3B78"/>
    <w:rsid w:val="003037E1"/>
    <w:rsid w:val="00305BF9"/>
    <w:rsid w:val="00327D32"/>
    <w:rsid w:val="00333B1A"/>
    <w:rsid w:val="003362CD"/>
    <w:rsid w:val="003419EE"/>
    <w:rsid w:val="003610EB"/>
    <w:rsid w:val="00390103"/>
    <w:rsid w:val="00391989"/>
    <w:rsid w:val="00395ECA"/>
    <w:rsid w:val="003A3216"/>
    <w:rsid w:val="003A3A91"/>
    <w:rsid w:val="003E15E1"/>
    <w:rsid w:val="003E18F8"/>
    <w:rsid w:val="004010F8"/>
    <w:rsid w:val="00404956"/>
    <w:rsid w:val="00407899"/>
    <w:rsid w:val="004078A8"/>
    <w:rsid w:val="0042231E"/>
    <w:rsid w:val="00431220"/>
    <w:rsid w:val="00436135"/>
    <w:rsid w:val="004451C3"/>
    <w:rsid w:val="0045270C"/>
    <w:rsid w:val="00453D52"/>
    <w:rsid w:val="00457EDE"/>
    <w:rsid w:val="00481183"/>
    <w:rsid w:val="00482C0F"/>
    <w:rsid w:val="004867FA"/>
    <w:rsid w:val="00494EEC"/>
    <w:rsid w:val="004A4246"/>
    <w:rsid w:val="004A55DC"/>
    <w:rsid w:val="004C752A"/>
    <w:rsid w:val="004F47F0"/>
    <w:rsid w:val="00524900"/>
    <w:rsid w:val="0053423A"/>
    <w:rsid w:val="00534580"/>
    <w:rsid w:val="005847FA"/>
    <w:rsid w:val="0059762C"/>
    <w:rsid w:val="005A37E4"/>
    <w:rsid w:val="005A4CFE"/>
    <w:rsid w:val="005A6303"/>
    <w:rsid w:val="005B41B0"/>
    <w:rsid w:val="005F7BA8"/>
    <w:rsid w:val="0060627E"/>
    <w:rsid w:val="00606F25"/>
    <w:rsid w:val="0062005A"/>
    <w:rsid w:val="006229F6"/>
    <w:rsid w:val="0065312E"/>
    <w:rsid w:val="00660703"/>
    <w:rsid w:val="006A3680"/>
    <w:rsid w:val="006A4CFC"/>
    <w:rsid w:val="006E0C1E"/>
    <w:rsid w:val="006F0122"/>
    <w:rsid w:val="006F0BF0"/>
    <w:rsid w:val="00700AAE"/>
    <w:rsid w:val="007135E8"/>
    <w:rsid w:val="007314A6"/>
    <w:rsid w:val="00744AF3"/>
    <w:rsid w:val="007731A9"/>
    <w:rsid w:val="00775B99"/>
    <w:rsid w:val="0077781E"/>
    <w:rsid w:val="00793957"/>
    <w:rsid w:val="007B03BC"/>
    <w:rsid w:val="007C4760"/>
    <w:rsid w:val="007D1370"/>
    <w:rsid w:val="007E075B"/>
    <w:rsid w:val="007E427F"/>
    <w:rsid w:val="008349ED"/>
    <w:rsid w:val="00835493"/>
    <w:rsid w:val="0083650F"/>
    <w:rsid w:val="008371B4"/>
    <w:rsid w:val="00837F6C"/>
    <w:rsid w:val="008835D0"/>
    <w:rsid w:val="008909F5"/>
    <w:rsid w:val="008A4FC3"/>
    <w:rsid w:val="008B4D64"/>
    <w:rsid w:val="008D1EB6"/>
    <w:rsid w:val="008F06A1"/>
    <w:rsid w:val="008F436A"/>
    <w:rsid w:val="00902A45"/>
    <w:rsid w:val="009113DA"/>
    <w:rsid w:val="00911EE1"/>
    <w:rsid w:val="00925901"/>
    <w:rsid w:val="009624EB"/>
    <w:rsid w:val="009B23A3"/>
    <w:rsid w:val="009D1377"/>
    <w:rsid w:val="00A11E30"/>
    <w:rsid w:val="00A265E5"/>
    <w:rsid w:val="00A317D4"/>
    <w:rsid w:val="00A4032A"/>
    <w:rsid w:val="00A5371F"/>
    <w:rsid w:val="00A53E01"/>
    <w:rsid w:val="00A70BBD"/>
    <w:rsid w:val="00A71E6F"/>
    <w:rsid w:val="00AC67A4"/>
    <w:rsid w:val="00B00937"/>
    <w:rsid w:val="00B20DE4"/>
    <w:rsid w:val="00B42C6F"/>
    <w:rsid w:val="00B4616B"/>
    <w:rsid w:val="00B61F08"/>
    <w:rsid w:val="00BA7814"/>
    <w:rsid w:val="00BC417A"/>
    <w:rsid w:val="00BC6AE1"/>
    <w:rsid w:val="00BD3BBA"/>
    <w:rsid w:val="00BE3349"/>
    <w:rsid w:val="00BF6F00"/>
    <w:rsid w:val="00C27D8A"/>
    <w:rsid w:val="00C63BB4"/>
    <w:rsid w:val="00C63EE1"/>
    <w:rsid w:val="00C722E4"/>
    <w:rsid w:val="00C80309"/>
    <w:rsid w:val="00C84FCD"/>
    <w:rsid w:val="00C92942"/>
    <w:rsid w:val="00CA5816"/>
    <w:rsid w:val="00CB05E5"/>
    <w:rsid w:val="00CD0A96"/>
    <w:rsid w:val="00CD4196"/>
    <w:rsid w:val="00CE6D5F"/>
    <w:rsid w:val="00D01BC5"/>
    <w:rsid w:val="00D2009E"/>
    <w:rsid w:val="00D4437F"/>
    <w:rsid w:val="00D55275"/>
    <w:rsid w:val="00D5622A"/>
    <w:rsid w:val="00D6010A"/>
    <w:rsid w:val="00D60909"/>
    <w:rsid w:val="00D61EB7"/>
    <w:rsid w:val="00DA4495"/>
    <w:rsid w:val="00DB01D6"/>
    <w:rsid w:val="00DB44B0"/>
    <w:rsid w:val="00DD1CF1"/>
    <w:rsid w:val="00DD31C3"/>
    <w:rsid w:val="00DF222A"/>
    <w:rsid w:val="00E107B0"/>
    <w:rsid w:val="00E22D4C"/>
    <w:rsid w:val="00E25E32"/>
    <w:rsid w:val="00E3363D"/>
    <w:rsid w:val="00E4321E"/>
    <w:rsid w:val="00E44417"/>
    <w:rsid w:val="00E476D6"/>
    <w:rsid w:val="00E50787"/>
    <w:rsid w:val="00E54399"/>
    <w:rsid w:val="00E61F4B"/>
    <w:rsid w:val="00E6326A"/>
    <w:rsid w:val="00E83630"/>
    <w:rsid w:val="00E8587D"/>
    <w:rsid w:val="00E940AB"/>
    <w:rsid w:val="00EA0B03"/>
    <w:rsid w:val="00EB5D67"/>
    <w:rsid w:val="00EF1FD2"/>
    <w:rsid w:val="00EF68E8"/>
    <w:rsid w:val="00F117CC"/>
    <w:rsid w:val="00F1531E"/>
    <w:rsid w:val="00F17458"/>
    <w:rsid w:val="00F7456E"/>
    <w:rsid w:val="00F76811"/>
    <w:rsid w:val="00F82B55"/>
    <w:rsid w:val="00F832A0"/>
    <w:rsid w:val="00F87022"/>
    <w:rsid w:val="00F97360"/>
    <w:rsid w:val="00FA4DAD"/>
    <w:rsid w:val="00FC1374"/>
    <w:rsid w:val="00FC3BCF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4347"/>
  <w15:chartTrackingRefBased/>
  <w15:docId w15:val="{7FE10886-EBBA-4458-8CD4-2D6C502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B55"/>
  </w:style>
  <w:style w:type="paragraph" w:styleId="Heading1">
    <w:name w:val="heading 1"/>
    <w:basedOn w:val="Normal"/>
    <w:link w:val="Heading1Char"/>
    <w:uiPriority w:val="9"/>
    <w:qFormat/>
    <w:rsid w:val="0089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D6"/>
  </w:style>
  <w:style w:type="paragraph" w:styleId="Footer">
    <w:name w:val="footer"/>
    <w:basedOn w:val="Normal"/>
    <w:link w:val="FooterChar"/>
    <w:uiPriority w:val="99"/>
    <w:unhideWhenUsed/>
    <w:rsid w:val="00E4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D6"/>
  </w:style>
  <w:style w:type="character" w:styleId="CommentReference">
    <w:name w:val="annotation reference"/>
    <w:basedOn w:val="DefaultParagraphFont"/>
    <w:uiPriority w:val="99"/>
    <w:semiHidden/>
    <w:unhideWhenUsed/>
    <w:rsid w:val="0043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2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09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9113D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3D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13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CE93-6ED1-468C-B448-FA3AC3C5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Wackerly</dc:creator>
  <cp:keywords/>
  <dc:description/>
  <cp:lastModifiedBy>Reece McAlister</cp:lastModifiedBy>
  <cp:revision>3</cp:revision>
  <cp:lastPrinted>2021-02-22T14:56:00Z</cp:lastPrinted>
  <dcterms:created xsi:type="dcterms:W3CDTF">2021-02-22T13:28:00Z</dcterms:created>
  <dcterms:modified xsi:type="dcterms:W3CDTF">2021-02-22T14:57:00Z</dcterms:modified>
</cp:coreProperties>
</file>