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6DB19" w14:textId="77777777" w:rsidR="007122FC" w:rsidRDefault="003326E0" w:rsidP="007122FC">
      <w:pPr>
        <w:spacing w:before="0" w:after="0" w:line="240" w:lineRule="auto"/>
        <w:ind w:left="0" w:right="0" w:firstLine="0"/>
        <w:jc w:val="center"/>
        <w:rPr>
          <w:sz w:val="40"/>
          <w:szCs w:val="40"/>
        </w:rPr>
      </w:pPr>
    </w:p>
    <w:p w14:paraId="4E0FFDE3" w14:textId="77777777" w:rsidR="00543667" w:rsidRDefault="003326E0" w:rsidP="007122FC">
      <w:pPr>
        <w:spacing w:before="0" w:after="0" w:line="240" w:lineRule="auto"/>
        <w:ind w:left="0" w:right="0" w:firstLine="0"/>
        <w:jc w:val="center"/>
        <w:rPr>
          <w:sz w:val="40"/>
          <w:szCs w:val="40"/>
        </w:rPr>
      </w:pPr>
    </w:p>
    <w:p w14:paraId="568BC2F5" w14:textId="77777777" w:rsidR="007122FC" w:rsidRDefault="003326E0" w:rsidP="007122FC">
      <w:pPr>
        <w:spacing w:before="0" w:after="0" w:line="240" w:lineRule="auto"/>
        <w:ind w:left="0" w:right="0" w:firstLine="0"/>
        <w:jc w:val="center"/>
        <w:rPr>
          <w:sz w:val="40"/>
          <w:szCs w:val="40"/>
        </w:rPr>
      </w:pPr>
    </w:p>
    <w:p w14:paraId="4AC31482" w14:textId="77777777" w:rsidR="007122FC" w:rsidRDefault="003326E0" w:rsidP="007122FC">
      <w:pPr>
        <w:spacing w:before="0" w:after="0" w:line="240" w:lineRule="auto"/>
        <w:ind w:left="0" w:right="0" w:firstLine="0"/>
        <w:jc w:val="center"/>
        <w:rPr>
          <w:sz w:val="40"/>
          <w:szCs w:val="40"/>
        </w:rPr>
      </w:pPr>
    </w:p>
    <w:p w14:paraId="38F6A175" w14:textId="77777777" w:rsidR="007122FC" w:rsidRDefault="0006003A" w:rsidP="007122FC">
      <w:pPr>
        <w:spacing w:before="0" w:after="0" w:line="240" w:lineRule="auto"/>
        <w:ind w:left="0" w:right="0" w:firstLine="0"/>
        <w:jc w:val="center"/>
        <w:rPr>
          <w:sz w:val="40"/>
          <w:szCs w:val="40"/>
        </w:rPr>
      </w:pPr>
      <w:r>
        <w:rPr>
          <w:sz w:val="40"/>
          <w:szCs w:val="40"/>
        </w:rPr>
        <w:t>SUMMARY REPORT</w:t>
      </w:r>
    </w:p>
    <w:p w14:paraId="689CE45C" w14:textId="77777777" w:rsidR="007122FC" w:rsidRDefault="0006003A" w:rsidP="007122FC">
      <w:pPr>
        <w:spacing w:before="0" w:after="0" w:line="240" w:lineRule="auto"/>
        <w:ind w:left="0" w:right="0" w:firstLine="0"/>
        <w:jc w:val="center"/>
        <w:rPr>
          <w:sz w:val="40"/>
          <w:szCs w:val="40"/>
        </w:rPr>
      </w:pPr>
      <w:r>
        <w:rPr>
          <w:sz w:val="40"/>
          <w:szCs w:val="40"/>
        </w:rPr>
        <w:t>ON</w:t>
      </w:r>
    </w:p>
    <w:p w14:paraId="65F19BF9" w14:textId="77777777" w:rsidR="007122FC" w:rsidRDefault="0006003A" w:rsidP="007122FC">
      <w:pPr>
        <w:spacing w:before="0" w:after="0" w:line="240" w:lineRule="auto"/>
        <w:ind w:left="0" w:right="0" w:firstLine="0"/>
        <w:jc w:val="center"/>
        <w:rPr>
          <w:sz w:val="40"/>
          <w:szCs w:val="40"/>
        </w:rPr>
      </w:pPr>
      <w:r>
        <w:rPr>
          <w:sz w:val="40"/>
          <w:szCs w:val="40"/>
        </w:rPr>
        <w:t>GEORGIA POWER COMPANY’S</w:t>
      </w:r>
    </w:p>
    <w:p w14:paraId="00F997A5" w14:textId="77777777" w:rsidR="007122FC" w:rsidRDefault="0006003A" w:rsidP="007122FC">
      <w:pPr>
        <w:spacing w:before="0" w:after="0" w:line="240" w:lineRule="auto"/>
        <w:ind w:left="0" w:right="0" w:firstLine="0"/>
        <w:jc w:val="center"/>
        <w:rPr>
          <w:sz w:val="40"/>
          <w:szCs w:val="40"/>
        </w:rPr>
      </w:pPr>
      <w:r>
        <w:rPr>
          <w:sz w:val="40"/>
          <w:szCs w:val="40"/>
        </w:rPr>
        <w:t>2019 ANNUAL RETAIL</w:t>
      </w:r>
    </w:p>
    <w:p w14:paraId="023B55E9" w14:textId="77777777" w:rsidR="007122FC" w:rsidRDefault="0006003A" w:rsidP="007122FC">
      <w:pPr>
        <w:spacing w:before="0" w:after="0" w:line="240" w:lineRule="auto"/>
        <w:ind w:left="0" w:right="0" w:firstLine="0"/>
        <w:jc w:val="center"/>
        <w:rPr>
          <w:sz w:val="40"/>
          <w:szCs w:val="40"/>
        </w:rPr>
      </w:pPr>
      <w:r>
        <w:rPr>
          <w:sz w:val="40"/>
          <w:szCs w:val="40"/>
        </w:rPr>
        <w:t>SURVEILLANCE REPORT</w:t>
      </w:r>
    </w:p>
    <w:p w14:paraId="395B6B44" w14:textId="77777777" w:rsidR="007122FC" w:rsidRDefault="003326E0" w:rsidP="007122FC">
      <w:pPr>
        <w:spacing w:before="0" w:after="0" w:line="240" w:lineRule="auto"/>
        <w:ind w:left="0" w:right="0" w:firstLine="0"/>
        <w:jc w:val="center"/>
        <w:rPr>
          <w:sz w:val="40"/>
          <w:szCs w:val="40"/>
        </w:rPr>
      </w:pPr>
    </w:p>
    <w:p w14:paraId="032EE7B5" w14:textId="77777777" w:rsidR="007122FC" w:rsidRDefault="003326E0" w:rsidP="007122FC">
      <w:pPr>
        <w:spacing w:before="0" w:after="0" w:line="240" w:lineRule="auto"/>
        <w:ind w:left="0" w:right="0" w:firstLine="0"/>
        <w:jc w:val="center"/>
        <w:rPr>
          <w:sz w:val="40"/>
          <w:szCs w:val="40"/>
        </w:rPr>
      </w:pPr>
    </w:p>
    <w:p w14:paraId="397BC75F" w14:textId="77777777" w:rsidR="007122FC" w:rsidRDefault="003326E0" w:rsidP="007122FC">
      <w:pPr>
        <w:spacing w:before="0" w:after="0" w:line="240" w:lineRule="auto"/>
        <w:ind w:left="0" w:right="0" w:firstLine="0"/>
        <w:jc w:val="center"/>
        <w:rPr>
          <w:sz w:val="32"/>
          <w:szCs w:val="32"/>
        </w:rPr>
      </w:pPr>
    </w:p>
    <w:p w14:paraId="5C9C5F54" w14:textId="77777777" w:rsidR="007122FC" w:rsidRDefault="003326E0" w:rsidP="007122FC">
      <w:pPr>
        <w:spacing w:before="0" w:after="0" w:line="240" w:lineRule="auto"/>
        <w:ind w:left="0" w:right="0" w:firstLine="0"/>
        <w:jc w:val="center"/>
        <w:rPr>
          <w:sz w:val="32"/>
          <w:szCs w:val="32"/>
        </w:rPr>
      </w:pPr>
    </w:p>
    <w:p w14:paraId="760205DC" w14:textId="77777777" w:rsidR="007122FC" w:rsidRDefault="003326E0" w:rsidP="007122FC">
      <w:pPr>
        <w:spacing w:before="0" w:after="0" w:line="240" w:lineRule="auto"/>
        <w:ind w:left="0" w:right="0" w:firstLine="0"/>
        <w:jc w:val="center"/>
        <w:rPr>
          <w:sz w:val="32"/>
          <w:szCs w:val="32"/>
        </w:rPr>
      </w:pPr>
    </w:p>
    <w:p w14:paraId="46A7BBC9" w14:textId="77777777" w:rsidR="007122FC" w:rsidRPr="00A47826" w:rsidRDefault="0006003A" w:rsidP="00B809F5">
      <w:pPr>
        <w:spacing w:before="0" w:after="0" w:line="240" w:lineRule="auto"/>
        <w:ind w:left="0" w:right="0" w:firstLine="0"/>
        <w:jc w:val="center"/>
        <w:outlineLvl w:val="0"/>
        <w:rPr>
          <w:sz w:val="32"/>
          <w:szCs w:val="32"/>
        </w:rPr>
      </w:pPr>
      <w:r w:rsidRPr="00A47826">
        <w:rPr>
          <w:sz w:val="32"/>
          <w:szCs w:val="32"/>
        </w:rPr>
        <w:t>PREPARED BY</w:t>
      </w:r>
    </w:p>
    <w:p w14:paraId="2BDBF965" w14:textId="77777777" w:rsidR="007122FC" w:rsidRPr="00A47826" w:rsidRDefault="0006003A" w:rsidP="00B809F5">
      <w:pPr>
        <w:spacing w:before="0" w:after="0" w:line="240" w:lineRule="auto"/>
        <w:ind w:left="0" w:right="0" w:firstLine="0"/>
        <w:jc w:val="center"/>
        <w:outlineLvl w:val="0"/>
        <w:rPr>
          <w:sz w:val="32"/>
          <w:szCs w:val="32"/>
        </w:rPr>
      </w:pPr>
      <w:r>
        <w:rPr>
          <w:sz w:val="32"/>
          <w:szCs w:val="32"/>
        </w:rPr>
        <w:t>LARKIN &amp; ASSOCIATES PLLC</w:t>
      </w:r>
    </w:p>
    <w:p w14:paraId="30FB5655" w14:textId="77777777" w:rsidR="007122FC" w:rsidRPr="00A47826" w:rsidRDefault="003326E0" w:rsidP="007122FC">
      <w:pPr>
        <w:spacing w:before="0" w:after="0" w:line="240" w:lineRule="auto"/>
        <w:ind w:left="0" w:right="0" w:firstLine="0"/>
        <w:jc w:val="center"/>
        <w:rPr>
          <w:sz w:val="32"/>
          <w:szCs w:val="32"/>
        </w:rPr>
      </w:pPr>
    </w:p>
    <w:p w14:paraId="352BCF06" w14:textId="77777777" w:rsidR="007122FC" w:rsidRPr="00A47826" w:rsidRDefault="0006003A" w:rsidP="00B809F5">
      <w:pPr>
        <w:spacing w:before="0" w:after="0" w:line="240" w:lineRule="auto"/>
        <w:ind w:left="0" w:right="0" w:firstLine="0"/>
        <w:jc w:val="center"/>
        <w:outlineLvl w:val="0"/>
        <w:rPr>
          <w:sz w:val="32"/>
          <w:szCs w:val="32"/>
        </w:rPr>
      </w:pPr>
      <w:r>
        <w:rPr>
          <w:sz w:val="32"/>
          <w:szCs w:val="32"/>
        </w:rPr>
        <w:t>AND THE</w:t>
      </w:r>
    </w:p>
    <w:p w14:paraId="6CB1F258" w14:textId="77777777" w:rsidR="007122FC" w:rsidRDefault="0006003A" w:rsidP="00B809F5">
      <w:pPr>
        <w:spacing w:before="0" w:after="0" w:line="240" w:lineRule="auto"/>
        <w:ind w:left="0" w:right="0" w:firstLine="0"/>
        <w:jc w:val="center"/>
        <w:outlineLvl w:val="0"/>
        <w:rPr>
          <w:sz w:val="32"/>
          <w:szCs w:val="32"/>
        </w:rPr>
      </w:pPr>
      <w:r w:rsidRPr="00A47826">
        <w:rPr>
          <w:sz w:val="32"/>
          <w:szCs w:val="32"/>
        </w:rPr>
        <w:t>GEORGIA PUBLIC SERVICE COMMISSION</w:t>
      </w:r>
    </w:p>
    <w:p w14:paraId="01AAF9A8" w14:textId="77777777" w:rsidR="007122FC" w:rsidRDefault="0006003A" w:rsidP="00B809F5">
      <w:pPr>
        <w:spacing w:before="0" w:after="0" w:line="240" w:lineRule="auto"/>
        <w:ind w:left="0" w:right="0" w:firstLine="0"/>
        <w:jc w:val="center"/>
        <w:outlineLvl w:val="0"/>
        <w:rPr>
          <w:sz w:val="32"/>
          <w:szCs w:val="32"/>
        </w:rPr>
      </w:pPr>
      <w:r>
        <w:rPr>
          <w:sz w:val="32"/>
          <w:szCs w:val="32"/>
        </w:rPr>
        <w:t>PUBLIC INTEREST ADVOCACY STAFF</w:t>
      </w:r>
    </w:p>
    <w:p w14:paraId="173853DD" w14:textId="77777777" w:rsidR="007122FC" w:rsidRDefault="003326E0" w:rsidP="007122FC">
      <w:pPr>
        <w:spacing w:before="0" w:after="0" w:line="240" w:lineRule="auto"/>
        <w:ind w:left="0" w:right="0" w:firstLine="0"/>
        <w:jc w:val="center"/>
        <w:rPr>
          <w:sz w:val="32"/>
          <w:szCs w:val="32"/>
        </w:rPr>
      </w:pPr>
    </w:p>
    <w:p w14:paraId="66F5F0BE" w14:textId="77777777" w:rsidR="007122FC" w:rsidRDefault="003326E0" w:rsidP="007122FC">
      <w:pPr>
        <w:spacing w:before="0" w:after="0" w:line="240" w:lineRule="auto"/>
        <w:ind w:left="0" w:right="0" w:firstLine="0"/>
        <w:jc w:val="center"/>
        <w:rPr>
          <w:sz w:val="32"/>
          <w:szCs w:val="32"/>
        </w:rPr>
      </w:pPr>
    </w:p>
    <w:p w14:paraId="0421A75B" w14:textId="77777777" w:rsidR="00E16818" w:rsidRDefault="003326E0" w:rsidP="007122FC">
      <w:pPr>
        <w:spacing w:before="0" w:after="0" w:line="240" w:lineRule="auto"/>
        <w:ind w:left="0" w:right="0" w:firstLine="0"/>
        <w:jc w:val="center"/>
        <w:rPr>
          <w:sz w:val="32"/>
          <w:szCs w:val="32"/>
        </w:rPr>
      </w:pPr>
    </w:p>
    <w:p w14:paraId="1A1E0AFA" w14:textId="77777777" w:rsidR="00E16818" w:rsidRDefault="003326E0" w:rsidP="007122FC">
      <w:pPr>
        <w:spacing w:before="0" w:after="0" w:line="240" w:lineRule="auto"/>
        <w:ind w:left="0" w:right="0" w:firstLine="0"/>
        <w:jc w:val="center"/>
        <w:rPr>
          <w:sz w:val="32"/>
          <w:szCs w:val="32"/>
        </w:rPr>
      </w:pPr>
    </w:p>
    <w:p w14:paraId="0D97E626" w14:textId="77777777" w:rsidR="007122FC" w:rsidRDefault="003326E0" w:rsidP="007122FC">
      <w:pPr>
        <w:spacing w:before="0" w:after="0" w:line="240" w:lineRule="auto"/>
        <w:ind w:left="0" w:right="0" w:firstLine="0"/>
        <w:jc w:val="center"/>
        <w:rPr>
          <w:sz w:val="32"/>
          <w:szCs w:val="32"/>
        </w:rPr>
      </w:pPr>
    </w:p>
    <w:p w14:paraId="176504AB" w14:textId="77777777" w:rsidR="00E16818" w:rsidRDefault="003326E0" w:rsidP="007122FC">
      <w:pPr>
        <w:spacing w:before="0" w:after="0" w:line="240" w:lineRule="auto"/>
        <w:ind w:left="0" w:right="0" w:firstLine="0"/>
        <w:jc w:val="center"/>
        <w:rPr>
          <w:sz w:val="32"/>
          <w:szCs w:val="32"/>
        </w:rPr>
      </w:pPr>
    </w:p>
    <w:p w14:paraId="1970C4D4" w14:textId="77777777" w:rsidR="00E16818" w:rsidRDefault="003326E0" w:rsidP="007122FC">
      <w:pPr>
        <w:spacing w:before="0" w:after="0" w:line="240" w:lineRule="auto"/>
        <w:ind w:left="0" w:right="0" w:firstLine="0"/>
        <w:jc w:val="center"/>
        <w:rPr>
          <w:sz w:val="32"/>
          <w:szCs w:val="32"/>
        </w:rPr>
      </w:pPr>
    </w:p>
    <w:p w14:paraId="163BAF0B" w14:textId="77777777" w:rsidR="00E16818" w:rsidRDefault="003326E0" w:rsidP="007122FC">
      <w:pPr>
        <w:spacing w:before="0" w:after="0" w:line="240" w:lineRule="auto"/>
        <w:ind w:left="0" w:right="0" w:firstLine="0"/>
        <w:jc w:val="center"/>
        <w:rPr>
          <w:sz w:val="32"/>
          <w:szCs w:val="32"/>
        </w:rPr>
      </w:pPr>
    </w:p>
    <w:p w14:paraId="0AB6EB0D" w14:textId="72FFECAF" w:rsidR="0039726C" w:rsidRDefault="000266D3" w:rsidP="0039726C">
      <w:pPr>
        <w:spacing w:before="0" w:after="0" w:line="240" w:lineRule="auto"/>
        <w:ind w:left="0" w:right="0" w:firstLine="0"/>
        <w:jc w:val="center"/>
        <w:outlineLvl w:val="0"/>
        <w:rPr>
          <w:sz w:val="32"/>
          <w:szCs w:val="32"/>
        </w:rPr>
      </w:pPr>
      <w:r>
        <w:rPr>
          <w:sz w:val="32"/>
          <w:szCs w:val="32"/>
        </w:rPr>
        <w:t>JANUARY 25, 2021</w:t>
      </w:r>
    </w:p>
    <w:p w14:paraId="26641217" w14:textId="5F27F5A0" w:rsidR="007122FC" w:rsidRDefault="003326E0" w:rsidP="0039726C">
      <w:pPr>
        <w:spacing w:before="0" w:after="0" w:line="240" w:lineRule="auto"/>
        <w:ind w:left="0" w:right="0" w:firstLine="0"/>
        <w:jc w:val="center"/>
        <w:outlineLvl w:val="0"/>
        <w:rPr>
          <w:sz w:val="32"/>
          <w:szCs w:val="32"/>
        </w:rPr>
      </w:pPr>
    </w:p>
    <w:p w14:paraId="6816B0F4" w14:textId="77777777" w:rsidR="00792B1E" w:rsidRDefault="003326E0" w:rsidP="00B809F5">
      <w:pPr>
        <w:spacing w:before="0" w:after="0" w:line="240" w:lineRule="auto"/>
        <w:ind w:left="0" w:right="0" w:firstLine="0"/>
        <w:jc w:val="center"/>
        <w:outlineLvl w:val="0"/>
        <w:rPr>
          <w:sz w:val="32"/>
          <w:szCs w:val="32"/>
        </w:rPr>
      </w:pPr>
    </w:p>
    <w:p w14:paraId="498F6E1C" w14:textId="77777777" w:rsidR="0046785A" w:rsidRPr="0046785A" w:rsidRDefault="003326E0" w:rsidP="00615277">
      <w:pPr>
        <w:ind w:left="0" w:right="0" w:firstLine="0"/>
        <w:jc w:val="center"/>
      </w:pPr>
    </w:p>
    <w:p w14:paraId="1E801079" w14:textId="77777777" w:rsidR="0046785A" w:rsidRDefault="003326E0" w:rsidP="00615277">
      <w:pPr>
        <w:ind w:left="0" w:right="0" w:firstLine="0"/>
        <w:jc w:val="center"/>
        <w:rPr>
          <w:b/>
          <w:u w:val="single"/>
        </w:rPr>
        <w:sectPr w:rsidR="0046785A" w:rsidSect="00E4425D">
          <w:footerReference w:type="default" r:id="rId8"/>
          <w:pgSz w:w="12240" w:h="15840"/>
          <w:pgMar w:top="1440" w:right="1440" w:bottom="1440" w:left="1440" w:header="720" w:footer="720" w:gutter="0"/>
          <w:cols w:space="720"/>
          <w:docGrid w:linePitch="360"/>
        </w:sectPr>
      </w:pPr>
    </w:p>
    <w:p w14:paraId="3204C5CE" w14:textId="77777777" w:rsidR="007122FC" w:rsidRPr="00480D08" w:rsidRDefault="0006003A" w:rsidP="003C64FA">
      <w:pPr>
        <w:pStyle w:val="H1"/>
      </w:pPr>
      <w:r>
        <w:lastRenderedPageBreak/>
        <w:t>Background and Overview</w:t>
      </w:r>
    </w:p>
    <w:p w14:paraId="7C252D20" w14:textId="77777777" w:rsidR="008B3ABB" w:rsidRDefault="0006003A" w:rsidP="004B55B1">
      <w:pPr>
        <w:pStyle w:val="GaBody"/>
      </w:pPr>
      <w:r>
        <w:t xml:space="preserve">The Georgia Public Service Commission’s (“GPSC” or “Commission”) Order in Docket No. </w:t>
      </w:r>
      <w:r w:rsidRPr="00433DE3">
        <w:t>3</w:t>
      </w:r>
      <w:r>
        <w:t xml:space="preserve">6989, dated December 23, 2013, adopted a Settlement Agreement, which, among other things, established a three-year Alternative Rate Plan ("ARP") with rates that became effective on January 1, 2014 and originally set to continue through December 31, </w:t>
      </w:r>
      <w:r w:rsidRPr="00654D82">
        <w:t>2016</w:t>
      </w:r>
      <w:r>
        <w:t>.</w:t>
      </w:r>
      <w:r>
        <w:rPr>
          <w:rStyle w:val="FootnoteReference"/>
        </w:rPr>
        <w:footnoteReference w:id="1"/>
      </w:r>
      <w:r>
        <w:t xml:space="preserve">  A provision of the Settlement Agreement established an earnings band that ranges between 10.00% and 12.00% for retail return on equity ("ROE").  Specifically, Paragraph 2 of the Settlement Agreement, which is dated November 18, 2013, stated that:</w:t>
      </w:r>
    </w:p>
    <w:p w14:paraId="394114CB" w14:textId="77777777" w:rsidR="008B3ABB" w:rsidRDefault="0006003A" w:rsidP="004B55B1">
      <w:pPr>
        <w:pStyle w:val="Quote"/>
      </w:pPr>
      <w:r>
        <w:t>For Annual Surveillance Reporting ("ASR") reporting purposes, beginning January 1, 2014, the earnings band shall be set at 10.0% to 12.0% ROE and the Company shall report earnings based on the actual historic cost of debt and capital structure.  The Company will not file a general rate case unless its calendar year retail earnings are projected to be less than 10.0% ROE.  Any retail earnings above 12.0% ROE will be shared, with two thirds being directly refunded to customers, allocated on a percentage basis to all customer groups including RTP incremental usage, and the remaining one-third retained by the Company.</w:t>
      </w:r>
    </w:p>
    <w:p w14:paraId="10C78671" w14:textId="77777777" w:rsidR="007122FC" w:rsidRDefault="0006003A" w:rsidP="004B55B1">
      <w:pPr>
        <w:pStyle w:val="GaBody"/>
      </w:pPr>
      <w:r>
        <w:t xml:space="preserve">Georgia Power Company (“Georgia Power”, "GPC", or “Company”) makes its ASR filings in order to determine its earned ROE and to address the return of excess amounts above the 12.00% upper end of the earnings dead band. The Company’s ASR filing for the twelve months ended 2019 in this proceeding is the Company's sixth annual filing since the ASR was adopted pursuant to the Settlement Agreement as approved by the Commission in its Order dated December 23, 2013 in Docket No. 36989 and extended by Commission Order in Docket No. 39971.  As shown </w:t>
      </w:r>
      <w:r>
        <w:lastRenderedPageBreak/>
        <w:t>on page 1 of Section 1 of the Company's 2019 ASR filing, Georgia Power reported a Retail Return on Equity of 12.88</w:t>
      </w:r>
      <w:r w:rsidRPr="00387567">
        <w:t>%</w:t>
      </w:r>
      <w:r>
        <w:t xml:space="preserve"> for 2019 on its ASR.</w:t>
      </w:r>
    </w:p>
    <w:p w14:paraId="517D5698" w14:textId="77777777" w:rsidR="007122FC" w:rsidRDefault="0006003A" w:rsidP="00995D0F">
      <w:pPr>
        <w:pStyle w:val="GaBody"/>
      </w:pPr>
      <w:r>
        <w:t>The Company's retail surveillance report for 2019 has been prepared in accordance with the ratemaking principles established by the Commission in Dockets 4007, 6292, 6739, 9355, 14000, 18300, 19758, 25060, 31958, 36989, and 42516.</w:t>
      </w:r>
    </w:p>
    <w:p w14:paraId="506FF23D" w14:textId="77777777" w:rsidR="007122FC" w:rsidRDefault="0006003A" w:rsidP="00995D0F">
      <w:pPr>
        <w:pStyle w:val="GaBody"/>
      </w:pPr>
      <w:r>
        <w:t>Pursuant to the aforementioned passage from the Settlement Agreement and the GPSC’s Orders issued in Docket Nos. 36989 and 39971, earnings above the upper limit of the 10.00% to 12.00% ROE range are subject to sharing, with customers receiving two-thirds of the amount as rate refunds and the Company retaining the remaining one-third.  As noted above, for the twelve months ended December 31, 2019, the Company reported earnings of 12.88% ROE, with excess revenues of $123.2 million.  Consistent with that prior Settlement Agreement, GPC's 2019 ASR filing would have shown an $82.2 million ($123.2 million x 2/3) refund to its retail customers.</w:t>
      </w:r>
    </w:p>
    <w:p w14:paraId="71ACF303" w14:textId="77777777" w:rsidR="002D2DC1" w:rsidRDefault="0006003A" w:rsidP="00995D0F">
      <w:pPr>
        <w:pStyle w:val="GaBody"/>
      </w:pPr>
      <w:r>
        <w:t>However, a settlement in the recent GPC rate case in Docket No. 42516 provides that 50% of the Company's earnings above the 12% ROE earnings band for 2019 (approximately $61.6 million) are to be refunded to customers and the remaining amount shall be applied to the regulatory assets related to the Stewart County Site Investigation (approximately $48.8 million) and combustion coal residuals asset retirement obligations (approximately $12.8 million).  In addition, the Company agreed to forego its portion of the refund (i.e., 1/3 of revenues over the 12.00% ROE).  Specifically, Section 10 (page 9) of the Commission's Short Order Adopting Settlement as Modified dated December 31, 2019, states as follows:</w:t>
      </w:r>
    </w:p>
    <w:p w14:paraId="12F3A6AA" w14:textId="77777777" w:rsidR="00C83142" w:rsidRDefault="0006003A" w:rsidP="00C83142">
      <w:pPr>
        <w:pStyle w:val="GaBody"/>
        <w:spacing w:before="0" w:after="0" w:line="240" w:lineRule="auto"/>
        <w:ind w:left="720" w:right="720"/>
      </w:pPr>
      <w:r>
        <w:t>In the Settlement Agreement, the Company</w:t>
      </w:r>
      <w:r w:rsidRPr="00B00963">
        <w:t xml:space="preserve"> anticipates earnings in excess of the earnings band in 2019. The Company </w:t>
      </w:r>
      <w:r>
        <w:t>shall</w:t>
      </w:r>
      <w:r w:rsidRPr="00B00963">
        <w:t xml:space="preserve"> forego its share of the 2019 earnings </w:t>
      </w:r>
      <w:r w:rsidRPr="00B00963">
        <w:lastRenderedPageBreak/>
        <w:t>over the top of the earnings band. Fifty percent (50%) of all the earnings ove</w:t>
      </w:r>
      <w:r>
        <w:t>r the 2019 band shall</w:t>
      </w:r>
      <w:r w:rsidRPr="00B00963">
        <w:t xml:space="preserve"> be refunded to customers with a special line item on the bi</w:t>
      </w:r>
      <w:r>
        <w:t>ll, and fifty percent (50%) shall</w:t>
      </w:r>
      <w:r w:rsidRPr="00B00963">
        <w:t xml:space="preserve"> be used for the early retirement of regulatory assets including $49 million spent to investigate the Stewart County site and other regulatory assets in the following priority: Accumulated CCR ARO, Retired Generating Plant, Obsolete Inventory, Environmental Remediation, and Storm Damage</w:t>
      </w:r>
      <w:r>
        <w:t>.</w:t>
      </w:r>
    </w:p>
    <w:p w14:paraId="284D82E1" w14:textId="0C399307" w:rsidR="00296D82" w:rsidRDefault="0006003A" w:rsidP="00296D82">
      <w:pPr>
        <w:pStyle w:val="GaBody"/>
      </w:pPr>
      <w:r>
        <w:t xml:space="preserve">As noted above and in Section 1, page 2 of the 2019 ASR filing, the Company reflected (1) a refund to customers of $61.6 million, (2) $48.8 million to </w:t>
      </w:r>
      <w:r w:rsidR="0009269D">
        <w:t xml:space="preserve">be </w:t>
      </w:r>
      <w:r>
        <w:t>applied to Stewart County regulatory asset, and (3) $12.8 million applied to the CCR ARO regulatory asset.</w:t>
      </w:r>
    </w:p>
    <w:p w14:paraId="40A2B147" w14:textId="77777777" w:rsidR="007122FC" w:rsidRDefault="0006003A" w:rsidP="003C64FA">
      <w:pPr>
        <w:pStyle w:val="H1"/>
      </w:pPr>
      <w:r w:rsidRPr="00A4382D">
        <w:t>Scope of Review</w:t>
      </w:r>
      <w:r>
        <w:t xml:space="preserve"> and Recommendations</w:t>
      </w:r>
    </w:p>
    <w:p w14:paraId="3C77CBD5" w14:textId="77777777" w:rsidR="007122FC" w:rsidRDefault="0006003A" w:rsidP="00203D83">
      <w:pPr>
        <w:pStyle w:val="GaBody"/>
      </w:pPr>
      <w:r>
        <w:t>The Staff conducted an extensive review of the Company’s 2019 ASR filing in order to:</w:t>
      </w:r>
    </w:p>
    <w:p w14:paraId="5AD37874" w14:textId="77777777" w:rsidR="007122FC" w:rsidRDefault="0006003A" w:rsidP="007122FC">
      <w:pPr>
        <w:pStyle w:val="ListParagraph"/>
        <w:numPr>
          <w:ilvl w:val="0"/>
          <w:numId w:val="1"/>
        </w:numPr>
        <w:spacing w:line="240" w:lineRule="auto"/>
        <w:ind w:right="0"/>
      </w:pPr>
      <w:r>
        <w:t>replicate and verify the Company’s return on equity calculation to ensure it placed within the Commission’s ordered ROE band,</w:t>
      </w:r>
    </w:p>
    <w:p w14:paraId="7DC0DE51" w14:textId="77777777" w:rsidR="007122FC" w:rsidRDefault="0006003A" w:rsidP="007122FC">
      <w:pPr>
        <w:pStyle w:val="ListParagraph"/>
        <w:numPr>
          <w:ilvl w:val="0"/>
          <w:numId w:val="1"/>
        </w:numPr>
        <w:spacing w:line="240" w:lineRule="auto"/>
        <w:ind w:right="0"/>
      </w:pPr>
      <w:r>
        <w:t>ensure that the Company’s regulatory adjustments were made in compliance with Commission orders, and</w:t>
      </w:r>
    </w:p>
    <w:p w14:paraId="6B1DC402" w14:textId="77777777" w:rsidR="007122FC" w:rsidRDefault="0006003A" w:rsidP="00592930">
      <w:pPr>
        <w:pStyle w:val="ListParagraph"/>
        <w:numPr>
          <w:ilvl w:val="0"/>
          <w:numId w:val="1"/>
        </w:numPr>
        <w:spacing w:before="0" w:after="0" w:line="360" w:lineRule="auto"/>
        <w:ind w:right="0"/>
      </w:pPr>
      <w:r>
        <w:t>identify issues and/or adjustments to the Company’s filing as appropriate.</w:t>
      </w:r>
    </w:p>
    <w:p w14:paraId="6FF560DB" w14:textId="77777777" w:rsidR="002B7D4B" w:rsidRDefault="0006003A" w:rsidP="00592930">
      <w:pPr>
        <w:pStyle w:val="GaBody"/>
        <w:spacing w:line="360" w:lineRule="auto"/>
      </w:pPr>
      <w:r>
        <w:t>Staff’s review implemented the following procedures, amongst others, to make its determination with respect to the Company’s reported Return on Equity:</w:t>
      </w:r>
    </w:p>
    <w:p w14:paraId="3391B38F" w14:textId="77777777" w:rsidR="007122FC" w:rsidRDefault="0006003A" w:rsidP="007122FC">
      <w:pPr>
        <w:pStyle w:val="ListParagraph"/>
        <w:numPr>
          <w:ilvl w:val="0"/>
          <w:numId w:val="1"/>
        </w:numPr>
        <w:spacing w:line="240" w:lineRule="auto"/>
        <w:ind w:right="0"/>
      </w:pPr>
      <w:r>
        <w:t>compared rate base and operating income components year over year</w:t>
      </w:r>
      <w:r w:rsidRPr="00531A81">
        <w:t>, identified changes in adopted accounting methodologies</w:t>
      </w:r>
      <w:r>
        <w:t>, and identified new transactions,</w:t>
      </w:r>
    </w:p>
    <w:p w14:paraId="77A2547B" w14:textId="77777777" w:rsidR="007122FC" w:rsidRDefault="0006003A" w:rsidP="007122FC">
      <w:pPr>
        <w:pStyle w:val="ListParagraph"/>
        <w:numPr>
          <w:ilvl w:val="0"/>
          <w:numId w:val="1"/>
        </w:numPr>
        <w:spacing w:line="240" w:lineRule="auto"/>
        <w:ind w:right="0"/>
      </w:pPr>
      <w:r>
        <w:t>identified variances as a foundation for discovery questions, and</w:t>
      </w:r>
    </w:p>
    <w:p w14:paraId="298FE33A" w14:textId="77777777" w:rsidR="002B7D4B" w:rsidRDefault="0006003A">
      <w:pPr>
        <w:pStyle w:val="ListParagraph"/>
        <w:numPr>
          <w:ilvl w:val="0"/>
          <w:numId w:val="1"/>
        </w:numPr>
        <w:spacing w:line="240" w:lineRule="auto"/>
        <w:ind w:right="0"/>
      </w:pPr>
      <w:r>
        <w:t>prepared multiple rounds of discovery questions and reviewed responses.</w:t>
      </w:r>
    </w:p>
    <w:p w14:paraId="100CFB52" w14:textId="77777777" w:rsidR="007122FC" w:rsidRDefault="0006003A" w:rsidP="00B809F5">
      <w:pPr>
        <w:pStyle w:val="H1"/>
        <w:outlineLvl w:val="0"/>
      </w:pPr>
      <w:r>
        <w:lastRenderedPageBreak/>
        <w:br/>
        <w:t>Regulatory Adjustments Made in Compliance with Commission Order</w:t>
      </w:r>
    </w:p>
    <w:p w14:paraId="5D1224B2" w14:textId="77777777" w:rsidR="007122FC" w:rsidRDefault="0006003A" w:rsidP="00203D83">
      <w:pPr>
        <w:pStyle w:val="GaBody"/>
      </w:pPr>
      <w:r>
        <w:t>As noted above, the Commission adopted the Settlement Agreement in its Order dated December 23, 2013 in Docket No. 36989.  In the Findings of Fact section of the Commission's Order, the Commission identified adjustments that had been recommended by Staff in GPC's 2013 rate case and included as provisions of the Settlement Agreement.  One of these adjustments related to stock-based compensation.  Additionally, the miscellaneous adjustments, which totaled $14.175 million, related to a number of unspecified Staff recommendations in that prior rate case. The Commission directed that these two adjustments be reflected in the Company's next ASR filing.  Specifically, on page 9 of the Commission's Order, the Commission stated:</w:t>
      </w:r>
    </w:p>
    <w:p w14:paraId="1C16AB70" w14:textId="77777777" w:rsidR="00A92F06" w:rsidRDefault="0006003A" w:rsidP="00203D83">
      <w:pPr>
        <w:pStyle w:val="Quote"/>
      </w:pPr>
      <w:r>
        <w:t>Paragraphs 2 and 3 of the Settlement Agreement describe and provide that the Annual Surveillance Report ("ASR") will be filed by the Company by March 15 of the year following the reporting year.  The Commission finds that the adjustments to the Company's initial filing agreed to in the Settlement Agreement, itemized in Exhibit A to the Settlement Agreement and further described above, shall be applied for ASR filing purposes for each year of the ARP.  Specifically, to be included in the ASR are the Stock Based Compensation adjustment (line 11) and the Miscellaneous Adjustments (line 15).  The Stock Based Compensation adjustment would be reported as the actualized amount and the Miscellaneous Adjustments would be reported as the amount agreed to in the Settlement Agreement of $14,175,000.</w:t>
      </w:r>
    </w:p>
    <w:p w14:paraId="2CBBBB4F" w14:textId="77777777" w:rsidR="004F0B52" w:rsidRDefault="0006003A" w:rsidP="00203D83">
      <w:pPr>
        <w:pStyle w:val="GaBody"/>
      </w:pPr>
      <w:r>
        <w:t xml:space="preserve">GPC had reflected these two adjustments in its 2019 ASR filing in accordance with the Commission's Order.  Specifically, GPC removed from various O&amp;M expense accounts, stock-based compensation totaling $16.841 million, which was attributable to GPC, Southern Company Services ("SCS") and Southern Nuclear employees, as well as the associated accumulated deferred </w:t>
      </w:r>
      <w:r>
        <w:lastRenderedPageBreak/>
        <w:t>income taxes ("ADIT"), which totaled $6.497 million, from Account No. 190. These adjustments are detailed in Section 6, Workpaper 11 from GPC's 2019 ASR filing.</w:t>
      </w:r>
    </w:p>
    <w:p w14:paraId="390D9473" w14:textId="77777777" w:rsidR="001A4F63" w:rsidRDefault="0006003A" w:rsidP="001A4F63">
      <w:pPr>
        <w:pStyle w:val="GaBody"/>
      </w:pPr>
      <w:r w:rsidRPr="00E17FA0">
        <w:t xml:space="preserve">In </w:t>
      </w:r>
      <w:r>
        <w:t xml:space="preserve">its </w:t>
      </w:r>
      <w:r w:rsidRPr="00E17FA0">
        <w:t xml:space="preserve">response to </w:t>
      </w:r>
      <w:r w:rsidRPr="00E05FBB">
        <w:t>STF-ASR-</w:t>
      </w:r>
      <w:r>
        <w:t>58-32, the Company stated that the O&amp;M and ADIT amounts included in Section 6, Workpaper 11 reflect 100% of the direct GPC portion of stock-based compensation along with an allocation of stock-based compensation attributable to SCS and SNC.</w:t>
      </w:r>
    </w:p>
    <w:p w14:paraId="5904D5F2" w14:textId="77777777" w:rsidR="001A4F63" w:rsidRPr="001A4F63" w:rsidRDefault="0006003A" w:rsidP="001A4F63">
      <w:pPr>
        <w:pStyle w:val="GaBody"/>
        <w:rPr>
          <w:b/>
        </w:rPr>
      </w:pPr>
      <w:r>
        <w:t>Similar to the Amended 2018 ASR filing, in its 2019 ASR filing, the Company also removed $14.175 million of miscellaneous expenses from administrative and general operating expenses in its 2019 ASR filing.  This adjustment is detailed in Section 6, Workpaper 23 from the 2019 ASR filing.  Staff noted that these adjustments are flowed through as reductions to O&amp;M expense line in Section 3 of the ASR filing.</w:t>
      </w:r>
    </w:p>
    <w:p w14:paraId="29907A69" w14:textId="77777777" w:rsidR="004F0B52" w:rsidRDefault="0006003A" w:rsidP="00203D83">
      <w:pPr>
        <w:pStyle w:val="GaBody"/>
      </w:pPr>
      <w:r>
        <w:t>The Company's 2019 ASR filing, at Section 5, Schedule 12, which relates to major accounting and tax changes, states the following with regard to Georgia's state income tax rates:</w:t>
      </w:r>
    </w:p>
    <w:p w14:paraId="26B4CB4A" w14:textId="77777777" w:rsidR="007D6028" w:rsidRDefault="0006003A" w:rsidP="007D6028">
      <w:pPr>
        <w:pStyle w:val="GaBody"/>
        <w:spacing w:before="0" w:after="0" w:line="240" w:lineRule="auto"/>
        <w:ind w:left="720" w:right="720"/>
      </w:pPr>
      <w:r>
        <w:t>In March 2018, Georgia House Bill 918 (H.B. 918) was signed into law.  Beginning January 1, 2019, H.B. 918 provides for a reduction in the highest corporate and individual income tax rates from 6 percent to 5.75 percent.  These tax rate reductions sunset as of December 31, 2025, when the corporate and individual state tax rates will revert back to 6 percent.</w:t>
      </w:r>
    </w:p>
    <w:p w14:paraId="00E791C1" w14:textId="77777777" w:rsidR="007D6028" w:rsidRDefault="003326E0" w:rsidP="007D6028">
      <w:pPr>
        <w:pStyle w:val="GaBody"/>
        <w:spacing w:before="0" w:after="0" w:line="240" w:lineRule="auto"/>
        <w:ind w:left="720" w:right="720"/>
      </w:pPr>
    </w:p>
    <w:p w14:paraId="4ECF519C" w14:textId="77777777" w:rsidR="001A4F63" w:rsidRPr="007D6028" w:rsidRDefault="0006003A" w:rsidP="007D6028">
      <w:pPr>
        <w:pStyle w:val="GaBody"/>
      </w:pPr>
      <w:r w:rsidRPr="007D6028">
        <w:t>Pursuant to the response to STF-ASR-58-28, the Company's 2019 ASR filing reflects the impact of the change in the</w:t>
      </w:r>
      <w:r>
        <w:t xml:space="preserve"> state</w:t>
      </w:r>
      <w:r w:rsidRPr="007D6028">
        <w:t xml:space="preserve"> corporate income tax rate to 5.75 percent per H.B. 918.</w:t>
      </w:r>
    </w:p>
    <w:p w14:paraId="027AA5DE" w14:textId="77777777" w:rsidR="002B7D4B" w:rsidRDefault="0006003A">
      <w:pPr>
        <w:pStyle w:val="H1"/>
      </w:pPr>
      <w:r w:rsidRPr="00BA4C5F">
        <w:t>Plant Held For Future Use</w:t>
      </w:r>
    </w:p>
    <w:p w14:paraId="3639EC92" w14:textId="77777777" w:rsidR="00E94AE0" w:rsidRDefault="0006003A" w:rsidP="00203D83">
      <w:pPr>
        <w:pStyle w:val="GaBody"/>
      </w:pPr>
      <w:r>
        <w:t xml:space="preserve">As shown in Section 2, page 1 of GPC's 2019 ASR filing, the Company included FERC Account 105, Plant Held For Future Use ("PHFFU"), totaling $116.787 million in rate base.  Staff requested </w:t>
      </w:r>
      <w:r>
        <w:lastRenderedPageBreak/>
        <w:t>that the Company identify how much of this PHFFU was related to projects that were (1) not included in the 2013 Integrated Resource Plan ("IRP"), (2) not included in the Company's 2016 IRP, and (3) not included in the Company's 2019 IRP.  In its response to STF-ASR-58-55, the Company provided an attachment that provided the requested PHFFU information, which Staff has replicated in the table below:</w:t>
      </w:r>
    </w:p>
    <w:p w14:paraId="67357C59" w14:textId="77777777" w:rsidR="004B2283" w:rsidRDefault="0006003A" w:rsidP="00203D83">
      <w:pPr>
        <w:pStyle w:val="GaBody"/>
      </w:pPr>
      <w:r w:rsidRPr="00FA3032">
        <w:rPr>
          <w:noProof/>
        </w:rPr>
        <w:drawing>
          <wp:inline distT="0" distB="0" distL="0" distR="0" wp14:anchorId="027F126A" wp14:editId="5FF21F28">
            <wp:extent cx="5943600" cy="3070228"/>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5943600" cy="3070228"/>
                    </a:xfrm>
                    <a:prstGeom prst="rect">
                      <a:avLst/>
                    </a:prstGeom>
                    <a:noFill/>
                    <a:ln w="9525">
                      <a:noFill/>
                      <a:miter lim="800000"/>
                      <a:headEnd/>
                      <a:tailEnd/>
                    </a:ln>
                  </pic:spPr>
                </pic:pic>
              </a:graphicData>
            </a:graphic>
          </wp:inline>
        </w:drawing>
      </w:r>
    </w:p>
    <w:p w14:paraId="09F054FA" w14:textId="77777777" w:rsidR="004B2283" w:rsidRDefault="0006003A" w:rsidP="00203D83">
      <w:pPr>
        <w:pStyle w:val="GaBody"/>
      </w:pPr>
      <w:r>
        <w:t>As shown in the table above under column B, the Company included PHFFU totaling $116.79 million in the 2019 13-month average jurisdictional ASR rate base.  The Company provided the following explanations with regard to why these items were not included in its 2013, 2016 and/or 2019 IRPs:</w:t>
      </w:r>
    </w:p>
    <w:p w14:paraId="63F8AAD9" w14:textId="77777777" w:rsidR="000A09D9" w:rsidRDefault="0006003A" w:rsidP="00432B8E">
      <w:pPr>
        <w:pStyle w:val="GaBody"/>
        <w:numPr>
          <w:ilvl w:val="0"/>
          <w:numId w:val="30"/>
        </w:numPr>
        <w:spacing w:line="240" w:lineRule="auto"/>
      </w:pPr>
      <w:r w:rsidRPr="004B2283">
        <w:rPr>
          <w:b/>
        </w:rPr>
        <w:t>Lines 1-</w:t>
      </w:r>
      <w:r>
        <w:rPr>
          <w:b/>
        </w:rPr>
        <w:t>7</w:t>
      </w:r>
      <w:r>
        <w:t>: Items were not addressed in the Company's 2013, 2016 and 2019 IRP because they fell outside the 10-year Transmission planning horizon.</w:t>
      </w:r>
    </w:p>
    <w:p w14:paraId="55BF313B" w14:textId="77777777" w:rsidR="004B2283" w:rsidRDefault="0006003A" w:rsidP="00432B8E">
      <w:pPr>
        <w:pStyle w:val="GaBody"/>
        <w:numPr>
          <w:ilvl w:val="0"/>
          <w:numId w:val="30"/>
        </w:numPr>
        <w:spacing w:line="240" w:lineRule="auto"/>
      </w:pPr>
      <w:r w:rsidRPr="004B2283">
        <w:rPr>
          <w:b/>
        </w:rPr>
        <w:t xml:space="preserve">Lines </w:t>
      </w:r>
      <w:r>
        <w:rPr>
          <w:b/>
        </w:rPr>
        <w:t>8-9</w:t>
      </w:r>
      <w:r>
        <w:t>: Items were included as part of the Company's 2013 IRP.  The use dates of these items have subsequently changed and they were not addressed in the 2016 or 2019 IRP because the anticipated use date fell outside the 5-year Area planning horizon.</w:t>
      </w:r>
    </w:p>
    <w:p w14:paraId="22D07B94" w14:textId="77777777" w:rsidR="004B2283" w:rsidRDefault="0006003A" w:rsidP="00432B8E">
      <w:pPr>
        <w:pStyle w:val="GaBody"/>
        <w:numPr>
          <w:ilvl w:val="0"/>
          <w:numId w:val="30"/>
        </w:numPr>
        <w:spacing w:line="240" w:lineRule="auto"/>
      </w:pPr>
      <w:r w:rsidRPr="004B2283">
        <w:rPr>
          <w:b/>
        </w:rPr>
        <w:lastRenderedPageBreak/>
        <w:t>Line</w:t>
      </w:r>
      <w:r>
        <w:rPr>
          <w:b/>
        </w:rPr>
        <w:t>s</w:t>
      </w:r>
      <w:r w:rsidRPr="004B2283">
        <w:rPr>
          <w:b/>
        </w:rPr>
        <w:t xml:space="preserve"> 1</w:t>
      </w:r>
      <w:r>
        <w:rPr>
          <w:b/>
        </w:rPr>
        <w:t>0-11</w:t>
      </w:r>
      <w:r>
        <w:t>:  Items were inadvertently omitted from the Company's 2013 and 2016 IRP filings.  The projects associated with these items were subsequently provided in the Company's response to 2016 IRP data request STF-2-25.  Items were not addressed in the Company's 2019 IRP because the anticipated use date fell outside the 10-year Transmission planning horizon and the 5-year Area planning horizon.</w:t>
      </w:r>
    </w:p>
    <w:p w14:paraId="332199C2" w14:textId="77777777" w:rsidR="004B2283" w:rsidRDefault="0006003A" w:rsidP="00432B8E">
      <w:pPr>
        <w:pStyle w:val="GaBody"/>
        <w:numPr>
          <w:ilvl w:val="0"/>
          <w:numId w:val="30"/>
        </w:numPr>
        <w:spacing w:line="240" w:lineRule="auto"/>
      </w:pPr>
      <w:r w:rsidRPr="004B2283">
        <w:rPr>
          <w:b/>
        </w:rPr>
        <w:t>Line 1</w:t>
      </w:r>
      <w:r>
        <w:rPr>
          <w:b/>
        </w:rPr>
        <w:t>2</w:t>
      </w:r>
      <w:r>
        <w:t>: Item was not addressed in the Company's 2013 IRP.  Item was addressed in the Company's 2016 IRP in Technical Appendix Volume I and Appendix G in the Resource Mix Study and addressed in the Company's 2019 IRP in Attachment G in the Main Document.</w:t>
      </w:r>
    </w:p>
    <w:p w14:paraId="2B147BC6" w14:textId="77777777" w:rsidR="000A09D9" w:rsidRDefault="0006003A" w:rsidP="00432B8E">
      <w:pPr>
        <w:pStyle w:val="GaBody"/>
        <w:numPr>
          <w:ilvl w:val="0"/>
          <w:numId w:val="30"/>
        </w:numPr>
        <w:spacing w:line="240" w:lineRule="auto"/>
      </w:pPr>
      <w:r w:rsidRPr="00432B8E">
        <w:rPr>
          <w:b/>
        </w:rPr>
        <w:t xml:space="preserve">Line </w:t>
      </w:r>
      <w:r>
        <w:rPr>
          <w:b/>
        </w:rPr>
        <w:t>13</w:t>
      </w:r>
      <w:r>
        <w:t>: Item was not addressed in the Company's 2013 or 2016 IRP because the land was donated to the Company in 2018.  Item was not addressed in the Company's 2019 IRP because the anticipated use date fell outside the 5-year Area planning horizon.</w:t>
      </w:r>
    </w:p>
    <w:p w14:paraId="4BDD1BAB" w14:textId="77777777" w:rsidR="006A61C9" w:rsidRDefault="0006003A" w:rsidP="00432B8E">
      <w:pPr>
        <w:pStyle w:val="GaBody"/>
        <w:numPr>
          <w:ilvl w:val="0"/>
          <w:numId w:val="30"/>
        </w:numPr>
        <w:spacing w:line="240" w:lineRule="auto"/>
      </w:pPr>
      <w:r w:rsidRPr="006A61C9">
        <w:rPr>
          <w:b/>
        </w:rPr>
        <w:t>Line 14:</w:t>
      </w:r>
      <w:r>
        <w:t xml:space="preserve"> Item was purchased in 2019.  It was not addressed in the Company's 2019 IRP as it is not directly associated with any specific Transmission or Distribution line and substation projects nor affiliated with any Generation projects.</w:t>
      </w:r>
    </w:p>
    <w:p w14:paraId="7C7B468F" w14:textId="77777777" w:rsidR="006A61C9" w:rsidRDefault="0006003A" w:rsidP="00432B8E">
      <w:pPr>
        <w:pStyle w:val="GaBody"/>
        <w:numPr>
          <w:ilvl w:val="0"/>
          <w:numId w:val="30"/>
        </w:numPr>
        <w:spacing w:line="240" w:lineRule="auto"/>
      </w:pPr>
      <w:r w:rsidRPr="006A61C9">
        <w:rPr>
          <w:b/>
        </w:rPr>
        <w:t>Line 15:</w:t>
      </w:r>
      <w:r>
        <w:t xml:space="preserve"> Item was not addressed in the Company's 2013 or 2016 IRP.  The use date of this item has subsequently changed and it was not addressed in the Company's 2019 IRP because the anticipated use date fell outside the 5-year Area planning horizon.</w:t>
      </w:r>
    </w:p>
    <w:p w14:paraId="204EDB2E" w14:textId="77777777" w:rsidR="006A61C9" w:rsidRDefault="0006003A" w:rsidP="00432B8E">
      <w:pPr>
        <w:pStyle w:val="GaBody"/>
        <w:numPr>
          <w:ilvl w:val="0"/>
          <w:numId w:val="30"/>
        </w:numPr>
        <w:spacing w:line="240" w:lineRule="auto"/>
      </w:pPr>
      <w:r w:rsidRPr="006A61C9">
        <w:rPr>
          <w:b/>
        </w:rPr>
        <w:t>Lines 16-17:</w:t>
      </w:r>
      <w:r>
        <w:t xml:space="preserve"> Items were not addressed in the Company's 2013, 2016 or 2019 IRP because the anticipated use date fell outside the 10-year Transmission planning horizon.  However, the need dates were recently moved within the 5-year Area planning horizon after 2019 IRP was filed.</w:t>
      </w:r>
    </w:p>
    <w:p w14:paraId="0C3B37AD" w14:textId="77777777" w:rsidR="006A61C9" w:rsidRDefault="0006003A" w:rsidP="00432B8E">
      <w:pPr>
        <w:pStyle w:val="GaBody"/>
        <w:numPr>
          <w:ilvl w:val="0"/>
          <w:numId w:val="30"/>
        </w:numPr>
        <w:spacing w:line="240" w:lineRule="auto"/>
      </w:pPr>
      <w:r w:rsidRPr="006A61C9">
        <w:rPr>
          <w:b/>
        </w:rPr>
        <w:t>Line 18:</w:t>
      </w:r>
      <w:r>
        <w:t xml:space="preserve"> Item was included as part of the Company's 2013 IRP.  The use date of this item has subsequently changed and it was not addressed in the 2016 or 2019 IRP because the anticipated use date fell outside the 5-year area planning horizon.  However, the need date was moved within the 5-year planning horizon after 2019 IRP was filed.</w:t>
      </w:r>
    </w:p>
    <w:p w14:paraId="56D391A8" w14:textId="77777777" w:rsidR="006A61C9" w:rsidRDefault="0006003A" w:rsidP="00432B8E">
      <w:pPr>
        <w:pStyle w:val="GaBody"/>
        <w:numPr>
          <w:ilvl w:val="0"/>
          <w:numId w:val="30"/>
        </w:numPr>
        <w:spacing w:line="240" w:lineRule="auto"/>
      </w:pPr>
      <w:r w:rsidRPr="00B33C42">
        <w:rPr>
          <w:b/>
        </w:rPr>
        <w:t>Line 19:</w:t>
      </w:r>
      <w:r>
        <w:t xml:space="preserve"> Item was inadvertently omitted from the Company's 2013 and 2016 IRP filings.  The project associated with this item was subsequently provided in the Company's response to 2016 IRP data request STF-2-25.  The item was included in the 2019 IRP referenced in Volume 3 [F]. </w:t>
      </w:r>
    </w:p>
    <w:p w14:paraId="0D87C183" w14:textId="77777777" w:rsidR="00124258" w:rsidRDefault="0006003A" w:rsidP="001A4F63">
      <w:pPr>
        <w:pStyle w:val="GaBody"/>
        <w:spacing w:before="0" w:after="0"/>
      </w:pPr>
      <w:r>
        <w:t>As shown in the table above under column C, the Company included PHFFU totaling $109.84 million in the 2019 13-month average jurisdictional ASR rate base that is not anticipated to be placed into service until 2030 or beyond.</w:t>
      </w:r>
    </w:p>
    <w:p w14:paraId="2C176C26" w14:textId="77777777" w:rsidR="00F86F55" w:rsidRDefault="0006003A" w:rsidP="00BF7487">
      <w:pPr>
        <w:pStyle w:val="GaBody"/>
        <w:spacing w:before="0" w:after="0"/>
      </w:pPr>
      <w:r>
        <w:lastRenderedPageBreak/>
        <w:tab/>
        <w:t>The issue of PHFFU was addressed in the Company's recent rate case in Docket No. 42516.  Pursuant to the Settlement Agreement reached in that case and as noted in Section 9 (pages 8-9) of the Commission's Short Order Adopting Settlement as Modified:</w:t>
      </w:r>
    </w:p>
    <w:p w14:paraId="199CB211" w14:textId="77777777" w:rsidR="00124258" w:rsidRDefault="0006003A" w:rsidP="00124258">
      <w:pPr>
        <w:pStyle w:val="GaBody"/>
        <w:spacing w:before="0" w:after="0" w:line="240" w:lineRule="auto"/>
        <w:ind w:left="720" w:right="720"/>
      </w:pPr>
      <w:r>
        <w:t>With the exception of easements and right of ways, Generation and Transmission property in Plant held for Future Use ("PHFFU") that has been held in PHFFU account for 15 consecutive years shall undergo review during the first IRP proceeding following the 15th year that such property has been held in PHFFU.  Distribution property in PHFFU that has been held in PHFFU account for 15 consecutive years shall undergo review during the first base rate proceeding following the 15th year that such property has been held in PHFFU.  In the respective proceeding, the Company will be required to present the specific plan for the property(s) that has exceeded 15 consecutive years in PHFFU.  The Commission will decide the matter in that proceeding.</w:t>
      </w:r>
    </w:p>
    <w:p w14:paraId="2B67FBDC" w14:textId="77777777" w:rsidR="009A3D4F" w:rsidRPr="00B7462C" w:rsidRDefault="0006003A" w:rsidP="009A3D4F">
      <w:pPr>
        <w:pStyle w:val="GaBody"/>
        <w:spacing w:line="240" w:lineRule="auto"/>
        <w:rPr>
          <w:b/>
          <w:u w:val="single"/>
        </w:rPr>
      </w:pPr>
      <w:r w:rsidRPr="00DC4EB1">
        <w:rPr>
          <w:b/>
          <w:u w:val="single"/>
        </w:rPr>
        <w:t>Recommendation</w:t>
      </w:r>
    </w:p>
    <w:p w14:paraId="4F35FDEA" w14:textId="77777777" w:rsidR="00B33C42" w:rsidRDefault="0006003A" w:rsidP="00211820">
      <w:pPr>
        <w:pStyle w:val="GaBody"/>
        <w:rPr>
          <w:b/>
          <w:u w:val="single"/>
        </w:rPr>
      </w:pPr>
      <w:r>
        <w:t>Based on the foregoing passage from the Commission's Short Order Adopting Settlement Agreement as Modified, Staff is not proposing any adjustments to PHFFU in the 2019 ASR filing.  However, Staff recommends that the Company continues to keep track of the PHFFU account by continuing to hold quarterly meetings to re-evaluate the uses of the land held in the PHFFU account to determine if and when it will be used.  If it is determined that a parcel of land will not be used, it should be reclassified into non-utility property, and removed from jurisdictional retail rate base with notification to the Commission of such reclassification</w:t>
      </w:r>
      <w:r w:rsidRPr="00BF68CA">
        <w:t xml:space="preserve">.   </w:t>
      </w:r>
    </w:p>
    <w:p w14:paraId="655ACF6D" w14:textId="77777777" w:rsidR="00B33C42" w:rsidRDefault="0006003A" w:rsidP="00211820">
      <w:pPr>
        <w:pStyle w:val="GaBody"/>
        <w:rPr>
          <w:b/>
          <w:u w:val="single"/>
        </w:rPr>
      </w:pPr>
      <w:r w:rsidRPr="00211820">
        <w:rPr>
          <w:b/>
          <w:u w:val="single"/>
        </w:rPr>
        <w:t>Vegetation Management</w:t>
      </w:r>
    </w:p>
    <w:p w14:paraId="67D46522" w14:textId="77777777" w:rsidR="003412D1" w:rsidRPr="00B33C42" w:rsidRDefault="0006003A" w:rsidP="00211820">
      <w:pPr>
        <w:pStyle w:val="GaBody"/>
        <w:rPr>
          <w:b/>
          <w:u w:val="single"/>
        </w:rPr>
      </w:pPr>
      <w:r w:rsidRPr="00B86AFB">
        <w:t xml:space="preserve">Upon reviewing </w:t>
      </w:r>
      <w:r>
        <w:t>Section 5, Schedule 6 - Actual to Budget Non-Fuel O&amp;M Expense Comparisons from the 2019 ASR filing, Staff noted that the budget to actual comparisons for the Transmission and Distribution functions reflected the following budget to actual variances:</w:t>
      </w:r>
    </w:p>
    <w:p w14:paraId="5A38AFB4" w14:textId="77777777" w:rsidR="003412D1" w:rsidRDefault="0006003A" w:rsidP="00211820">
      <w:pPr>
        <w:pStyle w:val="GaBody"/>
      </w:pPr>
      <w:r w:rsidRPr="0068271E">
        <w:rPr>
          <w:noProof/>
        </w:rPr>
        <w:lastRenderedPageBreak/>
        <w:drawing>
          <wp:inline distT="0" distB="0" distL="0" distR="0" wp14:anchorId="66A239A4" wp14:editId="788A3FF0">
            <wp:extent cx="5943600" cy="910281"/>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tretch>
                      <a:fillRect/>
                    </a:stretch>
                  </pic:blipFill>
                  <pic:spPr bwMode="auto">
                    <a:xfrm>
                      <a:off x="0" y="0"/>
                      <a:ext cx="5943600" cy="910281"/>
                    </a:xfrm>
                    <a:prstGeom prst="rect">
                      <a:avLst/>
                    </a:prstGeom>
                    <a:noFill/>
                    <a:ln w="9525">
                      <a:noFill/>
                      <a:miter lim="800000"/>
                      <a:headEnd/>
                      <a:tailEnd/>
                    </a:ln>
                  </pic:spPr>
                </pic:pic>
              </a:graphicData>
            </a:graphic>
          </wp:inline>
        </w:drawing>
      </w:r>
    </w:p>
    <w:p w14:paraId="4BB96AE0" w14:textId="77777777" w:rsidR="000E7903" w:rsidRDefault="0006003A" w:rsidP="00015769">
      <w:pPr>
        <w:pStyle w:val="GaBody"/>
        <w:spacing w:before="0" w:after="0"/>
      </w:pPr>
      <w:r>
        <w:t>As shown in the table above, the Transmission function reflected an over-spending variance of $3.917 million, or 2.85% higher than the amount budgeted.  In addition, the Distribution function reflected an unfavorable variance of $21.172 million, or 7.44% higher than the amount budgeted.  Under the Explanation of Variances column of Schedule 6, the Company stated that, among other things, the variance for Transmission was primarily attributed to overruns in vegetation management that was partially offset by underruns in asset management.  In addition, among other things, the variance for Distribution as primarily attributed to overruns in distribution vegetation management.</w:t>
      </w:r>
    </w:p>
    <w:p w14:paraId="2345EF17" w14:textId="77777777" w:rsidR="00FB3E80" w:rsidRDefault="0006003A" w:rsidP="008E7E82">
      <w:pPr>
        <w:pStyle w:val="GaBody"/>
        <w:spacing w:before="0" w:after="0"/>
      </w:pPr>
      <w:r>
        <w:tab/>
        <w:t>Staff requested that GPC provide the 2019 budgeted and actual amounts for (1) Distribution Asset Management, (2) Distribution Vegetation Management, and (3) Transmission Vegetation and Right of Way Management.  In its response to STF-ASR-58-17, the Company provided the requested information, which is summarized by total in the table below:</w:t>
      </w:r>
    </w:p>
    <w:p w14:paraId="4CF2056B" w14:textId="77777777" w:rsidR="0018382B" w:rsidRDefault="0006003A" w:rsidP="00FB3E80">
      <w:pPr>
        <w:pStyle w:val="GaBody"/>
      </w:pPr>
      <w:r w:rsidRPr="0068271E">
        <w:rPr>
          <w:noProof/>
        </w:rPr>
        <w:drawing>
          <wp:inline distT="0" distB="0" distL="0" distR="0" wp14:anchorId="6AC3C196" wp14:editId="72E68ACE">
            <wp:extent cx="5943600" cy="1208020"/>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tretch>
                      <a:fillRect/>
                    </a:stretch>
                  </pic:blipFill>
                  <pic:spPr bwMode="auto">
                    <a:xfrm>
                      <a:off x="0" y="0"/>
                      <a:ext cx="5943600" cy="1208020"/>
                    </a:xfrm>
                    <a:prstGeom prst="rect">
                      <a:avLst/>
                    </a:prstGeom>
                    <a:noFill/>
                    <a:ln w="9525">
                      <a:noFill/>
                      <a:miter lim="800000"/>
                      <a:headEnd/>
                      <a:tailEnd/>
                    </a:ln>
                  </pic:spPr>
                </pic:pic>
              </a:graphicData>
            </a:graphic>
          </wp:inline>
        </w:drawing>
      </w:r>
    </w:p>
    <w:p w14:paraId="7BC6BF52" w14:textId="77777777" w:rsidR="00B10139" w:rsidRDefault="0006003A" w:rsidP="00211820">
      <w:pPr>
        <w:pStyle w:val="GaBody"/>
      </w:pPr>
      <w:r>
        <w:t xml:space="preserve">As shown in the table for 2019 (1) Distribution Asset Management reflected an over-spending variance of $498,000, or 11.10% higher than budget; (2) Distribution Vegetation Management reflected an unfavorable variance of $10.490 million, or 29.63% higher than budget; and (3) </w:t>
      </w:r>
      <w:r>
        <w:lastRenderedPageBreak/>
        <w:t xml:space="preserve">Transmission Vegetation and Right of Way Management reflected an unfavorable variance of $2.026 million, or 7.43% higher than budget.  </w:t>
      </w:r>
    </w:p>
    <w:p w14:paraId="12A6AABF" w14:textId="77777777" w:rsidR="00B10139" w:rsidRDefault="0006003A" w:rsidP="00211820">
      <w:pPr>
        <w:pStyle w:val="GaBody"/>
      </w:pPr>
      <w:r>
        <w:t>In order to get an historical perspective of the Company's vegetation management backlogs, Staff requested that GPC provide both the Distribution and Transmission Vegetation Management backlogs for each year 2009 through 2019.  The Company provided that information in its responses to STF-ASR-58-72 and STF-ASR-58-73, respectively, and it is summarized in the table below:</w:t>
      </w:r>
    </w:p>
    <w:p w14:paraId="1EF121E7" w14:textId="77777777" w:rsidR="00B10139" w:rsidRDefault="0006003A" w:rsidP="00211820">
      <w:pPr>
        <w:pStyle w:val="GaBody"/>
      </w:pPr>
      <w:r w:rsidRPr="009631A3">
        <w:rPr>
          <w:noProof/>
        </w:rPr>
        <w:drawing>
          <wp:inline distT="0" distB="0" distL="0" distR="0" wp14:anchorId="1167EF95" wp14:editId="5B5EEC96">
            <wp:extent cx="5943600" cy="799338"/>
            <wp:effectExtent l="1905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tretch>
                      <a:fillRect/>
                    </a:stretch>
                  </pic:blipFill>
                  <pic:spPr bwMode="auto">
                    <a:xfrm>
                      <a:off x="0" y="0"/>
                      <a:ext cx="5943600" cy="799338"/>
                    </a:xfrm>
                    <a:prstGeom prst="rect">
                      <a:avLst/>
                    </a:prstGeom>
                    <a:noFill/>
                    <a:ln w="9525">
                      <a:noFill/>
                      <a:miter lim="800000"/>
                      <a:headEnd/>
                      <a:tailEnd/>
                    </a:ln>
                  </pic:spPr>
                </pic:pic>
              </a:graphicData>
            </a:graphic>
          </wp:inline>
        </w:drawing>
      </w:r>
    </w:p>
    <w:p w14:paraId="23AE5D75" w14:textId="77777777" w:rsidR="00B10139" w:rsidRDefault="0006003A" w:rsidP="00211820">
      <w:pPr>
        <w:pStyle w:val="GaBody"/>
      </w:pPr>
      <w:r>
        <w:t>As shown in the table, the Distribution Vegetation Management backlog fluctuated substantially between 2009 and 2019 with a large increase in backlog miles from 2017 to 2018 then decreasing in 2019.  The backlogs for Transmission Vegetation Management were smaller.  GPC had no Transmission backlog in 2010, 2012, 2015, and 2017.</w:t>
      </w:r>
    </w:p>
    <w:p w14:paraId="7344105E" w14:textId="77777777" w:rsidR="0018382B" w:rsidRDefault="0006003A" w:rsidP="00211820">
      <w:pPr>
        <w:pStyle w:val="GaBody"/>
      </w:pPr>
      <w:r>
        <w:t>Staff requested that GPC identify and document all Company decisions in 2019 to defer or delay distribution and transmission vegetation management and right of way management.  In response to STF-ASR-58-17, the Company stated the following with regard to distribution vegetation management:</w:t>
      </w:r>
    </w:p>
    <w:p w14:paraId="1534CF33" w14:textId="77777777" w:rsidR="0018382B" w:rsidRDefault="0006003A" w:rsidP="0018382B">
      <w:pPr>
        <w:pStyle w:val="GaBody"/>
        <w:spacing w:before="0" w:after="0" w:line="240" w:lineRule="auto"/>
        <w:ind w:left="720" w:right="720"/>
      </w:pPr>
      <w:r>
        <w:t>Distribution Vegetation Management backlog was decreased from approximately 5,900 miles of tree pruning at the beginning of 2019 to approximately 4,300 miles at the end of 2019.</w:t>
      </w:r>
    </w:p>
    <w:p w14:paraId="25FDA47B" w14:textId="77777777" w:rsidR="00774637" w:rsidRDefault="0006003A" w:rsidP="00211820">
      <w:pPr>
        <w:pStyle w:val="GaBody"/>
      </w:pPr>
      <w:r>
        <w:lastRenderedPageBreak/>
        <w:t>As it relates to Company decisions to defer or delay transmission vegetation and right of way management, the Company stated:</w:t>
      </w:r>
    </w:p>
    <w:p w14:paraId="0E9BCB11" w14:textId="77777777" w:rsidR="00774637" w:rsidRDefault="0006003A" w:rsidP="00774637">
      <w:pPr>
        <w:pStyle w:val="GaBody"/>
        <w:spacing w:before="0" w:after="0" w:line="240" w:lineRule="auto"/>
        <w:ind w:left="720" w:right="720"/>
      </w:pPr>
      <w:r>
        <w:t>Transmission Vegetation Management backlog was decreased from 650 miles at the beginning of 2019 to approximately 0 miles of side trimming on 115kV and 46kV systems at the end of 2019.</w:t>
      </w:r>
    </w:p>
    <w:p w14:paraId="09CA107D" w14:textId="77777777" w:rsidR="00774637" w:rsidRDefault="003326E0" w:rsidP="00774637">
      <w:pPr>
        <w:pStyle w:val="GaBody"/>
        <w:spacing w:before="0" w:after="0" w:line="240" w:lineRule="auto"/>
        <w:ind w:left="720" w:right="720"/>
      </w:pPr>
    </w:p>
    <w:p w14:paraId="27E73F90" w14:textId="77777777" w:rsidR="00C30ACB" w:rsidRDefault="0006003A" w:rsidP="005336F1">
      <w:pPr>
        <w:pStyle w:val="GaBody"/>
        <w:spacing w:before="0" w:after="0"/>
      </w:pPr>
      <w:r w:rsidRPr="00C00FA5">
        <w:t>With</w:t>
      </w:r>
      <w:r>
        <w:t xml:space="preserve"> regard to the budget to actual variance noted above for Distribution Vegetation Management, Staff requested that the Company explain why actual 2019 Distribution Vegetation Management costs were $10.490 million over budget.  In its response to STF-ASR-62-7, the Company stated:</w:t>
      </w:r>
    </w:p>
    <w:p w14:paraId="6D7E3AF8" w14:textId="77777777" w:rsidR="00C30ACB" w:rsidRDefault="0006003A" w:rsidP="00C30ACB">
      <w:pPr>
        <w:pStyle w:val="GaBody"/>
        <w:spacing w:before="0" w:after="0" w:line="240" w:lineRule="auto"/>
        <w:ind w:left="720" w:right="720"/>
      </w:pPr>
      <w:r>
        <w:t>Actual costs exceeded budgeted amounts for Distribution Vegetation Management by $10.490 million primarily due to variability in the annual work required and the completion of backlog miles completed in 2019.</w:t>
      </w:r>
    </w:p>
    <w:p w14:paraId="1EA93D1F" w14:textId="77777777" w:rsidR="00C30ACB" w:rsidRDefault="003326E0" w:rsidP="005336F1">
      <w:pPr>
        <w:pStyle w:val="GaBody"/>
        <w:spacing w:before="0" w:after="0"/>
      </w:pPr>
    </w:p>
    <w:p w14:paraId="5D9AA002" w14:textId="77777777" w:rsidR="00FA3BA7" w:rsidRDefault="0006003A" w:rsidP="005336F1">
      <w:pPr>
        <w:pStyle w:val="GaBody"/>
        <w:spacing w:before="0" w:after="0"/>
      </w:pPr>
      <w:r>
        <w:t>With regard to when and how GPC plans to address the remaining backlog of 4,300 miles related to Distribution Vegetation Management that is shown as of December 31, 2019, the Company stated that it continues to plan for the completion of all Distribution Vegetation Management backlog miles by the end of 2022.  However, GPC stated that its plan is subject to change based on changes in economic conditions.</w:t>
      </w:r>
      <w:r>
        <w:rPr>
          <w:rStyle w:val="FootnoteReference"/>
        </w:rPr>
        <w:footnoteReference w:id="2"/>
      </w:r>
    </w:p>
    <w:p w14:paraId="0FF94D16" w14:textId="77777777" w:rsidR="00FA3BA7" w:rsidRDefault="0006003A" w:rsidP="005336F1">
      <w:pPr>
        <w:pStyle w:val="GaBody"/>
        <w:spacing w:before="0" w:after="0"/>
      </w:pPr>
      <w:r>
        <w:tab/>
        <w:t>As it relates to the budget to actual variance noted above for Transmission Vegetation and Right of Way Management, Staff requested that the Company explain why actual 2019 Transmission Vegetation and Right of Way Management costs were $2.026 million over budget.  In its response to STF-ASR-62-7, the Company stated:</w:t>
      </w:r>
    </w:p>
    <w:p w14:paraId="6A0F0F18" w14:textId="77777777" w:rsidR="00FA3BA7" w:rsidRDefault="0006003A" w:rsidP="00FA3BA7">
      <w:pPr>
        <w:pStyle w:val="GaBody"/>
        <w:spacing w:before="0" w:after="0" w:line="240" w:lineRule="auto"/>
        <w:ind w:left="720" w:right="720"/>
      </w:pPr>
      <w:r>
        <w:t>Actual costs exceeded budgeted amounts for Transmission Vegetation Management by $2.026 million primarily due to the completion of backlog miles completed in 2019.</w:t>
      </w:r>
      <w:r>
        <w:tab/>
      </w:r>
    </w:p>
    <w:p w14:paraId="5EC2FE35" w14:textId="77777777" w:rsidR="00BF7487" w:rsidRDefault="003326E0" w:rsidP="005336F1">
      <w:pPr>
        <w:pStyle w:val="GaBody"/>
        <w:spacing w:before="0" w:after="0"/>
      </w:pPr>
    </w:p>
    <w:p w14:paraId="799F2612" w14:textId="77777777" w:rsidR="00FA3BA7" w:rsidRDefault="0006003A" w:rsidP="005336F1">
      <w:pPr>
        <w:pStyle w:val="GaBody"/>
        <w:spacing w:before="0" w:after="0"/>
      </w:pPr>
      <w:r>
        <w:lastRenderedPageBreak/>
        <w:t>As noted above, according to the response to STF-ASR-58-17, the Company's backlog for Transmission Vegetation Management was decreased from 650 miles at the beginning of 2019 to approximately 0 miles at the end of 2019.</w:t>
      </w:r>
    </w:p>
    <w:p w14:paraId="6984732D" w14:textId="77777777" w:rsidR="005336F1" w:rsidRPr="00D76182" w:rsidRDefault="0006003A" w:rsidP="005336F1">
      <w:pPr>
        <w:pStyle w:val="GaBody"/>
        <w:spacing w:before="0" w:after="0"/>
        <w:rPr>
          <w:b/>
          <w:u w:val="single"/>
        </w:rPr>
      </w:pPr>
      <w:r w:rsidRPr="00D76182">
        <w:rPr>
          <w:b/>
          <w:u w:val="single"/>
        </w:rPr>
        <w:t>Recommendation</w:t>
      </w:r>
    </w:p>
    <w:p w14:paraId="19438241" w14:textId="77777777" w:rsidR="008E7E82" w:rsidRDefault="0006003A" w:rsidP="002C0336">
      <w:pPr>
        <w:pStyle w:val="GaBody"/>
        <w:spacing w:before="0" w:after="0"/>
      </w:pPr>
      <w:r>
        <w:t>Staff is not recommending an adjustment to Vegetation Management expense included in the 2019 ASR.  Staff acknowledges that the Company reduced its Distribution and Transmission backlogs between 2018 and 2019.  However, Staff remains concerned about the remaining Distribution related backlog in terms of the potential impacts on reliability in areas of dense terrain and also from the standpoint of the costs associated with allocating the additional resources that will be necessary to eliminate the backlogs.  Therefore, Staff recommends t</w:t>
      </w:r>
      <w:r w:rsidRPr="00570551">
        <w:t>hat the Company quantify its Vegetation Management costs</w:t>
      </w:r>
      <w:r>
        <w:t xml:space="preserve"> that are being incurred in 2020</w:t>
      </w:r>
      <w:r w:rsidRPr="00570551">
        <w:t xml:space="preserve"> and explain in greater detail how it will allocate the additional resources to eliminate the Distribution Vegetation</w:t>
      </w:r>
      <w:r>
        <w:t xml:space="preserve"> Management</w:t>
      </w:r>
      <w:r w:rsidRPr="00570551">
        <w:t xml:space="preserve"> backlog</w:t>
      </w:r>
      <w:r>
        <w:t>.</w:t>
      </w:r>
    </w:p>
    <w:p w14:paraId="4DE8C996" w14:textId="77777777" w:rsidR="00532B11" w:rsidRPr="00532B11" w:rsidRDefault="003326E0" w:rsidP="002C0336">
      <w:pPr>
        <w:pStyle w:val="GaBody"/>
        <w:spacing w:before="0" w:after="0"/>
      </w:pPr>
    </w:p>
    <w:p w14:paraId="768A4E64" w14:textId="77777777" w:rsidR="002C0336" w:rsidRPr="002C0336" w:rsidRDefault="0006003A" w:rsidP="002C0336">
      <w:pPr>
        <w:pStyle w:val="GaBody"/>
        <w:spacing w:before="0" w:after="0"/>
        <w:rPr>
          <w:b/>
          <w:u w:val="single"/>
        </w:rPr>
      </w:pPr>
      <w:r>
        <w:rPr>
          <w:b/>
          <w:u w:val="single"/>
        </w:rPr>
        <w:t xml:space="preserve">Brand </w:t>
      </w:r>
      <w:r w:rsidRPr="002C0336">
        <w:rPr>
          <w:b/>
          <w:u w:val="single"/>
        </w:rPr>
        <w:t>Advertising Expense</w:t>
      </w:r>
    </w:p>
    <w:p w14:paraId="32EE366F" w14:textId="77777777" w:rsidR="008E7E82" w:rsidRDefault="0006003A" w:rsidP="008E7E82">
      <w:pPr>
        <w:pStyle w:val="GaBody"/>
        <w:spacing w:before="0" w:after="0"/>
      </w:pPr>
      <w:r w:rsidRPr="002C0336">
        <w:t xml:space="preserve">In its </w:t>
      </w:r>
      <w:r>
        <w:t>r</w:t>
      </w:r>
      <w:r w:rsidRPr="002C0336">
        <w:t>esponse to STF-ASR-</w:t>
      </w:r>
      <w:r>
        <w:t>64-1</w:t>
      </w:r>
      <w:r w:rsidRPr="002C0336">
        <w:t xml:space="preserve"> the Company identified various brand advertising expenses that</w:t>
      </w:r>
      <w:r>
        <w:t xml:space="preserve"> it stated</w:t>
      </w:r>
      <w:r w:rsidRPr="002C0336">
        <w:t xml:space="preserve"> were incorrectly included in</w:t>
      </w:r>
      <w:r>
        <w:t xml:space="preserve"> 2019 ASR</w:t>
      </w:r>
      <w:r w:rsidRPr="002C0336">
        <w:t xml:space="preserve"> retail cost of service when they </w:t>
      </w:r>
      <w:r>
        <w:t>should have been</w:t>
      </w:r>
      <w:r w:rsidRPr="002C0336">
        <w:t xml:space="preserve"> excluded.  The</w:t>
      </w:r>
      <w:r>
        <w:t xml:space="preserve"> amounts of brand </w:t>
      </w:r>
      <w:r w:rsidRPr="002C0336">
        <w:t>advertising expenses are summarized</w:t>
      </w:r>
      <w:r>
        <w:t xml:space="preserve"> i</w:t>
      </w:r>
      <w:r w:rsidRPr="002C0336">
        <w:t>n the following table:</w:t>
      </w:r>
    </w:p>
    <w:p w14:paraId="77AB0D92" w14:textId="77777777" w:rsidR="008E7E82" w:rsidRDefault="0006003A" w:rsidP="008E7E82">
      <w:pPr>
        <w:pStyle w:val="GaBody"/>
        <w:spacing w:before="0" w:after="0"/>
        <w:rPr>
          <w:b/>
        </w:rPr>
      </w:pPr>
      <w:r>
        <w:rPr>
          <w:b/>
        </w:rPr>
        <w:lastRenderedPageBreak/>
        <w:tab/>
      </w:r>
      <w:r>
        <w:rPr>
          <w:noProof/>
        </w:rPr>
        <w:tab/>
      </w:r>
      <w:r w:rsidRPr="00484999">
        <w:rPr>
          <w:noProof/>
        </w:rPr>
        <w:drawing>
          <wp:inline distT="0" distB="0" distL="0" distR="0" wp14:anchorId="63A71EF1" wp14:editId="1D5AE556">
            <wp:extent cx="3821430" cy="1788160"/>
            <wp:effectExtent l="19050" t="0" r="762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tretch>
                      <a:fillRect/>
                    </a:stretch>
                  </pic:blipFill>
                  <pic:spPr bwMode="auto">
                    <a:xfrm>
                      <a:off x="0" y="0"/>
                      <a:ext cx="3821430" cy="1788160"/>
                    </a:xfrm>
                    <a:prstGeom prst="rect">
                      <a:avLst/>
                    </a:prstGeom>
                    <a:noFill/>
                    <a:ln w="9525">
                      <a:noFill/>
                      <a:miter lim="800000"/>
                      <a:headEnd/>
                      <a:tailEnd/>
                    </a:ln>
                  </pic:spPr>
                </pic:pic>
              </a:graphicData>
            </a:graphic>
          </wp:inline>
        </w:drawing>
      </w:r>
    </w:p>
    <w:p w14:paraId="7834A4A7" w14:textId="77777777" w:rsidR="00246569" w:rsidRDefault="0006003A" w:rsidP="00246569">
      <w:pPr>
        <w:pStyle w:val="GaBody"/>
        <w:spacing w:before="0" w:after="0"/>
      </w:pPr>
      <w:r w:rsidRPr="008E7E82">
        <w:t xml:space="preserve">As shown in the table above, retail jurisdictional </w:t>
      </w:r>
      <w:r>
        <w:t xml:space="preserve">brand </w:t>
      </w:r>
      <w:r w:rsidRPr="008E7E82">
        <w:t>advertising expenses totaling $</w:t>
      </w:r>
      <w:r>
        <w:t>9,856</w:t>
      </w:r>
      <w:r w:rsidRPr="008E7E82">
        <w:t xml:space="preserve"> </w:t>
      </w:r>
      <w:r>
        <w:t xml:space="preserve">should have been </w:t>
      </w:r>
      <w:r w:rsidRPr="008E7E82">
        <w:t>excluded from</w:t>
      </w:r>
      <w:r>
        <w:t xml:space="preserve"> the</w:t>
      </w:r>
      <w:r w:rsidRPr="008E7E82">
        <w:t xml:space="preserve"> retail cost of service</w:t>
      </w:r>
      <w:r>
        <w:t xml:space="preserve">, which the </w:t>
      </w:r>
      <w:r w:rsidRPr="008E7E82">
        <w:t xml:space="preserve">Company confirmed </w:t>
      </w:r>
      <w:r>
        <w:t>i</w:t>
      </w:r>
      <w:r w:rsidRPr="008E7E82">
        <w:t>n its response to STF-ASR-</w:t>
      </w:r>
      <w:r>
        <w:t>64-1</w:t>
      </w:r>
      <w:r w:rsidRPr="008E7E82">
        <w:t>.</w:t>
      </w:r>
    </w:p>
    <w:p w14:paraId="169D9C5F" w14:textId="77777777" w:rsidR="00246569" w:rsidRDefault="0006003A" w:rsidP="00246569">
      <w:pPr>
        <w:pStyle w:val="GaBody"/>
        <w:spacing w:before="0" w:after="0"/>
        <w:rPr>
          <w:b/>
          <w:u w:val="single"/>
        </w:rPr>
      </w:pPr>
      <w:r w:rsidRPr="00246569">
        <w:rPr>
          <w:b/>
          <w:u w:val="single"/>
        </w:rPr>
        <w:t>Recommendation</w:t>
      </w:r>
    </w:p>
    <w:p w14:paraId="3784AC2C" w14:textId="77777777" w:rsidR="00846A88" w:rsidRDefault="0006003A" w:rsidP="00246569">
      <w:pPr>
        <w:pStyle w:val="GaBody"/>
        <w:spacing w:before="0" w:after="0"/>
      </w:pPr>
      <w:r>
        <w:t>T</w:t>
      </w:r>
      <w:r w:rsidRPr="00246569">
        <w:t>he Company has conceded that the</w:t>
      </w:r>
      <w:r>
        <w:t xml:space="preserve"> brand</w:t>
      </w:r>
      <w:r w:rsidRPr="00246569">
        <w:t xml:space="preserve"> advertising expenses summarized in the table above, should have been </w:t>
      </w:r>
      <w:r>
        <w:t xml:space="preserve">excluded from the retail cost of service.  Therefore, Staff </w:t>
      </w:r>
      <w:r w:rsidRPr="00246569">
        <w:t>recommends that the advertising expenses totaling $</w:t>
      </w:r>
      <w:r>
        <w:t>9,856</w:t>
      </w:r>
      <w:r w:rsidRPr="00246569">
        <w:t xml:space="preserve"> be removed from the Company's 201</w:t>
      </w:r>
      <w:r>
        <w:t>9</w:t>
      </w:r>
      <w:r w:rsidRPr="00246569">
        <w:t xml:space="preserve"> retail cost of service.</w:t>
      </w:r>
    </w:p>
    <w:p w14:paraId="77CDEEA5" w14:textId="77777777" w:rsidR="00A83741" w:rsidRDefault="003326E0" w:rsidP="00484999">
      <w:pPr>
        <w:pStyle w:val="GaBody"/>
        <w:spacing w:before="0" w:after="0"/>
        <w:rPr>
          <w:b/>
          <w:u w:val="single"/>
        </w:rPr>
      </w:pPr>
    </w:p>
    <w:p w14:paraId="324927E7" w14:textId="77777777" w:rsidR="00484999" w:rsidRPr="002C0336" w:rsidRDefault="0006003A" w:rsidP="00484999">
      <w:pPr>
        <w:pStyle w:val="GaBody"/>
        <w:spacing w:before="0" w:after="0"/>
        <w:rPr>
          <w:b/>
          <w:u w:val="single"/>
        </w:rPr>
      </w:pPr>
      <w:r>
        <w:rPr>
          <w:b/>
          <w:u w:val="single"/>
        </w:rPr>
        <w:t>Bowen Unit 2 Phase 3 GSU Fire</w:t>
      </w:r>
    </w:p>
    <w:p w14:paraId="3B8C9B6A" w14:textId="77777777" w:rsidR="0063200C" w:rsidRDefault="0006003A" w:rsidP="00246569">
      <w:pPr>
        <w:pStyle w:val="GaBody"/>
        <w:spacing w:before="0" w:after="0"/>
      </w:pPr>
      <w:r>
        <w:t>As was discussed in the 2017 ASR report, on July 13, 2017, a transformer fire occurred at the Bowen Unit 2 Phase 3 GSU facility ("Bowen").  In the settlement of the 2017 ASR, the Company agreed to the following with respect to the treatment of costs related to the transformer fire at Bowen:</w:t>
      </w:r>
    </w:p>
    <w:p w14:paraId="1C330AD3" w14:textId="77777777" w:rsidR="0063200C" w:rsidRDefault="0006003A" w:rsidP="0063200C">
      <w:pPr>
        <w:pStyle w:val="GaBody"/>
        <w:spacing w:before="0" w:after="0" w:line="240" w:lineRule="auto"/>
        <w:ind w:left="720" w:right="720"/>
      </w:pPr>
      <w:r>
        <w:t xml:space="preserve">Any additional retail costs associated with repairing and/or replacing the equipment related to the transformer fire incurred in 2018 up to the deductible be excluded from retail cost of service and the insurance proceeds already received and any additional proceeds received be applied to costs incurred in 2018 and beyond as appropriate.  </w:t>
      </w:r>
    </w:p>
    <w:p w14:paraId="6D3307E8" w14:textId="77777777" w:rsidR="0063200C" w:rsidRDefault="003326E0" w:rsidP="00246569">
      <w:pPr>
        <w:pStyle w:val="GaBody"/>
        <w:spacing w:before="0" w:after="0"/>
      </w:pPr>
    </w:p>
    <w:p w14:paraId="59C34584" w14:textId="77777777" w:rsidR="0046210F" w:rsidRDefault="0006003A" w:rsidP="00246569">
      <w:pPr>
        <w:pStyle w:val="GaBody"/>
        <w:spacing w:before="0" w:after="0"/>
      </w:pPr>
      <w:r>
        <w:lastRenderedPageBreak/>
        <w:t>Staff requested that the Company identify any costs incurred in 2019 that relate to the fire at Bowen that are (1) included in the 2019 ASR retail rate base, or (2) included in the 2019 ASR retail cost of service.  In its response to STF-ASR-58-71(a), the Company stated that it inadvertently included $183,000 in Total Electric Plant and $69,000 in Total Accumulated Depreciation on a 13-month average basis in 2019 ASR jurisdictional retail rate base (for a net rate base impact of $115,000).  In addition, in its response to STF-ASR-58-71(b), GPC stated that it also inadvertently included $93,000 in Total Depreciation and Amortization expense in 2019 ASR.  These amounts are prior to the allocation to jurisdictional retail average rate base and cost of service.</w:t>
      </w:r>
    </w:p>
    <w:p w14:paraId="334ECB12" w14:textId="77777777" w:rsidR="0046210F" w:rsidRDefault="0006003A" w:rsidP="00246569">
      <w:pPr>
        <w:pStyle w:val="GaBody"/>
        <w:spacing w:before="0" w:after="0"/>
      </w:pPr>
      <w:r>
        <w:tab/>
        <w:t>Staff also requested that the Company identify the amount of any insurance proceeds received in 2019 related to the Bowen fire, and whether any costs related to the Bowen fire included in the 2019 ASR were offset by such insurance proceeds.  In its response to STF-ASR-58-71(c), the Company stated:</w:t>
      </w:r>
    </w:p>
    <w:p w14:paraId="70D13D84" w14:textId="77777777" w:rsidR="0046210F" w:rsidRDefault="0006003A" w:rsidP="0046210F">
      <w:pPr>
        <w:pStyle w:val="GaBody"/>
        <w:spacing w:before="0" w:after="0" w:line="240" w:lineRule="auto"/>
        <w:ind w:left="720" w:right="720"/>
      </w:pPr>
      <w:r>
        <w:t>The Company received insurance proceeds in March and April 2019 in the amount of $7.0 million and $6.5 million, respectively, which were recorded against the receivable from the insurer to offset the Company's costs included in the deductible.  The amounts identified in parts 'a' and 'b' above represent a portion of the Company's insurance deductible and therefore, should have also been excluded from the 2019 ASR.  The impact of excluding these costs from the 2019 ASR increases the customers' 100% share of the amount above the earnings band by $106 thousand.</w:t>
      </w:r>
    </w:p>
    <w:p w14:paraId="57F766DA" w14:textId="68073EB0" w:rsidR="00235404" w:rsidRDefault="0006003A" w:rsidP="00235404">
      <w:pPr>
        <w:pStyle w:val="GaBody"/>
        <w:spacing w:before="0" w:after="0"/>
        <w:rPr>
          <w:b/>
          <w:u w:val="single"/>
        </w:rPr>
      </w:pPr>
      <w:r>
        <w:t xml:space="preserve"> </w:t>
      </w:r>
    </w:p>
    <w:p w14:paraId="4931A684" w14:textId="77777777" w:rsidR="00235404" w:rsidRDefault="0006003A" w:rsidP="00235404">
      <w:pPr>
        <w:pStyle w:val="GaBody"/>
        <w:spacing w:before="0" w:after="0"/>
        <w:rPr>
          <w:b/>
          <w:u w:val="single"/>
        </w:rPr>
      </w:pPr>
      <w:r w:rsidRPr="00246569">
        <w:rPr>
          <w:b/>
          <w:u w:val="single"/>
        </w:rPr>
        <w:t>Recommendation</w:t>
      </w:r>
    </w:p>
    <w:p w14:paraId="10CDF052" w14:textId="77777777" w:rsidR="00235404" w:rsidRDefault="0006003A" w:rsidP="00235404">
      <w:pPr>
        <w:pStyle w:val="GaBody"/>
        <w:spacing w:before="0" w:after="0"/>
      </w:pPr>
      <w:r>
        <w:t>As discussed above, the</w:t>
      </w:r>
      <w:r w:rsidRPr="00246569">
        <w:t xml:space="preserve"> Company conceded that the</w:t>
      </w:r>
      <w:r>
        <w:t xml:space="preserve"> net rate base amount of $115,000 and the $93,000 of depreciation and amortization related to the Bowen transformer fire should have been excluded from the 2019 ASR.  Therefore, Staff </w:t>
      </w:r>
      <w:r w:rsidRPr="00246569">
        <w:t>recommends that the</w:t>
      </w:r>
      <w:r>
        <w:t>se</w:t>
      </w:r>
      <w:r w:rsidRPr="00246569">
        <w:t xml:space="preserve"> </w:t>
      </w:r>
      <w:r>
        <w:t>costs</w:t>
      </w:r>
      <w:r w:rsidRPr="00246569">
        <w:t xml:space="preserve"> be removed from the Company's 201</w:t>
      </w:r>
      <w:r>
        <w:t>9</w:t>
      </w:r>
      <w:r w:rsidRPr="00246569">
        <w:t xml:space="preserve"> retail</w:t>
      </w:r>
      <w:r>
        <w:t xml:space="preserve"> average rate base and</w:t>
      </w:r>
      <w:r w:rsidRPr="00246569">
        <w:t xml:space="preserve"> cost of service</w:t>
      </w:r>
      <w:r>
        <w:t xml:space="preserve">.  As stated in the Company's response </w:t>
      </w:r>
      <w:r>
        <w:lastRenderedPageBreak/>
        <w:t>to STF-ASR-58-71(c), the impact of excluding these costs from the 2019 ASR increases the customers' 100% share of the amount above the earnings band by $106,000.</w:t>
      </w:r>
    </w:p>
    <w:p w14:paraId="47892F83" w14:textId="77777777" w:rsidR="00CA753A" w:rsidRDefault="003326E0" w:rsidP="00235404">
      <w:pPr>
        <w:pStyle w:val="GaBody"/>
        <w:spacing w:before="0" w:after="0"/>
      </w:pPr>
    </w:p>
    <w:p w14:paraId="74F0977E" w14:textId="77777777" w:rsidR="00CA753A" w:rsidRDefault="0006003A" w:rsidP="00CA753A">
      <w:pPr>
        <w:pStyle w:val="GaBody"/>
        <w:spacing w:before="0" w:after="0"/>
        <w:rPr>
          <w:b/>
          <w:u w:val="single"/>
        </w:rPr>
      </w:pPr>
      <w:r w:rsidRPr="00600E85">
        <w:rPr>
          <w:b/>
          <w:u w:val="single"/>
        </w:rPr>
        <w:t>Deferrals</w:t>
      </w:r>
    </w:p>
    <w:p w14:paraId="4CF0B3FC" w14:textId="77777777" w:rsidR="0063200C" w:rsidRDefault="0006003A" w:rsidP="00CA753A">
      <w:pPr>
        <w:pStyle w:val="GaBody"/>
        <w:spacing w:before="0" w:after="0"/>
      </w:pPr>
      <w:r>
        <w:t>The Company included several costs under the heading "Other Rate Base Items" In Section 2, page 1 of the 2019 ASR filing that represent deferred costs which have been classified as regulatory assets, and which are summarized in the table below:</w:t>
      </w:r>
    </w:p>
    <w:p w14:paraId="4935A416" w14:textId="77777777" w:rsidR="00CA753A" w:rsidRDefault="0006003A" w:rsidP="00CA753A">
      <w:pPr>
        <w:pStyle w:val="GaBody"/>
        <w:spacing w:before="0" w:after="0"/>
      </w:pPr>
      <w:r>
        <w:tab/>
      </w:r>
      <w:r>
        <w:tab/>
      </w:r>
      <w:r w:rsidRPr="00CA753A">
        <w:rPr>
          <w:noProof/>
        </w:rPr>
        <w:drawing>
          <wp:inline distT="0" distB="0" distL="0" distR="0" wp14:anchorId="431CC94B" wp14:editId="42630CCD">
            <wp:extent cx="3801110" cy="2804795"/>
            <wp:effectExtent l="19050" t="0" r="889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tretch>
                      <a:fillRect/>
                    </a:stretch>
                  </pic:blipFill>
                  <pic:spPr bwMode="auto">
                    <a:xfrm>
                      <a:off x="0" y="0"/>
                      <a:ext cx="3801110" cy="2804795"/>
                    </a:xfrm>
                    <a:prstGeom prst="rect">
                      <a:avLst/>
                    </a:prstGeom>
                    <a:noFill/>
                    <a:ln w="9525">
                      <a:noFill/>
                      <a:miter lim="800000"/>
                      <a:headEnd/>
                      <a:tailEnd/>
                    </a:ln>
                  </pic:spPr>
                </pic:pic>
              </a:graphicData>
            </a:graphic>
          </wp:inline>
        </w:drawing>
      </w:r>
    </w:p>
    <w:p w14:paraId="29E4BC28" w14:textId="77777777" w:rsidR="00CA753A" w:rsidRDefault="0006003A" w:rsidP="00CA753A">
      <w:pPr>
        <w:pStyle w:val="GaBody"/>
        <w:spacing w:before="0" w:after="0"/>
      </w:pPr>
      <w:r>
        <w:t xml:space="preserve">As shown in the table, the Company has deferrals totaling </w:t>
      </w:r>
      <w:r w:rsidRPr="00CA753A">
        <w:t>$</w:t>
      </w:r>
      <w:r>
        <w:t>4.211</w:t>
      </w:r>
      <w:r>
        <w:rPr>
          <w:b/>
        </w:rPr>
        <w:t xml:space="preserve"> </w:t>
      </w:r>
      <w:r>
        <w:t>billion on a 13-month average basis.</w:t>
      </w:r>
    </w:p>
    <w:p w14:paraId="47130E0B" w14:textId="77777777" w:rsidR="00CA753A" w:rsidRDefault="0006003A" w:rsidP="00CA753A">
      <w:pPr>
        <w:pStyle w:val="GaBody"/>
        <w:spacing w:before="0" w:after="0"/>
      </w:pPr>
      <w:r>
        <w:t>Section 1 - Summary of Ratemaking Principles Used in Computing Retail Return on Equity from the Company's 2019 ASR filing provides the following explanations for each of the deferral items listed in the table above:</w:t>
      </w:r>
    </w:p>
    <w:p w14:paraId="410E88B9" w14:textId="33601767" w:rsidR="001719E7" w:rsidRDefault="0006003A" w:rsidP="001719E7">
      <w:pPr>
        <w:pStyle w:val="GaBody"/>
        <w:spacing w:before="0" w:after="0" w:line="240" w:lineRule="auto"/>
        <w:ind w:left="720" w:right="720"/>
      </w:pPr>
      <w:r w:rsidRPr="009B5B9B">
        <w:rPr>
          <w:b/>
        </w:rPr>
        <w:t>Environmental CWIP</w:t>
      </w:r>
      <w:r>
        <w:t xml:space="preserve"> - Pursuant to the Commission's Order in Docket No. 31</w:t>
      </w:r>
      <w:r w:rsidRPr="009B5B9B">
        <w:t>958</w:t>
      </w:r>
      <w:r>
        <w:t xml:space="preserve">, certain environmental construction work in progress was reclassified as a regulatory asset as discussed in the Company's 2011 Integrated Resource Plan (IRP) Update (Plant Branch Units 1&amp;2) and the 2013 IRP (Plant Branch Units 3&amp;4 </w:t>
      </w:r>
      <w:r>
        <w:lastRenderedPageBreak/>
        <w:t xml:space="preserve">and Plant Yates Units 6&amp;7) in Docket Nos. 34218 and 36498, respectively, and are being amortized over a </w:t>
      </w:r>
      <w:r w:rsidR="00D83F17">
        <w:t>nine-year</w:t>
      </w:r>
      <w:r>
        <w:t xml:space="preserve"> period beginning in January 1, 2014.</w:t>
      </w:r>
    </w:p>
    <w:p w14:paraId="659FFB0B" w14:textId="77777777" w:rsidR="001719E7" w:rsidRDefault="003326E0" w:rsidP="001719E7">
      <w:pPr>
        <w:pStyle w:val="GaBody"/>
        <w:spacing w:before="0" w:after="0" w:line="240" w:lineRule="auto"/>
        <w:ind w:left="720" w:right="720"/>
      </w:pPr>
    </w:p>
    <w:p w14:paraId="456ECD08" w14:textId="77777777" w:rsidR="001719E7" w:rsidRDefault="0006003A" w:rsidP="001719E7">
      <w:pPr>
        <w:pStyle w:val="GaBody"/>
        <w:spacing w:before="0" w:after="0" w:line="240" w:lineRule="auto"/>
        <w:ind w:left="720" w:right="720"/>
      </w:pPr>
      <w:r w:rsidRPr="009B5B9B">
        <w:rPr>
          <w:b/>
        </w:rPr>
        <w:t>Plant Branch Units 1-4 NBV</w:t>
      </w:r>
      <w:r>
        <w:t xml:space="preserve"> - Pursuant to the Commission's Order in Docket Nos. 34218 and 36498, the remaining net book value of Plant Branch Units 1, 3, 4 and Common as of April 2015 have been reclassified as a regulatory asset and are being amortized over a period equal to their remaining useful lives approved by the Commission in Docket No. 31958.</w:t>
      </w:r>
    </w:p>
    <w:p w14:paraId="46BC854C" w14:textId="77777777" w:rsidR="001719E7" w:rsidRDefault="003326E0" w:rsidP="001719E7">
      <w:pPr>
        <w:pStyle w:val="GaBody"/>
        <w:spacing w:before="0" w:after="0" w:line="240" w:lineRule="auto"/>
        <w:ind w:left="720" w:right="720"/>
      </w:pPr>
    </w:p>
    <w:p w14:paraId="495282D6" w14:textId="77777777" w:rsidR="001719E7" w:rsidRDefault="0006003A" w:rsidP="001719E7">
      <w:pPr>
        <w:pStyle w:val="GaBody"/>
        <w:spacing w:before="0" w:after="0" w:line="240" w:lineRule="auto"/>
        <w:ind w:left="720" w:right="720"/>
      </w:pPr>
      <w:r w:rsidRPr="006026CF">
        <w:rPr>
          <w:b/>
        </w:rPr>
        <w:t>Plant Mitchell Unit 3 NBV</w:t>
      </w:r>
      <w:r>
        <w:t xml:space="preserve"> - Pursuant to the Commission's Order in Docket No. 40161, the remaining net book value of Plant Mitchell Unit 3 as of August 2016 has been reclassified as a regulatory asset and is being amortized through December 31, 2019 over a period equal to the remaining useful life approved by the Commission in Docket No. 36989.  Pursuant to the Commission's Order in Docket No. 42516, the remaining net book value as of December 31, 2019 will be amortized over a 3-year period beginning January 1, 2020.</w:t>
      </w:r>
    </w:p>
    <w:p w14:paraId="7D72177E" w14:textId="77777777" w:rsidR="006026CF" w:rsidRDefault="003326E0" w:rsidP="001719E7">
      <w:pPr>
        <w:pStyle w:val="GaBody"/>
        <w:spacing w:before="0" w:after="0" w:line="240" w:lineRule="auto"/>
        <w:ind w:left="720" w:right="720"/>
      </w:pPr>
    </w:p>
    <w:p w14:paraId="1CFC2F1E" w14:textId="77777777" w:rsidR="006026CF" w:rsidRDefault="0006003A" w:rsidP="001719E7">
      <w:pPr>
        <w:pStyle w:val="GaBody"/>
        <w:spacing w:before="0" w:after="0" w:line="240" w:lineRule="auto"/>
        <w:ind w:left="720" w:right="720"/>
      </w:pPr>
      <w:r w:rsidRPr="006026CF">
        <w:rPr>
          <w:b/>
        </w:rPr>
        <w:t>Plant Hammond Units 1-4 NBV, Plant McIntosh Unit 1 NBV and Hydro Units NBV</w:t>
      </w:r>
      <w:r>
        <w:t xml:space="preserve"> - </w:t>
      </w:r>
      <w:r w:rsidRPr="006026CF">
        <w:t xml:space="preserve">Pursuant to the Commission’s Order in Docket No. 42310, the remaining net book values of </w:t>
      </w:r>
      <w:r w:rsidRPr="006026CF">
        <w:rPr>
          <w:rFonts w:eastAsia="SimSun"/>
          <w:lang w:eastAsia="zh-CN"/>
        </w:rPr>
        <w:t xml:space="preserve">Plant Hammond Units 1-4, Plant McIntosh Unit 1, Plant Estatoah Unit 1, Plant Langdale Units 5-6, and Plant Riverview Units 1-2 have been reclassified as a regulatory asset and are amortized through December 31, 2019 </w:t>
      </w:r>
      <w:r w:rsidRPr="006026CF">
        <w:t>over a period equal to the remaining useful life approved by the Commission in Docket No. 36989. Pursuant to the Commission’s Order in Docket No. 42516, the remaining net book values as of December 31, 2019, except Plant Hammond Units 1-4, will be amortized over a 3-year period beginning January 1, 2020. The remaining net book value of Plant Hammond Units 1-4 will continue to be amortized over a period equal to the remaining useful life approved by the Commission in Docket No. 36989</w:t>
      </w:r>
      <w:r>
        <w:t>.</w:t>
      </w:r>
    </w:p>
    <w:p w14:paraId="11A84C92" w14:textId="77777777" w:rsidR="006026CF" w:rsidRDefault="003326E0" w:rsidP="001719E7">
      <w:pPr>
        <w:pStyle w:val="GaBody"/>
        <w:spacing w:before="0" w:after="0" w:line="240" w:lineRule="auto"/>
        <w:ind w:left="720" w:right="720"/>
      </w:pPr>
    </w:p>
    <w:p w14:paraId="008E3923" w14:textId="77777777" w:rsidR="006026CF" w:rsidRDefault="0006003A" w:rsidP="001719E7">
      <w:pPr>
        <w:pStyle w:val="GaBody"/>
        <w:spacing w:before="0" w:after="0" w:line="240" w:lineRule="auto"/>
        <w:ind w:left="720" w:right="720"/>
        <w:rPr>
          <w:sz w:val="22"/>
          <w:szCs w:val="22"/>
        </w:rPr>
      </w:pPr>
      <w:r w:rsidRPr="006026CF">
        <w:rPr>
          <w:b/>
        </w:rPr>
        <w:t>Obsolete Inventory Regulatory Asset</w:t>
      </w:r>
      <w:r>
        <w:t xml:space="preserve"> - </w:t>
      </w:r>
      <w:r w:rsidRPr="006026CF">
        <w:t>Pursuant to the Commission’s Orders in Docket Nos. 34218, 36498, and 40161, unusable materials and supplies associated with the retired units have been deferred as a regulatory asset Pursuant to the Commission’s Order in Docket No. 42516, this regulatory asset was eliminated as a result of the application of the customer’s portion of the Company’s earnings above the 12% ROE in 2018</w:t>
      </w:r>
      <w:r>
        <w:rPr>
          <w:sz w:val="22"/>
          <w:szCs w:val="22"/>
        </w:rPr>
        <w:t>.</w:t>
      </w:r>
    </w:p>
    <w:p w14:paraId="6B329AC0" w14:textId="77777777" w:rsidR="006026CF" w:rsidRDefault="003326E0" w:rsidP="001719E7">
      <w:pPr>
        <w:pStyle w:val="GaBody"/>
        <w:spacing w:before="0" w:after="0" w:line="240" w:lineRule="auto"/>
        <w:ind w:left="720" w:right="720"/>
        <w:rPr>
          <w:sz w:val="22"/>
          <w:szCs w:val="22"/>
        </w:rPr>
      </w:pPr>
    </w:p>
    <w:p w14:paraId="0F67A9F2" w14:textId="77777777" w:rsidR="006026CF" w:rsidRDefault="0006003A" w:rsidP="001719E7">
      <w:pPr>
        <w:pStyle w:val="GaBody"/>
        <w:spacing w:before="0" w:after="0" w:line="240" w:lineRule="auto"/>
        <w:ind w:left="720" w:right="720"/>
      </w:pPr>
      <w:r w:rsidRPr="006026CF">
        <w:rPr>
          <w:b/>
        </w:rPr>
        <w:t>OPRB Retiree Drug Subsidy Tax Regulatory Asset</w:t>
      </w:r>
      <w:r>
        <w:t xml:space="preserve"> - The Company adopted SFAS No. 158 - Employers' Accounting for Defined Benefit Pension Plans and Other Postretirement Plans (now ASC 715) effective December 31, 2006.  The Company records the appropriate regulatory assets and liability adjustments on the balance sheet to recognize the treatment of costs under ASC 715 and the current treatment of such costs for regulatory accounting purposes.  Pursuant to the Commission's Order in Docket No. 25060, an additional $18.6 million of pension and OPRB costs related to changing the measurement date of the Company's plans </w:t>
      </w:r>
      <w:r>
        <w:lastRenderedPageBreak/>
        <w:t>as required by ASC 715 was deferred in 2008 and $1.24 million annually is being amortized through 2022.</w:t>
      </w:r>
    </w:p>
    <w:p w14:paraId="16EF610A" w14:textId="77777777" w:rsidR="006026CF" w:rsidRDefault="003326E0" w:rsidP="001719E7">
      <w:pPr>
        <w:pStyle w:val="GaBody"/>
        <w:spacing w:before="0" w:after="0" w:line="240" w:lineRule="auto"/>
        <w:ind w:left="720" w:right="720"/>
      </w:pPr>
    </w:p>
    <w:p w14:paraId="786A71FB" w14:textId="77777777" w:rsidR="006026CF" w:rsidRDefault="0006003A" w:rsidP="001719E7">
      <w:pPr>
        <w:pStyle w:val="GaBody"/>
        <w:spacing w:before="0" w:after="0" w:line="240" w:lineRule="auto"/>
        <w:ind w:left="720" w:right="720"/>
      </w:pPr>
      <w:r w:rsidRPr="006026CF">
        <w:rPr>
          <w:b/>
        </w:rPr>
        <w:t>Deferred Nuclear Outage Costs</w:t>
      </w:r>
      <w:r>
        <w:t xml:space="preserve"> - Nuclear refueling outage expenses are accounted for on a normalized basis, as established in Docket No. 4007.</w:t>
      </w:r>
    </w:p>
    <w:p w14:paraId="26A3909D" w14:textId="77777777" w:rsidR="006026CF" w:rsidRDefault="003326E0" w:rsidP="001719E7">
      <w:pPr>
        <w:pStyle w:val="GaBody"/>
        <w:spacing w:before="0" w:after="0" w:line="240" w:lineRule="auto"/>
        <w:ind w:left="720" w:right="720"/>
      </w:pPr>
    </w:p>
    <w:p w14:paraId="6BEF9633" w14:textId="77777777" w:rsidR="006026CF" w:rsidRDefault="0006003A" w:rsidP="006026CF">
      <w:pPr>
        <w:pStyle w:val="GaBody"/>
        <w:spacing w:before="0" w:after="0" w:line="240" w:lineRule="auto"/>
        <w:ind w:left="720" w:right="720"/>
      </w:pPr>
      <w:r w:rsidRPr="006026CF">
        <w:rPr>
          <w:b/>
        </w:rPr>
        <w:t>ARO Regulatory Asset</w:t>
      </w:r>
      <w:r>
        <w:t xml:space="preserve"> - Effective January 1, 2003 and December 31, 2005, the Company adopted SFAS No. 143 - Accounting for Asset Retirement Obligations and FASB Interpretation No. 47 - Conditional Asset Retirement Obligations, respectively (collectively now ASC 410).  The Company records the appropriate regulatory assets and liability adjustments on the balance sheet to reconcile the treatment of costs under ASC 410 and the current treatment of such costs for regulatory accounting purposes.  The Company has received approval from the Commission allowing the continued accrual of other future retirement costs for long-lived assets that the Company does not have a legal obligation to retire.  </w:t>
      </w:r>
      <w:r w:rsidRPr="006026CF">
        <w:t>Pursuant to the Commission’s Order in Docket No. 42516, the regulatory asset for Coal Combustion Residual Asset Retirement Obligations was reduced by $12.8 million as a result of the application of the customer’s portion of the Company’s earnings above the 12% ROE in 2019</w:t>
      </w:r>
      <w:r>
        <w:t>.</w:t>
      </w:r>
    </w:p>
    <w:p w14:paraId="61620116" w14:textId="77777777" w:rsidR="00C506C9" w:rsidRDefault="003326E0" w:rsidP="00C506C9">
      <w:pPr>
        <w:pStyle w:val="GaBody"/>
        <w:spacing w:before="0" w:after="0" w:line="360" w:lineRule="auto"/>
        <w:rPr>
          <w:b/>
          <w:u w:val="single"/>
        </w:rPr>
      </w:pPr>
    </w:p>
    <w:p w14:paraId="07D08BD4" w14:textId="77777777" w:rsidR="006026CF" w:rsidRDefault="0006003A" w:rsidP="00C506C9">
      <w:pPr>
        <w:pStyle w:val="GaBody"/>
        <w:spacing w:before="0" w:after="0" w:line="360" w:lineRule="auto"/>
        <w:rPr>
          <w:b/>
          <w:u w:val="single"/>
        </w:rPr>
      </w:pPr>
      <w:r w:rsidRPr="006026CF">
        <w:rPr>
          <w:b/>
          <w:u w:val="single"/>
        </w:rPr>
        <w:t>Recommendation</w:t>
      </w:r>
    </w:p>
    <w:p w14:paraId="6690E788" w14:textId="77777777" w:rsidR="00C506C9" w:rsidRDefault="0006003A" w:rsidP="00C506C9">
      <w:pPr>
        <w:pStyle w:val="GaBody"/>
        <w:spacing w:before="0" w:after="0"/>
      </w:pPr>
      <w:r>
        <w:t xml:space="preserve">As discussed previously, pursuant to the Settlement Agreement in the recent GPC rate case in Docket No. 42516, for the 2019 ASR, the Company agreed to forego its portion of the refund (i.e., 1/3 of revenues over the 12.00% ROE).  Instead, the Settlement Agreement states that </w:t>
      </w:r>
      <w:r w:rsidRPr="00B00963">
        <w:t>50% of all the earnings ove</w:t>
      </w:r>
      <w:r>
        <w:t>r the 2019 band shall</w:t>
      </w:r>
      <w:r w:rsidRPr="00B00963">
        <w:t xml:space="preserve"> be refunded to customers</w:t>
      </w:r>
      <w:r>
        <w:t xml:space="preserve"> and that 50% was applied for the</w:t>
      </w:r>
      <w:r w:rsidRPr="00B00963">
        <w:t xml:space="preserve"> early retirement of </w:t>
      </w:r>
      <w:r>
        <w:t xml:space="preserve">Stewart County </w:t>
      </w:r>
      <w:r w:rsidRPr="00B00963">
        <w:t xml:space="preserve">regulatory asset </w:t>
      </w:r>
      <w:r>
        <w:t>totaling</w:t>
      </w:r>
      <w:r w:rsidRPr="00B00963">
        <w:t xml:space="preserve"> $49 million </w:t>
      </w:r>
      <w:r>
        <w:t>and the remaining amount (i.e., $12.8 million) was applied to the CCR ARO</w:t>
      </w:r>
      <w:r w:rsidRPr="00B00963">
        <w:t xml:space="preserve"> regulatory asset</w:t>
      </w:r>
      <w:r>
        <w:t>.  As part of the Settlement Agreement, the Company also agreed to accelerate the amortization of regulatory assets in 2020 as well.  Specifically, Section 10 (page 9) of the Commission's Short Order Adopting Settlement as Modified dated December 31, 2019, states as follows:</w:t>
      </w:r>
    </w:p>
    <w:p w14:paraId="600F29FD" w14:textId="77777777" w:rsidR="00C506C9" w:rsidRPr="006026CF" w:rsidRDefault="0006003A" w:rsidP="00C506C9">
      <w:pPr>
        <w:pStyle w:val="GaBody"/>
        <w:spacing w:before="0" w:after="0" w:line="240" w:lineRule="auto"/>
        <w:ind w:left="720" w:right="720"/>
        <w:rPr>
          <w:b/>
          <w:u w:val="single"/>
        </w:rPr>
      </w:pPr>
      <w:r>
        <w:t xml:space="preserve">The Settlement Agreement also provides that the Company shall accelerate amortization of an estimated $88 million in regulatory assets in 2020 in the following priority: Accumulated CCR ARO, Retired Generating Plant, Storm Damage, Obsolete Inventory, and Environmental Remediation.  The actual amount accelerated may be different than estimated in this paragraph depending upon the </w:t>
      </w:r>
      <w:r>
        <w:lastRenderedPageBreak/>
        <w:t>capital structure and rate setting return on equity approved by the Commission.  The estimated $88 million shall be adjusted to reflect the updated projected revenue sufficiency by incorporating the capital structure and rate setting return on equity approved by the Commission and will be reflected in the Company's next compliance filing.</w:t>
      </w:r>
    </w:p>
    <w:p w14:paraId="40CACA18" w14:textId="0AC15848" w:rsidR="00EE2435" w:rsidRDefault="0006003A" w:rsidP="00EE2435">
      <w:pPr>
        <w:pStyle w:val="GaBody"/>
      </w:pPr>
      <w:r>
        <w:t xml:space="preserve">Based on the foregoing passage from the Commission's Short Order Adopting Settlement Agreement as Modified, Staff proposes that the additional adjustments resulting in earnings above the earnings band be refunded to customers or used to reduce regulatory </w:t>
      </w:r>
      <w:r w:rsidR="00D122C3" w:rsidRPr="00D122C3">
        <w:t>assets</w:t>
      </w:r>
      <w:r>
        <w:t>.  Staff also recommends that the Company continue to keep track of the deferral accounts to ensure that the accelerated amortization of the regulatory assets are prioritized as described in the passage above from the Settlement Agreement in Docket No. 42516.</w:t>
      </w:r>
    </w:p>
    <w:p w14:paraId="3FDFF195" w14:textId="04E86B88" w:rsidR="00D2086B" w:rsidRPr="00D122C3" w:rsidRDefault="0006003A" w:rsidP="00D122C3">
      <w:pPr>
        <w:pStyle w:val="H1"/>
      </w:pPr>
      <w:r w:rsidRPr="00D122C3">
        <w:t>Collocation Net Revenue</w:t>
      </w:r>
    </w:p>
    <w:p w14:paraId="0D43B2A8" w14:textId="77777777" w:rsidR="00D2086B" w:rsidRPr="00900E42" w:rsidRDefault="00D2086B" w:rsidP="00D2086B">
      <w:pPr>
        <w:pStyle w:val="GaBody"/>
      </w:pPr>
      <w:r>
        <w:tab/>
      </w:r>
      <w:r w:rsidRPr="00900E42">
        <w:t xml:space="preserve">The Company obtains revenue when other parties, such as telecommunication companies or cable companies, attach equipment to the Company's </w:t>
      </w:r>
      <w:r>
        <w:t>facilities</w:t>
      </w:r>
      <w:r w:rsidRPr="00900E42">
        <w:t xml:space="preserve">.   </w:t>
      </w:r>
    </w:p>
    <w:p w14:paraId="79297C1E" w14:textId="77777777" w:rsidR="00D2086B" w:rsidRPr="00272A0F" w:rsidRDefault="00D2086B" w:rsidP="00D122C3">
      <w:pPr>
        <w:ind w:left="0" w:right="0"/>
      </w:pPr>
      <w:r>
        <w:tab/>
        <w:t xml:space="preserve">Since 2008 the Commission has permitted </w:t>
      </w:r>
      <w:r w:rsidRPr="00900E42">
        <w:t>sharing of the net revenue</w:t>
      </w:r>
      <w:r>
        <w:t xml:space="preserve"> (gross revenues less expenses)</w:t>
      </w:r>
      <w:r w:rsidRPr="00900E42">
        <w:t xml:space="preserve"> from </w:t>
      </w:r>
      <w:r>
        <w:t>colocation</w:t>
      </w:r>
      <w:r w:rsidRPr="00900E42">
        <w:t xml:space="preserve"> between the Company and its regulated electric utility service ratepayers.  </w:t>
      </w:r>
      <w:r>
        <w:t xml:space="preserve">The program was developed in response to an initial request by the Commission to determine the feasibility of a co-locating wireless telecommunications equipment on the Company’s transmission facilities. </w:t>
      </w:r>
      <w:r w:rsidRPr="00900E42">
        <w:t xml:space="preserve">In 2008, Staff supported sharing of </w:t>
      </w:r>
      <w:r>
        <w:t>colocation</w:t>
      </w:r>
      <w:r w:rsidRPr="00900E42">
        <w:t xml:space="preserve"> revenue on a 50/50 basis because</w:t>
      </w:r>
      <w:r>
        <w:t>,</w:t>
      </w:r>
      <w:r w:rsidRPr="00900E42">
        <w:t xml:space="preserve"> at that time</w:t>
      </w:r>
      <w:r>
        <w:t>,</w:t>
      </w:r>
      <w:r w:rsidRPr="00900E42">
        <w:t xml:space="preserve"> this was viewed as a “new and technically complex program.”  Docket No. 25322 Order, p.3. </w:t>
      </w:r>
      <w:r>
        <w:t xml:space="preserve">In addition, the Commission affirmed it was appropriate to incent the Company to develop and manage the colocation program considering the potential economic benefits for customers from a successfully implemented program.  Accordingly, the </w:t>
      </w:r>
      <w:r>
        <w:lastRenderedPageBreak/>
        <w:t xml:space="preserve">Commission approved a 50/50 revenue sharing of net profits from the colocation of equipment on transmission facilities. </w:t>
      </w:r>
    </w:p>
    <w:p w14:paraId="478B87BB" w14:textId="77777777" w:rsidR="00D2086B" w:rsidRPr="008D6968" w:rsidRDefault="00D2086B" w:rsidP="00D2086B">
      <w:pPr>
        <w:pStyle w:val="GaBody"/>
        <w:ind w:firstLine="720"/>
        <w:rPr>
          <w:rFonts w:ascii="New serif" w:hAnsi="New serif" w:cs="Helvetica"/>
        </w:rPr>
      </w:pPr>
      <w:r w:rsidRPr="008D6968">
        <w:t xml:space="preserve">Staff made informal inquires with Georgia Power Company concerning how </w:t>
      </w:r>
      <w:r>
        <w:t>colocation</w:t>
      </w:r>
      <w:r w:rsidRPr="008D6968">
        <w:t xml:space="preserve"> revenue has been treated for regulatory accounting and ASR purposes. The Company's </w:t>
      </w:r>
      <w:r>
        <w:t>colocation</w:t>
      </w:r>
      <w:r w:rsidRPr="008D6968">
        <w:t xml:space="preserve"> revenue in 2019 appears to all </w:t>
      </w:r>
      <w:r w:rsidRPr="008D6968">
        <w:rPr>
          <w:szCs w:val="20"/>
        </w:rPr>
        <w:t>be</w:t>
      </w:r>
      <w:r w:rsidRPr="008D6968">
        <w:t xml:space="preserve"> related to equipment that has been attached to Georgia Power Company's regulated distribution system assets.  </w:t>
      </w:r>
    </w:p>
    <w:p w14:paraId="4EE2DC16" w14:textId="77777777" w:rsidR="00D2086B" w:rsidRDefault="00D2086B" w:rsidP="000B3540">
      <w:pPr>
        <w:ind w:left="0" w:right="0"/>
      </w:pPr>
      <w:r>
        <w:t>Since the Colocation Order was issued</w:t>
      </w:r>
      <w:r w:rsidRPr="28DEE2DE">
        <w:t xml:space="preserve">, </w:t>
      </w:r>
      <w:r>
        <w:t xml:space="preserve">the Company has had limited success developing its colocation program.  </w:t>
      </w:r>
      <w:r w:rsidRPr="28DEE2DE">
        <w:t>I</w:t>
      </w:r>
      <w:r>
        <w:t>n 2019, in an effort to take advantage of potential new opportunities,</w:t>
      </w:r>
      <w:r w:rsidRPr="00900E42">
        <w:t xml:space="preserve"> the Company </w:t>
      </w:r>
      <w:r>
        <w:t xml:space="preserve">communicated to Staff a </w:t>
      </w:r>
      <w:r w:rsidRPr="00900E42">
        <w:t>propos</w:t>
      </w:r>
      <w:r>
        <w:t>al</w:t>
      </w:r>
      <w:r w:rsidRPr="00900E42">
        <w:t xml:space="preserve"> to expand </w:t>
      </w:r>
      <w:r>
        <w:t>the Commission-approved colocation program</w:t>
      </w:r>
      <w:r w:rsidRPr="00900E42">
        <w:t xml:space="preserve"> to cover additional classes of facilities like </w:t>
      </w:r>
      <w:r w:rsidRPr="008D6968">
        <w:t>distribution</w:t>
      </w:r>
      <w:r w:rsidRPr="28DEE2DE">
        <w:t xml:space="preserve"> </w:t>
      </w:r>
      <w:r w:rsidRPr="00900E42">
        <w:t>lighting poles and certain land</w:t>
      </w:r>
      <w:r>
        <w:t xml:space="preserve"> that were not discussed in the Commission’s Order in Docket No. 25322 and that are not covered under the Federal Communication Commission’s Pole Attachment regulations.  The Company informed the Commission Staff of the opportunity and shared its perspective that such expansion was appropriate and permitted under the current Commission Order.  Staff neither agreed, nor disagreed with the Company’s position at the time.   </w:t>
      </w:r>
    </w:p>
    <w:p w14:paraId="702218F2" w14:textId="77777777" w:rsidR="00D2086B" w:rsidRDefault="00D2086B" w:rsidP="006C32ED">
      <w:pPr>
        <w:ind w:left="-144" w:right="0"/>
      </w:pPr>
      <w:r>
        <w:tab/>
      </w:r>
      <w:r w:rsidRPr="00900E42">
        <w:t xml:space="preserve">The net revenue reported by the Company in 2019 for </w:t>
      </w:r>
      <w:r>
        <w:t>colocation</w:t>
      </w:r>
      <w:r w:rsidRPr="00900E42">
        <w:t xml:space="preserve"> resulted from the </w:t>
      </w:r>
      <w:r>
        <w:t>colocation</w:t>
      </w:r>
      <w:r w:rsidRPr="00900E42">
        <w:t xml:space="preserve"> of equipment on the Company's regulated lighting poles and land/communications towers and distribution system land</w:t>
      </w:r>
      <w:r>
        <w:t xml:space="preserve"> rather than transmission assets identified Commission’s Order in Docket No. 25322</w:t>
      </w:r>
      <w:r w:rsidRPr="00900E42">
        <w:t xml:space="preserve">, which are included in regulated rate base as part of the Company's electric distribution system.  </w:t>
      </w:r>
      <w:r>
        <w:t xml:space="preserve">During Staff’s review of this ASR, </w:t>
      </w:r>
      <w:r w:rsidRPr="00900E42">
        <w:t xml:space="preserve">Staff made informal inquires with Georgia Power Company concerning how </w:t>
      </w:r>
      <w:r>
        <w:t>colocation</w:t>
      </w:r>
      <w:r w:rsidRPr="00900E42">
        <w:t xml:space="preserve"> revenue has been treated for regulatory accounting and ASR purposes. The Company's </w:t>
      </w:r>
      <w:r>
        <w:t>colocation</w:t>
      </w:r>
      <w:r w:rsidRPr="00900E42">
        <w:t xml:space="preserve"> revenue in 2019 appears to all </w:t>
      </w:r>
      <w:r w:rsidRPr="00900E42">
        <w:rPr>
          <w:szCs w:val="20"/>
        </w:rPr>
        <w:t>be</w:t>
      </w:r>
      <w:r w:rsidRPr="00900E42">
        <w:t xml:space="preserve"> related to equipment </w:t>
      </w:r>
      <w:r w:rsidRPr="00900E42">
        <w:lastRenderedPageBreak/>
        <w:t>that has been attached to</w:t>
      </w:r>
      <w:r>
        <w:t xml:space="preserve"> facilities other than transmission towers.  </w:t>
      </w:r>
      <w:r w:rsidRPr="00900E42">
        <w:t xml:space="preserve"> </w:t>
      </w:r>
      <w:r>
        <w:t xml:space="preserve">This expansion related primarily to the ongoing development of 4G and 5G networks.  </w:t>
      </w:r>
      <w:r w:rsidRPr="00900E42">
        <w:t>For reporting purposes, the Company treat</w:t>
      </w:r>
      <w:r>
        <w:t>ed</w:t>
      </w:r>
      <w:r w:rsidRPr="00900E42">
        <w:t xml:space="preserve"> the </w:t>
      </w:r>
      <w:r>
        <w:t>colocation revenue as though it was from the Colocation</w:t>
      </w:r>
      <w:r w:rsidRPr="00900E42">
        <w:t xml:space="preserve"> </w:t>
      </w:r>
      <w:r>
        <w:t>P</w:t>
      </w:r>
      <w:r w:rsidRPr="00900E42">
        <w:t>rogram</w:t>
      </w:r>
      <w:r>
        <w:t xml:space="preserve"> approved in Docket No. 25322</w:t>
      </w:r>
      <w:r w:rsidRPr="00900E42">
        <w:t xml:space="preserve">. For 2019, the Company indicated that it reported the 5G </w:t>
      </w:r>
      <w:r>
        <w:t>colocation</w:t>
      </w:r>
      <w:r w:rsidRPr="00900E42">
        <w:t xml:space="preserve"> revenues as part of the overall reporting of </w:t>
      </w:r>
      <w:r>
        <w:t>colocation</w:t>
      </w:r>
      <w:r w:rsidRPr="00900E42">
        <w:t xml:space="preserve"> revenues. The Company </w:t>
      </w:r>
      <w:r>
        <w:t xml:space="preserve">further advanced its position that such treatment is </w:t>
      </w:r>
      <w:r w:rsidRPr="00900E42">
        <w:t xml:space="preserve">consistent with the treatment granted by the </w:t>
      </w:r>
      <w:r>
        <w:t>Colocation</w:t>
      </w:r>
      <w:r w:rsidRPr="00900E42">
        <w:t xml:space="preserve"> Order. </w:t>
      </w:r>
    </w:p>
    <w:p w14:paraId="6723FDC3" w14:textId="77777777" w:rsidR="00D2086B" w:rsidRDefault="00D2086B" w:rsidP="00275BC7">
      <w:pPr>
        <w:ind w:left="-144" w:right="0"/>
      </w:pPr>
      <w:r>
        <w:tab/>
        <w:t xml:space="preserve">The Staff does not agree with this position and believes that the Colocation Order applies to Transmission Towers. </w:t>
      </w:r>
      <w:r w:rsidRPr="00900E42">
        <w:t xml:space="preserve">Georgia Power indicated to Staff that: “The Company currently has authority to offer </w:t>
      </w:r>
      <w:r>
        <w:t>colocation</w:t>
      </w:r>
      <w:r w:rsidRPr="00900E42">
        <w:t xml:space="preserve"> services on its </w:t>
      </w:r>
      <w:r w:rsidRPr="009D2BA0">
        <w:rPr>
          <w:bCs/>
        </w:rPr>
        <w:t>transmission towers</w:t>
      </w:r>
      <w:r w:rsidRPr="00900E42">
        <w:t xml:space="preserve"> pursuant to the Commission’s Order in Docket No. 25322.” (Emphasis added.) </w:t>
      </w:r>
      <w:r>
        <w:t>Staff believes the Commission’s original Colocation Order does not extend to other regulated facilities which were not mentioned in the order. Nor has the Company requested Commission approval to extend the program to include these regulated assets. W</w:t>
      </w:r>
      <w:r w:rsidRPr="00900E42">
        <w:t xml:space="preserve">hen asked what portion of the net </w:t>
      </w:r>
      <w:r>
        <w:t xml:space="preserve">colocation </w:t>
      </w:r>
      <w:r w:rsidRPr="00900E42">
        <w:t xml:space="preserve">revenue </w:t>
      </w:r>
      <w:r>
        <w:t>for 2019 was</w:t>
      </w:r>
      <w:r w:rsidRPr="00900E42">
        <w:t xml:space="preserve"> attributable to equipment on transmission towers, the Company stated: “There were no attachments or net revenues generated from Transmission Assets in 2019.”</w:t>
      </w:r>
      <w:r>
        <w:t xml:space="preserve"> </w:t>
      </w:r>
      <w:r w:rsidRPr="00900E42">
        <w:t xml:space="preserve">In 2019, the Company had $983,251 of colocation revenue, with $333,328 of that coming from facilities that were attached to Company's Regulated Lighting Poles and $649,923 from Land and Communications Towers.  The </w:t>
      </w:r>
      <w:r>
        <w:t>colocation</w:t>
      </w:r>
      <w:r w:rsidRPr="00900E42">
        <w:t xml:space="preserve"> revenues related to “Regulated Lighting Poles” are associated with 4G/5G network.  During 2019, none of that net revenue was attributable to equipment on transmission towers.  The Company has indicated that there were no attachments or net revenues generated from Transmission Assets in 2019.</w:t>
      </w:r>
    </w:p>
    <w:p w14:paraId="6ACB19CC" w14:textId="77777777" w:rsidR="00D2086B" w:rsidRDefault="00D2086B" w:rsidP="006C32ED">
      <w:pPr>
        <w:ind w:left="-144" w:right="0"/>
      </w:pPr>
      <w:r>
        <w:tab/>
        <w:t xml:space="preserve">In response to Staff inquiries, the Company has explained that it disagrees with Staff’s position that the Colocation Order only applies to transmission towers.  The Company noted that </w:t>
      </w:r>
      <w:r>
        <w:lastRenderedPageBreak/>
        <w:t xml:space="preserve">the Commission has historically placed a great deal of thought into the benefits and challenges of a colocation program.  This included an incentive to the Company to develop and manage a successful program.  The Company indicated, in discussions with Staff, that it believes it is not appropriate to interpret the Colocation Order in a limiting fashion – limited to transmission facilities. The Company suggested that a narrow interpretation would undermine potential benefits to customers from the Colocation Program that likely rest in other structures (i.e. regulated lighting).  Further, the budgets approved for colocation revenues and sharing in the 2019 rate case reflect revenue not limited to transmission towers.  </w:t>
      </w:r>
    </w:p>
    <w:p w14:paraId="0CA99FE6" w14:textId="77777777" w:rsidR="00D2086B" w:rsidRDefault="00D2086B" w:rsidP="00D122C3">
      <w:pPr>
        <w:ind w:left="0" w:right="0"/>
      </w:pPr>
      <w:r w:rsidRPr="28DEE2DE">
        <w:t>T</w:t>
      </w:r>
      <w:r w:rsidRPr="00900E42">
        <w:t xml:space="preserve">he additional revenue generated by 5G facilities attached </w:t>
      </w:r>
      <w:r w:rsidRPr="28DEE2DE">
        <w:t xml:space="preserve">to </w:t>
      </w:r>
      <w:r w:rsidRPr="00900E42">
        <w:t>the Company</w:t>
      </w:r>
      <w:r w:rsidRPr="28DEE2DE">
        <w:t>’</w:t>
      </w:r>
      <w:r w:rsidRPr="00900E42">
        <w:t xml:space="preserve">s </w:t>
      </w:r>
      <w:r>
        <w:t xml:space="preserve">regulated lighting poles, communication towers </w:t>
      </w:r>
      <w:r w:rsidRPr="00900E42">
        <w:t xml:space="preserve">and land, </w:t>
      </w:r>
      <w:r w:rsidRPr="28DEE2DE">
        <w:t>was</w:t>
      </w:r>
      <w:r w:rsidRPr="00900E42">
        <w:t xml:space="preserve"> approximately $411,000 of pre-tax net income in 2019.  In contrast to the situation in 2008 when Staff agreed with the 50/50 sharing, </w:t>
      </w:r>
      <w:r w:rsidRPr="28DEE2DE">
        <w:t xml:space="preserve">the </w:t>
      </w:r>
      <w:r>
        <w:t>colocation of third-party equipment on Georgia Power Company’s transmission towers and other facilities is no longer a new program and is a common practice throughout the United States and world.</w:t>
      </w:r>
    </w:p>
    <w:p w14:paraId="6267E689" w14:textId="77777777" w:rsidR="00D2086B" w:rsidRDefault="00D2086B" w:rsidP="00D122C3">
      <w:pPr>
        <w:ind w:left="0" w:right="0"/>
      </w:pPr>
      <w:r>
        <w:t xml:space="preserve">Staff understands that the Company disagrees with Staff’s characterization of the current colocation program and believes it to be equally, if not more, complex with ever evolving technology.  </w:t>
      </w:r>
    </w:p>
    <w:p w14:paraId="47040783" w14:textId="77777777" w:rsidR="00D2086B" w:rsidRPr="008D01D5" w:rsidRDefault="00D2086B" w:rsidP="00D122C3">
      <w:pPr>
        <w:ind w:left="0" w:right="0"/>
      </w:pPr>
      <w:r>
        <w:t xml:space="preserve">In the Company’s recent 2019 rate case the forecast upon which rates were set were based upon 50/50 sharing of net revenues for colocation including the use of regulated lighting and other facilities for colocation as explained in more detail below.  The amount assumed in each of those cases as the customers’ share of revenues worked to reduce the overall rate request by the amount of revenue that was forecasted to be generated and shared from the Colocation Program.  The </w:t>
      </w:r>
      <w:r>
        <w:lastRenderedPageBreak/>
        <w:t xml:space="preserve">source of the revenue sharing, however, was not identified in the 2019 rate case as being from non-transmission colocation. In that the revenue was not associated with transmission colocation, it is Staff’s belief that ratepayers should have received the full benefit of the estimated net revenue rather than only 50%.  </w:t>
      </w:r>
      <w:r w:rsidRPr="00272A0F">
        <w:t xml:space="preserve"> </w:t>
      </w:r>
    </w:p>
    <w:p w14:paraId="00A0FC18" w14:textId="77777777" w:rsidR="00D2086B" w:rsidRDefault="00D2086B" w:rsidP="00D122C3">
      <w:pPr>
        <w:ind w:left="0" w:right="0"/>
      </w:pPr>
      <w:r>
        <w:t>After several discussion</w:t>
      </w:r>
      <w:r w:rsidRPr="28DEE2DE">
        <w:t>s,</w:t>
      </w:r>
      <w:r>
        <w:t xml:space="preserve"> the Staff and Company have been able to reach an agreement that will resolve this issue.  The agreement is as follows, and the Staff and Company recommend that it be incorporated into the ordering paragraphs approving the 2019 ASR.  </w:t>
      </w:r>
    </w:p>
    <w:p w14:paraId="79846499" w14:textId="2FDCD7A9" w:rsidR="007A045F" w:rsidRDefault="007A045F" w:rsidP="00BC0871">
      <w:pPr>
        <w:pStyle w:val="GaBody"/>
        <w:spacing w:before="0" w:after="0" w:line="360" w:lineRule="auto"/>
        <w:rPr>
          <w:b/>
          <w:u w:val="single"/>
        </w:rPr>
      </w:pPr>
      <w:r w:rsidRPr="006026CF">
        <w:rPr>
          <w:b/>
          <w:u w:val="single"/>
        </w:rPr>
        <w:t>Recommendation</w:t>
      </w:r>
    </w:p>
    <w:p w14:paraId="1E729682" w14:textId="77777777" w:rsidR="00BC0871" w:rsidRPr="007A045F" w:rsidRDefault="00BC0871" w:rsidP="00BC0871">
      <w:pPr>
        <w:pStyle w:val="GaBody"/>
        <w:spacing w:before="0" w:after="0" w:line="360" w:lineRule="auto"/>
        <w:rPr>
          <w:b/>
          <w:u w:val="single"/>
        </w:rPr>
      </w:pPr>
    </w:p>
    <w:p w14:paraId="3AF3CD7B" w14:textId="770FE5BC" w:rsidR="00D2086B" w:rsidRDefault="00D2086B" w:rsidP="00BC0871">
      <w:pPr>
        <w:pStyle w:val="GaBody"/>
        <w:numPr>
          <w:ilvl w:val="0"/>
          <w:numId w:val="42"/>
        </w:numPr>
      </w:pPr>
      <w:r w:rsidRPr="000B3540">
        <w:t>Staff and the Company agree that the colocation of telecommunications equipment on the Company’s facilities is in the public’s interest, this includes the use of transmission towers as well as other facilities in retail rate base and sites for colocation (i.e. telecom towers, land leases, regulated light poles, etc.). The Company and Staff disagree as to whether authority for expansion of the collocation program as currently implemented is fully authorized under the Commission’s Order in Docket No 25322.  To the extent there is any disagreement between Staff and the Company regarding Commission approval, such approval is affirmed by the Commission through adoption of this joint recommendation to approve the 2019 ASR. </w:t>
      </w:r>
    </w:p>
    <w:p w14:paraId="14F9D890" w14:textId="37ED66DE" w:rsidR="000B3540" w:rsidRPr="000B3540" w:rsidRDefault="00D2086B" w:rsidP="00AE226F">
      <w:pPr>
        <w:pStyle w:val="GaBody"/>
        <w:numPr>
          <w:ilvl w:val="0"/>
          <w:numId w:val="42"/>
        </w:numPr>
      </w:pPr>
      <w:r w:rsidRPr="000B3540">
        <w:t>For the purpose of settlement</w:t>
      </w:r>
      <w:r w:rsidR="00022484">
        <w:t>,</w:t>
      </w:r>
      <w:r w:rsidRPr="000B3540">
        <w:t xml:space="preserve"> the Company agrees to voluntarily forgo the Company’s portion of sharing of collocation revenue reported in the 2019 ASR.   For purposes of the 2019 ASR, the adjustment reflected in Section 6, Workpaper 20 and Section 3, Income, which reflects sharing with the Company, will be reversed and the amount will </w:t>
      </w:r>
      <w:r w:rsidRPr="000B3540">
        <w:lastRenderedPageBreak/>
        <w:t>be used to reduce regulatory assets in the priority set out in Paragraph 12 of the Stipulation in Docket 42516.</w:t>
      </w:r>
      <w:r w:rsidR="00022484">
        <w:t xml:space="preserve"> </w:t>
      </w:r>
      <w:r w:rsidRPr="000B3540">
        <w:t>In years 2020 – 2022 the Company will continue to apply 50/50 sharing for collocation revenue resulting from the collocation of telecommunications equipment on transmission towers (there is no dispute regarding the current approval of this allocation as an incentive to the Company).   This allocation will be used for ASR reporting purposes as has been consistently used since the approval of the Collocation Program.</w:t>
      </w:r>
    </w:p>
    <w:p w14:paraId="2813E630" w14:textId="44A64EBE" w:rsidR="00BC0871" w:rsidRPr="000B3540" w:rsidRDefault="00D2086B" w:rsidP="00AE226F">
      <w:pPr>
        <w:pStyle w:val="GaBody"/>
        <w:numPr>
          <w:ilvl w:val="0"/>
          <w:numId w:val="42"/>
        </w:numPr>
      </w:pPr>
      <w:r w:rsidRPr="000B3540">
        <w:t>For years 2020 – 2022 the Company agrees any revenue reported from the collocation program associated with small cell installations on the Company’s regulated assets will be allocated for ASR Reporting purposes 60% to ratepayers and 40% retained by the Company.  With the exception of transmissi</w:t>
      </w:r>
      <w:r w:rsidR="00F23664">
        <w:t>on towers covered in Paragraph 2</w:t>
      </w:r>
      <w:bookmarkStart w:id="0" w:name="_GoBack"/>
      <w:bookmarkEnd w:id="0"/>
      <w:r w:rsidRPr="000B3540">
        <w:t>, the 60/40 sharing allocation will also be used for macro cell development on retail facilities such as telecom towers and land leases. The use of this allocation for ASR reporting purposes is agreed to for settlement purposes only, and the Company and Staff reserve the right to argue for a different allocation in a future base rate case.  For avoidance of doubt, the issue of authorization for the program is resolved by the adoption of this recommendation by the Commission.   </w:t>
      </w:r>
    </w:p>
    <w:p w14:paraId="2F5862B3" w14:textId="437C779D" w:rsidR="00D2086B" w:rsidRPr="000B3540" w:rsidRDefault="00D2086B" w:rsidP="00BC0871">
      <w:pPr>
        <w:pStyle w:val="GaBody"/>
        <w:numPr>
          <w:ilvl w:val="0"/>
          <w:numId w:val="42"/>
        </w:numPr>
      </w:pPr>
      <w:r w:rsidRPr="000B3540">
        <w:t xml:space="preserve">The Parties agree that the Colocation Program and sharing percentages may be revaluated in the Company’s next base rate case.  For the purpose of settlement, the Company and Staff agree to make a good faith effort to resolve any dispute around the sharing of colocation revenues prior to August 1, 2021, in order to allow for any resolution, should one be reached, to be included in the Company’s next base rate case.  </w:t>
      </w:r>
    </w:p>
    <w:p w14:paraId="547E5A11" w14:textId="77777777" w:rsidR="009D2BA0" w:rsidRDefault="009D2BA0" w:rsidP="00EE2435">
      <w:pPr>
        <w:pStyle w:val="GaBody"/>
        <w:spacing w:before="0" w:after="0"/>
        <w:rPr>
          <w:b/>
          <w:u w:val="single"/>
        </w:rPr>
      </w:pPr>
    </w:p>
    <w:p w14:paraId="25CF7616" w14:textId="77777777" w:rsidR="00EE2435" w:rsidRDefault="0006003A" w:rsidP="00EE2435">
      <w:pPr>
        <w:pStyle w:val="GaBody"/>
        <w:spacing w:before="0" w:after="0"/>
        <w:rPr>
          <w:b/>
          <w:u w:val="single"/>
        </w:rPr>
      </w:pPr>
      <w:r w:rsidRPr="00EE2435">
        <w:rPr>
          <w:b/>
          <w:u w:val="single"/>
        </w:rPr>
        <w:t>Conclusion</w:t>
      </w:r>
    </w:p>
    <w:p w14:paraId="22F1E051" w14:textId="77777777" w:rsidR="00E53ED4" w:rsidRDefault="0006003A" w:rsidP="00E53ED4">
      <w:pPr>
        <w:pStyle w:val="GaBody"/>
        <w:spacing w:before="0" w:after="0"/>
      </w:pPr>
      <w:r w:rsidRPr="00EE2435">
        <w:t>Staff has made the following recommendations as a result of its review of the 2019 ASR:</w:t>
      </w:r>
      <w:r>
        <w:t xml:space="preserve"> </w:t>
      </w:r>
    </w:p>
    <w:p w14:paraId="3437515A" w14:textId="403DDB54" w:rsidR="00570551" w:rsidRDefault="0006003A" w:rsidP="00A74D26">
      <w:pPr>
        <w:pStyle w:val="GaBody"/>
        <w:numPr>
          <w:ilvl w:val="0"/>
          <w:numId w:val="44"/>
        </w:numPr>
      </w:pPr>
      <w:r w:rsidRPr="00E53ED4">
        <w:t>Staff recommends that the Company continue to address land held in the PHFFU account by having quarterly meetings to re-evaluate the intended uses of the land to determine if</w:t>
      </w:r>
      <w:r>
        <w:t xml:space="preserve"> </w:t>
      </w:r>
      <w:r w:rsidRPr="00E53ED4">
        <w:t>and when it will be used.  If it is determined that a parcel of land will not be used, it should be reclassified into non-utility property.</w:t>
      </w:r>
    </w:p>
    <w:p w14:paraId="4938BFF0" w14:textId="77777777" w:rsidR="00E53ED4" w:rsidRDefault="0006003A" w:rsidP="00A74D26">
      <w:pPr>
        <w:pStyle w:val="GaBody"/>
        <w:numPr>
          <w:ilvl w:val="0"/>
          <w:numId w:val="44"/>
        </w:numPr>
      </w:pPr>
      <w:r w:rsidRPr="00E53ED4">
        <w:t>That the Company explain in greater detail how it will allocate the additional resources to eliminate the</w:t>
      </w:r>
      <w:r>
        <w:t xml:space="preserve"> December 31, 2019</w:t>
      </w:r>
      <w:r w:rsidRPr="00E53ED4">
        <w:t xml:space="preserve"> Distribution Vegetation backlog</w:t>
      </w:r>
      <w:r>
        <w:t xml:space="preserve"> of 4,300 miles</w:t>
      </w:r>
      <w:r w:rsidRPr="00E53ED4">
        <w:t xml:space="preserve"> by 2022.</w:t>
      </w:r>
    </w:p>
    <w:p w14:paraId="212836A7" w14:textId="77777777" w:rsidR="00E53ED4" w:rsidRDefault="0006003A" w:rsidP="00A74D26">
      <w:pPr>
        <w:pStyle w:val="GaBody"/>
        <w:numPr>
          <w:ilvl w:val="0"/>
          <w:numId w:val="44"/>
        </w:numPr>
      </w:pPr>
      <w:r w:rsidRPr="00E53ED4">
        <w:t>That brand advertising expenses totaling $9,856 that should have been excluded from the 2019 ASR, as the Company has conceded, be removed from the Company's 2019 retail cost of service.</w:t>
      </w:r>
    </w:p>
    <w:p w14:paraId="1EC55DB1" w14:textId="77777777" w:rsidR="00E53ED4" w:rsidRDefault="0006003A" w:rsidP="00A74D26">
      <w:pPr>
        <w:pStyle w:val="GaBody"/>
        <w:numPr>
          <w:ilvl w:val="0"/>
          <w:numId w:val="44"/>
        </w:numPr>
      </w:pPr>
      <w:r>
        <w:t>That costs totaling (1) $183,000 in Total Electric Plant and $69,000 in Total Accumulated Depreciation on a 13-month average basis (resulting in a net plant amount of $115,000), and (2) $93,000 in Total Depreciation and Amortization, which relate to the Bowen Unit 2 Phase 3 GSU fire on July 13, 2017 should be removed from the 2019 ASR retail rate base and retail cost of service, respectively, as the Company conceded.</w:t>
      </w:r>
    </w:p>
    <w:p w14:paraId="14A80B8C" w14:textId="77777777" w:rsidR="00E53ED4" w:rsidRDefault="0006003A" w:rsidP="00A74D26">
      <w:pPr>
        <w:pStyle w:val="GaBody"/>
        <w:numPr>
          <w:ilvl w:val="0"/>
          <w:numId w:val="44"/>
        </w:numPr>
      </w:pPr>
      <w:r>
        <w:t>That the Company continue to monitor its deferral accounts to ensure that the accelerated amortization of regulatory assets is prioritized in the order as described in the Settlement Agreement in Docket No. 42516.</w:t>
      </w:r>
    </w:p>
    <w:p w14:paraId="1F866936" w14:textId="7AC6BFEB" w:rsidR="00FA0B58" w:rsidRDefault="0006003A" w:rsidP="00A74D26">
      <w:pPr>
        <w:pStyle w:val="GaBody"/>
        <w:numPr>
          <w:ilvl w:val="0"/>
          <w:numId w:val="44"/>
        </w:numPr>
      </w:pPr>
      <w:r w:rsidRPr="00FA0B58">
        <w:lastRenderedPageBreak/>
        <w:t xml:space="preserve">Staff’s adjustments </w:t>
      </w:r>
      <w:r>
        <w:t xml:space="preserve">to remove brand advertising expenses, and the costs related to the Bowen Unit 2 Phase 3 GSU fire from the 2019 ASR, while not large, should nevertheless be added to the customer refund amounts.    The additional revenue from collocation should also be added to the customer refund amounts. Staff is also amenable for the additional refunds to occur through reductions to regulatory assets. </w:t>
      </w:r>
    </w:p>
    <w:p w14:paraId="35BD98A0" w14:textId="02497EFB" w:rsidR="00022484" w:rsidRPr="00FA0B58" w:rsidRDefault="00022484" w:rsidP="00A74D26">
      <w:pPr>
        <w:pStyle w:val="GaBody"/>
        <w:numPr>
          <w:ilvl w:val="0"/>
          <w:numId w:val="44"/>
        </w:numPr>
      </w:pPr>
      <w:r>
        <w:t xml:space="preserve">That the colocation agreement between Staff and the Company, identified above, be approved. </w:t>
      </w:r>
    </w:p>
    <w:sectPr w:rsidR="00022484" w:rsidRPr="00FA0B58" w:rsidSect="0095668B">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8ACC6" w14:textId="77777777" w:rsidR="003326E0" w:rsidRDefault="003326E0">
      <w:pPr>
        <w:spacing w:before="0" w:after="0" w:line="240" w:lineRule="auto"/>
      </w:pPr>
      <w:r>
        <w:separator/>
      </w:r>
    </w:p>
  </w:endnote>
  <w:endnote w:type="continuationSeparator" w:id="0">
    <w:p w14:paraId="07C24D97" w14:textId="77777777" w:rsidR="003326E0" w:rsidRDefault="003326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ew 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1328F" w14:textId="77777777" w:rsidR="009631A3" w:rsidRDefault="003326E0" w:rsidP="00777F0A">
    <w:pPr>
      <w:pStyle w:val="Footer"/>
      <w:spacing w:line="200" w:lineRule="exact"/>
      <w:ind w:left="0" w:firstLine="0"/>
      <w:jc w:val="left"/>
    </w:pPr>
  </w:p>
  <w:p w14:paraId="7C8D66D8" w14:textId="77777777" w:rsidR="009631A3" w:rsidRDefault="003326E0" w:rsidP="00EB61EA">
    <w:pPr>
      <w:pStyle w:val="Footer"/>
      <w:spacing w:line="200" w:lineRule="exact"/>
      <w:ind w:left="0" w:firstLine="0"/>
      <w:jc w:val="left"/>
    </w:pPr>
  </w:p>
  <w:p w14:paraId="57AF76EF" w14:textId="77777777" w:rsidR="009631A3" w:rsidRDefault="003326E0" w:rsidP="004151B0">
    <w:pPr>
      <w:pStyle w:val="Footer"/>
      <w:spacing w:line="200" w:lineRule="exact"/>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44BCF" w14:textId="77777777" w:rsidR="00BF14C6" w:rsidRDefault="00BF14C6" w:rsidP="00940087">
    <w:pPr>
      <w:pStyle w:val="Footer"/>
      <w:spacing w:line="200" w:lineRule="exact"/>
      <w:ind w:firstLine="0"/>
      <w:jc w:val="center"/>
      <w:rPr>
        <w:noProof/>
      </w:rPr>
    </w:pPr>
  </w:p>
  <w:p w14:paraId="46F1285B" w14:textId="560CBC70" w:rsidR="009631A3" w:rsidRDefault="00BF14C6" w:rsidP="00BF14C6">
    <w:pPr>
      <w:pStyle w:val="Footer"/>
      <w:pBdr>
        <w:top w:val="single" w:sz="4" w:space="1" w:color="auto"/>
      </w:pBdr>
      <w:spacing w:line="200" w:lineRule="exact"/>
      <w:ind w:left="0" w:firstLine="0"/>
      <w:jc w:val="left"/>
    </w:pPr>
    <w:r>
      <w:t xml:space="preserve">Page </w:t>
    </w:r>
    <w:r>
      <w:fldChar w:fldCharType="begin"/>
    </w:r>
    <w:r>
      <w:instrText xml:space="preserve"> PAGE  \* Arabic  \* MERGEFORMAT </w:instrText>
    </w:r>
    <w:r>
      <w:fldChar w:fldCharType="separate"/>
    </w:r>
    <w:r w:rsidR="004813CF">
      <w:rPr>
        <w:noProof/>
      </w:rPr>
      <w:t>24</w:t>
    </w:r>
    <w:r>
      <w:fldChar w:fldCharType="end"/>
    </w:r>
    <w:r>
      <w:t xml:space="preserve"> of </w:t>
    </w:r>
    <w:r w:rsidR="003326E0">
      <w:rPr>
        <w:noProof/>
      </w:rPr>
      <w:fldChar w:fldCharType="begin"/>
    </w:r>
    <w:r w:rsidR="003326E0">
      <w:rPr>
        <w:noProof/>
      </w:rPr>
      <w:instrText xml:space="preserve"> SECTIONPAGES  \* Arabic  \* MERGEFORMAT </w:instrText>
    </w:r>
    <w:r w:rsidR="003326E0">
      <w:rPr>
        <w:noProof/>
      </w:rPr>
      <w:fldChar w:fldCharType="separate"/>
    </w:r>
    <w:r w:rsidR="004813CF">
      <w:rPr>
        <w:noProof/>
      </w:rPr>
      <w:t>25</w:t>
    </w:r>
    <w:r w:rsidR="003326E0">
      <w:rPr>
        <w:noProof/>
      </w:rPr>
      <w:fldChar w:fldCharType="end"/>
    </w:r>
  </w:p>
  <w:p w14:paraId="2CA6020D" w14:textId="77777777" w:rsidR="009631A3" w:rsidRDefault="003326E0" w:rsidP="004151B0">
    <w:pPr>
      <w:pStyle w:val="Footer"/>
      <w:spacing w:line="200" w:lineRule="exact"/>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C6F14" w14:textId="77777777" w:rsidR="003326E0" w:rsidRDefault="003326E0" w:rsidP="007122FC">
      <w:pPr>
        <w:spacing w:before="0" w:after="0" w:line="240" w:lineRule="auto"/>
      </w:pPr>
      <w:r>
        <w:separator/>
      </w:r>
    </w:p>
  </w:footnote>
  <w:footnote w:type="continuationSeparator" w:id="0">
    <w:p w14:paraId="047E58DB" w14:textId="77777777" w:rsidR="003326E0" w:rsidRDefault="003326E0" w:rsidP="007122FC">
      <w:pPr>
        <w:spacing w:before="0" w:after="0" w:line="240" w:lineRule="auto"/>
      </w:pPr>
      <w:r>
        <w:continuationSeparator/>
      </w:r>
    </w:p>
  </w:footnote>
  <w:footnote w:id="1">
    <w:p w14:paraId="3D7D1C76" w14:textId="77777777" w:rsidR="009631A3" w:rsidRDefault="0006003A" w:rsidP="00FA3D30">
      <w:pPr>
        <w:pStyle w:val="FootnoteText"/>
      </w:pPr>
      <w:r>
        <w:rPr>
          <w:rStyle w:val="FootnoteReference"/>
        </w:rPr>
        <w:footnoteRef/>
      </w:r>
      <w:r>
        <w:t xml:space="preserve"> Under the AGL/Southern Merger Order, approved in Docket No. 39971, the Company and the Commission agreed to not change base rates until January 1, 2020, which occurred pursuant to GPC's base rate case in Docket No. 42516. </w:t>
      </w:r>
    </w:p>
  </w:footnote>
  <w:footnote w:id="2">
    <w:p w14:paraId="03B9C053" w14:textId="77777777" w:rsidR="009631A3" w:rsidRDefault="0006003A">
      <w:pPr>
        <w:pStyle w:val="FootnoteText"/>
      </w:pPr>
      <w:r>
        <w:rPr>
          <w:rStyle w:val="FootnoteReference"/>
        </w:rPr>
        <w:footnoteRef/>
      </w:r>
      <w:r>
        <w:t xml:space="preserve"> See the response to STF-ASR-62-7.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E86F2" w14:textId="77777777" w:rsidR="009631A3" w:rsidRDefault="003326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C70B2"/>
    <w:multiLevelType w:val="hybridMultilevel"/>
    <w:tmpl w:val="46463E24"/>
    <w:lvl w:ilvl="0" w:tplc="699C22FE">
      <w:start w:val="1"/>
      <w:numFmt w:val="bullet"/>
      <w:lvlText w:val=""/>
      <w:lvlJc w:val="left"/>
      <w:pPr>
        <w:ind w:left="2166" w:hanging="360"/>
      </w:pPr>
      <w:rPr>
        <w:rFonts w:ascii="Symbol" w:hAnsi="Symbol" w:hint="default"/>
      </w:rPr>
    </w:lvl>
    <w:lvl w:ilvl="1" w:tplc="DDF6C620" w:tentative="1">
      <w:start w:val="1"/>
      <w:numFmt w:val="bullet"/>
      <w:lvlText w:val="o"/>
      <w:lvlJc w:val="left"/>
      <w:pPr>
        <w:ind w:left="2886" w:hanging="360"/>
      </w:pPr>
      <w:rPr>
        <w:rFonts w:ascii="Courier New" w:hAnsi="Courier New" w:cs="Courier New" w:hint="default"/>
      </w:rPr>
    </w:lvl>
    <w:lvl w:ilvl="2" w:tplc="302A1BC6" w:tentative="1">
      <w:start w:val="1"/>
      <w:numFmt w:val="bullet"/>
      <w:lvlText w:val=""/>
      <w:lvlJc w:val="left"/>
      <w:pPr>
        <w:ind w:left="3606" w:hanging="360"/>
      </w:pPr>
      <w:rPr>
        <w:rFonts w:ascii="Wingdings" w:hAnsi="Wingdings" w:hint="default"/>
      </w:rPr>
    </w:lvl>
    <w:lvl w:ilvl="3" w:tplc="F604A130" w:tentative="1">
      <w:start w:val="1"/>
      <w:numFmt w:val="bullet"/>
      <w:lvlText w:val=""/>
      <w:lvlJc w:val="left"/>
      <w:pPr>
        <w:ind w:left="4326" w:hanging="360"/>
      </w:pPr>
      <w:rPr>
        <w:rFonts w:ascii="Symbol" w:hAnsi="Symbol" w:hint="default"/>
      </w:rPr>
    </w:lvl>
    <w:lvl w:ilvl="4" w:tplc="5588D7A0" w:tentative="1">
      <w:start w:val="1"/>
      <w:numFmt w:val="bullet"/>
      <w:lvlText w:val="o"/>
      <w:lvlJc w:val="left"/>
      <w:pPr>
        <w:ind w:left="5046" w:hanging="360"/>
      </w:pPr>
      <w:rPr>
        <w:rFonts w:ascii="Courier New" w:hAnsi="Courier New" w:cs="Courier New" w:hint="default"/>
      </w:rPr>
    </w:lvl>
    <w:lvl w:ilvl="5" w:tplc="907C7632" w:tentative="1">
      <w:start w:val="1"/>
      <w:numFmt w:val="bullet"/>
      <w:lvlText w:val=""/>
      <w:lvlJc w:val="left"/>
      <w:pPr>
        <w:ind w:left="5766" w:hanging="360"/>
      </w:pPr>
      <w:rPr>
        <w:rFonts w:ascii="Wingdings" w:hAnsi="Wingdings" w:hint="default"/>
      </w:rPr>
    </w:lvl>
    <w:lvl w:ilvl="6" w:tplc="D4BCBC2C" w:tentative="1">
      <w:start w:val="1"/>
      <w:numFmt w:val="bullet"/>
      <w:lvlText w:val=""/>
      <w:lvlJc w:val="left"/>
      <w:pPr>
        <w:ind w:left="6486" w:hanging="360"/>
      </w:pPr>
      <w:rPr>
        <w:rFonts w:ascii="Symbol" w:hAnsi="Symbol" w:hint="default"/>
      </w:rPr>
    </w:lvl>
    <w:lvl w:ilvl="7" w:tplc="7D0E1302" w:tentative="1">
      <w:start w:val="1"/>
      <w:numFmt w:val="bullet"/>
      <w:lvlText w:val="o"/>
      <w:lvlJc w:val="left"/>
      <w:pPr>
        <w:ind w:left="7206" w:hanging="360"/>
      </w:pPr>
      <w:rPr>
        <w:rFonts w:ascii="Courier New" w:hAnsi="Courier New" w:cs="Courier New" w:hint="default"/>
      </w:rPr>
    </w:lvl>
    <w:lvl w:ilvl="8" w:tplc="A622DAA4" w:tentative="1">
      <w:start w:val="1"/>
      <w:numFmt w:val="bullet"/>
      <w:lvlText w:val=""/>
      <w:lvlJc w:val="left"/>
      <w:pPr>
        <w:ind w:left="7926" w:hanging="360"/>
      </w:pPr>
      <w:rPr>
        <w:rFonts w:ascii="Wingdings" w:hAnsi="Wingdings" w:hint="default"/>
      </w:rPr>
    </w:lvl>
  </w:abstractNum>
  <w:abstractNum w:abstractNumId="1" w15:restartNumberingAfterBreak="0">
    <w:nsid w:val="09511438"/>
    <w:multiLevelType w:val="hybridMultilevel"/>
    <w:tmpl w:val="A5B8F766"/>
    <w:lvl w:ilvl="0" w:tplc="8F4036B6">
      <w:start w:val="1"/>
      <w:numFmt w:val="bullet"/>
      <w:lvlText w:val="o"/>
      <w:lvlJc w:val="left"/>
      <w:pPr>
        <w:ind w:left="1080" w:hanging="360"/>
      </w:pPr>
      <w:rPr>
        <w:rFonts w:ascii="Courier New" w:hAnsi="Courier New" w:cs="Courier New" w:hint="default"/>
      </w:rPr>
    </w:lvl>
    <w:lvl w:ilvl="1" w:tplc="67DAAF0E" w:tentative="1">
      <w:start w:val="1"/>
      <w:numFmt w:val="bullet"/>
      <w:lvlText w:val="o"/>
      <w:lvlJc w:val="left"/>
      <w:pPr>
        <w:ind w:left="1800" w:hanging="360"/>
      </w:pPr>
      <w:rPr>
        <w:rFonts w:ascii="Courier New" w:hAnsi="Courier New" w:cs="Courier New" w:hint="default"/>
      </w:rPr>
    </w:lvl>
    <w:lvl w:ilvl="2" w:tplc="32CC1802" w:tentative="1">
      <w:start w:val="1"/>
      <w:numFmt w:val="bullet"/>
      <w:lvlText w:val=""/>
      <w:lvlJc w:val="left"/>
      <w:pPr>
        <w:ind w:left="2520" w:hanging="360"/>
      </w:pPr>
      <w:rPr>
        <w:rFonts w:ascii="Wingdings" w:hAnsi="Wingdings" w:hint="default"/>
      </w:rPr>
    </w:lvl>
    <w:lvl w:ilvl="3" w:tplc="66648E7C" w:tentative="1">
      <w:start w:val="1"/>
      <w:numFmt w:val="bullet"/>
      <w:lvlText w:val=""/>
      <w:lvlJc w:val="left"/>
      <w:pPr>
        <w:ind w:left="3240" w:hanging="360"/>
      </w:pPr>
      <w:rPr>
        <w:rFonts w:ascii="Symbol" w:hAnsi="Symbol" w:hint="default"/>
      </w:rPr>
    </w:lvl>
    <w:lvl w:ilvl="4" w:tplc="B428D804" w:tentative="1">
      <w:start w:val="1"/>
      <w:numFmt w:val="bullet"/>
      <w:lvlText w:val="o"/>
      <w:lvlJc w:val="left"/>
      <w:pPr>
        <w:ind w:left="3960" w:hanging="360"/>
      </w:pPr>
      <w:rPr>
        <w:rFonts w:ascii="Courier New" w:hAnsi="Courier New" w:cs="Courier New" w:hint="default"/>
      </w:rPr>
    </w:lvl>
    <w:lvl w:ilvl="5" w:tplc="C332DE3A" w:tentative="1">
      <w:start w:val="1"/>
      <w:numFmt w:val="bullet"/>
      <w:lvlText w:val=""/>
      <w:lvlJc w:val="left"/>
      <w:pPr>
        <w:ind w:left="4680" w:hanging="360"/>
      </w:pPr>
      <w:rPr>
        <w:rFonts w:ascii="Wingdings" w:hAnsi="Wingdings" w:hint="default"/>
      </w:rPr>
    </w:lvl>
    <w:lvl w:ilvl="6" w:tplc="DB643530" w:tentative="1">
      <w:start w:val="1"/>
      <w:numFmt w:val="bullet"/>
      <w:lvlText w:val=""/>
      <w:lvlJc w:val="left"/>
      <w:pPr>
        <w:ind w:left="5400" w:hanging="360"/>
      </w:pPr>
      <w:rPr>
        <w:rFonts w:ascii="Symbol" w:hAnsi="Symbol" w:hint="default"/>
      </w:rPr>
    </w:lvl>
    <w:lvl w:ilvl="7" w:tplc="F2E4B3DE" w:tentative="1">
      <w:start w:val="1"/>
      <w:numFmt w:val="bullet"/>
      <w:lvlText w:val="o"/>
      <w:lvlJc w:val="left"/>
      <w:pPr>
        <w:ind w:left="6120" w:hanging="360"/>
      </w:pPr>
      <w:rPr>
        <w:rFonts w:ascii="Courier New" w:hAnsi="Courier New" w:cs="Courier New" w:hint="default"/>
      </w:rPr>
    </w:lvl>
    <w:lvl w:ilvl="8" w:tplc="CAFEF6C0" w:tentative="1">
      <w:start w:val="1"/>
      <w:numFmt w:val="bullet"/>
      <w:lvlText w:val=""/>
      <w:lvlJc w:val="left"/>
      <w:pPr>
        <w:ind w:left="6840" w:hanging="360"/>
      </w:pPr>
      <w:rPr>
        <w:rFonts w:ascii="Wingdings" w:hAnsi="Wingdings" w:hint="default"/>
      </w:rPr>
    </w:lvl>
  </w:abstractNum>
  <w:abstractNum w:abstractNumId="2" w15:restartNumberingAfterBreak="0">
    <w:nsid w:val="0C33286B"/>
    <w:multiLevelType w:val="hybridMultilevel"/>
    <w:tmpl w:val="9C5CF64E"/>
    <w:lvl w:ilvl="0" w:tplc="A61AB72A">
      <w:start w:val="1"/>
      <w:numFmt w:val="bullet"/>
      <w:lvlText w:val=""/>
      <w:lvlJc w:val="left"/>
      <w:pPr>
        <w:ind w:left="2166" w:hanging="360"/>
      </w:pPr>
      <w:rPr>
        <w:rFonts w:ascii="Symbol" w:hAnsi="Symbol" w:hint="default"/>
      </w:rPr>
    </w:lvl>
    <w:lvl w:ilvl="1" w:tplc="55E0C238" w:tentative="1">
      <w:start w:val="1"/>
      <w:numFmt w:val="bullet"/>
      <w:lvlText w:val="o"/>
      <w:lvlJc w:val="left"/>
      <w:pPr>
        <w:ind w:left="2886" w:hanging="360"/>
      </w:pPr>
      <w:rPr>
        <w:rFonts w:ascii="Courier New" w:hAnsi="Courier New" w:cs="Courier New" w:hint="default"/>
      </w:rPr>
    </w:lvl>
    <w:lvl w:ilvl="2" w:tplc="9732CA1A" w:tentative="1">
      <w:start w:val="1"/>
      <w:numFmt w:val="bullet"/>
      <w:lvlText w:val=""/>
      <w:lvlJc w:val="left"/>
      <w:pPr>
        <w:ind w:left="3606" w:hanging="360"/>
      </w:pPr>
      <w:rPr>
        <w:rFonts w:ascii="Wingdings" w:hAnsi="Wingdings" w:hint="default"/>
      </w:rPr>
    </w:lvl>
    <w:lvl w:ilvl="3" w:tplc="C3181ED8" w:tentative="1">
      <w:start w:val="1"/>
      <w:numFmt w:val="bullet"/>
      <w:lvlText w:val=""/>
      <w:lvlJc w:val="left"/>
      <w:pPr>
        <w:ind w:left="4326" w:hanging="360"/>
      </w:pPr>
      <w:rPr>
        <w:rFonts w:ascii="Symbol" w:hAnsi="Symbol" w:hint="default"/>
      </w:rPr>
    </w:lvl>
    <w:lvl w:ilvl="4" w:tplc="B0A88CE0" w:tentative="1">
      <w:start w:val="1"/>
      <w:numFmt w:val="bullet"/>
      <w:lvlText w:val="o"/>
      <w:lvlJc w:val="left"/>
      <w:pPr>
        <w:ind w:left="5046" w:hanging="360"/>
      </w:pPr>
      <w:rPr>
        <w:rFonts w:ascii="Courier New" w:hAnsi="Courier New" w:cs="Courier New" w:hint="default"/>
      </w:rPr>
    </w:lvl>
    <w:lvl w:ilvl="5" w:tplc="D34A507E" w:tentative="1">
      <w:start w:val="1"/>
      <w:numFmt w:val="bullet"/>
      <w:lvlText w:val=""/>
      <w:lvlJc w:val="left"/>
      <w:pPr>
        <w:ind w:left="5766" w:hanging="360"/>
      </w:pPr>
      <w:rPr>
        <w:rFonts w:ascii="Wingdings" w:hAnsi="Wingdings" w:hint="default"/>
      </w:rPr>
    </w:lvl>
    <w:lvl w:ilvl="6" w:tplc="53425DF4" w:tentative="1">
      <w:start w:val="1"/>
      <w:numFmt w:val="bullet"/>
      <w:lvlText w:val=""/>
      <w:lvlJc w:val="left"/>
      <w:pPr>
        <w:ind w:left="6486" w:hanging="360"/>
      </w:pPr>
      <w:rPr>
        <w:rFonts w:ascii="Symbol" w:hAnsi="Symbol" w:hint="default"/>
      </w:rPr>
    </w:lvl>
    <w:lvl w:ilvl="7" w:tplc="AD5EA52E" w:tentative="1">
      <w:start w:val="1"/>
      <w:numFmt w:val="bullet"/>
      <w:lvlText w:val="o"/>
      <w:lvlJc w:val="left"/>
      <w:pPr>
        <w:ind w:left="7206" w:hanging="360"/>
      </w:pPr>
      <w:rPr>
        <w:rFonts w:ascii="Courier New" w:hAnsi="Courier New" w:cs="Courier New" w:hint="default"/>
      </w:rPr>
    </w:lvl>
    <w:lvl w:ilvl="8" w:tplc="761ED03A" w:tentative="1">
      <w:start w:val="1"/>
      <w:numFmt w:val="bullet"/>
      <w:lvlText w:val=""/>
      <w:lvlJc w:val="left"/>
      <w:pPr>
        <w:ind w:left="7926" w:hanging="360"/>
      </w:pPr>
      <w:rPr>
        <w:rFonts w:ascii="Wingdings" w:hAnsi="Wingdings" w:hint="default"/>
      </w:rPr>
    </w:lvl>
  </w:abstractNum>
  <w:abstractNum w:abstractNumId="3" w15:restartNumberingAfterBreak="0">
    <w:nsid w:val="0E517D9D"/>
    <w:multiLevelType w:val="hybridMultilevel"/>
    <w:tmpl w:val="79D69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96C78"/>
    <w:multiLevelType w:val="hybridMultilevel"/>
    <w:tmpl w:val="31FC06C8"/>
    <w:lvl w:ilvl="0" w:tplc="6A14F5BC">
      <w:start w:val="1"/>
      <w:numFmt w:val="bullet"/>
      <w:lvlText w:val=""/>
      <w:lvlJc w:val="left"/>
      <w:pPr>
        <w:ind w:left="720" w:hanging="360"/>
      </w:pPr>
      <w:rPr>
        <w:rFonts w:ascii="Symbol" w:hAnsi="Symbol" w:hint="default"/>
      </w:rPr>
    </w:lvl>
    <w:lvl w:ilvl="1" w:tplc="B52E343A" w:tentative="1">
      <w:start w:val="1"/>
      <w:numFmt w:val="bullet"/>
      <w:lvlText w:val="o"/>
      <w:lvlJc w:val="left"/>
      <w:pPr>
        <w:ind w:left="1440" w:hanging="360"/>
      </w:pPr>
      <w:rPr>
        <w:rFonts w:ascii="Courier New" w:hAnsi="Courier New" w:cs="Courier New" w:hint="default"/>
      </w:rPr>
    </w:lvl>
    <w:lvl w:ilvl="2" w:tplc="F3DE16C8" w:tentative="1">
      <w:start w:val="1"/>
      <w:numFmt w:val="bullet"/>
      <w:lvlText w:val=""/>
      <w:lvlJc w:val="left"/>
      <w:pPr>
        <w:ind w:left="2160" w:hanging="360"/>
      </w:pPr>
      <w:rPr>
        <w:rFonts w:ascii="Wingdings" w:hAnsi="Wingdings" w:hint="default"/>
      </w:rPr>
    </w:lvl>
    <w:lvl w:ilvl="3" w:tplc="359C1F32" w:tentative="1">
      <w:start w:val="1"/>
      <w:numFmt w:val="bullet"/>
      <w:lvlText w:val=""/>
      <w:lvlJc w:val="left"/>
      <w:pPr>
        <w:ind w:left="2880" w:hanging="360"/>
      </w:pPr>
      <w:rPr>
        <w:rFonts w:ascii="Symbol" w:hAnsi="Symbol" w:hint="default"/>
      </w:rPr>
    </w:lvl>
    <w:lvl w:ilvl="4" w:tplc="06E0228C" w:tentative="1">
      <w:start w:val="1"/>
      <w:numFmt w:val="bullet"/>
      <w:lvlText w:val="o"/>
      <w:lvlJc w:val="left"/>
      <w:pPr>
        <w:ind w:left="3600" w:hanging="360"/>
      </w:pPr>
      <w:rPr>
        <w:rFonts w:ascii="Courier New" w:hAnsi="Courier New" w:cs="Courier New" w:hint="default"/>
      </w:rPr>
    </w:lvl>
    <w:lvl w:ilvl="5" w:tplc="B5F061AC" w:tentative="1">
      <w:start w:val="1"/>
      <w:numFmt w:val="bullet"/>
      <w:lvlText w:val=""/>
      <w:lvlJc w:val="left"/>
      <w:pPr>
        <w:ind w:left="4320" w:hanging="360"/>
      </w:pPr>
      <w:rPr>
        <w:rFonts w:ascii="Wingdings" w:hAnsi="Wingdings" w:hint="default"/>
      </w:rPr>
    </w:lvl>
    <w:lvl w:ilvl="6" w:tplc="651448EA" w:tentative="1">
      <w:start w:val="1"/>
      <w:numFmt w:val="bullet"/>
      <w:lvlText w:val=""/>
      <w:lvlJc w:val="left"/>
      <w:pPr>
        <w:ind w:left="5040" w:hanging="360"/>
      </w:pPr>
      <w:rPr>
        <w:rFonts w:ascii="Symbol" w:hAnsi="Symbol" w:hint="default"/>
      </w:rPr>
    </w:lvl>
    <w:lvl w:ilvl="7" w:tplc="AAF29710" w:tentative="1">
      <w:start w:val="1"/>
      <w:numFmt w:val="bullet"/>
      <w:lvlText w:val="o"/>
      <w:lvlJc w:val="left"/>
      <w:pPr>
        <w:ind w:left="5760" w:hanging="360"/>
      </w:pPr>
      <w:rPr>
        <w:rFonts w:ascii="Courier New" w:hAnsi="Courier New" w:cs="Courier New" w:hint="default"/>
      </w:rPr>
    </w:lvl>
    <w:lvl w:ilvl="8" w:tplc="BD38C28C" w:tentative="1">
      <w:start w:val="1"/>
      <w:numFmt w:val="bullet"/>
      <w:lvlText w:val=""/>
      <w:lvlJc w:val="left"/>
      <w:pPr>
        <w:ind w:left="6480" w:hanging="360"/>
      </w:pPr>
      <w:rPr>
        <w:rFonts w:ascii="Wingdings" w:hAnsi="Wingdings" w:hint="default"/>
      </w:rPr>
    </w:lvl>
  </w:abstractNum>
  <w:abstractNum w:abstractNumId="5" w15:restartNumberingAfterBreak="0">
    <w:nsid w:val="11EA7F44"/>
    <w:multiLevelType w:val="multilevel"/>
    <w:tmpl w:val="86560F86"/>
    <w:lvl w:ilvl="0">
      <w:start w:val="1"/>
      <w:numFmt w:val="decimal"/>
      <w:pStyle w:val="GA-STF-DR"/>
      <w:lvlText w:val="STF-19-%1"/>
      <w:lvlJc w:val="left"/>
      <w:pPr>
        <w:tabs>
          <w:tab w:val="num" w:pos="1944"/>
        </w:tabs>
        <w:ind w:left="2160" w:hanging="2160"/>
      </w:pPr>
      <w:rPr>
        <w:rFonts w:hint="default"/>
        <w:b/>
      </w:rPr>
    </w:lvl>
    <w:lvl w:ilvl="1">
      <w:start w:val="1"/>
      <w:numFmt w:val="lowerLetter"/>
      <w:pStyle w:val="Ga-DR-a"/>
      <w:lvlText w:val="%2."/>
      <w:lvlJc w:val="left"/>
      <w:pPr>
        <w:tabs>
          <w:tab w:val="num" w:pos="2160"/>
        </w:tabs>
        <w:ind w:left="2880" w:hanging="720"/>
      </w:pPr>
      <w:rPr>
        <w:rFonts w:hint="default"/>
      </w:rPr>
    </w:lvl>
    <w:lvl w:ilvl="2">
      <w:start w:val="1"/>
      <w:numFmt w:val="decimal"/>
      <w:lvlText w:val="%3."/>
      <w:lvlJc w:val="left"/>
      <w:pPr>
        <w:tabs>
          <w:tab w:val="num" w:pos="2880"/>
        </w:tabs>
        <w:ind w:left="3600" w:hanging="720"/>
      </w:pPr>
      <w:rPr>
        <w:rFonts w:hint="default"/>
      </w:rPr>
    </w:lvl>
    <w:lvl w:ilvl="3">
      <w:start w:val="1"/>
      <w:numFmt w:val="lowerRoman"/>
      <w:lvlText w:val="%4."/>
      <w:lvlJc w:val="left"/>
      <w:pPr>
        <w:tabs>
          <w:tab w:val="num" w:pos="3600"/>
        </w:tabs>
        <w:ind w:left="4320" w:hanging="720"/>
      </w:pPr>
      <w:rPr>
        <w:rFonts w:hint="default"/>
      </w:rPr>
    </w:lvl>
    <w:lvl w:ilvl="4">
      <w:start w:val="1"/>
      <w:numFmt w:val="lowerLetter"/>
      <w:lvlText w:val="%5."/>
      <w:lvlJc w:val="left"/>
      <w:pPr>
        <w:tabs>
          <w:tab w:val="num" w:pos="3600"/>
        </w:tabs>
        <w:ind w:left="4032"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2092794"/>
    <w:multiLevelType w:val="hybridMultilevel"/>
    <w:tmpl w:val="34D42536"/>
    <w:lvl w:ilvl="0" w:tplc="CD98D5DE">
      <w:start w:val="1"/>
      <w:numFmt w:val="bullet"/>
      <w:lvlText w:val=""/>
      <w:lvlJc w:val="left"/>
      <w:pPr>
        <w:ind w:left="2166" w:hanging="360"/>
      </w:pPr>
      <w:rPr>
        <w:rFonts w:ascii="Symbol" w:hAnsi="Symbol" w:hint="default"/>
      </w:rPr>
    </w:lvl>
    <w:lvl w:ilvl="1" w:tplc="5344EDD0" w:tentative="1">
      <w:start w:val="1"/>
      <w:numFmt w:val="bullet"/>
      <w:lvlText w:val="o"/>
      <w:lvlJc w:val="left"/>
      <w:pPr>
        <w:ind w:left="2886" w:hanging="360"/>
      </w:pPr>
      <w:rPr>
        <w:rFonts w:ascii="Courier New" w:hAnsi="Courier New" w:cs="Courier New" w:hint="default"/>
      </w:rPr>
    </w:lvl>
    <w:lvl w:ilvl="2" w:tplc="CB5874F6" w:tentative="1">
      <w:start w:val="1"/>
      <w:numFmt w:val="bullet"/>
      <w:lvlText w:val=""/>
      <w:lvlJc w:val="left"/>
      <w:pPr>
        <w:ind w:left="3606" w:hanging="360"/>
      </w:pPr>
      <w:rPr>
        <w:rFonts w:ascii="Wingdings" w:hAnsi="Wingdings" w:hint="default"/>
      </w:rPr>
    </w:lvl>
    <w:lvl w:ilvl="3" w:tplc="8AE62C52" w:tentative="1">
      <w:start w:val="1"/>
      <w:numFmt w:val="bullet"/>
      <w:lvlText w:val=""/>
      <w:lvlJc w:val="left"/>
      <w:pPr>
        <w:ind w:left="4326" w:hanging="360"/>
      </w:pPr>
      <w:rPr>
        <w:rFonts w:ascii="Symbol" w:hAnsi="Symbol" w:hint="default"/>
      </w:rPr>
    </w:lvl>
    <w:lvl w:ilvl="4" w:tplc="B55E8358" w:tentative="1">
      <w:start w:val="1"/>
      <w:numFmt w:val="bullet"/>
      <w:lvlText w:val="o"/>
      <w:lvlJc w:val="left"/>
      <w:pPr>
        <w:ind w:left="5046" w:hanging="360"/>
      </w:pPr>
      <w:rPr>
        <w:rFonts w:ascii="Courier New" w:hAnsi="Courier New" w:cs="Courier New" w:hint="default"/>
      </w:rPr>
    </w:lvl>
    <w:lvl w:ilvl="5" w:tplc="31862DDA" w:tentative="1">
      <w:start w:val="1"/>
      <w:numFmt w:val="bullet"/>
      <w:lvlText w:val=""/>
      <w:lvlJc w:val="left"/>
      <w:pPr>
        <w:ind w:left="5766" w:hanging="360"/>
      </w:pPr>
      <w:rPr>
        <w:rFonts w:ascii="Wingdings" w:hAnsi="Wingdings" w:hint="default"/>
      </w:rPr>
    </w:lvl>
    <w:lvl w:ilvl="6" w:tplc="59A8EF68" w:tentative="1">
      <w:start w:val="1"/>
      <w:numFmt w:val="bullet"/>
      <w:lvlText w:val=""/>
      <w:lvlJc w:val="left"/>
      <w:pPr>
        <w:ind w:left="6486" w:hanging="360"/>
      </w:pPr>
      <w:rPr>
        <w:rFonts w:ascii="Symbol" w:hAnsi="Symbol" w:hint="default"/>
      </w:rPr>
    </w:lvl>
    <w:lvl w:ilvl="7" w:tplc="1990273C" w:tentative="1">
      <w:start w:val="1"/>
      <w:numFmt w:val="bullet"/>
      <w:lvlText w:val="o"/>
      <w:lvlJc w:val="left"/>
      <w:pPr>
        <w:ind w:left="7206" w:hanging="360"/>
      </w:pPr>
      <w:rPr>
        <w:rFonts w:ascii="Courier New" w:hAnsi="Courier New" w:cs="Courier New" w:hint="default"/>
      </w:rPr>
    </w:lvl>
    <w:lvl w:ilvl="8" w:tplc="9DAC5BF2" w:tentative="1">
      <w:start w:val="1"/>
      <w:numFmt w:val="bullet"/>
      <w:lvlText w:val=""/>
      <w:lvlJc w:val="left"/>
      <w:pPr>
        <w:ind w:left="7926" w:hanging="360"/>
      </w:pPr>
      <w:rPr>
        <w:rFonts w:ascii="Wingdings" w:hAnsi="Wingdings" w:hint="default"/>
      </w:rPr>
    </w:lvl>
  </w:abstractNum>
  <w:abstractNum w:abstractNumId="7" w15:restartNumberingAfterBreak="0">
    <w:nsid w:val="17607376"/>
    <w:multiLevelType w:val="hybridMultilevel"/>
    <w:tmpl w:val="68E48ED2"/>
    <w:lvl w:ilvl="0" w:tplc="6E7E6644">
      <w:start w:val="1"/>
      <w:numFmt w:val="bullet"/>
      <w:lvlText w:val=""/>
      <w:lvlJc w:val="left"/>
      <w:pPr>
        <w:ind w:left="2166" w:hanging="360"/>
      </w:pPr>
      <w:rPr>
        <w:rFonts w:ascii="Symbol" w:hAnsi="Symbol" w:hint="default"/>
      </w:rPr>
    </w:lvl>
    <w:lvl w:ilvl="1" w:tplc="95AEC74E" w:tentative="1">
      <w:start w:val="1"/>
      <w:numFmt w:val="bullet"/>
      <w:lvlText w:val="o"/>
      <w:lvlJc w:val="left"/>
      <w:pPr>
        <w:ind w:left="2886" w:hanging="360"/>
      </w:pPr>
      <w:rPr>
        <w:rFonts w:ascii="Courier New" w:hAnsi="Courier New" w:cs="Courier New" w:hint="default"/>
      </w:rPr>
    </w:lvl>
    <w:lvl w:ilvl="2" w:tplc="9D6CA112" w:tentative="1">
      <w:start w:val="1"/>
      <w:numFmt w:val="bullet"/>
      <w:lvlText w:val=""/>
      <w:lvlJc w:val="left"/>
      <w:pPr>
        <w:ind w:left="3606" w:hanging="360"/>
      </w:pPr>
      <w:rPr>
        <w:rFonts w:ascii="Wingdings" w:hAnsi="Wingdings" w:hint="default"/>
      </w:rPr>
    </w:lvl>
    <w:lvl w:ilvl="3" w:tplc="D036456E" w:tentative="1">
      <w:start w:val="1"/>
      <w:numFmt w:val="bullet"/>
      <w:lvlText w:val=""/>
      <w:lvlJc w:val="left"/>
      <w:pPr>
        <w:ind w:left="4326" w:hanging="360"/>
      </w:pPr>
      <w:rPr>
        <w:rFonts w:ascii="Symbol" w:hAnsi="Symbol" w:hint="default"/>
      </w:rPr>
    </w:lvl>
    <w:lvl w:ilvl="4" w:tplc="DE1EA14C" w:tentative="1">
      <w:start w:val="1"/>
      <w:numFmt w:val="bullet"/>
      <w:lvlText w:val="o"/>
      <w:lvlJc w:val="left"/>
      <w:pPr>
        <w:ind w:left="5046" w:hanging="360"/>
      </w:pPr>
      <w:rPr>
        <w:rFonts w:ascii="Courier New" w:hAnsi="Courier New" w:cs="Courier New" w:hint="default"/>
      </w:rPr>
    </w:lvl>
    <w:lvl w:ilvl="5" w:tplc="6616BBF2" w:tentative="1">
      <w:start w:val="1"/>
      <w:numFmt w:val="bullet"/>
      <w:lvlText w:val=""/>
      <w:lvlJc w:val="left"/>
      <w:pPr>
        <w:ind w:left="5766" w:hanging="360"/>
      </w:pPr>
      <w:rPr>
        <w:rFonts w:ascii="Wingdings" w:hAnsi="Wingdings" w:hint="default"/>
      </w:rPr>
    </w:lvl>
    <w:lvl w:ilvl="6" w:tplc="C9FAEEE6" w:tentative="1">
      <w:start w:val="1"/>
      <w:numFmt w:val="bullet"/>
      <w:lvlText w:val=""/>
      <w:lvlJc w:val="left"/>
      <w:pPr>
        <w:ind w:left="6486" w:hanging="360"/>
      </w:pPr>
      <w:rPr>
        <w:rFonts w:ascii="Symbol" w:hAnsi="Symbol" w:hint="default"/>
      </w:rPr>
    </w:lvl>
    <w:lvl w:ilvl="7" w:tplc="90127E1C" w:tentative="1">
      <w:start w:val="1"/>
      <w:numFmt w:val="bullet"/>
      <w:lvlText w:val="o"/>
      <w:lvlJc w:val="left"/>
      <w:pPr>
        <w:ind w:left="7206" w:hanging="360"/>
      </w:pPr>
      <w:rPr>
        <w:rFonts w:ascii="Courier New" w:hAnsi="Courier New" w:cs="Courier New" w:hint="default"/>
      </w:rPr>
    </w:lvl>
    <w:lvl w:ilvl="8" w:tplc="612AF192" w:tentative="1">
      <w:start w:val="1"/>
      <w:numFmt w:val="bullet"/>
      <w:lvlText w:val=""/>
      <w:lvlJc w:val="left"/>
      <w:pPr>
        <w:ind w:left="7926" w:hanging="360"/>
      </w:pPr>
      <w:rPr>
        <w:rFonts w:ascii="Wingdings" w:hAnsi="Wingdings" w:hint="default"/>
      </w:rPr>
    </w:lvl>
  </w:abstractNum>
  <w:abstractNum w:abstractNumId="8" w15:restartNumberingAfterBreak="0">
    <w:nsid w:val="17CE6863"/>
    <w:multiLevelType w:val="hybridMultilevel"/>
    <w:tmpl w:val="EDA44588"/>
    <w:lvl w:ilvl="0" w:tplc="B6F0CEA0">
      <w:start w:val="1"/>
      <w:numFmt w:val="bullet"/>
      <w:lvlText w:val=""/>
      <w:lvlJc w:val="left"/>
      <w:pPr>
        <w:ind w:left="630" w:hanging="360"/>
      </w:pPr>
      <w:rPr>
        <w:rFonts w:ascii="Symbol" w:hAnsi="Symbol" w:hint="default"/>
      </w:rPr>
    </w:lvl>
    <w:lvl w:ilvl="1" w:tplc="4F864B02" w:tentative="1">
      <w:start w:val="1"/>
      <w:numFmt w:val="bullet"/>
      <w:lvlText w:val="o"/>
      <w:lvlJc w:val="left"/>
      <w:pPr>
        <w:ind w:left="1350" w:hanging="360"/>
      </w:pPr>
      <w:rPr>
        <w:rFonts w:ascii="Courier New" w:hAnsi="Courier New" w:cs="Courier New" w:hint="default"/>
      </w:rPr>
    </w:lvl>
    <w:lvl w:ilvl="2" w:tplc="0BAAFAA8" w:tentative="1">
      <w:start w:val="1"/>
      <w:numFmt w:val="bullet"/>
      <w:lvlText w:val=""/>
      <w:lvlJc w:val="left"/>
      <w:pPr>
        <w:ind w:left="2070" w:hanging="360"/>
      </w:pPr>
      <w:rPr>
        <w:rFonts w:ascii="Wingdings" w:hAnsi="Wingdings" w:hint="default"/>
      </w:rPr>
    </w:lvl>
    <w:lvl w:ilvl="3" w:tplc="B3C8A1B6" w:tentative="1">
      <w:start w:val="1"/>
      <w:numFmt w:val="bullet"/>
      <w:lvlText w:val=""/>
      <w:lvlJc w:val="left"/>
      <w:pPr>
        <w:ind w:left="2790" w:hanging="360"/>
      </w:pPr>
      <w:rPr>
        <w:rFonts w:ascii="Symbol" w:hAnsi="Symbol" w:hint="default"/>
      </w:rPr>
    </w:lvl>
    <w:lvl w:ilvl="4" w:tplc="420A099A" w:tentative="1">
      <w:start w:val="1"/>
      <w:numFmt w:val="bullet"/>
      <w:lvlText w:val="o"/>
      <w:lvlJc w:val="left"/>
      <w:pPr>
        <w:ind w:left="3510" w:hanging="360"/>
      </w:pPr>
      <w:rPr>
        <w:rFonts w:ascii="Courier New" w:hAnsi="Courier New" w:cs="Courier New" w:hint="default"/>
      </w:rPr>
    </w:lvl>
    <w:lvl w:ilvl="5" w:tplc="9F749DF4" w:tentative="1">
      <w:start w:val="1"/>
      <w:numFmt w:val="bullet"/>
      <w:lvlText w:val=""/>
      <w:lvlJc w:val="left"/>
      <w:pPr>
        <w:ind w:left="4230" w:hanging="360"/>
      </w:pPr>
      <w:rPr>
        <w:rFonts w:ascii="Wingdings" w:hAnsi="Wingdings" w:hint="default"/>
      </w:rPr>
    </w:lvl>
    <w:lvl w:ilvl="6" w:tplc="148ED7FE" w:tentative="1">
      <w:start w:val="1"/>
      <w:numFmt w:val="bullet"/>
      <w:lvlText w:val=""/>
      <w:lvlJc w:val="left"/>
      <w:pPr>
        <w:ind w:left="4950" w:hanging="360"/>
      </w:pPr>
      <w:rPr>
        <w:rFonts w:ascii="Symbol" w:hAnsi="Symbol" w:hint="default"/>
      </w:rPr>
    </w:lvl>
    <w:lvl w:ilvl="7" w:tplc="E16ED024" w:tentative="1">
      <w:start w:val="1"/>
      <w:numFmt w:val="bullet"/>
      <w:lvlText w:val="o"/>
      <w:lvlJc w:val="left"/>
      <w:pPr>
        <w:ind w:left="5670" w:hanging="360"/>
      </w:pPr>
      <w:rPr>
        <w:rFonts w:ascii="Courier New" w:hAnsi="Courier New" w:cs="Courier New" w:hint="default"/>
      </w:rPr>
    </w:lvl>
    <w:lvl w:ilvl="8" w:tplc="9F62E4A2" w:tentative="1">
      <w:start w:val="1"/>
      <w:numFmt w:val="bullet"/>
      <w:lvlText w:val=""/>
      <w:lvlJc w:val="left"/>
      <w:pPr>
        <w:ind w:left="6390" w:hanging="360"/>
      </w:pPr>
      <w:rPr>
        <w:rFonts w:ascii="Wingdings" w:hAnsi="Wingdings" w:hint="default"/>
      </w:rPr>
    </w:lvl>
  </w:abstractNum>
  <w:abstractNum w:abstractNumId="9" w15:restartNumberingAfterBreak="0">
    <w:nsid w:val="1A9C16D5"/>
    <w:multiLevelType w:val="hybridMultilevel"/>
    <w:tmpl w:val="AD54F248"/>
    <w:lvl w:ilvl="0" w:tplc="AE72C6F8">
      <w:start w:val="1"/>
      <w:numFmt w:val="decimal"/>
      <w:lvlText w:val="%1."/>
      <w:lvlJc w:val="left"/>
      <w:pPr>
        <w:ind w:left="945" w:hanging="585"/>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463D2"/>
    <w:multiLevelType w:val="hybridMultilevel"/>
    <w:tmpl w:val="7232556E"/>
    <w:lvl w:ilvl="0" w:tplc="AE72C6F8">
      <w:start w:val="1"/>
      <w:numFmt w:val="decimal"/>
      <w:lvlText w:val="%1."/>
      <w:lvlJc w:val="left"/>
      <w:pPr>
        <w:ind w:left="945" w:hanging="585"/>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97BA2"/>
    <w:multiLevelType w:val="hybridMultilevel"/>
    <w:tmpl w:val="BFEEAD8C"/>
    <w:lvl w:ilvl="0" w:tplc="AE72C6F8">
      <w:start w:val="1"/>
      <w:numFmt w:val="decimal"/>
      <w:lvlText w:val="%1."/>
      <w:lvlJc w:val="left"/>
      <w:pPr>
        <w:ind w:left="945" w:hanging="585"/>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D41C5"/>
    <w:multiLevelType w:val="hybridMultilevel"/>
    <w:tmpl w:val="F43406EE"/>
    <w:lvl w:ilvl="0" w:tplc="E7A2EF7A">
      <w:start w:val="1"/>
      <w:numFmt w:val="bullet"/>
      <w:lvlText w:val="o"/>
      <w:lvlJc w:val="left"/>
      <w:pPr>
        <w:ind w:left="1446" w:hanging="360"/>
      </w:pPr>
      <w:rPr>
        <w:rFonts w:ascii="Courier New" w:hAnsi="Courier New" w:cs="Courier New" w:hint="default"/>
      </w:rPr>
    </w:lvl>
    <w:lvl w:ilvl="1" w:tplc="A15E3A52" w:tentative="1">
      <w:start w:val="1"/>
      <w:numFmt w:val="bullet"/>
      <w:lvlText w:val="o"/>
      <w:lvlJc w:val="left"/>
      <w:pPr>
        <w:ind w:left="2166" w:hanging="360"/>
      </w:pPr>
      <w:rPr>
        <w:rFonts w:ascii="Courier New" w:hAnsi="Courier New" w:cs="Courier New" w:hint="default"/>
      </w:rPr>
    </w:lvl>
    <w:lvl w:ilvl="2" w:tplc="DB7EFD52" w:tentative="1">
      <w:start w:val="1"/>
      <w:numFmt w:val="bullet"/>
      <w:lvlText w:val=""/>
      <w:lvlJc w:val="left"/>
      <w:pPr>
        <w:ind w:left="2886" w:hanging="360"/>
      </w:pPr>
      <w:rPr>
        <w:rFonts w:ascii="Wingdings" w:hAnsi="Wingdings" w:hint="default"/>
      </w:rPr>
    </w:lvl>
    <w:lvl w:ilvl="3" w:tplc="C4466796" w:tentative="1">
      <w:start w:val="1"/>
      <w:numFmt w:val="bullet"/>
      <w:lvlText w:val=""/>
      <w:lvlJc w:val="left"/>
      <w:pPr>
        <w:ind w:left="3606" w:hanging="360"/>
      </w:pPr>
      <w:rPr>
        <w:rFonts w:ascii="Symbol" w:hAnsi="Symbol" w:hint="default"/>
      </w:rPr>
    </w:lvl>
    <w:lvl w:ilvl="4" w:tplc="431E66DE" w:tentative="1">
      <w:start w:val="1"/>
      <w:numFmt w:val="bullet"/>
      <w:lvlText w:val="o"/>
      <w:lvlJc w:val="left"/>
      <w:pPr>
        <w:ind w:left="4326" w:hanging="360"/>
      </w:pPr>
      <w:rPr>
        <w:rFonts w:ascii="Courier New" w:hAnsi="Courier New" w:cs="Courier New" w:hint="default"/>
      </w:rPr>
    </w:lvl>
    <w:lvl w:ilvl="5" w:tplc="B956BEFA" w:tentative="1">
      <w:start w:val="1"/>
      <w:numFmt w:val="bullet"/>
      <w:lvlText w:val=""/>
      <w:lvlJc w:val="left"/>
      <w:pPr>
        <w:ind w:left="5046" w:hanging="360"/>
      </w:pPr>
      <w:rPr>
        <w:rFonts w:ascii="Wingdings" w:hAnsi="Wingdings" w:hint="default"/>
      </w:rPr>
    </w:lvl>
    <w:lvl w:ilvl="6" w:tplc="3858F2C4" w:tentative="1">
      <w:start w:val="1"/>
      <w:numFmt w:val="bullet"/>
      <w:lvlText w:val=""/>
      <w:lvlJc w:val="left"/>
      <w:pPr>
        <w:ind w:left="5766" w:hanging="360"/>
      </w:pPr>
      <w:rPr>
        <w:rFonts w:ascii="Symbol" w:hAnsi="Symbol" w:hint="default"/>
      </w:rPr>
    </w:lvl>
    <w:lvl w:ilvl="7" w:tplc="DF88EFA2" w:tentative="1">
      <w:start w:val="1"/>
      <w:numFmt w:val="bullet"/>
      <w:lvlText w:val="o"/>
      <w:lvlJc w:val="left"/>
      <w:pPr>
        <w:ind w:left="6486" w:hanging="360"/>
      </w:pPr>
      <w:rPr>
        <w:rFonts w:ascii="Courier New" w:hAnsi="Courier New" w:cs="Courier New" w:hint="default"/>
      </w:rPr>
    </w:lvl>
    <w:lvl w:ilvl="8" w:tplc="D55E06C6" w:tentative="1">
      <w:start w:val="1"/>
      <w:numFmt w:val="bullet"/>
      <w:lvlText w:val=""/>
      <w:lvlJc w:val="left"/>
      <w:pPr>
        <w:ind w:left="7206" w:hanging="360"/>
      </w:pPr>
      <w:rPr>
        <w:rFonts w:ascii="Wingdings" w:hAnsi="Wingdings" w:hint="default"/>
      </w:rPr>
    </w:lvl>
  </w:abstractNum>
  <w:abstractNum w:abstractNumId="13" w15:restartNumberingAfterBreak="0">
    <w:nsid w:val="2DD035DF"/>
    <w:multiLevelType w:val="hybridMultilevel"/>
    <w:tmpl w:val="F4B2ED1C"/>
    <w:lvl w:ilvl="0" w:tplc="42867FA2">
      <w:start w:val="1"/>
      <w:numFmt w:val="bullet"/>
      <w:lvlText w:val=""/>
      <w:lvlJc w:val="left"/>
      <w:pPr>
        <w:ind w:left="2160" w:hanging="360"/>
      </w:pPr>
      <w:rPr>
        <w:rFonts w:ascii="Symbol" w:hAnsi="Symbol" w:hint="default"/>
      </w:rPr>
    </w:lvl>
    <w:lvl w:ilvl="1" w:tplc="EC089670" w:tentative="1">
      <w:start w:val="1"/>
      <w:numFmt w:val="bullet"/>
      <w:lvlText w:val="o"/>
      <w:lvlJc w:val="left"/>
      <w:pPr>
        <w:ind w:left="2880" w:hanging="360"/>
      </w:pPr>
      <w:rPr>
        <w:rFonts w:ascii="Courier New" w:hAnsi="Courier New" w:cs="Courier New" w:hint="default"/>
      </w:rPr>
    </w:lvl>
    <w:lvl w:ilvl="2" w:tplc="EB8AC17C" w:tentative="1">
      <w:start w:val="1"/>
      <w:numFmt w:val="bullet"/>
      <w:lvlText w:val=""/>
      <w:lvlJc w:val="left"/>
      <w:pPr>
        <w:ind w:left="3600" w:hanging="360"/>
      </w:pPr>
      <w:rPr>
        <w:rFonts w:ascii="Wingdings" w:hAnsi="Wingdings" w:hint="default"/>
      </w:rPr>
    </w:lvl>
    <w:lvl w:ilvl="3" w:tplc="26888BE0" w:tentative="1">
      <w:start w:val="1"/>
      <w:numFmt w:val="bullet"/>
      <w:lvlText w:val=""/>
      <w:lvlJc w:val="left"/>
      <w:pPr>
        <w:ind w:left="4320" w:hanging="360"/>
      </w:pPr>
      <w:rPr>
        <w:rFonts w:ascii="Symbol" w:hAnsi="Symbol" w:hint="default"/>
      </w:rPr>
    </w:lvl>
    <w:lvl w:ilvl="4" w:tplc="A0C6691A" w:tentative="1">
      <w:start w:val="1"/>
      <w:numFmt w:val="bullet"/>
      <w:lvlText w:val="o"/>
      <w:lvlJc w:val="left"/>
      <w:pPr>
        <w:ind w:left="5040" w:hanging="360"/>
      </w:pPr>
      <w:rPr>
        <w:rFonts w:ascii="Courier New" w:hAnsi="Courier New" w:cs="Courier New" w:hint="default"/>
      </w:rPr>
    </w:lvl>
    <w:lvl w:ilvl="5" w:tplc="662ABC44" w:tentative="1">
      <w:start w:val="1"/>
      <w:numFmt w:val="bullet"/>
      <w:lvlText w:val=""/>
      <w:lvlJc w:val="left"/>
      <w:pPr>
        <w:ind w:left="5760" w:hanging="360"/>
      </w:pPr>
      <w:rPr>
        <w:rFonts w:ascii="Wingdings" w:hAnsi="Wingdings" w:hint="default"/>
      </w:rPr>
    </w:lvl>
    <w:lvl w:ilvl="6" w:tplc="FA8A3136" w:tentative="1">
      <w:start w:val="1"/>
      <w:numFmt w:val="bullet"/>
      <w:lvlText w:val=""/>
      <w:lvlJc w:val="left"/>
      <w:pPr>
        <w:ind w:left="6480" w:hanging="360"/>
      </w:pPr>
      <w:rPr>
        <w:rFonts w:ascii="Symbol" w:hAnsi="Symbol" w:hint="default"/>
      </w:rPr>
    </w:lvl>
    <w:lvl w:ilvl="7" w:tplc="41A4C444" w:tentative="1">
      <w:start w:val="1"/>
      <w:numFmt w:val="bullet"/>
      <w:lvlText w:val="o"/>
      <w:lvlJc w:val="left"/>
      <w:pPr>
        <w:ind w:left="7200" w:hanging="360"/>
      </w:pPr>
      <w:rPr>
        <w:rFonts w:ascii="Courier New" w:hAnsi="Courier New" w:cs="Courier New" w:hint="default"/>
      </w:rPr>
    </w:lvl>
    <w:lvl w:ilvl="8" w:tplc="EF1A4648" w:tentative="1">
      <w:start w:val="1"/>
      <w:numFmt w:val="bullet"/>
      <w:lvlText w:val=""/>
      <w:lvlJc w:val="left"/>
      <w:pPr>
        <w:ind w:left="7920" w:hanging="360"/>
      </w:pPr>
      <w:rPr>
        <w:rFonts w:ascii="Wingdings" w:hAnsi="Wingdings" w:hint="default"/>
      </w:rPr>
    </w:lvl>
  </w:abstractNum>
  <w:abstractNum w:abstractNumId="14" w15:restartNumberingAfterBreak="0">
    <w:nsid w:val="2ED901A3"/>
    <w:multiLevelType w:val="hybridMultilevel"/>
    <w:tmpl w:val="1270B87A"/>
    <w:lvl w:ilvl="0" w:tplc="06A09450">
      <w:start w:val="1"/>
      <w:numFmt w:val="bullet"/>
      <w:lvlText w:val="o"/>
      <w:lvlJc w:val="left"/>
      <w:pPr>
        <w:ind w:left="1446" w:hanging="360"/>
      </w:pPr>
      <w:rPr>
        <w:rFonts w:ascii="Courier New" w:hAnsi="Courier New" w:cs="Courier New" w:hint="default"/>
      </w:rPr>
    </w:lvl>
    <w:lvl w:ilvl="1" w:tplc="5C06BA66" w:tentative="1">
      <w:start w:val="1"/>
      <w:numFmt w:val="bullet"/>
      <w:lvlText w:val="o"/>
      <w:lvlJc w:val="left"/>
      <w:pPr>
        <w:ind w:left="2166" w:hanging="360"/>
      </w:pPr>
      <w:rPr>
        <w:rFonts w:ascii="Courier New" w:hAnsi="Courier New" w:cs="Courier New" w:hint="default"/>
      </w:rPr>
    </w:lvl>
    <w:lvl w:ilvl="2" w:tplc="825EB0E8" w:tentative="1">
      <w:start w:val="1"/>
      <w:numFmt w:val="bullet"/>
      <w:lvlText w:val=""/>
      <w:lvlJc w:val="left"/>
      <w:pPr>
        <w:ind w:left="2886" w:hanging="360"/>
      </w:pPr>
      <w:rPr>
        <w:rFonts w:ascii="Wingdings" w:hAnsi="Wingdings" w:hint="default"/>
      </w:rPr>
    </w:lvl>
    <w:lvl w:ilvl="3" w:tplc="676E85CE" w:tentative="1">
      <w:start w:val="1"/>
      <w:numFmt w:val="bullet"/>
      <w:lvlText w:val=""/>
      <w:lvlJc w:val="left"/>
      <w:pPr>
        <w:ind w:left="3606" w:hanging="360"/>
      </w:pPr>
      <w:rPr>
        <w:rFonts w:ascii="Symbol" w:hAnsi="Symbol" w:hint="default"/>
      </w:rPr>
    </w:lvl>
    <w:lvl w:ilvl="4" w:tplc="BA5C0802" w:tentative="1">
      <w:start w:val="1"/>
      <w:numFmt w:val="bullet"/>
      <w:lvlText w:val="o"/>
      <w:lvlJc w:val="left"/>
      <w:pPr>
        <w:ind w:left="4326" w:hanging="360"/>
      </w:pPr>
      <w:rPr>
        <w:rFonts w:ascii="Courier New" w:hAnsi="Courier New" w:cs="Courier New" w:hint="default"/>
      </w:rPr>
    </w:lvl>
    <w:lvl w:ilvl="5" w:tplc="A1D60C38" w:tentative="1">
      <w:start w:val="1"/>
      <w:numFmt w:val="bullet"/>
      <w:lvlText w:val=""/>
      <w:lvlJc w:val="left"/>
      <w:pPr>
        <w:ind w:left="5046" w:hanging="360"/>
      </w:pPr>
      <w:rPr>
        <w:rFonts w:ascii="Wingdings" w:hAnsi="Wingdings" w:hint="default"/>
      </w:rPr>
    </w:lvl>
    <w:lvl w:ilvl="6" w:tplc="3B6C2A1A" w:tentative="1">
      <w:start w:val="1"/>
      <w:numFmt w:val="bullet"/>
      <w:lvlText w:val=""/>
      <w:lvlJc w:val="left"/>
      <w:pPr>
        <w:ind w:left="5766" w:hanging="360"/>
      </w:pPr>
      <w:rPr>
        <w:rFonts w:ascii="Symbol" w:hAnsi="Symbol" w:hint="default"/>
      </w:rPr>
    </w:lvl>
    <w:lvl w:ilvl="7" w:tplc="7068B280" w:tentative="1">
      <w:start w:val="1"/>
      <w:numFmt w:val="bullet"/>
      <w:lvlText w:val="o"/>
      <w:lvlJc w:val="left"/>
      <w:pPr>
        <w:ind w:left="6486" w:hanging="360"/>
      </w:pPr>
      <w:rPr>
        <w:rFonts w:ascii="Courier New" w:hAnsi="Courier New" w:cs="Courier New" w:hint="default"/>
      </w:rPr>
    </w:lvl>
    <w:lvl w:ilvl="8" w:tplc="57FA83AE" w:tentative="1">
      <w:start w:val="1"/>
      <w:numFmt w:val="bullet"/>
      <w:lvlText w:val=""/>
      <w:lvlJc w:val="left"/>
      <w:pPr>
        <w:ind w:left="7206" w:hanging="360"/>
      </w:pPr>
      <w:rPr>
        <w:rFonts w:ascii="Wingdings" w:hAnsi="Wingdings" w:hint="default"/>
      </w:rPr>
    </w:lvl>
  </w:abstractNum>
  <w:abstractNum w:abstractNumId="15" w15:restartNumberingAfterBreak="0">
    <w:nsid w:val="2F7977A0"/>
    <w:multiLevelType w:val="hybridMultilevel"/>
    <w:tmpl w:val="4C78ED6A"/>
    <w:lvl w:ilvl="0" w:tplc="1C9CD4D2">
      <w:start w:val="1"/>
      <w:numFmt w:val="decimal"/>
      <w:lvlText w:val="%1."/>
      <w:lvlJc w:val="left"/>
      <w:pPr>
        <w:ind w:left="1050" w:hanging="360"/>
      </w:pPr>
    </w:lvl>
    <w:lvl w:ilvl="1" w:tplc="00169A52" w:tentative="1">
      <w:start w:val="1"/>
      <w:numFmt w:val="lowerLetter"/>
      <w:lvlText w:val="%2."/>
      <w:lvlJc w:val="left"/>
      <w:pPr>
        <w:ind w:left="1770" w:hanging="360"/>
      </w:pPr>
    </w:lvl>
    <w:lvl w:ilvl="2" w:tplc="CB9831F4" w:tentative="1">
      <w:start w:val="1"/>
      <w:numFmt w:val="lowerRoman"/>
      <w:lvlText w:val="%3."/>
      <w:lvlJc w:val="right"/>
      <w:pPr>
        <w:ind w:left="2490" w:hanging="180"/>
      </w:pPr>
    </w:lvl>
    <w:lvl w:ilvl="3" w:tplc="E1BA5C88" w:tentative="1">
      <w:start w:val="1"/>
      <w:numFmt w:val="decimal"/>
      <w:lvlText w:val="%4."/>
      <w:lvlJc w:val="left"/>
      <w:pPr>
        <w:ind w:left="3210" w:hanging="360"/>
      </w:pPr>
    </w:lvl>
    <w:lvl w:ilvl="4" w:tplc="29F88538" w:tentative="1">
      <w:start w:val="1"/>
      <w:numFmt w:val="lowerLetter"/>
      <w:lvlText w:val="%5."/>
      <w:lvlJc w:val="left"/>
      <w:pPr>
        <w:ind w:left="3930" w:hanging="360"/>
      </w:pPr>
    </w:lvl>
    <w:lvl w:ilvl="5" w:tplc="194CBC1C" w:tentative="1">
      <w:start w:val="1"/>
      <w:numFmt w:val="lowerRoman"/>
      <w:lvlText w:val="%6."/>
      <w:lvlJc w:val="right"/>
      <w:pPr>
        <w:ind w:left="4650" w:hanging="180"/>
      </w:pPr>
    </w:lvl>
    <w:lvl w:ilvl="6" w:tplc="364C5C9A" w:tentative="1">
      <w:start w:val="1"/>
      <w:numFmt w:val="decimal"/>
      <w:lvlText w:val="%7."/>
      <w:lvlJc w:val="left"/>
      <w:pPr>
        <w:ind w:left="5370" w:hanging="360"/>
      </w:pPr>
    </w:lvl>
    <w:lvl w:ilvl="7" w:tplc="060E934A" w:tentative="1">
      <w:start w:val="1"/>
      <w:numFmt w:val="lowerLetter"/>
      <w:lvlText w:val="%8."/>
      <w:lvlJc w:val="left"/>
      <w:pPr>
        <w:ind w:left="6090" w:hanging="360"/>
      </w:pPr>
    </w:lvl>
    <w:lvl w:ilvl="8" w:tplc="FCACFC90" w:tentative="1">
      <w:start w:val="1"/>
      <w:numFmt w:val="lowerRoman"/>
      <w:lvlText w:val="%9."/>
      <w:lvlJc w:val="right"/>
      <w:pPr>
        <w:ind w:left="6810" w:hanging="180"/>
      </w:pPr>
    </w:lvl>
  </w:abstractNum>
  <w:abstractNum w:abstractNumId="16" w15:restartNumberingAfterBreak="0">
    <w:nsid w:val="30F84FD7"/>
    <w:multiLevelType w:val="hybridMultilevel"/>
    <w:tmpl w:val="2E969ADA"/>
    <w:lvl w:ilvl="0" w:tplc="B950E6D6">
      <w:start w:val="1"/>
      <w:numFmt w:val="bullet"/>
      <w:lvlText w:val=""/>
      <w:lvlJc w:val="left"/>
      <w:pPr>
        <w:ind w:left="1446" w:hanging="360"/>
      </w:pPr>
      <w:rPr>
        <w:rFonts w:ascii="Symbol" w:hAnsi="Symbol" w:hint="default"/>
      </w:rPr>
    </w:lvl>
    <w:lvl w:ilvl="1" w:tplc="4EE04214" w:tentative="1">
      <w:start w:val="1"/>
      <w:numFmt w:val="bullet"/>
      <w:lvlText w:val="o"/>
      <w:lvlJc w:val="left"/>
      <w:pPr>
        <w:ind w:left="2166" w:hanging="360"/>
      </w:pPr>
      <w:rPr>
        <w:rFonts w:ascii="Courier New" w:hAnsi="Courier New" w:cs="Courier New" w:hint="default"/>
      </w:rPr>
    </w:lvl>
    <w:lvl w:ilvl="2" w:tplc="62CA48BA" w:tentative="1">
      <w:start w:val="1"/>
      <w:numFmt w:val="bullet"/>
      <w:lvlText w:val=""/>
      <w:lvlJc w:val="left"/>
      <w:pPr>
        <w:ind w:left="2886" w:hanging="360"/>
      </w:pPr>
      <w:rPr>
        <w:rFonts w:ascii="Wingdings" w:hAnsi="Wingdings" w:hint="default"/>
      </w:rPr>
    </w:lvl>
    <w:lvl w:ilvl="3" w:tplc="90D2599C" w:tentative="1">
      <w:start w:val="1"/>
      <w:numFmt w:val="bullet"/>
      <w:lvlText w:val=""/>
      <w:lvlJc w:val="left"/>
      <w:pPr>
        <w:ind w:left="3606" w:hanging="360"/>
      </w:pPr>
      <w:rPr>
        <w:rFonts w:ascii="Symbol" w:hAnsi="Symbol" w:hint="default"/>
      </w:rPr>
    </w:lvl>
    <w:lvl w:ilvl="4" w:tplc="1EFE6516" w:tentative="1">
      <w:start w:val="1"/>
      <w:numFmt w:val="bullet"/>
      <w:lvlText w:val="o"/>
      <w:lvlJc w:val="left"/>
      <w:pPr>
        <w:ind w:left="4326" w:hanging="360"/>
      </w:pPr>
      <w:rPr>
        <w:rFonts w:ascii="Courier New" w:hAnsi="Courier New" w:cs="Courier New" w:hint="default"/>
      </w:rPr>
    </w:lvl>
    <w:lvl w:ilvl="5" w:tplc="99A4AFB0" w:tentative="1">
      <w:start w:val="1"/>
      <w:numFmt w:val="bullet"/>
      <w:lvlText w:val=""/>
      <w:lvlJc w:val="left"/>
      <w:pPr>
        <w:ind w:left="5046" w:hanging="360"/>
      </w:pPr>
      <w:rPr>
        <w:rFonts w:ascii="Wingdings" w:hAnsi="Wingdings" w:hint="default"/>
      </w:rPr>
    </w:lvl>
    <w:lvl w:ilvl="6" w:tplc="62A6FAEC" w:tentative="1">
      <w:start w:val="1"/>
      <w:numFmt w:val="bullet"/>
      <w:lvlText w:val=""/>
      <w:lvlJc w:val="left"/>
      <w:pPr>
        <w:ind w:left="5766" w:hanging="360"/>
      </w:pPr>
      <w:rPr>
        <w:rFonts w:ascii="Symbol" w:hAnsi="Symbol" w:hint="default"/>
      </w:rPr>
    </w:lvl>
    <w:lvl w:ilvl="7" w:tplc="DE6ED350" w:tentative="1">
      <w:start w:val="1"/>
      <w:numFmt w:val="bullet"/>
      <w:lvlText w:val="o"/>
      <w:lvlJc w:val="left"/>
      <w:pPr>
        <w:ind w:left="6486" w:hanging="360"/>
      </w:pPr>
      <w:rPr>
        <w:rFonts w:ascii="Courier New" w:hAnsi="Courier New" w:cs="Courier New" w:hint="default"/>
      </w:rPr>
    </w:lvl>
    <w:lvl w:ilvl="8" w:tplc="3A2C3868" w:tentative="1">
      <w:start w:val="1"/>
      <w:numFmt w:val="bullet"/>
      <w:lvlText w:val=""/>
      <w:lvlJc w:val="left"/>
      <w:pPr>
        <w:ind w:left="7206" w:hanging="360"/>
      </w:pPr>
      <w:rPr>
        <w:rFonts w:ascii="Wingdings" w:hAnsi="Wingdings" w:hint="default"/>
      </w:rPr>
    </w:lvl>
  </w:abstractNum>
  <w:abstractNum w:abstractNumId="17" w15:restartNumberingAfterBreak="0">
    <w:nsid w:val="31AE22FF"/>
    <w:multiLevelType w:val="hybridMultilevel"/>
    <w:tmpl w:val="BC0C9ACC"/>
    <w:lvl w:ilvl="0" w:tplc="699038FC">
      <w:start w:val="1"/>
      <w:numFmt w:val="decimal"/>
      <w:lvlText w:val="%1."/>
      <w:lvlJc w:val="left"/>
      <w:pPr>
        <w:ind w:left="720" w:hanging="360"/>
      </w:pPr>
      <w:rPr>
        <w:color w:val="000000"/>
      </w:rPr>
    </w:lvl>
    <w:lvl w:ilvl="1" w:tplc="8CEE191C">
      <w:start w:val="1"/>
      <w:numFmt w:val="decimal"/>
      <w:lvlText w:val="%2."/>
      <w:lvlJc w:val="left"/>
      <w:pPr>
        <w:tabs>
          <w:tab w:val="num" w:pos="1440"/>
        </w:tabs>
        <w:ind w:left="1440" w:hanging="360"/>
      </w:pPr>
    </w:lvl>
    <w:lvl w:ilvl="2" w:tplc="9E24562C">
      <w:start w:val="1"/>
      <w:numFmt w:val="decimal"/>
      <w:lvlText w:val="%3."/>
      <w:lvlJc w:val="left"/>
      <w:pPr>
        <w:tabs>
          <w:tab w:val="num" w:pos="2160"/>
        </w:tabs>
        <w:ind w:left="2160" w:hanging="360"/>
      </w:pPr>
    </w:lvl>
    <w:lvl w:ilvl="3" w:tplc="541653F8">
      <w:start w:val="1"/>
      <w:numFmt w:val="decimal"/>
      <w:lvlText w:val="%4."/>
      <w:lvlJc w:val="left"/>
      <w:pPr>
        <w:tabs>
          <w:tab w:val="num" w:pos="2880"/>
        </w:tabs>
        <w:ind w:left="2880" w:hanging="360"/>
      </w:pPr>
    </w:lvl>
    <w:lvl w:ilvl="4" w:tplc="A1222636">
      <w:start w:val="1"/>
      <w:numFmt w:val="decimal"/>
      <w:lvlText w:val="%5."/>
      <w:lvlJc w:val="left"/>
      <w:pPr>
        <w:tabs>
          <w:tab w:val="num" w:pos="3600"/>
        </w:tabs>
        <w:ind w:left="3600" w:hanging="360"/>
      </w:pPr>
    </w:lvl>
    <w:lvl w:ilvl="5" w:tplc="302ECF14">
      <w:start w:val="1"/>
      <w:numFmt w:val="decimal"/>
      <w:lvlText w:val="%6."/>
      <w:lvlJc w:val="left"/>
      <w:pPr>
        <w:tabs>
          <w:tab w:val="num" w:pos="4320"/>
        </w:tabs>
        <w:ind w:left="4320" w:hanging="360"/>
      </w:pPr>
    </w:lvl>
    <w:lvl w:ilvl="6" w:tplc="D73E219C">
      <w:start w:val="1"/>
      <w:numFmt w:val="decimal"/>
      <w:lvlText w:val="%7."/>
      <w:lvlJc w:val="left"/>
      <w:pPr>
        <w:tabs>
          <w:tab w:val="num" w:pos="5040"/>
        </w:tabs>
        <w:ind w:left="5040" w:hanging="360"/>
      </w:pPr>
    </w:lvl>
    <w:lvl w:ilvl="7" w:tplc="CF162EA4">
      <w:start w:val="1"/>
      <w:numFmt w:val="decimal"/>
      <w:lvlText w:val="%8."/>
      <w:lvlJc w:val="left"/>
      <w:pPr>
        <w:tabs>
          <w:tab w:val="num" w:pos="5760"/>
        </w:tabs>
        <w:ind w:left="5760" w:hanging="360"/>
      </w:pPr>
    </w:lvl>
    <w:lvl w:ilvl="8" w:tplc="D5C20ABA">
      <w:start w:val="1"/>
      <w:numFmt w:val="decimal"/>
      <w:lvlText w:val="%9."/>
      <w:lvlJc w:val="left"/>
      <w:pPr>
        <w:tabs>
          <w:tab w:val="num" w:pos="6480"/>
        </w:tabs>
        <w:ind w:left="6480" w:hanging="360"/>
      </w:pPr>
    </w:lvl>
  </w:abstractNum>
  <w:abstractNum w:abstractNumId="18" w15:restartNumberingAfterBreak="0">
    <w:nsid w:val="334D5002"/>
    <w:multiLevelType w:val="hybridMultilevel"/>
    <w:tmpl w:val="3A121304"/>
    <w:lvl w:ilvl="0" w:tplc="432A0EAA">
      <w:start w:val="1"/>
      <w:numFmt w:val="lowerLetter"/>
      <w:lvlText w:val="%1."/>
      <w:lvlJc w:val="left"/>
      <w:pPr>
        <w:ind w:left="720" w:hanging="360"/>
      </w:pPr>
    </w:lvl>
    <w:lvl w:ilvl="1" w:tplc="CE448240" w:tentative="1">
      <w:start w:val="1"/>
      <w:numFmt w:val="lowerLetter"/>
      <w:lvlText w:val="%2."/>
      <w:lvlJc w:val="left"/>
      <w:pPr>
        <w:ind w:left="1440" w:hanging="360"/>
      </w:pPr>
    </w:lvl>
    <w:lvl w:ilvl="2" w:tplc="4AD6447E" w:tentative="1">
      <w:start w:val="1"/>
      <w:numFmt w:val="lowerRoman"/>
      <w:lvlText w:val="%3."/>
      <w:lvlJc w:val="right"/>
      <w:pPr>
        <w:ind w:left="2160" w:hanging="180"/>
      </w:pPr>
    </w:lvl>
    <w:lvl w:ilvl="3" w:tplc="FB1C0E96" w:tentative="1">
      <w:start w:val="1"/>
      <w:numFmt w:val="decimal"/>
      <w:lvlText w:val="%4."/>
      <w:lvlJc w:val="left"/>
      <w:pPr>
        <w:ind w:left="2880" w:hanging="360"/>
      </w:pPr>
    </w:lvl>
    <w:lvl w:ilvl="4" w:tplc="CB481DCE" w:tentative="1">
      <w:start w:val="1"/>
      <w:numFmt w:val="lowerLetter"/>
      <w:lvlText w:val="%5."/>
      <w:lvlJc w:val="left"/>
      <w:pPr>
        <w:ind w:left="3600" w:hanging="360"/>
      </w:pPr>
    </w:lvl>
    <w:lvl w:ilvl="5" w:tplc="E21C0560" w:tentative="1">
      <w:start w:val="1"/>
      <w:numFmt w:val="lowerRoman"/>
      <w:lvlText w:val="%6."/>
      <w:lvlJc w:val="right"/>
      <w:pPr>
        <w:ind w:left="4320" w:hanging="180"/>
      </w:pPr>
    </w:lvl>
    <w:lvl w:ilvl="6" w:tplc="8702F9C8" w:tentative="1">
      <w:start w:val="1"/>
      <w:numFmt w:val="decimal"/>
      <w:lvlText w:val="%7."/>
      <w:lvlJc w:val="left"/>
      <w:pPr>
        <w:ind w:left="5040" w:hanging="360"/>
      </w:pPr>
    </w:lvl>
    <w:lvl w:ilvl="7" w:tplc="346C846A" w:tentative="1">
      <w:start w:val="1"/>
      <w:numFmt w:val="lowerLetter"/>
      <w:lvlText w:val="%8."/>
      <w:lvlJc w:val="left"/>
      <w:pPr>
        <w:ind w:left="5760" w:hanging="360"/>
      </w:pPr>
    </w:lvl>
    <w:lvl w:ilvl="8" w:tplc="51EC5376" w:tentative="1">
      <w:start w:val="1"/>
      <w:numFmt w:val="lowerRoman"/>
      <w:lvlText w:val="%9."/>
      <w:lvlJc w:val="right"/>
      <w:pPr>
        <w:ind w:left="6480" w:hanging="180"/>
      </w:pPr>
    </w:lvl>
  </w:abstractNum>
  <w:abstractNum w:abstractNumId="19" w15:restartNumberingAfterBreak="0">
    <w:nsid w:val="33B72E9B"/>
    <w:multiLevelType w:val="hybridMultilevel"/>
    <w:tmpl w:val="4ECA2DD8"/>
    <w:lvl w:ilvl="0" w:tplc="CE704CC8">
      <w:start w:val="1"/>
      <w:numFmt w:val="bullet"/>
      <w:lvlText w:val="o"/>
      <w:lvlJc w:val="left"/>
      <w:pPr>
        <w:ind w:left="1080" w:hanging="360"/>
      </w:pPr>
      <w:rPr>
        <w:rFonts w:ascii="Courier New" w:hAnsi="Courier New" w:cs="Courier New" w:hint="default"/>
      </w:rPr>
    </w:lvl>
    <w:lvl w:ilvl="1" w:tplc="EE3AD076" w:tentative="1">
      <w:start w:val="1"/>
      <w:numFmt w:val="bullet"/>
      <w:lvlText w:val="o"/>
      <w:lvlJc w:val="left"/>
      <w:pPr>
        <w:ind w:left="1800" w:hanging="360"/>
      </w:pPr>
      <w:rPr>
        <w:rFonts w:ascii="Courier New" w:hAnsi="Courier New" w:cs="Courier New" w:hint="default"/>
      </w:rPr>
    </w:lvl>
    <w:lvl w:ilvl="2" w:tplc="B822A060" w:tentative="1">
      <w:start w:val="1"/>
      <w:numFmt w:val="bullet"/>
      <w:lvlText w:val=""/>
      <w:lvlJc w:val="left"/>
      <w:pPr>
        <w:ind w:left="2520" w:hanging="360"/>
      </w:pPr>
      <w:rPr>
        <w:rFonts w:ascii="Wingdings" w:hAnsi="Wingdings" w:hint="default"/>
      </w:rPr>
    </w:lvl>
    <w:lvl w:ilvl="3" w:tplc="04CE9460" w:tentative="1">
      <w:start w:val="1"/>
      <w:numFmt w:val="bullet"/>
      <w:lvlText w:val=""/>
      <w:lvlJc w:val="left"/>
      <w:pPr>
        <w:ind w:left="3240" w:hanging="360"/>
      </w:pPr>
      <w:rPr>
        <w:rFonts w:ascii="Symbol" w:hAnsi="Symbol" w:hint="default"/>
      </w:rPr>
    </w:lvl>
    <w:lvl w:ilvl="4" w:tplc="B0FAD5C4" w:tentative="1">
      <w:start w:val="1"/>
      <w:numFmt w:val="bullet"/>
      <w:lvlText w:val="o"/>
      <w:lvlJc w:val="left"/>
      <w:pPr>
        <w:ind w:left="3960" w:hanging="360"/>
      </w:pPr>
      <w:rPr>
        <w:rFonts w:ascii="Courier New" w:hAnsi="Courier New" w:cs="Courier New" w:hint="default"/>
      </w:rPr>
    </w:lvl>
    <w:lvl w:ilvl="5" w:tplc="6B16A5AA" w:tentative="1">
      <w:start w:val="1"/>
      <w:numFmt w:val="bullet"/>
      <w:lvlText w:val=""/>
      <w:lvlJc w:val="left"/>
      <w:pPr>
        <w:ind w:left="4680" w:hanging="360"/>
      </w:pPr>
      <w:rPr>
        <w:rFonts w:ascii="Wingdings" w:hAnsi="Wingdings" w:hint="default"/>
      </w:rPr>
    </w:lvl>
    <w:lvl w:ilvl="6" w:tplc="DBB8B622" w:tentative="1">
      <w:start w:val="1"/>
      <w:numFmt w:val="bullet"/>
      <w:lvlText w:val=""/>
      <w:lvlJc w:val="left"/>
      <w:pPr>
        <w:ind w:left="5400" w:hanging="360"/>
      </w:pPr>
      <w:rPr>
        <w:rFonts w:ascii="Symbol" w:hAnsi="Symbol" w:hint="default"/>
      </w:rPr>
    </w:lvl>
    <w:lvl w:ilvl="7" w:tplc="DD3E27B4" w:tentative="1">
      <w:start w:val="1"/>
      <w:numFmt w:val="bullet"/>
      <w:lvlText w:val="o"/>
      <w:lvlJc w:val="left"/>
      <w:pPr>
        <w:ind w:left="6120" w:hanging="360"/>
      </w:pPr>
      <w:rPr>
        <w:rFonts w:ascii="Courier New" w:hAnsi="Courier New" w:cs="Courier New" w:hint="default"/>
      </w:rPr>
    </w:lvl>
    <w:lvl w:ilvl="8" w:tplc="84D8DCEA" w:tentative="1">
      <w:start w:val="1"/>
      <w:numFmt w:val="bullet"/>
      <w:lvlText w:val=""/>
      <w:lvlJc w:val="left"/>
      <w:pPr>
        <w:ind w:left="6840" w:hanging="360"/>
      </w:pPr>
      <w:rPr>
        <w:rFonts w:ascii="Wingdings" w:hAnsi="Wingdings" w:hint="default"/>
      </w:rPr>
    </w:lvl>
  </w:abstractNum>
  <w:abstractNum w:abstractNumId="20" w15:restartNumberingAfterBreak="0">
    <w:nsid w:val="33C007A7"/>
    <w:multiLevelType w:val="hybridMultilevel"/>
    <w:tmpl w:val="BFEEAD8C"/>
    <w:lvl w:ilvl="0" w:tplc="AE72C6F8">
      <w:start w:val="1"/>
      <w:numFmt w:val="decimal"/>
      <w:lvlText w:val="%1."/>
      <w:lvlJc w:val="left"/>
      <w:pPr>
        <w:ind w:left="945" w:hanging="585"/>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AB3E22"/>
    <w:multiLevelType w:val="hybridMultilevel"/>
    <w:tmpl w:val="B55C1660"/>
    <w:lvl w:ilvl="0" w:tplc="5FF6C614">
      <w:start w:val="1"/>
      <w:numFmt w:val="decimal"/>
      <w:lvlText w:val="%1."/>
      <w:lvlJc w:val="left"/>
      <w:pPr>
        <w:ind w:left="720" w:hanging="360"/>
      </w:pPr>
    </w:lvl>
    <w:lvl w:ilvl="1" w:tplc="6DBE7FB0" w:tentative="1">
      <w:start w:val="1"/>
      <w:numFmt w:val="lowerLetter"/>
      <w:lvlText w:val="%2."/>
      <w:lvlJc w:val="left"/>
      <w:pPr>
        <w:ind w:left="1440" w:hanging="360"/>
      </w:pPr>
    </w:lvl>
    <w:lvl w:ilvl="2" w:tplc="E05A6ED6" w:tentative="1">
      <w:start w:val="1"/>
      <w:numFmt w:val="lowerRoman"/>
      <w:lvlText w:val="%3."/>
      <w:lvlJc w:val="right"/>
      <w:pPr>
        <w:ind w:left="2160" w:hanging="180"/>
      </w:pPr>
    </w:lvl>
    <w:lvl w:ilvl="3" w:tplc="743A5334" w:tentative="1">
      <w:start w:val="1"/>
      <w:numFmt w:val="decimal"/>
      <w:lvlText w:val="%4."/>
      <w:lvlJc w:val="left"/>
      <w:pPr>
        <w:ind w:left="2880" w:hanging="360"/>
      </w:pPr>
    </w:lvl>
    <w:lvl w:ilvl="4" w:tplc="42007AF8" w:tentative="1">
      <w:start w:val="1"/>
      <w:numFmt w:val="lowerLetter"/>
      <w:lvlText w:val="%5."/>
      <w:lvlJc w:val="left"/>
      <w:pPr>
        <w:ind w:left="3600" w:hanging="360"/>
      </w:pPr>
    </w:lvl>
    <w:lvl w:ilvl="5" w:tplc="F2A66608" w:tentative="1">
      <w:start w:val="1"/>
      <w:numFmt w:val="lowerRoman"/>
      <w:lvlText w:val="%6."/>
      <w:lvlJc w:val="right"/>
      <w:pPr>
        <w:ind w:left="4320" w:hanging="180"/>
      </w:pPr>
    </w:lvl>
    <w:lvl w:ilvl="6" w:tplc="DFBE2F92" w:tentative="1">
      <w:start w:val="1"/>
      <w:numFmt w:val="decimal"/>
      <w:lvlText w:val="%7."/>
      <w:lvlJc w:val="left"/>
      <w:pPr>
        <w:ind w:left="5040" w:hanging="360"/>
      </w:pPr>
    </w:lvl>
    <w:lvl w:ilvl="7" w:tplc="7E587BA8" w:tentative="1">
      <w:start w:val="1"/>
      <w:numFmt w:val="lowerLetter"/>
      <w:lvlText w:val="%8."/>
      <w:lvlJc w:val="left"/>
      <w:pPr>
        <w:ind w:left="5760" w:hanging="360"/>
      </w:pPr>
    </w:lvl>
    <w:lvl w:ilvl="8" w:tplc="3BF0EF60" w:tentative="1">
      <w:start w:val="1"/>
      <w:numFmt w:val="lowerRoman"/>
      <w:lvlText w:val="%9."/>
      <w:lvlJc w:val="right"/>
      <w:pPr>
        <w:ind w:left="6480" w:hanging="180"/>
      </w:pPr>
    </w:lvl>
  </w:abstractNum>
  <w:abstractNum w:abstractNumId="22" w15:restartNumberingAfterBreak="0">
    <w:nsid w:val="3B904E78"/>
    <w:multiLevelType w:val="hybridMultilevel"/>
    <w:tmpl w:val="F242645A"/>
    <w:lvl w:ilvl="0" w:tplc="BE148DA0">
      <w:start w:val="1"/>
      <w:numFmt w:val="bullet"/>
      <w:lvlText w:val=""/>
      <w:lvlJc w:val="left"/>
      <w:pPr>
        <w:ind w:left="1440" w:hanging="360"/>
      </w:pPr>
      <w:rPr>
        <w:rFonts w:ascii="Symbol" w:hAnsi="Symbol" w:hint="default"/>
      </w:rPr>
    </w:lvl>
    <w:lvl w:ilvl="1" w:tplc="9426F060" w:tentative="1">
      <w:start w:val="1"/>
      <w:numFmt w:val="bullet"/>
      <w:lvlText w:val="o"/>
      <w:lvlJc w:val="left"/>
      <w:pPr>
        <w:ind w:left="2160" w:hanging="360"/>
      </w:pPr>
      <w:rPr>
        <w:rFonts w:ascii="Courier New" w:hAnsi="Courier New" w:cs="Courier New" w:hint="default"/>
      </w:rPr>
    </w:lvl>
    <w:lvl w:ilvl="2" w:tplc="2EF4B21E" w:tentative="1">
      <w:start w:val="1"/>
      <w:numFmt w:val="bullet"/>
      <w:lvlText w:val=""/>
      <w:lvlJc w:val="left"/>
      <w:pPr>
        <w:ind w:left="2880" w:hanging="360"/>
      </w:pPr>
      <w:rPr>
        <w:rFonts w:ascii="Wingdings" w:hAnsi="Wingdings" w:hint="default"/>
      </w:rPr>
    </w:lvl>
    <w:lvl w:ilvl="3" w:tplc="DB560D4A" w:tentative="1">
      <w:start w:val="1"/>
      <w:numFmt w:val="bullet"/>
      <w:lvlText w:val=""/>
      <w:lvlJc w:val="left"/>
      <w:pPr>
        <w:ind w:left="3600" w:hanging="360"/>
      </w:pPr>
      <w:rPr>
        <w:rFonts w:ascii="Symbol" w:hAnsi="Symbol" w:hint="default"/>
      </w:rPr>
    </w:lvl>
    <w:lvl w:ilvl="4" w:tplc="194855F8" w:tentative="1">
      <w:start w:val="1"/>
      <w:numFmt w:val="bullet"/>
      <w:lvlText w:val="o"/>
      <w:lvlJc w:val="left"/>
      <w:pPr>
        <w:ind w:left="4320" w:hanging="360"/>
      </w:pPr>
      <w:rPr>
        <w:rFonts w:ascii="Courier New" w:hAnsi="Courier New" w:cs="Courier New" w:hint="default"/>
      </w:rPr>
    </w:lvl>
    <w:lvl w:ilvl="5" w:tplc="76CAC20A" w:tentative="1">
      <w:start w:val="1"/>
      <w:numFmt w:val="bullet"/>
      <w:lvlText w:val=""/>
      <w:lvlJc w:val="left"/>
      <w:pPr>
        <w:ind w:left="5040" w:hanging="360"/>
      </w:pPr>
      <w:rPr>
        <w:rFonts w:ascii="Wingdings" w:hAnsi="Wingdings" w:hint="default"/>
      </w:rPr>
    </w:lvl>
    <w:lvl w:ilvl="6" w:tplc="9DA8CD8A" w:tentative="1">
      <w:start w:val="1"/>
      <w:numFmt w:val="bullet"/>
      <w:lvlText w:val=""/>
      <w:lvlJc w:val="left"/>
      <w:pPr>
        <w:ind w:left="5760" w:hanging="360"/>
      </w:pPr>
      <w:rPr>
        <w:rFonts w:ascii="Symbol" w:hAnsi="Symbol" w:hint="default"/>
      </w:rPr>
    </w:lvl>
    <w:lvl w:ilvl="7" w:tplc="A39E762A" w:tentative="1">
      <w:start w:val="1"/>
      <w:numFmt w:val="bullet"/>
      <w:lvlText w:val="o"/>
      <w:lvlJc w:val="left"/>
      <w:pPr>
        <w:ind w:left="6480" w:hanging="360"/>
      </w:pPr>
      <w:rPr>
        <w:rFonts w:ascii="Courier New" w:hAnsi="Courier New" w:cs="Courier New" w:hint="default"/>
      </w:rPr>
    </w:lvl>
    <w:lvl w:ilvl="8" w:tplc="B098519C" w:tentative="1">
      <w:start w:val="1"/>
      <w:numFmt w:val="bullet"/>
      <w:lvlText w:val=""/>
      <w:lvlJc w:val="left"/>
      <w:pPr>
        <w:ind w:left="7200" w:hanging="360"/>
      </w:pPr>
      <w:rPr>
        <w:rFonts w:ascii="Wingdings" w:hAnsi="Wingdings" w:hint="default"/>
      </w:rPr>
    </w:lvl>
  </w:abstractNum>
  <w:abstractNum w:abstractNumId="23" w15:restartNumberingAfterBreak="0">
    <w:nsid w:val="3BC82E60"/>
    <w:multiLevelType w:val="hybridMultilevel"/>
    <w:tmpl w:val="44CA79F8"/>
    <w:lvl w:ilvl="0" w:tplc="9694277A">
      <w:start w:val="1"/>
      <w:numFmt w:val="bullet"/>
      <w:lvlText w:val="o"/>
      <w:lvlJc w:val="left"/>
      <w:pPr>
        <w:ind w:left="720" w:hanging="360"/>
      </w:pPr>
      <w:rPr>
        <w:rFonts w:ascii="Courier New" w:hAnsi="Courier New" w:cs="Courier New" w:hint="default"/>
      </w:rPr>
    </w:lvl>
    <w:lvl w:ilvl="1" w:tplc="FFF896B0" w:tentative="1">
      <w:start w:val="1"/>
      <w:numFmt w:val="bullet"/>
      <w:lvlText w:val="o"/>
      <w:lvlJc w:val="left"/>
      <w:pPr>
        <w:ind w:left="1440" w:hanging="360"/>
      </w:pPr>
      <w:rPr>
        <w:rFonts w:ascii="Courier New" w:hAnsi="Courier New" w:cs="Courier New" w:hint="default"/>
      </w:rPr>
    </w:lvl>
    <w:lvl w:ilvl="2" w:tplc="4B2EA156" w:tentative="1">
      <w:start w:val="1"/>
      <w:numFmt w:val="bullet"/>
      <w:lvlText w:val=""/>
      <w:lvlJc w:val="left"/>
      <w:pPr>
        <w:ind w:left="2160" w:hanging="360"/>
      </w:pPr>
      <w:rPr>
        <w:rFonts w:ascii="Wingdings" w:hAnsi="Wingdings" w:hint="default"/>
      </w:rPr>
    </w:lvl>
    <w:lvl w:ilvl="3" w:tplc="03F666AC" w:tentative="1">
      <w:start w:val="1"/>
      <w:numFmt w:val="bullet"/>
      <w:lvlText w:val=""/>
      <w:lvlJc w:val="left"/>
      <w:pPr>
        <w:ind w:left="2880" w:hanging="360"/>
      </w:pPr>
      <w:rPr>
        <w:rFonts w:ascii="Symbol" w:hAnsi="Symbol" w:hint="default"/>
      </w:rPr>
    </w:lvl>
    <w:lvl w:ilvl="4" w:tplc="5C8859C6" w:tentative="1">
      <w:start w:val="1"/>
      <w:numFmt w:val="bullet"/>
      <w:lvlText w:val="o"/>
      <w:lvlJc w:val="left"/>
      <w:pPr>
        <w:ind w:left="3600" w:hanging="360"/>
      </w:pPr>
      <w:rPr>
        <w:rFonts w:ascii="Courier New" w:hAnsi="Courier New" w:cs="Courier New" w:hint="default"/>
      </w:rPr>
    </w:lvl>
    <w:lvl w:ilvl="5" w:tplc="7430DBD6" w:tentative="1">
      <w:start w:val="1"/>
      <w:numFmt w:val="bullet"/>
      <w:lvlText w:val=""/>
      <w:lvlJc w:val="left"/>
      <w:pPr>
        <w:ind w:left="4320" w:hanging="360"/>
      </w:pPr>
      <w:rPr>
        <w:rFonts w:ascii="Wingdings" w:hAnsi="Wingdings" w:hint="default"/>
      </w:rPr>
    </w:lvl>
    <w:lvl w:ilvl="6" w:tplc="50D45EA6" w:tentative="1">
      <w:start w:val="1"/>
      <w:numFmt w:val="bullet"/>
      <w:lvlText w:val=""/>
      <w:lvlJc w:val="left"/>
      <w:pPr>
        <w:ind w:left="5040" w:hanging="360"/>
      </w:pPr>
      <w:rPr>
        <w:rFonts w:ascii="Symbol" w:hAnsi="Symbol" w:hint="default"/>
      </w:rPr>
    </w:lvl>
    <w:lvl w:ilvl="7" w:tplc="6FB01866" w:tentative="1">
      <w:start w:val="1"/>
      <w:numFmt w:val="bullet"/>
      <w:lvlText w:val="o"/>
      <w:lvlJc w:val="left"/>
      <w:pPr>
        <w:ind w:left="5760" w:hanging="360"/>
      </w:pPr>
      <w:rPr>
        <w:rFonts w:ascii="Courier New" w:hAnsi="Courier New" w:cs="Courier New" w:hint="default"/>
      </w:rPr>
    </w:lvl>
    <w:lvl w:ilvl="8" w:tplc="49825A1A" w:tentative="1">
      <w:start w:val="1"/>
      <w:numFmt w:val="bullet"/>
      <w:lvlText w:val=""/>
      <w:lvlJc w:val="left"/>
      <w:pPr>
        <w:ind w:left="6480" w:hanging="360"/>
      </w:pPr>
      <w:rPr>
        <w:rFonts w:ascii="Wingdings" w:hAnsi="Wingdings" w:hint="default"/>
      </w:rPr>
    </w:lvl>
  </w:abstractNum>
  <w:abstractNum w:abstractNumId="24" w15:restartNumberingAfterBreak="0">
    <w:nsid w:val="3E993910"/>
    <w:multiLevelType w:val="hybridMultilevel"/>
    <w:tmpl w:val="C8E802B4"/>
    <w:lvl w:ilvl="0" w:tplc="01B866DE">
      <w:start w:val="1"/>
      <w:numFmt w:val="decimal"/>
      <w:lvlText w:val="%1."/>
      <w:lvlJc w:val="left"/>
      <w:pPr>
        <w:ind w:left="720" w:hanging="360"/>
      </w:pPr>
    </w:lvl>
    <w:lvl w:ilvl="1" w:tplc="AEB02B0A" w:tentative="1">
      <w:start w:val="1"/>
      <w:numFmt w:val="lowerLetter"/>
      <w:lvlText w:val="%2."/>
      <w:lvlJc w:val="left"/>
      <w:pPr>
        <w:ind w:left="1440" w:hanging="360"/>
      </w:pPr>
    </w:lvl>
    <w:lvl w:ilvl="2" w:tplc="65085028" w:tentative="1">
      <w:start w:val="1"/>
      <w:numFmt w:val="lowerRoman"/>
      <w:lvlText w:val="%3."/>
      <w:lvlJc w:val="right"/>
      <w:pPr>
        <w:ind w:left="2160" w:hanging="180"/>
      </w:pPr>
    </w:lvl>
    <w:lvl w:ilvl="3" w:tplc="5EFC513E" w:tentative="1">
      <w:start w:val="1"/>
      <w:numFmt w:val="decimal"/>
      <w:lvlText w:val="%4."/>
      <w:lvlJc w:val="left"/>
      <w:pPr>
        <w:ind w:left="2880" w:hanging="360"/>
      </w:pPr>
    </w:lvl>
    <w:lvl w:ilvl="4" w:tplc="2E108EE6" w:tentative="1">
      <w:start w:val="1"/>
      <w:numFmt w:val="lowerLetter"/>
      <w:lvlText w:val="%5."/>
      <w:lvlJc w:val="left"/>
      <w:pPr>
        <w:ind w:left="3600" w:hanging="360"/>
      </w:pPr>
    </w:lvl>
    <w:lvl w:ilvl="5" w:tplc="988A95BC" w:tentative="1">
      <w:start w:val="1"/>
      <w:numFmt w:val="lowerRoman"/>
      <w:lvlText w:val="%6."/>
      <w:lvlJc w:val="right"/>
      <w:pPr>
        <w:ind w:left="4320" w:hanging="180"/>
      </w:pPr>
    </w:lvl>
    <w:lvl w:ilvl="6" w:tplc="FB7C9236" w:tentative="1">
      <w:start w:val="1"/>
      <w:numFmt w:val="decimal"/>
      <w:lvlText w:val="%7."/>
      <w:lvlJc w:val="left"/>
      <w:pPr>
        <w:ind w:left="5040" w:hanging="360"/>
      </w:pPr>
    </w:lvl>
    <w:lvl w:ilvl="7" w:tplc="BAEA2E2C" w:tentative="1">
      <w:start w:val="1"/>
      <w:numFmt w:val="lowerLetter"/>
      <w:lvlText w:val="%8."/>
      <w:lvlJc w:val="left"/>
      <w:pPr>
        <w:ind w:left="5760" w:hanging="360"/>
      </w:pPr>
    </w:lvl>
    <w:lvl w:ilvl="8" w:tplc="BC9AFC08" w:tentative="1">
      <w:start w:val="1"/>
      <w:numFmt w:val="lowerRoman"/>
      <w:lvlText w:val="%9."/>
      <w:lvlJc w:val="right"/>
      <w:pPr>
        <w:ind w:left="6480" w:hanging="180"/>
      </w:pPr>
    </w:lvl>
  </w:abstractNum>
  <w:abstractNum w:abstractNumId="25" w15:restartNumberingAfterBreak="0">
    <w:nsid w:val="48CD2A2F"/>
    <w:multiLevelType w:val="hybridMultilevel"/>
    <w:tmpl w:val="A372BFB0"/>
    <w:lvl w:ilvl="0" w:tplc="6EFAF306">
      <w:start w:val="1"/>
      <w:numFmt w:val="bullet"/>
      <w:lvlText w:val="o"/>
      <w:lvlJc w:val="left"/>
      <w:pPr>
        <w:ind w:left="1080" w:hanging="360"/>
      </w:pPr>
      <w:rPr>
        <w:rFonts w:ascii="Courier New" w:hAnsi="Courier New" w:cs="Courier New" w:hint="default"/>
      </w:rPr>
    </w:lvl>
    <w:lvl w:ilvl="1" w:tplc="AFA843FA" w:tentative="1">
      <w:start w:val="1"/>
      <w:numFmt w:val="bullet"/>
      <w:lvlText w:val="o"/>
      <w:lvlJc w:val="left"/>
      <w:pPr>
        <w:ind w:left="1800" w:hanging="360"/>
      </w:pPr>
      <w:rPr>
        <w:rFonts w:ascii="Courier New" w:hAnsi="Courier New" w:cs="Courier New" w:hint="default"/>
      </w:rPr>
    </w:lvl>
    <w:lvl w:ilvl="2" w:tplc="4976A20E" w:tentative="1">
      <w:start w:val="1"/>
      <w:numFmt w:val="bullet"/>
      <w:lvlText w:val=""/>
      <w:lvlJc w:val="left"/>
      <w:pPr>
        <w:ind w:left="2520" w:hanging="360"/>
      </w:pPr>
      <w:rPr>
        <w:rFonts w:ascii="Wingdings" w:hAnsi="Wingdings" w:hint="default"/>
      </w:rPr>
    </w:lvl>
    <w:lvl w:ilvl="3" w:tplc="93F4A3EE" w:tentative="1">
      <w:start w:val="1"/>
      <w:numFmt w:val="bullet"/>
      <w:lvlText w:val=""/>
      <w:lvlJc w:val="left"/>
      <w:pPr>
        <w:ind w:left="3240" w:hanging="360"/>
      </w:pPr>
      <w:rPr>
        <w:rFonts w:ascii="Symbol" w:hAnsi="Symbol" w:hint="default"/>
      </w:rPr>
    </w:lvl>
    <w:lvl w:ilvl="4" w:tplc="813447CC" w:tentative="1">
      <w:start w:val="1"/>
      <w:numFmt w:val="bullet"/>
      <w:lvlText w:val="o"/>
      <w:lvlJc w:val="left"/>
      <w:pPr>
        <w:ind w:left="3960" w:hanging="360"/>
      </w:pPr>
      <w:rPr>
        <w:rFonts w:ascii="Courier New" w:hAnsi="Courier New" w:cs="Courier New" w:hint="default"/>
      </w:rPr>
    </w:lvl>
    <w:lvl w:ilvl="5" w:tplc="DC02E750" w:tentative="1">
      <w:start w:val="1"/>
      <w:numFmt w:val="bullet"/>
      <w:lvlText w:val=""/>
      <w:lvlJc w:val="left"/>
      <w:pPr>
        <w:ind w:left="4680" w:hanging="360"/>
      </w:pPr>
      <w:rPr>
        <w:rFonts w:ascii="Wingdings" w:hAnsi="Wingdings" w:hint="default"/>
      </w:rPr>
    </w:lvl>
    <w:lvl w:ilvl="6" w:tplc="8DA21A20" w:tentative="1">
      <w:start w:val="1"/>
      <w:numFmt w:val="bullet"/>
      <w:lvlText w:val=""/>
      <w:lvlJc w:val="left"/>
      <w:pPr>
        <w:ind w:left="5400" w:hanging="360"/>
      </w:pPr>
      <w:rPr>
        <w:rFonts w:ascii="Symbol" w:hAnsi="Symbol" w:hint="default"/>
      </w:rPr>
    </w:lvl>
    <w:lvl w:ilvl="7" w:tplc="B596B81E" w:tentative="1">
      <w:start w:val="1"/>
      <w:numFmt w:val="bullet"/>
      <w:lvlText w:val="o"/>
      <w:lvlJc w:val="left"/>
      <w:pPr>
        <w:ind w:left="6120" w:hanging="360"/>
      </w:pPr>
      <w:rPr>
        <w:rFonts w:ascii="Courier New" w:hAnsi="Courier New" w:cs="Courier New" w:hint="default"/>
      </w:rPr>
    </w:lvl>
    <w:lvl w:ilvl="8" w:tplc="DA8A8DD0" w:tentative="1">
      <w:start w:val="1"/>
      <w:numFmt w:val="bullet"/>
      <w:lvlText w:val=""/>
      <w:lvlJc w:val="left"/>
      <w:pPr>
        <w:ind w:left="6840" w:hanging="360"/>
      </w:pPr>
      <w:rPr>
        <w:rFonts w:ascii="Wingdings" w:hAnsi="Wingdings" w:hint="default"/>
      </w:rPr>
    </w:lvl>
  </w:abstractNum>
  <w:abstractNum w:abstractNumId="26" w15:restartNumberingAfterBreak="0">
    <w:nsid w:val="4C982A50"/>
    <w:multiLevelType w:val="hybridMultilevel"/>
    <w:tmpl w:val="F4B45EBE"/>
    <w:lvl w:ilvl="0" w:tplc="5EDA2A18">
      <w:start w:val="1"/>
      <w:numFmt w:val="lowerLetter"/>
      <w:lvlText w:val="%1."/>
      <w:lvlJc w:val="left"/>
      <w:pPr>
        <w:tabs>
          <w:tab w:val="num" w:pos="432"/>
        </w:tabs>
        <w:ind w:left="432" w:hanging="432"/>
      </w:pPr>
      <w:rPr>
        <w:b w:val="0"/>
      </w:rPr>
    </w:lvl>
    <w:lvl w:ilvl="1" w:tplc="1FD0BD02" w:tentative="1">
      <w:start w:val="1"/>
      <w:numFmt w:val="lowerLetter"/>
      <w:lvlText w:val="%2."/>
      <w:lvlJc w:val="left"/>
      <w:pPr>
        <w:ind w:left="-504" w:hanging="360"/>
      </w:pPr>
    </w:lvl>
    <w:lvl w:ilvl="2" w:tplc="A8E266DE" w:tentative="1">
      <w:start w:val="1"/>
      <w:numFmt w:val="lowerRoman"/>
      <w:lvlText w:val="%3."/>
      <w:lvlJc w:val="right"/>
      <w:pPr>
        <w:ind w:left="216" w:hanging="180"/>
      </w:pPr>
    </w:lvl>
    <w:lvl w:ilvl="3" w:tplc="A972E388" w:tentative="1">
      <w:start w:val="1"/>
      <w:numFmt w:val="decimal"/>
      <w:lvlText w:val="%4."/>
      <w:lvlJc w:val="left"/>
      <w:pPr>
        <w:ind w:left="936" w:hanging="360"/>
      </w:pPr>
    </w:lvl>
    <w:lvl w:ilvl="4" w:tplc="7BCE261C" w:tentative="1">
      <w:start w:val="1"/>
      <w:numFmt w:val="lowerLetter"/>
      <w:lvlText w:val="%5."/>
      <w:lvlJc w:val="left"/>
      <w:pPr>
        <w:ind w:left="1656" w:hanging="360"/>
      </w:pPr>
    </w:lvl>
    <w:lvl w:ilvl="5" w:tplc="6E4A8F5C" w:tentative="1">
      <w:start w:val="1"/>
      <w:numFmt w:val="lowerRoman"/>
      <w:lvlText w:val="%6."/>
      <w:lvlJc w:val="right"/>
      <w:pPr>
        <w:ind w:left="2376" w:hanging="180"/>
      </w:pPr>
    </w:lvl>
    <w:lvl w:ilvl="6" w:tplc="231C4100" w:tentative="1">
      <w:start w:val="1"/>
      <w:numFmt w:val="decimal"/>
      <w:lvlText w:val="%7."/>
      <w:lvlJc w:val="left"/>
      <w:pPr>
        <w:ind w:left="3096" w:hanging="360"/>
      </w:pPr>
    </w:lvl>
    <w:lvl w:ilvl="7" w:tplc="0DBC289A" w:tentative="1">
      <w:start w:val="1"/>
      <w:numFmt w:val="lowerLetter"/>
      <w:lvlText w:val="%8."/>
      <w:lvlJc w:val="left"/>
      <w:pPr>
        <w:ind w:left="3816" w:hanging="360"/>
      </w:pPr>
    </w:lvl>
    <w:lvl w:ilvl="8" w:tplc="EC94AC8C" w:tentative="1">
      <w:start w:val="1"/>
      <w:numFmt w:val="lowerRoman"/>
      <w:lvlText w:val="%9."/>
      <w:lvlJc w:val="right"/>
      <w:pPr>
        <w:ind w:left="4536" w:hanging="180"/>
      </w:pPr>
    </w:lvl>
  </w:abstractNum>
  <w:abstractNum w:abstractNumId="27" w15:restartNumberingAfterBreak="0">
    <w:nsid w:val="4D632597"/>
    <w:multiLevelType w:val="hybridMultilevel"/>
    <w:tmpl w:val="B68C9B74"/>
    <w:lvl w:ilvl="0" w:tplc="D746245C">
      <w:start w:val="1"/>
      <w:numFmt w:val="bullet"/>
      <w:lvlText w:val=""/>
      <w:lvlJc w:val="left"/>
      <w:pPr>
        <w:ind w:left="2886" w:hanging="360"/>
      </w:pPr>
      <w:rPr>
        <w:rFonts w:ascii="Wingdings" w:hAnsi="Wingdings" w:hint="default"/>
      </w:rPr>
    </w:lvl>
    <w:lvl w:ilvl="1" w:tplc="40E2AEF2" w:tentative="1">
      <w:start w:val="1"/>
      <w:numFmt w:val="bullet"/>
      <w:lvlText w:val="o"/>
      <w:lvlJc w:val="left"/>
      <w:pPr>
        <w:ind w:left="3606" w:hanging="360"/>
      </w:pPr>
      <w:rPr>
        <w:rFonts w:ascii="Courier New" w:hAnsi="Courier New" w:cs="Courier New" w:hint="default"/>
      </w:rPr>
    </w:lvl>
    <w:lvl w:ilvl="2" w:tplc="F8546526" w:tentative="1">
      <w:start w:val="1"/>
      <w:numFmt w:val="bullet"/>
      <w:lvlText w:val=""/>
      <w:lvlJc w:val="left"/>
      <w:pPr>
        <w:ind w:left="4326" w:hanging="360"/>
      </w:pPr>
      <w:rPr>
        <w:rFonts w:ascii="Wingdings" w:hAnsi="Wingdings" w:hint="default"/>
      </w:rPr>
    </w:lvl>
    <w:lvl w:ilvl="3" w:tplc="F1CCC1A0" w:tentative="1">
      <w:start w:val="1"/>
      <w:numFmt w:val="bullet"/>
      <w:lvlText w:val=""/>
      <w:lvlJc w:val="left"/>
      <w:pPr>
        <w:ind w:left="5046" w:hanging="360"/>
      </w:pPr>
      <w:rPr>
        <w:rFonts w:ascii="Symbol" w:hAnsi="Symbol" w:hint="default"/>
      </w:rPr>
    </w:lvl>
    <w:lvl w:ilvl="4" w:tplc="8A8A63FE" w:tentative="1">
      <w:start w:val="1"/>
      <w:numFmt w:val="bullet"/>
      <w:lvlText w:val="o"/>
      <w:lvlJc w:val="left"/>
      <w:pPr>
        <w:ind w:left="5766" w:hanging="360"/>
      </w:pPr>
      <w:rPr>
        <w:rFonts w:ascii="Courier New" w:hAnsi="Courier New" w:cs="Courier New" w:hint="default"/>
      </w:rPr>
    </w:lvl>
    <w:lvl w:ilvl="5" w:tplc="5B7CF81E" w:tentative="1">
      <w:start w:val="1"/>
      <w:numFmt w:val="bullet"/>
      <w:lvlText w:val=""/>
      <w:lvlJc w:val="left"/>
      <w:pPr>
        <w:ind w:left="6486" w:hanging="360"/>
      </w:pPr>
      <w:rPr>
        <w:rFonts w:ascii="Wingdings" w:hAnsi="Wingdings" w:hint="default"/>
      </w:rPr>
    </w:lvl>
    <w:lvl w:ilvl="6" w:tplc="294471B8" w:tentative="1">
      <w:start w:val="1"/>
      <w:numFmt w:val="bullet"/>
      <w:lvlText w:val=""/>
      <w:lvlJc w:val="left"/>
      <w:pPr>
        <w:ind w:left="7206" w:hanging="360"/>
      </w:pPr>
      <w:rPr>
        <w:rFonts w:ascii="Symbol" w:hAnsi="Symbol" w:hint="default"/>
      </w:rPr>
    </w:lvl>
    <w:lvl w:ilvl="7" w:tplc="0FE897DC" w:tentative="1">
      <w:start w:val="1"/>
      <w:numFmt w:val="bullet"/>
      <w:lvlText w:val="o"/>
      <w:lvlJc w:val="left"/>
      <w:pPr>
        <w:ind w:left="7926" w:hanging="360"/>
      </w:pPr>
      <w:rPr>
        <w:rFonts w:ascii="Courier New" w:hAnsi="Courier New" w:cs="Courier New" w:hint="default"/>
      </w:rPr>
    </w:lvl>
    <w:lvl w:ilvl="8" w:tplc="38D230AA" w:tentative="1">
      <w:start w:val="1"/>
      <w:numFmt w:val="bullet"/>
      <w:lvlText w:val=""/>
      <w:lvlJc w:val="left"/>
      <w:pPr>
        <w:ind w:left="8646" w:hanging="360"/>
      </w:pPr>
      <w:rPr>
        <w:rFonts w:ascii="Wingdings" w:hAnsi="Wingdings" w:hint="default"/>
      </w:rPr>
    </w:lvl>
  </w:abstractNum>
  <w:abstractNum w:abstractNumId="28" w15:restartNumberingAfterBreak="0">
    <w:nsid w:val="4ECF13D4"/>
    <w:multiLevelType w:val="hybridMultilevel"/>
    <w:tmpl w:val="B6B2843C"/>
    <w:lvl w:ilvl="0" w:tplc="3B8E499E">
      <w:start w:val="1"/>
      <w:numFmt w:val="bullet"/>
      <w:lvlText w:val=""/>
      <w:lvlJc w:val="left"/>
      <w:pPr>
        <w:ind w:left="2166" w:hanging="360"/>
      </w:pPr>
      <w:rPr>
        <w:rFonts w:ascii="Symbol" w:hAnsi="Symbol" w:hint="default"/>
      </w:rPr>
    </w:lvl>
    <w:lvl w:ilvl="1" w:tplc="AE6A94DA" w:tentative="1">
      <w:start w:val="1"/>
      <w:numFmt w:val="bullet"/>
      <w:lvlText w:val="o"/>
      <w:lvlJc w:val="left"/>
      <w:pPr>
        <w:ind w:left="2886" w:hanging="360"/>
      </w:pPr>
      <w:rPr>
        <w:rFonts w:ascii="Courier New" w:hAnsi="Courier New" w:cs="Courier New" w:hint="default"/>
      </w:rPr>
    </w:lvl>
    <w:lvl w:ilvl="2" w:tplc="E68C130C" w:tentative="1">
      <w:start w:val="1"/>
      <w:numFmt w:val="bullet"/>
      <w:lvlText w:val=""/>
      <w:lvlJc w:val="left"/>
      <w:pPr>
        <w:ind w:left="3606" w:hanging="360"/>
      </w:pPr>
      <w:rPr>
        <w:rFonts w:ascii="Wingdings" w:hAnsi="Wingdings" w:hint="default"/>
      </w:rPr>
    </w:lvl>
    <w:lvl w:ilvl="3" w:tplc="1FCE8822" w:tentative="1">
      <w:start w:val="1"/>
      <w:numFmt w:val="bullet"/>
      <w:lvlText w:val=""/>
      <w:lvlJc w:val="left"/>
      <w:pPr>
        <w:ind w:left="4326" w:hanging="360"/>
      </w:pPr>
      <w:rPr>
        <w:rFonts w:ascii="Symbol" w:hAnsi="Symbol" w:hint="default"/>
      </w:rPr>
    </w:lvl>
    <w:lvl w:ilvl="4" w:tplc="29ECC3A4" w:tentative="1">
      <w:start w:val="1"/>
      <w:numFmt w:val="bullet"/>
      <w:lvlText w:val="o"/>
      <w:lvlJc w:val="left"/>
      <w:pPr>
        <w:ind w:left="5046" w:hanging="360"/>
      </w:pPr>
      <w:rPr>
        <w:rFonts w:ascii="Courier New" w:hAnsi="Courier New" w:cs="Courier New" w:hint="default"/>
      </w:rPr>
    </w:lvl>
    <w:lvl w:ilvl="5" w:tplc="1164AFC2" w:tentative="1">
      <w:start w:val="1"/>
      <w:numFmt w:val="bullet"/>
      <w:lvlText w:val=""/>
      <w:lvlJc w:val="left"/>
      <w:pPr>
        <w:ind w:left="5766" w:hanging="360"/>
      </w:pPr>
      <w:rPr>
        <w:rFonts w:ascii="Wingdings" w:hAnsi="Wingdings" w:hint="default"/>
      </w:rPr>
    </w:lvl>
    <w:lvl w:ilvl="6" w:tplc="44C8177E" w:tentative="1">
      <w:start w:val="1"/>
      <w:numFmt w:val="bullet"/>
      <w:lvlText w:val=""/>
      <w:lvlJc w:val="left"/>
      <w:pPr>
        <w:ind w:left="6486" w:hanging="360"/>
      </w:pPr>
      <w:rPr>
        <w:rFonts w:ascii="Symbol" w:hAnsi="Symbol" w:hint="default"/>
      </w:rPr>
    </w:lvl>
    <w:lvl w:ilvl="7" w:tplc="935E1618" w:tentative="1">
      <w:start w:val="1"/>
      <w:numFmt w:val="bullet"/>
      <w:lvlText w:val="o"/>
      <w:lvlJc w:val="left"/>
      <w:pPr>
        <w:ind w:left="7206" w:hanging="360"/>
      </w:pPr>
      <w:rPr>
        <w:rFonts w:ascii="Courier New" w:hAnsi="Courier New" w:cs="Courier New" w:hint="default"/>
      </w:rPr>
    </w:lvl>
    <w:lvl w:ilvl="8" w:tplc="179AB934" w:tentative="1">
      <w:start w:val="1"/>
      <w:numFmt w:val="bullet"/>
      <w:lvlText w:val=""/>
      <w:lvlJc w:val="left"/>
      <w:pPr>
        <w:ind w:left="7926" w:hanging="360"/>
      </w:pPr>
      <w:rPr>
        <w:rFonts w:ascii="Wingdings" w:hAnsi="Wingdings" w:hint="default"/>
      </w:rPr>
    </w:lvl>
  </w:abstractNum>
  <w:abstractNum w:abstractNumId="29" w15:restartNumberingAfterBreak="0">
    <w:nsid w:val="4F5B25BE"/>
    <w:multiLevelType w:val="hybridMultilevel"/>
    <w:tmpl w:val="51B4DB2E"/>
    <w:lvl w:ilvl="0" w:tplc="DE04DA6E">
      <w:start w:val="1"/>
      <w:numFmt w:val="bullet"/>
      <w:lvlText w:val=""/>
      <w:lvlJc w:val="left"/>
      <w:pPr>
        <w:ind w:left="2166" w:hanging="360"/>
      </w:pPr>
      <w:rPr>
        <w:rFonts w:ascii="Symbol" w:hAnsi="Symbol" w:hint="default"/>
      </w:rPr>
    </w:lvl>
    <w:lvl w:ilvl="1" w:tplc="4DF65D54" w:tentative="1">
      <w:start w:val="1"/>
      <w:numFmt w:val="bullet"/>
      <w:lvlText w:val="o"/>
      <w:lvlJc w:val="left"/>
      <w:pPr>
        <w:ind w:left="2886" w:hanging="360"/>
      </w:pPr>
      <w:rPr>
        <w:rFonts w:ascii="Courier New" w:hAnsi="Courier New" w:cs="Courier New" w:hint="default"/>
      </w:rPr>
    </w:lvl>
    <w:lvl w:ilvl="2" w:tplc="DCC63E14" w:tentative="1">
      <w:start w:val="1"/>
      <w:numFmt w:val="bullet"/>
      <w:lvlText w:val=""/>
      <w:lvlJc w:val="left"/>
      <w:pPr>
        <w:ind w:left="3606" w:hanging="360"/>
      </w:pPr>
      <w:rPr>
        <w:rFonts w:ascii="Wingdings" w:hAnsi="Wingdings" w:hint="default"/>
      </w:rPr>
    </w:lvl>
    <w:lvl w:ilvl="3" w:tplc="FCB8AE8E" w:tentative="1">
      <w:start w:val="1"/>
      <w:numFmt w:val="bullet"/>
      <w:lvlText w:val=""/>
      <w:lvlJc w:val="left"/>
      <w:pPr>
        <w:ind w:left="4326" w:hanging="360"/>
      </w:pPr>
      <w:rPr>
        <w:rFonts w:ascii="Symbol" w:hAnsi="Symbol" w:hint="default"/>
      </w:rPr>
    </w:lvl>
    <w:lvl w:ilvl="4" w:tplc="1ECCCDD2" w:tentative="1">
      <w:start w:val="1"/>
      <w:numFmt w:val="bullet"/>
      <w:lvlText w:val="o"/>
      <w:lvlJc w:val="left"/>
      <w:pPr>
        <w:ind w:left="5046" w:hanging="360"/>
      </w:pPr>
      <w:rPr>
        <w:rFonts w:ascii="Courier New" w:hAnsi="Courier New" w:cs="Courier New" w:hint="default"/>
      </w:rPr>
    </w:lvl>
    <w:lvl w:ilvl="5" w:tplc="74901E58" w:tentative="1">
      <w:start w:val="1"/>
      <w:numFmt w:val="bullet"/>
      <w:lvlText w:val=""/>
      <w:lvlJc w:val="left"/>
      <w:pPr>
        <w:ind w:left="5766" w:hanging="360"/>
      </w:pPr>
      <w:rPr>
        <w:rFonts w:ascii="Wingdings" w:hAnsi="Wingdings" w:hint="default"/>
      </w:rPr>
    </w:lvl>
    <w:lvl w:ilvl="6" w:tplc="6AFA6D28" w:tentative="1">
      <w:start w:val="1"/>
      <w:numFmt w:val="bullet"/>
      <w:lvlText w:val=""/>
      <w:lvlJc w:val="left"/>
      <w:pPr>
        <w:ind w:left="6486" w:hanging="360"/>
      </w:pPr>
      <w:rPr>
        <w:rFonts w:ascii="Symbol" w:hAnsi="Symbol" w:hint="default"/>
      </w:rPr>
    </w:lvl>
    <w:lvl w:ilvl="7" w:tplc="27CC3A9E" w:tentative="1">
      <w:start w:val="1"/>
      <w:numFmt w:val="bullet"/>
      <w:lvlText w:val="o"/>
      <w:lvlJc w:val="left"/>
      <w:pPr>
        <w:ind w:left="7206" w:hanging="360"/>
      </w:pPr>
      <w:rPr>
        <w:rFonts w:ascii="Courier New" w:hAnsi="Courier New" w:cs="Courier New" w:hint="default"/>
      </w:rPr>
    </w:lvl>
    <w:lvl w:ilvl="8" w:tplc="45A2BB0E" w:tentative="1">
      <w:start w:val="1"/>
      <w:numFmt w:val="bullet"/>
      <w:lvlText w:val=""/>
      <w:lvlJc w:val="left"/>
      <w:pPr>
        <w:ind w:left="7926" w:hanging="360"/>
      </w:pPr>
      <w:rPr>
        <w:rFonts w:ascii="Wingdings" w:hAnsi="Wingdings" w:hint="default"/>
      </w:rPr>
    </w:lvl>
  </w:abstractNum>
  <w:abstractNum w:abstractNumId="30" w15:restartNumberingAfterBreak="0">
    <w:nsid w:val="53192E78"/>
    <w:multiLevelType w:val="hybridMultilevel"/>
    <w:tmpl w:val="B7BC228A"/>
    <w:lvl w:ilvl="0" w:tplc="301024E2">
      <w:start w:val="1"/>
      <w:numFmt w:val="decimal"/>
      <w:lvlText w:val="%1."/>
      <w:lvlJc w:val="left"/>
      <w:pPr>
        <w:ind w:left="720" w:hanging="360"/>
      </w:pPr>
    </w:lvl>
    <w:lvl w:ilvl="1" w:tplc="462E9E7A" w:tentative="1">
      <w:start w:val="1"/>
      <w:numFmt w:val="lowerLetter"/>
      <w:lvlText w:val="%2."/>
      <w:lvlJc w:val="left"/>
      <w:pPr>
        <w:ind w:left="1440" w:hanging="360"/>
      </w:pPr>
    </w:lvl>
    <w:lvl w:ilvl="2" w:tplc="42E48EEA" w:tentative="1">
      <w:start w:val="1"/>
      <w:numFmt w:val="lowerRoman"/>
      <w:lvlText w:val="%3."/>
      <w:lvlJc w:val="right"/>
      <w:pPr>
        <w:ind w:left="2160" w:hanging="180"/>
      </w:pPr>
    </w:lvl>
    <w:lvl w:ilvl="3" w:tplc="39C8274A" w:tentative="1">
      <w:start w:val="1"/>
      <w:numFmt w:val="decimal"/>
      <w:lvlText w:val="%4."/>
      <w:lvlJc w:val="left"/>
      <w:pPr>
        <w:ind w:left="2880" w:hanging="360"/>
      </w:pPr>
    </w:lvl>
    <w:lvl w:ilvl="4" w:tplc="A508A47E" w:tentative="1">
      <w:start w:val="1"/>
      <w:numFmt w:val="lowerLetter"/>
      <w:lvlText w:val="%5."/>
      <w:lvlJc w:val="left"/>
      <w:pPr>
        <w:ind w:left="3600" w:hanging="360"/>
      </w:pPr>
    </w:lvl>
    <w:lvl w:ilvl="5" w:tplc="ECF28D10" w:tentative="1">
      <w:start w:val="1"/>
      <w:numFmt w:val="lowerRoman"/>
      <w:lvlText w:val="%6."/>
      <w:lvlJc w:val="right"/>
      <w:pPr>
        <w:ind w:left="4320" w:hanging="180"/>
      </w:pPr>
    </w:lvl>
    <w:lvl w:ilvl="6" w:tplc="0226E948" w:tentative="1">
      <w:start w:val="1"/>
      <w:numFmt w:val="decimal"/>
      <w:lvlText w:val="%7."/>
      <w:lvlJc w:val="left"/>
      <w:pPr>
        <w:ind w:left="5040" w:hanging="360"/>
      </w:pPr>
    </w:lvl>
    <w:lvl w:ilvl="7" w:tplc="F1888A72" w:tentative="1">
      <w:start w:val="1"/>
      <w:numFmt w:val="lowerLetter"/>
      <w:lvlText w:val="%8."/>
      <w:lvlJc w:val="left"/>
      <w:pPr>
        <w:ind w:left="5760" w:hanging="360"/>
      </w:pPr>
    </w:lvl>
    <w:lvl w:ilvl="8" w:tplc="A4F6FA3C" w:tentative="1">
      <w:start w:val="1"/>
      <w:numFmt w:val="lowerRoman"/>
      <w:lvlText w:val="%9."/>
      <w:lvlJc w:val="right"/>
      <w:pPr>
        <w:ind w:left="6480" w:hanging="180"/>
      </w:pPr>
    </w:lvl>
  </w:abstractNum>
  <w:abstractNum w:abstractNumId="31" w15:restartNumberingAfterBreak="0">
    <w:nsid w:val="56287B81"/>
    <w:multiLevelType w:val="hybridMultilevel"/>
    <w:tmpl w:val="4C78ED6A"/>
    <w:lvl w:ilvl="0" w:tplc="6F3849CC">
      <w:start w:val="1"/>
      <w:numFmt w:val="decimal"/>
      <w:lvlText w:val="%1."/>
      <w:lvlJc w:val="left"/>
      <w:pPr>
        <w:ind w:left="1050" w:hanging="360"/>
      </w:pPr>
    </w:lvl>
    <w:lvl w:ilvl="1" w:tplc="7B3E5CA2" w:tentative="1">
      <w:start w:val="1"/>
      <w:numFmt w:val="lowerLetter"/>
      <w:lvlText w:val="%2."/>
      <w:lvlJc w:val="left"/>
      <w:pPr>
        <w:ind w:left="1770" w:hanging="360"/>
      </w:pPr>
    </w:lvl>
    <w:lvl w:ilvl="2" w:tplc="1BA86CAE" w:tentative="1">
      <w:start w:val="1"/>
      <w:numFmt w:val="lowerRoman"/>
      <w:lvlText w:val="%3."/>
      <w:lvlJc w:val="right"/>
      <w:pPr>
        <w:ind w:left="2490" w:hanging="180"/>
      </w:pPr>
    </w:lvl>
    <w:lvl w:ilvl="3" w:tplc="CF0C764C" w:tentative="1">
      <w:start w:val="1"/>
      <w:numFmt w:val="decimal"/>
      <w:lvlText w:val="%4."/>
      <w:lvlJc w:val="left"/>
      <w:pPr>
        <w:ind w:left="3210" w:hanging="360"/>
      </w:pPr>
    </w:lvl>
    <w:lvl w:ilvl="4" w:tplc="DE284F7A" w:tentative="1">
      <w:start w:val="1"/>
      <w:numFmt w:val="lowerLetter"/>
      <w:lvlText w:val="%5."/>
      <w:lvlJc w:val="left"/>
      <w:pPr>
        <w:ind w:left="3930" w:hanging="360"/>
      </w:pPr>
    </w:lvl>
    <w:lvl w:ilvl="5" w:tplc="752470DA" w:tentative="1">
      <w:start w:val="1"/>
      <w:numFmt w:val="lowerRoman"/>
      <w:lvlText w:val="%6."/>
      <w:lvlJc w:val="right"/>
      <w:pPr>
        <w:ind w:left="4650" w:hanging="180"/>
      </w:pPr>
    </w:lvl>
    <w:lvl w:ilvl="6" w:tplc="F38A8690" w:tentative="1">
      <w:start w:val="1"/>
      <w:numFmt w:val="decimal"/>
      <w:lvlText w:val="%7."/>
      <w:lvlJc w:val="left"/>
      <w:pPr>
        <w:ind w:left="5370" w:hanging="360"/>
      </w:pPr>
    </w:lvl>
    <w:lvl w:ilvl="7" w:tplc="E522D832" w:tentative="1">
      <w:start w:val="1"/>
      <w:numFmt w:val="lowerLetter"/>
      <w:lvlText w:val="%8."/>
      <w:lvlJc w:val="left"/>
      <w:pPr>
        <w:ind w:left="6090" w:hanging="360"/>
      </w:pPr>
    </w:lvl>
    <w:lvl w:ilvl="8" w:tplc="AC0CBA88" w:tentative="1">
      <w:start w:val="1"/>
      <w:numFmt w:val="lowerRoman"/>
      <w:lvlText w:val="%9."/>
      <w:lvlJc w:val="right"/>
      <w:pPr>
        <w:ind w:left="6810" w:hanging="180"/>
      </w:pPr>
    </w:lvl>
  </w:abstractNum>
  <w:abstractNum w:abstractNumId="32" w15:restartNumberingAfterBreak="0">
    <w:nsid w:val="58A86530"/>
    <w:multiLevelType w:val="hybridMultilevel"/>
    <w:tmpl w:val="76C02E28"/>
    <w:lvl w:ilvl="0" w:tplc="96A00362">
      <w:start w:val="1"/>
      <w:numFmt w:val="bullet"/>
      <w:lvlText w:val=""/>
      <w:lvlJc w:val="left"/>
      <w:pPr>
        <w:ind w:left="843" w:hanging="360"/>
      </w:pPr>
      <w:rPr>
        <w:rFonts w:ascii="Symbol" w:hAnsi="Symbol" w:hint="default"/>
      </w:rPr>
    </w:lvl>
    <w:lvl w:ilvl="1" w:tplc="3880DCB8" w:tentative="1">
      <w:start w:val="1"/>
      <w:numFmt w:val="bullet"/>
      <w:lvlText w:val="o"/>
      <w:lvlJc w:val="left"/>
      <w:pPr>
        <w:ind w:left="1563" w:hanging="360"/>
      </w:pPr>
      <w:rPr>
        <w:rFonts w:ascii="Courier New" w:hAnsi="Courier New" w:cs="Courier New" w:hint="default"/>
      </w:rPr>
    </w:lvl>
    <w:lvl w:ilvl="2" w:tplc="14A08624" w:tentative="1">
      <w:start w:val="1"/>
      <w:numFmt w:val="bullet"/>
      <w:lvlText w:val=""/>
      <w:lvlJc w:val="left"/>
      <w:pPr>
        <w:ind w:left="2283" w:hanging="360"/>
      </w:pPr>
      <w:rPr>
        <w:rFonts w:ascii="Wingdings" w:hAnsi="Wingdings" w:hint="default"/>
      </w:rPr>
    </w:lvl>
    <w:lvl w:ilvl="3" w:tplc="B810E02A" w:tentative="1">
      <w:start w:val="1"/>
      <w:numFmt w:val="bullet"/>
      <w:lvlText w:val=""/>
      <w:lvlJc w:val="left"/>
      <w:pPr>
        <w:ind w:left="3003" w:hanging="360"/>
      </w:pPr>
      <w:rPr>
        <w:rFonts w:ascii="Symbol" w:hAnsi="Symbol" w:hint="default"/>
      </w:rPr>
    </w:lvl>
    <w:lvl w:ilvl="4" w:tplc="67B296A0" w:tentative="1">
      <w:start w:val="1"/>
      <w:numFmt w:val="bullet"/>
      <w:lvlText w:val="o"/>
      <w:lvlJc w:val="left"/>
      <w:pPr>
        <w:ind w:left="3723" w:hanging="360"/>
      </w:pPr>
      <w:rPr>
        <w:rFonts w:ascii="Courier New" w:hAnsi="Courier New" w:cs="Courier New" w:hint="default"/>
      </w:rPr>
    </w:lvl>
    <w:lvl w:ilvl="5" w:tplc="F026646E" w:tentative="1">
      <w:start w:val="1"/>
      <w:numFmt w:val="bullet"/>
      <w:lvlText w:val=""/>
      <w:lvlJc w:val="left"/>
      <w:pPr>
        <w:ind w:left="4443" w:hanging="360"/>
      </w:pPr>
      <w:rPr>
        <w:rFonts w:ascii="Wingdings" w:hAnsi="Wingdings" w:hint="default"/>
      </w:rPr>
    </w:lvl>
    <w:lvl w:ilvl="6" w:tplc="57FCD964" w:tentative="1">
      <w:start w:val="1"/>
      <w:numFmt w:val="bullet"/>
      <w:lvlText w:val=""/>
      <w:lvlJc w:val="left"/>
      <w:pPr>
        <w:ind w:left="5163" w:hanging="360"/>
      </w:pPr>
      <w:rPr>
        <w:rFonts w:ascii="Symbol" w:hAnsi="Symbol" w:hint="default"/>
      </w:rPr>
    </w:lvl>
    <w:lvl w:ilvl="7" w:tplc="56686448" w:tentative="1">
      <w:start w:val="1"/>
      <w:numFmt w:val="bullet"/>
      <w:lvlText w:val="o"/>
      <w:lvlJc w:val="left"/>
      <w:pPr>
        <w:ind w:left="5883" w:hanging="360"/>
      </w:pPr>
      <w:rPr>
        <w:rFonts w:ascii="Courier New" w:hAnsi="Courier New" w:cs="Courier New" w:hint="default"/>
      </w:rPr>
    </w:lvl>
    <w:lvl w:ilvl="8" w:tplc="A06CF152" w:tentative="1">
      <w:start w:val="1"/>
      <w:numFmt w:val="bullet"/>
      <w:lvlText w:val=""/>
      <w:lvlJc w:val="left"/>
      <w:pPr>
        <w:ind w:left="6603" w:hanging="360"/>
      </w:pPr>
      <w:rPr>
        <w:rFonts w:ascii="Wingdings" w:hAnsi="Wingdings" w:hint="default"/>
      </w:rPr>
    </w:lvl>
  </w:abstractNum>
  <w:abstractNum w:abstractNumId="33" w15:restartNumberingAfterBreak="0">
    <w:nsid w:val="60F260E4"/>
    <w:multiLevelType w:val="hybridMultilevel"/>
    <w:tmpl w:val="B08C99E0"/>
    <w:lvl w:ilvl="0" w:tplc="7814010C">
      <w:start w:val="1"/>
      <w:numFmt w:val="bullet"/>
      <w:lvlText w:val="o"/>
      <w:lvlJc w:val="left"/>
      <w:pPr>
        <w:ind w:left="1446" w:hanging="360"/>
      </w:pPr>
      <w:rPr>
        <w:rFonts w:ascii="Courier New" w:hAnsi="Courier New" w:cs="Courier New" w:hint="default"/>
      </w:rPr>
    </w:lvl>
    <w:lvl w:ilvl="1" w:tplc="9C7A7988" w:tentative="1">
      <w:start w:val="1"/>
      <w:numFmt w:val="bullet"/>
      <w:lvlText w:val="o"/>
      <w:lvlJc w:val="left"/>
      <w:pPr>
        <w:ind w:left="2166" w:hanging="360"/>
      </w:pPr>
      <w:rPr>
        <w:rFonts w:ascii="Courier New" w:hAnsi="Courier New" w:cs="Courier New" w:hint="default"/>
      </w:rPr>
    </w:lvl>
    <w:lvl w:ilvl="2" w:tplc="C10A2314" w:tentative="1">
      <w:start w:val="1"/>
      <w:numFmt w:val="bullet"/>
      <w:lvlText w:val=""/>
      <w:lvlJc w:val="left"/>
      <w:pPr>
        <w:ind w:left="2886" w:hanging="360"/>
      </w:pPr>
      <w:rPr>
        <w:rFonts w:ascii="Wingdings" w:hAnsi="Wingdings" w:hint="default"/>
      </w:rPr>
    </w:lvl>
    <w:lvl w:ilvl="3" w:tplc="23106F6C" w:tentative="1">
      <w:start w:val="1"/>
      <w:numFmt w:val="bullet"/>
      <w:lvlText w:val=""/>
      <w:lvlJc w:val="left"/>
      <w:pPr>
        <w:ind w:left="3606" w:hanging="360"/>
      </w:pPr>
      <w:rPr>
        <w:rFonts w:ascii="Symbol" w:hAnsi="Symbol" w:hint="default"/>
      </w:rPr>
    </w:lvl>
    <w:lvl w:ilvl="4" w:tplc="E0DCFAE6" w:tentative="1">
      <w:start w:val="1"/>
      <w:numFmt w:val="bullet"/>
      <w:lvlText w:val="o"/>
      <w:lvlJc w:val="left"/>
      <w:pPr>
        <w:ind w:left="4326" w:hanging="360"/>
      </w:pPr>
      <w:rPr>
        <w:rFonts w:ascii="Courier New" w:hAnsi="Courier New" w:cs="Courier New" w:hint="default"/>
      </w:rPr>
    </w:lvl>
    <w:lvl w:ilvl="5" w:tplc="ED0A3300" w:tentative="1">
      <w:start w:val="1"/>
      <w:numFmt w:val="bullet"/>
      <w:lvlText w:val=""/>
      <w:lvlJc w:val="left"/>
      <w:pPr>
        <w:ind w:left="5046" w:hanging="360"/>
      </w:pPr>
      <w:rPr>
        <w:rFonts w:ascii="Wingdings" w:hAnsi="Wingdings" w:hint="default"/>
      </w:rPr>
    </w:lvl>
    <w:lvl w:ilvl="6" w:tplc="18F23B76" w:tentative="1">
      <w:start w:val="1"/>
      <w:numFmt w:val="bullet"/>
      <w:lvlText w:val=""/>
      <w:lvlJc w:val="left"/>
      <w:pPr>
        <w:ind w:left="5766" w:hanging="360"/>
      </w:pPr>
      <w:rPr>
        <w:rFonts w:ascii="Symbol" w:hAnsi="Symbol" w:hint="default"/>
      </w:rPr>
    </w:lvl>
    <w:lvl w:ilvl="7" w:tplc="A84E43C4" w:tentative="1">
      <w:start w:val="1"/>
      <w:numFmt w:val="bullet"/>
      <w:lvlText w:val="o"/>
      <w:lvlJc w:val="left"/>
      <w:pPr>
        <w:ind w:left="6486" w:hanging="360"/>
      </w:pPr>
      <w:rPr>
        <w:rFonts w:ascii="Courier New" w:hAnsi="Courier New" w:cs="Courier New" w:hint="default"/>
      </w:rPr>
    </w:lvl>
    <w:lvl w:ilvl="8" w:tplc="2B82897E" w:tentative="1">
      <w:start w:val="1"/>
      <w:numFmt w:val="bullet"/>
      <w:lvlText w:val=""/>
      <w:lvlJc w:val="left"/>
      <w:pPr>
        <w:ind w:left="7206" w:hanging="360"/>
      </w:pPr>
      <w:rPr>
        <w:rFonts w:ascii="Wingdings" w:hAnsi="Wingdings" w:hint="default"/>
      </w:rPr>
    </w:lvl>
  </w:abstractNum>
  <w:abstractNum w:abstractNumId="34" w15:restartNumberingAfterBreak="0">
    <w:nsid w:val="65140DAF"/>
    <w:multiLevelType w:val="hybridMultilevel"/>
    <w:tmpl w:val="361EA73A"/>
    <w:lvl w:ilvl="0" w:tplc="312CDFCE">
      <w:start w:val="1"/>
      <w:numFmt w:val="bullet"/>
      <w:lvlText w:val=""/>
      <w:lvlJc w:val="left"/>
      <w:pPr>
        <w:ind w:left="720" w:hanging="360"/>
      </w:pPr>
      <w:rPr>
        <w:rFonts w:ascii="Symbol" w:hAnsi="Symbol" w:hint="default"/>
      </w:rPr>
    </w:lvl>
    <w:lvl w:ilvl="1" w:tplc="7F704C58" w:tentative="1">
      <w:start w:val="1"/>
      <w:numFmt w:val="bullet"/>
      <w:lvlText w:val="o"/>
      <w:lvlJc w:val="left"/>
      <w:pPr>
        <w:ind w:left="1440" w:hanging="360"/>
      </w:pPr>
      <w:rPr>
        <w:rFonts w:ascii="Courier New" w:hAnsi="Courier New" w:cs="Courier New" w:hint="default"/>
      </w:rPr>
    </w:lvl>
    <w:lvl w:ilvl="2" w:tplc="48A20712" w:tentative="1">
      <w:start w:val="1"/>
      <w:numFmt w:val="bullet"/>
      <w:lvlText w:val=""/>
      <w:lvlJc w:val="left"/>
      <w:pPr>
        <w:ind w:left="2160" w:hanging="360"/>
      </w:pPr>
      <w:rPr>
        <w:rFonts w:ascii="Wingdings" w:hAnsi="Wingdings" w:hint="default"/>
      </w:rPr>
    </w:lvl>
    <w:lvl w:ilvl="3" w:tplc="A0F8E54C" w:tentative="1">
      <w:start w:val="1"/>
      <w:numFmt w:val="bullet"/>
      <w:lvlText w:val=""/>
      <w:lvlJc w:val="left"/>
      <w:pPr>
        <w:ind w:left="2880" w:hanging="360"/>
      </w:pPr>
      <w:rPr>
        <w:rFonts w:ascii="Symbol" w:hAnsi="Symbol" w:hint="default"/>
      </w:rPr>
    </w:lvl>
    <w:lvl w:ilvl="4" w:tplc="29BC76F2" w:tentative="1">
      <w:start w:val="1"/>
      <w:numFmt w:val="bullet"/>
      <w:lvlText w:val="o"/>
      <w:lvlJc w:val="left"/>
      <w:pPr>
        <w:ind w:left="3600" w:hanging="360"/>
      </w:pPr>
      <w:rPr>
        <w:rFonts w:ascii="Courier New" w:hAnsi="Courier New" w:cs="Courier New" w:hint="default"/>
      </w:rPr>
    </w:lvl>
    <w:lvl w:ilvl="5" w:tplc="AF40BFB2" w:tentative="1">
      <w:start w:val="1"/>
      <w:numFmt w:val="bullet"/>
      <w:lvlText w:val=""/>
      <w:lvlJc w:val="left"/>
      <w:pPr>
        <w:ind w:left="4320" w:hanging="360"/>
      </w:pPr>
      <w:rPr>
        <w:rFonts w:ascii="Wingdings" w:hAnsi="Wingdings" w:hint="default"/>
      </w:rPr>
    </w:lvl>
    <w:lvl w:ilvl="6" w:tplc="C2C0E942" w:tentative="1">
      <w:start w:val="1"/>
      <w:numFmt w:val="bullet"/>
      <w:lvlText w:val=""/>
      <w:lvlJc w:val="left"/>
      <w:pPr>
        <w:ind w:left="5040" w:hanging="360"/>
      </w:pPr>
      <w:rPr>
        <w:rFonts w:ascii="Symbol" w:hAnsi="Symbol" w:hint="default"/>
      </w:rPr>
    </w:lvl>
    <w:lvl w:ilvl="7" w:tplc="058E583E" w:tentative="1">
      <w:start w:val="1"/>
      <w:numFmt w:val="bullet"/>
      <w:lvlText w:val="o"/>
      <w:lvlJc w:val="left"/>
      <w:pPr>
        <w:ind w:left="5760" w:hanging="360"/>
      </w:pPr>
      <w:rPr>
        <w:rFonts w:ascii="Courier New" w:hAnsi="Courier New" w:cs="Courier New" w:hint="default"/>
      </w:rPr>
    </w:lvl>
    <w:lvl w:ilvl="8" w:tplc="DDDCE5BC" w:tentative="1">
      <w:start w:val="1"/>
      <w:numFmt w:val="bullet"/>
      <w:lvlText w:val=""/>
      <w:lvlJc w:val="left"/>
      <w:pPr>
        <w:ind w:left="6480" w:hanging="360"/>
      </w:pPr>
      <w:rPr>
        <w:rFonts w:ascii="Wingdings" w:hAnsi="Wingdings" w:hint="default"/>
      </w:rPr>
    </w:lvl>
  </w:abstractNum>
  <w:abstractNum w:abstractNumId="35" w15:restartNumberingAfterBreak="0">
    <w:nsid w:val="67492487"/>
    <w:multiLevelType w:val="hybridMultilevel"/>
    <w:tmpl w:val="EE54BAAA"/>
    <w:lvl w:ilvl="0" w:tplc="9F260C10">
      <w:start w:val="1"/>
      <w:numFmt w:val="bullet"/>
      <w:lvlText w:val="o"/>
      <w:lvlJc w:val="left"/>
      <w:pPr>
        <w:ind w:left="1446" w:hanging="360"/>
      </w:pPr>
      <w:rPr>
        <w:rFonts w:ascii="Courier New" w:hAnsi="Courier New" w:cs="Courier New" w:hint="default"/>
      </w:rPr>
    </w:lvl>
    <w:lvl w:ilvl="1" w:tplc="2BA4BCCA" w:tentative="1">
      <w:start w:val="1"/>
      <w:numFmt w:val="bullet"/>
      <w:lvlText w:val="o"/>
      <w:lvlJc w:val="left"/>
      <w:pPr>
        <w:ind w:left="2166" w:hanging="360"/>
      </w:pPr>
      <w:rPr>
        <w:rFonts w:ascii="Courier New" w:hAnsi="Courier New" w:cs="Courier New" w:hint="default"/>
      </w:rPr>
    </w:lvl>
    <w:lvl w:ilvl="2" w:tplc="2026A8B6" w:tentative="1">
      <w:start w:val="1"/>
      <w:numFmt w:val="bullet"/>
      <w:lvlText w:val=""/>
      <w:lvlJc w:val="left"/>
      <w:pPr>
        <w:ind w:left="2886" w:hanging="360"/>
      </w:pPr>
      <w:rPr>
        <w:rFonts w:ascii="Wingdings" w:hAnsi="Wingdings" w:hint="default"/>
      </w:rPr>
    </w:lvl>
    <w:lvl w:ilvl="3" w:tplc="FB6E3596" w:tentative="1">
      <w:start w:val="1"/>
      <w:numFmt w:val="bullet"/>
      <w:lvlText w:val=""/>
      <w:lvlJc w:val="left"/>
      <w:pPr>
        <w:ind w:left="3606" w:hanging="360"/>
      </w:pPr>
      <w:rPr>
        <w:rFonts w:ascii="Symbol" w:hAnsi="Symbol" w:hint="default"/>
      </w:rPr>
    </w:lvl>
    <w:lvl w:ilvl="4" w:tplc="17DE0284" w:tentative="1">
      <w:start w:val="1"/>
      <w:numFmt w:val="bullet"/>
      <w:lvlText w:val="o"/>
      <w:lvlJc w:val="left"/>
      <w:pPr>
        <w:ind w:left="4326" w:hanging="360"/>
      </w:pPr>
      <w:rPr>
        <w:rFonts w:ascii="Courier New" w:hAnsi="Courier New" w:cs="Courier New" w:hint="default"/>
      </w:rPr>
    </w:lvl>
    <w:lvl w:ilvl="5" w:tplc="DAF0ABFE" w:tentative="1">
      <w:start w:val="1"/>
      <w:numFmt w:val="bullet"/>
      <w:lvlText w:val=""/>
      <w:lvlJc w:val="left"/>
      <w:pPr>
        <w:ind w:left="5046" w:hanging="360"/>
      </w:pPr>
      <w:rPr>
        <w:rFonts w:ascii="Wingdings" w:hAnsi="Wingdings" w:hint="default"/>
      </w:rPr>
    </w:lvl>
    <w:lvl w:ilvl="6" w:tplc="DDAEDF60" w:tentative="1">
      <w:start w:val="1"/>
      <w:numFmt w:val="bullet"/>
      <w:lvlText w:val=""/>
      <w:lvlJc w:val="left"/>
      <w:pPr>
        <w:ind w:left="5766" w:hanging="360"/>
      </w:pPr>
      <w:rPr>
        <w:rFonts w:ascii="Symbol" w:hAnsi="Symbol" w:hint="default"/>
      </w:rPr>
    </w:lvl>
    <w:lvl w:ilvl="7" w:tplc="EACAC9F8" w:tentative="1">
      <w:start w:val="1"/>
      <w:numFmt w:val="bullet"/>
      <w:lvlText w:val="o"/>
      <w:lvlJc w:val="left"/>
      <w:pPr>
        <w:ind w:left="6486" w:hanging="360"/>
      </w:pPr>
      <w:rPr>
        <w:rFonts w:ascii="Courier New" w:hAnsi="Courier New" w:cs="Courier New" w:hint="default"/>
      </w:rPr>
    </w:lvl>
    <w:lvl w:ilvl="8" w:tplc="DC3C8E74" w:tentative="1">
      <w:start w:val="1"/>
      <w:numFmt w:val="bullet"/>
      <w:lvlText w:val=""/>
      <w:lvlJc w:val="left"/>
      <w:pPr>
        <w:ind w:left="7206" w:hanging="360"/>
      </w:pPr>
      <w:rPr>
        <w:rFonts w:ascii="Wingdings" w:hAnsi="Wingdings" w:hint="default"/>
      </w:rPr>
    </w:lvl>
  </w:abstractNum>
  <w:abstractNum w:abstractNumId="36" w15:restartNumberingAfterBreak="0">
    <w:nsid w:val="684037F4"/>
    <w:multiLevelType w:val="hybridMultilevel"/>
    <w:tmpl w:val="B4E8D35C"/>
    <w:lvl w:ilvl="0" w:tplc="8C3C4400">
      <w:start w:val="1"/>
      <w:numFmt w:val="decimal"/>
      <w:lvlText w:val="%1."/>
      <w:lvlJc w:val="left"/>
      <w:pPr>
        <w:ind w:left="720" w:hanging="360"/>
      </w:pPr>
    </w:lvl>
    <w:lvl w:ilvl="1" w:tplc="0F382974" w:tentative="1">
      <w:start w:val="1"/>
      <w:numFmt w:val="lowerLetter"/>
      <w:lvlText w:val="%2."/>
      <w:lvlJc w:val="left"/>
      <w:pPr>
        <w:ind w:left="1440" w:hanging="360"/>
      </w:pPr>
    </w:lvl>
    <w:lvl w:ilvl="2" w:tplc="AF6AE848" w:tentative="1">
      <w:start w:val="1"/>
      <w:numFmt w:val="lowerRoman"/>
      <w:lvlText w:val="%3."/>
      <w:lvlJc w:val="right"/>
      <w:pPr>
        <w:ind w:left="2160" w:hanging="180"/>
      </w:pPr>
    </w:lvl>
    <w:lvl w:ilvl="3" w:tplc="BDB45664" w:tentative="1">
      <w:start w:val="1"/>
      <w:numFmt w:val="decimal"/>
      <w:lvlText w:val="%4."/>
      <w:lvlJc w:val="left"/>
      <w:pPr>
        <w:ind w:left="2880" w:hanging="360"/>
      </w:pPr>
    </w:lvl>
    <w:lvl w:ilvl="4" w:tplc="D1B49056" w:tentative="1">
      <w:start w:val="1"/>
      <w:numFmt w:val="lowerLetter"/>
      <w:lvlText w:val="%5."/>
      <w:lvlJc w:val="left"/>
      <w:pPr>
        <w:ind w:left="3600" w:hanging="360"/>
      </w:pPr>
    </w:lvl>
    <w:lvl w:ilvl="5" w:tplc="A3F6BC70" w:tentative="1">
      <w:start w:val="1"/>
      <w:numFmt w:val="lowerRoman"/>
      <w:lvlText w:val="%6."/>
      <w:lvlJc w:val="right"/>
      <w:pPr>
        <w:ind w:left="4320" w:hanging="180"/>
      </w:pPr>
    </w:lvl>
    <w:lvl w:ilvl="6" w:tplc="86B69914" w:tentative="1">
      <w:start w:val="1"/>
      <w:numFmt w:val="decimal"/>
      <w:lvlText w:val="%7."/>
      <w:lvlJc w:val="left"/>
      <w:pPr>
        <w:ind w:left="5040" w:hanging="360"/>
      </w:pPr>
    </w:lvl>
    <w:lvl w:ilvl="7" w:tplc="32B017B0" w:tentative="1">
      <w:start w:val="1"/>
      <w:numFmt w:val="lowerLetter"/>
      <w:lvlText w:val="%8."/>
      <w:lvlJc w:val="left"/>
      <w:pPr>
        <w:ind w:left="5760" w:hanging="360"/>
      </w:pPr>
    </w:lvl>
    <w:lvl w:ilvl="8" w:tplc="2E76D78A" w:tentative="1">
      <w:start w:val="1"/>
      <w:numFmt w:val="lowerRoman"/>
      <w:lvlText w:val="%9."/>
      <w:lvlJc w:val="right"/>
      <w:pPr>
        <w:ind w:left="6480" w:hanging="180"/>
      </w:pPr>
    </w:lvl>
  </w:abstractNum>
  <w:abstractNum w:abstractNumId="37" w15:restartNumberingAfterBreak="0">
    <w:nsid w:val="6BC776D9"/>
    <w:multiLevelType w:val="hybridMultilevel"/>
    <w:tmpl w:val="06A8937C"/>
    <w:lvl w:ilvl="0" w:tplc="02803312">
      <w:start w:val="1"/>
      <w:numFmt w:val="bullet"/>
      <w:lvlText w:val=""/>
      <w:lvlJc w:val="left"/>
      <w:pPr>
        <w:ind w:left="720" w:hanging="360"/>
      </w:pPr>
      <w:rPr>
        <w:rFonts w:ascii="Symbol" w:hAnsi="Symbol" w:hint="default"/>
      </w:rPr>
    </w:lvl>
    <w:lvl w:ilvl="1" w:tplc="ABFEAA38" w:tentative="1">
      <w:start w:val="1"/>
      <w:numFmt w:val="bullet"/>
      <w:lvlText w:val="o"/>
      <w:lvlJc w:val="left"/>
      <w:pPr>
        <w:ind w:left="1440" w:hanging="360"/>
      </w:pPr>
      <w:rPr>
        <w:rFonts w:ascii="Courier New" w:hAnsi="Courier New" w:cs="Courier New" w:hint="default"/>
      </w:rPr>
    </w:lvl>
    <w:lvl w:ilvl="2" w:tplc="B6380032" w:tentative="1">
      <w:start w:val="1"/>
      <w:numFmt w:val="bullet"/>
      <w:lvlText w:val=""/>
      <w:lvlJc w:val="left"/>
      <w:pPr>
        <w:ind w:left="2160" w:hanging="360"/>
      </w:pPr>
      <w:rPr>
        <w:rFonts w:ascii="Wingdings" w:hAnsi="Wingdings" w:hint="default"/>
      </w:rPr>
    </w:lvl>
    <w:lvl w:ilvl="3" w:tplc="C47EBBA0" w:tentative="1">
      <w:start w:val="1"/>
      <w:numFmt w:val="bullet"/>
      <w:lvlText w:val=""/>
      <w:lvlJc w:val="left"/>
      <w:pPr>
        <w:ind w:left="2880" w:hanging="360"/>
      </w:pPr>
      <w:rPr>
        <w:rFonts w:ascii="Symbol" w:hAnsi="Symbol" w:hint="default"/>
      </w:rPr>
    </w:lvl>
    <w:lvl w:ilvl="4" w:tplc="98903FC0" w:tentative="1">
      <w:start w:val="1"/>
      <w:numFmt w:val="bullet"/>
      <w:lvlText w:val="o"/>
      <w:lvlJc w:val="left"/>
      <w:pPr>
        <w:ind w:left="3600" w:hanging="360"/>
      </w:pPr>
      <w:rPr>
        <w:rFonts w:ascii="Courier New" w:hAnsi="Courier New" w:cs="Courier New" w:hint="default"/>
      </w:rPr>
    </w:lvl>
    <w:lvl w:ilvl="5" w:tplc="38FA1BA6" w:tentative="1">
      <w:start w:val="1"/>
      <w:numFmt w:val="bullet"/>
      <w:lvlText w:val=""/>
      <w:lvlJc w:val="left"/>
      <w:pPr>
        <w:ind w:left="4320" w:hanging="360"/>
      </w:pPr>
      <w:rPr>
        <w:rFonts w:ascii="Wingdings" w:hAnsi="Wingdings" w:hint="default"/>
      </w:rPr>
    </w:lvl>
    <w:lvl w:ilvl="6" w:tplc="F07EC9C0" w:tentative="1">
      <w:start w:val="1"/>
      <w:numFmt w:val="bullet"/>
      <w:lvlText w:val=""/>
      <w:lvlJc w:val="left"/>
      <w:pPr>
        <w:ind w:left="5040" w:hanging="360"/>
      </w:pPr>
      <w:rPr>
        <w:rFonts w:ascii="Symbol" w:hAnsi="Symbol" w:hint="default"/>
      </w:rPr>
    </w:lvl>
    <w:lvl w:ilvl="7" w:tplc="6AA01500" w:tentative="1">
      <w:start w:val="1"/>
      <w:numFmt w:val="bullet"/>
      <w:lvlText w:val="o"/>
      <w:lvlJc w:val="left"/>
      <w:pPr>
        <w:ind w:left="5760" w:hanging="360"/>
      </w:pPr>
      <w:rPr>
        <w:rFonts w:ascii="Courier New" w:hAnsi="Courier New" w:cs="Courier New" w:hint="default"/>
      </w:rPr>
    </w:lvl>
    <w:lvl w:ilvl="8" w:tplc="0838C580" w:tentative="1">
      <w:start w:val="1"/>
      <w:numFmt w:val="bullet"/>
      <w:lvlText w:val=""/>
      <w:lvlJc w:val="left"/>
      <w:pPr>
        <w:ind w:left="6480" w:hanging="360"/>
      </w:pPr>
      <w:rPr>
        <w:rFonts w:ascii="Wingdings" w:hAnsi="Wingdings" w:hint="default"/>
      </w:rPr>
    </w:lvl>
  </w:abstractNum>
  <w:abstractNum w:abstractNumId="38" w15:restartNumberingAfterBreak="0">
    <w:nsid w:val="6C0553C7"/>
    <w:multiLevelType w:val="hybridMultilevel"/>
    <w:tmpl w:val="685033B2"/>
    <w:lvl w:ilvl="0" w:tplc="BC6876B4">
      <w:start w:val="1"/>
      <w:numFmt w:val="bullet"/>
      <w:lvlText w:val=""/>
      <w:lvlJc w:val="left"/>
      <w:pPr>
        <w:ind w:left="720" w:hanging="360"/>
      </w:pPr>
      <w:rPr>
        <w:rFonts w:ascii="Symbol" w:hAnsi="Symbol" w:hint="default"/>
      </w:rPr>
    </w:lvl>
    <w:lvl w:ilvl="1" w:tplc="64D47E86" w:tentative="1">
      <w:start w:val="1"/>
      <w:numFmt w:val="bullet"/>
      <w:lvlText w:val="o"/>
      <w:lvlJc w:val="left"/>
      <w:pPr>
        <w:ind w:left="1440" w:hanging="360"/>
      </w:pPr>
      <w:rPr>
        <w:rFonts w:ascii="Courier New" w:hAnsi="Courier New" w:cs="Courier New" w:hint="default"/>
      </w:rPr>
    </w:lvl>
    <w:lvl w:ilvl="2" w:tplc="689A327A" w:tentative="1">
      <w:start w:val="1"/>
      <w:numFmt w:val="bullet"/>
      <w:lvlText w:val=""/>
      <w:lvlJc w:val="left"/>
      <w:pPr>
        <w:ind w:left="2160" w:hanging="360"/>
      </w:pPr>
      <w:rPr>
        <w:rFonts w:ascii="Wingdings" w:hAnsi="Wingdings" w:hint="default"/>
      </w:rPr>
    </w:lvl>
    <w:lvl w:ilvl="3" w:tplc="B94AF530" w:tentative="1">
      <w:start w:val="1"/>
      <w:numFmt w:val="bullet"/>
      <w:lvlText w:val=""/>
      <w:lvlJc w:val="left"/>
      <w:pPr>
        <w:ind w:left="2880" w:hanging="360"/>
      </w:pPr>
      <w:rPr>
        <w:rFonts w:ascii="Symbol" w:hAnsi="Symbol" w:hint="default"/>
      </w:rPr>
    </w:lvl>
    <w:lvl w:ilvl="4" w:tplc="E314F592" w:tentative="1">
      <w:start w:val="1"/>
      <w:numFmt w:val="bullet"/>
      <w:lvlText w:val="o"/>
      <w:lvlJc w:val="left"/>
      <w:pPr>
        <w:ind w:left="3600" w:hanging="360"/>
      </w:pPr>
      <w:rPr>
        <w:rFonts w:ascii="Courier New" w:hAnsi="Courier New" w:cs="Courier New" w:hint="default"/>
      </w:rPr>
    </w:lvl>
    <w:lvl w:ilvl="5" w:tplc="89AAAD1A" w:tentative="1">
      <w:start w:val="1"/>
      <w:numFmt w:val="bullet"/>
      <w:lvlText w:val=""/>
      <w:lvlJc w:val="left"/>
      <w:pPr>
        <w:ind w:left="4320" w:hanging="360"/>
      </w:pPr>
      <w:rPr>
        <w:rFonts w:ascii="Wingdings" w:hAnsi="Wingdings" w:hint="default"/>
      </w:rPr>
    </w:lvl>
    <w:lvl w:ilvl="6" w:tplc="73E452BA" w:tentative="1">
      <w:start w:val="1"/>
      <w:numFmt w:val="bullet"/>
      <w:lvlText w:val=""/>
      <w:lvlJc w:val="left"/>
      <w:pPr>
        <w:ind w:left="5040" w:hanging="360"/>
      </w:pPr>
      <w:rPr>
        <w:rFonts w:ascii="Symbol" w:hAnsi="Symbol" w:hint="default"/>
      </w:rPr>
    </w:lvl>
    <w:lvl w:ilvl="7" w:tplc="1D28CF12" w:tentative="1">
      <w:start w:val="1"/>
      <w:numFmt w:val="bullet"/>
      <w:lvlText w:val="o"/>
      <w:lvlJc w:val="left"/>
      <w:pPr>
        <w:ind w:left="5760" w:hanging="360"/>
      </w:pPr>
      <w:rPr>
        <w:rFonts w:ascii="Courier New" w:hAnsi="Courier New" w:cs="Courier New" w:hint="default"/>
      </w:rPr>
    </w:lvl>
    <w:lvl w:ilvl="8" w:tplc="7C7C11AA" w:tentative="1">
      <w:start w:val="1"/>
      <w:numFmt w:val="bullet"/>
      <w:lvlText w:val=""/>
      <w:lvlJc w:val="left"/>
      <w:pPr>
        <w:ind w:left="6480" w:hanging="360"/>
      </w:pPr>
      <w:rPr>
        <w:rFonts w:ascii="Wingdings" w:hAnsi="Wingdings" w:hint="default"/>
      </w:rPr>
    </w:lvl>
  </w:abstractNum>
  <w:abstractNum w:abstractNumId="39" w15:restartNumberingAfterBreak="0">
    <w:nsid w:val="71BD28E9"/>
    <w:multiLevelType w:val="hybridMultilevel"/>
    <w:tmpl w:val="149E4062"/>
    <w:lvl w:ilvl="0" w:tplc="09763B9C">
      <w:start w:val="1"/>
      <w:numFmt w:val="bullet"/>
      <w:lvlText w:val=""/>
      <w:lvlJc w:val="left"/>
      <w:pPr>
        <w:ind w:left="720" w:hanging="360"/>
      </w:pPr>
      <w:rPr>
        <w:rFonts w:ascii="Symbol" w:hAnsi="Symbol" w:hint="default"/>
      </w:rPr>
    </w:lvl>
    <w:lvl w:ilvl="1" w:tplc="1E4C8A5A">
      <w:start w:val="1"/>
      <w:numFmt w:val="bullet"/>
      <w:lvlText w:val="o"/>
      <w:lvlJc w:val="left"/>
      <w:pPr>
        <w:ind w:left="1440" w:hanging="360"/>
      </w:pPr>
      <w:rPr>
        <w:rFonts w:ascii="Courier New" w:hAnsi="Courier New" w:cs="Courier New" w:hint="default"/>
      </w:rPr>
    </w:lvl>
    <w:lvl w:ilvl="2" w:tplc="1F88EDC2">
      <w:start w:val="1"/>
      <w:numFmt w:val="bullet"/>
      <w:lvlText w:val=""/>
      <w:lvlJc w:val="left"/>
      <w:pPr>
        <w:ind w:left="2160" w:hanging="360"/>
      </w:pPr>
      <w:rPr>
        <w:rFonts w:ascii="Wingdings" w:hAnsi="Wingdings" w:cs="Wingdings" w:hint="default"/>
      </w:rPr>
    </w:lvl>
    <w:lvl w:ilvl="3" w:tplc="D924B8BA">
      <w:start w:val="1"/>
      <w:numFmt w:val="bullet"/>
      <w:lvlText w:val=""/>
      <w:lvlJc w:val="left"/>
      <w:pPr>
        <w:ind w:left="2880" w:hanging="360"/>
      </w:pPr>
      <w:rPr>
        <w:rFonts w:ascii="Symbol" w:hAnsi="Symbol" w:cs="Symbol" w:hint="default"/>
      </w:rPr>
    </w:lvl>
    <w:lvl w:ilvl="4" w:tplc="5524D7B2">
      <w:start w:val="1"/>
      <w:numFmt w:val="bullet"/>
      <w:lvlText w:val="o"/>
      <w:lvlJc w:val="left"/>
      <w:pPr>
        <w:ind w:left="3600" w:hanging="360"/>
      </w:pPr>
      <w:rPr>
        <w:rFonts w:ascii="Courier New" w:hAnsi="Courier New" w:cs="Courier New" w:hint="default"/>
      </w:rPr>
    </w:lvl>
    <w:lvl w:ilvl="5" w:tplc="6EB24344">
      <w:start w:val="1"/>
      <w:numFmt w:val="bullet"/>
      <w:lvlText w:val=""/>
      <w:lvlJc w:val="left"/>
      <w:pPr>
        <w:ind w:left="4320" w:hanging="360"/>
      </w:pPr>
      <w:rPr>
        <w:rFonts w:ascii="Wingdings" w:hAnsi="Wingdings" w:cs="Wingdings" w:hint="default"/>
      </w:rPr>
    </w:lvl>
    <w:lvl w:ilvl="6" w:tplc="F3E2EB46">
      <w:start w:val="1"/>
      <w:numFmt w:val="bullet"/>
      <w:lvlText w:val=""/>
      <w:lvlJc w:val="left"/>
      <w:pPr>
        <w:ind w:left="5040" w:hanging="360"/>
      </w:pPr>
      <w:rPr>
        <w:rFonts w:ascii="Symbol" w:hAnsi="Symbol" w:cs="Symbol" w:hint="default"/>
      </w:rPr>
    </w:lvl>
    <w:lvl w:ilvl="7" w:tplc="A4D887DA">
      <w:start w:val="1"/>
      <w:numFmt w:val="bullet"/>
      <w:lvlText w:val="o"/>
      <w:lvlJc w:val="left"/>
      <w:pPr>
        <w:ind w:left="5760" w:hanging="360"/>
      </w:pPr>
      <w:rPr>
        <w:rFonts w:ascii="Courier New" w:hAnsi="Courier New" w:cs="Courier New" w:hint="default"/>
      </w:rPr>
    </w:lvl>
    <w:lvl w:ilvl="8" w:tplc="61A0A594">
      <w:start w:val="1"/>
      <w:numFmt w:val="bullet"/>
      <w:lvlText w:val=""/>
      <w:lvlJc w:val="left"/>
      <w:pPr>
        <w:ind w:left="6480" w:hanging="360"/>
      </w:pPr>
      <w:rPr>
        <w:rFonts w:ascii="Wingdings" w:hAnsi="Wingdings" w:cs="Wingdings" w:hint="default"/>
      </w:rPr>
    </w:lvl>
  </w:abstractNum>
  <w:abstractNum w:abstractNumId="40" w15:restartNumberingAfterBreak="0">
    <w:nsid w:val="726424A4"/>
    <w:multiLevelType w:val="hybridMultilevel"/>
    <w:tmpl w:val="D354FCF4"/>
    <w:lvl w:ilvl="0" w:tplc="5C70B7C2">
      <w:start w:val="1"/>
      <w:numFmt w:val="decimal"/>
      <w:lvlText w:val="%1."/>
      <w:lvlJc w:val="left"/>
      <w:pPr>
        <w:ind w:left="720" w:hanging="360"/>
      </w:pPr>
      <w:rPr>
        <w:rFonts w:hint="default"/>
      </w:rPr>
    </w:lvl>
    <w:lvl w:ilvl="1" w:tplc="2572C86E" w:tentative="1">
      <w:start w:val="1"/>
      <w:numFmt w:val="lowerLetter"/>
      <w:lvlText w:val="%2."/>
      <w:lvlJc w:val="left"/>
      <w:pPr>
        <w:ind w:left="1440" w:hanging="360"/>
      </w:pPr>
    </w:lvl>
    <w:lvl w:ilvl="2" w:tplc="DAAA5AD6" w:tentative="1">
      <w:start w:val="1"/>
      <w:numFmt w:val="lowerRoman"/>
      <w:lvlText w:val="%3."/>
      <w:lvlJc w:val="right"/>
      <w:pPr>
        <w:ind w:left="2160" w:hanging="180"/>
      </w:pPr>
    </w:lvl>
    <w:lvl w:ilvl="3" w:tplc="3F76023E" w:tentative="1">
      <w:start w:val="1"/>
      <w:numFmt w:val="decimal"/>
      <w:lvlText w:val="%4."/>
      <w:lvlJc w:val="left"/>
      <w:pPr>
        <w:ind w:left="2880" w:hanging="360"/>
      </w:pPr>
    </w:lvl>
    <w:lvl w:ilvl="4" w:tplc="4A8EA710" w:tentative="1">
      <w:start w:val="1"/>
      <w:numFmt w:val="lowerLetter"/>
      <w:lvlText w:val="%5."/>
      <w:lvlJc w:val="left"/>
      <w:pPr>
        <w:ind w:left="3600" w:hanging="360"/>
      </w:pPr>
    </w:lvl>
    <w:lvl w:ilvl="5" w:tplc="7CD22404" w:tentative="1">
      <w:start w:val="1"/>
      <w:numFmt w:val="lowerRoman"/>
      <w:lvlText w:val="%6."/>
      <w:lvlJc w:val="right"/>
      <w:pPr>
        <w:ind w:left="4320" w:hanging="180"/>
      </w:pPr>
    </w:lvl>
    <w:lvl w:ilvl="6" w:tplc="2B08287A" w:tentative="1">
      <w:start w:val="1"/>
      <w:numFmt w:val="decimal"/>
      <w:lvlText w:val="%7."/>
      <w:lvlJc w:val="left"/>
      <w:pPr>
        <w:ind w:left="5040" w:hanging="360"/>
      </w:pPr>
    </w:lvl>
    <w:lvl w:ilvl="7" w:tplc="400EC540" w:tentative="1">
      <w:start w:val="1"/>
      <w:numFmt w:val="lowerLetter"/>
      <w:lvlText w:val="%8."/>
      <w:lvlJc w:val="left"/>
      <w:pPr>
        <w:ind w:left="5760" w:hanging="360"/>
      </w:pPr>
    </w:lvl>
    <w:lvl w:ilvl="8" w:tplc="CFD2581E" w:tentative="1">
      <w:start w:val="1"/>
      <w:numFmt w:val="lowerRoman"/>
      <w:lvlText w:val="%9."/>
      <w:lvlJc w:val="right"/>
      <w:pPr>
        <w:ind w:left="6480" w:hanging="180"/>
      </w:pPr>
    </w:lvl>
  </w:abstractNum>
  <w:abstractNum w:abstractNumId="41" w15:restartNumberingAfterBreak="0">
    <w:nsid w:val="76EE5A6F"/>
    <w:multiLevelType w:val="hybridMultilevel"/>
    <w:tmpl w:val="39889580"/>
    <w:lvl w:ilvl="0" w:tplc="BE3C9580">
      <w:start w:val="1"/>
      <w:numFmt w:val="decimal"/>
      <w:lvlText w:val="%1."/>
      <w:lvlJc w:val="left"/>
      <w:pPr>
        <w:ind w:left="720" w:hanging="360"/>
      </w:pPr>
    </w:lvl>
    <w:lvl w:ilvl="1" w:tplc="D526A160" w:tentative="1">
      <w:start w:val="1"/>
      <w:numFmt w:val="lowerLetter"/>
      <w:lvlText w:val="%2."/>
      <w:lvlJc w:val="left"/>
      <w:pPr>
        <w:ind w:left="1440" w:hanging="360"/>
      </w:pPr>
    </w:lvl>
    <w:lvl w:ilvl="2" w:tplc="78D02732" w:tentative="1">
      <w:start w:val="1"/>
      <w:numFmt w:val="lowerRoman"/>
      <w:lvlText w:val="%3."/>
      <w:lvlJc w:val="right"/>
      <w:pPr>
        <w:ind w:left="2160" w:hanging="180"/>
      </w:pPr>
    </w:lvl>
    <w:lvl w:ilvl="3" w:tplc="074C5D38" w:tentative="1">
      <w:start w:val="1"/>
      <w:numFmt w:val="decimal"/>
      <w:lvlText w:val="%4."/>
      <w:lvlJc w:val="left"/>
      <w:pPr>
        <w:ind w:left="2880" w:hanging="360"/>
      </w:pPr>
    </w:lvl>
    <w:lvl w:ilvl="4" w:tplc="90D4B220" w:tentative="1">
      <w:start w:val="1"/>
      <w:numFmt w:val="lowerLetter"/>
      <w:lvlText w:val="%5."/>
      <w:lvlJc w:val="left"/>
      <w:pPr>
        <w:ind w:left="3600" w:hanging="360"/>
      </w:pPr>
    </w:lvl>
    <w:lvl w:ilvl="5" w:tplc="F794814E" w:tentative="1">
      <w:start w:val="1"/>
      <w:numFmt w:val="lowerRoman"/>
      <w:lvlText w:val="%6."/>
      <w:lvlJc w:val="right"/>
      <w:pPr>
        <w:ind w:left="4320" w:hanging="180"/>
      </w:pPr>
    </w:lvl>
    <w:lvl w:ilvl="6" w:tplc="336E8036" w:tentative="1">
      <w:start w:val="1"/>
      <w:numFmt w:val="decimal"/>
      <w:lvlText w:val="%7."/>
      <w:lvlJc w:val="left"/>
      <w:pPr>
        <w:ind w:left="5040" w:hanging="360"/>
      </w:pPr>
    </w:lvl>
    <w:lvl w:ilvl="7" w:tplc="36C6B86E" w:tentative="1">
      <w:start w:val="1"/>
      <w:numFmt w:val="lowerLetter"/>
      <w:lvlText w:val="%8."/>
      <w:lvlJc w:val="left"/>
      <w:pPr>
        <w:ind w:left="5760" w:hanging="360"/>
      </w:pPr>
    </w:lvl>
    <w:lvl w:ilvl="8" w:tplc="E12283D0" w:tentative="1">
      <w:start w:val="1"/>
      <w:numFmt w:val="lowerRoman"/>
      <w:lvlText w:val="%9."/>
      <w:lvlJc w:val="right"/>
      <w:pPr>
        <w:ind w:left="6480" w:hanging="180"/>
      </w:pPr>
    </w:lvl>
  </w:abstractNum>
  <w:abstractNum w:abstractNumId="42" w15:restartNumberingAfterBreak="0">
    <w:nsid w:val="7B2D335E"/>
    <w:multiLevelType w:val="hybridMultilevel"/>
    <w:tmpl w:val="D00846BE"/>
    <w:lvl w:ilvl="0" w:tplc="B472EB0E">
      <w:start w:val="1"/>
      <w:numFmt w:val="bullet"/>
      <w:lvlText w:val=""/>
      <w:lvlJc w:val="left"/>
      <w:pPr>
        <w:ind w:left="1446" w:hanging="360"/>
      </w:pPr>
      <w:rPr>
        <w:rFonts w:ascii="Symbol" w:hAnsi="Symbol" w:hint="default"/>
      </w:rPr>
    </w:lvl>
    <w:lvl w:ilvl="1" w:tplc="0E94A0EC" w:tentative="1">
      <w:start w:val="1"/>
      <w:numFmt w:val="bullet"/>
      <w:lvlText w:val="o"/>
      <w:lvlJc w:val="left"/>
      <w:pPr>
        <w:ind w:left="2166" w:hanging="360"/>
      </w:pPr>
      <w:rPr>
        <w:rFonts w:ascii="Courier New" w:hAnsi="Courier New" w:cs="Courier New" w:hint="default"/>
      </w:rPr>
    </w:lvl>
    <w:lvl w:ilvl="2" w:tplc="1F927BCC" w:tentative="1">
      <w:start w:val="1"/>
      <w:numFmt w:val="bullet"/>
      <w:lvlText w:val=""/>
      <w:lvlJc w:val="left"/>
      <w:pPr>
        <w:ind w:left="2886" w:hanging="360"/>
      </w:pPr>
      <w:rPr>
        <w:rFonts w:ascii="Wingdings" w:hAnsi="Wingdings" w:hint="default"/>
      </w:rPr>
    </w:lvl>
    <w:lvl w:ilvl="3" w:tplc="9DF8D4D4" w:tentative="1">
      <w:start w:val="1"/>
      <w:numFmt w:val="bullet"/>
      <w:lvlText w:val=""/>
      <w:lvlJc w:val="left"/>
      <w:pPr>
        <w:ind w:left="3606" w:hanging="360"/>
      </w:pPr>
      <w:rPr>
        <w:rFonts w:ascii="Symbol" w:hAnsi="Symbol" w:hint="default"/>
      </w:rPr>
    </w:lvl>
    <w:lvl w:ilvl="4" w:tplc="6ACEEF60" w:tentative="1">
      <w:start w:val="1"/>
      <w:numFmt w:val="bullet"/>
      <w:lvlText w:val="o"/>
      <w:lvlJc w:val="left"/>
      <w:pPr>
        <w:ind w:left="4326" w:hanging="360"/>
      </w:pPr>
      <w:rPr>
        <w:rFonts w:ascii="Courier New" w:hAnsi="Courier New" w:cs="Courier New" w:hint="default"/>
      </w:rPr>
    </w:lvl>
    <w:lvl w:ilvl="5" w:tplc="C29435EA" w:tentative="1">
      <w:start w:val="1"/>
      <w:numFmt w:val="bullet"/>
      <w:lvlText w:val=""/>
      <w:lvlJc w:val="left"/>
      <w:pPr>
        <w:ind w:left="5046" w:hanging="360"/>
      </w:pPr>
      <w:rPr>
        <w:rFonts w:ascii="Wingdings" w:hAnsi="Wingdings" w:hint="default"/>
      </w:rPr>
    </w:lvl>
    <w:lvl w:ilvl="6" w:tplc="A2E26498" w:tentative="1">
      <w:start w:val="1"/>
      <w:numFmt w:val="bullet"/>
      <w:lvlText w:val=""/>
      <w:lvlJc w:val="left"/>
      <w:pPr>
        <w:ind w:left="5766" w:hanging="360"/>
      </w:pPr>
      <w:rPr>
        <w:rFonts w:ascii="Symbol" w:hAnsi="Symbol" w:hint="default"/>
      </w:rPr>
    </w:lvl>
    <w:lvl w:ilvl="7" w:tplc="A4D4EF1A" w:tentative="1">
      <w:start w:val="1"/>
      <w:numFmt w:val="bullet"/>
      <w:lvlText w:val="o"/>
      <w:lvlJc w:val="left"/>
      <w:pPr>
        <w:ind w:left="6486" w:hanging="360"/>
      </w:pPr>
      <w:rPr>
        <w:rFonts w:ascii="Courier New" w:hAnsi="Courier New" w:cs="Courier New" w:hint="default"/>
      </w:rPr>
    </w:lvl>
    <w:lvl w:ilvl="8" w:tplc="47E47A86" w:tentative="1">
      <w:start w:val="1"/>
      <w:numFmt w:val="bullet"/>
      <w:lvlText w:val=""/>
      <w:lvlJc w:val="left"/>
      <w:pPr>
        <w:ind w:left="7206" w:hanging="360"/>
      </w:pPr>
      <w:rPr>
        <w:rFonts w:ascii="Wingdings" w:hAnsi="Wingdings" w:hint="default"/>
      </w:rPr>
    </w:lvl>
  </w:abstractNum>
  <w:abstractNum w:abstractNumId="43" w15:restartNumberingAfterBreak="0">
    <w:nsid w:val="7B577CE0"/>
    <w:multiLevelType w:val="hybridMultilevel"/>
    <w:tmpl w:val="BFEEAD8C"/>
    <w:lvl w:ilvl="0" w:tplc="AE72C6F8">
      <w:start w:val="1"/>
      <w:numFmt w:val="decimal"/>
      <w:lvlText w:val="%1."/>
      <w:lvlJc w:val="left"/>
      <w:pPr>
        <w:ind w:left="945" w:hanging="585"/>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34"/>
  </w:num>
  <w:num w:numId="3">
    <w:abstractNumId w:val="38"/>
  </w:num>
  <w:num w:numId="4">
    <w:abstractNumId w:val="40"/>
  </w:num>
  <w:num w:numId="5">
    <w:abstractNumId w:val="5"/>
  </w:num>
  <w:num w:numId="6">
    <w:abstractNumId w:val="26"/>
  </w:num>
  <w:num w:numId="7">
    <w:abstractNumId w:val="23"/>
  </w:num>
  <w:num w:numId="8">
    <w:abstractNumId w:val="16"/>
  </w:num>
  <w:num w:numId="9">
    <w:abstractNumId w:val="22"/>
  </w:num>
  <w:num w:numId="10">
    <w:abstractNumId w:val="1"/>
  </w:num>
  <w:num w:numId="11">
    <w:abstractNumId w:val="25"/>
  </w:num>
  <w:num w:numId="12">
    <w:abstractNumId w:val="19"/>
  </w:num>
  <w:num w:numId="13">
    <w:abstractNumId w:val="8"/>
  </w:num>
  <w:num w:numId="14">
    <w:abstractNumId w:val="12"/>
  </w:num>
  <w:num w:numId="15">
    <w:abstractNumId w:val="6"/>
  </w:num>
  <w:num w:numId="16">
    <w:abstractNumId w:val="2"/>
  </w:num>
  <w:num w:numId="17">
    <w:abstractNumId w:val="35"/>
  </w:num>
  <w:num w:numId="18">
    <w:abstractNumId w:val="14"/>
  </w:num>
  <w:num w:numId="19">
    <w:abstractNumId w:val="33"/>
  </w:num>
  <w:num w:numId="20">
    <w:abstractNumId w:val="42"/>
  </w:num>
  <w:num w:numId="21">
    <w:abstractNumId w:val="36"/>
  </w:num>
  <w:num w:numId="22">
    <w:abstractNumId w:val="13"/>
  </w:num>
  <w:num w:numId="23">
    <w:abstractNumId w:val="15"/>
  </w:num>
  <w:num w:numId="24">
    <w:abstractNumId w:val="29"/>
  </w:num>
  <w:num w:numId="25">
    <w:abstractNumId w:val="0"/>
  </w:num>
  <w:num w:numId="26">
    <w:abstractNumId w:val="27"/>
  </w:num>
  <w:num w:numId="27">
    <w:abstractNumId w:val="28"/>
  </w:num>
  <w:num w:numId="28">
    <w:abstractNumId w:val="7"/>
  </w:num>
  <w:num w:numId="29">
    <w:abstractNumId w:val="32"/>
  </w:num>
  <w:num w:numId="30">
    <w:abstractNumId w:val="37"/>
  </w:num>
  <w:num w:numId="31">
    <w:abstractNumId w:val="18"/>
  </w:num>
  <w:num w:numId="32">
    <w:abstractNumId w:val="31"/>
  </w:num>
  <w:num w:numId="33">
    <w:abstractNumId w:val="41"/>
  </w:num>
  <w:num w:numId="34">
    <w:abstractNumId w:val="21"/>
  </w:num>
  <w:num w:numId="35">
    <w:abstractNumId w:val="17"/>
  </w:num>
  <w:num w:numId="36">
    <w:abstractNumId w:val="30"/>
  </w:num>
  <w:num w:numId="37">
    <w:abstractNumId w:val="4"/>
  </w:num>
  <w:num w:numId="38">
    <w:abstractNumId w:val="24"/>
  </w:num>
  <w:num w:numId="39">
    <w:abstractNumId w:val="3"/>
  </w:num>
  <w:num w:numId="40">
    <w:abstractNumId w:val="9"/>
  </w:num>
  <w:num w:numId="41">
    <w:abstractNumId w:val="10"/>
  </w:num>
  <w:num w:numId="42">
    <w:abstractNumId w:val="43"/>
  </w:num>
  <w:num w:numId="43">
    <w:abstractNumId w:val="11"/>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86B"/>
    <w:rsid w:val="00022484"/>
    <w:rsid w:val="000266D3"/>
    <w:rsid w:val="000424D9"/>
    <w:rsid w:val="0006003A"/>
    <w:rsid w:val="0009269D"/>
    <w:rsid w:val="000B3540"/>
    <w:rsid w:val="00275BC7"/>
    <w:rsid w:val="002A12C5"/>
    <w:rsid w:val="002C715A"/>
    <w:rsid w:val="002D79FB"/>
    <w:rsid w:val="003326E0"/>
    <w:rsid w:val="003332B5"/>
    <w:rsid w:val="004813CF"/>
    <w:rsid w:val="005B5A22"/>
    <w:rsid w:val="006C32ED"/>
    <w:rsid w:val="00757B2A"/>
    <w:rsid w:val="007A045F"/>
    <w:rsid w:val="008D7348"/>
    <w:rsid w:val="00900EA3"/>
    <w:rsid w:val="00940087"/>
    <w:rsid w:val="009D2BA0"/>
    <w:rsid w:val="00A10FB9"/>
    <w:rsid w:val="00A74D26"/>
    <w:rsid w:val="00AC3B85"/>
    <w:rsid w:val="00AE226F"/>
    <w:rsid w:val="00BC0871"/>
    <w:rsid w:val="00BF14C6"/>
    <w:rsid w:val="00D122C3"/>
    <w:rsid w:val="00D2086B"/>
    <w:rsid w:val="00D83F17"/>
    <w:rsid w:val="00F23664"/>
    <w:rsid w:val="00F774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C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2FC"/>
    <w:pPr>
      <w:spacing w:before="240" w:after="240" w:line="480" w:lineRule="auto"/>
      <w:ind w:left="1440" w:right="1440" w:firstLine="720"/>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06D89"/>
    <w:pPr>
      <w:ind w:left="720" w:right="360"/>
    </w:pPr>
  </w:style>
  <w:style w:type="character" w:styleId="CommentReference">
    <w:name w:val="annotation reference"/>
    <w:uiPriority w:val="99"/>
    <w:semiHidden/>
    <w:unhideWhenUsed/>
    <w:rsid w:val="007122FC"/>
    <w:rPr>
      <w:sz w:val="16"/>
      <w:szCs w:val="16"/>
    </w:rPr>
  </w:style>
  <w:style w:type="paragraph" w:styleId="CommentText">
    <w:name w:val="annotation text"/>
    <w:basedOn w:val="Normal"/>
    <w:link w:val="CommentTextChar"/>
    <w:uiPriority w:val="99"/>
    <w:unhideWhenUsed/>
    <w:rsid w:val="007122FC"/>
    <w:rPr>
      <w:sz w:val="20"/>
      <w:szCs w:val="20"/>
    </w:rPr>
  </w:style>
  <w:style w:type="character" w:customStyle="1" w:styleId="CommentTextChar">
    <w:name w:val="Comment Text Char"/>
    <w:link w:val="CommentText"/>
    <w:uiPriority w:val="99"/>
    <w:rsid w:val="007122FC"/>
    <w:rPr>
      <w:rFonts w:ascii="Times New Roman" w:eastAsia="Calibri" w:hAnsi="Times New Roman" w:cs="Times New Roman"/>
      <w:sz w:val="20"/>
      <w:szCs w:val="20"/>
    </w:rPr>
  </w:style>
  <w:style w:type="paragraph" w:styleId="Quote">
    <w:name w:val="Quote"/>
    <w:basedOn w:val="Normal"/>
    <w:next w:val="Normal"/>
    <w:link w:val="QuoteChar"/>
    <w:uiPriority w:val="29"/>
    <w:qFormat/>
    <w:rsid w:val="007122FC"/>
    <w:pPr>
      <w:spacing w:line="240" w:lineRule="auto"/>
      <w:ind w:firstLine="0"/>
    </w:pPr>
    <w:rPr>
      <w:iCs/>
      <w:color w:val="000000"/>
    </w:rPr>
  </w:style>
  <w:style w:type="character" w:customStyle="1" w:styleId="QuoteChar">
    <w:name w:val="Quote Char"/>
    <w:link w:val="Quote"/>
    <w:uiPriority w:val="29"/>
    <w:rsid w:val="007122FC"/>
    <w:rPr>
      <w:rFonts w:ascii="Times New Roman" w:eastAsia="Calibri" w:hAnsi="Times New Roman" w:cs="Times New Roman"/>
      <w:iCs/>
      <w:color w:val="000000"/>
      <w:sz w:val="24"/>
      <w:szCs w:val="24"/>
    </w:rPr>
  </w:style>
  <w:style w:type="paragraph" w:customStyle="1" w:styleId="GaBody">
    <w:name w:val="GaBody"/>
    <w:basedOn w:val="Normal"/>
    <w:link w:val="GaBodyChar"/>
    <w:qFormat/>
    <w:rsid w:val="007122FC"/>
    <w:pPr>
      <w:ind w:left="0" w:right="0" w:firstLine="0"/>
    </w:pPr>
  </w:style>
  <w:style w:type="character" w:customStyle="1" w:styleId="GaBodyChar">
    <w:name w:val="GaBody Char"/>
    <w:link w:val="GaBody"/>
    <w:rsid w:val="007122FC"/>
    <w:rPr>
      <w:rFonts w:ascii="Times New Roman" w:eastAsia="Calibri" w:hAnsi="Times New Roman" w:cs="Times New Roman"/>
      <w:sz w:val="24"/>
      <w:szCs w:val="24"/>
    </w:rPr>
  </w:style>
  <w:style w:type="paragraph" w:styleId="FootnoteText">
    <w:name w:val="footnote text"/>
    <w:basedOn w:val="Normal"/>
    <w:next w:val="NoSpacing"/>
    <w:link w:val="FootnoteTextChar"/>
    <w:uiPriority w:val="99"/>
    <w:unhideWhenUsed/>
    <w:qFormat/>
    <w:rsid w:val="007122FC"/>
    <w:pPr>
      <w:spacing w:before="0" w:after="0" w:line="240" w:lineRule="auto"/>
      <w:ind w:left="0" w:firstLine="0"/>
      <w:jc w:val="left"/>
    </w:pPr>
    <w:rPr>
      <w:sz w:val="20"/>
      <w:szCs w:val="20"/>
    </w:rPr>
  </w:style>
  <w:style w:type="character" w:customStyle="1" w:styleId="FootnoteTextChar">
    <w:name w:val="Footnote Text Char"/>
    <w:link w:val="FootnoteText"/>
    <w:uiPriority w:val="99"/>
    <w:rsid w:val="007122FC"/>
    <w:rPr>
      <w:rFonts w:ascii="Times New Roman" w:eastAsia="Calibri" w:hAnsi="Times New Roman" w:cs="Times New Roman"/>
      <w:sz w:val="20"/>
      <w:szCs w:val="20"/>
    </w:rPr>
  </w:style>
  <w:style w:type="character" w:customStyle="1" w:styleId="ListParagraphChar">
    <w:name w:val="List Paragraph Char"/>
    <w:link w:val="ListParagraph"/>
    <w:uiPriority w:val="34"/>
    <w:rsid w:val="00906D89"/>
    <w:rPr>
      <w:rFonts w:ascii="Times New Roman" w:hAnsi="Times New Roman"/>
      <w:sz w:val="24"/>
      <w:szCs w:val="24"/>
    </w:rPr>
  </w:style>
  <w:style w:type="character" w:styleId="FootnoteReference">
    <w:name w:val="footnote reference"/>
    <w:uiPriority w:val="99"/>
    <w:semiHidden/>
    <w:unhideWhenUsed/>
    <w:rsid w:val="007122FC"/>
    <w:rPr>
      <w:vertAlign w:val="superscript"/>
    </w:rPr>
  </w:style>
  <w:style w:type="paragraph" w:styleId="Footer">
    <w:name w:val="footer"/>
    <w:basedOn w:val="Normal"/>
    <w:link w:val="FooterChar"/>
    <w:uiPriority w:val="99"/>
    <w:unhideWhenUsed/>
    <w:rsid w:val="007122FC"/>
    <w:pPr>
      <w:tabs>
        <w:tab w:val="center" w:pos="4680"/>
        <w:tab w:val="right" w:pos="9360"/>
      </w:tabs>
      <w:spacing w:before="0" w:after="0" w:line="240" w:lineRule="auto"/>
    </w:pPr>
  </w:style>
  <w:style w:type="character" w:customStyle="1" w:styleId="FooterChar">
    <w:name w:val="Footer Char"/>
    <w:link w:val="Footer"/>
    <w:uiPriority w:val="99"/>
    <w:rsid w:val="007122FC"/>
    <w:rPr>
      <w:rFonts w:ascii="Times New Roman" w:eastAsia="Calibri" w:hAnsi="Times New Roman" w:cs="Times New Roman"/>
      <w:sz w:val="24"/>
      <w:szCs w:val="24"/>
    </w:rPr>
  </w:style>
  <w:style w:type="paragraph" w:customStyle="1" w:styleId="H1">
    <w:name w:val="H1"/>
    <w:basedOn w:val="Normal"/>
    <w:link w:val="H1Char"/>
    <w:qFormat/>
    <w:rsid w:val="009F0635"/>
    <w:pPr>
      <w:keepNext/>
      <w:ind w:left="0" w:right="0" w:firstLine="0"/>
    </w:pPr>
    <w:rPr>
      <w:b/>
      <w:bCs/>
      <w:u w:val="single"/>
    </w:rPr>
  </w:style>
  <w:style w:type="paragraph" w:customStyle="1" w:styleId="GASummaryparagraph">
    <w:name w:val="GA Summary paragraph"/>
    <w:basedOn w:val="Normal"/>
    <w:link w:val="GASummaryparagraphChar"/>
    <w:qFormat/>
    <w:rsid w:val="007122FC"/>
    <w:pPr>
      <w:spacing w:before="0" w:after="0"/>
      <w:ind w:left="0" w:right="0" w:firstLine="0"/>
      <w:jc w:val="left"/>
    </w:pPr>
    <w:rPr>
      <w:sz w:val="28"/>
      <w:szCs w:val="28"/>
      <w:lang w:eastAsia="zh-CN"/>
    </w:rPr>
  </w:style>
  <w:style w:type="character" w:customStyle="1" w:styleId="H1Char">
    <w:name w:val="H1 Char"/>
    <w:link w:val="H1"/>
    <w:rsid w:val="009F0635"/>
    <w:rPr>
      <w:rFonts w:ascii="Times New Roman" w:hAnsi="Times New Roman"/>
      <w:b/>
      <w:bCs/>
      <w:sz w:val="24"/>
      <w:szCs w:val="24"/>
      <w:u w:val="single"/>
    </w:rPr>
  </w:style>
  <w:style w:type="character" w:customStyle="1" w:styleId="GASummaryparagraphChar">
    <w:name w:val="GA Summary paragraph Char"/>
    <w:link w:val="GASummaryparagraph"/>
    <w:rsid w:val="007122FC"/>
    <w:rPr>
      <w:rFonts w:ascii="Times New Roman" w:eastAsia="Calibri" w:hAnsi="Times New Roman" w:cs="Times New Roman"/>
      <w:sz w:val="28"/>
      <w:szCs w:val="28"/>
      <w:lang w:eastAsia="zh-CN"/>
    </w:rPr>
  </w:style>
  <w:style w:type="paragraph" w:customStyle="1" w:styleId="GeorgiaBody">
    <w:name w:val="Georgia Body"/>
    <w:basedOn w:val="Normal"/>
    <w:next w:val="Normal"/>
    <w:link w:val="GeorgiaBodyChar"/>
    <w:uiPriority w:val="99"/>
    <w:qFormat/>
    <w:rsid w:val="007122FC"/>
    <w:pPr>
      <w:spacing w:before="0" w:after="0"/>
      <w:ind w:left="720" w:right="0" w:firstLine="0"/>
      <w:jc w:val="left"/>
    </w:pPr>
    <w:rPr>
      <w:szCs w:val="20"/>
      <w:lang w:eastAsia="zh-CN"/>
    </w:rPr>
  </w:style>
  <w:style w:type="character" w:customStyle="1" w:styleId="GeorgiaBodyChar">
    <w:name w:val="Georgia Body Char"/>
    <w:link w:val="GeorgiaBody"/>
    <w:uiPriority w:val="99"/>
    <w:locked/>
    <w:rsid w:val="007122FC"/>
    <w:rPr>
      <w:rFonts w:ascii="Times New Roman" w:eastAsia="Calibri" w:hAnsi="Times New Roman" w:cs="Times New Roman"/>
      <w:sz w:val="24"/>
      <w:szCs w:val="20"/>
      <w:lang w:eastAsia="zh-CN"/>
    </w:rPr>
  </w:style>
  <w:style w:type="paragraph" w:styleId="NoSpacing">
    <w:name w:val="No Spacing"/>
    <w:uiPriority w:val="1"/>
    <w:qFormat/>
    <w:rsid w:val="007122FC"/>
    <w:pPr>
      <w:ind w:left="1440" w:right="1440" w:firstLine="720"/>
      <w:jc w:val="both"/>
    </w:pPr>
    <w:rPr>
      <w:rFonts w:ascii="Times New Roman" w:hAnsi="Times New Roman"/>
      <w:sz w:val="24"/>
      <w:szCs w:val="24"/>
    </w:rPr>
  </w:style>
  <w:style w:type="paragraph" w:styleId="BalloonText">
    <w:name w:val="Balloon Text"/>
    <w:basedOn w:val="Normal"/>
    <w:link w:val="BalloonTextChar"/>
    <w:uiPriority w:val="99"/>
    <w:semiHidden/>
    <w:unhideWhenUsed/>
    <w:rsid w:val="007122FC"/>
    <w:pPr>
      <w:spacing w:before="0" w:after="0" w:line="240" w:lineRule="auto"/>
    </w:pPr>
    <w:rPr>
      <w:rFonts w:ascii="Tahoma" w:hAnsi="Tahoma"/>
      <w:sz w:val="16"/>
      <w:szCs w:val="16"/>
    </w:rPr>
  </w:style>
  <w:style w:type="character" w:customStyle="1" w:styleId="BalloonTextChar">
    <w:name w:val="Balloon Text Char"/>
    <w:link w:val="BalloonText"/>
    <w:uiPriority w:val="99"/>
    <w:semiHidden/>
    <w:rsid w:val="007122FC"/>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0018A9"/>
    <w:pPr>
      <w:spacing w:line="240" w:lineRule="auto"/>
    </w:pPr>
    <w:rPr>
      <w:b/>
      <w:bCs/>
    </w:rPr>
  </w:style>
  <w:style w:type="character" w:customStyle="1" w:styleId="CommentSubjectChar">
    <w:name w:val="Comment Subject Char"/>
    <w:link w:val="CommentSubject"/>
    <w:uiPriority w:val="99"/>
    <w:semiHidden/>
    <w:rsid w:val="000018A9"/>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6119CB"/>
    <w:pPr>
      <w:tabs>
        <w:tab w:val="center" w:pos="4680"/>
        <w:tab w:val="right" w:pos="9360"/>
      </w:tabs>
      <w:spacing w:before="0" w:after="0" w:line="240" w:lineRule="auto"/>
    </w:pPr>
  </w:style>
  <w:style w:type="character" w:customStyle="1" w:styleId="HeaderChar">
    <w:name w:val="Header Char"/>
    <w:link w:val="Header"/>
    <w:uiPriority w:val="99"/>
    <w:rsid w:val="006119CB"/>
    <w:rPr>
      <w:rFonts w:ascii="Times New Roman" w:hAnsi="Times New Roman"/>
      <w:sz w:val="24"/>
      <w:szCs w:val="24"/>
    </w:rPr>
  </w:style>
  <w:style w:type="paragraph" w:styleId="DocumentMap">
    <w:name w:val="Document Map"/>
    <w:basedOn w:val="Normal"/>
    <w:link w:val="DocumentMapChar"/>
    <w:uiPriority w:val="99"/>
    <w:semiHidden/>
    <w:unhideWhenUsed/>
    <w:rsid w:val="00B809F5"/>
    <w:pPr>
      <w:spacing w:before="0" w:after="0" w:line="240" w:lineRule="auto"/>
    </w:pPr>
    <w:rPr>
      <w:rFonts w:ascii="Tahoma" w:hAnsi="Tahoma"/>
      <w:sz w:val="16"/>
      <w:szCs w:val="16"/>
    </w:rPr>
  </w:style>
  <w:style w:type="character" w:customStyle="1" w:styleId="DocumentMapChar">
    <w:name w:val="Document Map Char"/>
    <w:link w:val="DocumentMap"/>
    <w:uiPriority w:val="99"/>
    <w:semiHidden/>
    <w:rsid w:val="00B809F5"/>
    <w:rPr>
      <w:rFonts w:ascii="Tahoma" w:hAnsi="Tahoma" w:cs="Tahoma"/>
      <w:sz w:val="16"/>
      <w:szCs w:val="16"/>
    </w:rPr>
  </w:style>
  <w:style w:type="character" w:styleId="BookTitle">
    <w:name w:val="Book Title"/>
    <w:uiPriority w:val="33"/>
    <w:qFormat/>
    <w:rsid w:val="007E2BB9"/>
    <w:rPr>
      <w:b/>
      <w:bCs/>
      <w:smallCaps/>
      <w:spacing w:val="5"/>
    </w:rPr>
  </w:style>
  <w:style w:type="paragraph" w:customStyle="1" w:styleId="GA-STF-DR">
    <w:name w:val="GA-STF-DR"/>
    <w:basedOn w:val="PlainText"/>
    <w:qFormat/>
    <w:rsid w:val="006F14B2"/>
    <w:pPr>
      <w:numPr>
        <w:numId w:val="5"/>
      </w:numPr>
      <w:tabs>
        <w:tab w:val="clear" w:pos="1944"/>
      </w:tabs>
      <w:ind w:left="1440" w:firstLine="720"/>
    </w:pPr>
  </w:style>
  <w:style w:type="paragraph" w:customStyle="1" w:styleId="Ga-DR-a">
    <w:name w:val="Ga-DR-a"/>
    <w:basedOn w:val="GA-STF-DR"/>
    <w:link w:val="Ga-DR-aChar"/>
    <w:qFormat/>
    <w:rsid w:val="006F14B2"/>
    <w:pPr>
      <w:numPr>
        <w:ilvl w:val="1"/>
      </w:numPr>
      <w:ind w:right="0"/>
      <w:jc w:val="left"/>
    </w:pPr>
    <w:rPr>
      <w:rFonts w:ascii="Times New Roman" w:hAnsi="Times New Roman"/>
      <w:sz w:val="24"/>
      <w:szCs w:val="24"/>
    </w:rPr>
  </w:style>
  <w:style w:type="character" w:customStyle="1" w:styleId="Ga-DR-aChar">
    <w:name w:val="Ga-DR-a Char"/>
    <w:link w:val="Ga-DR-a"/>
    <w:rsid w:val="006F14B2"/>
    <w:rPr>
      <w:rFonts w:ascii="Times New Roman" w:hAnsi="Times New Roman"/>
      <w:sz w:val="24"/>
      <w:szCs w:val="24"/>
    </w:rPr>
  </w:style>
  <w:style w:type="paragraph" w:styleId="PlainText">
    <w:name w:val="Plain Text"/>
    <w:basedOn w:val="Normal"/>
    <w:link w:val="PlainTextChar"/>
    <w:uiPriority w:val="99"/>
    <w:semiHidden/>
    <w:unhideWhenUsed/>
    <w:rsid w:val="006F14B2"/>
    <w:pPr>
      <w:spacing w:before="0" w:after="0" w:line="240" w:lineRule="auto"/>
    </w:pPr>
    <w:rPr>
      <w:rFonts w:ascii="Consolas" w:hAnsi="Consolas"/>
      <w:sz w:val="21"/>
      <w:szCs w:val="21"/>
    </w:rPr>
  </w:style>
  <w:style w:type="character" w:customStyle="1" w:styleId="PlainTextChar">
    <w:name w:val="Plain Text Char"/>
    <w:link w:val="PlainText"/>
    <w:uiPriority w:val="99"/>
    <w:semiHidden/>
    <w:rsid w:val="006F14B2"/>
    <w:rPr>
      <w:rFonts w:ascii="Consolas" w:hAnsi="Consolas" w:cs="Consolas"/>
      <w:sz w:val="21"/>
      <w:szCs w:val="21"/>
    </w:rPr>
  </w:style>
  <w:style w:type="character" w:customStyle="1" w:styleId="zzmpTrailerItem">
    <w:name w:val="zzmpTrailerItem"/>
    <w:basedOn w:val="DefaultParagraphFont"/>
    <w:rsid w:val="004151B0"/>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sid w:val="008F5218"/>
    <w:rPr>
      <w:rFonts w:ascii="Times New Roman" w:hAnsi="Times New Roman"/>
      <w:sz w:val="24"/>
      <w:szCs w:val="24"/>
    </w:rPr>
  </w:style>
  <w:style w:type="table" w:styleId="TableGrid">
    <w:name w:val="Table Grid"/>
    <w:basedOn w:val="TableNormal"/>
    <w:uiPriority w:val="59"/>
    <w:rsid w:val="00316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861293090msonormal">
    <w:name w:val="yiv2861293090msonormal"/>
    <w:basedOn w:val="Normal"/>
    <w:rsid w:val="00C7282C"/>
    <w:pPr>
      <w:spacing w:before="100" w:beforeAutospacing="1" w:after="100" w:afterAutospacing="1" w:line="240" w:lineRule="auto"/>
      <w:ind w:left="0" w:right="0" w:firstLine="0"/>
      <w:jc w:val="left"/>
    </w:pPr>
    <w:rPr>
      <w:rFonts w:eastAsia="Times New Roman"/>
    </w:rPr>
  </w:style>
  <w:style w:type="character" w:styleId="Hyperlink">
    <w:name w:val="Hyperlink"/>
    <w:basedOn w:val="DefaultParagraphFont"/>
    <w:uiPriority w:val="99"/>
    <w:semiHidden/>
    <w:unhideWhenUsed/>
    <w:rsid w:val="00C7282C"/>
    <w:rPr>
      <w:color w:val="0000FF"/>
      <w:u w:val="single"/>
    </w:rPr>
  </w:style>
  <w:style w:type="paragraph" w:customStyle="1" w:styleId="xmsonormal">
    <w:name w:val="x_msonormal"/>
    <w:basedOn w:val="Normal"/>
    <w:rsid w:val="00D2086B"/>
    <w:pPr>
      <w:spacing w:before="0" w:after="0" w:line="240" w:lineRule="auto"/>
      <w:ind w:left="0" w:right="0" w:firstLine="0"/>
      <w:jc w:val="left"/>
    </w:pPr>
    <w:rPr>
      <w:rFonts w:ascii="Calibri" w:eastAsiaTheme="minorHAnsi" w:hAnsi="Calibri" w:cs="Calibri"/>
      <w:sz w:val="22"/>
      <w:szCs w:val="22"/>
    </w:rPr>
  </w:style>
  <w:style w:type="paragraph" w:customStyle="1" w:styleId="xmsolistparagraph">
    <w:name w:val="x_msolistparagraph"/>
    <w:basedOn w:val="Normal"/>
    <w:rsid w:val="00D2086B"/>
    <w:pPr>
      <w:spacing w:before="0" w:after="0" w:line="240" w:lineRule="auto"/>
      <w:ind w:left="720" w:right="0" w:firstLine="0"/>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0DFF4E-1C64-4BC8-B15E-241BF6E36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6430</Words>
  <Characters>36653</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2021-02-05T14:24:00Z</dcterms:created>
  <dcterms:modified xsi:type="dcterms:W3CDTF">2021-02-05T14:24:00Z</dcterms:modified>
</cp:coreProperties>
</file>