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5B60AA" w:rsidRDefault="005B60AA">
      <w:r>
        <w:rPr>
          <w:rStyle w:val="HTMLMarkup"/>
        </w:rPr>
        <w:t>&lt;div align="center"&gt;</w:t>
      </w:r>
    </w:p>
    <w:tbl>
      <w:tblPr>
        <w:tblW w:w="11056" w:type="dxa"/>
        <w:jc w:val="center"/>
        <w:tblLayout w:type="fixed"/>
        <w:tblCellMar>
          <w:left w:w="84" w:type="dxa"/>
          <w:right w:w="84" w:type="dxa"/>
        </w:tblCellMar>
        <w:tblLook w:val="0000" w:firstRow="0" w:lastRow="0" w:firstColumn="0" w:lastColumn="0" w:noHBand="0" w:noVBand="0"/>
      </w:tblPr>
      <w:tblGrid>
        <w:gridCol w:w="4358"/>
        <w:gridCol w:w="2970"/>
        <w:gridCol w:w="3728"/>
      </w:tblGrid>
      <w:tr w:rsidR="005B60AA">
        <w:trPr>
          <w:trHeight w:val="1681"/>
          <w:jc w:val="center"/>
        </w:trPr>
        <w:tc>
          <w:tcPr>
            <w:tcW w:w="4358" w:type="dxa"/>
          </w:tcPr>
          <w:p w:rsidR="005B60AA" w:rsidRPr="00753FB2" w:rsidRDefault="005B60AA">
            <w:pPr>
              <w:rPr>
                <w:rStyle w:val="Strong"/>
                <w:rFonts w:ascii="Arial Black" w:hAnsi="Arial Black"/>
                <w:sz w:val="16"/>
                <w:szCs w:val="16"/>
              </w:rPr>
            </w:pPr>
            <w:r w:rsidRPr="00753FB2">
              <w:rPr>
                <w:rFonts w:ascii="Arial Black" w:hAnsi="Arial Black"/>
                <w:sz w:val="16"/>
                <w:szCs w:val="16"/>
              </w:rPr>
              <w:fldChar w:fldCharType="begin"/>
            </w:r>
            <w:r w:rsidRPr="00753FB2">
              <w:rPr>
                <w:rFonts w:ascii="Arial Black" w:hAnsi="Arial Black"/>
                <w:sz w:val="16"/>
                <w:szCs w:val="16"/>
              </w:rPr>
              <w:instrText>PRIVATE</w:instrText>
            </w:r>
            <w:r w:rsidRPr="00753FB2">
              <w:rPr>
                <w:rFonts w:ascii="Arial Black" w:hAnsi="Arial Black"/>
                <w:sz w:val="16"/>
                <w:szCs w:val="16"/>
              </w:rPr>
              <w:fldChar w:fldCharType="end"/>
            </w:r>
            <w:r w:rsidRPr="00753FB2">
              <w:rPr>
                <w:rStyle w:val="Strong"/>
                <w:rFonts w:ascii="Arial Black" w:hAnsi="Arial Black"/>
                <w:sz w:val="16"/>
                <w:szCs w:val="16"/>
              </w:rPr>
              <w:t>COMMISSIONERS:</w:t>
            </w:r>
          </w:p>
          <w:p w:rsidR="00E76C38" w:rsidRPr="00E76C38" w:rsidRDefault="00740484" w:rsidP="00740484">
            <w:pPr>
              <w:rPr>
                <w:sz w:val="16"/>
                <w:szCs w:val="16"/>
              </w:rPr>
            </w:pPr>
            <w:r>
              <w:rPr>
                <w:rStyle w:val="Strong"/>
                <w:rFonts w:ascii="Arial Black" w:hAnsi="Arial Black"/>
                <w:b w:val="0"/>
                <w:sz w:val="16"/>
                <w:szCs w:val="16"/>
              </w:rPr>
              <w:t>CHUCK EATON</w:t>
            </w:r>
            <w:r w:rsidR="00E76C38" w:rsidRPr="00E76C38">
              <w:rPr>
                <w:rStyle w:val="Strong"/>
                <w:rFonts w:ascii="Arial Black" w:hAnsi="Arial Black"/>
                <w:b w:val="0"/>
                <w:sz w:val="16"/>
                <w:szCs w:val="16"/>
              </w:rPr>
              <w:t xml:space="preserve">, CHAIRMAN                                    </w:t>
            </w:r>
            <w:r w:rsidR="00E76C38" w:rsidRPr="00E76C38">
              <w:rPr>
                <w:rStyle w:val="Strong"/>
                <w:rFonts w:ascii="Arial Black" w:hAnsi="Arial Black"/>
                <w:b w:val="0"/>
                <w:sz w:val="16"/>
                <w:szCs w:val="16"/>
              </w:rPr>
              <w:br/>
            </w:r>
            <w:r w:rsidR="00621271">
              <w:rPr>
                <w:rStyle w:val="Strong"/>
                <w:rFonts w:ascii="Arial Black" w:hAnsi="Arial Black"/>
                <w:b w:val="0"/>
                <w:sz w:val="16"/>
                <w:szCs w:val="16"/>
              </w:rPr>
              <w:t>TIM G. ECHOLS</w:t>
            </w:r>
            <w:r w:rsidR="00D44305">
              <w:rPr>
                <w:rStyle w:val="Strong"/>
                <w:rFonts w:ascii="Arial Black" w:hAnsi="Arial Black"/>
                <w:b w:val="0"/>
                <w:sz w:val="16"/>
                <w:szCs w:val="16"/>
              </w:rPr>
              <w:t>, VICE-CHAIRMAN</w:t>
            </w:r>
            <w:r w:rsidR="00E76C38" w:rsidRPr="00E76C38">
              <w:rPr>
                <w:rStyle w:val="Strong"/>
                <w:rFonts w:ascii="Arial Black" w:hAnsi="Arial Black"/>
                <w:b w:val="0"/>
                <w:sz w:val="16"/>
                <w:szCs w:val="16"/>
              </w:rPr>
              <w:t xml:space="preserve">    </w:t>
            </w:r>
            <w:r w:rsidR="00E76C38" w:rsidRPr="00E76C38">
              <w:rPr>
                <w:rStyle w:val="Strong"/>
                <w:rFonts w:ascii="Arial Black" w:hAnsi="Arial Black"/>
                <w:b w:val="0"/>
                <w:sz w:val="16"/>
                <w:szCs w:val="16"/>
              </w:rPr>
              <w:br/>
            </w:r>
            <w:r>
              <w:rPr>
                <w:rStyle w:val="Strong"/>
                <w:rFonts w:ascii="Arial Black" w:hAnsi="Arial Black"/>
                <w:b w:val="0"/>
                <w:sz w:val="16"/>
                <w:szCs w:val="16"/>
              </w:rPr>
              <w:t>LAUREN “BUBBA” McDONALD</w:t>
            </w:r>
            <w:r w:rsidR="00E76C38" w:rsidRPr="00E76C38">
              <w:rPr>
                <w:rStyle w:val="Strong"/>
                <w:rFonts w:ascii="Arial Black" w:hAnsi="Arial Black"/>
                <w:b w:val="0"/>
                <w:sz w:val="16"/>
                <w:szCs w:val="16"/>
              </w:rPr>
              <w:t xml:space="preserve">                              </w:t>
            </w:r>
            <w:r w:rsidR="00E76C38" w:rsidRPr="00E76C38">
              <w:rPr>
                <w:rStyle w:val="Strong"/>
                <w:rFonts w:ascii="Arial Black" w:hAnsi="Arial Black"/>
                <w:b w:val="0"/>
                <w:sz w:val="16"/>
                <w:szCs w:val="16"/>
              </w:rPr>
              <w:br/>
            </w:r>
            <w:r w:rsidR="00156A79">
              <w:rPr>
                <w:rStyle w:val="Strong"/>
                <w:rFonts w:ascii="Arial Black" w:hAnsi="Arial Black"/>
                <w:b w:val="0"/>
                <w:sz w:val="16"/>
                <w:szCs w:val="16"/>
              </w:rPr>
              <w:t>TRICIA PRIDEMORE</w:t>
            </w:r>
            <w:r w:rsidR="00E76C38" w:rsidRPr="00E76C38">
              <w:rPr>
                <w:rStyle w:val="Strong"/>
                <w:rFonts w:ascii="Arial Black" w:hAnsi="Arial Black"/>
                <w:b w:val="0"/>
                <w:sz w:val="16"/>
                <w:szCs w:val="16"/>
              </w:rPr>
              <w:t xml:space="preserve">                                                                             </w:t>
            </w:r>
            <w:r w:rsidR="00156A79">
              <w:rPr>
                <w:rStyle w:val="Strong"/>
                <w:rFonts w:ascii="Arial Black" w:hAnsi="Arial Black"/>
                <w:b w:val="0"/>
                <w:sz w:val="16"/>
                <w:szCs w:val="16"/>
              </w:rPr>
              <w:t>JASON SHAW</w:t>
            </w:r>
          </w:p>
        </w:tc>
        <w:tc>
          <w:tcPr>
            <w:tcW w:w="2970" w:type="dxa"/>
          </w:tcPr>
          <w:p w:rsidR="005B60AA" w:rsidRDefault="005E0C25">
            <w:pPr>
              <w:jc w:val="center"/>
            </w:pPr>
            <w:r>
              <w:rPr>
                <w:noProof/>
              </w:rPr>
              <w:drawing>
                <wp:inline distT="0" distB="0" distL="0" distR="0" wp14:anchorId="12EEE129" wp14:editId="71409DFC">
                  <wp:extent cx="1200150" cy="1143000"/>
                  <wp:effectExtent l="0" t="0" r="0" b="0"/>
                  <wp:docPr id="1" name="Picture 1" descr="State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teSea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00150" cy="1143000"/>
                          </a:xfrm>
                          <a:prstGeom prst="rect">
                            <a:avLst/>
                          </a:prstGeom>
                          <a:noFill/>
                          <a:ln>
                            <a:noFill/>
                          </a:ln>
                        </pic:spPr>
                      </pic:pic>
                    </a:graphicData>
                  </a:graphic>
                </wp:inline>
              </w:drawing>
            </w:r>
          </w:p>
        </w:tc>
        <w:tc>
          <w:tcPr>
            <w:tcW w:w="3728" w:type="dxa"/>
          </w:tcPr>
          <w:p w:rsidR="005B60AA" w:rsidRPr="00753FB2" w:rsidRDefault="005B60AA">
            <w:pPr>
              <w:jc w:val="right"/>
              <w:rPr>
                <w:rFonts w:ascii="Arial Black" w:hAnsi="Arial Black"/>
                <w:b/>
                <w:sz w:val="16"/>
                <w:szCs w:val="16"/>
              </w:rPr>
            </w:pPr>
            <w:r w:rsidRPr="00753FB2">
              <w:rPr>
                <w:rFonts w:ascii="Arial Black" w:hAnsi="Arial Black"/>
                <w:b/>
                <w:sz w:val="16"/>
                <w:szCs w:val="16"/>
              </w:rPr>
              <w:t> </w:t>
            </w:r>
          </w:p>
          <w:p w:rsidR="005B60AA" w:rsidRPr="00753FB2" w:rsidRDefault="005B60AA">
            <w:pPr>
              <w:jc w:val="right"/>
              <w:rPr>
                <w:rFonts w:ascii="Arial Black" w:hAnsi="Arial Black"/>
                <w:sz w:val="16"/>
                <w:szCs w:val="16"/>
              </w:rPr>
            </w:pPr>
            <w:r w:rsidRPr="00753FB2">
              <w:rPr>
                <w:rFonts w:ascii="Arial Black" w:hAnsi="Arial Black"/>
                <w:b/>
                <w:sz w:val="16"/>
                <w:szCs w:val="16"/>
              </w:rPr>
              <w:t>DEBORAH K. FLANNAGAN</w:t>
            </w:r>
            <w:r w:rsidRPr="00753FB2">
              <w:rPr>
                <w:rFonts w:ascii="Arial Black" w:hAnsi="Arial Black"/>
                <w:b/>
                <w:sz w:val="16"/>
                <w:szCs w:val="16"/>
              </w:rPr>
              <w:br/>
              <w:t>EXECUTIVE DIRECTOR</w:t>
            </w:r>
            <w:r w:rsidRPr="00753FB2">
              <w:rPr>
                <w:rFonts w:ascii="Arial Black" w:hAnsi="Arial Black"/>
                <w:b/>
                <w:sz w:val="16"/>
                <w:szCs w:val="16"/>
              </w:rPr>
              <w:br/>
              <w:t xml:space="preserve"> </w:t>
            </w:r>
            <w:r w:rsidRPr="00753FB2">
              <w:rPr>
                <w:rFonts w:ascii="Arial Black" w:hAnsi="Arial Black"/>
                <w:b/>
                <w:sz w:val="16"/>
                <w:szCs w:val="16"/>
              </w:rPr>
              <w:br/>
              <w:t>REECE McALISTER</w:t>
            </w:r>
            <w:r w:rsidRPr="00753FB2">
              <w:rPr>
                <w:rFonts w:ascii="Arial Black" w:hAnsi="Arial Black"/>
                <w:b/>
                <w:sz w:val="16"/>
                <w:szCs w:val="16"/>
              </w:rPr>
              <w:br/>
              <w:t>EXECUTIVE SECRETARY</w:t>
            </w:r>
          </w:p>
        </w:tc>
      </w:tr>
      <w:tr w:rsidR="005B60AA">
        <w:trPr>
          <w:trHeight w:val="772"/>
          <w:jc w:val="center"/>
        </w:trPr>
        <w:tc>
          <w:tcPr>
            <w:tcW w:w="11056" w:type="dxa"/>
            <w:gridSpan w:val="3"/>
          </w:tcPr>
          <w:p w:rsidR="005B60AA" w:rsidRDefault="005B60AA">
            <w:pPr>
              <w:pStyle w:val="Heading1"/>
              <w:rPr>
                <w:rFonts w:ascii="Old English Text MT" w:hAnsi="Old English Text MT"/>
                <w:sz w:val="42"/>
              </w:rPr>
            </w:pPr>
            <w:smartTag w:uri="urn:schemas-microsoft-com:office:smarttags" w:element="place">
              <w:smartTag w:uri="urn:schemas-microsoft-com:office:smarttags" w:element="country-region">
                <w:r>
                  <w:rPr>
                    <w:rFonts w:ascii="Old English Text MT" w:hAnsi="Old English Text MT"/>
                    <w:sz w:val="42"/>
                  </w:rPr>
                  <w:t>Georgia</w:t>
                </w:r>
              </w:smartTag>
            </w:smartTag>
            <w:r>
              <w:rPr>
                <w:rFonts w:ascii="Old English Text MT" w:hAnsi="Old English Text MT"/>
                <w:sz w:val="42"/>
              </w:rPr>
              <w:t xml:space="preserve"> Public Service Commission</w:t>
            </w:r>
          </w:p>
        </w:tc>
      </w:tr>
      <w:tr w:rsidR="005B60AA">
        <w:trPr>
          <w:jc w:val="center"/>
        </w:trPr>
        <w:tc>
          <w:tcPr>
            <w:tcW w:w="4358" w:type="dxa"/>
          </w:tcPr>
          <w:p w:rsidR="005B60AA" w:rsidRPr="00DD4382" w:rsidRDefault="004B1FA9" w:rsidP="00825660">
            <w:pPr>
              <w:rPr>
                <w:rFonts w:cs="Arial"/>
                <w:b/>
                <w:bCs/>
              </w:rPr>
            </w:pPr>
            <w:r w:rsidRPr="00590D2B">
              <w:rPr>
                <w:rFonts w:cs="Arial"/>
                <w:b/>
                <w:bCs/>
                <w:sz w:val="17"/>
                <w:szCs w:val="17"/>
              </w:rPr>
              <w:t xml:space="preserve">(404) </w:t>
            </w:r>
            <w:r w:rsidR="008F1D32">
              <w:rPr>
                <w:rFonts w:cs="Arial"/>
                <w:b/>
                <w:bCs/>
                <w:sz w:val="17"/>
                <w:szCs w:val="17"/>
              </w:rPr>
              <w:t>656</w:t>
            </w:r>
            <w:r w:rsidR="00825660">
              <w:rPr>
                <w:rFonts w:cs="Arial"/>
                <w:b/>
                <w:bCs/>
                <w:sz w:val="17"/>
                <w:szCs w:val="17"/>
              </w:rPr>
              <w:t>-</w:t>
            </w:r>
            <w:r w:rsidR="008F1D32">
              <w:rPr>
                <w:rFonts w:cs="Arial"/>
                <w:b/>
                <w:bCs/>
                <w:sz w:val="17"/>
                <w:szCs w:val="17"/>
              </w:rPr>
              <w:t>4501</w:t>
            </w:r>
            <w:r>
              <w:rPr>
                <w:rFonts w:cs="Arial"/>
                <w:b/>
                <w:bCs/>
                <w:sz w:val="17"/>
                <w:szCs w:val="17"/>
              </w:rPr>
              <w:t xml:space="preserve">                                                     </w:t>
            </w:r>
            <w:r w:rsidR="004F7BA4">
              <w:rPr>
                <w:rFonts w:cs="Arial"/>
                <w:b/>
                <w:bCs/>
                <w:sz w:val="17"/>
                <w:szCs w:val="17"/>
              </w:rPr>
              <w:t xml:space="preserve">  </w:t>
            </w:r>
            <w:r w:rsidRPr="00590D2B">
              <w:rPr>
                <w:rFonts w:cs="Arial"/>
                <w:b/>
                <w:bCs/>
                <w:sz w:val="17"/>
                <w:szCs w:val="17"/>
              </w:rPr>
              <w:t xml:space="preserve"> </w:t>
            </w:r>
            <w:r w:rsidR="007A4191">
              <w:rPr>
                <w:rFonts w:cs="Arial"/>
                <w:b/>
                <w:bCs/>
                <w:sz w:val="17"/>
                <w:szCs w:val="17"/>
              </w:rPr>
              <w:t xml:space="preserve">(800) </w:t>
            </w:r>
            <w:r w:rsidRPr="00590D2B">
              <w:rPr>
                <w:rFonts w:cs="Arial"/>
                <w:b/>
                <w:bCs/>
                <w:sz w:val="17"/>
                <w:szCs w:val="17"/>
              </w:rPr>
              <w:t>282-5813</w:t>
            </w:r>
          </w:p>
        </w:tc>
        <w:tc>
          <w:tcPr>
            <w:tcW w:w="2970" w:type="dxa"/>
          </w:tcPr>
          <w:p w:rsidR="00617CAA" w:rsidRPr="00617CAA" w:rsidRDefault="004B1FA9" w:rsidP="00617CAA">
            <w:pPr>
              <w:jc w:val="center"/>
              <w:rPr>
                <w:rFonts w:cs="Arial"/>
                <w:b/>
                <w:sz w:val="17"/>
                <w:szCs w:val="17"/>
              </w:rPr>
            </w:pPr>
            <w:smartTag w:uri="urn:schemas-microsoft-com:office:smarttags" w:element="address">
              <w:smartTag w:uri="urn:schemas-microsoft-com:office:smarttags" w:element="Street">
                <w:r w:rsidRPr="00292DAD">
                  <w:rPr>
                    <w:rFonts w:cs="Arial"/>
                    <w:b/>
                    <w:sz w:val="17"/>
                    <w:szCs w:val="17"/>
                  </w:rPr>
                  <w:t>244 W</w:t>
                </w:r>
                <w:r>
                  <w:rPr>
                    <w:rFonts w:cs="Arial"/>
                    <w:b/>
                    <w:sz w:val="17"/>
                    <w:szCs w:val="17"/>
                  </w:rPr>
                  <w:t>ASHINGTON STREET</w:t>
                </w:r>
                <w:r w:rsidRPr="00292DAD">
                  <w:rPr>
                    <w:rFonts w:cs="Arial"/>
                    <w:b/>
                    <w:sz w:val="17"/>
                    <w:szCs w:val="17"/>
                  </w:rPr>
                  <w:t>, SW</w:t>
                </w:r>
              </w:smartTag>
              <w:r w:rsidRPr="00292DAD">
                <w:rPr>
                  <w:rFonts w:cs="Arial"/>
                  <w:b/>
                  <w:sz w:val="17"/>
                  <w:szCs w:val="17"/>
                </w:rPr>
                <w:br/>
              </w:r>
              <w:smartTag w:uri="urn:schemas-microsoft-com:office:smarttags" w:element="City">
                <w:r w:rsidRPr="00292DAD">
                  <w:rPr>
                    <w:rFonts w:cs="Arial"/>
                    <w:b/>
                    <w:sz w:val="17"/>
                    <w:szCs w:val="17"/>
                  </w:rPr>
                  <w:t>A</w:t>
                </w:r>
                <w:r>
                  <w:rPr>
                    <w:rFonts w:cs="Arial"/>
                    <w:b/>
                    <w:sz w:val="17"/>
                    <w:szCs w:val="17"/>
                  </w:rPr>
                  <w:t>TLANTA</w:t>
                </w:r>
              </w:smartTag>
              <w:r w:rsidRPr="00292DAD">
                <w:rPr>
                  <w:rFonts w:cs="Arial"/>
                  <w:b/>
                  <w:sz w:val="17"/>
                  <w:szCs w:val="17"/>
                </w:rPr>
                <w:t xml:space="preserve">, </w:t>
              </w:r>
              <w:smartTag w:uri="urn:schemas-microsoft-com:office:smarttags" w:element="country-region">
                <w:r w:rsidRPr="00292DAD">
                  <w:rPr>
                    <w:rFonts w:cs="Arial"/>
                    <w:b/>
                    <w:sz w:val="17"/>
                    <w:szCs w:val="17"/>
                  </w:rPr>
                  <w:t>G</w:t>
                </w:r>
                <w:r>
                  <w:rPr>
                    <w:rFonts w:cs="Arial"/>
                    <w:b/>
                    <w:sz w:val="17"/>
                    <w:szCs w:val="17"/>
                  </w:rPr>
                  <w:t>EORGI</w:t>
                </w:r>
                <w:r w:rsidRPr="00292DAD">
                  <w:rPr>
                    <w:rFonts w:cs="Arial"/>
                    <w:b/>
                    <w:sz w:val="17"/>
                    <w:szCs w:val="17"/>
                  </w:rPr>
                  <w:t>A</w:t>
                </w:r>
              </w:smartTag>
            </w:smartTag>
            <w:r w:rsidRPr="00292DAD">
              <w:rPr>
                <w:rFonts w:cs="Arial"/>
                <w:b/>
                <w:sz w:val="17"/>
                <w:szCs w:val="17"/>
              </w:rPr>
              <w:t xml:space="preserve"> 30334-5701</w:t>
            </w:r>
          </w:p>
        </w:tc>
        <w:tc>
          <w:tcPr>
            <w:tcW w:w="3728" w:type="dxa"/>
          </w:tcPr>
          <w:p w:rsidR="005B60AA" w:rsidRPr="00C12C56" w:rsidRDefault="004B1FA9" w:rsidP="00825660">
            <w:pPr>
              <w:jc w:val="right"/>
              <w:rPr>
                <w:rFonts w:cs="Arial"/>
                <w:b/>
                <w:bCs/>
              </w:rPr>
            </w:pPr>
            <w:r w:rsidRPr="00C12C56">
              <w:rPr>
                <w:rFonts w:cs="Arial"/>
                <w:b/>
                <w:bCs/>
                <w:sz w:val="17"/>
                <w:szCs w:val="17"/>
              </w:rPr>
              <w:t xml:space="preserve">FAX:  (404) </w:t>
            </w:r>
            <w:r w:rsidR="008F1D32">
              <w:rPr>
                <w:rFonts w:cs="Arial"/>
                <w:b/>
                <w:bCs/>
                <w:sz w:val="17"/>
                <w:szCs w:val="17"/>
              </w:rPr>
              <w:t>656</w:t>
            </w:r>
            <w:r w:rsidR="00825660">
              <w:rPr>
                <w:rFonts w:cs="Arial"/>
                <w:b/>
                <w:bCs/>
                <w:sz w:val="17"/>
                <w:szCs w:val="17"/>
              </w:rPr>
              <w:t>-</w:t>
            </w:r>
            <w:r w:rsidR="008F1D32">
              <w:rPr>
                <w:rFonts w:cs="Arial"/>
                <w:b/>
                <w:bCs/>
                <w:sz w:val="17"/>
                <w:szCs w:val="17"/>
              </w:rPr>
              <w:t>2341</w:t>
            </w:r>
            <w:r w:rsidRPr="00C12C56">
              <w:rPr>
                <w:rFonts w:cs="Arial"/>
                <w:b/>
                <w:bCs/>
                <w:sz w:val="17"/>
                <w:szCs w:val="17"/>
              </w:rPr>
              <w:t xml:space="preserve">                   www.psc.state.ga.us</w:t>
            </w:r>
          </w:p>
        </w:tc>
      </w:tr>
    </w:tbl>
    <w:p w:rsidR="00B45916" w:rsidRPr="00BC1CEC" w:rsidRDefault="00B45916" w:rsidP="002F5BA3">
      <w:pPr>
        <w:pStyle w:val="DefinitionTerm"/>
        <w:rPr>
          <w:rFonts w:ascii="Times New Roman" w:hAnsi="Times New Roman"/>
          <w:b/>
        </w:rPr>
      </w:pPr>
    </w:p>
    <w:p w:rsidR="002F5BA3" w:rsidRPr="002F5BA3" w:rsidRDefault="002F5BA3" w:rsidP="002F5BA3">
      <w:pPr>
        <w:ind w:left="1440" w:hanging="1440"/>
        <w:jc w:val="center"/>
        <w:rPr>
          <w:rFonts w:ascii="Times New Roman" w:hAnsi="Times New Roman"/>
          <w:b/>
          <w:bCs/>
          <w:sz w:val="28"/>
          <w:szCs w:val="28"/>
        </w:rPr>
      </w:pPr>
      <w:r w:rsidRPr="002F5BA3">
        <w:rPr>
          <w:rFonts w:ascii="Times New Roman" w:hAnsi="Times New Roman"/>
          <w:b/>
          <w:bCs/>
          <w:sz w:val="28"/>
          <w:szCs w:val="28"/>
        </w:rPr>
        <w:t>DOCKET NO. 42516</w:t>
      </w:r>
    </w:p>
    <w:p w:rsidR="002F5BA3" w:rsidRPr="002F5BA3" w:rsidRDefault="002F5BA3" w:rsidP="002F5BA3">
      <w:pPr>
        <w:ind w:left="1440" w:hanging="1440"/>
        <w:rPr>
          <w:rFonts w:ascii="Times New Roman" w:hAnsi="Times New Roman"/>
          <w:b/>
          <w:bCs/>
          <w:sz w:val="28"/>
          <w:szCs w:val="28"/>
        </w:rPr>
      </w:pPr>
    </w:p>
    <w:p w:rsidR="002F5BA3" w:rsidRPr="002F5BA3" w:rsidRDefault="002F5BA3" w:rsidP="002F5BA3">
      <w:pPr>
        <w:ind w:left="1440" w:hanging="1440"/>
        <w:rPr>
          <w:rFonts w:ascii="Times New Roman" w:hAnsi="Times New Roman"/>
          <w:b/>
          <w:bCs/>
          <w:sz w:val="28"/>
          <w:szCs w:val="28"/>
        </w:rPr>
      </w:pPr>
      <w:r w:rsidRPr="002F5BA3">
        <w:rPr>
          <w:rFonts w:ascii="Times New Roman" w:hAnsi="Times New Roman"/>
          <w:b/>
          <w:bCs/>
          <w:sz w:val="28"/>
          <w:szCs w:val="28"/>
        </w:rPr>
        <w:t>IN RE:</w:t>
      </w:r>
      <w:r w:rsidRPr="002F5BA3">
        <w:rPr>
          <w:rFonts w:ascii="Times New Roman" w:hAnsi="Times New Roman"/>
          <w:b/>
          <w:bCs/>
          <w:sz w:val="28"/>
          <w:szCs w:val="28"/>
        </w:rPr>
        <w:tab/>
      </w:r>
      <w:r w:rsidRPr="002F5BA3">
        <w:rPr>
          <w:rFonts w:ascii="Times New Roman" w:hAnsi="Times New Roman"/>
          <w:b/>
          <w:sz w:val="28"/>
          <w:szCs w:val="28"/>
        </w:rPr>
        <w:t>GEORGIA POWER COMPANY’S 2019 BASE RATE CASE</w:t>
      </w:r>
    </w:p>
    <w:p w:rsidR="002F5BA3" w:rsidRPr="002F5BA3" w:rsidRDefault="002F5BA3" w:rsidP="002F5BA3">
      <w:pPr>
        <w:ind w:left="1440"/>
        <w:rPr>
          <w:rFonts w:ascii="Times New Roman" w:hAnsi="Times New Roman"/>
          <w:b/>
          <w:bCs/>
          <w:sz w:val="28"/>
          <w:szCs w:val="28"/>
        </w:rPr>
      </w:pPr>
    </w:p>
    <w:p w:rsidR="002F5BA3" w:rsidRPr="002F5BA3" w:rsidRDefault="002F5BA3" w:rsidP="002F5BA3">
      <w:pPr>
        <w:jc w:val="center"/>
        <w:rPr>
          <w:rFonts w:ascii="Times New Roman" w:hAnsi="Times New Roman"/>
          <w:b/>
          <w:bCs/>
          <w:caps/>
          <w:sz w:val="28"/>
          <w:szCs w:val="28"/>
        </w:rPr>
      </w:pPr>
      <w:r w:rsidRPr="002F5BA3">
        <w:rPr>
          <w:rFonts w:ascii="Times New Roman" w:hAnsi="Times New Roman"/>
          <w:b/>
          <w:bCs/>
          <w:sz w:val="28"/>
          <w:szCs w:val="28"/>
        </w:rPr>
        <w:t xml:space="preserve">ORDER APPROVING THE </w:t>
      </w:r>
      <w:r w:rsidRPr="002F5BA3">
        <w:rPr>
          <w:rFonts w:ascii="Times New Roman" w:hAnsi="Times New Roman"/>
          <w:b/>
          <w:sz w:val="28"/>
          <w:szCs w:val="28"/>
        </w:rPr>
        <w:t xml:space="preserve">RENEWABLE AND NONRENEWABLE RESOURCES TARIFF (RNR-10) </w:t>
      </w:r>
      <w:r w:rsidRPr="002F5BA3">
        <w:rPr>
          <w:rFonts w:ascii="Times New Roman" w:hAnsi="Times New Roman"/>
          <w:b/>
          <w:bCs/>
          <w:sz w:val="28"/>
          <w:szCs w:val="28"/>
        </w:rPr>
        <w:t>WITH MODIFICATIONS</w:t>
      </w:r>
    </w:p>
    <w:p w:rsidR="002F5BA3" w:rsidRPr="002F5BA3" w:rsidRDefault="002F5BA3" w:rsidP="002F5BA3">
      <w:pPr>
        <w:jc w:val="both"/>
        <w:rPr>
          <w:rFonts w:ascii="Times New Roman" w:hAnsi="Times New Roman"/>
          <w:b/>
          <w:bCs/>
          <w:sz w:val="28"/>
          <w:szCs w:val="28"/>
        </w:rPr>
      </w:pPr>
    </w:p>
    <w:p w:rsidR="002F5BA3" w:rsidRPr="002F5BA3" w:rsidRDefault="002F5BA3" w:rsidP="002F5BA3">
      <w:pPr>
        <w:spacing w:line="360" w:lineRule="auto"/>
        <w:ind w:firstLine="720"/>
        <w:jc w:val="both"/>
        <w:rPr>
          <w:rFonts w:ascii="Times New Roman" w:hAnsi="Times New Roman"/>
          <w:szCs w:val="24"/>
        </w:rPr>
      </w:pPr>
      <w:r w:rsidRPr="002F5BA3">
        <w:rPr>
          <w:rFonts w:ascii="Times New Roman" w:hAnsi="Times New Roman"/>
          <w:szCs w:val="24"/>
        </w:rPr>
        <w:t>On May 13, 2020, Georgia Power Company (“Georgia Power” or “Company”) filed for Georgia Public Service Commission (“Commission”) approval a modified Renewable and Nonrenewable Resources (“RNR”) tariff (RNR-10), consistent with the Order Adopting Settlement as Modified in Docket No. 42516, Georgia Power Company’s 2019 Base Rate Case (“Rate Case”).</w:t>
      </w:r>
    </w:p>
    <w:p w:rsidR="00F12CB6" w:rsidRDefault="00F12CB6" w:rsidP="002F5BA3">
      <w:pPr>
        <w:spacing w:line="360" w:lineRule="auto"/>
        <w:jc w:val="both"/>
        <w:rPr>
          <w:rFonts w:ascii="Times New Roman" w:hAnsi="Times New Roman"/>
          <w:b/>
          <w:szCs w:val="24"/>
          <w:u w:val="single"/>
        </w:rPr>
      </w:pPr>
    </w:p>
    <w:p w:rsidR="002F5BA3" w:rsidRPr="002F5BA3" w:rsidRDefault="002F5BA3" w:rsidP="002F5BA3">
      <w:pPr>
        <w:spacing w:line="360" w:lineRule="auto"/>
        <w:jc w:val="both"/>
        <w:rPr>
          <w:rFonts w:ascii="Times New Roman" w:hAnsi="Times New Roman"/>
          <w:b/>
          <w:szCs w:val="24"/>
          <w:u w:val="single"/>
        </w:rPr>
      </w:pPr>
      <w:r w:rsidRPr="002F5BA3">
        <w:rPr>
          <w:rFonts w:ascii="Times New Roman" w:hAnsi="Times New Roman"/>
          <w:b/>
          <w:szCs w:val="24"/>
          <w:u w:val="single"/>
        </w:rPr>
        <w:t>Background</w:t>
      </w:r>
    </w:p>
    <w:p w:rsidR="002F5BA3" w:rsidRPr="002F5BA3" w:rsidRDefault="002F5BA3" w:rsidP="002F5BA3">
      <w:pPr>
        <w:autoSpaceDE w:val="0"/>
        <w:autoSpaceDN w:val="0"/>
        <w:adjustRightInd w:val="0"/>
        <w:spacing w:line="360" w:lineRule="auto"/>
        <w:ind w:firstLine="720"/>
        <w:jc w:val="both"/>
        <w:rPr>
          <w:rFonts w:ascii="Times New Roman" w:hAnsi="Times New Roman"/>
          <w:szCs w:val="24"/>
        </w:rPr>
      </w:pPr>
      <w:r w:rsidRPr="002F5BA3">
        <w:rPr>
          <w:rFonts w:ascii="Times New Roman" w:hAnsi="Times New Roman"/>
          <w:szCs w:val="24"/>
        </w:rPr>
        <w:t xml:space="preserve">On February 6, 2020, the Commission approved Georgia Power’s </w:t>
      </w:r>
      <w:r w:rsidRPr="002F5BA3">
        <w:rPr>
          <w:rFonts w:ascii="Times New Roman" w:eastAsiaTheme="minorEastAsia" w:hAnsi="Times New Roman"/>
          <w:bCs/>
          <w:szCs w:val="24"/>
          <w:lang w:eastAsia="zh-CN"/>
        </w:rPr>
        <w:t xml:space="preserve">2019 Base Rate Case </w:t>
      </w:r>
      <w:r w:rsidRPr="002F5BA3">
        <w:rPr>
          <w:rFonts w:ascii="Times New Roman" w:hAnsi="Times New Roman"/>
          <w:szCs w:val="24"/>
        </w:rPr>
        <w:t>in its Order Adopting Settlement as Modified in Docket No. 42516. In this docket, the Commission concluded, after approval of a Commissioner motion, that the behind-the-meter (“BTM”) netting period length for customers receiving service on the Renewable and Nonrenewable Resources (“RNR”) tariff shall be changed from instantaneous to monthly for the first 5</w:t>
      </w:r>
      <w:r w:rsidR="00F12CB6">
        <w:rPr>
          <w:rFonts w:ascii="Times New Roman" w:hAnsi="Times New Roman"/>
          <w:szCs w:val="24"/>
        </w:rPr>
        <w:t>,</w:t>
      </w:r>
      <w:r w:rsidRPr="002F5BA3">
        <w:rPr>
          <w:rFonts w:ascii="Times New Roman" w:hAnsi="Times New Roman"/>
          <w:szCs w:val="24"/>
        </w:rPr>
        <w:t xml:space="preserve">000 rooftop solar ratepayers or until new installed capacity reaches 32 megawatts (“MW”), whichever occurs first. </w:t>
      </w:r>
      <w:r w:rsidRPr="002F5BA3">
        <w:rPr>
          <w:rFonts w:ascii="Times New Roman" w:hAnsi="Times New Roman"/>
          <w:szCs w:val="24"/>
        </w:rPr>
        <w:lastRenderedPageBreak/>
        <w:t>On May 13, 2020, the Company filed RNR-10 consistent with the Order Adopting Settlement as Modified.</w:t>
      </w:r>
    </w:p>
    <w:p w:rsidR="00F12CB6" w:rsidRDefault="00F12CB6" w:rsidP="002F5BA3">
      <w:pPr>
        <w:autoSpaceDE w:val="0"/>
        <w:autoSpaceDN w:val="0"/>
        <w:adjustRightInd w:val="0"/>
        <w:spacing w:line="360" w:lineRule="auto"/>
        <w:ind w:firstLine="720"/>
        <w:jc w:val="both"/>
        <w:rPr>
          <w:rFonts w:ascii="Times New Roman" w:hAnsi="Times New Roman"/>
          <w:szCs w:val="24"/>
        </w:rPr>
      </w:pPr>
    </w:p>
    <w:p w:rsidR="002F5BA3" w:rsidRPr="002F5BA3" w:rsidRDefault="002F5BA3" w:rsidP="002F5BA3">
      <w:pPr>
        <w:autoSpaceDE w:val="0"/>
        <w:autoSpaceDN w:val="0"/>
        <w:adjustRightInd w:val="0"/>
        <w:spacing w:line="360" w:lineRule="auto"/>
        <w:ind w:firstLine="720"/>
        <w:jc w:val="both"/>
        <w:rPr>
          <w:rFonts w:ascii="Times New Roman" w:hAnsi="Times New Roman"/>
          <w:szCs w:val="24"/>
        </w:rPr>
      </w:pPr>
      <w:r w:rsidRPr="002F5BA3">
        <w:rPr>
          <w:rFonts w:ascii="Times New Roman" w:hAnsi="Times New Roman"/>
          <w:szCs w:val="24"/>
        </w:rPr>
        <w:t>The Company informed Commission Staff (“Staff”) that RNR-Monthly Netting is not technically feasible for three of its residential tariffs. As such, the filed RNR-10 tariff does not provide for monthly netting for customers receiving service under the FlatBill, Pre-Pay or Community Solar tariffs. Customers on these tariffs may elect to change their service tariffs, subject to the terms of their current tariffs, in order to take advantage of RNR-Monthly Netting. RNR-Instantaneous Netting, as historically provided, remains an option for customers on these three tariffs, and all RNR customers after 5</w:t>
      </w:r>
      <w:r w:rsidR="00F12CB6">
        <w:rPr>
          <w:rFonts w:ascii="Times New Roman" w:hAnsi="Times New Roman"/>
          <w:szCs w:val="24"/>
        </w:rPr>
        <w:t>,</w:t>
      </w:r>
      <w:r w:rsidRPr="002F5BA3">
        <w:rPr>
          <w:rFonts w:ascii="Times New Roman" w:hAnsi="Times New Roman"/>
          <w:szCs w:val="24"/>
        </w:rPr>
        <w:t>000 customers or 32MW of new capacity are subscribed with RNR-Monthly Netting.</w:t>
      </w:r>
    </w:p>
    <w:p w:rsidR="002F5BA3" w:rsidRPr="002F5BA3" w:rsidRDefault="002F5BA3" w:rsidP="002F5BA3">
      <w:pPr>
        <w:autoSpaceDE w:val="0"/>
        <w:autoSpaceDN w:val="0"/>
        <w:adjustRightInd w:val="0"/>
        <w:spacing w:line="360" w:lineRule="auto"/>
        <w:ind w:firstLine="720"/>
        <w:jc w:val="both"/>
        <w:rPr>
          <w:rFonts w:ascii="Times New Roman" w:hAnsi="Times New Roman"/>
          <w:szCs w:val="24"/>
        </w:rPr>
      </w:pPr>
    </w:p>
    <w:p w:rsidR="002F5BA3" w:rsidRPr="002F5BA3" w:rsidRDefault="002F5BA3" w:rsidP="002F5BA3">
      <w:pPr>
        <w:autoSpaceDE w:val="0"/>
        <w:autoSpaceDN w:val="0"/>
        <w:adjustRightInd w:val="0"/>
        <w:spacing w:line="360" w:lineRule="auto"/>
        <w:jc w:val="both"/>
        <w:rPr>
          <w:rFonts w:ascii="Times New Roman" w:hAnsi="Times New Roman"/>
          <w:szCs w:val="24"/>
        </w:rPr>
      </w:pPr>
      <w:r w:rsidRPr="002F5BA3">
        <w:rPr>
          <w:rFonts w:ascii="Times New Roman" w:hAnsi="Times New Roman"/>
          <w:szCs w:val="24"/>
        </w:rPr>
        <w:tab/>
        <w:t xml:space="preserve">Existing RNR Tariff customers will default to RNR-Monthly Netting, provided that they are not receiving service on one of the three excluded tariffs. At the end of 2019, the Company had 1,068 customers on the RNR Tariff with 10,843 kilowatts (“kW”) of capacity. Therefore, RNR-Monthly Netting will be available to 3,932 new RNR customers, up to an additional 32 MW capacity. There are also 970 customers with 10,735 kW of capacity that have BTM solar systems used for Energy Offset (“EO”) only. Many of these EO customers are expected to subscribe to the RNR tariff in order to obtain RNR-Monthly Netting. Since January 1, 2020, 84 new RNR customers have subscribed with the addition of 954kW of capacity. </w:t>
      </w:r>
    </w:p>
    <w:p w:rsidR="002F5BA3" w:rsidRPr="002F5BA3" w:rsidRDefault="002F5BA3" w:rsidP="002F5BA3">
      <w:pPr>
        <w:autoSpaceDE w:val="0"/>
        <w:autoSpaceDN w:val="0"/>
        <w:adjustRightInd w:val="0"/>
        <w:spacing w:line="360" w:lineRule="auto"/>
        <w:jc w:val="both"/>
        <w:rPr>
          <w:rFonts w:ascii="Times New Roman" w:hAnsi="Times New Roman"/>
          <w:szCs w:val="24"/>
        </w:rPr>
      </w:pPr>
    </w:p>
    <w:p w:rsidR="002F5BA3" w:rsidRPr="002F5BA3" w:rsidRDefault="002F5BA3" w:rsidP="002F5BA3">
      <w:pPr>
        <w:autoSpaceDE w:val="0"/>
        <w:autoSpaceDN w:val="0"/>
        <w:adjustRightInd w:val="0"/>
        <w:spacing w:line="360" w:lineRule="auto"/>
        <w:ind w:firstLine="720"/>
        <w:jc w:val="both"/>
        <w:rPr>
          <w:rFonts w:ascii="Times New Roman" w:hAnsi="Times New Roman"/>
          <w:szCs w:val="24"/>
        </w:rPr>
      </w:pPr>
      <w:r w:rsidRPr="002F5BA3">
        <w:rPr>
          <w:rFonts w:ascii="Times New Roman" w:hAnsi="Times New Roman"/>
          <w:szCs w:val="24"/>
        </w:rPr>
        <w:t>The Company has informed Staff that the implementation of RNR-Monthly Netting will begin with the July billing cycle. RNR customers that receive service on simple rate plans (approximately 80%), such as the Residential Service (R-23) tariff, will begin receiving RNR-Monthly Netting in July. Customers receiving service on more complex tariffs, such as Time-of-Use, will begin receiving RNR-Monthly Netting in late Fall.</w:t>
      </w:r>
    </w:p>
    <w:p w:rsidR="00F12CB6" w:rsidRDefault="00F12CB6" w:rsidP="002F5BA3">
      <w:pPr>
        <w:autoSpaceDE w:val="0"/>
        <w:autoSpaceDN w:val="0"/>
        <w:adjustRightInd w:val="0"/>
        <w:spacing w:line="360" w:lineRule="auto"/>
        <w:ind w:firstLine="720"/>
        <w:jc w:val="both"/>
        <w:rPr>
          <w:rFonts w:ascii="Times New Roman" w:hAnsi="Times New Roman"/>
          <w:szCs w:val="24"/>
        </w:rPr>
      </w:pPr>
    </w:p>
    <w:p w:rsidR="002F5BA3" w:rsidRPr="002F5BA3" w:rsidRDefault="002F5BA3" w:rsidP="002F5BA3">
      <w:pPr>
        <w:autoSpaceDE w:val="0"/>
        <w:autoSpaceDN w:val="0"/>
        <w:adjustRightInd w:val="0"/>
        <w:spacing w:line="360" w:lineRule="auto"/>
        <w:ind w:firstLine="720"/>
        <w:jc w:val="both"/>
        <w:rPr>
          <w:rFonts w:ascii="Times New Roman" w:hAnsi="Times New Roman"/>
          <w:szCs w:val="24"/>
        </w:rPr>
      </w:pPr>
      <w:r w:rsidRPr="002F5BA3">
        <w:rPr>
          <w:rFonts w:ascii="Times New Roman" w:hAnsi="Times New Roman"/>
          <w:szCs w:val="24"/>
        </w:rPr>
        <w:t>Existing RNR customers will also receive bill adjustments which will apply RNR-Monthly Netting instead of RNR-Instantaneous Netting</w:t>
      </w:r>
      <w:r w:rsidRPr="002F5BA3" w:rsidDel="007D24CE">
        <w:rPr>
          <w:rFonts w:ascii="Times New Roman" w:hAnsi="Times New Roman"/>
          <w:szCs w:val="24"/>
        </w:rPr>
        <w:t xml:space="preserve"> </w:t>
      </w:r>
      <w:r w:rsidRPr="002F5BA3">
        <w:rPr>
          <w:rFonts w:ascii="Times New Roman" w:hAnsi="Times New Roman"/>
          <w:szCs w:val="24"/>
        </w:rPr>
        <w:t xml:space="preserve">for excess energy that has been sent to the grid since </w:t>
      </w:r>
      <w:r w:rsidRPr="002F5BA3">
        <w:rPr>
          <w:rFonts w:ascii="Times New Roman" w:hAnsi="Times New Roman"/>
          <w:szCs w:val="24"/>
        </w:rPr>
        <w:lastRenderedPageBreak/>
        <w:t>January 2020 or the customer’s 2020 enrollment date. In July, RNR customers on the more complex tariffs will also start receiving the updated Solar Avoided Energy Cost that was filed by the Company on May 13, 2020 at the corrected value of $0.02993/kWh.</w:t>
      </w:r>
    </w:p>
    <w:p w:rsidR="002F5BA3" w:rsidRPr="002F5BA3" w:rsidRDefault="002F5BA3" w:rsidP="002F5BA3">
      <w:pPr>
        <w:spacing w:line="360" w:lineRule="auto"/>
        <w:jc w:val="both"/>
        <w:rPr>
          <w:rFonts w:ascii="Times New Roman" w:hAnsi="Times New Roman"/>
          <w:szCs w:val="24"/>
        </w:rPr>
      </w:pPr>
    </w:p>
    <w:p w:rsidR="002F5BA3" w:rsidRPr="002F5BA3" w:rsidRDefault="002F5BA3" w:rsidP="002F5BA3">
      <w:pPr>
        <w:pStyle w:val="BodyText"/>
        <w:spacing w:line="360" w:lineRule="auto"/>
        <w:ind w:firstLine="720"/>
        <w:rPr>
          <w:rFonts w:ascii="Times New Roman" w:hAnsi="Times New Roman"/>
          <w:szCs w:val="24"/>
        </w:rPr>
      </w:pPr>
      <w:r w:rsidRPr="002F5BA3">
        <w:rPr>
          <w:rFonts w:ascii="Times New Roman" w:hAnsi="Times New Roman"/>
          <w:szCs w:val="24"/>
        </w:rPr>
        <w:t>Staff reviewed the Company’s proposed RNR-10 tariff and recommended approval with the following recommendations:</w:t>
      </w:r>
    </w:p>
    <w:p w:rsidR="002F5BA3" w:rsidRDefault="002F5BA3" w:rsidP="002F5BA3">
      <w:pPr>
        <w:pStyle w:val="ListParagraph"/>
        <w:numPr>
          <w:ilvl w:val="0"/>
          <w:numId w:val="3"/>
        </w:numPr>
        <w:spacing w:line="360" w:lineRule="auto"/>
        <w:jc w:val="both"/>
        <w:rPr>
          <w:rFonts w:ascii="Times New Roman" w:hAnsi="Times New Roman" w:cs="Times New Roman"/>
          <w:sz w:val="24"/>
          <w:szCs w:val="24"/>
        </w:rPr>
      </w:pPr>
      <w:r w:rsidRPr="002F5BA3">
        <w:rPr>
          <w:rFonts w:ascii="Times New Roman" w:hAnsi="Times New Roman" w:cs="Times New Roman"/>
          <w:sz w:val="24"/>
          <w:szCs w:val="24"/>
        </w:rPr>
        <w:t>The RNR-10 tariff should be adopted as modified by Staff in the attached redlined RNR-10 tariff</w:t>
      </w:r>
      <w:r w:rsidR="00C22DCE">
        <w:rPr>
          <w:rFonts w:ascii="Times New Roman" w:hAnsi="Times New Roman" w:cs="Times New Roman"/>
          <w:sz w:val="24"/>
          <w:szCs w:val="24"/>
        </w:rPr>
        <w:t xml:space="preserve"> (Attachment 1)</w:t>
      </w:r>
      <w:bookmarkStart w:id="0" w:name="_GoBack"/>
      <w:bookmarkEnd w:id="0"/>
      <w:r w:rsidRPr="002F5BA3">
        <w:rPr>
          <w:rFonts w:ascii="Times New Roman" w:hAnsi="Times New Roman" w:cs="Times New Roman"/>
          <w:sz w:val="24"/>
          <w:szCs w:val="24"/>
        </w:rPr>
        <w:t xml:space="preserve">. In the proposed modifications, Staff specifically recommends that the Participation Terms and Conditions list RNR-Monthly Netting first. Subsequently, RNR-Instantaneous Netting should clearly indicate that option is available to any customer </w:t>
      </w:r>
      <w:r w:rsidRPr="002F5BA3">
        <w:rPr>
          <w:rFonts w:ascii="Times New Roman" w:hAnsi="Times New Roman" w:cs="Times New Roman"/>
          <w:sz w:val="24"/>
          <w:szCs w:val="24"/>
          <w:lang w:eastAsia="x-none"/>
        </w:rPr>
        <w:t xml:space="preserve">who does not qualify for or chooses not to take advantage </w:t>
      </w:r>
      <w:r w:rsidRPr="002F5BA3">
        <w:rPr>
          <w:rFonts w:ascii="Times New Roman" w:hAnsi="Times New Roman" w:cs="Times New Roman"/>
          <w:sz w:val="24"/>
          <w:szCs w:val="24"/>
        </w:rPr>
        <w:t>of RNR-Monthly Netting, and all future RNR customers once the approved monthly netting limits are met.  Staff also recommends additional minor edits to the RNR-10 tariff.</w:t>
      </w:r>
    </w:p>
    <w:p w:rsidR="004508EE" w:rsidRPr="002F5BA3" w:rsidRDefault="004508EE" w:rsidP="004508EE">
      <w:pPr>
        <w:pStyle w:val="ListParagraph"/>
        <w:spacing w:line="360" w:lineRule="auto"/>
        <w:ind w:left="1080"/>
        <w:jc w:val="both"/>
        <w:rPr>
          <w:rFonts w:ascii="Times New Roman" w:hAnsi="Times New Roman" w:cs="Times New Roman"/>
          <w:sz w:val="24"/>
          <w:szCs w:val="24"/>
        </w:rPr>
      </w:pPr>
    </w:p>
    <w:p w:rsidR="002F5BA3" w:rsidRPr="002F5BA3" w:rsidRDefault="002F5BA3" w:rsidP="002F5BA3">
      <w:pPr>
        <w:pStyle w:val="ListParagraph"/>
        <w:numPr>
          <w:ilvl w:val="0"/>
          <w:numId w:val="3"/>
        </w:numPr>
        <w:spacing w:line="360" w:lineRule="auto"/>
        <w:jc w:val="both"/>
        <w:rPr>
          <w:rFonts w:ascii="Times New Roman" w:hAnsi="Times New Roman" w:cs="Times New Roman"/>
          <w:sz w:val="24"/>
          <w:szCs w:val="24"/>
        </w:rPr>
      </w:pPr>
      <w:r w:rsidRPr="002F5BA3">
        <w:rPr>
          <w:rFonts w:ascii="Times New Roman" w:hAnsi="Times New Roman" w:cs="Times New Roman"/>
          <w:sz w:val="24"/>
          <w:szCs w:val="24"/>
        </w:rPr>
        <w:t>The Company and Staff should collaborate to define and establish a reporting process that can be easily accessed and updated with current information to track the remaining available enrollments and capacity for the RNR tariff options.</w:t>
      </w:r>
    </w:p>
    <w:p w:rsidR="002F5BA3" w:rsidRPr="002F5BA3" w:rsidRDefault="002F5BA3" w:rsidP="002F5BA3">
      <w:pPr>
        <w:spacing w:line="360" w:lineRule="auto"/>
        <w:jc w:val="both"/>
        <w:rPr>
          <w:rFonts w:ascii="Times New Roman" w:hAnsi="Times New Roman"/>
          <w:szCs w:val="24"/>
        </w:rPr>
      </w:pPr>
    </w:p>
    <w:p w:rsidR="002F5BA3" w:rsidRPr="002F5BA3" w:rsidRDefault="002F5BA3" w:rsidP="002F5BA3">
      <w:pPr>
        <w:spacing w:line="360" w:lineRule="auto"/>
        <w:jc w:val="both"/>
        <w:rPr>
          <w:rFonts w:ascii="Times New Roman" w:hAnsi="Times New Roman"/>
          <w:szCs w:val="24"/>
        </w:rPr>
      </w:pPr>
      <w:r w:rsidRPr="002F5BA3">
        <w:rPr>
          <w:rFonts w:ascii="Times New Roman" w:hAnsi="Times New Roman"/>
          <w:szCs w:val="24"/>
        </w:rPr>
        <w:t xml:space="preserve">The Commission adopted Staff’s recommendation at the June 2, 2020 Administrative Session. </w:t>
      </w:r>
    </w:p>
    <w:p w:rsidR="002F5BA3" w:rsidRPr="002F5BA3" w:rsidRDefault="002F5BA3" w:rsidP="002F5BA3">
      <w:pPr>
        <w:spacing w:line="360" w:lineRule="auto"/>
        <w:jc w:val="both"/>
        <w:rPr>
          <w:rFonts w:ascii="Times New Roman" w:hAnsi="Times New Roman"/>
          <w:szCs w:val="24"/>
        </w:rPr>
      </w:pPr>
    </w:p>
    <w:p w:rsidR="002F5BA3" w:rsidRPr="002F5BA3" w:rsidRDefault="002F5BA3" w:rsidP="002F5BA3">
      <w:pPr>
        <w:spacing w:line="360" w:lineRule="auto"/>
        <w:jc w:val="center"/>
        <w:rPr>
          <w:rFonts w:ascii="Times New Roman" w:hAnsi="Times New Roman"/>
          <w:szCs w:val="24"/>
        </w:rPr>
      </w:pPr>
      <w:r w:rsidRPr="002F5BA3">
        <w:rPr>
          <w:rFonts w:ascii="Times New Roman" w:hAnsi="Times New Roman"/>
          <w:szCs w:val="24"/>
        </w:rPr>
        <w:t>* * * * *</w:t>
      </w:r>
    </w:p>
    <w:p w:rsidR="002F5BA3" w:rsidRPr="002F5BA3" w:rsidRDefault="002F5BA3" w:rsidP="002F5BA3">
      <w:pPr>
        <w:spacing w:line="360" w:lineRule="auto"/>
        <w:jc w:val="center"/>
        <w:rPr>
          <w:rFonts w:ascii="Times New Roman" w:hAnsi="Times New Roman"/>
          <w:szCs w:val="24"/>
        </w:rPr>
      </w:pPr>
    </w:p>
    <w:p w:rsidR="002F5BA3" w:rsidRPr="002F5BA3" w:rsidRDefault="002F5BA3" w:rsidP="002F5BA3">
      <w:pPr>
        <w:spacing w:line="360" w:lineRule="auto"/>
        <w:ind w:firstLine="720"/>
        <w:jc w:val="both"/>
        <w:rPr>
          <w:rFonts w:ascii="Times New Roman" w:hAnsi="Times New Roman"/>
          <w:szCs w:val="24"/>
        </w:rPr>
      </w:pPr>
      <w:r w:rsidRPr="002F5BA3">
        <w:rPr>
          <w:rFonts w:ascii="Times New Roman" w:hAnsi="Times New Roman"/>
          <w:b/>
          <w:bCs/>
          <w:szCs w:val="24"/>
        </w:rPr>
        <w:t>WHEREFORE IT IS ORDERED</w:t>
      </w:r>
      <w:r w:rsidRPr="002F5BA3">
        <w:rPr>
          <w:rFonts w:ascii="Times New Roman" w:hAnsi="Times New Roman"/>
          <w:szCs w:val="24"/>
        </w:rPr>
        <w:t xml:space="preserve">, that Georgia Power </w:t>
      </w:r>
      <w:r w:rsidRPr="002F5BA3">
        <w:rPr>
          <w:rFonts w:ascii="Times New Roman" w:eastAsia="SimSun" w:hAnsi="Times New Roman"/>
          <w:szCs w:val="24"/>
          <w:lang w:eastAsia="zh-CN"/>
        </w:rPr>
        <w:t>Company’s RNR-10 tariff</w:t>
      </w:r>
      <w:r w:rsidRPr="002F5BA3">
        <w:rPr>
          <w:rFonts w:ascii="Times New Roman" w:hAnsi="Times New Roman"/>
          <w:szCs w:val="24"/>
        </w:rPr>
        <w:t>, as modified by Commission Staff, is hereby approved.</w:t>
      </w:r>
    </w:p>
    <w:p w:rsidR="002F5BA3" w:rsidRPr="002F5BA3" w:rsidRDefault="002F5BA3" w:rsidP="002F5BA3">
      <w:pPr>
        <w:spacing w:line="360" w:lineRule="auto"/>
        <w:ind w:firstLine="720"/>
        <w:jc w:val="both"/>
        <w:rPr>
          <w:rFonts w:ascii="Times New Roman" w:hAnsi="Times New Roman"/>
          <w:szCs w:val="24"/>
        </w:rPr>
      </w:pPr>
    </w:p>
    <w:p w:rsidR="002F5BA3" w:rsidRPr="002F5BA3" w:rsidRDefault="002F5BA3" w:rsidP="002F5BA3">
      <w:pPr>
        <w:spacing w:line="360" w:lineRule="auto"/>
        <w:ind w:firstLine="720"/>
        <w:jc w:val="both"/>
        <w:rPr>
          <w:rFonts w:ascii="Times New Roman" w:hAnsi="Times New Roman"/>
          <w:szCs w:val="24"/>
        </w:rPr>
      </w:pPr>
      <w:r w:rsidRPr="002F5BA3">
        <w:rPr>
          <w:rFonts w:ascii="Times New Roman" w:hAnsi="Times New Roman"/>
          <w:b/>
          <w:szCs w:val="24"/>
        </w:rPr>
        <w:t>ORDERED FURTHER</w:t>
      </w:r>
      <w:r w:rsidRPr="002F5BA3">
        <w:rPr>
          <w:rFonts w:ascii="Times New Roman" w:hAnsi="Times New Roman"/>
          <w:szCs w:val="24"/>
        </w:rPr>
        <w:t xml:space="preserve">, that the Company and Staff should collaborate to define and establish a reporting process that can be easily accessed and updated with current information to </w:t>
      </w:r>
      <w:r w:rsidRPr="002F5BA3">
        <w:rPr>
          <w:rFonts w:ascii="Times New Roman" w:hAnsi="Times New Roman"/>
          <w:szCs w:val="24"/>
        </w:rPr>
        <w:lastRenderedPageBreak/>
        <w:t>track the remaining available enrollments and capacity for the RNR tariff options.</w:t>
      </w:r>
    </w:p>
    <w:p w:rsidR="002F5BA3" w:rsidRPr="002F5BA3" w:rsidRDefault="002F5BA3" w:rsidP="002F5BA3">
      <w:pPr>
        <w:spacing w:line="360" w:lineRule="auto"/>
        <w:ind w:firstLine="720"/>
        <w:jc w:val="both"/>
        <w:rPr>
          <w:rFonts w:ascii="Times New Roman" w:hAnsi="Times New Roman"/>
          <w:szCs w:val="24"/>
        </w:rPr>
      </w:pPr>
      <w:r w:rsidRPr="002F5BA3">
        <w:rPr>
          <w:rFonts w:ascii="Times New Roman" w:hAnsi="Times New Roman"/>
          <w:b/>
          <w:bCs/>
          <w:szCs w:val="24"/>
        </w:rPr>
        <w:t>ORDERED FURTHER</w:t>
      </w:r>
      <w:r w:rsidRPr="002F5BA3">
        <w:rPr>
          <w:rFonts w:ascii="Times New Roman" w:hAnsi="Times New Roman"/>
          <w:szCs w:val="24"/>
        </w:rPr>
        <w:t>, that a motion for reconsideration, rehearing, or oral argument or any other motion shall not stay the effective date of this Order, unless otherwise ordered by the Commission.</w:t>
      </w:r>
    </w:p>
    <w:p w:rsidR="002F5BA3" w:rsidRPr="002F5BA3" w:rsidRDefault="002F5BA3" w:rsidP="002F5BA3">
      <w:pPr>
        <w:spacing w:line="360" w:lineRule="auto"/>
        <w:jc w:val="both"/>
        <w:rPr>
          <w:rFonts w:ascii="Times New Roman" w:hAnsi="Times New Roman"/>
          <w:szCs w:val="24"/>
        </w:rPr>
      </w:pPr>
    </w:p>
    <w:p w:rsidR="002F5BA3" w:rsidRDefault="002F5BA3" w:rsidP="002F5BA3">
      <w:pPr>
        <w:spacing w:line="360" w:lineRule="auto"/>
        <w:ind w:firstLine="720"/>
        <w:jc w:val="both"/>
        <w:rPr>
          <w:rFonts w:ascii="Times New Roman" w:hAnsi="Times New Roman"/>
          <w:szCs w:val="24"/>
        </w:rPr>
      </w:pPr>
      <w:r w:rsidRPr="002F5BA3">
        <w:rPr>
          <w:rFonts w:ascii="Times New Roman" w:hAnsi="Times New Roman"/>
          <w:b/>
          <w:bCs/>
          <w:szCs w:val="24"/>
        </w:rPr>
        <w:t>ORDERED FURTHER</w:t>
      </w:r>
      <w:r w:rsidRPr="002F5BA3">
        <w:rPr>
          <w:rFonts w:ascii="Times New Roman" w:hAnsi="Times New Roman"/>
          <w:szCs w:val="24"/>
        </w:rPr>
        <w:t>, that jurisdiction over this matter is expressly retained for the purpose of entering such further Order or Orders as this Commission may deem just and proper.</w:t>
      </w:r>
    </w:p>
    <w:p w:rsidR="00EA4766" w:rsidRPr="002F5BA3" w:rsidRDefault="00EA4766" w:rsidP="002F5BA3">
      <w:pPr>
        <w:spacing w:line="360" w:lineRule="auto"/>
        <w:ind w:firstLine="720"/>
        <w:jc w:val="both"/>
        <w:rPr>
          <w:rFonts w:ascii="Times New Roman" w:hAnsi="Times New Roman"/>
          <w:szCs w:val="24"/>
        </w:rPr>
      </w:pPr>
    </w:p>
    <w:p w:rsidR="002F5BA3" w:rsidRPr="002F5BA3" w:rsidRDefault="002F5BA3" w:rsidP="002F5BA3">
      <w:pPr>
        <w:spacing w:line="360" w:lineRule="auto"/>
        <w:ind w:firstLine="720"/>
        <w:jc w:val="both"/>
        <w:rPr>
          <w:rFonts w:ascii="Times New Roman" w:hAnsi="Times New Roman"/>
          <w:szCs w:val="24"/>
        </w:rPr>
      </w:pPr>
      <w:r w:rsidRPr="002F5BA3">
        <w:rPr>
          <w:rFonts w:ascii="Times New Roman" w:hAnsi="Times New Roman"/>
          <w:szCs w:val="24"/>
        </w:rPr>
        <w:t>The above action was taken by the Commission in Administrative Session on the 2</w:t>
      </w:r>
      <w:r w:rsidRPr="002F5BA3">
        <w:rPr>
          <w:rFonts w:ascii="Times New Roman" w:hAnsi="Times New Roman"/>
          <w:szCs w:val="24"/>
          <w:vertAlign w:val="superscript"/>
        </w:rPr>
        <w:t>nd</w:t>
      </w:r>
      <w:r w:rsidRPr="002F5BA3">
        <w:rPr>
          <w:rFonts w:ascii="Times New Roman" w:hAnsi="Times New Roman"/>
          <w:szCs w:val="24"/>
        </w:rPr>
        <w:t xml:space="preserve"> day of June, 2020.</w:t>
      </w:r>
    </w:p>
    <w:p w:rsidR="002F5BA3" w:rsidRPr="002F5BA3" w:rsidRDefault="002F5BA3" w:rsidP="002F5BA3">
      <w:pPr>
        <w:spacing w:line="360" w:lineRule="auto"/>
        <w:ind w:firstLine="720"/>
        <w:jc w:val="both"/>
        <w:rPr>
          <w:rFonts w:ascii="Times New Roman" w:hAnsi="Times New Roman"/>
          <w:szCs w:val="24"/>
        </w:rPr>
      </w:pPr>
    </w:p>
    <w:p w:rsidR="002F5BA3" w:rsidRPr="002F5BA3" w:rsidRDefault="002F5BA3" w:rsidP="002F5BA3">
      <w:pPr>
        <w:spacing w:line="360" w:lineRule="auto"/>
        <w:jc w:val="both"/>
        <w:rPr>
          <w:rFonts w:ascii="Times New Roman" w:hAnsi="Times New Roman"/>
          <w:szCs w:val="24"/>
        </w:rPr>
      </w:pPr>
    </w:p>
    <w:p w:rsidR="002F5BA3" w:rsidRPr="002F5BA3" w:rsidRDefault="002F5BA3" w:rsidP="002F5BA3">
      <w:pPr>
        <w:spacing w:line="360" w:lineRule="auto"/>
        <w:jc w:val="both"/>
        <w:rPr>
          <w:rFonts w:ascii="Times New Roman" w:hAnsi="Times New Roman"/>
          <w:szCs w:val="24"/>
        </w:rPr>
      </w:pPr>
      <w:r w:rsidRPr="002F5BA3">
        <w:rPr>
          <w:rFonts w:ascii="Times New Roman" w:hAnsi="Times New Roman"/>
          <w:szCs w:val="24"/>
        </w:rPr>
        <w:t>_____________________________</w:t>
      </w:r>
      <w:r w:rsidRPr="002F5BA3">
        <w:rPr>
          <w:rFonts w:ascii="Times New Roman" w:hAnsi="Times New Roman"/>
          <w:szCs w:val="24"/>
        </w:rPr>
        <w:tab/>
      </w:r>
      <w:r w:rsidRPr="002F5BA3">
        <w:rPr>
          <w:rFonts w:ascii="Times New Roman" w:hAnsi="Times New Roman"/>
          <w:szCs w:val="24"/>
        </w:rPr>
        <w:tab/>
      </w:r>
      <w:r w:rsidR="004508EE">
        <w:rPr>
          <w:rFonts w:ascii="Times New Roman" w:hAnsi="Times New Roman"/>
          <w:szCs w:val="24"/>
        </w:rPr>
        <w:tab/>
      </w:r>
      <w:r w:rsidRPr="002F5BA3">
        <w:rPr>
          <w:rFonts w:ascii="Times New Roman" w:hAnsi="Times New Roman"/>
          <w:szCs w:val="24"/>
        </w:rPr>
        <w:t>_____________________________</w:t>
      </w:r>
    </w:p>
    <w:p w:rsidR="002F5BA3" w:rsidRPr="002F5BA3" w:rsidRDefault="002F5BA3" w:rsidP="002F5BA3">
      <w:pPr>
        <w:spacing w:line="360" w:lineRule="auto"/>
        <w:jc w:val="both"/>
        <w:rPr>
          <w:rFonts w:ascii="Times New Roman" w:hAnsi="Times New Roman"/>
          <w:szCs w:val="24"/>
        </w:rPr>
      </w:pPr>
      <w:r w:rsidRPr="002F5BA3">
        <w:rPr>
          <w:rFonts w:ascii="Times New Roman" w:hAnsi="Times New Roman"/>
          <w:szCs w:val="24"/>
        </w:rPr>
        <w:t>Reece McAlister</w:t>
      </w:r>
      <w:r w:rsidRPr="002F5BA3">
        <w:rPr>
          <w:rFonts w:ascii="Times New Roman" w:hAnsi="Times New Roman"/>
          <w:szCs w:val="24"/>
        </w:rPr>
        <w:tab/>
      </w:r>
      <w:r w:rsidRPr="002F5BA3">
        <w:rPr>
          <w:rFonts w:ascii="Times New Roman" w:hAnsi="Times New Roman"/>
          <w:szCs w:val="24"/>
        </w:rPr>
        <w:tab/>
      </w:r>
      <w:r w:rsidRPr="002F5BA3">
        <w:rPr>
          <w:rFonts w:ascii="Times New Roman" w:hAnsi="Times New Roman"/>
          <w:szCs w:val="24"/>
        </w:rPr>
        <w:tab/>
      </w:r>
      <w:r w:rsidRPr="002F5BA3">
        <w:rPr>
          <w:rFonts w:ascii="Times New Roman" w:hAnsi="Times New Roman"/>
          <w:szCs w:val="24"/>
        </w:rPr>
        <w:tab/>
      </w:r>
      <w:r w:rsidR="004508EE">
        <w:rPr>
          <w:rFonts w:ascii="Times New Roman" w:hAnsi="Times New Roman"/>
          <w:szCs w:val="24"/>
        </w:rPr>
        <w:tab/>
      </w:r>
      <w:r w:rsidRPr="002F5BA3">
        <w:rPr>
          <w:rFonts w:ascii="Times New Roman" w:hAnsi="Times New Roman"/>
          <w:szCs w:val="24"/>
        </w:rPr>
        <w:t xml:space="preserve">Chuck Eaton  </w:t>
      </w:r>
    </w:p>
    <w:p w:rsidR="002F5BA3" w:rsidRPr="002F5BA3" w:rsidRDefault="002F5BA3" w:rsidP="002F5BA3">
      <w:pPr>
        <w:spacing w:line="360" w:lineRule="auto"/>
        <w:jc w:val="both"/>
        <w:rPr>
          <w:rFonts w:ascii="Times New Roman" w:hAnsi="Times New Roman"/>
          <w:szCs w:val="24"/>
        </w:rPr>
      </w:pPr>
      <w:r w:rsidRPr="002F5BA3">
        <w:rPr>
          <w:rFonts w:ascii="Times New Roman" w:hAnsi="Times New Roman"/>
          <w:szCs w:val="24"/>
        </w:rPr>
        <w:t>Executive Secretary</w:t>
      </w:r>
      <w:r w:rsidRPr="002F5BA3">
        <w:rPr>
          <w:rFonts w:ascii="Times New Roman" w:hAnsi="Times New Roman"/>
          <w:szCs w:val="24"/>
        </w:rPr>
        <w:tab/>
      </w:r>
      <w:r w:rsidRPr="002F5BA3">
        <w:rPr>
          <w:rFonts w:ascii="Times New Roman" w:hAnsi="Times New Roman"/>
          <w:szCs w:val="24"/>
        </w:rPr>
        <w:tab/>
      </w:r>
      <w:r w:rsidRPr="002F5BA3">
        <w:rPr>
          <w:rFonts w:ascii="Times New Roman" w:hAnsi="Times New Roman"/>
          <w:szCs w:val="24"/>
        </w:rPr>
        <w:tab/>
      </w:r>
      <w:r w:rsidRPr="002F5BA3">
        <w:rPr>
          <w:rFonts w:ascii="Times New Roman" w:hAnsi="Times New Roman"/>
          <w:szCs w:val="24"/>
        </w:rPr>
        <w:tab/>
      </w:r>
      <w:r w:rsidR="004508EE">
        <w:rPr>
          <w:rFonts w:ascii="Times New Roman" w:hAnsi="Times New Roman"/>
          <w:szCs w:val="24"/>
        </w:rPr>
        <w:tab/>
      </w:r>
      <w:r w:rsidRPr="002F5BA3">
        <w:rPr>
          <w:rFonts w:ascii="Times New Roman" w:hAnsi="Times New Roman"/>
          <w:szCs w:val="24"/>
        </w:rPr>
        <w:t>Chairman</w:t>
      </w:r>
    </w:p>
    <w:p w:rsidR="002F5BA3" w:rsidRPr="002F5BA3" w:rsidRDefault="002F5BA3" w:rsidP="002F5BA3">
      <w:pPr>
        <w:jc w:val="both"/>
        <w:rPr>
          <w:rFonts w:ascii="Times New Roman" w:hAnsi="Times New Roman"/>
          <w:szCs w:val="24"/>
        </w:rPr>
      </w:pPr>
    </w:p>
    <w:p w:rsidR="002F5BA3" w:rsidRPr="002F5BA3" w:rsidRDefault="002F5BA3" w:rsidP="002F5BA3">
      <w:pPr>
        <w:jc w:val="both"/>
        <w:rPr>
          <w:rFonts w:ascii="Times New Roman" w:hAnsi="Times New Roman"/>
          <w:szCs w:val="24"/>
        </w:rPr>
      </w:pPr>
    </w:p>
    <w:p w:rsidR="002F5BA3" w:rsidRPr="002F5BA3" w:rsidRDefault="002F5BA3" w:rsidP="002F5BA3">
      <w:pPr>
        <w:jc w:val="both"/>
        <w:rPr>
          <w:rFonts w:ascii="Times New Roman" w:hAnsi="Times New Roman"/>
          <w:szCs w:val="24"/>
        </w:rPr>
      </w:pPr>
    </w:p>
    <w:p w:rsidR="002F5BA3" w:rsidRPr="002F5BA3" w:rsidRDefault="002F5BA3" w:rsidP="002F5BA3">
      <w:pPr>
        <w:jc w:val="both"/>
        <w:rPr>
          <w:rFonts w:ascii="Times New Roman" w:hAnsi="Times New Roman"/>
          <w:szCs w:val="24"/>
        </w:rPr>
      </w:pPr>
      <w:r w:rsidRPr="002F5BA3">
        <w:rPr>
          <w:rFonts w:ascii="Times New Roman" w:hAnsi="Times New Roman"/>
          <w:szCs w:val="24"/>
        </w:rPr>
        <w:t>_____________________________</w:t>
      </w:r>
      <w:r w:rsidRPr="002F5BA3">
        <w:rPr>
          <w:rFonts w:ascii="Times New Roman" w:hAnsi="Times New Roman"/>
          <w:szCs w:val="24"/>
        </w:rPr>
        <w:tab/>
      </w:r>
      <w:r w:rsidRPr="002F5BA3">
        <w:rPr>
          <w:rFonts w:ascii="Times New Roman" w:hAnsi="Times New Roman"/>
          <w:szCs w:val="24"/>
        </w:rPr>
        <w:tab/>
      </w:r>
      <w:r w:rsidR="004508EE">
        <w:rPr>
          <w:rFonts w:ascii="Times New Roman" w:hAnsi="Times New Roman"/>
          <w:szCs w:val="24"/>
        </w:rPr>
        <w:tab/>
      </w:r>
      <w:r w:rsidRPr="002F5BA3">
        <w:rPr>
          <w:rFonts w:ascii="Times New Roman" w:hAnsi="Times New Roman"/>
          <w:szCs w:val="24"/>
        </w:rPr>
        <w:t>_____________________________</w:t>
      </w:r>
    </w:p>
    <w:p w:rsidR="002F5BA3" w:rsidRPr="002F5BA3" w:rsidRDefault="002F5BA3" w:rsidP="002F5BA3">
      <w:pPr>
        <w:jc w:val="both"/>
        <w:rPr>
          <w:rFonts w:ascii="Times New Roman" w:hAnsi="Times New Roman"/>
          <w:szCs w:val="24"/>
        </w:rPr>
      </w:pPr>
      <w:r w:rsidRPr="002F5BA3">
        <w:rPr>
          <w:rFonts w:ascii="Times New Roman" w:hAnsi="Times New Roman"/>
          <w:szCs w:val="24"/>
        </w:rPr>
        <w:t>Date</w:t>
      </w:r>
      <w:r w:rsidRPr="002F5BA3">
        <w:rPr>
          <w:rFonts w:ascii="Times New Roman" w:hAnsi="Times New Roman"/>
          <w:szCs w:val="24"/>
        </w:rPr>
        <w:tab/>
      </w:r>
      <w:r w:rsidRPr="002F5BA3">
        <w:rPr>
          <w:rFonts w:ascii="Times New Roman" w:hAnsi="Times New Roman"/>
          <w:szCs w:val="24"/>
        </w:rPr>
        <w:tab/>
      </w:r>
      <w:r w:rsidRPr="002F5BA3">
        <w:rPr>
          <w:rFonts w:ascii="Times New Roman" w:hAnsi="Times New Roman"/>
          <w:szCs w:val="24"/>
        </w:rPr>
        <w:tab/>
      </w:r>
      <w:r w:rsidRPr="002F5BA3">
        <w:rPr>
          <w:rFonts w:ascii="Times New Roman" w:hAnsi="Times New Roman"/>
          <w:szCs w:val="24"/>
        </w:rPr>
        <w:tab/>
      </w:r>
      <w:r w:rsidRPr="002F5BA3">
        <w:rPr>
          <w:rFonts w:ascii="Times New Roman" w:hAnsi="Times New Roman"/>
          <w:szCs w:val="24"/>
        </w:rPr>
        <w:tab/>
        <w:t xml:space="preserve">  </w:t>
      </w:r>
      <w:r w:rsidRPr="002F5BA3">
        <w:rPr>
          <w:rFonts w:ascii="Times New Roman" w:hAnsi="Times New Roman"/>
          <w:szCs w:val="24"/>
        </w:rPr>
        <w:tab/>
      </w:r>
      <w:r w:rsidR="004508EE">
        <w:rPr>
          <w:rFonts w:ascii="Times New Roman" w:hAnsi="Times New Roman"/>
          <w:szCs w:val="24"/>
        </w:rPr>
        <w:tab/>
      </w:r>
      <w:r w:rsidRPr="002F5BA3">
        <w:rPr>
          <w:rFonts w:ascii="Times New Roman" w:hAnsi="Times New Roman"/>
          <w:szCs w:val="24"/>
        </w:rPr>
        <w:t>Date</w:t>
      </w:r>
    </w:p>
    <w:p w:rsidR="005E7B1A" w:rsidRPr="002F5BA3" w:rsidRDefault="005E7B1A" w:rsidP="005E7B1A">
      <w:pPr>
        <w:pStyle w:val="DefinitionList"/>
        <w:rPr>
          <w:rFonts w:ascii="Times New Roman" w:hAnsi="Times New Roman"/>
          <w:szCs w:val="24"/>
        </w:rPr>
      </w:pPr>
    </w:p>
    <w:p w:rsidR="005B60AA" w:rsidRPr="002F5BA3" w:rsidRDefault="005B60AA" w:rsidP="00B45916">
      <w:pPr>
        <w:pStyle w:val="DefinitionTerm"/>
        <w:spacing w:before="100" w:after="100"/>
        <w:rPr>
          <w:rFonts w:ascii="Times New Roman" w:hAnsi="Times New Roman"/>
          <w:szCs w:val="24"/>
        </w:rPr>
      </w:pPr>
    </w:p>
    <w:sectPr w:rsidR="005B60AA" w:rsidRPr="002F5BA3" w:rsidSect="00B45916">
      <w:headerReference w:type="default" r:id="rId8"/>
      <w:footerReference w:type="default" r:id="rId9"/>
      <w:pgSz w:w="12240" w:h="15840"/>
      <w:pgMar w:top="245" w:right="1440" w:bottom="720" w:left="1440" w:header="1440" w:footer="495"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0795" w:rsidRDefault="007D0795" w:rsidP="00B45916">
      <w:pPr>
        <w:spacing w:before="0" w:after="0"/>
      </w:pPr>
      <w:r>
        <w:separator/>
      </w:r>
    </w:p>
  </w:endnote>
  <w:endnote w:type="continuationSeparator" w:id="0">
    <w:p w:rsidR="007D0795" w:rsidRDefault="007D0795" w:rsidP="00B4591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Old English Text MT">
    <w:panose1 w:val="03040902040508030806"/>
    <w:charset w:val="00"/>
    <w:family w:val="script"/>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5916" w:rsidRDefault="00B45916" w:rsidP="00B45916">
    <w:pPr>
      <w:pStyle w:val="Footer"/>
      <w:jc w:val="center"/>
      <w:rPr>
        <w:sz w:val="20"/>
      </w:rPr>
    </w:pPr>
  </w:p>
  <w:p w:rsidR="00B45916" w:rsidRPr="00F9245B" w:rsidRDefault="00B45916" w:rsidP="00B45916">
    <w:pPr>
      <w:pStyle w:val="Footer"/>
      <w:jc w:val="center"/>
      <w:rPr>
        <w:rFonts w:ascii="Times New Roman" w:hAnsi="Times New Roman"/>
        <w:sz w:val="20"/>
      </w:rPr>
    </w:pPr>
    <w:r w:rsidRPr="00F9245B">
      <w:rPr>
        <w:rFonts w:ascii="Times New Roman" w:hAnsi="Times New Roman"/>
        <w:sz w:val="20"/>
      </w:rPr>
      <w:t xml:space="preserve">Docket No. </w:t>
    </w:r>
    <w:r w:rsidR="002F5BA3">
      <w:rPr>
        <w:rFonts w:ascii="Times New Roman" w:hAnsi="Times New Roman"/>
        <w:sz w:val="20"/>
      </w:rPr>
      <w:t>42516</w:t>
    </w:r>
  </w:p>
  <w:p w:rsidR="00B45916" w:rsidRPr="00F9245B" w:rsidRDefault="00A45356" w:rsidP="00B45916">
    <w:pPr>
      <w:pStyle w:val="Footer"/>
      <w:jc w:val="center"/>
      <w:rPr>
        <w:rFonts w:ascii="Times New Roman" w:hAnsi="Times New Roman"/>
        <w:sz w:val="20"/>
      </w:rPr>
    </w:pPr>
    <w:r>
      <w:rPr>
        <w:rFonts w:ascii="Times New Roman" w:hAnsi="Times New Roman"/>
        <w:sz w:val="20"/>
      </w:rPr>
      <w:t xml:space="preserve">Order </w:t>
    </w:r>
    <w:r w:rsidR="002F5BA3">
      <w:rPr>
        <w:rFonts w:ascii="Times New Roman" w:hAnsi="Times New Roman"/>
        <w:sz w:val="20"/>
      </w:rPr>
      <w:t>Approving RNR-10 Tariff with Modifications</w:t>
    </w:r>
  </w:p>
  <w:p w:rsidR="00B45916" w:rsidRPr="00F9245B" w:rsidRDefault="00B45916" w:rsidP="00B45916">
    <w:pPr>
      <w:pStyle w:val="Footer"/>
      <w:jc w:val="center"/>
      <w:rPr>
        <w:rFonts w:ascii="Times New Roman" w:hAnsi="Times New Roman"/>
        <w:sz w:val="20"/>
      </w:rPr>
    </w:pPr>
    <w:r w:rsidRPr="00F9245B">
      <w:rPr>
        <w:rFonts w:ascii="Times New Roman" w:hAnsi="Times New Roman"/>
        <w:sz w:val="20"/>
      </w:rPr>
      <w:t xml:space="preserve">Page </w:t>
    </w:r>
    <w:r w:rsidRPr="00F9245B">
      <w:rPr>
        <w:rFonts w:ascii="Times New Roman" w:hAnsi="Times New Roman"/>
        <w:sz w:val="20"/>
      </w:rPr>
      <w:fldChar w:fldCharType="begin"/>
    </w:r>
    <w:r w:rsidRPr="00F9245B">
      <w:rPr>
        <w:rFonts w:ascii="Times New Roman" w:hAnsi="Times New Roman"/>
        <w:sz w:val="20"/>
      </w:rPr>
      <w:instrText xml:space="preserve"> PAGE </w:instrText>
    </w:r>
    <w:r w:rsidRPr="00F9245B">
      <w:rPr>
        <w:rFonts w:ascii="Times New Roman" w:hAnsi="Times New Roman"/>
        <w:sz w:val="20"/>
      </w:rPr>
      <w:fldChar w:fldCharType="separate"/>
    </w:r>
    <w:r w:rsidR="00C22DCE">
      <w:rPr>
        <w:rFonts w:ascii="Times New Roman" w:hAnsi="Times New Roman"/>
        <w:noProof/>
        <w:sz w:val="20"/>
      </w:rPr>
      <w:t>3</w:t>
    </w:r>
    <w:r w:rsidRPr="00F9245B">
      <w:rPr>
        <w:rFonts w:ascii="Times New Roman" w:hAnsi="Times New Roman"/>
        <w:sz w:val="20"/>
      </w:rPr>
      <w:fldChar w:fldCharType="end"/>
    </w:r>
    <w:r w:rsidRPr="00F9245B">
      <w:rPr>
        <w:rFonts w:ascii="Times New Roman" w:hAnsi="Times New Roman"/>
        <w:sz w:val="20"/>
      </w:rPr>
      <w:t xml:space="preserve"> of </w:t>
    </w:r>
    <w:r w:rsidRPr="00F9245B">
      <w:rPr>
        <w:rFonts w:ascii="Times New Roman" w:hAnsi="Times New Roman"/>
        <w:sz w:val="20"/>
      </w:rPr>
      <w:fldChar w:fldCharType="begin"/>
    </w:r>
    <w:r w:rsidRPr="00F9245B">
      <w:rPr>
        <w:rFonts w:ascii="Times New Roman" w:hAnsi="Times New Roman"/>
        <w:sz w:val="20"/>
      </w:rPr>
      <w:instrText xml:space="preserve"> NUMPAGES </w:instrText>
    </w:r>
    <w:r w:rsidRPr="00F9245B">
      <w:rPr>
        <w:rFonts w:ascii="Times New Roman" w:hAnsi="Times New Roman"/>
        <w:sz w:val="20"/>
      </w:rPr>
      <w:fldChar w:fldCharType="separate"/>
    </w:r>
    <w:r w:rsidR="00C22DCE">
      <w:rPr>
        <w:rFonts w:ascii="Times New Roman" w:hAnsi="Times New Roman"/>
        <w:noProof/>
        <w:sz w:val="20"/>
      </w:rPr>
      <w:t>4</w:t>
    </w:r>
    <w:r w:rsidRPr="00F9245B">
      <w:rPr>
        <w:rFonts w:ascii="Times New Roman" w:hAnsi="Times New Roman"/>
        <w:sz w:val="2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0795" w:rsidRDefault="007D0795" w:rsidP="00B45916">
      <w:pPr>
        <w:spacing w:before="0" w:after="0"/>
      </w:pPr>
      <w:r>
        <w:separator/>
      </w:r>
    </w:p>
  </w:footnote>
  <w:footnote w:type="continuationSeparator" w:id="0">
    <w:p w:rsidR="007D0795" w:rsidRDefault="007D0795" w:rsidP="00B45916">
      <w:pPr>
        <w:spacing w:before="0"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03A4" w:rsidRDefault="00B803A4" w:rsidP="00B803A4">
    <w:pPr>
      <w:pStyle w:val="Header"/>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A13B58"/>
    <w:multiLevelType w:val="hybridMultilevel"/>
    <w:tmpl w:val="26E0ED9A"/>
    <w:lvl w:ilvl="0" w:tplc="C09CB908">
      <w:start w:val="1"/>
      <w:numFmt w:val="lowerLetter"/>
      <w:lvlText w:val="%1."/>
      <w:lvlJc w:val="left"/>
      <w:pPr>
        <w:ind w:left="1800" w:hanging="360"/>
      </w:pPr>
      <w:rPr>
        <w:rFonts w:ascii="Times New Roman" w:eastAsia="Calibri"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271E6C0B"/>
    <w:multiLevelType w:val="hybridMultilevel"/>
    <w:tmpl w:val="81C6E81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E4F7283"/>
    <w:multiLevelType w:val="hybridMultilevel"/>
    <w:tmpl w:val="16FAFC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4382"/>
    <w:rsid w:val="00012513"/>
    <w:rsid w:val="0003085B"/>
    <w:rsid w:val="00095388"/>
    <w:rsid w:val="000D221B"/>
    <w:rsid w:val="00123716"/>
    <w:rsid w:val="00145F13"/>
    <w:rsid w:val="00156A79"/>
    <w:rsid w:val="001624C1"/>
    <w:rsid w:val="00193C4A"/>
    <w:rsid w:val="001D3B0B"/>
    <w:rsid w:val="001E10C5"/>
    <w:rsid w:val="002079D7"/>
    <w:rsid w:val="00210AFF"/>
    <w:rsid w:val="002D2C2F"/>
    <w:rsid w:val="002E0739"/>
    <w:rsid w:val="002F5BA3"/>
    <w:rsid w:val="003071E3"/>
    <w:rsid w:val="003222FA"/>
    <w:rsid w:val="0038496B"/>
    <w:rsid w:val="003D6A84"/>
    <w:rsid w:val="00427F41"/>
    <w:rsid w:val="00435B67"/>
    <w:rsid w:val="004406A4"/>
    <w:rsid w:val="00442285"/>
    <w:rsid w:val="004508EE"/>
    <w:rsid w:val="0045657B"/>
    <w:rsid w:val="0048331D"/>
    <w:rsid w:val="004A258B"/>
    <w:rsid w:val="004B1FA9"/>
    <w:rsid w:val="004F7BA4"/>
    <w:rsid w:val="00590D2B"/>
    <w:rsid w:val="00590EA8"/>
    <w:rsid w:val="00597952"/>
    <w:rsid w:val="005B60AA"/>
    <w:rsid w:val="005E0C25"/>
    <w:rsid w:val="005E7B1A"/>
    <w:rsid w:val="00617665"/>
    <w:rsid w:val="00617CAA"/>
    <w:rsid w:val="00621271"/>
    <w:rsid w:val="00671629"/>
    <w:rsid w:val="006F2E4C"/>
    <w:rsid w:val="00740484"/>
    <w:rsid w:val="00746891"/>
    <w:rsid w:val="00753FB2"/>
    <w:rsid w:val="00784032"/>
    <w:rsid w:val="007A4191"/>
    <w:rsid w:val="007D0795"/>
    <w:rsid w:val="00810ACB"/>
    <w:rsid w:val="0082116C"/>
    <w:rsid w:val="00825660"/>
    <w:rsid w:val="00880711"/>
    <w:rsid w:val="008E5FE2"/>
    <w:rsid w:val="008F1D32"/>
    <w:rsid w:val="00901364"/>
    <w:rsid w:val="009139AB"/>
    <w:rsid w:val="00992622"/>
    <w:rsid w:val="009A30AD"/>
    <w:rsid w:val="009A4619"/>
    <w:rsid w:val="009B6E56"/>
    <w:rsid w:val="009F4A82"/>
    <w:rsid w:val="00A1739E"/>
    <w:rsid w:val="00A3461C"/>
    <w:rsid w:val="00A43341"/>
    <w:rsid w:val="00A45356"/>
    <w:rsid w:val="00A74EED"/>
    <w:rsid w:val="00A8074E"/>
    <w:rsid w:val="00A82BBB"/>
    <w:rsid w:val="00AB6EDE"/>
    <w:rsid w:val="00AE4E41"/>
    <w:rsid w:val="00B0327B"/>
    <w:rsid w:val="00B055C3"/>
    <w:rsid w:val="00B1623C"/>
    <w:rsid w:val="00B26593"/>
    <w:rsid w:val="00B45916"/>
    <w:rsid w:val="00B803A4"/>
    <w:rsid w:val="00B8367B"/>
    <w:rsid w:val="00BB6173"/>
    <w:rsid w:val="00BC1CEC"/>
    <w:rsid w:val="00BC4727"/>
    <w:rsid w:val="00BF0711"/>
    <w:rsid w:val="00C12C56"/>
    <w:rsid w:val="00C22DCE"/>
    <w:rsid w:val="00C2580C"/>
    <w:rsid w:val="00C26B22"/>
    <w:rsid w:val="00C32A05"/>
    <w:rsid w:val="00C604BF"/>
    <w:rsid w:val="00CA27DF"/>
    <w:rsid w:val="00CC146C"/>
    <w:rsid w:val="00CF06DB"/>
    <w:rsid w:val="00CF1197"/>
    <w:rsid w:val="00D27240"/>
    <w:rsid w:val="00D44305"/>
    <w:rsid w:val="00D63C9B"/>
    <w:rsid w:val="00D64B51"/>
    <w:rsid w:val="00DD4382"/>
    <w:rsid w:val="00DE1E1F"/>
    <w:rsid w:val="00E45740"/>
    <w:rsid w:val="00E76C38"/>
    <w:rsid w:val="00EA4766"/>
    <w:rsid w:val="00F01CB4"/>
    <w:rsid w:val="00F12CB6"/>
    <w:rsid w:val="00F15D4D"/>
    <w:rsid w:val="00F35FF6"/>
    <w:rsid w:val="00F92183"/>
    <w:rsid w:val="00F924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City"/>
  <w:smartTagType w:namespaceuri="urn:schemas-microsoft-com:office:smarttags" w:name="Street"/>
  <w:smartTagType w:namespaceuri="urn:schemas-microsoft-com:office:smarttags" w:name="place"/>
  <w:smartTagType w:namespaceuri="urn:schemas-microsoft-com:office:smarttags" w:name="country-region"/>
  <w:shapeDefaults>
    <o:shapedefaults v:ext="edit" spidmax="2049"/>
    <o:shapelayout v:ext="edit">
      <o:idmap v:ext="edit" data="1"/>
    </o:shapelayout>
  </w:shapeDefaults>
  <w:decimalSymbol w:val="."/>
  <w:listSeparator w:val=","/>
  <w14:docId w14:val="704DF360"/>
  <w15:chartTrackingRefBased/>
  <w15:docId w15:val="{94F811C7-0092-4462-AC64-79A99ABA1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spacing w:before="100" w:after="100"/>
    </w:pPr>
    <w:rPr>
      <w:rFonts w:ascii="Arial" w:hAnsi="Arial"/>
      <w:snapToGrid w:val="0"/>
      <w:sz w:val="24"/>
    </w:rPr>
  </w:style>
  <w:style w:type="paragraph" w:styleId="Heading1">
    <w:name w:val="heading 1"/>
    <w:basedOn w:val="Normal"/>
    <w:next w:val="Normal"/>
    <w:qFormat/>
    <w:pPr>
      <w:keepNext/>
      <w:jc w:val="center"/>
      <w:outlineLvl w:val="0"/>
    </w:pPr>
    <w:rPr>
      <w:rFonts w:ascii="Calisto MT" w:hAnsi="Calisto MT"/>
      <w:b/>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initionTerm">
    <w:name w:val="Definition Term"/>
    <w:basedOn w:val="Normal"/>
    <w:next w:val="DefinitionList"/>
    <w:pPr>
      <w:spacing w:before="0" w:after="0"/>
    </w:pPr>
  </w:style>
  <w:style w:type="paragraph" w:customStyle="1" w:styleId="DefinitionList">
    <w:name w:val="Definition List"/>
    <w:basedOn w:val="Normal"/>
    <w:next w:val="DefinitionTerm"/>
    <w:pPr>
      <w:spacing w:before="0" w:after="0"/>
      <w:ind w:left="360"/>
    </w:pPr>
  </w:style>
  <w:style w:type="character" w:customStyle="1" w:styleId="Definition">
    <w:name w:val="Definition"/>
    <w:rPr>
      <w:i/>
    </w:rPr>
  </w:style>
  <w:style w:type="paragraph" w:customStyle="1" w:styleId="H1">
    <w:name w:val="H1"/>
    <w:basedOn w:val="Normal"/>
    <w:next w:val="Normal"/>
    <w:pPr>
      <w:keepNext/>
      <w:outlineLvl w:val="1"/>
    </w:pPr>
    <w:rPr>
      <w:b/>
      <w:kern w:val="36"/>
      <w:sz w:val="48"/>
    </w:rPr>
  </w:style>
  <w:style w:type="paragraph" w:customStyle="1" w:styleId="H2">
    <w:name w:val="H2"/>
    <w:basedOn w:val="Normal"/>
    <w:next w:val="Normal"/>
    <w:pPr>
      <w:keepNext/>
      <w:outlineLvl w:val="2"/>
    </w:pPr>
    <w:rPr>
      <w:b/>
      <w:sz w:val="36"/>
    </w:rPr>
  </w:style>
  <w:style w:type="paragraph" w:customStyle="1" w:styleId="H3">
    <w:name w:val="H3"/>
    <w:basedOn w:val="Normal"/>
    <w:next w:val="Normal"/>
    <w:pPr>
      <w:keepNext/>
      <w:outlineLvl w:val="3"/>
    </w:pPr>
    <w:rPr>
      <w:b/>
      <w:sz w:val="28"/>
    </w:rPr>
  </w:style>
  <w:style w:type="paragraph" w:customStyle="1" w:styleId="H4">
    <w:name w:val="H4"/>
    <w:basedOn w:val="Normal"/>
    <w:next w:val="Normal"/>
    <w:pPr>
      <w:keepNext/>
      <w:outlineLvl w:val="4"/>
    </w:pPr>
    <w:rPr>
      <w:b/>
    </w:rPr>
  </w:style>
  <w:style w:type="paragraph" w:customStyle="1" w:styleId="H5">
    <w:name w:val="H5"/>
    <w:basedOn w:val="Normal"/>
    <w:next w:val="Normal"/>
    <w:pPr>
      <w:keepNext/>
      <w:outlineLvl w:val="5"/>
    </w:pPr>
    <w:rPr>
      <w:b/>
      <w:sz w:val="20"/>
    </w:rPr>
  </w:style>
  <w:style w:type="paragraph" w:customStyle="1" w:styleId="H6">
    <w:name w:val="H6"/>
    <w:basedOn w:val="Normal"/>
    <w:next w:val="Normal"/>
    <w:pPr>
      <w:keepNext/>
      <w:outlineLvl w:val="6"/>
    </w:pPr>
    <w:rPr>
      <w:b/>
      <w:sz w:val="16"/>
    </w:rPr>
  </w:style>
  <w:style w:type="paragraph" w:customStyle="1" w:styleId="Address">
    <w:name w:val="Address"/>
    <w:basedOn w:val="Normal"/>
    <w:next w:val="Normal"/>
    <w:pPr>
      <w:spacing w:before="0" w:after="0"/>
    </w:pPr>
    <w:rPr>
      <w:i/>
    </w:rPr>
  </w:style>
  <w:style w:type="paragraph" w:customStyle="1" w:styleId="Blockquote">
    <w:name w:val="Blockquote"/>
    <w:basedOn w:val="Normal"/>
    <w:pPr>
      <w:ind w:left="360" w:right="360"/>
    </w:pPr>
  </w:style>
  <w:style w:type="character" w:customStyle="1" w:styleId="CITE">
    <w:name w:val="CITE"/>
    <w:rPr>
      <w:i/>
    </w:rPr>
  </w:style>
  <w:style w:type="character" w:customStyle="1" w:styleId="CODE">
    <w:name w:val="CODE"/>
    <w:rPr>
      <w:rFonts w:ascii="Courier New" w:hAnsi="Courier New"/>
      <w:sz w:val="20"/>
    </w:rPr>
  </w:style>
  <w:style w:type="character" w:styleId="Emphasis">
    <w:name w:val="Emphasis"/>
    <w:qFormat/>
    <w:rPr>
      <w:i/>
    </w:rPr>
  </w:style>
  <w:style w:type="character" w:styleId="Hyperlink">
    <w:name w:val="Hyperlink"/>
    <w:rPr>
      <w:color w:val="0000FF"/>
      <w:u w:val="single"/>
    </w:rPr>
  </w:style>
  <w:style w:type="character" w:styleId="FollowedHyperlink">
    <w:name w:val="FollowedHyperlink"/>
    <w:rPr>
      <w:color w:val="800080"/>
      <w:u w:val="single"/>
    </w:rPr>
  </w:style>
  <w:style w:type="character" w:customStyle="1" w:styleId="Keyboard">
    <w:name w:val="Keyboard"/>
    <w:rPr>
      <w:rFonts w:ascii="Courier New" w:hAnsi="Courier New"/>
      <w:b/>
      <w:sz w:val="20"/>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after="0"/>
    </w:pPr>
    <w:rPr>
      <w:rFonts w:ascii="Courier New" w:hAnsi="Courier New"/>
      <w:sz w:val="20"/>
    </w:rPr>
  </w:style>
  <w:style w:type="paragraph" w:styleId="z-BottomofForm">
    <w:name w:val="HTML Bottom of Form"/>
    <w:next w:val="Normal"/>
    <w:hidden/>
    <w:pPr>
      <w:widowControl w:val="0"/>
      <w:pBdr>
        <w:top w:val="double" w:sz="2" w:space="0" w:color="000000"/>
      </w:pBdr>
      <w:jc w:val="center"/>
    </w:pPr>
    <w:rPr>
      <w:rFonts w:ascii="Arial" w:hAnsi="Arial"/>
      <w:snapToGrid w:val="0"/>
      <w:vanish/>
      <w:sz w:val="16"/>
    </w:rPr>
  </w:style>
  <w:style w:type="paragraph" w:styleId="z-TopofForm">
    <w:name w:val="HTML Top of Form"/>
    <w:next w:val="Normal"/>
    <w:hidden/>
    <w:pPr>
      <w:widowControl w:val="0"/>
      <w:pBdr>
        <w:bottom w:val="double" w:sz="2" w:space="0" w:color="000000"/>
      </w:pBdr>
      <w:jc w:val="center"/>
    </w:pPr>
    <w:rPr>
      <w:rFonts w:ascii="Arial" w:hAnsi="Arial"/>
      <w:snapToGrid w:val="0"/>
      <w:vanish/>
      <w:sz w:val="16"/>
    </w:rPr>
  </w:style>
  <w:style w:type="character" w:customStyle="1" w:styleId="Sample">
    <w:name w:val="Sample"/>
    <w:rPr>
      <w:rFonts w:ascii="Courier New" w:hAnsi="Courier New"/>
    </w:rPr>
  </w:style>
  <w:style w:type="character" w:styleId="Strong">
    <w:name w:val="Strong"/>
    <w:qFormat/>
    <w:rPr>
      <w:b/>
    </w:rPr>
  </w:style>
  <w:style w:type="character" w:customStyle="1" w:styleId="Typewriter">
    <w:name w:val="Typewriter"/>
    <w:rPr>
      <w:rFonts w:ascii="Courier New" w:hAnsi="Courier New"/>
      <w:sz w:val="20"/>
    </w:rPr>
  </w:style>
  <w:style w:type="character" w:customStyle="1" w:styleId="Variable">
    <w:name w:val="Variable"/>
    <w:rPr>
      <w:i/>
    </w:rPr>
  </w:style>
  <w:style w:type="character" w:customStyle="1" w:styleId="HTMLMarkup">
    <w:name w:val="HTML Markup"/>
    <w:rPr>
      <w:vanish/>
      <w:color w:val="FF0000"/>
    </w:rPr>
  </w:style>
  <w:style w:type="character" w:customStyle="1" w:styleId="Comment">
    <w:name w:val="Comment"/>
    <w:rPr>
      <w:vanish/>
    </w:rPr>
  </w:style>
  <w:style w:type="paragraph" w:styleId="BalloonText">
    <w:name w:val="Balloon Text"/>
    <w:basedOn w:val="Normal"/>
    <w:semiHidden/>
    <w:rsid w:val="00DD4382"/>
    <w:rPr>
      <w:rFonts w:ascii="Tahoma" w:hAnsi="Tahoma" w:cs="Tahoma"/>
      <w:sz w:val="16"/>
      <w:szCs w:val="16"/>
    </w:rPr>
  </w:style>
  <w:style w:type="paragraph" w:styleId="Header">
    <w:name w:val="header"/>
    <w:basedOn w:val="Normal"/>
    <w:link w:val="HeaderChar"/>
    <w:rsid w:val="00B45916"/>
    <w:pPr>
      <w:tabs>
        <w:tab w:val="center" w:pos="4680"/>
        <w:tab w:val="right" w:pos="9360"/>
      </w:tabs>
      <w:spacing w:before="0" w:after="0"/>
    </w:pPr>
  </w:style>
  <w:style w:type="character" w:customStyle="1" w:styleId="HeaderChar">
    <w:name w:val="Header Char"/>
    <w:basedOn w:val="DefaultParagraphFont"/>
    <w:link w:val="Header"/>
    <w:rsid w:val="00B45916"/>
    <w:rPr>
      <w:rFonts w:ascii="Arial" w:hAnsi="Arial"/>
      <w:snapToGrid w:val="0"/>
      <w:sz w:val="24"/>
    </w:rPr>
  </w:style>
  <w:style w:type="paragraph" w:styleId="Footer">
    <w:name w:val="footer"/>
    <w:basedOn w:val="Normal"/>
    <w:link w:val="FooterChar"/>
    <w:rsid w:val="00B45916"/>
    <w:pPr>
      <w:tabs>
        <w:tab w:val="center" w:pos="4680"/>
        <w:tab w:val="right" w:pos="9360"/>
      </w:tabs>
      <w:spacing w:before="0" w:after="0"/>
    </w:pPr>
  </w:style>
  <w:style w:type="character" w:customStyle="1" w:styleId="FooterChar">
    <w:name w:val="Footer Char"/>
    <w:basedOn w:val="DefaultParagraphFont"/>
    <w:link w:val="Footer"/>
    <w:rsid w:val="00B45916"/>
    <w:rPr>
      <w:rFonts w:ascii="Arial" w:hAnsi="Arial"/>
      <w:snapToGrid w:val="0"/>
      <w:sz w:val="24"/>
    </w:rPr>
  </w:style>
  <w:style w:type="paragraph" w:styleId="BodyText">
    <w:name w:val="Body Text"/>
    <w:basedOn w:val="Normal"/>
    <w:link w:val="BodyTextChar"/>
    <w:rsid w:val="008E5FE2"/>
    <w:pPr>
      <w:spacing w:after="120"/>
    </w:pPr>
  </w:style>
  <w:style w:type="character" w:customStyle="1" w:styleId="BodyTextChar">
    <w:name w:val="Body Text Char"/>
    <w:basedOn w:val="DefaultParagraphFont"/>
    <w:link w:val="BodyText"/>
    <w:rsid w:val="008E5FE2"/>
    <w:rPr>
      <w:rFonts w:ascii="Arial" w:hAnsi="Arial"/>
      <w:snapToGrid w:val="0"/>
      <w:sz w:val="24"/>
    </w:rPr>
  </w:style>
  <w:style w:type="paragraph" w:styleId="ListParagraph">
    <w:name w:val="List Paragraph"/>
    <w:basedOn w:val="Normal"/>
    <w:uiPriority w:val="34"/>
    <w:qFormat/>
    <w:rsid w:val="00BC1CEC"/>
    <w:pPr>
      <w:widowControl/>
      <w:spacing w:before="0" w:after="0"/>
      <w:ind w:left="720"/>
    </w:pPr>
    <w:rPr>
      <w:rFonts w:ascii="Calibri" w:eastAsia="Calibri" w:hAnsi="Calibri" w:cs="Calibri"/>
      <w:snapToGrid/>
      <w:sz w:val="22"/>
      <w:szCs w:val="22"/>
    </w:rPr>
  </w:style>
  <w:style w:type="character" w:styleId="CommentReference">
    <w:name w:val="annotation reference"/>
    <w:basedOn w:val="DefaultParagraphFont"/>
    <w:rsid w:val="00597952"/>
    <w:rPr>
      <w:sz w:val="16"/>
      <w:szCs w:val="16"/>
    </w:rPr>
  </w:style>
  <w:style w:type="paragraph" w:styleId="CommentText">
    <w:name w:val="annotation text"/>
    <w:basedOn w:val="Normal"/>
    <w:link w:val="CommentTextChar"/>
    <w:rsid w:val="00597952"/>
    <w:rPr>
      <w:sz w:val="20"/>
    </w:rPr>
  </w:style>
  <w:style w:type="character" w:customStyle="1" w:styleId="CommentTextChar">
    <w:name w:val="Comment Text Char"/>
    <w:basedOn w:val="DefaultParagraphFont"/>
    <w:link w:val="CommentText"/>
    <w:rsid w:val="00597952"/>
    <w:rPr>
      <w:rFonts w:ascii="Arial" w:hAnsi="Arial"/>
      <w:snapToGrid w:val="0"/>
    </w:rPr>
  </w:style>
  <w:style w:type="paragraph" w:styleId="CommentSubject">
    <w:name w:val="annotation subject"/>
    <w:basedOn w:val="CommentText"/>
    <w:next w:val="CommentText"/>
    <w:link w:val="CommentSubjectChar"/>
    <w:rsid w:val="00597952"/>
    <w:rPr>
      <w:b/>
      <w:bCs/>
    </w:rPr>
  </w:style>
  <w:style w:type="character" w:customStyle="1" w:styleId="CommentSubjectChar">
    <w:name w:val="Comment Subject Char"/>
    <w:basedOn w:val="CommentTextChar"/>
    <w:link w:val="CommentSubject"/>
    <w:rsid w:val="00597952"/>
    <w:rPr>
      <w:rFonts w:ascii="Arial" w:hAnsi="Arial"/>
      <w:b/>
      <w:bCs/>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918</Words>
  <Characters>5237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GPSC web letterhead for general use</vt:lpstr>
    </vt:vector>
  </TitlesOfParts>
  <Company>Dell Computer Corporation</Company>
  <LinksUpToDate>false</LinksUpToDate>
  <CharactersWithSpaces>6143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GPSC web letterhead for general use</dc:title>
  <dc:subject/>
  <dc:creator>Jamie Barber</dc:creator>
  <cp:keywords/>
  <dc:description/>
  <cp:lastModifiedBy>Jamie Barber</cp:lastModifiedBy>
  <cp:revision>2</cp:revision>
  <cp:lastPrinted>2015-10-27T13:14:00Z</cp:lastPrinted>
  <dcterms:created xsi:type="dcterms:W3CDTF">2020-06-08T13:01:00Z</dcterms:created>
  <dcterms:modified xsi:type="dcterms:W3CDTF">2020-06-08T13:01:00Z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Microsoft Word 97</vt:lpwstr>
  </property>
</Properties>
</file>